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1EF47B73" w:rsidR="00063B4C" w:rsidRPr="00C15095" w:rsidRDefault="00063B4C" w:rsidP="00063B4C">
      <w:pPr>
        <w:spacing w:line="1342" w:lineRule="exact"/>
        <w:jc w:val="left"/>
        <w:rPr>
          <w:rFonts w:ascii="Arial" w:hAnsi="Arial" w:cs="Arial"/>
          <w:sz w:val="70"/>
          <w:szCs w:val="70"/>
        </w:rPr>
      </w:pPr>
      <w:r w:rsidRPr="00C15095">
        <w:rPr>
          <w:rFonts w:ascii="Arial" w:hAnsi="Arial" w:cs="Arial"/>
          <w:sz w:val="70"/>
          <w:szCs w:val="70"/>
        </w:rPr>
        <w:t xml:space="preserve">DISSERTATION </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26743138"/>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0C46C838" w14:textId="77777777" w:rsidR="0076146B" w:rsidRDefault="0076146B" w:rsidP="00604A87">
      <w:pPr>
        <w:rPr>
          <w:rFonts w:eastAsia="Times New Roman" w:cs="Arial"/>
          <w:b/>
          <w:sz w:val="28"/>
          <w:szCs w:val="28"/>
        </w:rPr>
      </w:pPr>
    </w:p>
    <w:p w14:paraId="2F41668F" w14:textId="77777777" w:rsidR="0076146B" w:rsidRDefault="0076146B" w:rsidP="00604A87">
      <w:pPr>
        <w:rPr>
          <w:rFonts w:eastAsia="Times New Roman" w:cs="Arial"/>
          <w:b/>
          <w:sz w:val="28"/>
          <w:szCs w:val="28"/>
        </w:rPr>
      </w:pPr>
    </w:p>
    <w:p w14:paraId="3492E4C4" w14:textId="127BB7A8"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7A60AD7C" w:rsidR="00604A87" w:rsidRPr="00604A87" w:rsidRDefault="00604A87" w:rsidP="00604A87">
      <w:pPr>
        <w:rPr>
          <w:rFonts w:eastAsia="Times New Roman" w:cs="Arial"/>
        </w:rPr>
      </w:pPr>
      <w:r w:rsidRPr="00604A87">
        <w:rPr>
          <w:rFonts w:eastAsia="Times New Roman" w:cs="Arial"/>
        </w:rPr>
        <w:t>Signed……</w:t>
      </w:r>
      <w:r w:rsidR="008E4875">
        <w:rPr>
          <w:rFonts w:eastAsia="Times New Roman" w:cs="Arial"/>
        </w:rPr>
        <w:t>A</w:t>
      </w:r>
      <w:r w:rsidR="00777009">
        <w:rPr>
          <w:rFonts w:eastAsia="Times New Roman" w:cs="Arial"/>
        </w:rPr>
        <w:t>. M McDonald</w:t>
      </w:r>
      <w:r w:rsidRPr="00604A87">
        <w:rPr>
          <w:rFonts w:eastAsia="Times New Roman" w:cs="Arial"/>
        </w:rPr>
        <w:t>………………………………………</w:t>
      </w:r>
    </w:p>
    <w:p w14:paraId="16B6CB34" w14:textId="15F3F366" w:rsidR="00604A87" w:rsidRPr="00604A87" w:rsidRDefault="00604A87" w:rsidP="00604A87">
      <w:pPr>
        <w:rPr>
          <w:rFonts w:eastAsia="Times New Roman" w:cs="Arial"/>
        </w:rPr>
      </w:pPr>
      <w:r w:rsidRPr="00604A87">
        <w:rPr>
          <w:rFonts w:eastAsia="Times New Roman" w:cs="Arial"/>
        </w:rPr>
        <w:t>Date……</w:t>
      </w:r>
      <w:r w:rsidR="00777009">
        <w:rPr>
          <w:rFonts w:eastAsia="Times New Roman" w:cs="Arial"/>
        </w:rPr>
        <w:t>4</w:t>
      </w:r>
      <w:r w:rsidR="00777009" w:rsidRPr="00777009">
        <w:rPr>
          <w:rFonts w:eastAsia="Times New Roman" w:cs="Arial"/>
          <w:vertAlign w:val="superscript"/>
        </w:rPr>
        <w:t>th</w:t>
      </w:r>
      <w:r w:rsidR="00777009">
        <w:rPr>
          <w:rFonts w:eastAsia="Times New Roman" w:cs="Arial"/>
        </w:rPr>
        <w:t xml:space="preserve"> April 2026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A725216" w:rsidR="00604A87" w:rsidRPr="00604A87" w:rsidRDefault="00604A87" w:rsidP="00604A87">
      <w:pPr>
        <w:rPr>
          <w:rFonts w:eastAsia="Times New Roman" w:cs="Arial"/>
        </w:rPr>
      </w:pPr>
      <w:r w:rsidRPr="00604A87">
        <w:rPr>
          <w:rFonts w:eastAsia="Times New Roman" w:cs="Arial"/>
        </w:rPr>
        <w:t>Signed……</w:t>
      </w:r>
      <w:r w:rsidR="0039006B">
        <w:rPr>
          <w:rFonts w:eastAsia="Times New Roman" w:cs="Arial"/>
        </w:rPr>
        <w:t>A.M McDonald</w:t>
      </w:r>
      <w:r w:rsidRPr="00604A87">
        <w:rPr>
          <w:rFonts w:eastAsia="Times New Roman" w:cs="Arial"/>
        </w:rPr>
        <w:t xml:space="preserve">………………………………………. </w:t>
      </w:r>
    </w:p>
    <w:p w14:paraId="21F5E413" w14:textId="54D46237" w:rsidR="00604A87" w:rsidRPr="00604A87" w:rsidRDefault="00604A87" w:rsidP="00604A87">
      <w:pPr>
        <w:rPr>
          <w:rFonts w:eastAsia="Times New Roman" w:cs="Arial"/>
        </w:rPr>
      </w:pPr>
      <w:r w:rsidRPr="00604A87">
        <w:rPr>
          <w:rFonts w:eastAsia="Times New Roman" w:cs="Arial"/>
        </w:rPr>
        <w:t>Date……</w:t>
      </w:r>
      <w:r w:rsidR="0039006B">
        <w:rPr>
          <w:rFonts w:eastAsia="Times New Roman" w:cs="Arial"/>
        </w:rPr>
        <w:t>4</w:t>
      </w:r>
      <w:r w:rsidR="0039006B" w:rsidRPr="0039006B">
        <w:rPr>
          <w:rFonts w:eastAsia="Times New Roman" w:cs="Arial"/>
          <w:vertAlign w:val="superscript"/>
        </w:rPr>
        <w:t>th</w:t>
      </w:r>
      <w:r w:rsidR="0039006B">
        <w:rPr>
          <w:rFonts w:eastAsia="Times New Roman" w:cs="Arial"/>
        </w:rPr>
        <w:t xml:space="preserve"> April 2026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15FC4608" w:rsidR="00604A87" w:rsidRPr="00604A87" w:rsidRDefault="00604A87" w:rsidP="00604A87">
      <w:pPr>
        <w:rPr>
          <w:rFonts w:eastAsia="Times New Roman" w:cs="Arial"/>
        </w:rPr>
      </w:pPr>
      <w:r w:rsidRPr="00604A87">
        <w:rPr>
          <w:rFonts w:eastAsia="Times New Roman" w:cs="Arial"/>
        </w:rPr>
        <w:t>Signed</w:t>
      </w:r>
      <w:r w:rsidR="00777009">
        <w:rPr>
          <w:rFonts w:eastAsia="Times New Roman" w:cs="Arial"/>
        </w:rPr>
        <w:t xml:space="preserve"> A.M.M</w:t>
      </w:r>
      <w:r w:rsidR="00071968">
        <w:rPr>
          <w:rFonts w:eastAsia="Times New Roman" w:cs="Arial"/>
        </w:rPr>
        <w:t>cDonald</w:t>
      </w:r>
      <w:r w:rsidRPr="00604A87">
        <w:rPr>
          <w:rFonts w:eastAsia="Times New Roman" w:cs="Arial"/>
        </w:rPr>
        <w:t>……………………………………………</w:t>
      </w:r>
    </w:p>
    <w:p w14:paraId="1CB40FFB" w14:textId="3ACE23C3" w:rsidR="00604A87" w:rsidRPr="00604A87" w:rsidRDefault="00604A87" w:rsidP="00604A87">
      <w:pPr>
        <w:rPr>
          <w:rFonts w:eastAsia="Times New Roman" w:cs="Arial"/>
        </w:rPr>
      </w:pPr>
      <w:r w:rsidRPr="00604A87">
        <w:rPr>
          <w:rFonts w:eastAsia="Times New Roman" w:cs="Arial"/>
        </w:rPr>
        <w:t>Date………</w:t>
      </w:r>
      <w:r w:rsidR="00071968">
        <w:rPr>
          <w:rFonts w:eastAsia="Times New Roman" w:cs="Arial"/>
        </w:rPr>
        <w:t>4</w:t>
      </w:r>
      <w:r w:rsidR="00071968" w:rsidRPr="00071968">
        <w:rPr>
          <w:rFonts w:eastAsia="Times New Roman" w:cs="Arial"/>
          <w:vertAlign w:val="superscript"/>
        </w:rPr>
        <w:t>th</w:t>
      </w:r>
      <w:r w:rsidR="00071968">
        <w:rPr>
          <w:rFonts w:eastAsia="Times New Roman" w:cs="Arial"/>
        </w:rPr>
        <w:t xml:space="preserve"> April 2026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2B15AE5B" w:rsidR="00604A87" w:rsidRPr="00604A87" w:rsidRDefault="00604A87" w:rsidP="00604A87">
      <w:pPr>
        <w:rPr>
          <w:rFonts w:eastAsia="Times New Roman" w:cs="Arial"/>
        </w:rPr>
      </w:pPr>
      <w:r w:rsidRPr="00604A87">
        <w:rPr>
          <w:rFonts w:eastAsia="Times New Roman" w:cs="Arial"/>
        </w:rPr>
        <w:t>Signed……</w:t>
      </w:r>
      <w:r w:rsidR="00BB66CA">
        <w:rPr>
          <w:rFonts w:eastAsia="Times New Roman" w:cs="Arial"/>
        </w:rPr>
        <w:t>A.M Mc</w:t>
      </w:r>
      <w:r w:rsidR="00B667A9">
        <w:rPr>
          <w:rFonts w:eastAsia="Times New Roman" w:cs="Arial"/>
        </w:rPr>
        <w:t>Donald</w:t>
      </w:r>
      <w:r w:rsidRPr="00604A87">
        <w:rPr>
          <w:rFonts w:eastAsia="Times New Roman" w:cs="Arial"/>
        </w:rPr>
        <w:t>…………………………………………</w:t>
      </w:r>
    </w:p>
    <w:p w14:paraId="021196D1" w14:textId="6A4B7D89"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B667A9">
        <w:rPr>
          <w:rFonts w:eastAsia="Times New Roman" w:cs="Arial"/>
        </w:rPr>
        <w:t>4</w:t>
      </w:r>
      <w:r w:rsidR="00B667A9" w:rsidRPr="00B667A9">
        <w:rPr>
          <w:rFonts w:eastAsia="Times New Roman" w:cs="Arial"/>
          <w:vertAlign w:val="superscript"/>
        </w:rPr>
        <w:t>th</w:t>
      </w:r>
      <w:r w:rsidR="00B667A9">
        <w:rPr>
          <w:rFonts w:eastAsia="Times New Roman" w:cs="Arial"/>
        </w:rPr>
        <w:t xml:space="preserve"> April 2026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1D03CDB3" w:rsidR="00604A87" w:rsidRPr="00604A87" w:rsidRDefault="00604A87" w:rsidP="00604A87">
      <w:pPr>
        <w:rPr>
          <w:rFonts w:eastAsia="Times New Roman" w:cs="Arial"/>
        </w:rPr>
      </w:pPr>
      <w:r w:rsidRPr="00604A87">
        <w:rPr>
          <w:rFonts w:eastAsia="Times New Roman" w:cs="Arial"/>
        </w:rPr>
        <w:t>Signed…</w:t>
      </w:r>
      <w:r w:rsidR="00071968">
        <w:rPr>
          <w:rFonts w:eastAsia="Times New Roman" w:cs="Arial"/>
        </w:rPr>
        <w:t>A.M.McDonald</w:t>
      </w:r>
      <w:r w:rsidRPr="00604A87">
        <w:rPr>
          <w:rFonts w:eastAsia="Times New Roman" w:cs="Arial"/>
        </w:rPr>
        <w:t>…………………………………………</w:t>
      </w:r>
    </w:p>
    <w:p w14:paraId="2BDDE109" w14:textId="0918B220"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7A64AD">
        <w:rPr>
          <w:rFonts w:eastAsia="Times New Roman" w:cs="Arial"/>
        </w:rPr>
        <w:t>4</w:t>
      </w:r>
      <w:r w:rsidR="007A64AD" w:rsidRPr="007A64AD">
        <w:rPr>
          <w:rFonts w:eastAsia="Times New Roman" w:cs="Arial"/>
          <w:vertAlign w:val="superscript"/>
        </w:rPr>
        <w:t>th</w:t>
      </w:r>
      <w:r w:rsidR="007A64AD">
        <w:rPr>
          <w:rFonts w:eastAsia="Times New Roman" w:cs="Arial"/>
        </w:rPr>
        <w:t xml:space="preserve"> April 2026</w:t>
      </w:r>
      <w:r w:rsidRPr="00604A87">
        <w:rPr>
          <w:rFonts w:eastAsia="Times New Roman" w:cs="Arial"/>
        </w:rPr>
        <w:t>……………………………………………</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2CBBAC27" w:rsidR="00995444" w:rsidRPr="00710C5B" w:rsidRDefault="00C679C6" w:rsidP="00DC3B7B">
      <w:pPr>
        <w:ind w:left="720"/>
        <w:jc w:val="center"/>
        <w:rPr>
          <w:rFonts w:ascii="Arial" w:eastAsia="Times New Roman" w:hAnsi="Arial" w:cs="Arial"/>
          <w:sz w:val="20"/>
          <w:szCs w:val="20"/>
        </w:rPr>
      </w:pPr>
      <w:r w:rsidRPr="00710C5B">
        <w:rPr>
          <w:rFonts w:ascii="Arial" w:eastAsia="Arial Unicode MS" w:hAnsi="Arial" w:cs="Arial"/>
          <w:b/>
          <w:sz w:val="56"/>
          <w:szCs w:val="56"/>
        </w:rPr>
        <w:t xml:space="preserve">Exploring the barriers faced by </w:t>
      </w:r>
      <w:r w:rsidR="00C83819" w:rsidRPr="00710C5B">
        <w:rPr>
          <w:rFonts w:ascii="Arial" w:eastAsia="Arial Unicode MS" w:hAnsi="Arial" w:cs="Arial"/>
          <w:b/>
          <w:sz w:val="56"/>
          <w:szCs w:val="56"/>
        </w:rPr>
        <w:t>ethnic minorities in accessing information</w:t>
      </w:r>
      <w:r w:rsidR="001C4EB0" w:rsidRPr="00710C5B">
        <w:rPr>
          <w:rFonts w:ascii="Arial" w:eastAsia="Arial Unicode MS" w:hAnsi="Arial" w:cs="Arial"/>
          <w:b/>
          <w:sz w:val="56"/>
          <w:szCs w:val="56"/>
        </w:rPr>
        <w:t xml:space="preserve"> and resources</w:t>
      </w:r>
      <w:r w:rsidR="00C83819" w:rsidRPr="00710C5B">
        <w:rPr>
          <w:rFonts w:ascii="Arial" w:eastAsia="Arial Unicode MS" w:hAnsi="Arial" w:cs="Arial"/>
          <w:b/>
          <w:sz w:val="56"/>
          <w:szCs w:val="56"/>
        </w:rPr>
        <w:t xml:space="preserve"> about blood and organ donation in the </w:t>
      </w:r>
      <w:r w:rsidR="00885B64" w:rsidRPr="00710C5B">
        <w:rPr>
          <w:rFonts w:ascii="Arial" w:eastAsia="Arial Unicode MS" w:hAnsi="Arial" w:cs="Arial"/>
          <w:b/>
          <w:sz w:val="56"/>
          <w:szCs w:val="56"/>
        </w:rPr>
        <w:t>UK</w:t>
      </w:r>
      <w:r w:rsidR="00452AB6" w:rsidRPr="00710C5B">
        <w:rPr>
          <w:rFonts w:ascii="Arial" w:eastAsia="Arial Unicode MS" w:hAnsi="Arial" w:cs="Arial"/>
          <w:b/>
          <w:sz w:val="56"/>
          <w:szCs w:val="56"/>
        </w:rPr>
        <w:t>.</w:t>
      </w:r>
    </w:p>
    <w:p w14:paraId="0FC75915" w14:textId="77777777" w:rsidR="00995444" w:rsidRPr="00710C5B" w:rsidRDefault="00995444" w:rsidP="00DC3B7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1E0E7C08" w14:textId="380652B1" w:rsidR="00452AB6" w:rsidRPr="00710C5B" w:rsidRDefault="00452AB6" w:rsidP="00DC3B7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710C5B">
        <w:rPr>
          <w:rFonts w:ascii="Arial" w:eastAsia="Arial Unicode MS" w:hAnsi="Arial" w:cs="Arial"/>
          <w:b/>
          <w:sz w:val="56"/>
          <w:szCs w:val="56"/>
        </w:rPr>
        <w:t>Anne-Marie McDonald</w:t>
      </w:r>
    </w:p>
    <w:p w14:paraId="6DB122B7" w14:textId="659F2365" w:rsidR="00995444" w:rsidRPr="001C4EB0" w:rsidRDefault="00995444" w:rsidP="00DC3B7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56"/>
          <w:szCs w:val="56"/>
        </w:rPr>
      </w:pPr>
      <w:r w:rsidRPr="00710C5B">
        <w:rPr>
          <w:rFonts w:ascii="Arial" w:eastAsia="Arial Unicode MS" w:hAnsi="Arial" w:cs="Arial"/>
          <w:b/>
          <w:sz w:val="56"/>
          <w:szCs w:val="56"/>
        </w:rPr>
        <w:t xml:space="preserve">Student </w:t>
      </w:r>
      <w:r w:rsidR="00885B64" w:rsidRPr="00710C5B">
        <w:rPr>
          <w:rFonts w:ascii="Arial" w:eastAsia="Arial Unicode MS" w:hAnsi="Arial" w:cs="Arial"/>
          <w:b/>
          <w:sz w:val="56"/>
          <w:szCs w:val="56"/>
        </w:rPr>
        <w:t>1908085</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11885DD2" w14:textId="77777777" w:rsidR="00995444" w:rsidRPr="00995444" w:rsidRDefault="00995444" w:rsidP="000211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65358A57" w14:textId="77777777" w:rsidR="00995444" w:rsidRDefault="00995444"/>
    <w:p w14:paraId="7A6FDC84" w14:textId="0A75E9EC" w:rsidR="0073280B" w:rsidRDefault="00995444" w:rsidP="0072484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r w:rsidRPr="00995444">
        <w:rPr>
          <w:rFonts w:eastAsia="Arial Unicode MS" w:cs="Arial"/>
          <w:b/>
          <w:sz w:val="28"/>
          <w:szCs w:val="28"/>
        </w:rPr>
        <w:t>ACKNOWLEDGEMENT</w:t>
      </w:r>
      <w:r w:rsidR="00EE14BE">
        <w:rPr>
          <w:rFonts w:eastAsia="Arial Unicode MS" w:cs="Arial"/>
          <w:b/>
          <w:sz w:val="28"/>
          <w:szCs w:val="28"/>
        </w:rPr>
        <w:t>S</w:t>
      </w:r>
      <w:r w:rsidR="00181089">
        <w:rPr>
          <w:rFonts w:eastAsia="Arial Unicode MS" w:cs="Arial"/>
          <w:b/>
          <w:sz w:val="28"/>
          <w:szCs w:val="28"/>
        </w:rPr>
        <w:t xml:space="preserve"> </w:t>
      </w:r>
    </w:p>
    <w:p w14:paraId="40380726" w14:textId="357AF0D4" w:rsidR="00CF6C72" w:rsidRPr="00CF6C72" w:rsidRDefault="00CF6C72" w:rsidP="00CF6C72">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CF6C72">
        <w:rPr>
          <w:rFonts w:ascii="Arial" w:eastAsia="Arial Unicode MS" w:hAnsi="Arial" w:cs="Arial"/>
          <w:bCs/>
        </w:rPr>
        <w:t xml:space="preserve">I dedicate this </w:t>
      </w:r>
      <w:r w:rsidR="009732B6">
        <w:rPr>
          <w:rFonts w:ascii="Arial" w:eastAsia="Arial Unicode MS" w:hAnsi="Arial" w:cs="Arial"/>
          <w:bCs/>
        </w:rPr>
        <w:t>work</w:t>
      </w:r>
      <w:r w:rsidRPr="00CF6C72">
        <w:rPr>
          <w:rFonts w:ascii="Arial" w:eastAsia="Arial Unicode MS" w:hAnsi="Arial" w:cs="Arial"/>
          <w:bCs/>
        </w:rPr>
        <w:t xml:space="preserve"> to my parents, Mrs Emelyn McDonald</w:t>
      </w:r>
      <w:r w:rsidRPr="00B476E5">
        <w:rPr>
          <w:rFonts w:ascii="Arial" w:eastAsia="Arial Unicode MS" w:hAnsi="Arial" w:cs="Arial"/>
          <w:bCs/>
        </w:rPr>
        <w:t xml:space="preserve">, </w:t>
      </w:r>
      <w:r w:rsidR="00B476E5" w:rsidRPr="00B476E5">
        <w:rPr>
          <w:rFonts w:ascii="Arial" w:eastAsia="Arial Unicode MS" w:hAnsi="Arial" w:cs="Arial"/>
          <w:bCs/>
        </w:rPr>
        <w:t xml:space="preserve">and </w:t>
      </w:r>
      <w:r w:rsidRPr="00CF6C72">
        <w:rPr>
          <w:rFonts w:ascii="Arial" w:eastAsia="Arial Unicode MS" w:hAnsi="Arial" w:cs="Arial"/>
          <w:bCs/>
        </w:rPr>
        <w:t>the late Mr Lloyd</w:t>
      </w:r>
      <w:r w:rsidRPr="00CF6C72">
        <w:rPr>
          <w:rFonts w:ascii="Arial" w:eastAsia="Arial Unicode MS" w:hAnsi="Arial" w:cs="Arial"/>
          <w:bCs/>
        </w:rPr>
        <w:noBreakHyphen/>
        <w:t>Bancroft McDonald. I am grateful for their love, guidance, and support, and for the kindness and compassion they instilled in me.</w:t>
      </w:r>
      <w:r w:rsidR="006B32AB">
        <w:rPr>
          <w:rFonts w:ascii="Arial" w:eastAsia="Arial Unicode MS" w:hAnsi="Arial" w:cs="Arial"/>
          <w:bCs/>
        </w:rPr>
        <w:t xml:space="preserve">  </w:t>
      </w:r>
      <w:r w:rsidR="005F198F">
        <w:rPr>
          <w:rFonts w:ascii="Arial" w:eastAsia="Arial Unicode MS" w:hAnsi="Arial" w:cs="Arial"/>
          <w:bCs/>
        </w:rPr>
        <w:t xml:space="preserve"> </w:t>
      </w:r>
    </w:p>
    <w:p w14:paraId="74745DEF" w14:textId="77777777" w:rsidR="00CF6C72" w:rsidRPr="00CF6C72" w:rsidRDefault="00CF6C72" w:rsidP="0072484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p>
    <w:p w14:paraId="374291EC" w14:textId="77777777" w:rsidR="00C377B4" w:rsidRDefault="0073280B" w:rsidP="00EE14BE">
      <w:pPr>
        <w:rPr>
          <w:rFonts w:ascii="Arial" w:eastAsia="Arial Unicode MS" w:hAnsi="Arial" w:cs="Arial"/>
          <w:sz w:val="28"/>
          <w:szCs w:val="28"/>
        </w:rPr>
      </w:pPr>
      <w:r w:rsidRPr="00890143">
        <w:rPr>
          <w:rFonts w:ascii="Arial" w:eastAsia="Arial Unicode MS" w:hAnsi="Arial" w:cs="Arial"/>
          <w:b/>
          <w:sz w:val="28"/>
          <w:szCs w:val="28"/>
        </w:rPr>
        <w:t>ABSTRACT</w:t>
      </w:r>
      <w:r w:rsidRPr="00890143">
        <w:rPr>
          <w:rFonts w:ascii="Arial" w:eastAsia="Arial Unicode MS" w:hAnsi="Arial" w:cs="Arial"/>
          <w:sz w:val="28"/>
          <w:szCs w:val="28"/>
        </w:rPr>
        <w:t xml:space="preserve"> </w:t>
      </w:r>
    </w:p>
    <w:p w14:paraId="4DB7E93A" w14:textId="0FE4E121" w:rsidR="0002112D" w:rsidRPr="00A338F2" w:rsidRDefault="0002112D" w:rsidP="00EE14BE">
      <w:pPr>
        <w:rPr>
          <w:rFonts w:ascii="Arial" w:hAnsi="Arial" w:cs="Arial"/>
        </w:rPr>
      </w:pPr>
      <w:r w:rsidRPr="00A338F2">
        <w:rPr>
          <w:rFonts w:ascii="Arial" w:hAnsi="Arial" w:cs="Arial"/>
        </w:rPr>
        <w:t>This dissertation explores the barriers faced by ethnic minority communities in accessing information and resources related to blood and organ donation in the United Kingdom. Using a desk</w:t>
      </w:r>
      <w:r w:rsidRPr="00A338F2">
        <w:rPr>
          <w:rFonts w:ascii="Arial" w:hAnsi="Arial" w:cs="Arial"/>
        </w:rPr>
        <w:noBreakHyphen/>
        <w:t>based qualitative methodology, the study synthesises academic literature, policy documents, and national statistics through Braun and Clarke’s thematic analysis. Findings reveal that donation disparities are shaped by interrelated socio</w:t>
      </w:r>
      <w:r w:rsidRPr="00A338F2">
        <w:rPr>
          <w:rFonts w:ascii="Arial" w:hAnsi="Arial" w:cs="Arial"/>
        </w:rPr>
        <w:noBreakHyphen/>
        <w:t>cultural beliefs, intersectional inequalities, and institutional shortcomings, including historical mistrust, inadequate communication, and limited cultural competence. Rather than reflecting individual or cultural reluctance, these barriers are largely structurally produced. The study concludes with evidence</w:t>
      </w:r>
      <w:r w:rsidRPr="00A338F2">
        <w:rPr>
          <w:rFonts w:ascii="Arial" w:hAnsi="Arial" w:cs="Arial"/>
        </w:rPr>
        <w:noBreakHyphen/>
        <w:t>based recommendations emphasising culturally credible engagement, inclusive information pathways, and anti</w:t>
      </w:r>
      <w:r w:rsidRPr="00A338F2">
        <w:rPr>
          <w:rFonts w:ascii="Arial" w:hAnsi="Arial" w:cs="Arial"/>
        </w:rPr>
        <w:noBreakHyphen/>
        <w:t>racist, whole</w:t>
      </w:r>
      <w:r w:rsidRPr="00A338F2">
        <w:rPr>
          <w:rFonts w:ascii="Arial" w:hAnsi="Arial" w:cs="Arial"/>
        </w:rPr>
        <w:noBreakHyphen/>
        <w:t>systems reform to improve equity in donation services.</w:t>
      </w:r>
    </w:p>
    <w:p w14:paraId="237B3216" w14:textId="77777777" w:rsidR="0002112D" w:rsidRPr="00465F10" w:rsidRDefault="0002112D" w:rsidP="0002112D">
      <w:pPr>
        <w:rPr>
          <w:rFonts w:ascii="Arial" w:hAnsi="Arial" w:cs="Arial"/>
        </w:rPr>
      </w:pPr>
    </w:p>
    <w:p w14:paraId="68249928" w14:textId="483D2B91" w:rsidR="0073280B" w:rsidRPr="00890143" w:rsidRDefault="0073280B" w:rsidP="008901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310D40A5" w14:textId="77777777" w:rsidR="0073280B" w:rsidRPr="00890143" w:rsidRDefault="0073280B" w:rsidP="00890143">
      <w:pPr>
        <w:ind w:right="194"/>
        <w:rPr>
          <w:rFonts w:ascii="Arial" w:eastAsia="Arial Unicode MS" w:hAnsi="Arial" w:cs="Arial"/>
        </w:rPr>
      </w:pPr>
    </w:p>
    <w:sdt>
      <w:sdtPr>
        <w:rPr>
          <w:rFonts w:ascii="Aptos" w:eastAsiaTheme="minorEastAsia" w:hAnsi="Aptos" w:cstheme="minorBidi"/>
          <w:color w:val="auto"/>
          <w:kern w:val="2"/>
          <w:sz w:val="22"/>
          <w:szCs w:val="22"/>
          <w:lang w:val="en-GB" w:eastAsia="zh-CN"/>
          <w14:ligatures w14:val="standardContextual"/>
        </w:rPr>
        <w:id w:val="284084627"/>
        <w:docPartObj>
          <w:docPartGallery w:val="Table of Contents"/>
          <w:docPartUnique/>
        </w:docPartObj>
      </w:sdtPr>
      <w:sdtEndPr>
        <w:rPr>
          <w:b/>
          <w:bCs/>
          <w:noProof/>
        </w:rPr>
      </w:sdtEndPr>
      <w:sdtContent>
        <w:p w14:paraId="4AC242B7" w14:textId="6C36AC27" w:rsidR="002E3DF3" w:rsidRPr="00A11A7C" w:rsidRDefault="002E3DF3">
          <w:pPr>
            <w:pStyle w:val="TOCHeading"/>
            <w:rPr>
              <w:rFonts w:ascii="Arial" w:hAnsi="Arial" w:cs="Arial"/>
              <w:color w:val="auto"/>
            </w:rPr>
          </w:pPr>
          <w:r w:rsidRPr="00A11A7C">
            <w:rPr>
              <w:rFonts w:ascii="Arial" w:hAnsi="Arial" w:cs="Arial"/>
              <w:color w:val="auto"/>
            </w:rPr>
            <w:t>Table of Contents</w:t>
          </w:r>
        </w:p>
        <w:p w14:paraId="29CA97C5" w14:textId="243FC7F0" w:rsidR="0072484A" w:rsidRPr="00020D46" w:rsidRDefault="002E3DF3">
          <w:pPr>
            <w:pStyle w:val="TOC1"/>
            <w:tabs>
              <w:tab w:val="right" w:leader="dot" w:pos="9016"/>
            </w:tabs>
            <w:rPr>
              <w:rFonts w:asciiTheme="minorHAnsi" w:hAnsiTheme="minorHAnsi"/>
              <w:noProof/>
              <w:sz w:val="24"/>
              <w:szCs w:val="24"/>
              <w:lang w:eastAsia="en-GB"/>
            </w:rPr>
          </w:pPr>
          <w:r w:rsidRPr="00020D46">
            <w:fldChar w:fldCharType="begin"/>
          </w:r>
          <w:r w:rsidRPr="00020D46">
            <w:instrText xml:space="preserve"> TOC \o "1-3" \h \z \u </w:instrText>
          </w:r>
          <w:r w:rsidRPr="00020D46">
            <w:fldChar w:fldCharType="separate"/>
          </w:r>
        </w:p>
        <w:p w14:paraId="5C2D20A1" w14:textId="5153FE77" w:rsidR="0072484A" w:rsidRPr="00020D46" w:rsidRDefault="0072484A">
          <w:pPr>
            <w:pStyle w:val="TOC1"/>
            <w:tabs>
              <w:tab w:val="right" w:leader="dot" w:pos="9016"/>
            </w:tabs>
            <w:rPr>
              <w:rFonts w:asciiTheme="minorHAnsi" w:hAnsiTheme="minorHAnsi"/>
              <w:noProof/>
              <w:sz w:val="24"/>
              <w:szCs w:val="24"/>
              <w:lang w:eastAsia="en-GB"/>
            </w:rPr>
          </w:pPr>
          <w:hyperlink w:anchor="_Toc226743139" w:history="1">
            <w:r w:rsidRPr="00020D46">
              <w:rPr>
                <w:rStyle w:val="Hyperlink"/>
                <w:rFonts w:cs="Arial"/>
                <w:noProof/>
                <w:color w:val="auto"/>
                <w:lang w:bidi="en-GB"/>
              </w:rPr>
              <w:t>CHAPTER 1: Introduction</w:t>
            </w:r>
            <w:r w:rsidRPr="00020D46">
              <w:rPr>
                <w:noProof/>
                <w:webHidden/>
              </w:rPr>
              <w:tab/>
            </w:r>
            <w:r w:rsidRPr="00020D46">
              <w:rPr>
                <w:noProof/>
                <w:webHidden/>
              </w:rPr>
              <w:fldChar w:fldCharType="begin"/>
            </w:r>
            <w:r w:rsidRPr="00020D46">
              <w:rPr>
                <w:noProof/>
                <w:webHidden/>
              </w:rPr>
              <w:instrText xml:space="preserve"> PAGEREF _Toc226743139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4A49A5F1" w14:textId="0B81FF13" w:rsidR="0072484A" w:rsidRPr="00020D46" w:rsidRDefault="0072484A">
          <w:pPr>
            <w:pStyle w:val="TOC1"/>
            <w:tabs>
              <w:tab w:val="right" w:leader="dot" w:pos="9016"/>
            </w:tabs>
            <w:rPr>
              <w:rFonts w:asciiTheme="minorHAnsi" w:hAnsiTheme="minorHAnsi"/>
              <w:noProof/>
              <w:sz w:val="24"/>
              <w:szCs w:val="24"/>
              <w:lang w:eastAsia="en-GB"/>
            </w:rPr>
          </w:pPr>
          <w:hyperlink w:anchor="_Toc226743140" w:history="1">
            <w:r w:rsidRPr="00020D46">
              <w:rPr>
                <w:rStyle w:val="Hyperlink"/>
                <w:rFonts w:cs="Arial"/>
                <w:noProof/>
                <w:color w:val="auto"/>
                <w:lang w:bidi="en-GB"/>
              </w:rPr>
              <w:t>CHAPTER 2 – Background Information and Analysis</w:t>
            </w:r>
            <w:r w:rsidRPr="00020D46">
              <w:rPr>
                <w:noProof/>
                <w:webHidden/>
              </w:rPr>
              <w:tab/>
            </w:r>
            <w:r w:rsidRPr="00020D46">
              <w:rPr>
                <w:noProof/>
                <w:webHidden/>
              </w:rPr>
              <w:fldChar w:fldCharType="begin"/>
            </w:r>
            <w:r w:rsidRPr="00020D46">
              <w:rPr>
                <w:noProof/>
                <w:webHidden/>
              </w:rPr>
              <w:instrText xml:space="preserve"> PAGEREF _Toc226743140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066FE625" w14:textId="47D73F1D" w:rsidR="0072484A" w:rsidRPr="00020D46" w:rsidRDefault="0072484A">
          <w:pPr>
            <w:pStyle w:val="TOC1"/>
            <w:tabs>
              <w:tab w:val="right" w:leader="dot" w:pos="9016"/>
            </w:tabs>
            <w:rPr>
              <w:rFonts w:asciiTheme="minorHAnsi" w:hAnsiTheme="minorHAnsi"/>
              <w:noProof/>
              <w:sz w:val="24"/>
              <w:szCs w:val="24"/>
              <w:lang w:eastAsia="en-GB"/>
            </w:rPr>
          </w:pPr>
          <w:hyperlink w:anchor="_Toc226743141" w:history="1">
            <w:r w:rsidRPr="00020D46">
              <w:rPr>
                <w:rStyle w:val="Hyperlink"/>
                <w:noProof/>
                <w:color w:val="auto"/>
                <w:lang w:bidi="en-GB"/>
              </w:rPr>
              <w:t>CHAPTER 3 – Methods and Search Strategy</w:t>
            </w:r>
            <w:r w:rsidRPr="00020D46">
              <w:rPr>
                <w:noProof/>
                <w:webHidden/>
              </w:rPr>
              <w:tab/>
            </w:r>
            <w:r w:rsidRPr="00020D46">
              <w:rPr>
                <w:noProof/>
                <w:webHidden/>
              </w:rPr>
              <w:fldChar w:fldCharType="begin"/>
            </w:r>
            <w:r w:rsidRPr="00020D46">
              <w:rPr>
                <w:noProof/>
                <w:webHidden/>
              </w:rPr>
              <w:instrText xml:space="preserve"> PAGEREF _Toc226743141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0DDCD9E2" w14:textId="7130FEC0" w:rsidR="0072484A" w:rsidRPr="00020D46" w:rsidRDefault="0072484A" w:rsidP="00052C5F">
          <w:pPr>
            <w:pStyle w:val="TOC2"/>
            <w:rPr>
              <w:rFonts w:asciiTheme="minorHAnsi" w:hAnsiTheme="minorHAnsi"/>
              <w:b w:val="0"/>
              <w:bCs w:val="0"/>
              <w:sz w:val="24"/>
              <w:szCs w:val="24"/>
              <w:lang w:eastAsia="en-GB"/>
            </w:rPr>
          </w:pPr>
          <w:hyperlink w:anchor="_Toc226743142" w:history="1">
            <w:r w:rsidRPr="00020D46">
              <w:rPr>
                <w:rStyle w:val="Hyperlink"/>
                <w:b w:val="0"/>
                <w:bCs w:val="0"/>
                <w:color w:val="auto"/>
              </w:rPr>
              <w:t>3.1 – Introduction</w:t>
            </w:r>
            <w:r w:rsidRPr="00020D46">
              <w:rPr>
                <w:b w:val="0"/>
                <w:bCs w:val="0"/>
                <w:webHidden/>
              </w:rPr>
              <w:tab/>
            </w:r>
            <w:r w:rsidRPr="00020D46">
              <w:rPr>
                <w:b w:val="0"/>
                <w:bCs w:val="0"/>
                <w:webHidden/>
              </w:rPr>
              <w:fldChar w:fldCharType="begin"/>
            </w:r>
            <w:r w:rsidRPr="00020D46">
              <w:rPr>
                <w:b w:val="0"/>
                <w:bCs w:val="0"/>
                <w:webHidden/>
              </w:rPr>
              <w:instrText xml:space="preserve"> PAGEREF _Toc226743142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3B657F79" w14:textId="31D139EE" w:rsidR="0072484A" w:rsidRPr="00020D46" w:rsidRDefault="0072484A" w:rsidP="00052C5F">
          <w:pPr>
            <w:pStyle w:val="TOC2"/>
            <w:rPr>
              <w:rFonts w:asciiTheme="minorHAnsi" w:hAnsiTheme="minorHAnsi"/>
              <w:b w:val="0"/>
              <w:bCs w:val="0"/>
              <w:sz w:val="24"/>
              <w:szCs w:val="24"/>
              <w:lang w:eastAsia="en-GB"/>
            </w:rPr>
          </w:pPr>
          <w:hyperlink w:anchor="_Toc226743143" w:history="1">
            <w:r w:rsidRPr="00020D46">
              <w:rPr>
                <w:rStyle w:val="Hyperlink"/>
                <w:b w:val="0"/>
                <w:bCs w:val="0"/>
                <w:color w:val="auto"/>
              </w:rPr>
              <w:t>3.2 – Search Strategy</w:t>
            </w:r>
            <w:r w:rsidRPr="00020D46">
              <w:rPr>
                <w:b w:val="0"/>
                <w:bCs w:val="0"/>
                <w:webHidden/>
              </w:rPr>
              <w:tab/>
            </w:r>
            <w:r w:rsidRPr="00020D46">
              <w:rPr>
                <w:b w:val="0"/>
                <w:bCs w:val="0"/>
                <w:webHidden/>
              </w:rPr>
              <w:fldChar w:fldCharType="begin"/>
            </w:r>
            <w:r w:rsidRPr="00020D46">
              <w:rPr>
                <w:b w:val="0"/>
                <w:bCs w:val="0"/>
                <w:webHidden/>
              </w:rPr>
              <w:instrText xml:space="preserve"> PAGEREF _Toc226743143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3FD8076B" w14:textId="7A7B6351" w:rsidR="0072484A" w:rsidRPr="00020D46" w:rsidRDefault="0072484A" w:rsidP="00052C5F">
          <w:pPr>
            <w:pStyle w:val="TOC2"/>
            <w:rPr>
              <w:rFonts w:asciiTheme="minorHAnsi" w:hAnsiTheme="minorHAnsi"/>
              <w:b w:val="0"/>
              <w:bCs w:val="0"/>
              <w:sz w:val="24"/>
              <w:szCs w:val="24"/>
              <w:lang w:eastAsia="en-GB"/>
            </w:rPr>
          </w:pPr>
          <w:hyperlink w:anchor="_Toc226743145" w:history="1">
            <w:r w:rsidRPr="00020D46">
              <w:rPr>
                <w:rStyle w:val="Hyperlink"/>
                <w:b w:val="0"/>
                <w:bCs w:val="0"/>
                <w:color w:val="auto"/>
              </w:rPr>
              <w:t>3.3– Searching for Information</w:t>
            </w:r>
            <w:r w:rsidRPr="00020D46">
              <w:rPr>
                <w:b w:val="0"/>
                <w:bCs w:val="0"/>
                <w:webHidden/>
              </w:rPr>
              <w:tab/>
            </w:r>
            <w:r w:rsidRPr="00020D46">
              <w:rPr>
                <w:b w:val="0"/>
                <w:bCs w:val="0"/>
                <w:webHidden/>
              </w:rPr>
              <w:fldChar w:fldCharType="begin"/>
            </w:r>
            <w:r w:rsidRPr="00020D46">
              <w:rPr>
                <w:b w:val="0"/>
                <w:bCs w:val="0"/>
                <w:webHidden/>
              </w:rPr>
              <w:instrText xml:space="preserve"> PAGEREF _Toc226743145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5DA17221" w14:textId="67901B26" w:rsidR="0072484A" w:rsidRPr="00020D46" w:rsidRDefault="0072484A" w:rsidP="00052C5F">
          <w:pPr>
            <w:pStyle w:val="TOC2"/>
            <w:rPr>
              <w:rFonts w:asciiTheme="minorHAnsi" w:hAnsiTheme="minorHAnsi"/>
              <w:b w:val="0"/>
              <w:bCs w:val="0"/>
              <w:sz w:val="24"/>
              <w:szCs w:val="24"/>
              <w:lang w:eastAsia="en-GB"/>
            </w:rPr>
          </w:pPr>
          <w:hyperlink w:anchor="_Toc226743146" w:history="1">
            <w:r w:rsidRPr="00020D46">
              <w:rPr>
                <w:rStyle w:val="Hyperlink"/>
                <w:b w:val="0"/>
                <w:bCs w:val="0"/>
                <w:color w:val="auto"/>
              </w:rPr>
              <w:t>3.4- Inclusion and Exclusion Criteria</w:t>
            </w:r>
            <w:r w:rsidRPr="00020D46">
              <w:rPr>
                <w:b w:val="0"/>
                <w:bCs w:val="0"/>
                <w:webHidden/>
              </w:rPr>
              <w:tab/>
            </w:r>
            <w:r w:rsidRPr="00020D46">
              <w:rPr>
                <w:b w:val="0"/>
                <w:bCs w:val="0"/>
                <w:webHidden/>
              </w:rPr>
              <w:fldChar w:fldCharType="begin"/>
            </w:r>
            <w:r w:rsidRPr="00020D46">
              <w:rPr>
                <w:b w:val="0"/>
                <w:bCs w:val="0"/>
                <w:webHidden/>
              </w:rPr>
              <w:instrText xml:space="preserve"> PAGEREF _Toc226743146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15A44929" w14:textId="48472A8A" w:rsidR="0072484A" w:rsidRPr="00020D46" w:rsidRDefault="0072484A" w:rsidP="00052C5F">
          <w:pPr>
            <w:pStyle w:val="TOC2"/>
            <w:rPr>
              <w:rFonts w:asciiTheme="minorHAnsi" w:hAnsiTheme="minorHAnsi"/>
              <w:b w:val="0"/>
              <w:bCs w:val="0"/>
              <w:sz w:val="24"/>
              <w:szCs w:val="24"/>
              <w:lang w:eastAsia="en-GB"/>
            </w:rPr>
          </w:pPr>
          <w:hyperlink w:anchor="_Toc226743147" w:history="1">
            <w:r w:rsidRPr="00020D46">
              <w:rPr>
                <w:rStyle w:val="Hyperlink"/>
                <w:b w:val="0"/>
                <w:bCs w:val="0"/>
                <w:color w:val="auto"/>
              </w:rPr>
              <w:t>3.5– Theoretical Framework and Analytical Lens</w:t>
            </w:r>
            <w:r w:rsidRPr="00020D46">
              <w:rPr>
                <w:b w:val="0"/>
                <w:bCs w:val="0"/>
                <w:webHidden/>
              </w:rPr>
              <w:tab/>
            </w:r>
            <w:r w:rsidRPr="00020D46">
              <w:rPr>
                <w:b w:val="0"/>
                <w:bCs w:val="0"/>
                <w:webHidden/>
              </w:rPr>
              <w:fldChar w:fldCharType="begin"/>
            </w:r>
            <w:r w:rsidRPr="00020D46">
              <w:rPr>
                <w:b w:val="0"/>
                <w:bCs w:val="0"/>
                <w:webHidden/>
              </w:rPr>
              <w:instrText xml:space="preserve"> PAGEREF _Toc226743147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7FA30C1D" w14:textId="50269FD2" w:rsidR="0072484A" w:rsidRPr="00020D46" w:rsidRDefault="0072484A" w:rsidP="00052C5F">
          <w:pPr>
            <w:pStyle w:val="TOC2"/>
            <w:rPr>
              <w:rFonts w:asciiTheme="minorHAnsi" w:hAnsiTheme="minorHAnsi"/>
              <w:b w:val="0"/>
              <w:bCs w:val="0"/>
              <w:sz w:val="24"/>
              <w:szCs w:val="24"/>
              <w:lang w:eastAsia="en-GB"/>
            </w:rPr>
          </w:pPr>
          <w:hyperlink w:anchor="_Toc226743148" w:history="1">
            <w:r w:rsidRPr="00020D46">
              <w:rPr>
                <w:rStyle w:val="Hyperlink"/>
                <w:b w:val="0"/>
                <w:bCs w:val="0"/>
                <w:color w:val="auto"/>
              </w:rPr>
              <w:t>3.6– Ethical Considerations</w:t>
            </w:r>
            <w:r w:rsidRPr="00020D46">
              <w:rPr>
                <w:b w:val="0"/>
                <w:bCs w:val="0"/>
                <w:webHidden/>
              </w:rPr>
              <w:tab/>
            </w:r>
            <w:r w:rsidRPr="00020D46">
              <w:rPr>
                <w:b w:val="0"/>
                <w:bCs w:val="0"/>
                <w:webHidden/>
              </w:rPr>
              <w:fldChar w:fldCharType="begin"/>
            </w:r>
            <w:r w:rsidRPr="00020D46">
              <w:rPr>
                <w:b w:val="0"/>
                <w:bCs w:val="0"/>
                <w:webHidden/>
              </w:rPr>
              <w:instrText xml:space="preserve"> PAGEREF _Toc226743148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2D14BD0E" w14:textId="6E6FA1B4" w:rsidR="0072484A" w:rsidRPr="00020D46" w:rsidRDefault="0072484A" w:rsidP="00052C5F">
          <w:pPr>
            <w:pStyle w:val="TOC2"/>
            <w:rPr>
              <w:rFonts w:asciiTheme="minorHAnsi" w:hAnsiTheme="minorHAnsi"/>
              <w:b w:val="0"/>
              <w:bCs w:val="0"/>
              <w:sz w:val="24"/>
              <w:szCs w:val="24"/>
              <w:lang w:eastAsia="en-GB"/>
            </w:rPr>
          </w:pPr>
          <w:hyperlink w:anchor="_Toc226743150" w:history="1">
            <w:r w:rsidRPr="00020D46">
              <w:rPr>
                <w:rStyle w:val="Hyperlink"/>
                <w:b w:val="0"/>
                <w:bCs w:val="0"/>
                <w:color w:val="auto"/>
              </w:rPr>
              <w:t>3.8 – Chapter Conclusion</w:t>
            </w:r>
            <w:r w:rsidRPr="00020D46">
              <w:rPr>
                <w:b w:val="0"/>
                <w:bCs w:val="0"/>
                <w:webHidden/>
              </w:rPr>
              <w:tab/>
            </w:r>
            <w:r w:rsidRPr="00020D46">
              <w:rPr>
                <w:b w:val="0"/>
                <w:bCs w:val="0"/>
                <w:webHidden/>
              </w:rPr>
              <w:fldChar w:fldCharType="begin"/>
            </w:r>
            <w:r w:rsidRPr="00020D46">
              <w:rPr>
                <w:b w:val="0"/>
                <w:bCs w:val="0"/>
                <w:webHidden/>
              </w:rPr>
              <w:instrText xml:space="preserve"> PAGEREF _Toc226743150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0FA59A21" w14:textId="1BDBA7D3" w:rsidR="0072484A" w:rsidRPr="00020D46" w:rsidRDefault="0072484A">
          <w:pPr>
            <w:pStyle w:val="TOC1"/>
            <w:tabs>
              <w:tab w:val="right" w:leader="dot" w:pos="9016"/>
            </w:tabs>
            <w:rPr>
              <w:rFonts w:asciiTheme="minorHAnsi" w:hAnsiTheme="minorHAnsi"/>
              <w:noProof/>
              <w:sz w:val="24"/>
              <w:szCs w:val="24"/>
              <w:lang w:eastAsia="en-GB"/>
            </w:rPr>
          </w:pPr>
          <w:hyperlink w:anchor="_Toc226743151" w:history="1">
            <w:r w:rsidRPr="00020D46">
              <w:rPr>
                <w:rStyle w:val="Hyperlink"/>
                <w:noProof/>
                <w:color w:val="auto"/>
                <w:lang w:bidi="en-GB"/>
              </w:rPr>
              <w:t>CHAPTER 4 – Findings and Discussion</w:t>
            </w:r>
            <w:r w:rsidRPr="00020D46">
              <w:rPr>
                <w:noProof/>
                <w:webHidden/>
              </w:rPr>
              <w:tab/>
            </w:r>
            <w:r w:rsidRPr="00020D46">
              <w:rPr>
                <w:noProof/>
                <w:webHidden/>
              </w:rPr>
              <w:fldChar w:fldCharType="begin"/>
            </w:r>
            <w:r w:rsidRPr="00020D46">
              <w:rPr>
                <w:noProof/>
                <w:webHidden/>
              </w:rPr>
              <w:instrText xml:space="preserve"> PAGEREF _Toc226743151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195146FC" w14:textId="364933B7" w:rsidR="0072484A" w:rsidRPr="00020D46" w:rsidRDefault="0072484A" w:rsidP="00052C5F">
          <w:pPr>
            <w:pStyle w:val="TOC2"/>
            <w:rPr>
              <w:rFonts w:asciiTheme="minorHAnsi" w:hAnsiTheme="minorHAnsi"/>
              <w:b w:val="0"/>
              <w:bCs w:val="0"/>
              <w:sz w:val="24"/>
              <w:szCs w:val="24"/>
              <w:lang w:eastAsia="en-GB"/>
            </w:rPr>
          </w:pPr>
          <w:hyperlink w:anchor="_Toc226743152" w:history="1">
            <w:r w:rsidRPr="00020D46">
              <w:rPr>
                <w:rStyle w:val="Hyperlink"/>
                <w:b w:val="0"/>
                <w:bCs w:val="0"/>
                <w:color w:val="auto"/>
              </w:rPr>
              <w:t>4.1 – Introduction</w:t>
            </w:r>
            <w:r w:rsidRPr="00020D46">
              <w:rPr>
                <w:b w:val="0"/>
                <w:bCs w:val="0"/>
                <w:webHidden/>
              </w:rPr>
              <w:tab/>
            </w:r>
            <w:r w:rsidRPr="00020D46">
              <w:rPr>
                <w:b w:val="0"/>
                <w:bCs w:val="0"/>
                <w:webHidden/>
              </w:rPr>
              <w:fldChar w:fldCharType="begin"/>
            </w:r>
            <w:r w:rsidRPr="00020D46">
              <w:rPr>
                <w:b w:val="0"/>
                <w:bCs w:val="0"/>
                <w:webHidden/>
              </w:rPr>
              <w:instrText xml:space="preserve"> PAGEREF _Toc226743152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201C1A2D" w14:textId="7D29895A" w:rsidR="0072484A" w:rsidRPr="00020D46" w:rsidRDefault="0072484A" w:rsidP="00052C5F">
          <w:pPr>
            <w:pStyle w:val="TOC2"/>
            <w:rPr>
              <w:rFonts w:asciiTheme="minorHAnsi" w:hAnsiTheme="minorHAnsi"/>
              <w:b w:val="0"/>
              <w:bCs w:val="0"/>
              <w:sz w:val="24"/>
              <w:szCs w:val="24"/>
              <w:lang w:eastAsia="en-GB"/>
            </w:rPr>
          </w:pPr>
          <w:hyperlink w:anchor="_Toc226743161" w:history="1">
            <w:r w:rsidRPr="00020D46">
              <w:rPr>
                <w:rStyle w:val="Hyperlink"/>
                <w:b w:val="0"/>
                <w:bCs w:val="0"/>
                <w:color w:val="auto"/>
              </w:rPr>
              <w:t>Thematic Analysis:</w:t>
            </w:r>
            <w:r w:rsidRPr="00020D46">
              <w:rPr>
                <w:b w:val="0"/>
                <w:bCs w:val="0"/>
                <w:webHidden/>
              </w:rPr>
              <w:tab/>
            </w:r>
            <w:r w:rsidRPr="00020D46">
              <w:rPr>
                <w:b w:val="0"/>
                <w:bCs w:val="0"/>
                <w:webHidden/>
              </w:rPr>
              <w:fldChar w:fldCharType="begin"/>
            </w:r>
            <w:r w:rsidRPr="00020D46">
              <w:rPr>
                <w:b w:val="0"/>
                <w:bCs w:val="0"/>
                <w:webHidden/>
              </w:rPr>
              <w:instrText xml:space="preserve"> PAGEREF _Toc226743161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319ACC6D" w14:textId="00F33400" w:rsidR="0072484A" w:rsidRPr="00020D46" w:rsidRDefault="0072484A" w:rsidP="00052C5F">
          <w:pPr>
            <w:pStyle w:val="TOC2"/>
            <w:rPr>
              <w:rFonts w:asciiTheme="minorHAnsi" w:hAnsiTheme="minorHAnsi"/>
              <w:b w:val="0"/>
              <w:bCs w:val="0"/>
              <w:sz w:val="24"/>
              <w:szCs w:val="24"/>
              <w:lang w:eastAsia="en-GB"/>
            </w:rPr>
          </w:pPr>
          <w:hyperlink w:anchor="_Toc226743162" w:history="1">
            <w:r w:rsidRPr="00020D46">
              <w:rPr>
                <w:rStyle w:val="Hyperlink"/>
                <w:b w:val="0"/>
                <w:bCs w:val="0"/>
                <w:color w:val="auto"/>
              </w:rPr>
              <w:t>4.3 – Theme 1 (</w:t>
            </w:r>
            <w:r w:rsidRPr="00020D46">
              <w:rPr>
                <w:rStyle w:val="Hyperlink"/>
                <w:b w:val="0"/>
                <w:bCs w:val="0"/>
                <w:color w:val="auto"/>
                <w:highlight w:val="cyan"/>
              </w:rPr>
              <w:t>Socio-Cultural Beliefs and Individual Decision Making</w:t>
            </w:r>
            <w:r w:rsidRPr="00020D46">
              <w:rPr>
                <w:rStyle w:val="Hyperlink"/>
                <w:b w:val="0"/>
                <w:bCs w:val="0"/>
                <w:color w:val="auto"/>
              </w:rPr>
              <w:t>)</w:t>
            </w:r>
            <w:r w:rsidRPr="00020D46">
              <w:rPr>
                <w:b w:val="0"/>
                <w:bCs w:val="0"/>
                <w:webHidden/>
              </w:rPr>
              <w:tab/>
            </w:r>
            <w:r w:rsidRPr="00020D46">
              <w:rPr>
                <w:b w:val="0"/>
                <w:bCs w:val="0"/>
                <w:webHidden/>
              </w:rPr>
              <w:fldChar w:fldCharType="begin"/>
            </w:r>
            <w:r w:rsidRPr="00020D46">
              <w:rPr>
                <w:b w:val="0"/>
                <w:bCs w:val="0"/>
                <w:webHidden/>
              </w:rPr>
              <w:instrText xml:space="preserve"> PAGEREF _Toc226743162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1AA13DF4" w14:textId="403157D7" w:rsidR="0072484A" w:rsidRPr="00020D46" w:rsidRDefault="0072484A" w:rsidP="00052C5F">
          <w:pPr>
            <w:pStyle w:val="TOC2"/>
            <w:rPr>
              <w:b w:val="0"/>
              <w:bCs w:val="0"/>
            </w:rPr>
          </w:pPr>
          <w:hyperlink w:anchor="_Toc226743164" w:history="1">
            <w:r w:rsidRPr="00020D46">
              <w:rPr>
                <w:rStyle w:val="Hyperlink"/>
                <w:b w:val="0"/>
                <w:bCs w:val="0"/>
                <w:color w:val="auto"/>
              </w:rPr>
              <w:t>4.4 –Theme 2 (</w:t>
            </w:r>
            <w:r w:rsidRPr="00020D46">
              <w:rPr>
                <w:rStyle w:val="Hyperlink"/>
                <w:b w:val="0"/>
                <w:bCs w:val="0"/>
                <w:color w:val="auto"/>
                <w:highlight w:val="yellow"/>
              </w:rPr>
              <w:t>Intersectional Barriers and Intersectional Identities</w:t>
            </w:r>
            <w:r w:rsidRPr="00020D46">
              <w:rPr>
                <w:rStyle w:val="Hyperlink"/>
                <w:b w:val="0"/>
                <w:bCs w:val="0"/>
                <w:color w:val="auto"/>
              </w:rPr>
              <w:t>)</w:t>
            </w:r>
            <w:r w:rsidRPr="00020D46">
              <w:rPr>
                <w:b w:val="0"/>
                <w:bCs w:val="0"/>
                <w:webHidden/>
              </w:rPr>
              <w:tab/>
            </w:r>
            <w:r w:rsidRPr="00020D46">
              <w:rPr>
                <w:b w:val="0"/>
                <w:bCs w:val="0"/>
                <w:webHidden/>
              </w:rPr>
              <w:fldChar w:fldCharType="begin"/>
            </w:r>
            <w:r w:rsidRPr="00020D46">
              <w:rPr>
                <w:b w:val="0"/>
                <w:bCs w:val="0"/>
                <w:webHidden/>
              </w:rPr>
              <w:instrText xml:space="preserve"> PAGEREF _Toc226743164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5EC4711D" w14:textId="7DC28F71" w:rsidR="006B7D11" w:rsidRPr="00020D46" w:rsidRDefault="003B3AC9" w:rsidP="006B7D11">
          <w:pPr>
            <w:rPr>
              <w:noProof/>
            </w:rPr>
          </w:pPr>
          <w:r w:rsidRPr="00020D46">
            <w:rPr>
              <w:noProof/>
            </w:rPr>
            <w:t>4.5</w:t>
          </w:r>
          <w:r w:rsidR="00D03CC4" w:rsidRPr="00020D46">
            <w:rPr>
              <w:noProof/>
            </w:rPr>
            <w:t>–</w:t>
          </w:r>
          <w:r w:rsidR="00D03CC4" w:rsidRPr="00020D46">
            <w:rPr>
              <w:rFonts w:ascii="Arial" w:hAnsi="Arial" w:cs="Arial"/>
              <w:noProof/>
            </w:rPr>
            <w:t>Them</w:t>
          </w:r>
          <w:r w:rsidR="009B7FDF" w:rsidRPr="00020D46">
            <w:rPr>
              <w:rFonts w:ascii="Arial" w:hAnsi="Arial" w:cs="Arial"/>
              <w:noProof/>
            </w:rPr>
            <w:t>e</w:t>
          </w:r>
          <w:r w:rsidR="009D50BD" w:rsidRPr="00020D46">
            <w:rPr>
              <w:rFonts w:ascii="Arial" w:hAnsi="Arial" w:cs="Arial"/>
              <w:noProof/>
              <w:sz w:val="24"/>
              <w:szCs w:val="24"/>
            </w:rPr>
            <w:t xml:space="preserve"> </w:t>
          </w:r>
          <w:r w:rsidR="00EE3B14" w:rsidRPr="00020D46">
            <w:rPr>
              <w:rFonts w:ascii="Arial" w:hAnsi="Arial" w:cs="Arial"/>
              <w:noProof/>
              <w:sz w:val="24"/>
              <w:szCs w:val="24"/>
            </w:rPr>
            <w:t xml:space="preserve"> </w:t>
          </w:r>
          <w:r w:rsidR="00A945C6" w:rsidRPr="00020D46">
            <w:rPr>
              <w:rFonts w:ascii="Arial" w:hAnsi="Arial" w:cs="Arial"/>
              <w:noProof/>
              <w:sz w:val="24"/>
              <w:szCs w:val="24"/>
            </w:rPr>
            <w:t xml:space="preserve">3 </w:t>
          </w:r>
          <w:r w:rsidR="00956656" w:rsidRPr="00020D46">
            <w:rPr>
              <w:rFonts w:ascii="Arial" w:hAnsi="Arial" w:cs="Arial"/>
              <w:noProof/>
              <w:sz w:val="24"/>
              <w:szCs w:val="24"/>
            </w:rPr>
            <w:t>(</w:t>
          </w:r>
          <w:r w:rsidR="00A945C6" w:rsidRPr="00020D46">
            <w:rPr>
              <w:rFonts w:ascii="Arial" w:hAnsi="Arial" w:cs="Arial"/>
              <w:noProof/>
              <w:highlight w:val="green"/>
            </w:rPr>
            <w:t>Institutional</w:t>
          </w:r>
          <w:r w:rsidR="00F963F0" w:rsidRPr="00020D46">
            <w:rPr>
              <w:rFonts w:ascii="Arial" w:hAnsi="Arial" w:cs="Arial"/>
              <w:noProof/>
              <w:highlight w:val="green"/>
            </w:rPr>
            <w:t xml:space="preserve"> Transformation</w:t>
          </w:r>
          <w:r w:rsidR="002A23DB" w:rsidRPr="00020D46">
            <w:rPr>
              <w:rFonts w:ascii="Arial" w:hAnsi="Arial" w:cs="Arial"/>
              <w:noProof/>
              <w:highlight w:val="green"/>
            </w:rPr>
            <w:t xml:space="preserve"> </w:t>
          </w:r>
          <w:r w:rsidR="00C26221" w:rsidRPr="00020D46">
            <w:rPr>
              <w:rFonts w:ascii="Arial" w:hAnsi="Arial" w:cs="Arial"/>
              <w:noProof/>
              <w:highlight w:val="green"/>
            </w:rPr>
            <w:t>and Structural Equity</w:t>
          </w:r>
          <w:r w:rsidR="00956656" w:rsidRPr="00020D46">
            <w:rPr>
              <w:rFonts w:ascii="Arial" w:hAnsi="Arial" w:cs="Arial"/>
              <w:noProof/>
            </w:rPr>
            <w:t>)</w:t>
          </w:r>
          <w:r w:rsidR="009D1513" w:rsidRPr="00020D46">
            <w:rPr>
              <w:rFonts w:ascii="Arial" w:hAnsi="Arial" w:cs="Arial"/>
              <w:noProof/>
            </w:rPr>
            <w:t>…………………</w:t>
          </w:r>
          <w:r w:rsidR="00EE3B14" w:rsidRPr="00020D46">
            <w:rPr>
              <w:rFonts w:ascii="Arial" w:hAnsi="Arial" w:cs="Arial"/>
              <w:noProof/>
            </w:rPr>
            <w:t>………….</w:t>
          </w:r>
          <w:r w:rsidR="009D1513" w:rsidRPr="00020D46">
            <w:rPr>
              <w:rFonts w:ascii="Arial" w:hAnsi="Arial" w:cs="Arial"/>
              <w:noProof/>
            </w:rPr>
            <w:t>44</w:t>
          </w:r>
          <w:r w:rsidR="00A945C6" w:rsidRPr="00020D46">
            <w:rPr>
              <w:rFonts w:ascii="Arial" w:hAnsi="Arial" w:cs="Arial"/>
              <w:noProof/>
            </w:rPr>
            <w:t xml:space="preserve"> </w:t>
          </w:r>
          <w:r w:rsidR="00A945C6" w:rsidRPr="00020D46">
            <w:rPr>
              <w:rFonts w:ascii="Arial" w:hAnsi="Arial" w:cs="Arial"/>
              <w:noProof/>
              <w:sz w:val="24"/>
              <w:szCs w:val="24"/>
            </w:rPr>
            <w:t xml:space="preserve">                                       </w:t>
          </w:r>
        </w:p>
        <w:p w14:paraId="4238037E" w14:textId="1570BFCC" w:rsidR="0072484A" w:rsidRPr="00020D46" w:rsidRDefault="0072484A" w:rsidP="00052C5F">
          <w:pPr>
            <w:pStyle w:val="TOC2"/>
            <w:rPr>
              <w:rFonts w:asciiTheme="minorHAnsi" w:hAnsiTheme="minorHAnsi"/>
              <w:b w:val="0"/>
              <w:bCs w:val="0"/>
              <w:sz w:val="24"/>
              <w:szCs w:val="24"/>
              <w:lang w:eastAsia="en-GB"/>
            </w:rPr>
          </w:pPr>
          <w:hyperlink w:anchor="_Toc226743166" w:history="1">
            <w:r w:rsidRPr="00020D46">
              <w:rPr>
                <w:rStyle w:val="Hyperlink"/>
                <w:b w:val="0"/>
                <w:bCs w:val="0"/>
                <w:color w:val="auto"/>
              </w:rPr>
              <w:t>4.6 – Chapter Conclusion</w:t>
            </w:r>
            <w:r w:rsidRPr="00020D46">
              <w:rPr>
                <w:b w:val="0"/>
                <w:bCs w:val="0"/>
                <w:webHidden/>
              </w:rPr>
              <w:tab/>
            </w:r>
            <w:r w:rsidRPr="00020D46">
              <w:rPr>
                <w:b w:val="0"/>
                <w:bCs w:val="0"/>
                <w:webHidden/>
              </w:rPr>
              <w:fldChar w:fldCharType="begin"/>
            </w:r>
            <w:r w:rsidRPr="00020D46">
              <w:rPr>
                <w:b w:val="0"/>
                <w:bCs w:val="0"/>
                <w:webHidden/>
              </w:rPr>
              <w:instrText xml:space="preserve"> PAGEREF _Toc226743166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79EAD049" w14:textId="1D7CE3F4" w:rsidR="0072484A" w:rsidRPr="00020D46" w:rsidRDefault="0072484A">
          <w:pPr>
            <w:pStyle w:val="TOC1"/>
            <w:tabs>
              <w:tab w:val="right" w:leader="dot" w:pos="9016"/>
            </w:tabs>
            <w:rPr>
              <w:rFonts w:asciiTheme="minorHAnsi" w:hAnsiTheme="minorHAnsi"/>
              <w:noProof/>
              <w:sz w:val="24"/>
              <w:szCs w:val="24"/>
              <w:lang w:eastAsia="en-GB"/>
            </w:rPr>
          </w:pPr>
          <w:hyperlink w:anchor="_Toc226743167" w:history="1">
            <w:r w:rsidRPr="00020D46">
              <w:rPr>
                <w:rStyle w:val="Hyperlink"/>
                <w:rFonts w:cs="Arial"/>
                <w:noProof/>
                <w:color w:val="auto"/>
                <w:lang w:bidi="en-GB"/>
              </w:rPr>
              <w:t>CHAPTER 5 – Conclusion and Recommendations</w:t>
            </w:r>
            <w:r w:rsidRPr="00020D46">
              <w:rPr>
                <w:noProof/>
                <w:webHidden/>
              </w:rPr>
              <w:tab/>
            </w:r>
            <w:r w:rsidRPr="00020D46">
              <w:rPr>
                <w:noProof/>
                <w:webHidden/>
              </w:rPr>
              <w:fldChar w:fldCharType="begin"/>
            </w:r>
            <w:r w:rsidRPr="00020D46">
              <w:rPr>
                <w:noProof/>
                <w:webHidden/>
              </w:rPr>
              <w:instrText xml:space="preserve"> PAGEREF _Toc226743167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404586B7" w14:textId="5104FE27" w:rsidR="0072484A" w:rsidRPr="00020D46" w:rsidRDefault="0072484A" w:rsidP="00052C5F">
          <w:pPr>
            <w:pStyle w:val="TOC2"/>
            <w:rPr>
              <w:rFonts w:asciiTheme="minorHAnsi" w:hAnsiTheme="minorHAnsi"/>
              <w:b w:val="0"/>
              <w:bCs w:val="0"/>
              <w:sz w:val="24"/>
              <w:szCs w:val="24"/>
              <w:lang w:eastAsia="en-GB"/>
            </w:rPr>
          </w:pPr>
          <w:hyperlink w:anchor="_Toc226743168" w:history="1">
            <w:r w:rsidRPr="00020D46">
              <w:rPr>
                <w:rStyle w:val="Hyperlink"/>
                <w:b w:val="0"/>
                <w:bCs w:val="0"/>
                <w:color w:val="auto"/>
              </w:rPr>
              <w:t>5.1 – Overall Conclusion</w:t>
            </w:r>
            <w:r w:rsidRPr="00020D46">
              <w:rPr>
                <w:b w:val="0"/>
                <w:bCs w:val="0"/>
                <w:webHidden/>
              </w:rPr>
              <w:tab/>
            </w:r>
            <w:r w:rsidRPr="00020D46">
              <w:rPr>
                <w:b w:val="0"/>
                <w:bCs w:val="0"/>
                <w:webHidden/>
              </w:rPr>
              <w:fldChar w:fldCharType="begin"/>
            </w:r>
            <w:r w:rsidRPr="00020D46">
              <w:rPr>
                <w:b w:val="0"/>
                <w:bCs w:val="0"/>
                <w:webHidden/>
              </w:rPr>
              <w:instrText xml:space="preserve"> PAGEREF _Toc226743168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464E009C" w14:textId="7E83EFD7" w:rsidR="0072484A" w:rsidRPr="00020D46" w:rsidRDefault="0072484A" w:rsidP="00052C5F">
          <w:pPr>
            <w:pStyle w:val="TOC2"/>
            <w:rPr>
              <w:rFonts w:asciiTheme="minorHAnsi" w:hAnsiTheme="minorHAnsi"/>
              <w:sz w:val="24"/>
              <w:szCs w:val="24"/>
              <w:lang w:eastAsia="en-GB"/>
            </w:rPr>
          </w:pPr>
          <w:hyperlink w:anchor="_Toc226743169" w:history="1">
            <w:r w:rsidRPr="00020D46">
              <w:rPr>
                <w:rStyle w:val="Hyperlink"/>
                <w:b w:val="0"/>
                <w:bCs w:val="0"/>
                <w:color w:val="auto"/>
              </w:rPr>
              <w:t>5.2 – Recommendations</w:t>
            </w:r>
            <w:r w:rsidRPr="00020D46">
              <w:rPr>
                <w:b w:val="0"/>
                <w:bCs w:val="0"/>
                <w:webHidden/>
              </w:rPr>
              <w:tab/>
            </w:r>
            <w:r w:rsidRPr="00020D46">
              <w:rPr>
                <w:b w:val="0"/>
                <w:bCs w:val="0"/>
                <w:webHidden/>
              </w:rPr>
              <w:fldChar w:fldCharType="begin"/>
            </w:r>
            <w:r w:rsidRPr="00020D46">
              <w:rPr>
                <w:b w:val="0"/>
                <w:bCs w:val="0"/>
                <w:webHidden/>
              </w:rPr>
              <w:instrText xml:space="preserve"> PAGEREF _Toc226743169 \h </w:instrText>
            </w:r>
            <w:r w:rsidRPr="00020D46">
              <w:rPr>
                <w:b w:val="0"/>
                <w:bCs w:val="0"/>
                <w:webHidden/>
              </w:rPr>
            </w:r>
            <w:r w:rsidRPr="00020D46">
              <w:rPr>
                <w:b w:val="0"/>
                <w:bCs w:val="0"/>
                <w:webHidden/>
              </w:rPr>
              <w:fldChar w:fldCharType="separate"/>
            </w:r>
            <w:r w:rsidR="00020D46">
              <w:rPr>
                <w:b w:val="0"/>
                <w:bCs w:val="0"/>
                <w:webHidden/>
              </w:rPr>
              <w:t>1</w:t>
            </w:r>
            <w:r w:rsidRPr="00020D46">
              <w:rPr>
                <w:b w:val="0"/>
                <w:bCs w:val="0"/>
                <w:webHidden/>
              </w:rPr>
              <w:fldChar w:fldCharType="end"/>
            </w:r>
          </w:hyperlink>
        </w:p>
        <w:p w14:paraId="397A2A41" w14:textId="03136F1B" w:rsidR="0072484A" w:rsidRPr="00020D46" w:rsidRDefault="0072484A">
          <w:pPr>
            <w:pStyle w:val="TOC1"/>
            <w:tabs>
              <w:tab w:val="right" w:leader="dot" w:pos="9016"/>
            </w:tabs>
            <w:rPr>
              <w:rFonts w:asciiTheme="minorHAnsi" w:hAnsiTheme="minorHAnsi"/>
              <w:noProof/>
              <w:sz w:val="24"/>
              <w:szCs w:val="24"/>
              <w:lang w:eastAsia="en-GB"/>
            </w:rPr>
          </w:pPr>
          <w:hyperlink w:anchor="_Toc226743170" w:history="1">
            <w:r w:rsidRPr="00020D46">
              <w:rPr>
                <w:rStyle w:val="Hyperlink"/>
                <w:rFonts w:cs="Arial"/>
                <w:noProof/>
                <w:color w:val="auto"/>
                <w:lang w:bidi="en-GB"/>
              </w:rPr>
              <w:t>5.2.1 – Recommendation 1</w:t>
            </w:r>
            <w:r w:rsidRPr="00020D46">
              <w:rPr>
                <w:noProof/>
                <w:webHidden/>
              </w:rPr>
              <w:tab/>
            </w:r>
            <w:r w:rsidRPr="00020D46">
              <w:rPr>
                <w:noProof/>
                <w:webHidden/>
              </w:rPr>
              <w:fldChar w:fldCharType="begin"/>
            </w:r>
            <w:r w:rsidRPr="00020D46">
              <w:rPr>
                <w:noProof/>
                <w:webHidden/>
              </w:rPr>
              <w:instrText xml:space="preserve"> PAGEREF _Toc226743170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16CA3F34" w14:textId="07395350" w:rsidR="0072484A" w:rsidRPr="00020D46" w:rsidRDefault="0072484A">
          <w:pPr>
            <w:pStyle w:val="TOC1"/>
            <w:tabs>
              <w:tab w:val="right" w:leader="dot" w:pos="9016"/>
            </w:tabs>
            <w:rPr>
              <w:rFonts w:asciiTheme="minorHAnsi" w:hAnsiTheme="minorHAnsi"/>
              <w:noProof/>
              <w:sz w:val="24"/>
              <w:szCs w:val="24"/>
              <w:lang w:eastAsia="en-GB"/>
            </w:rPr>
          </w:pPr>
          <w:hyperlink w:anchor="_Toc226743184" w:history="1">
            <w:r w:rsidRPr="00020D46">
              <w:rPr>
                <w:rStyle w:val="Hyperlink"/>
                <w:rFonts w:cs="Arial"/>
                <w:noProof/>
                <w:color w:val="auto"/>
                <w:lang w:bidi="en-GB"/>
              </w:rPr>
              <w:t>5.2.2 – Recommendation 2</w:t>
            </w:r>
            <w:r w:rsidRPr="00020D46">
              <w:rPr>
                <w:noProof/>
                <w:webHidden/>
              </w:rPr>
              <w:tab/>
            </w:r>
            <w:r w:rsidRPr="00020D46">
              <w:rPr>
                <w:noProof/>
                <w:webHidden/>
              </w:rPr>
              <w:fldChar w:fldCharType="begin"/>
            </w:r>
            <w:r w:rsidRPr="00020D46">
              <w:rPr>
                <w:noProof/>
                <w:webHidden/>
              </w:rPr>
              <w:instrText xml:space="preserve"> PAGEREF _Toc226743184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12EC1B2F" w14:textId="3C51D64F" w:rsidR="0072484A" w:rsidRPr="00020D46" w:rsidRDefault="0072484A">
          <w:pPr>
            <w:pStyle w:val="TOC1"/>
            <w:tabs>
              <w:tab w:val="right" w:leader="dot" w:pos="9016"/>
            </w:tabs>
            <w:rPr>
              <w:rFonts w:asciiTheme="minorHAnsi" w:hAnsiTheme="minorHAnsi"/>
              <w:noProof/>
              <w:sz w:val="24"/>
              <w:szCs w:val="24"/>
              <w:lang w:eastAsia="en-GB"/>
            </w:rPr>
          </w:pPr>
          <w:hyperlink w:anchor="_Toc226743196" w:history="1">
            <w:r w:rsidRPr="00020D46">
              <w:rPr>
                <w:rStyle w:val="Hyperlink"/>
                <w:rFonts w:cs="Arial"/>
                <w:noProof/>
                <w:color w:val="auto"/>
                <w:lang w:bidi="en-GB"/>
              </w:rPr>
              <w:t>5.2.3 – Recommendation 3</w:t>
            </w:r>
            <w:r w:rsidRPr="00020D46">
              <w:rPr>
                <w:noProof/>
                <w:webHidden/>
              </w:rPr>
              <w:tab/>
            </w:r>
            <w:r w:rsidRPr="00020D46">
              <w:rPr>
                <w:noProof/>
                <w:webHidden/>
              </w:rPr>
              <w:fldChar w:fldCharType="begin"/>
            </w:r>
            <w:r w:rsidRPr="00020D46">
              <w:rPr>
                <w:noProof/>
                <w:webHidden/>
              </w:rPr>
              <w:instrText xml:space="preserve"> PAGEREF _Toc226743196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1C600434" w14:textId="2B8B3E08" w:rsidR="0072484A" w:rsidRPr="00020D46" w:rsidRDefault="0072484A">
          <w:pPr>
            <w:pStyle w:val="TOC1"/>
            <w:tabs>
              <w:tab w:val="right" w:leader="dot" w:pos="9016"/>
            </w:tabs>
            <w:rPr>
              <w:rFonts w:asciiTheme="minorHAnsi" w:hAnsiTheme="minorHAnsi"/>
              <w:noProof/>
              <w:sz w:val="24"/>
              <w:szCs w:val="24"/>
              <w:lang w:eastAsia="en-GB"/>
            </w:rPr>
          </w:pPr>
          <w:hyperlink w:anchor="_Toc226743209" w:history="1">
            <w:r w:rsidRPr="00020D46">
              <w:rPr>
                <w:rStyle w:val="Hyperlink"/>
                <w:rFonts w:cs="Arial"/>
                <w:noProof/>
                <w:color w:val="auto"/>
                <w:lang w:bidi="en-GB"/>
              </w:rPr>
              <w:t>CHAPTER 6 – References and Appendices</w:t>
            </w:r>
            <w:r w:rsidRPr="00020D46">
              <w:rPr>
                <w:noProof/>
                <w:webHidden/>
              </w:rPr>
              <w:tab/>
            </w:r>
            <w:r w:rsidRPr="00020D46">
              <w:rPr>
                <w:noProof/>
                <w:webHidden/>
              </w:rPr>
              <w:fldChar w:fldCharType="begin"/>
            </w:r>
            <w:r w:rsidRPr="00020D46">
              <w:rPr>
                <w:noProof/>
                <w:webHidden/>
              </w:rPr>
              <w:instrText xml:space="preserve"> PAGEREF _Toc226743209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2A8E045A" w14:textId="0569410A" w:rsidR="0072484A" w:rsidRPr="00020D46" w:rsidRDefault="0072484A">
          <w:pPr>
            <w:pStyle w:val="TOC1"/>
            <w:tabs>
              <w:tab w:val="right" w:leader="dot" w:pos="9016"/>
            </w:tabs>
            <w:rPr>
              <w:rFonts w:asciiTheme="minorHAnsi" w:hAnsiTheme="minorHAnsi"/>
              <w:noProof/>
              <w:sz w:val="24"/>
              <w:szCs w:val="24"/>
              <w:lang w:eastAsia="en-GB"/>
            </w:rPr>
          </w:pPr>
          <w:hyperlink w:anchor="_Toc226743210" w:history="1">
            <w:r w:rsidRPr="00020D46">
              <w:rPr>
                <w:rStyle w:val="Hyperlink"/>
                <w:rFonts w:cs="Arial"/>
                <w:noProof/>
                <w:color w:val="auto"/>
                <w:lang w:bidi="en-GB"/>
              </w:rPr>
              <w:t>6.1 – References</w:t>
            </w:r>
            <w:r w:rsidRPr="00020D46">
              <w:rPr>
                <w:noProof/>
                <w:webHidden/>
              </w:rPr>
              <w:tab/>
            </w:r>
            <w:r w:rsidRPr="00020D46">
              <w:rPr>
                <w:noProof/>
                <w:webHidden/>
              </w:rPr>
              <w:fldChar w:fldCharType="begin"/>
            </w:r>
            <w:r w:rsidRPr="00020D46">
              <w:rPr>
                <w:noProof/>
                <w:webHidden/>
              </w:rPr>
              <w:instrText xml:space="preserve"> PAGEREF _Toc226743210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2549B2C9" w14:textId="2F28AA9A" w:rsidR="0072484A" w:rsidRPr="00020D46" w:rsidRDefault="0072484A">
          <w:pPr>
            <w:pStyle w:val="TOC1"/>
            <w:tabs>
              <w:tab w:val="right" w:leader="dot" w:pos="9016"/>
            </w:tabs>
            <w:rPr>
              <w:rFonts w:asciiTheme="minorHAnsi" w:hAnsiTheme="minorHAnsi"/>
              <w:noProof/>
              <w:sz w:val="24"/>
              <w:szCs w:val="24"/>
              <w:lang w:eastAsia="en-GB"/>
            </w:rPr>
          </w:pPr>
          <w:hyperlink w:anchor="_Toc226743211" w:history="1">
            <w:r w:rsidRPr="00020D46">
              <w:rPr>
                <w:rStyle w:val="Hyperlink"/>
                <w:noProof/>
                <w:color w:val="auto"/>
                <w:lang w:bidi="en-GB"/>
              </w:rPr>
              <w:t>6.2 – Appendices</w:t>
            </w:r>
            <w:r w:rsidRPr="00020D46">
              <w:rPr>
                <w:noProof/>
                <w:webHidden/>
              </w:rPr>
              <w:tab/>
            </w:r>
            <w:r w:rsidRPr="00020D46">
              <w:rPr>
                <w:noProof/>
                <w:webHidden/>
              </w:rPr>
              <w:fldChar w:fldCharType="begin"/>
            </w:r>
            <w:r w:rsidRPr="00020D46">
              <w:rPr>
                <w:noProof/>
                <w:webHidden/>
              </w:rPr>
              <w:instrText xml:space="preserve"> PAGEREF _Toc226743211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175C8471" w14:textId="7B0D53AF" w:rsidR="0072484A" w:rsidRPr="00020D46" w:rsidRDefault="0072484A">
          <w:pPr>
            <w:pStyle w:val="TOC1"/>
            <w:tabs>
              <w:tab w:val="right" w:leader="dot" w:pos="9016"/>
            </w:tabs>
            <w:rPr>
              <w:rFonts w:asciiTheme="minorHAnsi" w:hAnsiTheme="minorHAnsi"/>
              <w:noProof/>
              <w:sz w:val="24"/>
              <w:szCs w:val="24"/>
              <w:lang w:eastAsia="en-GB"/>
            </w:rPr>
          </w:pPr>
          <w:hyperlink w:anchor="_Toc226743212" w:history="1">
            <w:r w:rsidRPr="00020D46">
              <w:rPr>
                <w:rStyle w:val="Hyperlink"/>
                <w:noProof/>
                <w:color w:val="auto"/>
                <w:lang w:bidi="en-GB"/>
              </w:rPr>
              <w:t>Additional Information</w:t>
            </w:r>
            <w:r w:rsidRPr="00020D46">
              <w:rPr>
                <w:noProof/>
                <w:webHidden/>
              </w:rPr>
              <w:tab/>
            </w:r>
            <w:r w:rsidRPr="00020D46">
              <w:rPr>
                <w:noProof/>
                <w:webHidden/>
              </w:rPr>
              <w:fldChar w:fldCharType="begin"/>
            </w:r>
            <w:r w:rsidRPr="00020D46">
              <w:rPr>
                <w:noProof/>
                <w:webHidden/>
              </w:rPr>
              <w:instrText xml:space="preserve"> PAGEREF _Toc226743212 \h </w:instrText>
            </w:r>
            <w:r w:rsidRPr="00020D46">
              <w:rPr>
                <w:noProof/>
                <w:webHidden/>
              </w:rPr>
            </w:r>
            <w:r w:rsidRPr="00020D46">
              <w:rPr>
                <w:noProof/>
                <w:webHidden/>
              </w:rPr>
              <w:fldChar w:fldCharType="separate"/>
            </w:r>
            <w:r w:rsidR="00020D46">
              <w:rPr>
                <w:noProof/>
                <w:webHidden/>
              </w:rPr>
              <w:t>1</w:t>
            </w:r>
            <w:r w:rsidRPr="00020D46">
              <w:rPr>
                <w:noProof/>
                <w:webHidden/>
              </w:rPr>
              <w:fldChar w:fldCharType="end"/>
            </w:r>
          </w:hyperlink>
        </w:p>
        <w:p w14:paraId="19863E86" w14:textId="53519819" w:rsidR="002E3DF3" w:rsidRPr="00020D46" w:rsidRDefault="002E3DF3">
          <w:r w:rsidRPr="00020D46">
            <w:rPr>
              <w:b/>
              <w:bCs/>
              <w:noProof/>
            </w:rPr>
            <w:fldChar w:fldCharType="end"/>
          </w:r>
        </w:p>
      </w:sdtContent>
    </w:sdt>
    <w:p w14:paraId="5A9AA1A3" w14:textId="5D4DAB4C" w:rsidR="0039006B" w:rsidRDefault="0039006B" w:rsidP="00F833DF">
      <w:pPr>
        <w:pStyle w:val="Heading3"/>
        <w:rPr>
          <w:rFonts w:ascii="Aptos" w:hAnsi="Aptos"/>
        </w:rPr>
      </w:pPr>
    </w:p>
    <w:p w14:paraId="6E20BF75" w14:textId="77777777" w:rsidR="0039006B" w:rsidRDefault="0039006B" w:rsidP="00804B94">
      <w:pPr>
        <w:pStyle w:val="Heading1"/>
        <w:spacing w:line="360" w:lineRule="auto"/>
        <w:ind w:left="0"/>
        <w:jc w:val="center"/>
        <w:rPr>
          <w:rFonts w:ascii="Aptos" w:hAnsi="Aptos"/>
        </w:rPr>
      </w:pP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57974FC" w14:textId="77777777" w:rsidR="0039006B" w:rsidRDefault="0039006B"/>
    <w:p w14:paraId="5268292A" w14:textId="77777777" w:rsidR="0039006B" w:rsidRDefault="0039006B"/>
    <w:p w14:paraId="66BE3F66" w14:textId="77777777" w:rsidR="00730C3C" w:rsidRDefault="00730C3C" w:rsidP="00730C3C">
      <w:pPr>
        <w:pStyle w:val="Heading1"/>
        <w:ind w:left="0"/>
      </w:pPr>
    </w:p>
    <w:p w14:paraId="612C5F2A" w14:textId="77777777" w:rsidR="00C721EC" w:rsidRDefault="00C721EC" w:rsidP="00EF6341">
      <w:pPr>
        <w:pStyle w:val="Heading1"/>
        <w:spacing w:line="360" w:lineRule="auto"/>
        <w:ind w:left="0"/>
        <w:rPr>
          <w:rFonts w:ascii="Aptos" w:hAnsi="Aptos"/>
        </w:rPr>
      </w:pPr>
    </w:p>
    <w:p w14:paraId="38FAE78E" w14:textId="77777777" w:rsidR="00C721EC" w:rsidRDefault="00C721EC" w:rsidP="00EF6341">
      <w:pPr>
        <w:pStyle w:val="Heading1"/>
        <w:spacing w:line="360" w:lineRule="auto"/>
        <w:ind w:left="0"/>
        <w:rPr>
          <w:rFonts w:ascii="Aptos" w:hAnsi="Aptos"/>
        </w:rPr>
      </w:pPr>
    </w:p>
    <w:p w14:paraId="583E96ED" w14:textId="77777777" w:rsidR="00C721EC" w:rsidRDefault="00C721EC" w:rsidP="00EF6341">
      <w:pPr>
        <w:pStyle w:val="Heading1"/>
        <w:spacing w:line="360" w:lineRule="auto"/>
        <w:ind w:left="0"/>
        <w:rPr>
          <w:rFonts w:ascii="Aptos" w:hAnsi="Aptos"/>
        </w:rPr>
      </w:pPr>
    </w:p>
    <w:p w14:paraId="2B6511D7" w14:textId="77777777" w:rsidR="0072484A" w:rsidRDefault="0072484A" w:rsidP="00EF6341">
      <w:pPr>
        <w:pStyle w:val="Heading1"/>
        <w:spacing w:line="360" w:lineRule="auto"/>
        <w:ind w:left="0"/>
        <w:rPr>
          <w:rFonts w:cs="Arial"/>
        </w:rPr>
      </w:pPr>
      <w:bookmarkStart w:id="1" w:name="_Toc226743139"/>
    </w:p>
    <w:p w14:paraId="06A7E200" w14:textId="77777777" w:rsidR="0072484A" w:rsidRDefault="0072484A" w:rsidP="00EF6341">
      <w:pPr>
        <w:pStyle w:val="Heading1"/>
        <w:spacing w:line="360" w:lineRule="auto"/>
        <w:ind w:left="0"/>
        <w:rPr>
          <w:rFonts w:cs="Arial"/>
        </w:rPr>
      </w:pPr>
    </w:p>
    <w:p w14:paraId="1A5A7A1C" w14:textId="77777777" w:rsidR="0072484A" w:rsidRDefault="0072484A" w:rsidP="00EF6341">
      <w:pPr>
        <w:pStyle w:val="Heading1"/>
        <w:spacing w:line="360" w:lineRule="auto"/>
        <w:ind w:left="0"/>
        <w:rPr>
          <w:rFonts w:cs="Arial"/>
        </w:rPr>
      </w:pPr>
    </w:p>
    <w:p w14:paraId="74CD33B3" w14:textId="77777777" w:rsidR="0072484A" w:rsidRDefault="0072484A" w:rsidP="00EF6341">
      <w:pPr>
        <w:pStyle w:val="Heading1"/>
        <w:spacing w:line="360" w:lineRule="auto"/>
        <w:ind w:left="0"/>
        <w:rPr>
          <w:rFonts w:cs="Arial"/>
        </w:rPr>
      </w:pPr>
    </w:p>
    <w:p w14:paraId="58452D18" w14:textId="1C0B33C1" w:rsidR="00730C3C" w:rsidRPr="0072484A" w:rsidRDefault="00730C3C" w:rsidP="00EF6341">
      <w:pPr>
        <w:pStyle w:val="Heading1"/>
        <w:spacing w:line="360" w:lineRule="auto"/>
        <w:ind w:left="0"/>
        <w:rPr>
          <w:rFonts w:cs="Arial"/>
          <w:b w:val="0"/>
        </w:rPr>
      </w:pPr>
      <w:r w:rsidRPr="0072484A">
        <w:rPr>
          <w:rFonts w:cs="Arial"/>
        </w:rPr>
        <w:t>CHAPTER 1: Introduction</w:t>
      </w:r>
      <w:bookmarkEnd w:id="1"/>
      <w:r w:rsidRPr="0072484A">
        <w:rPr>
          <w:rFonts w:cs="Arial"/>
        </w:rPr>
        <w:t xml:space="preserve"> </w:t>
      </w:r>
    </w:p>
    <w:p w14:paraId="6F33BEE2" w14:textId="6327FAF6" w:rsidR="00E46009" w:rsidRPr="0076146B" w:rsidRDefault="00E46009" w:rsidP="00BE0902">
      <w:pPr>
        <w:rPr>
          <w:rFonts w:ascii="Arial" w:hAnsi="Arial" w:cs="Arial"/>
        </w:rPr>
      </w:pPr>
      <w:r w:rsidRPr="0076146B">
        <w:rPr>
          <w:rFonts w:ascii="Arial" w:hAnsi="Arial" w:cs="Arial"/>
        </w:rPr>
        <w:t xml:space="preserve">This dissertation will examine blood and organ donation in the UK, focusing on the barriers faced by ethnic minority communities in accessing information and resources on blood and organ donation. It will </w:t>
      </w:r>
      <w:r w:rsidR="00F238AD" w:rsidRPr="0076146B">
        <w:rPr>
          <w:rFonts w:ascii="Arial" w:hAnsi="Arial" w:cs="Arial"/>
        </w:rPr>
        <w:t>analyse</w:t>
      </w:r>
      <w:r w:rsidRPr="0076146B">
        <w:rPr>
          <w:rFonts w:ascii="Arial" w:hAnsi="Arial" w:cs="Arial"/>
        </w:rPr>
        <w:t xml:space="preserve"> </w:t>
      </w:r>
      <w:r w:rsidR="007E503F" w:rsidRPr="0076146B">
        <w:rPr>
          <w:rFonts w:ascii="Arial" w:hAnsi="Arial" w:cs="Arial"/>
        </w:rPr>
        <w:t>the socio-economic, cultural, and policy dimensions, evaluate the existing literature, and provide recommendations to improve</w:t>
      </w:r>
      <w:r w:rsidRPr="0076146B">
        <w:rPr>
          <w:rFonts w:ascii="Arial" w:hAnsi="Arial" w:cs="Arial"/>
        </w:rPr>
        <w:t xml:space="preserve"> inclusivity and equity in donation services.</w:t>
      </w:r>
    </w:p>
    <w:p w14:paraId="2F2EC822" w14:textId="79D0BAE6" w:rsidR="00E46009" w:rsidRPr="0076146B" w:rsidRDefault="00E46009" w:rsidP="00BE0902">
      <w:pPr>
        <w:rPr>
          <w:rFonts w:ascii="Arial" w:hAnsi="Arial" w:cs="Arial"/>
        </w:rPr>
      </w:pPr>
      <w:r w:rsidRPr="0076146B">
        <w:rPr>
          <w:rFonts w:ascii="Arial" w:hAnsi="Arial" w:cs="Arial"/>
        </w:rPr>
        <w:t xml:space="preserve">Blood and organ donation are essential aspects of modern healthcare, enabling life-saving interventions for patients </w:t>
      </w:r>
      <w:r w:rsidRPr="00020D46">
        <w:rPr>
          <w:rFonts w:ascii="Arial" w:hAnsi="Arial" w:cs="Arial"/>
        </w:rPr>
        <w:t>facing trauma, chronic illnesses, or end-stage organ failure. Blood donation provides vital components such as red blood cells, platelets, and plasma, which are crucial in surgeries, cancer treatments, and haematological disorders (Allain, 2011; Stanworth et al., 2020; World Health Organisation, 2022). Organ donation, whether from living or deceased donors, offers patients with irreversible organ failure the chance to regain health, enhance their quality of life (Q</w:t>
      </w:r>
      <w:r w:rsidR="00D703A7" w:rsidRPr="00020D46">
        <w:rPr>
          <w:rFonts w:ascii="Arial" w:hAnsi="Arial" w:cs="Arial"/>
        </w:rPr>
        <w:t>o</w:t>
      </w:r>
      <w:r w:rsidRPr="00020D46">
        <w:rPr>
          <w:rFonts w:ascii="Arial" w:hAnsi="Arial" w:cs="Arial"/>
        </w:rPr>
        <w:t>L), and extend their survival (Ahmad et al., 2022; NHS Blood and Transplant, 2024).</w:t>
      </w:r>
    </w:p>
    <w:p w14:paraId="30C086B6" w14:textId="77777777" w:rsidR="00E46009" w:rsidRPr="0076146B" w:rsidRDefault="00E46009" w:rsidP="00BE0902">
      <w:pPr>
        <w:rPr>
          <w:rFonts w:ascii="Arial" w:hAnsi="Arial" w:cs="Arial"/>
        </w:rPr>
      </w:pPr>
      <w:r w:rsidRPr="0076146B">
        <w:rPr>
          <w:rFonts w:ascii="Arial" w:hAnsi="Arial" w:cs="Arial"/>
        </w:rPr>
        <w:t xml:space="preserve">Despite advancements in medical science and policy, disparities in donation and transplantation are evident in the United Kingdom (UK). Ethnic minority communities experience longer waiting times for transplants due to lower donation rates and the need for closer tissue matching, particularly for kidney and liver transplants </w:t>
      </w:r>
      <w:r w:rsidRPr="00020D46">
        <w:rPr>
          <w:rFonts w:ascii="Arial" w:hAnsi="Arial" w:cs="Arial"/>
        </w:rPr>
        <w:t>(Morgan et al., 2016; NHS Blood and Transplant, 2025; Randhawa, 2012). These inequities are influenced by socio-economic conditions, cultural and religious beliefs, and systemic barriers within healthcare systems (Padela &amp; Zaganjor, 2014; Sharif et al., 2019; Tackling Organ Donation, 2021).</w:t>
      </w:r>
    </w:p>
    <w:p w14:paraId="64FCBD18" w14:textId="1504CEEC" w:rsidR="00E46009" w:rsidRPr="00020D46" w:rsidRDefault="00E46009" w:rsidP="00BE0902">
      <w:pPr>
        <w:rPr>
          <w:rFonts w:ascii="Arial" w:hAnsi="Arial" w:cs="Arial"/>
        </w:rPr>
      </w:pPr>
      <w:r w:rsidRPr="00020D46">
        <w:rPr>
          <w:rFonts w:ascii="Arial" w:hAnsi="Arial" w:cs="Arial"/>
        </w:rPr>
        <w:t>Research highlights that mistrust of medical institutions, a lack of culturally tailored information, and limited engagement with community leaders contribute to decreased participation in donation programs (Ahmad et al., 2022; Al-Khader, 2012; Morgan et al., 2019). Historical legacies, such as the infected blood scandal, have further eroded trust among minority groups (</w:t>
      </w:r>
      <w:r w:rsidR="0045646F" w:rsidRPr="00020D46">
        <w:rPr>
          <w:rFonts w:ascii="Arial" w:hAnsi="Arial" w:cs="Arial"/>
        </w:rPr>
        <w:t>UK Government,2024</w:t>
      </w:r>
      <w:r w:rsidRPr="00020D46">
        <w:rPr>
          <w:rFonts w:ascii="Arial" w:hAnsi="Arial" w:cs="Arial"/>
        </w:rPr>
        <w:t>). While awareness campaigns and policy reforms have begun to increase donation rates among minority communities, progress remains inconsistent (Birtan et al., 2022; NHS Blood and Transplant, 2024; Randhawa et al., 2018).</w:t>
      </w:r>
    </w:p>
    <w:p w14:paraId="4EEF3EC6" w14:textId="5F16DC72" w:rsidR="00E46009" w:rsidRPr="00020D46" w:rsidRDefault="00E46009" w:rsidP="00BE0902">
      <w:pPr>
        <w:rPr>
          <w:rFonts w:ascii="Arial" w:hAnsi="Arial" w:cs="Arial"/>
        </w:rPr>
      </w:pPr>
      <w:r w:rsidRPr="00020D46">
        <w:rPr>
          <w:rFonts w:ascii="Arial" w:hAnsi="Arial" w:cs="Arial"/>
        </w:rPr>
        <w:t xml:space="preserve">The historical development of transfusion and transplantation has transformed clinical practices, yet challenges related to donor availability, immunological compatibility, and equitable access persist (Taylor et al., 2019; Trotter et al., 2011). Currently, NHS Blood and Transplant (NHSBT) </w:t>
      </w:r>
      <w:r w:rsidR="00D703A7" w:rsidRPr="00020D46">
        <w:rPr>
          <w:rFonts w:ascii="Arial" w:hAnsi="Arial" w:cs="Arial"/>
        </w:rPr>
        <w:t>coordinate</w:t>
      </w:r>
      <w:r w:rsidRPr="00020D46">
        <w:rPr>
          <w:rFonts w:ascii="Arial" w:hAnsi="Arial" w:cs="Arial"/>
        </w:rPr>
        <w:t xml:space="preserve"> national donation services, but ethnic minority patients continue to be disproportionately disadvantaged. </w:t>
      </w:r>
      <w:r w:rsidR="004218B2" w:rsidRPr="00020D46">
        <w:rPr>
          <w:rFonts w:ascii="Arial" w:hAnsi="Arial" w:cs="Arial"/>
        </w:rPr>
        <w:t>N</w:t>
      </w:r>
      <w:r w:rsidRPr="00020D46">
        <w:rPr>
          <w:rFonts w:ascii="Arial" w:hAnsi="Arial" w:cs="Arial"/>
        </w:rPr>
        <w:t>early one-third of patients on the kidney transplant waiting list are from ethnic minority backgrounds, while most transplants for these groups still come from white donors. This imbalance contributes to prolonged waiting times and poorer outcomes (NHS Blood and Transplant, 2025; Udayaraj et al., 2013).</w:t>
      </w:r>
    </w:p>
    <w:p w14:paraId="18072CD8" w14:textId="264EB75C" w:rsidR="00BD2909" w:rsidRPr="0076146B" w:rsidRDefault="00E46009" w:rsidP="00B1572F">
      <w:pPr>
        <w:rPr>
          <w:rFonts w:ascii="Arial" w:hAnsi="Arial" w:cs="Arial"/>
        </w:rPr>
      </w:pPr>
      <w:r w:rsidRPr="00020D46">
        <w:rPr>
          <w:rFonts w:ascii="Arial" w:hAnsi="Arial" w:cs="Arial"/>
        </w:rPr>
        <w:t xml:space="preserve">Socio-economic and cultural factors also influence donation </w:t>
      </w:r>
      <w:r w:rsidR="00F238AD" w:rsidRPr="00020D46">
        <w:rPr>
          <w:rFonts w:ascii="Arial" w:hAnsi="Arial" w:cs="Arial"/>
        </w:rPr>
        <w:t>behaviours</w:t>
      </w:r>
      <w:r w:rsidRPr="00020D46">
        <w:rPr>
          <w:rFonts w:ascii="Arial" w:hAnsi="Arial" w:cs="Arial"/>
        </w:rPr>
        <w:t xml:space="preserve">. Studies </w:t>
      </w:r>
      <w:r w:rsidR="004218B2" w:rsidRPr="00020D46">
        <w:rPr>
          <w:rFonts w:ascii="Arial" w:hAnsi="Arial" w:cs="Arial"/>
        </w:rPr>
        <w:t>have shown that religious beliefs, family decision-making, and community narratives significantly influence</w:t>
      </w:r>
      <w:r w:rsidRPr="00020D46">
        <w:rPr>
          <w:rFonts w:ascii="Arial" w:hAnsi="Arial" w:cs="Arial"/>
        </w:rPr>
        <w:t xml:space="preserve"> attitudes towards donation (Padela &amp; Zaganjor, 2014; Randhawa, 2012; Sharif et al., 2019). At the same time, community-led initiatives and awareness campaigns have shown</w:t>
      </w:r>
      <w:r w:rsidR="004218B2" w:rsidRPr="00020D46">
        <w:rPr>
          <w:rFonts w:ascii="Arial" w:hAnsi="Arial" w:cs="Arial"/>
        </w:rPr>
        <w:t xml:space="preserve"> some</w:t>
      </w:r>
      <w:r w:rsidRPr="00020D46">
        <w:rPr>
          <w:rFonts w:ascii="Arial" w:hAnsi="Arial" w:cs="Arial"/>
        </w:rPr>
        <w:t xml:space="preserve"> progress, resulting in increases in </w:t>
      </w:r>
      <w:r w:rsidR="00C42FC1" w:rsidRPr="00020D46">
        <w:rPr>
          <w:rFonts w:ascii="Arial" w:hAnsi="Arial" w:cs="Arial"/>
        </w:rPr>
        <w:t xml:space="preserve">the number of </w:t>
      </w:r>
      <w:r w:rsidRPr="00020D46">
        <w:rPr>
          <w:rFonts w:ascii="Arial" w:hAnsi="Arial" w:cs="Arial"/>
        </w:rPr>
        <w:t>living and deceased donors from minority backgrounds (Ahmad et al., 2022; NHS Blood and Transplant, 2025).</w:t>
      </w:r>
      <w:r w:rsidR="00BD2909" w:rsidRPr="0076146B">
        <w:rPr>
          <w:rStyle w:val="eop"/>
          <w:rFonts w:ascii="Arial" w:hAnsi="Arial" w:cs="Arial"/>
        </w:rPr>
        <w:t> </w:t>
      </w:r>
    </w:p>
    <w:p w14:paraId="66501BF4" w14:textId="69C977D2" w:rsidR="00BD2909" w:rsidRPr="00C721EC" w:rsidRDefault="00BD2909" w:rsidP="00BD2909">
      <w:pPr>
        <w:pStyle w:val="paragraph"/>
        <w:spacing w:before="0" w:beforeAutospacing="0" w:after="0" w:afterAutospacing="0" w:line="360" w:lineRule="auto"/>
        <w:textAlignment w:val="baseline"/>
        <w:rPr>
          <w:rFonts w:ascii="Arial" w:hAnsi="Arial" w:cs="Arial"/>
          <w:b/>
          <w:bCs/>
        </w:rPr>
      </w:pPr>
      <w:r w:rsidRPr="00C721EC">
        <w:rPr>
          <w:rStyle w:val="normaltextrun"/>
          <w:rFonts w:ascii="Arial" w:hAnsi="Arial" w:cs="Arial"/>
          <w:b/>
          <w:bCs/>
        </w:rPr>
        <w:t xml:space="preserve">1.2 </w:t>
      </w:r>
      <w:r w:rsidRPr="0072484A">
        <w:rPr>
          <w:rStyle w:val="normaltextrun"/>
          <w:rFonts w:ascii="Arial" w:hAnsi="Arial" w:cs="Arial"/>
          <w:b/>
          <w:bCs/>
        </w:rPr>
        <w:t>Definitions and Terminology</w:t>
      </w:r>
      <w:r w:rsidRPr="00C721EC">
        <w:rPr>
          <w:rStyle w:val="normaltextrun"/>
          <w:rFonts w:ascii="Arial" w:hAnsi="Arial" w:cs="Arial"/>
          <w:b/>
          <w:bCs/>
        </w:rPr>
        <w:t xml:space="preserve"> </w:t>
      </w:r>
    </w:p>
    <w:p w14:paraId="3A33E653" w14:textId="5CF02194" w:rsidR="00B17CC2" w:rsidRPr="000258AC" w:rsidRDefault="00BD2909" w:rsidP="00B65FA8">
      <w:pPr>
        <w:pStyle w:val="paragraph"/>
        <w:tabs>
          <w:tab w:val="num" w:pos="0"/>
        </w:tabs>
        <w:spacing w:before="0" w:beforeAutospacing="0" w:after="0" w:afterAutospacing="0" w:line="360" w:lineRule="auto"/>
        <w:textAlignment w:val="baseline"/>
        <w:rPr>
          <w:rStyle w:val="eop"/>
          <w:rFonts w:ascii="Arial" w:hAnsi="Arial" w:cs="Arial"/>
        </w:rPr>
      </w:pPr>
      <w:r w:rsidRPr="000258AC">
        <w:rPr>
          <w:rStyle w:val="normaltextrun"/>
          <w:rFonts w:ascii="Arial" w:hAnsi="Arial" w:cs="Arial"/>
          <w:b/>
          <w:bCs/>
        </w:rPr>
        <w:t>Key Definitions:</w:t>
      </w:r>
      <w:r w:rsidRPr="000258AC">
        <w:rPr>
          <w:rStyle w:val="eop"/>
          <w:rFonts w:ascii="Arial" w:hAnsi="Arial" w:cs="Arial"/>
        </w:rPr>
        <w:t> </w:t>
      </w:r>
    </w:p>
    <w:p w14:paraId="6F84FFD1" w14:textId="3FE0C477" w:rsidR="00DA3954" w:rsidRPr="00020D46" w:rsidRDefault="00DA3954" w:rsidP="00AE155D">
      <w:pPr>
        <w:numPr>
          <w:ilvl w:val="0"/>
          <w:numId w:val="1"/>
        </w:numPr>
        <w:spacing w:before="100" w:beforeAutospacing="1" w:after="100" w:afterAutospacing="1"/>
        <w:rPr>
          <w:rFonts w:ascii="Arial" w:eastAsia="Times New Roman" w:hAnsi="Arial" w:cs="Arial"/>
        </w:rPr>
      </w:pPr>
      <w:r w:rsidRPr="00020D46">
        <w:rPr>
          <w:rFonts w:ascii="Arial" w:eastAsia="Times New Roman" w:hAnsi="Arial" w:cs="Arial"/>
          <w:b/>
          <w:bCs/>
        </w:rPr>
        <w:t>Blood Donation:</w:t>
      </w:r>
      <w:r w:rsidRPr="00020D46">
        <w:rPr>
          <w:rFonts w:ascii="Arial" w:eastAsia="Times New Roman" w:hAnsi="Arial" w:cs="Arial"/>
        </w:rPr>
        <w:t xml:space="preserve"> The voluntary act of giving a portion of one's blood for medical purposes, such as direct transfusion or the manufacturing of blood products to manage chronic illnesses and traumatic injuries (Gasparovic Babic et al., 2024)</w:t>
      </w:r>
      <w:r w:rsidR="007E7A8C" w:rsidRPr="00020D46">
        <w:rPr>
          <w:rFonts w:ascii="Arial" w:eastAsia="Times New Roman" w:hAnsi="Arial" w:cs="Arial"/>
        </w:rPr>
        <w:t>.</w:t>
      </w:r>
    </w:p>
    <w:p w14:paraId="5C56E7CA" w14:textId="77777777" w:rsidR="00DA3954" w:rsidRPr="00020D46" w:rsidRDefault="00DA3954" w:rsidP="00AE155D">
      <w:pPr>
        <w:numPr>
          <w:ilvl w:val="0"/>
          <w:numId w:val="1"/>
        </w:numPr>
        <w:spacing w:before="100" w:beforeAutospacing="1" w:after="100" w:afterAutospacing="1"/>
        <w:rPr>
          <w:rFonts w:ascii="Arial" w:eastAsia="Times New Roman" w:hAnsi="Arial" w:cs="Arial"/>
        </w:rPr>
      </w:pPr>
      <w:r w:rsidRPr="00020D46">
        <w:rPr>
          <w:rFonts w:ascii="Arial" w:eastAsia="Times New Roman" w:hAnsi="Arial" w:cs="Arial"/>
        </w:rPr>
        <w:t>​</w:t>
      </w:r>
      <w:r w:rsidRPr="00020D46">
        <w:rPr>
          <w:rFonts w:ascii="Arial" w:eastAsia="Times New Roman" w:hAnsi="Arial" w:cs="Arial"/>
          <w:b/>
          <w:bCs/>
        </w:rPr>
        <w:t>Organ Donation:</w:t>
      </w:r>
      <w:r w:rsidRPr="00020D46">
        <w:rPr>
          <w:rFonts w:ascii="Arial" w:eastAsia="Times New Roman" w:hAnsi="Arial" w:cs="Arial"/>
        </w:rPr>
        <w:t xml:space="preserve"> The process of surgically removing an organ or tissue from a healthy donor (living or deceased) and placing it into a patient whose own organ has failed (Udayaraj et al., 2013).</w:t>
      </w:r>
    </w:p>
    <w:p w14:paraId="0D071BC2" w14:textId="77777777" w:rsidR="00DA3954" w:rsidRPr="00020D46" w:rsidRDefault="00DA3954" w:rsidP="00AE155D">
      <w:pPr>
        <w:numPr>
          <w:ilvl w:val="0"/>
          <w:numId w:val="1"/>
        </w:numPr>
        <w:spacing w:before="100" w:beforeAutospacing="1" w:after="100" w:afterAutospacing="1"/>
        <w:rPr>
          <w:rFonts w:ascii="Arial" w:eastAsia="Times New Roman" w:hAnsi="Arial" w:cs="Arial"/>
        </w:rPr>
      </w:pPr>
      <w:r w:rsidRPr="00020D46">
        <w:rPr>
          <w:rFonts w:ascii="Arial" w:eastAsia="Times New Roman" w:hAnsi="Arial" w:cs="Arial"/>
        </w:rPr>
        <w:t>​</w:t>
      </w:r>
      <w:r w:rsidRPr="00020D46">
        <w:rPr>
          <w:rFonts w:ascii="Arial" w:eastAsia="Times New Roman" w:hAnsi="Arial" w:cs="Arial"/>
          <w:b/>
          <w:bCs/>
        </w:rPr>
        <w:t>Whole Systems Approach:</w:t>
      </w:r>
      <w:r w:rsidRPr="00020D46">
        <w:rPr>
          <w:rFonts w:ascii="Arial" w:eastAsia="Times New Roman" w:hAnsi="Arial" w:cs="Arial"/>
        </w:rPr>
        <w:t xml:space="preserve"> A holistic framework that shifts focus from individual choices to the entire care pathway. It encompasses public health prevention, clinical workforce training, and community engagement to ensure healthcare systems are responsive to all ethnic backgrounds (Randhawa and Neuberger, 2023; Johnston-Webber et al., 2023).</w:t>
      </w:r>
    </w:p>
    <w:p w14:paraId="64C0A01D" w14:textId="15E346C9" w:rsidR="00DA3954" w:rsidRPr="00020D46" w:rsidRDefault="00DA3954" w:rsidP="00AE155D">
      <w:pPr>
        <w:numPr>
          <w:ilvl w:val="0"/>
          <w:numId w:val="1"/>
        </w:numPr>
        <w:spacing w:before="100" w:beforeAutospacing="1" w:after="100" w:afterAutospacing="1"/>
        <w:rPr>
          <w:rFonts w:ascii="Arial" w:eastAsia="Times New Roman" w:hAnsi="Arial" w:cs="Arial"/>
        </w:rPr>
      </w:pPr>
      <w:r w:rsidRPr="00020D46">
        <w:rPr>
          <w:rFonts w:ascii="Arial" w:eastAsia="Times New Roman" w:hAnsi="Arial" w:cs="Arial"/>
        </w:rPr>
        <w:t>​</w:t>
      </w:r>
      <w:r w:rsidRPr="00020D46">
        <w:rPr>
          <w:rFonts w:ascii="Arial" w:eastAsia="Times New Roman" w:hAnsi="Arial" w:cs="Arial"/>
          <w:b/>
          <w:bCs/>
        </w:rPr>
        <w:t>Anti-Racist Framework in Healthcare:</w:t>
      </w:r>
      <w:r w:rsidRPr="00020D46">
        <w:rPr>
          <w:rFonts w:ascii="Arial" w:eastAsia="Times New Roman" w:hAnsi="Arial" w:cs="Arial"/>
        </w:rPr>
        <w:t xml:space="preserve"> An </w:t>
      </w:r>
      <w:r w:rsidR="00020D46">
        <w:rPr>
          <w:rFonts w:ascii="Arial" w:eastAsia="Times New Roman" w:hAnsi="Arial" w:cs="Arial"/>
        </w:rPr>
        <w:t>organisational</w:t>
      </w:r>
      <w:r w:rsidRPr="00020D46">
        <w:rPr>
          <w:rFonts w:ascii="Arial" w:eastAsia="Times New Roman" w:hAnsi="Arial" w:cs="Arial"/>
        </w:rPr>
        <w:t xml:space="preserve"> commitment to actively dismantle systemic barriers by </w:t>
      </w:r>
      <w:r w:rsidR="00020D46">
        <w:rPr>
          <w:rFonts w:ascii="Arial" w:eastAsia="Times New Roman" w:hAnsi="Arial" w:cs="Arial"/>
        </w:rPr>
        <w:t>recognising</w:t>
      </w:r>
      <w:r w:rsidRPr="00020D46">
        <w:rPr>
          <w:rFonts w:ascii="Arial" w:eastAsia="Times New Roman" w:hAnsi="Arial" w:cs="Arial"/>
        </w:rPr>
        <w:t xml:space="preserve"> that institutions, rather than communities, must change to build trust and eliminate disparities in patient outcomes (NHS England, 2023; NHS Confederation, 2024).</w:t>
      </w:r>
    </w:p>
    <w:p w14:paraId="4CCB730B" w14:textId="77777777" w:rsidR="00DA3954" w:rsidRPr="00020D46" w:rsidRDefault="00DA3954" w:rsidP="00AE155D">
      <w:pPr>
        <w:numPr>
          <w:ilvl w:val="0"/>
          <w:numId w:val="1"/>
        </w:numPr>
        <w:spacing w:before="100" w:beforeAutospacing="1" w:after="100" w:afterAutospacing="1"/>
        <w:rPr>
          <w:rFonts w:ascii="Arial" w:eastAsia="Times New Roman" w:hAnsi="Arial" w:cs="Arial"/>
        </w:rPr>
      </w:pPr>
      <w:r w:rsidRPr="00020D46">
        <w:rPr>
          <w:rFonts w:ascii="Arial" w:eastAsia="Times New Roman" w:hAnsi="Arial" w:cs="Arial"/>
        </w:rPr>
        <w:t>​</w:t>
      </w:r>
      <w:r w:rsidRPr="00020D46">
        <w:rPr>
          <w:rFonts w:ascii="Arial" w:eastAsia="Times New Roman" w:hAnsi="Arial" w:cs="Arial"/>
          <w:b/>
          <w:bCs/>
        </w:rPr>
        <w:t>Structural Racism:</w:t>
      </w:r>
      <w:r w:rsidRPr="00020D46">
        <w:rPr>
          <w:rFonts w:ascii="Arial" w:eastAsia="Times New Roman" w:hAnsi="Arial" w:cs="Arial"/>
        </w:rPr>
        <w:t xml:space="preserve"> The macro-level systems, social forces, ideologies, and institutional processes that interact to generate and reinforce inequities among racial and ethnic groups without requiring individual intent (Powell, 2008; Bonilla-Silva, 1997).</w:t>
      </w:r>
    </w:p>
    <w:p w14:paraId="34094629" w14:textId="77777777" w:rsidR="00DA3954" w:rsidRPr="00020D46" w:rsidRDefault="00DA3954" w:rsidP="00AE155D">
      <w:pPr>
        <w:numPr>
          <w:ilvl w:val="0"/>
          <w:numId w:val="1"/>
        </w:numPr>
        <w:spacing w:before="100" w:beforeAutospacing="1" w:after="100" w:afterAutospacing="1"/>
        <w:rPr>
          <w:rFonts w:ascii="Arial" w:eastAsia="Times New Roman" w:hAnsi="Arial" w:cs="Arial"/>
        </w:rPr>
      </w:pPr>
      <w:r w:rsidRPr="00020D46">
        <w:rPr>
          <w:rFonts w:ascii="Arial" w:eastAsia="Times New Roman" w:hAnsi="Arial" w:cs="Arial"/>
        </w:rPr>
        <w:t>​</w:t>
      </w:r>
      <w:r w:rsidRPr="00020D46">
        <w:rPr>
          <w:rFonts w:ascii="Arial" w:eastAsia="Times New Roman" w:hAnsi="Arial" w:cs="Arial"/>
          <w:b/>
          <w:bCs/>
        </w:rPr>
        <w:t>Intersectionality:</w:t>
      </w:r>
      <w:r w:rsidRPr="00020D46">
        <w:rPr>
          <w:rFonts w:ascii="Arial" w:eastAsia="Times New Roman" w:hAnsi="Arial" w:cs="Arial"/>
        </w:rPr>
        <w:t xml:space="preserve"> A conceptual lens describing how overlapping social identities—such as race, gender, religion, and class—interact to create unique, compounded forms of disadvantage and discrimination (Crenshaw, 1989).</w:t>
      </w:r>
    </w:p>
    <w:p w14:paraId="62D57293" w14:textId="77777777" w:rsidR="00DA3954" w:rsidRPr="00020D46" w:rsidRDefault="00DA3954" w:rsidP="00AE155D">
      <w:pPr>
        <w:numPr>
          <w:ilvl w:val="0"/>
          <w:numId w:val="1"/>
        </w:numPr>
        <w:spacing w:before="100" w:beforeAutospacing="1" w:after="100" w:afterAutospacing="1"/>
        <w:rPr>
          <w:rFonts w:ascii="Arial" w:eastAsia="Times New Roman" w:hAnsi="Arial" w:cs="Arial"/>
        </w:rPr>
      </w:pPr>
      <w:r w:rsidRPr="00020D46">
        <w:rPr>
          <w:rFonts w:ascii="Arial" w:eastAsia="Times New Roman" w:hAnsi="Arial" w:cs="Arial"/>
        </w:rPr>
        <w:t>​</w:t>
      </w:r>
      <w:r w:rsidRPr="00020D46">
        <w:rPr>
          <w:rFonts w:ascii="Arial" w:eastAsia="Times New Roman" w:hAnsi="Arial" w:cs="Arial"/>
          <w:b/>
          <w:bCs/>
        </w:rPr>
        <w:t>HLA (Human Leukocyte Antigen):</w:t>
      </w:r>
      <w:r w:rsidRPr="00020D46">
        <w:rPr>
          <w:rFonts w:ascii="Arial" w:eastAsia="Times New Roman" w:hAnsi="Arial" w:cs="Arial"/>
        </w:rPr>
        <w:t xml:space="preserve"> Inherited proteins found on most cells that enable the immune system to distinguish "self" from "non-self." Successful transplantation requires close HLA matching, which is most likely between donors and recipients of the same ethnic background (Papadimitriou et al., 2022).</w:t>
      </w:r>
    </w:p>
    <w:p w14:paraId="31996FE2" w14:textId="77777777" w:rsidR="00DA3954" w:rsidRPr="00020D46" w:rsidRDefault="00DA3954" w:rsidP="00AE155D">
      <w:pPr>
        <w:numPr>
          <w:ilvl w:val="0"/>
          <w:numId w:val="1"/>
        </w:numPr>
        <w:spacing w:before="100" w:beforeAutospacing="1" w:after="100" w:afterAutospacing="1"/>
        <w:rPr>
          <w:rFonts w:ascii="Arial" w:eastAsia="Times New Roman" w:hAnsi="Arial" w:cs="Arial"/>
        </w:rPr>
      </w:pPr>
      <w:r w:rsidRPr="00020D46">
        <w:rPr>
          <w:rFonts w:ascii="Arial" w:eastAsia="Times New Roman" w:hAnsi="Arial" w:cs="Arial"/>
        </w:rPr>
        <w:t>​</w:t>
      </w:r>
      <w:r w:rsidRPr="00020D46">
        <w:rPr>
          <w:rFonts w:ascii="Arial" w:eastAsia="Times New Roman" w:hAnsi="Arial" w:cs="Arial"/>
          <w:b/>
          <w:bCs/>
        </w:rPr>
        <w:t>DCD (Donation after Circulatory Death):</w:t>
      </w:r>
      <w:r w:rsidRPr="00020D46">
        <w:rPr>
          <w:rFonts w:ascii="Arial" w:eastAsia="Times New Roman" w:hAnsi="Arial" w:cs="Arial"/>
        </w:rPr>
        <w:t xml:space="preserve"> Organ recovery from a donor whose death is determined by the permanent cessation of heartbeat and respiration, a process requiring rapid clinical intervention (GODT, 2024; Santiago Vispo, 2025).</w:t>
      </w:r>
    </w:p>
    <w:p w14:paraId="4BC66D2F" w14:textId="69B8DD16" w:rsidR="00BD2909" w:rsidRPr="00020D46" w:rsidRDefault="00DA3954" w:rsidP="00AE155D">
      <w:pPr>
        <w:numPr>
          <w:ilvl w:val="0"/>
          <w:numId w:val="1"/>
        </w:numPr>
        <w:spacing w:before="100" w:beforeAutospacing="1" w:after="100" w:afterAutospacing="1"/>
        <w:rPr>
          <w:rFonts w:ascii="Arial" w:eastAsia="Times New Roman" w:hAnsi="Arial" w:cs="Arial"/>
        </w:rPr>
      </w:pPr>
      <w:r w:rsidRPr="00020D46">
        <w:rPr>
          <w:rFonts w:ascii="Arial" w:eastAsia="Times New Roman" w:hAnsi="Arial" w:cs="Arial"/>
        </w:rPr>
        <w:t>​</w:t>
      </w:r>
      <w:r w:rsidRPr="00020D46">
        <w:rPr>
          <w:rFonts w:ascii="Arial" w:eastAsia="Times New Roman" w:hAnsi="Arial" w:cs="Arial"/>
          <w:b/>
          <w:bCs/>
        </w:rPr>
        <w:t>PMP (Per Million Population):</w:t>
      </w:r>
      <w:r w:rsidRPr="00020D46">
        <w:rPr>
          <w:rFonts w:ascii="Arial" w:eastAsia="Times New Roman" w:hAnsi="Arial" w:cs="Arial"/>
        </w:rPr>
        <w:t xml:space="preserve"> The standard statistical metric used to compare donation and transplantation activity across different nations regardless of population size (Santiago Vispo, 2025).</w:t>
      </w:r>
      <w:r w:rsidR="00BD2909" w:rsidRPr="00020D46">
        <w:rPr>
          <w:rStyle w:val="eop"/>
          <w:rFonts w:ascii="Arial" w:hAnsi="Arial" w:cs="Arial"/>
        </w:rPr>
        <w:t>  </w:t>
      </w:r>
    </w:p>
    <w:p w14:paraId="53D311F2" w14:textId="23E1C1FE" w:rsidR="006D0563" w:rsidRPr="00C721EC" w:rsidRDefault="00BD2909" w:rsidP="00BD2909">
      <w:pPr>
        <w:pStyle w:val="paragraph"/>
        <w:spacing w:before="0" w:beforeAutospacing="0" w:after="0" w:afterAutospacing="0" w:line="360" w:lineRule="auto"/>
        <w:textAlignment w:val="baseline"/>
        <w:rPr>
          <w:rStyle w:val="normaltextrun"/>
          <w:rFonts w:ascii="Arial" w:hAnsi="Arial" w:cs="Arial"/>
          <w:b/>
          <w:bCs/>
        </w:rPr>
      </w:pPr>
      <w:r w:rsidRPr="00C721EC">
        <w:rPr>
          <w:rStyle w:val="normaltextrun"/>
          <w:rFonts w:ascii="Arial" w:hAnsi="Arial" w:cs="Arial"/>
          <w:b/>
          <w:bCs/>
        </w:rPr>
        <w:t>1.3 Rationale for Research</w:t>
      </w:r>
    </w:p>
    <w:p w14:paraId="1C0FA999" w14:textId="20B04739" w:rsidR="001B64A1" w:rsidRDefault="001B64A1" w:rsidP="001B64A1">
      <w:pPr>
        <w:rPr>
          <w:rFonts w:ascii="Arial" w:hAnsi="Arial" w:cs="Arial"/>
        </w:rPr>
      </w:pPr>
      <w:r w:rsidRPr="0076146B">
        <w:rPr>
          <w:rFonts w:ascii="Arial" w:hAnsi="Arial" w:cs="Arial"/>
        </w:rPr>
        <w:t>The rationale for this research is founded on the persistent health inequalities experienced by minority ethnic communities in the UK. These groups remain disproportionately represented on transplant waiting lists and often experience poorer clinical outcomes due to lower donation rates and extended waiting times, as noted in the literature. Multiple intersecting factors contribute to these inequities, including socioeconomic disadvantage, cultural</w:t>
      </w:r>
      <w:r w:rsidRPr="006D08E3">
        <w:rPr>
          <w:rFonts w:ascii="Arial" w:hAnsi="Arial" w:cs="Arial"/>
        </w:rPr>
        <w:t xml:space="preserve"> and religious beliefs, and ongoing mistrust of healthcare systems. Historical events such as the infected blood scandal have further eroded trust among minority communities, reinforcing hesitation and scepticism towards donation processes. </w:t>
      </w:r>
      <w:r w:rsidR="00B1572F">
        <w:rPr>
          <w:rFonts w:ascii="Arial" w:hAnsi="Arial" w:cs="Arial"/>
        </w:rPr>
        <w:t xml:space="preserve"> </w:t>
      </w:r>
      <w:r w:rsidRPr="006D08E3">
        <w:rPr>
          <w:rFonts w:ascii="Arial" w:hAnsi="Arial" w:cs="Arial"/>
        </w:rPr>
        <w:t xml:space="preserve">Existing studies also highlight significant gaps in </w:t>
      </w:r>
      <w:r>
        <w:rPr>
          <w:rFonts w:ascii="Arial" w:hAnsi="Arial" w:cs="Arial"/>
        </w:rPr>
        <w:t xml:space="preserve">culturally tailored information, inconsistent engagement with community leaders, and variations in the effectiveness of current interventions </w:t>
      </w:r>
      <w:r w:rsidRPr="006D08E3">
        <w:rPr>
          <w:rFonts w:ascii="Arial" w:hAnsi="Arial" w:cs="Arial"/>
        </w:rPr>
        <w:t>to improve donation awareness. Although national policy changes</w:t>
      </w:r>
      <w:r>
        <w:rPr>
          <w:rFonts w:ascii="Arial" w:hAnsi="Arial" w:cs="Arial"/>
        </w:rPr>
        <w:t xml:space="preserve">, </w:t>
      </w:r>
      <w:r w:rsidRPr="006D08E3">
        <w:rPr>
          <w:rFonts w:ascii="Arial" w:hAnsi="Arial" w:cs="Arial"/>
        </w:rPr>
        <w:t>most notably the Organ Donation (Deemed Consent) Act 2019</w:t>
      </w:r>
      <w:r w:rsidR="00C7370C">
        <w:rPr>
          <w:rFonts w:ascii="Arial" w:hAnsi="Arial" w:cs="Arial"/>
        </w:rPr>
        <w:t>,</w:t>
      </w:r>
      <w:r w:rsidRPr="006D08E3">
        <w:rPr>
          <w:rFonts w:ascii="Arial" w:hAnsi="Arial" w:cs="Arial"/>
        </w:rPr>
        <w:t xml:space="preserve"> intended to increase donation rates, improvements have been uneven, and consent rates among minority ethnic groups remain notably lower than those of white populations</w:t>
      </w:r>
      <w:r>
        <w:rPr>
          <w:rFonts w:ascii="Arial" w:hAnsi="Arial" w:cs="Arial"/>
        </w:rPr>
        <w:t xml:space="preserve">.  </w:t>
      </w:r>
    </w:p>
    <w:p w14:paraId="1FEA12DF" w14:textId="77777777" w:rsidR="001B64A1" w:rsidRDefault="001B64A1" w:rsidP="001B64A1">
      <w:pPr>
        <w:rPr>
          <w:rFonts w:ascii="Arial" w:hAnsi="Arial" w:cs="Arial"/>
        </w:rPr>
      </w:pPr>
      <w:r w:rsidRPr="006D08E3">
        <w:rPr>
          <w:rFonts w:ascii="Arial" w:hAnsi="Arial" w:cs="Arial"/>
        </w:rPr>
        <w:t xml:space="preserve">This dissertation seeks to address these gaps by critically analysing the barriers that minority ethnic communities face when accessing information and resources related to blood and organ donation and by proposing </w:t>
      </w:r>
      <w:r>
        <w:rPr>
          <w:rFonts w:ascii="Arial" w:hAnsi="Arial" w:cs="Arial"/>
        </w:rPr>
        <w:t>evidence-based</w:t>
      </w:r>
      <w:r w:rsidRPr="006D08E3">
        <w:rPr>
          <w:rFonts w:ascii="Arial" w:hAnsi="Arial" w:cs="Arial"/>
        </w:rPr>
        <w:t xml:space="preserve">, actionable recommendations. Its significance lies in its application of theoretical frameworks such as the Health Belief Model and Structural Racism Theory, enabling a deeper understanding of how beliefs, structural inequalities, and systemic discrimination shape </w:t>
      </w:r>
      <w:r>
        <w:rPr>
          <w:rFonts w:ascii="Arial" w:hAnsi="Arial" w:cs="Arial"/>
        </w:rPr>
        <w:t>decision-making</w:t>
      </w:r>
      <w:r w:rsidRPr="006D08E3">
        <w:rPr>
          <w:rFonts w:ascii="Arial" w:hAnsi="Arial" w:cs="Arial"/>
        </w:rPr>
        <w:t>. The use of an intersectional lens further illuminates how overlapping identities</w:t>
      </w:r>
      <w:r>
        <w:rPr>
          <w:rFonts w:ascii="Arial" w:hAnsi="Arial" w:cs="Arial"/>
        </w:rPr>
        <w:t xml:space="preserve">, </w:t>
      </w:r>
      <w:r w:rsidRPr="006D08E3">
        <w:rPr>
          <w:rFonts w:ascii="Arial" w:hAnsi="Arial" w:cs="Arial"/>
        </w:rPr>
        <w:t xml:space="preserve">including ethnicity, religion, and </w:t>
      </w:r>
      <w:r>
        <w:rPr>
          <w:rFonts w:ascii="Arial" w:hAnsi="Arial" w:cs="Arial"/>
        </w:rPr>
        <w:t>socioeconomic</w:t>
      </w:r>
      <w:r w:rsidRPr="006D08E3">
        <w:rPr>
          <w:rFonts w:ascii="Arial" w:hAnsi="Arial" w:cs="Arial"/>
        </w:rPr>
        <w:t xml:space="preserve"> position</w:t>
      </w:r>
      <w:r>
        <w:rPr>
          <w:rFonts w:ascii="Arial" w:hAnsi="Arial" w:cs="Arial"/>
        </w:rPr>
        <w:t xml:space="preserve">, </w:t>
      </w:r>
      <w:r w:rsidRPr="006D08E3">
        <w:rPr>
          <w:rFonts w:ascii="Arial" w:hAnsi="Arial" w:cs="Arial"/>
        </w:rPr>
        <w:t>compound barriers to equitable access</w:t>
      </w:r>
      <w:r>
        <w:rPr>
          <w:rFonts w:ascii="Arial" w:hAnsi="Arial" w:cs="Arial"/>
        </w:rPr>
        <w:t>.</w:t>
      </w:r>
    </w:p>
    <w:p w14:paraId="767349D6" w14:textId="5B6EDB89" w:rsidR="5FD45A2E" w:rsidRPr="000B00A0" w:rsidRDefault="001B64A1" w:rsidP="000B00A0">
      <w:pPr>
        <w:rPr>
          <w:rStyle w:val="eop"/>
          <w:rFonts w:ascii="Arial" w:hAnsi="Arial" w:cs="Arial"/>
        </w:rPr>
      </w:pPr>
      <w:r w:rsidRPr="5FD45A2E">
        <w:rPr>
          <w:rFonts w:ascii="Arial" w:hAnsi="Arial" w:cs="Arial"/>
        </w:rPr>
        <w:t>The study also carries practical importance for NHS Blood and Transplant, particularly in relation to community grants programmes and communication strategies. Examining effective international models, such as Spain’s significantly higher donation rate of 52.6 pmp compared with the UK’s 22.4 pmp, provides insights that may support efforts to increase donor registration and family consent rates. Ultimately, addressing these barriers is not only a service delivery challenge but also a moral imperative to ensure that the life-saving potential of donation is accessible to all communities, regardless of background.</w:t>
      </w:r>
    </w:p>
    <w:p w14:paraId="75E17D56"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3C0BD7B4" w14:textId="4893AE52" w:rsidR="00C744C0" w:rsidRPr="00C721EC" w:rsidRDefault="00BD2909" w:rsidP="007A530A">
      <w:pPr>
        <w:pStyle w:val="paragraph"/>
        <w:spacing w:before="0" w:beforeAutospacing="0" w:after="0" w:afterAutospacing="0" w:line="360" w:lineRule="auto"/>
        <w:textAlignment w:val="baseline"/>
        <w:rPr>
          <w:rStyle w:val="normaltextrun"/>
          <w:rFonts w:ascii="Arial" w:hAnsi="Arial" w:cs="Arial"/>
          <w:b/>
          <w:bCs/>
          <w:sz w:val="16"/>
          <w:szCs w:val="16"/>
        </w:rPr>
      </w:pPr>
      <w:r w:rsidRPr="00C721EC">
        <w:rPr>
          <w:rStyle w:val="normaltextrun"/>
          <w:rFonts w:ascii="Arial" w:hAnsi="Arial" w:cs="Arial"/>
          <w:b/>
          <w:bCs/>
        </w:rPr>
        <w:t xml:space="preserve">1.4 Aim and Objectives </w:t>
      </w:r>
    </w:p>
    <w:p w14:paraId="13ED95C9" w14:textId="2BB2A134" w:rsidR="00BD2909" w:rsidRPr="00983349" w:rsidRDefault="00BE0902" w:rsidP="00983349">
      <w:pPr>
        <w:pStyle w:val="paragraph"/>
        <w:tabs>
          <w:tab w:val="num" w:pos="360"/>
        </w:tabs>
        <w:spacing w:before="0" w:beforeAutospacing="0" w:after="0" w:afterAutospacing="0" w:line="360" w:lineRule="auto"/>
        <w:jc w:val="both"/>
        <w:textAlignment w:val="baseline"/>
        <w:rPr>
          <w:rFonts w:ascii="Arial" w:hAnsi="Arial" w:cs="Arial"/>
          <w:sz w:val="22"/>
          <w:szCs w:val="22"/>
        </w:rPr>
      </w:pPr>
      <w:r w:rsidRPr="00983349">
        <w:rPr>
          <w:rStyle w:val="eop"/>
          <w:rFonts w:ascii="Arial" w:hAnsi="Arial" w:cs="Arial"/>
          <w:sz w:val="22"/>
          <w:szCs w:val="22"/>
        </w:rPr>
        <w:t>To explore and critically analyse the barriers faced by ethnic minorities in accessing information and resources about blood and organ donation in the UK, and to provide recommendations for improving equity and inclusivity in donation services.</w:t>
      </w:r>
    </w:p>
    <w:p w14:paraId="10111686" w14:textId="77777777" w:rsidR="00BD2909" w:rsidRPr="00983349" w:rsidRDefault="00BD2909" w:rsidP="00983349">
      <w:pPr>
        <w:pStyle w:val="paragraph"/>
        <w:numPr>
          <w:ilvl w:val="0"/>
          <w:numId w:val="2"/>
        </w:numPr>
        <w:tabs>
          <w:tab w:val="clear" w:pos="720"/>
          <w:tab w:val="num" w:pos="360"/>
        </w:tabs>
        <w:spacing w:before="0" w:beforeAutospacing="0" w:after="0" w:afterAutospacing="0" w:line="360" w:lineRule="auto"/>
        <w:ind w:firstLine="0"/>
        <w:jc w:val="both"/>
        <w:textAlignment w:val="baseline"/>
        <w:rPr>
          <w:rFonts w:ascii="Arial" w:hAnsi="Arial" w:cs="Arial"/>
          <w:sz w:val="22"/>
          <w:szCs w:val="22"/>
        </w:rPr>
      </w:pPr>
      <w:r w:rsidRPr="0072484A">
        <w:rPr>
          <w:rStyle w:val="normaltextrun"/>
          <w:rFonts w:ascii="Arial" w:hAnsi="Arial" w:cs="Arial"/>
          <w:b/>
          <w:bCs/>
        </w:rPr>
        <w:t>Research Objectives</w:t>
      </w:r>
      <w:r w:rsidRPr="00983349">
        <w:rPr>
          <w:rStyle w:val="normaltextrun"/>
          <w:rFonts w:ascii="Arial" w:hAnsi="Arial" w:cs="Arial"/>
          <w:b/>
          <w:bCs/>
          <w:sz w:val="22"/>
          <w:szCs w:val="22"/>
        </w:rPr>
        <w:t>:</w:t>
      </w:r>
      <w:r w:rsidRPr="00983349">
        <w:rPr>
          <w:rStyle w:val="eop"/>
          <w:rFonts w:ascii="Arial" w:hAnsi="Arial" w:cs="Arial"/>
          <w:sz w:val="22"/>
          <w:szCs w:val="22"/>
        </w:rPr>
        <w:t> </w:t>
      </w:r>
    </w:p>
    <w:p w14:paraId="37A06327" w14:textId="7FE8CE13" w:rsidR="004974B1" w:rsidRPr="00983349" w:rsidRDefault="00E43D3C" w:rsidP="00983349">
      <w:pPr>
        <w:pStyle w:val="paragraph"/>
        <w:spacing w:after="0" w:line="360" w:lineRule="auto"/>
        <w:jc w:val="both"/>
        <w:textAlignment w:val="baseline"/>
        <w:rPr>
          <w:rStyle w:val="eop"/>
          <w:rFonts w:ascii="Arial" w:hAnsi="Arial" w:cs="Arial"/>
          <w:color w:val="EE0000"/>
          <w:sz w:val="22"/>
          <w:szCs w:val="22"/>
        </w:rPr>
      </w:pPr>
      <w:r w:rsidRPr="00983349">
        <w:rPr>
          <w:rStyle w:val="eop"/>
          <w:rFonts w:ascii="Arial" w:hAnsi="Arial" w:cs="Arial"/>
          <w:b/>
          <w:bCs/>
          <w:sz w:val="22"/>
          <w:szCs w:val="22"/>
        </w:rPr>
        <w:t>Objective 1:</w:t>
      </w:r>
      <w:r w:rsidR="004974B1" w:rsidRPr="00983349">
        <w:rPr>
          <w:rStyle w:val="eop"/>
          <w:rFonts w:ascii="Arial" w:hAnsi="Arial" w:cs="Arial"/>
          <w:sz w:val="22"/>
          <w:szCs w:val="22"/>
        </w:rPr>
        <w:t>Define what blood and organ donation are and provide brief background information on this topic and its importance.  To identify and examine the possible barriers and challenges that ethnic minorities face when trying to gain access to critical services in blood and organ donation in the UK.</w:t>
      </w:r>
    </w:p>
    <w:p w14:paraId="1F0890E2" w14:textId="77777777" w:rsidR="004974B1" w:rsidRPr="00983349" w:rsidRDefault="004974B1" w:rsidP="00983349">
      <w:pPr>
        <w:pStyle w:val="paragraph"/>
        <w:spacing w:after="0" w:line="360" w:lineRule="auto"/>
        <w:jc w:val="both"/>
        <w:textAlignment w:val="baseline"/>
        <w:rPr>
          <w:rStyle w:val="eop"/>
          <w:rFonts w:ascii="Arial" w:hAnsi="Arial" w:cs="Arial"/>
          <w:sz w:val="22"/>
          <w:szCs w:val="22"/>
        </w:rPr>
      </w:pPr>
      <w:r w:rsidRPr="00983349">
        <w:rPr>
          <w:rStyle w:val="eop"/>
          <w:rFonts w:ascii="Arial" w:hAnsi="Arial" w:cs="Arial"/>
          <w:b/>
          <w:bCs/>
          <w:sz w:val="22"/>
          <w:szCs w:val="22"/>
        </w:rPr>
        <w:t>Objective 2:</w:t>
      </w:r>
      <w:r w:rsidRPr="00983349">
        <w:rPr>
          <w:rStyle w:val="eop"/>
          <w:rFonts w:ascii="Arial" w:hAnsi="Arial" w:cs="Arial"/>
          <w:sz w:val="22"/>
          <w:szCs w:val="22"/>
        </w:rPr>
        <w:t xml:space="preserve">  Analyse current literature exploring the barriers ethnic minorities face in accessing information and resources about blood and organ donation in the UK, examining the Cultural, structural and economic aspects of the obstacles to find the causes/reasons for this.</w:t>
      </w:r>
    </w:p>
    <w:p w14:paraId="26AAED0B" w14:textId="7C626333" w:rsidR="004974B1" w:rsidRPr="00983349" w:rsidRDefault="004974B1" w:rsidP="00983349">
      <w:pPr>
        <w:pStyle w:val="paragraph"/>
        <w:spacing w:after="0" w:line="360" w:lineRule="auto"/>
        <w:jc w:val="both"/>
        <w:textAlignment w:val="baseline"/>
        <w:rPr>
          <w:rStyle w:val="eop"/>
          <w:rFonts w:ascii="Arial" w:hAnsi="Arial" w:cs="Arial"/>
          <w:sz w:val="22"/>
          <w:szCs w:val="22"/>
        </w:rPr>
      </w:pPr>
      <w:r w:rsidRPr="00983349">
        <w:rPr>
          <w:rStyle w:val="eop"/>
          <w:rFonts w:ascii="Arial" w:hAnsi="Arial" w:cs="Arial"/>
          <w:b/>
          <w:bCs/>
          <w:sz w:val="22"/>
          <w:szCs w:val="22"/>
        </w:rPr>
        <w:t>Objective 3:</w:t>
      </w:r>
      <w:r w:rsidRPr="00983349">
        <w:rPr>
          <w:rStyle w:val="eop"/>
          <w:rFonts w:ascii="Arial" w:hAnsi="Arial" w:cs="Arial"/>
          <w:sz w:val="22"/>
          <w:szCs w:val="22"/>
        </w:rPr>
        <w:t xml:space="preserve">  Evaluate the findings sourced and researched from the literature regarding the barriers, Cultural, structural and economic aspects and impacts faced by ethnic minorities in accessing information and resources about organ donation in the Uk and provide an analysis </w:t>
      </w:r>
      <w:r w:rsidR="00983349" w:rsidRPr="00983349">
        <w:rPr>
          <w:rStyle w:val="eop"/>
          <w:rFonts w:ascii="Arial" w:hAnsi="Arial" w:cs="Arial"/>
          <w:sz w:val="22"/>
          <w:szCs w:val="22"/>
        </w:rPr>
        <w:t>of</w:t>
      </w:r>
      <w:r w:rsidRPr="00983349">
        <w:rPr>
          <w:rStyle w:val="eop"/>
          <w:rFonts w:ascii="Arial" w:hAnsi="Arial" w:cs="Arial"/>
          <w:sz w:val="22"/>
          <w:szCs w:val="22"/>
        </w:rPr>
        <w:t xml:space="preserve"> the information found.</w:t>
      </w:r>
    </w:p>
    <w:p w14:paraId="3D1D6A8A" w14:textId="07989180" w:rsidR="00577A82" w:rsidRPr="00983349" w:rsidRDefault="004974B1" w:rsidP="00983349">
      <w:pPr>
        <w:pStyle w:val="paragraph"/>
        <w:spacing w:before="0" w:beforeAutospacing="0" w:after="0" w:afterAutospacing="0" w:line="360" w:lineRule="auto"/>
        <w:jc w:val="both"/>
        <w:textAlignment w:val="baseline"/>
        <w:rPr>
          <w:rStyle w:val="normaltextrun"/>
          <w:rFonts w:ascii="Arial" w:hAnsi="Arial" w:cs="Arial"/>
          <w:sz w:val="16"/>
          <w:szCs w:val="16"/>
        </w:rPr>
      </w:pPr>
      <w:r w:rsidRPr="00983349">
        <w:rPr>
          <w:rStyle w:val="eop"/>
          <w:rFonts w:ascii="Arial" w:hAnsi="Arial" w:cs="Arial"/>
          <w:b/>
          <w:bCs/>
          <w:sz w:val="22"/>
          <w:szCs w:val="22"/>
        </w:rPr>
        <w:t>Objective 4:</w:t>
      </w:r>
      <w:r w:rsidRPr="00983349">
        <w:rPr>
          <w:rStyle w:val="eop"/>
          <w:rFonts w:ascii="Arial" w:hAnsi="Arial" w:cs="Arial"/>
          <w:sz w:val="22"/>
          <w:szCs w:val="22"/>
        </w:rPr>
        <w:t xml:space="preserve">  Provide recommendations for improvement based on the factors/findings of exploring the barriers that ethnic minorities face when accessing information and resources about blood and organ donation in the UK. Recommendations for improvement to the Government/Local authorities, funding bodies, NHS to have more readily available access inclusivity to these crucial services, resources, and information to ensure individuals from an ethnic background are accommodated, encouraged, supported, and empowered to make positive changes within their respective communities to raise awareness of this issue</w:t>
      </w:r>
      <w:r w:rsidR="00983349" w:rsidRPr="00983349">
        <w:rPr>
          <w:rStyle w:val="eop"/>
          <w:rFonts w:ascii="Arial" w:hAnsi="Arial" w:cs="Arial"/>
          <w:sz w:val="22"/>
          <w:szCs w:val="22"/>
        </w:rPr>
        <w:t xml:space="preserve"> </w:t>
      </w:r>
      <w:r w:rsidRPr="00983349">
        <w:rPr>
          <w:rStyle w:val="eop"/>
          <w:rFonts w:ascii="Arial" w:hAnsi="Arial" w:cs="Arial"/>
          <w:sz w:val="22"/>
          <w:szCs w:val="22"/>
        </w:rPr>
        <w:t>viable solutions to address those barriers collaborating with affected communities.</w:t>
      </w:r>
    </w:p>
    <w:p w14:paraId="35F34EEA" w14:textId="77777777" w:rsidR="00983349" w:rsidRPr="00983349" w:rsidRDefault="00983349" w:rsidP="00983349">
      <w:pPr>
        <w:pStyle w:val="paragraph"/>
        <w:spacing w:before="0" w:beforeAutospacing="0" w:after="0" w:afterAutospacing="0" w:line="360" w:lineRule="auto"/>
        <w:jc w:val="both"/>
        <w:textAlignment w:val="baseline"/>
        <w:rPr>
          <w:rStyle w:val="normaltextrun"/>
          <w:rFonts w:ascii="Arial" w:hAnsi="Arial" w:cs="Arial"/>
          <w:b/>
          <w:bCs/>
        </w:rPr>
      </w:pPr>
    </w:p>
    <w:p w14:paraId="44C7AF56" w14:textId="77777777" w:rsidR="00983349" w:rsidRPr="00983349" w:rsidRDefault="00983349" w:rsidP="00983349">
      <w:pPr>
        <w:pStyle w:val="paragraph"/>
        <w:spacing w:before="0" w:beforeAutospacing="0" w:after="0" w:afterAutospacing="0" w:line="360" w:lineRule="auto"/>
        <w:jc w:val="both"/>
        <w:textAlignment w:val="baseline"/>
        <w:rPr>
          <w:rStyle w:val="normaltextrun"/>
          <w:rFonts w:ascii="Arial" w:hAnsi="Arial" w:cs="Arial"/>
          <w:b/>
          <w:bCs/>
        </w:rPr>
      </w:pPr>
    </w:p>
    <w:p w14:paraId="4139E0E8" w14:textId="77777777" w:rsidR="00983349" w:rsidRDefault="00983349" w:rsidP="00BD2909">
      <w:pPr>
        <w:pStyle w:val="paragraph"/>
        <w:spacing w:before="0" w:beforeAutospacing="0" w:after="0" w:afterAutospacing="0" w:line="360" w:lineRule="auto"/>
        <w:textAlignment w:val="baseline"/>
        <w:rPr>
          <w:rStyle w:val="normaltextrun"/>
          <w:rFonts w:ascii="Arial" w:hAnsi="Arial" w:cs="Arial"/>
          <w:b/>
          <w:bCs/>
        </w:rPr>
      </w:pPr>
    </w:p>
    <w:p w14:paraId="1F1E2BDD" w14:textId="77777777" w:rsidR="00983349" w:rsidRDefault="00983349" w:rsidP="00BD2909">
      <w:pPr>
        <w:pStyle w:val="paragraph"/>
        <w:spacing w:before="0" w:beforeAutospacing="0" w:after="0" w:afterAutospacing="0" w:line="360" w:lineRule="auto"/>
        <w:textAlignment w:val="baseline"/>
        <w:rPr>
          <w:rStyle w:val="normaltextrun"/>
          <w:rFonts w:ascii="Arial" w:hAnsi="Arial" w:cs="Arial"/>
          <w:b/>
          <w:bCs/>
        </w:rPr>
      </w:pPr>
    </w:p>
    <w:p w14:paraId="15E9C4F9" w14:textId="77777777" w:rsidR="00983349" w:rsidRDefault="00983349" w:rsidP="00BD2909">
      <w:pPr>
        <w:pStyle w:val="paragraph"/>
        <w:spacing w:before="0" w:beforeAutospacing="0" w:after="0" w:afterAutospacing="0" w:line="360" w:lineRule="auto"/>
        <w:textAlignment w:val="baseline"/>
        <w:rPr>
          <w:rStyle w:val="normaltextrun"/>
          <w:rFonts w:ascii="Arial" w:hAnsi="Arial" w:cs="Arial"/>
          <w:b/>
          <w:bCs/>
        </w:rPr>
      </w:pPr>
    </w:p>
    <w:p w14:paraId="4FCBBEC2" w14:textId="63858FC8" w:rsidR="00BD2909" w:rsidRPr="0072484A" w:rsidRDefault="00BD2909" w:rsidP="00BD2909">
      <w:pPr>
        <w:pStyle w:val="paragraph"/>
        <w:spacing w:before="0" w:beforeAutospacing="0" w:after="0" w:afterAutospacing="0" w:line="360" w:lineRule="auto"/>
        <w:textAlignment w:val="baseline"/>
        <w:rPr>
          <w:rFonts w:ascii="Arial" w:hAnsi="Arial" w:cs="Arial"/>
          <w:b/>
          <w:bCs/>
        </w:rPr>
      </w:pPr>
      <w:r w:rsidRPr="0072484A">
        <w:rPr>
          <w:rStyle w:val="normaltextrun"/>
          <w:rFonts w:ascii="Arial" w:hAnsi="Arial" w:cs="Arial"/>
          <w:b/>
          <w:bCs/>
        </w:rPr>
        <w:t xml:space="preserve">1.5 Conclusion </w:t>
      </w:r>
      <w:r w:rsidRPr="0072484A">
        <w:rPr>
          <w:rStyle w:val="eop"/>
          <w:rFonts w:ascii="Arial" w:hAnsi="Arial" w:cs="Arial"/>
          <w:b/>
          <w:bCs/>
        </w:rPr>
        <w:t> </w:t>
      </w:r>
    </w:p>
    <w:p w14:paraId="1F8062C6" w14:textId="5D22AA7F" w:rsidR="00222BDE" w:rsidRPr="0072484A" w:rsidRDefault="00BD2909" w:rsidP="000258AC">
      <w:pPr>
        <w:pStyle w:val="paragraph"/>
        <w:tabs>
          <w:tab w:val="num" w:pos="0"/>
        </w:tabs>
        <w:spacing w:before="0" w:beforeAutospacing="0" w:after="0" w:afterAutospacing="0" w:line="360" w:lineRule="auto"/>
        <w:textAlignment w:val="baseline"/>
        <w:rPr>
          <w:rFonts w:ascii="Arial" w:hAnsi="Arial" w:cs="Arial"/>
        </w:rPr>
      </w:pPr>
      <w:r w:rsidRPr="0072484A">
        <w:rPr>
          <w:rStyle w:val="normaltextrun"/>
          <w:rFonts w:ascii="Arial" w:hAnsi="Arial" w:cs="Arial"/>
          <w:b/>
          <w:bCs/>
        </w:rPr>
        <w:t>Summary of Chapter 1:</w:t>
      </w:r>
      <w:r w:rsidRPr="0072484A">
        <w:rPr>
          <w:rStyle w:val="eop"/>
          <w:rFonts w:ascii="Arial" w:hAnsi="Arial" w:cs="Arial"/>
        </w:rPr>
        <w:t> </w:t>
      </w:r>
    </w:p>
    <w:p w14:paraId="3F235286" w14:textId="662F300B" w:rsidR="00222BDE" w:rsidRPr="00E619E4" w:rsidRDefault="00222BDE" w:rsidP="00222BDE">
      <w:pPr>
        <w:rPr>
          <w:rFonts w:ascii="Arial" w:hAnsi="Arial" w:cs="Arial"/>
        </w:rPr>
      </w:pPr>
      <w:r w:rsidRPr="00E619E4">
        <w:rPr>
          <w:rFonts w:ascii="Arial" w:hAnsi="Arial" w:cs="Arial"/>
        </w:rPr>
        <w:t xml:space="preserve">In </w:t>
      </w:r>
      <w:r w:rsidR="001D1381">
        <w:rPr>
          <w:rFonts w:ascii="Arial" w:hAnsi="Arial" w:cs="Arial"/>
        </w:rPr>
        <w:t>summary</w:t>
      </w:r>
      <w:r w:rsidRPr="00E619E4">
        <w:rPr>
          <w:rFonts w:ascii="Arial" w:hAnsi="Arial" w:cs="Arial"/>
        </w:rPr>
        <w:t xml:space="preserve">, this chapter has laid the conceptual and policy groundwork for the dissertation by clearly defining key terms, rationale, and objectives. It has highlighted the critical need to explore the barriers faced by ethnic minority communities in the UK when accessing information and resources related to blood and </w:t>
      </w:r>
      <w:r w:rsidRPr="00020D46">
        <w:rPr>
          <w:rFonts w:ascii="Arial" w:hAnsi="Arial" w:cs="Arial"/>
        </w:rPr>
        <w:t>organ donation. Evidence indicates that persistent inequalities in donation and transplantation outcomes exist, with minority ethnic groups experiencing longer waiting times and lower consent rates compared to white populations (NHS Blood and Transplant, 2024).</w:t>
      </w:r>
    </w:p>
    <w:p w14:paraId="4921BCB7" w14:textId="3603211F" w:rsidR="00222BDE" w:rsidRDefault="00865E89" w:rsidP="00222BDE">
      <w:pPr>
        <w:rPr>
          <w:rFonts w:ascii="Arial" w:hAnsi="Arial" w:cs="Arial"/>
        </w:rPr>
      </w:pPr>
      <w:r w:rsidRPr="00020D46">
        <w:rPr>
          <w:rFonts w:ascii="Arial" w:hAnsi="Arial" w:cs="Arial"/>
        </w:rPr>
        <w:t>Furthermore, it</w:t>
      </w:r>
      <w:r w:rsidR="00222BDE" w:rsidRPr="00020D46">
        <w:rPr>
          <w:rFonts w:ascii="Arial" w:hAnsi="Arial" w:cs="Arial"/>
        </w:rPr>
        <w:t xml:space="preserve"> examine</w:t>
      </w:r>
      <w:r w:rsidR="00A929E6" w:rsidRPr="00020D46">
        <w:rPr>
          <w:rFonts w:ascii="Arial" w:hAnsi="Arial" w:cs="Arial"/>
        </w:rPr>
        <w:t>s</w:t>
      </w:r>
      <w:r w:rsidR="00222BDE" w:rsidRPr="00020D46">
        <w:rPr>
          <w:rFonts w:ascii="Arial" w:hAnsi="Arial" w:cs="Arial"/>
        </w:rPr>
        <w:t xml:space="preserve"> how cultural beliefs, socio-economic disadvantages, and structural barriers intersect to contribute to these disparities, reinforcing the urgent need for culturally competent interventions (Randhawa &amp; Gardiner, 2022). Additionally, the implementation of the Organ Donation (Deemed Consent) Act 20</w:t>
      </w:r>
      <w:r w:rsidR="007E6039" w:rsidRPr="00020D46">
        <w:rPr>
          <w:rFonts w:ascii="Arial" w:hAnsi="Arial" w:cs="Arial"/>
        </w:rPr>
        <w:t>19</w:t>
      </w:r>
      <w:r w:rsidR="00222BDE" w:rsidRPr="00020D46">
        <w:rPr>
          <w:rFonts w:ascii="Arial" w:hAnsi="Arial" w:cs="Arial"/>
        </w:rPr>
        <w:t xml:space="preserve"> has not resolved these inequities, as research demonstrates that awareness and engagement levels remain lower among minority groups (Boadu et al., 2024).</w:t>
      </w:r>
    </w:p>
    <w:p w14:paraId="506B9C9F" w14:textId="6F4B4130" w:rsidR="007A530A" w:rsidRPr="00DB6822" w:rsidRDefault="00222BDE" w:rsidP="0072484A">
      <w:pPr>
        <w:rPr>
          <w:rFonts w:ascii="Arial" w:hAnsi="Arial" w:cs="Arial"/>
        </w:rPr>
      </w:pPr>
      <w:r w:rsidRPr="00E619E4">
        <w:rPr>
          <w:rFonts w:ascii="Arial" w:hAnsi="Arial" w:cs="Arial"/>
        </w:rPr>
        <w:t>Th</w:t>
      </w:r>
      <w:r w:rsidR="00C842EE">
        <w:rPr>
          <w:rFonts w:ascii="Arial" w:hAnsi="Arial" w:cs="Arial"/>
        </w:rPr>
        <w:t>is chapter</w:t>
      </w:r>
      <w:r w:rsidRPr="00E619E4">
        <w:rPr>
          <w:rFonts w:ascii="Arial" w:hAnsi="Arial" w:cs="Arial"/>
        </w:rPr>
        <w:t xml:space="preserve"> </w:t>
      </w:r>
      <w:r w:rsidR="00124C12">
        <w:rPr>
          <w:rFonts w:ascii="Arial" w:hAnsi="Arial" w:cs="Arial"/>
        </w:rPr>
        <w:t>highlights</w:t>
      </w:r>
      <w:r>
        <w:rPr>
          <w:rFonts w:ascii="Arial" w:hAnsi="Arial" w:cs="Arial"/>
        </w:rPr>
        <w:t xml:space="preserve"> </w:t>
      </w:r>
      <w:r w:rsidRPr="00E619E4">
        <w:rPr>
          <w:rFonts w:ascii="Arial" w:hAnsi="Arial" w:cs="Arial"/>
        </w:rPr>
        <w:t xml:space="preserve">the necessity for a comprehensive, evidence-based investigation into institutional trust, communication strategies, and policy reform to improve equity in donation services. </w:t>
      </w:r>
    </w:p>
    <w:p w14:paraId="59CA20B0" w14:textId="07A7206A" w:rsidR="00F16D04" w:rsidRDefault="00F16D04" w:rsidP="007A530A">
      <w:pPr>
        <w:rPr>
          <w:rFonts w:ascii="Arial" w:hAnsi="Arial" w:cs="Arial"/>
        </w:rPr>
      </w:pPr>
      <w:r w:rsidRPr="007A530A">
        <w:rPr>
          <w:rFonts w:ascii="Arial" w:hAnsi="Arial" w:cs="Arial"/>
        </w:rPr>
        <w:t>Chapter 2 will build on this foundation by providing an</w:t>
      </w:r>
      <w:r w:rsidR="00FA584C" w:rsidRPr="007A530A">
        <w:rPr>
          <w:rFonts w:ascii="Arial" w:hAnsi="Arial" w:cs="Arial"/>
        </w:rPr>
        <w:t xml:space="preserve"> </w:t>
      </w:r>
      <w:r w:rsidRPr="007A530A">
        <w:rPr>
          <w:rFonts w:ascii="Arial" w:hAnsi="Arial" w:cs="Arial"/>
        </w:rPr>
        <w:t>in</w:t>
      </w:r>
      <w:r w:rsidRPr="007A530A">
        <w:rPr>
          <w:rFonts w:ascii="Cambria Math" w:hAnsi="Cambria Math" w:cs="Cambria Math"/>
        </w:rPr>
        <w:t>‑</w:t>
      </w:r>
      <w:r w:rsidRPr="007A530A">
        <w:rPr>
          <w:rFonts w:ascii="Arial" w:hAnsi="Arial" w:cs="Arial"/>
        </w:rPr>
        <w:t>depth background and analysis. It will trace the historical development of blood and organ donation policy in the UK, introduce key theoretical frameworks such as the Health Belief Model</w:t>
      </w:r>
      <w:r w:rsidR="00DC50C9">
        <w:rPr>
          <w:rFonts w:ascii="Arial" w:hAnsi="Arial" w:cs="Arial"/>
        </w:rPr>
        <w:t xml:space="preserve"> </w:t>
      </w:r>
      <w:r w:rsidR="00B706C7" w:rsidRPr="007A530A">
        <w:rPr>
          <w:rFonts w:ascii="Arial" w:hAnsi="Arial" w:cs="Arial"/>
        </w:rPr>
        <w:t>and whole</w:t>
      </w:r>
      <w:r w:rsidR="00B706C7" w:rsidRPr="007A530A">
        <w:rPr>
          <w:rFonts w:ascii="Cambria Math" w:hAnsi="Cambria Math" w:cs="Cambria Math"/>
        </w:rPr>
        <w:t>‑</w:t>
      </w:r>
      <w:r w:rsidR="00B706C7" w:rsidRPr="007A530A">
        <w:rPr>
          <w:rFonts w:ascii="Arial" w:hAnsi="Arial" w:cs="Arial"/>
        </w:rPr>
        <w:t>systems/anti</w:t>
      </w:r>
      <w:r w:rsidR="00B706C7" w:rsidRPr="007A530A">
        <w:rPr>
          <w:rFonts w:ascii="Cambria Math" w:hAnsi="Cambria Math" w:cs="Cambria Math"/>
        </w:rPr>
        <w:t>‑</w:t>
      </w:r>
      <w:r w:rsidR="00B706C7" w:rsidRPr="007A530A">
        <w:rPr>
          <w:rFonts w:ascii="Arial" w:hAnsi="Arial" w:cs="Arial"/>
        </w:rPr>
        <w:t>racist approaches,</w:t>
      </w:r>
      <w:r w:rsidR="00B10986">
        <w:rPr>
          <w:rFonts w:ascii="Arial" w:hAnsi="Arial" w:cs="Arial"/>
        </w:rPr>
        <w:t xml:space="preserve"> </w:t>
      </w:r>
      <w:r w:rsidRPr="007A530A">
        <w:rPr>
          <w:rFonts w:ascii="Arial" w:hAnsi="Arial" w:cs="Arial"/>
        </w:rPr>
        <w:t xml:space="preserve">and situate the UK experience within an international </w:t>
      </w:r>
      <w:r w:rsidR="005C1674">
        <w:rPr>
          <w:rFonts w:ascii="Arial" w:hAnsi="Arial" w:cs="Arial"/>
        </w:rPr>
        <w:t xml:space="preserve">and local </w:t>
      </w:r>
      <w:r w:rsidRPr="007A530A">
        <w:rPr>
          <w:rFonts w:ascii="Arial" w:hAnsi="Arial" w:cs="Arial"/>
        </w:rPr>
        <w:t>context. This background will offer the conceptual grounding necessary for the methodological and analytical chapters that follow.</w:t>
      </w:r>
    </w:p>
    <w:p w14:paraId="0DBC5AAB" w14:textId="30230603" w:rsidR="003135AD" w:rsidRDefault="00BD2909" w:rsidP="00983349">
      <w:pPr>
        <w:pStyle w:val="paragraph"/>
        <w:tabs>
          <w:tab w:val="num" w:pos="0"/>
        </w:tabs>
        <w:spacing w:before="0" w:beforeAutospacing="0" w:after="0" w:afterAutospacing="0" w:line="360" w:lineRule="auto"/>
        <w:jc w:val="both"/>
        <w:textAlignment w:val="baseline"/>
      </w:pPr>
      <w:r w:rsidRPr="00F16D04">
        <w:rPr>
          <w:rStyle w:val="eop"/>
          <w:rFonts w:ascii="Arial" w:hAnsi="Arial" w:cs="Arial"/>
          <w:sz w:val="22"/>
          <w:szCs w:val="22"/>
        </w:rPr>
        <w:t> </w:t>
      </w:r>
    </w:p>
    <w:p w14:paraId="769BB6C7" w14:textId="77777777" w:rsidR="00DB6822" w:rsidRDefault="00DB6822" w:rsidP="000D0641">
      <w:pPr>
        <w:pStyle w:val="Heading1"/>
        <w:ind w:left="0"/>
        <w:rPr>
          <w:rFonts w:ascii="Aptos" w:hAnsi="Aptos"/>
        </w:rPr>
      </w:pPr>
    </w:p>
    <w:p w14:paraId="31386F64" w14:textId="77777777" w:rsidR="00DB6822" w:rsidRDefault="00DB6822" w:rsidP="000D0641">
      <w:pPr>
        <w:pStyle w:val="Heading1"/>
        <w:ind w:left="0"/>
        <w:rPr>
          <w:rFonts w:ascii="Aptos" w:hAnsi="Aptos"/>
        </w:rPr>
      </w:pPr>
    </w:p>
    <w:p w14:paraId="701FE440" w14:textId="77777777" w:rsidR="00DB6822" w:rsidRDefault="00DB6822" w:rsidP="000D0641">
      <w:pPr>
        <w:pStyle w:val="Heading1"/>
        <w:ind w:left="0"/>
        <w:rPr>
          <w:rFonts w:ascii="Aptos" w:hAnsi="Aptos"/>
        </w:rPr>
      </w:pPr>
    </w:p>
    <w:p w14:paraId="51F7F166" w14:textId="77777777" w:rsidR="001F587F" w:rsidRDefault="001F587F" w:rsidP="000D0641">
      <w:pPr>
        <w:pStyle w:val="Heading1"/>
        <w:ind w:left="0"/>
        <w:rPr>
          <w:rFonts w:ascii="Aptos" w:hAnsi="Aptos"/>
        </w:rPr>
      </w:pPr>
    </w:p>
    <w:p w14:paraId="5ACD21B0" w14:textId="77777777" w:rsidR="001F587F" w:rsidRDefault="001F587F" w:rsidP="000D0641">
      <w:pPr>
        <w:pStyle w:val="Heading1"/>
        <w:ind w:left="0"/>
        <w:rPr>
          <w:rFonts w:ascii="Aptos" w:hAnsi="Aptos"/>
        </w:rPr>
      </w:pPr>
    </w:p>
    <w:p w14:paraId="279F72B5" w14:textId="77777777" w:rsidR="001F587F" w:rsidRDefault="001F587F" w:rsidP="000D0641">
      <w:pPr>
        <w:pStyle w:val="Heading1"/>
        <w:ind w:left="0"/>
        <w:rPr>
          <w:rFonts w:ascii="Aptos" w:hAnsi="Aptos"/>
        </w:rPr>
      </w:pPr>
    </w:p>
    <w:p w14:paraId="4505BD6A" w14:textId="77777777" w:rsidR="001F587F" w:rsidRDefault="001F587F" w:rsidP="000D0641">
      <w:pPr>
        <w:pStyle w:val="Heading1"/>
        <w:ind w:left="0"/>
        <w:rPr>
          <w:rFonts w:ascii="Aptos" w:hAnsi="Aptos"/>
        </w:rPr>
      </w:pPr>
    </w:p>
    <w:p w14:paraId="2857A632" w14:textId="7C4356D8" w:rsidR="001F587F" w:rsidRPr="000D4A16" w:rsidRDefault="000D4A16" w:rsidP="000D4A16">
      <w:pPr>
        <w:pStyle w:val="Heading1"/>
        <w:tabs>
          <w:tab w:val="left" w:pos="13728"/>
        </w:tabs>
        <w:ind w:left="0"/>
        <w:jc w:val="both"/>
        <w:rPr>
          <w:rFonts w:cs="Arial"/>
          <w:sz w:val="22"/>
          <w:szCs w:val="22"/>
        </w:rPr>
      </w:pPr>
      <w:r>
        <w:rPr>
          <w:rFonts w:ascii="Aptos" w:hAnsi="Aptos"/>
        </w:rPr>
        <w:tab/>
      </w:r>
    </w:p>
    <w:p w14:paraId="7B71A606" w14:textId="77777777" w:rsidR="00DB6822" w:rsidRDefault="00DB6822" w:rsidP="000D0641">
      <w:pPr>
        <w:pStyle w:val="Heading1"/>
        <w:ind w:left="0"/>
        <w:rPr>
          <w:rFonts w:ascii="Aptos" w:hAnsi="Aptos"/>
        </w:rPr>
      </w:pPr>
    </w:p>
    <w:p w14:paraId="7D780407" w14:textId="134A4FAF" w:rsidR="00051C1C" w:rsidRPr="0072484A" w:rsidRDefault="000D0641" w:rsidP="00C60F06">
      <w:pPr>
        <w:pStyle w:val="Heading1"/>
        <w:ind w:left="0"/>
        <w:rPr>
          <w:rFonts w:cs="Arial"/>
        </w:rPr>
      </w:pPr>
      <w:bookmarkStart w:id="2" w:name="_Toc226743140"/>
      <w:r w:rsidRPr="0072484A">
        <w:rPr>
          <w:rFonts w:cs="Arial"/>
        </w:rPr>
        <w:t xml:space="preserve">CHAPTER 2 – </w:t>
      </w:r>
      <w:r w:rsidR="00BD2909" w:rsidRPr="0072484A">
        <w:rPr>
          <w:rFonts w:cs="Arial"/>
        </w:rPr>
        <w:t xml:space="preserve">Background </w:t>
      </w:r>
      <w:r w:rsidR="00F44833" w:rsidRPr="0072484A">
        <w:rPr>
          <w:rFonts w:cs="Arial"/>
        </w:rPr>
        <w:t xml:space="preserve">Information and </w:t>
      </w:r>
      <w:r w:rsidR="00BD2909" w:rsidRPr="0072484A">
        <w:rPr>
          <w:rFonts w:cs="Arial"/>
        </w:rPr>
        <w:t>Analysis</w:t>
      </w:r>
      <w:bookmarkEnd w:id="2"/>
      <w:r w:rsidRPr="0072484A">
        <w:rPr>
          <w:rFonts w:cs="Arial"/>
        </w:rPr>
        <w:t xml:space="preserve"> </w:t>
      </w:r>
    </w:p>
    <w:p w14:paraId="45A214C2" w14:textId="77777777" w:rsidR="0072484A" w:rsidRPr="0072484A" w:rsidRDefault="0072484A" w:rsidP="00C60F06">
      <w:pPr>
        <w:pStyle w:val="Heading1"/>
        <w:ind w:left="0"/>
        <w:rPr>
          <w:rStyle w:val="normaltextrun"/>
          <w:rFonts w:cs="Arial"/>
          <w:color w:val="0F4761"/>
          <w:sz w:val="18"/>
          <w:szCs w:val="18"/>
        </w:rPr>
      </w:pPr>
    </w:p>
    <w:p w14:paraId="3E1184C4" w14:textId="314731B2" w:rsidR="00BD2909" w:rsidRDefault="00BD2909" w:rsidP="00C60F06">
      <w:pPr>
        <w:pStyle w:val="paragraph"/>
        <w:tabs>
          <w:tab w:val="num" w:pos="0"/>
        </w:tabs>
        <w:spacing w:before="0" w:beforeAutospacing="0" w:after="0" w:afterAutospacing="0" w:line="360" w:lineRule="auto"/>
        <w:textAlignment w:val="baseline"/>
        <w:rPr>
          <w:rStyle w:val="normaltextrun"/>
          <w:rFonts w:ascii="Arial" w:hAnsi="Arial" w:cs="Arial"/>
          <w:b/>
          <w:bCs/>
        </w:rPr>
      </w:pPr>
      <w:r w:rsidRPr="0072484A">
        <w:rPr>
          <w:rStyle w:val="normaltextrun"/>
          <w:rFonts w:ascii="Arial" w:hAnsi="Arial" w:cs="Arial"/>
          <w:b/>
          <w:bCs/>
        </w:rPr>
        <w:t xml:space="preserve">2.1 Introduction </w:t>
      </w:r>
    </w:p>
    <w:p w14:paraId="71B911DF" w14:textId="77777777" w:rsidR="00D93C98" w:rsidRPr="00D93C98" w:rsidRDefault="00D93C98" w:rsidP="00D93C98">
      <w:pPr>
        <w:pStyle w:val="paragraph"/>
        <w:tabs>
          <w:tab w:val="num" w:pos="0"/>
        </w:tabs>
        <w:spacing w:line="360" w:lineRule="auto"/>
        <w:jc w:val="both"/>
        <w:textAlignment w:val="baseline"/>
        <w:rPr>
          <w:rFonts w:ascii="Arial" w:hAnsi="Arial" w:cs="Arial"/>
          <w:sz w:val="22"/>
          <w:szCs w:val="22"/>
        </w:rPr>
      </w:pPr>
      <w:r w:rsidRPr="00D93C98">
        <w:rPr>
          <w:rFonts w:ascii="Arial" w:hAnsi="Arial" w:cs="Arial"/>
          <w:sz w:val="22"/>
          <w:szCs w:val="22"/>
        </w:rPr>
        <w:t>This chapter provides the historical, clinical, and theoretical context necessary to understand contemporary inequalities in blood and organ donation within the United Kingdom. It situates current disparities within the development of transfusion and transplantation science while foregrounding the structural and institutional conditions that continue to disadvantage ethnic minority communities. Rather than offering an exhaustive historical account, this chapter critically examines key developments that inform present</w:t>
      </w:r>
      <w:r w:rsidRPr="00D93C98">
        <w:rPr>
          <w:rFonts w:ascii="Arial" w:hAnsi="Arial" w:cs="Arial"/>
          <w:sz w:val="22"/>
          <w:szCs w:val="22"/>
        </w:rPr>
        <w:noBreakHyphen/>
        <w:t>day inequities, particularly the relationship between biological compatibility, institutional trust, and access to culturally appropriate healthcare information (Morgan et al., 2016; Grossi et al., 2023).</w:t>
      </w:r>
    </w:p>
    <w:p w14:paraId="03083157" w14:textId="77777777" w:rsidR="00D93C98" w:rsidRPr="0072484A" w:rsidRDefault="00D93C98" w:rsidP="00C60F06">
      <w:pPr>
        <w:pStyle w:val="paragraph"/>
        <w:tabs>
          <w:tab w:val="num" w:pos="0"/>
        </w:tabs>
        <w:spacing w:before="0" w:beforeAutospacing="0" w:after="0" w:afterAutospacing="0" w:line="360" w:lineRule="auto"/>
        <w:textAlignment w:val="baseline"/>
        <w:rPr>
          <w:rFonts w:ascii="Arial" w:hAnsi="Arial" w:cs="Arial"/>
          <w:b/>
          <w:bCs/>
          <w:sz w:val="22"/>
          <w:szCs w:val="22"/>
        </w:rPr>
      </w:pPr>
    </w:p>
    <w:p w14:paraId="0867DB53" w14:textId="7F7CAE4D" w:rsidR="00FB6DCC" w:rsidRPr="00FB6DCC" w:rsidRDefault="00BD2909" w:rsidP="00FB6DCC">
      <w:pPr>
        <w:pStyle w:val="paragraph"/>
        <w:spacing w:before="0" w:beforeAutospacing="0" w:after="0" w:afterAutospacing="0" w:line="360" w:lineRule="auto"/>
        <w:jc w:val="both"/>
        <w:textAlignment w:val="baseline"/>
        <w:rPr>
          <w:rFonts w:ascii="Arial" w:hAnsi="Arial" w:cs="Arial"/>
          <w:b/>
          <w:bCs/>
        </w:rPr>
      </w:pPr>
      <w:r w:rsidRPr="00983349">
        <w:rPr>
          <w:rStyle w:val="normaltextrun"/>
          <w:rFonts w:ascii="Arial" w:hAnsi="Arial" w:cs="Arial"/>
          <w:b/>
          <w:bCs/>
        </w:rPr>
        <w:t xml:space="preserve">2.2 </w:t>
      </w:r>
      <w:r w:rsidR="00FB6DCC" w:rsidRPr="00FB6DCC">
        <w:rPr>
          <w:rFonts w:ascii="Arial" w:eastAsia="Calibri Light" w:hAnsi="Arial" w:cs="Arial"/>
          <w:b/>
          <w:bCs/>
        </w:rPr>
        <w:t>Historical Foundations of Blood and Organ Donation</w:t>
      </w:r>
    </w:p>
    <w:p w14:paraId="1355C1D7" w14:textId="3F71B901" w:rsidR="00FB6DCC" w:rsidRPr="00FB6DCC" w:rsidRDefault="00FB6DCC" w:rsidP="00FB6DCC">
      <w:pPr>
        <w:pStyle w:val="paragraph"/>
        <w:spacing w:before="0" w:beforeAutospacing="0" w:after="0" w:afterAutospacing="0" w:line="360" w:lineRule="auto"/>
        <w:jc w:val="both"/>
        <w:textAlignment w:val="baseline"/>
        <w:rPr>
          <w:rFonts w:ascii="Arial" w:eastAsia="Calibri Light" w:hAnsi="Arial" w:cs="Arial"/>
          <w:sz w:val="22"/>
          <w:szCs w:val="22"/>
        </w:rPr>
      </w:pPr>
      <w:r w:rsidRPr="00FB6DCC">
        <w:rPr>
          <w:rFonts w:ascii="Arial" w:eastAsia="Calibri Light" w:hAnsi="Arial" w:cs="Arial"/>
          <w:sz w:val="22"/>
          <w:szCs w:val="22"/>
        </w:rPr>
        <w:t xml:space="preserve">The development of modern blood transfusion practices </w:t>
      </w:r>
      <w:r w:rsidR="00DC3B7B">
        <w:rPr>
          <w:rFonts w:ascii="Arial" w:eastAsia="Calibri Light" w:hAnsi="Arial" w:cs="Arial"/>
          <w:sz w:val="22"/>
          <w:szCs w:val="22"/>
        </w:rPr>
        <w:t>has developed through</w:t>
      </w:r>
      <w:r w:rsidRPr="00FB6DCC">
        <w:rPr>
          <w:rFonts w:ascii="Arial" w:eastAsia="Calibri Light" w:hAnsi="Arial" w:cs="Arial"/>
          <w:sz w:val="22"/>
          <w:szCs w:val="22"/>
        </w:rPr>
        <w:t xml:space="preserve"> </w:t>
      </w:r>
      <w:r w:rsidR="00DC3B7B">
        <w:rPr>
          <w:rFonts w:ascii="Arial" w:eastAsia="Calibri Light" w:hAnsi="Arial" w:cs="Arial"/>
          <w:sz w:val="22"/>
          <w:szCs w:val="22"/>
        </w:rPr>
        <w:t xml:space="preserve">key </w:t>
      </w:r>
      <w:r w:rsidRPr="00FB6DCC">
        <w:rPr>
          <w:rFonts w:ascii="Arial" w:eastAsia="Calibri Light" w:hAnsi="Arial" w:cs="Arial"/>
          <w:sz w:val="22"/>
          <w:szCs w:val="22"/>
        </w:rPr>
        <w:t xml:space="preserve">advances in circulatory science and immunohaematology. </w:t>
      </w:r>
      <w:r>
        <w:rPr>
          <w:rFonts w:ascii="Arial" w:eastAsia="Calibri Light" w:hAnsi="Arial" w:cs="Arial"/>
          <w:sz w:val="22"/>
          <w:szCs w:val="22"/>
        </w:rPr>
        <w:t xml:space="preserve"> </w:t>
      </w:r>
      <w:r w:rsidRPr="00FB6DCC">
        <w:rPr>
          <w:rFonts w:ascii="Arial" w:eastAsia="Calibri Light" w:hAnsi="Arial" w:cs="Arial"/>
          <w:sz w:val="22"/>
          <w:szCs w:val="22"/>
        </w:rPr>
        <w:t>Early discoveries, including Harvey’s identification of systemic circulation and Landsteiner’s classification of ABO blood groups, established the scientific foundations for safe transfusion and compatibility</w:t>
      </w:r>
      <w:r w:rsidRPr="00FB6DCC">
        <w:rPr>
          <w:rFonts w:ascii="Arial" w:eastAsia="Calibri Light" w:hAnsi="Arial" w:cs="Arial"/>
          <w:sz w:val="22"/>
          <w:szCs w:val="22"/>
        </w:rPr>
        <w:noBreakHyphen/>
        <w:t>based donation systems (McClelland, 2024). These developments transformed transfusion medicine from an experimental practice into a standard component of clinical care, enabling its widespread use in trauma care, surgery, and chronic disease management.</w:t>
      </w:r>
    </w:p>
    <w:p w14:paraId="5BFA21E8" w14:textId="77777777" w:rsidR="00FB6DCC" w:rsidRPr="00FB6DCC" w:rsidRDefault="00FB6DCC" w:rsidP="00FB6DCC">
      <w:pPr>
        <w:pStyle w:val="paragraph"/>
        <w:spacing w:before="0" w:beforeAutospacing="0" w:after="0" w:afterAutospacing="0" w:line="360" w:lineRule="auto"/>
        <w:jc w:val="both"/>
        <w:textAlignment w:val="baseline"/>
        <w:rPr>
          <w:rFonts w:ascii="Arial" w:eastAsia="Calibri Light" w:hAnsi="Arial" w:cs="Arial"/>
          <w:sz w:val="22"/>
          <w:szCs w:val="22"/>
        </w:rPr>
      </w:pPr>
      <w:r w:rsidRPr="00FB6DCC">
        <w:rPr>
          <w:rFonts w:ascii="Arial" w:eastAsia="Calibri Light" w:hAnsi="Arial" w:cs="Arial"/>
          <w:sz w:val="22"/>
          <w:szCs w:val="22"/>
        </w:rPr>
        <w:t>The evolution of transfusion medicine directly informed the emergence of organ transplantation. As transplantation developed, immunological rejection became recognised as the primary obstacle to graft survival. Medawar’s work on acquired immunological tolerance demonstrated that rejection was immune</w:t>
      </w:r>
      <w:r w:rsidRPr="00FB6DCC">
        <w:rPr>
          <w:rFonts w:ascii="Arial" w:eastAsia="Calibri Light" w:hAnsi="Arial" w:cs="Arial"/>
          <w:sz w:val="22"/>
          <w:szCs w:val="22"/>
        </w:rPr>
        <w:noBreakHyphen/>
        <w:t>mediated rather than surgically determined, reshaping clinical practice and enabling the development of immunosuppressive therapies (British Transplantation Society, 2022). These scientific advances underpin contemporary organ transplant systems while simultaneously introducing new equity challenges linked to immunological compatibility.</w:t>
      </w:r>
    </w:p>
    <w:p w14:paraId="5A6F2B29" w14:textId="77777777" w:rsidR="00FB6DCC" w:rsidRPr="00FB6DCC" w:rsidRDefault="00FB6DCC" w:rsidP="00FB6DCC">
      <w:pPr>
        <w:pStyle w:val="paragraph"/>
        <w:spacing w:before="0" w:beforeAutospacing="0" w:after="0" w:afterAutospacing="0" w:line="360" w:lineRule="auto"/>
        <w:jc w:val="both"/>
        <w:textAlignment w:val="baseline"/>
        <w:rPr>
          <w:rStyle w:val="eop"/>
          <w:rFonts w:ascii="Arial" w:eastAsia="Calibri Light" w:hAnsi="Arial" w:cs="Arial"/>
          <w:sz w:val="22"/>
          <w:szCs w:val="22"/>
        </w:rPr>
      </w:pPr>
    </w:p>
    <w:p w14:paraId="12B08C51" w14:textId="77777777" w:rsidR="00C24CC9" w:rsidRDefault="0072484A" w:rsidP="00C24CC9">
      <w:pPr>
        <w:pStyle w:val="paragraph"/>
        <w:spacing w:before="0" w:beforeAutospacing="0" w:after="0" w:afterAutospacing="0" w:line="360" w:lineRule="auto"/>
        <w:jc w:val="both"/>
        <w:textAlignment w:val="baseline"/>
        <w:rPr>
          <w:rStyle w:val="normaltextrun"/>
          <w:rFonts w:ascii="Arial" w:hAnsi="Arial" w:cs="Arial"/>
          <w:b/>
          <w:bCs/>
          <w:color w:val="000000" w:themeColor="text1"/>
        </w:rPr>
      </w:pPr>
      <w:r w:rsidRPr="00F8201B">
        <w:rPr>
          <w:rStyle w:val="normaltextrun"/>
          <w:rFonts w:ascii="Arial" w:hAnsi="Arial" w:cs="Arial"/>
          <w:b/>
          <w:bCs/>
          <w:color w:val="000000" w:themeColor="text1"/>
        </w:rPr>
        <w:t>2.2.1</w:t>
      </w:r>
      <w:r>
        <w:rPr>
          <w:rStyle w:val="normaltextrun"/>
          <w:rFonts w:ascii="Arial" w:hAnsi="Arial" w:cs="Arial"/>
          <w:b/>
          <w:bCs/>
          <w:color w:val="000000" w:themeColor="text1"/>
        </w:rPr>
        <w:t xml:space="preserve"> </w:t>
      </w:r>
      <w:r w:rsidRPr="00F8201B">
        <w:rPr>
          <w:rStyle w:val="normaltextrun"/>
          <w:rFonts w:ascii="Arial" w:hAnsi="Arial" w:cs="Arial"/>
          <w:b/>
          <w:bCs/>
          <w:color w:val="000000" w:themeColor="text1"/>
        </w:rPr>
        <w:t>The Biological Barrier: HLA Matching and Ethnicity</w:t>
      </w:r>
      <w:r w:rsidR="00C24CC9">
        <w:rPr>
          <w:rStyle w:val="normaltextrun"/>
          <w:rFonts w:ascii="Arial" w:hAnsi="Arial" w:cs="Arial"/>
          <w:b/>
          <w:bCs/>
          <w:color w:val="000000" w:themeColor="text1"/>
        </w:rPr>
        <w:t xml:space="preserve"> </w:t>
      </w:r>
    </w:p>
    <w:p w14:paraId="5695A7BE" w14:textId="4A1C7CBA" w:rsidR="00B46290" w:rsidRPr="00B46290" w:rsidRDefault="00D701E4" w:rsidP="00B46290">
      <w:pPr>
        <w:pStyle w:val="paragraph"/>
        <w:spacing w:line="360" w:lineRule="auto"/>
        <w:jc w:val="both"/>
        <w:textAlignment w:val="baseline"/>
        <w:rPr>
          <w:rFonts w:ascii="Arial" w:hAnsi="Arial" w:cs="Arial"/>
          <w:color w:val="000000" w:themeColor="text1"/>
        </w:rPr>
      </w:pPr>
      <w:r>
        <w:rPr>
          <w:rFonts w:ascii="Arial" w:hAnsi="Arial" w:cs="Arial"/>
          <w:color w:val="000000" w:themeColor="text1"/>
          <w:sz w:val="22"/>
          <w:szCs w:val="22"/>
        </w:rPr>
        <w:t>Human Leukocyte Antigen (HLA) matching is a central biological requirement in organ transplantation and poses a disproportionate barrier for ethnic minority patients. While ABO blood grouping remains central to transfusion safety, organ transplantation relies predominantly on Human Leukocyte Antigen (HLA) compatibility. HLA markers are genetically inherited and more likely to match within genetically similar populations, creating a structural disadvantage for ethnic minority patients in contexts where donor pools lack diversity (Papadimitriou et al., 2022; Udayaraj et al., 2013). Because HLA profiles are more likely to be shared within genetically similar populations, patients are more likely to identify compatible donors from their own ethnic group (Morgan et al., 2016; Randhawa, 2012). Research consistently demonstrates that ethnic minority patients experience longer waiting times for transplantation and reduced access to suitably matched organs, despite being over-represented on transplant waiting lists (Morgan et al., 2016; NHS Blood and Transplant, 2025). These prolonged waiting periods are associated with greater reliance on dialysis, increased morbidity, and poorer health outcomes, thereby reinforcing existing health inequalities (Udayaraj et al., 2013; Randhawa and Gardiner, 2022).</w:t>
      </w:r>
    </w:p>
    <w:p w14:paraId="6C8AAE61" w14:textId="1B7934DB" w:rsidR="00FB6DCC" w:rsidRPr="00FB6DCC" w:rsidRDefault="00B46290" w:rsidP="00B92637">
      <w:pPr>
        <w:pStyle w:val="paragraph"/>
        <w:spacing w:line="360" w:lineRule="auto"/>
        <w:jc w:val="both"/>
        <w:textAlignment w:val="baseline"/>
        <w:rPr>
          <w:rFonts w:ascii="Arial" w:hAnsi="Arial" w:cs="Arial"/>
          <w:color w:val="000000" w:themeColor="text1"/>
          <w:sz w:val="22"/>
          <w:szCs w:val="22"/>
        </w:rPr>
      </w:pPr>
      <w:r w:rsidRPr="00B46290">
        <w:rPr>
          <w:rFonts w:ascii="Arial" w:hAnsi="Arial" w:cs="Arial"/>
          <w:color w:val="000000" w:themeColor="text1"/>
          <w:sz w:val="22"/>
          <w:szCs w:val="22"/>
        </w:rPr>
        <w:t>Crucially, the biological requirement for HLA compatibility challenges deficit</w:t>
      </w:r>
      <w:r w:rsidRPr="00B46290">
        <w:rPr>
          <w:rFonts w:ascii="Arial" w:hAnsi="Arial" w:cs="Arial"/>
          <w:color w:val="000000" w:themeColor="text1"/>
          <w:sz w:val="22"/>
          <w:szCs w:val="22"/>
        </w:rPr>
        <w:noBreakHyphen/>
        <w:t xml:space="preserve">based explanations that attribute lower transplant rates among ethnic minority communities solely to cultural hesitancy or lack of donor registration. Instead, it illustrates how biological factors interact with structural features of transplantation systems to reproduce inequity. Limited donor diversity transforms genetic variation into unequal access, embedding disadvantage within organ allocation pathways (Grossi et al., 2023; Randhawa and Neuberger, 2023). </w:t>
      </w:r>
      <w:r w:rsidR="00B92637">
        <w:rPr>
          <w:rFonts w:ascii="Arial" w:hAnsi="Arial" w:cs="Arial"/>
          <w:color w:val="000000" w:themeColor="text1"/>
          <w:sz w:val="22"/>
          <w:szCs w:val="22"/>
        </w:rPr>
        <w:t xml:space="preserve">  </w:t>
      </w:r>
      <w:r w:rsidRPr="00B46290">
        <w:rPr>
          <w:rFonts w:ascii="Arial" w:hAnsi="Arial" w:cs="Arial"/>
          <w:color w:val="000000" w:themeColor="text1"/>
          <w:sz w:val="22"/>
          <w:szCs w:val="22"/>
        </w:rPr>
        <w:t>Addressing HLA mismatch must therefore be understood not only as a clinical priority, but as a wider public health and equity concern requiring system</w:t>
      </w:r>
      <w:r w:rsidRPr="00B46290">
        <w:rPr>
          <w:rFonts w:ascii="Arial" w:hAnsi="Arial" w:cs="Arial"/>
          <w:color w:val="000000" w:themeColor="text1"/>
          <w:sz w:val="22"/>
          <w:szCs w:val="22"/>
        </w:rPr>
        <w:noBreakHyphen/>
        <w:t>level intervention.</w:t>
      </w:r>
      <w:r w:rsidR="00B92637">
        <w:rPr>
          <w:rFonts w:ascii="Arial" w:hAnsi="Arial" w:cs="Arial"/>
          <w:color w:val="000000" w:themeColor="text1"/>
          <w:sz w:val="22"/>
          <w:szCs w:val="22"/>
        </w:rPr>
        <w:t xml:space="preserve">  </w:t>
      </w:r>
      <w:r w:rsidR="00FB6DCC" w:rsidRPr="00FB6DCC">
        <w:rPr>
          <w:rFonts w:ascii="Arial" w:hAnsi="Arial" w:cs="Arial"/>
          <w:color w:val="000000" w:themeColor="text1"/>
          <w:sz w:val="22"/>
          <w:szCs w:val="22"/>
        </w:rPr>
        <w:t>In the UK, this imbalance contributes to prolonged waiting times and poorer transplant outcomes for minority ethnic patients, particularly those requiring kidney and liver transplants (Morgan et al., 2016; Ahmad et al., 2022). The biological necessity of close HLA matching</w:t>
      </w:r>
      <w:r w:rsidR="00B92637">
        <w:rPr>
          <w:rFonts w:ascii="Arial" w:hAnsi="Arial" w:cs="Arial"/>
          <w:color w:val="000000" w:themeColor="text1"/>
          <w:sz w:val="22"/>
          <w:szCs w:val="22"/>
        </w:rPr>
        <w:t>,</w:t>
      </w:r>
      <w:r w:rsidR="00FB6DCC" w:rsidRPr="00FB6DCC">
        <w:rPr>
          <w:rFonts w:ascii="Arial" w:hAnsi="Arial" w:cs="Arial"/>
          <w:color w:val="000000" w:themeColor="text1"/>
          <w:sz w:val="22"/>
          <w:szCs w:val="22"/>
        </w:rPr>
        <w:t xml:space="preserve"> therefore</w:t>
      </w:r>
      <w:r w:rsidR="00FB6DCC">
        <w:rPr>
          <w:rFonts w:ascii="Arial" w:hAnsi="Arial" w:cs="Arial"/>
          <w:color w:val="000000" w:themeColor="text1"/>
          <w:sz w:val="22"/>
          <w:szCs w:val="22"/>
        </w:rPr>
        <w:t>,</w:t>
      </w:r>
      <w:r w:rsidR="00FB6DCC" w:rsidRPr="00FB6DCC">
        <w:rPr>
          <w:rFonts w:ascii="Arial" w:hAnsi="Arial" w:cs="Arial"/>
          <w:color w:val="000000" w:themeColor="text1"/>
          <w:sz w:val="22"/>
          <w:szCs w:val="22"/>
        </w:rPr>
        <w:t xml:space="preserve"> transforms donor diversity from a cultural issue into a public health imperative. Increasing ethnic minority participation in donation systems is essential not only for equity but for clinical effectiveness within transplant medicine.</w:t>
      </w:r>
    </w:p>
    <w:p w14:paraId="3DA41C5B" w14:textId="77777777" w:rsidR="00FB6DCC" w:rsidRPr="00FB6DCC" w:rsidRDefault="00FB6DCC" w:rsidP="00FB6DCC">
      <w:pPr>
        <w:pStyle w:val="paragraph"/>
        <w:spacing w:before="0" w:beforeAutospacing="0" w:after="0" w:afterAutospacing="0" w:line="360" w:lineRule="auto"/>
        <w:jc w:val="both"/>
        <w:textAlignment w:val="baseline"/>
        <w:rPr>
          <w:rStyle w:val="normaltextrun"/>
          <w:rFonts w:ascii="Arial" w:hAnsi="Arial" w:cs="Arial"/>
          <w:color w:val="000000" w:themeColor="text1"/>
          <w:sz w:val="22"/>
          <w:szCs w:val="22"/>
        </w:rPr>
      </w:pPr>
    </w:p>
    <w:p w14:paraId="4EA42A22" w14:textId="6078A4E3" w:rsidR="002913F7" w:rsidRDefault="00BD7EE0" w:rsidP="22734756">
      <w:pPr>
        <w:tabs>
          <w:tab w:val="left" w:pos="1233"/>
        </w:tabs>
        <w:rPr>
          <w:rStyle w:val="eop"/>
          <w:rFonts w:eastAsia="Calibri Light" w:cs="Arial"/>
          <w:b/>
          <w:bCs/>
          <w:color w:val="000000" w:themeColor="text1"/>
        </w:rPr>
      </w:pPr>
      <w:r w:rsidRPr="00D84F1D">
        <w:rPr>
          <w:rFonts w:ascii="Arial" w:hAnsi="Arial" w:cs="Arial"/>
          <w:b/>
          <w:bCs/>
          <w:sz w:val="24"/>
          <w:szCs w:val="24"/>
        </w:rPr>
        <w:t>2.3</w:t>
      </w:r>
      <w:r w:rsidR="00FB6DCC">
        <w:rPr>
          <w:rFonts w:ascii="Arial" w:hAnsi="Arial" w:cs="Arial"/>
          <w:b/>
          <w:bCs/>
          <w:sz w:val="24"/>
          <w:szCs w:val="24"/>
        </w:rPr>
        <w:t xml:space="preserve"> </w:t>
      </w:r>
      <w:r w:rsidR="002913F7" w:rsidRPr="0024236B">
        <w:rPr>
          <w:rStyle w:val="eop"/>
          <w:rFonts w:ascii="Arial" w:eastAsia="Calibri Light" w:hAnsi="Arial" w:cs="Arial"/>
          <w:b/>
          <w:bCs/>
          <w:color w:val="000000" w:themeColor="text1"/>
          <w:sz w:val="24"/>
          <w:szCs w:val="24"/>
        </w:rPr>
        <w:t xml:space="preserve">Theoretical </w:t>
      </w:r>
      <w:r w:rsidR="00DF7D14" w:rsidRPr="0024236B">
        <w:rPr>
          <w:rStyle w:val="eop"/>
          <w:rFonts w:ascii="Arial" w:eastAsia="Calibri Light" w:hAnsi="Arial" w:cs="Arial"/>
          <w:b/>
          <w:bCs/>
          <w:color w:val="000000" w:themeColor="text1"/>
          <w:sz w:val="24"/>
          <w:szCs w:val="24"/>
        </w:rPr>
        <w:t>Frameworks</w:t>
      </w:r>
      <w:r w:rsidR="00DF7D14" w:rsidRPr="0024236B">
        <w:rPr>
          <w:rStyle w:val="eop"/>
          <w:rFonts w:ascii="Arial" w:eastAsia="Calibri Light" w:hAnsi="Arial" w:cs="Arial"/>
          <w:color w:val="000000" w:themeColor="text1"/>
          <w:sz w:val="24"/>
          <w:szCs w:val="24"/>
        </w:rPr>
        <w:t xml:space="preserve">: </w:t>
      </w:r>
      <w:r w:rsidR="00DF7D14" w:rsidRPr="0024236B">
        <w:rPr>
          <w:rStyle w:val="eop"/>
          <w:rFonts w:ascii="Arial" w:eastAsia="Calibri Light" w:hAnsi="Arial" w:cs="Arial"/>
          <w:b/>
          <w:bCs/>
          <w:color w:val="000000" w:themeColor="text1"/>
          <w:sz w:val="24"/>
          <w:szCs w:val="24"/>
        </w:rPr>
        <w:t>Health Behaviour and Inequality</w:t>
      </w:r>
      <w:r w:rsidR="0030799B" w:rsidRPr="22734756">
        <w:rPr>
          <w:rStyle w:val="eop"/>
          <w:rFonts w:eastAsia="Calibri Light" w:cs="Arial"/>
          <w:b/>
          <w:bCs/>
          <w:color w:val="000000" w:themeColor="text1"/>
        </w:rPr>
        <w:t>:</w:t>
      </w:r>
    </w:p>
    <w:p w14:paraId="392CC147" w14:textId="2FFBD1CE" w:rsidR="00FB6DCC" w:rsidRPr="00FB6DCC" w:rsidRDefault="00FB6DCC" w:rsidP="00FB6DCC">
      <w:pPr>
        <w:tabs>
          <w:tab w:val="left" w:pos="1233"/>
        </w:tabs>
        <w:rPr>
          <w:rFonts w:ascii="Arial" w:eastAsia="Calibri Light" w:hAnsi="Arial" w:cs="Arial"/>
        </w:rPr>
      </w:pPr>
      <w:r w:rsidRPr="00FB6DCC">
        <w:rPr>
          <w:rFonts w:ascii="Arial" w:eastAsia="Calibri Light" w:hAnsi="Arial" w:cs="Arial"/>
        </w:rPr>
        <w:t>Understanding disparities in donation requires engagement with both individual</w:t>
      </w:r>
      <w:r w:rsidRPr="00FB6DCC">
        <w:rPr>
          <w:rFonts w:ascii="Arial" w:eastAsia="Calibri Light" w:hAnsi="Arial" w:cs="Arial"/>
        </w:rPr>
        <w:noBreakHyphen/>
        <w:t>level decision</w:t>
      </w:r>
      <w:r w:rsidRPr="00FB6DCC">
        <w:rPr>
          <w:rFonts w:ascii="Arial" w:eastAsia="Calibri Light" w:hAnsi="Arial" w:cs="Arial"/>
        </w:rPr>
        <w:noBreakHyphen/>
        <w:t xml:space="preserve">making and broader institutional structures. The Health Belief Model (HBM) provides a useful framework for examining how perceived susceptibility, perceived barriers, and cues to action influence engagement with health behaviours such as donation (Rosenstock, 1966). Within ethnic minority communities, </w:t>
      </w:r>
      <w:r w:rsidR="009B6091">
        <w:rPr>
          <w:rFonts w:ascii="Arial" w:eastAsia="Calibri Light" w:hAnsi="Arial" w:cs="Arial"/>
        </w:rPr>
        <w:t xml:space="preserve">these </w:t>
      </w:r>
      <w:r w:rsidRPr="00FB6DCC">
        <w:rPr>
          <w:rFonts w:ascii="Arial" w:eastAsia="Calibri Light" w:hAnsi="Arial" w:cs="Arial"/>
        </w:rPr>
        <w:t>perceived barrier</w:t>
      </w:r>
      <w:r w:rsidR="009B3207">
        <w:rPr>
          <w:rFonts w:ascii="Arial" w:eastAsia="Calibri Light" w:hAnsi="Arial" w:cs="Arial"/>
        </w:rPr>
        <w:t>s</w:t>
      </w:r>
      <w:r w:rsidRPr="00FB6DCC">
        <w:rPr>
          <w:rFonts w:ascii="Arial" w:eastAsia="Calibri Light" w:hAnsi="Arial" w:cs="Arial"/>
        </w:rPr>
        <w:t xml:space="preserve"> often include medical mistrust, concerns regarding bodily integrity, and uncertainty shaped by religious or cultural narratives (Padela and Zaganjor, 2014; Morgan et al., 2016).</w:t>
      </w:r>
    </w:p>
    <w:p w14:paraId="04FF99F6" w14:textId="77777777" w:rsidR="00FB6DCC" w:rsidRPr="00FB6DCC" w:rsidRDefault="00FB6DCC" w:rsidP="00FB6DCC">
      <w:pPr>
        <w:tabs>
          <w:tab w:val="left" w:pos="1233"/>
        </w:tabs>
        <w:rPr>
          <w:rFonts w:ascii="Arial" w:eastAsia="Calibri Light" w:hAnsi="Arial" w:cs="Arial"/>
        </w:rPr>
      </w:pPr>
      <w:r w:rsidRPr="00FB6DCC">
        <w:rPr>
          <w:rFonts w:ascii="Arial" w:eastAsia="Calibri Light" w:hAnsi="Arial" w:cs="Arial"/>
        </w:rPr>
        <w:t>However, the HBM’s focus on individual cognition limits its ability to explain structurally produced inequalities. Medical mistrust, for example, is frequently framed as a personal belief rather than as a rational response to documented institutional harm. This limitation necessitates the integration of broader frameworks that locate responsibility within healthcare systems rather than communities themselves (Randhawa and Neuberger, 2023).</w:t>
      </w:r>
    </w:p>
    <w:p w14:paraId="5CC22BB0" w14:textId="4DBA56F8" w:rsidR="00FB6DCC" w:rsidRPr="00FB6DCC" w:rsidRDefault="00FB6DCC" w:rsidP="00FB6DCC">
      <w:pPr>
        <w:tabs>
          <w:tab w:val="left" w:pos="1233"/>
        </w:tabs>
        <w:rPr>
          <w:rFonts w:ascii="Arial" w:eastAsia="Calibri Light" w:hAnsi="Arial" w:cs="Arial"/>
        </w:rPr>
      </w:pPr>
      <w:r w:rsidRPr="00FB6DCC">
        <w:rPr>
          <w:rFonts w:ascii="Arial" w:eastAsia="Calibri Light" w:hAnsi="Arial" w:cs="Arial"/>
        </w:rPr>
        <w:t xml:space="preserve">The Whole Systems Approach addresses this limitation by examining how inequalities emerge across the entire care pathway, including prevention, workforce representation, communication practices, and service delivery (Grossi et al., 2023). </w:t>
      </w:r>
      <w:r w:rsidR="00000146">
        <w:rPr>
          <w:rFonts w:ascii="Arial" w:eastAsia="Calibri Light" w:hAnsi="Arial" w:cs="Arial"/>
        </w:rPr>
        <w:t xml:space="preserve"> WSA</w:t>
      </w:r>
      <w:r w:rsidRPr="00FB6DCC">
        <w:rPr>
          <w:rFonts w:ascii="Arial" w:eastAsia="Calibri Light" w:hAnsi="Arial" w:cs="Arial"/>
        </w:rPr>
        <w:t xml:space="preserve"> emphasises that disparities in donation cannot be resolved through public awareness campaigns alone but require coordinated institutional reform.</w:t>
      </w:r>
    </w:p>
    <w:p w14:paraId="0DD0FEF1" w14:textId="58A97F66" w:rsidR="00FB6DCC" w:rsidRPr="00FB6DCC" w:rsidRDefault="00FB6DCC" w:rsidP="00FB6DCC">
      <w:pPr>
        <w:tabs>
          <w:tab w:val="left" w:pos="1233"/>
        </w:tabs>
        <w:rPr>
          <w:rFonts w:ascii="Arial" w:eastAsia="Calibri Light" w:hAnsi="Arial" w:cs="Arial"/>
        </w:rPr>
      </w:pPr>
      <w:r w:rsidRPr="00FB6DCC">
        <w:rPr>
          <w:rFonts w:ascii="Arial" w:eastAsia="Calibri Light" w:hAnsi="Arial" w:cs="Arial"/>
        </w:rPr>
        <w:t>Intersectionality further strengthens this analysis by demonstrating how overlapping identities</w:t>
      </w:r>
      <w:r w:rsidR="004606C8">
        <w:rPr>
          <w:rFonts w:ascii="Arial" w:eastAsia="Calibri Light" w:hAnsi="Arial" w:cs="Arial"/>
        </w:rPr>
        <w:t xml:space="preserve"> </w:t>
      </w:r>
      <w:r w:rsidRPr="00FB6DCC">
        <w:rPr>
          <w:rFonts w:ascii="Arial" w:eastAsia="Calibri Light" w:hAnsi="Arial" w:cs="Arial"/>
        </w:rPr>
        <w:t>such as ethnicity, religion, migration status, and socioeconomic position—shape access to healthcare information and resources (Crenshaw, 1989). When applied to organ donation, intersectionality reveals why generic interventions fail to address compounded disadvantages experienced by minority communities (Mothupi et al., 2023).</w:t>
      </w:r>
      <w:r w:rsidR="00C377B4">
        <w:rPr>
          <w:rFonts w:ascii="Arial" w:eastAsia="Calibri Light" w:hAnsi="Arial" w:cs="Arial"/>
        </w:rPr>
        <w:t xml:space="preserve">  </w:t>
      </w:r>
      <w:r w:rsidRPr="00FB6DCC">
        <w:rPr>
          <w:rFonts w:ascii="Arial" w:eastAsia="Calibri Light" w:hAnsi="Arial" w:cs="Arial"/>
        </w:rPr>
        <w:t>Together, these frameworks enable a shift away from deficit</w:t>
      </w:r>
      <w:r w:rsidRPr="00FB6DCC">
        <w:rPr>
          <w:rFonts w:ascii="Arial" w:eastAsia="Calibri Light" w:hAnsi="Arial" w:cs="Arial"/>
        </w:rPr>
        <w:noBreakHyphen/>
        <w:t>based narratives that frame communities as “hard to reach,” toward an understanding of inequality as structurally produced and institutionally sustained.</w:t>
      </w:r>
    </w:p>
    <w:p w14:paraId="6E7390C2" w14:textId="77777777" w:rsidR="00FB6DCC" w:rsidRPr="00FB6DCC" w:rsidRDefault="00FB6DCC" w:rsidP="22734756">
      <w:pPr>
        <w:tabs>
          <w:tab w:val="left" w:pos="1233"/>
        </w:tabs>
        <w:rPr>
          <w:rStyle w:val="eop"/>
          <w:rFonts w:eastAsia="Calibri Light" w:cs="Arial"/>
          <w:b/>
          <w:bCs/>
        </w:rPr>
      </w:pPr>
    </w:p>
    <w:p w14:paraId="1A2A883E" w14:textId="2D6A5365" w:rsidR="007705DC" w:rsidRDefault="00B90A52" w:rsidP="00434948">
      <w:pPr>
        <w:pStyle w:val="paragraph"/>
        <w:spacing w:before="0" w:beforeAutospacing="0" w:after="0" w:afterAutospacing="0" w:line="360" w:lineRule="auto"/>
        <w:jc w:val="both"/>
        <w:textAlignment w:val="baseline"/>
        <w:rPr>
          <w:rStyle w:val="eop"/>
          <w:rFonts w:ascii="Arial" w:eastAsia="Calibri Light" w:hAnsi="Arial" w:cs="Arial"/>
        </w:rPr>
      </w:pPr>
      <w:r w:rsidRPr="00D84F1D">
        <w:rPr>
          <w:rStyle w:val="normaltextrun"/>
          <w:rFonts w:ascii="Arial" w:hAnsi="Arial" w:cs="Arial"/>
          <w:b/>
          <w:bCs/>
        </w:rPr>
        <w:t>2.4</w:t>
      </w:r>
      <w:r w:rsidR="00A76639" w:rsidRPr="00D84F1D">
        <w:rPr>
          <w:rStyle w:val="normaltextrun"/>
          <w:rFonts w:ascii="Arial" w:hAnsi="Arial" w:cs="Arial"/>
          <w:b/>
          <w:bCs/>
        </w:rPr>
        <w:t xml:space="preserve"> </w:t>
      </w:r>
      <w:r w:rsidR="00BD2909" w:rsidRPr="00D84F1D">
        <w:rPr>
          <w:rStyle w:val="normaltextrun"/>
          <w:rFonts w:ascii="Arial" w:hAnsi="Arial" w:cs="Arial"/>
          <w:b/>
          <w:bCs/>
        </w:rPr>
        <w:t>International Context</w:t>
      </w:r>
      <w:r w:rsidR="00BD2909" w:rsidRPr="00D84F1D">
        <w:rPr>
          <w:rStyle w:val="normaltextrun"/>
          <w:rFonts w:ascii="Aptos" w:hAnsi="Aptos" w:cs="Arial"/>
          <w:b/>
          <w:bCs/>
        </w:rPr>
        <w:t xml:space="preserve"> </w:t>
      </w:r>
      <w:r w:rsidR="00BD2909" w:rsidRPr="00761E62">
        <w:rPr>
          <w:rStyle w:val="eop"/>
          <w:rFonts w:ascii="Arial" w:eastAsia="Calibri Light" w:hAnsi="Arial" w:cs="Arial"/>
        </w:rPr>
        <w:t> </w:t>
      </w:r>
    </w:p>
    <w:p w14:paraId="56E7FF4F" w14:textId="77777777" w:rsidR="00FB6DCC" w:rsidRPr="00FB6DCC" w:rsidRDefault="00FB6DCC" w:rsidP="00FB6DCC">
      <w:pPr>
        <w:pStyle w:val="paragraph"/>
        <w:spacing w:before="0" w:beforeAutospacing="0" w:after="0" w:afterAutospacing="0" w:line="360" w:lineRule="auto"/>
        <w:jc w:val="both"/>
        <w:textAlignment w:val="baseline"/>
        <w:rPr>
          <w:rFonts w:ascii="Arial" w:hAnsi="Arial" w:cs="Arial"/>
          <w:sz w:val="22"/>
          <w:szCs w:val="22"/>
        </w:rPr>
      </w:pPr>
      <w:r w:rsidRPr="00FB6DCC">
        <w:rPr>
          <w:rFonts w:ascii="Arial" w:hAnsi="Arial" w:cs="Arial"/>
          <w:sz w:val="22"/>
          <w:szCs w:val="22"/>
        </w:rPr>
        <w:t>Globally, organ transplantation continues to fall significantly short of meeting demand. Despite record transplantation activity in 2024, the World Health Organisation estimates that existing systems meet less than 10% of global need (WHO, 2024). This shortfall has ethical implications, including the growth of transplant tourism and organ trafficking, which disproportionately affect socioeconomically marginalised populations (Jaure et al., 2025).</w:t>
      </w:r>
    </w:p>
    <w:p w14:paraId="1D3A6AEB" w14:textId="0FBE9F43" w:rsidR="00FB6DCC" w:rsidRPr="00FB6DCC" w:rsidRDefault="00FB6DCC" w:rsidP="00FB6DCC">
      <w:pPr>
        <w:pStyle w:val="paragraph"/>
        <w:spacing w:before="0" w:beforeAutospacing="0" w:after="0" w:afterAutospacing="0" w:line="360" w:lineRule="auto"/>
        <w:jc w:val="both"/>
        <w:textAlignment w:val="baseline"/>
        <w:rPr>
          <w:rFonts w:ascii="Arial" w:hAnsi="Arial" w:cs="Arial"/>
          <w:sz w:val="22"/>
          <w:szCs w:val="22"/>
        </w:rPr>
      </w:pPr>
      <w:r w:rsidRPr="00FB6DCC">
        <w:rPr>
          <w:rFonts w:ascii="Arial" w:hAnsi="Arial" w:cs="Arial"/>
          <w:sz w:val="22"/>
          <w:szCs w:val="22"/>
        </w:rPr>
        <w:t>Spain provides a frequently cited comparative model, achieving one of the highest donation rates worldwide at 52.6 donors per million population (Santiago Vispo, 2025). Evidence suggests that Spain’s success is not primarily attributable to opt</w:t>
      </w:r>
      <w:r w:rsidRPr="00FB6DCC">
        <w:rPr>
          <w:rFonts w:ascii="Arial" w:hAnsi="Arial" w:cs="Arial"/>
          <w:sz w:val="22"/>
          <w:szCs w:val="22"/>
        </w:rPr>
        <w:noBreakHyphen/>
        <w:t>out legislation but to the professionalisation of donation coordination and the integration of specialised transplant coordinators within hospital settings (Matesanz and Dominguez</w:t>
      </w:r>
      <w:r w:rsidRPr="00FB6DCC">
        <w:rPr>
          <w:rFonts w:ascii="Arial" w:hAnsi="Arial" w:cs="Arial"/>
          <w:sz w:val="22"/>
          <w:szCs w:val="22"/>
        </w:rPr>
        <w:noBreakHyphen/>
        <w:t>Gil, 2011). This model highlights the importance of institutional infrastructure and workforce training in normalising donation practices</w:t>
      </w:r>
      <w:r w:rsidR="00672F69">
        <w:rPr>
          <w:rFonts w:ascii="Arial" w:hAnsi="Arial" w:cs="Arial"/>
          <w:sz w:val="22"/>
          <w:szCs w:val="22"/>
        </w:rPr>
        <w:t xml:space="preserve"> and increasing consent rate</w:t>
      </w:r>
      <w:r w:rsidR="000C0A70">
        <w:rPr>
          <w:rFonts w:ascii="Arial" w:hAnsi="Arial" w:cs="Arial"/>
          <w:sz w:val="22"/>
          <w:szCs w:val="22"/>
        </w:rPr>
        <w:t>s</w:t>
      </w:r>
      <w:r w:rsidRPr="00FB6DCC">
        <w:rPr>
          <w:rFonts w:ascii="Arial" w:hAnsi="Arial" w:cs="Arial"/>
          <w:sz w:val="22"/>
          <w:szCs w:val="22"/>
        </w:rPr>
        <w:t>.</w:t>
      </w:r>
    </w:p>
    <w:p w14:paraId="661B7B44" w14:textId="77777777" w:rsidR="00FB6DCC" w:rsidRPr="00FB6DCC" w:rsidRDefault="00FB6DCC" w:rsidP="00434948">
      <w:pPr>
        <w:pStyle w:val="paragraph"/>
        <w:spacing w:before="0" w:beforeAutospacing="0" w:after="0" w:afterAutospacing="0" w:line="360" w:lineRule="auto"/>
        <w:jc w:val="both"/>
        <w:textAlignment w:val="baseline"/>
        <w:rPr>
          <w:rStyle w:val="eop"/>
          <w:rFonts w:ascii="Arial" w:hAnsi="Arial" w:cs="Arial"/>
          <w:sz w:val="22"/>
          <w:szCs w:val="22"/>
        </w:rPr>
      </w:pPr>
    </w:p>
    <w:p w14:paraId="302C6B72" w14:textId="5069F0C3" w:rsidR="00BD2909" w:rsidRPr="00761E62" w:rsidRDefault="00BD2909" w:rsidP="007D1FC9">
      <w:pPr>
        <w:pStyle w:val="paragraph"/>
        <w:spacing w:before="0" w:beforeAutospacing="0" w:after="0" w:afterAutospacing="0" w:line="360" w:lineRule="auto"/>
        <w:jc w:val="both"/>
        <w:textAlignment w:val="baseline"/>
        <w:rPr>
          <w:rFonts w:ascii="Arial" w:hAnsi="Arial" w:cs="Arial"/>
          <w:highlight w:val="magenta"/>
        </w:rPr>
      </w:pPr>
      <w:r w:rsidRPr="00761E62">
        <w:rPr>
          <w:rStyle w:val="eop"/>
          <w:rFonts w:ascii="Arial" w:eastAsia="Calibri Light" w:hAnsi="Arial" w:cs="Arial"/>
        </w:rPr>
        <w:t> </w:t>
      </w:r>
    </w:p>
    <w:p w14:paraId="0F441BC7" w14:textId="033E03CE" w:rsidR="00FB6DCC" w:rsidRDefault="00BD2909" w:rsidP="00FB6DCC">
      <w:pPr>
        <w:pStyle w:val="paragraph"/>
        <w:spacing w:after="0" w:line="360" w:lineRule="auto"/>
        <w:jc w:val="both"/>
        <w:textAlignment w:val="baseline"/>
        <w:rPr>
          <w:rStyle w:val="normaltextrun"/>
          <w:rFonts w:ascii="Arial" w:hAnsi="Arial" w:cs="Arial"/>
          <w:b/>
          <w:bCs/>
        </w:rPr>
      </w:pPr>
      <w:r w:rsidRPr="00D84F1D">
        <w:rPr>
          <w:rStyle w:val="normaltextrun"/>
          <w:rFonts w:ascii="Arial" w:hAnsi="Arial" w:cs="Arial"/>
          <w:b/>
          <w:bCs/>
        </w:rPr>
        <w:t xml:space="preserve">2.5 </w:t>
      </w:r>
      <w:r w:rsidR="00FB6DCC" w:rsidRPr="00FB6DCC">
        <w:rPr>
          <w:rFonts w:ascii="Arial" w:hAnsi="Arial" w:cs="Arial"/>
          <w:b/>
          <w:bCs/>
        </w:rPr>
        <w:t>National and Local Context: The UK and Birmingham</w:t>
      </w:r>
    </w:p>
    <w:p w14:paraId="38A6DF5F" w14:textId="381CF95E" w:rsidR="000D6EBF" w:rsidRPr="00FB6DCC" w:rsidRDefault="00FB6DCC" w:rsidP="00FB6DCC">
      <w:pPr>
        <w:pStyle w:val="paragraph"/>
        <w:spacing w:before="0" w:beforeAutospacing="0" w:after="0" w:afterAutospacing="0" w:line="360" w:lineRule="auto"/>
        <w:jc w:val="both"/>
        <w:textAlignment w:val="baseline"/>
        <w:rPr>
          <w:rFonts w:ascii="Arial" w:hAnsi="Arial" w:cs="Arial"/>
          <w:sz w:val="22"/>
          <w:szCs w:val="22"/>
        </w:rPr>
      </w:pPr>
      <w:r w:rsidRPr="00FB6DCC">
        <w:rPr>
          <w:rFonts w:ascii="Arial" w:hAnsi="Arial" w:cs="Arial"/>
          <w:sz w:val="22"/>
          <w:szCs w:val="22"/>
        </w:rPr>
        <w:t>Within the UK, NHS Blood and Transplant (NHSBT) oversees donation and transplantation processes. Despite legislative reform through the Organ Donation (Deemed Consent) Act 2019, disparities in consent and donation rates persist. Families from ethnic minority backgrounds continue to demonstrate substantially lower consent rates compared with white families (NHSBT, 2025).</w:t>
      </w:r>
    </w:p>
    <w:p w14:paraId="07F8C900" w14:textId="62A2608F" w:rsidR="000D6EBF" w:rsidRDefault="00FB6DCC" w:rsidP="00450410">
      <w:pPr>
        <w:pStyle w:val="paragraph"/>
        <w:spacing w:before="0" w:beforeAutospacing="0" w:after="0" w:afterAutospacing="0" w:line="360" w:lineRule="auto"/>
        <w:jc w:val="both"/>
        <w:textAlignment w:val="baseline"/>
        <w:rPr>
          <w:rFonts w:ascii="Arial" w:hAnsi="Arial" w:cs="Arial"/>
          <w:sz w:val="22"/>
          <w:szCs w:val="22"/>
        </w:rPr>
      </w:pPr>
      <w:r w:rsidRPr="00FB6DCC">
        <w:rPr>
          <w:rFonts w:ascii="Arial" w:hAnsi="Arial" w:cs="Arial"/>
          <w:sz w:val="22"/>
          <w:szCs w:val="22"/>
        </w:rPr>
        <w:t xml:space="preserve">These inequalities are especially pronounced in urban centres such as Birmingham, where over half of the population identifies as belonging to an ethnic minority group (Census, 2021). Despite high clinical need, Birmingham exhibits one of the lowest donor registration rates nationally. This mismatch between population need and engagement underscores the inadequacy of national </w:t>
      </w:r>
      <w:r w:rsidR="00F7299A">
        <w:rPr>
          <w:rFonts w:ascii="Arial" w:hAnsi="Arial" w:cs="Arial"/>
          <w:sz w:val="22"/>
          <w:szCs w:val="22"/>
        </w:rPr>
        <w:t>standardised</w:t>
      </w:r>
      <w:r w:rsidR="002E1088">
        <w:rPr>
          <w:rFonts w:ascii="Arial" w:hAnsi="Arial" w:cs="Arial"/>
          <w:sz w:val="22"/>
          <w:szCs w:val="22"/>
        </w:rPr>
        <w:t xml:space="preserve"> </w:t>
      </w:r>
      <w:r w:rsidRPr="00FB6DCC">
        <w:rPr>
          <w:rFonts w:ascii="Arial" w:hAnsi="Arial" w:cs="Arial"/>
          <w:sz w:val="22"/>
          <w:szCs w:val="22"/>
        </w:rPr>
        <w:t>approaches and reinforces the necessity of culturally credible, locally embedded interventions.</w:t>
      </w:r>
      <w:r w:rsidR="00450410">
        <w:rPr>
          <w:rFonts w:ascii="Arial" w:hAnsi="Arial" w:cs="Arial"/>
          <w:sz w:val="22"/>
          <w:szCs w:val="22"/>
        </w:rPr>
        <w:t xml:space="preserve">  </w:t>
      </w:r>
    </w:p>
    <w:p w14:paraId="5A713333" w14:textId="5E36C81F" w:rsidR="00E00E7D" w:rsidRPr="00E00E7D" w:rsidRDefault="00E00E7D" w:rsidP="00450410">
      <w:pPr>
        <w:pStyle w:val="paragraph"/>
        <w:spacing w:before="0" w:beforeAutospacing="0" w:after="0" w:afterAutospacing="0" w:line="360" w:lineRule="auto"/>
        <w:jc w:val="both"/>
        <w:textAlignment w:val="baseline"/>
        <w:rPr>
          <w:rFonts w:ascii="Arial" w:hAnsi="Arial" w:cs="Arial"/>
          <w:sz w:val="22"/>
          <w:szCs w:val="22"/>
        </w:rPr>
      </w:pPr>
      <w:r w:rsidRPr="00E00E7D">
        <w:rPr>
          <w:rFonts w:ascii="Arial" w:hAnsi="Arial" w:cs="Arial"/>
          <w:sz w:val="22"/>
          <w:szCs w:val="22"/>
        </w:rPr>
        <w:t>Nationally, 18.3% of the population in England and Wales identify as belonging to an ethnic minority group, with diversity disproportionately concentrated in urban centres such as Birmingham (Office for National Statistics, 2021). However, areas with higher ethnic minority populations, including Birmingham, continue to show lower organ donor registration and family consent rates than the national average (NHS Blood and Transplant, 2025).</w:t>
      </w:r>
    </w:p>
    <w:p w14:paraId="2419809F" w14:textId="77777777" w:rsidR="00FB6DCC" w:rsidRPr="00FB6DCC" w:rsidRDefault="00FB6DCC" w:rsidP="007B5D86">
      <w:pPr>
        <w:pStyle w:val="paragraph"/>
        <w:spacing w:before="0" w:beforeAutospacing="0" w:after="0" w:afterAutospacing="0" w:line="360" w:lineRule="auto"/>
        <w:jc w:val="both"/>
        <w:textAlignment w:val="baseline"/>
        <w:rPr>
          <w:rStyle w:val="eop"/>
          <w:rFonts w:ascii="Aptos" w:eastAsia="Calibri Light" w:hAnsi="Aptos" w:cs="Arial"/>
          <w:sz w:val="22"/>
          <w:szCs w:val="22"/>
        </w:rPr>
      </w:pPr>
    </w:p>
    <w:p w14:paraId="0812D9F2" w14:textId="5B463423" w:rsidR="00FB6DCC" w:rsidRPr="00FB6DCC" w:rsidRDefault="00BD2909" w:rsidP="00FB6DCC">
      <w:pPr>
        <w:pStyle w:val="paragraph"/>
        <w:spacing w:before="0" w:line="360" w:lineRule="auto"/>
        <w:textAlignment w:val="baseline"/>
        <w:rPr>
          <w:rFonts w:ascii="Arial" w:hAnsi="Arial" w:cs="Arial"/>
          <w:b/>
          <w:bCs/>
        </w:rPr>
      </w:pPr>
      <w:r w:rsidRPr="00D84F1D">
        <w:rPr>
          <w:rStyle w:val="normaltextrun"/>
          <w:rFonts w:ascii="Arial" w:hAnsi="Arial" w:cs="Arial"/>
          <w:b/>
          <w:bCs/>
        </w:rPr>
        <w:t xml:space="preserve">2.6 </w:t>
      </w:r>
      <w:r w:rsidR="00FB6DCC" w:rsidRPr="00FB6DCC">
        <w:rPr>
          <w:rFonts w:ascii="Arial" w:hAnsi="Arial" w:cs="Arial"/>
          <w:b/>
          <w:bCs/>
        </w:rPr>
        <w:t>Chapter Conclusion</w:t>
      </w:r>
    </w:p>
    <w:p w14:paraId="563FD83A" w14:textId="77777777" w:rsidR="00FB6DCC" w:rsidRPr="00FB6DCC" w:rsidRDefault="00FB6DCC" w:rsidP="00FB6DCC">
      <w:pPr>
        <w:pStyle w:val="paragraph"/>
        <w:spacing w:before="0" w:beforeAutospacing="0" w:after="0" w:afterAutospacing="0" w:line="360" w:lineRule="auto"/>
        <w:jc w:val="both"/>
        <w:textAlignment w:val="baseline"/>
        <w:rPr>
          <w:rFonts w:ascii="Arial" w:hAnsi="Arial" w:cs="Arial"/>
          <w:sz w:val="22"/>
          <w:szCs w:val="22"/>
        </w:rPr>
      </w:pPr>
      <w:r w:rsidRPr="00FB6DCC">
        <w:rPr>
          <w:rFonts w:ascii="Arial" w:hAnsi="Arial" w:cs="Arial"/>
          <w:sz w:val="22"/>
          <w:szCs w:val="22"/>
        </w:rPr>
        <w:t>This chapter has established that contemporary inequalities in blood and organ donation are rooted in both biological and institutional structures. While scientific advances have made transplantation increasingly effective, unequal donor representation, historical mistrust, and poorly adapted communication systems continue to disadvantage ethnic minority communities. By integrating health behaviour theory with whole systems and anti</w:t>
      </w:r>
      <w:r w:rsidRPr="00FB6DCC">
        <w:rPr>
          <w:rFonts w:ascii="Arial" w:hAnsi="Arial" w:cs="Arial"/>
          <w:sz w:val="22"/>
          <w:szCs w:val="22"/>
        </w:rPr>
        <w:noBreakHyphen/>
        <w:t>racist frameworks, this chapter provides the conceptual foundation for the methodological analysis that follows. The next chapter outlines the desk</w:t>
      </w:r>
      <w:r w:rsidRPr="00FB6DCC">
        <w:rPr>
          <w:rFonts w:ascii="Arial" w:hAnsi="Arial" w:cs="Arial"/>
          <w:sz w:val="22"/>
          <w:szCs w:val="22"/>
        </w:rPr>
        <w:noBreakHyphen/>
        <w:t>based methodology used to examine these barriers in greater depth.</w:t>
      </w:r>
    </w:p>
    <w:p w14:paraId="508BC363" w14:textId="6A571590" w:rsidR="00BD2909" w:rsidRPr="00FB6DCC" w:rsidRDefault="00BD2909" w:rsidP="22734756">
      <w:pPr>
        <w:pStyle w:val="paragraph"/>
        <w:spacing w:before="0" w:beforeAutospacing="0" w:after="0" w:afterAutospacing="0" w:line="360" w:lineRule="auto"/>
        <w:jc w:val="both"/>
        <w:textAlignment w:val="baseline"/>
        <w:rPr>
          <w:rFonts w:ascii="Arial" w:hAnsi="Arial" w:cs="Arial"/>
          <w:sz w:val="22"/>
          <w:szCs w:val="22"/>
        </w:rPr>
      </w:pPr>
    </w:p>
    <w:p w14:paraId="03D44283" w14:textId="1A6D7846" w:rsidR="00880B2D" w:rsidRPr="00FB6DCC" w:rsidRDefault="000C5003" w:rsidP="00FB6DCC">
      <w:pPr>
        <w:pStyle w:val="NormalWeb"/>
        <w:spacing w:line="360" w:lineRule="auto"/>
        <w:jc w:val="both"/>
        <w:rPr>
          <w:sz w:val="22"/>
          <w:szCs w:val="22"/>
        </w:rPr>
      </w:pPr>
      <w:r w:rsidRPr="00FB6DCC">
        <w:rPr>
          <w:rStyle w:val="eop"/>
          <w:rFonts w:ascii="Aptos" w:eastAsia="Calibri Light" w:hAnsi="Aptos" w:cs="Arial"/>
          <w:sz w:val="22"/>
          <w:szCs w:val="22"/>
        </w:rPr>
        <w:t> </w:t>
      </w:r>
    </w:p>
    <w:p w14:paraId="36C2915E" w14:textId="77777777" w:rsidR="00921B52" w:rsidRDefault="00921B52"/>
    <w:p w14:paraId="407ABDAE" w14:textId="4F32BB8B" w:rsidR="00921B52" w:rsidRDefault="00921B52">
      <w:pPr>
        <w:sectPr w:rsidR="00921B52">
          <w:headerReference w:type="default" r:id="rId9"/>
          <w:footerReference w:type="default" r:id="rId10"/>
          <w:pgSz w:w="11906" w:h="16838"/>
          <w:pgMar w:top="1440" w:right="1440" w:bottom="1440" w:left="1440" w:header="708" w:footer="708" w:gutter="0"/>
          <w:cols w:space="708"/>
          <w:docGrid w:linePitch="360"/>
        </w:sectPr>
      </w:pPr>
    </w:p>
    <w:p w14:paraId="054B62CB" w14:textId="77777777" w:rsidR="00414BC5" w:rsidRDefault="00414BC5" w:rsidP="009B372A">
      <w:pPr>
        <w:pStyle w:val="Heading1"/>
        <w:ind w:left="0"/>
        <w:rPr>
          <w:rFonts w:ascii="Aptos" w:hAnsi="Aptos"/>
        </w:rPr>
      </w:pPr>
    </w:p>
    <w:p w14:paraId="4CC13E71" w14:textId="77777777" w:rsidR="00414BC5" w:rsidRDefault="00414BC5" w:rsidP="009B372A">
      <w:pPr>
        <w:pStyle w:val="Heading1"/>
        <w:ind w:left="0"/>
        <w:rPr>
          <w:rFonts w:ascii="Aptos" w:hAnsi="Aptos"/>
        </w:rPr>
      </w:pPr>
    </w:p>
    <w:p w14:paraId="0485BCDA" w14:textId="77777777" w:rsidR="00414BC5" w:rsidRDefault="00414BC5" w:rsidP="009B372A">
      <w:pPr>
        <w:pStyle w:val="Heading1"/>
        <w:ind w:left="0"/>
        <w:rPr>
          <w:rFonts w:ascii="Aptos" w:hAnsi="Aptos"/>
        </w:rPr>
      </w:pPr>
    </w:p>
    <w:p w14:paraId="0FFC9D5B" w14:textId="4EAEA3F0" w:rsidR="00C0676D" w:rsidRDefault="00292A36" w:rsidP="009B372A">
      <w:pPr>
        <w:pStyle w:val="Heading1"/>
        <w:ind w:left="0"/>
        <w:rPr>
          <w:rFonts w:ascii="Aptos" w:hAnsi="Aptos"/>
        </w:rPr>
      </w:pPr>
      <w:bookmarkStart w:id="3" w:name="_Toc226743141"/>
      <w:r w:rsidRPr="00292A36">
        <w:rPr>
          <w:rFonts w:ascii="Aptos" w:hAnsi="Aptos"/>
        </w:rPr>
        <w:t>C</w:t>
      </w:r>
      <w:r>
        <w:rPr>
          <w:rFonts w:ascii="Aptos" w:hAnsi="Aptos"/>
        </w:rPr>
        <w:t>HAPTER</w:t>
      </w:r>
      <w:r w:rsidRPr="00292A36">
        <w:rPr>
          <w:rFonts w:ascii="Aptos" w:hAnsi="Aptos"/>
        </w:rPr>
        <w:t xml:space="preserve"> 3 – </w:t>
      </w:r>
      <w:r w:rsidR="00E325CF">
        <w:rPr>
          <w:rFonts w:ascii="Aptos" w:hAnsi="Aptos"/>
        </w:rPr>
        <w:t>Methods and Search Strategy</w:t>
      </w:r>
      <w:bookmarkEnd w:id="3"/>
      <w:r w:rsidR="00E325CF">
        <w:rPr>
          <w:rFonts w:ascii="Aptos" w:hAnsi="Aptos"/>
        </w:rPr>
        <w:t xml:space="preserve"> </w:t>
      </w:r>
    </w:p>
    <w:p w14:paraId="71EDA1D7" w14:textId="77777777" w:rsidR="006A1B8E" w:rsidRPr="00C0676D" w:rsidRDefault="006A1B8E" w:rsidP="009B372A">
      <w:pPr>
        <w:pStyle w:val="Heading1"/>
        <w:ind w:left="0"/>
        <w:rPr>
          <w:rFonts w:ascii="Aptos" w:hAnsi="Aptos"/>
        </w:rPr>
      </w:pPr>
    </w:p>
    <w:p w14:paraId="49E613D2" w14:textId="1949CBD2" w:rsidR="006D385A" w:rsidRPr="00D84F1D" w:rsidRDefault="00292A36" w:rsidP="00034C7C">
      <w:pPr>
        <w:pStyle w:val="Heading2"/>
        <w:rPr>
          <w:b/>
          <w:bCs/>
          <w:color w:val="auto"/>
        </w:rPr>
      </w:pPr>
      <w:bookmarkStart w:id="4" w:name="_Toc226743142"/>
      <w:r w:rsidRPr="00D84F1D">
        <w:rPr>
          <w:rFonts w:ascii="Arial" w:hAnsi="Arial" w:cs="Arial"/>
          <w:b/>
          <w:bCs/>
          <w:color w:val="auto"/>
        </w:rPr>
        <w:t>3.</w:t>
      </w:r>
      <w:r w:rsidR="005D7A1E" w:rsidRPr="00D84F1D">
        <w:rPr>
          <w:rFonts w:ascii="Arial" w:hAnsi="Arial" w:cs="Arial"/>
          <w:b/>
          <w:bCs/>
          <w:color w:val="auto"/>
        </w:rPr>
        <w:t>1</w:t>
      </w:r>
      <w:r w:rsidRPr="005129A0">
        <w:rPr>
          <w:rFonts w:ascii="Arial" w:hAnsi="Arial" w:cs="Arial"/>
        </w:rPr>
        <w:t xml:space="preserve"> </w:t>
      </w:r>
      <w:r w:rsidRPr="00D84F1D">
        <w:rPr>
          <w:rFonts w:ascii="Arial" w:hAnsi="Arial" w:cs="Arial"/>
          <w:b/>
          <w:bCs/>
          <w:color w:val="auto"/>
        </w:rPr>
        <w:t>–</w:t>
      </w:r>
      <w:r w:rsidR="0021364B" w:rsidRPr="00D84F1D">
        <w:rPr>
          <w:rFonts w:ascii="Arial" w:hAnsi="Arial" w:cs="Arial"/>
          <w:b/>
          <w:bCs/>
          <w:color w:val="auto"/>
        </w:rPr>
        <w:t xml:space="preserve"> </w:t>
      </w:r>
      <w:r w:rsidRPr="00D84F1D">
        <w:rPr>
          <w:rFonts w:ascii="Arial" w:hAnsi="Arial" w:cs="Arial"/>
          <w:b/>
          <w:bCs/>
          <w:color w:val="auto"/>
        </w:rPr>
        <w:t>Introduction</w:t>
      </w:r>
      <w:bookmarkEnd w:id="4"/>
      <w:r w:rsidRPr="00D84F1D">
        <w:rPr>
          <w:rFonts w:ascii="Arial" w:hAnsi="Arial" w:cs="Arial"/>
          <w:b/>
          <w:bCs/>
          <w:color w:val="auto"/>
        </w:rPr>
        <w:t xml:space="preserve"> </w:t>
      </w:r>
    </w:p>
    <w:p w14:paraId="3D24A800" w14:textId="01E130CA" w:rsidR="003D069F" w:rsidRPr="006A1B8E" w:rsidRDefault="003D069F" w:rsidP="003D069F">
      <w:pPr>
        <w:rPr>
          <w:rFonts w:ascii="Arial" w:hAnsi="Arial" w:cs="Arial"/>
        </w:rPr>
      </w:pPr>
      <w:r w:rsidRPr="006A1B8E">
        <w:rPr>
          <w:rFonts w:ascii="Arial" w:hAnsi="Arial" w:cs="Arial"/>
        </w:rPr>
        <w:t xml:space="preserve">This chapter </w:t>
      </w:r>
      <w:r w:rsidR="008346EB" w:rsidRPr="006A1B8E">
        <w:rPr>
          <w:rFonts w:ascii="Arial" w:hAnsi="Arial" w:cs="Arial"/>
        </w:rPr>
        <w:t>details</w:t>
      </w:r>
      <w:r w:rsidRPr="006A1B8E">
        <w:rPr>
          <w:rFonts w:ascii="Arial" w:hAnsi="Arial" w:cs="Arial"/>
        </w:rPr>
        <w:t xml:space="preserve"> the methodological approach underpinning this research, which adopts a fully desk</w:t>
      </w:r>
      <w:r w:rsidRPr="006A1B8E">
        <w:rPr>
          <w:rFonts w:ascii="Cambria Math" w:hAnsi="Cambria Math" w:cs="Cambria Math"/>
        </w:rPr>
        <w:t>‑</w:t>
      </w:r>
      <w:r w:rsidRPr="006A1B8E">
        <w:rPr>
          <w:rFonts w:ascii="Arial" w:hAnsi="Arial" w:cs="Arial"/>
        </w:rPr>
        <w:t>based, literature</w:t>
      </w:r>
      <w:r w:rsidRPr="006A1B8E">
        <w:rPr>
          <w:rFonts w:ascii="Cambria Math" w:hAnsi="Cambria Math" w:cs="Cambria Math"/>
        </w:rPr>
        <w:t>‑</w:t>
      </w:r>
      <w:r w:rsidRPr="006A1B8E">
        <w:rPr>
          <w:rFonts w:ascii="Arial" w:hAnsi="Arial" w:cs="Arial"/>
        </w:rPr>
        <w:t>driven design. The study draws on academic scholarship, policy documents, national statistics, and public</w:t>
      </w:r>
      <w:r w:rsidRPr="006A1B8E">
        <w:rPr>
          <w:rFonts w:ascii="Cambria Math" w:hAnsi="Cambria Math" w:cs="Cambria Math"/>
        </w:rPr>
        <w:t>‑</w:t>
      </w:r>
      <w:r w:rsidRPr="006A1B8E">
        <w:rPr>
          <w:rFonts w:ascii="Arial" w:hAnsi="Arial" w:cs="Arial"/>
        </w:rPr>
        <w:t>facing campaign materials to explore the cultural, socioeconomic, and structural barriers that shape how ethnic minority communities in the UK access information and resources on blood and organ donation</w:t>
      </w:r>
      <w:r w:rsidR="00CC62F4" w:rsidRPr="006A1B8E">
        <w:rPr>
          <w:rFonts w:ascii="Arial" w:hAnsi="Arial" w:cs="Arial"/>
        </w:rPr>
        <w:t xml:space="preserve">.  </w:t>
      </w:r>
      <w:r w:rsidRPr="006A1B8E">
        <w:rPr>
          <w:rFonts w:ascii="Arial" w:hAnsi="Arial" w:cs="Arial"/>
        </w:rPr>
        <w:t>An accompanying academic methodology poster provides a visual overview of the research process, including the rationale, data sources, analytical strategies, and ethical considerations. Building on the contextual and theoretical foundations established in earlier chapters, the methodology is structured to capture the complex and intersecting factors that influence donation behaviours and outcomes.</w:t>
      </w:r>
    </w:p>
    <w:p w14:paraId="2204001F" w14:textId="2C1AD9A0" w:rsidR="0079167F" w:rsidRPr="006A1B8E" w:rsidRDefault="00C91C98" w:rsidP="008E3A1E">
      <w:pPr>
        <w:rPr>
          <w:rFonts w:ascii="Arial" w:hAnsi="Arial" w:cs="Arial"/>
        </w:rPr>
      </w:pPr>
      <w:r w:rsidRPr="006A1B8E">
        <w:rPr>
          <w:rFonts w:ascii="Arial" w:hAnsi="Arial" w:cs="Arial"/>
        </w:rPr>
        <w:t>During this process</w:t>
      </w:r>
      <w:r w:rsidR="004232A5" w:rsidRPr="006A1B8E">
        <w:rPr>
          <w:rFonts w:ascii="Arial" w:hAnsi="Arial" w:cs="Arial"/>
        </w:rPr>
        <w:t>,</w:t>
      </w:r>
      <w:r w:rsidR="00A40893" w:rsidRPr="006A1B8E">
        <w:rPr>
          <w:rFonts w:ascii="Arial" w:hAnsi="Arial" w:cs="Arial"/>
        </w:rPr>
        <w:t xml:space="preserve"> </w:t>
      </w:r>
      <w:r w:rsidR="00EE1663" w:rsidRPr="006A1B8E">
        <w:rPr>
          <w:rFonts w:ascii="Arial" w:hAnsi="Arial" w:cs="Arial"/>
        </w:rPr>
        <w:t xml:space="preserve">Braun &amp; </w:t>
      </w:r>
      <w:r w:rsidR="00A40893" w:rsidRPr="006A1B8E">
        <w:rPr>
          <w:rFonts w:ascii="Arial" w:hAnsi="Arial" w:cs="Arial"/>
        </w:rPr>
        <w:t>Clarke's</w:t>
      </w:r>
      <w:r w:rsidR="00EE1663" w:rsidRPr="006A1B8E">
        <w:rPr>
          <w:rFonts w:ascii="Arial" w:hAnsi="Arial" w:cs="Arial"/>
        </w:rPr>
        <w:t xml:space="preserve"> (2006)</w:t>
      </w:r>
      <w:r w:rsidR="00180A66" w:rsidRPr="006A1B8E">
        <w:rPr>
          <w:rFonts w:ascii="Arial" w:hAnsi="Arial" w:cs="Arial"/>
        </w:rPr>
        <w:t xml:space="preserve"> 6 Stages of Thematic analysis</w:t>
      </w:r>
      <w:r w:rsidR="00A40893" w:rsidRPr="006A1B8E">
        <w:rPr>
          <w:rFonts w:ascii="Arial" w:hAnsi="Arial" w:cs="Arial"/>
        </w:rPr>
        <w:t xml:space="preserve"> w</w:t>
      </w:r>
      <w:r w:rsidR="00F97072" w:rsidRPr="006A1B8E">
        <w:rPr>
          <w:rFonts w:ascii="Arial" w:hAnsi="Arial" w:cs="Arial"/>
        </w:rPr>
        <w:t>ere</w:t>
      </w:r>
      <w:r w:rsidR="00A40893" w:rsidRPr="006A1B8E">
        <w:rPr>
          <w:rFonts w:ascii="Arial" w:hAnsi="Arial" w:cs="Arial"/>
        </w:rPr>
        <w:t xml:space="preserve"> applied</w:t>
      </w:r>
      <w:r w:rsidR="00FD4D3A" w:rsidRPr="006A1B8E">
        <w:rPr>
          <w:rFonts w:ascii="Arial" w:hAnsi="Arial" w:cs="Arial"/>
        </w:rPr>
        <w:t>,</w:t>
      </w:r>
      <w:r w:rsidR="00911F59" w:rsidRPr="006A1B8E">
        <w:rPr>
          <w:rFonts w:ascii="Arial" w:hAnsi="Arial" w:cs="Arial"/>
        </w:rPr>
        <w:t xml:space="preserve">  </w:t>
      </w:r>
      <w:r w:rsidR="00FD4D3A" w:rsidRPr="006A1B8E">
        <w:rPr>
          <w:rFonts w:ascii="Arial" w:hAnsi="Arial" w:cs="Arial"/>
        </w:rPr>
        <w:t>b</w:t>
      </w:r>
      <w:r w:rsidR="00492B30" w:rsidRPr="006A1B8E">
        <w:rPr>
          <w:rFonts w:ascii="Arial" w:hAnsi="Arial" w:cs="Arial"/>
        </w:rPr>
        <w:t>y following these 6 St</w:t>
      </w:r>
      <w:r w:rsidR="003E1C1C" w:rsidRPr="006A1B8E">
        <w:rPr>
          <w:rFonts w:ascii="Arial" w:hAnsi="Arial" w:cs="Arial"/>
        </w:rPr>
        <w:t>ep</w:t>
      </w:r>
      <w:r w:rsidR="00492B30" w:rsidRPr="006A1B8E">
        <w:rPr>
          <w:rFonts w:ascii="Arial" w:hAnsi="Arial" w:cs="Arial"/>
        </w:rPr>
        <w:t xml:space="preserve">s to </w:t>
      </w:r>
      <w:r w:rsidR="0077115A" w:rsidRPr="006A1B8E">
        <w:rPr>
          <w:rFonts w:ascii="Arial" w:hAnsi="Arial" w:cs="Arial"/>
        </w:rPr>
        <w:t>analyse</w:t>
      </w:r>
      <w:r w:rsidR="00492B30" w:rsidRPr="006A1B8E">
        <w:rPr>
          <w:rFonts w:ascii="Arial" w:hAnsi="Arial" w:cs="Arial"/>
        </w:rPr>
        <w:t xml:space="preserve"> the s</w:t>
      </w:r>
      <w:r w:rsidR="00D51650" w:rsidRPr="006A1B8E">
        <w:rPr>
          <w:rFonts w:ascii="Arial" w:hAnsi="Arial" w:cs="Arial"/>
        </w:rPr>
        <w:t xml:space="preserve">econdary sources.  </w:t>
      </w:r>
    </w:p>
    <w:p w14:paraId="05F1594A" w14:textId="29FC06A8" w:rsidR="00D512A9" w:rsidRDefault="0079167F" w:rsidP="008E3A1E">
      <w:pPr>
        <w:rPr>
          <w:rFonts w:ascii="Arial" w:hAnsi="Arial" w:cs="Arial"/>
          <w:sz w:val="16"/>
          <w:szCs w:val="16"/>
        </w:rPr>
      </w:pPr>
      <w:r w:rsidRPr="002A5B3A">
        <w:rPr>
          <w:rFonts w:ascii="Arial" w:hAnsi="Arial" w:cs="Arial"/>
          <w:noProof/>
          <w:sz w:val="20"/>
          <w:szCs w:val="20"/>
        </w:rPr>
        <w:drawing>
          <wp:anchor distT="0" distB="0" distL="114300" distR="114300" simplePos="0" relativeHeight="251658241" behindDoc="0" locked="0" layoutInCell="1" allowOverlap="1" wp14:anchorId="30982F12" wp14:editId="3CD09BF6">
            <wp:simplePos x="914400" y="5762625"/>
            <wp:positionH relativeFrom="column">
              <wp:align>left</wp:align>
            </wp:positionH>
            <wp:positionV relativeFrom="paragraph">
              <wp:align>top</wp:align>
            </wp:positionV>
            <wp:extent cx="3637280" cy="1309370"/>
            <wp:effectExtent l="0" t="0" r="183515" b="53975"/>
            <wp:wrapSquare wrapText="bothSides"/>
            <wp:docPr id="193697922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anchor>
        </w:drawing>
      </w:r>
      <w:r w:rsidR="00C0676D">
        <w:rPr>
          <w:rFonts w:ascii="Arial" w:hAnsi="Arial" w:cs="Arial"/>
          <w:sz w:val="16"/>
          <w:szCs w:val="16"/>
        </w:rPr>
        <w:br w:type="textWrapping" w:clear="all"/>
      </w:r>
    </w:p>
    <w:p w14:paraId="0ABD5EF1" w14:textId="096F17D1" w:rsidR="00687FFC" w:rsidRDefault="003052A6" w:rsidP="008E3A1E">
      <w:pPr>
        <w:rPr>
          <w:rFonts w:ascii="Arial" w:hAnsi="Arial" w:cs="Arial"/>
        </w:rPr>
      </w:pPr>
      <w:r>
        <w:rPr>
          <w:rFonts w:ascii="Arial" w:hAnsi="Arial" w:cs="Arial"/>
          <w:sz w:val="16"/>
          <w:szCs w:val="16"/>
        </w:rPr>
        <w:t>(</w:t>
      </w:r>
      <w:r w:rsidR="00A23045" w:rsidRPr="003052A6">
        <w:rPr>
          <w:rFonts w:ascii="Arial" w:hAnsi="Arial" w:cs="Arial"/>
          <w:sz w:val="16"/>
          <w:szCs w:val="16"/>
        </w:rPr>
        <w:t xml:space="preserve">Braun </w:t>
      </w:r>
      <w:r w:rsidR="002A5B3A" w:rsidRPr="003052A6">
        <w:rPr>
          <w:rFonts w:ascii="Arial" w:hAnsi="Arial" w:cs="Arial"/>
          <w:sz w:val="16"/>
          <w:szCs w:val="16"/>
        </w:rPr>
        <w:t>&amp; Clarke, 2006)</w:t>
      </w:r>
    </w:p>
    <w:p w14:paraId="0CC69E94" w14:textId="425E053F" w:rsidR="00371D9B" w:rsidRPr="008E3A1E" w:rsidRDefault="00371D9B" w:rsidP="00AE155D">
      <w:pPr>
        <w:pStyle w:val="ListParagraph"/>
        <w:numPr>
          <w:ilvl w:val="0"/>
          <w:numId w:val="19"/>
        </w:numPr>
        <w:spacing w:line="360" w:lineRule="auto"/>
        <w:jc w:val="both"/>
        <w:rPr>
          <w:rFonts w:ascii="Arial" w:hAnsi="Arial" w:cs="Arial"/>
        </w:rPr>
      </w:pPr>
      <w:r w:rsidRPr="008E3A1E">
        <w:rPr>
          <w:rFonts w:ascii="Arial" w:hAnsi="Arial" w:cs="Arial"/>
        </w:rPr>
        <w:t>Familiarisation: Key findings were noted during this stage by reading and re-reading the literature from the sources garnered in the Source Tracking Table.</w:t>
      </w:r>
      <w:r w:rsidR="00835340">
        <w:rPr>
          <w:rFonts w:ascii="Arial" w:hAnsi="Arial" w:cs="Arial"/>
        </w:rPr>
        <w:t xml:space="preserve"> (</w:t>
      </w:r>
      <w:r w:rsidR="000D1E53">
        <w:rPr>
          <w:rFonts w:ascii="Arial" w:hAnsi="Arial" w:cs="Arial"/>
        </w:rPr>
        <w:t>Ahmed, Bodau, and Deedat</w:t>
      </w:r>
      <w:r w:rsidR="00DB6E84">
        <w:rPr>
          <w:rFonts w:ascii="Arial" w:hAnsi="Arial" w:cs="Arial"/>
        </w:rPr>
        <w:t>, etc.</w:t>
      </w:r>
    </w:p>
    <w:p w14:paraId="3ABE540E" w14:textId="7085D34C" w:rsidR="00371D9B" w:rsidRDefault="00371D9B" w:rsidP="00AE155D">
      <w:pPr>
        <w:pStyle w:val="ListParagraph"/>
        <w:numPr>
          <w:ilvl w:val="0"/>
          <w:numId w:val="19"/>
        </w:numPr>
        <w:spacing w:line="360" w:lineRule="auto"/>
        <w:jc w:val="both"/>
        <w:rPr>
          <w:rFonts w:ascii="Arial" w:hAnsi="Arial" w:cs="Arial"/>
        </w:rPr>
      </w:pPr>
      <w:r>
        <w:rPr>
          <w:rFonts w:ascii="Arial" w:hAnsi="Arial" w:cs="Arial"/>
        </w:rPr>
        <w:t>Generating the Codes:  This was done by examining the similarities and connections to each journal/ Articles what they had in common</w:t>
      </w:r>
      <w:r w:rsidR="00980C43">
        <w:rPr>
          <w:rFonts w:ascii="Arial" w:hAnsi="Arial" w:cs="Arial"/>
        </w:rPr>
        <w:t>/links.</w:t>
      </w:r>
    </w:p>
    <w:p w14:paraId="32AB7115" w14:textId="0EF049C1" w:rsidR="00371D9B" w:rsidRDefault="00371D9B" w:rsidP="00AE155D">
      <w:pPr>
        <w:pStyle w:val="ListParagraph"/>
        <w:numPr>
          <w:ilvl w:val="0"/>
          <w:numId w:val="19"/>
        </w:numPr>
        <w:spacing w:line="360" w:lineRule="auto"/>
        <w:jc w:val="both"/>
        <w:rPr>
          <w:rFonts w:ascii="Arial" w:hAnsi="Arial" w:cs="Arial"/>
        </w:rPr>
      </w:pPr>
      <w:r>
        <w:rPr>
          <w:rFonts w:ascii="Arial" w:hAnsi="Arial" w:cs="Arial"/>
        </w:rPr>
        <w:t xml:space="preserve">Searching for Themes: This was done by grouping the Articles and journals that connected /common codes (eg, grouping Religious Myths and Family Taboos) into a broader theme: Socio-Cultural Barriers. </w:t>
      </w:r>
    </w:p>
    <w:p w14:paraId="59601EE7" w14:textId="47A731C1" w:rsidR="003E7D20" w:rsidRPr="003E7D20" w:rsidRDefault="00371D9B" w:rsidP="00AE155D">
      <w:pPr>
        <w:pStyle w:val="ListParagraph"/>
        <w:numPr>
          <w:ilvl w:val="0"/>
          <w:numId w:val="19"/>
        </w:numPr>
        <w:spacing w:line="360" w:lineRule="auto"/>
        <w:jc w:val="both"/>
        <w:rPr>
          <w:rStyle w:val="Strong"/>
          <w:rFonts w:ascii="Arial" w:hAnsi="Arial" w:cs="Arial"/>
          <w:b w:val="0"/>
          <w:bCs w:val="0"/>
        </w:rPr>
      </w:pPr>
      <w:r>
        <w:rPr>
          <w:rFonts w:ascii="Arial" w:hAnsi="Arial" w:cs="Arial"/>
        </w:rPr>
        <w:t>Reviewing the Themes: Checking if the themes work</w:t>
      </w:r>
      <w:r w:rsidR="00803FB8">
        <w:rPr>
          <w:rFonts w:ascii="Arial" w:hAnsi="Arial" w:cs="Arial"/>
        </w:rPr>
        <w:t>ed</w:t>
      </w:r>
      <w:r>
        <w:rPr>
          <w:rFonts w:ascii="Arial" w:hAnsi="Arial" w:cs="Arial"/>
        </w:rPr>
        <w:t xml:space="preserve"> in relation to the coded extracts</w:t>
      </w:r>
      <w:r w:rsidR="005E035F">
        <w:rPr>
          <w:rFonts w:ascii="Arial" w:hAnsi="Arial" w:cs="Arial"/>
        </w:rPr>
        <w:t>.</w:t>
      </w:r>
    </w:p>
    <w:p w14:paraId="14F91A09" w14:textId="77777777" w:rsidR="00C0676D" w:rsidRDefault="00C0676D" w:rsidP="00426559">
      <w:pPr>
        <w:pStyle w:val="NormalWeb"/>
        <w:spacing w:line="360" w:lineRule="auto"/>
        <w:jc w:val="both"/>
        <w:rPr>
          <w:rStyle w:val="Strong"/>
          <w:rFonts w:ascii="Arial" w:eastAsia="Calibri Light" w:hAnsi="Arial" w:cs="Arial"/>
          <w:b w:val="0"/>
          <w:bCs w:val="0"/>
          <w:sz w:val="22"/>
          <w:szCs w:val="22"/>
        </w:rPr>
      </w:pPr>
    </w:p>
    <w:p w14:paraId="6521A89B" w14:textId="7BCA24F7" w:rsidR="005B3EDE" w:rsidRPr="00426559" w:rsidRDefault="00F12BDB" w:rsidP="00426559">
      <w:pPr>
        <w:pStyle w:val="NormalWeb"/>
        <w:spacing w:line="360" w:lineRule="auto"/>
        <w:jc w:val="both"/>
        <w:rPr>
          <w:rFonts w:ascii="Arial" w:hAnsi="Arial" w:cs="Arial"/>
          <w:b/>
          <w:bCs/>
          <w:sz w:val="22"/>
          <w:szCs w:val="22"/>
        </w:rPr>
      </w:pPr>
      <w:r w:rsidRPr="008E3A1E">
        <w:rPr>
          <w:rStyle w:val="Strong"/>
          <w:rFonts w:ascii="Arial" w:eastAsia="Calibri Light" w:hAnsi="Arial" w:cs="Arial"/>
          <w:b w:val="0"/>
          <w:bCs w:val="0"/>
          <w:sz w:val="22"/>
          <w:szCs w:val="22"/>
        </w:rPr>
        <w:t>The</w:t>
      </w:r>
      <w:r w:rsidR="005D73A4">
        <w:rPr>
          <w:rStyle w:val="Strong"/>
          <w:rFonts w:ascii="Arial" w:eastAsia="Calibri Light" w:hAnsi="Arial" w:cs="Arial"/>
          <w:b w:val="0"/>
          <w:bCs w:val="0"/>
          <w:sz w:val="22"/>
          <w:szCs w:val="22"/>
        </w:rPr>
        <w:t>refore, the</w:t>
      </w:r>
      <w:r w:rsidRPr="008E3A1E">
        <w:rPr>
          <w:rStyle w:val="Strong"/>
          <w:rFonts w:ascii="Arial" w:eastAsia="Calibri Light" w:hAnsi="Arial" w:cs="Arial"/>
          <w:b w:val="0"/>
          <w:bCs w:val="0"/>
          <w:sz w:val="22"/>
          <w:szCs w:val="22"/>
        </w:rPr>
        <w:t xml:space="preserve"> purpose of this chapter is to </w:t>
      </w:r>
      <w:r w:rsidR="00C53FEC">
        <w:rPr>
          <w:rStyle w:val="Strong"/>
          <w:rFonts w:ascii="Arial" w:eastAsia="Calibri Light" w:hAnsi="Arial" w:cs="Arial"/>
          <w:b w:val="0"/>
          <w:bCs w:val="0"/>
          <w:sz w:val="22"/>
          <w:szCs w:val="22"/>
        </w:rPr>
        <w:t xml:space="preserve">take </w:t>
      </w:r>
      <w:r w:rsidR="00205DE7">
        <w:rPr>
          <w:rStyle w:val="Strong"/>
          <w:rFonts w:ascii="Arial" w:eastAsia="Calibri Light" w:hAnsi="Arial" w:cs="Arial"/>
          <w:b w:val="0"/>
          <w:bCs w:val="0"/>
          <w:sz w:val="22"/>
          <w:szCs w:val="22"/>
        </w:rPr>
        <w:t>an</w:t>
      </w:r>
      <w:r w:rsidRPr="008E3A1E">
        <w:rPr>
          <w:rStyle w:val="Strong"/>
          <w:rFonts w:ascii="Arial" w:eastAsia="Calibri Light" w:hAnsi="Arial" w:cs="Arial"/>
          <w:b w:val="0"/>
          <w:bCs w:val="0"/>
          <w:sz w:val="22"/>
          <w:szCs w:val="22"/>
        </w:rPr>
        <w:t xml:space="preserve"> </w:t>
      </w:r>
      <w:r w:rsidR="00205DE7">
        <w:rPr>
          <w:rStyle w:val="Strong"/>
          <w:rFonts w:ascii="Arial" w:eastAsia="Calibri Light" w:hAnsi="Arial" w:cs="Arial"/>
          <w:b w:val="0"/>
          <w:bCs w:val="0"/>
          <w:sz w:val="22"/>
          <w:szCs w:val="22"/>
        </w:rPr>
        <w:t>in-depth look</w:t>
      </w:r>
      <w:r w:rsidRPr="008E3A1E">
        <w:rPr>
          <w:rStyle w:val="Strong"/>
          <w:rFonts w:ascii="Arial" w:eastAsia="Calibri Light" w:hAnsi="Arial" w:cs="Arial"/>
          <w:b w:val="0"/>
          <w:bCs w:val="0"/>
          <w:sz w:val="22"/>
          <w:szCs w:val="22"/>
        </w:rPr>
        <w:t xml:space="preserve"> beyond </w:t>
      </w:r>
      <w:r w:rsidR="006B5FB7" w:rsidRPr="008E3A1E">
        <w:rPr>
          <w:rStyle w:val="Strong"/>
          <w:rFonts w:ascii="Arial" w:eastAsia="Calibri Light" w:hAnsi="Arial" w:cs="Arial"/>
          <w:b w:val="0"/>
          <w:bCs w:val="0"/>
          <w:sz w:val="22"/>
          <w:szCs w:val="22"/>
        </w:rPr>
        <w:t>what the statistics are</w:t>
      </w:r>
      <w:r w:rsidR="00B56EEA" w:rsidRPr="008E3A1E">
        <w:rPr>
          <w:rStyle w:val="Strong"/>
          <w:rFonts w:ascii="Arial" w:eastAsia="Calibri Light" w:hAnsi="Arial" w:cs="Arial"/>
          <w:b w:val="0"/>
          <w:bCs w:val="0"/>
          <w:sz w:val="22"/>
          <w:szCs w:val="22"/>
        </w:rPr>
        <w:t xml:space="preserve"> </w:t>
      </w:r>
      <w:r w:rsidR="0087662A" w:rsidRPr="008E3A1E">
        <w:rPr>
          <w:rStyle w:val="Strong"/>
          <w:rFonts w:ascii="Arial" w:eastAsia="Calibri Light" w:hAnsi="Arial" w:cs="Arial"/>
          <w:b w:val="0"/>
          <w:bCs w:val="0"/>
          <w:sz w:val="22"/>
          <w:szCs w:val="22"/>
        </w:rPr>
        <w:t>to explain why</w:t>
      </w:r>
      <w:r w:rsidR="00B56EEA" w:rsidRPr="008E3A1E">
        <w:rPr>
          <w:rStyle w:val="Strong"/>
          <w:rFonts w:ascii="Arial" w:eastAsia="Calibri Light" w:hAnsi="Arial" w:cs="Arial"/>
          <w:b w:val="0"/>
          <w:bCs w:val="0"/>
          <w:sz w:val="22"/>
          <w:szCs w:val="22"/>
        </w:rPr>
        <w:t xml:space="preserve"> these disparities persist, </w:t>
      </w:r>
      <w:r w:rsidR="0087662A" w:rsidRPr="008E3A1E">
        <w:rPr>
          <w:rStyle w:val="Strong"/>
          <w:rFonts w:ascii="Arial" w:eastAsia="Calibri Light" w:hAnsi="Arial" w:cs="Arial"/>
          <w:b w:val="0"/>
          <w:bCs w:val="0"/>
          <w:sz w:val="22"/>
          <w:szCs w:val="22"/>
        </w:rPr>
        <w:t>focusing</w:t>
      </w:r>
      <w:r w:rsidR="00B56EEA" w:rsidRPr="008E3A1E">
        <w:rPr>
          <w:rStyle w:val="Strong"/>
          <w:rFonts w:ascii="Arial" w:eastAsia="Calibri Light" w:hAnsi="Arial" w:cs="Arial"/>
          <w:b w:val="0"/>
          <w:bCs w:val="0"/>
          <w:sz w:val="22"/>
          <w:szCs w:val="22"/>
        </w:rPr>
        <w:t xml:space="preserve"> on </w:t>
      </w:r>
      <w:r w:rsidR="0087662A" w:rsidRPr="008E3A1E">
        <w:rPr>
          <w:rStyle w:val="Strong"/>
          <w:rFonts w:ascii="Arial" w:eastAsia="Calibri Light" w:hAnsi="Arial" w:cs="Arial"/>
          <w:b w:val="0"/>
          <w:bCs w:val="0"/>
          <w:sz w:val="22"/>
          <w:szCs w:val="22"/>
        </w:rPr>
        <w:t>the lived experiences of these communities.</w:t>
      </w:r>
    </w:p>
    <w:p w14:paraId="6CBC7EFF" w14:textId="14F99FFC" w:rsidR="003A66FD" w:rsidRPr="00F94048" w:rsidRDefault="00BE1577" w:rsidP="00426559">
      <w:pPr>
        <w:pStyle w:val="NormalWeb"/>
        <w:spacing w:line="360" w:lineRule="auto"/>
        <w:rPr>
          <w:rFonts w:ascii="Arial" w:hAnsi="Arial" w:cs="Arial"/>
          <w:sz w:val="22"/>
          <w:szCs w:val="22"/>
        </w:rPr>
      </w:pPr>
      <w:r w:rsidRPr="00F94048">
        <w:rPr>
          <w:rFonts w:ascii="Arial" w:hAnsi="Arial" w:cs="Arial"/>
          <w:sz w:val="22"/>
          <w:szCs w:val="22"/>
        </w:rPr>
        <w:t>The</w:t>
      </w:r>
      <w:r w:rsidR="005B3EDE" w:rsidRPr="00F94048">
        <w:rPr>
          <w:rFonts w:ascii="Arial" w:hAnsi="Arial" w:cs="Arial"/>
          <w:sz w:val="22"/>
          <w:szCs w:val="22"/>
        </w:rPr>
        <w:t xml:space="preserve"> research methods used here are essential </w:t>
      </w:r>
      <w:r w:rsidR="00F94048" w:rsidRPr="00F94048">
        <w:rPr>
          <w:rFonts w:ascii="Arial" w:hAnsi="Arial" w:cs="Arial"/>
          <w:sz w:val="22"/>
          <w:szCs w:val="22"/>
        </w:rPr>
        <w:t>to</w:t>
      </w:r>
      <w:r w:rsidR="00160C3A" w:rsidRPr="00F94048">
        <w:rPr>
          <w:rFonts w:ascii="Arial" w:hAnsi="Arial" w:cs="Arial"/>
          <w:sz w:val="22"/>
          <w:szCs w:val="22"/>
        </w:rPr>
        <w:t xml:space="preserve"> </w:t>
      </w:r>
      <w:r w:rsidR="0008419F" w:rsidRPr="00F94048">
        <w:rPr>
          <w:rFonts w:ascii="Arial" w:hAnsi="Arial" w:cs="Arial"/>
          <w:sz w:val="22"/>
          <w:szCs w:val="22"/>
        </w:rPr>
        <w:t>the identification</w:t>
      </w:r>
      <w:r w:rsidR="005B3EDE" w:rsidRPr="00F94048">
        <w:rPr>
          <w:rFonts w:ascii="Arial" w:hAnsi="Arial" w:cs="Arial"/>
          <w:sz w:val="22"/>
          <w:szCs w:val="22"/>
        </w:rPr>
        <w:t xml:space="preserve"> and </w:t>
      </w:r>
      <w:r w:rsidR="0008419F" w:rsidRPr="00F94048">
        <w:rPr>
          <w:rFonts w:ascii="Arial" w:hAnsi="Arial" w:cs="Arial"/>
          <w:sz w:val="22"/>
          <w:szCs w:val="22"/>
        </w:rPr>
        <w:t>analysis of the</w:t>
      </w:r>
      <w:r w:rsidR="005B3EDE" w:rsidRPr="00F94048">
        <w:rPr>
          <w:rFonts w:ascii="Arial" w:hAnsi="Arial" w:cs="Arial"/>
          <w:sz w:val="22"/>
          <w:szCs w:val="22"/>
        </w:rPr>
        <w:t xml:space="preserve"> sources that will </w:t>
      </w:r>
      <w:r w:rsidR="00126AC8">
        <w:rPr>
          <w:rFonts w:ascii="Arial" w:hAnsi="Arial" w:cs="Arial"/>
          <w:sz w:val="22"/>
          <w:szCs w:val="22"/>
        </w:rPr>
        <w:t xml:space="preserve">then </w:t>
      </w:r>
      <w:r w:rsidR="005B3EDE" w:rsidRPr="00F94048">
        <w:rPr>
          <w:rFonts w:ascii="Arial" w:hAnsi="Arial" w:cs="Arial"/>
          <w:sz w:val="22"/>
          <w:szCs w:val="22"/>
        </w:rPr>
        <w:t>form</w:t>
      </w:r>
      <w:r w:rsidR="00126AC8">
        <w:rPr>
          <w:rFonts w:ascii="Arial" w:hAnsi="Arial" w:cs="Arial"/>
          <w:sz w:val="22"/>
          <w:szCs w:val="22"/>
        </w:rPr>
        <w:t xml:space="preserve"> </w:t>
      </w:r>
      <w:r w:rsidR="005B3EDE" w:rsidRPr="00F94048">
        <w:rPr>
          <w:rFonts w:ascii="Arial" w:hAnsi="Arial" w:cs="Arial"/>
          <w:sz w:val="22"/>
          <w:szCs w:val="22"/>
        </w:rPr>
        <w:t xml:space="preserve">the basis for </w:t>
      </w:r>
      <w:r w:rsidR="00F94048" w:rsidRPr="00F94048">
        <w:rPr>
          <w:rFonts w:ascii="Arial" w:hAnsi="Arial" w:cs="Arial"/>
          <w:sz w:val="22"/>
          <w:szCs w:val="22"/>
        </w:rPr>
        <w:t xml:space="preserve">the </w:t>
      </w:r>
      <w:r w:rsidR="005B3EDE" w:rsidRPr="00F94048">
        <w:rPr>
          <w:rFonts w:ascii="Arial" w:hAnsi="Arial" w:cs="Arial"/>
          <w:sz w:val="22"/>
          <w:szCs w:val="22"/>
        </w:rPr>
        <w:t>thematic findings in Chapter 4.</w:t>
      </w:r>
    </w:p>
    <w:p w14:paraId="3A0D4F62" w14:textId="77777777" w:rsidR="00126AC8" w:rsidRPr="00671F7F" w:rsidRDefault="00292A36" w:rsidP="00126AC8">
      <w:pPr>
        <w:pStyle w:val="Heading2"/>
        <w:rPr>
          <w:rFonts w:ascii="Arial" w:hAnsi="Arial" w:cs="Arial"/>
          <w:b/>
          <w:bCs/>
          <w:color w:val="auto"/>
          <w:szCs w:val="24"/>
        </w:rPr>
      </w:pPr>
      <w:bookmarkStart w:id="5" w:name="_Toc226743143"/>
      <w:r w:rsidRPr="00671F7F">
        <w:rPr>
          <w:rFonts w:ascii="Arial" w:hAnsi="Arial" w:cs="Arial"/>
          <w:b/>
          <w:bCs/>
          <w:color w:val="auto"/>
          <w:szCs w:val="24"/>
        </w:rPr>
        <w:t>3.</w:t>
      </w:r>
      <w:r w:rsidR="00E40B0D" w:rsidRPr="00671F7F">
        <w:rPr>
          <w:rFonts w:ascii="Arial" w:hAnsi="Arial" w:cs="Arial"/>
          <w:b/>
          <w:bCs/>
          <w:color w:val="auto"/>
          <w:szCs w:val="24"/>
        </w:rPr>
        <w:t>2</w:t>
      </w:r>
      <w:r w:rsidRPr="00671F7F">
        <w:rPr>
          <w:rFonts w:ascii="Arial" w:hAnsi="Arial" w:cs="Arial"/>
          <w:b/>
          <w:bCs/>
          <w:color w:val="auto"/>
          <w:szCs w:val="24"/>
        </w:rPr>
        <w:t xml:space="preserve"> – Search Strategy</w:t>
      </w:r>
      <w:bookmarkEnd w:id="5"/>
      <w:r w:rsidRPr="00671F7F">
        <w:rPr>
          <w:rFonts w:ascii="Arial" w:hAnsi="Arial" w:cs="Arial"/>
          <w:b/>
          <w:bCs/>
          <w:color w:val="auto"/>
          <w:szCs w:val="24"/>
        </w:rPr>
        <w:t xml:space="preserve"> </w:t>
      </w:r>
    </w:p>
    <w:p w14:paraId="379B4F9F" w14:textId="2E48FB28" w:rsidR="005B3EDE" w:rsidRDefault="003F014F" w:rsidP="00A7250E">
      <w:pPr>
        <w:pStyle w:val="Heading2"/>
        <w:rPr>
          <w:rFonts w:ascii="Arial" w:hAnsi="Arial" w:cs="Arial"/>
          <w:color w:val="auto"/>
          <w:sz w:val="22"/>
          <w:szCs w:val="22"/>
        </w:rPr>
      </w:pPr>
      <w:bookmarkStart w:id="6" w:name="_Toc226743144"/>
      <w:r w:rsidRPr="0072484A">
        <w:rPr>
          <w:rFonts w:ascii="Arial" w:hAnsi="Arial" w:cs="Arial"/>
          <w:color w:val="auto"/>
          <w:sz w:val="22"/>
          <w:szCs w:val="22"/>
        </w:rPr>
        <w:t>To ensure a comprehensive collection of relevant data, a structured search strategy was implemented across several academic and professional databases.</w:t>
      </w:r>
      <w:r w:rsidR="00B7073C" w:rsidRPr="0072484A">
        <w:rPr>
          <w:rFonts w:ascii="Arial" w:hAnsi="Arial" w:cs="Arial"/>
          <w:color w:val="auto"/>
          <w:sz w:val="22"/>
          <w:szCs w:val="22"/>
        </w:rPr>
        <w:br/>
      </w:r>
      <w:r w:rsidR="00DB09C5" w:rsidRPr="0072484A">
        <w:rPr>
          <w:rFonts w:ascii="Arial" w:hAnsi="Arial" w:cs="Arial"/>
          <w:color w:val="auto"/>
          <w:sz w:val="22"/>
          <w:szCs w:val="22"/>
        </w:rPr>
        <w:t xml:space="preserve">       </w:t>
      </w:r>
      <w:r w:rsidR="00862D12" w:rsidRPr="0072484A">
        <w:rPr>
          <w:rFonts w:ascii="Arial" w:hAnsi="Arial" w:cs="Arial"/>
          <w:color w:val="auto"/>
          <w:sz w:val="22"/>
          <w:szCs w:val="22"/>
        </w:rPr>
        <w:t xml:space="preserve">    </w:t>
      </w:r>
      <w:r w:rsidRPr="0072484A">
        <w:rPr>
          <w:rFonts w:ascii="Arial" w:hAnsi="Arial" w:cs="Arial"/>
          <w:b/>
          <w:bCs/>
          <w:color w:val="auto"/>
          <w:sz w:val="22"/>
          <w:szCs w:val="22"/>
        </w:rPr>
        <w:t>Databases</w:t>
      </w:r>
      <w:r w:rsidR="005B3EDE" w:rsidRPr="0072484A">
        <w:rPr>
          <w:rFonts w:ascii="Arial" w:hAnsi="Arial" w:cs="Arial"/>
          <w:b/>
          <w:bCs/>
          <w:color w:val="auto"/>
          <w:sz w:val="22"/>
          <w:szCs w:val="22"/>
        </w:rPr>
        <w:t>:</w:t>
      </w:r>
      <w:r w:rsidRPr="0072484A">
        <w:rPr>
          <w:rFonts w:ascii="Arial" w:hAnsi="Arial" w:cs="Arial"/>
          <w:b/>
          <w:bCs/>
          <w:color w:val="auto"/>
          <w:sz w:val="22"/>
          <w:szCs w:val="22"/>
        </w:rPr>
        <w:t xml:space="preserve"> </w:t>
      </w:r>
      <w:r w:rsidRPr="0072484A">
        <w:rPr>
          <w:rFonts w:ascii="Arial" w:hAnsi="Arial" w:cs="Arial"/>
          <w:color w:val="auto"/>
          <w:sz w:val="22"/>
          <w:szCs w:val="22"/>
        </w:rPr>
        <w:t>Searches were conducted using CINAHL, PubMed, Google Scholar,</w:t>
      </w:r>
      <w:r w:rsidR="00DC23D5" w:rsidRPr="0072484A">
        <w:rPr>
          <w:rFonts w:ascii="Arial" w:hAnsi="Arial" w:cs="Arial"/>
          <w:color w:val="auto"/>
          <w:sz w:val="22"/>
          <w:szCs w:val="22"/>
        </w:rPr>
        <w:t xml:space="preserve"> BMJ</w:t>
      </w:r>
      <w:r w:rsidRPr="0072484A">
        <w:rPr>
          <w:rFonts w:ascii="Arial" w:hAnsi="Arial" w:cs="Arial"/>
          <w:color w:val="auto"/>
          <w:sz w:val="22"/>
          <w:szCs w:val="22"/>
        </w:rPr>
        <w:t xml:space="preserve"> and the UWTSD library</w:t>
      </w:r>
      <w:r w:rsidR="00DB09C5" w:rsidRPr="0072484A">
        <w:rPr>
          <w:rFonts w:ascii="Arial" w:hAnsi="Arial" w:cs="Arial"/>
          <w:color w:val="auto"/>
          <w:sz w:val="22"/>
          <w:szCs w:val="22"/>
        </w:rPr>
        <w:t xml:space="preserve">. </w:t>
      </w:r>
      <w:r w:rsidR="00AA5AEF" w:rsidRPr="0072484A">
        <w:rPr>
          <w:rFonts w:ascii="Arial" w:hAnsi="Arial" w:cs="Arial"/>
          <w:color w:val="auto"/>
          <w:sz w:val="22"/>
          <w:szCs w:val="22"/>
        </w:rPr>
        <w:t xml:space="preserve"> </w:t>
      </w:r>
      <w:r w:rsidR="005B55F8" w:rsidRPr="0072484A">
        <w:rPr>
          <w:rFonts w:ascii="Arial" w:hAnsi="Arial" w:cs="Arial"/>
          <w:color w:val="auto"/>
          <w:sz w:val="22"/>
          <w:szCs w:val="22"/>
        </w:rPr>
        <w:t>Incorporating official inquiry reports</w:t>
      </w:r>
      <w:r w:rsidR="002B4155" w:rsidRPr="0072484A">
        <w:rPr>
          <w:rFonts w:ascii="Arial" w:hAnsi="Arial" w:cs="Arial"/>
          <w:color w:val="auto"/>
          <w:sz w:val="22"/>
          <w:szCs w:val="22"/>
        </w:rPr>
        <w:t xml:space="preserve"> on the I</w:t>
      </w:r>
      <w:r w:rsidR="00882D5D" w:rsidRPr="0072484A">
        <w:rPr>
          <w:rFonts w:ascii="Arial" w:hAnsi="Arial" w:cs="Arial"/>
          <w:color w:val="auto"/>
          <w:sz w:val="22"/>
          <w:szCs w:val="22"/>
        </w:rPr>
        <w:t>nfected Blood Scandal</w:t>
      </w:r>
      <w:r w:rsidR="006A7614" w:rsidRPr="0072484A">
        <w:rPr>
          <w:rFonts w:ascii="Arial" w:hAnsi="Arial" w:cs="Arial"/>
          <w:color w:val="auto"/>
          <w:sz w:val="22"/>
          <w:szCs w:val="22"/>
        </w:rPr>
        <w:t xml:space="preserve"> (2024) and </w:t>
      </w:r>
      <w:r w:rsidR="00AE26F1" w:rsidRPr="0072484A">
        <w:rPr>
          <w:rFonts w:ascii="Arial" w:hAnsi="Arial" w:cs="Arial"/>
          <w:color w:val="auto"/>
          <w:sz w:val="22"/>
          <w:szCs w:val="22"/>
        </w:rPr>
        <w:t>longitudinal studies on the Tuskegee</w:t>
      </w:r>
      <w:r w:rsidR="0006271C" w:rsidRPr="0072484A">
        <w:rPr>
          <w:rFonts w:ascii="Arial" w:hAnsi="Arial" w:cs="Arial"/>
          <w:color w:val="auto"/>
          <w:sz w:val="22"/>
          <w:szCs w:val="22"/>
        </w:rPr>
        <w:t xml:space="preserve"> legacy</w:t>
      </w:r>
      <w:r w:rsidR="007D1CC1" w:rsidRPr="0072484A">
        <w:rPr>
          <w:rFonts w:ascii="Arial" w:hAnsi="Arial" w:cs="Arial"/>
          <w:color w:val="auto"/>
          <w:sz w:val="22"/>
          <w:szCs w:val="22"/>
        </w:rPr>
        <w:t xml:space="preserve"> (</w:t>
      </w:r>
      <w:r w:rsidR="00163F23" w:rsidRPr="0072484A">
        <w:rPr>
          <w:rFonts w:ascii="Arial" w:hAnsi="Arial" w:cs="Arial"/>
          <w:color w:val="auto"/>
          <w:sz w:val="22"/>
          <w:szCs w:val="22"/>
        </w:rPr>
        <w:t>1932-1972)</w:t>
      </w:r>
      <w:r w:rsidR="00B02F0B" w:rsidRPr="0072484A">
        <w:rPr>
          <w:rFonts w:ascii="Arial" w:hAnsi="Arial" w:cs="Arial"/>
          <w:color w:val="auto"/>
          <w:sz w:val="22"/>
          <w:szCs w:val="22"/>
        </w:rPr>
        <w:t xml:space="preserve"> and</w:t>
      </w:r>
      <w:r w:rsidR="005C1B0A" w:rsidRPr="0072484A">
        <w:rPr>
          <w:rFonts w:ascii="Arial" w:hAnsi="Arial" w:cs="Arial"/>
          <w:color w:val="auto"/>
          <w:sz w:val="22"/>
          <w:szCs w:val="22"/>
        </w:rPr>
        <w:t xml:space="preserve"> COVID-19</w:t>
      </w:r>
      <w:r w:rsidR="007A7183" w:rsidRPr="0072484A">
        <w:rPr>
          <w:rFonts w:ascii="Arial" w:hAnsi="Arial" w:cs="Arial"/>
          <w:color w:val="auto"/>
          <w:sz w:val="22"/>
          <w:szCs w:val="22"/>
        </w:rPr>
        <w:t xml:space="preserve"> Pandemic</w:t>
      </w:r>
      <w:r w:rsidR="007D1CC1" w:rsidRPr="0072484A">
        <w:rPr>
          <w:rFonts w:ascii="Arial" w:hAnsi="Arial" w:cs="Arial"/>
          <w:color w:val="auto"/>
          <w:sz w:val="22"/>
          <w:szCs w:val="22"/>
        </w:rPr>
        <w:t xml:space="preserve"> (2020)</w:t>
      </w:r>
      <w:r w:rsidR="00723392" w:rsidRPr="0072484A">
        <w:rPr>
          <w:rFonts w:ascii="Arial" w:hAnsi="Arial" w:cs="Arial"/>
          <w:color w:val="auto"/>
          <w:sz w:val="22"/>
          <w:szCs w:val="22"/>
        </w:rPr>
        <w:t xml:space="preserve">, </w:t>
      </w:r>
      <w:r w:rsidR="00822B3B" w:rsidRPr="0072484A">
        <w:rPr>
          <w:rFonts w:ascii="Arial" w:hAnsi="Arial" w:cs="Arial"/>
          <w:color w:val="auto"/>
          <w:sz w:val="22"/>
          <w:szCs w:val="22"/>
        </w:rPr>
        <w:t xml:space="preserve">a </w:t>
      </w:r>
      <w:r w:rsidR="00723392" w:rsidRPr="0072484A">
        <w:rPr>
          <w:rFonts w:ascii="Arial" w:hAnsi="Arial" w:cs="Arial"/>
          <w:color w:val="auto"/>
          <w:sz w:val="22"/>
          <w:szCs w:val="22"/>
        </w:rPr>
        <w:t>qua</w:t>
      </w:r>
      <w:r w:rsidR="00A85E08" w:rsidRPr="0072484A">
        <w:rPr>
          <w:rFonts w:ascii="Arial" w:hAnsi="Arial" w:cs="Arial"/>
          <w:color w:val="auto"/>
          <w:sz w:val="22"/>
          <w:szCs w:val="22"/>
        </w:rPr>
        <w:t xml:space="preserve">litative benchmark to identify </w:t>
      </w:r>
      <w:r w:rsidR="003D3C73" w:rsidRPr="0072484A">
        <w:rPr>
          <w:rFonts w:ascii="Arial" w:hAnsi="Arial" w:cs="Arial"/>
          <w:color w:val="auto"/>
          <w:sz w:val="22"/>
          <w:szCs w:val="22"/>
        </w:rPr>
        <w:t>the roots of contemporary donor hesitancy.</w:t>
      </w:r>
      <w:bookmarkEnd w:id="6"/>
    </w:p>
    <w:p w14:paraId="3BB62B8B" w14:textId="77777777" w:rsidR="00D429E3" w:rsidRPr="00D429E3" w:rsidRDefault="00D429E3" w:rsidP="00A7250E">
      <w:pPr>
        <w:rPr>
          <w:rFonts w:ascii="Arial" w:hAnsi="Arial" w:cs="Arial"/>
        </w:rPr>
      </w:pPr>
    </w:p>
    <w:p w14:paraId="096015FF" w14:textId="44FD8C83" w:rsidR="00DB09C5" w:rsidRPr="00D429E3" w:rsidRDefault="00DB09C5" w:rsidP="004726A3">
      <w:pPr>
        <w:pStyle w:val="ListParagraph"/>
        <w:numPr>
          <w:ilvl w:val="0"/>
          <w:numId w:val="18"/>
        </w:numPr>
        <w:spacing w:line="360" w:lineRule="auto"/>
        <w:rPr>
          <w:rFonts w:ascii="Arial" w:hAnsi="Arial" w:cs="Arial"/>
        </w:rPr>
      </w:pPr>
      <w:r w:rsidRPr="00D429E3">
        <w:rPr>
          <w:rFonts w:ascii="Arial" w:hAnsi="Arial" w:cs="Arial"/>
          <w:b/>
          <w:bCs/>
        </w:rPr>
        <w:t>Grey Literature</w:t>
      </w:r>
      <w:r w:rsidRPr="00D429E3">
        <w:rPr>
          <w:rFonts w:ascii="Arial" w:hAnsi="Arial" w:cs="Arial"/>
        </w:rPr>
        <w:t>: Reports and statistical data from the NHS Blood and Transplant (NHSBT) and the World Health Organisation (WHO) were included to provide current policy contexts and donation statistics.</w:t>
      </w:r>
    </w:p>
    <w:p w14:paraId="155922A1" w14:textId="77777777" w:rsidR="00DB09C5" w:rsidRPr="00D429E3" w:rsidRDefault="00DB09C5" w:rsidP="004726A3">
      <w:pPr>
        <w:pStyle w:val="ListParagraph"/>
        <w:spacing w:line="360" w:lineRule="auto"/>
        <w:ind w:left="720" w:firstLine="0"/>
        <w:rPr>
          <w:rFonts w:ascii="Arial" w:hAnsi="Arial" w:cs="Arial"/>
        </w:rPr>
      </w:pPr>
    </w:p>
    <w:p w14:paraId="614FE7FE" w14:textId="4E8F991D" w:rsidR="00DB09C5" w:rsidRPr="00D429E3" w:rsidRDefault="00DB09C5" w:rsidP="004726A3">
      <w:pPr>
        <w:pStyle w:val="ListParagraph"/>
        <w:numPr>
          <w:ilvl w:val="0"/>
          <w:numId w:val="18"/>
        </w:numPr>
        <w:spacing w:line="360" w:lineRule="auto"/>
        <w:rPr>
          <w:rFonts w:ascii="Arial" w:hAnsi="Arial" w:cs="Arial"/>
        </w:rPr>
      </w:pPr>
      <w:r w:rsidRPr="00D429E3">
        <w:rPr>
          <w:rFonts w:ascii="Arial" w:hAnsi="Arial" w:cs="Arial"/>
          <w:b/>
          <w:bCs/>
        </w:rPr>
        <w:t>Keywords</w:t>
      </w:r>
      <w:r w:rsidRPr="00D429E3">
        <w:rPr>
          <w:rFonts w:ascii="Arial" w:hAnsi="Arial" w:cs="Arial"/>
        </w:rPr>
        <w:t>: Search terms included “blood donation,”</w:t>
      </w:r>
      <w:r w:rsidR="00343679" w:rsidRPr="00D429E3">
        <w:rPr>
          <w:rFonts w:ascii="Arial" w:hAnsi="Arial" w:cs="Arial"/>
        </w:rPr>
        <w:t xml:space="preserve"> “</w:t>
      </w:r>
      <w:r w:rsidRPr="00D429E3">
        <w:rPr>
          <w:rFonts w:ascii="Arial" w:hAnsi="Arial" w:cs="Arial"/>
        </w:rPr>
        <w:t>organ donation,” “ethnic minorities,”</w:t>
      </w:r>
      <w:r w:rsidR="00343679" w:rsidRPr="00D429E3">
        <w:rPr>
          <w:rFonts w:ascii="Arial" w:hAnsi="Arial" w:cs="Arial"/>
        </w:rPr>
        <w:t xml:space="preserve"> </w:t>
      </w:r>
      <w:r w:rsidRPr="00D429E3">
        <w:rPr>
          <w:rFonts w:ascii="Arial" w:hAnsi="Arial" w:cs="Arial"/>
        </w:rPr>
        <w:t>”</w:t>
      </w:r>
      <w:r w:rsidR="00343679" w:rsidRPr="00D429E3">
        <w:rPr>
          <w:rFonts w:ascii="Arial" w:hAnsi="Arial" w:cs="Arial"/>
        </w:rPr>
        <w:t xml:space="preserve"> </w:t>
      </w:r>
      <w:r w:rsidRPr="00D429E3">
        <w:rPr>
          <w:rFonts w:ascii="Arial" w:hAnsi="Arial" w:cs="Arial"/>
        </w:rPr>
        <w:t xml:space="preserve">BAME,” “UK healthcare barriers,” “cultural beliefs,” and </w:t>
      </w:r>
      <w:r w:rsidR="00343679" w:rsidRPr="00D429E3">
        <w:rPr>
          <w:rFonts w:ascii="Arial" w:hAnsi="Arial" w:cs="Arial"/>
        </w:rPr>
        <w:t>transplant disparities.</w:t>
      </w:r>
    </w:p>
    <w:p w14:paraId="719F3F8D" w14:textId="77777777" w:rsidR="00DB09C5" w:rsidRPr="00D429E3" w:rsidRDefault="00DB09C5" w:rsidP="004726A3">
      <w:pPr>
        <w:pStyle w:val="ListParagraph"/>
        <w:spacing w:line="360" w:lineRule="auto"/>
        <w:ind w:left="720" w:firstLine="0"/>
        <w:rPr>
          <w:rFonts w:ascii="Arial" w:hAnsi="Arial" w:cs="Arial"/>
        </w:rPr>
      </w:pPr>
    </w:p>
    <w:p w14:paraId="5BED73AF" w14:textId="467C85FD" w:rsidR="005B3EDE" w:rsidRPr="00D429E3" w:rsidRDefault="005B3EDE" w:rsidP="004726A3">
      <w:pPr>
        <w:pStyle w:val="ListParagraph"/>
        <w:numPr>
          <w:ilvl w:val="0"/>
          <w:numId w:val="18"/>
        </w:numPr>
        <w:spacing w:line="360" w:lineRule="auto"/>
        <w:jc w:val="both"/>
        <w:rPr>
          <w:rFonts w:ascii="Arial" w:hAnsi="Arial" w:cs="Arial"/>
        </w:rPr>
      </w:pPr>
      <w:r w:rsidRPr="00D429E3">
        <w:rPr>
          <w:rFonts w:ascii="Arial" w:hAnsi="Arial" w:cs="Arial"/>
          <w:b/>
          <w:bCs/>
        </w:rPr>
        <w:t>Boolean Operators:</w:t>
      </w:r>
      <w:r w:rsidR="006E50F6" w:rsidRPr="00D429E3">
        <w:rPr>
          <w:rFonts w:ascii="Arial" w:hAnsi="Arial" w:cs="Arial"/>
          <w:b/>
          <w:bCs/>
        </w:rPr>
        <w:t xml:space="preserve"> </w:t>
      </w:r>
      <w:r w:rsidR="006E50F6" w:rsidRPr="00D429E3">
        <w:rPr>
          <w:rFonts w:ascii="Arial" w:hAnsi="Arial" w:cs="Arial"/>
        </w:rPr>
        <w:t>The search utilised Boolean Operators (AND, OR, NOT) to refine results and ensure</w:t>
      </w:r>
      <w:r w:rsidR="00364E14" w:rsidRPr="00D429E3">
        <w:rPr>
          <w:rFonts w:ascii="Arial" w:hAnsi="Arial" w:cs="Arial"/>
        </w:rPr>
        <w:t xml:space="preserve"> the literature was specific to the research aim of exploring the barriers faced by ethnic minorities in accessing information and resources on blood and organ donation in the UK.</w:t>
      </w:r>
    </w:p>
    <w:p w14:paraId="65D3DA34" w14:textId="692EA983" w:rsidR="00B575E2" w:rsidRPr="00D429E3" w:rsidRDefault="00364E14" w:rsidP="004726A3">
      <w:pPr>
        <w:pStyle w:val="ListParagraph"/>
        <w:spacing w:line="360" w:lineRule="auto"/>
        <w:ind w:left="720" w:firstLine="0"/>
        <w:jc w:val="both"/>
        <w:rPr>
          <w:rFonts w:ascii="Arial" w:hAnsi="Arial" w:cs="Arial"/>
        </w:rPr>
      </w:pPr>
      <w:r w:rsidRPr="00D429E3">
        <w:rPr>
          <w:rFonts w:ascii="Arial" w:hAnsi="Arial" w:cs="Arial"/>
        </w:rPr>
        <w:t>OR (Expansion): Used to group similar concepts and synonyms to ensure no relevant studies were missed due to terminology variations.</w:t>
      </w:r>
    </w:p>
    <w:p w14:paraId="31C8A745" w14:textId="77777777" w:rsidR="00364E14" w:rsidRPr="00D429E3" w:rsidRDefault="00364E14" w:rsidP="004726A3">
      <w:pPr>
        <w:pStyle w:val="ListParagraph"/>
        <w:spacing w:line="360" w:lineRule="auto"/>
        <w:ind w:left="720" w:firstLine="0"/>
        <w:jc w:val="both"/>
        <w:rPr>
          <w:rFonts w:ascii="Arial" w:hAnsi="Arial" w:cs="Arial"/>
        </w:rPr>
      </w:pPr>
    </w:p>
    <w:p w14:paraId="348CBC3C" w14:textId="233D2E06" w:rsidR="00364E14" w:rsidRPr="00D429E3" w:rsidRDefault="00364E14" w:rsidP="004726A3">
      <w:pPr>
        <w:pStyle w:val="ListParagraph"/>
        <w:numPr>
          <w:ilvl w:val="0"/>
          <w:numId w:val="18"/>
        </w:numPr>
        <w:spacing w:line="360" w:lineRule="auto"/>
        <w:jc w:val="both"/>
        <w:rPr>
          <w:rFonts w:ascii="Arial" w:hAnsi="Arial" w:cs="Arial"/>
        </w:rPr>
      </w:pPr>
      <w:r w:rsidRPr="00D429E3">
        <w:rPr>
          <w:rFonts w:ascii="Arial" w:hAnsi="Arial" w:cs="Arial"/>
        </w:rPr>
        <w:t>(“Ethnic minorities” OR “BAME” OR “South Asian”</w:t>
      </w:r>
      <w:r w:rsidR="00F87A30" w:rsidRPr="00D429E3">
        <w:rPr>
          <w:rFonts w:ascii="Arial" w:hAnsi="Arial" w:cs="Arial"/>
        </w:rPr>
        <w:t xml:space="preserve"> OR “Black African” OR “Black Caribbean”) AND (Narrowing): Used to link the target population with a specific health context and geographic location. (“Ethnic minorities” AND “blood donation” AND “United Kingdom”) (“Organ donation “NOT Surgical procedure”)</w:t>
      </w:r>
      <w:r w:rsidR="008F0620" w:rsidRPr="00D429E3">
        <w:rPr>
          <w:rFonts w:ascii="Arial" w:hAnsi="Arial" w:cs="Arial"/>
        </w:rPr>
        <w:t xml:space="preserve"> (“Ethnic minorities” OR “BAME” OR ”Black and Minority Ethnic”) AND (blood donation” OR “Organ donation”) AND (“barriers” OR “access” OR “inequality”) AND “UK”</w:t>
      </w:r>
    </w:p>
    <w:p w14:paraId="0D37A907" w14:textId="70502213" w:rsidR="005B3EDE" w:rsidRPr="00D429E3" w:rsidRDefault="008F0620" w:rsidP="004726A3">
      <w:pPr>
        <w:rPr>
          <w:rFonts w:ascii="Arial" w:hAnsi="Arial" w:cs="Arial"/>
        </w:rPr>
      </w:pPr>
      <w:r w:rsidRPr="00D429E3">
        <w:rPr>
          <w:rFonts w:ascii="Arial" w:hAnsi="Arial" w:cs="Arial"/>
        </w:rPr>
        <w:t>This systematic approach allowed for the identification of literature that specifically addresses the socio-economic, cultural, and policy dimensions of the donation disparity in the UK.</w:t>
      </w:r>
    </w:p>
    <w:p w14:paraId="24E6B5EE" w14:textId="77777777" w:rsidR="00892A04" w:rsidRPr="00D429E3" w:rsidRDefault="00892A04" w:rsidP="004726A3">
      <w:pPr>
        <w:rPr>
          <w:rFonts w:ascii="Arial" w:hAnsi="Arial" w:cs="Arial"/>
        </w:rPr>
      </w:pPr>
    </w:p>
    <w:p w14:paraId="042A0E46" w14:textId="77777777" w:rsidR="00892A04" w:rsidRPr="00D429E3" w:rsidRDefault="00892A04" w:rsidP="004726A3">
      <w:pPr>
        <w:rPr>
          <w:rFonts w:ascii="Arial" w:hAnsi="Arial" w:cs="Arial"/>
        </w:rPr>
      </w:pPr>
    </w:p>
    <w:p w14:paraId="57AFDE7A" w14:textId="20BA218D" w:rsidR="00B575E2" w:rsidRPr="00D429E3" w:rsidRDefault="00292A36" w:rsidP="0072484A">
      <w:pPr>
        <w:pStyle w:val="Heading2"/>
        <w:numPr>
          <w:ilvl w:val="1"/>
          <w:numId w:val="13"/>
        </w:numPr>
        <w:rPr>
          <w:rFonts w:ascii="Arial" w:hAnsi="Arial" w:cs="Arial"/>
          <w:b/>
          <w:bCs/>
          <w:color w:val="auto"/>
          <w:sz w:val="22"/>
          <w:szCs w:val="22"/>
        </w:rPr>
      </w:pPr>
      <w:bookmarkStart w:id="7" w:name="_Toc226743145"/>
      <w:r w:rsidRPr="00D429E3">
        <w:rPr>
          <w:rFonts w:ascii="Arial" w:hAnsi="Arial" w:cs="Arial"/>
          <w:b/>
          <w:bCs/>
          <w:color w:val="auto"/>
          <w:sz w:val="22"/>
          <w:szCs w:val="22"/>
        </w:rPr>
        <w:t>– Searching for Information</w:t>
      </w:r>
      <w:bookmarkEnd w:id="7"/>
      <w:r w:rsidRPr="00D429E3">
        <w:rPr>
          <w:rFonts w:ascii="Arial" w:hAnsi="Arial" w:cs="Arial"/>
          <w:b/>
          <w:bCs/>
          <w:color w:val="auto"/>
          <w:sz w:val="22"/>
          <w:szCs w:val="22"/>
        </w:rPr>
        <w:t xml:space="preserve"> </w:t>
      </w:r>
    </w:p>
    <w:p w14:paraId="4AA5ACB7" w14:textId="1E4EE757" w:rsidR="00464A8C" w:rsidRPr="00D429E3" w:rsidRDefault="00A457D1" w:rsidP="00C74CFF">
      <w:pPr>
        <w:rPr>
          <w:rFonts w:ascii="Arial" w:hAnsi="Arial" w:cs="Arial"/>
        </w:rPr>
      </w:pPr>
      <w:r w:rsidRPr="00D429E3">
        <w:rPr>
          <w:rFonts w:ascii="Arial" w:hAnsi="Arial" w:cs="Arial"/>
        </w:rPr>
        <w:t>Systematic information sourcing was conducted through</w:t>
      </w:r>
      <w:r w:rsidR="00D9053B" w:rsidRPr="00D429E3">
        <w:rPr>
          <w:rFonts w:ascii="Arial" w:hAnsi="Arial" w:cs="Arial"/>
        </w:rPr>
        <w:t xml:space="preserve"> </w:t>
      </w:r>
      <w:r w:rsidR="00862D12" w:rsidRPr="00D429E3">
        <w:rPr>
          <w:rFonts w:ascii="Arial" w:hAnsi="Arial" w:cs="Arial"/>
        </w:rPr>
        <w:t xml:space="preserve">the </w:t>
      </w:r>
      <w:r w:rsidR="00D9053B" w:rsidRPr="00D429E3">
        <w:rPr>
          <w:rFonts w:ascii="Arial" w:hAnsi="Arial" w:cs="Arial"/>
        </w:rPr>
        <w:t>UWTSD Library</w:t>
      </w:r>
      <w:r w:rsidR="00862D12" w:rsidRPr="00D429E3">
        <w:rPr>
          <w:rFonts w:ascii="Arial" w:hAnsi="Arial" w:cs="Arial"/>
        </w:rPr>
        <w:t xml:space="preserve">. </w:t>
      </w:r>
      <w:r w:rsidR="006A5C0F" w:rsidRPr="00D429E3">
        <w:rPr>
          <w:rFonts w:ascii="Arial" w:hAnsi="Arial" w:cs="Arial"/>
        </w:rPr>
        <w:t xml:space="preserve">This high volume of literature was necessary to </w:t>
      </w:r>
      <w:r w:rsidR="007123C4" w:rsidRPr="00D429E3">
        <w:rPr>
          <w:rFonts w:ascii="Arial" w:hAnsi="Arial" w:cs="Arial"/>
        </w:rPr>
        <w:t>triangulate findings across clinical, soci</w:t>
      </w:r>
      <w:r w:rsidR="00BF0258" w:rsidRPr="00D429E3">
        <w:rPr>
          <w:rFonts w:ascii="Arial" w:hAnsi="Arial" w:cs="Arial"/>
        </w:rPr>
        <w:t>ological, and policy-driven domains.</w:t>
      </w:r>
      <w:r w:rsidR="00464A8C" w:rsidRPr="00D429E3">
        <w:rPr>
          <w:rFonts w:ascii="Arial" w:hAnsi="Arial" w:cs="Arial"/>
        </w:rPr>
        <w:t xml:space="preserve">  The primary</w:t>
      </w:r>
      <w:r w:rsidR="00CA3135" w:rsidRPr="00D429E3">
        <w:rPr>
          <w:rFonts w:ascii="Arial" w:hAnsi="Arial" w:cs="Arial"/>
        </w:rPr>
        <w:t xml:space="preserve"> search</w:t>
      </w:r>
      <w:r w:rsidR="0043078C" w:rsidRPr="00D429E3">
        <w:rPr>
          <w:rFonts w:ascii="Arial" w:hAnsi="Arial" w:cs="Arial"/>
        </w:rPr>
        <w:t xml:space="preserve"> was </w:t>
      </w:r>
      <w:r w:rsidR="00667E30" w:rsidRPr="00D429E3">
        <w:rPr>
          <w:rFonts w:ascii="Arial" w:hAnsi="Arial" w:cs="Arial"/>
        </w:rPr>
        <w:t xml:space="preserve">conducted across three core databases: PubMed (Clinical outcomes), CINAHL (nursing and allied health perspectives), and the Cochrane Library (Systematic reviews), as well as YouTube videos and visual aids to support </w:t>
      </w:r>
      <w:r w:rsidR="00381AAE" w:rsidRPr="00D429E3">
        <w:rPr>
          <w:rFonts w:ascii="Arial" w:hAnsi="Arial" w:cs="Arial"/>
        </w:rPr>
        <w:t>understanding of th</w:t>
      </w:r>
      <w:r w:rsidR="00835D9F" w:rsidRPr="00D429E3">
        <w:rPr>
          <w:rFonts w:ascii="Arial" w:hAnsi="Arial" w:cs="Arial"/>
        </w:rPr>
        <w:t>is study</w:t>
      </w:r>
      <w:r w:rsidR="00E223D8" w:rsidRPr="00D429E3">
        <w:rPr>
          <w:rFonts w:ascii="Arial" w:hAnsi="Arial" w:cs="Arial"/>
        </w:rPr>
        <w:t xml:space="preserve">.  </w:t>
      </w:r>
    </w:p>
    <w:p w14:paraId="7C97A730" w14:textId="1DE9CC3D" w:rsidR="00B575E2" w:rsidRPr="00D429E3" w:rsidRDefault="00B575E2" w:rsidP="00B575E2">
      <w:pPr>
        <w:rPr>
          <w:rFonts w:ascii="Arial" w:hAnsi="Arial" w:cs="Arial"/>
          <w:b/>
          <w:bCs/>
          <w:sz w:val="24"/>
          <w:szCs w:val="24"/>
        </w:rPr>
      </w:pPr>
      <w:r w:rsidRPr="00D429E3">
        <w:rPr>
          <w:rFonts w:ascii="Arial" w:hAnsi="Arial" w:cs="Arial"/>
          <w:sz w:val="24"/>
          <w:szCs w:val="24"/>
        </w:rPr>
        <w:t xml:space="preserve">  </w:t>
      </w:r>
      <w:r w:rsidRPr="00D429E3">
        <w:rPr>
          <w:rFonts w:ascii="Arial" w:hAnsi="Arial" w:cs="Arial"/>
          <w:b/>
          <w:bCs/>
          <w:sz w:val="24"/>
          <w:szCs w:val="24"/>
        </w:rPr>
        <w:t>Databases and Platforms:</w:t>
      </w:r>
    </w:p>
    <w:p w14:paraId="1ECA7108" w14:textId="77777777" w:rsidR="00890744" w:rsidRPr="00D429E3" w:rsidRDefault="00890744" w:rsidP="00890744">
      <w:pPr>
        <w:rPr>
          <w:rFonts w:ascii="Arial" w:hAnsi="Arial" w:cs="Arial"/>
        </w:rPr>
      </w:pPr>
      <w:r w:rsidRPr="00D429E3">
        <w:rPr>
          <w:rFonts w:ascii="Arial" w:hAnsi="Arial" w:cs="Arial"/>
        </w:rPr>
        <w:t>The academic databases and websites used to find the sources were Google Scholar, PubMed,  UWTSD Library, Cochrane Library, and Sage Journals.</w:t>
      </w:r>
    </w:p>
    <w:p w14:paraId="6D2AD215" w14:textId="0815571D" w:rsidR="00890744" w:rsidRPr="00D429E3" w:rsidRDefault="00890744" w:rsidP="00890744">
      <w:pPr>
        <w:rPr>
          <w:rFonts w:ascii="Arial" w:hAnsi="Arial" w:cs="Arial"/>
        </w:rPr>
      </w:pPr>
      <w:r w:rsidRPr="00D429E3">
        <w:rPr>
          <w:rFonts w:ascii="Arial" w:hAnsi="Arial" w:cs="Arial"/>
        </w:rPr>
        <w:t xml:space="preserve">The credibility and relevance of these sources are sound, as they are Peer-reviewed and sourced from clinical, Sociological, Governmental, </w:t>
      </w:r>
      <w:r w:rsidR="00C1256C" w:rsidRPr="00D429E3">
        <w:rPr>
          <w:rFonts w:ascii="Arial" w:hAnsi="Arial" w:cs="Arial"/>
        </w:rPr>
        <w:t>and university-validated</w:t>
      </w:r>
      <w:r w:rsidRPr="00D429E3">
        <w:rPr>
          <w:rFonts w:ascii="Arial" w:hAnsi="Arial" w:cs="Arial"/>
        </w:rPr>
        <w:t xml:space="preserve"> databases</w:t>
      </w:r>
      <w:r w:rsidR="00667E30" w:rsidRPr="00D429E3">
        <w:rPr>
          <w:rFonts w:ascii="Arial" w:hAnsi="Arial" w:cs="Arial"/>
        </w:rPr>
        <w:t>.</w:t>
      </w:r>
    </w:p>
    <w:p w14:paraId="237E70AD" w14:textId="7EBDC844" w:rsidR="00B575E2" w:rsidRPr="00D429E3" w:rsidRDefault="00B575E2" w:rsidP="00B575E2">
      <w:pPr>
        <w:rPr>
          <w:rFonts w:ascii="Arial" w:hAnsi="Arial" w:cs="Arial"/>
          <w:sz w:val="24"/>
          <w:szCs w:val="24"/>
        </w:rPr>
      </w:pPr>
      <w:r w:rsidRPr="00D429E3">
        <w:rPr>
          <w:rFonts w:ascii="Arial" w:hAnsi="Arial" w:cs="Arial"/>
          <w:sz w:val="24"/>
          <w:szCs w:val="24"/>
        </w:rPr>
        <w:t xml:space="preserve">  </w:t>
      </w:r>
      <w:r w:rsidRPr="00D429E3">
        <w:rPr>
          <w:rFonts w:ascii="Arial" w:hAnsi="Arial" w:cs="Arial"/>
          <w:b/>
          <w:bCs/>
          <w:sz w:val="24"/>
          <w:szCs w:val="24"/>
        </w:rPr>
        <w:t>Using Filters:</w:t>
      </w:r>
    </w:p>
    <w:p w14:paraId="44B553EC" w14:textId="798CE3E3" w:rsidR="00B575E2" w:rsidRPr="00D429E3" w:rsidRDefault="001F79B2" w:rsidP="00871673">
      <w:pPr>
        <w:rPr>
          <w:rFonts w:ascii="Arial" w:hAnsi="Arial" w:cs="Arial"/>
        </w:rPr>
      </w:pPr>
      <w:r w:rsidRPr="00D429E3">
        <w:rPr>
          <w:rFonts w:ascii="Arial" w:hAnsi="Arial" w:cs="Arial"/>
        </w:rPr>
        <w:t>The Filters were used, i.e., such as date range: 2011-2026, peer-reviewed,</w:t>
      </w:r>
      <w:r w:rsidR="00667E30" w:rsidRPr="00D429E3">
        <w:rPr>
          <w:rFonts w:ascii="Arial" w:hAnsi="Arial" w:cs="Arial"/>
        </w:rPr>
        <w:t xml:space="preserve"> Open access</w:t>
      </w:r>
      <w:r w:rsidRPr="00D429E3">
        <w:rPr>
          <w:rFonts w:ascii="Arial" w:hAnsi="Arial" w:cs="Arial"/>
        </w:rPr>
        <w:t xml:space="preserve"> and country of focus,</w:t>
      </w:r>
      <w:r w:rsidR="00871673" w:rsidRPr="00D429E3">
        <w:rPr>
          <w:rFonts w:ascii="Arial" w:hAnsi="Arial" w:cs="Arial"/>
        </w:rPr>
        <w:t xml:space="preserve"> UK</w:t>
      </w:r>
      <w:r w:rsidR="009E29AA" w:rsidRPr="00D429E3">
        <w:rPr>
          <w:rFonts w:ascii="Arial" w:hAnsi="Arial" w:cs="Arial"/>
        </w:rPr>
        <w:t xml:space="preserve">, </w:t>
      </w:r>
      <w:r w:rsidRPr="00D429E3">
        <w:rPr>
          <w:rFonts w:ascii="Arial" w:hAnsi="Arial" w:cs="Arial"/>
        </w:rPr>
        <w:t xml:space="preserve"> BAME</w:t>
      </w:r>
      <w:r w:rsidR="00C20903" w:rsidRPr="00D429E3">
        <w:rPr>
          <w:rFonts w:ascii="Arial" w:hAnsi="Arial" w:cs="Arial"/>
        </w:rPr>
        <w:t>,</w:t>
      </w:r>
      <w:r w:rsidRPr="00D429E3">
        <w:rPr>
          <w:rFonts w:ascii="Arial" w:hAnsi="Arial" w:cs="Arial"/>
        </w:rPr>
        <w:t xml:space="preserve"> to narrow down the </w:t>
      </w:r>
      <w:r w:rsidR="00C20903" w:rsidRPr="00D429E3">
        <w:rPr>
          <w:rFonts w:ascii="Arial" w:hAnsi="Arial" w:cs="Arial"/>
        </w:rPr>
        <w:t>results.</w:t>
      </w:r>
    </w:p>
    <w:p w14:paraId="209B52C7" w14:textId="7AB1C213" w:rsidR="00712C07" w:rsidRPr="00D429E3" w:rsidRDefault="00712C07" w:rsidP="00A04240">
      <w:pPr>
        <w:rPr>
          <w:rFonts w:ascii="Arial" w:hAnsi="Arial" w:cs="Arial"/>
          <w:sz w:val="24"/>
          <w:szCs w:val="24"/>
        </w:rPr>
      </w:pPr>
    </w:p>
    <w:p w14:paraId="3CB41F4F" w14:textId="6F1F58B7" w:rsidR="00A04240" w:rsidRPr="00D429E3" w:rsidRDefault="00B575E2" w:rsidP="00A04240">
      <w:pPr>
        <w:rPr>
          <w:rFonts w:ascii="Arial" w:hAnsi="Arial" w:cs="Arial"/>
          <w:sz w:val="24"/>
          <w:szCs w:val="24"/>
        </w:rPr>
      </w:pPr>
      <w:r w:rsidRPr="00D429E3">
        <w:rPr>
          <w:rFonts w:ascii="Arial" w:hAnsi="Arial" w:cs="Arial"/>
          <w:b/>
          <w:bCs/>
          <w:sz w:val="24"/>
          <w:szCs w:val="24"/>
        </w:rPr>
        <w:t>Search Process:</w:t>
      </w:r>
    </w:p>
    <w:p w14:paraId="0BEB0164" w14:textId="34CED132" w:rsidR="00E325CF" w:rsidRPr="00D429E3" w:rsidRDefault="00954C76" w:rsidP="00A04240">
      <w:pPr>
        <w:rPr>
          <w:rFonts w:ascii="Arial" w:hAnsi="Arial" w:cs="Arial"/>
        </w:rPr>
      </w:pPr>
      <w:r w:rsidRPr="00D429E3">
        <w:rPr>
          <w:rFonts w:ascii="Arial" w:hAnsi="Arial" w:cs="Arial"/>
        </w:rPr>
        <w:t xml:space="preserve">The adjustments were made to the searches to find more appropriate literature.  </w:t>
      </w:r>
      <w:r w:rsidR="008978AC" w:rsidRPr="00D429E3">
        <w:rPr>
          <w:rFonts w:ascii="Arial" w:hAnsi="Arial" w:cs="Arial"/>
        </w:rPr>
        <w:t>Included</w:t>
      </w:r>
      <w:r w:rsidRPr="00D429E3">
        <w:rPr>
          <w:rFonts w:ascii="Arial" w:hAnsi="Arial" w:cs="Arial"/>
        </w:rPr>
        <w:t xml:space="preserve"> is a Source Tracking Table.  See Appendix </w:t>
      </w:r>
    </w:p>
    <w:p w14:paraId="42F4700C" w14:textId="1492E5CB" w:rsidR="00B575E2" w:rsidRPr="00D429E3" w:rsidRDefault="00B575E2" w:rsidP="00B575E2">
      <w:pPr>
        <w:rPr>
          <w:rFonts w:ascii="Arial" w:hAnsi="Arial" w:cs="Arial"/>
        </w:rPr>
      </w:pPr>
      <w:r w:rsidRPr="00D429E3">
        <w:rPr>
          <w:rFonts w:ascii="Arial" w:hAnsi="Arial" w:cs="Arial"/>
          <w:sz w:val="24"/>
          <w:szCs w:val="24"/>
        </w:rPr>
        <w:t xml:space="preserve">  </w:t>
      </w:r>
      <w:r w:rsidRPr="00D429E3">
        <w:rPr>
          <w:rFonts w:ascii="Arial" w:hAnsi="Arial" w:cs="Arial"/>
          <w:b/>
          <w:bCs/>
          <w:sz w:val="24"/>
          <w:szCs w:val="24"/>
        </w:rPr>
        <w:t>Skimming Techniques</w:t>
      </w:r>
      <w:r w:rsidRPr="00D429E3">
        <w:rPr>
          <w:rFonts w:ascii="Arial" w:hAnsi="Arial" w:cs="Arial"/>
          <w:b/>
          <w:bCs/>
        </w:rPr>
        <w:t>:</w:t>
      </w:r>
    </w:p>
    <w:p w14:paraId="4DB444D1" w14:textId="3752E152" w:rsidR="002D43AC" w:rsidRPr="00D429E3" w:rsidRDefault="002D43AC" w:rsidP="002D43AC">
      <w:pPr>
        <w:rPr>
          <w:rFonts w:ascii="Arial" w:hAnsi="Arial" w:cs="Arial"/>
        </w:rPr>
      </w:pPr>
      <w:r w:rsidRPr="00D429E3">
        <w:rPr>
          <w:rFonts w:ascii="Arial" w:hAnsi="Arial" w:cs="Arial"/>
        </w:rPr>
        <w:t xml:space="preserve"> Articles and journals were quickly sought by applying the skimming technique using key features such as the </w:t>
      </w:r>
      <w:r w:rsidR="00060CC7" w:rsidRPr="00D429E3">
        <w:rPr>
          <w:rFonts w:ascii="Arial" w:hAnsi="Arial" w:cs="Arial"/>
        </w:rPr>
        <w:t xml:space="preserve">abstract, </w:t>
      </w:r>
      <w:r w:rsidRPr="00D429E3">
        <w:rPr>
          <w:rFonts w:ascii="Arial" w:hAnsi="Arial" w:cs="Arial"/>
        </w:rPr>
        <w:t>title of the article, introduction, and conclusion to decide whether the source was relevant</w:t>
      </w:r>
      <w:r w:rsidR="00060CC7" w:rsidRPr="00D429E3">
        <w:rPr>
          <w:rFonts w:ascii="Arial" w:hAnsi="Arial" w:cs="Arial"/>
        </w:rPr>
        <w:t xml:space="preserve"> to be</w:t>
      </w:r>
      <w:r w:rsidR="0088374B" w:rsidRPr="00D429E3">
        <w:rPr>
          <w:rFonts w:ascii="Arial" w:hAnsi="Arial" w:cs="Arial"/>
        </w:rPr>
        <w:t xml:space="preserve"> included</w:t>
      </w:r>
      <w:r w:rsidRPr="00D429E3">
        <w:rPr>
          <w:rFonts w:ascii="Arial" w:hAnsi="Arial" w:cs="Arial"/>
        </w:rPr>
        <w:t>.</w:t>
      </w:r>
    </w:p>
    <w:p w14:paraId="173362D2" w14:textId="77777777" w:rsidR="00406CC6" w:rsidRPr="00D429E3" w:rsidRDefault="00406CC6" w:rsidP="002D43AC">
      <w:pPr>
        <w:rPr>
          <w:rFonts w:ascii="Arial" w:hAnsi="Arial" w:cs="Arial"/>
        </w:rPr>
      </w:pPr>
    </w:p>
    <w:p w14:paraId="4F0D0D92" w14:textId="77777777" w:rsidR="00406CC6" w:rsidRPr="00D429E3" w:rsidRDefault="00406CC6" w:rsidP="002D43AC">
      <w:pPr>
        <w:rPr>
          <w:rFonts w:ascii="Arial" w:hAnsi="Arial" w:cs="Arial"/>
        </w:rPr>
      </w:pPr>
    </w:p>
    <w:p w14:paraId="17C0DAF9" w14:textId="2962D188" w:rsidR="002D43AC" w:rsidRPr="00D429E3" w:rsidRDefault="002D43AC" w:rsidP="002D43AC">
      <w:pPr>
        <w:rPr>
          <w:rFonts w:ascii="Arial" w:hAnsi="Arial" w:cs="Arial"/>
        </w:rPr>
      </w:pPr>
      <w:r w:rsidRPr="00D429E3">
        <w:rPr>
          <w:rFonts w:ascii="Arial" w:hAnsi="Arial" w:cs="Arial"/>
        </w:rPr>
        <w:t xml:space="preserve">The </w:t>
      </w:r>
      <w:r w:rsidRPr="00D429E3">
        <w:rPr>
          <w:rFonts w:ascii="Arial" w:hAnsi="Arial" w:cs="Arial"/>
          <w:b/>
          <w:bCs/>
        </w:rPr>
        <w:t>CRAAP</w:t>
      </w:r>
      <w:r w:rsidRPr="00D429E3">
        <w:rPr>
          <w:rFonts w:ascii="Arial" w:hAnsi="Arial" w:cs="Arial"/>
        </w:rPr>
        <w:t xml:space="preserve"> test (Currency, Relevance, Authority, Accuracy, and Purpose) was applied to assess the relevance of sources used in the study.  Each source obtained from </w:t>
      </w:r>
      <w:r w:rsidR="00437D9D" w:rsidRPr="00D429E3">
        <w:rPr>
          <w:rFonts w:ascii="Arial" w:hAnsi="Arial" w:cs="Arial"/>
        </w:rPr>
        <w:t xml:space="preserve">i.e., </w:t>
      </w:r>
      <w:r w:rsidRPr="00D429E3">
        <w:rPr>
          <w:rFonts w:ascii="Arial" w:hAnsi="Arial" w:cs="Arial"/>
        </w:rPr>
        <w:t>Google Scholar</w:t>
      </w:r>
      <w:r w:rsidR="00F04B54" w:rsidRPr="00D429E3">
        <w:rPr>
          <w:rFonts w:ascii="Arial" w:hAnsi="Arial" w:cs="Arial"/>
        </w:rPr>
        <w:t>, PubMed,</w:t>
      </w:r>
      <w:r w:rsidR="00A109DF" w:rsidRPr="00D429E3">
        <w:rPr>
          <w:rFonts w:ascii="Arial" w:hAnsi="Arial" w:cs="Arial"/>
        </w:rPr>
        <w:t xml:space="preserve"> </w:t>
      </w:r>
      <w:r w:rsidR="00F04B54" w:rsidRPr="00D429E3">
        <w:rPr>
          <w:rFonts w:ascii="Arial" w:hAnsi="Arial" w:cs="Arial"/>
        </w:rPr>
        <w:t>BMJ</w:t>
      </w:r>
      <w:r w:rsidR="003F5817" w:rsidRPr="00D429E3">
        <w:rPr>
          <w:rFonts w:ascii="Arial" w:hAnsi="Arial" w:cs="Arial"/>
        </w:rPr>
        <w:t>,</w:t>
      </w:r>
      <w:r w:rsidR="00A109DF" w:rsidRPr="00D429E3">
        <w:rPr>
          <w:rFonts w:ascii="Arial" w:hAnsi="Arial" w:cs="Arial"/>
        </w:rPr>
        <w:t xml:space="preserve"> etc</w:t>
      </w:r>
      <w:r w:rsidR="00F027D9" w:rsidRPr="00D429E3">
        <w:rPr>
          <w:rFonts w:ascii="Arial" w:hAnsi="Arial" w:cs="Arial"/>
        </w:rPr>
        <w:t>., was</w:t>
      </w:r>
      <w:r w:rsidRPr="00D429E3">
        <w:rPr>
          <w:rFonts w:ascii="Arial" w:hAnsi="Arial" w:cs="Arial"/>
        </w:rPr>
        <w:t xml:space="preserve"> rigorously validated to ensure its quality. Articles with high citation counts and those published in reputable journals were prioritised to ensure both authority and accuracy.</w:t>
      </w:r>
    </w:p>
    <w:p w14:paraId="3280B59E" w14:textId="7BDD0A8E" w:rsidR="00892A04" w:rsidRPr="00D429E3" w:rsidRDefault="002D43AC" w:rsidP="00B575E2">
      <w:pPr>
        <w:rPr>
          <w:rFonts w:ascii="Arial" w:hAnsi="Arial" w:cs="Arial"/>
        </w:rPr>
      </w:pPr>
      <w:r w:rsidRPr="00D429E3">
        <w:rPr>
          <w:rFonts w:ascii="Arial" w:hAnsi="Arial" w:cs="Arial"/>
        </w:rPr>
        <w:t xml:space="preserve">During this evaluation process, not all sources met all five criteria; however, the research focused on articles and journals that fulfilled the most critical criteria: Currency, Relevance, </w:t>
      </w:r>
    </w:p>
    <w:p w14:paraId="395323DB" w14:textId="217221A0" w:rsidR="00A457D1" w:rsidRPr="00D429E3" w:rsidRDefault="002D43AC" w:rsidP="00B575E2">
      <w:pPr>
        <w:rPr>
          <w:rFonts w:ascii="Arial" w:hAnsi="Arial" w:cs="Arial"/>
        </w:rPr>
      </w:pPr>
      <w:r w:rsidRPr="00D429E3">
        <w:rPr>
          <w:rFonts w:ascii="Arial" w:hAnsi="Arial" w:cs="Arial"/>
        </w:rPr>
        <w:t xml:space="preserve">and Authority. To confirm that the sources met each criterion, particularly Authority and Accuracy, the selection was limited to those published in the last 15 years to reflect </w:t>
      </w:r>
      <w:r w:rsidR="009D6CB0" w:rsidRPr="00D429E3">
        <w:rPr>
          <w:rFonts w:ascii="Arial" w:hAnsi="Arial" w:cs="Arial"/>
        </w:rPr>
        <w:t xml:space="preserve">how the policies have changed through to </w:t>
      </w:r>
      <w:r w:rsidRPr="00D429E3">
        <w:rPr>
          <w:rFonts w:ascii="Arial" w:hAnsi="Arial" w:cs="Arial"/>
        </w:rPr>
        <w:t>current NHS policies.  Additionally, data on waiting time disparities, such as the reported 2.8-week wait for Black patients, were cross-verified across multiple clinical databases to ensure that the findings accurately represent</w:t>
      </w:r>
      <w:r w:rsidR="009F495B" w:rsidRPr="00D429E3">
        <w:rPr>
          <w:rFonts w:ascii="Arial" w:hAnsi="Arial" w:cs="Arial"/>
        </w:rPr>
        <w:t>ed</w:t>
      </w:r>
      <w:r w:rsidRPr="00D429E3">
        <w:rPr>
          <w:rFonts w:ascii="Arial" w:hAnsi="Arial" w:cs="Arial"/>
        </w:rPr>
        <w:t xml:space="preserve"> the UK healthcare landscape.</w:t>
      </w:r>
    </w:p>
    <w:p w14:paraId="34089B50" w14:textId="6F329A70" w:rsidR="00B575E2" w:rsidRPr="00D429E3" w:rsidRDefault="00B575E2" w:rsidP="00657643">
      <w:pPr>
        <w:rPr>
          <w:rFonts w:ascii="Arial" w:hAnsi="Arial" w:cs="Arial"/>
          <w:b/>
          <w:bCs/>
          <w:sz w:val="24"/>
          <w:szCs w:val="24"/>
        </w:rPr>
      </w:pPr>
      <w:r w:rsidRPr="00D429E3">
        <w:rPr>
          <w:rFonts w:ascii="Arial" w:hAnsi="Arial" w:cs="Arial"/>
          <w:b/>
          <w:bCs/>
          <w:sz w:val="24"/>
          <w:szCs w:val="24"/>
        </w:rPr>
        <w:t>CRAAP Test Application:</w:t>
      </w:r>
    </w:p>
    <w:p w14:paraId="634E2268" w14:textId="2DA8A8D4" w:rsidR="007E56ED" w:rsidRPr="00D429E3" w:rsidRDefault="00757F04" w:rsidP="00D31081">
      <w:pPr>
        <w:rPr>
          <w:rFonts w:ascii="Arial" w:hAnsi="Arial" w:cs="Arial"/>
        </w:rPr>
      </w:pPr>
      <w:r w:rsidRPr="00D429E3">
        <w:rPr>
          <w:rFonts w:ascii="Arial" w:hAnsi="Arial" w:cs="Arial"/>
        </w:rPr>
        <w:t>The sources found were determined to be reliable and suitable for inclusion by creating a Source Tracking table and applying the CRAAP test</w:t>
      </w:r>
      <w:r w:rsidR="00EF27B5" w:rsidRPr="00D429E3">
        <w:rPr>
          <w:rFonts w:ascii="Arial" w:hAnsi="Arial" w:cs="Arial"/>
        </w:rPr>
        <w:t xml:space="preserve"> (Currency, Relevance, Authority, Accuracy, Purpose) to assess </w:t>
      </w:r>
      <w:r w:rsidR="009A1473" w:rsidRPr="00D429E3">
        <w:rPr>
          <w:rFonts w:ascii="Arial" w:hAnsi="Arial" w:cs="Arial"/>
        </w:rPr>
        <w:t>each source's quality</w:t>
      </w:r>
      <w:r w:rsidR="00EF27B5" w:rsidRPr="00D429E3">
        <w:rPr>
          <w:rFonts w:ascii="Arial" w:hAnsi="Arial" w:cs="Arial"/>
        </w:rPr>
        <w:t>.</w:t>
      </w:r>
      <w:r w:rsidR="00B13AB5" w:rsidRPr="00D429E3">
        <w:rPr>
          <w:rFonts w:ascii="Arial" w:hAnsi="Arial" w:cs="Arial"/>
        </w:rPr>
        <w:t xml:space="preserve"> </w:t>
      </w:r>
    </w:p>
    <w:p w14:paraId="493B21EE" w14:textId="2A856337" w:rsidR="00B575E2" w:rsidRPr="00D429E3" w:rsidRDefault="00B575E2" w:rsidP="00D31081">
      <w:pPr>
        <w:rPr>
          <w:rFonts w:ascii="Arial" w:hAnsi="Arial" w:cs="Arial"/>
        </w:rPr>
      </w:pPr>
      <w:r w:rsidRPr="00D429E3">
        <w:rPr>
          <w:rFonts w:ascii="Arial" w:hAnsi="Arial" w:cs="Arial"/>
        </w:rPr>
        <w:t xml:space="preserve"> </w:t>
      </w:r>
      <w:r w:rsidR="007E56ED" w:rsidRPr="00D429E3">
        <w:rPr>
          <w:rFonts w:ascii="Arial" w:hAnsi="Arial" w:cs="Arial"/>
        </w:rPr>
        <w:t>T</w:t>
      </w:r>
      <w:r w:rsidRPr="00D429E3">
        <w:rPr>
          <w:rFonts w:ascii="Arial" w:hAnsi="Arial" w:cs="Arial"/>
        </w:rPr>
        <w:t xml:space="preserve">he CRAAP test </w:t>
      </w:r>
      <w:r w:rsidR="007E56ED" w:rsidRPr="00D429E3">
        <w:rPr>
          <w:rFonts w:ascii="Arial" w:hAnsi="Arial" w:cs="Arial"/>
        </w:rPr>
        <w:t xml:space="preserve">was </w:t>
      </w:r>
      <w:r w:rsidR="008E1E48" w:rsidRPr="00D429E3">
        <w:rPr>
          <w:rFonts w:ascii="Arial" w:hAnsi="Arial" w:cs="Arial"/>
        </w:rPr>
        <w:t>applied once the sources to be verified were identified</w:t>
      </w:r>
      <w:r w:rsidR="005A08B5" w:rsidRPr="00D429E3">
        <w:rPr>
          <w:rFonts w:ascii="Arial" w:hAnsi="Arial" w:cs="Arial"/>
        </w:rPr>
        <w:t xml:space="preserve">.  </w:t>
      </w:r>
    </w:p>
    <w:p w14:paraId="104E064D" w14:textId="76395E7E" w:rsidR="007E5867" w:rsidRPr="00D429E3" w:rsidRDefault="00B575E2" w:rsidP="00B842B9">
      <w:pPr>
        <w:rPr>
          <w:rFonts w:ascii="Arial" w:hAnsi="Arial" w:cs="Arial"/>
        </w:rPr>
      </w:pPr>
      <w:r w:rsidRPr="00D429E3">
        <w:rPr>
          <w:rFonts w:ascii="Arial" w:hAnsi="Arial" w:cs="Arial"/>
        </w:rPr>
        <w:t xml:space="preserve"> </w:t>
      </w:r>
      <w:r w:rsidR="005F5A0C" w:rsidRPr="00D429E3">
        <w:rPr>
          <w:rFonts w:ascii="Arial" w:hAnsi="Arial" w:cs="Arial"/>
        </w:rPr>
        <w:t>While</w:t>
      </w:r>
      <w:r w:rsidRPr="00D429E3">
        <w:rPr>
          <w:rFonts w:ascii="Arial" w:hAnsi="Arial" w:cs="Arial"/>
        </w:rPr>
        <w:t xml:space="preserve"> not every source </w:t>
      </w:r>
      <w:r w:rsidR="005F5A0C" w:rsidRPr="00D429E3">
        <w:rPr>
          <w:rFonts w:ascii="Arial" w:hAnsi="Arial" w:cs="Arial"/>
        </w:rPr>
        <w:t>met</w:t>
      </w:r>
      <w:r w:rsidRPr="00D429E3">
        <w:rPr>
          <w:rFonts w:ascii="Arial" w:hAnsi="Arial" w:cs="Arial"/>
        </w:rPr>
        <w:t xml:space="preserve"> all five criteria, </w:t>
      </w:r>
      <w:r w:rsidR="003B3858" w:rsidRPr="00D429E3">
        <w:rPr>
          <w:rFonts w:ascii="Arial" w:hAnsi="Arial" w:cs="Arial"/>
        </w:rPr>
        <w:t xml:space="preserve">the important </w:t>
      </w:r>
      <w:r w:rsidR="006457C8" w:rsidRPr="00D429E3">
        <w:rPr>
          <w:rFonts w:ascii="Arial" w:hAnsi="Arial" w:cs="Arial"/>
        </w:rPr>
        <w:t>articles</w:t>
      </w:r>
      <w:r w:rsidR="00A235E5" w:rsidRPr="00D429E3">
        <w:rPr>
          <w:rFonts w:ascii="Arial" w:hAnsi="Arial" w:cs="Arial"/>
        </w:rPr>
        <w:t xml:space="preserve"> and</w:t>
      </w:r>
      <w:r w:rsidR="006457C8" w:rsidRPr="00D429E3">
        <w:rPr>
          <w:rFonts w:ascii="Arial" w:hAnsi="Arial" w:cs="Arial"/>
        </w:rPr>
        <w:t xml:space="preserve"> journals that </w:t>
      </w:r>
      <w:r w:rsidR="00B37AB4" w:rsidRPr="00D429E3">
        <w:rPr>
          <w:rFonts w:ascii="Arial" w:hAnsi="Arial" w:cs="Arial"/>
        </w:rPr>
        <w:t>were especially</w:t>
      </w:r>
      <w:r w:rsidR="00AB725C" w:rsidRPr="00D429E3">
        <w:rPr>
          <w:rFonts w:ascii="Arial" w:hAnsi="Arial" w:cs="Arial"/>
        </w:rPr>
        <w:t xml:space="preserve"> strong on Currency, Relev</w:t>
      </w:r>
      <w:r w:rsidR="00B37AB4" w:rsidRPr="00D429E3">
        <w:rPr>
          <w:rFonts w:ascii="Arial" w:hAnsi="Arial" w:cs="Arial"/>
        </w:rPr>
        <w:t xml:space="preserve">ance and Authority were </w:t>
      </w:r>
      <w:r w:rsidRPr="00D429E3">
        <w:rPr>
          <w:rFonts w:ascii="Arial" w:hAnsi="Arial" w:cs="Arial"/>
        </w:rPr>
        <w:t>prioritised</w:t>
      </w:r>
      <w:r w:rsidR="00B37AB4" w:rsidRPr="00D429E3">
        <w:rPr>
          <w:rFonts w:ascii="Arial" w:hAnsi="Arial" w:cs="Arial"/>
        </w:rPr>
        <w:t>.</w:t>
      </w:r>
      <w:r w:rsidRPr="00D429E3">
        <w:rPr>
          <w:rFonts w:ascii="Arial" w:hAnsi="Arial" w:cs="Arial"/>
        </w:rPr>
        <w:t xml:space="preserve"> </w:t>
      </w:r>
    </w:p>
    <w:p w14:paraId="093D527C" w14:textId="32D3EDFD" w:rsidR="0072484A" w:rsidRPr="00D429E3" w:rsidRDefault="00292A36" w:rsidP="0072484A">
      <w:pPr>
        <w:pStyle w:val="Heading2"/>
        <w:numPr>
          <w:ilvl w:val="1"/>
          <w:numId w:val="13"/>
        </w:numPr>
        <w:rPr>
          <w:rFonts w:ascii="Arial" w:hAnsi="Arial" w:cs="Arial"/>
          <w:color w:val="auto"/>
        </w:rPr>
      </w:pPr>
      <w:bookmarkStart w:id="8" w:name="_Toc226743146"/>
      <w:r w:rsidRPr="00D429E3">
        <w:rPr>
          <w:rStyle w:val="Heading2Char"/>
          <w:rFonts w:ascii="Arial" w:hAnsi="Arial" w:cs="Arial"/>
        </w:rPr>
        <w:t xml:space="preserve">- </w:t>
      </w:r>
      <w:r w:rsidRPr="00D429E3">
        <w:rPr>
          <w:rStyle w:val="Heading2Char"/>
          <w:rFonts w:ascii="Arial" w:hAnsi="Arial" w:cs="Arial"/>
          <w:b/>
          <w:bCs/>
          <w:color w:val="auto"/>
        </w:rPr>
        <w:t>Inclusion and Exclusion Criteria</w:t>
      </w:r>
      <w:bookmarkEnd w:id="8"/>
      <w:r w:rsidRPr="00D429E3">
        <w:rPr>
          <w:rStyle w:val="Heading2Char"/>
          <w:rFonts w:ascii="Arial" w:hAnsi="Arial" w:cs="Arial"/>
          <w:color w:val="auto"/>
        </w:rPr>
        <w:t xml:space="preserve"> </w:t>
      </w:r>
    </w:p>
    <w:p w14:paraId="5CC1A2A4" w14:textId="512FD73D" w:rsidR="00B575E2" w:rsidRPr="007C06DE" w:rsidRDefault="00B575E2" w:rsidP="00B575E2">
      <w:pPr>
        <w:rPr>
          <w:rFonts w:ascii="Arial" w:hAnsi="Arial" w:cs="Arial"/>
          <w:b/>
          <w:bCs/>
          <w:sz w:val="24"/>
          <w:szCs w:val="24"/>
        </w:rPr>
      </w:pPr>
      <w:r w:rsidRPr="007C06DE">
        <w:rPr>
          <w:rFonts w:ascii="Arial" w:hAnsi="Arial" w:cs="Arial"/>
          <w:sz w:val="24"/>
          <w:szCs w:val="24"/>
        </w:rPr>
        <w:t xml:space="preserve"> Inclusion Criteria</w:t>
      </w:r>
      <w:r w:rsidRPr="007C06DE">
        <w:rPr>
          <w:rFonts w:ascii="Arial" w:hAnsi="Arial" w:cs="Arial"/>
          <w:b/>
          <w:bCs/>
          <w:sz w:val="24"/>
          <w:szCs w:val="24"/>
        </w:rPr>
        <w:t>:</w:t>
      </w:r>
    </w:p>
    <w:p w14:paraId="3DF56072" w14:textId="77777777" w:rsidR="007C06DE" w:rsidRPr="007C06DE" w:rsidRDefault="007C06DE" w:rsidP="007C06DE">
      <w:pPr>
        <w:rPr>
          <w:rFonts w:ascii="Arial" w:hAnsi="Arial" w:cs="Arial"/>
        </w:rPr>
      </w:pPr>
      <w:r w:rsidRPr="007C06DE">
        <w:rPr>
          <w:rFonts w:ascii="Arial" w:hAnsi="Arial" w:cs="Arial"/>
        </w:rPr>
        <w:t>The sources included</w:t>
      </w:r>
      <w:r w:rsidRPr="007C06DE">
        <w:rPr>
          <w:rFonts w:ascii="Arial" w:hAnsi="Arial" w:cs="Arial"/>
          <w:sz w:val="24"/>
          <w:szCs w:val="24"/>
        </w:rPr>
        <w:t xml:space="preserve"> in</w:t>
      </w:r>
      <w:r w:rsidRPr="007C06DE">
        <w:rPr>
          <w:rFonts w:ascii="Arial" w:hAnsi="Arial" w:cs="Arial"/>
        </w:rPr>
        <w:t xml:space="preserve"> this research comprised peer</w:t>
      </w:r>
      <w:r w:rsidRPr="007C06DE">
        <w:rPr>
          <w:rFonts w:ascii="Arial" w:hAnsi="Arial" w:cs="Arial"/>
        </w:rPr>
        <w:noBreakHyphen/>
        <w:t>reviewed journal articles, including clinical and sociological studies. The literature search was restricted to open</w:t>
      </w:r>
      <w:r w:rsidRPr="007C06DE">
        <w:rPr>
          <w:rFonts w:ascii="Arial" w:hAnsi="Arial" w:cs="Arial"/>
        </w:rPr>
        <w:noBreakHyphen/>
        <w:t>access sources published within the last 15 years (2011–2026) and focused on the UK context. An exception to this time limitation was made for seminal methodological literature, specifically Popay et al. (2006), which was included to provide a rigorous and established framework for narrative synthesis.</w:t>
      </w:r>
    </w:p>
    <w:p w14:paraId="237A30BD" w14:textId="77777777" w:rsidR="00912CE9" w:rsidRPr="007C06DE" w:rsidRDefault="00912CE9" w:rsidP="00B575E2">
      <w:pPr>
        <w:rPr>
          <w:rFonts w:ascii="Arial" w:hAnsi="Arial" w:cs="Arial"/>
        </w:rPr>
      </w:pPr>
    </w:p>
    <w:p w14:paraId="2D999921" w14:textId="2EC3AABF" w:rsidR="00B575E2" w:rsidRPr="00912CE9" w:rsidRDefault="00B575E2" w:rsidP="00B575E2">
      <w:pPr>
        <w:rPr>
          <w:rFonts w:ascii="Arial" w:hAnsi="Arial" w:cs="Arial"/>
        </w:rPr>
      </w:pPr>
      <w:r w:rsidRPr="007C06DE">
        <w:rPr>
          <w:rFonts w:ascii="Arial" w:hAnsi="Arial" w:cs="Arial"/>
          <w:sz w:val="24"/>
          <w:szCs w:val="24"/>
        </w:rPr>
        <w:t>Exclusion Criteria</w:t>
      </w:r>
      <w:r w:rsidRPr="00912CE9">
        <w:rPr>
          <w:rFonts w:ascii="Arial" w:hAnsi="Arial" w:cs="Arial"/>
        </w:rPr>
        <w:t>:</w:t>
      </w:r>
    </w:p>
    <w:p w14:paraId="6D764C27" w14:textId="7FAF6241" w:rsidR="00B575E2" w:rsidRPr="00182BB2" w:rsidRDefault="008F0B8F" w:rsidP="00B575E2">
      <w:pPr>
        <w:rPr>
          <w:rFonts w:ascii="Arial" w:hAnsi="Arial" w:cs="Arial"/>
        </w:rPr>
      </w:pPr>
      <w:r w:rsidRPr="00182BB2">
        <w:rPr>
          <w:rFonts w:ascii="Arial" w:hAnsi="Arial" w:cs="Arial"/>
        </w:rPr>
        <w:t>The types of sources excluded from this research include opinion blogs, outdated research before 2011, or articles not written in English.  Research focused only on clinical/ surgical procedures rather than the social or access- based barriers to donation.</w:t>
      </w:r>
    </w:p>
    <w:p w14:paraId="7E9F37AA" w14:textId="2DB46778" w:rsidR="00892A04" w:rsidRPr="00182BB2" w:rsidRDefault="005C6B1F" w:rsidP="00B01396">
      <w:pPr>
        <w:rPr>
          <w:rFonts w:ascii="Arial" w:hAnsi="Arial" w:cs="Arial"/>
        </w:rPr>
      </w:pPr>
      <w:r w:rsidRPr="00182BB2">
        <w:rPr>
          <w:rFonts w:ascii="Arial" w:hAnsi="Arial" w:cs="Arial"/>
        </w:rPr>
        <w:t>The justification for database selection is that it covers the clinical aspects of the research question. Data from PubMed and Systematic reviews from the Cochrane Library, CINAHL(Cumulative Index to Nursing and Allied Health Literature) were selected as a primary database.</w:t>
      </w:r>
      <w:r w:rsidR="00A77A6D" w:rsidRPr="00182BB2">
        <w:rPr>
          <w:rFonts w:ascii="Arial" w:hAnsi="Arial" w:cs="Arial"/>
        </w:rPr>
        <w:t xml:space="preserve"> </w:t>
      </w:r>
      <w:r w:rsidR="00F705E4" w:rsidRPr="00182BB2">
        <w:rPr>
          <w:rFonts w:ascii="Arial" w:hAnsi="Arial" w:cs="Arial"/>
        </w:rPr>
        <w:t xml:space="preserve"> </w:t>
      </w:r>
      <w:r w:rsidR="00FC3DE5" w:rsidRPr="00182BB2">
        <w:rPr>
          <w:rFonts w:ascii="Arial" w:hAnsi="Arial" w:cs="Arial"/>
        </w:rPr>
        <w:t>\</w:t>
      </w:r>
      <w:r w:rsidRPr="00182BB2">
        <w:rPr>
          <w:rFonts w:ascii="Arial" w:hAnsi="Arial" w:cs="Arial"/>
        </w:rPr>
        <w:t xml:space="preserve">While PubMed focused on the biomedical ‘What’ of donation, CINAHL was </w:t>
      </w:r>
      <w:r w:rsidR="007F6F90" w:rsidRPr="00182BB2">
        <w:rPr>
          <w:rFonts w:ascii="Arial" w:hAnsi="Arial" w:cs="Arial"/>
        </w:rPr>
        <w:t>essential</w:t>
      </w:r>
      <w:r w:rsidRPr="00182BB2">
        <w:rPr>
          <w:rFonts w:ascii="Arial" w:hAnsi="Arial" w:cs="Arial"/>
        </w:rPr>
        <w:t xml:space="preserve"> for capturing the ‘How’, providing Peer-reviewed literature on nursing, social work, and allied health perspectives of donor recruitment.</w:t>
      </w:r>
    </w:p>
    <w:p w14:paraId="042E524F" w14:textId="0CDAECA7" w:rsidR="0068650C" w:rsidRPr="00182BB2" w:rsidRDefault="005C6B1F" w:rsidP="00B01396">
      <w:pPr>
        <w:rPr>
          <w:rFonts w:ascii="Arial" w:hAnsi="Arial" w:cs="Arial"/>
        </w:rPr>
      </w:pPr>
      <w:r w:rsidRPr="00182BB2">
        <w:rPr>
          <w:rFonts w:ascii="Arial" w:hAnsi="Arial" w:cs="Arial"/>
        </w:rPr>
        <w:t>This database was instrumental in identifying qualitative studies regarding ‘live</w:t>
      </w:r>
      <w:r w:rsidR="00944D46" w:rsidRPr="00182BB2">
        <w:rPr>
          <w:rFonts w:ascii="Arial" w:hAnsi="Arial" w:cs="Arial"/>
        </w:rPr>
        <w:t>d</w:t>
      </w:r>
      <w:r w:rsidRPr="00182BB2">
        <w:rPr>
          <w:rFonts w:ascii="Arial" w:hAnsi="Arial" w:cs="Arial"/>
        </w:rPr>
        <w:t xml:space="preserve"> experiences’ of BAME families and communication challenges faced by Specialist Nurses in Organ Donation </w:t>
      </w:r>
      <w:r w:rsidR="002C5774" w:rsidRPr="00182BB2">
        <w:rPr>
          <w:rFonts w:ascii="Arial" w:hAnsi="Arial" w:cs="Arial"/>
        </w:rPr>
        <w:t xml:space="preserve"> </w:t>
      </w:r>
      <w:r w:rsidRPr="00182BB2">
        <w:rPr>
          <w:rFonts w:ascii="Arial" w:hAnsi="Arial" w:cs="Arial"/>
        </w:rPr>
        <w:t>(SNODs)</w:t>
      </w:r>
      <w:r w:rsidR="002C5774" w:rsidRPr="00182BB2">
        <w:rPr>
          <w:rFonts w:ascii="Arial" w:hAnsi="Arial" w:cs="Arial"/>
        </w:rPr>
        <w:t xml:space="preserve"> </w:t>
      </w:r>
      <w:r w:rsidRPr="00182BB2">
        <w:rPr>
          <w:rFonts w:ascii="Arial" w:hAnsi="Arial" w:cs="Arial"/>
        </w:rPr>
        <w:t xml:space="preserve"> within the hospital setting.</w:t>
      </w:r>
      <w:r w:rsidR="00944D46" w:rsidRPr="00182BB2">
        <w:rPr>
          <w:rFonts w:ascii="Arial" w:hAnsi="Arial" w:cs="Arial"/>
        </w:rPr>
        <w:t xml:space="preserve"> Ultimately</w:t>
      </w:r>
      <w:r w:rsidR="00A05B90" w:rsidRPr="00182BB2">
        <w:rPr>
          <w:rFonts w:ascii="Arial" w:hAnsi="Arial" w:cs="Arial"/>
        </w:rPr>
        <w:t>,</w:t>
      </w:r>
      <w:r w:rsidR="00944D46" w:rsidRPr="00182BB2">
        <w:rPr>
          <w:rFonts w:ascii="Arial" w:hAnsi="Arial" w:cs="Arial"/>
        </w:rPr>
        <w:t xml:space="preserve"> </w:t>
      </w:r>
      <w:r w:rsidR="00D57E4B" w:rsidRPr="00182BB2">
        <w:rPr>
          <w:rFonts w:ascii="Arial" w:hAnsi="Arial" w:cs="Arial"/>
        </w:rPr>
        <w:t xml:space="preserve">these criteria </w:t>
      </w:r>
      <w:r w:rsidR="00A05B90" w:rsidRPr="00182BB2">
        <w:rPr>
          <w:rFonts w:ascii="Arial" w:hAnsi="Arial" w:cs="Arial"/>
        </w:rPr>
        <w:t>supported maintain</w:t>
      </w:r>
      <w:r w:rsidR="00932ADD" w:rsidRPr="00182BB2">
        <w:rPr>
          <w:rFonts w:ascii="Arial" w:hAnsi="Arial" w:cs="Arial"/>
        </w:rPr>
        <w:t>ing</w:t>
      </w:r>
      <w:r w:rsidR="00723744" w:rsidRPr="00182BB2">
        <w:rPr>
          <w:rFonts w:ascii="Arial" w:hAnsi="Arial" w:cs="Arial"/>
        </w:rPr>
        <w:t xml:space="preserve"> </w:t>
      </w:r>
      <w:r w:rsidR="00932ADD" w:rsidRPr="00182BB2">
        <w:rPr>
          <w:rFonts w:ascii="Arial" w:hAnsi="Arial" w:cs="Arial"/>
        </w:rPr>
        <w:t xml:space="preserve">focus and </w:t>
      </w:r>
      <w:r w:rsidR="0039044D" w:rsidRPr="00182BB2">
        <w:rPr>
          <w:rFonts w:ascii="Arial" w:hAnsi="Arial" w:cs="Arial"/>
        </w:rPr>
        <w:t>quality in this research.</w:t>
      </w:r>
    </w:p>
    <w:p w14:paraId="01A5598C" w14:textId="323EB800" w:rsidR="0021364B" w:rsidRPr="00D429E3" w:rsidRDefault="00292A36" w:rsidP="00C03B4B">
      <w:pPr>
        <w:pStyle w:val="Heading2"/>
        <w:numPr>
          <w:ilvl w:val="1"/>
          <w:numId w:val="13"/>
        </w:numPr>
        <w:rPr>
          <w:rFonts w:ascii="Arial" w:hAnsi="Arial" w:cs="Arial"/>
          <w:b/>
          <w:bCs/>
          <w:color w:val="auto"/>
        </w:rPr>
      </w:pPr>
      <w:bookmarkStart w:id="9" w:name="_Toc226743147"/>
      <w:r w:rsidRPr="00D429E3">
        <w:rPr>
          <w:rFonts w:ascii="Arial" w:hAnsi="Arial" w:cs="Arial"/>
          <w:b/>
          <w:bCs/>
          <w:color w:val="auto"/>
        </w:rPr>
        <w:t xml:space="preserve">– </w:t>
      </w:r>
      <w:r w:rsidR="00996823" w:rsidRPr="00D429E3">
        <w:rPr>
          <w:rFonts w:ascii="Arial" w:hAnsi="Arial" w:cs="Arial"/>
          <w:b/>
          <w:bCs/>
          <w:color w:val="auto"/>
        </w:rPr>
        <w:t>Theoretical Framework and Analytical Lens</w:t>
      </w:r>
      <w:bookmarkEnd w:id="9"/>
      <w:r w:rsidR="00996823" w:rsidRPr="00D429E3">
        <w:rPr>
          <w:rFonts w:ascii="Arial" w:hAnsi="Arial" w:cs="Arial"/>
          <w:b/>
          <w:bCs/>
          <w:color w:val="auto"/>
        </w:rPr>
        <w:t xml:space="preserve"> </w:t>
      </w:r>
    </w:p>
    <w:p w14:paraId="4148D002" w14:textId="0F82712A" w:rsidR="007E188D" w:rsidRPr="00D429E3" w:rsidRDefault="008D0849" w:rsidP="008D0849">
      <w:pPr>
        <w:rPr>
          <w:rFonts w:ascii="Arial" w:eastAsiaTheme="majorEastAsia" w:hAnsi="Arial" w:cs="Arial"/>
          <w:color w:val="000000" w:themeColor="text1"/>
        </w:rPr>
      </w:pPr>
      <w:r w:rsidRPr="00D429E3">
        <w:rPr>
          <w:rFonts w:ascii="Arial" w:eastAsiaTheme="majorEastAsia" w:hAnsi="Arial" w:cs="Arial"/>
          <w:color w:val="000000" w:themeColor="text1"/>
        </w:rPr>
        <w:t xml:space="preserve">To ensure academic rigour, this study </w:t>
      </w:r>
      <w:r w:rsidR="00CE0974" w:rsidRPr="00D429E3">
        <w:rPr>
          <w:rFonts w:ascii="Arial" w:eastAsiaTheme="majorEastAsia" w:hAnsi="Arial" w:cs="Arial"/>
          <w:color w:val="000000" w:themeColor="text1"/>
        </w:rPr>
        <w:t>employs</w:t>
      </w:r>
      <w:r w:rsidRPr="00D429E3">
        <w:rPr>
          <w:rFonts w:ascii="Arial" w:eastAsiaTheme="majorEastAsia" w:hAnsi="Arial" w:cs="Arial"/>
          <w:color w:val="000000" w:themeColor="text1"/>
        </w:rPr>
        <w:t xml:space="preserve"> a multi-dimensional theoretical framework to analyse the barriers identified in secondary data</w:t>
      </w:r>
      <w:r w:rsidR="009E3D93" w:rsidRPr="00D429E3">
        <w:rPr>
          <w:rFonts w:ascii="Arial" w:eastAsiaTheme="majorEastAsia" w:hAnsi="Arial" w:cs="Arial"/>
          <w:color w:val="000000" w:themeColor="text1"/>
        </w:rPr>
        <w:t xml:space="preserve">.  </w:t>
      </w:r>
    </w:p>
    <w:p w14:paraId="49F6A0F1" w14:textId="3D84F910" w:rsidR="00192250" w:rsidRPr="00D429E3" w:rsidRDefault="00154863" w:rsidP="00154863">
      <w:pPr>
        <w:rPr>
          <w:rFonts w:ascii="Arial" w:eastAsiaTheme="majorEastAsia" w:hAnsi="Arial" w:cs="Arial"/>
          <w:color w:val="000000" w:themeColor="text1"/>
        </w:rPr>
      </w:pPr>
      <w:r w:rsidRPr="00D429E3">
        <w:rPr>
          <w:rFonts w:ascii="Arial" w:eastAsiaTheme="majorEastAsia" w:hAnsi="Arial" w:cs="Arial"/>
          <w:color w:val="000000" w:themeColor="text1"/>
        </w:rPr>
        <w:t>This explains individual-level theory, which is used to evaluate personal perceptions of susceptibility to illness and perceived barriers, such as fear or lack of information, that prevent donation</w:t>
      </w:r>
      <w:r w:rsidR="00894AE3" w:rsidRPr="00D429E3">
        <w:rPr>
          <w:rFonts w:ascii="Arial" w:eastAsiaTheme="majorEastAsia" w:hAnsi="Arial" w:cs="Arial"/>
          <w:color w:val="000000" w:themeColor="text1"/>
        </w:rPr>
        <w:t xml:space="preserve"> and why</w:t>
      </w:r>
      <w:r w:rsidRPr="00D429E3">
        <w:rPr>
          <w:rFonts w:ascii="Arial" w:eastAsiaTheme="majorEastAsia" w:hAnsi="Arial" w:cs="Arial"/>
          <w:color w:val="000000" w:themeColor="text1"/>
        </w:rPr>
        <w:t xml:space="preserve"> a person from a minority ethnic background </w:t>
      </w:r>
      <w:r w:rsidR="00EC0298" w:rsidRPr="00D429E3">
        <w:rPr>
          <w:rFonts w:ascii="Arial" w:eastAsiaTheme="majorEastAsia" w:hAnsi="Arial" w:cs="Arial"/>
          <w:color w:val="000000" w:themeColor="text1"/>
        </w:rPr>
        <w:t>is reluctant</w:t>
      </w:r>
      <w:r w:rsidRPr="00D429E3">
        <w:rPr>
          <w:rFonts w:ascii="Arial" w:eastAsiaTheme="majorEastAsia" w:hAnsi="Arial" w:cs="Arial"/>
          <w:color w:val="000000" w:themeColor="text1"/>
        </w:rPr>
        <w:t xml:space="preserve"> to donate or refuse</w:t>
      </w:r>
      <w:r w:rsidR="00EC0298" w:rsidRPr="00D429E3">
        <w:rPr>
          <w:rFonts w:ascii="Arial" w:eastAsiaTheme="majorEastAsia" w:hAnsi="Arial" w:cs="Arial"/>
          <w:color w:val="000000" w:themeColor="text1"/>
        </w:rPr>
        <w:t>s</w:t>
      </w:r>
      <w:r w:rsidRPr="00D429E3">
        <w:rPr>
          <w:rFonts w:ascii="Arial" w:eastAsiaTheme="majorEastAsia" w:hAnsi="Arial" w:cs="Arial"/>
          <w:color w:val="000000" w:themeColor="text1"/>
        </w:rPr>
        <w:t xml:space="preserve"> to.  </w:t>
      </w:r>
      <w:r w:rsidRPr="00020D46">
        <w:rPr>
          <w:rFonts w:ascii="Arial" w:eastAsiaTheme="majorEastAsia" w:hAnsi="Arial" w:cs="Arial"/>
          <w:color w:val="000000" w:themeColor="text1"/>
        </w:rPr>
        <w:t>(Boadu, 2024)</w:t>
      </w:r>
    </w:p>
    <w:p w14:paraId="08EAFE85" w14:textId="77777777" w:rsidR="00D867AE" w:rsidRPr="00D429E3" w:rsidRDefault="00D867AE" w:rsidP="00154863">
      <w:pPr>
        <w:rPr>
          <w:rFonts w:ascii="Arial" w:eastAsiaTheme="majorEastAsia" w:hAnsi="Arial" w:cs="Arial"/>
          <w:b/>
          <w:bCs/>
          <w:color w:val="000000" w:themeColor="text1"/>
          <w:sz w:val="24"/>
          <w:szCs w:val="24"/>
        </w:rPr>
      </w:pPr>
    </w:p>
    <w:p w14:paraId="5A7AC3E4" w14:textId="15891080" w:rsidR="007C4659" w:rsidRPr="00D429E3" w:rsidRDefault="00E56D1B" w:rsidP="00154863">
      <w:pPr>
        <w:rPr>
          <w:rFonts w:ascii="Arial" w:eastAsiaTheme="majorEastAsia" w:hAnsi="Arial" w:cs="Arial"/>
          <w:color w:val="000000" w:themeColor="text1"/>
        </w:rPr>
      </w:pPr>
      <w:r w:rsidRPr="00D429E3">
        <w:rPr>
          <w:rFonts w:ascii="Arial" w:eastAsiaTheme="majorEastAsia" w:hAnsi="Arial" w:cs="Arial"/>
          <w:b/>
          <w:bCs/>
          <w:color w:val="000000" w:themeColor="text1"/>
          <w:sz w:val="24"/>
          <w:szCs w:val="24"/>
        </w:rPr>
        <w:t>Health Belief Model</w:t>
      </w:r>
      <w:r w:rsidRPr="00D429E3">
        <w:rPr>
          <w:rFonts w:ascii="Arial" w:eastAsiaTheme="majorEastAsia" w:hAnsi="Arial" w:cs="Arial"/>
          <w:color w:val="000000" w:themeColor="text1"/>
          <w:sz w:val="24"/>
          <w:szCs w:val="24"/>
        </w:rPr>
        <w:t xml:space="preserve"> (</w:t>
      </w:r>
      <w:r w:rsidRPr="00D429E3">
        <w:rPr>
          <w:rFonts w:ascii="Arial" w:eastAsiaTheme="majorEastAsia" w:hAnsi="Arial" w:cs="Arial"/>
          <w:b/>
          <w:bCs/>
          <w:color w:val="000000" w:themeColor="text1"/>
          <w:sz w:val="24"/>
          <w:szCs w:val="24"/>
        </w:rPr>
        <w:t>HBM)</w:t>
      </w:r>
      <w:r w:rsidR="00173E0D" w:rsidRPr="00D429E3">
        <w:rPr>
          <w:rFonts w:ascii="Arial" w:eastAsiaTheme="majorEastAsia" w:hAnsi="Arial" w:cs="Arial"/>
          <w:color w:val="000000" w:themeColor="text1"/>
          <w:sz w:val="24"/>
          <w:szCs w:val="24"/>
        </w:rPr>
        <w:t>:</w:t>
      </w:r>
      <w:r w:rsidR="00173E0D" w:rsidRPr="00D429E3">
        <w:rPr>
          <w:rFonts w:ascii="Arial" w:eastAsiaTheme="majorEastAsia" w:hAnsi="Arial" w:cs="Arial"/>
          <w:color w:val="000000" w:themeColor="text1"/>
        </w:rPr>
        <w:t xml:space="preserve"> </w:t>
      </w:r>
      <w:r w:rsidRPr="00D429E3">
        <w:rPr>
          <w:rFonts w:ascii="Arial" w:eastAsiaTheme="majorEastAsia" w:hAnsi="Arial" w:cs="Arial"/>
          <w:color w:val="000000" w:themeColor="text1"/>
        </w:rPr>
        <w:t>To analyse</w:t>
      </w:r>
      <w:r w:rsidR="005D2854" w:rsidRPr="00D429E3">
        <w:rPr>
          <w:rFonts w:ascii="Arial" w:eastAsiaTheme="majorEastAsia" w:hAnsi="Arial" w:cs="Arial"/>
          <w:color w:val="000000" w:themeColor="text1"/>
        </w:rPr>
        <w:t xml:space="preserve"> the ‘perceived Barriers</w:t>
      </w:r>
      <w:r w:rsidR="004556CC" w:rsidRPr="00D429E3">
        <w:rPr>
          <w:rFonts w:ascii="Arial" w:eastAsiaTheme="majorEastAsia" w:hAnsi="Arial" w:cs="Arial"/>
          <w:color w:val="000000" w:themeColor="text1"/>
        </w:rPr>
        <w:t>’ created by historical scandals.</w:t>
      </w:r>
    </w:p>
    <w:p w14:paraId="17B099F3" w14:textId="77777777" w:rsidR="0075785D" w:rsidRPr="00D429E3" w:rsidRDefault="0075785D" w:rsidP="00AE155D">
      <w:pPr>
        <w:pStyle w:val="ListParagraph"/>
        <w:numPr>
          <w:ilvl w:val="0"/>
          <w:numId w:val="18"/>
        </w:numPr>
        <w:spacing w:line="360" w:lineRule="auto"/>
        <w:jc w:val="both"/>
        <w:rPr>
          <w:rFonts w:ascii="Arial" w:eastAsiaTheme="majorEastAsia" w:hAnsi="Arial" w:cs="Arial"/>
          <w:color w:val="000000" w:themeColor="text1"/>
        </w:rPr>
      </w:pPr>
      <w:r w:rsidRPr="00D429E3">
        <w:rPr>
          <w:rFonts w:ascii="Arial" w:eastAsiaTheme="majorEastAsia" w:hAnsi="Arial" w:cs="Arial"/>
          <w:color w:val="000000" w:themeColor="text1"/>
        </w:rPr>
        <w:t>Perceived Susceptibility: Minority groups often have a higher clinical need for transplants due to genetic susceptibility to conditions like diabetes and hypertension.</w:t>
      </w:r>
    </w:p>
    <w:p w14:paraId="6D0EB021" w14:textId="77777777" w:rsidR="0075785D" w:rsidRPr="00D429E3" w:rsidRDefault="0075785D" w:rsidP="00AE155D">
      <w:pPr>
        <w:pStyle w:val="ListParagraph"/>
        <w:numPr>
          <w:ilvl w:val="0"/>
          <w:numId w:val="18"/>
        </w:numPr>
        <w:spacing w:line="360" w:lineRule="auto"/>
        <w:jc w:val="both"/>
        <w:rPr>
          <w:rFonts w:ascii="Arial" w:eastAsiaTheme="majorEastAsia" w:hAnsi="Arial" w:cs="Arial"/>
          <w:color w:val="000000" w:themeColor="text1"/>
        </w:rPr>
      </w:pPr>
      <w:r w:rsidRPr="00D429E3">
        <w:rPr>
          <w:rFonts w:ascii="Arial" w:eastAsiaTheme="majorEastAsia" w:hAnsi="Arial" w:cs="Arial"/>
          <w:color w:val="000000" w:themeColor="text1"/>
        </w:rPr>
        <w:t xml:space="preserve">Perceived Barriers: Fear of the unknown, concerns about bodily integrity after death.  </w:t>
      </w:r>
    </w:p>
    <w:p w14:paraId="6787CC4F" w14:textId="425D147B" w:rsidR="0075785D" w:rsidRPr="00D429E3" w:rsidRDefault="004917B9" w:rsidP="00AE155D">
      <w:pPr>
        <w:pStyle w:val="ListParagraph"/>
        <w:numPr>
          <w:ilvl w:val="0"/>
          <w:numId w:val="18"/>
        </w:numPr>
        <w:spacing w:line="360" w:lineRule="auto"/>
        <w:jc w:val="both"/>
        <w:rPr>
          <w:rFonts w:ascii="Arial" w:hAnsi="Arial" w:cs="Arial"/>
          <w:color w:val="000000" w:themeColor="text1"/>
        </w:rPr>
      </w:pPr>
      <w:r w:rsidRPr="00D429E3">
        <w:rPr>
          <w:rFonts w:ascii="Arial" w:eastAsiaTheme="majorEastAsia" w:hAnsi="Arial" w:cs="Arial"/>
          <w:color w:val="000000" w:themeColor="text1"/>
        </w:rPr>
        <w:t>M</w:t>
      </w:r>
      <w:r w:rsidR="0075785D" w:rsidRPr="00D429E3">
        <w:rPr>
          <w:rFonts w:ascii="Arial" w:eastAsiaTheme="majorEastAsia" w:hAnsi="Arial" w:cs="Arial"/>
          <w:color w:val="000000" w:themeColor="text1"/>
        </w:rPr>
        <w:t>edical mistrust, i.e., the Tuskegee Scandal, the infected blood scandal and the Covid-19 pandemic.</w:t>
      </w:r>
    </w:p>
    <w:p w14:paraId="6F12C733" w14:textId="77777777" w:rsidR="00791E9A" w:rsidRPr="00D429E3" w:rsidRDefault="00791E9A" w:rsidP="00791E9A">
      <w:pPr>
        <w:pStyle w:val="ListParagraph"/>
        <w:spacing w:line="360" w:lineRule="auto"/>
        <w:ind w:left="720" w:firstLine="0"/>
        <w:jc w:val="both"/>
        <w:rPr>
          <w:rFonts w:ascii="Arial" w:hAnsi="Arial" w:cs="Arial"/>
          <w:color w:val="000000" w:themeColor="text1"/>
        </w:rPr>
      </w:pPr>
    </w:p>
    <w:p w14:paraId="20AADB4A" w14:textId="77777777" w:rsidR="00912CE9" w:rsidRDefault="00912CE9" w:rsidP="00791E9A">
      <w:pPr>
        <w:rPr>
          <w:rFonts w:ascii="Arial" w:eastAsiaTheme="majorEastAsia" w:hAnsi="Arial" w:cs="Arial"/>
          <w:b/>
          <w:bCs/>
          <w:color w:val="000000" w:themeColor="text1"/>
          <w:sz w:val="24"/>
          <w:szCs w:val="24"/>
        </w:rPr>
      </w:pPr>
    </w:p>
    <w:p w14:paraId="2A3F4835" w14:textId="77777777" w:rsidR="00912CE9" w:rsidRDefault="00912CE9" w:rsidP="00791E9A">
      <w:pPr>
        <w:rPr>
          <w:rFonts w:ascii="Arial" w:eastAsiaTheme="majorEastAsia" w:hAnsi="Arial" w:cs="Arial"/>
          <w:b/>
          <w:bCs/>
          <w:color w:val="000000" w:themeColor="text1"/>
          <w:sz w:val="24"/>
          <w:szCs w:val="24"/>
        </w:rPr>
      </w:pPr>
    </w:p>
    <w:p w14:paraId="2058F6C5" w14:textId="77777777" w:rsidR="00912CE9" w:rsidRDefault="00912CE9" w:rsidP="00791E9A">
      <w:pPr>
        <w:rPr>
          <w:rFonts w:ascii="Arial" w:eastAsiaTheme="majorEastAsia" w:hAnsi="Arial" w:cs="Arial"/>
          <w:b/>
          <w:bCs/>
          <w:color w:val="000000" w:themeColor="text1"/>
          <w:sz w:val="24"/>
          <w:szCs w:val="24"/>
        </w:rPr>
      </w:pPr>
    </w:p>
    <w:p w14:paraId="5FB5E94F" w14:textId="4975C14D" w:rsidR="0075785D" w:rsidRPr="00D429E3" w:rsidRDefault="0075785D" w:rsidP="00791E9A">
      <w:pPr>
        <w:rPr>
          <w:rFonts w:ascii="Arial" w:eastAsiaTheme="majorEastAsia" w:hAnsi="Arial" w:cs="Arial"/>
          <w:color w:val="000000" w:themeColor="text1"/>
          <w:sz w:val="24"/>
          <w:szCs w:val="24"/>
        </w:rPr>
      </w:pPr>
      <w:r w:rsidRPr="00D429E3">
        <w:rPr>
          <w:rFonts w:ascii="Arial" w:eastAsiaTheme="majorEastAsia" w:hAnsi="Arial" w:cs="Arial"/>
          <w:b/>
          <w:bCs/>
          <w:color w:val="000000" w:themeColor="text1"/>
          <w:sz w:val="24"/>
          <w:szCs w:val="24"/>
        </w:rPr>
        <w:t>Intersectionality</w:t>
      </w:r>
      <w:r w:rsidRPr="00D429E3">
        <w:rPr>
          <w:rFonts w:ascii="Arial" w:eastAsiaTheme="majorEastAsia" w:hAnsi="Arial" w:cs="Arial"/>
          <w:b/>
          <w:bCs/>
          <w:color w:val="000000" w:themeColor="text1"/>
        </w:rPr>
        <w:t xml:space="preserve">: </w:t>
      </w:r>
      <w:r w:rsidRPr="00D429E3">
        <w:rPr>
          <w:rFonts w:ascii="Arial" w:eastAsiaTheme="majorEastAsia" w:hAnsi="Arial" w:cs="Arial"/>
          <w:b/>
          <w:bCs/>
          <w:color w:val="000000" w:themeColor="text1"/>
          <w:sz w:val="24"/>
          <w:szCs w:val="24"/>
        </w:rPr>
        <w:t xml:space="preserve">Crenshaw (1989) </w:t>
      </w:r>
      <w:r w:rsidR="00D27FAC" w:rsidRPr="00D429E3">
        <w:rPr>
          <w:rFonts w:ascii="Arial" w:eastAsiaTheme="majorEastAsia" w:hAnsi="Arial" w:cs="Arial"/>
          <w:b/>
          <w:bCs/>
          <w:color w:val="000000" w:themeColor="text1"/>
          <w:sz w:val="24"/>
          <w:szCs w:val="24"/>
        </w:rPr>
        <w:t>&amp;</w:t>
      </w:r>
      <w:r w:rsidRPr="00D429E3">
        <w:rPr>
          <w:rFonts w:ascii="Arial" w:eastAsiaTheme="majorEastAsia" w:hAnsi="Arial" w:cs="Arial"/>
          <w:b/>
          <w:bCs/>
          <w:color w:val="000000" w:themeColor="text1"/>
          <w:sz w:val="24"/>
          <w:szCs w:val="24"/>
        </w:rPr>
        <w:t xml:space="preserve"> Anti-racist Framework</w:t>
      </w:r>
    </w:p>
    <w:p w14:paraId="06ACAA73" w14:textId="0F0393A9" w:rsidR="005F3A80" w:rsidRPr="00D429E3" w:rsidRDefault="0075785D" w:rsidP="00791E9A">
      <w:pPr>
        <w:rPr>
          <w:rFonts w:ascii="Arial" w:eastAsia="Calibri Light" w:hAnsi="Arial" w:cs="Arial"/>
          <w:color w:val="000000" w:themeColor="text1"/>
        </w:rPr>
      </w:pPr>
      <w:r w:rsidRPr="00D429E3">
        <w:rPr>
          <w:rFonts w:ascii="Arial" w:eastAsia="Calibri Light" w:hAnsi="Arial" w:cs="Arial"/>
          <w:color w:val="000000" w:themeColor="text1"/>
        </w:rPr>
        <w:t>An intersectional approach is used</w:t>
      </w:r>
      <w:r w:rsidR="00221D5E" w:rsidRPr="00D429E3">
        <w:rPr>
          <w:rFonts w:ascii="Arial" w:eastAsia="Calibri Light" w:hAnsi="Arial" w:cs="Arial"/>
          <w:color w:val="000000" w:themeColor="text1"/>
        </w:rPr>
        <w:t xml:space="preserve"> </w:t>
      </w:r>
      <w:r w:rsidR="006F1D8A" w:rsidRPr="00D429E3">
        <w:rPr>
          <w:rFonts w:ascii="Arial" w:eastAsia="Calibri Light" w:hAnsi="Arial" w:cs="Arial"/>
          <w:color w:val="000000" w:themeColor="text1"/>
        </w:rPr>
        <w:t>in this study</w:t>
      </w:r>
      <w:r w:rsidRPr="00D429E3">
        <w:rPr>
          <w:rFonts w:ascii="Arial" w:eastAsia="Calibri Light" w:hAnsi="Arial" w:cs="Arial"/>
          <w:color w:val="000000" w:themeColor="text1"/>
        </w:rPr>
        <w:t xml:space="preserve"> to examine how overlapping identities, such as race, religion, and socio-economic status</w:t>
      </w:r>
      <w:r w:rsidR="00AC17FB" w:rsidRPr="00D429E3">
        <w:rPr>
          <w:rFonts w:ascii="Arial" w:eastAsia="Calibri Light" w:hAnsi="Arial" w:cs="Arial"/>
          <w:color w:val="000000" w:themeColor="text1"/>
        </w:rPr>
        <w:t>,</w:t>
      </w:r>
      <w:r w:rsidRPr="00D429E3">
        <w:rPr>
          <w:rFonts w:ascii="Arial" w:eastAsia="Calibri Light" w:hAnsi="Arial" w:cs="Arial"/>
          <w:color w:val="000000" w:themeColor="text1"/>
        </w:rPr>
        <w:t xml:space="preserve"> create unique "double barriers" for Black, Asian, and Minority Ethnic (BAME) communities. This perspective is combined with an Anti-Racist </w:t>
      </w:r>
      <w:r w:rsidR="00F71776" w:rsidRPr="00D429E3">
        <w:rPr>
          <w:rFonts w:ascii="Arial" w:eastAsia="Calibri Light" w:hAnsi="Arial" w:cs="Arial"/>
          <w:color w:val="000000" w:themeColor="text1"/>
        </w:rPr>
        <w:t>Theory</w:t>
      </w:r>
      <w:r w:rsidRPr="00D429E3">
        <w:rPr>
          <w:rFonts w:ascii="Arial" w:eastAsia="Calibri Light" w:hAnsi="Arial" w:cs="Arial"/>
          <w:b/>
          <w:bCs/>
          <w:color w:val="000000" w:themeColor="text1"/>
        </w:rPr>
        <w:t xml:space="preserve"> </w:t>
      </w:r>
      <w:r w:rsidRPr="00D429E3">
        <w:rPr>
          <w:rFonts w:ascii="Arial" w:eastAsia="Calibri Light" w:hAnsi="Arial" w:cs="Arial"/>
          <w:color w:val="000000" w:themeColor="text1"/>
        </w:rPr>
        <w:t>to identify systemic biases that limit access to resources, rather than attributing these limitations solely to individual choices.</w:t>
      </w:r>
    </w:p>
    <w:p w14:paraId="6A28DD3D" w14:textId="297B9FC2" w:rsidR="0075785D" w:rsidRPr="00D429E3" w:rsidRDefault="0075785D" w:rsidP="00791E9A">
      <w:pPr>
        <w:rPr>
          <w:rFonts w:ascii="Arial" w:hAnsi="Arial" w:cs="Arial"/>
          <w:b/>
          <w:bCs/>
        </w:rPr>
      </w:pPr>
      <w:r w:rsidRPr="00D429E3">
        <w:rPr>
          <w:rFonts w:ascii="Arial" w:hAnsi="Arial" w:cs="Arial"/>
          <w:b/>
          <w:bCs/>
          <w:sz w:val="24"/>
          <w:szCs w:val="24"/>
        </w:rPr>
        <w:t>Whole Systems Framework</w:t>
      </w:r>
      <w:r w:rsidRPr="00D429E3">
        <w:rPr>
          <w:rFonts w:ascii="Arial" w:hAnsi="Arial" w:cs="Arial"/>
          <w:b/>
          <w:bCs/>
        </w:rPr>
        <w:t>:</w:t>
      </w:r>
    </w:p>
    <w:p w14:paraId="67EDD816" w14:textId="68D9893E" w:rsidR="00CF2AE1" w:rsidRPr="00D429E3" w:rsidRDefault="00CF2AE1" w:rsidP="00791E9A">
      <w:pPr>
        <w:rPr>
          <w:rFonts w:ascii="Arial" w:hAnsi="Arial" w:cs="Arial"/>
          <w:b/>
          <w:bCs/>
        </w:rPr>
      </w:pPr>
      <w:r w:rsidRPr="00D429E3">
        <w:rPr>
          <w:rFonts w:ascii="Arial" w:hAnsi="Arial" w:cs="Arial"/>
        </w:rPr>
        <w:t xml:space="preserve">This lens examines the "Care Pathway" framework (Grossi, 2023) and </w:t>
      </w:r>
      <w:r w:rsidR="0018488A" w:rsidRPr="00D429E3">
        <w:rPr>
          <w:rFonts w:ascii="Arial" w:hAnsi="Arial" w:cs="Arial"/>
        </w:rPr>
        <w:t>analyses</w:t>
      </w:r>
      <w:r w:rsidRPr="00D429E3">
        <w:rPr>
          <w:rFonts w:ascii="Arial" w:hAnsi="Arial" w:cs="Arial"/>
        </w:rPr>
        <w:t xml:space="preserve"> the institutional barriers that limit participation from minority donors. It moves the focus away from placing blame </w:t>
      </w:r>
      <w:r w:rsidR="008B298B" w:rsidRPr="00D429E3">
        <w:rPr>
          <w:rFonts w:ascii="Arial" w:hAnsi="Arial" w:cs="Arial"/>
        </w:rPr>
        <w:t>on</w:t>
      </w:r>
      <w:r w:rsidRPr="00D429E3">
        <w:rPr>
          <w:rFonts w:ascii="Arial" w:hAnsi="Arial" w:cs="Arial"/>
        </w:rPr>
        <w:t xml:space="preserve"> individuals and instead looks at how the communication and clinical systems within the NHS</w:t>
      </w:r>
      <w:r w:rsidR="002337B0" w:rsidRPr="00D429E3">
        <w:rPr>
          <w:rFonts w:ascii="Arial" w:hAnsi="Arial" w:cs="Arial"/>
        </w:rPr>
        <w:t xml:space="preserve"> </w:t>
      </w:r>
      <w:r w:rsidRPr="00D429E3">
        <w:rPr>
          <w:rFonts w:ascii="Arial" w:hAnsi="Arial" w:cs="Arial"/>
        </w:rPr>
        <w:t xml:space="preserve"> restrict equitable access to transplantation for minority communities</w:t>
      </w:r>
      <w:r w:rsidR="002337B0" w:rsidRPr="00D429E3">
        <w:rPr>
          <w:rFonts w:ascii="Arial" w:hAnsi="Arial" w:cs="Arial"/>
        </w:rPr>
        <w:t>.</w:t>
      </w:r>
    </w:p>
    <w:p w14:paraId="4D819E5A" w14:textId="3FAC0131" w:rsidR="00A706D8" w:rsidRPr="00D429E3" w:rsidRDefault="00C17A49" w:rsidP="00A706D8">
      <w:pPr>
        <w:rPr>
          <w:rFonts w:ascii="Arial" w:hAnsi="Arial" w:cs="Arial"/>
          <w:b/>
          <w:bCs/>
          <w:sz w:val="24"/>
          <w:szCs w:val="24"/>
        </w:rPr>
      </w:pPr>
      <w:r w:rsidRPr="00D429E3">
        <w:rPr>
          <w:rFonts w:ascii="Arial" w:hAnsi="Arial" w:cs="Arial"/>
          <w:b/>
          <w:bCs/>
          <w:sz w:val="24"/>
          <w:szCs w:val="24"/>
        </w:rPr>
        <w:t>Thematic Coding Approach</w:t>
      </w:r>
      <w:r w:rsidR="00A706D8" w:rsidRPr="00D429E3">
        <w:rPr>
          <w:rFonts w:ascii="Arial" w:hAnsi="Arial" w:cs="Arial"/>
          <w:b/>
          <w:bCs/>
          <w:sz w:val="24"/>
          <w:szCs w:val="24"/>
        </w:rPr>
        <w:t>:</w:t>
      </w:r>
    </w:p>
    <w:p w14:paraId="01F3C3D9" w14:textId="666679E5" w:rsidR="008E4EC3" w:rsidRPr="00D429E3" w:rsidRDefault="00A01EAF" w:rsidP="00A706D8">
      <w:pPr>
        <w:rPr>
          <w:rFonts w:ascii="Arial" w:hAnsi="Arial" w:cs="Arial"/>
          <w:sz w:val="24"/>
          <w:szCs w:val="24"/>
        </w:rPr>
      </w:pPr>
      <w:r w:rsidRPr="00D429E3">
        <w:rPr>
          <w:rFonts w:ascii="Arial" w:hAnsi="Arial" w:cs="Arial"/>
          <w:sz w:val="24"/>
          <w:szCs w:val="24"/>
        </w:rPr>
        <w:t>Definition of Thematic Analysis</w:t>
      </w:r>
      <w:r w:rsidR="005F058A" w:rsidRPr="00D429E3">
        <w:rPr>
          <w:rFonts w:ascii="Arial" w:hAnsi="Arial" w:cs="Arial"/>
          <w:sz w:val="24"/>
          <w:szCs w:val="24"/>
        </w:rPr>
        <w:t>:</w:t>
      </w:r>
      <w:r w:rsidRPr="00D429E3">
        <w:rPr>
          <w:rFonts w:ascii="Arial" w:hAnsi="Arial" w:cs="Arial"/>
          <w:sz w:val="24"/>
          <w:szCs w:val="24"/>
        </w:rPr>
        <w:t xml:space="preserve"> Braun </w:t>
      </w:r>
      <w:r w:rsidR="0056307B" w:rsidRPr="00D429E3">
        <w:rPr>
          <w:rFonts w:ascii="Arial" w:hAnsi="Arial" w:cs="Arial"/>
          <w:sz w:val="24"/>
          <w:szCs w:val="24"/>
        </w:rPr>
        <w:t>&amp; Clarke</w:t>
      </w:r>
      <w:r w:rsidR="005F058A" w:rsidRPr="00D429E3">
        <w:rPr>
          <w:rFonts w:ascii="Arial" w:hAnsi="Arial" w:cs="Arial"/>
          <w:sz w:val="24"/>
          <w:szCs w:val="24"/>
        </w:rPr>
        <w:t xml:space="preserve"> </w:t>
      </w:r>
      <w:r w:rsidR="00115C12" w:rsidRPr="00D429E3">
        <w:rPr>
          <w:rFonts w:ascii="Arial" w:hAnsi="Arial" w:cs="Arial"/>
          <w:sz w:val="24"/>
          <w:szCs w:val="24"/>
        </w:rPr>
        <w:t>(</w:t>
      </w:r>
      <w:r w:rsidR="0056307B" w:rsidRPr="00D429E3">
        <w:rPr>
          <w:rFonts w:ascii="Arial" w:hAnsi="Arial" w:cs="Arial"/>
          <w:sz w:val="24"/>
          <w:szCs w:val="24"/>
        </w:rPr>
        <w:t>2006)</w:t>
      </w:r>
    </w:p>
    <w:p w14:paraId="53DC7F87" w14:textId="2852742E" w:rsidR="006C37FF" w:rsidRDefault="0056307B" w:rsidP="006C37FF">
      <w:pPr>
        <w:rPr>
          <w:rFonts w:ascii="Arial" w:hAnsi="Arial" w:cs="Arial"/>
        </w:rPr>
      </w:pPr>
      <w:r w:rsidRPr="00D429E3">
        <w:rPr>
          <w:rFonts w:ascii="Arial" w:hAnsi="Arial" w:cs="Arial"/>
          <w:sz w:val="24"/>
          <w:szCs w:val="24"/>
        </w:rPr>
        <w:t xml:space="preserve">Thematic analysis </w:t>
      </w:r>
      <w:r w:rsidR="001E068C" w:rsidRPr="00D429E3">
        <w:rPr>
          <w:rFonts w:ascii="Arial" w:hAnsi="Arial" w:cs="Arial"/>
          <w:sz w:val="24"/>
          <w:szCs w:val="24"/>
        </w:rPr>
        <w:t>is defined</w:t>
      </w:r>
      <w:r w:rsidR="00115C12" w:rsidRPr="00D429E3">
        <w:rPr>
          <w:rFonts w:ascii="Arial" w:hAnsi="Arial" w:cs="Arial"/>
          <w:sz w:val="24"/>
          <w:szCs w:val="24"/>
        </w:rPr>
        <w:t xml:space="preserve"> as</w:t>
      </w:r>
      <w:r w:rsidR="001E068C" w:rsidRPr="00D429E3">
        <w:rPr>
          <w:rFonts w:ascii="Arial" w:hAnsi="Arial" w:cs="Arial"/>
          <w:sz w:val="24"/>
          <w:szCs w:val="24"/>
        </w:rPr>
        <w:t xml:space="preserve"> </w:t>
      </w:r>
      <w:r w:rsidR="008B44AA" w:rsidRPr="00D429E3">
        <w:rPr>
          <w:rFonts w:ascii="Arial" w:hAnsi="Arial" w:cs="Arial"/>
          <w:sz w:val="24"/>
          <w:szCs w:val="24"/>
        </w:rPr>
        <w:t>a method for identifying, analysing, and reporting</w:t>
      </w:r>
      <w:r w:rsidR="00A21A84" w:rsidRPr="00D429E3">
        <w:rPr>
          <w:rFonts w:ascii="Arial" w:hAnsi="Arial" w:cs="Arial"/>
          <w:sz w:val="24"/>
          <w:szCs w:val="24"/>
        </w:rPr>
        <w:t xml:space="preserve"> patterns</w:t>
      </w:r>
      <w:r w:rsidR="00624B33" w:rsidRPr="00D429E3">
        <w:rPr>
          <w:rFonts w:ascii="Arial" w:hAnsi="Arial" w:cs="Arial"/>
          <w:sz w:val="24"/>
          <w:szCs w:val="24"/>
        </w:rPr>
        <w:t xml:space="preserve"> and codes to</w:t>
      </w:r>
      <w:r w:rsidR="00A21A84" w:rsidRPr="00D429E3">
        <w:rPr>
          <w:rFonts w:ascii="Arial" w:hAnsi="Arial" w:cs="Arial"/>
          <w:sz w:val="24"/>
          <w:szCs w:val="24"/>
        </w:rPr>
        <w:t xml:space="preserve"> themes within </w:t>
      </w:r>
      <w:r w:rsidR="00A21A84" w:rsidRPr="00D2218E">
        <w:rPr>
          <w:rFonts w:ascii="Arial" w:hAnsi="Arial" w:cs="Arial"/>
          <w:sz w:val="24"/>
          <w:szCs w:val="24"/>
        </w:rPr>
        <w:t>data</w:t>
      </w:r>
      <w:r w:rsidR="00115C12" w:rsidRPr="00D2218E">
        <w:rPr>
          <w:rFonts w:ascii="Arial" w:hAnsi="Arial" w:cs="Arial"/>
          <w:sz w:val="24"/>
          <w:szCs w:val="24"/>
        </w:rPr>
        <w:t xml:space="preserve"> (Braun &amp; Clarke</w:t>
      </w:r>
      <w:r w:rsidR="002F5ECA" w:rsidRPr="00D2218E">
        <w:rPr>
          <w:rFonts w:ascii="Arial" w:hAnsi="Arial" w:cs="Arial"/>
          <w:sz w:val="24"/>
          <w:szCs w:val="24"/>
        </w:rPr>
        <w:t>, 2006)</w:t>
      </w:r>
      <w:r w:rsidR="00A21A84" w:rsidRPr="00D2218E">
        <w:rPr>
          <w:rFonts w:ascii="Arial" w:hAnsi="Arial" w:cs="Arial"/>
          <w:sz w:val="24"/>
          <w:szCs w:val="24"/>
        </w:rPr>
        <w:t>.</w:t>
      </w:r>
      <w:r w:rsidR="00A21A84" w:rsidRPr="00D429E3">
        <w:rPr>
          <w:rFonts w:ascii="Arial" w:hAnsi="Arial" w:cs="Arial"/>
          <w:sz w:val="24"/>
          <w:szCs w:val="24"/>
        </w:rPr>
        <w:t xml:space="preserve">  </w:t>
      </w:r>
    </w:p>
    <w:p w14:paraId="7FEFE515" w14:textId="5BA7EA83" w:rsidR="000621CF" w:rsidRDefault="00A47D7F" w:rsidP="006C37FF">
      <w:pPr>
        <w:rPr>
          <w:rFonts w:ascii="Arial" w:hAnsi="Arial" w:cs="Arial"/>
        </w:rPr>
      </w:pPr>
      <w:r>
        <w:rPr>
          <w:rFonts w:ascii="Arial" w:hAnsi="Arial" w:cs="Arial"/>
        </w:rPr>
        <w:t xml:space="preserve">The chosen lenses are the </w:t>
      </w:r>
      <w:r w:rsidRPr="00BA72BF">
        <w:rPr>
          <w:rFonts w:ascii="Arial" w:hAnsi="Arial" w:cs="Arial"/>
          <w:b/>
          <w:bCs/>
        </w:rPr>
        <w:t>HBM,</w:t>
      </w:r>
      <w:r>
        <w:rPr>
          <w:rFonts w:ascii="Arial" w:hAnsi="Arial" w:cs="Arial"/>
        </w:rPr>
        <w:t xml:space="preserve"> </w:t>
      </w:r>
      <w:r w:rsidRPr="00BA72BF">
        <w:rPr>
          <w:rFonts w:ascii="Arial" w:hAnsi="Arial" w:cs="Arial"/>
          <w:b/>
          <w:bCs/>
        </w:rPr>
        <w:t>Intersectionality</w:t>
      </w:r>
      <w:r>
        <w:rPr>
          <w:rFonts w:ascii="Arial" w:hAnsi="Arial" w:cs="Arial"/>
        </w:rPr>
        <w:t xml:space="preserve">, and the </w:t>
      </w:r>
      <w:r w:rsidRPr="00BA72BF">
        <w:rPr>
          <w:rFonts w:ascii="Arial" w:hAnsi="Arial" w:cs="Arial"/>
          <w:b/>
          <w:bCs/>
        </w:rPr>
        <w:t>Whole Systems Approach</w:t>
      </w:r>
      <w:r>
        <w:rPr>
          <w:rFonts w:ascii="Arial" w:hAnsi="Arial" w:cs="Arial"/>
        </w:rPr>
        <w:t xml:space="preserve">. A deductive method is employed in this study, ensuring that </w:t>
      </w:r>
      <w:r w:rsidR="00192250">
        <w:rPr>
          <w:rFonts w:ascii="Arial" w:hAnsi="Arial" w:cs="Arial"/>
        </w:rPr>
        <w:t>the research specifics, objectives, and theoretical frameworks guide the themes</w:t>
      </w:r>
      <w:r>
        <w:rPr>
          <w:rFonts w:ascii="Arial" w:hAnsi="Arial" w:cs="Arial"/>
        </w:rPr>
        <w:t xml:space="preserve">. The codes collected from the five sources were utilised using the six-step thematic coding process </w:t>
      </w:r>
      <w:r w:rsidR="00192250">
        <w:rPr>
          <w:rFonts w:ascii="Arial" w:hAnsi="Arial" w:cs="Arial"/>
        </w:rPr>
        <w:t>(</w:t>
      </w:r>
      <w:r>
        <w:rPr>
          <w:rFonts w:ascii="Arial" w:hAnsi="Arial" w:cs="Arial"/>
        </w:rPr>
        <w:t xml:space="preserve">Braun &amp; Clarke, 2006).  </w:t>
      </w:r>
      <w:r w:rsidR="001165A5">
        <w:rPr>
          <w:rFonts w:ascii="Arial" w:hAnsi="Arial" w:cs="Arial"/>
        </w:rPr>
        <w:t xml:space="preserve">In </w:t>
      </w:r>
      <w:r>
        <w:rPr>
          <w:rFonts w:ascii="Arial" w:hAnsi="Arial" w:cs="Arial"/>
        </w:rPr>
        <w:t xml:space="preserve">the Results Summary Table, the specific codes were derived from the data. These codes represent foundational </w:t>
      </w:r>
      <w:r w:rsidR="005B0DBB">
        <w:rPr>
          <w:rFonts w:ascii="Arial" w:hAnsi="Arial" w:cs="Arial"/>
        </w:rPr>
        <w:t>units of anal</w:t>
      </w:r>
      <w:r w:rsidR="00F65744">
        <w:rPr>
          <w:rFonts w:ascii="Arial" w:hAnsi="Arial" w:cs="Arial"/>
        </w:rPr>
        <w:t>ysis before being grouped into themes.</w:t>
      </w:r>
    </w:p>
    <w:p w14:paraId="03B55AAB" w14:textId="3D18EAAE" w:rsidR="0038112A" w:rsidRPr="00BA72BF" w:rsidRDefault="00E50BE5" w:rsidP="00A706D8">
      <w:pPr>
        <w:rPr>
          <w:rFonts w:ascii="Arial" w:hAnsi="Arial" w:cs="Arial"/>
          <w:b/>
          <w:bCs/>
        </w:rPr>
      </w:pPr>
      <w:r>
        <w:rPr>
          <w:rFonts w:ascii="Arial" w:hAnsi="Arial" w:cs="Arial"/>
        </w:rPr>
        <w:t xml:space="preserve">Step 1: </w:t>
      </w:r>
      <w:r w:rsidR="007A5F0E" w:rsidRPr="00A33DF6">
        <w:rPr>
          <w:rFonts w:ascii="Arial" w:hAnsi="Arial" w:cs="Arial"/>
          <w:b/>
          <w:bCs/>
        </w:rPr>
        <w:t>Familiarisation</w:t>
      </w:r>
      <w:r w:rsidR="00B01AC5" w:rsidRPr="00A33DF6">
        <w:rPr>
          <w:rFonts w:ascii="Arial" w:hAnsi="Arial" w:cs="Arial"/>
          <w:b/>
          <w:bCs/>
        </w:rPr>
        <w:t xml:space="preserve"> with the data</w:t>
      </w:r>
      <w:r w:rsidR="005E4F19">
        <w:rPr>
          <w:rFonts w:ascii="Arial" w:hAnsi="Arial" w:cs="Arial"/>
          <w:sz w:val="24"/>
          <w:szCs w:val="24"/>
        </w:rPr>
        <w:t xml:space="preserve">: </w:t>
      </w:r>
    </w:p>
    <w:p w14:paraId="15D12362" w14:textId="56AB6E8F" w:rsidR="003F5133" w:rsidRPr="00A33DF6" w:rsidRDefault="005E4F19" w:rsidP="00A706D8">
      <w:pPr>
        <w:rPr>
          <w:rFonts w:ascii="Arial" w:hAnsi="Arial" w:cs="Arial"/>
          <w:sz w:val="24"/>
          <w:szCs w:val="24"/>
        </w:rPr>
      </w:pPr>
      <w:r>
        <w:rPr>
          <w:rFonts w:ascii="Arial" w:hAnsi="Arial" w:cs="Arial"/>
        </w:rPr>
        <w:t xml:space="preserve">The </w:t>
      </w:r>
      <w:r w:rsidRPr="00A706D8">
        <w:rPr>
          <w:rFonts w:ascii="Arial" w:hAnsi="Arial" w:cs="Arial"/>
        </w:rPr>
        <w:t xml:space="preserve">articles were examined thoroughly to </w:t>
      </w:r>
      <w:r w:rsidR="006C37FF">
        <w:rPr>
          <w:rFonts w:ascii="Arial" w:hAnsi="Arial" w:cs="Arial"/>
        </w:rPr>
        <w:t>identify recurring keywords, similarities, connections, and</w:t>
      </w:r>
      <w:r w:rsidRPr="00F121BE">
        <w:rPr>
          <w:rFonts w:ascii="Arial" w:hAnsi="Arial" w:cs="Arial"/>
        </w:rPr>
        <w:t xml:space="preserve"> terms.</w:t>
      </w:r>
    </w:p>
    <w:p w14:paraId="1F7D5E91" w14:textId="759B1579" w:rsidR="003D7AA5" w:rsidRDefault="0058743F" w:rsidP="00A706D8">
      <w:pPr>
        <w:rPr>
          <w:rFonts w:ascii="Arial" w:hAnsi="Arial" w:cs="Arial"/>
        </w:rPr>
      </w:pPr>
      <w:r>
        <w:rPr>
          <w:rFonts w:ascii="Arial" w:hAnsi="Arial" w:cs="Arial"/>
        </w:rPr>
        <w:t>This</w:t>
      </w:r>
      <w:r w:rsidR="00B01AC5">
        <w:rPr>
          <w:rFonts w:ascii="Arial" w:hAnsi="Arial" w:cs="Arial"/>
        </w:rPr>
        <w:t xml:space="preserve"> involved </w:t>
      </w:r>
      <w:r w:rsidR="005432F8">
        <w:rPr>
          <w:rFonts w:ascii="Arial" w:hAnsi="Arial" w:cs="Arial"/>
        </w:rPr>
        <w:t>repeated reading</w:t>
      </w:r>
      <w:r w:rsidR="00BA72BF">
        <w:rPr>
          <w:rFonts w:ascii="Arial" w:hAnsi="Arial" w:cs="Arial"/>
        </w:rPr>
        <w:t xml:space="preserve"> and re-reading</w:t>
      </w:r>
      <w:r w:rsidR="005432F8">
        <w:rPr>
          <w:rFonts w:ascii="Arial" w:hAnsi="Arial" w:cs="Arial"/>
        </w:rPr>
        <w:t xml:space="preserve"> of the 5 key sources</w:t>
      </w:r>
      <w:r w:rsidR="007A5F0E">
        <w:rPr>
          <w:rFonts w:ascii="Arial" w:hAnsi="Arial" w:cs="Arial"/>
        </w:rPr>
        <w:t xml:space="preserve"> Ferguson</w:t>
      </w:r>
      <w:r w:rsidR="00727EF0">
        <w:rPr>
          <w:rFonts w:ascii="Arial" w:hAnsi="Arial" w:cs="Arial"/>
        </w:rPr>
        <w:t xml:space="preserve"> (</w:t>
      </w:r>
      <w:r w:rsidR="000F7565">
        <w:rPr>
          <w:rFonts w:ascii="Arial" w:hAnsi="Arial" w:cs="Arial"/>
        </w:rPr>
        <w:t>2019)</w:t>
      </w:r>
      <w:r w:rsidR="007A5F0E">
        <w:rPr>
          <w:rFonts w:ascii="Arial" w:hAnsi="Arial" w:cs="Arial"/>
        </w:rPr>
        <w:t>, Ahmed</w:t>
      </w:r>
      <w:r w:rsidR="000F7565">
        <w:rPr>
          <w:rFonts w:ascii="Arial" w:hAnsi="Arial" w:cs="Arial"/>
        </w:rPr>
        <w:t xml:space="preserve"> (</w:t>
      </w:r>
      <w:r w:rsidR="00010CDE">
        <w:rPr>
          <w:rFonts w:ascii="Arial" w:hAnsi="Arial" w:cs="Arial"/>
        </w:rPr>
        <w:t>2020)</w:t>
      </w:r>
      <w:r w:rsidR="007A5F0E">
        <w:rPr>
          <w:rFonts w:ascii="Arial" w:hAnsi="Arial" w:cs="Arial"/>
        </w:rPr>
        <w:t>, Deedat</w:t>
      </w:r>
      <w:r w:rsidR="00A33DF6">
        <w:rPr>
          <w:rFonts w:ascii="Arial" w:hAnsi="Arial" w:cs="Arial"/>
        </w:rPr>
        <w:t xml:space="preserve"> </w:t>
      </w:r>
      <w:r w:rsidR="00552602">
        <w:rPr>
          <w:rFonts w:ascii="Arial" w:hAnsi="Arial" w:cs="Arial"/>
        </w:rPr>
        <w:t>(2013)</w:t>
      </w:r>
      <w:r w:rsidR="00896B61">
        <w:rPr>
          <w:rFonts w:ascii="Arial" w:hAnsi="Arial" w:cs="Arial"/>
        </w:rPr>
        <w:t xml:space="preserve">, </w:t>
      </w:r>
      <w:r w:rsidR="00727EF0">
        <w:rPr>
          <w:rFonts w:ascii="Arial" w:hAnsi="Arial" w:cs="Arial"/>
        </w:rPr>
        <w:t>Grossi</w:t>
      </w:r>
      <w:r w:rsidR="00552602">
        <w:rPr>
          <w:rFonts w:ascii="Arial" w:hAnsi="Arial" w:cs="Arial"/>
        </w:rPr>
        <w:t xml:space="preserve"> (</w:t>
      </w:r>
      <w:r w:rsidR="00430160">
        <w:rPr>
          <w:rFonts w:ascii="Arial" w:hAnsi="Arial" w:cs="Arial"/>
        </w:rPr>
        <w:t>2023)</w:t>
      </w:r>
      <w:r w:rsidR="00727EF0">
        <w:rPr>
          <w:rFonts w:ascii="Arial" w:hAnsi="Arial" w:cs="Arial"/>
        </w:rPr>
        <w:t xml:space="preserve">, </w:t>
      </w:r>
      <w:r w:rsidR="00430160">
        <w:rPr>
          <w:rFonts w:ascii="Arial" w:hAnsi="Arial" w:cs="Arial"/>
        </w:rPr>
        <w:t>Thornton (2023).</w:t>
      </w:r>
      <w:r w:rsidR="00811626">
        <w:rPr>
          <w:rFonts w:ascii="Arial" w:hAnsi="Arial" w:cs="Arial"/>
        </w:rPr>
        <w:t xml:space="preserve"> </w:t>
      </w:r>
    </w:p>
    <w:p w14:paraId="6F0944C3" w14:textId="77777777" w:rsidR="00912CE9" w:rsidRDefault="00912CE9" w:rsidP="00A706D8">
      <w:pPr>
        <w:rPr>
          <w:rFonts w:ascii="Arial" w:hAnsi="Arial" w:cs="Arial"/>
        </w:rPr>
      </w:pPr>
    </w:p>
    <w:p w14:paraId="7BE03892" w14:textId="77777777" w:rsidR="00912CE9" w:rsidRDefault="00912CE9" w:rsidP="00A706D8">
      <w:pPr>
        <w:rPr>
          <w:rFonts w:ascii="Arial" w:hAnsi="Arial" w:cs="Arial"/>
        </w:rPr>
      </w:pPr>
    </w:p>
    <w:p w14:paraId="3A046067" w14:textId="77777777" w:rsidR="00912CE9" w:rsidRDefault="00912CE9" w:rsidP="00A706D8">
      <w:pPr>
        <w:rPr>
          <w:rFonts w:ascii="Arial" w:hAnsi="Arial" w:cs="Arial"/>
        </w:rPr>
      </w:pPr>
    </w:p>
    <w:p w14:paraId="40154CB4" w14:textId="63E7430E" w:rsidR="003D7AA5" w:rsidRDefault="00D377C5" w:rsidP="00A706D8">
      <w:pPr>
        <w:rPr>
          <w:rFonts w:ascii="Arial" w:hAnsi="Arial" w:cs="Arial"/>
          <w:b/>
          <w:bCs/>
        </w:rPr>
      </w:pPr>
      <w:r>
        <w:rPr>
          <w:rFonts w:ascii="Arial" w:hAnsi="Arial" w:cs="Arial"/>
        </w:rPr>
        <w:t xml:space="preserve">Step 2: </w:t>
      </w:r>
      <w:r w:rsidRPr="00A33DF6">
        <w:rPr>
          <w:rFonts w:ascii="Arial" w:hAnsi="Arial" w:cs="Arial"/>
          <w:b/>
          <w:bCs/>
        </w:rPr>
        <w:t>Generating</w:t>
      </w:r>
      <w:r w:rsidR="00A33DF6" w:rsidRPr="00A33DF6">
        <w:rPr>
          <w:rFonts w:ascii="Arial" w:hAnsi="Arial" w:cs="Arial"/>
          <w:b/>
          <w:bCs/>
        </w:rPr>
        <w:t xml:space="preserve"> the initial codes</w:t>
      </w:r>
    </w:p>
    <w:p w14:paraId="68D81A3B" w14:textId="16BED483" w:rsidR="00C93C8A" w:rsidRDefault="009842FA" w:rsidP="00A706D8">
      <w:pPr>
        <w:rPr>
          <w:rFonts w:ascii="Arial" w:hAnsi="Arial" w:cs="Arial"/>
        </w:rPr>
      </w:pPr>
      <w:r>
        <w:rPr>
          <w:rFonts w:ascii="Arial" w:hAnsi="Arial" w:cs="Arial"/>
        </w:rPr>
        <w:t xml:space="preserve">The </w:t>
      </w:r>
      <w:r w:rsidR="006C11EE" w:rsidRPr="00016193">
        <w:rPr>
          <w:rFonts w:ascii="Arial" w:hAnsi="Arial" w:cs="Arial"/>
        </w:rPr>
        <w:t>Coding</w:t>
      </w:r>
      <w:r>
        <w:rPr>
          <w:rFonts w:ascii="Arial" w:hAnsi="Arial" w:cs="Arial"/>
        </w:rPr>
        <w:t xml:space="preserve"> process</w:t>
      </w:r>
      <w:r w:rsidR="006C11EE" w:rsidRPr="00016193">
        <w:rPr>
          <w:rFonts w:ascii="Arial" w:hAnsi="Arial" w:cs="Arial"/>
        </w:rPr>
        <w:t xml:space="preserve"> reduce</w:t>
      </w:r>
      <w:r w:rsidR="0088153C">
        <w:rPr>
          <w:rFonts w:ascii="Arial" w:hAnsi="Arial" w:cs="Arial"/>
        </w:rPr>
        <w:t>d</w:t>
      </w:r>
      <w:r w:rsidR="00755488" w:rsidRPr="00016193">
        <w:rPr>
          <w:rFonts w:ascii="Arial" w:hAnsi="Arial" w:cs="Arial"/>
        </w:rPr>
        <w:t xml:space="preserve"> </w:t>
      </w:r>
      <w:r w:rsidR="00016193">
        <w:rPr>
          <w:rFonts w:ascii="Arial" w:hAnsi="Arial" w:cs="Arial"/>
        </w:rPr>
        <w:t>text</w:t>
      </w:r>
      <w:r w:rsidR="00755488" w:rsidRPr="00016193">
        <w:rPr>
          <w:rFonts w:ascii="Arial" w:hAnsi="Arial" w:cs="Arial"/>
        </w:rPr>
        <w:t xml:space="preserve"> </w:t>
      </w:r>
      <w:r w:rsidR="00CC49C0" w:rsidRPr="00016193">
        <w:rPr>
          <w:rFonts w:ascii="Arial" w:hAnsi="Arial" w:cs="Arial"/>
        </w:rPr>
        <w:t>into manageable “</w:t>
      </w:r>
      <w:r w:rsidR="00CC49C0" w:rsidRPr="00016193">
        <w:rPr>
          <w:rFonts w:ascii="Arial" w:hAnsi="Arial" w:cs="Arial"/>
          <w:b/>
          <w:bCs/>
        </w:rPr>
        <w:t>labels</w:t>
      </w:r>
      <w:r w:rsidR="00CC49C0" w:rsidRPr="00016193">
        <w:rPr>
          <w:rFonts w:ascii="Arial" w:hAnsi="Arial" w:cs="Arial"/>
        </w:rPr>
        <w:t>” that specifically</w:t>
      </w:r>
      <w:r w:rsidR="004E4784" w:rsidRPr="00016193">
        <w:rPr>
          <w:rFonts w:ascii="Arial" w:hAnsi="Arial" w:cs="Arial"/>
        </w:rPr>
        <w:t xml:space="preserve"> relate</w:t>
      </w:r>
      <w:r>
        <w:rPr>
          <w:rFonts w:ascii="Arial" w:hAnsi="Arial" w:cs="Arial"/>
        </w:rPr>
        <w:t>d</w:t>
      </w:r>
      <w:r w:rsidR="004E4784" w:rsidRPr="00016193">
        <w:rPr>
          <w:rFonts w:ascii="Arial" w:hAnsi="Arial" w:cs="Arial"/>
        </w:rPr>
        <w:t xml:space="preserve"> to the objectives</w:t>
      </w:r>
      <w:r w:rsidR="00016193" w:rsidRPr="00016193">
        <w:rPr>
          <w:rFonts w:ascii="Arial" w:hAnsi="Arial" w:cs="Arial"/>
        </w:rPr>
        <w:t>.</w:t>
      </w:r>
      <w:r w:rsidR="00726EF9">
        <w:rPr>
          <w:rFonts w:ascii="Arial" w:hAnsi="Arial" w:cs="Arial"/>
        </w:rPr>
        <w:t xml:space="preserve"> </w:t>
      </w:r>
      <w:r w:rsidR="00A706D8" w:rsidRPr="00F121BE">
        <w:rPr>
          <w:rFonts w:ascii="Arial" w:hAnsi="Arial" w:cs="Arial"/>
        </w:rPr>
        <w:t xml:space="preserve">The codes identified from this process included: </w:t>
      </w:r>
      <w:r w:rsidR="00F5375E">
        <w:rPr>
          <w:rFonts w:ascii="Arial" w:hAnsi="Arial" w:cs="Arial"/>
        </w:rPr>
        <w:t>Fergusson</w:t>
      </w:r>
      <w:r w:rsidR="00C344FA">
        <w:rPr>
          <w:rFonts w:ascii="Arial" w:hAnsi="Arial" w:cs="Arial"/>
        </w:rPr>
        <w:t xml:space="preserve"> (</w:t>
      </w:r>
      <w:r w:rsidR="00F5375E">
        <w:rPr>
          <w:rFonts w:ascii="Arial" w:hAnsi="Arial" w:cs="Arial"/>
        </w:rPr>
        <w:t>20</w:t>
      </w:r>
      <w:r w:rsidR="00C344FA">
        <w:rPr>
          <w:rFonts w:ascii="Arial" w:hAnsi="Arial" w:cs="Arial"/>
        </w:rPr>
        <w:t>19)</w:t>
      </w:r>
      <w:r w:rsidR="00BA72BF">
        <w:rPr>
          <w:rFonts w:ascii="Arial" w:hAnsi="Arial" w:cs="Arial"/>
        </w:rPr>
        <w:t xml:space="preserve">, </w:t>
      </w:r>
      <w:r w:rsidR="0036579B">
        <w:rPr>
          <w:rFonts w:ascii="Arial" w:hAnsi="Arial" w:cs="Arial"/>
        </w:rPr>
        <w:t>Altruism</w:t>
      </w:r>
      <w:r w:rsidR="003D373E">
        <w:rPr>
          <w:rFonts w:ascii="Arial" w:hAnsi="Arial" w:cs="Arial"/>
        </w:rPr>
        <w:t>, Reciprocity, Donor health impacts, Behaviour predicto</w:t>
      </w:r>
      <w:r w:rsidR="00421B31">
        <w:rPr>
          <w:rFonts w:ascii="Arial" w:hAnsi="Arial" w:cs="Arial"/>
        </w:rPr>
        <w:t xml:space="preserve">rs, </w:t>
      </w:r>
      <w:r w:rsidR="0036579B">
        <w:rPr>
          <w:rFonts w:ascii="Arial" w:hAnsi="Arial" w:cs="Arial"/>
        </w:rPr>
        <w:t xml:space="preserve">and </w:t>
      </w:r>
      <w:r w:rsidR="00421B31">
        <w:rPr>
          <w:rFonts w:ascii="Arial" w:hAnsi="Arial" w:cs="Arial"/>
        </w:rPr>
        <w:t>Intervention effectiveness.</w:t>
      </w:r>
      <w:r w:rsidR="0036579B">
        <w:rPr>
          <w:rFonts w:ascii="Arial" w:hAnsi="Arial" w:cs="Arial"/>
        </w:rPr>
        <w:t xml:space="preserve"> </w:t>
      </w:r>
    </w:p>
    <w:p w14:paraId="7DDBCA2D" w14:textId="5E430685" w:rsidR="00C54DA5" w:rsidRDefault="006509B4" w:rsidP="00A706D8">
      <w:pPr>
        <w:rPr>
          <w:rFonts w:ascii="Arial" w:hAnsi="Arial" w:cs="Arial"/>
        </w:rPr>
      </w:pPr>
      <w:r>
        <w:rPr>
          <w:rFonts w:ascii="Arial" w:hAnsi="Arial" w:cs="Arial"/>
        </w:rPr>
        <w:t>Ahmed(2020)</w:t>
      </w:r>
      <w:r w:rsidR="00BA1E00">
        <w:rPr>
          <w:rFonts w:ascii="Arial" w:hAnsi="Arial" w:cs="Arial"/>
        </w:rPr>
        <w:t xml:space="preserve">, </w:t>
      </w:r>
      <w:r>
        <w:rPr>
          <w:rFonts w:ascii="Arial" w:hAnsi="Arial" w:cs="Arial"/>
        </w:rPr>
        <w:t>COVID-19 impact, Operational Changes</w:t>
      </w:r>
      <w:r w:rsidR="00762BDE">
        <w:rPr>
          <w:rFonts w:ascii="Arial" w:hAnsi="Arial" w:cs="Arial"/>
        </w:rPr>
        <w:t xml:space="preserve">, Transplantation decline, </w:t>
      </w:r>
      <w:r w:rsidR="00EE3E12">
        <w:rPr>
          <w:rFonts w:ascii="Arial" w:hAnsi="Arial" w:cs="Arial"/>
        </w:rPr>
        <w:t>Organ procurement, Real-time data</w:t>
      </w:r>
      <w:r w:rsidR="00C54DA5">
        <w:rPr>
          <w:rFonts w:ascii="Arial" w:hAnsi="Arial" w:cs="Arial"/>
        </w:rPr>
        <w:t>.  Deedat (2013)</w:t>
      </w:r>
      <w:r w:rsidR="003E09F1">
        <w:rPr>
          <w:rFonts w:ascii="Arial" w:hAnsi="Arial" w:cs="Arial"/>
        </w:rPr>
        <w:t xml:space="preserve">: Ethnic minority registration, </w:t>
      </w:r>
      <w:r w:rsidR="00B4408C">
        <w:rPr>
          <w:rFonts w:ascii="Arial" w:hAnsi="Arial" w:cs="Arial"/>
        </w:rPr>
        <w:t>culturally</w:t>
      </w:r>
      <w:r w:rsidR="00332F3F">
        <w:rPr>
          <w:rFonts w:ascii="Arial" w:hAnsi="Arial" w:cs="Arial"/>
        </w:rPr>
        <w:t xml:space="preserve"> tailored information, Systematic r</w:t>
      </w:r>
      <w:r w:rsidR="005E52C5">
        <w:rPr>
          <w:rFonts w:ascii="Arial" w:hAnsi="Arial" w:cs="Arial"/>
        </w:rPr>
        <w:t xml:space="preserve">eview, Media-paired education.  Grossi </w:t>
      </w:r>
      <w:r w:rsidR="00C426AD">
        <w:rPr>
          <w:rFonts w:ascii="Arial" w:hAnsi="Arial" w:cs="Arial"/>
        </w:rPr>
        <w:t>(2023):</w:t>
      </w:r>
      <w:r w:rsidR="003C08E4">
        <w:rPr>
          <w:rFonts w:ascii="Arial" w:hAnsi="Arial" w:cs="Arial"/>
        </w:rPr>
        <w:t xml:space="preserve"> </w:t>
      </w:r>
      <w:r w:rsidR="00C426AD">
        <w:rPr>
          <w:rFonts w:ascii="Arial" w:hAnsi="Arial" w:cs="Arial"/>
        </w:rPr>
        <w:t>Equity, Diversity and In</w:t>
      </w:r>
      <w:r w:rsidR="005447FC">
        <w:rPr>
          <w:rFonts w:ascii="Arial" w:hAnsi="Arial" w:cs="Arial"/>
        </w:rPr>
        <w:t>equality</w:t>
      </w:r>
      <w:r w:rsidR="005A5FFF">
        <w:rPr>
          <w:rFonts w:ascii="Arial" w:hAnsi="Arial" w:cs="Arial"/>
        </w:rPr>
        <w:t>,</w:t>
      </w:r>
      <w:r w:rsidR="00D57316">
        <w:rPr>
          <w:rFonts w:ascii="Arial" w:hAnsi="Arial" w:cs="Arial"/>
        </w:rPr>
        <w:t xml:space="preserve"> </w:t>
      </w:r>
      <w:r w:rsidR="005A5FFF">
        <w:rPr>
          <w:rFonts w:ascii="Arial" w:hAnsi="Arial" w:cs="Arial"/>
        </w:rPr>
        <w:t xml:space="preserve">Systematic </w:t>
      </w:r>
      <w:r w:rsidR="00E8516E">
        <w:rPr>
          <w:rFonts w:ascii="Arial" w:hAnsi="Arial" w:cs="Arial"/>
        </w:rPr>
        <w:t>f</w:t>
      </w:r>
      <w:r w:rsidR="005A5FFF">
        <w:rPr>
          <w:rFonts w:ascii="Arial" w:hAnsi="Arial" w:cs="Arial"/>
        </w:rPr>
        <w:t>rameworks</w:t>
      </w:r>
      <w:r w:rsidR="00E8516E">
        <w:rPr>
          <w:rFonts w:ascii="Arial" w:hAnsi="Arial" w:cs="Arial"/>
        </w:rPr>
        <w:t>.</w:t>
      </w:r>
    </w:p>
    <w:p w14:paraId="1EB45B7F" w14:textId="77777777" w:rsidR="003B4B2B" w:rsidRDefault="00823C18" w:rsidP="00355BF4">
      <w:pPr>
        <w:rPr>
          <w:rFonts w:ascii="Arial" w:hAnsi="Arial" w:cs="Arial"/>
          <w:b/>
          <w:bCs/>
        </w:rPr>
      </w:pPr>
      <w:r>
        <w:rPr>
          <w:rFonts w:ascii="Arial" w:hAnsi="Arial" w:cs="Arial"/>
        </w:rPr>
        <w:t>Thornton(2023)</w:t>
      </w:r>
      <w:r w:rsidR="00FC3E36">
        <w:rPr>
          <w:rFonts w:ascii="Arial" w:hAnsi="Arial" w:cs="Arial"/>
        </w:rPr>
        <w:t>: Mistrust, Historical trauma, Institutional responsibility,</w:t>
      </w:r>
      <w:r w:rsidR="00292447">
        <w:rPr>
          <w:rFonts w:ascii="Arial" w:hAnsi="Arial" w:cs="Arial"/>
        </w:rPr>
        <w:t xml:space="preserve"> Anti-racist interventions.</w:t>
      </w:r>
      <w:r w:rsidR="00355BF4">
        <w:rPr>
          <w:rFonts w:ascii="Arial" w:hAnsi="Arial" w:cs="Arial"/>
          <w:b/>
          <w:bCs/>
        </w:rPr>
        <w:t xml:space="preserve"> </w:t>
      </w:r>
    </w:p>
    <w:p w14:paraId="71599115" w14:textId="6278DE6E" w:rsidR="00355BF4" w:rsidRDefault="00355BF4" w:rsidP="00355BF4">
      <w:pPr>
        <w:rPr>
          <w:rFonts w:ascii="Arial" w:hAnsi="Arial" w:cs="Arial"/>
        </w:rPr>
      </w:pPr>
      <w:r w:rsidRPr="00761E62">
        <w:rPr>
          <w:rFonts w:ascii="Arial" w:hAnsi="Arial" w:cs="Arial"/>
          <w:b/>
          <w:bCs/>
          <w:sz w:val="24"/>
          <w:szCs w:val="24"/>
        </w:rPr>
        <w:t>Mapping the Codes to</w:t>
      </w:r>
      <w:r w:rsidR="003B4B2B">
        <w:rPr>
          <w:rFonts w:ascii="Arial" w:hAnsi="Arial" w:cs="Arial"/>
          <w:b/>
          <w:bCs/>
          <w:sz w:val="24"/>
          <w:szCs w:val="24"/>
        </w:rPr>
        <w:t xml:space="preserve"> 3</w:t>
      </w:r>
      <w:r w:rsidRPr="00761E62">
        <w:rPr>
          <w:rFonts w:ascii="Arial" w:hAnsi="Arial" w:cs="Arial"/>
          <w:b/>
          <w:bCs/>
          <w:sz w:val="24"/>
          <w:szCs w:val="24"/>
        </w:rPr>
        <w:t xml:space="preserve"> </w:t>
      </w:r>
      <w:r w:rsidR="00F33C68">
        <w:rPr>
          <w:rFonts w:ascii="Arial" w:hAnsi="Arial" w:cs="Arial"/>
          <w:b/>
          <w:bCs/>
          <w:sz w:val="24"/>
          <w:szCs w:val="24"/>
        </w:rPr>
        <w:t xml:space="preserve">Key </w:t>
      </w:r>
      <w:r w:rsidRPr="00761E62">
        <w:rPr>
          <w:rFonts w:ascii="Arial" w:hAnsi="Arial" w:cs="Arial"/>
          <w:b/>
          <w:bCs/>
          <w:sz w:val="24"/>
          <w:szCs w:val="24"/>
        </w:rPr>
        <w:t>Themes</w:t>
      </w:r>
      <w:r w:rsidRPr="00C933E5">
        <w:rPr>
          <w:rFonts w:ascii="Arial" w:hAnsi="Arial" w:cs="Arial"/>
        </w:rPr>
        <w:t>:</w:t>
      </w:r>
    </w:p>
    <w:p w14:paraId="44D53A91" w14:textId="26F12472" w:rsidR="00965007" w:rsidRPr="00F33C68" w:rsidRDefault="00355BF4" w:rsidP="00A706D8">
      <w:pPr>
        <w:rPr>
          <w:rFonts w:ascii="Arial" w:hAnsi="Arial" w:cs="Arial"/>
        </w:rPr>
      </w:pPr>
      <w:r>
        <w:rPr>
          <w:rFonts w:ascii="Arial" w:hAnsi="Arial" w:cs="Arial"/>
        </w:rPr>
        <w:t xml:space="preserve">Based on the </w:t>
      </w:r>
      <w:r w:rsidR="009C112C">
        <w:rPr>
          <w:rFonts w:ascii="Arial" w:hAnsi="Arial" w:cs="Arial"/>
        </w:rPr>
        <w:t>findings</w:t>
      </w:r>
      <w:r>
        <w:rPr>
          <w:rFonts w:ascii="Arial" w:hAnsi="Arial" w:cs="Arial"/>
        </w:rPr>
        <w:t xml:space="preserve"> of the Results Summary table and introductory chapters, </w:t>
      </w:r>
      <w:r w:rsidR="00CE6CFC">
        <w:rPr>
          <w:rFonts w:ascii="Arial" w:hAnsi="Arial" w:cs="Arial"/>
        </w:rPr>
        <w:t>patterns were identified.</w:t>
      </w:r>
      <w:r>
        <w:rPr>
          <w:rFonts w:ascii="Arial" w:hAnsi="Arial" w:cs="Arial"/>
        </w:rPr>
        <w:t xml:space="preserve"> </w:t>
      </w:r>
      <w:r w:rsidR="003B4B2B">
        <w:rPr>
          <w:rFonts w:ascii="Arial" w:hAnsi="Arial" w:cs="Arial"/>
        </w:rPr>
        <w:t xml:space="preserve"> </w:t>
      </w:r>
      <w:r w:rsidR="00573CCD">
        <w:rPr>
          <w:rFonts w:ascii="Arial" w:hAnsi="Arial" w:cs="Arial"/>
        </w:rPr>
        <w:t>See</w:t>
      </w:r>
      <w:r w:rsidR="00EF7D4E">
        <w:rPr>
          <w:rFonts w:ascii="Arial" w:hAnsi="Arial" w:cs="Arial"/>
        </w:rPr>
        <w:t xml:space="preserve"> Appendix</w:t>
      </w:r>
      <w:r w:rsidR="00756B90">
        <w:rPr>
          <w:rFonts w:ascii="Arial" w:hAnsi="Arial" w:cs="Arial"/>
        </w:rPr>
        <w:t>:</w:t>
      </w:r>
      <w:r w:rsidR="00573CCD">
        <w:rPr>
          <w:rFonts w:ascii="Arial" w:hAnsi="Arial" w:cs="Arial"/>
        </w:rPr>
        <w:t xml:space="preserve"> Summary Results Table</w:t>
      </w:r>
    </w:p>
    <w:p w14:paraId="413A8022" w14:textId="77777777" w:rsidR="00C955F0" w:rsidRDefault="00C955F0" w:rsidP="00A706D8">
      <w:pPr>
        <w:rPr>
          <w:rFonts w:ascii="Arial" w:hAnsi="Arial" w:cs="Arial"/>
          <w:b/>
          <w:bCs/>
          <w:sz w:val="24"/>
          <w:szCs w:val="24"/>
        </w:rPr>
      </w:pPr>
    </w:p>
    <w:p w14:paraId="0055A61A" w14:textId="77777777" w:rsidR="00C955F0" w:rsidRDefault="00C955F0" w:rsidP="00A706D8">
      <w:pPr>
        <w:rPr>
          <w:rFonts w:ascii="Arial" w:hAnsi="Arial" w:cs="Arial"/>
          <w:b/>
          <w:bCs/>
          <w:sz w:val="24"/>
          <w:szCs w:val="24"/>
        </w:rPr>
      </w:pPr>
    </w:p>
    <w:p w14:paraId="3C7B611A" w14:textId="77777777" w:rsidR="00C955F0" w:rsidRDefault="00C955F0" w:rsidP="00A706D8">
      <w:pPr>
        <w:rPr>
          <w:rFonts w:ascii="Arial" w:hAnsi="Arial" w:cs="Arial"/>
          <w:b/>
          <w:bCs/>
          <w:sz w:val="24"/>
          <w:szCs w:val="24"/>
        </w:rPr>
      </w:pPr>
    </w:p>
    <w:p w14:paraId="3BF0DA26" w14:textId="77777777" w:rsidR="00AB2E98" w:rsidRDefault="00AB2E98" w:rsidP="00A706D8">
      <w:pPr>
        <w:rPr>
          <w:rFonts w:ascii="Arial" w:hAnsi="Arial" w:cs="Arial"/>
          <w:b/>
          <w:bCs/>
          <w:sz w:val="24"/>
          <w:szCs w:val="24"/>
        </w:rPr>
      </w:pPr>
    </w:p>
    <w:p w14:paraId="36E4E7E2" w14:textId="77777777" w:rsidR="00AB2E98" w:rsidRDefault="00AB2E98" w:rsidP="00A706D8">
      <w:pPr>
        <w:rPr>
          <w:rFonts w:ascii="Arial" w:hAnsi="Arial" w:cs="Arial"/>
          <w:b/>
          <w:bCs/>
          <w:sz w:val="24"/>
          <w:szCs w:val="24"/>
        </w:rPr>
      </w:pPr>
    </w:p>
    <w:p w14:paraId="5B8F299C" w14:textId="77777777" w:rsidR="00AB2E98" w:rsidRDefault="00AB2E98" w:rsidP="00A706D8">
      <w:pPr>
        <w:rPr>
          <w:rFonts w:ascii="Arial" w:hAnsi="Arial" w:cs="Arial"/>
          <w:b/>
          <w:bCs/>
          <w:sz w:val="24"/>
          <w:szCs w:val="24"/>
        </w:rPr>
      </w:pPr>
    </w:p>
    <w:p w14:paraId="055AC1B4" w14:textId="77777777" w:rsidR="00AB2E98" w:rsidRDefault="00AB2E98" w:rsidP="00A706D8">
      <w:pPr>
        <w:rPr>
          <w:rFonts w:ascii="Arial" w:hAnsi="Arial" w:cs="Arial"/>
          <w:b/>
          <w:bCs/>
          <w:sz w:val="24"/>
          <w:szCs w:val="24"/>
        </w:rPr>
      </w:pPr>
    </w:p>
    <w:p w14:paraId="0F570167" w14:textId="77777777" w:rsidR="00AB2E98" w:rsidRDefault="00AB2E98" w:rsidP="00A706D8">
      <w:pPr>
        <w:rPr>
          <w:rFonts w:ascii="Arial" w:hAnsi="Arial" w:cs="Arial"/>
          <w:b/>
          <w:bCs/>
          <w:sz w:val="24"/>
          <w:szCs w:val="24"/>
        </w:rPr>
      </w:pPr>
    </w:p>
    <w:p w14:paraId="27B6E368" w14:textId="77777777" w:rsidR="00AB2E98" w:rsidRDefault="00AB2E98" w:rsidP="00A706D8">
      <w:pPr>
        <w:rPr>
          <w:rFonts w:ascii="Arial" w:hAnsi="Arial" w:cs="Arial"/>
          <w:b/>
          <w:bCs/>
          <w:sz w:val="24"/>
          <w:szCs w:val="24"/>
        </w:rPr>
      </w:pPr>
    </w:p>
    <w:p w14:paraId="3DD496ED" w14:textId="77777777" w:rsidR="00AB2E98" w:rsidRDefault="00AB2E98" w:rsidP="00A706D8">
      <w:pPr>
        <w:rPr>
          <w:rFonts w:ascii="Arial" w:hAnsi="Arial" w:cs="Arial"/>
          <w:b/>
          <w:bCs/>
          <w:sz w:val="24"/>
          <w:szCs w:val="24"/>
        </w:rPr>
      </w:pPr>
    </w:p>
    <w:p w14:paraId="11947F3C" w14:textId="77777777" w:rsidR="00AB2E98" w:rsidRDefault="00AB2E98" w:rsidP="00A706D8">
      <w:pPr>
        <w:rPr>
          <w:rFonts w:ascii="Arial" w:hAnsi="Arial" w:cs="Arial"/>
          <w:b/>
          <w:bCs/>
          <w:sz w:val="24"/>
          <w:szCs w:val="24"/>
        </w:rPr>
      </w:pPr>
    </w:p>
    <w:p w14:paraId="111DA828" w14:textId="77777777" w:rsidR="00912CE9" w:rsidRDefault="00912CE9" w:rsidP="00A706D8">
      <w:pPr>
        <w:rPr>
          <w:rFonts w:ascii="Arial" w:hAnsi="Arial" w:cs="Arial"/>
          <w:b/>
          <w:bCs/>
          <w:sz w:val="24"/>
          <w:szCs w:val="24"/>
        </w:rPr>
      </w:pPr>
    </w:p>
    <w:p w14:paraId="682F66E2" w14:textId="77777777" w:rsidR="00912CE9" w:rsidRDefault="00912CE9" w:rsidP="00A706D8">
      <w:pPr>
        <w:rPr>
          <w:rFonts w:ascii="Arial" w:hAnsi="Arial" w:cs="Arial"/>
          <w:b/>
          <w:bCs/>
          <w:sz w:val="24"/>
          <w:szCs w:val="24"/>
        </w:rPr>
      </w:pPr>
    </w:p>
    <w:p w14:paraId="52C0FEBA" w14:textId="77777777" w:rsidR="00912CE9" w:rsidRDefault="00912CE9" w:rsidP="00A706D8">
      <w:pPr>
        <w:rPr>
          <w:rFonts w:ascii="Arial" w:hAnsi="Arial" w:cs="Arial"/>
          <w:b/>
          <w:bCs/>
          <w:sz w:val="24"/>
          <w:szCs w:val="24"/>
        </w:rPr>
      </w:pPr>
    </w:p>
    <w:p w14:paraId="6BB2A7CA" w14:textId="1FAED7AB" w:rsidR="00035BBA" w:rsidRPr="00F33C68" w:rsidRDefault="00035BBA" w:rsidP="00A706D8">
      <w:pPr>
        <w:rPr>
          <w:rFonts w:ascii="Arial" w:hAnsi="Arial" w:cs="Arial"/>
          <w:b/>
          <w:bCs/>
          <w:sz w:val="24"/>
          <w:szCs w:val="24"/>
        </w:rPr>
      </w:pPr>
      <w:r w:rsidRPr="00F33C68">
        <w:rPr>
          <w:rFonts w:ascii="Arial" w:hAnsi="Arial" w:cs="Arial"/>
          <w:b/>
          <w:bCs/>
          <w:sz w:val="24"/>
          <w:szCs w:val="24"/>
        </w:rPr>
        <w:t>Theme 1</w:t>
      </w:r>
      <w:r w:rsidR="00FB69D4">
        <w:rPr>
          <w:rFonts w:ascii="Arial" w:hAnsi="Arial" w:cs="Arial"/>
          <w:b/>
          <w:bCs/>
          <w:sz w:val="24"/>
          <w:szCs w:val="24"/>
        </w:rPr>
        <w:t>:</w:t>
      </w:r>
      <w:r w:rsidR="000B5904">
        <w:rPr>
          <w:rFonts w:ascii="Arial" w:hAnsi="Arial" w:cs="Arial"/>
          <w:b/>
          <w:bCs/>
          <w:sz w:val="24"/>
          <w:szCs w:val="24"/>
        </w:rPr>
        <w:t xml:space="preserve"> Ferguson</w:t>
      </w:r>
      <w:r w:rsidR="00AF3361">
        <w:rPr>
          <w:rFonts w:ascii="Arial" w:hAnsi="Arial" w:cs="Arial"/>
          <w:b/>
          <w:bCs/>
          <w:sz w:val="24"/>
          <w:szCs w:val="24"/>
        </w:rPr>
        <w:t xml:space="preserve"> </w:t>
      </w:r>
      <w:r w:rsidR="000A788C">
        <w:rPr>
          <w:rFonts w:ascii="Arial" w:hAnsi="Arial" w:cs="Arial"/>
          <w:b/>
          <w:bCs/>
          <w:sz w:val="24"/>
          <w:szCs w:val="24"/>
        </w:rPr>
        <w:t>(2019)</w:t>
      </w:r>
      <w:r w:rsidR="00714CCA" w:rsidRPr="00714CCA">
        <w:rPr>
          <w:rFonts w:ascii="Arial" w:hAnsi="Arial" w:cs="Arial"/>
          <w:sz w:val="24"/>
          <w:szCs w:val="24"/>
        </w:rPr>
        <w:t xml:space="preserve"> </w:t>
      </w:r>
    </w:p>
    <w:p w14:paraId="6B36F086" w14:textId="6C3E9A77" w:rsidR="00D8131C" w:rsidRDefault="00045474" w:rsidP="00A706D8">
      <w:pPr>
        <w:rPr>
          <w:rFonts w:ascii="Arial" w:hAnsi="Arial" w:cs="Arial"/>
        </w:rPr>
      </w:pPr>
      <w:r w:rsidRPr="00F33C68">
        <w:rPr>
          <w:rFonts w:ascii="Arial" w:hAnsi="Arial" w:cs="Arial"/>
          <w:b/>
          <w:bCs/>
          <w:sz w:val="24"/>
          <w:szCs w:val="24"/>
          <w:highlight w:val="cyan"/>
        </w:rPr>
        <w:t>Socio</w:t>
      </w:r>
      <w:r w:rsidR="002D5A31" w:rsidRPr="00F33C68">
        <w:rPr>
          <w:rFonts w:ascii="Arial" w:hAnsi="Arial" w:cs="Arial"/>
          <w:b/>
          <w:bCs/>
          <w:sz w:val="24"/>
          <w:szCs w:val="24"/>
          <w:highlight w:val="cyan"/>
        </w:rPr>
        <w:t>-Cultural Beliefs and Individual Decision Making</w:t>
      </w:r>
      <w:r w:rsidR="003E30A2" w:rsidRPr="00F33C68">
        <w:rPr>
          <w:rFonts w:ascii="Arial" w:hAnsi="Arial" w:cs="Arial"/>
          <w:sz w:val="24"/>
          <w:szCs w:val="24"/>
        </w:rPr>
        <w:t>:</w:t>
      </w:r>
      <w:r w:rsidR="003E30A2" w:rsidRPr="00C933E5">
        <w:rPr>
          <w:rFonts w:ascii="Arial" w:hAnsi="Arial" w:cs="Arial"/>
        </w:rPr>
        <w:t xml:space="preserve"> </w:t>
      </w:r>
      <w:r w:rsidR="00C21670">
        <w:rPr>
          <w:rFonts w:ascii="Arial" w:hAnsi="Arial" w:cs="Arial"/>
        </w:rPr>
        <w:t xml:space="preserve">Codes included: </w:t>
      </w:r>
      <w:r w:rsidR="00CF35A6">
        <w:rPr>
          <w:rFonts w:ascii="Arial" w:hAnsi="Arial" w:cs="Arial"/>
        </w:rPr>
        <w:t>Altruism</w:t>
      </w:r>
      <w:r w:rsidR="00C21670">
        <w:rPr>
          <w:rFonts w:ascii="Arial" w:hAnsi="Arial" w:cs="Arial"/>
        </w:rPr>
        <w:t>, Rec</w:t>
      </w:r>
      <w:r w:rsidR="005A24B1">
        <w:rPr>
          <w:rFonts w:ascii="Arial" w:hAnsi="Arial" w:cs="Arial"/>
        </w:rPr>
        <w:t xml:space="preserve">iprocity, Donor health, Behaviour </w:t>
      </w:r>
      <w:r w:rsidR="001A4661">
        <w:rPr>
          <w:rFonts w:ascii="Arial" w:hAnsi="Arial" w:cs="Arial"/>
        </w:rPr>
        <w:t xml:space="preserve">predictors.  </w:t>
      </w:r>
    </w:p>
    <w:p w14:paraId="0B9A2FDC" w14:textId="2FFC313A" w:rsidR="00362502" w:rsidRDefault="001A4661" w:rsidP="00362502">
      <w:pPr>
        <w:rPr>
          <w:rFonts w:ascii="Arial" w:hAnsi="Arial" w:cs="Arial"/>
        </w:rPr>
      </w:pPr>
      <w:r>
        <w:rPr>
          <w:rFonts w:ascii="Arial" w:hAnsi="Arial" w:cs="Arial"/>
        </w:rPr>
        <w:t>Theoretical lens</w:t>
      </w:r>
      <w:r w:rsidR="008B6BC2">
        <w:rPr>
          <w:rFonts w:ascii="Arial" w:hAnsi="Arial" w:cs="Arial"/>
        </w:rPr>
        <w:t>: Health Belief Model (HBM).</w:t>
      </w:r>
      <w:r w:rsidR="00E26C8A">
        <w:rPr>
          <w:rFonts w:ascii="Arial" w:hAnsi="Arial" w:cs="Arial"/>
        </w:rPr>
        <w:t xml:space="preserve">  </w:t>
      </w:r>
      <w:r w:rsidR="0088399A">
        <w:rPr>
          <w:rFonts w:ascii="Arial" w:hAnsi="Arial" w:cs="Arial"/>
        </w:rPr>
        <w:t>This theme focuses on the internal psychological process</w:t>
      </w:r>
      <w:r w:rsidR="00CC20B9">
        <w:rPr>
          <w:rFonts w:ascii="Arial" w:hAnsi="Arial" w:cs="Arial"/>
        </w:rPr>
        <w:t xml:space="preserve">,  </w:t>
      </w:r>
    </w:p>
    <w:p w14:paraId="36384F9F" w14:textId="0B47BA8D" w:rsidR="00CC20B9" w:rsidRPr="00C933E5" w:rsidRDefault="00362502" w:rsidP="00A706D8">
      <w:pPr>
        <w:rPr>
          <w:rFonts w:ascii="Arial" w:hAnsi="Arial" w:cs="Arial"/>
        </w:rPr>
      </w:pPr>
      <w:r w:rsidRPr="00515817">
        <w:rPr>
          <w:rFonts w:ascii="Arial" w:hAnsi="Arial" w:cs="Arial"/>
          <w:b/>
          <w:bCs/>
        </w:rPr>
        <w:t>Analysis</w:t>
      </w:r>
      <w:r w:rsidR="006E1262" w:rsidRPr="00515817">
        <w:rPr>
          <w:rFonts w:ascii="Arial" w:hAnsi="Arial" w:cs="Arial"/>
          <w:b/>
          <w:bCs/>
        </w:rPr>
        <w:t>:</w:t>
      </w:r>
      <w:r w:rsidR="006E1262">
        <w:rPr>
          <w:rFonts w:ascii="Arial" w:hAnsi="Arial" w:cs="Arial"/>
        </w:rPr>
        <w:t xml:space="preserve"> This theme examines the internal </w:t>
      </w:r>
      <w:r w:rsidR="00D4485F">
        <w:rPr>
          <w:rFonts w:ascii="Arial" w:hAnsi="Arial" w:cs="Arial"/>
        </w:rPr>
        <w:t>psychological barriers</w:t>
      </w:r>
      <w:r w:rsidR="006D1517">
        <w:rPr>
          <w:rFonts w:ascii="Arial" w:hAnsi="Arial" w:cs="Arial"/>
        </w:rPr>
        <w:t xml:space="preserve"> where</w:t>
      </w:r>
      <w:r w:rsidR="00C51BF3">
        <w:rPr>
          <w:rFonts w:ascii="Arial" w:hAnsi="Arial" w:cs="Arial"/>
        </w:rPr>
        <w:t xml:space="preserve"> “perceived </w:t>
      </w:r>
      <w:r w:rsidR="006D1517">
        <w:rPr>
          <w:rFonts w:ascii="Arial" w:hAnsi="Arial" w:cs="Arial"/>
        </w:rPr>
        <w:t>risks</w:t>
      </w:r>
      <w:r w:rsidR="00C51BF3">
        <w:rPr>
          <w:rFonts w:ascii="Arial" w:hAnsi="Arial" w:cs="Arial"/>
        </w:rPr>
        <w:t>”</w:t>
      </w:r>
      <w:r w:rsidR="00E013FF">
        <w:rPr>
          <w:rFonts w:ascii="Arial" w:hAnsi="Arial" w:cs="Arial"/>
        </w:rPr>
        <w:t xml:space="preserve"> </w:t>
      </w:r>
      <w:r w:rsidR="00D9042B">
        <w:rPr>
          <w:rFonts w:ascii="Arial" w:hAnsi="Arial" w:cs="Arial"/>
        </w:rPr>
        <w:t>(</w:t>
      </w:r>
      <w:r w:rsidR="00E013FF">
        <w:rPr>
          <w:rFonts w:ascii="Arial" w:hAnsi="Arial" w:cs="Arial"/>
        </w:rPr>
        <w:t>such as health impacts</w:t>
      </w:r>
      <w:r w:rsidR="00D9042B">
        <w:rPr>
          <w:rFonts w:ascii="Arial" w:hAnsi="Arial" w:cs="Arial"/>
        </w:rPr>
        <w:t>) are weighed against</w:t>
      </w:r>
      <w:r w:rsidR="00951537">
        <w:rPr>
          <w:rFonts w:ascii="Arial" w:hAnsi="Arial" w:cs="Arial"/>
        </w:rPr>
        <w:t xml:space="preserve"> “perceived b</w:t>
      </w:r>
      <w:r w:rsidR="00E11495">
        <w:rPr>
          <w:rFonts w:ascii="Arial" w:hAnsi="Arial" w:cs="Arial"/>
        </w:rPr>
        <w:t>enefits</w:t>
      </w:r>
      <w:r w:rsidR="00951537">
        <w:rPr>
          <w:rFonts w:ascii="Arial" w:hAnsi="Arial" w:cs="Arial"/>
        </w:rPr>
        <w:t xml:space="preserve">” </w:t>
      </w:r>
      <w:r w:rsidR="00515817">
        <w:rPr>
          <w:rFonts w:ascii="Arial" w:hAnsi="Arial" w:cs="Arial"/>
        </w:rPr>
        <w:t>and reciprocity</w:t>
      </w:r>
      <w:r w:rsidR="00D538C4">
        <w:rPr>
          <w:rFonts w:ascii="Arial" w:hAnsi="Arial" w:cs="Arial"/>
        </w:rPr>
        <w:t xml:space="preserve"> within the community.</w:t>
      </w:r>
    </w:p>
    <w:p w14:paraId="1CD9CD30" w14:textId="53476AEB" w:rsidR="00DA0DBA" w:rsidRPr="00C933E5" w:rsidRDefault="00475031" w:rsidP="00A706D8">
      <w:pPr>
        <w:rPr>
          <w:rFonts w:ascii="Arial" w:hAnsi="Arial" w:cs="Arial"/>
        </w:rPr>
      </w:pPr>
      <w:r>
        <w:rPr>
          <w:rFonts w:ascii="Arial" w:hAnsi="Arial" w:cs="Arial"/>
        </w:rPr>
        <w:t xml:space="preserve">Compounded Barriers </w:t>
      </w:r>
      <w:r w:rsidR="00845FE7">
        <w:rPr>
          <w:rFonts w:ascii="Arial" w:hAnsi="Arial" w:cs="Arial"/>
        </w:rPr>
        <w:t>and Intersectional Identities</w:t>
      </w:r>
      <w:r w:rsidR="00DA0DBA" w:rsidRPr="00C933E5">
        <w:rPr>
          <w:rFonts w:ascii="Arial" w:hAnsi="Arial" w:cs="Arial"/>
        </w:rPr>
        <w:t>: Analysis of what works</w:t>
      </w:r>
      <w:r w:rsidR="00780801" w:rsidRPr="00C933E5">
        <w:rPr>
          <w:rFonts w:ascii="Arial" w:hAnsi="Arial" w:cs="Arial"/>
        </w:rPr>
        <w:t xml:space="preserve">, educational interventions paired </w:t>
      </w:r>
      <w:r w:rsidR="00F82018" w:rsidRPr="00C933E5">
        <w:rPr>
          <w:rFonts w:ascii="Arial" w:hAnsi="Arial" w:cs="Arial"/>
        </w:rPr>
        <w:t>with media</w:t>
      </w:r>
      <w:r w:rsidR="00602CED">
        <w:rPr>
          <w:rFonts w:ascii="Arial" w:hAnsi="Arial" w:cs="Arial"/>
        </w:rPr>
        <w:t>, operational</w:t>
      </w:r>
      <w:r w:rsidR="005F6148" w:rsidRPr="005F6148">
        <w:rPr>
          <w:rFonts w:ascii="Arial" w:hAnsi="Arial" w:cs="Arial"/>
        </w:rPr>
        <w:t xml:space="preserve"> and Systematic changes</w:t>
      </w:r>
      <w:r w:rsidR="007032CE">
        <w:rPr>
          <w:rFonts w:ascii="Arial" w:hAnsi="Arial" w:cs="Arial"/>
        </w:rPr>
        <w:t>.</w:t>
      </w:r>
    </w:p>
    <w:p w14:paraId="79DE969D" w14:textId="6CC53694" w:rsidR="00170BAF" w:rsidRPr="000A788C" w:rsidRDefault="00170BAF" w:rsidP="00A706D8">
      <w:pPr>
        <w:rPr>
          <w:rFonts w:ascii="Arial" w:hAnsi="Arial" w:cs="Arial"/>
          <w:b/>
          <w:bCs/>
          <w:sz w:val="24"/>
          <w:szCs w:val="24"/>
        </w:rPr>
      </w:pPr>
      <w:r w:rsidRPr="00170BAF">
        <w:rPr>
          <w:rFonts w:ascii="Arial" w:hAnsi="Arial" w:cs="Arial"/>
          <w:b/>
          <w:bCs/>
          <w:sz w:val="24"/>
          <w:szCs w:val="24"/>
        </w:rPr>
        <w:t>Theme 2</w:t>
      </w:r>
      <w:r>
        <w:rPr>
          <w:rFonts w:ascii="Arial" w:hAnsi="Arial" w:cs="Arial"/>
          <w:sz w:val="24"/>
          <w:szCs w:val="24"/>
        </w:rPr>
        <w:t>:</w:t>
      </w:r>
      <w:r w:rsidR="00FB69D4" w:rsidRPr="00FB69D4">
        <w:rPr>
          <w:rFonts w:ascii="Arial" w:hAnsi="Arial" w:cs="Arial"/>
          <w:sz w:val="24"/>
          <w:szCs w:val="24"/>
        </w:rPr>
        <w:t xml:space="preserve"> </w:t>
      </w:r>
      <w:r w:rsidR="00FB69D4" w:rsidRPr="000A788C">
        <w:rPr>
          <w:rFonts w:ascii="Arial" w:hAnsi="Arial" w:cs="Arial"/>
          <w:b/>
          <w:bCs/>
          <w:sz w:val="24"/>
          <w:szCs w:val="24"/>
        </w:rPr>
        <w:t>Ahmed(2020) and Grossi(2023)</w:t>
      </w:r>
    </w:p>
    <w:p w14:paraId="174C4993" w14:textId="337D44F6" w:rsidR="00BF08D8" w:rsidRDefault="00117B94" w:rsidP="00A706D8">
      <w:pPr>
        <w:rPr>
          <w:rFonts w:ascii="Arial" w:hAnsi="Arial" w:cs="Arial"/>
          <w:sz w:val="24"/>
          <w:szCs w:val="24"/>
        </w:rPr>
      </w:pPr>
      <w:r w:rsidRPr="00120B9A">
        <w:rPr>
          <w:rFonts w:ascii="Arial" w:hAnsi="Arial" w:cs="Arial"/>
          <w:sz w:val="24"/>
          <w:szCs w:val="24"/>
          <w:highlight w:val="yellow"/>
        </w:rPr>
        <w:t>I</w:t>
      </w:r>
      <w:r w:rsidRPr="00120B9A">
        <w:rPr>
          <w:rFonts w:ascii="Arial" w:hAnsi="Arial" w:cs="Arial"/>
          <w:b/>
          <w:bCs/>
          <w:sz w:val="24"/>
          <w:szCs w:val="24"/>
          <w:highlight w:val="yellow"/>
        </w:rPr>
        <w:t xml:space="preserve">ntersectional </w:t>
      </w:r>
      <w:r w:rsidR="00BF08D8" w:rsidRPr="00120B9A">
        <w:rPr>
          <w:rFonts w:ascii="Arial" w:hAnsi="Arial" w:cs="Arial"/>
          <w:b/>
          <w:bCs/>
          <w:sz w:val="24"/>
          <w:szCs w:val="24"/>
          <w:highlight w:val="yellow"/>
        </w:rPr>
        <w:t>Barriers</w:t>
      </w:r>
      <w:r w:rsidR="003D1067" w:rsidRPr="00120B9A">
        <w:rPr>
          <w:rFonts w:ascii="Arial" w:hAnsi="Arial" w:cs="Arial"/>
          <w:b/>
          <w:bCs/>
          <w:sz w:val="24"/>
          <w:szCs w:val="24"/>
          <w:highlight w:val="yellow"/>
        </w:rPr>
        <w:t xml:space="preserve"> and Intersectional Identities</w:t>
      </w:r>
      <w:r w:rsidRPr="00120B9A">
        <w:rPr>
          <w:rFonts w:ascii="Arial" w:hAnsi="Arial" w:cs="Arial"/>
          <w:sz w:val="24"/>
          <w:szCs w:val="24"/>
          <w:highlight w:val="yellow"/>
        </w:rPr>
        <w:t>:</w:t>
      </w:r>
      <w:r>
        <w:rPr>
          <w:rFonts w:ascii="Arial" w:hAnsi="Arial" w:cs="Arial"/>
          <w:sz w:val="24"/>
          <w:szCs w:val="24"/>
        </w:rPr>
        <w:t xml:space="preserve"> </w:t>
      </w:r>
    </w:p>
    <w:p w14:paraId="0B10939C" w14:textId="551C7094" w:rsidR="0001169F" w:rsidRPr="00205801" w:rsidRDefault="0060195F" w:rsidP="00A706D8">
      <w:pPr>
        <w:rPr>
          <w:rFonts w:ascii="Arial" w:hAnsi="Arial" w:cs="Arial"/>
        </w:rPr>
      </w:pPr>
      <w:r w:rsidRPr="00205801">
        <w:rPr>
          <w:rFonts w:ascii="Arial" w:hAnsi="Arial" w:cs="Arial"/>
        </w:rPr>
        <w:t>Theoretical lens: Intersectionality</w:t>
      </w:r>
      <w:r w:rsidR="00CF3D4A" w:rsidRPr="00205801">
        <w:rPr>
          <w:rFonts w:ascii="Arial" w:hAnsi="Arial" w:cs="Arial"/>
        </w:rPr>
        <w:t>: COVID-19 impact</w:t>
      </w:r>
      <w:r w:rsidR="00E97AD0" w:rsidRPr="00205801">
        <w:rPr>
          <w:rFonts w:ascii="Arial" w:hAnsi="Arial" w:cs="Arial"/>
        </w:rPr>
        <w:t>, transplantation decline, HLA matching</w:t>
      </w:r>
      <w:r w:rsidR="00397D32" w:rsidRPr="00205801">
        <w:rPr>
          <w:rFonts w:ascii="Arial" w:hAnsi="Arial" w:cs="Arial"/>
        </w:rPr>
        <w:t>, migrant health inequality</w:t>
      </w:r>
      <w:r w:rsidR="00387B52" w:rsidRPr="00205801">
        <w:rPr>
          <w:rFonts w:ascii="Arial" w:hAnsi="Arial" w:cs="Arial"/>
        </w:rPr>
        <w:t>.</w:t>
      </w:r>
      <w:r w:rsidR="00A30929" w:rsidRPr="00205801">
        <w:rPr>
          <w:rFonts w:ascii="Arial" w:hAnsi="Arial" w:cs="Arial"/>
        </w:rPr>
        <w:t xml:space="preserve"> </w:t>
      </w:r>
    </w:p>
    <w:p w14:paraId="7315BA96" w14:textId="7F1A604B" w:rsidR="00967BC3" w:rsidRPr="00712C07" w:rsidRDefault="00AD54FD" w:rsidP="00A706D8">
      <w:pPr>
        <w:rPr>
          <w:rFonts w:ascii="Arial" w:hAnsi="Arial" w:cs="Arial"/>
        </w:rPr>
      </w:pPr>
      <w:r w:rsidRPr="00205801">
        <w:rPr>
          <w:rFonts w:ascii="Arial" w:hAnsi="Arial" w:cs="Arial"/>
          <w:b/>
          <w:bCs/>
        </w:rPr>
        <w:t>Analysis</w:t>
      </w:r>
      <w:r w:rsidR="007E6FD6" w:rsidRPr="00205801">
        <w:rPr>
          <w:rFonts w:ascii="Arial" w:hAnsi="Arial" w:cs="Arial"/>
        </w:rPr>
        <w:t>: This theme explores how identities such as race</w:t>
      </w:r>
      <w:r w:rsidR="00D711DF" w:rsidRPr="00205801">
        <w:rPr>
          <w:rFonts w:ascii="Arial" w:hAnsi="Arial" w:cs="Arial"/>
        </w:rPr>
        <w:t>,</w:t>
      </w:r>
      <w:r w:rsidR="003654E6" w:rsidRPr="00205801">
        <w:rPr>
          <w:rFonts w:ascii="Arial" w:hAnsi="Arial" w:cs="Arial"/>
        </w:rPr>
        <w:t xml:space="preserve"> </w:t>
      </w:r>
      <w:r w:rsidR="00AE598C" w:rsidRPr="00205801">
        <w:rPr>
          <w:rFonts w:ascii="Arial" w:hAnsi="Arial" w:cs="Arial"/>
        </w:rPr>
        <w:t>religion</w:t>
      </w:r>
      <w:r w:rsidR="0079070F" w:rsidRPr="00205801">
        <w:rPr>
          <w:rFonts w:ascii="Arial" w:hAnsi="Arial" w:cs="Arial"/>
        </w:rPr>
        <w:t>, and legal status interact with external crises</w:t>
      </w:r>
      <w:r w:rsidR="006B7269" w:rsidRPr="00205801">
        <w:rPr>
          <w:rFonts w:ascii="Arial" w:hAnsi="Arial" w:cs="Arial"/>
        </w:rPr>
        <w:t xml:space="preserve"> like </w:t>
      </w:r>
      <w:r w:rsidR="003654E6" w:rsidRPr="00205801">
        <w:rPr>
          <w:rFonts w:ascii="Arial" w:hAnsi="Arial" w:cs="Arial"/>
        </w:rPr>
        <w:t xml:space="preserve">the </w:t>
      </w:r>
      <w:r w:rsidR="006B7269" w:rsidRPr="00205801">
        <w:rPr>
          <w:rFonts w:ascii="Arial" w:hAnsi="Arial" w:cs="Arial"/>
        </w:rPr>
        <w:t>COVID-19 pandemic to create uni</w:t>
      </w:r>
      <w:r w:rsidR="00172250" w:rsidRPr="00205801">
        <w:rPr>
          <w:rFonts w:ascii="Arial" w:hAnsi="Arial" w:cs="Arial"/>
        </w:rPr>
        <w:t>que, compounded disadvantages in accessing donation services</w:t>
      </w:r>
      <w:r w:rsidR="003654E6" w:rsidRPr="00205801">
        <w:rPr>
          <w:rFonts w:ascii="Arial" w:hAnsi="Arial" w:cs="Arial"/>
        </w:rPr>
        <w:t>.</w:t>
      </w:r>
    </w:p>
    <w:p w14:paraId="51644919" w14:textId="5C86FEA1" w:rsidR="00DE5645" w:rsidRDefault="00DE5645" w:rsidP="00A706D8">
      <w:pPr>
        <w:rPr>
          <w:rFonts w:ascii="Arial" w:hAnsi="Arial" w:cs="Arial"/>
          <w:b/>
          <w:bCs/>
          <w:sz w:val="24"/>
          <w:szCs w:val="24"/>
        </w:rPr>
      </w:pPr>
      <w:r w:rsidRPr="00DE5645">
        <w:rPr>
          <w:rFonts w:ascii="Arial" w:hAnsi="Arial" w:cs="Arial"/>
          <w:b/>
          <w:bCs/>
          <w:sz w:val="24"/>
          <w:szCs w:val="24"/>
        </w:rPr>
        <w:t>Theme 3</w:t>
      </w:r>
      <w:r>
        <w:rPr>
          <w:rFonts w:ascii="Arial" w:hAnsi="Arial" w:cs="Arial"/>
          <w:b/>
          <w:bCs/>
          <w:sz w:val="24"/>
          <w:szCs w:val="24"/>
        </w:rPr>
        <w:t xml:space="preserve">: </w:t>
      </w:r>
      <w:r w:rsidR="00B2422A">
        <w:rPr>
          <w:rFonts w:ascii="Arial" w:hAnsi="Arial" w:cs="Arial"/>
          <w:b/>
          <w:bCs/>
          <w:sz w:val="24"/>
          <w:szCs w:val="24"/>
        </w:rPr>
        <w:t>Tho</w:t>
      </w:r>
      <w:r w:rsidR="00D8319C">
        <w:rPr>
          <w:rFonts w:ascii="Arial" w:hAnsi="Arial" w:cs="Arial"/>
          <w:b/>
          <w:bCs/>
          <w:sz w:val="24"/>
          <w:szCs w:val="24"/>
        </w:rPr>
        <w:t>rnton</w:t>
      </w:r>
      <w:r w:rsidR="00ED0B37">
        <w:rPr>
          <w:rFonts w:ascii="Arial" w:hAnsi="Arial" w:cs="Arial"/>
          <w:b/>
          <w:bCs/>
          <w:sz w:val="24"/>
          <w:szCs w:val="24"/>
        </w:rPr>
        <w:t xml:space="preserve"> </w:t>
      </w:r>
      <w:r w:rsidR="00D8319C">
        <w:rPr>
          <w:rFonts w:ascii="Arial" w:hAnsi="Arial" w:cs="Arial"/>
          <w:b/>
          <w:bCs/>
          <w:sz w:val="24"/>
          <w:szCs w:val="24"/>
        </w:rPr>
        <w:t>(2023) and Deedat</w:t>
      </w:r>
      <w:r w:rsidR="000A788C">
        <w:rPr>
          <w:rFonts w:ascii="Arial" w:hAnsi="Arial" w:cs="Arial"/>
          <w:b/>
          <w:bCs/>
          <w:sz w:val="24"/>
          <w:szCs w:val="24"/>
        </w:rPr>
        <w:t xml:space="preserve"> </w:t>
      </w:r>
      <w:r w:rsidR="00D8319C">
        <w:rPr>
          <w:rFonts w:ascii="Arial" w:hAnsi="Arial" w:cs="Arial"/>
          <w:b/>
          <w:bCs/>
          <w:sz w:val="24"/>
          <w:szCs w:val="24"/>
        </w:rPr>
        <w:t>(2013)</w:t>
      </w:r>
    </w:p>
    <w:p w14:paraId="26BB7142" w14:textId="77777777" w:rsidR="00925915" w:rsidRDefault="00B20259" w:rsidP="00A706D8">
      <w:pPr>
        <w:rPr>
          <w:rFonts w:ascii="Arial" w:hAnsi="Arial" w:cs="Arial"/>
          <w:b/>
          <w:bCs/>
          <w:sz w:val="24"/>
          <w:szCs w:val="24"/>
        </w:rPr>
      </w:pPr>
      <w:r w:rsidRPr="00120B9A">
        <w:rPr>
          <w:rFonts w:ascii="Arial" w:hAnsi="Arial" w:cs="Arial"/>
          <w:b/>
          <w:bCs/>
          <w:sz w:val="24"/>
          <w:szCs w:val="24"/>
          <w:highlight w:val="green"/>
        </w:rPr>
        <w:t xml:space="preserve">Institutional Transformation and </w:t>
      </w:r>
      <w:r w:rsidR="00C5394D" w:rsidRPr="00120B9A">
        <w:rPr>
          <w:rFonts w:ascii="Arial" w:hAnsi="Arial" w:cs="Arial"/>
          <w:b/>
          <w:bCs/>
          <w:sz w:val="24"/>
          <w:szCs w:val="24"/>
          <w:highlight w:val="green"/>
        </w:rPr>
        <w:t>Structural Equity</w:t>
      </w:r>
    </w:p>
    <w:p w14:paraId="3260FADF" w14:textId="1A700FF5" w:rsidR="00B20259" w:rsidRPr="00205801" w:rsidRDefault="00806CFD" w:rsidP="00A706D8">
      <w:pPr>
        <w:rPr>
          <w:rFonts w:ascii="Arial" w:hAnsi="Arial" w:cs="Arial"/>
        </w:rPr>
      </w:pPr>
      <w:r>
        <w:rPr>
          <w:rFonts w:ascii="Arial" w:hAnsi="Arial" w:cs="Arial"/>
          <w:b/>
          <w:bCs/>
          <w:sz w:val="24"/>
          <w:szCs w:val="24"/>
        </w:rPr>
        <w:t xml:space="preserve">Theoretical lens: </w:t>
      </w:r>
      <w:r w:rsidRPr="00074EC3">
        <w:rPr>
          <w:rFonts w:ascii="Arial" w:hAnsi="Arial" w:cs="Arial"/>
          <w:b/>
          <w:bCs/>
          <w:sz w:val="24"/>
          <w:szCs w:val="24"/>
        </w:rPr>
        <w:t>Anti</w:t>
      </w:r>
      <w:r w:rsidR="00662440" w:rsidRPr="00074EC3">
        <w:rPr>
          <w:rFonts w:ascii="Arial" w:hAnsi="Arial" w:cs="Arial"/>
          <w:b/>
          <w:bCs/>
          <w:sz w:val="24"/>
          <w:szCs w:val="24"/>
        </w:rPr>
        <w:t>-</w:t>
      </w:r>
      <w:r w:rsidRPr="00074EC3">
        <w:rPr>
          <w:rFonts w:ascii="Arial" w:hAnsi="Arial" w:cs="Arial"/>
          <w:b/>
          <w:bCs/>
          <w:sz w:val="24"/>
          <w:szCs w:val="24"/>
        </w:rPr>
        <w:t xml:space="preserve">racist </w:t>
      </w:r>
      <w:r w:rsidR="00925915" w:rsidRPr="004E6390">
        <w:rPr>
          <w:rFonts w:ascii="Arial" w:hAnsi="Arial" w:cs="Arial"/>
          <w:b/>
          <w:bCs/>
          <w:sz w:val="24"/>
          <w:szCs w:val="24"/>
        </w:rPr>
        <w:t xml:space="preserve">Theory &amp; </w:t>
      </w:r>
      <w:r w:rsidR="00AA57DE" w:rsidRPr="004E6390">
        <w:rPr>
          <w:rFonts w:ascii="Arial" w:hAnsi="Arial" w:cs="Arial"/>
          <w:b/>
          <w:bCs/>
          <w:sz w:val="24"/>
          <w:szCs w:val="24"/>
        </w:rPr>
        <w:t>W</w:t>
      </w:r>
      <w:r w:rsidR="00AA57DE" w:rsidRPr="00074EC3">
        <w:rPr>
          <w:rFonts w:ascii="Arial" w:hAnsi="Arial" w:cs="Arial"/>
          <w:b/>
          <w:bCs/>
          <w:sz w:val="24"/>
          <w:szCs w:val="24"/>
        </w:rPr>
        <w:t>hole Systems Approach</w:t>
      </w:r>
      <w:r w:rsidR="00435595" w:rsidRPr="00662440">
        <w:rPr>
          <w:rFonts w:ascii="Arial" w:hAnsi="Arial" w:cs="Arial"/>
          <w:sz w:val="24"/>
          <w:szCs w:val="24"/>
        </w:rPr>
        <w:t xml:space="preserve">. </w:t>
      </w:r>
      <w:r w:rsidR="00435595" w:rsidRPr="00205801">
        <w:rPr>
          <w:rFonts w:ascii="Arial" w:hAnsi="Arial" w:cs="Arial"/>
        </w:rPr>
        <w:t>Codes included Systemic mistrust</w:t>
      </w:r>
      <w:r w:rsidR="00476DB7" w:rsidRPr="00205801">
        <w:rPr>
          <w:rFonts w:ascii="Arial" w:hAnsi="Arial" w:cs="Arial"/>
        </w:rPr>
        <w:t>, historical legacies</w:t>
      </w:r>
      <w:r w:rsidR="00662440" w:rsidRPr="00205801">
        <w:rPr>
          <w:rFonts w:ascii="Arial" w:hAnsi="Arial" w:cs="Arial"/>
        </w:rPr>
        <w:t xml:space="preserve"> </w:t>
      </w:r>
      <w:r w:rsidR="00476DB7" w:rsidRPr="00205801">
        <w:rPr>
          <w:rFonts w:ascii="Arial" w:hAnsi="Arial" w:cs="Arial"/>
        </w:rPr>
        <w:t>(Infected Blood Scandal</w:t>
      </w:r>
      <w:r w:rsidR="004E6390" w:rsidRPr="00205801">
        <w:rPr>
          <w:rFonts w:ascii="Arial" w:hAnsi="Arial" w:cs="Arial"/>
        </w:rPr>
        <w:t>, Tuskegee Scanda</w:t>
      </w:r>
      <w:r w:rsidR="00B2422A" w:rsidRPr="00205801">
        <w:rPr>
          <w:rFonts w:ascii="Arial" w:hAnsi="Arial" w:cs="Arial"/>
        </w:rPr>
        <w:t>l</w:t>
      </w:r>
      <w:r w:rsidR="00CC7887" w:rsidRPr="00205801">
        <w:rPr>
          <w:rFonts w:ascii="Arial" w:hAnsi="Arial" w:cs="Arial"/>
        </w:rPr>
        <w:t xml:space="preserve">), EDI frameworks, </w:t>
      </w:r>
      <w:r w:rsidR="00515817" w:rsidRPr="00205801">
        <w:rPr>
          <w:rFonts w:ascii="Arial" w:hAnsi="Arial" w:cs="Arial"/>
        </w:rPr>
        <w:t xml:space="preserve">and </w:t>
      </w:r>
      <w:r w:rsidR="00CC7887" w:rsidRPr="00205801">
        <w:rPr>
          <w:rFonts w:ascii="Arial" w:hAnsi="Arial" w:cs="Arial"/>
        </w:rPr>
        <w:t>institutional responsibility</w:t>
      </w:r>
      <w:r w:rsidR="00662440" w:rsidRPr="00205801">
        <w:rPr>
          <w:rFonts w:ascii="Arial" w:hAnsi="Arial" w:cs="Arial"/>
        </w:rPr>
        <w:t xml:space="preserve">.  </w:t>
      </w:r>
    </w:p>
    <w:p w14:paraId="7D3F254E" w14:textId="4AF07443" w:rsidR="00662440" w:rsidRPr="006C37FF" w:rsidRDefault="00662440" w:rsidP="00A706D8">
      <w:pPr>
        <w:rPr>
          <w:rFonts w:ascii="Arial" w:hAnsi="Arial" w:cs="Arial"/>
        </w:rPr>
      </w:pPr>
      <w:r w:rsidRPr="00515817">
        <w:rPr>
          <w:rFonts w:ascii="Arial" w:hAnsi="Arial" w:cs="Arial"/>
          <w:b/>
          <w:bCs/>
          <w:sz w:val="24"/>
          <w:szCs w:val="24"/>
        </w:rPr>
        <w:t>Analysis</w:t>
      </w:r>
      <w:r w:rsidR="00D14581" w:rsidRPr="00515817">
        <w:rPr>
          <w:rFonts w:ascii="Arial" w:hAnsi="Arial" w:cs="Arial"/>
          <w:b/>
          <w:bCs/>
          <w:sz w:val="24"/>
          <w:szCs w:val="24"/>
        </w:rPr>
        <w:t>:</w:t>
      </w:r>
      <w:r w:rsidR="00D14581">
        <w:rPr>
          <w:rFonts w:ascii="Arial" w:hAnsi="Arial" w:cs="Arial"/>
          <w:sz w:val="24"/>
          <w:szCs w:val="24"/>
        </w:rPr>
        <w:t xml:space="preserve"> </w:t>
      </w:r>
      <w:r w:rsidR="00D14581" w:rsidRPr="00205801">
        <w:rPr>
          <w:rFonts w:ascii="Arial" w:hAnsi="Arial" w:cs="Arial"/>
        </w:rPr>
        <w:t>This theme shifts the focus from “fixing”</w:t>
      </w:r>
      <w:r w:rsidR="00B52A43" w:rsidRPr="00205801">
        <w:rPr>
          <w:rFonts w:ascii="Arial" w:hAnsi="Arial" w:cs="Arial"/>
        </w:rPr>
        <w:t xml:space="preserve"> the</w:t>
      </w:r>
      <w:r w:rsidR="00387B52" w:rsidRPr="00205801">
        <w:rPr>
          <w:rFonts w:ascii="Arial" w:hAnsi="Arial" w:cs="Arial"/>
        </w:rPr>
        <w:t xml:space="preserve"> community </w:t>
      </w:r>
      <w:r w:rsidR="00515817" w:rsidRPr="00205801">
        <w:rPr>
          <w:rFonts w:ascii="Arial" w:hAnsi="Arial" w:cs="Arial"/>
        </w:rPr>
        <w:t>to “fixing” the</w:t>
      </w:r>
      <w:r w:rsidR="00B52A43" w:rsidRPr="00205801">
        <w:rPr>
          <w:rFonts w:ascii="Arial" w:hAnsi="Arial" w:cs="Arial"/>
        </w:rPr>
        <w:t xml:space="preserve"> inst</w:t>
      </w:r>
      <w:r w:rsidR="00872079" w:rsidRPr="00205801">
        <w:rPr>
          <w:rFonts w:ascii="Arial" w:hAnsi="Arial" w:cs="Arial"/>
        </w:rPr>
        <w:t>itution</w:t>
      </w:r>
      <w:r w:rsidR="0092359B" w:rsidRPr="00205801">
        <w:rPr>
          <w:rFonts w:ascii="Arial" w:hAnsi="Arial" w:cs="Arial"/>
        </w:rPr>
        <w:t>.  It argues that historical medical trauma</w:t>
      </w:r>
      <w:r w:rsidR="00EB0CE1" w:rsidRPr="00205801">
        <w:rPr>
          <w:rFonts w:ascii="Arial" w:hAnsi="Arial" w:cs="Arial"/>
        </w:rPr>
        <w:t>, i.e., Infected Blood Scandal, Tuskegee Syphilis Scan</w:t>
      </w:r>
      <w:r w:rsidR="00ED2806" w:rsidRPr="00205801">
        <w:rPr>
          <w:rFonts w:ascii="Arial" w:hAnsi="Arial" w:cs="Arial"/>
        </w:rPr>
        <w:t>dal</w:t>
      </w:r>
      <w:r w:rsidR="00C47514" w:rsidRPr="00205801">
        <w:rPr>
          <w:rFonts w:ascii="Arial" w:hAnsi="Arial" w:cs="Arial"/>
        </w:rPr>
        <w:t>, has created a structural mistrust that requires</w:t>
      </w:r>
      <w:r w:rsidR="00D30DD5" w:rsidRPr="00205801">
        <w:rPr>
          <w:rFonts w:ascii="Arial" w:hAnsi="Arial" w:cs="Arial"/>
        </w:rPr>
        <w:t xml:space="preserve"> a “whole systems” shift in the NHS policy rather than </w:t>
      </w:r>
      <w:r w:rsidR="00F202C1" w:rsidRPr="00205801">
        <w:rPr>
          <w:rFonts w:ascii="Arial" w:hAnsi="Arial" w:cs="Arial"/>
        </w:rPr>
        <w:t xml:space="preserve">just individual- level awareness </w:t>
      </w:r>
      <w:r w:rsidR="00184A58" w:rsidRPr="00205801">
        <w:rPr>
          <w:rFonts w:ascii="Arial" w:hAnsi="Arial" w:cs="Arial"/>
        </w:rPr>
        <w:t>campaigns.</w:t>
      </w:r>
    </w:p>
    <w:p w14:paraId="7C6265B1" w14:textId="77777777" w:rsidR="00912CE9" w:rsidRDefault="00912CE9" w:rsidP="00A706D8">
      <w:pPr>
        <w:rPr>
          <w:rFonts w:ascii="Arial" w:hAnsi="Arial" w:cs="Arial"/>
        </w:rPr>
      </w:pPr>
    </w:p>
    <w:p w14:paraId="7DC23229" w14:textId="77777777" w:rsidR="00912CE9" w:rsidRDefault="00912CE9" w:rsidP="00A706D8">
      <w:pPr>
        <w:rPr>
          <w:rFonts w:ascii="Arial" w:hAnsi="Arial" w:cs="Arial"/>
        </w:rPr>
      </w:pPr>
    </w:p>
    <w:p w14:paraId="60234802" w14:textId="65E42DE9" w:rsidR="005D174F" w:rsidRPr="00205801" w:rsidRDefault="005D174F" w:rsidP="00A706D8">
      <w:pPr>
        <w:rPr>
          <w:rFonts w:ascii="Arial" w:hAnsi="Arial" w:cs="Arial"/>
        </w:rPr>
      </w:pPr>
      <w:r w:rsidRPr="00205801">
        <w:rPr>
          <w:rFonts w:ascii="Arial" w:hAnsi="Arial" w:cs="Arial"/>
        </w:rPr>
        <w:t>In Summary</w:t>
      </w:r>
      <w:r w:rsidR="0080426D" w:rsidRPr="00205801">
        <w:rPr>
          <w:rFonts w:ascii="Arial" w:hAnsi="Arial" w:cs="Arial"/>
        </w:rPr>
        <w:t xml:space="preserve">, Chapter 3 has </w:t>
      </w:r>
      <w:r w:rsidR="00780E8B" w:rsidRPr="00205801">
        <w:rPr>
          <w:rFonts w:ascii="Arial" w:hAnsi="Arial" w:cs="Arial"/>
        </w:rPr>
        <w:t xml:space="preserve">applied Braun </w:t>
      </w:r>
      <w:r w:rsidR="00D243D4" w:rsidRPr="00205801">
        <w:rPr>
          <w:rFonts w:ascii="Arial" w:hAnsi="Arial" w:cs="Arial"/>
        </w:rPr>
        <w:t xml:space="preserve">and Clarke’s (2006) thematic analysis to the </w:t>
      </w:r>
      <w:r w:rsidR="00D400D7" w:rsidRPr="00205801">
        <w:rPr>
          <w:rFonts w:ascii="Arial" w:hAnsi="Arial" w:cs="Arial"/>
        </w:rPr>
        <w:t>five primary sources: Ferguson, Ahmed, Deedat, Grossi, and Thornton</w:t>
      </w:r>
      <w:r w:rsidR="00927AA2" w:rsidRPr="00205801">
        <w:rPr>
          <w:rFonts w:ascii="Arial" w:hAnsi="Arial" w:cs="Arial"/>
        </w:rPr>
        <w:t xml:space="preserve">.  By extracting specific codes such as </w:t>
      </w:r>
      <w:r w:rsidR="00A87742" w:rsidRPr="00205801">
        <w:rPr>
          <w:rFonts w:ascii="Arial" w:hAnsi="Arial" w:cs="Arial"/>
        </w:rPr>
        <w:t>‘</w:t>
      </w:r>
      <w:r w:rsidR="00927AA2" w:rsidRPr="00205801">
        <w:rPr>
          <w:rFonts w:ascii="Arial" w:hAnsi="Arial" w:cs="Arial"/>
        </w:rPr>
        <w:t>Reciprocity</w:t>
      </w:r>
      <w:r w:rsidR="00A87742" w:rsidRPr="00205801">
        <w:rPr>
          <w:rFonts w:ascii="Arial" w:hAnsi="Arial" w:cs="Arial"/>
        </w:rPr>
        <w:t>,’</w:t>
      </w:r>
      <w:r w:rsidR="0080426D" w:rsidRPr="00205801">
        <w:rPr>
          <w:rFonts w:ascii="Arial" w:hAnsi="Arial" w:cs="Arial"/>
        </w:rPr>
        <w:t xml:space="preserve"> </w:t>
      </w:r>
      <w:r w:rsidR="00A87742" w:rsidRPr="00205801">
        <w:rPr>
          <w:rFonts w:ascii="Arial" w:hAnsi="Arial" w:cs="Arial"/>
        </w:rPr>
        <w:t>transplantation</w:t>
      </w:r>
      <w:r w:rsidR="004E5BA9" w:rsidRPr="00205801">
        <w:rPr>
          <w:rFonts w:ascii="Arial" w:hAnsi="Arial" w:cs="Arial"/>
        </w:rPr>
        <w:t xml:space="preserve"> decline,’</w:t>
      </w:r>
      <w:r w:rsidR="00AF3361">
        <w:rPr>
          <w:rFonts w:ascii="Arial" w:hAnsi="Arial" w:cs="Arial"/>
        </w:rPr>
        <w:t xml:space="preserve"> </w:t>
      </w:r>
      <w:r w:rsidR="004E5BA9" w:rsidRPr="00205801">
        <w:rPr>
          <w:rFonts w:ascii="Arial" w:hAnsi="Arial" w:cs="Arial"/>
        </w:rPr>
        <w:t>and institutional responsibility</w:t>
      </w:r>
      <w:r w:rsidR="006031EC" w:rsidRPr="00205801">
        <w:rPr>
          <w:rFonts w:ascii="Arial" w:hAnsi="Arial" w:cs="Arial"/>
        </w:rPr>
        <w:t>,</w:t>
      </w:r>
      <w:r w:rsidR="003045C1" w:rsidRPr="00205801">
        <w:rPr>
          <w:rFonts w:ascii="Arial" w:hAnsi="Arial" w:cs="Arial"/>
        </w:rPr>
        <w:t xml:space="preserve"> the research has established a rigorous evidence base</w:t>
      </w:r>
      <w:r w:rsidR="00184A58" w:rsidRPr="00205801">
        <w:rPr>
          <w:rFonts w:ascii="Arial" w:hAnsi="Arial" w:cs="Arial"/>
        </w:rPr>
        <w:t xml:space="preserve">. </w:t>
      </w:r>
      <w:r w:rsidR="00E3104D" w:rsidRPr="00205801">
        <w:rPr>
          <w:rFonts w:ascii="Arial" w:hAnsi="Arial" w:cs="Arial"/>
        </w:rPr>
        <w:t xml:space="preserve">These codes have been synthesised through </w:t>
      </w:r>
      <w:r w:rsidR="00EE35C1" w:rsidRPr="00205801">
        <w:rPr>
          <w:rFonts w:ascii="Arial" w:hAnsi="Arial" w:cs="Arial"/>
        </w:rPr>
        <w:t>the lenses of the HBM, Intersectionality</w:t>
      </w:r>
      <w:r w:rsidR="006031EC" w:rsidRPr="00205801">
        <w:rPr>
          <w:rFonts w:ascii="Arial" w:hAnsi="Arial" w:cs="Arial"/>
        </w:rPr>
        <w:t>, and the Whole Systems Approach.  This</w:t>
      </w:r>
      <w:r w:rsidR="00EC3578">
        <w:rPr>
          <w:rFonts w:ascii="Arial" w:hAnsi="Arial" w:cs="Arial"/>
        </w:rPr>
        <w:t xml:space="preserve"> </w:t>
      </w:r>
      <w:r w:rsidR="00C33EDD" w:rsidRPr="00205801">
        <w:rPr>
          <w:rFonts w:ascii="Arial" w:hAnsi="Arial" w:cs="Arial"/>
        </w:rPr>
        <w:t xml:space="preserve">methodological foundation ensures that </w:t>
      </w:r>
      <w:r w:rsidR="0014200D">
        <w:rPr>
          <w:rFonts w:ascii="Arial" w:hAnsi="Arial" w:cs="Arial"/>
        </w:rPr>
        <w:t>Chapter</w:t>
      </w:r>
      <w:r w:rsidR="00C33EDD" w:rsidRPr="00205801">
        <w:rPr>
          <w:rFonts w:ascii="Arial" w:hAnsi="Arial" w:cs="Arial"/>
        </w:rPr>
        <w:t xml:space="preserve"> </w:t>
      </w:r>
      <w:r w:rsidR="00AC769F" w:rsidRPr="00205801">
        <w:rPr>
          <w:rFonts w:ascii="Arial" w:hAnsi="Arial" w:cs="Arial"/>
        </w:rPr>
        <w:t>4 can now provide a critical</w:t>
      </w:r>
      <w:r w:rsidR="003F2079" w:rsidRPr="00205801">
        <w:rPr>
          <w:rFonts w:ascii="Arial" w:hAnsi="Arial" w:cs="Arial"/>
        </w:rPr>
        <w:t xml:space="preserve">, multi-layered analysis of the barriers to </w:t>
      </w:r>
      <w:r w:rsidR="00E42960" w:rsidRPr="00205801">
        <w:rPr>
          <w:rFonts w:ascii="Arial" w:hAnsi="Arial" w:cs="Arial"/>
        </w:rPr>
        <w:t xml:space="preserve">donation, moving from individual perceptions to broad </w:t>
      </w:r>
      <w:r w:rsidR="00886142" w:rsidRPr="00205801">
        <w:rPr>
          <w:rFonts w:ascii="Arial" w:hAnsi="Arial" w:cs="Arial"/>
        </w:rPr>
        <w:t>institutional requirements for equity.</w:t>
      </w:r>
    </w:p>
    <w:p w14:paraId="4DAF9DD0" w14:textId="49CFA4F5" w:rsidR="008A7E56" w:rsidRPr="00C03B4B" w:rsidRDefault="00292A36" w:rsidP="00AE155D">
      <w:pPr>
        <w:pStyle w:val="Heading2"/>
        <w:numPr>
          <w:ilvl w:val="1"/>
          <w:numId w:val="13"/>
        </w:numPr>
        <w:rPr>
          <w:b/>
          <w:bCs/>
          <w:color w:val="auto"/>
        </w:rPr>
      </w:pPr>
      <w:bookmarkStart w:id="10" w:name="_Toc226743148"/>
      <w:r w:rsidRPr="00C03B4B">
        <w:rPr>
          <w:b/>
          <w:bCs/>
          <w:color w:val="auto"/>
        </w:rPr>
        <w:t xml:space="preserve">– </w:t>
      </w:r>
      <w:r w:rsidRPr="00C03B4B">
        <w:rPr>
          <w:rFonts w:ascii="Arial" w:hAnsi="Arial" w:cs="Arial"/>
          <w:b/>
          <w:bCs/>
          <w:color w:val="auto"/>
        </w:rPr>
        <w:t>Ethical Considerations</w:t>
      </w:r>
      <w:bookmarkEnd w:id="10"/>
      <w:r w:rsidRPr="00C03B4B">
        <w:rPr>
          <w:rFonts w:ascii="Arial" w:hAnsi="Arial" w:cs="Arial"/>
          <w:b/>
          <w:bCs/>
          <w:color w:val="auto"/>
        </w:rPr>
        <w:t xml:space="preserve"> </w:t>
      </w:r>
      <w:r w:rsidR="008A7E56" w:rsidRPr="00C03B4B">
        <w:rPr>
          <w:rFonts w:ascii="Arial" w:hAnsi="Arial" w:cs="Arial"/>
          <w:b/>
          <w:bCs/>
          <w:color w:val="auto"/>
        </w:rPr>
        <w:t xml:space="preserve"> </w:t>
      </w:r>
    </w:p>
    <w:p w14:paraId="7ECE746E" w14:textId="64C7525D" w:rsidR="00AB0B8D" w:rsidRPr="008A7E56" w:rsidRDefault="008A7E56" w:rsidP="008A7E56">
      <w:pPr>
        <w:pStyle w:val="Heading2"/>
        <w:rPr>
          <w:color w:val="auto"/>
        </w:rPr>
      </w:pPr>
      <w:bookmarkStart w:id="11" w:name="_Toc226743149"/>
      <w:r w:rsidRPr="008A7E56">
        <w:rPr>
          <w:rFonts w:ascii="Arial" w:hAnsi="Arial" w:cs="Arial"/>
          <w:color w:val="auto"/>
        </w:rPr>
        <w:t>Definition of Ethical Considerations</w:t>
      </w:r>
      <w:bookmarkEnd w:id="11"/>
    </w:p>
    <w:p w14:paraId="79326193" w14:textId="5F8BE22B" w:rsidR="00C17A49" w:rsidRPr="00A32C50" w:rsidRDefault="00C17A49" w:rsidP="00C17A49">
      <w:pPr>
        <w:rPr>
          <w:rFonts w:ascii="Arial" w:hAnsi="Arial" w:cs="Arial"/>
          <w:b/>
          <w:bCs/>
        </w:rPr>
      </w:pPr>
      <w:r w:rsidRPr="00A32C50">
        <w:rPr>
          <w:rFonts w:ascii="Arial" w:hAnsi="Arial" w:cs="Arial"/>
          <w:b/>
          <w:bCs/>
        </w:rPr>
        <w:t>Secondary Research Ethics:</w:t>
      </w:r>
    </w:p>
    <w:p w14:paraId="5610449E" w14:textId="383B3858" w:rsidR="00594415" w:rsidRPr="00BA7A46" w:rsidRDefault="00594415" w:rsidP="00C17A49">
      <w:pPr>
        <w:rPr>
          <w:rFonts w:ascii="Arial" w:hAnsi="Arial" w:cs="Arial"/>
          <w:b/>
          <w:bCs/>
        </w:rPr>
      </w:pPr>
      <w:r w:rsidRPr="00BA7A46">
        <w:rPr>
          <w:rFonts w:ascii="Arial" w:hAnsi="Arial" w:cs="Arial"/>
        </w:rPr>
        <w:t>This research relies entirely on secondary data obtained from existing sources, which requires careful ethical considerations to ensure appropriate use and interpretation.</w:t>
      </w:r>
    </w:p>
    <w:p w14:paraId="455DFA59" w14:textId="019B3A23" w:rsidR="00594415" w:rsidRPr="00BA7A46" w:rsidRDefault="00650557" w:rsidP="004702E0">
      <w:pPr>
        <w:rPr>
          <w:rFonts w:ascii="Arial" w:hAnsi="Arial" w:cs="Arial"/>
        </w:rPr>
      </w:pPr>
      <w:r w:rsidRPr="00BA7A46">
        <w:rPr>
          <w:rFonts w:ascii="Arial" w:hAnsi="Arial" w:cs="Arial"/>
        </w:rPr>
        <w:t>As there</w:t>
      </w:r>
      <w:r w:rsidR="00DA6ED0" w:rsidRPr="00BA7A46">
        <w:rPr>
          <w:rFonts w:ascii="Arial" w:hAnsi="Arial" w:cs="Arial"/>
        </w:rPr>
        <w:t xml:space="preserve"> w</w:t>
      </w:r>
      <w:r w:rsidR="00D97FFA" w:rsidRPr="00BA7A46">
        <w:rPr>
          <w:rFonts w:ascii="Arial" w:hAnsi="Arial" w:cs="Arial"/>
        </w:rPr>
        <w:t xml:space="preserve">as no </w:t>
      </w:r>
      <w:r w:rsidR="00D17660" w:rsidRPr="00BA7A46">
        <w:rPr>
          <w:rFonts w:ascii="Arial" w:hAnsi="Arial" w:cs="Arial"/>
        </w:rPr>
        <w:t xml:space="preserve">direct primary </w:t>
      </w:r>
      <w:r w:rsidRPr="00BA7A46">
        <w:rPr>
          <w:rFonts w:ascii="Arial" w:hAnsi="Arial" w:cs="Arial"/>
        </w:rPr>
        <w:t>data collection from human participants</w:t>
      </w:r>
      <w:r w:rsidR="001E68FC" w:rsidRPr="00BA7A46">
        <w:rPr>
          <w:rFonts w:ascii="Arial" w:hAnsi="Arial" w:cs="Arial"/>
        </w:rPr>
        <w:t xml:space="preserve">, it did not require a formal institutional </w:t>
      </w:r>
      <w:r w:rsidR="005F678B" w:rsidRPr="00BA7A46">
        <w:rPr>
          <w:rFonts w:ascii="Arial" w:hAnsi="Arial" w:cs="Arial"/>
        </w:rPr>
        <w:t>ethics</w:t>
      </w:r>
      <w:r w:rsidR="001E68FC" w:rsidRPr="00BA7A46">
        <w:rPr>
          <w:rFonts w:ascii="Arial" w:hAnsi="Arial" w:cs="Arial"/>
        </w:rPr>
        <w:t xml:space="preserve"> commit</w:t>
      </w:r>
      <w:r w:rsidR="00975117" w:rsidRPr="00BA7A46">
        <w:rPr>
          <w:rFonts w:ascii="Arial" w:hAnsi="Arial" w:cs="Arial"/>
        </w:rPr>
        <w:t>tee approval for participant recruitment. However,</w:t>
      </w:r>
      <w:r w:rsidR="00A37EB6" w:rsidRPr="00BA7A46">
        <w:rPr>
          <w:rFonts w:ascii="Arial" w:hAnsi="Arial" w:cs="Arial"/>
        </w:rPr>
        <w:t xml:space="preserve"> ethical integrity </w:t>
      </w:r>
      <w:r w:rsidR="00965033" w:rsidRPr="00BA7A46">
        <w:rPr>
          <w:rFonts w:ascii="Arial" w:hAnsi="Arial" w:cs="Arial"/>
        </w:rPr>
        <w:t>remain</w:t>
      </w:r>
      <w:r w:rsidR="005F678B" w:rsidRPr="00BA7A46">
        <w:rPr>
          <w:rFonts w:ascii="Arial" w:hAnsi="Arial" w:cs="Arial"/>
        </w:rPr>
        <w:t>s</w:t>
      </w:r>
      <w:r w:rsidR="00965033" w:rsidRPr="00BA7A46">
        <w:rPr>
          <w:rFonts w:ascii="Arial" w:hAnsi="Arial" w:cs="Arial"/>
        </w:rPr>
        <w:t xml:space="preserve"> paramount </w:t>
      </w:r>
      <w:r w:rsidR="00D162AE" w:rsidRPr="00BA7A46">
        <w:rPr>
          <w:rFonts w:ascii="Arial" w:hAnsi="Arial" w:cs="Arial"/>
        </w:rPr>
        <w:t>wit</w:t>
      </w:r>
      <w:r w:rsidR="00881A06" w:rsidRPr="00BA7A46">
        <w:rPr>
          <w:rFonts w:ascii="Arial" w:hAnsi="Arial" w:cs="Arial"/>
        </w:rPr>
        <w:t>h</w:t>
      </w:r>
      <w:r w:rsidR="00D96F00" w:rsidRPr="00BA7A46">
        <w:rPr>
          <w:rFonts w:ascii="Arial" w:hAnsi="Arial" w:cs="Arial"/>
        </w:rPr>
        <w:t xml:space="preserve">in </w:t>
      </w:r>
      <w:r w:rsidR="005F678B" w:rsidRPr="00BA7A46">
        <w:rPr>
          <w:rFonts w:ascii="Arial" w:hAnsi="Arial" w:cs="Arial"/>
        </w:rPr>
        <w:t xml:space="preserve">this </w:t>
      </w:r>
      <w:r w:rsidR="00D96F00" w:rsidRPr="00BA7A46">
        <w:rPr>
          <w:rFonts w:ascii="Arial" w:hAnsi="Arial" w:cs="Arial"/>
        </w:rPr>
        <w:t>secondary qualitative analysis</w:t>
      </w:r>
      <w:r w:rsidR="00826168" w:rsidRPr="00BA7A46">
        <w:rPr>
          <w:rFonts w:ascii="Arial" w:hAnsi="Arial" w:cs="Arial"/>
        </w:rPr>
        <w:t xml:space="preserve">.  According to </w:t>
      </w:r>
      <w:r w:rsidR="00881A06" w:rsidRPr="00D2218E">
        <w:rPr>
          <w:rFonts w:ascii="Arial" w:hAnsi="Arial" w:cs="Arial"/>
        </w:rPr>
        <w:t>(</w:t>
      </w:r>
      <w:r w:rsidR="00826168" w:rsidRPr="00D2218E">
        <w:rPr>
          <w:rFonts w:ascii="Arial" w:hAnsi="Arial" w:cs="Arial"/>
        </w:rPr>
        <w:t>Wiles</w:t>
      </w:r>
      <w:r w:rsidR="00881A06" w:rsidRPr="00D2218E">
        <w:rPr>
          <w:rFonts w:ascii="Arial" w:hAnsi="Arial" w:cs="Arial"/>
        </w:rPr>
        <w:t>,</w:t>
      </w:r>
      <w:r w:rsidR="00826168" w:rsidRPr="00D2218E">
        <w:rPr>
          <w:rFonts w:ascii="Arial" w:hAnsi="Arial" w:cs="Arial"/>
        </w:rPr>
        <w:t xml:space="preserve"> 2013)</w:t>
      </w:r>
      <w:r w:rsidR="004516F7" w:rsidRPr="00D2218E">
        <w:rPr>
          <w:rFonts w:ascii="Arial" w:hAnsi="Arial" w:cs="Arial"/>
        </w:rPr>
        <w:t>, researchers</w:t>
      </w:r>
      <w:r w:rsidR="004516F7" w:rsidRPr="00BA7A46">
        <w:rPr>
          <w:rFonts w:ascii="Arial" w:hAnsi="Arial" w:cs="Arial"/>
        </w:rPr>
        <w:t xml:space="preserve"> must ensure the ethical treatment </w:t>
      </w:r>
      <w:r w:rsidR="00366FE7" w:rsidRPr="00BA7A46">
        <w:rPr>
          <w:rFonts w:ascii="Arial" w:hAnsi="Arial" w:cs="Arial"/>
        </w:rPr>
        <w:t>of existing data by maintaining the original context</w:t>
      </w:r>
      <w:r w:rsidR="00E33C30" w:rsidRPr="00BA7A46">
        <w:rPr>
          <w:rFonts w:ascii="Arial" w:hAnsi="Arial" w:cs="Arial"/>
        </w:rPr>
        <w:t xml:space="preserve"> and preventing </w:t>
      </w:r>
      <w:r w:rsidR="005F678B" w:rsidRPr="00BA7A46">
        <w:rPr>
          <w:rFonts w:ascii="Arial" w:hAnsi="Arial" w:cs="Arial"/>
        </w:rPr>
        <w:t>the misinterpretation of findings</w:t>
      </w:r>
      <w:r w:rsidR="00AE08D6" w:rsidRPr="00BA7A46">
        <w:rPr>
          <w:rFonts w:ascii="Arial" w:hAnsi="Arial" w:cs="Arial"/>
        </w:rPr>
        <w:t xml:space="preserve">.  In this study, ethical </w:t>
      </w:r>
      <w:r w:rsidR="00345034" w:rsidRPr="00BA7A46">
        <w:rPr>
          <w:rFonts w:ascii="Arial" w:hAnsi="Arial" w:cs="Arial"/>
        </w:rPr>
        <w:t>consideration was specifically applied</w:t>
      </w:r>
      <w:r w:rsidR="001A2370" w:rsidRPr="00BA7A46">
        <w:rPr>
          <w:rFonts w:ascii="Arial" w:hAnsi="Arial" w:cs="Arial"/>
        </w:rPr>
        <w:t xml:space="preserve"> to the sensitive nature </w:t>
      </w:r>
      <w:r w:rsidR="002D4413" w:rsidRPr="00BA7A46">
        <w:rPr>
          <w:rFonts w:ascii="Arial" w:hAnsi="Arial" w:cs="Arial"/>
        </w:rPr>
        <w:t>of racial disparities and historical traumas</w:t>
      </w:r>
      <w:r w:rsidR="00594415" w:rsidRPr="00BA7A46">
        <w:rPr>
          <w:rFonts w:ascii="Arial" w:hAnsi="Arial" w:cs="Arial"/>
        </w:rPr>
        <w:t>.  As</w:t>
      </w:r>
      <w:r w:rsidR="003424AB" w:rsidRPr="00BA7A46">
        <w:rPr>
          <w:rFonts w:ascii="Arial" w:hAnsi="Arial" w:cs="Arial"/>
        </w:rPr>
        <w:t xml:space="preserve"> a r</w:t>
      </w:r>
      <w:r w:rsidR="00FD642A" w:rsidRPr="00BA7A46">
        <w:rPr>
          <w:rFonts w:ascii="Arial" w:hAnsi="Arial" w:cs="Arial"/>
        </w:rPr>
        <w:t xml:space="preserve">esearcher embarking on this quest, throughout this </w:t>
      </w:r>
      <w:r w:rsidR="00CA75E3" w:rsidRPr="00BA7A46">
        <w:rPr>
          <w:rFonts w:ascii="Arial" w:hAnsi="Arial" w:cs="Arial"/>
        </w:rPr>
        <w:t>process</w:t>
      </w:r>
      <w:r w:rsidR="00AF440E" w:rsidRPr="00BA7A46">
        <w:rPr>
          <w:rFonts w:ascii="Arial" w:hAnsi="Arial" w:cs="Arial"/>
        </w:rPr>
        <w:t>,</w:t>
      </w:r>
      <w:r w:rsidR="00CA75E3" w:rsidRPr="00BA7A46">
        <w:rPr>
          <w:rFonts w:ascii="Arial" w:hAnsi="Arial" w:cs="Arial"/>
        </w:rPr>
        <w:t xml:space="preserve"> there has been a commitment </w:t>
      </w:r>
      <w:r w:rsidR="00D067B3" w:rsidRPr="00BA7A46">
        <w:rPr>
          <w:rFonts w:ascii="Arial" w:hAnsi="Arial" w:cs="Arial"/>
        </w:rPr>
        <w:t xml:space="preserve">and ethical duty to </w:t>
      </w:r>
      <w:r w:rsidR="0085709C" w:rsidRPr="00BA7A46">
        <w:rPr>
          <w:rFonts w:ascii="Arial" w:hAnsi="Arial" w:cs="Arial"/>
        </w:rPr>
        <w:t>report these findings with sensitivity</w:t>
      </w:r>
      <w:r w:rsidR="004702E0" w:rsidRPr="00BA7A46">
        <w:rPr>
          <w:rFonts w:ascii="Arial" w:hAnsi="Arial" w:cs="Arial"/>
        </w:rPr>
        <w:t>.</w:t>
      </w:r>
      <w:r w:rsidR="0085709C" w:rsidRPr="00BA7A46">
        <w:rPr>
          <w:rFonts w:ascii="Arial" w:hAnsi="Arial" w:cs="Arial"/>
        </w:rPr>
        <w:t xml:space="preserve"> </w:t>
      </w:r>
      <w:r w:rsidR="004702E0" w:rsidRPr="00BA7A46">
        <w:rPr>
          <w:rFonts w:ascii="Arial" w:hAnsi="Arial" w:cs="Arial"/>
        </w:rPr>
        <w:t xml:space="preserve"> </w:t>
      </w:r>
    </w:p>
    <w:p w14:paraId="747603AC" w14:textId="72D91362" w:rsidR="006C37FF" w:rsidRPr="00D2218E" w:rsidRDefault="004702E0" w:rsidP="00EA73B0">
      <w:pPr>
        <w:rPr>
          <w:rFonts w:ascii="Arial" w:hAnsi="Arial" w:cs="Arial"/>
        </w:rPr>
      </w:pPr>
      <w:r w:rsidRPr="00BA7A46">
        <w:rPr>
          <w:rFonts w:ascii="Arial" w:hAnsi="Arial" w:cs="Arial"/>
        </w:rPr>
        <w:t>The study is rooted in the principle of justice (</w:t>
      </w:r>
      <w:r w:rsidRPr="00D2218E">
        <w:rPr>
          <w:rFonts w:ascii="Arial" w:hAnsi="Arial" w:cs="Arial"/>
        </w:rPr>
        <w:t xml:space="preserve">Beauchamp and Childress, 2013), highlighting the need for fairness in the distribution of benefits and burdens. It engages ethically with these sources, honouring their original context and intent. </w:t>
      </w:r>
    </w:p>
    <w:p w14:paraId="1032A701" w14:textId="51289BBB" w:rsidR="00EA73B0" w:rsidRPr="00D2218E" w:rsidRDefault="008A6332" w:rsidP="00EA73B0">
      <w:pPr>
        <w:rPr>
          <w:rFonts w:ascii="Arial" w:hAnsi="Arial" w:cs="Arial"/>
        </w:rPr>
      </w:pPr>
      <w:r w:rsidRPr="00D2218E">
        <w:rPr>
          <w:rFonts w:ascii="Arial" w:hAnsi="Arial" w:cs="Arial"/>
        </w:rPr>
        <w:t>Moreover</w:t>
      </w:r>
      <w:r w:rsidR="004702E0" w:rsidRPr="00D2218E">
        <w:rPr>
          <w:rFonts w:ascii="Arial" w:hAnsi="Arial" w:cs="Arial"/>
        </w:rPr>
        <w:t>, this study upholds the principle of justice by respectfully addressing the Tuskegee</w:t>
      </w:r>
      <w:r w:rsidR="002B404B" w:rsidRPr="00D2218E">
        <w:rPr>
          <w:rFonts w:ascii="Arial" w:hAnsi="Arial" w:cs="Arial"/>
        </w:rPr>
        <w:t xml:space="preserve"> study</w:t>
      </w:r>
      <w:r w:rsidR="004702E0" w:rsidRPr="00D2218E">
        <w:rPr>
          <w:rFonts w:ascii="Arial" w:hAnsi="Arial" w:cs="Arial"/>
        </w:rPr>
        <w:t xml:space="preserve"> and </w:t>
      </w:r>
      <w:r w:rsidR="00B91B50" w:rsidRPr="00D2218E">
        <w:rPr>
          <w:rFonts w:ascii="Arial" w:hAnsi="Arial" w:cs="Arial"/>
        </w:rPr>
        <w:t xml:space="preserve">the </w:t>
      </w:r>
      <w:r w:rsidR="004702E0" w:rsidRPr="00D2218E">
        <w:rPr>
          <w:rFonts w:ascii="Arial" w:hAnsi="Arial" w:cs="Arial"/>
        </w:rPr>
        <w:t>Infected Blood scandal</w:t>
      </w:r>
      <w:r w:rsidR="002B404B" w:rsidRPr="00D2218E">
        <w:rPr>
          <w:rFonts w:ascii="Arial" w:hAnsi="Arial" w:cs="Arial"/>
        </w:rPr>
        <w:t xml:space="preserve">. </w:t>
      </w:r>
      <w:r w:rsidR="004702E0" w:rsidRPr="00D2218E">
        <w:rPr>
          <w:rFonts w:ascii="Arial" w:hAnsi="Arial" w:cs="Arial"/>
        </w:rPr>
        <w:t>It refrains from blaming victims and instead frames BAME donor hesitancy as a rational response to documented systemic neglect.</w:t>
      </w:r>
    </w:p>
    <w:p w14:paraId="60F5A48B" w14:textId="77777777" w:rsidR="008A6332" w:rsidRPr="00D2218E" w:rsidRDefault="008A6332" w:rsidP="00A32C50">
      <w:pPr>
        <w:rPr>
          <w:rFonts w:ascii="Arial" w:hAnsi="Arial" w:cs="Arial"/>
          <w:b/>
          <w:bCs/>
          <w:sz w:val="24"/>
          <w:szCs w:val="24"/>
        </w:rPr>
      </w:pPr>
    </w:p>
    <w:p w14:paraId="4D74CAE8" w14:textId="77777777" w:rsidR="008A6332" w:rsidRPr="00D2218E" w:rsidRDefault="008A6332" w:rsidP="00A32C50">
      <w:pPr>
        <w:rPr>
          <w:rFonts w:ascii="Arial" w:hAnsi="Arial" w:cs="Arial"/>
          <w:b/>
          <w:bCs/>
          <w:sz w:val="24"/>
          <w:szCs w:val="24"/>
        </w:rPr>
      </w:pPr>
    </w:p>
    <w:p w14:paraId="4AAF6D91" w14:textId="77777777" w:rsidR="008A6332" w:rsidRPr="00D2218E" w:rsidRDefault="008A6332" w:rsidP="00A32C50">
      <w:pPr>
        <w:rPr>
          <w:rFonts w:ascii="Arial" w:hAnsi="Arial" w:cs="Arial"/>
          <w:b/>
          <w:bCs/>
          <w:sz w:val="24"/>
          <w:szCs w:val="24"/>
        </w:rPr>
      </w:pPr>
    </w:p>
    <w:p w14:paraId="11A4A0BA" w14:textId="77777777" w:rsidR="008A6332" w:rsidRPr="00D2218E" w:rsidRDefault="008A6332" w:rsidP="00A32C50">
      <w:pPr>
        <w:rPr>
          <w:rFonts w:ascii="Arial" w:hAnsi="Arial" w:cs="Arial"/>
          <w:b/>
          <w:bCs/>
          <w:sz w:val="24"/>
          <w:szCs w:val="24"/>
        </w:rPr>
      </w:pPr>
    </w:p>
    <w:p w14:paraId="62B3E465" w14:textId="470B2559" w:rsidR="00C17A49" w:rsidRPr="00D2218E" w:rsidRDefault="00C17A49" w:rsidP="00A32C50">
      <w:pPr>
        <w:rPr>
          <w:rFonts w:ascii="Arial" w:hAnsi="Arial" w:cs="Arial"/>
          <w:sz w:val="24"/>
          <w:szCs w:val="24"/>
        </w:rPr>
      </w:pPr>
      <w:r w:rsidRPr="00D2218E">
        <w:rPr>
          <w:rFonts w:ascii="Arial" w:hAnsi="Arial" w:cs="Arial"/>
          <w:b/>
          <w:bCs/>
          <w:sz w:val="24"/>
          <w:szCs w:val="24"/>
        </w:rPr>
        <w:t>Academic Integrity:</w:t>
      </w:r>
    </w:p>
    <w:p w14:paraId="4CAB9BAE" w14:textId="15873024" w:rsidR="00447681" w:rsidRPr="00D2218E" w:rsidRDefault="00F356C2" w:rsidP="000D33B2">
      <w:pPr>
        <w:rPr>
          <w:rFonts w:ascii="Arial" w:eastAsia="Times New Roman" w:hAnsi="Arial" w:cs="Arial"/>
          <w:kern w:val="0"/>
          <w:lang w:eastAsia="en-GB"/>
          <w14:ligatures w14:val="none"/>
        </w:rPr>
      </w:pPr>
      <w:r w:rsidRPr="00D2218E">
        <w:rPr>
          <w:rFonts w:ascii="Arial" w:eastAsia="Times New Roman" w:hAnsi="Arial" w:cs="Arial"/>
        </w:rPr>
        <w:t xml:space="preserve">Academic Integrity was </w:t>
      </w:r>
      <w:r w:rsidR="003530A7" w:rsidRPr="00D2218E">
        <w:rPr>
          <w:rFonts w:ascii="Arial" w:eastAsia="Times New Roman" w:hAnsi="Arial" w:cs="Arial"/>
        </w:rPr>
        <w:t xml:space="preserve">upheld </w:t>
      </w:r>
      <w:r w:rsidR="009D6C5F" w:rsidRPr="00D2218E">
        <w:rPr>
          <w:rFonts w:ascii="Arial" w:eastAsia="Times New Roman" w:hAnsi="Arial" w:cs="Arial"/>
        </w:rPr>
        <w:t xml:space="preserve">by accurately citing all sources, </w:t>
      </w:r>
      <w:r w:rsidR="00BC2B4E" w:rsidRPr="00D2218E">
        <w:rPr>
          <w:rFonts w:ascii="Arial" w:eastAsia="Times New Roman" w:hAnsi="Arial" w:cs="Arial"/>
        </w:rPr>
        <w:t>consistent</w:t>
      </w:r>
      <w:r w:rsidR="009D6C5F" w:rsidRPr="00D2218E">
        <w:rPr>
          <w:rFonts w:ascii="Arial" w:eastAsia="Times New Roman" w:hAnsi="Arial" w:cs="Arial"/>
        </w:rPr>
        <w:t xml:space="preserve"> in the Harvard referencing style</w:t>
      </w:r>
      <w:r w:rsidR="003E2215" w:rsidRPr="00D2218E">
        <w:rPr>
          <w:rFonts w:ascii="Arial" w:eastAsia="Times New Roman" w:hAnsi="Arial" w:cs="Arial"/>
        </w:rPr>
        <w:t>.  Communicating</w:t>
      </w:r>
      <w:r w:rsidR="00ED4659" w:rsidRPr="00D2218E">
        <w:rPr>
          <w:rFonts w:ascii="Arial" w:eastAsia="Times New Roman" w:hAnsi="Arial" w:cs="Arial"/>
          <w:kern w:val="0"/>
          <w:lang w:eastAsia="en-GB"/>
          <w14:ligatures w14:val="none"/>
        </w:rPr>
        <w:t xml:space="preserve"> data within its original context a crucial aspect of secondary research. </w:t>
      </w:r>
      <w:r w:rsidR="003E2215" w:rsidRPr="00D2218E">
        <w:rPr>
          <w:rFonts w:ascii="Arial" w:eastAsia="Times New Roman" w:hAnsi="Arial" w:cs="Arial"/>
        </w:rPr>
        <w:t>Thus</w:t>
      </w:r>
      <w:r w:rsidR="00BC2B4E" w:rsidRPr="00D2218E">
        <w:rPr>
          <w:rFonts w:ascii="Arial" w:eastAsia="Times New Roman" w:hAnsi="Arial" w:cs="Arial"/>
        </w:rPr>
        <w:t>,</w:t>
      </w:r>
      <w:r w:rsidR="003E2215" w:rsidRPr="00D2218E">
        <w:rPr>
          <w:rFonts w:ascii="Arial" w:eastAsia="Times New Roman" w:hAnsi="Arial" w:cs="Arial"/>
        </w:rPr>
        <w:t xml:space="preserve"> p</w:t>
      </w:r>
      <w:r w:rsidR="00ED4659" w:rsidRPr="00D2218E">
        <w:rPr>
          <w:rFonts w:ascii="Arial" w:eastAsia="Times New Roman" w:hAnsi="Arial" w:cs="Arial"/>
          <w:kern w:val="0"/>
          <w:lang w:eastAsia="en-GB"/>
          <w14:ligatures w14:val="none"/>
        </w:rPr>
        <w:t>reventing oversimplifications or misinterpretations that c</w:t>
      </w:r>
      <w:r w:rsidR="003E2215" w:rsidRPr="00D2218E">
        <w:rPr>
          <w:rFonts w:ascii="Arial" w:eastAsia="Times New Roman" w:hAnsi="Arial" w:cs="Arial"/>
        </w:rPr>
        <w:t>ould</w:t>
      </w:r>
      <w:r w:rsidR="00ED4659" w:rsidRPr="00D2218E">
        <w:rPr>
          <w:rFonts w:ascii="Arial" w:eastAsia="Times New Roman" w:hAnsi="Arial" w:cs="Arial"/>
          <w:kern w:val="0"/>
          <w:lang w:eastAsia="en-GB"/>
          <w14:ligatures w14:val="none"/>
        </w:rPr>
        <w:t xml:space="preserve"> distort the original finding</w:t>
      </w:r>
      <w:r w:rsidRPr="00D2218E">
        <w:rPr>
          <w:rFonts w:ascii="Arial" w:eastAsia="Times New Roman" w:hAnsi="Arial" w:cs="Arial"/>
        </w:rPr>
        <w:t xml:space="preserve">s </w:t>
      </w:r>
      <w:r w:rsidR="00ED4659" w:rsidRPr="00D2218E">
        <w:rPr>
          <w:rFonts w:ascii="Arial" w:eastAsia="Times New Roman" w:hAnsi="Arial" w:cs="Arial"/>
          <w:kern w:val="0"/>
          <w:lang w:eastAsia="en-GB"/>
          <w14:ligatures w14:val="none"/>
        </w:rPr>
        <w:t>(Maxwell, 2013). Overgeneralisations that ignore the nuances of unique narratives</w:t>
      </w:r>
      <w:r w:rsidR="00893AE8" w:rsidRPr="00D2218E">
        <w:rPr>
          <w:rFonts w:ascii="Arial" w:eastAsia="Times New Roman" w:hAnsi="Arial" w:cs="Arial"/>
          <w:kern w:val="0"/>
          <w:lang w:eastAsia="en-GB"/>
          <w14:ligatures w14:val="none"/>
        </w:rPr>
        <w:t xml:space="preserve"> that</w:t>
      </w:r>
      <w:r w:rsidR="00ED4659" w:rsidRPr="00D2218E">
        <w:rPr>
          <w:rFonts w:ascii="Arial" w:eastAsia="Times New Roman" w:hAnsi="Arial" w:cs="Arial"/>
          <w:kern w:val="0"/>
          <w:lang w:eastAsia="en-GB"/>
          <w14:ligatures w14:val="none"/>
        </w:rPr>
        <w:t xml:space="preserve"> might arise from failing to retain context.</w:t>
      </w:r>
      <w:r w:rsidR="00814D6B" w:rsidRPr="00D2218E">
        <w:rPr>
          <w:rFonts w:ascii="Arial" w:eastAsia="Times New Roman" w:hAnsi="Arial" w:cs="Arial"/>
          <w:kern w:val="0"/>
          <w:lang w:eastAsia="en-GB"/>
          <w14:ligatures w14:val="none"/>
        </w:rPr>
        <w:t xml:space="preserve">  Furthermore</w:t>
      </w:r>
      <w:r w:rsidR="00EE4907" w:rsidRPr="00D2218E">
        <w:rPr>
          <w:rFonts w:ascii="Arial" w:eastAsia="Times New Roman" w:hAnsi="Arial" w:cs="Arial"/>
          <w:kern w:val="0"/>
          <w:lang w:eastAsia="en-GB"/>
          <w14:ligatures w14:val="none"/>
        </w:rPr>
        <w:t>,</w:t>
      </w:r>
      <w:r w:rsidR="00814D6B" w:rsidRPr="00D2218E">
        <w:rPr>
          <w:rFonts w:ascii="Arial" w:eastAsia="Times New Roman" w:hAnsi="Arial" w:cs="Arial"/>
          <w:kern w:val="0"/>
          <w:lang w:eastAsia="en-GB"/>
          <w14:ligatures w14:val="none"/>
        </w:rPr>
        <w:t xml:space="preserve"> th</w:t>
      </w:r>
      <w:r w:rsidR="0046527B" w:rsidRPr="00D2218E">
        <w:rPr>
          <w:rFonts w:ascii="Arial" w:eastAsia="Times New Roman" w:hAnsi="Arial" w:cs="Arial"/>
          <w:kern w:val="0"/>
          <w:lang w:eastAsia="en-GB"/>
          <w14:ligatures w14:val="none"/>
        </w:rPr>
        <w:t xml:space="preserve">e study adheres to the </w:t>
      </w:r>
      <w:r w:rsidR="001D0EB4" w:rsidRPr="00D2218E">
        <w:rPr>
          <w:rFonts w:ascii="Arial" w:eastAsia="Times New Roman" w:hAnsi="Arial" w:cs="Arial"/>
          <w:kern w:val="0"/>
          <w:lang w:eastAsia="en-GB"/>
          <w14:ligatures w14:val="none"/>
        </w:rPr>
        <w:t>principles of Data Integrity, e</w:t>
      </w:r>
      <w:r w:rsidR="00851D7B" w:rsidRPr="00D2218E">
        <w:rPr>
          <w:rFonts w:ascii="Arial" w:eastAsia="Times New Roman" w:hAnsi="Arial" w:cs="Arial"/>
          <w:kern w:val="0"/>
          <w:lang w:eastAsia="en-GB"/>
          <w14:ligatures w14:val="none"/>
        </w:rPr>
        <w:t>nsuring that all five primary sources (Ferguson</w:t>
      </w:r>
      <w:r w:rsidR="00EE4907" w:rsidRPr="00D2218E">
        <w:rPr>
          <w:rFonts w:ascii="Arial" w:eastAsia="Times New Roman" w:hAnsi="Arial" w:cs="Arial"/>
          <w:kern w:val="0"/>
          <w:lang w:eastAsia="en-GB"/>
          <w14:ligatures w14:val="none"/>
        </w:rPr>
        <w:t>,2019;</w:t>
      </w:r>
      <w:r w:rsidR="006525AC" w:rsidRPr="00D2218E">
        <w:rPr>
          <w:rFonts w:ascii="Arial" w:eastAsia="Times New Roman" w:hAnsi="Arial" w:cs="Arial"/>
          <w:kern w:val="0"/>
          <w:lang w:eastAsia="en-GB"/>
          <w14:ligatures w14:val="none"/>
        </w:rPr>
        <w:t xml:space="preserve"> </w:t>
      </w:r>
      <w:r w:rsidR="006E6A0D" w:rsidRPr="00D2218E">
        <w:rPr>
          <w:rFonts w:ascii="Arial" w:eastAsia="Times New Roman" w:hAnsi="Arial" w:cs="Arial"/>
          <w:kern w:val="0"/>
          <w:lang w:eastAsia="en-GB"/>
          <w14:ligatures w14:val="none"/>
        </w:rPr>
        <w:t>Ahmed,2020;</w:t>
      </w:r>
      <w:r w:rsidR="006525AC" w:rsidRPr="00D2218E">
        <w:rPr>
          <w:rFonts w:ascii="Arial" w:eastAsia="Times New Roman" w:hAnsi="Arial" w:cs="Arial"/>
          <w:kern w:val="0"/>
          <w:lang w:eastAsia="en-GB"/>
          <w14:ligatures w14:val="none"/>
        </w:rPr>
        <w:t xml:space="preserve"> </w:t>
      </w:r>
      <w:r w:rsidR="006E6A0D" w:rsidRPr="00D2218E">
        <w:rPr>
          <w:rFonts w:ascii="Arial" w:eastAsia="Times New Roman" w:hAnsi="Arial" w:cs="Arial"/>
          <w:kern w:val="0"/>
          <w:lang w:eastAsia="en-GB"/>
          <w14:ligatures w14:val="none"/>
        </w:rPr>
        <w:t>Deedat,2013</w:t>
      </w:r>
      <w:r w:rsidR="00F16730" w:rsidRPr="00D2218E">
        <w:rPr>
          <w:rFonts w:ascii="Arial" w:eastAsia="Times New Roman" w:hAnsi="Arial" w:cs="Arial"/>
          <w:kern w:val="0"/>
          <w:lang w:eastAsia="en-GB"/>
          <w14:ligatures w14:val="none"/>
        </w:rPr>
        <w:t>;</w:t>
      </w:r>
      <w:r w:rsidR="006525AC" w:rsidRPr="00D2218E">
        <w:rPr>
          <w:rFonts w:ascii="Arial" w:eastAsia="Times New Roman" w:hAnsi="Arial" w:cs="Arial"/>
          <w:kern w:val="0"/>
          <w:lang w:eastAsia="en-GB"/>
          <w14:ligatures w14:val="none"/>
        </w:rPr>
        <w:t xml:space="preserve"> </w:t>
      </w:r>
      <w:r w:rsidR="00F16730" w:rsidRPr="00D2218E">
        <w:rPr>
          <w:rFonts w:ascii="Arial" w:eastAsia="Times New Roman" w:hAnsi="Arial" w:cs="Arial"/>
          <w:kern w:val="0"/>
          <w:lang w:eastAsia="en-GB"/>
          <w14:ligatures w14:val="none"/>
        </w:rPr>
        <w:t>Grossi, 2023; Thornton</w:t>
      </w:r>
      <w:r w:rsidR="006525AC" w:rsidRPr="00D2218E">
        <w:rPr>
          <w:rFonts w:ascii="Arial" w:eastAsia="Times New Roman" w:hAnsi="Arial" w:cs="Arial"/>
          <w:kern w:val="0"/>
          <w:lang w:eastAsia="en-GB"/>
          <w14:ligatures w14:val="none"/>
        </w:rPr>
        <w:t>,</w:t>
      </w:r>
      <w:r w:rsidR="00F16730" w:rsidRPr="00D2218E">
        <w:rPr>
          <w:rFonts w:ascii="Arial" w:eastAsia="Times New Roman" w:hAnsi="Arial" w:cs="Arial"/>
          <w:kern w:val="0"/>
          <w:lang w:eastAsia="en-GB"/>
          <w14:ligatures w14:val="none"/>
        </w:rPr>
        <w:t xml:space="preserve"> 202</w:t>
      </w:r>
      <w:r w:rsidR="006525AC" w:rsidRPr="00D2218E">
        <w:rPr>
          <w:rFonts w:ascii="Arial" w:eastAsia="Times New Roman" w:hAnsi="Arial" w:cs="Arial"/>
          <w:kern w:val="0"/>
          <w:lang w:eastAsia="en-GB"/>
          <w14:ligatures w14:val="none"/>
        </w:rPr>
        <w:t>3) are accurately</w:t>
      </w:r>
      <w:r w:rsidR="00064B8C" w:rsidRPr="00D2218E">
        <w:rPr>
          <w:rFonts w:ascii="Arial" w:eastAsia="Times New Roman" w:hAnsi="Arial" w:cs="Arial"/>
          <w:kern w:val="0"/>
          <w:lang w:eastAsia="en-GB"/>
          <w14:ligatures w14:val="none"/>
        </w:rPr>
        <w:t xml:space="preserve"> represented and cited according to the UWTSD Harvard </w:t>
      </w:r>
      <w:r w:rsidR="00167135" w:rsidRPr="00D2218E">
        <w:rPr>
          <w:rFonts w:ascii="Arial" w:eastAsia="Times New Roman" w:hAnsi="Arial" w:cs="Arial"/>
          <w:kern w:val="0"/>
          <w:lang w:eastAsia="en-GB"/>
          <w14:ligatures w14:val="none"/>
        </w:rPr>
        <w:t xml:space="preserve">Referencing standards, thereby </w:t>
      </w:r>
      <w:r w:rsidR="005A2A0F" w:rsidRPr="00D2218E">
        <w:rPr>
          <w:rFonts w:ascii="Arial" w:eastAsia="Times New Roman" w:hAnsi="Arial" w:cs="Arial"/>
          <w:kern w:val="0"/>
          <w:lang w:eastAsia="en-GB"/>
          <w14:ligatures w14:val="none"/>
        </w:rPr>
        <w:t xml:space="preserve">avoiding plagiarism and maintaining </w:t>
      </w:r>
      <w:r w:rsidR="009422B4" w:rsidRPr="00D2218E">
        <w:rPr>
          <w:rFonts w:ascii="Arial" w:eastAsia="Times New Roman" w:hAnsi="Arial" w:cs="Arial"/>
          <w:kern w:val="0"/>
          <w:lang w:eastAsia="en-GB"/>
          <w14:ligatures w14:val="none"/>
        </w:rPr>
        <w:t xml:space="preserve">the </w:t>
      </w:r>
      <w:r w:rsidR="005A2A0F" w:rsidRPr="00D2218E">
        <w:rPr>
          <w:rFonts w:ascii="Arial" w:eastAsia="Times New Roman" w:hAnsi="Arial" w:cs="Arial"/>
          <w:kern w:val="0"/>
          <w:lang w:eastAsia="en-GB"/>
          <w14:ligatures w14:val="none"/>
        </w:rPr>
        <w:t>intellectual property</w:t>
      </w:r>
      <w:r w:rsidR="009422B4" w:rsidRPr="00D2218E">
        <w:rPr>
          <w:rFonts w:ascii="Arial" w:eastAsia="Times New Roman" w:hAnsi="Arial" w:cs="Arial"/>
          <w:kern w:val="0"/>
          <w:lang w:eastAsia="en-GB"/>
          <w14:ligatures w14:val="none"/>
        </w:rPr>
        <w:t xml:space="preserve"> rights of the authors.</w:t>
      </w:r>
    </w:p>
    <w:p w14:paraId="50556F4B" w14:textId="1CAFC408" w:rsidR="00F807E0" w:rsidRDefault="00C17A49" w:rsidP="00D120E3">
      <w:pPr>
        <w:rPr>
          <w:rFonts w:ascii="Arial" w:hAnsi="Arial" w:cs="Arial"/>
        </w:rPr>
      </w:pPr>
      <w:r w:rsidRPr="00D2218E">
        <w:rPr>
          <w:rFonts w:ascii="Arial" w:hAnsi="Arial" w:cs="Arial"/>
          <w:b/>
          <w:bCs/>
          <w:sz w:val="24"/>
          <w:szCs w:val="24"/>
        </w:rPr>
        <w:t>Transparency and Credibility</w:t>
      </w:r>
      <w:r w:rsidRPr="00D2218E">
        <w:rPr>
          <w:rFonts w:ascii="Arial" w:hAnsi="Arial" w:cs="Arial"/>
        </w:rPr>
        <w:t>:</w:t>
      </w:r>
      <w:r w:rsidR="00F17071" w:rsidRPr="00D2218E">
        <w:rPr>
          <w:rFonts w:ascii="Arial" w:hAnsi="Arial" w:cs="Arial"/>
        </w:rPr>
        <w:t xml:space="preserve"> Transparency </w:t>
      </w:r>
      <w:r w:rsidR="00921940" w:rsidRPr="00D2218E">
        <w:rPr>
          <w:rFonts w:ascii="Arial" w:hAnsi="Arial" w:cs="Arial"/>
        </w:rPr>
        <w:t xml:space="preserve">has been maintained </w:t>
      </w:r>
      <w:r w:rsidR="00F17071" w:rsidRPr="00D2218E">
        <w:rPr>
          <w:rFonts w:ascii="Arial" w:hAnsi="Arial" w:cs="Arial"/>
        </w:rPr>
        <w:t>openly</w:t>
      </w:r>
      <w:r w:rsidR="00B54DAC" w:rsidRPr="00D2218E">
        <w:rPr>
          <w:rFonts w:ascii="Arial" w:hAnsi="Arial" w:cs="Arial"/>
        </w:rPr>
        <w:t xml:space="preserve"> (Levitt et.al., </w:t>
      </w:r>
      <w:r w:rsidR="00B16480" w:rsidRPr="00D2218E">
        <w:rPr>
          <w:rFonts w:ascii="Arial" w:hAnsi="Arial" w:cs="Arial"/>
        </w:rPr>
        <w:t>2018)</w:t>
      </w:r>
      <w:r w:rsidR="00921940" w:rsidRPr="00D2218E">
        <w:rPr>
          <w:rFonts w:ascii="Arial" w:hAnsi="Arial" w:cs="Arial"/>
        </w:rPr>
        <w:t xml:space="preserve"> throug</w:t>
      </w:r>
      <w:r w:rsidR="00046350" w:rsidRPr="00D2218E">
        <w:rPr>
          <w:rFonts w:ascii="Arial" w:hAnsi="Arial" w:cs="Arial"/>
        </w:rPr>
        <w:t xml:space="preserve">h a clear </w:t>
      </w:r>
      <w:r w:rsidR="008D5D14" w:rsidRPr="00D2218E">
        <w:rPr>
          <w:rFonts w:ascii="Arial" w:hAnsi="Arial" w:cs="Arial"/>
        </w:rPr>
        <w:t>“audit trail” of the thematic analysis</w:t>
      </w:r>
      <w:r w:rsidR="005A549E" w:rsidRPr="00BA7A46">
        <w:rPr>
          <w:rFonts w:ascii="Arial" w:hAnsi="Arial" w:cs="Arial"/>
        </w:rPr>
        <w:t xml:space="preserve"> process.  Following Braun &amp; </w:t>
      </w:r>
      <w:r w:rsidR="001513BC" w:rsidRPr="00BA7A46">
        <w:rPr>
          <w:rFonts w:ascii="Arial" w:hAnsi="Arial" w:cs="Arial"/>
        </w:rPr>
        <w:t>Clarke's</w:t>
      </w:r>
      <w:r w:rsidR="005A549E" w:rsidRPr="00BA7A46">
        <w:rPr>
          <w:rFonts w:ascii="Arial" w:hAnsi="Arial" w:cs="Arial"/>
        </w:rPr>
        <w:t xml:space="preserve"> </w:t>
      </w:r>
      <w:r w:rsidR="00AE0D8C" w:rsidRPr="00BA7A46">
        <w:rPr>
          <w:rFonts w:ascii="Arial" w:hAnsi="Arial" w:cs="Arial"/>
        </w:rPr>
        <w:t xml:space="preserve">(2006) framework, every step from the initial extraction of </w:t>
      </w:r>
      <w:r w:rsidR="00667ECD" w:rsidRPr="00BA7A46">
        <w:rPr>
          <w:rFonts w:ascii="Arial" w:hAnsi="Arial" w:cs="Arial"/>
        </w:rPr>
        <w:t>codes from the Results Summary Table</w:t>
      </w:r>
      <w:r w:rsidR="00E709B4" w:rsidRPr="00BA7A46">
        <w:rPr>
          <w:rFonts w:ascii="Arial" w:hAnsi="Arial" w:cs="Arial"/>
        </w:rPr>
        <w:t xml:space="preserve"> to the final synthesis into three themes </w:t>
      </w:r>
      <w:r w:rsidR="003D0F91" w:rsidRPr="00BA7A46">
        <w:rPr>
          <w:rFonts w:ascii="Arial" w:hAnsi="Arial" w:cs="Arial"/>
        </w:rPr>
        <w:t>is documented.  This ensures a thir</w:t>
      </w:r>
      <w:r w:rsidR="00DA0764" w:rsidRPr="00BA7A46">
        <w:rPr>
          <w:rFonts w:ascii="Arial" w:hAnsi="Arial" w:cs="Arial"/>
        </w:rPr>
        <w:t xml:space="preserve">d-party reader </w:t>
      </w:r>
      <w:r w:rsidR="007C7114" w:rsidRPr="00BA7A46">
        <w:rPr>
          <w:rFonts w:ascii="Arial" w:hAnsi="Arial" w:cs="Arial"/>
        </w:rPr>
        <w:t xml:space="preserve">can see exactly how the code “Transplant </w:t>
      </w:r>
      <w:r w:rsidR="0097584C" w:rsidRPr="00BA7A46">
        <w:rPr>
          <w:rFonts w:ascii="Arial" w:hAnsi="Arial" w:cs="Arial"/>
        </w:rPr>
        <w:t>d</w:t>
      </w:r>
      <w:r w:rsidR="007C7114" w:rsidRPr="00BA7A46">
        <w:rPr>
          <w:rFonts w:ascii="Arial" w:hAnsi="Arial" w:cs="Arial"/>
        </w:rPr>
        <w:t>ecline”</w:t>
      </w:r>
      <w:r w:rsidR="0097584C" w:rsidRPr="00BA7A46">
        <w:rPr>
          <w:rFonts w:ascii="Arial" w:hAnsi="Arial" w:cs="Arial"/>
        </w:rPr>
        <w:t xml:space="preserve"> Ahmed (2020)</w:t>
      </w:r>
      <w:r w:rsidR="0087751C" w:rsidRPr="00BA7A46">
        <w:rPr>
          <w:rFonts w:ascii="Arial" w:hAnsi="Arial" w:cs="Arial"/>
        </w:rPr>
        <w:t xml:space="preserve"> was moved into the theme </w:t>
      </w:r>
      <w:r w:rsidR="00230F1A" w:rsidRPr="00BA7A46">
        <w:rPr>
          <w:rFonts w:ascii="Arial" w:hAnsi="Arial" w:cs="Arial"/>
        </w:rPr>
        <w:t>“Intersectional Barriers”</w:t>
      </w:r>
      <w:r w:rsidR="00825537" w:rsidRPr="00BA7A46">
        <w:rPr>
          <w:rFonts w:ascii="Arial" w:hAnsi="Arial" w:cs="Arial"/>
        </w:rPr>
        <w:t>.</w:t>
      </w:r>
      <w:r w:rsidR="00441C24" w:rsidRPr="00BA7A46">
        <w:rPr>
          <w:rFonts w:ascii="Arial" w:hAnsi="Arial" w:cs="Arial"/>
        </w:rPr>
        <w:t xml:space="preserve"> </w:t>
      </w:r>
      <w:r w:rsidR="00825537" w:rsidRPr="00BA7A46">
        <w:rPr>
          <w:rFonts w:ascii="Arial" w:hAnsi="Arial" w:cs="Arial"/>
        </w:rPr>
        <w:t xml:space="preserve">By clearly defining the inclusion and exclusion </w:t>
      </w:r>
      <w:r w:rsidR="003A3F29" w:rsidRPr="00BA7A46">
        <w:rPr>
          <w:rFonts w:ascii="Arial" w:hAnsi="Arial" w:cs="Arial"/>
        </w:rPr>
        <w:t xml:space="preserve">criteria for the literature search documenting </w:t>
      </w:r>
      <w:r w:rsidR="00282427" w:rsidRPr="00BA7A46">
        <w:rPr>
          <w:rFonts w:ascii="Arial" w:hAnsi="Arial" w:cs="Arial"/>
        </w:rPr>
        <w:t>the keyword strategy used in clinical databases</w:t>
      </w:r>
      <w:r w:rsidR="003F54DD" w:rsidRPr="00BA7A46">
        <w:rPr>
          <w:rFonts w:ascii="Arial" w:hAnsi="Arial" w:cs="Arial"/>
        </w:rPr>
        <w:t>,</w:t>
      </w:r>
      <w:r w:rsidR="00E9784A" w:rsidRPr="00BA7A46">
        <w:rPr>
          <w:rFonts w:ascii="Arial" w:hAnsi="Arial" w:cs="Arial"/>
        </w:rPr>
        <w:t xml:space="preserve"> </w:t>
      </w:r>
      <w:r w:rsidR="00F17071" w:rsidRPr="00BA7A46">
        <w:rPr>
          <w:rFonts w:ascii="Arial" w:hAnsi="Arial" w:cs="Arial"/>
        </w:rPr>
        <w:t>communicating</w:t>
      </w:r>
      <w:r w:rsidR="00F235D8" w:rsidRPr="00BA7A46">
        <w:rPr>
          <w:rFonts w:ascii="Arial" w:hAnsi="Arial" w:cs="Arial"/>
        </w:rPr>
        <w:t xml:space="preserve"> the</w:t>
      </w:r>
      <w:r w:rsidR="00F17071" w:rsidRPr="00BA7A46">
        <w:rPr>
          <w:rFonts w:ascii="Arial" w:hAnsi="Arial" w:cs="Arial"/>
        </w:rPr>
        <w:t xml:space="preserve"> data</w:t>
      </w:r>
      <w:r w:rsidR="001B7E6B" w:rsidRPr="00BA7A46">
        <w:rPr>
          <w:rFonts w:ascii="Arial" w:hAnsi="Arial" w:cs="Arial"/>
        </w:rPr>
        <w:t>base</w:t>
      </w:r>
      <w:r w:rsidR="001D22EB" w:rsidRPr="00BA7A46">
        <w:rPr>
          <w:rFonts w:ascii="Arial" w:hAnsi="Arial" w:cs="Arial"/>
        </w:rPr>
        <w:t xml:space="preserve"> searching</w:t>
      </w:r>
      <w:r w:rsidR="00444F2F" w:rsidRPr="00BA7A46">
        <w:rPr>
          <w:rFonts w:ascii="Arial" w:hAnsi="Arial" w:cs="Arial"/>
        </w:rPr>
        <w:t xml:space="preserve"> process, including relevant</w:t>
      </w:r>
      <w:r w:rsidR="00F17071" w:rsidRPr="00BA7A46">
        <w:rPr>
          <w:rFonts w:ascii="Arial" w:hAnsi="Arial" w:cs="Arial"/>
        </w:rPr>
        <w:t xml:space="preserve"> sources, analytical processes,</w:t>
      </w:r>
      <w:r w:rsidR="009145BA" w:rsidRPr="00BA7A46">
        <w:rPr>
          <w:rFonts w:ascii="Arial" w:hAnsi="Arial" w:cs="Arial"/>
        </w:rPr>
        <w:t xml:space="preserve"> methodologies,</w:t>
      </w:r>
      <w:r w:rsidR="00F17071" w:rsidRPr="00BA7A46">
        <w:rPr>
          <w:rFonts w:ascii="Arial" w:hAnsi="Arial" w:cs="Arial"/>
        </w:rPr>
        <w:t xml:space="preserve"> </w:t>
      </w:r>
      <w:r w:rsidR="003960D1" w:rsidRPr="00BA7A46">
        <w:rPr>
          <w:rFonts w:ascii="Arial" w:hAnsi="Arial" w:cs="Arial"/>
        </w:rPr>
        <w:t xml:space="preserve">and </w:t>
      </w:r>
      <w:r w:rsidR="00F17071" w:rsidRPr="00BA7A46">
        <w:rPr>
          <w:rFonts w:ascii="Arial" w:hAnsi="Arial" w:cs="Arial"/>
        </w:rPr>
        <w:t xml:space="preserve">facilitating scrutiny and </w:t>
      </w:r>
      <w:r w:rsidR="003960D1" w:rsidRPr="00BA7A46">
        <w:rPr>
          <w:rFonts w:ascii="Arial" w:hAnsi="Arial" w:cs="Arial"/>
        </w:rPr>
        <w:t>the ability to</w:t>
      </w:r>
      <w:r w:rsidR="007E1FBB" w:rsidRPr="00BA7A46">
        <w:rPr>
          <w:rFonts w:ascii="Arial" w:hAnsi="Arial" w:cs="Arial"/>
        </w:rPr>
        <w:t xml:space="preserve"> impart information and interpretable </w:t>
      </w:r>
      <w:r w:rsidR="00417AAE" w:rsidRPr="00BA7A46">
        <w:rPr>
          <w:rFonts w:ascii="Arial" w:hAnsi="Arial" w:cs="Arial"/>
        </w:rPr>
        <w:t>research to</w:t>
      </w:r>
      <w:r w:rsidR="006219E7" w:rsidRPr="00BA7A46">
        <w:rPr>
          <w:rFonts w:ascii="Arial" w:hAnsi="Arial" w:cs="Arial"/>
        </w:rPr>
        <w:t xml:space="preserve"> diverse </w:t>
      </w:r>
      <w:r w:rsidR="009E1DA8" w:rsidRPr="00BA7A46">
        <w:rPr>
          <w:rFonts w:ascii="Arial" w:hAnsi="Arial" w:cs="Arial"/>
        </w:rPr>
        <w:t>audiences</w:t>
      </w:r>
      <w:r w:rsidR="00235960" w:rsidRPr="00BA7A46">
        <w:rPr>
          <w:rFonts w:ascii="Arial" w:hAnsi="Arial" w:cs="Arial"/>
        </w:rPr>
        <w:t xml:space="preserve">.  </w:t>
      </w:r>
    </w:p>
    <w:p w14:paraId="3219DF3B" w14:textId="19EA65F0" w:rsidR="00D35DAD" w:rsidRPr="00D120E3" w:rsidRDefault="0037365B" w:rsidP="00D120E3">
      <w:pPr>
        <w:rPr>
          <w:rFonts w:ascii="Arial" w:hAnsi="Arial" w:cs="Arial"/>
        </w:rPr>
      </w:pPr>
      <w:r w:rsidRPr="00BA7A46">
        <w:rPr>
          <w:rFonts w:ascii="Arial" w:hAnsi="Arial" w:cs="Arial"/>
        </w:rPr>
        <w:t xml:space="preserve">Credibility </w:t>
      </w:r>
      <w:r w:rsidR="00DE03B8" w:rsidRPr="00BA7A46">
        <w:rPr>
          <w:rFonts w:ascii="Arial" w:hAnsi="Arial" w:cs="Arial"/>
        </w:rPr>
        <w:t>is established through three distinct lenses</w:t>
      </w:r>
      <w:r w:rsidR="00C43A02" w:rsidRPr="00BA7A46">
        <w:rPr>
          <w:rFonts w:ascii="Arial" w:hAnsi="Arial" w:cs="Arial"/>
        </w:rPr>
        <w:t xml:space="preserve">: The HBM, </w:t>
      </w:r>
      <w:r w:rsidR="003F5922" w:rsidRPr="00BA7A46">
        <w:rPr>
          <w:rFonts w:ascii="Arial" w:hAnsi="Arial" w:cs="Arial"/>
        </w:rPr>
        <w:t>Intersectionality</w:t>
      </w:r>
      <w:r w:rsidR="00160704" w:rsidRPr="00BA7A46">
        <w:rPr>
          <w:rFonts w:ascii="Arial" w:hAnsi="Arial" w:cs="Arial"/>
        </w:rPr>
        <w:t xml:space="preserve">, </w:t>
      </w:r>
      <w:r w:rsidR="00DF7439" w:rsidRPr="00BA7A46">
        <w:rPr>
          <w:rFonts w:ascii="Arial" w:hAnsi="Arial" w:cs="Arial"/>
        </w:rPr>
        <w:t xml:space="preserve">and the </w:t>
      </w:r>
      <w:r w:rsidR="00160704" w:rsidRPr="00BA7A46">
        <w:rPr>
          <w:rFonts w:ascii="Arial" w:hAnsi="Arial" w:cs="Arial"/>
        </w:rPr>
        <w:t xml:space="preserve">Whole </w:t>
      </w:r>
      <w:r w:rsidR="003F5922" w:rsidRPr="00BA7A46">
        <w:rPr>
          <w:rFonts w:ascii="Arial" w:hAnsi="Arial" w:cs="Arial"/>
        </w:rPr>
        <w:t>Systems Approach</w:t>
      </w:r>
      <w:r w:rsidR="00DF7439" w:rsidRPr="00BA7A46">
        <w:rPr>
          <w:rFonts w:ascii="Arial" w:hAnsi="Arial" w:cs="Arial"/>
        </w:rPr>
        <w:t>/Anti-</w:t>
      </w:r>
      <w:r w:rsidR="00620AAB" w:rsidRPr="00BA7A46">
        <w:rPr>
          <w:rFonts w:ascii="Arial" w:hAnsi="Arial" w:cs="Arial"/>
        </w:rPr>
        <w:t>Racist Theory</w:t>
      </w:r>
      <w:r w:rsidR="003F5922" w:rsidRPr="00BA7A46">
        <w:rPr>
          <w:rFonts w:ascii="Arial" w:hAnsi="Arial" w:cs="Arial"/>
        </w:rPr>
        <w:t xml:space="preserve">. </w:t>
      </w:r>
      <w:r w:rsidR="00E41EE4" w:rsidRPr="00BA7A46">
        <w:rPr>
          <w:rFonts w:ascii="Arial" w:hAnsi="Arial" w:cs="Arial"/>
        </w:rPr>
        <w:t xml:space="preserve"> It demonst</w:t>
      </w:r>
      <w:r w:rsidR="00805FBA" w:rsidRPr="00BA7A46">
        <w:rPr>
          <w:rFonts w:ascii="Arial" w:hAnsi="Arial" w:cs="Arial"/>
        </w:rPr>
        <w:t xml:space="preserve">rates that the findings are </w:t>
      </w:r>
      <w:r w:rsidR="0078662E" w:rsidRPr="00BA7A46">
        <w:rPr>
          <w:rFonts w:ascii="Arial" w:hAnsi="Arial" w:cs="Arial"/>
        </w:rPr>
        <w:t xml:space="preserve">not one-dimensional. Furthermore, the use of </w:t>
      </w:r>
      <w:r w:rsidR="00B50CF0" w:rsidRPr="00BA7A46">
        <w:rPr>
          <w:rFonts w:ascii="Arial" w:hAnsi="Arial" w:cs="Arial"/>
        </w:rPr>
        <w:t>high-impact</w:t>
      </w:r>
      <w:r w:rsidR="00001956" w:rsidRPr="00BA7A46">
        <w:rPr>
          <w:rFonts w:ascii="Arial" w:hAnsi="Arial" w:cs="Arial"/>
        </w:rPr>
        <w:t xml:space="preserve">, peer-reviewed </w:t>
      </w:r>
      <w:r w:rsidR="00211530" w:rsidRPr="00BA7A46">
        <w:rPr>
          <w:rFonts w:ascii="Arial" w:hAnsi="Arial" w:cs="Arial"/>
        </w:rPr>
        <w:t>sources</w:t>
      </w:r>
      <w:r w:rsidR="001A2CE0" w:rsidRPr="00BA7A46">
        <w:rPr>
          <w:rFonts w:ascii="Arial" w:hAnsi="Arial" w:cs="Arial"/>
        </w:rPr>
        <w:t>,</w:t>
      </w:r>
      <w:r w:rsidR="00150BE9" w:rsidRPr="00BA7A46">
        <w:rPr>
          <w:rFonts w:ascii="Arial" w:hAnsi="Arial" w:cs="Arial"/>
        </w:rPr>
        <w:t xml:space="preserve"> </w:t>
      </w:r>
      <w:r w:rsidR="00B50CF0" w:rsidRPr="00BA7A46">
        <w:rPr>
          <w:rFonts w:ascii="Arial" w:hAnsi="Arial" w:cs="Arial"/>
        </w:rPr>
        <w:t>i.e., Ferguson(2019) and Thornton</w:t>
      </w:r>
      <w:r w:rsidR="00B336C4" w:rsidRPr="00BA7A46">
        <w:rPr>
          <w:rFonts w:ascii="Arial" w:hAnsi="Arial" w:cs="Arial"/>
        </w:rPr>
        <w:t xml:space="preserve"> (2023)</w:t>
      </w:r>
      <w:r w:rsidR="001A2CE0" w:rsidRPr="00BA7A46">
        <w:rPr>
          <w:rFonts w:ascii="Arial" w:hAnsi="Arial" w:cs="Arial"/>
        </w:rPr>
        <w:t>, makes</w:t>
      </w:r>
      <w:r w:rsidR="00B336C4" w:rsidRPr="00BA7A46">
        <w:rPr>
          <w:rFonts w:ascii="Arial" w:hAnsi="Arial" w:cs="Arial"/>
        </w:rPr>
        <w:t xml:space="preserve"> the evidence author</w:t>
      </w:r>
      <w:r w:rsidR="00150BE9" w:rsidRPr="00BA7A46">
        <w:rPr>
          <w:rFonts w:ascii="Arial" w:hAnsi="Arial" w:cs="Arial"/>
        </w:rPr>
        <w:t>itative.  Credibility is further strengthen</w:t>
      </w:r>
      <w:r w:rsidR="001F11B6" w:rsidRPr="00BA7A46">
        <w:rPr>
          <w:rFonts w:ascii="Arial" w:hAnsi="Arial" w:cs="Arial"/>
        </w:rPr>
        <w:t xml:space="preserve">ed by the comparisons </w:t>
      </w:r>
      <w:r w:rsidR="00C43FB9" w:rsidRPr="00BA7A46">
        <w:rPr>
          <w:rFonts w:ascii="Arial" w:hAnsi="Arial" w:cs="Arial"/>
        </w:rPr>
        <w:t>of the UK findings with international frameworks</w:t>
      </w:r>
      <w:r w:rsidR="0075025C" w:rsidRPr="00BA7A46">
        <w:rPr>
          <w:rFonts w:ascii="Arial" w:hAnsi="Arial" w:cs="Arial"/>
        </w:rPr>
        <w:t xml:space="preserve"> </w:t>
      </w:r>
      <w:r w:rsidR="00E10DAD" w:rsidRPr="00BA7A46">
        <w:rPr>
          <w:rFonts w:ascii="Arial" w:hAnsi="Arial" w:cs="Arial"/>
        </w:rPr>
        <w:t>Grossi</w:t>
      </w:r>
      <w:r w:rsidR="00B676D1" w:rsidRPr="00BA7A46">
        <w:rPr>
          <w:rFonts w:ascii="Arial" w:hAnsi="Arial" w:cs="Arial"/>
        </w:rPr>
        <w:t xml:space="preserve">, </w:t>
      </w:r>
      <w:r w:rsidR="001B5B15" w:rsidRPr="00BA7A46">
        <w:rPr>
          <w:rFonts w:ascii="Arial" w:hAnsi="Arial" w:cs="Arial"/>
        </w:rPr>
        <w:t>(</w:t>
      </w:r>
      <w:r w:rsidR="00B676D1" w:rsidRPr="00BA7A46">
        <w:rPr>
          <w:rFonts w:ascii="Arial" w:hAnsi="Arial" w:cs="Arial"/>
        </w:rPr>
        <w:t>2023</w:t>
      </w:r>
      <w:r w:rsidR="001B5B15" w:rsidRPr="00BA7A46">
        <w:rPr>
          <w:rFonts w:ascii="Arial" w:hAnsi="Arial" w:cs="Arial"/>
        </w:rPr>
        <w:t>)</w:t>
      </w:r>
      <w:r w:rsidR="00211530" w:rsidRPr="00BA7A46">
        <w:rPr>
          <w:rFonts w:ascii="Arial" w:hAnsi="Arial" w:cs="Arial"/>
        </w:rPr>
        <w:t xml:space="preserve"> </w:t>
      </w:r>
      <w:r w:rsidR="007951B8" w:rsidRPr="00BA7A46">
        <w:rPr>
          <w:rFonts w:ascii="Arial" w:hAnsi="Arial" w:cs="Arial"/>
        </w:rPr>
        <w:t xml:space="preserve">and </w:t>
      </w:r>
      <w:r w:rsidR="00231536" w:rsidRPr="00BA7A46">
        <w:rPr>
          <w:rFonts w:ascii="Arial" w:hAnsi="Arial" w:cs="Arial"/>
        </w:rPr>
        <w:t xml:space="preserve">shows </w:t>
      </w:r>
      <w:r w:rsidR="001A2CE0" w:rsidRPr="00BA7A46">
        <w:rPr>
          <w:rFonts w:ascii="Arial" w:hAnsi="Arial" w:cs="Arial"/>
        </w:rPr>
        <w:t>a well-rounded perspective</w:t>
      </w:r>
      <w:r w:rsidR="0075025C" w:rsidRPr="00BA7A46">
        <w:rPr>
          <w:rFonts w:ascii="Arial" w:hAnsi="Arial" w:cs="Arial"/>
        </w:rPr>
        <w:t xml:space="preserve"> on donation disparities</w:t>
      </w:r>
      <w:r w:rsidR="001A2CE0" w:rsidRPr="00BA7A46">
        <w:rPr>
          <w:rFonts w:ascii="Arial" w:hAnsi="Arial" w:cs="Arial"/>
        </w:rPr>
        <w:t xml:space="preserve">. </w:t>
      </w:r>
      <w:r w:rsidR="003312C8" w:rsidRPr="00BA7A46">
        <w:rPr>
          <w:rFonts w:ascii="Arial" w:hAnsi="Arial" w:cs="Arial"/>
        </w:rPr>
        <w:t>Finally,</w:t>
      </w:r>
      <w:r w:rsidR="003B70A5" w:rsidRPr="00BA7A46">
        <w:rPr>
          <w:rFonts w:ascii="Arial" w:hAnsi="Arial" w:cs="Arial"/>
        </w:rPr>
        <w:t xml:space="preserve"> </w:t>
      </w:r>
      <w:r w:rsidR="003312C8" w:rsidRPr="00BA7A46">
        <w:rPr>
          <w:rFonts w:ascii="Arial" w:hAnsi="Arial" w:cs="Arial"/>
        </w:rPr>
        <w:t xml:space="preserve">taking the </w:t>
      </w:r>
      <w:r w:rsidR="00C17A49" w:rsidRPr="00BA7A46">
        <w:rPr>
          <w:rFonts w:ascii="Arial" w:hAnsi="Arial" w:cs="Arial"/>
        </w:rPr>
        <w:t xml:space="preserve">responsibility </w:t>
      </w:r>
      <w:r w:rsidR="00A14645" w:rsidRPr="00BA7A46">
        <w:rPr>
          <w:rFonts w:ascii="Arial" w:hAnsi="Arial" w:cs="Arial"/>
        </w:rPr>
        <w:t>for</w:t>
      </w:r>
      <w:r w:rsidR="00C17A49" w:rsidRPr="00BA7A46">
        <w:rPr>
          <w:rFonts w:ascii="Arial" w:hAnsi="Arial" w:cs="Arial"/>
        </w:rPr>
        <w:t xml:space="preserve"> selecting and presenting literature fairly and without bias.</w:t>
      </w:r>
      <w:bookmarkStart w:id="12" w:name="_Toc226743150"/>
    </w:p>
    <w:p w14:paraId="3EC60796" w14:textId="77777777" w:rsidR="00B15321" w:rsidRDefault="00B15321" w:rsidP="00E325CF">
      <w:pPr>
        <w:pStyle w:val="Heading2"/>
        <w:rPr>
          <w:rFonts w:ascii="Arial" w:hAnsi="Arial" w:cs="Arial"/>
          <w:b/>
          <w:bCs/>
          <w:color w:val="auto"/>
        </w:rPr>
      </w:pPr>
    </w:p>
    <w:p w14:paraId="6A5599D3" w14:textId="77777777" w:rsidR="00B15321" w:rsidRDefault="00B15321" w:rsidP="00E325CF">
      <w:pPr>
        <w:pStyle w:val="Heading2"/>
        <w:rPr>
          <w:rFonts w:ascii="Arial" w:hAnsi="Arial" w:cs="Arial"/>
          <w:b/>
          <w:bCs/>
          <w:color w:val="auto"/>
        </w:rPr>
      </w:pPr>
    </w:p>
    <w:p w14:paraId="6F37F348" w14:textId="77777777" w:rsidR="00B15321" w:rsidRDefault="00B15321" w:rsidP="00E325CF">
      <w:pPr>
        <w:pStyle w:val="Heading2"/>
        <w:rPr>
          <w:rFonts w:ascii="Arial" w:hAnsi="Arial" w:cs="Arial"/>
          <w:b/>
          <w:bCs/>
          <w:color w:val="auto"/>
        </w:rPr>
      </w:pPr>
    </w:p>
    <w:p w14:paraId="41421914" w14:textId="77777777" w:rsidR="008A6332" w:rsidRDefault="008A6332" w:rsidP="008A6332"/>
    <w:p w14:paraId="78526B46" w14:textId="77777777" w:rsidR="008A6332" w:rsidRDefault="008A6332" w:rsidP="008A6332"/>
    <w:p w14:paraId="148654E5" w14:textId="77777777" w:rsidR="008A6332" w:rsidRPr="008A6332" w:rsidRDefault="008A6332" w:rsidP="008A6332"/>
    <w:p w14:paraId="7F51675F" w14:textId="70FB2E9B" w:rsidR="00292A36" w:rsidRPr="00BA7A46" w:rsidRDefault="00E325CF" w:rsidP="00E325CF">
      <w:pPr>
        <w:pStyle w:val="Heading2"/>
        <w:rPr>
          <w:rFonts w:ascii="Arial" w:hAnsi="Arial" w:cs="Arial"/>
        </w:rPr>
      </w:pPr>
      <w:r w:rsidRPr="000D33B2">
        <w:rPr>
          <w:rFonts w:ascii="Arial" w:hAnsi="Arial" w:cs="Arial"/>
          <w:b/>
          <w:bCs/>
          <w:color w:val="auto"/>
        </w:rPr>
        <w:t xml:space="preserve">3.8 </w:t>
      </w:r>
      <w:r w:rsidR="00292A36" w:rsidRPr="000D33B2">
        <w:rPr>
          <w:rFonts w:ascii="Arial" w:hAnsi="Arial" w:cs="Arial"/>
          <w:b/>
          <w:bCs/>
          <w:color w:val="auto"/>
        </w:rPr>
        <w:t>–</w:t>
      </w:r>
      <w:r w:rsidR="00292A36" w:rsidRPr="000D33B2">
        <w:rPr>
          <w:rFonts w:ascii="Arial" w:hAnsi="Arial" w:cs="Arial"/>
          <w:color w:val="auto"/>
        </w:rPr>
        <w:t xml:space="preserve"> </w:t>
      </w:r>
      <w:r w:rsidR="00292A36" w:rsidRPr="000D33B2">
        <w:rPr>
          <w:rFonts w:ascii="Arial" w:hAnsi="Arial" w:cs="Arial"/>
          <w:b/>
          <w:bCs/>
          <w:color w:val="auto"/>
        </w:rPr>
        <w:t>Chapter Conclusion</w:t>
      </w:r>
      <w:bookmarkEnd w:id="12"/>
      <w:r w:rsidR="00292A36" w:rsidRPr="000D33B2">
        <w:rPr>
          <w:rFonts w:ascii="Arial" w:hAnsi="Arial" w:cs="Arial"/>
          <w:color w:val="auto"/>
        </w:rPr>
        <w:t xml:space="preserve"> </w:t>
      </w:r>
    </w:p>
    <w:p w14:paraId="4823FCA9" w14:textId="0D580BD8" w:rsidR="00C17A49" w:rsidRDefault="00C17A49" w:rsidP="00C17A49">
      <w:pPr>
        <w:rPr>
          <w:rFonts w:ascii="Arial" w:hAnsi="Arial" w:cs="Arial"/>
          <w:b/>
          <w:bCs/>
        </w:rPr>
      </w:pPr>
      <w:r w:rsidRPr="00BA7A46">
        <w:rPr>
          <w:rFonts w:ascii="Arial" w:hAnsi="Arial" w:cs="Arial"/>
          <w:b/>
          <w:bCs/>
          <w:sz w:val="24"/>
          <w:szCs w:val="24"/>
        </w:rPr>
        <w:t>Summary</w:t>
      </w:r>
      <w:r w:rsidRPr="00BA7A46">
        <w:rPr>
          <w:rFonts w:ascii="Arial" w:hAnsi="Arial" w:cs="Arial"/>
          <w:b/>
          <w:bCs/>
        </w:rPr>
        <w:t>:</w:t>
      </w:r>
    </w:p>
    <w:p w14:paraId="6AF3EC90" w14:textId="77777777" w:rsidR="00E01A65" w:rsidRPr="001E09D0" w:rsidRDefault="00E01A65" w:rsidP="00E01A65">
      <w:pPr>
        <w:pStyle w:val="Heading1"/>
        <w:keepNext/>
        <w:keepLines/>
        <w:spacing w:before="360" w:after="80" w:line="360" w:lineRule="auto"/>
        <w:jc w:val="both"/>
        <w:rPr>
          <w:rFonts w:eastAsiaTheme="majorEastAsia" w:cs="Arial"/>
          <w:b w:val="0"/>
          <w:bCs/>
          <w:sz w:val="22"/>
          <w:szCs w:val="22"/>
        </w:rPr>
      </w:pPr>
      <w:r w:rsidRPr="001E09D0">
        <w:rPr>
          <w:rFonts w:eastAsiaTheme="majorEastAsia" w:cs="Arial"/>
          <w:b w:val="0"/>
          <w:bCs/>
          <w:sz w:val="22"/>
          <w:szCs w:val="22"/>
        </w:rPr>
        <w:t>In summary, Chapter 3 has outlined the rigorous methodological framework used to locate, evaluate, and analyse literature concerning inequities in blood and organ donation. Through the application of Braun and Clarke’s (2006) six</w:t>
      </w:r>
      <w:r w:rsidRPr="001E09D0">
        <w:rPr>
          <w:rFonts w:eastAsiaTheme="majorEastAsia" w:cs="Arial"/>
          <w:b w:val="0"/>
          <w:bCs/>
          <w:sz w:val="22"/>
          <w:szCs w:val="22"/>
        </w:rPr>
        <w:noBreakHyphen/>
        <w:t>step thematic analysis, the study progressed from systematic coding to the synthesis of three interrelated themes: socio</w:t>
      </w:r>
      <w:r w:rsidRPr="001E09D0">
        <w:rPr>
          <w:rFonts w:eastAsiaTheme="majorEastAsia" w:cs="Arial"/>
          <w:b w:val="0"/>
          <w:bCs/>
          <w:sz w:val="22"/>
          <w:szCs w:val="22"/>
        </w:rPr>
        <w:noBreakHyphen/>
        <w:t>cultural beliefs, intersectional barriers, and institutional transformation. Filtered through the Health Belief Model, intersectionality, and a whole</w:t>
      </w:r>
      <w:r w:rsidRPr="001E09D0">
        <w:rPr>
          <w:rFonts w:eastAsiaTheme="majorEastAsia" w:cs="Arial"/>
          <w:b w:val="0"/>
          <w:bCs/>
          <w:sz w:val="22"/>
          <w:szCs w:val="22"/>
        </w:rPr>
        <w:noBreakHyphen/>
        <w:t>systems anti</w:t>
      </w:r>
      <w:r w:rsidRPr="001E09D0">
        <w:rPr>
          <w:rFonts w:eastAsiaTheme="majorEastAsia" w:cs="Arial"/>
          <w:b w:val="0"/>
          <w:bCs/>
          <w:sz w:val="22"/>
          <w:szCs w:val="22"/>
        </w:rPr>
        <w:noBreakHyphen/>
        <w:t>racist framework, this methodology provides a robust foundation for the critical analysis presented in Chapter 4, which examines how barriers operate across individual, community, and institutional levels.</w:t>
      </w:r>
    </w:p>
    <w:p w14:paraId="2AC74341" w14:textId="77777777" w:rsidR="00E01A65" w:rsidRPr="00E01A65" w:rsidRDefault="00E01A65" w:rsidP="00E01A65">
      <w:pPr>
        <w:pStyle w:val="Heading1"/>
        <w:spacing w:line="360" w:lineRule="auto"/>
        <w:ind w:left="0"/>
        <w:jc w:val="both"/>
        <w:rPr>
          <w:rFonts w:cs="Arial"/>
          <w:b w:val="0"/>
          <w:bCs/>
          <w:sz w:val="22"/>
          <w:szCs w:val="22"/>
        </w:rPr>
      </w:pPr>
    </w:p>
    <w:p w14:paraId="5FA57E87" w14:textId="77777777" w:rsidR="00E01A65" w:rsidRPr="00BA7A46" w:rsidRDefault="00E01A65" w:rsidP="00C17A49">
      <w:pPr>
        <w:rPr>
          <w:rFonts w:ascii="Arial" w:hAnsi="Arial" w:cs="Arial"/>
          <w:b/>
          <w:bCs/>
        </w:rPr>
      </w:pPr>
    </w:p>
    <w:p w14:paraId="39C25E55" w14:textId="77777777" w:rsidR="00D35DAD" w:rsidRDefault="00D35DAD" w:rsidP="009B345A">
      <w:pPr>
        <w:pStyle w:val="Heading1"/>
        <w:ind w:left="0"/>
        <w:rPr>
          <w:rFonts w:ascii="Aptos" w:hAnsi="Aptos"/>
        </w:rPr>
      </w:pPr>
      <w:bookmarkStart w:id="13" w:name="_Toc226743151"/>
    </w:p>
    <w:p w14:paraId="39B9DC07" w14:textId="77777777" w:rsidR="00D35DAD" w:rsidRDefault="00D35DAD" w:rsidP="009B345A">
      <w:pPr>
        <w:pStyle w:val="Heading1"/>
        <w:ind w:left="0"/>
        <w:rPr>
          <w:rFonts w:ascii="Aptos" w:hAnsi="Aptos"/>
        </w:rPr>
      </w:pPr>
    </w:p>
    <w:p w14:paraId="2B10A905" w14:textId="77777777" w:rsidR="00D35DAD" w:rsidRDefault="00D35DAD" w:rsidP="009B345A">
      <w:pPr>
        <w:pStyle w:val="Heading1"/>
        <w:ind w:left="0"/>
        <w:rPr>
          <w:rFonts w:ascii="Aptos" w:hAnsi="Aptos"/>
        </w:rPr>
      </w:pPr>
    </w:p>
    <w:p w14:paraId="25E5D8E1" w14:textId="77777777" w:rsidR="00D35DAD" w:rsidRDefault="00D35DAD" w:rsidP="009B345A">
      <w:pPr>
        <w:pStyle w:val="Heading1"/>
        <w:ind w:left="0"/>
        <w:rPr>
          <w:rFonts w:ascii="Aptos" w:hAnsi="Aptos"/>
        </w:rPr>
      </w:pPr>
    </w:p>
    <w:p w14:paraId="7D0C953F" w14:textId="77777777" w:rsidR="00D35DAD" w:rsidRDefault="00D35DAD" w:rsidP="009B345A">
      <w:pPr>
        <w:pStyle w:val="Heading1"/>
        <w:ind w:left="0"/>
        <w:rPr>
          <w:rFonts w:ascii="Aptos" w:hAnsi="Aptos"/>
        </w:rPr>
      </w:pPr>
    </w:p>
    <w:p w14:paraId="6A9A5134" w14:textId="77777777" w:rsidR="00D35DAD" w:rsidRDefault="00D35DAD" w:rsidP="009B345A">
      <w:pPr>
        <w:pStyle w:val="Heading1"/>
        <w:ind w:left="0"/>
        <w:rPr>
          <w:rFonts w:ascii="Aptos" w:hAnsi="Aptos"/>
        </w:rPr>
      </w:pPr>
    </w:p>
    <w:p w14:paraId="1643F314" w14:textId="77777777" w:rsidR="00D35DAD" w:rsidRDefault="00D35DAD" w:rsidP="009B345A">
      <w:pPr>
        <w:pStyle w:val="Heading1"/>
        <w:ind w:left="0"/>
        <w:rPr>
          <w:rFonts w:ascii="Aptos" w:hAnsi="Aptos"/>
        </w:rPr>
      </w:pPr>
    </w:p>
    <w:p w14:paraId="3626A9EA" w14:textId="77777777" w:rsidR="00D35DAD" w:rsidRDefault="00D35DAD" w:rsidP="009B345A">
      <w:pPr>
        <w:pStyle w:val="Heading1"/>
        <w:ind w:left="0"/>
        <w:rPr>
          <w:rFonts w:ascii="Aptos" w:hAnsi="Aptos"/>
        </w:rPr>
      </w:pPr>
    </w:p>
    <w:p w14:paraId="3B6BCC4B" w14:textId="77777777" w:rsidR="00D35DAD" w:rsidRDefault="00D35DAD" w:rsidP="009B345A">
      <w:pPr>
        <w:pStyle w:val="Heading1"/>
        <w:ind w:left="0"/>
        <w:rPr>
          <w:rFonts w:ascii="Aptos" w:hAnsi="Aptos"/>
        </w:rPr>
      </w:pPr>
    </w:p>
    <w:p w14:paraId="76D00C4B" w14:textId="77777777" w:rsidR="00D35DAD" w:rsidRDefault="00D35DAD" w:rsidP="009B345A">
      <w:pPr>
        <w:pStyle w:val="Heading1"/>
        <w:ind w:left="0"/>
        <w:rPr>
          <w:rFonts w:ascii="Aptos" w:hAnsi="Aptos"/>
        </w:rPr>
      </w:pPr>
    </w:p>
    <w:p w14:paraId="5E4FEF37" w14:textId="77777777" w:rsidR="00D35DAD" w:rsidRDefault="00D35DAD" w:rsidP="009B345A">
      <w:pPr>
        <w:pStyle w:val="Heading1"/>
        <w:ind w:left="0"/>
        <w:rPr>
          <w:rFonts w:ascii="Aptos" w:hAnsi="Aptos"/>
        </w:rPr>
      </w:pPr>
    </w:p>
    <w:p w14:paraId="76D3D0AC" w14:textId="77777777" w:rsidR="00D35DAD" w:rsidRDefault="00D35DAD" w:rsidP="009B345A">
      <w:pPr>
        <w:pStyle w:val="Heading1"/>
        <w:ind w:left="0"/>
        <w:rPr>
          <w:rFonts w:ascii="Aptos" w:hAnsi="Aptos"/>
        </w:rPr>
      </w:pPr>
    </w:p>
    <w:p w14:paraId="1299FC7D" w14:textId="77777777" w:rsidR="00D35DAD" w:rsidRDefault="00D35DAD" w:rsidP="009B345A">
      <w:pPr>
        <w:pStyle w:val="Heading1"/>
        <w:ind w:left="0"/>
        <w:rPr>
          <w:rFonts w:ascii="Aptos" w:hAnsi="Aptos"/>
        </w:rPr>
      </w:pPr>
    </w:p>
    <w:p w14:paraId="6F5C8B1B" w14:textId="77777777" w:rsidR="008A6332" w:rsidRDefault="008A6332" w:rsidP="009B345A">
      <w:pPr>
        <w:pStyle w:val="Heading1"/>
        <w:ind w:left="0"/>
        <w:rPr>
          <w:rFonts w:ascii="Aptos" w:hAnsi="Aptos"/>
        </w:rPr>
      </w:pPr>
    </w:p>
    <w:p w14:paraId="6AC2A3AD" w14:textId="77777777" w:rsidR="008A6332" w:rsidRDefault="008A6332" w:rsidP="009B345A">
      <w:pPr>
        <w:pStyle w:val="Heading1"/>
        <w:ind w:left="0"/>
        <w:rPr>
          <w:rFonts w:ascii="Aptos" w:hAnsi="Aptos"/>
        </w:rPr>
      </w:pPr>
    </w:p>
    <w:p w14:paraId="6F64B6AD" w14:textId="77777777" w:rsidR="00D35DAD" w:rsidRDefault="00D35DAD" w:rsidP="009B345A">
      <w:pPr>
        <w:pStyle w:val="Heading1"/>
        <w:ind w:left="0"/>
        <w:rPr>
          <w:rFonts w:ascii="Aptos" w:hAnsi="Aptos"/>
        </w:rPr>
      </w:pPr>
    </w:p>
    <w:p w14:paraId="0EB55414" w14:textId="38780501" w:rsidR="002E6D78" w:rsidRDefault="001C3AF6" w:rsidP="009B345A">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w:t>
      </w:r>
      <w:bookmarkEnd w:id="13"/>
      <w:r w:rsidRPr="00636D9A">
        <w:rPr>
          <w:rFonts w:ascii="Aptos" w:hAnsi="Aptos"/>
        </w:rPr>
        <w:t xml:space="preserve"> </w:t>
      </w:r>
    </w:p>
    <w:p w14:paraId="66F59F9C" w14:textId="77777777" w:rsidR="000621CF" w:rsidRPr="009B345A" w:rsidRDefault="000621CF" w:rsidP="009B345A">
      <w:pPr>
        <w:pStyle w:val="Heading1"/>
        <w:ind w:left="0"/>
        <w:rPr>
          <w:rFonts w:ascii="Aptos" w:hAnsi="Aptos"/>
        </w:rPr>
      </w:pPr>
    </w:p>
    <w:p w14:paraId="0CB43921" w14:textId="5A29ED7D" w:rsidR="001C3AF6" w:rsidRDefault="001C3AF6" w:rsidP="003B1E32">
      <w:pPr>
        <w:pStyle w:val="Heading2"/>
        <w:rPr>
          <w:rFonts w:ascii="Arial" w:hAnsi="Arial" w:cs="Arial"/>
          <w:b/>
          <w:bCs/>
          <w:color w:val="auto"/>
        </w:rPr>
      </w:pPr>
      <w:bookmarkStart w:id="14" w:name="_Toc226516900"/>
      <w:bookmarkStart w:id="15" w:name="_Toc226743152"/>
      <w:r w:rsidRPr="000D33B2">
        <w:rPr>
          <w:b/>
          <w:bCs/>
          <w:color w:val="auto"/>
        </w:rPr>
        <w:t>4.1</w:t>
      </w:r>
      <w:r w:rsidRPr="000D33B2">
        <w:rPr>
          <w:color w:val="auto"/>
        </w:rPr>
        <w:t xml:space="preserve"> </w:t>
      </w:r>
      <w:r w:rsidRPr="000D33B2">
        <w:rPr>
          <w:rFonts w:ascii="Arial" w:hAnsi="Arial" w:cs="Arial"/>
          <w:b/>
          <w:bCs/>
          <w:color w:val="auto"/>
        </w:rPr>
        <w:t>–</w:t>
      </w:r>
      <w:r w:rsidR="00636D9A" w:rsidRPr="000D33B2">
        <w:rPr>
          <w:rFonts w:ascii="Arial" w:hAnsi="Arial" w:cs="Arial"/>
          <w:b/>
          <w:bCs/>
          <w:color w:val="auto"/>
        </w:rPr>
        <w:t xml:space="preserve"> </w:t>
      </w:r>
      <w:r w:rsidRPr="000D33B2">
        <w:rPr>
          <w:rFonts w:ascii="Arial" w:hAnsi="Arial" w:cs="Arial"/>
          <w:b/>
          <w:bCs/>
          <w:color w:val="auto"/>
        </w:rPr>
        <w:t>Introduction</w:t>
      </w:r>
      <w:bookmarkEnd w:id="14"/>
      <w:bookmarkEnd w:id="15"/>
    </w:p>
    <w:p w14:paraId="04A0460B" w14:textId="77777777" w:rsidR="00CC5B87" w:rsidRPr="00825837" w:rsidRDefault="00CC5B87" w:rsidP="00CC5B87">
      <w:pPr>
        <w:rPr>
          <w:rFonts w:ascii="Arial" w:hAnsi="Arial" w:cs="Arial"/>
        </w:rPr>
      </w:pPr>
      <w:r w:rsidRPr="00825837">
        <w:rPr>
          <w:rFonts w:ascii="Arial" w:hAnsi="Arial" w:cs="Arial"/>
        </w:rPr>
        <w:t>Historically, many minority communities have interacted with the healthcare system through a lens shaped by tradition, spirituality, and collective experience. Earlier theological teachings often discouraged bodily interference after death, creating long</w:t>
      </w:r>
      <w:r w:rsidRPr="00825837">
        <w:rPr>
          <w:rFonts w:ascii="Arial" w:hAnsi="Arial" w:cs="Arial"/>
        </w:rPr>
        <w:noBreakHyphen/>
        <w:t>standing taboos around organ removal. Although contemporary religious rulings across Islam, Christianity, and Judaism now widely permit or encourage donation, this shift has not always translated into widespread acceptance due to persistent cultural narratives and limited culturally matched education.</w:t>
      </w:r>
    </w:p>
    <w:p w14:paraId="3817D056" w14:textId="089F0D73" w:rsidR="00CC5B87" w:rsidRPr="00CC5B87" w:rsidRDefault="00CC5B87" w:rsidP="00CC5B87">
      <w:pPr>
        <w:rPr>
          <w:rFonts w:ascii="Arial" w:hAnsi="Arial" w:cs="Arial"/>
        </w:rPr>
      </w:pPr>
      <w:r w:rsidRPr="00825837">
        <w:rPr>
          <w:rFonts w:ascii="Arial" w:hAnsi="Arial" w:cs="Arial"/>
        </w:rPr>
        <w:t xml:space="preserve">Studies show that minority households often lack open family discussions about donation, usually </w:t>
      </w:r>
      <w:r>
        <w:rPr>
          <w:rFonts w:ascii="Arial" w:hAnsi="Arial" w:cs="Arial"/>
        </w:rPr>
        <w:t>as</w:t>
      </w:r>
      <w:r w:rsidRPr="00825837">
        <w:rPr>
          <w:rFonts w:ascii="Arial" w:hAnsi="Arial" w:cs="Arial"/>
        </w:rPr>
        <w:t xml:space="preserve"> death</w:t>
      </w:r>
      <w:r w:rsidRPr="00825837">
        <w:rPr>
          <w:rFonts w:ascii="Arial" w:hAnsi="Arial" w:cs="Arial"/>
        </w:rPr>
        <w:noBreakHyphen/>
        <w:t>related topics are avoided, perceived as inauspicious, or considered private. This absence of dialogue creates uncertainty during hospital</w:t>
      </w:r>
      <w:r w:rsidRPr="00825837">
        <w:rPr>
          <w:rFonts w:ascii="Arial" w:hAnsi="Arial" w:cs="Arial"/>
        </w:rPr>
        <w:noBreakHyphen/>
        <w:t>based consent requests, particularly in high</w:t>
      </w:r>
      <w:r w:rsidRPr="00825837">
        <w:rPr>
          <w:rFonts w:ascii="Arial" w:hAnsi="Arial" w:cs="Arial"/>
        </w:rPr>
        <w:noBreakHyphen/>
        <w:t>stress situations. Moreover, national donation campaigns frequently fail to resonate due to the absence of culturally credible messengers and a lack of materials delivered in community languages.</w:t>
      </w:r>
    </w:p>
    <w:p w14:paraId="44B78C35" w14:textId="77777777" w:rsidR="006A7B5A" w:rsidRPr="00BC6DAC" w:rsidRDefault="006A7B5A" w:rsidP="006A7B5A">
      <w:pPr>
        <w:rPr>
          <w:rFonts w:ascii="Arial" w:hAnsi="Arial" w:cs="Arial"/>
        </w:rPr>
      </w:pPr>
      <w:r w:rsidRPr="00BC6DAC">
        <w:rPr>
          <w:rFonts w:ascii="Arial" w:hAnsi="Arial" w:cs="Arial"/>
        </w:rPr>
        <w:t>Chapter 4 presents the thematic findings of this dissertation, drawing together the key patterns identified across the reviewed literature. The analysis is grounded in the ethical foundations established earlier, ensuring that interpretations remain respectful, transparent, and sensitive to the experiences of ethnic minority communities. As a secondary qualitative study, the chapter does not claim to represent individual voices directly; instead, it synthesises existing evidence to illuminate the structural, cultural, and informational barriers that shape engagement with blood and organ donation.</w:t>
      </w:r>
    </w:p>
    <w:p w14:paraId="508AAE6F" w14:textId="77777777" w:rsidR="006A7B5A" w:rsidRDefault="006A7B5A" w:rsidP="006A7B5A">
      <w:pPr>
        <w:rPr>
          <w:rFonts w:ascii="Arial" w:hAnsi="Arial" w:cs="Arial"/>
        </w:rPr>
      </w:pPr>
      <w:r w:rsidRPr="00BC6DAC">
        <w:rPr>
          <w:rFonts w:ascii="Arial" w:hAnsi="Arial" w:cs="Arial"/>
        </w:rPr>
        <w:t>The themes presented in this chapter are informed by the theoretical frameworks outlined in Chapter 2, including the Health Belief Model, Intersectionality, the Whole Systems Approach, and the Anti</w:t>
      </w:r>
      <w:r w:rsidRPr="00BC6DAC">
        <w:rPr>
          <w:rFonts w:ascii="Arial" w:hAnsi="Arial" w:cs="Arial"/>
        </w:rPr>
        <w:noBreakHyphen/>
        <w:t>Racist Framework. These frameworks guide the interpretation of findings by highlighting how individual beliefs, overlapping identities, and systemic inequalities interact to influence donation behaviours. For example, the Health Belief Model helps explain how perceived risks and benefits shape attitudes, while intersectionality reveals how ethnicity, religion, gender, and socioeconomic status combine to create unique barriers.</w:t>
      </w:r>
    </w:p>
    <w:p w14:paraId="0EEA27CC" w14:textId="77777777" w:rsidR="0032510E" w:rsidRDefault="0032510E" w:rsidP="006A7B5A">
      <w:pPr>
        <w:rPr>
          <w:rFonts w:ascii="Arial" w:hAnsi="Arial" w:cs="Arial"/>
        </w:rPr>
      </w:pPr>
    </w:p>
    <w:p w14:paraId="15102CE8" w14:textId="77777777" w:rsidR="0032510E" w:rsidRDefault="0032510E" w:rsidP="006A7B5A">
      <w:pPr>
        <w:rPr>
          <w:rFonts w:ascii="Arial" w:hAnsi="Arial" w:cs="Arial"/>
        </w:rPr>
      </w:pPr>
    </w:p>
    <w:p w14:paraId="570C9675" w14:textId="77777777" w:rsidR="0032510E" w:rsidRDefault="0032510E" w:rsidP="006A7B5A">
      <w:pPr>
        <w:rPr>
          <w:rFonts w:ascii="Arial" w:hAnsi="Arial" w:cs="Arial"/>
        </w:rPr>
      </w:pPr>
    </w:p>
    <w:p w14:paraId="042A2ED6" w14:textId="77777777" w:rsidR="0032510E" w:rsidRPr="00BC6DAC" w:rsidRDefault="0032510E" w:rsidP="006A7B5A">
      <w:pPr>
        <w:rPr>
          <w:rFonts w:ascii="Arial" w:hAnsi="Arial" w:cs="Arial"/>
        </w:rPr>
      </w:pPr>
    </w:p>
    <w:p w14:paraId="3BE51B08" w14:textId="4B23954F" w:rsidR="00415244" w:rsidRPr="00EC1CE5" w:rsidRDefault="00415244" w:rsidP="006A7B5A">
      <w:pPr>
        <w:rPr>
          <w:rFonts w:ascii="Arial" w:hAnsi="Arial" w:cs="Arial"/>
          <w:b/>
          <w:bCs/>
          <w:sz w:val="24"/>
          <w:szCs w:val="24"/>
        </w:rPr>
      </w:pPr>
      <w:r w:rsidRPr="00EC1CE5">
        <w:rPr>
          <w:rFonts w:ascii="Arial" w:hAnsi="Arial" w:cs="Arial"/>
          <w:b/>
          <w:bCs/>
          <w:sz w:val="24"/>
          <w:szCs w:val="24"/>
        </w:rPr>
        <w:t>Scope and Focus</w:t>
      </w:r>
    </w:p>
    <w:p w14:paraId="0776A7A2" w14:textId="02EF3FA7" w:rsidR="000621CF" w:rsidRPr="00712C07" w:rsidRDefault="00415244" w:rsidP="006A7B5A">
      <w:pPr>
        <w:rPr>
          <w:rFonts w:ascii="Arial" w:hAnsi="Arial" w:cs="Arial"/>
        </w:rPr>
      </w:pPr>
      <w:r w:rsidRPr="00BC6DAC">
        <w:rPr>
          <w:rFonts w:ascii="Arial" w:hAnsi="Arial" w:cs="Arial"/>
        </w:rPr>
        <w:t>The scope of this investigation is specifical</w:t>
      </w:r>
      <w:r w:rsidR="00ED5695" w:rsidRPr="00BC6DAC">
        <w:rPr>
          <w:rFonts w:ascii="Arial" w:hAnsi="Arial" w:cs="Arial"/>
        </w:rPr>
        <w:t xml:space="preserve">ly </w:t>
      </w:r>
      <w:r w:rsidR="00FE3193" w:rsidRPr="00BC6DAC">
        <w:rPr>
          <w:rFonts w:ascii="Arial" w:hAnsi="Arial" w:cs="Arial"/>
        </w:rPr>
        <w:t>narrowed to</w:t>
      </w:r>
      <w:r w:rsidR="00ED5695" w:rsidRPr="00BC6DAC">
        <w:rPr>
          <w:rFonts w:ascii="Arial" w:hAnsi="Arial" w:cs="Arial"/>
        </w:rPr>
        <w:t xml:space="preserve"> on Black, </w:t>
      </w:r>
      <w:r w:rsidR="00271E0F" w:rsidRPr="00BC6DAC">
        <w:rPr>
          <w:rFonts w:ascii="Arial" w:hAnsi="Arial" w:cs="Arial"/>
        </w:rPr>
        <w:t>Asian</w:t>
      </w:r>
      <w:r w:rsidR="00ED5695" w:rsidRPr="00BC6DAC">
        <w:rPr>
          <w:rFonts w:ascii="Arial" w:hAnsi="Arial" w:cs="Arial"/>
        </w:rPr>
        <w:t xml:space="preserve">, and minority ethnic </w:t>
      </w:r>
      <w:r w:rsidR="00271E0F" w:rsidRPr="00BC6DAC">
        <w:rPr>
          <w:rFonts w:ascii="Arial" w:hAnsi="Arial" w:cs="Arial"/>
        </w:rPr>
        <w:t>groups within the UK</w:t>
      </w:r>
      <w:r w:rsidR="00FE3193" w:rsidRPr="00BC6DAC">
        <w:rPr>
          <w:rFonts w:ascii="Arial" w:hAnsi="Arial" w:cs="Arial"/>
        </w:rPr>
        <w:t xml:space="preserve">.  This focus is necessitated by the unique </w:t>
      </w:r>
      <w:r w:rsidR="00E264CB" w:rsidRPr="00BC6DAC">
        <w:rPr>
          <w:rFonts w:ascii="Arial" w:hAnsi="Arial" w:cs="Arial"/>
        </w:rPr>
        <w:t>challenges these communities face within the British healthcare landscape and their dis</w:t>
      </w:r>
      <w:r w:rsidR="003A7367" w:rsidRPr="00BC6DAC">
        <w:rPr>
          <w:rFonts w:ascii="Arial" w:hAnsi="Arial" w:cs="Arial"/>
        </w:rPr>
        <w:t>proportionate representation</w:t>
      </w:r>
      <w:r w:rsidR="006F4F37">
        <w:rPr>
          <w:rFonts w:ascii="Arial" w:hAnsi="Arial" w:cs="Arial"/>
        </w:rPr>
        <w:t xml:space="preserve"> on</w:t>
      </w:r>
      <w:r w:rsidR="00E32F10" w:rsidRPr="00BC6DAC">
        <w:rPr>
          <w:rFonts w:ascii="Arial" w:hAnsi="Arial" w:cs="Arial"/>
        </w:rPr>
        <w:t xml:space="preserve"> Blood and </w:t>
      </w:r>
      <w:r w:rsidR="00F1329B" w:rsidRPr="00BC6DAC">
        <w:rPr>
          <w:rFonts w:ascii="Arial" w:hAnsi="Arial" w:cs="Arial"/>
        </w:rPr>
        <w:t>Organ</w:t>
      </w:r>
      <w:r w:rsidR="00E32F10" w:rsidRPr="00BC6DAC">
        <w:rPr>
          <w:rFonts w:ascii="Arial" w:hAnsi="Arial" w:cs="Arial"/>
        </w:rPr>
        <w:t xml:space="preserve"> donation </w:t>
      </w:r>
      <w:r w:rsidR="00B4014F" w:rsidRPr="00BC6DAC">
        <w:rPr>
          <w:rFonts w:ascii="Arial" w:hAnsi="Arial" w:cs="Arial"/>
        </w:rPr>
        <w:t xml:space="preserve">transplant waiting lists.  By applying </w:t>
      </w:r>
      <w:r w:rsidR="00252D26" w:rsidRPr="00BC6DAC">
        <w:rPr>
          <w:rFonts w:ascii="Arial" w:hAnsi="Arial" w:cs="Arial"/>
        </w:rPr>
        <w:t>the Health Belief Model (HBM), this section e</w:t>
      </w:r>
      <w:r w:rsidR="00D84E0F" w:rsidRPr="00BC6DAC">
        <w:rPr>
          <w:rFonts w:ascii="Arial" w:hAnsi="Arial" w:cs="Arial"/>
        </w:rPr>
        <w:t xml:space="preserve">xamines how “perceived barriers”, such as medical mistrust and religious </w:t>
      </w:r>
      <w:r w:rsidR="007614A1" w:rsidRPr="00BC6DAC">
        <w:rPr>
          <w:rFonts w:ascii="Arial" w:hAnsi="Arial" w:cs="Arial"/>
        </w:rPr>
        <w:t xml:space="preserve">ambiguity, impact individual decision </w:t>
      </w:r>
      <w:r w:rsidR="00457EB9" w:rsidRPr="00BC6DAC">
        <w:rPr>
          <w:rFonts w:ascii="Arial" w:hAnsi="Arial" w:cs="Arial"/>
        </w:rPr>
        <w:t>-making and family consent rates.</w:t>
      </w:r>
      <w:r w:rsidR="00271E0F" w:rsidRPr="00BC6DAC">
        <w:rPr>
          <w:rFonts w:ascii="Arial" w:hAnsi="Arial" w:cs="Arial"/>
        </w:rPr>
        <w:t xml:space="preserve"> </w:t>
      </w:r>
    </w:p>
    <w:p w14:paraId="6B0E9ED0" w14:textId="5982BC17" w:rsidR="006A7B5A" w:rsidRPr="00EC1CE5" w:rsidRDefault="00DE1E47" w:rsidP="006A7B5A">
      <w:pPr>
        <w:rPr>
          <w:rFonts w:ascii="Arial" w:hAnsi="Arial" w:cs="Arial"/>
          <w:b/>
          <w:bCs/>
          <w:sz w:val="24"/>
          <w:szCs w:val="24"/>
        </w:rPr>
      </w:pPr>
      <w:r w:rsidRPr="00EC1CE5">
        <w:rPr>
          <w:rFonts w:ascii="Arial" w:hAnsi="Arial" w:cs="Arial"/>
          <w:b/>
          <w:bCs/>
          <w:sz w:val="24"/>
          <w:szCs w:val="24"/>
        </w:rPr>
        <w:t>Identification</w:t>
      </w:r>
      <w:r w:rsidR="00935787" w:rsidRPr="00EC1CE5">
        <w:rPr>
          <w:rFonts w:ascii="Arial" w:hAnsi="Arial" w:cs="Arial"/>
          <w:b/>
          <w:bCs/>
          <w:sz w:val="24"/>
          <w:szCs w:val="24"/>
        </w:rPr>
        <w:t xml:space="preserve"> of</w:t>
      </w:r>
      <w:r w:rsidRPr="00EC1CE5">
        <w:rPr>
          <w:rFonts w:ascii="Arial" w:hAnsi="Arial" w:cs="Arial"/>
          <w:b/>
          <w:bCs/>
          <w:sz w:val="24"/>
          <w:szCs w:val="24"/>
        </w:rPr>
        <w:t xml:space="preserve"> Research Gaps</w:t>
      </w:r>
    </w:p>
    <w:p w14:paraId="430FDB02" w14:textId="6A00A7B8" w:rsidR="000D33B2" w:rsidRDefault="00ED2967" w:rsidP="009B345A">
      <w:pPr>
        <w:pStyle w:val="Heading1"/>
        <w:spacing w:line="360" w:lineRule="auto"/>
        <w:ind w:left="0"/>
        <w:jc w:val="both"/>
        <w:rPr>
          <w:rFonts w:cs="Arial"/>
          <w:b w:val="0"/>
          <w:bCs/>
          <w:sz w:val="22"/>
          <w:szCs w:val="22"/>
        </w:rPr>
      </w:pPr>
      <w:bookmarkStart w:id="16" w:name="_Toc226743153"/>
      <w:r w:rsidRPr="00BC6DAC">
        <w:rPr>
          <w:rFonts w:cs="Arial"/>
          <w:b w:val="0"/>
          <w:bCs/>
          <w:sz w:val="22"/>
          <w:szCs w:val="22"/>
        </w:rPr>
        <w:t>While the existing literature highlights general reluctance</w:t>
      </w:r>
      <w:r w:rsidR="00CC0B2B" w:rsidRPr="00BC6DAC">
        <w:rPr>
          <w:rFonts w:cs="Arial"/>
          <w:b w:val="0"/>
          <w:bCs/>
          <w:sz w:val="22"/>
          <w:szCs w:val="22"/>
        </w:rPr>
        <w:t xml:space="preserve">, a significant </w:t>
      </w:r>
      <w:r w:rsidR="00D963CE" w:rsidRPr="00BC6DAC">
        <w:rPr>
          <w:rFonts w:cs="Arial"/>
          <w:b w:val="0"/>
          <w:bCs/>
          <w:sz w:val="22"/>
          <w:szCs w:val="22"/>
        </w:rPr>
        <w:t>gap remains in</w:t>
      </w:r>
      <w:bookmarkEnd w:id="16"/>
      <w:r w:rsidR="00D963CE" w:rsidRPr="00BC6DAC">
        <w:rPr>
          <w:rFonts w:cs="Arial"/>
          <w:b w:val="0"/>
          <w:bCs/>
          <w:sz w:val="22"/>
          <w:szCs w:val="22"/>
        </w:rPr>
        <w:t xml:space="preserve"> </w:t>
      </w:r>
    </w:p>
    <w:p w14:paraId="367F223F" w14:textId="73B6B377" w:rsidR="00636D9A" w:rsidRPr="00BC6DAC" w:rsidRDefault="00D963CE" w:rsidP="009B345A">
      <w:pPr>
        <w:pStyle w:val="Heading1"/>
        <w:spacing w:line="360" w:lineRule="auto"/>
        <w:ind w:left="0"/>
        <w:jc w:val="both"/>
        <w:rPr>
          <w:rFonts w:cs="Arial"/>
          <w:b w:val="0"/>
          <w:bCs/>
          <w:sz w:val="22"/>
          <w:szCs w:val="22"/>
        </w:rPr>
      </w:pPr>
      <w:bookmarkStart w:id="17" w:name="_Toc226743154"/>
      <w:r w:rsidRPr="00BC6DAC">
        <w:rPr>
          <w:rFonts w:cs="Arial"/>
          <w:b w:val="0"/>
          <w:bCs/>
          <w:sz w:val="22"/>
          <w:szCs w:val="22"/>
        </w:rPr>
        <w:t>understanding the intersectional nature of these barriers</w:t>
      </w:r>
      <w:r w:rsidR="00815B22" w:rsidRPr="00BC6DAC">
        <w:rPr>
          <w:rFonts w:cs="Arial"/>
          <w:b w:val="0"/>
          <w:bCs/>
          <w:sz w:val="22"/>
          <w:szCs w:val="22"/>
        </w:rPr>
        <w:t xml:space="preserve">. </w:t>
      </w:r>
      <w:r w:rsidR="00081AEA" w:rsidRPr="00BC6DAC">
        <w:rPr>
          <w:rFonts w:cs="Arial"/>
          <w:b w:val="0"/>
          <w:bCs/>
          <w:sz w:val="22"/>
          <w:szCs w:val="22"/>
        </w:rPr>
        <w:t>C</w:t>
      </w:r>
      <w:r w:rsidR="00D15806" w:rsidRPr="00BC6DAC">
        <w:rPr>
          <w:rFonts w:cs="Arial"/>
          <w:b w:val="0"/>
          <w:bCs/>
          <w:sz w:val="22"/>
          <w:szCs w:val="22"/>
        </w:rPr>
        <w:t xml:space="preserve">urrent research often fails to account </w:t>
      </w:r>
      <w:r w:rsidR="005F4683" w:rsidRPr="00BC6DAC">
        <w:rPr>
          <w:rFonts w:cs="Arial"/>
          <w:b w:val="0"/>
          <w:bCs/>
          <w:sz w:val="22"/>
          <w:szCs w:val="22"/>
        </w:rPr>
        <w:t>for:</w:t>
      </w:r>
      <w:bookmarkEnd w:id="17"/>
      <w:r w:rsidR="005F4683" w:rsidRPr="00BC6DAC">
        <w:rPr>
          <w:rFonts w:cs="Arial"/>
          <w:b w:val="0"/>
          <w:bCs/>
          <w:sz w:val="22"/>
          <w:szCs w:val="22"/>
        </w:rPr>
        <w:t xml:space="preserve">  </w:t>
      </w:r>
    </w:p>
    <w:p w14:paraId="1F8A6CE3" w14:textId="7C0D9433" w:rsidR="005F4683" w:rsidRPr="00BC6DAC" w:rsidRDefault="005F4683" w:rsidP="00AE155D">
      <w:pPr>
        <w:pStyle w:val="Heading1"/>
        <w:numPr>
          <w:ilvl w:val="0"/>
          <w:numId w:val="20"/>
        </w:numPr>
        <w:spacing w:line="360" w:lineRule="auto"/>
        <w:jc w:val="both"/>
        <w:rPr>
          <w:rFonts w:cs="Arial"/>
          <w:b w:val="0"/>
          <w:bCs/>
          <w:sz w:val="22"/>
          <w:szCs w:val="22"/>
        </w:rPr>
      </w:pPr>
      <w:bookmarkStart w:id="18" w:name="_Toc226743155"/>
      <w:r w:rsidRPr="00BC6DAC">
        <w:rPr>
          <w:rFonts w:cs="Arial"/>
          <w:b w:val="0"/>
          <w:bCs/>
          <w:sz w:val="22"/>
          <w:szCs w:val="22"/>
        </w:rPr>
        <w:t xml:space="preserve">The impact of </w:t>
      </w:r>
      <w:r w:rsidR="004540EC" w:rsidRPr="00BC6DAC">
        <w:rPr>
          <w:rFonts w:cs="Arial"/>
          <w:b w:val="0"/>
          <w:bCs/>
          <w:sz w:val="22"/>
          <w:szCs w:val="22"/>
        </w:rPr>
        <w:t xml:space="preserve">the </w:t>
      </w:r>
      <w:r w:rsidRPr="00BC6DAC">
        <w:rPr>
          <w:rFonts w:cs="Arial"/>
          <w:sz w:val="22"/>
          <w:szCs w:val="22"/>
        </w:rPr>
        <w:t>Organ Donation</w:t>
      </w:r>
      <w:r w:rsidR="004540EC" w:rsidRPr="00BC6DAC">
        <w:rPr>
          <w:rFonts w:cs="Arial"/>
          <w:b w:val="0"/>
          <w:bCs/>
          <w:sz w:val="22"/>
          <w:szCs w:val="22"/>
        </w:rPr>
        <w:t xml:space="preserve"> </w:t>
      </w:r>
      <w:r w:rsidRPr="00BC6DAC">
        <w:rPr>
          <w:rFonts w:cs="Arial"/>
          <w:b w:val="0"/>
          <w:bCs/>
          <w:sz w:val="22"/>
          <w:szCs w:val="22"/>
        </w:rPr>
        <w:t>(Deemed Consent) Act 2019</w:t>
      </w:r>
      <w:r w:rsidR="00081AEA" w:rsidRPr="00BC6DAC">
        <w:rPr>
          <w:rFonts w:cs="Arial"/>
          <w:b w:val="0"/>
          <w:bCs/>
          <w:sz w:val="22"/>
          <w:szCs w:val="22"/>
        </w:rPr>
        <w:t xml:space="preserve"> on specific ethnic subgroups</w:t>
      </w:r>
      <w:r w:rsidR="004540EC" w:rsidRPr="00BC6DAC">
        <w:rPr>
          <w:rFonts w:cs="Arial"/>
          <w:b w:val="0"/>
          <w:bCs/>
          <w:sz w:val="22"/>
          <w:szCs w:val="22"/>
        </w:rPr>
        <w:t>.</w:t>
      </w:r>
      <w:bookmarkEnd w:id="18"/>
    </w:p>
    <w:p w14:paraId="14E8216E" w14:textId="6D4C4910" w:rsidR="00712C07" w:rsidRPr="008E4EC3" w:rsidRDefault="004540EC" w:rsidP="008E4EC3">
      <w:pPr>
        <w:pStyle w:val="Heading1"/>
        <w:numPr>
          <w:ilvl w:val="0"/>
          <w:numId w:val="20"/>
        </w:numPr>
        <w:spacing w:line="360" w:lineRule="auto"/>
        <w:jc w:val="both"/>
        <w:rPr>
          <w:rFonts w:cs="Arial"/>
          <w:b w:val="0"/>
          <w:bCs/>
          <w:sz w:val="22"/>
          <w:szCs w:val="22"/>
        </w:rPr>
      </w:pPr>
      <w:bookmarkStart w:id="19" w:name="_Toc226743156"/>
      <w:r w:rsidRPr="00BC6DAC">
        <w:rPr>
          <w:rFonts w:cs="Arial"/>
          <w:b w:val="0"/>
          <w:bCs/>
          <w:sz w:val="22"/>
          <w:szCs w:val="22"/>
        </w:rPr>
        <w:t>The role</w:t>
      </w:r>
      <w:r w:rsidRPr="00BC6DAC">
        <w:rPr>
          <w:rFonts w:cs="Arial"/>
          <w:sz w:val="22"/>
          <w:szCs w:val="22"/>
        </w:rPr>
        <w:t xml:space="preserve"> of Structural Racism</w:t>
      </w:r>
      <w:r w:rsidR="00DA42E1" w:rsidRPr="00BC6DAC">
        <w:rPr>
          <w:rFonts w:cs="Arial"/>
          <w:sz w:val="22"/>
          <w:szCs w:val="22"/>
        </w:rPr>
        <w:t xml:space="preserve"> </w:t>
      </w:r>
      <w:r w:rsidR="00DA42E1" w:rsidRPr="00BC6DAC">
        <w:rPr>
          <w:rFonts w:cs="Arial"/>
          <w:b w:val="0"/>
          <w:bCs/>
          <w:sz w:val="22"/>
          <w:szCs w:val="22"/>
        </w:rPr>
        <w:t xml:space="preserve">in </w:t>
      </w:r>
      <w:r w:rsidR="00F862EF" w:rsidRPr="00BC6DAC">
        <w:rPr>
          <w:rFonts w:cs="Arial"/>
          <w:b w:val="0"/>
          <w:bCs/>
          <w:sz w:val="22"/>
          <w:szCs w:val="22"/>
        </w:rPr>
        <w:t>shaping</w:t>
      </w:r>
      <w:r w:rsidR="00DA42E1" w:rsidRPr="00BC6DAC">
        <w:rPr>
          <w:rFonts w:cs="Arial"/>
          <w:b w:val="0"/>
          <w:bCs/>
          <w:sz w:val="22"/>
          <w:szCs w:val="22"/>
        </w:rPr>
        <w:t xml:space="preserve"> the “trust deficit”</w:t>
      </w:r>
      <w:r w:rsidR="00F862EF" w:rsidRPr="00BC6DAC">
        <w:rPr>
          <w:rFonts w:cs="Arial"/>
          <w:b w:val="0"/>
          <w:bCs/>
          <w:sz w:val="22"/>
          <w:szCs w:val="22"/>
        </w:rPr>
        <w:t xml:space="preserve"> between minority families</w:t>
      </w:r>
      <w:bookmarkEnd w:id="19"/>
      <w:r w:rsidR="00F862EF" w:rsidRPr="00BC6DAC">
        <w:rPr>
          <w:rFonts w:cs="Arial"/>
          <w:b w:val="0"/>
          <w:bCs/>
          <w:sz w:val="22"/>
          <w:szCs w:val="22"/>
        </w:rPr>
        <w:t xml:space="preserve"> </w:t>
      </w:r>
    </w:p>
    <w:p w14:paraId="7A130485" w14:textId="0EE8D2B5" w:rsidR="004540EC" w:rsidRPr="00BC6DAC" w:rsidRDefault="00F862EF" w:rsidP="00426149">
      <w:pPr>
        <w:pStyle w:val="Heading1"/>
        <w:spacing w:line="360" w:lineRule="auto"/>
        <w:jc w:val="both"/>
        <w:rPr>
          <w:rFonts w:cs="Arial"/>
          <w:b w:val="0"/>
          <w:bCs/>
          <w:sz w:val="22"/>
          <w:szCs w:val="22"/>
        </w:rPr>
      </w:pPr>
      <w:bookmarkStart w:id="20" w:name="_Toc226743157"/>
      <w:r w:rsidRPr="00BC6DAC">
        <w:rPr>
          <w:rFonts w:cs="Arial"/>
          <w:b w:val="0"/>
          <w:bCs/>
          <w:sz w:val="22"/>
          <w:szCs w:val="22"/>
        </w:rPr>
        <w:t>and the NHS.</w:t>
      </w:r>
      <w:bookmarkEnd w:id="20"/>
    </w:p>
    <w:p w14:paraId="6E67EC04" w14:textId="7A4A5546" w:rsidR="00F862EF" w:rsidRPr="00BC6DAC" w:rsidRDefault="00F862EF" w:rsidP="00AE155D">
      <w:pPr>
        <w:pStyle w:val="Heading1"/>
        <w:numPr>
          <w:ilvl w:val="0"/>
          <w:numId w:val="20"/>
        </w:numPr>
        <w:spacing w:line="360" w:lineRule="auto"/>
        <w:jc w:val="both"/>
        <w:rPr>
          <w:rFonts w:cs="Arial"/>
          <w:b w:val="0"/>
          <w:bCs/>
          <w:sz w:val="22"/>
          <w:szCs w:val="22"/>
        </w:rPr>
      </w:pPr>
      <w:bookmarkStart w:id="21" w:name="_Toc226743158"/>
      <w:r w:rsidRPr="00BC6DAC">
        <w:rPr>
          <w:rFonts w:cs="Arial"/>
          <w:b w:val="0"/>
          <w:bCs/>
          <w:sz w:val="22"/>
          <w:szCs w:val="22"/>
        </w:rPr>
        <w:t>The distinction</w:t>
      </w:r>
      <w:r w:rsidR="00C91B57" w:rsidRPr="00BC6DAC">
        <w:rPr>
          <w:rFonts w:cs="Arial"/>
          <w:b w:val="0"/>
          <w:bCs/>
          <w:sz w:val="22"/>
          <w:szCs w:val="22"/>
        </w:rPr>
        <w:t xml:space="preserve"> between general “cultural myths” and the </w:t>
      </w:r>
      <w:r w:rsidR="00140C2C" w:rsidRPr="00BC6DAC">
        <w:rPr>
          <w:rFonts w:cs="Arial"/>
          <w:b w:val="0"/>
          <w:bCs/>
          <w:sz w:val="22"/>
          <w:szCs w:val="22"/>
        </w:rPr>
        <w:t>lack of “cues to action” that</w:t>
      </w:r>
      <w:r w:rsidR="00B91C19" w:rsidRPr="00BC6DAC">
        <w:rPr>
          <w:rFonts w:cs="Arial"/>
          <w:b w:val="0"/>
          <w:bCs/>
          <w:sz w:val="22"/>
          <w:szCs w:val="22"/>
        </w:rPr>
        <w:t xml:space="preserve"> </w:t>
      </w:r>
      <w:r w:rsidR="00140C2C" w:rsidRPr="00BC6DAC">
        <w:rPr>
          <w:rFonts w:cs="Arial"/>
          <w:b w:val="0"/>
          <w:bCs/>
          <w:sz w:val="22"/>
          <w:szCs w:val="22"/>
        </w:rPr>
        <w:t>lead</w:t>
      </w:r>
      <w:r w:rsidR="00B91C19" w:rsidRPr="00BC6DAC">
        <w:rPr>
          <w:rFonts w:cs="Arial"/>
          <w:b w:val="0"/>
          <w:bCs/>
          <w:sz w:val="22"/>
          <w:szCs w:val="22"/>
        </w:rPr>
        <w:t>s</w:t>
      </w:r>
      <w:r w:rsidR="00140C2C" w:rsidRPr="00BC6DAC">
        <w:rPr>
          <w:rFonts w:cs="Arial"/>
          <w:b w:val="0"/>
          <w:bCs/>
          <w:sz w:val="22"/>
          <w:szCs w:val="22"/>
        </w:rPr>
        <w:t xml:space="preserve"> to successful family discussions.</w:t>
      </w:r>
      <w:bookmarkEnd w:id="21"/>
    </w:p>
    <w:p w14:paraId="4D0D3E20" w14:textId="5E31A4F8" w:rsidR="00277DF9" w:rsidRPr="00BC6DAC" w:rsidRDefault="006F4F37" w:rsidP="009B345A">
      <w:pPr>
        <w:pStyle w:val="Heading1"/>
        <w:spacing w:line="360" w:lineRule="auto"/>
        <w:jc w:val="both"/>
        <w:rPr>
          <w:rFonts w:cs="Arial"/>
          <w:b w:val="0"/>
          <w:bCs/>
          <w:sz w:val="22"/>
          <w:szCs w:val="22"/>
        </w:rPr>
      </w:pPr>
      <w:bookmarkStart w:id="22" w:name="_Toc226743159"/>
      <w:r>
        <w:rPr>
          <w:rFonts w:cs="Arial"/>
          <w:b w:val="0"/>
          <w:bCs/>
          <w:sz w:val="22"/>
          <w:szCs w:val="22"/>
        </w:rPr>
        <w:t>A</w:t>
      </w:r>
      <w:r w:rsidR="00FC417A">
        <w:rPr>
          <w:rFonts w:cs="Arial"/>
          <w:b w:val="0"/>
          <w:bCs/>
          <w:sz w:val="22"/>
          <w:szCs w:val="22"/>
        </w:rPr>
        <w:t>dditionally</w:t>
      </w:r>
      <w:r w:rsidR="00277DF9" w:rsidRPr="00BC6DAC">
        <w:rPr>
          <w:rFonts w:cs="Arial"/>
          <w:b w:val="0"/>
          <w:bCs/>
          <w:sz w:val="22"/>
          <w:szCs w:val="22"/>
        </w:rPr>
        <w:t>, utilising an intersectional lens</w:t>
      </w:r>
      <w:r w:rsidR="00A5254A" w:rsidRPr="00BC6DAC">
        <w:rPr>
          <w:rFonts w:cs="Arial"/>
          <w:b w:val="0"/>
          <w:bCs/>
          <w:sz w:val="22"/>
          <w:szCs w:val="22"/>
        </w:rPr>
        <w:t>, the discussion explores how institutional practices</w:t>
      </w:r>
      <w:r w:rsidR="00066039" w:rsidRPr="00BC6DAC">
        <w:rPr>
          <w:rFonts w:cs="Arial"/>
          <w:b w:val="0"/>
          <w:bCs/>
          <w:sz w:val="22"/>
          <w:szCs w:val="22"/>
        </w:rPr>
        <w:t xml:space="preserve"> and overlapping social identities create compounded disadvantages </w:t>
      </w:r>
      <w:r w:rsidR="00F9558D" w:rsidRPr="00BC6DAC">
        <w:rPr>
          <w:rFonts w:cs="Arial"/>
          <w:b w:val="0"/>
          <w:bCs/>
          <w:sz w:val="22"/>
          <w:szCs w:val="22"/>
        </w:rPr>
        <w:t>in the donation pathway. Finally</w:t>
      </w:r>
      <w:r w:rsidR="0040203B" w:rsidRPr="00BC6DAC">
        <w:rPr>
          <w:rFonts w:cs="Arial"/>
          <w:b w:val="0"/>
          <w:bCs/>
          <w:sz w:val="22"/>
          <w:szCs w:val="22"/>
        </w:rPr>
        <w:t>,</w:t>
      </w:r>
      <w:r w:rsidR="00F9558D" w:rsidRPr="00BC6DAC">
        <w:rPr>
          <w:rFonts w:cs="Arial"/>
          <w:b w:val="0"/>
          <w:bCs/>
          <w:sz w:val="22"/>
          <w:szCs w:val="22"/>
        </w:rPr>
        <w:t xml:space="preserve"> this chapter </w:t>
      </w:r>
      <w:r w:rsidR="009B345A" w:rsidRPr="00BC6DAC">
        <w:rPr>
          <w:rFonts w:cs="Arial"/>
          <w:b w:val="0"/>
          <w:bCs/>
          <w:sz w:val="22"/>
          <w:szCs w:val="22"/>
        </w:rPr>
        <w:t>assesses</w:t>
      </w:r>
      <w:r w:rsidR="00F9558D" w:rsidRPr="00BC6DAC">
        <w:rPr>
          <w:rFonts w:cs="Arial"/>
          <w:b w:val="0"/>
          <w:bCs/>
          <w:sz w:val="22"/>
          <w:szCs w:val="22"/>
        </w:rPr>
        <w:t xml:space="preserve"> the limitation</w:t>
      </w:r>
      <w:r w:rsidR="0040203B" w:rsidRPr="00BC6DAC">
        <w:rPr>
          <w:rFonts w:cs="Arial"/>
          <w:b w:val="0"/>
          <w:bCs/>
          <w:sz w:val="22"/>
          <w:szCs w:val="22"/>
        </w:rPr>
        <w:t xml:space="preserve">s of current policy </w:t>
      </w:r>
      <w:r w:rsidR="0092420C" w:rsidRPr="00BC6DAC">
        <w:rPr>
          <w:rFonts w:cs="Arial"/>
          <w:b w:val="0"/>
          <w:bCs/>
          <w:sz w:val="22"/>
          <w:szCs w:val="22"/>
        </w:rPr>
        <w:t xml:space="preserve">interventions and evaluates international models of </w:t>
      </w:r>
      <w:r w:rsidR="00B71D5F" w:rsidRPr="00BC6DAC">
        <w:rPr>
          <w:rFonts w:cs="Arial"/>
          <w:b w:val="0"/>
          <w:bCs/>
          <w:sz w:val="22"/>
          <w:szCs w:val="22"/>
        </w:rPr>
        <w:t>best practice</w:t>
      </w:r>
      <w:r w:rsidR="0068693B" w:rsidRPr="00BC6DAC">
        <w:rPr>
          <w:rFonts w:cs="Arial"/>
          <w:b w:val="0"/>
          <w:bCs/>
          <w:sz w:val="22"/>
          <w:szCs w:val="22"/>
        </w:rPr>
        <w:t xml:space="preserve"> to provide the evidence-based </w:t>
      </w:r>
      <w:r w:rsidR="009B345A" w:rsidRPr="00BC6DAC">
        <w:rPr>
          <w:rFonts w:cs="Arial"/>
          <w:b w:val="0"/>
          <w:bCs/>
          <w:sz w:val="22"/>
          <w:szCs w:val="22"/>
        </w:rPr>
        <w:t>grounding for the actionable recommendations that follow.</w:t>
      </w:r>
      <w:bookmarkEnd w:id="22"/>
    </w:p>
    <w:p w14:paraId="7B6D738E" w14:textId="77777777" w:rsidR="002865F5" w:rsidRPr="00BC6DAC" w:rsidRDefault="002865F5" w:rsidP="00636D9A">
      <w:pPr>
        <w:rPr>
          <w:rFonts w:ascii="Arial" w:hAnsi="Arial" w:cs="Arial"/>
        </w:rPr>
      </w:pPr>
    </w:p>
    <w:p w14:paraId="4C87AD54" w14:textId="77777777" w:rsidR="00283CA5" w:rsidRDefault="001C3AF6" w:rsidP="00EC1CE5">
      <w:pPr>
        <w:pStyle w:val="Heading2"/>
        <w:rPr>
          <w:rFonts w:ascii="Arial" w:hAnsi="Arial" w:cs="Arial"/>
          <w:b/>
          <w:bCs/>
          <w:color w:val="auto"/>
          <w:szCs w:val="24"/>
        </w:rPr>
      </w:pPr>
      <w:bookmarkStart w:id="23" w:name="_Toc226743160"/>
      <w:r w:rsidRPr="008E4EC3">
        <w:rPr>
          <w:rFonts w:ascii="Arial" w:hAnsi="Arial" w:cs="Arial"/>
          <w:b/>
          <w:bCs/>
          <w:color w:val="auto"/>
          <w:sz w:val="22"/>
          <w:szCs w:val="22"/>
        </w:rPr>
        <w:t xml:space="preserve">4.2 – </w:t>
      </w:r>
      <w:r w:rsidRPr="008E4EC3">
        <w:rPr>
          <w:rFonts w:ascii="Arial" w:hAnsi="Arial" w:cs="Arial"/>
          <w:b/>
          <w:bCs/>
          <w:color w:val="auto"/>
          <w:szCs w:val="24"/>
        </w:rPr>
        <w:t>Thematic Analysis</w:t>
      </w:r>
      <w:bookmarkEnd w:id="23"/>
    </w:p>
    <w:p w14:paraId="2CC703F7" w14:textId="77777777" w:rsidR="000A0580" w:rsidRPr="000A0580" w:rsidRDefault="000A0580" w:rsidP="000A0580">
      <w:pPr>
        <w:rPr>
          <w:rFonts w:ascii="Arial" w:hAnsi="Arial" w:cs="Arial"/>
        </w:rPr>
      </w:pPr>
      <w:r w:rsidRPr="000A0580">
        <w:rPr>
          <w:rFonts w:ascii="Arial" w:hAnsi="Arial" w:cs="Arial"/>
        </w:rPr>
        <w:t>The thematic analysis follows Braun and Clarke’s (2006) structured approach, moving from initial familiarisation with the literature to the generation of codes and themes. Codes relating to altruism, mistrust, religious ambiguity, COVID</w:t>
      </w:r>
      <w:r w:rsidRPr="000A0580">
        <w:rPr>
          <w:rFonts w:ascii="Arial" w:hAnsi="Arial" w:cs="Arial"/>
        </w:rPr>
        <w:noBreakHyphen/>
        <w:t>19 disruptions, HLA mismatching, institutional failure, and communication barriers were grouped into the three overarching themes. Each theme addresses a distinct yet interconnected dimension of the donation pathway. The analysis aims to provide a layered understanding of how beliefs, social identities, and systemic inequalities interact to influence engagement with blood and organ donation.</w:t>
      </w:r>
    </w:p>
    <w:p w14:paraId="631087E9" w14:textId="77777777" w:rsidR="0030462D" w:rsidRPr="000A0580" w:rsidRDefault="0030462D" w:rsidP="0030462D">
      <w:pPr>
        <w:rPr>
          <w:rFonts w:ascii="Arial" w:hAnsi="Arial" w:cs="Arial"/>
        </w:rPr>
      </w:pPr>
    </w:p>
    <w:p w14:paraId="65DD72DE" w14:textId="57A4135D" w:rsidR="00EC1CE5" w:rsidRPr="008E4EC3" w:rsidRDefault="001C3AF6" w:rsidP="00EC1CE5">
      <w:pPr>
        <w:pStyle w:val="Heading2"/>
        <w:rPr>
          <w:rFonts w:ascii="Arial" w:hAnsi="Arial" w:cs="Arial"/>
          <w:b/>
          <w:bCs/>
          <w:color w:val="auto"/>
          <w:sz w:val="22"/>
          <w:szCs w:val="22"/>
        </w:rPr>
      </w:pPr>
      <w:r w:rsidRPr="008E4EC3">
        <w:rPr>
          <w:rFonts w:ascii="Arial" w:hAnsi="Arial" w:cs="Arial"/>
          <w:b/>
          <w:bCs/>
          <w:color w:val="auto"/>
          <w:sz w:val="22"/>
          <w:szCs w:val="22"/>
        </w:rPr>
        <w:t xml:space="preserve"> </w:t>
      </w:r>
    </w:p>
    <w:p w14:paraId="5EDA0379" w14:textId="3639E39B" w:rsidR="00750B5B" w:rsidRPr="006566E0" w:rsidRDefault="00750B5B" w:rsidP="000621CF">
      <w:pPr>
        <w:pStyle w:val="Heading2"/>
        <w:rPr>
          <w:rFonts w:ascii="Arial" w:hAnsi="Arial" w:cs="Arial"/>
          <w:color w:val="000000" w:themeColor="text1"/>
          <w:sz w:val="22"/>
          <w:szCs w:val="22"/>
        </w:rPr>
      </w:pPr>
      <w:bookmarkStart w:id="24" w:name="_Toc226743161"/>
      <w:r w:rsidRPr="00EC1CE5">
        <w:rPr>
          <w:rFonts w:ascii="Arial" w:hAnsi="Arial" w:cs="Arial"/>
          <w:b/>
          <w:bCs/>
          <w:color w:val="000000" w:themeColor="text1"/>
          <w:szCs w:val="24"/>
        </w:rPr>
        <w:t>Definition of Thematic Analysis</w:t>
      </w:r>
      <w:r w:rsidRPr="006566E0">
        <w:rPr>
          <w:rFonts w:ascii="Arial" w:hAnsi="Arial" w:cs="Arial"/>
          <w:b/>
          <w:bCs/>
          <w:color w:val="000000" w:themeColor="text1"/>
          <w:sz w:val="22"/>
          <w:szCs w:val="22"/>
        </w:rPr>
        <w:t>:</w:t>
      </w:r>
      <w:bookmarkEnd w:id="24"/>
    </w:p>
    <w:p w14:paraId="3B92DD20" w14:textId="665FACBB" w:rsidR="00BE1FA0" w:rsidRDefault="00B94A0A" w:rsidP="00BC6DAC">
      <w:pPr>
        <w:rPr>
          <w:rFonts w:ascii="Arial" w:hAnsi="Arial" w:cs="Arial"/>
        </w:rPr>
      </w:pPr>
      <w:r w:rsidRPr="00BC6DAC">
        <w:rPr>
          <w:rFonts w:ascii="Arial" w:hAnsi="Arial" w:cs="Arial"/>
        </w:rPr>
        <w:t>Thematic analysis is a qualitative research met</w:t>
      </w:r>
      <w:r w:rsidR="00EF5301" w:rsidRPr="00BC6DAC">
        <w:rPr>
          <w:rFonts w:ascii="Arial" w:hAnsi="Arial" w:cs="Arial"/>
        </w:rPr>
        <w:t>hod used for systematically identifying, analysing, and reporting</w:t>
      </w:r>
      <w:r w:rsidR="00E26E10" w:rsidRPr="00BC6DAC">
        <w:rPr>
          <w:rFonts w:ascii="Arial" w:hAnsi="Arial" w:cs="Arial"/>
        </w:rPr>
        <w:t xml:space="preserve"> patterns or themes within a </w:t>
      </w:r>
      <w:r w:rsidR="001A5D6B" w:rsidRPr="00BC6DAC">
        <w:rPr>
          <w:rFonts w:ascii="Arial" w:hAnsi="Arial" w:cs="Arial"/>
        </w:rPr>
        <w:t>dataset</w:t>
      </w:r>
      <w:r w:rsidR="00053B62" w:rsidRPr="00BC6DAC">
        <w:rPr>
          <w:rFonts w:ascii="Arial" w:hAnsi="Arial" w:cs="Arial"/>
        </w:rPr>
        <w:t xml:space="preserve">. </w:t>
      </w:r>
      <w:r w:rsidR="00E26E10" w:rsidRPr="00BC6DAC">
        <w:rPr>
          <w:rFonts w:ascii="Arial" w:hAnsi="Arial" w:cs="Arial"/>
        </w:rPr>
        <w:t>Braun and Clarke</w:t>
      </w:r>
      <w:r w:rsidR="001A5D6B" w:rsidRPr="00BC6DAC">
        <w:rPr>
          <w:rFonts w:ascii="Arial" w:hAnsi="Arial" w:cs="Arial"/>
        </w:rPr>
        <w:t xml:space="preserve"> (2006) define it as a foundational</w:t>
      </w:r>
      <w:r w:rsidR="000C0224" w:rsidRPr="00BC6DAC">
        <w:rPr>
          <w:rFonts w:ascii="Arial" w:hAnsi="Arial" w:cs="Arial"/>
        </w:rPr>
        <w:t xml:space="preserve"> method that offers a flexible yet rigorous framework for researchers</w:t>
      </w:r>
      <w:r w:rsidR="007E7AC0" w:rsidRPr="00BC6DAC">
        <w:rPr>
          <w:rFonts w:ascii="Arial" w:hAnsi="Arial" w:cs="Arial"/>
        </w:rPr>
        <w:t xml:space="preserve"> to make sense of the collective</w:t>
      </w:r>
      <w:r w:rsidR="00E54C33" w:rsidRPr="00BC6DAC">
        <w:rPr>
          <w:rFonts w:ascii="Arial" w:hAnsi="Arial" w:cs="Arial"/>
        </w:rPr>
        <w:t xml:space="preserve"> meanings and experiences.  In this study</w:t>
      </w:r>
      <w:r w:rsidR="00164BDB" w:rsidRPr="00BC6DAC">
        <w:rPr>
          <w:rFonts w:ascii="Arial" w:hAnsi="Arial" w:cs="Arial"/>
        </w:rPr>
        <w:t>, thematic analysis was applied through a six-stage</w:t>
      </w:r>
      <w:r w:rsidR="00A50C62" w:rsidRPr="00BC6DAC">
        <w:rPr>
          <w:rFonts w:ascii="Arial" w:hAnsi="Arial" w:cs="Arial"/>
        </w:rPr>
        <w:t xml:space="preserve"> iterative process, </w:t>
      </w:r>
      <w:r w:rsidR="00C97797">
        <w:rPr>
          <w:rFonts w:ascii="Arial" w:hAnsi="Arial" w:cs="Arial"/>
        </w:rPr>
        <w:t>enabling the synthesis of raw data presented in the Results Summary and</w:t>
      </w:r>
      <w:r w:rsidR="001171D3" w:rsidRPr="00BC6DAC">
        <w:rPr>
          <w:rFonts w:ascii="Arial" w:hAnsi="Arial" w:cs="Arial"/>
        </w:rPr>
        <w:t xml:space="preserve"> diverse literature into a cohesive</w:t>
      </w:r>
      <w:r w:rsidR="006010E8" w:rsidRPr="00BC6DAC">
        <w:rPr>
          <w:rFonts w:ascii="Arial" w:hAnsi="Arial" w:cs="Arial"/>
        </w:rPr>
        <w:t xml:space="preserve"> narrative that addresses the research objective</w:t>
      </w:r>
      <w:r w:rsidR="00BE1FA0">
        <w:rPr>
          <w:rFonts w:ascii="Arial" w:hAnsi="Arial" w:cs="Arial"/>
        </w:rPr>
        <w:t>.</w:t>
      </w:r>
    </w:p>
    <w:p w14:paraId="57539B5E" w14:textId="0C5BDF51" w:rsidR="00292089" w:rsidRPr="00BC6DAC" w:rsidRDefault="00750B5B" w:rsidP="00BC6DAC">
      <w:pPr>
        <w:rPr>
          <w:rFonts w:ascii="Arial" w:hAnsi="Arial" w:cs="Arial"/>
        </w:rPr>
      </w:pPr>
      <w:r w:rsidRPr="00BC6DAC">
        <w:rPr>
          <w:rFonts w:ascii="Arial" w:hAnsi="Arial" w:cs="Arial"/>
        </w:rPr>
        <w:t xml:space="preserve">  </w:t>
      </w:r>
      <w:r w:rsidRPr="00BC6DAC">
        <w:rPr>
          <w:rFonts w:ascii="Arial" w:hAnsi="Arial" w:cs="Arial"/>
          <w:b/>
          <w:bCs/>
        </w:rPr>
        <w:t>Link to Coding/Results Table:</w:t>
      </w:r>
    </w:p>
    <w:p w14:paraId="15A0E086" w14:textId="336939AA" w:rsidR="00002BD8" w:rsidRPr="00BC6DAC" w:rsidRDefault="00002BD8" w:rsidP="00AE155D">
      <w:pPr>
        <w:numPr>
          <w:ilvl w:val="0"/>
          <w:numId w:val="14"/>
        </w:numPr>
        <w:rPr>
          <w:rFonts w:ascii="Arial" w:hAnsi="Arial" w:cs="Arial"/>
        </w:rPr>
      </w:pPr>
      <w:r w:rsidRPr="00BC6DAC">
        <w:rPr>
          <w:rFonts w:ascii="Arial" w:hAnsi="Arial" w:cs="Arial"/>
          <w:b/>
          <w:bCs/>
        </w:rPr>
        <w:t>Result</w:t>
      </w:r>
      <w:r w:rsidR="00A90538" w:rsidRPr="00BC6DAC">
        <w:rPr>
          <w:rFonts w:ascii="Arial" w:hAnsi="Arial" w:cs="Arial"/>
          <w:b/>
          <w:bCs/>
        </w:rPr>
        <w:t>s Summary Table</w:t>
      </w:r>
      <w:r w:rsidR="000F03F5" w:rsidRPr="00BC6DAC">
        <w:rPr>
          <w:rFonts w:ascii="Arial" w:hAnsi="Arial" w:cs="Arial"/>
          <w:b/>
          <w:bCs/>
        </w:rPr>
        <w:t xml:space="preserve">: </w:t>
      </w:r>
    </w:p>
    <w:p w14:paraId="3D3C5DCD" w14:textId="6481818B" w:rsidR="00750B5B" w:rsidRPr="00BC6DAC" w:rsidRDefault="00A21985" w:rsidP="00A21985">
      <w:pPr>
        <w:tabs>
          <w:tab w:val="right" w:pos="9026"/>
        </w:tabs>
        <w:rPr>
          <w:rFonts w:ascii="Arial" w:hAnsi="Arial" w:cs="Arial"/>
        </w:rPr>
      </w:pPr>
      <w:r w:rsidRPr="00BC6DAC">
        <w:rPr>
          <w:rFonts w:ascii="Arial" w:hAnsi="Arial" w:cs="Arial"/>
          <w:b/>
          <w:bCs/>
        </w:rPr>
        <w:tab/>
      </w:r>
    </w:p>
    <w:p w14:paraId="3B39D7B4" w14:textId="588753A6" w:rsidR="00636D9A" w:rsidRPr="00837E62" w:rsidRDefault="00750B5B" w:rsidP="001C3AF6">
      <w:pPr>
        <w:rPr>
          <w:rFonts w:ascii="Arial" w:hAnsi="Arial" w:cs="Arial"/>
          <w:sz w:val="24"/>
          <w:szCs w:val="24"/>
        </w:rPr>
      </w:pPr>
      <w:r w:rsidRPr="00BC6DAC">
        <w:rPr>
          <w:rFonts w:ascii="Arial" w:hAnsi="Arial" w:cs="Arial"/>
        </w:rPr>
        <w:t xml:space="preserve"> </w:t>
      </w:r>
      <w:r w:rsidR="001736DF" w:rsidRPr="00837E62">
        <w:rPr>
          <w:rFonts w:ascii="Arial" w:hAnsi="Arial" w:cs="Arial"/>
          <w:sz w:val="24"/>
          <w:szCs w:val="24"/>
        </w:rPr>
        <w:t>Identified</w:t>
      </w:r>
      <w:r w:rsidRPr="00837E62">
        <w:rPr>
          <w:rFonts w:ascii="Arial" w:hAnsi="Arial" w:cs="Arial"/>
          <w:sz w:val="24"/>
          <w:szCs w:val="24"/>
        </w:rPr>
        <w:t xml:space="preserve"> </w:t>
      </w:r>
      <w:r w:rsidR="001736DF" w:rsidRPr="00837E62">
        <w:rPr>
          <w:rFonts w:ascii="Arial" w:hAnsi="Arial" w:cs="Arial"/>
          <w:sz w:val="24"/>
          <w:szCs w:val="24"/>
        </w:rPr>
        <w:t>T</w:t>
      </w:r>
      <w:r w:rsidRPr="00837E62">
        <w:rPr>
          <w:rFonts w:ascii="Arial" w:hAnsi="Arial" w:cs="Arial"/>
          <w:sz w:val="24"/>
          <w:szCs w:val="24"/>
        </w:rPr>
        <w:t>hemes</w:t>
      </w:r>
    </w:p>
    <w:p w14:paraId="08576771" w14:textId="77777777" w:rsidR="003A7276" w:rsidRDefault="001C3AF6" w:rsidP="000621CF">
      <w:pPr>
        <w:pStyle w:val="Heading2"/>
        <w:rPr>
          <w:rFonts w:ascii="Arial" w:hAnsi="Arial" w:cs="Arial"/>
          <w:sz w:val="22"/>
          <w:szCs w:val="22"/>
        </w:rPr>
      </w:pPr>
      <w:bookmarkStart w:id="25" w:name="_Toc226743162"/>
      <w:r w:rsidRPr="008E4EC3">
        <w:rPr>
          <w:rFonts w:ascii="Arial" w:hAnsi="Arial" w:cs="Arial"/>
          <w:b/>
          <w:bCs/>
          <w:color w:val="auto"/>
          <w:sz w:val="22"/>
          <w:szCs w:val="22"/>
        </w:rPr>
        <w:t xml:space="preserve">4.3 </w:t>
      </w:r>
      <w:r w:rsidRPr="008E4EC3">
        <w:rPr>
          <w:rFonts w:ascii="Arial" w:hAnsi="Arial" w:cs="Arial"/>
          <w:b/>
          <w:bCs/>
          <w:color w:val="auto"/>
          <w:szCs w:val="24"/>
        </w:rPr>
        <w:t>– Theme 1</w:t>
      </w:r>
      <w:r w:rsidRPr="008E4EC3">
        <w:rPr>
          <w:rFonts w:ascii="Arial" w:hAnsi="Arial" w:cs="Arial"/>
          <w:color w:val="auto"/>
          <w:sz w:val="22"/>
          <w:szCs w:val="22"/>
        </w:rPr>
        <w:t xml:space="preserve"> </w:t>
      </w:r>
      <w:r w:rsidRPr="00BC6DAC">
        <w:rPr>
          <w:rFonts w:ascii="Arial" w:hAnsi="Arial" w:cs="Arial"/>
          <w:sz w:val="22"/>
          <w:szCs w:val="22"/>
        </w:rPr>
        <w:t>(</w:t>
      </w:r>
      <w:r w:rsidR="005E53DD" w:rsidRPr="00BC6DAC">
        <w:rPr>
          <w:rFonts w:ascii="Arial" w:hAnsi="Arial" w:cs="Arial"/>
          <w:b/>
          <w:bCs/>
          <w:sz w:val="22"/>
          <w:szCs w:val="22"/>
          <w:highlight w:val="cyan"/>
        </w:rPr>
        <w:t>Socio-Cultural Beliefs and Individual Decision Making</w:t>
      </w:r>
      <w:r w:rsidRPr="00BC6DAC">
        <w:rPr>
          <w:rFonts w:ascii="Arial" w:hAnsi="Arial" w:cs="Arial"/>
          <w:sz w:val="22"/>
          <w:szCs w:val="22"/>
        </w:rPr>
        <w:t>)</w:t>
      </w:r>
      <w:bookmarkEnd w:id="25"/>
    </w:p>
    <w:p w14:paraId="7C934F82" w14:textId="77777777" w:rsidR="003A7276" w:rsidRPr="003A7276" w:rsidRDefault="003A7276" w:rsidP="000621CF"/>
    <w:p w14:paraId="7559D72B" w14:textId="58BC2204" w:rsidR="009E0A36" w:rsidRDefault="003A7276" w:rsidP="000621CF">
      <w:pPr>
        <w:rPr>
          <w:rFonts w:ascii="Arial" w:hAnsi="Arial" w:cs="Arial"/>
        </w:rPr>
      </w:pPr>
      <w:r w:rsidRPr="00965089">
        <w:rPr>
          <w:rFonts w:ascii="Arial" w:hAnsi="Arial" w:cs="Arial"/>
        </w:rPr>
        <w:t xml:space="preserve">Socio-cultural beliefs extend beyond individual preferences, creating a complex network of shared values, societal norms, religious doctrines, collective histories, and community expectations. These beliefs shape how people perceive and interpret health-related information, affecting their judgment regarding the reliability and effectiveness of medical interventions. In the context of blood and organ donation, socio-cultural beliefs significantly influence individuals' attitudes toward several key concepts, including bodily integrity, the essence of altruism, and the level of trust they have in healthcare institutions. For instance, in many cultures, the body is viewed as sacred, which can lead to hesitance about organ donation due to concerns over maintaining bodily integrity. This perspective can create a barrier to donation, as individuals may feel that giving away a part of themselves violates their deeply held beliefs about the sanctity of the human body. Moreover, the concept of altruism in the context of donation varies widely between cultures. In some communities, donating blood or organs is seen not just as a selfless act but as a moral obligation or communal responsibility. According to Ferguson (2019), this perspective fosters a sense of reciprocity, </w:t>
      </w:r>
      <w:r w:rsidR="00B57470">
        <w:rPr>
          <w:rFonts w:ascii="Arial" w:hAnsi="Arial" w:cs="Arial"/>
        </w:rPr>
        <w:t>where</w:t>
      </w:r>
      <w:r w:rsidR="008C53A0">
        <w:rPr>
          <w:rFonts w:ascii="Arial" w:hAnsi="Arial" w:cs="Arial"/>
        </w:rPr>
        <w:t xml:space="preserve"> i</w:t>
      </w:r>
      <w:r w:rsidR="00B57470">
        <w:rPr>
          <w:rFonts w:ascii="Arial" w:hAnsi="Arial" w:cs="Arial"/>
        </w:rPr>
        <w:t>ndividuals</w:t>
      </w:r>
      <w:r w:rsidRPr="00965089">
        <w:rPr>
          <w:rFonts w:ascii="Arial" w:hAnsi="Arial" w:cs="Arial"/>
        </w:rPr>
        <w:t xml:space="preserve"> feel interconnected with their community, leading to a collective ethos that contrasts with more individualistic views typical in Western societies. </w:t>
      </w:r>
    </w:p>
    <w:p w14:paraId="5E791BB3" w14:textId="77777777" w:rsidR="008A6332" w:rsidRDefault="008A6332" w:rsidP="000621CF">
      <w:pPr>
        <w:rPr>
          <w:rFonts w:ascii="Arial" w:hAnsi="Arial" w:cs="Arial"/>
        </w:rPr>
      </w:pPr>
    </w:p>
    <w:p w14:paraId="76337786" w14:textId="0AD15F06" w:rsidR="00B57470" w:rsidRDefault="003A7276" w:rsidP="000621CF">
      <w:pPr>
        <w:rPr>
          <w:rFonts w:ascii="Arial" w:hAnsi="Arial" w:cs="Arial"/>
        </w:rPr>
      </w:pPr>
      <w:r w:rsidRPr="00965089">
        <w:rPr>
          <w:rFonts w:ascii="Arial" w:hAnsi="Arial" w:cs="Arial"/>
        </w:rPr>
        <w:t xml:space="preserve">In this framework, the act of donating is regarded as not </w:t>
      </w:r>
      <w:r w:rsidR="000D010B">
        <w:rPr>
          <w:rFonts w:ascii="Arial" w:hAnsi="Arial" w:cs="Arial"/>
        </w:rPr>
        <w:t>just</w:t>
      </w:r>
      <w:r w:rsidRPr="00965089">
        <w:rPr>
          <w:rFonts w:ascii="Arial" w:hAnsi="Arial" w:cs="Arial"/>
        </w:rPr>
        <w:t xml:space="preserve"> a personal choice but a reflection of one’s duty to family and society.  </w:t>
      </w:r>
      <w:r w:rsidR="00A06C1B">
        <w:rPr>
          <w:rFonts w:ascii="Arial" w:hAnsi="Arial" w:cs="Arial"/>
        </w:rPr>
        <w:t>T</w:t>
      </w:r>
      <w:r w:rsidRPr="00965089">
        <w:rPr>
          <w:rFonts w:ascii="Arial" w:hAnsi="Arial" w:cs="Arial"/>
        </w:rPr>
        <w:t>hese socio-cultural perspectives are closel</w:t>
      </w:r>
      <w:r w:rsidR="003528B1">
        <w:rPr>
          <w:rFonts w:ascii="Arial" w:hAnsi="Arial" w:cs="Arial"/>
        </w:rPr>
        <w:t>y</w:t>
      </w:r>
    </w:p>
    <w:p w14:paraId="2A2EA9A4" w14:textId="18F39080" w:rsidR="00827105" w:rsidRDefault="003A7276" w:rsidP="000621CF">
      <w:pPr>
        <w:rPr>
          <w:rFonts w:ascii="Arial" w:hAnsi="Arial" w:cs="Arial"/>
        </w:rPr>
      </w:pPr>
      <w:r w:rsidRPr="00965089">
        <w:rPr>
          <w:rFonts w:ascii="Arial" w:hAnsi="Arial" w:cs="Arial"/>
        </w:rPr>
        <w:t xml:space="preserve">linked to how individuals perceive the benefits and risks of donation. Within the Health Belief Model (HBM), these beliefs can influence perceptions of donation as either a </w:t>
      </w:r>
      <w:r w:rsidR="008A6332" w:rsidRPr="00965089">
        <w:rPr>
          <w:rFonts w:ascii="Arial" w:hAnsi="Arial" w:cs="Arial"/>
        </w:rPr>
        <w:t>lifesaving</w:t>
      </w:r>
      <w:r w:rsidRPr="00965089">
        <w:rPr>
          <w:rFonts w:ascii="Arial" w:hAnsi="Arial" w:cs="Arial"/>
        </w:rPr>
        <w:t xml:space="preserve"> </w:t>
      </w:r>
    </w:p>
    <w:p w14:paraId="6E4526D0" w14:textId="4AB4389E" w:rsidR="0003489D" w:rsidRDefault="003A7276" w:rsidP="003528B1">
      <w:pPr>
        <w:rPr>
          <w:rFonts w:ascii="Arial" w:hAnsi="Arial" w:cs="Arial"/>
        </w:rPr>
      </w:pPr>
      <w:r w:rsidRPr="00965089">
        <w:rPr>
          <w:rFonts w:ascii="Arial" w:hAnsi="Arial" w:cs="Arial"/>
        </w:rPr>
        <w:t xml:space="preserve">intervention or a spiritually questionable act. </w:t>
      </w:r>
      <w:r w:rsidR="00A06C1B">
        <w:rPr>
          <w:rFonts w:ascii="Arial" w:hAnsi="Arial" w:cs="Arial"/>
        </w:rPr>
        <w:t xml:space="preserve"> </w:t>
      </w:r>
      <w:r w:rsidRPr="00965089">
        <w:rPr>
          <w:rFonts w:ascii="Arial" w:hAnsi="Arial" w:cs="Arial"/>
        </w:rPr>
        <w:t>For some, the fear of violating religious tenets or cultural values may overshadow the potential life-saving benefits of donation, resulting in apprehension and reluctance to participate. Overall, understanding the diverse socio-cultural beliefs surrounding blood and organ donation is essential for healthcare providers who aim to promote these practices. By acknowledging and addressing these influences, public health initiatives can create a more supportive environment that respects diverse cultural perspectives, ultimately encouraging more individuals to consider donation as a viable and positive choice.</w:t>
      </w:r>
    </w:p>
    <w:p w14:paraId="5C1AAD9B" w14:textId="1A2D3D2A" w:rsidR="007063BA" w:rsidRPr="00022586" w:rsidRDefault="007063BA" w:rsidP="000621CF">
      <w:pPr>
        <w:pStyle w:val="Heading4"/>
        <w:rPr>
          <w:rFonts w:ascii="Arial" w:hAnsi="Arial" w:cs="Arial"/>
          <w:color w:val="000000" w:themeColor="text1"/>
        </w:rPr>
      </w:pPr>
      <w:r w:rsidRPr="00827105">
        <w:rPr>
          <w:rStyle w:val="Strong"/>
          <w:rFonts w:ascii="Arial" w:hAnsi="Arial" w:cs="Arial"/>
          <w:i w:val="0"/>
          <w:iCs w:val="0"/>
          <w:color w:val="000000" w:themeColor="text1"/>
          <w:sz w:val="24"/>
          <w:szCs w:val="24"/>
        </w:rPr>
        <w:t>Definition</w:t>
      </w:r>
      <w:r w:rsidRPr="002D7794">
        <w:rPr>
          <w:rStyle w:val="Strong"/>
          <w:rFonts w:ascii="Arial" w:hAnsi="Arial" w:cs="Arial"/>
          <w:color w:val="000000" w:themeColor="text1"/>
          <w:sz w:val="24"/>
          <w:szCs w:val="24"/>
        </w:rPr>
        <w:t>:</w:t>
      </w:r>
      <w:r w:rsidR="000433FE" w:rsidRPr="002D7794">
        <w:rPr>
          <w:rStyle w:val="Strong"/>
          <w:rFonts w:ascii="Arial" w:hAnsi="Arial" w:cs="Arial"/>
          <w:color w:val="000000" w:themeColor="text1"/>
          <w:sz w:val="24"/>
          <w:szCs w:val="24"/>
        </w:rPr>
        <w:t xml:space="preserve"> </w:t>
      </w:r>
      <w:r w:rsidR="00935ADF" w:rsidRPr="00D54194">
        <w:rPr>
          <w:rFonts w:ascii="Arial" w:hAnsi="Arial" w:cs="Arial"/>
          <w:i w:val="0"/>
          <w:iCs w:val="0"/>
          <w:color w:val="000000" w:themeColor="text1"/>
        </w:rPr>
        <w:t xml:space="preserve">Socio-cultural beliefs in health research are </w:t>
      </w:r>
      <w:r w:rsidR="007235E6" w:rsidRPr="00D54194">
        <w:rPr>
          <w:rFonts w:ascii="Arial" w:hAnsi="Arial" w:cs="Arial"/>
          <w:i w:val="0"/>
          <w:iCs w:val="0"/>
          <w:color w:val="000000" w:themeColor="text1"/>
        </w:rPr>
        <w:t xml:space="preserve">the shared values, norms, religious interpretations, and </w:t>
      </w:r>
      <w:r w:rsidR="00E71405" w:rsidRPr="00D54194">
        <w:rPr>
          <w:rFonts w:ascii="Arial" w:hAnsi="Arial" w:cs="Arial"/>
          <w:i w:val="0"/>
          <w:iCs w:val="0"/>
          <w:color w:val="000000" w:themeColor="text1"/>
        </w:rPr>
        <w:t>community</w:t>
      </w:r>
      <w:r w:rsidR="005C1752" w:rsidRPr="00D54194">
        <w:rPr>
          <w:rFonts w:ascii="Arial" w:hAnsi="Arial" w:cs="Arial"/>
          <w:i w:val="0"/>
          <w:iCs w:val="0"/>
          <w:color w:val="000000" w:themeColor="text1"/>
        </w:rPr>
        <w:t xml:space="preserve"> narratives</w:t>
      </w:r>
      <w:r w:rsidR="000B5388" w:rsidRPr="00D54194">
        <w:rPr>
          <w:rFonts w:ascii="Arial" w:hAnsi="Arial" w:cs="Arial"/>
          <w:i w:val="0"/>
          <w:iCs w:val="0"/>
          <w:color w:val="000000" w:themeColor="text1"/>
        </w:rPr>
        <w:t xml:space="preserve"> that influence how a community perceives</w:t>
      </w:r>
      <w:r w:rsidR="00293492" w:rsidRPr="00D54194">
        <w:rPr>
          <w:rFonts w:ascii="Arial" w:hAnsi="Arial" w:cs="Arial"/>
          <w:i w:val="0"/>
          <w:iCs w:val="0"/>
          <w:color w:val="000000" w:themeColor="text1"/>
        </w:rPr>
        <w:t xml:space="preserve"> medical interventions and bodily autonomy</w:t>
      </w:r>
      <w:r w:rsidR="00DA1034" w:rsidRPr="0089540C">
        <w:rPr>
          <w:rFonts w:ascii="Arial" w:hAnsi="Arial" w:cs="Arial"/>
          <w:color w:val="000000" w:themeColor="text1"/>
        </w:rPr>
        <w:t>.</w:t>
      </w:r>
      <w:r w:rsidR="00DA1034" w:rsidRPr="002669F1">
        <w:rPr>
          <w:rFonts w:ascii="Arial" w:hAnsi="Arial" w:cs="Arial"/>
          <w:color w:val="000000" w:themeColor="text1"/>
        </w:rPr>
        <w:t xml:space="preserve"> </w:t>
      </w:r>
    </w:p>
    <w:p w14:paraId="0682F5EB" w14:textId="76E6C3D5" w:rsidR="007063BA" w:rsidRPr="0089540C" w:rsidRDefault="0005442D" w:rsidP="000621CF">
      <w:pPr>
        <w:spacing w:before="100" w:beforeAutospacing="1" w:after="100" w:afterAutospacing="1"/>
        <w:rPr>
          <w:rFonts w:ascii="Arial" w:hAnsi="Arial" w:cs="Arial"/>
          <w:b/>
          <w:bCs/>
          <w:sz w:val="24"/>
          <w:szCs w:val="24"/>
        </w:rPr>
      </w:pPr>
      <w:r w:rsidRPr="0089540C">
        <w:rPr>
          <w:rFonts w:ascii="Arial" w:hAnsi="Arial" w:cs="Arial"/>
          <w:b/>
          <w:bCs/>
          <w:sz w:val="24"/>
          <w:szCs w:val="24"/>
        </w:rPr>
        <w:t>Terminology</w:t>
      </w:r>
    </w:p>
    <w:p w14:paraId="7A6DC003" w14:textId="79325AFA" w:rsidR="0089540C" w:rsidRPr="0089540C" w:rsidRDefault="0005442D" w:rsidP="000621CF">
      <w:pPr>
        <w:pStyle w:val="ListParagraph"/>
        <w:numPr>
          <w:ilvl w:val="0"/>
          <w:numId w:val="22"/>
        </w:numPr>
        <w:spacing w:before="100" w:beforeAutospacing="1" w:after="100" w:afterAutospacing="1" w:line="360" w:lineRule="auto"/>
        <w:jc w:val="both"/>
        <w:rPr>
          <w:rFonts w:ascii="Arial" w:hAnsi="Arial" w:cs="Arial"/>
          <w:sz w:val="24"/>
          <w:szCs w:val="24"/>
        </w:rPr>
      </w:pPr>
      <w:r w:rsidRPr="0005442D">
        <w:rPr>
          <w:rFonts w:ascii="Arial" w:hAnsi="Arial" w:cs="Arial"/>
          <w:b/>
          <w:bCs/>
          <w:sz w:val="24"/>
          <w:szCs w:val="24"/>
        </w:rPr>
        <w:t>State of readiness:</w:t>
      </w:r>
      <w:r w:rsidRPr="0005442D">
        <w:rPr>
          <w:rFonts w:ascii="Arial" w:hAnsi="Arial" w:cs="Arial"/>
          <w:sz w:val="24"/>
          <w:szCs w:val="24"/>
        </w:rPr>
        <w:t xml:space="preserve"> The degree to which a community is prepare</w:t>
      </w:r>
      <w:r w:rsidR="0089540C">
        <w:rPr>
          <w:rFonts w:ascii="Arial" w:hAnsi="Arial" w:cs="Arial"/>
          <w:sz w:val="24"/>
          <w:szCs w:val="24"/>
        </w:rPr>
        <w:t xml:space="preserve">d </w:t>
      </w:r>
      <w:r w:rsidRPr="0005442D">
        <w:rPr>
          <w:rFonts w:ascii="Arial" w:hAnsi="Arial" w:cs="Arial"/>
          <w:sz w:val="24"/>
          <w:szCs w:val="24"/>
        </w:rPr>
        <w:t>culturally, socially, and educationally</w:t>
      </w:r>
      <w:r w:rsidR="0089540C">
        <w:rPr>
          <w:rFonts w:ascii="Arial" w:hAnsi="Arial" w:cs="Arial"/>
          <w:sz w:val="24"/>
          <w:szCs w:val="24"/>
        </w:rPr>
        <w:t xml:space="preserve"> </w:t>
      </w:r>
      <w:r w:rsidRPr="0005442D">
        <w:rPr>
          <w:rFonts w:ascii="Arial" w:hAnsi="Arial" w:cs="Arial"/>
          <w:sz w:val="24"/>
          <w:szCs w:val="24"/>
        </w:rPr>
        <w:t xml:space="preserve">to engage with donation campaigns. </w:t>
      </w:r>
    </w:p>
    <w:p w14:paraId="13E8A905" w14:textId="025F3BE4" w:rsidR="0005442D" w:rsidRPr="0005442D" w:rsidRDefault="0005442D" w:rsidP="000621CF">
      <w:pPr>
        <w:pStyle w:val="ListParagraph"/>
        <w:numPr>
          <w:ilvl w:val="0"/>
          <w:numId w:val="22"/>
        </w:numPr>
        <w:spacing w:before="100" w:beforeAutospacing="1" w:after="100" w:afterAutospacing="1" w:line="360" w:lineRule="auto"/>
        <w:jc w:val="both"/>
        <w:rPr>
          <w:rFonts w:ascii="Arial" w:hAnsi="Arial" w:cs="Arial"/>
          <w:sz w:val="24"/>
          <w:szCs w:val="24"/>
        </w:rPr>
      </w:pPr>
      <w:r w:rsidRPr="0005442D">
        <w:rPr>
          <w:rFonts w:ascii="Arial" w:hAnsi="Arial" w:cs="Arial"/>
          <w:b/>
          <w:bCs/>
          <w:sz w:val="24"/>
          <w:szCs w:val="24"/>
        </w:rPr>
        <w:t>Bodily integrity:</w:t>
      </w:r>
      <w:r w:rsidRPr="0005442D">
        <w:rPr>
          <w:rFonts w:ascii="Arial" w:hAnsi="Arial" w:cs="Arial"/>
          <w:sz w:val="24"/>
          <w:szCs w:val="24"/>
        </w:rPr>
        <w:t xml:space="preserve"> The belief that the body should remain intact after death, often rooted in religious and spiritual traditions. </w:t>
      </w:r>
    </w:p>
    <w:p w14:paraId="2AE3CC1E" w14:textId="1514E6A7" w:rsidR="008E083D" w:rsidRPr="00DC25B6" w:rsidRDefault="0005442D" w:rsidP="00365106">
      <w:pPr>
        <w:pStyle w:val="ListParagraph"/>
        <w:numPr>
          <w:ilvl w:val="0"/>
          <w:numId w:val="22"/>
        </w:numPr>
        <w:spacing w:before="100" w:beforeAutospacing="1" w:after="100" w:afterAutospacing="1" w:line="360" w:lineRule="auto"/>
        <w:jc w:val="both"/>
        <w:rPr>
          <w:rFonts w:ascii="Arial" w:hAnsi="Arial" w:cs="Arial"/>
          <w:sz w:val="24"/>
          <w:szCs w:val="24"/>
        </w:rPr>
      </w:pPr>
      <w:r w:rsidRPr="0089540C">
        <w:rPr>
          <w:rFonts w:ascii="Arial" w:hAnsi="Arial" w:cs="Arial"/>
          <w:b/>
          <w:bCs/>
          <w:sz w:val="24"/>
          <w:szCs w:val="24"/>
        </w:rPr>
        <w:t>Trust deficit:</w:t>
      </w:r>
      <w:r w:rsidRPr="0089540C">
        <w:rPr>
          <w:rFonts w:ascii="Arial" w:hAnsi="Arial" w:cs="Arial"/>
          <w:sz w:val="24"/>
          <w:szCs w:val="24"/>
        </w:rPr>
        <w:t xml:space="preserve"> Long</w:t>
      </w:r>
      <w:r w:rsidRPr="0089540C">
        <w:rPr>
          <w:rFonts w:ascii="Arial" w:hAnsi="Arial" w:cs="Arial"/>
          <w:sz w:val="24"/>
          <w:szCs w:val="24"/>
        </w:rPr>
        <w:noBreakHyphen/>
        <w:t>standing historical mistrust of medical institutions due to past injustices and unequal treatment.</w:t>
      </w:r>
    </w:p>
    <w:p w14:paraId="5FA49FAF" w14:textId="77777777" w:rsidR="008A6332" w:rsidRDefault="008A6332" w:rsidP="00365106">
      <w:pPr>
        <w:pStyle w:val="Heading4"/>
        <w:rPr>
          <w:rFonts w:ascii="Arial" w:hAnsi="Arial" w:cs="Arial"/>
          <w:b/>
          <w:bCs/>
          <w:i w:val="0"/>
          <w:iCs w:val="0"/>
          <w:color w:val="auto"/>
          <w:sz w:val="24"/>
          <w:szCs w:val="24"/>
        </w:rPr>
      </w:pPr>
    </w:p>
    <w:p w14:paraId="0BB284EB" w14:textId="77777777" w:rsidR="008A6332" w:rsidRDefault="008A6332" w:rsidP="00365106">
      <w:pPr>
        <w:pStyle w:val="Heading4"/>
        <w:rPr>
          <w:rFonts w:ascii="Arial" w:hAnsi="Arial" w:cs="Arial"/>
          <w:b/>
          <w:bCs/>
          <w:i w:val="0"/>
          <w:iCs w:val="0"/>
          <w:color w:val="auto"/>
          <w:sz w:val="24"/>
          <w:szCs w:val="24"/>
        </w:rPr>
      </w:pPr>
    </w:p>
    <w:p w14:paraId="7DE9C663" w14:textId="77777777" w:rsidR="008A6332" w:rsidRDefault="008A6332" w:rsidP="00365106">
      <w:pPr>
        <w:pStyle w:val="Heading4"/>
        <w:rPr>
          <w:rFonts w:ascii="Arial" w:hAnsi="Arial" w:cs="Arial"/>
          <w:b/>
          <w:bCs/>
          <w:i w:val="0"/>
          <w:iCs w:val="0"/>
          <w:color w:val="auto"/>
          <w:sz w:val="24"/>
          <w:szCs w:val="24"/>
        </w:rPr>
      </w:pPr>
    </w:p>
    <w:p w14:paraId="496DEA9B" w14:textId="77777777" w:rsidR="005212F7" w:rsidRDefault="005212F7" w:rsidP="005212F7"/>
    <w:p w14:paraId="34F54453" w14:textId="77777777" w:rsidR="005212F7" w:rsidRPr="005212F7" w:rsidRDefault="005212F7" w:rsidP="005212F7"/>
    <w:p w14:paraId="18FEB2D5" w14:textId="77777777" w:rsidR="005212F7" w:rsidRDefault="005212F7" w:rsidP="00365106">
      <w:pPr>
        <w:pStyle w:val="Heading4"/>
        <w:rPr>
          <w:rFonts w:ascii="Arial" w:hAnsi="Arial" w:cs="Arial"/>
          <w:b/>
          <w:bCs/>
          <w:i w:val="0"/>
          <w:iCs w:val="0"/>
          <w:color w:val="auto"/>
          <w:sz w:val="24"/>
          <w:szCs w:val="24"/>
        </w:rPr>
      </w:pPr>
    </w:p>
    <w:p w14:paraId="6920ED58" w14:textId="25BB2ECA" w:rsidR="007063BA" w:rsidRPr="003528B1" w:rsidRDefault="007063BA" w:rsidP="00365106">
      <w:pPr>
        <w:pStyle w:val="Heading4"/>
        <w:rPr>
          <w:rFonts w:ascii="Arial" w:hAnsi="Arial" w:cs="Arial"/>
          <w:b/>
          <w:bCs/>
          <w:i w:val="0"/>
          <w:iCs w:val="0"/>
          <w:color w:val="auto"/>
          <w:sz w:val="24"/>
          <w:szCs w:val="24"/>
        </w:rPr>
      </w:pPr>
      <w:r w:rsidRPr="003528B1">
        <w:rPr>
          <w:rFonts w:ascii="Arial" w:hAnsi="Arial" w:cs="Arial"/>
          <w:b/>
          <w:bCs/>
          <w:i w:val="0"/>
          <w:iCs w:val="0"/>
          <w:color w:val="auto"/>
          <w:sz w:val="24"/>
          <w:szCs w:val="24"/>
        </w:rPr>
        <w:t>Background Information</w:t>
      </w:r>
    </w:p>
    <w:p w14:paraId="3F170776" w14:textId="5011EC1C" w:rsidR="00985259" w:rsidRPr="00365106" w:rsidRDefault="007063BA" w:rsidP="00AE155D">
      <w:pPr>
        <w:numPr>
          <w:ilvl w:val="0"/>
          <w:numId w:val="7"/>
        </w:numPr>
        <w:spacing w:before="100" w:beforeAutospacing="1" w:after="100" w:afterAutospacing="1"/>
        <w:rPr>
          <w:rFonts w:ascii="Arial" w:hAnsi="Arial" w:cs="Arial"/>
        </w:rPr>
      </w:pPr>
      <w:r w:rsidRPr="00365106">
        <w:rPr>
          <w:rStyle w:val="Strong"/>
          <w:rFonts w:ascii="Arial" w:hAnsi="Arial" w:cs="Arial"/>
        </w:rPr>
        <w:t>Historical/Contextual Background:</w:t>
      </w:r>
    </w:p>
    <w:p w14:paraId="7FE9BFE1" w14:textId="6BCDA233" w:rsidR="007C74AA" w:rsidRPr="00A7250E" w:rsidRDefault="00985259" w:rsidP="00913F7B">
      <w:pPr>
        <w:spacing w:before="100" w:beforeAutospacing="1" w:after="100" w:afterAutospacing="1"/>
        <w:rPr>
          <w:rFonts w:ascii="Arial" w:hAnsi="Arial" w:cs="Arial"/>
        </w:rPr>
      </w:pPr>
      <w:r w:rsidRPr="00A7250E">
        <w:rPr>
          <w:rFonts w:ascii="Arial" w:hAnsi="Arial" w:cs="Arial"/>
        </w:rPr>
        <w:t>Historically, the interaction between B</w:t>
      </w:r>
      <w:r w:rsidR="004372A9" w:rsidRPr="00A7250E">
        <w:rPr>
          <w:rFonts w:ascii="Arial" w:hAnsi="Arial" w:cs="Arial"/>
        </w:rPr>
        <w:t>AME</w:t>
      </w:r>
      <w:r w:rsidRPr="00A7250E">
        <w:rPr>
          <w:rFonts w:ascii="Arial" w:hAnsi="Arial" w:cs="Arial"/>
        </w:rPr>
        <w:t xml:space="preserve"> communities and the UK’s organ donation system has been defined by a tension between traditional values and emerging medical technologies. In the mid-20th century, as transplantation became a clinical reality, many minority groups relied on "precautionary" theological stances, often viewing donation as a violation of bodily integrity (Padela and Zaganjor, 2014). This legacy created deep-</w:t>
      </w:r>
      <w:r w:rsidR="004372A9" w:rsidRPr="00A7250E">
        <w:rPr>
          <w:rFonts w:ascii="Arial" w:hAnsi="Arial" w:cs="Arial"/>
        </w:rPr>
        <w:t>rooted</w:t>
      </w:r>
      <w:r w:rsidRPr="00A7250E">
        <w:rPr>
          <w:rFonts w:ascii="Arial" w:hAnsi="Arial" w:cs="Arial"/>
        </w:rPr>
        <w:t xml:space="preserve"> cultural stigmas, </w:t>
      </w:r>
      <w:r w:rsidR="00900898" w:rsidRPr="00A7250E">
        <w:rPr>
          <w:rFonts w:ascii="Arial" w:hAnsi="Arial" w:cs="Arial"/>
        </w:rPr>
        <w:t>marginalisation,</w:t>
      </w:r>
      <w:r w:rsidR="00E56496" w:rsidRPr="00A7250E">
        <w:rPr>
          <w:rFonts w:ascii="Arial" w:hAnsi="Arial" w:cs="Arial"/>
        </w:rPr>
        <w:t xml:space="preserve"> and systemic inequalities </w:t>
      </w:r>
      <w:r w:rsidR="00771C19" w:rsidRPr="00A7250E">
        <w:rPr>
          <w:rFonts w:ascii="Arial" w:hAnsi="Arial" w:cs="Arial"/>
        </w:rPr>
        <w:t>in access to care. This has fostered</w:t>
      </w:r>
      <w:r w:rsidR="00E5540E" w:rsidRPr="00A7250E">
        <w:rPr>
          <w:rFonts w:ascii="Arial" w:hAnsi="Arial" w:cs="Arial"/>
        </w:rPr>
        <w:t xml:space="preserve"> a long- standing “trust deficit”</w:t>
      </w:r>
      <w:r w:rsidR="00A16BB8" w:rsidRPr="00A7250E">
        <w:rPr>
          <w:rFonts w:ascii="Arial" w:hAnsi="Arial" w:cs="Arial"/>
        </w:rPr>
        <w:t xml:space="preserve"> </w:t>
      </w:r>
      <w:r w:rsidR="00900898" w:rsidRPr="00A7250E">
        <w:rPr>
          <w:rFonts w:ascii="Arial" w:hAnsi="Arial" w:cs="Arial"/>
        </w:rPr>
        <w:t xml:space="preserve"> </w:t>
      </w:r>
      <w:r w:rsidRPr="00A7250E">
        <w:rPr>
          <w:rFonts w:ascii="Arial" w:hAnsi="Arial" w:cs="Arial"/>
        </w:rPr>
        <w:t>where discussing organ donation was historically avoided to prevent ill fortune</w:t>
      </w:r>
      <w:r w:rsidR="00850EE0" w:rsidRPr="00A7250E">
        <w:rPr>
          <w:rFonts w:ascii="Arial" w:hAnsi="Arial" w:cs="Arial"/>
        </w:rPr>
        <w:t xml:space="preserve">, </w:t>
      </w:r>
      <w:r w:rsidRPr="00A7250E">
        <w:rPr>
          <w:rFonts w:ascii="Arial" w:hAnsi="Arial" w:cs="Arial"/>
        </w:rPr>
        <w:t>a sentiment that persists in modern "opt-out" debates.</w:t>
      </w:r>
    </w:p>
    <w:p w14:paraId="66846F3F" w14:textId="05B15A81" w:rsidR="00C56EFF" w:rsidRPr="00A7250E" w:rsidRDefault="00985259" w:rsidP="00913F7B">
      <w:pPr>
        <w:spacing w:before="100" w:beforeAutospacing="1" w:after="100" w:afterAutospacing="1"/>
        <w:rPr>
          <w:rFonts w:ascii="Arial" w:hAnsi="Arial" w:cs="Arial"/>
        </w:rPr>
      </w:pPr>
      <w:r w:rsidRPr="00A7250E">
        <w:rPr>
          <w:rFonts w:ascii="Arial" w:hAnsi="Arial" w:cs="Arial"/>
        </w:rPr>
        <w:t xml:space="preserve">However, contextual developments in the late 20th and early 21st centuries have seen a shift. The </w:t>
      </w:r>
      <w:r w:rsidR="00C56EFF" w:rsidRPr="00A7250E">
        <w:rPr>
          <w:rFonts w:ascii="Arial" w:hAnsi="Arial" w:cs="Arial"/>
        </w:rPr>
        <w:t>formalisation</w:t>
      </w:r>
      <w:r w:rsidRPr="00A7250E">
        <w:rPr>
          <w:rFonts w:ascii="Arial" w:hAnsi="Arial" w:cs="Arial"/>
        </w:rPr>
        <w:t xml:space="preserve"> of religious edicts (such as Fatwas or Rabbinical rulings) has increasingly positioned donation as a high-level act of altruism or "Sadaqah</w:t>
      </w:r>
      <w:r w:rsidR="00AC7062" w:rsidRPr="00A7250E">
        <w:rPr>
          <w:rFonts w:ascii="Arial" w:hAnsi="Arial" w:cs="Arial"/>
        </w:rPr>
        <w:t xml:space="preserve"> </w:t>
      </w:r>
      <w:r w:rsidR="00444387" w:rsidRPr="00A7250E">
        <w:rPr>
          <w:rFonts w:ascii="Arial" w:hAnsi="Arial" w:cs="Arial"/>
        </w:rPr>
        <w:t>Jariyah</w:t>
      </w:r>
      <w:r w:rsidRPr="00A7250E">
        <w:rPr>
          <w:rFonts w:ascii="Arial" w:hAnsi="Arial" w:cs="Arial"/>
        </w:rPr>
        <w:t xml:space="preserve">" (continuous charity) (Boadu et al., 2024). Despite these theological advancements, the "state of readiness" for many individuals remains low due to a historical lack of culturally matched media engagement and education (Deedat et al., 2013). </w:t>
      </w:r>
    </w:p>
    <w:p w14:paraId="6A857652" w14:textId="5161E9EC" w:rsidR="002E00A0" w:rsidRPr="00A7250E" w:rsidRDefault="00985259" w:rsidP="00365106">
      <w:pPr>
        <w:spacing w:before="100" w:beforeAutospacing="1" w:after="100" w:afterAutospacing="1"/>
        <w:rPr>
          <w:rFonts w:ascii="Arial" w:hAnsi="Arial" w:cs="Arial"/>
        </w:rPr>
      </w:pPr>
      <w:r w:rsidRPr="00A7250E">
        <w:rPr>
          <w:rFonts w:ascii="Arial" w:hAnsi="Arial" w:cs="Arial"/>
        </w:rPr>
        <w:t>As evidenced by Deedat (2013) and Weeks et al. (2025) in the Results Summary Table (Section 4.3), socio-cultural beliefs continue to create a complex environment where religious ambiguity remains a primary "perceived barrier" under the HBM framework.</w:t>
      </w:r>
      <w:r w:rsidR="00F67A2D" w:rsidRPr="00A7250E">
        <w:rPr>
          <w:rFonts w:ascii="Arial" w:hAnsi="Arial" w:cs="Arial"/>
        </w:rPr>
        <w:t xml:space="preserve">  </w:t>
      </w:r>
    </w:p>
    <w:p w14:paraId="7749FD3C" w14:textId="77777777" w:rsidR="007063BA" w:rsidRPr="00A7250E" w:rsidRDefault="007063BA" w:rsidP="007063BA">
      <w:pPr>
        <w:pStyle w:val="Heading4"/>
        <w:rPr>
          <w:rFonts w:ascii="Arial" w:hAnsi="Arial" w:cs="Arial"/>
          <w:b/>
          <w:bCs/>
          <w:i w:val="0"/>
          <w:iCs w:val="0"/>
          <w:color w:val="auto"/>
        </w:rPr>
      </w:pPr>
      <w:r w:rsidRPr="00A7250E">
        <w:rPr>
          <w:rFonts w:ascii="Arial" w:hAnsi="Arial" w:cs="Arial"/>
          <w:b/>
          <w:bCs/>
          <w:i w:val="0"/>
          <w:iCs w:val="0"/>
          <w:color w:val="auto"/>
        </w:rPr>
        <w:t>Impact on Research Question</w:t>
      </w:r>
    </w:p>
    <w:p w14:paraId="6C84F17D" w14:textId="40F068F8" w:rsidR="007063BA" w:rsidRPr="00DC25B6" w:rsidRDefault="00D57B10" w:rsidP="00AE155D">
      <w:pPr>
        <w:numPr>
          <w:ilvl w:val="0"/>
          <w:numId w:val="8"/>
        </w:numPr>
        <w:spacing w:before="100" w:beforeAutospacing="1" w:after="100" w:afterAutospacing="1"/>
        <w:jc w:val="left"/>
        <w:rPr>
          <w:rStyle w:val="Strong"/>
          <w:b w:val="0"/>
          <w:bCs w:val="0"/>
        </w:rPr>
      </w:pPr>
      <w:r w:rsidRPr="00235B56">
        <w:rPr>
          <w:rStyle w:val="Strong"/>
          <w:rFonts w:ascii="Arial" w:hAnsi="Arial" w:cs="Arial"/>
          <w:b w:val="0"/>
          <w:bCs w:val="0"/>
        </w:rPr>
        <w:t xml:space="preserve">This </w:t>
      </w:r>
      <w:r w:rsidR="00D62B94" w:rsidRPr="00235B56">
        <w:rPr>
          <w:rStyle w:val="Strong"/>
          <w:rFonts w:ascii="Arial" w:hAnsi="Arial" w:cs="Arial"/>
          <w:b w:val="0"/>
          <w:bCs w:val="0"/>
        </w:rPr>
        <w:t>study</w:t>
      </w:r>
      <w:r w:rsidRPr="00235B56">
        <w:rPr>
          <w:rStyle w:val="Strong"/>
          <w:rFonts w:ascii="Arial" w:hAnsi="Arial" w:cs="Arial"/>
          <w:b w:val="0"/>
          <w:bCs w:val="0"/>
        </w:rPr>
        <w:t xml:space="preserve"> ask</w:t>
      </w:r>
      <w:r w:rsidR="008B0F53" w:rsidRPr="00235B56">
        <w:rPr>
          <w:rStyle w:val="Strong"/>
          <w:rFonts w:ascii="Arial" w:hAnsi="Arial" w:cs="Arial"/>
          <w:b w:val="0"/>
          <w:bCs w:val="0"/>
        </w:rPr>
        <w:t>s</w:t>
      </w:r>
      <w:r w:rsidR="008B0F53" w:rsidRPr="007B5E07">
        <w:rPr>
          <w:rStyle w:val="Strong"/>
          <w:rFonts w:ascii="Arial" w:hAnsi="Arial" w:cs="Arial"/>
        </w:rPr>
        <w:t xml:space="preserve">:  </w:t>
      </w:r>
      <w:r w:rsidR="008B0F53" w:rsidRPr="00F31CFB">
        <w:rPr>
          <w:rStyle w:val="Strong"/>
          <w:rFonts w:ascii="Arial" w:hAnsi="Arial" w:cs="Arial"/>
          <w:b w:val="0"/>
          <w:bCs w:val="0"/>
        </w:rPr>
        <w:t>“</w:t>
      </w:r>
      <w:r w:rsidR="008B0F53" w:rsidRPr="00DC25B6">
        <w:rPr>
          <w:rStyle w:val="Strong"/>
          <w:rFonts w:ascii="Arial" w:hAnsi="Arial" w:cs="Arial"/>
          <w:b w:val="0"/>
          <w:bCs w:val="0"/>
        </w:rPr>
        <w:t>What barriers do ethnic</w:t>
      </w:r>
      <w:r w:rsidR="00E27A16" w:rsidRPr="00DC25B6">
        <w:rPr>
          <w:rStyle w:val="Strong"/>
          <w:rFonts w:ascii="Arial" w:hAnsi="Arial" w:cs="Arial"/>
          <w:b w:val="0"/>
          <w:bCs w:val="0"/>
        </w:rPr>
        <w:t xml:space="preserve"> minorities face in accessing information and resources about blood and organ </w:t>
      </w:r>
      <w:r w:rsidR="00926915" w:rsidRPr="00DC25B6">
        <w:rPr>
          <w:rStyle w:val="Strong"/>
          <w:rFonts w:ascii="Arial" w:hAnsi="Arial" w:cs="Arial"/>
          <w:b w:val="0"/>
          <w:bCs w:val="0"/>
        </w:rPr>
        <w:t>donation in the UK?”</w:t>
      </w:r>
      <w:r w:rsidR="000857ED" w:rsidRPr="00DC25B6">
        <w:rPr>
          <w:rStyle w:val="Strong"/>
          <w:rFonts w:ascii="Arial" w:hAnsi="Arial" w:cs="Arial"/>
          <w:b w:val="0"/>
          <w:bCs w:val="0"/>
        </w:rPr>
        <w:t xml:space="preserve">  </w:t>
      </w:r>
    </w:p>
    <w:p w14:paraId="204AD72E" w14:textId="0DC62C85" w:rsidR="00D62B94" w:rsidRPr="001F57BD" w:rsidRDefault="00D62B94" w:rsidP="000621CF">
      <w:pPr>
        <w:spacing w:before="100" w:beforeAutospacing="1" w:after="100" w:afterAutospacing="1"/>
        <w:rPr>
          <w:rStyle w:val="Strong"/>
          <w:rFonts w:ascii="Arial" w:hAnsi="Arial" w:cs="Arial"/>
        </w:rPr>
      </w:pPr>
      <w:r w:rsidRPr="002274E4">
        <w:rPr>
          <w:rStyle w:val="Strong"/>
          <w:rFonts w:ascii="Arial" w:hAnsi="Arial" w:cs="Arial"/>
          <w:b w:val="0"/>
          <w:bCs w:val="0"/>
        </w:rPr>
        <w:t>T</w:t>
      </w:r>
      <w:r w:rsidR="00B83D48" w:rsidRPr="002274E4">
        <w:rPr>
          <w:rStyle w:val="Strong"/>
          <w:rFonts w:ascii="Arial" w:hAnsi="Arial" w:cs="Arial"/>
          <w:b w:val="0"/>
          <w:bCs w:val="0"/>
        </w:rPr>
        <w:t>his theme directly addresses t</w:t>
      </w:r>
      <w:r w:rsidR="00E62F03" w:rsidRPr="002274E4">
        <w:rPr>
          <w:rStyle w:val="Strong"/>
          <w:rFonts w:ascii="Arial" w:hAnsi="Arial" w:cs="Arial"/>
          <w:b w:val="0"/>
          <w:bCs w:val="0"/>
        </w:rPr>
        <w:t>he dissertation’s core question</w:t>
      </w:r>
      <w:r w:rsidR="00643F93" w:rsidRPr="002274E4">
        <w:rPr>
          <w:rStyle w:val="Strong"/>
          <w:rFonts w:ascii="Arial" w:hAnsi="Arial" w:cs="Arial"/>
          <w:b w:val="0"/>
          <w:bCs w:val="0"/>
        </w:rPr>
        <w:t xml:space="preserve"> regarding the barriers to information </w:t>
      </w:r>
      <w:r w:rsidR="00AF7D7D" w:rsidRPr="002274E4">
        <w:rPr>
          <w:rStyle w:val="Strong"/>
          <w:rFonts w:ascii="Arial" w:hAnsi="Arial" w:cs="Arial"/>
          <w:b w:val="0"/>
          <w:bCs w:val="0"/>
        </w:rPr>
        <w:t xml:space="preserve">and resources. Socio-cultural beliefs act as a </w:t>
      </w:r>
      <w:r w:rsidR="0066718B" w:rsidRPr="002274E4">
        <w:rPr>
          <w:rStyle w:val="Strong"/>
          <w:rFonts w:ascii="Arial" w:hAnsi="Arial" w:cs="Arial"/>
          <w:b w:val="0"/>
          <w:bCs w:val="0"/>
        </w:rPr>
        <w:t>primary filter in the following ways</w:t>
      </w:r>
      <w:r w:rsidR="0066718B">
        <w:rPr>
          <w:rStyle w:val="Strong"/>
          <w:rFonts w:ascii="Arial" w:hAnsi="Arial" w:cs="Arial"/>
        </w:rPr>
        <w:t>.</w:t>
      </w:r>
    </w:p>
    <w:p w14:paraId="3458A974" w14:textId="0CEADE95" w:rsidR="00507035" w:rsidRDefault="0066718B" w:rsidP="000621CF">
      <w:pPr>
        <w:numPr>
          <w:ilvl w:val="0"/>
          <w:numId w:val="8"/>
        </w:numPr>
        <w:spacing w:before="100" w:beforeAutospacing="1" w:after="100" w:afterAutospacing="1"/>
        <w:rPr>
          <w:rStyle w:val="Strong"/>
          <w:rFonts w:ascii="Arial" w:hAnsi="Arial" w:cs="Arial"/>
          <w:b w:val="0"/>
          <w:bCs w:val="0"/>
        </w:rPr>
      </w:pPr>
      <w:r w:rsidRPr="00495320">
        <w:rPr>
          <w:rStyle w:val="Strong"/>
          <w:rFonts w:ascii="Arial" w:hAnsi="Arial" w:cs="Arial"/>
          <w:sz w:val="24"/>
          <w:szCs w:val="24"/>
        </w:rPr>
        <w:t>Information Receptivity</w:t>
      </w:r>
      <w:r w:rsidRPr="00495320">
        <w:rPr>
          <w:rStyle w:val="Strong"/>
          <w:rFonts w:ascii="Arial" w:hAnsi="Arial" w:cs="Arial"/>
        </w:rPr>
        <w:t xml:space="preserve">: </w:t>
      </w:r>
      <w:r w:rsidRPr="00495320">
        <w:rPr>
          <w:rStyle w:val="Strong"/>
          <w:rFonts w:ascii="Arial" w:hAnsi="Arial" w:cs="Arial"/>
          <w:b w:val="0"/>
          <w:bCs w:val="0"/>
        </w:rPr>
        <w:t>If donation is cultur</w:t>
      </w:r>
      <w:r w:rsidR="009A0E05" w:rsidRPr="00495320">
        <w:rPr>
          <w:rStyle w:val="Strong"/>
          <w:rFonts w:ascii="Arial" w:hAnsi="Arial" w:cs="Arial"/>
          <w:b w:val="0"/>
          <w:bCs w:val="0"/>
        </w:rPr>
        <w:t xml:space="preserve">ally coded as taboo, individuals are </w:t>
      </w:r>
      <w:r w:rsidR="00D35A2F" w:rsidRPr="00495320">
        <w:rPr>
          <w:rStyle w:val="Strong"/>
          <w:rFonts w:ascii="Arial" w:hAnsi="Arial" w:cs="Arial"/>
          <w:b w:val="0"/>
          <w:bCs w:val="0"/>
        </w:rPr>
        <w:t>psychologically primed to disengage from NHS Blood and Transplant (NHSBT)</w:t>
      </w:r>
      <w:r w:rsidR="00235B56" w:rsidRPr="00495320">
        <w:rPr>
          <w:rStyle w:val="Strong"/>
          <w:rFonts w:ascii="Arial" w:hAnsi="Arial" w:cs="Arial"/>
          <w:b w:val="0"/>
          <w:bCs w:val="0"/>
        </w:rPr>
        <w:t xml:space="preserve"> materials or community information sessions</w:t>
      </w:r>
      <w:r w:rsidR="00970134" w:rsidRPr="00495320">
        <w:rPr>
          <w:rStyle w:val="Strong"/>
          <w:rFonts w:ascii="Arial" w:hAnsi="Arial" w:cs="Arial"/>
          <w:b w:val="0"/>
          <w:bCs w:val="0"/>
        </w:rPr>
        <w:t>.</w:t>
      </w:r>
    </w:p>
    <w:p w14:paraId="144475E2" w14:textId="77777777" w:rsidR="005212F7" w:rsidRDefault="005212F7" w:rsidP="005212F7">
      <w:pPr>
        <w:spacing w:before="100" w:beforeAutospacing="1" w:after="100" w:afterAutospacing="1"/>
        <w:rPr>
          <w:rStyle w:val="Strong"/>
          <w:rFonts w:ascii="Arial" w:hAnsi="Arial" w:cs="Arial"/>
          <w:b w:val="0"/>
          <w:bCs w:val="0"/>
        </w:rPr>
      </w:pPr>
    </w:p>
    <w:p w14:paraId="27749E3F" w14:textId="77777777" w:rsidR="005212F7" w:rsidRPr="00495320" w:rsidRDefault="005212F7" w:rsidP="005212F7">
      <w:pPr>
        <w:spacing w:before="100" w:beforeAutospacing="1" w:after="100" w:afterAutospacing="1"/>
        <w:rPr>
          <w:rStyle w:val="Strong"/>
          <w:rFonts w:ascii="Arial" w:hAnsi="Arial" w:cs="Arial"/>
          <w:b w:val="0"/>
          <w:bCs w:val="0"/>
        </w:rPr>
      </w:pPr>
    </w:p>
    <w:p w14:paraId="0164FF38" w14:textId="6D71BA82" w:rsidR="00052967" w:rsidRPr="00495320" w:rsidRDefault="005931AB" w:rsidP="000621CF">
      <w:pPr>
        <w:numPr>
          <w:ilvl w:val="0"/>
          <w:numId w:val="8"/>
        </w:numPr>
        <w:spacing w:before="100" w:beforeAutospacing="1" w:after="100" w:afterAutospacing="1"/>
        <w:rPr>
          <w:rStyle w:val="Strong"/>
          <w:rFonts w:ascii="Arial" w:hAnsi="Arial" w:cs="Arial"/>
          <w:b w:val="0"/>
          <w:bCs w:val="0"/>
        </w:rPr>
      </w:pPr>
      <w:r w:rsidRPr="00495320">
        <w:rPr>
          <w:rStyle w:val="Strong"/>
          <w:rFonts w:ascii="Arial" w:hAnsi="Arial" w:cs="Arial"/>
          <w:sz w:val="24"/>
          <w:szCs w:val="24"/>
        </w:rPr>
        <w:t>Messenger Legitimacy</w:t>
      </w:r>
      <w:r w:rsidRPr="00495320">
        <w:rPr>
          <w:rStyle w:val="Strong"/>
          <w:rFonts w:ascii="Arial" w:hAnsi="Arial" w:cs="Arial"/>
        </w:rPr>
        <w:t xml:space="preserve">: </w:t>
      </w:r>
      <w:r w:rsidR="004E0F45" w:rsidRPr="00495320">
        <w:rPr>
          <w:rStyle w:val="Strong"/>
          <w:rFonts w:ascii="Arial" w:hAnsi="Arial" w:cs="Arial"/>
          <w:b w:val="0"/>
          <w:bCs w:val="0"/>
        </w:rPr>
        <w:t>Generic NHS campaigns frequently</w:t>
      </w:r>
      <w:r w:rsidR="00676989" w:rsidRPr="00495320">
        <w:rPr>
          <w:rStyle w:val="Strong"/>
          <w:rFonts w:ascii="Arial" w:hAnsi="Arial" w:cs="Arial"/>
          <w:b w:val="0"/>
          <w:bCs w:val="0"/>
        </w:rPr>
        <w:t xml:space="preserve"> fail because they lack the endorsement </w:t>
      </w:r>
      <w:r w:rsidR="002361BF" w:rsidRPr="00495320">
        <w:rPr>
          <w:rStyle w:val="Strong"/>
          <w:rFonts w:ascii="Arial" w:hAnsi="Arial" w:cs="Arial"/>
          <w:b w:val="0"/>
          <w:bCs w:val="0"/>
        </w:rPr>
        <w:t>of trusted religious or community leaders</w:t>
      </w:r>
      <w:r w:rsidR="00B2597E" w:rsidRPr="00495320">
        <w:rPr>
          <w:rStyle w:val="Strong"/>
          <w:rFonts w:ascii="Arial" w:hAnsi="Arial" w:cs="Arial"/>
          <w:b w:val="0"/>
          <w:bCs w:val="0"/>
        </w:rPr>
        <w:t>.  Without A “culturally tailored” message</w:t>
      </w:r>
      <w:r w:rsidR="00997D9F" w:rsidRPr="00495320">
        <w:rPr>
          <w:rStyle w:val="Strong"/>
          <w:rFonts w:ascii="Arial" w:hAnsi="Arial" w:cs="Arial"/>
          <w:b w:val="0"/>
          <w:bCs w:val="0"/>
        </w:rPr>
        <w:t>, the information is often viewed as external or irre</w:t>
      </w:r>
      <w:r w:rsidR="002F4100" w:rsidRPr="00495320">
        <w:rPr>
          <w:rStyle w:val="Strong"/>
          <w:rFonts w:ascii="Arial" w:hAnsi="Arial" w:cs="Arial"/>
          <w:b w:val="0"/>
          <w:bCs w:val="0"/>
        </w:rPr>
        <w:t>levant.</w:t>
      </w:r>
    </w:p>
    <w:p w14:paraId="574279D9" w14:textId="250EB24F" w:rsidR="00DC25B6" w:rsidRPr="005212F7" w:rsidRDefault="00495320" w:rsidP="00DC25B6">
      <w:pPr>
        <w:numPr>
          <w:ilvl w:val="0"/>
          <w:numId w:val="8"/>
        </w:numPr>
        <w:spacing w:before="100" w:beforeAutospacing="1" w:after="100" w:afterAutospacing="1"/>
        <w:rPr>
          <w:rStyle w:val="Strong"/>
          <w:rFonts w:ascii="Arial" w:hAnsi="Arial" w:cs="Arial"/>
          <w:b w:val="0"/>
          <w:bCs w:val="0"/>
        </w:rPr>
      </w:pPr>
      <w:r w:rsidRPr="00495320">
        <w:rPr>
          <w:rStyle w:val="Strong"/>
          <w:rFonts w:ascii="Arial" w:hAnsi="Arial" w:cs="Arial"/>
          <w:sz w:val="24"/>
          <w:szCs w:val="24"/>
        </w:rPr>
        <w:t>Consent Disparities</w:t>
      </w:r>
      <w:r w:rsidRPr="00495320">
        <w:rPr>
          <w:rStyle w:val="Strong"/>
          <w:rFonts w:ascii="Arial" w:hAnsi="Arial" w:cs="Arial"/>
        </w:rPr>
        <w:t>:</w:t>
      </w:r>
      <w:r w:rsidRPr="00495320">
        <w:rPr>
          <w:rStyle w:val="Strong"/>
          <w:rFonts w:ascii="Arial" w:hAnsi="Arial" w:cs="Arial"/>
          <w:b w:val="0"/>
          <w:bCs w:val="0"/>
        </w:rPr>
        <w:t xml:space="preserve"> </w:t>
      </w:r>
      <w:r w:rsidR="00E826FA">
        <w:rPr>
          <w:rStyle w:val="Strong"/>
          <w:rFonts w:ascii="Arial" w:hAnsi="Arial" w:cs="Arial"/>
          <w:b w:val="0"/>
          <w:bCs w:val="0"/>
        </w:rPr>
        <w:t>The impact is visible in the data</w:t>
      </w:r>
      <w:r w:rsidR="003B6658">
        <w:rPr>
          <w:rStyle w:val="Strong"/>
          <w:rFonts w:ascii="Arial" w:hAnsi="Arial" w:cs="Arial"/>
          <w:b w:val="0"/>
          <w:bCs w:val="0"/>
        </w:rPr>
        <w:t>. NHSBT(2025)</w:t>
      </w:r>
      <w:r w:rsidR="00D75371">
        <w:rPr>
          <w:rStyle w:val="Strong"/>
          <w:rFonts w:ascii="Arial" w:hAnsi="Arial" w:cs="Arial"/>
          <w:b w:val="0"/>
          <w:bCs w:val="0"/>
        </w:rPr>
        <w:t xml:space="preserve"> reports a stark contrast: a 35% </w:t>
      </w:r>
      <w:r w:rsidR="00D75371" w:rsidRPr="00315DA9">
        <w:rPr>
          <w:rStyle w:val="Strong"/>
          <w:rFonts w:ascii="Arial" w:hAnsi="Arial" w:cs="Arial"/>
        </w:rPr>
        <w:t xml:space="preserve">family consent </w:t>
      </w:r>
      <w:r w:rsidR="00315DA9" w:rsidRPr="00315DA9">
        <w:rPr>
          <w:rStyle w:val="Strong"/>
          <w:rFonts w:ascii="Arial" w:hAnsi="Arial" w:cs="Arial"/>
        </w:rPr>
        <w:t>rate</w:t>
      </w:r>
      <w:r w:rsidR="00315DA9">
        <w:rPr>
          <w:rStyle w:val="Strong"/>
          <w:rFonts w:ascii="Arial" w:hAnsi="Arial" w:cs="Arial"/>
        </w:rPr>
        <w:t xml:space="preserve"> </w:t>
      </w:r>
      <w:r w:rsidR="00315DA9" w:rsidRPr="00C816BD">
        <w:rPr>
          <w:rStyle w:val="Strong"/>
          <w:rFonts w:ascii="Arial" w:hAnsi="Arial" w:cs="Arial"/>
          <w:b w:val="0"/>
          <w:bCs w:val="0"/>
        </w:rPr>
        <w:t xml:space="preserve">among minority families compared </w:t>
      </w:r>
      <w:r w:rsidR="00C816BD" w:rsidRPr="00C816BD">
        <w:rPr>
          <w:rStyle w:val="Strong"/>
          <w:rFonts w:ascii="Arial" w:hAnsi="Arial" w:cs="Arial"/>
          <w:b w:val="0"/>
          <w:bCs w:val="0"/>
        </w:rPr>
        <w:t>to 67% among white families.</w:t>
      </w:r>
      <w:r w:rsidR="00942EBB">
        <w:rPr>
          <w:rStyle w:val="Strong"/>
          <w:rFonts w:ascii="Arial" w:hAnsi="Arial" w:cs="Arial"/>
          <w:b w:val="0"/>
          <w:bCs w:val="0"/>
        </w:rPr>
        <w:t xml:space="preserve">  This 32% gap is deeply rooted in socio-cultural norms and lingering mistrust.</w:t>
      </w:r>
    </w:p>
    <w:p w14:paraId="012CF084" w14:textId="5392159A" w:rsidR="00970EEB" w:rsidRPr="00B57470" w:rsidRDefault="00942EBB" w:rsidP="007063BA">
      <w:pPr>
        <w:numPr>
          <w:ilvl w:val="0"/>
          <w:numId w:val="8"/>
        </w:numPr>
        <w:spacing w:before="100" w:beforeAutospacing="1" w:after="100" w:afterAutospacing="1"/>
        <w:rPr>
          <w:rFonts w:ascii="Arial" w:hAnsi="Arial" w:cs="Arial"/>
        </w:rPr>
      </w:pPr>
      <w:r>
        <w:rPr>
          <w:rStyle w:val="Strong"/>
          <w:rFonts w:ascii="Arial" w:hAnsi="Arial" w:cs="Arial"/>
          <w:sz w:val="24"/>
          <w:szCs w:val="24"/>
        </w:rPr>
        <w:t xml:space="preserve">Legislative </w:t>
      </w:r>
      <w:r w:rsidR="00034ED0">
        <w:rPr>
          <w:rStyle w:val="Strong"/>
          <w:rFonts w:ascii="Arial" w:hAnsi="Arial" w:cs="Arial"/>
          <w:sz w:val="24"/>
          <w:szCs w:val="24"/>
        </w:rPr>
        <w:t>Suspicion:</w:t>
      </w:r>
      <w:r w:rsidR="00034ED0">
        <w:rPr>
          <w:rStyle w:val="Strong"/>
          <w:rFonts w:ascii="Arial" w:hAnsi="Arial" w:cs="Arial"/>
          <w:b w:val="0"/>
          <w:bCs w:val="0"/>
        </w:rPr>
        <w:t xml:space="preserve">  The transition to an “opt</w:t>
      </w:r>
      <w:r w:rsidR="00F43462">
        <w:rPr>
          <w:rStyle w:val="Strong"/>
          <w:rFonts w:ascii="Arial" w:hAnsi="Arial" w:cs="Arial"/>
          <w:b w:val="0"/>
          <w:bCs w:val="0"/>
        </w:rPr>
        <w:t>-</w:t>
      </w:r>
      <w:r w:rsidR="00034ED0">
        <w:rPr>
          <w:rStyle w:val="Strong"/>
          <w:rFonts w:ascii="Arial" w:hAnsi="Arial" w:cs="Arial"/>
          <w:b w:val="0"/>
          <w:bCs w:val="0"/>
        </w:rPr>
        <w:t>out”</w:t>
      </w:r>
      <w:r w:rsidR="00F43462">
        <w:rPr>
          <w:rStyle w:val="Strong"/>
          <w:rFonts w:ascii="Arial" w:hAnsi="Arial" w:cs="Arial"/>
          <w:b w:val="0"/>
          <w:bCs w:val="0"/>
        </w:rPr>
        <w:t xml:space="preserve"> system</w:t>
      </w:r>
      <w:r w:rsidR="00A07EE3">
        <w:rPr>
          <w:rStyle w:val="Strong"/>
          <w:rFonts w:ascii="Arial" w:hAnsi="Arial" w:cs="Arial"/>
          <w:b w:val="0"/>
          <w:bCs w:val="0"/>
        </w:rPr>
        <w:t xml:space="preserve"> has been met with suspicion in some minority circles, with </w:t>
      </w:r>
      <w:r w:rsidR="00E72C34">
        <w:rPr>
          <w:rStyle w:val="Strong"/>
          <w:rFonts w:ascii="Arial" w:hAnsi="Arial" w:cs="Arial"/>
          <w:b w:val="0"/>
          <w:bCs w:val="0"/>
        </w:rPr>
        <w:t>fears that it facilitates “covert</w:t>
      </w:r>
      <w:r w:rsidR="00330AEA">
        <w:rPr>
          <w:rStyle w:val="Strong"/>
          <w:rFonts w:ascii="Arial" w:hAnsi="Arial" w:cs="Arial"/>
          <w:b w:val="0"/>
          <w:bCs w:val="0"/>
        </w:rPr>
        <w:t xml:space="preserve"> practices” or diminishes the right to refuse.</w:t>
      </w:r>
    </w:p>
    <w:p w14:paraId="234E6774" w14:textId="1BA7B671" w:rsidR="007063BA" w:rsidRPr="00D40022" w:rsidRDefault="00DC0A72" w:rsidP="00AE155D">
      <w:pPr>
        <w:numPr>
          <w:ilvl w:val="0"/>
          <w:numId w:val="9"/>
        </w:numPr>
        <w:spacing w:before="100" w:beforeAutospacing="1" w:after="100" w:afterAutospacing="1"/>
        <w:jc w:val="left"/>
        <w:rPr>
          <w:rStyle w:val="Strong"/>
          <w:rFonts w:ascii="Arial" w:hAnsi="Arial" w:cs="Arial"/>
          <w:b w:val="0"/>
          <w:bCs w:val="0"/>
        </w:rPr>
      </w:pPr>
      <w:r w:rsidRPr="00B57470">
        <w:rPr>
          <w:rStyle w:val="Strong"/>
          <w:rFonts w:ascii="Arial" w:hAnsi="Arial" w:cs="Arial"/>
          <w:sz w:val="24"/>
          <w:szCs w:val="24"/>
        </w:rPr>
        <w:t>Statist</w:t>
      </w:r>
      <w:r w:rsidR="00855DA1" w:rsidRPr="00B57470">
        <w:rPr>
          <w:rStyle w:val="Strong"/>
          <w:rFonts w:ascii="Arial" w:hAnsi="Arial" w:cs="Arial"/>
          <w:sz w:val="24"/>
          <w:szCs w:val="24"/>
        </w:rPr>
        <w:t xml:space="preserve">ical Analysis </w:t>
      </w:r>
      <w:r w:rsidR="00855DA1" w:rsidRPr="001C04B2">
        <w:rPr>
          <w:rStyle w:val="Strong"/>
          <w:rFonts w:ascii="Arial" w:hAnsi="Arial" w:cs="Arial"/>
          <w:sz w:val="24"/>
          <w:szCs w:val="24"/>
        </w:rPr>
        <w:t>of Cultural Influence</w:t>
      </w:r>
      <w:r w:rsidR="007063BA" w:rsidRPr="00D40022">
        <w:rPr>
          <w:rStyle w:val="Strong"/>
          <w:rFonts w:ascii="Arial" w:hAnsi="Arial" w:cs="Arial"/>
        </w:rPr>
        <w:t>:</w:t>
      </w:r>
    </w:p>
    <w:p w14:paraId="13CDA6AB" w14:textId="75B21167" w:rsidR="00855DA1" w:rsidRPr="00D40022" w:rsidRDefault="008A4F03" w:rsidP="00D40022">
      <w:pPr>
        <w:spacing w:before="100" w:beforeAutospacing="1" w:after="100" w:afterAutospacing="1"/>
        <w:jc w:val="left"/>
        <w:rPr>
          <w:rStyle w:val="Strong"/>
          <w:rFonts w:ascii="Arial" w:hAnsi="Arial" w:cs="Arial"/>
          <w:b w:val="0"/>
          <w:bCs w:val="0"/>
        </w:rPr>
      </w:pPr>
      <w:r w:rsidRPr="00D40022">
        <w:rPr>
          <w:rStyle w:val="Strong"/>
          <w:rFonts w:ascii="Arial" w:hAnsi="Arial" w:cs="Arial"/>
          <w:b w:val="0"/>
          <w:bCs w:val="0"/>
        </w:rPr>
        <w:t>The measurable effects of those attitudes are significant</w:t>
      </w:r>
      <w:r w:rsidR="00D40022" w:rsidRPr="00D40022">
        <w:rPr>
          <w:rStyle w:val="Strong"/>
          <w:rFonts w:ascii="Arial" w:hAnsi="Arial" w:cs="Arial"/>
          <w:b w:val="0"/>
          <w:bCs w:val="0"/>
        </w:rPr>
        <w:t xml:space="preserve">: </w:t>
      </w:r>
    </w:p>
    <w:p w14:paraId="3C15A883" w14:textId="59CA16EF" w:rsidR="00D40022" w:rsidRDefault="00D56BCA" w:rsidP="00AE155D">
      <w:pPr>
        <w:numPr>
          <w:ilvl w:val="0"/>
          <w:numId w:val="9"/>
        </w:numPr>
        <w:spacing w:before="100" w:beforeAutospacing="1" w:after="100" w:afterAutospacing="1"/>
        <w:jc w:val="left"/>
        <w:rPr>
          <w:rFonts w:ascii="Arial" w:hAnsi="Arial" w:cs="Arial"/>
        </w:rPr>
      </w:pPr>
      <w:r w:rsidRPr="001C04B2">
        <w:rPr>
          <w:rFonts w:ascii="Arial" w:hAnsi="Arial" w:cs="Arial"/>
          <w:b/>
          <w:bCs/>
          <w:sz w:val="24"/>
          <w:szCs w:val="24"/>
        </w:rPr>
        <w:t>Refusal Rates</w:t>
      </w:r>
      <w:r w:rsidR="00886065">
        <w:rPr>
          <w:rFonts w:ascii="Arial" w:hAnsi="Arial" w:cs="Arial"/>
          <w:b/>
          <w:bCs/>
          <w:sz w:val="24"/>
          <w:szCs w:val="24"/>
        </w:rPr>
        <w:t xml:space="preserve">: </w:t>
      </w:r>
      <w:r w:rsidR="00886065" w:rsidRPr="00F31CFB">
        <w:rPr>
          <w:rFonts w:ascii="Arial" w:hAnsi="Arial" w:cs="Arial"/>
        </w:rPr>
        <w:t xml:space="preserve">Refusal rates among Black and Asian </w:t>
      </w:r>
      <w:r w:rsidR="00F20684" w:rsidRPr="00F31CFB">
        <w:rPr>
          <w:rFonts w:ascii="Arial" w:hAnsi="Arial" w:cs="Arial"/>
        </w:rPr>
        <w:t>families (65%) are nearly double those of white families</w:t>
      </w:r>
      <w:r w:rsidR="00F31CFB" w:rsidRPr="00F31CFB">
        <w:rPr>
          <w:rFonts w:ascii="Arial" w:hAnsi="Arial" w:cs="Arial"/>
        </w:rPr>
        <w:t xml:space="preserve"> (33%)</w:t>
      </w:r>
      <w:r w:rsidR="003E7B0C">
        <w:rPr>
          <w:rFonts w:ascii="Arial" w:hAnsi="Arial" w:cs="Arial"/>
        </w:rPr>
        <w:t>.</w:t>
      </w:r>
    </w:p>
    <w:p w14:paraId="36922BD0" w14:textId="4357311C" w:rsidR="00B57470" w:rsidRPr="00B57470" w:rsidRDefault="003E7B0C" w:rsidP="00B57470">
      <w:pPr>
        <w:numPr>
          <w:ilvl w:val="0"/>
          <w:numId w:val="9"/>
        </w:numPr>
        <w:spacing w:before="100" w:beforeAutospacing="1" w:after="100" w:afterAutospacing="1"/>
        <w:jc w:val="left"/>
        <w:rPr>
          <w:rFonts w:ascii="Arial" w:hAnsi="Arial" w:cs="Arial"/>
        </w:rPr>
      </w:pPr>
      <w:r>
        <w:rPr>
          <w:rFonts w:ascii="Arial" w:hAnsi="Arial" w:cs="Arial"/>
          <w:b/>
          <w:bCs/>
          <w:sz w:val="24"/>
          <w:szCs w:val="24"/>
        </w:rPr>
        <w:t>The Donor Gap</w:t>
      </w:r>
      <w:r w:rsidRPr="005A62F0">
        <w:rPr>
          <w:rFonts w:ascii="Arial" w:hAnsi="Arial" w:cs="Arial"/>
          <w:b/>
          <w:bCs/>
        </w:rPr>
        <w:t>:</w:t>
      </w:r>
      <w:r w:rsidRPr="005A62F0">
        <w:rPr>
          <w:rFonts w:ascii="Arial" w:hAnsi="Arial" w:cs="Arial"/>
        </w:rPr>
        <w:t xml:space="preserve"> </w:t>
      </w:r>
      <w:r w:rsidR="00CA2C5E" w:rsidRPr="005A62F0">
        <w:rPr>
          <w:rFonts w:ascii="Arial" w:hAnsi="Arial" w:cs="Arial"/>
        </w:rPr>
        <w:t>Currently, 80% of organs transplanted into minority patients</w:t>
      </w:r>
      <w:r w:rsidR="00A71A02" w:rsidRPr="005A62F0">
        <w:rPr>
          <w:rFonts w:ascii="Arial" w:hAnsi="Arial" w:cs="Arial"/>
        </w:rPr>
        <w:t xml:space="preserve"> come from white donors</w:t>
      </w:r>
      <w:r w:rsidR="00F31B08" w:rsidRPr="005A62F0">
        <w:rPr>
          <w:rFonts w:ascii="Arial" w:hAnsi="Arial" w:cs="Arial"/>
        </w:rPr>
        <w:t xml:space="preserve">.  This shortage of ethnically matched donors is a direct </w:t>
      </w:r>
      <w:r w:rsidR="00823F0E" w:rsidRPr="005A62F0">
        <w:rPr>
          <w:rFonts w:ascii="Arial" w:hAnsi="Arial" w:cs="Arial"/>
        </w:rPr>
        <w:t xml:space="preserve">byproduct of </w:t>
      </w:r>
    </w:p>
    <w:p w14:paraId="6FD1FAEE" w14:textId="234841AF" w:rsidR="00FA38CA" w:rsidRPr="003528B1" w:rsidRDefault="00823F0E" w:rsidP="003528B1">
      <w:pPr>
        <w:numPr>
          <w:ilvl w:val="0"/>
          <w:numId w:val="9"/>
        </w:numPr>
        <w:spacing w:before="100" w:beforeAutospacing="1" w:after="100" w:afterAutospacing="1"/>
        <w:jc w:val="left"/>
        <w:rPr>
          <w:rFonts w:ascii="Arial" w:hAnsi="Arial" w:cs="Arial"/>
        </w:rPr>
      </w:pPr>
      <w:r w:rsidRPr="005A62F0">
        <w:rPr>
          <w:rFonts w:ascii="Arial" w:hAnsi="Arial" w:cs="Arial"/>
        </w:rPr>
        <w:t>cultural</w:t>
      </w:r>
      <w:r w:rsidR="00C11A97" w:rsidRPr="005A62F0">
        <w:rPr>
          <w:rFonts w:ascii="Arial" w:hAnsi="Arial" w:cs="Arial"/>
        </w:rPr>
        <w:t xml:space="preserve"> reluctance</w:t>
      </w:r>
      <w:r w:rsidR="008226ED" w:rsidRPr="005A62F0">
        <w:rPr>
          <w:rFonts w:ascii="Arial" w:hAnsi="Arial" w:cs="Arial"/>
        </w:rPr>
        <w:t>, leading to longer wait times and poorer</w:t>
      </w:r>
      <w:r w:rsidR="00CB2E9D" w:rsidRPr="005A62F0">
        <w:rPr>
          <w:rFonts w:ascii="Arial" w:hAnsi="Arial" w:cs="Arial"/>
        </w:rPr>
        <w:t xml:space="preserve"> outcomes for minority patients.</w:t>
      </w:r>
    </w:p>
    <w:p w14:paraId="2F4FF451" w14:textId="201DFA16" w:rsidR="007D654F" w:rsidRDefault="003E4A34" w:rsidP="00AE155D">
      <w:pPr>
        <w:numPr>
          <w:ilvl w:val="0"/>
          <w:numId w:val="9"/>
        </w:numPr>
        <w:spacing w:before="100" w:beforeAutospacing="1" w:after="100" w:afterAutospacing="1"/>
        <w:jc w:val="left"/>
        <w:rPr>
          <w:rFonts w:ascii="Arial" w:hAnsi="Arial" w:cs="Arial"/>
        </w:rPr>
      </w:pPr>
      <w:r>
        <w:rPr>
          <w:rFonts w:ascii="Arial" w:hAnsi="Arial" w:cs="Arial"/>
          <w:b/>
          <w:bCs/>
          <w:sz w:val="24"/>
          <w:szCs w:val="24"/>
        </w:rPr>
        <w:t>Communication</w:t>
      </w:r>
      <w:r w:rsidR="00004765">
        <w:rPr>
          <w:rFonts w:ascii="Arial" w:hAnsi="Arial" w:cs="Arial"/>
          <w:b/>
          <w:bCs/>
          <w:sz w:val="24"/>
          <w:szCs w:val="24"/>
        </w:rPr>
        <w:t xml:space="preserve"> Voids:</w:t>
      </w:r>
      <w:r w:rsidR="00004765">
        <w:rPr>
          <w:rFonts w:ascii="Arial" w:hAnsi="Arial" w:cs="Arial"/>
        </w:rPr>
        <w:t xml:space="preserve"> Week</w:t>
      </w:r>
      <w:r w:rsidR="007D654F">
        <w:rPr>
          <w:rFonts w:ascii="Arial" w:hAnsi="Arial" w:cs="Arial"/>
        </w:rPr>
        <w:t xml:space="preserve"> </w:t>
      </w:r>
      <w:r>
        <w:rPr>
          <w:rFonts w:ascii="Arial" w:hAnsi="Arial" w:cs="Arial"/>
        </w:rPr>
        <w:t>et al</w:t>
      </w:r>
      <w:r w:rsidR="007D654F">
        <w:rPr>
          <w:rFonts w:ascii="Arial" w:hAnsi="Arial" w:cs="Arial"/>
        </w:rPr>
        <w:t>. (2025) found that a vast majority</w:t>
      </w:r>
      <w:r w:rsidR="0068492B">
        <w:rPr>
          <w:rFonts w:ascii="Arial" w:hAnsi="Arial" w:cs="Arial"/>
        </w:rPr>
        <w:t xml:space="preserve"> of adults in minority households had never discussed donation.  This lack of “cues </w:t>
      </w:r>
      <w:r w:rsidR="004D21CC">
        <w:rPr>
          <w:rFonts w:ascii="Arial" w:hAnsi="Arial" w:cs="Arial"/>
        </w:rPr>
        <w:t>to action” leaves families unprepared</w:t>
      </w:r>
      <w:r w:rsidR="00204443">
        <w:rPr>
          <w:rFonts w:ascii="Arial" w:hAnsi="Arial" w:cs="Arial"/>
        </w:rPr>
        <w:t xml:space="preserve"> during critical, high-stress moments</w:t>
      </w:r>
      <w:r w:rsidR="00043E75">
        <w:rPr>
          <w:rFonts w:ascii="Arial" w:hAnsi="Arial" w:cs="Arial"/>
        </w:rPr>
        <w:t xml:space="preserve"> when clinicians request consent.</w:t>
      </w:r>
    </w:p>
    <w:p w14:paraId="54384764" w14:textId="07A0BE52" w:rsidR="00043E75" w:rsidRPr="007D654F" w:rsidRDefault="00043E75" w:rsidP="00AE155D">
      <w:pPr>
        <w:numPr>
          <w:ilvl w:val="0"/>
          <w:numId w:val="9"/>
        </w:numPr>
        <w:spacing w:before="100" w:beforeAutospacing="1" w:after="100" w:afterAutospacing="1"/>
        <w:jc w:val="left"/>
        <w:rPr>
          <w:rFonts w:ascii="Arial" w:hAnsi="Arial" w:cs="Arial"/>
        </w:rPr>
      </w:pPr>
      <w:r>
        <w:rPr>
          <w:rFonts w:ascii="Arial" w:hAnsi="Arial" w:cs="Arial"/>
          <w:b/>
          <w:bCs/>
          <w:sz w:val="24"/>
          <w:szCs w:val="24"/>
        </w:rPr>
        <w:t>Geographic Hesitation</w:t>
      </w:r>
      <w:r w:rsidR="00900891">
        <w:rPr>
          <w:rFonts w:ascii="Arial" w:hAnsi="Arial" w:cs="Arial"/>
          <w:b/>
          <w:bCs/>
          <w:sz w:val="24"/>
          <w:szCs w:val="24"/>
        </w:rPr>
        <w:t>:</w:t>
      </w:r>
      <w:r w:rsidR="00900891">
        <w:rPr>
          <w:rFonts w:ascii="Arial" w:hAnsi="Arial" w:cs="Arial"/>
        </w:rPr>
        <w:t xml:space="preserve"> In Birmingham, despite a 51.4%</w:t>
      </w:r>
      <w:r w:rsidR="003F1708">
        <w:rPr>
          <w:rFonts w:ascii="Arial" w:hAnsi="Arial" w:cs="Arial"/>
        </w:rPr>
        <w:t xml:space="preserve"> minority population and high clinical need, only 21%</w:t>
      </w:r>
      <w:r w:rsidR="008F1DD3">
        <w:rPr>
          <w:rFonts w:ascii="Arial" w:hAnsi="Arial" w:cs="Arial"/>
        </w:rPr>
        <w:t xml:space="preserve"> of residents are on the donor register. (Censu</w:t>
      </w:r>
      <w:r w:rsidR="003D006C">
        <w:rPr>
          <w:rFonts w:ascii="Arial" w:hAnsi="Arial" w:cs="Arial"/>
        </w:rPr>
        <w:t>s, 2021; NHSBT,2025)</w:t>
      </w:r>
      <w:r w:rsidR="002D4CF1">
        <w:rPr>
          <w:rFonts w:ascii="Arial" w:hAnsi="Arial" w:cs="Arial"/>
        </w:rPr>
        <w:t>.</w:t>
      </w:r>
    </w:p>
    <w:p w14:paraId="6EAD2311" w14:textId="77777777" w:rsidR="00025776" w:rsidRDefault="00025776" w:rsidP="007063BA">
      <w:pPr>
        <w:pStyle w:val="Heading4"/>
        <w:rPr>
          <w:rFonts w:ascii="Arial" w:hAnsi="Arial" w:cs="Arial"/>
          <w:b/>
          <w:bCs/>
          <w:i w:val="0"/>
          <w:iCs w:val="0"/>
          <w:color w:val="auto"/>
          <w:sz w:val="24"/>
          <w:szCs w:val="24"/>
        </w:rPr>
      </w:pPr>
    </w:p>
    <w:p w14:paraId="130620C9" w14:textId="77777777" w:rsidR="00025776" w:rsidRDefault="00025776" w:rsidP="007063BA">
      <w:pPr>
        <w:pStyle w:val="Heading4"/>
        <w:rPr>
          <w:rFonts w:ascii="Arial" w:hAnsi="Arial" w:cs="Arial"/>
          <w:b/>
          <w:bCs/>
          <w:i w:val="0"/>
          <w:iCs w:val="0"/>
          <w:color w:val="auto"/>
          <w:sz w:val="24"/>
          <w:szCs w:val="24"/>
        </w:rPr>
      </w:pPr>
    </w:p>
    <w:p w14:paraId="2C40642E" w14:textId="77777777" w:rsidR="00025776" w:rsidRDefault="00025776" w:rsidP="007063BA">
      <w:pPr>
        <w:pStyle w:val="Heading4"/>
        <w:rPr>
          <w:rFonts w:ascii="Arial" w:hAnsi="Arial" w:cs="Arial"/>
          <w:b/>
          <w:bCs/>
          <w:i w:val="0"/>
          <w:iCs w:val="0"/>
          <w:color w:val="auto"/>
          <w:sz w:val="24"/>
          <w:szCs w:val="24"/>
        </w:rPr>
      </w:pPr>
    </w:p>
    <w:p w14:paraId="439F8000" w14:textId="77777777" w:rsidR="00025776" w:rsidRDefault="00025776" w:rsidP="007063BA">
      <w:pPr>
        <w:pStyle w:val="Heading4"/>
        <w:rPr>
          <w:rFonts w:ascii="Arial" w:hAnsi="Arial" w:cs="Arial"/>
          <w:b/>
          <w:bCs/>
          <w:i w:val="0"/>
          <w:iCs w:val="0"/>
          <w:color w:val="auto"/>
          <w:sz w:val="24"/>
          <w:szCs w:val="24"/>
        </w:rPr>
      </w:pPr>
    </w:p>
    <w:p w14:paraId="0A3F2490" w14:textId="77777777" w:rsidR="008E08ED" w:rsidRPr="008E08ED" w:rsidRDefault="008E08ED" w:rsidP="008E08ED"/>
    <w:p w14:paraId="70A54FFD" w14:textId="77777777" w:rsidR="00025776" w:rsidRDefault="00025776" w:rsidP="007063BA">
      <w:pPr>
        <w:pStyle w:val="Heading4"/>
        <w:rPr>
          <w:rFonts w:ascii="Arial" w:hAnsi="Arial" w:cs="Arial"/>
          <w:b/>
          <w:bCs/>
          <w:i w:val="0"/>
          <w:iCs w:val="0"/>
          <w:color w:val="auto"/>
          <w:sz w:val="24"/>
          <w:szCs w:val="24"/>
        </w:rPr>
      </w:pPr>
    </w:p>
    <w:p w14:paraId="142DB4B4" w14:textId="565E09A8" w:rsidR="007063BA" w:rsidRPr="00B57470" w:rsidRDefault="007063BA" w:rsidP="007063BA">
      <w:pPr>
        <w:pStyle w:val="Heading4"/>
        <w:rPr>
          <w:rFonts w:ascii="Arial" w:hAnsi="Arial" w:cs="Arial"/>
          <w:b/>
          <w:bCs/>
          <w:i w:val="0"/>
          <w:iCs w:val="0"/>
          <w:sz w:val="24"/>
          <w:szCs w:val="24"/>
        </w:rPr>
      </w:pPr>
      <w:r w:rsidRPr="00B57470">
        <w:rPr>
          <w:rFonts w:ascii="Arial" w:hAnsi="Arial" w:cs="Arial"/>
          <w:b/>
          <w:bCs/>
          <w:i w:val="0"/>
          <w:iCs w:val="0"/>
          <w:color w:val="auto"/>
          <w:sz w:val="24"/>
          <w:szCs w:val="24"/>
        </w:rPr>
        <w:t>Theories, Policies, and Legislation</w:t>
      </w:r>
    </w:p>
    <w:p w14:paraId="387A2433" w14:textId="77F3C733" w:rsidR="007063BA" w:rsidRPr="00025776" w:rsidRDefault="00993DBF" w:rsidP="00AE155D">
      <w:pPr>
        <w:pStyle w:val="NormalWeb"/>
        <w:numPr>
          <w:ilvl w:val="0"/>
          <w:numId w:val="10"/>
        </w:numPr>
        <w:spacing w:line="360" w:lineRule="auto"/>
        <w:jc w:val="both"/>
        <w:rPr>
          <w:rStyle w:val="Strong"/>
          <w:rFonts w:ascii="Arial" w:hAnsi="Arial" w:cs="Arial"/>
          <w:b w:val="0"/>
          <w:bCs w:val="0"/>
        </w:rPr>
      </w:pPr>
      <w:r w:rsidRPr="00025776">
        <w:rPr>
          <w:rStyle w:val="Strong"/>
          <w:rFonts w:ascii="Arial" w:eastAsia="Calibri Light" w:hAnsi="Arial" w:cs="Arial"/>
          <w:b w:val="0"/>
          <w:bCs w:val="0"/>
        </w:rPr>
        <w:t xml:space="preserve">Critical </w:t>
      </w:r>
      <w:r w:rsidR="007063BA" w:rsidRPr="00025776">
        <w:rPr>
          <w:rStyle w:val="Strong"/>
          <w:rFonts w:ascii="Arial" w:eastAsia="Calibri Light" w:hAnsi="Arial" w:cs="Arial"/>
          <w:b w:val="0"/>
          <w:bCs w:val="0"/>
        </w:rPr>
        <w:t xml:space="preserve">Theoretical </w:t>
      </w:r>
      <w:r w:rsidRPr="00025776">
        <w:rPr>
          <w:rStyle w:val="Strong"/>
          <w:rFonts w:ascii="Arial" w:eastAsia="Calibri Light" w:hAnsi="Arial" w:cs="Arial"/>
          <w:b w:val="0"/>
          <w:bCs w:val="0"/>
        </w:rPr>
        <w:t>Application</w:t>
      </w:r>
      <w:r w:rsidR="00730CA3" w:rsidRPr="00025776">
        <w:rPr>
          <w:rStyle w:val="Strong"/>
          <w:rFonts w:ascii="Arial" w:eastAsia="Calibri Light" w:hAnsi="Arial" w:cs="Arial"/>
          <w:b w:val="0"/>
          <w:bCs w:val="0"/>
        </w:rPr>
        <w:t>:</w:t>
      </w:r>
    </w:p>
    <w:p w14:paraId="0E50BD0A" w14:textId="56960A94" w:rsidR="00C86796" w:rsidRPr="00025776" w:rsidRDefault="00730CA3" w:rsidP="00753871">
      <w:pPr>
        <w:pStyle w:val="NormalWeb"/>
        <w:numPr>
          <w:ilvl w:val="0"/>
          <w:numId w:val="10"/>
        </w:numPr>
        <w:spacing w:line="360" w:lineRule="auto"/>
        <w:jc w:val="both"/>
        <w:rPr>
          <w:rFonts w:ascii="Arial" w:hAnsi="Arial" w:cs="Arial"/>
          <w:b/>
          <w:bCs/>
        </w:rPr>
      </w:pPr>
      <w:r w:rsidRPr="00025776">
        <w:rPr>
          <w:rStyle w:val="Strong"/>
          <w:rFonts w:ascii="Arial" w:eastAsia="Calibri Light" w:hAnsi="Arial" w:cs="Arial"/>
          <w:b w:val="0"/>
          <w:bCs w:val="0"/>
        </w:rPr>
        <w:t>The Health Belief Model (HBM)</w:t>
      </w:r>
    </w:p>
    <w:p w14:paraId="5BFAC26A" w14:textId="19241FEE" w:rsidR="003528B1" w:rsidRPr="008213E4" w:rsidRDefault="00753871" w:rsidP="00753871">
      <w:pPr>
        <w:pStyle w:val="NormalWeb"/>
        <w:spacing w:line="360" w:lineRule="auto"/>
        <w:jc w:val="both"/>
        <w:rPr>
          <w:rFonts w:ascii="Arial" w:hAnsi="Arial" w:cs="Arial"/>
        </w:rPr>
      </w:pPr>
      <w:r w:rsidRPr="00FA38CA">
        <w:rPr>
          <w:rFonts w:ascii="Arial" w:hAnsi="Arial" w:cs="Arial"/>
        </w:rPr>
        <w:t>To critically examine these barriers</w:t>
      </w:r>
      <w:r w:rsidR="005827D8" w:rsidRPr="00FA38CA">
        <w:rPr>
          <w:rFonts w:ascii="Arial" w:hAnsi="Arial" w:cs="Arial"/>
        </w:rPr>
        <w:t xml:space="preserve"> is the HBM </w:t>
      </w:r>
      <w:r w:rsidR="00744078" w:rsidRPr="00FA38CA">
        <w:rPr>
          <w:rFonts w:ascii="Arial" w:hAnsi="Arial" w:cs="Arial"/>
        </w:rPr>
        <w:t>components</w:t>
      </w:r>
      <w:r w:rsidR="008213E4">
        <w:rPr>
          <w:rFonts w:ascii="Arial" w:hAnsi="Arial" w:cs="Arial"/>
        </w:rPr>
        <w:t>:</w:t>
      </w:r>
    </w:p>
    <w:p w14:paraId="522F67BE" w14:textId="77777777" w:rsidR="003528B1" w:rsidRPr="00FA38CA" w:rsidRDefault="003528B1" w:rsidP="00753871">
      <w:pPr>
        <w:pStyle w:val="NormalWeb"/>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116DC3" w14:paraId="03BDE7A7" w14:textId="77777777" w:rsidTr="00944B2F">
        <w:tc>
          <w:tcPr>
            <w:tcW w:w="4508" w:type="dxa"/>
          </w:tcPr>
          <w:p w14:paraId="70B37E33" w14:textId="7FC1DB51" w:rsidR="00944B2F" w:rsidRPr="003C5414" w:rsidRDefault="009D3D5A" w:rsidP="00753871">
            <w:pPr>
              <w:pStyle w:val="NormalWeb"/>
              <w:spacing w:line="360" w:lineRule="auto"/>
              <w:jc w:val="both"/>
              <w:rPr>
                <w:rFonts w:ascii="Arial" w:hAnsi="Arial" w:cs="Arial"/>
                <w:sz w:val="22"/>
                <w:szCs w:val="22"/>
              </w:rPr>
            </w:pPr>
            <w:r w:rsidRPr="003C5414">
              <w:rPr>
                <w:rFonts w:ascii="Arial" w:hAnsi="Arial" w:cs="Arial"/>
                <w:sz w:val="22"/>
                <w:szCs w:val="22"/>
                <w:highlight w:val="lightGray"/>
              </w:rPr>
              <w:t>HBM</w:t>
            </w:r>
            <w:r w:rsidR="003C5414" w:rsidRPr="003C5414">
              <w:rPr>
                <w:rFonts w:ascii="Arial" w:hAnsi="Arial" w:cs="Arial"/>
                <w:sz w:val="22"/>
                <w:szCs w:val="22"/>
                <w:highlight w:val="lightGray"/>
              </w:rPr>
              <w:t xml:space="preserve"> Component</w:t>
            </w:r>
          </w:p>
        </w:tc>
        <w:tc>
          <w:tcPr>
            <w:tcW w:w="4508" w:type="dxa"/>
          </w:tcPr>
          <w:p w14:paraId="30FD62A3" w14:textId="1B43682A" w:rsidR="00944B2F" w:rsidRDefault="009D3D5A" w:rsidP="00753871">
            <w:pPr>
              <w:pStyle w:val="NormalWeb"/>
              <w:spacing w:line="360" w:lineRule="auto"/>
              <w:jc w:val="both"/>
              <w:rPr>
                <w:rFonts w:ascii="Arial" w:hAnsi="Arial" w:cs="Arial"/>
                <w:sz w:val="22"/>
                <w:szCs w:val="22"/>
              </w:rPr>
            </w:pPr>
            <w:r w:rsidRPr="003C5414">
              <w:rPr>
                <w:rFonts w:ascii="Arial" w:hAnsi="Arial" w:cs="Arial"/>
                <w:sz w:val="22"/>
                <w:szCs w:val="22"/>
                <w:highlight w:val="lightGray"/>
              </w:rPr>
              <w:t>Application to Minority Communities</w:t>
            </w:r>
          </w:p>
        </w:tc>
      </w:tr>
      <w:tr w:rsidR="00116DC3" w14:paraId="097B22B8" w14:textId="77777777" w:rsidTr="00944B2F">
        <w:tc>
          <w:tcPr>
            <w:tcW w:w="4508" w:type="dxa"/>
          </w:tcPr>
          <w:p w14:paraId="276C9C61" w14:textId="68E3961E" w:rsidR="00111EE8" w:rsidRPr="003C5414" w:rsidRDefault="009D3D5A" w:rsidP="00753871">
            <w:pPr>
              <w:pStyle w:val="NormalWeb"/>
              <w:spacing w:line="360" w:lineRule="auto"/>
              <w:jc w:val="both"/>
              <w:rPr>
                <w:rFonts w:ascii="Arial" w:hAnsi="Arial" w:cs="Arial"/>
                <w:sz w:val="22"/>
                <w:szCs w:val="22"/>
              </w:rPr>
            </w:pPr>
            <w:r w:rsidRPr="003C5414">
              <w:rPr>
                <w:rFonts w:ascii="Arial" w:hAnsi="Arial" w:cs="Arial"/>
                <w:sz w:val="22"/>
                <w:szCs w:val="22"/>
              </w:rPr>
              <w:t>Perceive</w:t>
            </w:r>
            <w:r w:rsidR="00111EE8" w:rsidRPr="003C5414">
              <w:rPr>
                <w:rFonts w:ascii="Arial" w:hAnsi="Arial" w:cs="Arial"/>
                <w:sz w:val="22"/>
                <w:szCs w:val="22"/>
              </w:rPr>
              <w:t>d Susceptibility</w:t>
            </w:r>
          </w:p>
        </w:tc>
        <w:tc>
          <w:tcPr>
            <w:tcW w:w="4508" w:type="dxa"/>
          </w:tcPr>
          <w:p w14:paraId="0CB7FD3F" w14:textId="0D53D465" w:rsidR="00944B2F" w:rsidRDefault="00C75BDD" w:rsidP="00753871">
            <w:pPr>
              <w:pStyle w:val="NormalWeb"/>
              <w:spacing w:line="360" w:lineRule="auto"/>
              <w:jc w:val="both"/>
              <w:rPr>
                <w:rFonts w:ascii="Arial" w:hAnsi="Arial" w:cs="Arial"/>
                <w:sz w:val="22"/>
                <w:szCs w:val="22"/>
              </w:rPr>
            </w:pPr>
            <w:r>
              <w:rPr>
                <w:rFonts w:ascii="Arial" w:hAnsi="Arial" w:cs="Arial"/>
                <w:sz w:val="22"/>
                <w:szCs w:val="22"/>
              </w:rPr>
              <w:t>High prevalence</w:t>
            </w:r>
            <w:r w:rsidR="00980CD1">
              <w:rPr>
                <w:rFonts w:ascii="Arial" w:hAnsi="Arial" w:cs="Arial"/>
                <w:sz w:val="22"/>
                <w:szCs w:val="22"/>
              </w:rPr>
              <w:t xml:space="preserve"> of diabetes/ hypertension increases </w:t>
            </w:r>
            <w:r w:rsidR="00556A2F">
              <w:rPr>
                <w:rFonts w:ascii="Arial" w:hAnsi="Arial" w:cs="Arial"/>
                <w:sz w:val="22"/>
                <w:szCs w:val="22"/>
              </w:rPr>
              <w:t xml:space="preserve">the </w:t>
            </w:r>
            <w:r w:rsidR="00980CD1">
              <w:rPr>
                <w:rFonts w:ascii="Arial" w:hAnsi="Arial" w:cs="Arial"/>
                <w:sz w:val="22"/>
                <w:szCs w:val="22"/>
              </w:rPr>
              <w:t xml:space="preserve">need, but does not </w:t>
            </w:r>
            <w:r w:rsidR="001F018F">
              <w:rPr>
                <w:rFonts w:ascii="Arial" w:hAnsi="Arial" w:cs="Arial"/>
                <w:sz w:val="22"/>
                <w:szCs w:val="22"/>
              </w:rPr>
              <w:t>always increase registration</w:t>
            </w:r>
          </w:p>
        </w:tc>
      </w:tr>
      <w:tr w:rsidR="00116DC3" w14:paraId="33A17035" w14:textId="77777777" w:rsidTr="00944B2F">
        <w:tc>
          <w:tcPr>
            <w:tcW w:w="4508" w:type="dxa"/>
          </w:tcPr>
          <w:p w14:paraId="1D8A9785" w14:textId="74DF8DDE" w:rsidR="00944B2F" w:rsidRPr="003C5414" w:rsidRDefault="00B81D4E" w:rsidP="00753871">
            <w:pPr>
              <w:pStyle w:val="NormalWeb"/>
              <w:spacing w:line="360" w:lineRule="auto"/>
              <w:jc w:val="both"/>
              <w:rPr>
                <w:rFonts w:ascii="Arial" w:hAnsi="Arial" w:cs="Arial"/>
                <w:sz w:val="22"/>
                <w:szCs w:val="22"/>
              </w:rPr>
            </w:pPr>
            <w:r w:rsidRPr="003C5414">
              <w:rPr>
                <w:rFonts w:ascii="Arial" w:hAnsi="Arial" w:cs="Arial"/>
                <w:sz w:val="22"/>
                <w:szCs w:val="22"/>
              </w:rPr>
              <w:t>Perceived Barriers</w:t>
            </w:r>
          </w:p>
          <w:p w14:paraId="53EFB599" w14:textId="77777777" w:rsidR="001F018F" w:rsidRPr="003C5414" w:rsidRDefault="001F018F" w:rsidP="00753871">
            <w:pPr>
              <w:pStyle w:val="NormalWeb"/>
              <w:spacing w:line="360" w:lineRule="auto"/>
              <w:jc w:val="both"/>
              <w:rPr>
                <w:rFonts w:ascii="Arial" w:hAnsi="Arial" w:cs="Arial"/>
                <w:sz w:val="22"/>
                <w:szCs w:val="22"/>
              </w:rPr>
            </w:pPr>
          </w:p>
        </w:tc>
        <w:tc>
          <w:tcPr>
            <w:tcW w:w="4508" w:type="dxa"/>
          </w:tcPr>
          <w:p w14:paraId="2E1696BC" w14:textId="31546282" w:rsidR="00944B2F" w:rsidRDefault="00B81D4E" w:rsidP="00753871">
            <w:pPr>
              <w:pStyle w:val="NormalWeb"/>
              <w:spacing w:line="360" w:lineRule="auto"/>
              <w:jc w:val="both"/>
              <w:rPr>
                <w:rFonts w:ascii="Arial" w:hAnsi="Arial" w:cs="Arial"/>
                <w:sz w:val="22"/>
                <w:szCs w:val="22"/>
              </w:rPr>
            </w:pPr>
            <w:r>
              <w:rPr>
                <w:rFonts w:ascii="Arial" w:hAnsi="Arial" w:cs="Arial"/>
                <w:sz w:val="22"/>
                <w:szCs w:val="22"/>
              </w:rPr>
              <w:t>Fear of disfigurement, distrust of medical staff (prioritising</w:t>
            </w:r>
            <w:r w:rsidR="006149F5">
              <w:rPr>
                <w:rFonts w:ascii="Arial" w:hAnsi="Arial" w:cs="Arial"/>
                <w:sz w:val="22"/>
                <w:szCs w:val="22"/>
              </w:rPr>
              <w:t xml:space="preserve"> organs over care), and religious ambig</w:t>
            </w:r>
            <w:r w:rsidR="00556A2F">
              <w:rPr>
                <w:rFonts w:ascii="Arial" w:hAnsi="Arial" w:cs="Arial"/>
                <w:sz w:val="22"/>
                <w:szCs w:val="22"/>
              </w:rPr>
              <w:t>uity.</w:t>
            </w:r>
          </w:p>
        </w:tc>
      </w:tr>
      <w:tr w:rsidR="00116DC3" w14:paraId="271DD25A" w14:textId="77777777" w:rsidTr="00944B2F">
        <w:tc>
          <w:tcPr>
            <w:tcW w:w="4508" w:type="dxa"/>
          </w:tcPr>
          <w:p w14:paraId="535A66C9" w14:textId="733DFCD1" w:rsidR="00944B2F" w:rsidRPr="003C5414" w:rsidRDefault="00224727" w:rsidP="00753871">
            <w:pPr>
              <w:pStyle w:val="NormalWeb"/>
              <w:spacing w:line="360" w:lineRule="auto"/>
              <w:jc w:val="both"/>
              <w:rPr>
                <w:rFonts w:ascii="Arial" w:hAnsi="Arial" w:cs="Arial"/>
                <w:sz w:val="22"/>
                <w:szCs w:val="22"/>
              </w:rPr>
            </w:pPr>
            <w:r w:rsidRPr="003C5414">
              <w:rPr>
                <w:rFonts w:ascii="Arial" w:hAnsi="Arial" w:cs="Arial"/>
                <w:sz w:val="22"/>
                <w:szCs w:val="22"/>
              </w:rPr>
              <w:t>Cues to Action</w:t>
            </w:r>
          </w:p>
        </w:tc>
        <w:tc>
          <w:tcPr>
            <w:tcW w:w="4508" w:type="dxa"/>
          </w:tcPr>
          <w:p w14:paraId="4E261C70" w14:textId="41B4388B" w:rsidR="00944B2F" w:rsidRDefault="00224727" w:rsidP="00753871">
            <w:pPr>
              <w:pStyle w:val="NormalWeb"/>
              <w:spacing w:line="360" w:lineRule="auto"/>
              <w:jc w:val="both"/>
              <w:rPr>
                <w:rFonts w:ascii="Arial" w:hAnsi="Arial" w:cs="Arial"/>
                <w:sz w:val="22"/>
                <w:szCs w:val="22"/>
              </w:rPr>
            </w:pPr>
            <w:r>
              <w:rPr>
                <w:rFonts w:ascii="Arial" w:hAnsi="Arial" w:cs="Arial"/>
                <w:sz w:val="22"/>
                <w:szCs w:val="22"/>
              </w:rPr>
              <w:t xml:space="preserve">A lack of culturally appropriate </w:t>
            </w:r>
            <w:r w:rsidR="00912FF1">
              <w:rPr>
                <w:rFonts w:ascii="Arial" w:hAnsi="Arial" w:cs="Arial"/>
                <w:sz w:val="22"/>
                <w:szCs w:val="22"/>
              </w:rPr>
              <w:t>cues (e.g., media in native language</w:t>
            </w:r>
            <w:r w:rsidR="00713456">
              <w:rPr>
                <w:rFonts w:ascii="Arial" w:hAnsi="Arial" w:cs="Arial"/>
                <w:sz w:val="22"/>
                <w:szCs w:val="22"/>
              </w:rPr>
              <w:t>s or sermons) stalls participation.</w:t>
            </w:r>
          </w:p>
        </w:tc>
      </w:tr>
      <w:tr w:rsidR="00116DC3" w14:paraId="1894B695" w14:textId="77777777" w:rsidTr="00944B2F">
        <w:tc>
          <w:tcPr>
            <w:tcW w:w="4508" w:type="dxa"/>
          </w:tcPr>
          <w:p w14:paraId="3E1B7C1F" w14:textId="53641E7F" w:rsidR="00944B2F" w:rsidRPr="003C5414" w:rsidRDefault="00713456" w:rsidP="00753871">
            <w:pPr>
              <w:pStyle w:val="NormalWeb"/>
              <w:spacing w:line="360" w:lineRule="auto"/>
              <w:jc w:val="both"/>
              <w:rPr>
                <w:rFonts w:ascii="Arial" w:hAnsi="Arial" w:cs="Arial"/>
                <w:sz w:val="22"/>
                <w:szCs w:val="22"/>
              </w:rPr>
            </w:pPr>
            <w:r w:rsidRPr="003C5414">
              <w:rPr>
                <w:rFonts w:ascii="Arial" w:hAnsi="Arial" w:cs="Arial"/>
                <w:sz w:val="22"/>
                <w:szCs w:val="22"/>
              </w:rPr>
              <w:t>Self-Efficacy</w:t>
            </w:r>
          </w:p>
        </w:tc>
        <w:tc>
          <w:tcPr>
            <w:tcW w:w="4508" w:type="dxa"/>
          </w:tcPr>
          <w:p w14:paraId="3F75784B" w14:textId="183DB44C" w:rsidR="00944B2F" w:rsidRDefault="00E66576" w:rsidP="00753871">
            <w:pPr>
              <w:pStyle w:val="NormalWeb"/>
              <w:spacing w:line="360" w:lineRule="auto"/>
              <w:jc w:val="both"/>
              <w:rPr>
                <w:rFonts w:ascii="Arial" w:hAnsi="Arial" w:cs="Arial"/>
                <w:sz w:val="22"/>
                <w:szCs w:val="22"/>
              </w:rPr>
            </w:pPr>
            <w:r>
              <w:rPr>
                <w:rFonts w:ascii="Arial" w:hAnsi="Arial" w:cs="Arial"/>
                <w:sz w:val="22"/>
                <w:szCs w:val="22"/>
              </w:rPr>
              <w:t>Uncertainty regarding the registration process or how</w:t>
            </w:r>
            <w:r w:rsidR="003C5414">
              <w:rPr>
                <w:rFonts w:ascii="Arial" w:hAnsi="Arial" w:cs="Arial"/>
                <w:sz w:val="22"/>
                <w:szCs w:val="22"/>
              </w:rPr>
              <w:t xml:space="preserve"> to navigate family opposition.</w:t>
            </w:r>
          </w:p>
        </w:tc>
      </w:tr>
    </w:tbl>
    <w:p w14:paraId="093F09B1" w14:textId="77777777" w:rsidR="00B57470" w:rsidRPr="00753871" w:rsidRDefault="00B57470" w:rsidP="00753871">
      <w:pPr>
        <w:pStyle w:val="NormalWeb"/>
        <w:spacing w:line="360" w:lineRule="auto"/>
        <w:jc w:val="both"/>
        <w:rPr>
          <w:rStyle w:val="Strong"/>
          <w:rFonts w:ascii="Arial" w:hAnsi="Arial" w:cs="Arial"/>
          <w:b w:val="0"/>
          <w:bCs w:val="0"/>
          <w:sz w:val="22"/>
          <w:szCs w:val="22"/>
        </w:rPr>
      </w:pPr>
    </w:p>
    <w:p w14:paraId="170C2AE4" w14:textId="73E026F0" w:rsidR="005B2DB2" w:rsidRPr="00CA26AD" w:rsidRDefault="007063BA" w:rsidP="00AE155D">
      <w:pPr>
        <w:pStyle w:val="NormalWeb"/>
        <w:numPr>
          <w:ilvl w:val="0"/>
          <w:numId w:val="10"/>
        </w:numPr>
        <w:spacing w:line="360" w:lineRule="auto"/>
        <w:jc w:val="both"/>
        <w:rPr>
          <w:rStyle w:val="Strong"/>
          <w:rFonts w:ascii="Arial" w:hAnsi="Arial" w:cs="Arial"/>
          <w:b w:val="0"/>
          <w:bCs w:val="0"/>
        </w:rPr>
      </w:pPr>
      <w:r w:rsidRPr="00CA26AD">
        <w:rPr>
          <w:rStyle w:val="Strong"/>
          <w:rFonts w:ascii="Arial" w:eastAsia="Calibri Light" w:hAnsi="Arial" w:cs="Arial"/>
        </w:rPr>
        <w:t>Policy and Legislation</w:t>
      </w:r>
    </w:p>
    <w:p w14:paraId="197DD25C" w14:textId="77777777" w:rsidR="00ED3361" w:rsidRPr="00CA26AD" w:rsidRDefault="006C0E3D" w:rsidP="00D54194">
      <w:pPr>
        <w:pStyle w:val="NormalWeb"/>
        <w:numPr>
          <w:ilvl w:val="0"/>
          <w:numId w:val="10"/>
        </w:numPr>
        <w:spacing w:line="360" w:lineRule="auto"/>
        <w:jc w:val="both"/>
        <w:rPr>
          <w:rStyle w:val="Strong"/>
          <w:rFonts w:ascii="Arial" w:hAnsi="Arial" w:cs="Arial"/>
          <w:b w:val="0"/>
          <w:bCs w:val="0"/>
          <w:sz w:val="22"/>
          <w:szCs w:val="22"/>
        </w:rPr>
      </w:pPr>
      <w:r w:rsidRPr="00CA26AD">
        <w:rPr>
          <w:rStyle w:val="Strong"/>
          <w:rFonts w:ascii="Arial" w:eastAsia="Calibri Light" w:hAnsi="Arial" w:cs="Arial"/>
          <w:b w:val="0"/>
          <w:bCs w:val="0"/>
          <w:sz w:val="22"/>
          <w:szCs w:val="22"/>
        </w:rPr>
        <w:t>The Human Rights Act</w:t>
      </w:r>
      <w:r w:rsidR="00045111" w:rsidRPr="00CA26AD">
        <w:rPr>
          <w:rStyle w:val="Strong"/>
          <w:rFonts w:ascii="Arial" w:eastAsia="Calibri Light" w:hAnsi="Arial" w:cs="Arial"/>
          <w:b w:val="0"/>
          <w:bCs w:val="0"/>
          <w:sz w:val="22"/>
          <w:szCs w:val="22"/>
        </w:rPr>
        <w:t xml:space="preserve"> (1998)</w:t>
      </w:r>
      <w:r w:rsidR="005B2DB2" w:rsidRPr="00CA26AD">
        <w:rPr>
          <w:rStyle w:val="Strong"/>
          <w:rFonts w:ascii="Arial" w:eastAsia="Calibri Light" w:hAnsi="Arial" w:cs="Arial"/>
          <w:b w:val="0"/>
          <w:bCs w:val="0"/>
          <w:sz w:val="22"/>
          <w:szCs w:val="22"/>
        </w:rPr>
        <w:t>:</w:t>
      </w:r>
      <w:r w:rsidR="000768C7" w:rsidRPr="00CA26AD">
        <w:rPr>
          <w:rStyle w:val="Strong"/>
          <w:rFonts w:ascii="Arial" w:eastAsia="Calibri Light" w:hAnsi="Arial" w:cs="Arial"/>
          <w:b w:val="0"/>
          <w:bCs w:val="0"/>
          <w:sz w:val="22"/>
          <w:szCs w:val="22"/>
        </w:rPr>
        <w:t xml:space="preserve">  The implementation of organ donation policy must be balanced</w:t>
      </w:r>
      <w:r w:rsidR="003C5396" w:rsidRPr="00CA26AD">
        <w:rPr>
          <w:rStyle w:val="Strong"/>
          <w:rFonts w:ascii="Arial" w:eastAsia="Calibri Light" w:hAnsi="Arial" w:cs="Arial"/>
          <w:b w:val="0"/>
          <w:bCs w:val="0"/>
          <w:sz w:val="22"/>
          <w:szCs w:val="22"/>
        </w:rPr>
        <w:t xml:space="preserve"> against the fundamental</w:t>
      </w:r>
      <w:r w:rsidR="00176F07" w:rsidRPr="00CA26AD">
        <w:rPr>
          <w:rStyle w:val="Strong"/>
          <w:rFonts w:ascii="Arial" w:eastAsia="Calibri Light" w:hAnsi="Arial" w:cs="Arial"/>
          <w:b w:val="0"/>
          <w:bCs w:val="0"/>
          <w:sz w:val="22"/>
          <w:szCs w:val="22"/>
        </w:rPr>
        <w:t xml:space="preserve"> protections afforded by </w:t>
      </w:r>
      <w:r w:rsidR="00695F5E" w:rsidRPr="00CA26AD">
        <w:rPr>
          <w:rStyle w:val="Strong"/>
          <w:rFonts w:ascii="Arial" w:eastAsia="Calibri Light" w:hAnsi="Arial" w:cs="Arial"/>
          <w:b w:val="0"/>
          <w:bCs w:val="0"/>
          <w:sz w:val="22"/>
          <w:szCs w:val="22"/>
        </w:rPr>
        <w:t xml:space="preserve">the </w:t>
      </w:r>
      <w:r w:rsidR="00176F07" w:rsidRPr="00CA26AD">
        <w:rPr>
          <w:rStyle w:val="Strong"/>
          <w:rFonts w:ascii="Arial" w:eastAsia="Calibri Light" w:hAnsi="Arial" w:cs="Arial"/>
          <w:b w:val="0"/>
          <w:bCs w:val="0"/>
          <w:sz w:val="22"/>
          <w:szCs w:val="22"/>
        </w:rPr>
        <w:t xml:space="preserve">Human </w:t>
      </w:r>
      <w:r w:rsidR="00A11777" w:rsidRPr="00CA26AD">
        <w:rPr>
          <w:rStyle w:val="Strong"/>
          <w:rFonts w:ascii="Arial" w:eastAsia="Calibri Light" w:hAnsi="Arial" w:cs="Arial"/>
          <w:b w:val="0"/>
          <w:bCs w:val="0"/>
          <w:sz w:val="22"/>
          <w:szCs w:val="22"/>
        </w:rPr>
        <w:t xml:space="preserve">Rights Act </w:t>
      </w:r>
      <w:r w:rsidR="00695F5E" w:rsidRPr="00CA26AD">
        <w:rPr>
          <w:rStyle w:val="Strong"/>
          <w:rFonts w:ascii="Arial" w:eastAsia="Calibri Light" w:hAnsi="Arial" w:cs="Arial"/>
          <w:b w:val="0"/>
          <w:bCs w:val="0"/>
          <w:sz w:val="22"/>
          <w:szCs w:val="22"/>
        </w:rPr>
        <w:t>(</w:t>
      </w:r>
      <w:r w:rsidR="00A11777" w:rsidRPr="00CA26AD">
        <w:rPr>
          <w:rStyle w:val="Strong"/>
          <w:rFonts w:ascii="Arial" w:eastAsia="Calibri Light" w:hAnsi="Arial" w:cs="Arial"/>
          <w:b w:val="0"/>
          <w:bCs w:val="0"/>
          <w:sz w:val="22"/>
          <w:szCs w:val="22"/>
        </w:rPr>
        <w:t>HR</w:t>
      </w:r>
      <w:r w:rsidR="00695F5E" w:rsidRPr="00CA26AD">
        <w:rPr>
          <w:rStyle w:val="Strong"/>
          <w:rFonts w:ascii="Arial" w:eastAsia="Calibri Light" w:hAnsi="Arial" w:cs="Arial"/>
          <w:b w:val="0"/>
          <w:bCs w:val="0"/>
          <w:sz w:val="22"/>
          <w:szCs w:val="22"/>
        </w:rPr>
        <w:t>A 1998</w:t>
      </w:r>
      <w:r w:rsidR="00ED3361" w:rsidRPr="00CA26AD">
        <w:rPr>
          <w:rStyle w:val="Strong"/>
          <w:rFonts w:ascii="Arial" w:eastAsia="Calibri Light" w:hAnsi="Arial" w:cs="Arial"/>
          <w:b w:val="0"/>
          <w:bCs w:val="0"/>
          <w:sz w:val="22"/>
          <w:szCs w:val="22"/>
        </w:rPr>
        <w:t>.</w:t>
      </w:r>
    </w:p>
    <w:p w14:paraId="34B496B2" w14:textId="4ABDFFF9" w:rsidR="00B21F0E" w:rsidRDefault="00ED3361" w:rsidP="00D54194">
      <w:pPr>
        <w:pStyle w:val="NormalWeb"/>
        <w:numPr>
          <w:ilvl w:val="0"/>
          <w:numId w:val="10"/>
        </w:numPr>
        <w:spacing w:line="360" w:lineRule="auto"/>
        <w:jc w:val="both"/>
        <w:rPr>
          <w:rStyle w:val="Strong"/>
          <w:rFonts w:ascii="Arial" w:hAnsi="Arial" w:cs="Arial"/>
          <w:b w:val="0"/>
          <w:bCs w:val="0"/>
          <w:sz w:val="22"/>
          <w:szCs w:val="22"/>
        </w:rPr>
      </w:pPr>
      <w:r w:rsidRPr="00CA26AD">
        <w:rPr>
          <w:rStyle w:val="Strong"/>
          <w:rFonts w:ascii="Arial" w:eastAsia="Calibri Light" w:hAnsi="Arial" w:cs="Arial"/>
        </w:rPr>
        <w:t>Article 8</w:t>
      </w:r>
      <w:r w:rsidRPr="00CA26AD">
        <w:rPr>
          <w:rStyle w:val="Strong"/>
          <w:rFonts w:ascii="Arial" w:eastAsia="Calibri Light" w:hAnsi="Arial" w:cs="Arial"/>
          <w:b w:val="0"/>
          <w:bCs w:val="0"/>
          <w:sz w:val="22"/>
          <w:szCs w:val="22"/>
        </w:rPr>
        <w:t xml:space="preserve"> (</w:t>
      </w:r>
      <w:r w:rsidRPr="001E2EF9">
        <w:rPr>
          <w:rStyle w:val="Strong"/>
          <w:rFonts w:ascii="Arial" w:eastAsia="Calibri Light" w:hAnsi="Arial" w:cs="Arial"/>
          <w:sz w:val="22"/>
          <w:szCs w:val="22"/>
        </w:rPr>
        <w:t>Right to respect</w:t>
      </w:r>
      <w:r w:rsidR="00CA6CF7" w:rsidRPr="001E2EF9">
        <w:rPr>
          <w:rStyle w:val="Strong"/>
          <w:rFonts w:ascii="Arial" w:eastAsia="Calibri Light" w:hAnsi="Arial" w:cs="Arial"/>
          <w:sz w:val="22"/>
          <w:szCs w:val="22"/>
        </w:rPr>
        <w:t xml:space="preserve"> for private and family </w:t>
      </w:r>
      <w:r w:rsidR="000E55F2" w:rsidRPr="001E2EF9">
        <w:rPr>
          <w:rStyle w:val="Strong"/>
          <w:rFonts w:ascii="Arial" w:eastAsia="Calibri Light" w:hAnsi="Arial" w:cs="Arial"/>
          <w:sz w:val="22"/>
          <w:szCs w:val="22"/>
        </w:rPr>
        <w:t>life</w:t>
      </w:r>
      <w:r w:rsidR="000E55F2" w:rsidRPr="00CA26AD">
        <w:rPr>
          <w:rStyle w:val="Strong"/>
          <w:rFonts w:ascii="Arial" w:eastAsia="Calibri Light" w:hAnsi="Arial" w:cs="Arial"/>
          <w:b w:val="0"/>
          <w:bCs w:val="0"/>
          <w:sz w:val="22"/>
          <w:szCs w:val="22"/>
        </w:rPr>
        <w:t xml:space="preserve">):  This article is critical in the context of </w:t>
      </w:r>
      <w:r w:rsidR="0039744B" w:rsidRPr="00CA26AD">
        <w:rPr>
          <w:rStyle w:val="Strong"/>
          <w:rFonts w:ascii="Arial" w:eastAsia="Calibri Light" w:hAnsi="Arial" w:cs="Arial"/>
          <w:b w:val="0"/>
          <w:bCs w:val="0"/>
          <w:sz w:val="22"/>
          <w:szCs w:val="22"/>
        </w:rPr>
        <w:t>“</w:t>
      </w:r>
      <w:r w:rsidR="000E55F2" w:rsidRPr="00CA26AD">
        <w:rPr>
          <w:rStyle w:val="Strong"/>
          <w:rFonts w:ascii="Arial" w:eastAsia="Calibri Light" w:hAnsi="Arial" w:cs="Arial"/>
          <w:b w:val="0"/>
          <w:bCs w:val="0"/>
          <w:sz w:val="22"/>
          <w:szCs w:val="22"/>
        </w:rPr>
        <w:t xml:space="preserve">deemed </w:t>
      </w:r>
      <w:r w:rsidR="0039744B" w:rsidRPr="00CA26AD">
        <w:rPr>
          <w:rStyle w:val="Strong"/>
          <w:rFonts w:ascii="Arial" w:eastAsia="Calibri Light" w:hAnsi="Arial" w:cs="Arial"/>
          <w:b w:val="0"/>
          <w:bCs w:val="0"/>
          <w:sz w:val="22"/>
          <w:szCs w:val="22"/>
        </w:rPr>
        <w:t>consent</w:t>
      </w:r>
      <w:r w:rsidR="000B112E" w:rsidRPr="00CA26AD">
        <w:rPr>
          <w:rStyle w:val="Strong"/>
          <w:rFonts w:ascii="Arial" w:eastAsia="Calibri Light" w:hAnsi="Arial" w:cs="Arial"/>
          <w:b w:val="0"/>
          <w:bCs w:val="0"/>
          <w:sz w:val="22"/>
          <w:szCs w:val="22"/>
        </w:rPr>
        <w:t>,</w:t>
      </w:r>
      <w:r w:rsidR="0039744B" w:rsidRPr="00CA26AD">
        <w:rPr>
          <w:rStyle w:val="Strong"/>
          <w:rFonts w:ascii="Arial" w:eastAsia="Calibri Light" w:hAnsi="Arial" w:cs="Arial"/>
          <w:b w:val="0"/>
          <w:bCs w:val="0"/>
          <w:sz w:val="22"/>
          <w:szCs w:val="22"/>
        </w:rPr>
        <w:t>”</w:t>
      </w:r>
      <w:r w:rsidR="000768C7" w:rsidRPr="00CA26AD">
        <w:rPr>
          <w:rStyle w:val="Strong"/>
          <w:rFonts w:ascii="Arial" w:eastAsia="Calibri Light" w:hAnsi="Arial" w:cs="Arial"/>
          <w:b w:val="0"/>
          <w:bCs w:val="0"/>
          <w:sz w:val="22"/>
          <w:szCs w:val="22"/>
        </w:rPr>
        <w:t xml:space="preserve"> </w:t>
      </w:r>
      <w:r w:rsidR="000B112E" w:rsidRPr="00CA26AD">
        <w:rPr>
          <w:rStyle w:val="Strong"/>
          <w:rFonts w:ascii="Arial" w:eastAsia="Calibri Light" w:hAnsi="Arial" w:cs="Arial"/>
          <w:b w:val="0"/>
          <w:bCs w:val="0"/>
          <w:sz w:val="22"/>
          <w:szCs w:val="22"/>
        </w:rPr>
        <w:t>as it pro</w:t>
      </w:r>
      <w:r w:rsidR="00E311DF" w:rsidRPr="00CA26AD">
        <w:rPr>
          <w:rStyle w:val="Strong"/>
          <w:rFonts w:ascii="Arial" w:eastAsia="Calibri Light" w:hAnsi="Arial" w:cs="Arial"/>
          <w:b w:val="0"/>
          <w:bCs w:val="0"/>
          <w:sz w:val="22"/>
          <w:szCs w:val="22"/>
        </w:rPr>
        <w:t xml:space="preserve">tects the </w:t>
      </w:r>
      <w:r w:rsidR="00E311DF" w:rsidRPr="001D182C">
        <w:rPr>
          <w:rStyle w:val="Strong"/>
          <w:rFonts w:ascii="Arial" w:eastAsia="Calibri Light" w:hAnsi="Arial" w:cs="Arial"/>
          <w:b w:val="0"/>
          <w:bCs w:val="0"/>
          <w:sz w:val="22"/>
          <w:szCs w:val="22"/>
        </w:rPr>
        <w:t>right of individuals and families</w:t>
      </w:r>
      <w:r w:rsidR="00D0200B" w:rsidRPr="001D182C">
        <w:rPr>
          <w:rStyle w:val="Strong"/>
          <w:rFonts w:ascii="Arial" w:eastAsia="Calibri Light" w:hAnsi="Arial" w:cs="Arial"/>
          <w:b w:val="0"/>
          <w:bCs w:val="0"/>
          <w:sz w:val="22"/>
          <w:szCs w:val="22"/>
        </w:rPr>
        <w:t xml:space="preserve"> to have their private beliefs and bodily in</w:t>
      </w:r>
      <w:r w:rsidR="00621DD7" w:rsidRPr="001D182C">
        <w:rPr>
          <w:rStyle w:val="Strong"/>
          <w:rFonts w:ascii="Arial" w:eastAsia="Calibri Light" w:hAnsi="Arial" w:cs="Arial"/>
          <w:b w:val="0"/>
          <w:bCs w:val="0"/>
          <w:sz w:val="22"/>
          <w:szCs w:val="22"/>
        </w:rPr>
        <w:t>tegrity respected</w:t>
      </w:r>
      <w:r w:rsidR="001A4F7B" w:rsidRPr="001D182C">
        <w:rPr>
          <w:rStyle w:val="Strong"/>
          <w:rFonts w:ascii="Arial" w:eastAsia="Calibri Light" w:hAnsi="Arial" w:cs="Arial"/>
          <w:b w:val="0"/>
          <w:bCs w:val="0"/>
          <w:sz w:val="22"/>
          <w:szCs w:val="22"/>
        </w:rPr>
        <w:t xml:space="preserve">. </w:t>
      </w:r>
      <w:r w:rsidR="00C614E9" w:rsidRPr="001D182C">
        <w:rPr>
          <w:rStyle w:val="Strong"/>
          <w:rFonts w:ascii="Arial" w:eastAsia="Calibri Light" w:hAnsi="Arial" w:cs="Arial"/>
          <w:b w:val="0"/>
          <w:bCs w:val="0"/>
          <w:sz w:val="22"/>
          <w:szCs w:val="22"/>
        </w:rPr>
        <w:t xml:space="preserve"> It r</w:t>
      </w:r>
      <w:r w:rsidR="00A51BCE" w:rsidRPr="001D182C">
        <w:rPr>
          <w:rStyle w:val="Strong"/>
          <w:rFonts w:ascii="Arial" w:eastAsia="Calibri Light" w:hAnsi="Arial" w:cs="Arial"/>
          <w:b w:val="0"/>
          <w:bCs w:val="0"/>
          <w:sz w:val="22"/>
          <w:szCs w:val="22"/>
        </w:rPr>
        <w:t>einforces the legal necessity of the family’s</w:t>
      </w:r>
      <w:r w:rsidR="0015074A" w:rsidRPr="001D182C">
        <w:rPr>
          <w:rStyle w:val="Strong"/>
          <w:rFonts w:ascii="Arial" w:eastAsia="Calibri Light" w:hAnsi="Arial" w:cs="Arial"/>
          <w:b w:val="0"/>
          <w:bCs w:val="0"/>
          <w:sz w:val="22"/>
          <w:szCs w:val="22"/>
        </w:rPr>
        <w:t xml:space="preserve"> role in the donation</w:t>
      </w:r>
      <w:r w:rsidR="007552D5" w:rsidRPr="001D182C">
        <w:rPr>
          <w:rStyle w:val="Strong"/>
          <w:rFonts w:ascii="Arial" w:eastAsia="Calibri Light" w:hAnsi="Arial" w:cs="Arial"/>
          <w:b w:val="0"/>
          <w:bCs w:val="0"/>
          <w:sz w:val="22"/>
          <w:szCs w:val="22"/>
        </w:rPr>
        <w:t xml:space="preserve"> proces</w:t>
      </w:r>
      <w:r w:rsidR="002C05A5" w:rsidRPr="001D182C">
        <w:rPr>
          <w:rStyle w:val="Strong"/>
          <w:rFonts w:ascii="Arial" w:eastAsia="Calibri Light" w:hAnsi="Arial" w:cs="Arial"/>
          <w:b w:val="0"/>
          <w:bCs w:val="0"/>
          <w:sz w:val="22"/>
          <w:szCs w:val="22"/>
        </w:rPr>
        <w:t>s</w:t>
      </w:r>
      <w:r w:rsidR="003F0327" w:rsidRPr="001D182C">
        <w:rPr>
          <w:rStyle w:val="Strong"/>
          <w:rFonts w:ascii="Arial" w:eastAsia="Calibri Light" w:hAnsi="Arial" w:cs="Arial"/>
          <w:b w:val="0"/>
          <w:bCs w:val="0"/>
          <w:sz w:val="22"/>
          <w:szCs w:val="22"/>
        </w:rPr>
        <w:t>,</w:t>
      </w:r>
      <w:r w:rsidR="00845150" w:rsidRPr="001D182C">
        <w:rPr>
          <w:rStyle w:val="Strong"/>
          <w:rFonts w:ascii="Arial" w:eastAsia="Calibri Light" w:hAnsi="Arial" w:cs="Arial"/>
          <w:b w:val="0"/>
          <w:bCs w:val="0"/>
          <w:sz w:val="22"/>
          <w:szCs w:val="22"/>
        </w:rPr>
        <w:t xml:space="preserve"> ensuring that the state does not </w:t>
      </w:r>
      <w:r w:rsidR="00096738" w:rsidRPr="001D182C">
        <w:rPr>
          <w:rStyle w:val="Strong"/>
          <w:rFonts w:ascii="Arial" w:eastAsia="Calibri Light" w:hAnsi="Arial" w:cs="Arial"/>
          <w:b w:val="0"/>
          <w:bCs w:val="0"/>
          <w:sz w:val="22"/>
          <w:szCs w:val="22"/>
        </w:rPr>
        <w:t>override deeply held personal or famil</w:t>
      </w:r>
      <w:r w:rsidR="00B21F0E" w:rsidRPr="001D182C">
        <w:rPr>
          <w:rStyle w:val="Strong"/>
          <w:rFonts w:ascii="Arial" w:eastAsia="Calibri Light" w:hAnsi="Arial" w:cs="Arial"/>
          <w:b w:val="0"/>
          <w:bCs w:val="0"/>
          <w:sz w:val="22"/>
          <w:szCs w:val="22"/>
        </w:rPr>
        <w:t>ial</w:t>
      </w:r>
      <w:r w:rsidR="00B21F0E" w:rsidRPr="001D182C">
        <w:rPr>
          <w:rStyle w:val="Strong"/>
          <w:rFonts w:ascii="Arial" w:hAnsi="Arial" w:cs="Arial"/>
          <w:b w:val="0"/>
          <w:bCs w:val="0"/>
          <w:sz w:val="22"/>
          <w:szCs w:val="22"/>
        </w:rPr>
        <w:t xml:space="preserve"> conviction</w:t>
      </w:r>
      <w:r w:rsidR="00CA26AD" w:rsidRPr="001D182C">
        <w:rPr>
          <w:rStyle w:val="Strong"/>
          <w:rFonts w:ascii="Arial" w:hAnsi="Arial" w:cs="Arial"/>
          <w:b w:val="0"/>
          <w:bCs w:val="0"/>
          <w:sz w:val="22"/>
          <w:szCs w:val="22"/>
        </w:rPr>
        <w:t>s.</w:t>
      </w:r>
    </w:p>
    <w:p w14:paraId="15276557" w14:textId="77777777" w:rsidR="008E08ED" w:rsidRDefault="008E08ED" w:rsidP="008E08ED">
      <w:pPr>
        <w:pStyle w:val="NormalWeb"/>
        <w:spacing w:line="360" w:lineRule="auto"/>
        <w:jc w:val="both"/>
        <w:rPr>
          <w:rStyle w:val="Strong"/>
          <w:rFonts w:ascii="Arial" w:hAnsi="Arial" w:cs="Arial"/>
          <w:b w:val="0"/>
          <w:bCs w:val="0"/>
          <w:sz w:val="22"/>
          <w:szCs w:val="22"/>
        </w:rPr>
      </w:pPr>
    </w:p>
    <w:p w14:paraId="1F6E51B4" w14:textId="77777777" w:rsidR="005212F7" w:rsidRDefault="005212F7" w:rsidP="008E08ED">
      <w:pPr>
        <w:pStyle w:val="NormalWeb"/>
        <w:spacing w:line="360" w:lineRule="auto"/>
        <w:jc w:val="both"/>
        <w:rPr>
          <w:rStyle w:val="Strong"/>
          <w:rFonts w:ascii="Arial" w:hAnsi="Arial" w:cs="Arial"/>
          <w:b w:val="0"/>
          <w:bCs w:val="0"/>
          <w:sz w:val="22"/>
          <w:szCs w:val="22"/>
        </w:rPr>
      </w:pPr>
    </w:p>
    <w:p w14:paraId="142D995F" w14:textId="00FAC5A9" w:rsidR="00827105" w:rsidRPr="00827105" w:rsidRDefault="002A4616" w:rsidP="00827105">
      <w:pPr>
        <w:pStyle w:val="NormalWeb"/>
        <w:numPr>
          <w:ilvl w:val="0"/>
          <w:numId w:val="10"/>
        </w:numPr>
        <w:spacing w:line="360" w:lineRule="auto"/>
        <w:jc w:val="both"/>
        <w:rPr>
          <w:rStyle w:val="Strong"/>
          <w:rFonts w:ascii="Arial" w:hAnsi="Arial" w:cs="Arial"/>
          <w:b w:val="0"/>
          <w:bCs w:val="0"/>
          <w:sz w:val="22"/>
          <w:szCs w:val="22"/>
        </w:rPr>
      </w:pPr>
      <w:r>
        <w:rPr>
          <w:rStyle w:val="Strong"/>
          <w:rFonts w:ascii="Arial" w:eastAsia="Calibri Light" w:hAnsi="Arial" w:cs="Arial"/>
        </w:rPr>
        <w:t>Article 9</w:t>
      </w:r>
      <w:r w:rsidR="00305CC9">
        <w:rPr>
          <w:rStyle w:val="Strong"/>
          <w:rFonts w:ascii="Arial" w:eastAsia="Calibri Light" w:hAnsi="Arial" w:cs="Arial"/>
        </w:rPr>
        <w:t xml:space="preserve"> (Freedom of thought, b</w:t>
      </w:r>
      <w:r w:rsidR="00497C76">
        <w:rPr>
          <w:rStyle w:val="Strong"/>
          <w:rFonts w:ascii="Arial" w:eastAsia="Calibri Light" w:hAnsi="Arial" w:cs="Arial"/>
        </w:rPr>
        <w:t xml:space="preserve">arriers.  </w:t>
      </w:r>
      <w:r w:rsidR="00497C76" w:rsidRPr="00763468">
        <w:rPr>
          <w:rStyle w:val="Strong"/>
          <w:rFonts w:ascii="Arial" w:eastAsia="Calibri Light" w:hAnsi="Arial" w:cs="Arial"/>
          <w:b w:val="0"/>
          <w:bCs w:val="0"/>
          <w:sz w:val="22"/>
          <w:szCs w:val="22"/>
        </w:rPr>
        <w:t>Failure to</w:t>
      </w:r>
      <w:r w:rsidR="00B31FC5" w:rsidRPr="00763468">
        <w:rPr>
          <w:rStyle w:val="Strong"/>
          <w:rFonts w:ascii="Arial" w:eastAsia="Calibri Light" w:hAnsi="Arial" w:cs="Arial"/>
          <w:b w:val="0"/>
          <w:bCs w:val="0"/>
          <w:sz w:val="22"/>
          <w:szCs w:val="22"/>
        </w:rPr>
        <w:t xml:space="preserve"> provide culturally</w:t>
      </w:r>
      <w:r w:rsidR="00FE7478" w:rsidRPr="00763468">
        <w:rPr>
          <w:rStyle w:val="Strong"/>
          <w:rFonts w:ascii="Arial" w:eastAsia="Calibri Light" w:hAnsi="Arial" w:cs="Arial"/>
          <w:b w:val="0"/>
          <w:bCs w:val="0"/>
          <w:sz w:val="22"/>
          <w:szCs w:val="22"/>
        </w:rPr>
        <w:t xml:space="preserve"> accessible information could be interpreted</w:t>
      </w:r>
      <w:r w:rsidR="00763468" w:rsidRPr="00763468">
        <w:rPr>
          <w:rStyle w:val="Strong"/>
          <w:rFonts w:ascii="Arial" w:eastAsia="Calibri Light" w:hAnsi="Arial" w:cs="Arial"/>
          <w:b w:val="0"/>
          <w:bCs w:val="0"/>
          <w:sz w:val="22"/>
          <w:szCs w:val="22"/>
        </w:rPr>
        <w:t xml:space="preserve"> as an </w:t>
      </w:r>
      <w:r w:rsidR="00763468">
        <w:rPr>
          <w:rStyle w:val="Strong"/>
          <w:rFonts w:ascii="Arial" w:eastAsia="Calibri Light" w:hAnsi="Arial" w:cs="Arial"/>
          <w:b w:val="0"/>
          <w:bCs w:val="0"/>
          <w:sz w:val="22"/>
          <w:szCs w:val="22"/>
        </w:rPr>
        <w:t>interference</w:t>
      </w:r>
      <w:r w:rsidR="00884C46">
        <w:rPr>
          <w:rStyle w:val="Strong"/>
          <w:rFonts w:ascii="Arial" w:eastAsia="Calibri Light" w:hAnsi="Arial" w:cs="Arial"/>
          <w:b w:val="0"/>
          <w:bCs w:val="0"/>
          <w:sz w:val="22"/>
          <w:szCs w:val="22"/>
        </w:rPr>
        <w:t xml:space="preserve"> with an </w:t>
      </w:r>
      <w:r w:rsidR="007F2AB8">
        <w:rPr>
          <w:rStyle w:val="Strong"/>
          <w:rFonts w:ascii="Arial" w:eastAsia="Calibri Light" w:hAnsi="Arial" w:cs="Arial"/>
          <w:b w:val="0"/>
          <w:bCs w:val="0"/>
          <w:sz w:val="22"/>
          <w:szCs w:val="22"/>
        </w:rPr>
        <w:t>individual's right to manifest their religious</w:t>
      </w:r>
      <w:r w:rsidR="00140EA9">
        <w:rPr>
          <w:rStyle w:val="Strong"/>
          <w:rFonts w:ascii="Arial" w:eastAsia="Calibri Light" w:hAnsi="Arial" w:cs="Arial"/>
          <w:b w:val="0"/>
          <w:bCs w:val="0"/>
          <w:sz w:val="22"/>
          <w:szCs w:val="22"/>
        </w:rPr>
        <w:t xml:space="preserve"> or philosophical beliefs.</w:t>
      </w:r>
    </w:p>
    <w:p w14:paraId="437E6347" w14:textId="3C765110" w:rsidR="00970EEB" w:rsidRPr="00B57470" w:rsidRDefault="00472AB7" w:rsidP="00970EEB">
      <w:pPr>
        <w:pStyle w:val="NormalWeb"/>
        <w:numPr>
          <w:ilvl w:val="0"/>
          <w:numId w:val="10"/>
        </w:numPr>
        <w:spacing w:line="360" w:lineRule="auto"/>
        <w:rPr>
          <w:rStyle w:val="Strong"/>
          <w:rFonts w:ascii="Arial" w:hAnsi="Arial" w:cs="Arial"/>
          <w:b w:val="0"/>
          <w:bCs w:val="0"/>
          <w:sz w:val="22"/>
          <w:szCs w:val="22"/>
        </w:rPr>
      </w:pPr>
      <w:r>
        <w:rPr>
          <w:rStyle w:val="Strong"/>
          <w:rFonts w:ascii="Arial" w:eastAsia="Calibri Light" w:hAnsi="Arial" w:cs="Arial"/>
        </w:rPr>
        <w:t>The Equality Act (2010)</w:t>
      </w:r>
    </w:p>
    <w:p w14:paraId="0DE1A1B1" w14:textId="57787B3D" w:rsidR="00472AB7" w:rsidRPr="00827105" w:rsidRDefault="00472AB7" w:rsidP="00CE70A9">
      <w:pPr>
        <w:pStyle w:val="NormalWeb"/>
        <w:spacing w:line="360" w:lineRule="auto"/>
        <w:rPr>
          <w:rStyle w:val="Strong"/>
          <w:rFonts w:ascii="Arial" w:hAnsi="Arial" w:cs="Arial"/>
          <w:b w:val="0"/>
          <w:bCs w:val="0"/>
          <w:sz w:val="22"/>
          <w:szCs w:val="22"/>
        </w:rPr>
      </w:pPr>
      <w:r w:rsidRPr="00827105">
        <w:rPr>
          <w:rStyle w:val="Strong"/>
          <w:rFonts w:ascii="Arial" w:eastAsia="Calibri Light" w:hAnsi="Arial" w:cs="Arial"/>
          <w:b w:val="0"/>
          <w:bCs w:val="0"/>
          <w:sz w:val="22"/>
          <w:szCs w:val="22"/>
        </w:rPr>
        <w:t>The Equality Duty (PSE</w:t>
      </w:r>
      <w:r w:rsidR="00DC466B" w:rsidRPr="00827105">
        <w:rPr>
          <w:rStyle w:val="Strong"/>
          <w:rFonts w:ascii="Arial" w:eastAsia="Calibri Light" w:hAnsi="Arial" w:cs="Arial"/>
          <w:b w:val="0"/>
          <w:bCs w:val="0"/>
          <w:sz w:val="22"/>
          <w:szCs w:val="22"/>
        </w:rPr>
        <w:t xml:space="preserve">D) on the NHS </w:t>
      </w:r>
      <w:r w:rsidR="004D5618" w:rsidRPr="00827105">
        <w:rPr>
          <w:rStyle w:val="Strong"/>
          <w:rFonts w:ascii="Arial" w:eastAsia="Calibri Light" w:hAnsi="Arial" w:cs="Arial"/>
          <w:b w:val="0"/>
          <w:bCs w:val="0"/>
          <w:sz w:val="22"/>
          <w:szCs w:val="22"/>
        </w:rPr>
        <w:t>requires</w:t>
      </w:r>
      <w:r w:rsidR="007951C7" w:rsidRPr="00827105">
        <w:rPr>
          <w:rStyle w:val="Strong"/>
          <w:rFonts w:ascii="Arial" w:eastAsia="Calibri Light" w:hAnsi="Arial" w:cs="Arial"/>
          <w:b w:val="0"/>
          <w:bCs w:val="0"/>
          <w:sz w:val="22"/>
          <w:szCs w:val="22"/>
        </w:rPr>
        <w:t xml:space="preserve"> proactive measures to eliminate dis</w:t>
      </w:r>
      <w:r w:rsidR="00F90DC5" w:rsidRPr="00827105">
        <w:rPr>
          <w:rStyle w:val="Strong"/>
          <w:rFonts w:ascii="Arial" w:eastAsia="Calibri Light" w:hAnsi="Arial" w:cs="Arial"/>
          <w:b w:val="0"/>
          <w:bCs w:val="0"/>
          <w:sz w:val="22"/>
          <w:szCs w:val="22"/>
        </w:rPr>
        <w:t xml:space="preserve">crimination and advance equality for those with protected </w:t>
      </w:r>
      <w:r w:rsidR="00964511" w:rsidRPr="00827105">
        <w:rPr>
          <w:rStyle w:val="Strong"/>
          <w:rFonts w:ascii="Arial" w:eastAsia="Calibri Light" w:hAnsi="Arial" w:cs="Arial"/>
          <w:b w:val="0"/>
          <w:bCs w:val="0"/>
          <w:sz w:val="22"/>
          <w:szCs w:val="22"/>
        </w:rPr>
        <w:t>characteristics, such as race and religion</w:t>
      </w:r>
      <w:r w:rsidR="0084689C" w:rsidRPr="00827105">
        <w:rPr>
          <w:rStyle w:val="Strong"/>
          <w:rFonts w:ascii="Arial" w:eastAsia="Calibri Light" w:hAnsi="Arial" w:cs="Arial"/>
          <w:b w:val="0"/>
          <w:bCs w:val="0"/>
          <w:sz w:val="22"/>
          <w:szCs w:val="22"/>
        </w:rPr>
        <w:t>.</w:t>
      </w:r>
    </w:p>
    <w:p w14:paraId="15032EAE" w14:textId="167EFC93" w:rsidR="00B94BAE" w:rsidRPr="00965812" w:rsidRDefault="00B94BAE" w:rsidP="00D54194">
      <w:pPr>
        <w:pStyle w:val="NormalWeb"/>
        <w:numPr>
          <w:ilvl w:val="0"/>
          <w:numId w:val="21"/>
        </w:numPr>
        <w:spacing w:line="360" w:lineRule="auto"/>
        <w:rPr>
          <w:rStyle w:val="Strong"/>
          <w:rFonts w:ascii="Arial" w:eastAsia="Calibri Light" w:hAnsi="Arial" w:cs="Arial"/>
          <w:b w:val="0"/>
          <w:bCs w:val="0"/>
          <w:sz w:val="22"/>
          <w:szCs w:val="22"/>
        </w:rPr>
      </w:pPr>
      <w:r w:rsidRPr="00AF6D34">
        <w:rPr>
          <w:rStyle w:val="Strong"/>
          <w:rFonts w:ascii="Arial" w:eastAsia="Calibri Light" w:hAnsi="Arial" w:cs="Arial"/>
        </w:rPr>
        <w:t>Addressing Structural Inequality</w:t>
      </w:r>
      <w:r w:rsidR="00AF6D34">
        <w:rPr>
          <w:rStyle w:val="Strong"/>
          <w:rFonts w:ascii="Arial" w:eastAsia="Calibri Light" w:hAnsi="Arial" w:cs="Arial"/>
        </w:rPr>
        <w:t xml:space="preserve">: </w:t>
      </w:r>
      <w:r w:rsidR="00BF5801" w:rsidRPr="00965812">
        <w:rPr>
          <w:rStyle w:val="Strong"/>
          <w:rFonts w:ascii="Arial" w:eastAsia="Calibri Light" w:hAnsi="Arial" w:cs="Arial"/>
          <w:b w:val="0"/>
          <w:bCs w:val="0"/>
          <w:sz w:val="22"/>
          <w:szCs w:val="22"/>
        </w:rPr>
        <w:t>The disparity in wait times for Black and Asian patients</w:t>
      </w:r>
      <w:r w:rsidR="00196F5B" w:rsidRPr="00965812">
        <w:rPr>
          <w:rStyle w:val="Strong"/>
          <w:rFonts w:ascii="Arial" w:eastAsia="Calibri Light" w:hAnsi="Arial" w:cs="Arial"/>
          <w:b w:val="0"/>
          <w:bCs w:val="0"/>
          <w:sz w:val="22"/>
          <w:szCs w:val="22"/>
        </w:rPr>
        <w:t>,</w:t>
      </w:r>
      <w:r w:rsidR="00BF5801" w:rsidRPr="00965812">
        <w:rPr>
          <w:rStyle w:val="Strong"/>
          <w:rFonts w:ascii="Arial" w:eastAsia="Calibri Light" w:hAnsi="Arial" w:cs="Arial"/>
          <w:b w:val="0"/>
          <w:bCs w:val="0"/>
          <w:sz w:val="22"/>
          <w:szCs w:val="22"/>
        </w:rPr>
        <w:t xml:space="preserve"> </w:t>
      </w:r>
      <w:r w:rsidR="0077368D" w:rsidRPr="00965812">
        <w:rPr>
          <w:rStyle w:val="Strong"/>
          <w:rFonts w:ascii="Arial" w:eastAsia="Calibri Light" w:hAnsi="Arial" w:cs="Arial"/>
          <w:b w:val="0"/>
          <w:bCs w:val="0"/>
          <w:sz w:val="22"/>
          <w:szCs w:val="22"/>
        </w:rPr>
        <w:t>who often</w:t>
      </w:r>
      <w:r w:rsidR="00A55417" w:rsidRPr="00965812">
        <w:rPr>
          <w:rStyle w:val="Strong"/>
          <w:rFonts w:ascii="Arial" w:eastAsia="Calibri Light" w:hAnsi="Arial" w:cs="Arial"/>
          <w:b w:val="0"/>
          <w:bCs w:val="0"/>
          <w:sz w:val="22"/>
          <w:szCs w:val="22"/>
        </w:rPr>
        <w:t xml:space="preserve"> wait significantly longer for an ethnically matched organ</w:t>
      </w:r>
      <w:r w:rsidR="00196F5B" w:rsidRPr="00965812">
        <w:rPr>
          <w:rStyle w:val="Strong"/>
          <w:rFonts w:ascii="Arial" w:eastAsia="Calibri Light" w:hAnsi="Arial" w:cs="Arial"/>
          <w:b w:val="0"/>
          <w:bCs w:val="0"/>
          <w:sz w:val="22"/>
          <w:szCs w:val="22"/>
        </w:rPr>
        <w:t>,</w:t>
      </w:r>
      <w:r w:rsidR="006C23C0" w:rsidRPr="00965812">
        <w:rPr>
          <w:rStyle w:val="Strong"/>
          <w:rFonts w:ascii="Arial" w:eastAsia="Calibri Light" w:hAnsi="Arial" w:cs="Arial"/>
          <w:b w:val="0"/>
          <w:bCs w:val="0"/>
          <w:sz w:val="22"/>
          <w:szCs w:val="22"/>
        </w:rPr>
        <w:t xml:space="preserve"> highlights </w:t>
      </w:r>
      <w:r w:rsidR="00AC33C9" w:rsidRPr="00965812">
        <w:rPr>
          <w:rStyle w:val="Strong"/>
          <w:rFonts w:ascii="Arial" w:eastAsia="Calibri Light" w:hAnsi="Arial" w:cs="Arial"/>
          <w:b w:val="0"/>
          <w:bCs w:val="0"/>
          <w:sz w:val="22"/>
          <w:szCs w:val="22"/>
        </w:rPr>
        <w:t>a structural inequality that</w:t>
      </w:r>
      <w:r w:rsidR="00196F5B" w:rsidRPr="00965812">
        <w:rPr>
          <w:rStyle w:val="Strong"/>
          <w:rFonts w:ascii="Arial" w:eastAsia="Calibri Light" w:hAnsi="Arial" w:cs="Arial"/>
          <w:b w:val="0"/>
          <w:bCs w:val="0"/>
          <w:sz w:val="22"/>
          <w:szCs w:val="22"/>
        </w:rPr>
        <w:t xml:space="preserve"> </w:t>
      </w:r>
      <w:r w:rsidR="00C00C5B" w:rsidRPr="00965812">
        <w:rPr>
          <w:rStyle w:val="Strong"/>
          <w:rFonts w:ascii="Arial" w:eastAsia="Calibri Light" w:hAnsi="Arial" w:cs="Arial"/>
          <w:b w:val="0"/>
          <w:bCs w:val="0"/>
          <w:sz w:val="22"/>
          <w:szCs w:val="22"/>
        </w:rPr>
        <w:t>the NHS is legally bound to address.</w:t>
      </w:r>
    </w:p>
    <w:p w14:paraId="356B2DD4" w14:textId="268374AD" w:rsidR="002679F7" w:rsidRPr="002679F7" w:rsidRDefault="00BC7276" w:rsidP="00D54194">
      <w:pPr>
        <w:pStyle w:val="NormalWeb"/>
        <w:numPr>
          <w:ilvl w:val="0"/>
          <w:numId w:val="21"/>
        </w:numPr>
        <w:spacing w:line="360" w:lineRule="auto"/>
        <w:rPr>
          <w:rStyle w:val="Strong"/>
          <w:rFonts w:ascii="Arial" w:eastAsia="Calibri Light" w:hAnsi="Arial" w:cs="Arial"/>
          <w:b w:val="0"/>
          <w:bCs w:val="0"/>
        </w:rPr>
      </w:pPr>
      <w:r>
        <w:rPr>
          <w:rStyle w:val="Strong"/>
          <w:rFonts w:ascii="Arial" w:eastAsia="Calibri Light" w:hAnsi="Arial" w:cs="Arial"/>
        </w:rPr>
        <w:t>Equity</w:t>
      </w:r>
      <w:r w:rsidR="00866CFB">
        <w:rPr>
          <w:rStyle w:val="Strong"/>
          <w:rFonts w:ascii="Arial" w:eastAsia="Calibri Light" w:hAnsi="Arial" w:cs="Arial"/>
        </w:rPr>
        <w:t xml:space="preserve"> of Access:</w:t>
      </w:r>
      <w:r w:rsidR="00866CFB">
        <w:rPr>
          <w:rStyle w:val="Strong"/>
          <w:rFonts w:ascii="Arial" w:eastAsia="Calibri Light" w:hAnsi="Arial" w:cs="Arial"/>
          <w:b w:val="0"/>
          <w:bCs w:val="0"/>
        </w:rPr>
        <w:t xml:space="preserve"> Under</w:t>
      </w:r>
      <w:r w:rsidR="00736FC6">
        <w:rPr>
          <w:rStyle w:val="Strong"/>
          <w:rFonts w:ascii="Arial" w:eastAsia="Calibri Light" w:hAnsi="Arial" w:cs="Arial"/>
          <w:b w:val="0"/>
          <w:bCs w:val="0"/>
        </w:rPr>
        <w:t xml:space="preserve"> the Act, providing</w:t>
      </w:r>
      <w:r w:rsidR="003E441E">
        <w:rPr>
          <w:rStyle w:val="Strong"/>
          <w:rFonts w:ascii="Arial" w:eastAsia="Calibri Light" w:hAnsi="Arial" w:cs="Arial"/>
          <w:b w:val="0"/>
          <w:bCs w:val="0"/>
        </w:rPr>
        <w:t xml:space="preserve"> information</w:t>
      </w:r>
      <w:r w:rsidR="000430ED">
        <w:rPr>
          <w:rStyle w:val="Strong"/>
          <w:rFonts w:ascii="Arial" w:eastAsia="Calibri Light" w:hAnsi="Arial" w:cs="Arial"/>
          <w:b w:val="0"/>
          <w:bCs w:val="0"/>
        </w:rPr>
        <w:t xml:space="preserve"> </w:t>
      </w:r>
      <w:r w:rsidR="0051500C">
        <w:rPr>
          <w:rStyle w:val="Strong"/>
          <w:rFonts w:ascii="Arial" w:eastAsia="Calibri Light" w:hAnsi="Arial" w:cs="Arial"/>
          <w:b w:val="0"/>
          <w:bCs w:val="0"/>
        </w:rPr>
        <w:t xml:space="preserve">if it is not </w:t>
      </w:r>
      <w:r w:rsidR="0090232A">
        <w:rPr>
          <w:rStyle w:val="Strong"/>
          <w:rFonts w:ascii="Arial" w:eastAsia="Calibri Light" w:hAnsi="Arial" w:cs="Arial"/>
          <w:b w:val="0"/>
          <w:bCs w:val="0"/>
        </w:rPr>
        <w:t>“accessible”</w:t>
      </w:r>
      <w:r w:rsidR="00F02FC1">
        <w:rPr>
          <w:rStyle w:val="Strong"/>
          <w:rFonts w:ascii="Arial" w:eastAsia="Calibri Light" w:hAnsi="Arial" w:cs="Arial"/>
          <w:b w:val="0"/>
          <w:bCs w:val="0"/>
        </w:rPr>
        <w:t>.</w:t>
      </w:r>
      <w:r w:rsidR="00BE7627">
        <w:rPr>
          <w:rStyle w:val="Strong"/>
          <w:rFonts w:ascii="Arial" w:eastAsia="Calibri Light" w:hAnsi="Arial" w:cs="Arial"/>
          <w:b w:val="0"/>
          <w:bCs w:val="0"/>
        </w:rPr>
        <w:t xml:space="preserve">  This</w:t>
      </w:r>
      <w:r w:rsidR="00946165">
        <w:rPr>
          <w:rStyle w:val="Strong"/>
          <w:rFonts w:ascii="Arial" w:eastAsia="Calibri Light" w:hAnsi="Arial" w:cs="Arial"/>
          <w:b w:val="0"/>
          <w:bCs w:val="0"/>
        </w:rPr>
        <w:t xml:space="preserve"> mandates</w:t>
      </w:r>
      <w:r w:rsidR="00017577">
        <w:rPr>
          <w:rStyle w:val="Strong"/>
          <w:rFonts w:ascii="Arial" w:eastAsia="Calibri Light" w:hAnsi="Arial" w:cs="Arial"/>
          <w:b w:val="0"/>
          <w:bCs w:val="0"/>
        </w:rPr>
        <w:t xml:space="preserve"> “reasonable adjustments,” </w:t>
      </w:r>
      <w:r w:rsidR="00BE592B">
        <w:rPr>
          <w:rStyle w:val="Strong"/>
          <w:rFonts w:ascii="Arial" w:eastAsia="Calibri Light" w:hAnsi="Arial" w:cs="Arial"/>
          <w:b w:val="0"/>
          <w:bCs w:val="0"/>
        </w:rPr>
        <w:t>such as translating materials into native language</w:t>
      </w:r>
      <w:r w:rsidR="001C3661">
        <w:rPr>
          <w:rStyle w:val="Strong"/>
          <w:rFonts w:ascii="Arial" w:eastAsia="Calibri Light" w:hAnsi="Arial" w:cs="Arial"/>
          <w:b w:val="0"/>
          <w:bCs w:val="0"/>
        </w:rPr>
        <w:t xml:space="preserve">s and utilising culturally tailored messaging to ensure minority </w:t>
      </w:r>
      <w:r w:rsidR="00937B59">
        <w:rPr>
          <w:rStyle w:val="Strong"/>
          <w:rFonts w:ascii="Arial" w:eastAsia="Calibri Light" w:hAnsi="Arial" w:cs="Arial"/>
          <w:b w:val="0"/>
          <w:bCs w:val="0"/>
        </w:rPr>
        <w:t>groups are not disadvantaged</w:t>
      </w:r>
      <w:r w:rsidR="004A1307">
        <w:rPr>
          <w:rStyle w:val="Strong"/>
          <w:rFonts w:ascii="Arial" w:eastAsia="Calibri Light" w:hAnsi="Arial" w:cs="Arial"/>
          <w:b w:val="0"/>
          <w:bCs w:val="0"/>
        </w:rPr>
        <w:t xml:space="preserve"> by generic, “one-size-fits-all” campaigns</w:t>
      </w:r>
      <w:r w:rsidR="0084689C">
        <w:rPr>
          <w:rStyle w:val="Strong"/>
          <w:rFonts w:ascii="Arial" w:eastAsia="Calibri Light" w:hAnsi="Arial" w:cs="Arial"/>
          <w:b w:val="0"/>
          <w:bCs w:val="0"/>
        </w:rPr>
        <w:t>.</w:t>
      </w:r>
    </w:p>
    <w:p w14:paraId="278A5F86" w14:textId="681EAAF9" w:rsidR="008F0869" w:rsidRPr="00F8425E" w:rsidRDefault="00E748F4" w:rsidP="00D54194">
      <w:pPr>
        <w:pStyle w:val="NormalWeb"/>
        <w:numPr>
          <w:ilvl w:val="0"/>
          <w:numId w:val="21"/>
        </w:numPr>
        <w:spacing w:line="360" w:lineRule="auto"/>
        <w:rPr>
          <w:rStyle w:val="Strong"/>
          <w:rFonts w:ascii="Arial" w:eastAsia="Calibri Light" w:hAnsi="Arial" w:cs="Arial"/>
        </w:rPr>
      </w:pPr>
      <w:r w:rsidRPr="002679F7">
        <w:rPr>
          <w:rStyle w:val="Strong"/>
          <w:rFonts w:ascii="Arial" w:eastAsia="Calibri Light" w:hAnsi="Arial" w:cs="Arial"/>
        </w:rPr>
        <w:t>The Care Act (2014)</w:t>
      </w:r>
    </w:p>
    <w:p w14:paraId="3075D756" w14:textId="6178405A" w:rsidR="00CE70A9" w:rsidRPr="00970EEB" w:rsidRDefault="002679F7" w:rsidP="002028F8">
      <w:pPr>
        <w:pStyle w:val="NormalWeb"/>
        <w:numPr>
          <w:ilvl w:val="0"/>
          <w:numId w:val="21"/>
        </w:numPr>
        <w:spacing w:line="360" w:lineRule="auto"/>
        <w:rPr>
          <w:rStyle w:val="Strong"/>
          <w:rFonts w:ascii="Arial" w:eastAsia="Calibri Light" w:hAnsi="Arial" w:cs="Arial"/>
          <w:b w:val="0"/>
          <w:bCs w:val="0"/>
          <w:sz w:val="22"/>
          <w:szCs w:val="22"/>
        </w:rPr>
      </w:pPr>
      <w:r w:rsidRPr="00965812">
        <w:rPr>
          <w:rStyle w:val="Strong"/>
          <w:rFonts w:ascii="Arial" w:eastAsia="Calibri Light" w:hAnsi="Arial" w:cs="Arial"/>
          <w:b w:val="0"/>
          <w:bCs w:val="0"/>
          <w:sz w:val="22"/>
          <w:szCs w:val="22"/>
        </w:rPr>
        <w:t xml:space="preserve">The </w:t>
      </w:r>
      <w:r w:rsidR="00242682" w:rsidRPr="00965812">
        <w:rPr>
          <w:rStyle w:val="Strong"/>
          <w:rFonts w:ascii="Arial" w:eastAsia="Calibri Light" w:hAnsi="Arial" w:cs="Arial"/>
          <w:b w:val="0"/>
          <w:bCs w:val="0"/>
          <w:sz w:val="22"/>
          <w:szCs w:val="22"/>
        </w:rPr>
        <w:t>Care</w:t>
      </w:r>
      <w:r w:rsidRPr="00965812">
        <w:rPr>
          <w:rStyle w:val="Strong"/>
          <w:rFonts w:ascii="Arial" w:eastAsia="Calibri Light" w:hAnsi="Arial" w:cs="Arial"/>
          <w:b w:val="0"/>
          <w:bCs w:val="0"/>
          <w:sz w:val="22"/>
          <w:szCs w:val="22"/>
        </w:rPr>
        <w:t xml:space="preserve"> Act 2014 establishes the “well-being p</w:t>
      </w:r>
      <w:r w:rsidR="00054EC0" w:rsidRPr="00965812">
        <w:rPr>
          <w:rStyle w:val="Strong"/>
          <w:rFonts w:ascii="Arial" w:eastAsia="Calibri Light" w:hAnsi="Arial" w:cs="Arial"/>
          <w:b w:val="0"/>
          <w:bCs w:val="0"/>
          <w:sz w:val="22"/>
          <w:szCs w:val="22"/>
        </w:rPr>
        <w:t xml:space="preserve">rinciple,” shifting the focus of </w:t>
      </w:r>
      <w:r w:rsidR="00C16E61" w:rsidRPr="00965812">
        <w:rPr>
          <w:rStyle w:val="Strong"/>
          <w:rFonts w:ascii="Arial" w:eastAsia="Calibri Light" w:hAnsi="Arial" w:cs="Arial"/>
          <w:b w:val="0"/>
          <w:bCs w:val="0"/>
          <w:sz w:val="22"/>
          <w:szCs w:val="22"/>
        </w:rPr>
        <w:t>healthcare</w:t>
      </w:r>
      <w:r w:rsidR="001377B3" w:rsidRPr="00965812">
        <w:rPr>
          <w:rStyle w:val="Strong"/>
          <w:rFonts w:ascii="Arial" w:eastAsia="Calibri Light" w:hAnsi="Arial" w:cs="Arial"/>
          <w:b w:val="0"/>
          <w:bCs w:val="0"/>
          <w:sz w:val="22"/>
          <w:szCs w:val="22"/>
        </w:rPr>
        <w:t xml:space="preserve"> toward person-centred care</w:t>
      </w:r>
      <w:r w:rsidR="00242682" w:rsidRPr="00965812">
        <w:rPr>
          <w:rStyle w:val="Strong"/>
          <w:rFonts w:ascii="Arial" w:eastAsia="Calibri Light" w:hAnsi="Arial" w:cs="Arial"/>
          <w:b w:val="0"/>
          <w:bCs w:val="0"/>
          <w:sz w:val="22"/>
          <w:szCs w:val="22"/>
        </w:rPr>
        <w:t xml:space="preserve"> that respects an individual’s dignity and cultural context</w:t>
      </w:r>
      <w:r w:rsidR="003B25A9" w:rsidRPr="00965812">
        <w:rPr>
          <w:rStyle w:val="Strong"/>
          <w:rFonts w:ascii="Arial" w:eastAsia="Calibri Light" w:hAnsi="Arial" w:cs="Arial"/>
          <w:b w:val="0"/>
          <w:bCs w:val="0"/>
          <w:sz w:val="22"/>
          <w:szCs w:val="22"/>
        </w:rPr>
        <w:t>.</w:t>
      </w:r>
    </w:p>
    <w:p w14:paraId="2BACF886" w14:textId="498C922E" w:rsidR="005522B8" w:rsidRPr="002F0B08" w:rsidRDefault="006D17A7" w:rsidP="002F0B08">
      <w:pPr>
        <w:pStyle w:val="NormalWeb"/>
        <w:numPr>
          <w:ilvl w:val="0"/>
          <w:numId w:val="21"/>
        </w:numPr>
        <w:spacing w:line="360" w:lineRule="auto"/>
        <w:rPr>
          <w:rStyle w:val="Strong"/>
          <w:rFonts w:ascii="Arial" w:eastAsia="Calibri Light" w:hAnsi="Arial" w:cs="Arial"/>
          <w:b w:val="0"/>
          <w:bCs w:val="0"/>
          <w:sz w:val="22"/>
          <w:szCs w:val="22"/>
        </w:rPr>
      </w:pPr>
      <w:r w:rsidRPr="00965812">
        <w:rPr>
          <w:rStyle w:val="Strong"/>
          <w:rFonts w:ascii="Arial" w:eastAsia="Calibri Light" w:hAnsi="Arial" w:cs="Arial"/>
          <w:b w:val="0"/>
          <w:bCs w:val="0"/>
          <w:sz w:val="22"/>
          <w:szCs w:val="22"/>
        </w:rPr>
        <w:t>Informed Choice and support</w:t>
      </w:r>
      <w:r w:rsidR="002B4125" w:rsidRPr="00965812">
        <w:rPr>
          <w:rStyle w:val="Strong"/>
          <w:rFonts w:ascii="Arial" w:eastAsia="Calibri Light" w:hAnsi="Arial" w:cs="Arial"/>
          <w:b w:val="0"/>
          <w:bCs w:val="0"/>
          <w:sz w:val="22"/>
          <w:szCs w:val="22"/>
        </w:rPr>
        <w:t>: The Act stipulates that individuals</w:t>
      </w:r>
      <w:r w:rsidR="00E47088" w:rsidRPr="00965812">
        <w:rPr>
          <w:rStyle w:val="Strong"/>
          <w:rFonts w:ascii="Arial" w:eastAsia="Calibri Light" w:hAnsi="Arial" w:cs="Arial"/>
          <w:b w:val="0"/>
          <w:bCs w:val="0"/>
          <w:sz w:val="22"/>
          <w:szCs w:val="22"/>
        </w:rPr>
        <w:t xml:space="preserve"> should be supported to participate as fully as possible in decisions</w:t>
      </w:r>
      <w:r w:rsidR="00E4286C" w:rsidRPr="00965812">
        <w:rPr>
          <w:rStyle w:val="Strong"/>
          <w:rFonts w:ascii="Arial" w:eastAsia="Calibri Light" w:hAnsi="Arial" w:cs="Arial"/>
          <w:b w:val="0"/>
          <w:bCs w:val="0"/>
          <w:sz w:val="22"/>
          <w:szCs w:val="22"/>
        </w:rPr>
        <w:t xml:space="preserve"> about their care.  In the context of</w:t>
      </w:r>
      <w:r w:rsidR="00826808">
        <w:rPr>
          <w:rStyle w:val="Strong"/>
          <w:rFonts w:ascii="Arial" w:eastAsia="Calibri Light" w:hAnsi="Arial" w:cs="Arial"/>
          <w:b w:val="0"/>
          <w:bCs w:val="0"/>
          <w:sz w:val="22"/>
          <w:szCs w:val="22"/>
        </w:rPr>
        <w:t xml:space="preserve"> </w:t>
      </w:r>
      <w:r w:rsidR="00E4286C" w:rsidRPr="002F0B08">
        <w:rPr>
          <w:rStyle w:val="Strong"/>
          <w:rFonts w:ascii="Arial" w:eastAsia="Calibri Light" w:hAnsi="Arial" w:cs="Arial"/>
          <w:b w:val="0"/>
          <w:bCs w:val="0"/>
          <w:sz w:val="22"/>
          <w:szCs w:val="22"/>
        </w:rPr>
        <w:t>donation</w:t>
      </w:r>
      <w:r w:rsidR="009169BA" w:rsidRPr="002F0B08">
        <w:rPr>
          <w:rStyle w:val="Strong"/>
          <w:rFonts w:ascii="Arial" w:eastAsia="Calibri Light" w:hAnsi="Arial" w:cs="Arial"/>
          <w:b w:val="0"/>
          <w:bCs w:val="0"/>
          <w:sz w:val="22"/>
          <w:szCs w:val="22"/>
        </w:rPr>
        <w:t>,</w:t>
      </w:r>
      <w:r w:rsidR="00727178" w:rsidRPr="002F0B08">
        <w:rPr>
          <w:rStyle w:val="Strong"/>
          <w:rFonts w:ascii="Arial" w:eastAsia="Calibri Light" w:hAnsi="Arial" w:cs="Arial"/>
          <w:b w:val="0"/>
          <w:bCs w:val="0"/>
          <w:sz w:val="22"/>
          <w:szCs w:val="22"/>
        </w:rPr>
        <w:t xml:space="preserve"> </w:t>
      </w:r>
      <w:r w:rsidR="009169BA" w:rsidRPr="002F0B08">
        <w:rPr>
          <w:rStyle w:val="Strong"/>
          <w:rFonts w:ascii="Arial" w:eastAsia="Calibri Light" w:hAnsi="Arial" w:cs="Arial"/>
          <w:b w:val="0"/>
          <w:bCs w:val="0"/>
          <w:sz w:val="22"/>
          <w:szCs w:val="22"/>
        </w:rPr>
        <w:t xml:space="preserve">this places responsibility </w:t>
      </w:r>
      <w:r w:rsidR="00F66444" w:rsidRPr="002F0B08">
        <w:rPr>
          <w:rStyle w:val="Strong"/>
          <w:rFonts w:ascii="Arial" w:eastAsia="Calibri Light" w:hAnsi="Arial" w:cs="Arial"/>
          <w:b w:val="0"/>
          <w:bCs w:val="0"/>
          <w:sz w:val="22"/>
          <w:szCs w:val="22"/>
        </w:rPr>
        <w:t>on institutions to bridge the”</w:t>
      </w:r>
      <w:r w:rsidR="00727178" w:rsidRPr="002F0B08">
        <w:rPr>
          <w:rStyle w:val="Strong"/>
          <w:rFonts w:ascii="Arial" w:eastAsia="Calibri Light" w:hAnsi="Arial" w:cs="Arial"/>
          <w:b w:val="0"/>
          <w:bCs w:val="0"/>
          <w:sz w:val="22"/>
          <w:szCs w:val="22"/>
        </w:rPr>
        <w:t xml:space="preserve"> </w:t>
      </w:r>
      <w:r w:rsidR="00F66444" w:rsidRPr="002F0B08">
        <w:rPr>
          <w:rStyle w:val="Strong"/>
          <w:rFonts w:ascii="Arial" w:eastAsia="Calibri Light" w:hAnsi="Arial" w:cs="Arial"/>
          <w:b w:val="0"/>
          <w:bCs w:val="0"/>
          <w:sz w:val="22"/>
          <w:szCs w:val="22"/>
        </w:rPr>
        <w:t>information gap</w:t>
      </w:r>
      <w:r w:rsidR="006D4189" w:rsidRPr="002F0B08">
        <w:rPr>
          <w:rStyle w:val="Strong"/>
          <w:rFonts w:ascii="Arial" w:eastAsia="Calibri Light" w:hAnsi="Arial" w:cs="Arial"/>
          <w:b w:val="0"/>
          <w:bCs w:val="0"/>
          <w:sz w:val="22"/>
          <w:szCs w:val="22"/>
        </w:rPr>
        <w:t>” and “state of readiness”</w:t>
      </w:r>
      <w:r w:rsidR="00727178" w:rsidRPr="002F0B08">
        <w:rPr>
          <w:rStyle w:val="Strong"/>
          <w:rFonts w:ascii="Arial" w:eastAsia="Calibri Light" w:hAnsi="Arial" w:cs="Arial"/>
          <w:b w:val="0"/>
          <w:bCs w:val="0"/>
          <w:sz w:val="22"/>
          <w:szCs w:val="22"/>
        </w:rPr>
        <w:t xml:space="preserve"> identified in minority communities.</w:t>
      </w:r>
    </w:p>
    <w:p w14:paraId="41BBCBBB" w14:textId="33F1B15D" w:rsidR="004840DF" w:rsidRDefault="007F4ABD" w:rsidP="002028F8">
      <w:pPr>
        <w:pStyle w:val="NormalWeb"/>
        <w:numPr>
          <w:ilvl w:val="0"/>
          <w:numId w:val="21"/>
        </w:numPr>
        <w:spacing w:line="360" w:lineRule="auto"/>
        <w:rPr>
          <w:rStyle w:val="Strong"/>
          <w:rFonts w:ascii="Arial" w:eastAsia="Calibri Light" w:hAnsi="Arial" w:cs="Arial"/>
          <w:b w:val="0"/>
          <w:bCs w:val="0"/>
          <w:sz w:val="22"/>
          <w:szCs w:val="22"/>
        </w:rPr>
      </w:pPr>
      <w:r w:rsidRPr="00965812">
        <w:rPr>
          <w:rStyle w:val="Strong"/>
          <w:rFonts w:ascii="Arial" w:eastAsia="Calibri Light" w:hAnsi="Arial" w:cs="Arial"/>
          <w:b w:val="0"/>
          <w:bCs w:val="0"/>
          <w:sz w:val="22"/>
          <w:szCs w:val="22"/>
        </w:rPr>
        <w:t xml:space="preserve">Holistic </w:t>
      </w:r>
      <w:r w:rsidR="00A4261D" w:rsidRPr="00965812">
        <w:rPr>
          <w:rStyle w:val="Strong"/>
          <w:rFonts w:ascii="Arial" w:eastAsia="Calibri Light" w:hAnsi="Arial" w:cs="Arial"/>
          <w:b w:val="0"/>
          <w:bCs w:val="0"/>
          <w:sz w:val="22"/>
          <w:szCs w:val="22"/>
        </w:rPr>
        <w:t>D</w:t>
      </w:r>
      <w:r w:rsidRPr="00965812">
        <w:rPr>
          <w:rStyle w:val="Strong"/>
          <w:rFonts w:ascii="Arial" w:eastAsia="Calibri Light" w:hAnsi="Arial" w:cs="Arial"/>
          <w:b w:val="0"/>
          <w:bCs w:val="0"/>
          <w:sz w:val="22"/>
          <w:szCs w:val="22"/>
        </w:rPr>
        <w:t>ecision</w:t>
      </w:r>
      <w:r w:rsidR="00A4261D" w:rsidRPr="00965812">
        <w:rPr>
          <w:rStyle w:val="Strong"/>
          <w:rFonts w:ascii="Arial" w:eastAsia="Calibri Light" w:hAnsi="Arial" w:cs="Arial"/>
          <w:b w:val="0"/>
          <w:bCs w:val="0"/>
          <w:sz w:val="22"/>
          <w:szCs w:val="22"/>
        </w:rPr>
        <w:t>-Making: By recognising</w:t>
      </w:r>
      <w:r w:rsidR="00F94AEA" w:rsidRPr="00965812">
        <w:rPr>
          <w:rStyle w:val="Strong"/>
          <w:rFonts w:ascii="Arial" w:eastAsia="Calibri Light" w:hAnsi="Arial" w:cs="Arial"/>
          <w:b w:val="0"/>
          <w:bCs w:val="0"/>
          <w:sz w:val="22"/>
          <w:szCs w:val="22"/>
        </w:rPr>
        <w:t xml:space="preserve"> the importance of an individual</w:t>
      </w:r>
      <w:r w:rsidR="00A44A7D" w:rsidRPr="00965812">
        <w:rPr>
          <w:rStyle w:val="Strong"/>
          <w:rFonts w:ascii="Arial" w:eastAsia="Calibri Light" w:hAnsi="Arial" w:cs="Arial"/>
          <w:b w:val="0"/>
          <w:bCs w:val="0"/>
          <w:sz w:val="22"/>
          <w:szCs w:val="22"/>
        </w:rPr>
        <w:t>’s support network</w:t>
      </w:r>
      <w:r w:rsidR="00793D1F" w:rsidRPr="00965812">
        <w:rPr>
          <w:rStyle w:val="Strong"/>
          <w:rFonts w:ascii="Arial" w:eastAsia="Calibri Light" w:hAnsi="Arial" w:cs="Arial"/>
          <w:b w:val="0"/>
          <w:bCs w:val="0"/>
          <w:sz w:val="22"/>
          <w:szCs w:val="22"/>
        </w:rPr>
        <w:t>, the Care Act supports</w:t>
      </w:r>
      <w:r w:rsidR="006C536B" w:rsidRPr="00965812">
        <w:rPr>
          <w:rStyle w:val="Strong"/>
          <w:rFonts w:ascii="Arial" w:eastAsia="Calibri Light" w:hAnsi="Arial" w:cs="Arial"/>
          <w:b w:val="0"/>
          <w:bCs w:val="0"/>
          <w:sz w:val="22"/>
          <w:szCs w:val="22"/>
        </w:rPr>
        <w:t xml:space="preserve"> the necessity of involving families</w:t>
      </w:r>
      <w:r w:rsidR="00D96365" w:rsidRPr="00965812">
        <w:rPr>
          <w:rStyle w:val="Strong"/>
          <w:rFonts w:ascii="Arial" w:eastAsia="Calibri Light" w:hAnsi="Arial" w:cs="Arial"/>
          <w:b w:val="0"/>
          <w:bCs w:val="0"/>
          <w:sz w:val="22"/>
          <w:szCs w:val="22"/>
        </w:rPr>
        <w:t xml:space="preserve"> in donation discussions, acknowledging</w:t>
      </w:r>
      <w:r w:rsidR="009506D8" w:rsidRPr="00965812">
        <w:rPr>
          <w:rStyle w:val="Strong"/>
          <w:rFonts w:ascii="Arial" w:eastAsia="Calibri Light" w:hAnsi="Arial" w:cs="Arial"/>
          <w:b w:val="0"/>
          <w:bCs w:val="0"/>
          <w:sz w:val="22"/>
          <w:szCs w:val="22"/>
        </w:rPr>
        <w:t xml:space="preserve"> that in many cultures, the decision </w:t>
      </w:r>
      <w:r w:rsidR="0087720B" w:rsidRPr="00965812">
        <w:rPr>
          <w:rStyle w:val="Strong"/>
          <w:rFonts w:ascii="Arial" w:eastAsia="Calibri Light" w:hAnsi="Arial" w:cs="Arial"/>
          <w:b w:val="0"/>
          <w:bCs w:val="0"/>
          <w:sz w:val="22"/>
          <w:szCs w:val="22"/>
        </w:rPr>
        <w:t>is a collective rather</w:t>
      </w:r>
      <w:r w:rsidR="004840DF">
        <w:rPr>
          <w:rStyle w:val="Strong"/>
          <w:rFonts w:ascii="Arial" w:eastAsia="Calibri Light" w:hAnsi="Arial" w:cs="Arial"/>
          <w:b w:val="0"/>
          <w:bCs w:val="0"/>
          <w:sz w:val="22"/>
          <w:szCs w:val="22"/>
        </w:rPr>
        <w:t xml:space="preserve"> </w:t>
      </w:r>
      <w:r w:rsidR="0087720B" w:rsidRPr="00965812">
        <w:rPr>
          <w:rStyle w:val="Strong"/>
          <w:rFonts w:ascii="Arial" w:eastAsia="Calibri Light" w:hAnsi="Arial" w:cs="Arial"/>
          <w:b w:val="0"/>
          <w:bCs w:val="0"/>
          <w:sz w:val="22"/>
          <w:szCs w:val="22"/>
        </w:rPr>
        <w:t xml:space="preserve"> </w:t>
      </w:r>
    </w:p>
    <w:p w14:paraId="6736443F" w14:textId="7CFFB92B" w:rsidR="009C6F51" w:rsidRDefault="0087720B" w:rsidP="004840DF">
      <w:pPr>
        <w:pStyle w:val="NormalWeb"/>
        <w:numPr>
          <w:ilvl w:val="0"/>
          <w:numId w:val="21"/>
        </w:numPr>
        <w:spacing w:line="360" w:lineRule="auto"/>
        <w:rPr>
          <w:rStyle w:val="Strong"/>
          <w:rFonts w:ascii="Arial" w:eastAsia="Calibri Light" w:hAnsi="Arial" w:cs="Arial"/>
          <w:b w:val="0"/>
          <w:bCs w:val="0"/>
          <w:sz w:val="22"/>
          <w:szCs w:val="22"/>
        </w:rPr>
      </w:pPr>
      <w:r w:rsidRPr="004840DF">
        <w:rPr>
          <w:rStyle w:val="Strong"/>
          <w:rFonts w:ascii="Arial" w:eastAsia="Calibri Light" w:hAnsi="Arial" w:cs="Arial"/>
          <w:b w:val="0"/>
          <w:bCs w:val="0"/>
          <w:sz w:val="22"/>
          <w:szCs w:val="22"/>
        </w:rPr>
        <w:t xml:space="preserve">than </w:t>
      </w:r>
      <w:r w:rsidR="004840DF">
        <w:rPr>
          <w:rStyle w:val="Strong"/>
          <w:rFonts w:ascii="Arial" w:eastAsia="Calibri Light" w:hAnsi="Arial" w:cs="Arial"/>
          <w:b w:val="0"/>
          <w:bCs w:val="0"/>
          <w:sz w:val="22"/>
          <w:szCs w:val="22"/>
        </w:rPr>
        <w:t>pur</w:t>
      </w:r>
      <w:r w:rsidRPr="004840DF">
        <w:rPr>
          <w:rStyle w:val="Strong"/>
          <w:rFonts w:ascii="Arial" w:eastAsia="Calibri Light" w:hAnsi="Arial" w:cs="Arial"/>
          <w:b w:val="0"/>
          <w:bCs w:val="0"/>
          <w:sz w:val="22"/>
          <w:szCs w:val="22"/>
        </w:rPr>
        <w:t xml:space="preserve">ely </w:t>
      </w:r>
      <w:r w:rsidR="00821E21" w:rsidRPr="004840DF">
        <w:rPr>
          <w:rStyle w:val="Strong"/>
          <w:rFonts w:ascii="Arial" w:eastAsia="Calibri Light" w:hAnsi="Arial" w:cs="Arial"/>
          <w:b w:val="0"/>
          <w:bCs w:val="0"/>
          <w:sz w:val="22"/>
          <w:szCs w:val="22"/>
        </w:rPr>
        <w:t>an individual one.</w:t>
      </w:r>
    </w:p>
    <w:p w14:paraId="4D0C0B0E" w14:textId="77777777" w:rsidR="004840DF" w:rsidRDefault="004840DF" w:rsidP="004840DF">
      <w:pPr>
        <w:pStyle w:val="NormalWeb"/>
        <w:spacing w:line="360" w:lineRule="auto"/>
        <w:rPr>
          <w:rStyle w:val="Strong"/>
          <w:rFonts w:ascii="Arial" w:eastAsia="Calibri Light" w:hAnsi="Arial" w:cs="Arial"/>
          <w:b w:val="0"/>
          <w:bCs w:val="0"/>
          <w:sz w:val="22"/>
          <w:szCs w:val="22"/>
        </w:rPr>
      </w:pPr>
    </w:p>
    <w:p w14:paraId="3F06E3CE" w14:textId="77777777" w:rsidR="004840DF" w:rsidRDefault="004840DF" w:rsidP="004840DF">
      <w:pPr>
        <w:pStyle w:val="NormalWeb"/>
        <w:spacing w:line="360" w:lineRule="auto"/>
        <w:rPr>
          <w:rStyle w:val="Strong"/>
          <w:rFonts w:ascii="Arial" w:eastAsia="Calibri Light" w:hAnsi="Arial" w:cs="Arial"/>
          <w:b w:val="0"/>
          <w:bCs w:val="0"/>
          <w:sz w:val="22"/>
          <w:szCs w:val="22"/>
        </w:rPr>
      </w:pPr>
    </w:p>
    <w:p w14:paraId="65779B9B" w14:textId="77777777" w:rsidR="004840DF" w:rsidRPr="004840DF" w:rsidRDefault="004840DF" w:rsidP="004840DF">
      <w:pPr>
        <w:pStyle w:val="NormalWeb"/>
        <w:spacing w:line="360" w:lineRule="auto"/>
        <w:rPr>
          <w:rFonts w:ascii="Arial" w:eastAsia="Calibri Light" w:hAnsi="Arial" w:cs="Arial"/>
          <w:sz w:val="22"/>
          <w:szCs w:val="22"/>
        </w:rPr>
      </w:pPr>
    </w:p>
    <w:p w14:paraId="13B595A6" w14:textId="77777777" w:rsidR="007063BA" w:rsidRPr="000641E9" w:rsidRDefault="007063BA" w:rsidP="007063BA">
      <w:pPr>
        <w:pStyle w:val="Heading4"/>
        <w:rPr>
          <w:rFonts w:ascii="Arial" w:hAnsi="Arial" w:cs="Arial"/>
          <w:b/>
          <w:bCs/>
          <w:i w:val="0"/>
          <w:iCs w:val="0"/>
          <w:color w:val="auto"/>
          <w:sz w:val="24"/>
          <w:szCs w:val="24"/>
        </w:rPr>
      </w:pPr>
      <w:r w:rsidRPr="000641E9">
        <w:rPr>
          <w:rFonts w:ascii="Arial" w:hAnsi="Arial" w:cs="Arial"/>
          <w:b/>
          <w:bCs/>
          <w:i w:val="0"/>
          <w:iCs w:val="0"/>
          <w:color w:val="auto"/>
          <w:sz w:val="24"/>
          <w:szCs w:val="24"/>
        </w:rPr>
        <w:t>Implications</w:t>
      </w:r>
    </w:p>
    <w:p w14:paraId="768AE932" w14:textId="0EF8DF1A" w:rsidR="000B553B" w:rsidRPr="003828B0" w:rsidRDefault="000B553B" w:rsidP="000B553B">
      <w:pPr>
        <w:rPr>
          <w:rFonts w:ascii="Arial" w:hAnsi="Arial" w:cs="Arial"/>
          <w:b/>
          <w:bCs/>
          <w:sz w:val="24"/>
          <w:szCs w:val="24"/>
        </w:rPr>
      </w:pPr>
      <w:r w:rsidRPr="003828B0">
        <w:rPr>
          <w:rFonts w:ascii="Arial" w:hAnsi="Arial" w:cs="Arial"/>
          <w:b/>
          <w:bCs/>
          <w:sz w:val="24"/>
          <w:szCs w:val="24"/>
        </w:rPr>
        <w:t>Positive Implications</w:t>
      </w:r>
    </w:p>
    <w:p w14:paraId="44251478" w14:textId="77777777" w:rsidR="00F90AF1" w:rsidRPr="009D252F" w:rsidRDefault="00F90AF1" w:rsidP="00AE155D">
      <w:pPr>
        <w:numPr>
          <w:ilvl w:val="0"/>
          <w:numId w:val="23"/>
        </w:numPr>
        <w:rPr>
          <w:rFonts w:ascii="Arial" w:hAnsi="Arial" w:cs="Arial"/>
        </w:rPr>
      </w:pPr>
      <w:r w:rsidRPr="009D252F">
        <w:rPr>
          <w:rFonts w:ascii="Arial" w:hAnsi="Arial" w:cs="Arial"/>
          <w:b/>
          <w:bCs/>
        </w:rPr>
        <w:t>Strength</w:t>
      </w:r>
      <w:r w:rsidRPr="009D252F">
        <w:rPr>
          <w:rFonts w:ascii="Arial" w:hAnsi="Arial" w:cs="Arial"/>
          <w:b/>
          <w:bCs/>
        </w:rPr>
        <w:noBreakHyphen/>
        <w:t>based engagement</w:t>
      </w:r>
      <w:r w:rsidRPr="00F90AF1">
        <w:rPr>
          <w:b/>
          <w:bCs/>
        </w:rPr>
        <w:t>:</w:t>
      </w:r>
      <w:r w:rsidRPr="00F90AF1">
        <w:t xml:space="preserve"> </w:t>
      </w:r>
      <w:r w:rsidRPr="009D252F">
        <w:rPr>
          <w:rFonts w:ascii="Arial" w:hAnsi="Arial" w:cs="Arial"/>
        </w:rPr>
        <w:t>Understanding socio</w:t>
      </w:r>
      <w:r w:rsidRPr="009D252F">
        <w:rPr>
          <w:rFonts w:ascii="Arial" w:hAnsi="Arial" w:cs="Arial"/>
        </w:rPr>
        <w:noBreakHyphen/>
        <w:t>cultural beliefs enables NHSBT and community-based organisations to design culturally responsive campaigns that resonate with minority populations.</w:t>
      </w:r>
    </w:p>
    <w:p w14:paraId="6FA0F429" w14:textId="7E29821A" w:rsidR="007717E7" w:rsidRPr="00A32040" w:rsidRDefault="00F90AF1" w:rsidP="007717E7">
      <w:pPr>
        <w:numPr>
          <w:ilvl w:val="0"/>
          <w:numId w:val="23"/>
        </w:numPr>
        <w:rPr>
          <w:rFonts w:ascii="Arial" w:hAnsi="Arial" w:cs="Arial"/>
        </w:rPr>
      </w:pPr>
      <w:r w:rsidRPr="009D252F">
        <w:rPr>
          <w:rFonts w:ascii="Arial" w:hAnsi="Arial" w:cs="Arial"/>
          <w:b/>
          <w:bCs/>
        </w:rPr>
        <w:t>Opportunity for community leadership</w:t>
      </w:r>
      <w:r w:rsidRPr="00F90AF1">
        <w:rPr>
          <w:b/>
          <w:bCs/>
        </w:rPr>
        <w:t>:</w:t>
      </w:r>
      <w:r w:rsidRPr="00F90AF1">
        <w:t xml:space="preserve"> </w:t>
      </w:r>
      <w:r w:rsidRPr="009D252F">
        <w:rPr>
          <w:rFonts w:ascii="Arial" w:hAnsi="Arial" w:cs="Arial"/>
        </w:rPr>
        <w:t>Trusted messengers (e.g., faith leaders) can become powerful advocates for donation.</w:t>
      </w:r>
    </w:p>
    <w:p w14:paraId="5459D9CF" w14:textId="77777777" w:rsidR="00F90AF1" w:rsidRPr="009D252F" w:rsidRDefault="00F90AF1" w:rsidP="00AE155D">
      <w:pPr>
        <w:numPr>
          <w:ilvl w:val="0"/>
          <w:numId w:val="23"/>
        </w:numPr>
        <w:rPr>
          <w:rFonts w:ascii="Arial" w:hAnsi="Arial" w:cs="Arial"/>
        </w:rPr>
      </w:pPr>
      <w:r w:rsidRPr="009D252F">
        <w:rPr>
          <w:rFonts w:ascii="Arial" w:hAnsi="Arial" w:cs="Arial"/>
          <w:b/>
          <w:bCs/>
        </w:rPr>
        <w:t>Enhanced family discussions:</w:t>
      </w:r>
      <w:r w:rsidRPr="009D252F">
        <w:rPr>
          <w:rFonts w:ascii="Arial" w:hAnsi="Arial" w:cs="Arial"/>
        </w:rPr>
        <w:t xml:space="preserve"> Acknowledging collectivist decision</w:t>
      </w:r>
      <w:r w:rsidRPr="009D252F">
        <w:rPr>
          <w:rFonts w:ascii="Arial" w:hAnsi="Arial" w:cs="Arial"/>
        </w:rPr>
        <w:noBreakHyphen/>
        <w:t>making leads to better communication strategies tailored to families rather than individuals.</w:t>
      </w:r>
    </w:p>
    <w:p w14:paraId="1605B23E" w14:textId="42485C1B" w:rsidR="00F90AF1" w:rsidRPr="009D252F" w:rsidRDefault="00DA4220" w:rsidP="00F90AF1">
      <w:pPr>
        <w:rPr>
          <w:rFonts w:ascii="Arial" w:hAnsi="Arial" w:cs="Arial"/>
          <w:b/>
          <w:bCs/>
          <w:sz w:val="24"/>
          <w:szCs w:val="24"/>
        </w:rPr>
      </w:pPr>
      <w:r w:rsidRPr="009D252F">
        <w:rPr>
          <w:rFonts w:ascii="Arial" w:hAnsi="Arial" w:cs="Arial"/>
          <w:b/>
          <w:bCs/>
        </w:rPr>
        <w:t>Negative Implications</w:t>
      </w:r>
    </w:p>
    <w:p w14:paraId="7393B868" w14:textId="77777777" w:rsidR="00F90AF1" w:rsidRPr="009D252F" w:rsidRDefault="00F90AF1" w:rsidP="00AE155D">
      <w:pPr>
        <w:numPr>
          <w:ilvl w:val="0"/>
          <w:numId w:val="24"/>
        </w:numPr>
        <w:rPr>
          <w:rFonts w:ascii="Arial" w:hAnsi="Arial" w:cs="Arial"/>
        </w:rPr>
      </w:pPr>
      <w:r w:rsidRPr="009D252F">
        <w:rPr>
          <w:rFonts w:ascii="Arial" w:hAnsi="Arial" w:cs="Arial"/>
          <w:b/>
          <w:bCs/>
        </w:rPr>
        <w:t>Persistent mistrust:</w:t>
      </w:r>
      <w:r w:rsidRPr="009D252F">
        <w:rPr>
          <w:rFonts w:ascii="Arial" w:hAnsi="Arial" w:cs="Arial"/>
        </w:rPr>
        <w:t xml:space="preserve"> Historical and religious concerns can overshadow accurate medical information.</w:t>
      </w:r>
    </w:p>
    <w:p w14:paraId="05165D5A" w14:textId="77777777" w:rsidR="00F90AF1" w:rsidRPr="009D252F" w:rsidRDefault="00F90AF1" w:rsidP="00AE155D">
      <w:pPr>
        <w:numPr>
          <w:ilvl w:val="0"/>
          <w:numId w:val="24"/>
        </w:numPr>
        <w:rPr>
          <w:rFonts w:ascii="Arial" w:hAnsi="Arial" w:cs="Arial"/>
        </w:rPr>
      </w:pPr>
      <w:r w:rsidRPr="009D252F">
        <w:rPr>
          <w:rFonts w:ascii="Arial" w:hAnsi="Arial" w:cs="Arial"/>
          <w:b/>
          <w:bCs/>
        </w:rPr>
        <w:t>Campaign ineffectiveness:</w:t>
      </w:r>
      <w:r w:rsidRPr="009D252F">
        <w:rPr>
          <w:rFonts w:ascii="Arial" w:hAnsi="Arial" w:cs="Arial"/>
        </w:rPr>
        <w:t xml:space="preserve"> Generic messaging fails, resulting in poor uptake and low registration.</w:t>
      </w:r>
    </w:p>
    <w:p w14:paraId="46080B01" w14:textId="77777777" w:rsidR="00F90AF1" w:rsidRPr="009D252F" w:rsidRDefault="00F90AF1" w:rsidP="00AE155D">
      <w:pPr>
        <w:numPr>
          <w:ilvl w:val="0"/>
          <w:numId w:val="24"/>
        </w:numPr>
        <w:rPr>
          <w:rFonts w:ascii="Arial" w:hAnsi="Arial" w:cs="Arial"/>
        </w:rPr>
      </w:pPr>
      <w:r w:rsidRPr="009D252F">
        <w:rPr>
          <w:rFonts w:ascii="Arial" w:hAnsi="Arial" w:cs="Arial"/>
          <w:b/>
          <w:bCs/>
        </w:rPr>
        <w:t>Family veto:</w:t>
      </w:r>
      <w:r w:rsidRPr="009D252F">
        <w:rPr>
          <w:rFonts w:ascii="Arial" w:hAnsi="Arial" w:cs="Arial"/>
        </w:rPr>
        <w:t xml:space="preserve"> Family-based decision-making can override individual wishes, worsening consent disparities even under presumed consent.</w:t>
      </w:r>
    </w:p>
    <w:p w14:paraId="420C3275" w14:textId="7D05445C" w:rsidR="003558BB" w:rsidRPr="000641E9" w:rsidRDefault="00F90AF1" w:rsidP="003558BB">
      <w:pPr>
        <w:numPr>
          <w:ilvl w:val="0"/>
          <w:numId w:val="24"/>
        </w:numPr>
        <w:rPr>
          <w:rFonts w:ascii="Arial" w:hAnsi="Arial" w:cs="Arial"/>
        </w:rPr>
      </w:pPr>
      <w:r w:rsidRPr="009D252F">
        <w:rPr>
          <w:rFonts w:ascii="Arial" w:hAnsi="Arial" w:cs="Arial"/>
          <w:b/>
          <w:bCs/>
        </w:rPr>
        <w:t>Slower policy impact:</w:t>
      </w:r>
      <w:r w:rsidRPr="009D252F">
        <w:rPr>
          <w:rFonts w:ascii="Arial" w:hAnsi="Arial" w:cs="Arial"/>
        </w:rPr>
        <w:t xml:space="preserve"> Even progressive legislation (e.g., Deemed Consent Act 2019) may not increase donation rates without cultural buy</w:t>
      </w:r>
      <w:r w:rsidRPr="009D252F">
        <w:rPr>
          <w:rFonts w:ascii="Arial" w:hAnsi="Arial" w:cs="Arial"/>
        </w:rPr>
        <w:noBreakHyphen/>
        <w:t>in.</w:t>
      </w:r>
    </w:p>
    <w:p w14:paraId="5DEA021E" w14:textId="3EF06371" w:rsidR="003600C1" w:rsidRPr="000641E9" w:rsidRDefault="0082760D" w:rsidP="003C1D89">
      <w:pPr>
        <w:pStyle w:val="Heading4"/>
        <w:rPr>
          <w:rFonts w:ascii="Arial" w:hAnsi="Arial" w:cs="Arial"/>
          <w:b/>
          <w:bCs/>
          <w:i w:val="0"/>
          <w:iCs w:val="0"/>
          <w:color w:val="000000" w:themeColor="text1"/>
          <w:sz w:val="24"/>
          <w:szCs w:val="24"/>
        </w:rPr>
      </w:pPr>
      <w:r w:rsidRPr="000641E9">
        <w:rPr>
          <w:rFonts w:ascii="Arial" w:hAnsi="Arial" w:cs="Arial"/>
          <w:b/>
          <w:bCs/>
          <w:i w:val="0"/>
          <w:iCs w:val="0"/>
          <w:color w:val="000000" w:themeColor="text1"/>
          <w:sz w:val="24"/>
          <w:szCs w:val="24"/>
        </w:rPr>
        <w:t xml:space="preserve">Examples </w:t>
      </w:r>
      <w:r w:rsidR="009069C8" w:rsidRPr="000641E9">
        <w:rPr>
          <w:rFonts w:ascii="Arial" w:hAnsi="Arial" w:cs="Arial"/>
          <w:b/>
          <w:bCs/>
          <w:i w:val="0"/>
          <w:iCs w:val="0"/>
          <w:color w:val="000000" w:themeColor="text1"/>
          <w:sz w:val="24"/>
          <w:szCs w:val="24"/>
        </w:rPr>
        <w:t xml:space="preserve">of </w:t>
      </w:r>
      <w:r w:rsidR="00A86DD0" w:rsidRPr="000641E9">
        <w:rPr>
          <w:rFonts w:ascii="Arial" w:hAnsi="Arial" w:cs="Arial"/>
          <w:b/>
          <w:bCs/>
          <w:i w:val="0"/>
          <w:iCs w:val="0"/>
          <w:color w:val="000000" w:themeColor="text1"/>
          <w:sz w:val="24"/>
          <w:szCs w:val="24"/>
        </w:rPr>
        <w:t>Articles</w:t>
      </w:r>
    </w:p>
    <w:p w14:paraId="64D8B611" w14:textId="77777777" w:rsidR="003C1D89" w:rsidRDefault="003C1D89" w:rsidP="003C1D89">
      <w:pPr>
        <w:spacing w:line="240" w:lineRule="auto"/>
        <w:rPr>
          <w:rFonts w:ascii="Arial" w:hAnsi="Arial" w:cs="Arial"/>
          <w:b/>
          <w:bCs/>
        </w:rPr>
      </w:pPr>
      <w:r w:rsidRPr="003C1D89">
        <w:rPr>
          <w:rFonts w:ascii="Arial" w:hAnsi="Arial" w:cs="Arial"/>
          <w:b/>
          <w:bCs/>
        </w:rPr>
        <w:t>Fergusson (2019)</w:t>
      </w:r>
    </w:p>
    <w:p w14:paraId="6C4BF01B" w14:textId="77777777" w:rsidR="00D9061B" w:rsidRPr="00415C23" w:rsidRDefault="00D9061B" w:rsidP="008F4CF2">
      <w:pPr>
        <w:rPr>
          <w:rFonts w:ascii="Arial" w:hAnsi="Arial" w:cs="Arial"/>
        </w:rPr>
      </w:pPr>
      <w:r w:rsidRPr="00415C23">
        <w:rPr>
          <w:rFonts w:ascii="Arial" w:hAnsi="Arial" w:cs="Arial"/>
        </w:rPr>
        <w:t xml:space="preserve">The findings illustrate that both altruism and reciprocity play significant roles in shaping people’s attitudes toward donations. However, these attitudes are heavily influenced by cultural factors. This observation reinforces Theme 1, highlighting how individual internal beliefs and values can impact decision-making in ways that extend beyond the constraints of policy frameworks. </w:t>
      </w:r>
    </w:p>
    <w:p w14:paraId="2C25184E" w14:textId="4D996E07" w:rsidR="00D9061B" w:rsidRPr="00415C23" w:rsidRDefault="00D9061B" w:rsidP="008F4CF2">
      <w:pPr>
        <w:rPr>
          <w:rFonts w:ascii="Arial" w:hAnsi="Arial" w:cs="Arial"/>
        </w:rPr>
      </w:pPr>
      <w:r w:rsidRPr="00415C23">
        <w:rPr>
          <w:rFonts w:ascii="Arial" w:hAnsi="Arial" w:cs="Arial"/>
        </w:rPr>
        <w:t xml:space="preserve">Cultural context shapes the way individuals perceive the act of giving, influencing their motivations and justifications for making donations. For instance, in some cultures, communal support and reciprocity may be </w:t>
      </w:r>
      <w:r w:rsidR="004A7CA9">
        <w:rPr>
          <w:rFonts w:ascii="Arial" w:hAnsi="Arial" w:cs="Arial"/>
        </w:rPr>
        <w:t>emphasised</w:t>
      </w:r>
      <w:r w:rsidRPr="00415C23">
        <w:rPr>
          <w:rFonts w:ascii="Arial" w:hAnsi="Arial" w:cs="Arial"/>
        </w:rPr>
        <w:t xml:space="preserve">, leading individuals to give not just out of a sense of altruism but also as a way to foster social bonds and ensure mutual support within the community. In contrast, other cultures may </w:t>
      </w:r>
      <w:r w:rsidR="004A7CA9">
        <w:rPr>
          <w:rFonts w:ascii="Arial" w:hAnsi="Arial" w:cs="Arial"/>
        </w:rPr>
        <w:t>prioritise</w:t>
      </w:r>
      <w:r w:rsidRPr="00415C23">
        <w:rPr>
          <w:rFonts w:ascii="Arial" w:hAnsi="Arial" w:cs="Arial"/>
        </w:rPr>
        <w:t xml:space="preserve"> personal giving that reflects individual philosophies or religious beliefs, affecting how and when donations are made.</w:t>
      </w:r>
    </w:p>
    <w:p w14:paraId="79B33D84" w14:textId="1A542077" w:rsidR="00D9061B" w:rsidRPr="008F4CF2" w:rsidRDefault="00D9061B" w:rsidP="008F4CF2">
      <w:pPr>
        <w:rPr>
          <w:rFonts w:ascii="Arial" w:hAnsi="Arial" w:cs="Arial"/>
        </w:rPr>
      </w:pPr>
      <w:r w:rsidRPr="00415C23">
        <w:rPr>
          <w:rFonts w:ascii="Arial" w:hAnsi="Arial" w:cs="Arial"/>
        </w:rPr>
        <w:t xml:space="preserve">Understanding these nuances is crucial for </w:t>
      </w:r>
      <w:r w:rsidR="004A7CA9">
        <w:rPr>
          <w:rFonts w:ascii="Arial" w:hAnsi="Arial" w:cs="Arial"/>
        </w:rPr>
        <w:t>organisations</w:t>
      </w:r>
      <w:r w:rsidRPr="00415C23">
        <w:rPr>
          <w:rFonts w:ascii="Arial" w:hAnsi="Arial" w:cs="Arial"/>
        </w:rPr>
        <w:t xml:space="preserve"> and policymakers seeking to encourage charitable giving. </w:t>
      </w:r>
      <w:r w:rsidR="001E4629">
        <w:rPr>
          <w:rFonts w:ascii="Arial" w:hAnsi="Arial" w:cs="Arial"/>
        </w:rPr>
        <w:t xml:space="preserve"> </w:t>
      </w:r>
      <w:r w:rsidRPr="00415C23">
        <w:rPr>
          <w:rFonts w:ascii="Arial" w:hAnsi="Arial" w:cs="Arial"/>
        </w:rPr>
        <w:t xml:space="preserve">By </w:t>
      </w:r>
      <w:r w:rsidR="004A7CA9">
        <w:rPr>
          <w:rFonts w:ascii="Arial" w:hAnsi="Arial" w:cs="Arial"/>
        </w:rPr>
        <w:t>recognising</w:t>
      </w:r>
      <w:r w:rsidRPr="00415C23">
        <w:rPr>
          <w:rFonts w:ascii="Arial" w:hAnsi="Arial" w:cs="Arial"/>
        </w:rPr>
        <w:t xml:space="preserve"> the cultural dimensions of altruism and reciprocity, they can tailor their approaches to resonate more effectively with diverse audiences, thereby enhancing engagement and support for various causes. This underscores the importance ofconsidering cultural influences alongside institutional policies in fostering a more charitable society.</w:t>
      </w:r>
    </w:p>
    <w:p w14:paraId="4CBBC17A" w14:textId="77777777" w:rsidR="000F7AC1" w:rsidRDefault="000F7AC1" w:rsidP="008F4CF2">
      <w:pPr>
        <w:rPr>
          <w:rFonts w:ascii="Arial" w:hAnsi="Arial" w:cs="Arial"/>
          <w:b/>
          <w:bCs/>
        </w:rPr>
      </w:pPr>
      <w:r w:rsidRPr="000F7AC1">
        <w:rPr>
          <w:rFonts w:ascii="Arial" w:hAnsi="Arial" w:cs="Arial"/>
          <w:b/>
          <w:bCs/>
        </w:rPr>
        <w:t>Deedat (2013)</w:t>
      </w:r>
    </w:p>
    <w:p w14:paraId="516AB947" w14:textId="48C4FAFB" w:rsidR="008F4CF2" w:rsidRPr="00A92B43" w:rsidRDefault="00361E78" w:rsidP="008F4CF2">
      <w:pPr>
        <w:rPr>
          <w:rFonts w:ascii="Arial" w:hAnsi="Arial" w:cs="Arial"/>
        </w:rPr>
      </w:pPr>
      <w:r w:rsidRPr="00361E78">
        <w:rPr>
          <w:rFonts w:ascii="Arial" w:hAnsi="Arial" w:cs="Arial"/>
        </w:rPr>
        <w:t xml:space="preserve">Deedat's findings highlight the necessity for targeted messaging strategies that resonate with specific cultural values and beliefs. This not only facilitates a deeper understanding of the issues at hand but also empowers individuals to engage more actively in charitable efforts. By crafting messages that are sensitive to the cultural nuances and religious sentiments of the audience, </w:t>
      </w:r>
      <w:r>
        <w:rPr>
          <w:rFonts w:ascii="Arial" w:hAnsi="Arial" w:cs="Arial"/>
        </w:rPr>
        <w:t>organisations</w:t>
      </w:r>
      <w:r w:rsidRPr="00361E78">
        <w:rPr>
          <w:rFonts w:ascii="Arial" w:hAnsi="Arial" w:cs="Arial"/>
        </w:rPr>
        <w:t xml:space="preserve"> can enhance their outreach and effectiveness in soliciting donations. In summary, culturally paired education serves as a foundation for bridging the gap created by religious ambiguity and promotes a more inclusive approach to philanthropy. This tailored method not only fosters greater donation readiness among various communities but also reinforces the significance of addressing socio-cultural barriers in the realm of charitable giving.</w:t>
      </w:r>
    </w:p>
    <w:p w14:paraId="4A655CD6" w14:textId="7199E229" w:rsidR="00BF694E" w:rsidRDefault="00BF694E" w:rsidP="008F4CF2">
      <w:pPr>
        <w:rPr>
          <w:rFonts w:ascii="Arial" w:hAnsi="Arial" w:cs="Arial"/>
          <w:b/>
          <w:bCs/>
        </w:rPr>
      </w:pPr>
      <w:r w:rsidRPr="00BF694E">
        <w:rPr>
          <w:rFonts w:ascii="Arial" w:hAnsi="Arial" w:cs="Arial"/>
          <w:b/>
          <w:bCs/>
        </w:rPr>
        <w:t>Weeks et al. (2025)</w:t>
      </w:r>
    </w:p>
    <w:p w14:paraId="6A36B27D" w14:textId="222F2365" w:rsidR="007717E7" w:rsidRPr="00F504B8" w:rsidRDefault="00605356" w:rsidP="00A32040">
      <w:pPr>
        <w:rPr>
          <w:rFonts w:ascii="Arial" w:hAnsi="Arial" w:cs="Arial"/>
        </w:rPr>
      </w:pPr>
      <w:r w:rsidRPr="00605356">
        <w:rPr>
          <w:rFonts w:ascii="Arial" w:hAnsi="Arial" w:cs="Arial"/>
        </w:rPr>
        <w:t>A critical issue: the absence of open family discussions about organ donation is a significant obstacle within minority households. This finding underscores the importance of communication norms, which are closely tied to lower rates of consent for organ donation. When families do not engage in conversations about the value and implications of organ donation, it often leads to misunderstandings and apprehension, further diminishing the likelihood of consent among minority groups. The synthesis of these studies emphasises that several interwoven factors</w:t>
      </w:r>
      <w:r>
        <w:rPr>
          <w:rFonts w:ascii="Arial" w:hAnsi="Arial" w:cs="Arial"/>
        </w:rPr>
        <w:t xml:space="preserve">, </w:t>
      </w:r>
      <w:r w:rsidRPr="00605356">
        <w:rPr>
          <w:rFonts w:ascii="Arial" w:hAnsi="Arial" w:cs="Arial"/>
        </w:rPr>
        <w:t>cultural norms, expectations from family, and dynamics of trust</w:t>
      </w:r>
      <w:r>
        <w:rPr>
          <w:rFonts w:ascii="Arial" w:hAnsi="Arial" w:cs="Arial"/>
        </w:rPr>
        <w:t xml:space="preserve">, </w:t>
      </w:r>
      <w:r w:rsidRPr="00605356">
        <w:rPr>
          <w:rFonts w:ascii="Arial" w:hAnsi="Arial" w:cs="Arial"/>
        </w:rPr>
        <w:t xml:space="preserve">substantially hinder minority communities' access to donation resources. The interplay of these elements creates an environment where potential donors and their families may feel disconnected from the information and support necessary to make informed decisions about organ donation. </w:t>
      </w:r>
    </w:p>
    <w:p w14:paraId="32FEC18A" w14:textId="77777777" w:rsidR="004840DF" w:rsidRDefault="004840DF" w:rsidP="004B0FD1">
      <w:pPr>
        <w:rPr>
          <w:rFonts w:ascii="Arial" w:hAnsi="Arial" w:cs="Arial"/>
          <w:b/>
          <w:bCs/>
          <w:sz w:val="24"/>
          <w:szCs w:val="24"/>
        </w:rPr>
      </w:pPr>
    </w:p>
    <w:p w14:paraId="0B60337D" w14:textId="77777777" w:rsidR="004840DF" w:rsidRDefault="004840DF" w:rsidP="004B0FD1">
      <w:pPr>
        <w:rPr>
          <w:rFonts w:ascii="Arial" w:hAnsi="Arial" w:cs="Arial"/>
          <w:b/>
          <w:bCs/>
          <w:sz w:val="24"/>
          <w:szCs w:val="24"/>
        </w:rPr>
      </w:pPr>
    </w:p>
    <w:p w14:paraId="4CCF87F7" w14:textId="77777777" w:rsidR="004840DF" w:rsidRDefault="004840DF" w:rsidP="004B0FD1">
      <w:pPr>
        <w:rPr>
          <w:rFonts w:ascii="Arial" w:hAnsi="Arial" w:cs="Arial"/>
          <w:b/>
          <w:bCs/>
          <w:sz w:val="24"/>
          <w:szCs w:val="24"/>
        </w:rPr>
      </w:pPr>
    </w:p>
    <w:p w14:paraId="29AD8440" w14:textId="1F459E1D" w:rsidR="004B0FD1" w:rsidRPr="004B0FD1" w:rsidRDefault="004B0FD1" w:rsidP="004B0FD1">
      <w:pPr>
        <w:rPr>
          <w:rFonts w:ascii="Arial" w:hAnsi="Arial" w:cs="Arial"/>
          <w:b/>
          <w:bCs/>
          <w:sz w:val="24"/>
          <w:szCs w:val="24"/>
        </w:rPr>
      </w:pPr>
      <w:r w:rsidRPr="004B0FD1">
        <w:rPr>
          <w:rFonts w:ascii="Arial" w:hAnsi="Arial" w:cs="Arial"/>
          <w:b/>
          <w:bCs/>
          <w:sz w:val="24"/>
          <w:szCs w:val="24"/>
        </w:rPr>
        <w:t>Connection to Theme 2: Intersectional Barriers</w:t>
      </w:r>
    </w:p>
    <w:p w14:paraId="00B75EE0" w14:textId="77777777" w:rsidR="004B0FD1" w:rsidRPr="004B0FD1" w:rsidRDefault="004B0FD1" w:rsidP="00AE155D">
      <w:pPr>
        <w:numPr>
          <w:ilvl w:val="0"/>
          <w:numId w:val="25"/>
        </w:numPr>
        <w:rPr>
          <w:rFonts w:ascii="Arial" w:hAnsi="Arial" w:cs="Arial"/>
        </w:rPr>
      </w:pPr>
      <w:r w:rsidRPr="004B0FD1">
        <w:rPr>
          <w:rFonts w:ascii="Arial" w:hAnsi="Arial" w:cs="Arial"/>
        </w:rPr>
        <w:t>Socio</w:t>
      </w:r>
      <w:r w:rsidRPr="004B0FD1">
        <w:rPr>
          <w:rFonts w:ascii="Arial" w:hAnsi="Arial" w:cs="Arial"/>
        </w:rPr>
        <w:noBreakHyphen/>
        <w:t>cultural beliefs intersect with ethnicity, religion, gender, immigration status, and socioeconomic disadvantage.</w:t>
      </w:r>
    </w:p>
    <w:p w14:paraId="15BF5FC4" w14:textId="77777777" w:rsidR="004B0FD1" w:rsidRPr="004B0FD1" w:rsidRDefault="004B0FD1" w:rsidP="00AE155D">
      <w:pPr>
        <w:numPr>
          <w:ilvl w:val="0"/>
          <w:numId w:val="25"/>
        </w:numPr>
        <w:rPr>
          <w:rFonts w:ascii="Arial" w:hAnsi="Arial" w:cs="Arial"/>
        </w:rPr>
      </w:pPr>
      <w:r w:rsidRPr="004B0FD1">
        <w:rPr>
          <w:rFonts w:ascii="Arial" w:hAnsi="Arial" w:cs="Arial"/>
        </w:rPr>
        <w:t xml:space="preserve">Theme 1 explains </w:t>
      </w:r>
      <w:r w:rsidRPr="00BF7F95">
        <w:t>belief</w:t>
      </w:r>
      <w:r w:rsidRPr="00BF7F95">
        <w:noBreakHyphen/>
        <w:t>level barriers</w:t>
      </w:r>
      <w:r w:rsidRPr="004B0FD1">
        <w:rPr>
          <w:rFonts w:ascii="Arial" w:hAnsi="Arial" w:cs="Arial"/>
        </w:rPr>
        <w:t xml:space="preserve">, while Theme 2 explains </w:t>
      </w:r>
      <w:r w:rsidRPr="00BF7F95">
        <w:rPr>
          <w:rFonts w:ascii="Arial" w:hAnsi="Arial" w:cs="Arial"/>
        </w:rPr>
        <w:t>structural amplifier</w:t>
      </w:r>
      <w:r w:rsidRPr="004B0FD1">
        <w:rPr>
          <w:rFonts w:ascii="Arial" w:hAnsi="Arial" w:cs="Arial"/>
          <w:i/>
          <w:iCs/>
        </w:rPr>
        <w:t>s</w:t>
      </w:r>
      <w:r w:rsidRPr="004B0FD1">
        <w:rPr>
          <w:rFonts w:ascii="Arial" w:hAnsi="Arial" w:cs="Arial"/>
        </w:rPr>
        <w:t xml:space="preserve"> (e.g., COVID</w:t>
      </w:r>
      <w:r w:rsidRPr="004B0FD1">
        <w:rPr>
          <w:rFonts w:ascii="Arial" w:hAnsi="Arial" w:cs="Arial"/>
        </w:rPr>
        <w:noBreakHyphen/>
        <w:t>19, HLA mismatch).</w:t>
      </w:r>
    </w:p>
    <w:p w14:paraId="69C99202" w14:textId="77777777" w:rsidR="004B0FD1" w:rsidRDefault="004B0FD1" w:rsidP="00AE155D">
      <w:pPr>
        <w:numPr>
          <w:ilvl w:val="0"/>
          <w:numId w:val="25"/>
        </w:numPr>
        <w:rPr>
          <w:rFonts w:ascii="Arial" w:hAnsi="Arial" w:cs="Arial"/>
        </w:rPr>
      </w:pPr>
      <w:r w:rsidRPr="004B0FD1">
        <w:rPr>
          <w:rFonts w:ascii="Arial" w:hAnsi="Arial" w:cs="Arial"/>
        </w:rPr>
        <w:t>Together they reveal how individual beliefs and systemic inequalities jointly shape donation behaviour.</w:t>
      </w:r>
    </w:p>
    <w:p w14:paraId="5BE91F10" w14:textId="77777777" w:rsidR="00C3041C" w:rsidRPr="00C3041C" w:rsidRDefault="00C3041C" w:rsidP="00C3041C">
      <w:pPr>
        <w:pStyle w:val="ListParagraph"/>
        <w:ind w:left="720" w:firstLine="0"/>
        <w:rPr>
          <w:rFonts w:ascii="Arial" w:hAnsi="Arial" w:cs="Arial"/>
          <w:b/>
          <w:bCs/>
        </w:rPr>
      </w:pPr>
      <w:r w:rsidRPr="00C3041C">
        <w:rPr>
          <w:rFonts w:ascii="Arial" w:hAnsi="Arial" w:cs="Arial"/>
          <w:b/>
          <w:bCs/>
        </w:rPr>
        <w:t>Connections to Other Themes</w:t>
      </w:r>
    </w:p>
    <w:p w14:paraId="04578B7C" w14:textId="77777777" w:rsidR="00C3041C" w:rsidRPr="00C3041C" w:rsidRDefault="00C3041C" w:rsidP="00C3041C">
      <w:pPr>
        <w:pStyle w:val="ListParagraph"/>
        <w:ind w:left="720" w:firstLine="0"/>
        <w:rPr>
          <w:rFonts w:ascii="Arial" w:hAnsi="Arial" w:cs="Arial"/>
          <w:b/>
          <w:bCs/>
        </w:rPr>
      </w:pPr>
    </w:p>
    <w:p w14:paraId="342AEB46" w14:textId="77777777" w:rsidR="00C3041C" w:rsidRPr="0061491B" w:rsidRDefault="00C3041C" w:rsidP="00C3041C">
      <w:pPr>
        <w:pStyle w:val="ListParagraph"/>
        <w:numPr>
          <w:ilvl w:val="0"/>
          <w:numId w:val="25"/>
        </w:numPr>
        <w:spacing w:line="360" w:lineRule="auto"/>
        <w:jc w:val="both"/>
        <w:rPr>
          <w:rFonts w:ascii="Arial" w:hAnsi="Arial" w:cs="Arial"/>
          <w:b/>
          <w:bCs/>
        </w:rPr>
      </w:pPr>
      <w:r w:rsidRPr="00C3041C">
        <w:rPr>
          <w:rFonts w:ascii="Arial" w:hAnsi="Arial" w:cs="Arial"/>
          <w:b/>
          <w:bCs/>
        </w:rPr>
        <w:t>Connection to Theme 2</w:t>
      </w:r>
      <w:r w:rsidRPr="00C3041C">
        <w:rPr>
          <w:rFonts w:ascii="Arial" w:hAnsi="Arial" w:cs="Arial"/>
        </w:rPr>
        <w:t xml:space="preserve">: </w:t>
      </w:r>
      <w:r w:rsidRPr="0061491B">
        <w:rPr>
          <w:rFonts w:ascii="Arial" w:hAnsi="Arial" w:cs="Arial"/>
          <w:b/>
          <w:bCs/>
        </w:rPr>
        <w:t xml:space="preserve">Intersectional Barriers </w:t>
      </w:r>
    </w:p>
    <w:p w14:paraId="65E4BBED" w14:textId="0DCFF7F0" w:rsidR="002028F8" w:rsidRPr="007717E7" w:rsidRDefault="00C3041C" w:rsidP="007717E7">
      <w:pPr>
        <w:pStyle w:val="ListParagraph"/>
        <w:spacing w:line="360" w:lineRule="auto"/>
        <w:ind w:left="720" w:firstLine="0"/>
        <w:jc w:val="both"/>
        <w:rPr>
          <w:rFonts w:ascii="Arial" w:hAnsi="Arial" w:cs="Arial"/>
        </w:rPr>
      </w:pPr>
      <w:r w:rsidRPr="00C3041C">
        <w:rPr>
          <w:rFonts w:ascii="Arial" w:hAnsi="Arial" w:cs="Arial"/>
        </w:rPr>
        <w:t>The intersectionality of socio-cultural beliefs with various identity factors such as ethnicity, religion, gender, immigration status, and socioeconomic disadvantage further complicates the landscape of organ donation. While Theme 1 focuses on belief-related barriers that arise within individual and family contexts, Theme 2 expands the discussion to structural amplifiers</w:t>
      </w:r>
      <w:r>
        <w:rPr>
          <w:rFonts w:ascii="Arial" w:hAnsi="Arial" w:cs="Arial"/>
        </w:rPr>
        <w:t xml:space="preserve"> </w:t>
      </w:r>
      <w:r w:rsidRPr="00C3041C">
        <w:rPr>
          <w:rFonts w:ascii="Arial" w:hAnsi="Arial" w:cs="Arial"/>
        </w:rPr>
        <w:t xml:space="preserve">such as the COVID-19 pandemic and challenges related to human leukocyte antigen (HLA) mismatches. Together, these themes illuminate the complex ways in which personal beliefs interact with systemic </w:t>
      </w:r>
    </w:p>
    <w:p w14:paraId="32D90E93" w14:textId="2CFC4B62" w:rsidR="0061491B" w:rsidRDefault="00C3041C" w:rsidP="00C3041C">
      <w:pPr>
        <w:pStyle w:val="ListParagraph"/>
        <w:spacing w:line="360" w:lineRule="auto"/>
        <w:ind w:left="720" w:firstLine="0"/>
        <w:jc w:val="both"/>
        <w:rPr>
          <w:rFonts w:ascii="Arial" w:hAnsi="Arial" w:cs="Arial"/>
        </w:rPr>
      </w:pPr>
      <w:r w:rsidRPr="00C3041C">
        <w:rPr>
          <w:rFonts w:ascii="Arial" w:hAnsi="Arial" w:cs="Arial"/>
        </w:rPr>
        <w:t xml:space="preserve">inequalities. They reveal that individual attitudes toward organ donation are not formed in isolation; rather, they are influenced by broader societal conditions that perpetuate disparities in access and experiences. </w:t>
      </w:r>
    </w:p>
    <w:p w14:paraId="20BBB1A8" w14:textId="77777777" w:rsidR="0061491B" w:rsidRDefault="00C3041C" w:rsidP="00C3041C">
      <w:pPr>
        <w:pStyle w:val="ListParagraph"/>
        <w:spacing w:line="360" w:lineRule="auto"/>
        <w:ind w:left="720" w:firstLine="0"/>
        <w:jc w:val="both"/>
        <w:rPr>
          <w:rFonts w:ascii="Arial" w:hAnsi="Arial" w:cs="Arial"/>
        </w:rPr>
      </w:pPr>
      <w:r w:rsidRPr="0061491B">
        <w:rPr>
          <w:rFonts w:ascii="Arial" w:hAnsi="Arial" w:cs="Arial"/>
          <w:b/>
          <w:bCs/>
        </w:rPr>
        <w:t>Connection to Theme 3:</w:t>
      </w:r>
      <w:r w:rsidRPr="00C3041C">
        <w:rPr>
          <w:rFonts w:ascii="Arial" w:hAnsi="Arial" w:cs="Arial"/>
        </w:rPr>
        <w:t xml:space="preserve"> </w:t>
      </w:r>
      <w:r w:rsidRPr="0061491B">
        <w:rPr>
          <w:rFonts w:ascii="Arial" w:hAnsi="Arial" w:cs="Arial"/>
          <w:b/>
          <w:bCs/>
        </w:rPr>
        <w:t>Institutional Transformation</w:t>
      </w:r>
      <w:r w:rsidRPr="00C3041C">
        <w:rPr>
          <w:rFonts w:ascii="Arial" w:hAnsi="Arial" w:cs="Arial"/>
        </w:rPr>
        <w:t xml:space="preserve"> </w:t>
      </w:r>
    </w:p>
    <w:p w14:paraId="735307BB" w14:textId="00292BFD" w:rsidR="00A92B43" w:rsidRPr="00A32040" w:rsidRDefault="00C3041C" w:rsidP="00826808">
      <w:pPr>
        <w:pStyle w:val="ListParagraph"/>
        <w:spacing w:line="360" w:lineRule="auto"/>
        <w:ind w:left="720" w:firstLine="0"/>
        <w:jc w:val="both"/>
        <w:rPr>
          <w:rStyle w:val="Strong"/>
          <w:rFonts w:ascii="Arial" w:hAnsi="Arial" w:cs="Arial"/>
          <w:b w:val="0"/>
          <w:bCs w:val="0"/>
        </w:rPr>
      </w:pPr>
      <w:r w:rsidRPr="00C3041C">
        <w:rPr>
          <w:rFonts w:ascii="Arial" w:hAnsi="Arial" w:cs="Arial"/>
        </w:rPr>
        <w:t xml:space="preserve">The mistrust identified in Theme 1 is deeply intertwined with the institutional racism and historical traumas addressed in Theme 3. Many minority communities </w:t>
      </w:r>
      <w:r>
        <w:rPr>
          <w:rFonts w:ascii="Arial" w:hAnsi="Arial" w:cs="Arial"/>
        </w:rPr>
        <w:t>harbour scepticism</w:t>
      </w:r>
      <w:r w:rsidRPr="00C3041C">
        <w:rPr>
          <w:rFonts w:ascii="Arial" w:hAnsi="Arial" w:cs="Arial"/>
        </w:rPr>
        <w:t xml:space="preserve"> towards the healthcare system, which can be traced back to past injustices and a lack of culturally informed practices. Such mistrust often stems from cultural misunderstandings that arise due to institutional failures, including poor communication and inadequate representation of diverse communities within healthcare settings. To address these socio-cultural barriers, </w:t>
      </w:r>
      <w:r w:rsidR="00173A5A">
        <w:rPr>
          <w:rFonts w:ascii="Arial" w:hAnsi="Arial" w:cs="Arial"/>
        </w:rPr>
        <w:t>institutions need to improve</w:t>
      </w:r>
      <w:r w:rsidRPr="00C3041C">
        <w:rPr>
          <w:rFonts w:ascii="Arial" w:hAnsi="Arial" w:cs="Arial"/>
        </w:rPr>
        <w:t xml:space="preserve"> their transparency and enhance cultural competence. By fostering an environment that </w:t>
      </w:r>
      <w:r w:rsidR="0061491B">
        <w:rPr>
          <w:rFonts w:ascii="Arial" w:hAnsi="Arial" w:cs="Arial"/>
        </w:rPr>
        <w:t>prioritises</w:t>
      </w:r>
      <w:r w:rsidRPr="00C3041C">
        <w:rPr>
          <w:rFonts w:ascii="Arial" w:hAnsi="Arial" w:cs="Arial"/>
        </w:rPr>
        <w:t xml:space="preserve"> inclusive practices and open dialogue, healthcare </w:t>
      </w:r>
      <w:r w:rsidR="003D783A">
        <w:rPr>
          <w:rFonts w:ascii="Arial" w:hAnsi="Arial" w:cs="Arial"/>
        </w:rPr>
        <w:t>organisations</w:t>
      </w:r>
      <w:r w:rsidRPr="00C3041C">
        <w:rPr>
          <w:rFonts w:ascii="Arial" w:hAnsi="Arial" w:cs="Arial"/>
        </w:rPr>
        <w:t xml:space="preserve"> can create trusting relationships with minority communities. This, in turn, may lead to increased comfort around discussions of organ donation, ultimately improving consent rates and facilitating access to vital resources.</w:t>
      </w:r>
    </w:p>
    <w:p w14:paraId="6D1F4D93" w14:textId="77777777" w:rsidR="005212F7" w:rsidRDefault="005212F7" w:rsidP="00FE056A">
      <w:pPr>
        <w:pStyle w:val="Heading3"/>
        <w:spacing w:line="300" w:lineRule="atLeast"/>
        <w:rPr>
          <w:rStyle w:val="Strong"/>
          <w:rFonts w:ascii="Arial" w:hAnsi="Arial" w:cs="Arial"/>
          <w:color w:val="000000" w:themeColor="text1"/>
        </w:rPr>
      </w:pPr>
      <w:bookmarkStart w:id="26" w:name="_Toc226743163"/>
    </w:p>
    <w:p w14:paraId="24EB68AF" w14:textId="66412B19" w:rsidR="00FE056A" w:rsidRPr="00347C4F" w:rsidRDefault="00FE056A" w:rsidP="00FE056A">
      <w:pPr>
        <w:pStyle w:val="Heading3"/>
        <w:spacing w:line="300" w:lineRule="atLeast"/>
        <w:rPr>
          <w:rFonts w:ascii="Arial" w:hAnsi="Arial" w:cs="Arial"/>
          <w:color w:val="000000" w:themeColor="text1"/>
        </w:rPr>
      </w:pPr>
      <w:r w:rsidRPr="00347C4F">
        <w:rPr>
          <w:rStyle w:val="Strong"/>
          <w:rFonts w:ascii="Arial" w:hAnsi="Arial" w:cs="Arial"/>
          <w:color w:val="000000" w:themeColor="text1"/>
        </w:rPr>
        <w:t>Institutional Transformation</w:t>
      </w:r>
      <w:bookmarkEnd w:id="26"/>
    </w:p>
    <w:p w14:paraId="761BC2AF" w14:textId="77777777" w:rsidR="00FE056A" w:rsidRPr="008334FB" w:rsidRDefault="00FE056A" w:rsidP="00EB2901">
      <w:pPr>
        <w:numPr>
          <w:ilvl w:val="0"/>
          <w:numId w:val="26"/>
        </w:numPr>
        <w:spacing w:before="100" w:beforeAutospacing="1" w:after="100" w:afterAutospacing="1"/>
        <w:rPr>
          <w:rFonts w:ascii="Arial" w:hAnsi="Arial" w:cs="Arial"/>
        </w:rPr>
      </w:pPr>
      <w:r w:rsidRPr="008334FB">
        <w:rPr>
          <w:rFonts w:ascii="Arial" w:hAnsi="Arial" w:cs="Arial"/>
        </w:rPr>
        <w:t>Mistrust described in Theme 1 directly links to the institutional racism and historical traumas examined in Theme 3.</w:t>
      </w:r>
    </w:p>
    <w:p w14:paraId="2208ADDC" w14:textId="77777777" w:rsidR="00FE056A" w:rsidRPr="008334FB" w:rsidRDefault="00FE056A" w:rsidP="00EB2901">
      <w:pPr>
        <w:numPr>
          <w:ilvl w:val="0"/>
          <w:numId w:val="26"/>
        </w:numPr>
        <w:spacing w:before="100" w:beforeAutospacing="1" w:after="100" w:afterAutospacing="1"/>
        <w:rPr>
          <w:rFonts w:ascii="Arial" w:hAnsi="Arial" w:cs="Arial"/>
        </w:rPr>
      </w:pPr>
      <w:r w:rsidRPr="008334FB">
        <w:rPr>
          <w:rFonts w:ascii="Arial" w:hAnsi="Arial" w:cs="Arial"/>
        </w:rPr>
        <w:t xml:space="preserve">Cultural misunderstanding is often the </w:t>
      </w:r>
      <w:r w:rsidRPr="008334FB">
        <w:rPr>
          <w:rStyle w:val="Emphasis"/>
          <w:rFonts w:ascii="Arial" w:hAnsi="Arial" w:cs="Arial"/>
        </w:rPr>
        <w:t>result</w:t>
      </w:r>
      <w:r w:rsidRPr="008334FB">
        <w:rPr>
          <w:rFonts w:ascii="Arial" w:hAnsi="Arial" w:cs="Arial"/>
        </w:rPr>
        <w:t xml:space="preserve"> of institutional failures (poor communication, lack of inclusion).</w:t>
      </w:r>
    </w:p>
    <w:p w14:paraId="363C0D58" w14:textId="58160AF6" w:rsidR="00E96F61" w:rsidRPr="00173A5A" w:rsidRDefault="00FE056A" w:rsidP="003B1E32">
      <w:pPr>
        <w:numPr>
          <w:ilvl w:val="0"/>
          <w:numId w:val="26"/>
        </w:numPr>
        <w:spacing w:before="100" w:beforeAutospacing="1" w:after="100" w:afterAutospacing="1"/>
        <w:rPr>
          <w:rFonts w:ascii="Arial" w:hAnsi="Arial" w:cs="Arial"/>
        </w:rPr>
      </w:pPr>
      <w:r w:rsidRPr="008334FB">
        <w:rPr>
          <w:rFonts w:ascii="Arial" w:hAnsi="Arial" w:cs="Arial"/>
        </w:rPr>
        <w:t>Improving institutional transparency and cultural competence would reduce the socio</w:t>
      </w:r>
      <w:r w:rsidRPr="008334FB">
        <w:rPr>
          <w:rFonts w:ascii="Arial" w:hAnsi="Arial" w:cs="Arial"/>
        </w:rPr>
        <w:noBreakHyphen/>
        <w:t>cultural barriers identified in Theme 1.</w:t>
      </w:r>
    </w:p>
    <w:p w14:paraId="041A01C5" w14:textId="2DBA015C" w:rsidR="00765F3C" w:rsidRPr="00765F3C" w:rsidRDefault="001C3AF6" w:rsidP="003528B1">
      <w:pPr>
        <w:pStyle w:val="Heading2"/>
      </w:pPr>
      <w:bookmarkStart w:id="27" w:name="_Toc226743164"/>
      <w:r w:rsidRPr="00CB05B4">
        <w:rPr>
          <w:color w:val="auto"/>
        </w:rPr>
        <w:t xml:space="preserve">4.4 – </w:t>
      </w:r>
      <w:r w:rsidRPr="00CB05B4">
        <w:rPr>
          <w:rFonts w:ascii="Arial" w:hAnsi="Arial" w:cs="Arial"/>
          <w:color w:val="auto"/>
        </w:rPr>
        <w:t>Theme 2</w:t>
      </w:r>
      <w:r w:rsidRPr="00CB05B4">
        <w:rPr>
          <w:color w:val="auto"/>
        </w:rPr>
        <w:t xml:space="preserve"> </w:t>
      </w:r>
      <w:r w:rsidRPr="00636D9A">
        <w:t>(</w:t>
      </w:r>
      <w:r w:rsidR="00C07320" w:rsidRPr="00120B9A">
        <w:rPr>
          <w:rFonts w:ascii="Arial" w:hAnsi="Arial" w:cs="Arial"/>
          <w:szCs w:val="24"/>
          <w:highlight w:val="yellow"/>
        </w:rPr>
        <w:t>I</w:t>
      </w:r>
      <w:r w:rsidR="00C07320" w:rsidRPr="00120B9A">
        <w:rPr>
          <w:rFonts w:ascii="Arial" w:hAnsi="Arial" w:cs="Arial"/>
          <w:b/>
          <w:bCs/>
          <w:szCs w:val="24"/>
          <w:highlight w:val="yellow"/>
        </w:rPr>
        <w:t>ntersectional Barriers and Intersectional Identities</w:t>
      </w:r>
      <w:r w:rsidRPr="00636D9A">
        <w:t>)</w:t>
      </w:r>
      <w:bookmarkEnd w:id="27"/>
      <w:r w:rsidRPr="00636D9A">
        <w:t xml:space="preserve"> </w:t>
      </w:r>
    </w:p>
    <w:p w14:paraId="2E20B13E" w14:textId="4D879105" w:rsidR="00ED2090" w:rsidRDefault="00142730" w:rsidP="00EB2901">
      <w:pPr>
        <w:pStyle w:val="Heading1"/>
        <w:spacing w:line="360" w:lineRule="auto"/>
        <w:ind w:left="0"/>
        <w:jc w:val="both"/>
        <w:rPr>
          <w:rFonts w:cs="Arial"/>
          <w:b w:val="0"/>
          <w:bCs/>
          <w:sz w:val="22"/>
          <w:szCs w:val="22"/>
        </w:rPr>
      </w:pPr>
      <w:bookmarkStart w:id="28" w:name="_Toc226743165"/>
      <w:r>
        <w:rPr>
          <w:rFonts w:cs="Arial"/>
          <w:b w:val="0"/>
          <w:bCs/>
          <w:sz w:val="22"/>
          <w:szCs w:val="22"/>
        </w:rPr>
        <w:t>E</w:t>
      </w:r>
      <w:r w:rsidR="00ED2090" w:rsidRPr="005165BD">
        <w:rPr>
          <w:rFonts w:cs="Arial"/>
          <w:b w:val="0"/>
          <w:bCs/>
          <w:sz w:val="22"/>
          <w:szCs w:val="22"/>
        </w:rPr>
        <w:t>merg</w:t>
      </w:r>
      <w:r w:rsidR="00843FAD">
        <w:rPr>
          <w:rFonts w:cs="Arial"/>
          <w:b w:val="0"/>
          <w:bCs/>
          <w:sz w:val="22"/>
          <w:szCs w:val="22"/>
        </w:rPr>
        <w:t>ing</w:t>
      </w:r>
      <w:r w:rsidR="00ED2090" w:rsidRPr="005165BD">
        <w:rPr>
          <w:rFonts w:cs="Arial"/>
          <w:b w:val="0"/>
          <w:bCs/>
          <w:sz w:val="22"/>
          <w:szCs w:val="22"/>
        </w:rPr>
        <w:t xml:space="preserve"> from the coding of Ahmed (2020) and Grossi (2023), together highlight</w:t>
      </w:r>
      <w:r w:rsidR="001C2EF3">
        <w:rPr>
          <w:rFonts w:cs="Arial"/>
          <w:b w:val="0"/>
          <w:bCs/>
          <w:sz w:val="22"/>
          <w:szCs w:val="22"/>
        </w:rPr>
        <w:t xml:space="preserve">ed </w:t>
      </w:r>
      <w:r w:rsidR="00ED2090" w:rsidRPr="005165BD">
        <w:rPr>
          <w:rFonts w:cs="Arial"/>
          <w:b w:val="0"/>
          <w:bCs/>
          <w:sz w:val="22"/>
          <w:szCs w:val="22"/>
        </w:rPr>
        <w:t>how structural pressures, health inequalities, discrimination, and external shocks (e.g., COVID</w:t>
      </w:r>
      <w:r w:rsidR="00ED2090" w:rsidRPr="005165BD">
        <w:rPr>
          <w:rFonts w:cs="Arial"/>
          <w:b w:val="0"/>
          <w:bCs/>
          <w:sz w:val="22"/>
          <w:szCs w:val="22"/>
        </w:rPr>
        <w:noBreakHyphen/>
        <w:t xml:space="preserve">19) disproportionately impact minority groups and </w:t>
      </w:r>
      <w:r w:rsidR="000E47BF">
        <w:rPr>
          <w:rFonts w:cs="Arial"/>
          <w:b w:val="0"/>
          <w:bCs/>
          <w:sz w:val="22"/>
          <w:szCs w:val="22"/>
        </w:rPr>
        <w:t>influence</w:t>
      </w:r>
      <w:r w:rsidR="001D0F64">
        <w:rPr>
          <w:rFonts w:cs="Arial"/>
          <w:b w:val="0"/>
          <w:bCs/>
          <w:sz w:val="22"/>
          <w:szCs w:val="22"/>
        </w:rPr>
        <w:t xml:space="preserve"> and </w:t>
      </w:r>
      <w:r w:rsidR="009B3946">
        <w:rPr>
          <w:rFonts w:cs="Arial"/>
          <w:b w:val="0"/>
          <w:bCs/>
          <w:sz w:val="22"/>
          <w:szCs w:val="22"/>
        </w:rPr>
        <w:t xml:space="preserve">shape </w:t>
      </w:r>
      <w:r w:rsidR="00ED2090" w:rsidRPr="005165BD">
        <w:rPr>
          <w:rFonts w:cs="Arial"/>
          <w:b w:val="0"/>
          <w:bCs/>
          <w:sz w:val="22"/>
          <w:szCs w:val="22"/>
        </w:rPr>
        <w:t>their engagement with donation services.</w:t>
      </w:r>
      <w:bookmarkEnd w:id="28"/>
    </w:p>
    <w:p w14:paraId="49D0F2E5" w14:textId="77777777" w:rsidR="006A1950" w:rsidRDefault="006A1950" w:rsidP="00EB2901">
      <w:pPr>
        <w:pStyle w:val="Heading1"/>
        <w:spacing w:line="360" w:lineRule="auto"/>
        <w:jc w:val="both"/>
        <w:rPr>
          <w:rFonts w:cs="Arial"/>
          <w:b w:val="0"/>
          <w:bCs/>
          <w:sz w:val="22"/>
          <w:szCs w:val="22"/>
        </w:rPr>
      </w:pPr>
    </w:p>
    <w:p w14:paraId="24682DA2" w14:textId="1AF2F440" w:rsidR="006A1950" w:rsidRPr="009109F4" w:rsidRDefault="006A1950" w:rsidP="00EB2901">
      <w:pPr>
        <w:rPr>
          <w:rFonts w:ascii="Arial" w:hAnsi="Arial" w:cs="Arial"/>
        </w:rPr>
      </w:pPr>
      <w:r w:rsidRPr="009109F4">
        <w:rPr>
          <w:rFonts w:ascii="Arial" w:hAnsi="Arial" w:cs="Arial"/>
        </w:rPr>
        <w:t xml:space="preserve">Theme 2: Intersectionality </w:t>
      </w:r>
      <w:r w:rsidR="008060C4">
        <w:rPr>
          <w:rFonts w:ascii="Arial" w:hAnsi="Arial" w:cs="Arial"/>
        </w:rPr>
        <w:t>provides</w:t>
      </w:r>
      <w:r w:rsidR="001A3024">
        <w:rPr>
          <w:rFonts w:ascii="Arial" w:hAnsi="Arial" w:cs="Arial"/>
        </w:rPr>
        <w:t xml:space="preserve"> a</w:t>
      </w:r>
      <w:r w:rsidRPr="009109F4">
        <w:rPr>
          <w:rFonts w:ascii="Arial" w:hAnsi="Arial" w:cs="Arial"/>
        </w:rPr>
        <w:t xml:space="preserve"> </w:t>
      </w:r>
      <w:r w:rsidR="001A3024">
        <w:rPr>
          <w:rFonts w:ascii="Arial" w:hAnsi="Arial" w:cs="Arial"/>
        </w:rPr>
        <w:t xml:space="preserve">critical </w:t>
      </w:r>
      <w:r w:rsidR="005C1ED3">
        <w:rPr>
          <w:rFonts w:ascii="Arial" w:hAnsi="Arial" w:cs="Arial"/>
        </w:rPr>
        <w:t>lens</w:t>
      </w:r>
      <w:r w:rsidRPr="009109F4">
        <w:rPr>
          <w:rFonts w:ascii="Arial" w:hAnsi="Arial" w:cs="Arial"/>
        </w:rPr>
        <w:t xml:space="preserve"> for examining</w:t>
      </w:r>
      <w:r w:rsidR="007F27D2">
        <w:rPr>
          <w:rFonts w:ascii="Arial" w:hAnsi="Arial" w:cs="Arial"/>
        </w:rPr>
        <w:t xml:space="preserve"> and understanding</w:t>
      </w:r>
      <w:r w:rsidRPr="009109F4">
        <w:rPr>
          <w:rFonts w:ascii="Arial" w:hAnsi="Arial" w:cs="Arial"/>
        </w:rPr>
        <w:t xml:space="preserve"> how interconnected identities</w:t>
      </w:r>
      <w:r w:rsidR="004A220E">
        <w:rPr>
          <w:rFonts w:ascii="Arial" w:hAnsi="Arial" w:cs="Arial"/>
        </w:rPr>
        <w:t xml:space="preserve">, </w:t>
      </w:r>
      <w:r w:rsidRPr="009109F4">
        <w:rPr>
          <w:rFonts w:ascii="Arial" w:hAnsi="Arial" w:cs="Arial"/>
        </w:rPr>
        <w:t>including race, religion, migration history, gender, and socioeconomic status</w:t>
      </w:r>
      <w:r w:rsidR="004A220E">
        <w:rPr>
          <w:rFonts w:ascii="Arial" w:hAnsi="Arial" w:cs="Arial"/>
        </w:rPr>
        <w:t xml:space="preserve">, </w:t>
      </w:r>
      <w:r w:rsidRPr="009109F4">
        <w:rPr>
          <w:rFonts w:ascii="Arial" w:hAnsi="Arial" w:cs="Arial"/>
        </w:rPr>
        <w:t>interact and create complex barriers for minority ethnic communities. This theme shifts the focus from individual beliefs and perspectives (as discussed in Theme 1) to a broader analysis of how systemic and structural factors influence experiences of inequality.</w:t>
      </w:r>
    </w:p>
    <w:p w14:paraId="65F57573" w14:textId="20CDBD30" w:rsidR="00A32040" w:rsidRDefault="006A1950" w:rsidP="00EB2901">
      <w:pPr>
        <w:rPr>
          <w:rFonts w:ascii="Arial" w:hAnsi="Arial" w:cs="Arial"/>
        </w:rPr>
      </w:pPr>
      <w:r w:rsidRPr="009109F4">
        <w:rPr>
          <w:rFonts w:ascii="Arial" w:hAnsi="Arial" w:cs="Arial"/>
        </w:rPr>
        <w:t>The interplay of these identities can exacerbate challenges in accessing essential healthcare resources, such as blood and organ transplants. For instance, someone from a minority ethnic background may face not only discrimination based on their race but also socio-economic disadvantages, which can limit their access to information, healthcare services, and support systems. Additionally, environmental factors, such as living in underserved areas, can further complicate their ability to obtain timely medical care.</w:t>
      </w:r>
    </w:p>
    <w:p w14:paraId="6933A7F5" w14:textId="64EC2D84" w:rsidR="00765F3C" w:rsidRPr="003528B1" w:rsidRDefault="006A1950" w:rsidP="003528B1">
      <w:pPr>
        <w:rPr>
          <w:rFonts w:ascii="Arial" w:hAnsi="Arial" w:cs="Arial"/>
        </w:rPr>
      </w:pPr>
      <w:r w:rsidRPr="009109F4">
        <w:rPr>
          <w:rFonts w:ascii="Arial" w:hAnsi="Arial" w:cs="Arial"/>
        </w:rPr>
        <w:t>Moreover, in times of crisis</w:t>
      </w:r>
      <w:r w:rsidR="004A220E">
        <w:rPr>
          <w:rFonts w:ascii="Arial" w:hAnsi="Arial" w:cs="Arial"/>
        </w:rPr>
        <w:t xml:space="preserve"> </w:t>
      </w:r>
      <w:r w:rsidRPr="009109F4">
        <w:rPr>
          <w:rFonts w:ascii="Arial" w:hAnsi="Arial" w:cs="Arial"/>
        </w:rPr>
        <w:t>such as public health emergencies or economic downturns</w:t>
      </w:r>
      <w:r w:rsidR="004A220E">
        <w:rPr>
          <w:rFonts w:ascii="Arial" w:hAnsi="Arial" w:cs="Arial"/>
        </w:rPr>
        <w:t xml:space="preserve">, </w:t>
      </w:r>
      <w:r w:rsidRPr="009109F4">
        <w:rPr>
          <w:rFonts w:ascii="Arial" w:hAnsi="Arial" w:cs="Arial"/>
        </w:rPr>
        <w:t>these compounded barriers can become even more pronounced. Minority groups often bear the brunt of systemic inequities during such periods, facing heightened risks and reduced access to care. Understanding intersectionality allows us to appreciate the nuances of individual experiences and systemic injustices, highlighting the need for tailored approaches that address the specific barriers faced by diverse communities in the realm of healthcare access and support. This multi-faceted exploration is essential for developing equitable solutions that acknowledge and address the root causes of disparities in health outcomes for minority ethnic populations.</w:t>
      </w:r>
    </w:p>
    <w:p w14:paraId="03CB7F85" w14:textId="77777777" w:rsidR="00523A39" w:rsidRPr="00523A39" w:rsidRDefault="002865F5" w:rsidP="00A32040">
      <w:pPr>
        <w:pStyle w:val="Heading4"/>
        <w:rPr>
          <w:rFonts w:ascii="Arial" w:hAnsi="Arial" w:cs="Arial"/>
          <w:b/>
          <w:bCs/>
          <w:i w:val="0"/>
          <w:iCs w:val="0"/>
          <w:color w:val="auto"/>
          <w:sz w:val="24"/>
          <w:szCs w:val="24"/>
        </w:rPr>
      </w:pPr>
      <w:r w:rsidRPr="00523A39">
        <w:rPr>
          <w:rFonts w:ascii="Arial" w:hAnsi="Arial" w:cs="Arial"/>
          <w:b/>
          <w:bCs/>
          <w:i w:val="0"/>
          <w:iCs w:val="0"/>
          <w:color w:val="auto"/>
          <w:sz w:val="24"/>
          <w:szCs w:val="24"/>
        </w:rPr>
        <w:t>Definition</w:t>
      </w:r>
    </w:p>
    <w:p w14:paraId="7CB4F0A3" w14:textId="6006E6A7" w:rsidR="00FA22AA" w:rsidRPr="00523A39" w:rsidRDefault="00851759" w:rsidP="00A32040">
      <w:pPr>
        <w:pStyle w:val="Heading4"/>
        <w:rPr>
          <w:rFonts w:ascii="Arial" w:hAnsi="Arial" w:cs="Arial"/>
          <w:i w:val="0"/>
          <w:iCs w:val="0"/>
          <w:color w:val="auto"/>
          <w:sz w:val="24"/>
          <w:szCs w:val="24"/>
        </w:rPr>
      </w:pPr>
      <w:r w:rsidRPr="00523A39">
        <w:rPr>
          <w:rFonts w:ascii="Arial" w:hAnsi="Arial" w:cs="Arial"/>
          <w:i w:val="0"/>
          <w:iCs w:val="0"/>
          <w:color w:val="auto"/>
        </w:rPr>
        <w:t>Intersectional barriers refer to the combined and interacting forms of disadvantage created when multiple aspects of identity overlap</w:t>
      </w:r>
      <w:r w:rsidR="008F63E5" w:rsidRPr="00523A39">
        <w:rPr>
          <w:rFonts w:ascii="Arial" w:hAnsi="Arial" w:cs="Arial"/>
          <w:i w:val="0"/>
          <w:iCs w:val="0"/>
          <w:color w:val="auto"/>
        </w:rPr>
        <w:t xml:space="preserve"> (Crenshaw, 1989)</w:t>
      </w:r>
      <w:r w:rsidR="004B1C4F" w:rsidRPr="00523A39">
        <w:rPr>
          <w:rFonts w:ascii="Arial" w:hAnsi="Arial" w:cs="Arial"/>
          <w:i w:val="0"/>
          <w:iCs w:val="0"/>
          <w:color w:val="auto"/>
        </w:rPr>
        <w:t>.</w:t>
      </w:r>
      <w:r w:rsidRPr="00523A39">
        <w:rPr>
          <w:rFonts w:ascii="Arial" w:hAnsi="Arial" w:cs="Arial"/>
          <w:i w:val="0"/>
          <w:iCs w:val="0"/>
          <w:color w:val="auto"/>
        </w:rPr>
        <w:t xml:space="preserve"> For example, a person may simultaneously experience barriers related to:</w:t>
      </w:r>
    </w:p>
    <w:p w14:paraId="067CFF09" w14:textId="77777777" w:rsidR="00851759" w:rsidRPr="00523A39" w:rsidRDefault="00851759" w:rsidP="00EB2901">
      <w:pPr>
        <w:numPr>
          <w:ilvl w:val="0"/>
          <w:numId w:val="6"/>
        </w:numPr>
        <w:tabs>
          <w:tab w:val="num" w:pos="720"/>
        </w:tabs>
        <w:spacing w:before="100" w:beforeAutospacing="1" w:after="100" w:afterAutospacing="1"/>
        <w:rPr>
          <w:rFonts w:ascii="Arial" w:hAnsi="Arial" w:cs="Arial"/>
        </w:rPr>
      </w:pPr>
      <w:r w:rsidRPr="00523A39">
        <w:rPr>
          <w:rFonts w:ascii="Arial" w:hAnsi="Arial" w:cs="Arial"/>
        </w:rPr>
        <w:t>Race/ethnicity</w:t>
      </w:r>
    </w:p>
    <w:p w14:paraId="0450A21D" w14:textId="77777777" w:rsidR="00851759" w:rsidRPr="00EB2901" w:rsidRDefault="00851759" w:rsidP="00EB2901">
      <w:pPr>
        <w:numPr>
          <w:ilvl w:val="0"/>
          <w:numId w:val="6"/>
        </w:numPr>
        <w:tabs>
          <w:tab w:val="num" w:pos="720"/>
        </w:tabs>
        <w:spacing w:before="100" w:beforeAutospacing="1" w:after="100" w:afterAutospacing="1"/>
        <w:rPr>
          <w:rFonts w:ascii="Arial" w:hAnsi="Arial" w:cs="Arial"/>
        </w:rPr>
      </w:pPr>
      <w:r w:rsidRPr="00EB2901">
        <w:rPr>
          <w:rFonts w:ascii="Arial" w:hAnsi="Arial" w:cs="Arial"/>
        </w:rPr>
        <w:t>Religion</w:t>
      </w:r>
    </w:p>
    <w:p w14:paraId="2467DB99" w14:textId="77777777" w:rsidR="00851759" w:rsidRPr="00EB2901" w:rsidRDefault="00851759" w:rsidP="00EB2901">
      <w:pPr>
        <w:numPr>
          <w:ilvl w:val="0"/>
          <w:numId w:val="6"/>
        </w:numPr>
        <w:tabs>
          <w:tab w:val="num" w:pos="720"/>
        </w:tabs>
        <w:spacing w:before="100" w:beforeAutospacing="1" w:after="100" w:afterAutospacing="1"/>
        <w:rPr>
          <w:rFonts w:ascii="Arial" w:hAnsi="Arial" w:cs="Arial"/>
        </w:rPr>
      </w:pPr>
      <w:r w:rsidRPr="00EB2901">
        <w:rPr>
          <w:rFonts w:ascii="Arial" w:hAnsi="Arial" w:cs="Arial"/>
        </w:rPr>
        <w:t>Socioeconomic disadvantage</w:t>
      </w:r>
    </w:p>
    <w:p w14:paraId="3F6044BD" w14:textId="77777777" w:rsidR="00851759" w:rsidRPr="00EB2901" w:rsidRDefault="00851759" w:rsidP="00EB2901">
      <w:pPr>
        <w:numPr>
          <w:ilvl w:val="0"/>
          <w:numId w:val="6"/>
        </w:numPr>
        <w:tabs>
          <w:tab w:val="num" w:pos="720"/>
        </w:tabs>
        <w:spacing w:before="100" w:beforeAutospacing="1" w:after="100" w:afterAutospacing="1"/>
        <w:rPr>
          <w:rFonts w:ascii="Arial" w:hAnsi="Arial" w:cs="Arial"/>
        </w:rPr>
      </w:pPr>
      <w:r w:rsidRPr="00EB2901">
        <w:rPr>
          <w:rFonts w:ascii="Arial" w:hAnsi="Arial" w:cs="Arial"/>
        </w:rPr>
        <w:t>Migration status</w:t>
      </w:r>
    </w:p>
    <w:p w14:paraId="6B39DD6D" w14:textId="77777777" w:rsidR="00851759" w:rsidRPr="00EB2901" w:rsidRDefault="00851759" w:rsidP="00EB2901">
      <w:pPr>
        <w:numPr>
          <w:ilvl w:val="0"/>
          <w:numId w:val="6"/>
        </w:numPr>
        <w:tabs>
          <w:tab w:val="num" w:pos="720"/>
        </w:tabs>
        <w:spacing w:before="100" w:beforeAutospacing="1" w:after="100" w:afterAutospacing="1"/>
        <w:rPr>
          <w:rFonts w:ascii="Arial" w:hAnsi="Arial" w:cs="Arial"/>
        </w:rPr>
      </w:pPr>
      <w:r w:rsidRPr="00EB2901">
        <w:rPr>
          <w:rFonts w:ascii="Arial" w:hAnsi="Arial" w:cs="Arial"/>
        </w:rPr>
        <w:t>Language fluency</w:t>
      </w:r>
    </w:p>
    <w:p w14:paraId="0419E47D" w14:textId="27531D67" w:rsidR="00AE7DC5" w:rsidRPr="00EB2901" w:rsidRDefault="00851759" w:rsidP="00EB2901">
      <w:pPr>
        <w:numPr>
          <w:ilvl w:val="0"/>
          <w:numId w:val="6"/>
        </w:numPr>
        <w:tabs>
          <w:tab w:val="num" w:pos="720"/>
        </w:tabs>
        <w:spacing w:before="100" w:beforeAutospacing="1" w:after="100" w:afterAutospacing="1"/>
        <w:rPr>
          <w:rFonts w:ascii="Arial" w:hAnsi="Arial" w:cs="Arial"/>
        </w:rPr>
      </w:pPr>
      <w:r w:rsidRPr="00EB2901">
        <w:rPr>
          <w:rFonts w:ascii="Arial" w:hAnsi="Arial" w:cs="Arial"/>
        </w:rPr>
        <w:t>Health inequality</w:t>
      </w:r>
    </w:p>
    <w:p w14:paraId="37581FE4" w14:textId="3680BE86" w:rsidR="00851759" w:rsidRPr="00EB2901" w:rsidRDefault="00851759" w:rsidP="00EB2901">
      <w:pPr>
        <w:spacing w:before="100" w:beforeAutospacing="1" w:after="100" w:afterAutospacing="1"/>
        <w:rPr>
          <w:rFonts w:ascii="Arial" w:hAnsi="Arial" w:cs="Arial"/>
        </w:rPr>
      </w:pPr>
      <w:r w:rsidRPr="00EB2901">
        <w:rPr>
          <w:rFonts w:ascii="Arial" w:hAnsi="Arial" w:cs="Arial"/>
        </w:rPr>
        <w:t>These overlapping identities intensify barriers to donation more dramatically than any single factor alone.</w:t>
      </w:r>
    </w:p>
    <w:p w14:paraId="3BB83E41" w14:textId="0DBE986F" w:rsidR="00836628" w:rsidRPr="00523A39" w:rsidRDefault="002865F5" w:rsidP="00EB2901">
      <w:pPr>
        <w:pStyle w:val="Heading4"/>
        <w:rPr>
          <w:rFonts w:ascii="Arial" w:hAnsi="Arial" w:cs="Arial"/>
          <w:b/>
          <w:bCs/>
          <w:i w:val="0"/>
          <w:iCs w:val="0"/>
          <w:color w:val="auto"/>
          <w:sz w:val="24"/>
          <w:szCs w:val="24"/>
        </w:rPr>
      </w:pPr>
      <w:r w:rsidRPr="00523A39">
        <w:rPr>
          <w:rFonts w:ascii="Arial" w:hAnsi="Arial" w:cs="Arial"/>
          <w:b/>
          <w:bCs/>
          <w:i w:val="0"/>
          <w:iCs w:val="0"/>
          <w:color w:val="auto"/>
          <w:sz w:val="24"/>
          <w:szCs w:val="24"/>
        </w:rPr>
        <w:t>Background Information</w:t>
      </w:r>
    </w:p>
    <w:p w14:paraId="52004EA8" w14:textId="352923B0" w:rsidR="00D236AF" w:rsidRPr="00EB2901" w:rsidRDefault="004B04A8" w:rsidP="00EB2901">
      <w:pPr>
        <w:rPr>
          <w:rFonts w:ascii="Arial" w:hAnsi="Arial" w:cs="Arial"/>
        </w:rPr>
      </w:pPr>
      <w:r w:rsidRPr="00EB2901">
        <w:rPr>
          <w:rFonts w:ascii="Arial" w:hAnsi="Arial" w:cs="Arial"/>
        </w:rPr>
        <w:t xml:space="preserve">The historical and contemporary contexts play a crucial role in exacerbating the barriers faced by minority groups, particularly in healthcare. Ahmed (2020) underscores the impact of external crises, such as the COVID-19 pandemic, which led to a significant decline in transplantation rates and placed immense strain on healthcare resources. This crisis disproportionately affected Black and Asian communities, who were already at a higher clinical risk. In Chapter 3, Ahmed elaborates on these themes through several key factors: </w:t>
      </w:r>
    </w:p>
    <w:p w14:paraId="3DED5E91" w14:textId="77777777" w:rsidR="004B04A8" w:rsidRPr="00EB2901" w:rsidRDefault="004B04A8" w:rsidP="00EB2901">
      <w:pPr>
        <w:rPr>
          <w:rFonts w:ascii="Arial" w:hAnsi="Arial" w:cs="Arial"/>
        </w:rPr>
      </w:pPr>
      <w:r w:rsidRPr="00EB2901">
        <w:rPr>
          <w:rFonts w:ascii="Arial" w:hAnsi="Arial" w:cs="Arial"/>
        </w:rPr>
        <w:t xml:space="preserve">Transplantation Decline: The overall drop in transplantation procedures due to hospitals prioritising COVID-19 patients and the lack of adequate resources. </w:t>
      </w:r>
    </w:p>
    <w:p w14:paraId="5651C1DB" w14:textId="77777777" w:rsidR="004B04A8" w:rsidRPr="00EB2901" w:rsidRDefault="004B04A8" w:rsidP="00EB2901">
      <w:pPr>
        <w:rPr>
          <w:rFonts w:ascii="Arial" w:hAnsi="Arial" w:cs="Arial"/>
        </w:rPr>
      </w:pPr>
      <w:r w:rsidRPr="00EB2901">
        <w:rPr>
          <w:rFonts w:ascii="Arial" w:hAnsi="Arial" w:cs="Arial"/>
        </w:rPr>
        <w:t>Operational Changes: Modifications within healthcare systems that negatively impacted service delivery and access for minority populations.</w:t>
      </w:r>
    </w:p>
    <w:p w14:paraId="1986DEF4" w14:textId="77777777" w:rsidR="004B04A8" w:rsidRPr="00EB2901" w:rsidRDefault="004B04A8" w:rsidP="00EB2901">
      <w:pPr>
        <w:rPr>
          <w:rFonts w:ascii="Arial" w:hAnsi="Arial" w:cs="Arial"/>
        </w:rPr>
      </w:pPr>
      <w:r w:rsidRPr="00EB2901">
        <w:rPr>
          <w:rFonts w:ascii="Arial" w:hAnsi="Arial" w:cs="Arial"/>
        </w:rPr>
        <w:t>Organ Procurement Challenges: Increased difficulties in acquiring organs for transplantation, which further limit options for those in need from marginalised communities.</w:t>
      </w:r>
    </w:p>
    <w:p w14:paraId="0D7FB40E" w14:textId="73D7E468" w:rsidR="004B04A8" w:rsidRPr="00EB2901" w:rsidRDefault="004B04A8" w:rsidP="00EB2901">
      <w:pPr>
        <w:rPr>
          <w:rFonts w:ascii="Arial" w:hAnsi="Arial" w:cs="Arial"/>
        </w:rPr>
      </w:pPr>
      <w:r w:rsidRPr="00EB2901">
        <w:rPr>
          <w:rFonts w:ascii="Arial" w:hAnsi="Arial" w:cs="Arial"/>
        </w:rPr>
        <w:t>Real-Time Data Inequities:</w:t>
      </w:r>
      <w:r w:rsidR="00B419BF" w:rsidRPr="00EB2901">
        <w:rPr>
          <w:rFonts w:ascii="Arial" w:hAnsi="Arial" w:cs="Arial"/>
        </w:rPr>
        <w:t xml:space="preserve"> </w:t>
      </w:r>
      <w:r w:rsidRPr="00EB2901">
        <w:rPr>
          <w:rFonts w:ascii="Arial" w:hAnsi="Arial" w:cs="Arial"/>
        </w:rPr>
        <w:t>The lack of timely and comprehensive data exacerbates disparities, making it difficult to address the unique needs of different populations effectively.</w:t>
      </w:r>
    </w:p>
    <w:p w14:paraId="42CFEE7C" w14:textId="77777777" w:rsidR="00173A5A" w:rsidRDefault="00173A5A" w:rsidP="00EB2901">
      <w:pPr>
        <w:rPr>
          <w:rFonts w:ascii="Arial" w:hAnsi="Arial" w:cs="Arial"/>
        </w:rPr>
      </w:pPr>
    </w:p>
    <w:p w14:paraId="2ABD4070" w14:textId="77777777" w:rsidR="00173A5A" w:rsidRDefault="00173A5A" w:rsidP="00EB2901">
      <w:pPr>
        <w:rPr>
          <w:rFonts w:ascii="Arial" w:hAnsi="Arial" w:cs="Arial"/>
        </w:rPr>
      </w:pPr>
    </w:p>
    <w:p w14:paraId="3DEDB184" w14:textId="3DFCEA82" w:rsidR="00AF41DE" w:rsidRDefault="004B04A8" w:rsidP="00EB2901">
      <w:pPr>
        <w:rPr>
          <w:rFonts w:ascii="Arial" w:hAnsi="Arial" w:cs="Arial"/>
        </w:rPr>
      </w:pPr>
      <w:r w:rsidRPr="00EB2901">
        <w:rPr>
          <w:rFonts w:ascii="Arial" w:hAnsi="Arial" w:cs="Arial"/>
        </w:rPr>
        <w:t>Conversely, Grossi (2023) brings to light the systemic inequalities that are ingrained within the healthcare pathway. This research highlights the importance of institutional structures in maintaining and reproducing these inequities. Notable issues identified by Grossi include:</w:t>
      </w:r>
    </w:p>
    <w:p w14:paraId="35DF0E46" w14:textId="323BDF2E" w:rsidR="004B04A8" w:rsidRPr="00EB2901" w:rsidRDefault="004B04A8" w:rsidP="00EB2901">
      <w:pPr>
        <w:rPr>
          <w:rFonts w:ascii="Arial" w:hAnsi="Arial" w:cs="Arial"/>
        </w:rPr>
      </w:pPr>
      <w:r w:rsidRPr="00AD1B9B">
        <w:rPr>
          <w:rFonts w:ascii="Arial" w:hAnsi="Arial" w:cs="Arial"/>
          <w:b/>
          <w:bCs/>
        </w:rPr>
        <w:t>Limited Cultural Competency</w:t>
      </w:r>
      <w:r w:rsidRPr="00EB2901">
        <w:rPr>
          <w:rFonts w:ascii="Arial" w:hAnsi="Arial" w:cs="Arial"/>
        </w:rPr>
        <w:t>: A lack of understanding and acknowledgement of diverse cultural contexts among healthcare providers, which can lead to miscommunication and inadequate care.</w:t>
      </w:r>
    </w:p>
    <w:p w14:paraId="493368B3" w14:textId="77777777" w:rsidR="004B04A8" w:rsidRPr="00EB2901" w:rsidRDefault="004B04A8" w:rsidP="00EB2901">
      <w:pPr>
        <w:rPr>
          <w:rFonts w:ascii="Arial" w:hAnsi="Arial" w:cs="Arial"/>
        </w:rPr>
      </w:pPr>
      <w:r w:rsidRPr="00AD1B9B">
        <w:rPr>
          <w:rFonts w:ascii="Arial" w:hAnsi="Arial" w:cs="Arial"/>
          <w:b/>
          <w:bCs/>
        </w:rPr>
        <w:t>Unequal Access to Services</w:t>
      </w:r>
      <w:r w:rsidRPr="00EB2901">
        <w:rPr>
          <w:rFonts w:ascii="Arial" w:hAnsi="Arial" w:cs="Arial"/>
        </w:rPr>
        <w:t>: Structural barriers that prevent minority groups from receiving the same level of healthcare as their majority counterparts, often due to socioeconomic factors and geographic disparities.</w:t>
      </w:r>
    </w:p>
    <w:p w14:paraId="7DA7EB40" w14:textId="10811E00" w:rsidR="00F00FC4" w:rsidRPr="00173A5A" w:rsidRDefault="004B04A8" w:rsidP="00EB2901">
      <w:pPr>
        <w:rPr>
          <w:rFonts w:ascii="Arial" w:hAnsi="Arial" w:cs="Arial"/>
        </w:rPr>
      </w:pPr>
      <w:r w:rsidRPr="00AD1B9B">
        <w:rPr>
          <w:rFonts w:ascii="Arial" w:hAnsi="Arial" w:cs="Arial"/>
          <w:b/>
          <w:bCs/>
        </w:rPr>
        <w:t>Inadequate Workforce Representation</w:t>
      </w:r>
      <w:r w:rsidRPr="00EB2901">
        <w:rPr>
          <w:rFonts w:ascii="Arial" w:hAnsi="Arial" w:cs="Arial"/>
        </w:rPr>
        <w:t>: Insufficient representation of minority groups within the healthcare workforce, which can hinder the development of trust and effective communication between patients and providers.</w:t>
      </w:r>
    </w:p>
    <w:p w14:paraId="6F9A12D3" w14:textId="06F2443E" w:rsidR="009F2D5D" w:rsidRPr="00EB2901" w:rsidRDefault="004B04A8" w:rsidP="00EB2901">
      <w:pPr>
        <w:rPr>
          <w:rFonts w:ascii="Arial" w:hAnsi="Arial" w:cs="Arial"/>
        </w:rPr>
      </w:pPr>
      <w:r w:rsidRPr="00AD1B9B">
        <w:rPr>
          <w:rFonts w:ascii="Arial" w:hAnsi="Arial" w:cs="Arial"/>
          <w:b/>
          <w:bCs/>
        </w:rPr>
        <w:t>Communication Practices That Do Not Meet Minority Needs</w:t>
      </w:r>
      <w:r w:rsidRPr="00EB2901">
        <w:rPr>
          <w:rFonts w:ascii="Arial" w:hAnsi="Arial" w:cs="Arial"/>
        </w:rPr>
        <w:t>: Failure to employ inclusive communication strategies that recognise language barriers and cultural nuances can leave patients feeling misunderstood and underserved.</w:t>
      </w:r>
    </w:p>
    <w:p w14:paraId="658A89AD" w14:textId="2DEE4789" w:rsidR="00AD1B9B" w:rsidRPr="00EB2901" w:rsidRDefault="004B04A8" w:rsidP="00EB2901">
      <w:pPr>
        <w:rPr>
          <w:rFonts w:ascii="Arial" w:hAnsi="Arial" w:cs="Arial"/>
        </w:rPr>
      </w:pPr>
      <w:r w:rsidRPr="00EB2901">
        <w:rPr>
          <w:rFonts w:ascii="Arial" w:hAnsi="Arial" w:cs="Arial"/>
        </w:rPr>
        <w:t>Collectively, the studies by Ahmed and Grossi illustrate that the intersectional barriers encountered by ethnic minorities are not solely a result of cultural beliefs (as discussed in Theme 1) but rather stem from deeply entrenched structural and contextual challenges. This insight calls for a holistic approach to healthcare reform that addresses both the individual and systemic factors contributing to health disparities among minority populations.</w:t>
      </w:r>
    </w:p>
    <w:p w14:paraId="68B7D960" w14:textId="77777777" w:rsidR="00D9061A" w:rsidRPr="00EB2901" w:rsidRDefault="00D9061A" w:rsidP="00EB2901">
      <w:pPr>
        <w:pStyle w:val="ListParagraph"/>
        <w:numPr>
          <w:ilvl w:val="0"/>
          <w:numId w:val="16"/>
        </w:numPr>
        <w:spacing w:line="360" w:lineRule="auto"/>
        <w:jc w:val="both"/>
        <w:rPr>
          <w:rFonts w:ascii="Arial" w:hAnsi="Arial" w:cs="Arial"/>
        </w:rPr>
      </w:pPr>
      <w:r w:rsidRPr="00EB2901">
        <w:rPr>
          <w:rFonts w:ascii="Arial" w:hAnsi="Arial" w:cs="Arial"/>
        </w:rPr>
        <w:t>Transplantation decline</w:t>
      </w:r>
    </w:p>
    <w:p w14:paraId="701B300F" w14:textId="77777777" w:rsidR="00D9061A" w:rsidRPr="00EB2901" w:rsidRDefault="00D9061A" w:rsidP="00EB2901">
      <w:pPr>
        <w:pStyle w:val="ListParagraph"/>
        <w:numPr>
          <w:ilvl w:val="0"/>
          <w:numId w:val="16"/>
        </w:numPr>
        <w:spacing w:line="360" w:lineRule="auto"/>
        <w:jc w:val="both"/>
        <w:rPr>
          <w:rFonts w:ascii="Arial" w:hAnsi="Arial" w:cs="Arial"/>
        </w:rPr>
      </w:pPr>
      <w:r w:rsidRPr="00EB2901">
        <w:rPr>
          <w:rFonts w:ascii="Arial" w:hAnsi="Arial" w:cs="Arial"/>
        </w:rPr>
        <w:t>Operational changes</w:t>
      </w:r>
    </w:p>
    <w:p w14:paraId="5E0F96C6" w14:textId="77777777" w:rsidR="00D9061A" w:rsidRPr="00EB2901" w:rsidRDefault="00D9061A" w:rsidP="00EB2901">
      <w:pPr>
        <w:pStyle w:val="ListParagraph"/>
        <w:numPr>
          <w:ilvl w:val="0"/>
          <w:numId w:val="16"/>
        </w:numPr>
        <w:spacing w:line="360" w:lineRule="auto"/>
        <w:jc w:val="both"/>
        <w:rPr>
          <w:rFonts w:ascii="Arial" w:hAnsi="Arial" w:cs="Arial"/>
        </w:rPr>
      </w:pPr>
      <w:r w:rsidRPr="00EB2901">
        <w:rPr>
          <w:rFonts w:ascii="Arial" w:hAnsi="Arial" w:cs="Arial"/>
        </w:rPr>
        <w:t>Organ procurement challenges</w:t>
      </w:r>
    </w:p>
    <w:p w14:paraId="7DC79F06" w14:textId="77777777" w:rsidR="006861C1" w:rsidRPr="00EB2901" w:rsidRDefault="00D9061A" w:rsidP="00EB2901">
      <w:pPr>
        <w:pStyle w:val="ListParagraph"/>
        <w:numPr>
          <w:ilvl w:val="0"/>
          <w:numId w:val="16"/>
        </w:numPr>
        <w:spacing w:line="360" w:lineRule="auto"/>
        <w:jc w:val="both"/>
        <w:rPr>
          <w:rFonts w:ascii="Arial" w:hAnsi="Arial" w:cs="Arial"/>
        </w:rPr>
      </w:pPr>
      <w:r w:rsidRPr="00EB2901">
        <w:rPr>
          <w:rFonts w:ascii="Arial" w:hAnsi="Arial" w:cs="Arial"/>
        </w:rPr>
        <w:t>Real</w:t>
      </w:r>
      <w:r w:rsidRPr="00EB2901">
        <w:rPr>
          <w:rFonts w:ascii="Arial" w:hAnsi="Arial" w:cs="Arial"/>
        </w:rPr>
        <w:noBreakHyphen/>
        <w:t>time data inequities</w:t>
      </w:r>
    </w:p>
    <w:p w14:paraId="0051310B" w14:textId="77777777" w:rsidR="002644E6" w:rsidRPr="00EB2901" w:rsidRDefault="002644E6" w:rsidP="00EB2901">
      <w:pPr>
        <w:ind w:left="360"/>
        <w:rPr>
          <w:rFonts w:ascii="Arial" w:hAnsi="Arial" w:cs="Arial"/>
        </w:rPr>
      </w:pPr>
    </w:p>
    <w:p w14:paraId="677541EE" w14:textId="6E2CA3D6" w:rsidR="006861C1" w:rsidRPr="00EB2901" w:rsidRDefault="006861C1" w:rsidP="00EB2901">
      <w:pPr>
        <w:rPr>
          <w:rFonts w:ascii="Arial" w:eastAsia="Times New Roman" w:hAnsi="Arial" w:cs="Arial"/>
          <w:sz w:val="21"/>
          <w:szCs w:val="21"/>
        </w:rPr>
      </w:pPr>
      <w:r w:rsidRPr="00EB2901">
        <w:rPr>
          <w:rFonts w:ascii="Arial" w:eastAsia="Times New Roman" w:hAnsi="Arial" w:cs="Arial"/>
          <w:sz w:val="21"/>
          <w:szCs w:val="21"/>
        </w:rPr>
        <w:t xml:space="preserve">At the same time, </w:t>
      </w:r>
      <w:r w:rsidRPr="00EB2901">
        <w:rPr>
          <w:rFonts w:ascii="Arial" w:eastAsia="Times New Roman" w:hAnsi="Arial" w:cs="Arial"/>
          <w:b/>
          <w:bCs/>
          <w:sz w:val="21"/>
          <w:szCs w:val="21"/>
        </w:rPr>
        <w:t>Grossi (2023)</w:t>
      </w:r>
      <w:r w:rsidRPr="00EB2901">
        <w:rPr>
          <w:rFonts w:ascii="Arial" w:eastAsia="Times New Roman" w:hAnsi="Arial" w:cs="Arial"/>
          <w:sz w:val="21"/>
          <w:szCs w:val="21"/>
        </w:rPr>
        <w:t xml:space="preserve"> identifies systemic inequalities embedded in the care pathway, emphasising the role of institutional structures in reproducing inequity. These include:</w:t>
      </w:r>
    </w:p>
    <w:p w14:paraId="223B0BED" w14:textId="4290F9D3" w:rsidR="004F4C15" w:rsidRPr="00EB2901" w:rsidRDefault="004F4C15" w:rsidP="00EB2901">
      <w:pPr>
        <w:pStyle w:val="ListParagraph"/>
        <w:numPr>
          <w:ilvl w:val="0"/>
          <w:numId w:val="16"/>
        </w:numPr>
        <w:spacing w:line="360" w:lineRule="auto"/>
        <w:jc w:val="both"/>
        <w:rPr>
          <w:rFonts w:ascii="Arial" w:eastAsia="Times New Roman" w:hAnsi="Arial" w:cs="Arial"/>
        </w:rPr>
      </w:pPr>
      <w:r w:rsidRPr="00EB2901">
        <w:rPr>
          <w:rFonts w:ascii="Arial" w:eastAsia="Times New Roman" w:hAnsi="Arial" w:cs="Arial"/>
        </w:rPr>
        <w:t xml:space="preserve">Limited cultural competency </w:t>
      </w:r>
    </w:p>
    <w:p w14:paraId="4E4536F3" w14:textId="18E0625A" w:rsidR="004F4C15" w:rsidRPr="00EB2901" w:rsidRDefault="004F4C15" w:rsidP="00EB2901">
      <w:pPr>
        <w:pStyle w:val="ListParagraph"/>
        <w:numPr>
          <w:ilvl w:val="0"/>
          <w:numId w:val="16"/>
        </w:numPr>
        <w:spacing w:line="360" w:lineRule="auto"/>
        <w:jc w:val="both"/>
        <w:rPr>
          <w:rFonts w:ascii="Arial" w:eastAsia="Times New Roman" w:hAnsi="Arial" w:cs="Arial"/>
        </w:rPr>
      </w:pPr>
      <w:r w:rsidRPr="00EB2901">
        <w:rPr>
          <w:rFonts w:ascii="Arial" w:eastAsia="Times New Roman" w:hAnsi="Arial" w:cs="Arial"/>
        </w:rPr>
        <w:t xml:space="preserve">Unequal access to services </w:t>
      </w:r>
    </w:p>
    <w:p w14:paraId="5059D66D" w14:textId="2B5D7B87" w:rsidR="004F4C15" w:rsidRPr="00EB2901" w:rsidRDefault="004F4C15" w:rsidP="00EB2901">
      <w:pPr>
        <w:pStyle w:val="ListParagraph"/>
        <w:numPr>
          <w:ilvl w:val="0"/>
          <w:numId w:val="16"/>
        </w:numPr>
        <w:spacing w:line="360" w:lineRule="auto"/>
        <w:jc w:val="both"/>
        <w:rPr>
          <w:rFonts w:ascii="Arial" w:eastAsia="Times New Roman" w:hAnsi="Arial" w:cs="Arial"/>
        </w:rPr>
      </w:pPr>
      <w:r w:rsidRPr="00EB2901">
        <w:rPr>
          <w:rFonts w:ascii="Arial" w:eastAsia="Times New Roman" w:hAnsi="Arial" w:cs="Arial"/>
        </w:rPr>
        <w:t xml:space="preserve">Inadequate workforce representation </w:t>
      </w:r>
    </w:p>
    <w:p w14:paraId="05CF8214" w14:textId="699120DF" w:rsidR="00CE70A9" w:rsidRPr="00D236AF" w:rsidRDefault="004F4C15" w:rsidP="00EB2901">
      <w:pPr>
        <w:pStyle w:val="ListParagraph"/>
        <w:numPr>
          <w:ilvl w:val="0"/>
          <w:numId w:val="16"/>
        </w:numPr>
        <w:spacing w:line="360" w:lineRule="auto"/>
        <w:jc w:val="both"/>
        <w:rPr>
          <w:rFonts w:ascii="Arial" w:eastAsia="Times New Roman" w:hAnsi="Arial" w:cs="Arial"/>
        </w:rPr>
      </w:pPr>
      <w:r w:rsidRPr="00EB2901">
        <w:rPr>
          <w:rFonts w:ascii="Arial" w:eastAsia="Times New Roman" w:hAnsi="Arial" w:cs="Arial"/>
        </w:rPr>
        <w:t xml:space="preserve">Communication practices that do not meet minority </w:t>
      </w:r>
      <w:r w:rsidR="0094325C" w:rsidRPr="00EB2901">
        <w:rPr>
          <w:rFonts w:ascii="Arial" w:eastAsia="Times New Roman" w:hAnsi="Arial" w:cs="Arial"/>
        </w:rPr>
        <w:t>needs.</w:t>
      </w:r>
    </w:p>
    <w:p w14:paraId="05F09E09" w14:textId="77777777" w:rsidR="00CE70A9" w:rsidRPr="00EB2901" w:rsidRDefault="00CE70A9" w:rsidP="00EB2901">
      <w:pPr>
        <w:rPr>
          <w:rFonts w:ascii="Arial" w:eastAsia="Times New Roman" w:hAnsi="Arial" w:cs="Arial"/>
        </w:rPr>
      </w:pPr>
    </w:p>
    <w:p w14:paraId="396D1721" w14:textId="3A9BD21C" w:rsidR="00AB4ADF" w:rsidRPr="00EB2901" w:rsidRDefault="0094325C" w:rsidP="00EB2901">
      <w:pPr>
        <w:rPr>
          <w:rFonts w:ascii="Arial" w:eastAsia="Times New Roman" w:hAnsi="Arial" w:cs="Arial"/>
        </w:rPr>
      </w:pPr>
      <w:r w:rsidRPr="00EB2901">
        <w:rPr>
          <w:rFonts w:ascii="Arial" w:eastAsia="Times New Roman" w:hAnsi="Arial" w:cs="Arial"/>
        </w:rPr>
        <w:t>Together</w:t>
      </w:r>
      <w:r w:rsidR="0088399C" w:rsidRPr="00EB2901">
        <w:rPr>
          <w:rFonts w:ascii="Arial" w:eastAsia="Times New Roman" w:hAnsi="Arial" w:cs="Arial"/>
        </w:rPr>
        <w:t>, these studies demonstrate that the intersectional barriers faced by ethnic minorities emerge not only from cultural beliefs (Theme 1) but from deeply rooted structural and contextual challenges.</w:t>
      </w:r>
    </w:p>
    <w:p w14:paraId="1800EAD5" w14:textId="1CFDAD7E" w:rsidR="002865F5" w:rsidRPr="00AD1B9B" w:rsidRDefault="002865F5" w:rsidP="00EB2901">
      <w:pPr>
        <w:pStyle w:val="Heading4"/>
        <w:rPr>
          <w:rFonts w:ascii="Arial" w:hAnsi="Arial" w:cs="Arial"/>
          <w:b/>
          <w:bCs/>
          <w:i w:val="0"/>
          <w:iCs w:val="0"/>
          <w:color w:val="auto"/>
          <w:sz w:val="24"/>
          <w:szCs w:val="24"/>
        </w:rPr>
      </w:pPr>
      <w:r w:rsidRPr="00AD1B9B">
        <w:rPr>
          <w:rFonts w:ascii="Arial" w:hAnsi="Arial" w:cs="Arial"/>
          <w:b/>
          <w:bCs/>
          <w:i w:val="0"/>
          <w:iCs w:val="0"/>
          <w:color w:val="auto"/>
          <w:sz w:val="24"/>
          <w:szCs w:val="24"/>
        </w:rPr>
        <w:t>Impact on Research Question</w:t>
      </w:r>
    </w:p>
    <w:p w14:paraId="617F42AB" w14:textId="524CBA55" w:rsidR="00131D32" w:rsidRPr="00EB2901" w:rsidRDefault="00EB29C9" w:rsidP="00EB2901">
      <w:pPr>
        <w:rPr>
          <w:rFonts w:ascii="Arial" w:hAnsi="Arial" w:cs="Arial"/>
          <w:sz w:val="24"/>
          <w:szCs w:val="24"/>
        </w:rPr>
      </w:pPr>
      <w:r w:rsidRPr="00AD1B9B">
        <w:rPr>
          <w:rFonts w:ascii="Arial" w:hAnsi="Arial" w:cs="Arial"/>
          <w:b/>
          <w:bCs/>
          <w:sz w:val="24"/>
          <w:szCs w:val="24"/>
        </w:rPr>
        <w:t>“</w:t>
      </w:r>
      <w:r w:rsidR="00B22752" w:rsidRPr="00AD1B9B">
        <w:rPr>
          <w:rFonts w:ascii="Arial" w:hAnsi="Arial" w:cs="Arial"/>
          <w:b/>
          <w:bCs/>
          <w:sz w:val="24"/>
          <w:szCs w:val="24"/>
        </w:rPr>
        <w:t xml:space="preserve">Exploring the barriers faced by </w:t>
      </w:r>
      <w:r w:rsidR="00B22752" w:rsidRPr="00EB2901">
        <w:rPr>
          <w:rFonts w:ascii="Arial" w:hAnsi="Arial" w:cs="Arial"/>
          <w:b/>
          <w:bCs/>
          <w:sz w:val="24"/>
          <w:szCs w:val="24"/>
        </w:rPr>
        <w:t>ethnic minorit</w:t>
      </w:r>
      <w:r w:rsidR="00D83696" w:rsidRPr="00EB2901">
        <w:rPr>
          <w:rFonts w:ascii="Arial" w:hAnsi="Arial" w:cs="Arial"/>
          <w:b/>
          <w:bCs/>
          <w:sz w:val="24"/>
          <w:szCs w:val="24"/>
        </w:rPr>
        <w:t xml:space="preserve">ies in accessing information and </w:t>
      </w:r>
      <w:r w:rsidR="00653D2A" w:rsidRPr="00EB2901">
        <w:rPr>
          <w:rFonts w:ascii="Arial" w:hAnsi="Arial" w:cs="Arial"/>
          <w:b/>
          <w:bCs/>
          <w:sz w:val="24"/>
          <w:szCs w:val="24"/>
        </w:rPr>
        <w:t>resources</w:t>
      </w:r>
      <w:r w:rsidRPr="00EB2901">
        <w:rPr>
          <w:rFonts w:ascii="Arial" w:hAnsi="Arial" w:cs="Arial"/>
          <w:sz w:val="24"/>
          <w:szCs w:val="24"/>
        </w:rPr>
        <w:t>”</w:t>
      </w:r>
    </w:p>
    <w:p w14:paraId="4B1EC694" w14:textId="2459154A" w:rsidR="009A790F" w:rsidRPr="00EB2901" w:rsidRDefault="009914E5" w:rsidP="00EB2901">
      <w:pPr>
        <w:rPr>
          <w:rFonts w:ascii="Arial" w:hAnsi="Arial" w:cs="Arial"/>
          <w:b/>
          <w:bCs/>
        </w:rPr>
      </w:pPr>
      <w:r w:rsidRPr="00EB2901">
        <w:rPr>
          <w:rFonts w:ascii="Arial" w:hAnsi="Arial" w:cs="Arial"/>
        </w:rPr>
        <w:t>Intersectionality shows why barriers experienced by mi</w:t>
      </w:r>
      <w:r w:rsidR="00A84D4D" w:rsidRPr="00EB2901">
        <w:rPr>
          <w:rFonts w:ascii="Arial" w:hAnsi="Arial" w:cs="Arial"/>
        </w:rPr>
        <w:t>nority groups cannot be solved</w:t>
      </w:r>
      <w:r w:rsidR="007A29BB" w:rsidRPr="00EB2901">
        <w:rPr>
          <w:rFonts w:ascii="Arial" w:hAnsi="Arial" w:cs="Arial"/>
        </w:rPr>
        <w:t xml:space="preserve"> using a single </w:t>
      </w:r>
      <w:r w:rsidR="00A62305" w:rsidRPr="00EB2901">
        <w:rPr>
          <w:rFonts w:ascii="Arial" w:hAnsi="Arial" w:cs="Arial"/>
        </w:rPr>
        <w:t>explanation</w:t>
      </w:r>
      <w:r w:rsidR="00713A6A" w:rsidRPr="00EB2901">
        <w:rPr>
          <w:rFonts w:ascii="Arial" w:hAnsi="Arial" w:cs="Arial"/>
        </w:rPr>
        <w:t xml:space="preserve"> </w:t>
      </w:r>
      <w:r w:rsidR="00EB7293" w:rsidRPr="00EB2901">
        <w:rPr>
          <w:rFonts w:ascii="Arial" w:hAnsi="Arial" w:cs="Arial"/>
        </w:rPr>
        <w:t>e</w:t>
      </w:r>
      <w:r w:rsidR="005F3F3D" w:rsidRPr="00EB2901">
        <w:rPr>
          <w:rFonts w:ascii="Arial" w:hAnsi="Arial" w:cs="Arial"/>
        </w:rPr>
        <w:t>.g</w:t>
      </w:r>
      <w:r w:rsidR="00B7328F" w:rsidRPr="00EB2901">
        <w:rPr>
          <w:rFonts w:ascii="Arial" w:hAnsi="Arial" w:cs="Arial"/>
        </w:rPr>
        <w:t>., “culture”</w:t>
      </w:r>
      <w:r w:rsidR="00D170C6" w:rsidRPr="00EB2901">
        <w:rPr>
          <w:rFonts w:ascii="Arial" w:hAnsi="Arial" w:cs="Arial"/>
        </w:rPr>
        <w:t xml:space="preserve"> alone</w:t>
      </w:r>
      <w:r w:rsidR="006437D8" w:rsidRPr="00EB2901">
        <w:rPr>
          <w:rFonts w:ascii="Arial" w:hAnsi="Arial" w:cs="Arial"/>
        </w:rPr>
        <w:t>.</w:t>
      </w:r>
    </w:p>
    <w:p w14:paraId="0CC7AFB2" w14:textId="3D0654C7" w:rsidR="000E0DD4" w:rsidRPr="00EB2901" w:rsidRDefault="009A790F" w:rsidP="00EB2901">
      <w:pPr>
        <w:rPr>
          <w:rFonts w:ascii="Arial" w:hAnsi="Arial" w:cs="Arial"/>
        </w:rPr>
      </w:pPr>
      <w:r w:rsidRPr="00EB2901">
        <w:rPr>
          <w:rFonts w:ascii="Arial" w:hAnsi="Arial" w:cs="Arial"/>
        </w:rPr>
        <w:t xml:space="preserve">Theme 2 answers this by showing that </w:t>
      </w:r>
      <w:r w:rsidRPr="00EB2901">
        <w:rPr>
          <w:rFonts w:ascii="Arial" w:hAnsi="Arial" w:cs="Arial"/>
          <w:b/>
          <w:bCs/>
        </w:rPr>
        <w:t xml:space="preserve">barriers are not </w:t>
      </w:r>
      <w:r w:rsidR="007A0397" w:rsidRPr="00EB2901">
        <w:rPr>
          <w:rFonts w:ascii="Arial" w:hAnsi="Arial" w:cs="Arial"/>
          <w:b/>
          <w:bCs/>
        </w:rPr>
        <w:t>isolated</w:t>
      </w:r>
      <w:r w:rsidR="007A0397" w:rsidRPr="00EB2901">
        <w:rPr>
          <w:rFonts w:ascii="Arial" w:hAnsi="Arial" w:cs="Arial"/>
        </w:rPr>
        <w:t xml:space="preserve"> but</w:t>
      </w:r>
      <w:r w:rsidRPr="00EB2901">
        <w:rPr>
          <w:rFonts w:ascii="Arial" w:hAnsi="Arial" w:cs="Arial"/>
        </w:rPr>
        <w:t xml:space="preserve"> layered and mutually reinforcing.</w:t>
      </w:r>
    </w:p>
    <w:p w14:paraId="65230B82" w14:textId="5F42DAC7" w:rsidR="00B3704B" w:rsidRPr="00EB2901" w:rsidRDefault="009A790F" w:rsidP="00EB2901">
      <w:pPr>
        <w:rPr>
          <w:rFonts w:ascii="Arial" w:hAnsi="Arial" w:cs="Arial"/>
          <w:sz w:val="24"/>
          <w:szCs w:val="24"/>
        </w:rPr>
      </w:pPr>
      <w:r w:rsidRPr="00EB2901">
        <w:rPr>
          <w:rFonts w:ascii="Arial" w:hAnsi="Arial" w:cs="Arial"/>
          <w:b/>
          <w:bCs/>
          <w:sz w:val="24"/>
          <w:szCs w:val="24"/>
        </w:rPr>
        <w:t>Intersectional barriers affect</w:t>
      </w:r>
      <w:r w:rsidRPr="00EB2901">
        <w:rPr>
          <w:rFonts w:ascii="Arial" w:hAnsi="Arial" w:cs="Arial"/>
          <w:sz w:val="24"/>
          <w:szCs w:val="24"/>
        </w:rPr>
        <w:t>:</w:t>
      </w:r>
    </w:p>
    <w:p w14:paraId="144EFB86" w14:textId="61B86C78" w:rsidR="00AB4ADF" w:rsidRPr="00EB2901" w:rsidRDefault="009A790F" w:rsidP="00EB2901">
      <w:pPr>
        <w:pStyle w:val="ListParagraph"/>
        <w:numPr>
          <w:ilvl w:val="0"/>
          <w:numId w:val="28"/>
        </w:numPr>
        <w:spacing w:line="360" w:lineRule="auto"/>
        <w:jc w:val="both"/>
        <w:rPr>
          <w:rFonts w:ascii="Arial" w:hAnsi="Arial" w:cs="Arial"/>
          <w:b/>
          <w:bCs/>
        </w:rPr>
      </w:pPr>
      <w:r w:rsidRPr="00EB2901">
        <w:rPr>
          <w:rFonts w:ascii="Arial" w:hAnsi="Arial" w:cs="Arial"/>
          <w:b/>
          <w:bCs/>
        </w:rPr>
        <w:t>Access to information</w:t>
      </w:r>
      <w:r w:rsidR="00B34F54" w:rsidRPr="00EB2901">
        <w:rPr>
          <w:rFonts w:ascii="Arial" w:hAnsi="Arial" w:cs="Arial"/>
        </w:rPr>
        <w:t xml:space="preserve">: </w:t>
      </w:r>
      <w:r w:rsidRPr="00EB2901">
        <w:rPr>
          <w:rFonts w:ascii="Arial" w:hAnsi="Arial" w:cs="Arial"/>
        </w:rPr>
        <w:t>Language barriers, digital exclusion, and lack of culturally relevant materials.</w:t>
      </w:r>
    </w:p>
    <w:p w14:paraId="7ABA42F3" w14:textId="33207F15" w:rsidR="007A0397" w:rsidRPr="00EB2901" w:rsidRDefault="009A790F" w:rsidP="00EB2901">
      <w:pPr>
        <w:pStyle w:val="ListParagraph"/>
        <w:numPr>
          <w:ilvl w:val="0"/>
          <w:numId w:val="28"/>
        </w:numPr>
        <w:spacing w:line="360" w:lineRule="auto"/>
        <w:jc w:val="both"/>
        <w:rPr>
          <w:rFonts w:ascii="Arial" w:hAnsi="Arial" w:cs="Arial"/>
        </w:rPr>
      </w:pPr>
      <w:r w:rsidRPr="00EB2901">
        <w:rPr>
          <w:rFonts w:ascii="Arial" w:hAnsi="Arial" w:cs="Arial"/>
          <w:b/>
          <w:bCs/>
        </w:rPr>
        <w:t>Health outcomes</w:t>
      </w:r>
      <w:r w:rsidR="00B34F54" w:rsidRPr="00EB2901">
        <w:rPr>
          <w:rFonts w:ascii="Arial" w:hAnsi="Arial" w:cs="Arial"/>
        </w:rPr>
        <w:t>:</w:t>
      </w:r>
      <w:r w:rsidRPr="00EB2901">
        <w:rPr>
          <w:rFonts w:ascii="Arial" w:hAnsi="Arial" w:cs="Arial"/>
        </w:rPr>
        <w:t xml:space="preserve"> Higher rates of diabetes, kidney disease, and hypertension (noted in Policy Background, Chapter 2).</w:t>
      </w:r>
    </w:p>
    <w:p w14:paraId="32025D02" w14:textId="2AC88804" w:rsidR="00AD338F" w:rsidRPr="00F00FC4" w:rsidRDefault="009A790F" w:rsidP="00AD338F">
      <w:pPr>
        <w:pStyle w:val="ListParagraph"/>
        <w:numPr>
          <w:ilvl w:val="0"/>
          <w:numId w:val="28"/>
        </w:numPr>
        <w:spacing w:line="360" w:lineRule="auto"/>
        <w:jc w:val="both"/>
        <w:rPr>
          <w:rFonts w:ascii="Arial" w:hAnsi="Arial" w:cs="Arial"/>
        </w:rPr>
      </w:pPr>
      <w:r w:rsidRPr="00EB2901">
        <w:rPr>
          <w:rFonts w:ascii="Arial" w:hAnsi="Arial" w:cs="Arial"/>
          <w:b/>
          <w:bCs/>
        </w:rPr>
        <w:t>Trust</w:t>
      </w:r>
      <w:r w:rsidR="00B34F54" w:rsidRPr="00EB2901">
        <w:rPr>
          <w:rFonts w:ascii="Arial" w:hAnsi="Arial" w:cs="Arial"/>
        </w:rPr>
        <w:t>:</w:t>
      </w:r>
      <w:r w:rsidRPr="00EB2901">
        <w:rPr>
          <w:rFonts w:ascii="Arial" w:hAnsi="Arial" w:cs="Arial"/>
        </w:rPr>
        <w:t xml:space="preserve"> Inequitable experiences of healthcare exacerbate already</w:t>
      </w:r>
      <w:r w:rsidRPr="00EB2901">
        <w:rPr>
          <w:rFonts w:ascii="Arial" w:hAnsi="Arial" w:cs="Arial"/>
        </w:rPr>
        <w:noBreakHyphen/>
        <w:t xml:space="preserve">existing mistrust (linked </w:t>
      </w:r>
      <w:r w:rsidR="00C02763" w:rsidRPr="00EB2901">
        <w:rPr>
          <w:rFonts w:ascii="Arial" w:hAnsi="Arial" w:cs="Arial"/>
        </w:rPr>
        <w:t xml:space="preserve">to </w:t>
      </w:r>
      <w:r w:rsidRPr="00EB2901">
        <w:rPr>
          <w:rFonts w:ascii="Arial" w:hAnsi="Arial" w:cs="Arial"/>
        </w:rPr>
        <w:t xml:space="preserve"> Theme 3).</w:t>
      </w:r>
    </w:p>
    <w:p w14:paraId="4DA5C838" w14:textId="155B2BA6" w:rsidR="009A790F" w:rsidRPr="00EB2901" w:rsidRDefault="009A790F" w:rsidP="00EB2901">
      <w:pPr>
        <w:pStyle w:val="ListParagraph"/>
        <w:numPr>
          <w:ilvl w:val="0"/>
          <w:numId w:val="27"/>
        </w:numPr>
        <w:spacing w:line="360" w:lineRule="auto"/>
        <w:jc w:val="both"/>
        <w:rPr>
          <w:rFonts w:ascii="Arial" w:hAnsi="Arial" w:cs="Arial"/>
        </w:rPr>
      </w:pPr>
      <w:r w:rsidRPr="00EB2901">
        <w:rPr>
          <w:rFonts w:ascii="Arial" w:hAnsi="Arial" w:cs="Arial"/>
          <w:b/>
          <w:bCs/>
        </w:rPr>
        <w:t>Engagement with donation</w:t>
      </w:r>
      <w:r w:rsidR="00B34F54" w:rsidRPr="00EB2901">
        <w:rPr>
          <w:rFonts w:ascii="Arial" w:hAnsi="Arial" w:cs="Arial"/>
        </w:rPr>
        <w:t>:</w:t>
      </w:r>
      <w:r w:rsidRPr="00EB2901">
        <w:rPr>
          <w:rFonts w:ascii="Arial" w:hAnsi="Arial" w:cs="Arial"/>
        </w:rPr>
        <w:t xml:space="preserve"> Covid</w:t>
      </w:r>
      <w:r w:rsidRPr="00EB2901">
        <w:rPr>
          <w:rFonts w:ascii="Arial" w:hAnsi="Arial" w:cs="Arial"/>
        </w:rPr>
        <w:noBreakHyphen/>
        <w:t>19 disrupted donation pathways and deepened pre</w:t>
      </w:r>
      <w:r w:rsidRPr="00EB2901">
        <w:rPr>
          <w:rFonts w:ascii="Arial" w:hAnsi="Arial" w:cs="Arial"/>
        </w:rPr>
        <w:noBreakHyphen/>
        <w:t>existing health inequalities.</w:t>
      </w:r>
    </w:p>
    <w:p w14:paraId="039AB5DF" w14:textId="77777777" w:rsidR="00B34F54" w:rsidRPr="00EB2901" w:rsidRDefault="00B34F54" w:rsidP="00EB2901">
      <w:pPr>
        <w:pStyle w:val="ListParagraph"/>
        <w:spacing w:line="360" w:lineRule="auto"/>
        <w:ind w:left="780" w:firstLine="0"/>
        <w:jc w:val="both"/>
        <w:rPr>
          <w:rFonts w:ascii="Arial" w:hAnsi="Arial" w:cs="Arial"/>
        </w:rPr>
      </w:pPr>
    </w:p>
    <w:p w14:paraId="384FBC5E" w14:textId="4609D0B7" w:rsidR="0002473F" w:rsidRPr="00EB2901" w:rsidRDefault="009A790F" w:rsidP="00EB2901">
      <w:pPr>
        <w:rPr>
          <w:rFonts w:ascii="Arial" w:hAnsi="Arial" w:cs="Arial"/>
        </w:rPr>
      </w:pPr>
      <w:r w:rsidRPr="00EB2901">
        <w:rPr>
          <w:rFonts w:ascii="Arial" w:hAnsi="Arial" w:cs="Arial"/>
        </w:rPr>
        <w:t xml:space="preserve">Thus, intersectional identities create “double barriers,” </w:t>
      </w:r>
    </w:p>
    <w:p w14:paraId="2CA6F7EB" w14:textId="77777777" w:rsidR="002865F5" w:rsidRPr="00AD1B9B" w:rsidRDefault="002865F5" w:rsidP="00EB2901">
      <w:pPr>
        <w:pStyle w:val="Heading4"/>
        <w:rPr>
          <w:rFonts w:ascii="Arial" w:hAnsi="Arial" w:cs="Arial"/>
          <w:b/>
          <w:bCs/>
          <w:i w:val="0"/>
          <w:iCs w:val="0"/>
          <w:color w:val="auto"/>
          <w:sz w:val="24"/>
          <w:szCs w:val="24"/>
        </w:rPr>
      </w:pPr>
      <w:r w:rsidRPr="00AD1B9B">
        <w:rPr>
          <w:rFonts w:ascii="Arial" w:hAnsi="Arial" w:cs="Arial"/>
          <w:b/>
          <w:bCs/>
          <w:i w:val="0"/>
          <w:iCs w:val="0"/>
          <w:color w:val="auto"/>
          <w:sz w:val="24"/>
          <w:szCs w:val="24"/>
        </w:rPr>
        <w:t>Statistical Information</w:t>
      </w:r>
    </w:p>
    <w:p w14:paraId="159D597F" w14:textId="7160EE7B" w:rsidR="00E35D35" w:rsidRPr="00EB2901" w:rsidRDefault="00E35D35" w:rsidP="00EB2901">
      <w:pPr>
        <w:rPr>
          <w:rFonts w:ascii="Arial" w:hAnsi="Arial" w:cs="Arial"/>
        </w:rPr>
      </w:pPr>
      <w:r w:rsidRPr="00EB2901">
        <w:rPr>
          <w:rFonts w:ascii="Arial" w:hAnsi="Arial" w:cs="Arial"/>
        </w:rPr>
        <w:t xml:space="preserve">Although Theme 2 focuses more on structural inequities than </w:t>
      </w:r>
      <w:r w:rsidR="00040A03" w:rsidRPr="00EB2901">
        <w:rPr>
          <w:rFonts w:ascii="Arial" w:hAnsi="Arial" w:cs="Arial"/>
        </w:rPr>
        <w:t>on sociocultural attitudes, it</w:t>
      </w:r>
      <w:r w:rsidRPr="00EB2901">
        <w:rPr>
          <w:rFonts w:ascii="Arial" w:hAnsi="Arial" w:cs="Arial"/>
        </w:rPr>
        <w:t xml:space="preserve"> is strengthened by the national and local data already evidenced in</w:t>
      </w:r>
      <w:r w:rsidR="006B5D20" w:rsidRPr="00EB2901">
        <w:rPr>
          <w:rFonts w:ascii="Arial" w:hAnsi="Arial" w:cs="Arial"/>
        </w:rPr>
        <w:t xml:space="preserve"> this study.</w:t>
      </w:r>
    </w:p>
    <w:p w14:paraId="507F0B71" w14:textId="77777777" w:rsidR="00E35D35" w:rsidRPr="00EB2901" w:rsidRDefault="00E35D35" w:rsidP="00EB2901">
      <w:pPr>
        <w:rPr>
          <w:rFonts w:ascii="Arial" w:hAnsi="Arial" w:cs="Arial"/>
        </w:rPr>
      </w:pPr>
      <w:r w:rsidRPr="00EB2901">
        <w:rPr>
          <w:rFonts w:ascii="Arial" w:hAnsi="Arial" w:cs="Arial"/>
        </w:rPr>
        <w:t>Key examples include:</w:t>
      </w:r>
    </w:p>
    <w:p w14:paraId="34E6D1A2" w14:textId="77777777" w:rsidR="00E35D35" w:rsidRPr="00EB2901" w:rsidRDefault="00E35D35" w:rsidP="00EB2901">
      <w:pPr>
        <w:numPr>
          <w:ilvl w:val="0"/>
          <w:numId w:val="29"/>
        </w:numPr>
        <w:rPr>
          <w:rFonts w:ascii="Arial" w:hAnsi="Arial" w:cs="Arial"/>
        </w:rPr>
      </w:pPr>
      <w:r w:rsidRPr="00EB2901">
        <w:rPr>
          <w:rFonts w:ascii="Arial" w:hAnsi="Arial" w:cs="Arial"/>
        </w:rPr>
        <w:t>Minority patients wait significantly longer for transplants due to reduced HLA matching opportunities (Chapter 2).</w:t>
      </w:r>
    </w:p>
    <w:p w14:paraId="346A48E6" w14:textId="504BF88E" w:rsidR="00CE70A9" w:rsidRPr="00F00FC4" w:rsidRDefault="00E35D35" w:rsidP="00AD338F">
      <w:pPr>
        <w:numPr>
          <w:ilvl w:val="0"/>
          <w:numId w:val="29"/>
        </w:numPr>
        <w:rPr>
          <w:rFonts w:ascii="Arial" w:hAnsi="Arial" w:cs="Arial"/>
        </w:rPr>
      </w:pPr>
      <w:r w:rsidRPr="00EB2901">
        <w:rPr>
          <w:rFonts w:ascii="Arial" w:hAnsi="Arial" w:cs="Arial"/>
        </w:rPr>
        <w:t>COVID</w:t>
      </w:r>
      <w:r w:rsidRPr="00EB2901">
        <w:rPr>
          <w:rFonts w:ascii="Arial" w:hAnsi="Arial" w:cs="Arial"/>
        </w:rPr>
        <w:noBreakHyphen/>
        <w:t xml:space="preserve">19 disproportionately affected ethnic minorities, worsening health inequalities (Ahmed 2020 coding). </w:t>
      </w:r>
      <w:r w:rsidR="006B5D20" w:rsidRPr="00EB2901">
        <w:rPr>
          <w:rFonts w:ascii="Arial" w:hAnsi="Arial" w:cs="Arial"/>
        </w:rPr>
        <w:t xml:space="preserve">  </w:t>
      </w:r>
      <w:r w:rsidRPr="00EB2901">
        <w:rPr>
          <w:rFonts w:ascii="Arial" w:hAnsi="Arial" w:cs="Arial"/>
        </w:rPr>
        <w:t>Minority donation consent rates remain low (35%), contributing to the shortage of ethnically matched donors (Theme 1 statistics).</w:t>
      </w:r>
    </w:p>
    <w:p w14:paraId="5D1B53B6" w14:textId="3C92FC1A" w:rsidR="00E35D35" w:rsidRPr="00AD338F" w:rsidRDefault="00A63397" w:rsidP="00EB2901">
      <w:pPr>
        <w:rPr>
          <w:rFonts w:ascii="Arial" w:eastAsia="Times New Roman" w:hAnsi="Arial" w:cs="Arial"/>
        </w:rPr>
      </w:pPr>
      <w:r w:rsidRPr="00EB2901">
        <w:rPr>
          <w:rFonts w:ascii="Arial" w:eastAsia="Times New Roman" w:hAnsi="Arial" w:cs="Arial"/>
        </w:rPr>
        <w:t>These statistics reinforce how structural disadvantages intersect with cultural barriers, deepening inequity.</w:t>
      </w:r>
    </w:p>
    <w:p w14:paraId="65CEAE38" w14:textId="77777777" w:rsidR="002865F5" w:rsidRPr="00AD1B9B" w:rsidRDefault="002865F5" w:rsidP="00EB2901">
      <w:pPr>
        <w:pStyle w:val="Heading4"/>
        <w:rPr>
          <w:rFonts w:ascii="Arial" w:hAnsi="Arial" w:cs="Arial"/>
          <w:b/>
          <w:bCs/>
          <w:i w:val="0"/>
          <w:iCs w:val="0"/>
          <w:color w:val="auto"/>
          <w:sz w:val="24"/>
          <w:szCs w:val="24"/>
        </w:rPr>
      </w:pPr>
      <w:r w:rsidRPr="00AD1B9B">
        <w:rPr>
          <w:rFonts w:ascii="Arial" w:hAnsi="Arial" w:cs="Arial"/>
          <w:b/>
          <w:bCs/>
          <w:i w:val="0"/>
          <w:iCs w:val="0"/>
          <w:color w:val="auto"/>
          <w:sz w:val="24"/>
          <w:szCs w:val="24"/>
        </w:rPr>
        <w:t>Theories, Policies, and Legislation</w:t>
      </w:r>
    </w:p>
    <w:p w14:paraId="1D062F01" w14:textId="77777777" w:rsidR="00C91E1F" w:rsidRPr="00AD1B9B" w:rsidRDefault="002865F5" w:rsidP="00EB2901">
      <w:pPr>
        <w:pStyle w:val="NormalWeb"/>
        <w:numPr>
          <w:ilvl w:val="0"/>
          <w:numId w:val="10"/>
        </w:numPr>
        <w:spacing w:line="360" w:lineRule="auto"/>
        <w:jc w:val="both"/>
        <w:rPr>
          <w:rStyle w:val="Strong"/>
          <w:rFonts w:ascii="Arial" w:hAnsi="Arial" w:cs="Arial"/>
          <w:sz w:val="22"/>
          <w:szCs w:val="22"/>
        </w:rPr>
      </w:pPr>
      <w:r w:rsidRPr="00AD1B9B">
        <w:rPr>
          <w:rStyle w:val="Strong"/>
          <w:rFonts w:ascii="Arial" w:eastAsia="Calibri Light" w:hAnsi="Arial" w:cs="Arial"/>
        </w:rPr>
        <w:t>Theoretical Framework</w:t>
      </w:r>
      <w:r w:rsidRPr="00AD1B9B">
        <w:rPr>
          <w:rStyle w:val="Strong"/>
          <w:rFonts w:ascii="Arial" w:eastAsia="Calibri Light" w:hAnsi="Arial" w:cs="Arial"/>
          <w:sz w:val="22"/>
          <w:szCs w:val="22"/>
        </w:rPr>
        <w:t>:</w:t>
      </w:r>
    </w:p>
    <w:p w14:paraId="61B0065D" w14:textId="77777777" w:rsidR="001034B3" w:rsidRPr="00EB2901" w:rsidRDefault="00D939A0" w:rsidP="00EB2901">
      <w:pPr>
        <w:pStyle w:val="NormalWeb"/>
        <w:spacing w:line="360" w:lineRule="auto"/>
        <w:jc w:val="both"/>
        <w:rPr>
          <w:rFonts w:ascii="Arial" w:hAnsi="Arial" w:cs="Arial"/>
        </w:rPr>
      </w:pPr>
      <w:r w:rsidRPr="00EB2901">
        <w:rPr>
          <w:rStyle w:val="Strong"/>
          <w:rFonts w:ascii="Arial" w:hAnsi="Arial" w:cs="Arial"/>
        </w:rPr>
        <w:t>Intersectionality Theory (Crenshaw, 1989)</w:t>
      </w:r>
      <w:r w:rsidR="00284004" w:rsidRPr="00EB2901">
        <w:rPr>
          <w:rFonts w:ascii="Arial" w:hAnsi="Arial" w:cs="Arial"/>
        </w:rPr>
        <w:t xml:space="preserve">. </w:t>
      </w:r>
    </w:p>
    <w:p w14:paraId="16965313" w14:textId="369F34FC" w:rsidR="00D939A0" w:rsidRPr="00EB2901" w:rsidRDefault="00284004" w:rsidP="00CB7C3F">
      <w:pPr>
        <w:pStyle w:val="NormalWeb"/>
        <w:spacing w:line="360" w:lineRule="auto"/>
        <w:jc w:val="both"/>
        <w:rPr>
          <w:rFonts w:ascii="Arial" w:hAnsi="Arial" w:cs="Arial"/>
          <w:sz w:val="22"/>
          <w:szCs w:val="22"/>
        </w:rPr>
      </w:pPr>
      <w:r w:rsidRPr="00EB2901">
        <w:rPr>
          <w:rFonts w:ascii="Arial" w:hAnsi="Arial" w:cs="Arial"/>
          <w:sz w:val="22"/>
          <w:szCs w:val="22"/>
        </w:rPr>
        <w:t>This</w:t>
      </w:r>
      <w:r w:rsidR="00CB7C3F">
        <w:rPr>
          <w:rFonts w:ascii="Arial" w:hAnsi="Arial" w:cs="Arial"/>
          <w:sz w:val="22"/>
          <w:szCs w:val="22"/>
        </w:rPr>
        <w:t xml:space="preserve"> </w:t>
      </w:r>
      <w:r w:rsidR="00D939A0" w:rsidRPr="00EB2901">
        <w:rPr>
          <w:rFonts w:ascii="Arial" w:hAnsi="Arial" w:cs="Arial"/>
          <w:sz w:val="22"/>
          <w:szCs w:val="22"/>
        </w:rPr>
        <w:t xml:space="preserve">dissertation links intersectionality to systemic </w:t>
      </w:r>
      <w:r w:rsidR="001034B3" w:rsidRPr="00EB2901">
        <w:rPr>
          <w:rFonts w:ascii="Arial" w:hAnsi="Arial" w:cs="Arial"/>
          <w:sz w:val="22"/>
          <w:szCs w:val="22"/>
        </w:rPr>
        <w:t>disadvantage</w:t>
      </w:r>
      <w:r w:rsidR="00D939A0" w:rsidRPr="00EB2901">
        <w:rPr>
          <w:rFonts w:ascii="Arial" w:hAnsi="Arial" w:cs="Arial"/>
          <w:sz w:val="22"/>
          <w:szCs w:val="22"/>
        </w:rPr>
        <w:t xml:space="preserve"> stemming from overlapping identities. </w:t>
      </w:r>
      <w:r w:rsidR="00D939A0" w:rsidRPr="00EB2901">
        <w:rPr>
          <w:rFonts w:ascii="Arial" w:hAnsi="Arial" w:cs="Arial"/>
          <w:sz w:val="22"/>
          <w:szCs w:val="22"/>
        </w:rPr>
        <w:br/>
        <w:t xml:space="preserve">This theory reframes barriers away from “cultural limitation” toward </w:t>
      </w:r>
      <w:r w:rsidR="00D939A0" w:rsidRPr="00EB2901">
        <w:rPr>
          <w:rStyle w:val="Emphasis"/>
          <w:rFonts w:ascii="Arial" w:eastAsiaTheme="majorEastAsia" w:hAnsi="Arial" w:cs="Arial"/>
          <w:sz w:val="22"/>
          <w:szCs w:val="22"/>
        </w:rPr>
        <w:t>structural discrimination</w:t>
      </w:r>
      <w:r w:rsidR="00D939A0" w:rsidRPr="00EB2901">
        <w:rPr>
          <w:rFonts w:ascii="Arial" w:hAnsi="Arial" w:cs="Arial"/>
          <w:sz w:val="22"/>
          <w:szCs w:val="22"/>
        </w:rPr>
        <w:t>.</w:t>
      </w:r>
    </w:p>
    <w:p w14:paraId="5C5C5DC1" w14:textId="42D530F5" w:rsidR="009F2C89" w:rsidRPr="00EB2901" w:rsidRDefault="002E7CD5" w:rsidP="00CB7C3F">
      <w:pPr>
        <w:pStyle w:val="NormalWeb"/>
        <w:spacing w:line="360" w:lineRule="auto"/>
        <w:jc w:val="both"/>
        <w:rPr>
          <w:rFonts w:ascii="Arial" w:hAnsi="Arial" w:cs="Arial"/>
          <w:sz w:val="22"/>
          <w:szCs w:val="22"/>
        </w:rPr>
      </w:pPr>
      <w:r w:rsidRPr="00EB2901">
        <w:rPr>
          <w:rFonts w:ascii="Arial" w:hAnsi="Arial" w:cs="Arial"/>
          <w:sz w:val="22"/>
          <w:szCs w:val="22"/>
        </w:rPr>
        <w:t>Theme 2 ties together structural and cultural barriers by showing that ethnic minority communities are not merely “hard to reach” but are instead structurally disadvantaged across multiple dimensions of identity. It reveals why reforms must move beyond awareness</w:t>
      </w:r>
    </w:p>
    <w:p w14:paraId="035FC82E" w14:textId="5D2EC022" w:rsidR="00AD338F" w:rsidRPr="00F00FC4" w:rsidRDefault="002E7CD5" w:rsidP="00CB7C3F">
      <w:pPr>
        <w:pStyle w:val="NormalWeb"/>
        <w:spacing w:line="360" w:lineRule="auto"/>
        <w:jc w:val="both"/>
        <w:rPr>
          <w:rFonts w:ascii="Arial" w:hAnsi="Arial" w:cs="Arial"/>
          <w:sz w:val="22"/>
          <w:szCs w:val="22"/>
        </w:rPr>
      </w:pPr>
      <w:r w:rsidRPr="00EB2901">
        <w:rPr>
          <w:rFonts w:ascii="Arial" w:hAnsi="Arial" w:cs="Arial"/>
          <w:sz w:val="22"/>
          <w:szCs w:val="22"/>
        </w:rPr>
        <w:t>campaigns and opt</w:t>
      </w:r>
      <w:r w:rsidRPr="00EB2901">
        <w:rPr>
          <w:rFonts w:ascii="Arial" w:hAnsi="Arial" w:cs="Arial"/>
          <w:sz w:val="22"/>
          <w:szCs w:val="22"/>
        </w:rPr>
        <w:noBreakHyphen/>
        <w:t xml:space="preserve">out systems to address systemic inequalities and </w:t>
      </w:r>
      <w:r w:rsidR="00712321" w:rsidRPr="00EB2901">
        <w:rPr>
          <w:rFonts w:ascii="Arial" w:hAnsi="Arial" w:cs="Arial"/>
          <w:sz w:val="22"/>
          <w:szCs w:val="22"/>
        </w:rPr>
        <w:t xml:space="preserve">the </w:t>
      </w:r>
      <w:r w:rsidRPr="00EB2901">
        <w:rPr>
          <w:rFonts w:ascii="Arial" w:hAnsi="Arial" w:cs="Arial"/>
          <w:sz w:val="22"/>
          <w:szCs w:val="22"/>
        </w:rPr>
        <w:t>lived experiences of marginalisation.</w:t>
      </w:r>
    </w:p>
    <w:p w14:paraId="074129F6" w14:textId="6DDE473C" w:rsidR="00A37A6F" w:rsidRPr="00EB2901" w:rsidRDefault="002018D6" w:rsidP="00CB7C3F">
      <w:pPr>
        <w:pStyle w:val="NormalWeb"/>
        <w:spacing w:line="360" w:lineRule="auto"/>
        <w:jc w:val="both"/>
        <w:rPr>
          <w:rFonts w:ascii="Arial" w:hAnsi="Arial" w:cs="Arial"/>
          <w:b/>
          <w:bCs/>
        </w:rPr>
      </w:pPr>
      <w:r w:rsidRPr="00EB2901">
        <w:rPr>
          <w:rFonts w:ascii="Arial" w:hAnsi="Arial" w:cs="Arial"/>
          <w:b/>
          <w:bCs/>
        </w:rPr>
        <w:t>Health Belief Model</w:t>
      </w:r>
      <w:r w:rsidR="00FB45D3" w:rsidRPr="00EB2901">
        <w:rPr>
          <w:rFonts w:ascii="Arial" w:hAnsi="Arial" w:cs="Arial"/>
          <w:b/>
          <w:bCs/>
        </w:rPr>
        <w:t xml:space="preserve"> (HBM)</w:t>
      </w:r>
    </w:p>
    <w:p w14:paraId="10926999" w14:textId="0B295109" w:rsidR="000300D4" w:rsidRPr="00EB2901" w:rsidRDefault="001E20FC" w:rsidP="00CB7C3F">
      <w:pPr>
        <w:pStyle w:val="NormalWeb"/>
        <w:spacing w:line="360" w:lineRule="auto"/>
        <w:jc w:val="both"/>
        <w:rPr>
          <w:rFonts w:ascii="Arial" w:hAnsi="Arial" w:cs="Arial"/>
          <w:sz w:val="22"/>
          <w:szCs w:val="22"/>
        </w:rPr>
      </w:pPr>
      <w:r w:rsidRPr="00EB2901">
        <w:rPr>
          <w:rFonts w:ascii="Arial" w:hAnsi="Arial" w:cs="Arial"/>
          <w:sz w:val="22"/>
          <w:szCs w:val="22"/>
        </w:rPr>
        <w:t>While Theme 1 uses HBM, Theme 2 shows how intersectional pressures influence the “perceived barriers” and “cues to action” identified by the model.</w:t>
      </w:r>
    </w:p>
    <w:p w14:paraId="42360F31" w14:textId="117593AF" w:rsidR="00503725" w:rsidRPr="00EB2901" w:rsidRDefault="00C92959" w:rsidP="00CB7C3F">
      <w:pPr>
        <w:pStyle w:val="NormalWeb"/>
        <w:spacing w:line="360" w:lineRule="auto"/>
        <w:jc w:val="both"/>
        <w:rPr>
          <w:rFonts w:ascii="Arial" w:hAnsi="Arial" w:cs="Arial"/>
          <w:b/>
          <w:bCs/>
        </w:rPr>
      </w:pPr>
      <w:r w:rsidRPr="00EB2901">
        <w:rPr>
          <w:rFonts w:ascii="Arial" w:hAnsi="Arial" w:cs="Arial"/>
          <w:b/>
          <w:bCs/>
        </w:rPr>
        <w:t xml:space="preserve"> </w:t>
      </w:r>
      <w:r w:rsidR="00431EE6" w:rsidRPr="00EB2901">
        <w:rPr>
          <w:rFonts w:ascii="Arial" w:hAnsi="Arial" w:cs="Arial"/>
          <w:b/>
          <w:bCs/>
        </w:rPr>
        <w:t>Polic</w:t>
      </w:r>
      <w:r w:rsidR="00B10E9F" w:rsidRPr="00EB2901">
        <w:rPr>
          <w:rFonts w:ascii="Arial" w:hAnsi="Arial" w:cs="Arial"/>
          <w:b/>
          <w:bCs/>
        </w:rPr>
        <w:t>ies</w:t>
      </w:r>
      <w:r w:rsidR="00C12486" w:rsidRPr="00EB2901">
        <w:rPr>
          <w:rFonts w:ascii="Arial" w:hAnsi="Arial" w:cs="Arial"/>
          <w:b/>
          <w:bCs/>
        </w:rPr>
        <w:t>, Legislation</w:t>
      </w:r>
    </w:p>
    <w:p w14:paraId="7A011957" w14:textId="3185FA7F" w:rsidR="001175AD" w:rsidRPr="00EB2901" w:rsidRDefault="00414432" w:rsidP="00CB7C3F">
      <w:pPr>
        <w:pStyle w:val="NormalWeb"/>
        <w:spacing w:line="360" w:lineRule="auto"/>
        <w:jc w:val="both"/>
        <w:rPr>
          <w:rFonts w:ascii="Arial" w:hAnsi="Arial" w:cs="Arial"/>
          <w:sz w:val="22"/>
          <w:szCs w:val="22"/>
        </w:rPr>
      </w:pPr>
      <w:r w:rsidRPr="00EB2901">
        <w:rPr>
          <w:rFonts w:ascii="Arial" w:hAnsi="Arial" w:cs="Arial"/>
          <w:b/>
          <w:bCs/>
        </w:rPr>
        <w:t>E</w:t>
      </w:r>
      <w:r w:rsidR="00DA3531" w:rsidRPr="00EB2901">
        <w:rPr>
          <w:rFonts w:ascii="Arial" w:hAnsi="Arial" w:cs="Arial"/>
          <w:b/>
          <w:bCs/>
        </w:rPr>
        <w:t>quality Act 2010</w:t>
      </w:r>
      <w:r w:rsidR="009531BD" w:rsidRPr="00EB2901">
        <w:rPr>
          <w:rFonts w:ascii="Arial" w:hAnsi="Arial" w:cs="Arial"/>
          <w:b/>
          <w:bCs/>
        </w:rPr>
        <w:t xml:space="preserve">:  </w:t>
      </w:r>
      <w:r w:rsidR="009531BD" w:rsidRPr="00EB2901">
        <w:rPr>
          <w:rFonts w:ascii="Arial" w:hAnsi="Arial" w:cs="Arial"/>
          <w:sz w:val="22"/>
          <w:szCs w:val="22"/>
        </w:rPr>
        <w:t xml:space="preserve">The Equality Act 2010 provides a key legislative foundation for understanding structural barriers in access to blood and organ donation services. Within the dissertation text, the Act is described as imposing a </w:t>
      </w:r>
      <w:r w:rsidR="009531BD" w:rsidRPr="00EB2901">
        <w:rPr>
          <w:rFonts w:ascii="Arial" w:hAnsi="Arial" w:cs="Arial"/>
          <w:b/>
          <w:bCs/>
          <w:sz w:val="22"/>
          <w:szCs w:val="22"/>
        </w:rPr>
        <w:t>Public Sector Equality Duty</w:t>
      </w:r>
      <w:r w:rsidR="009531BD" w:rsidRPr="00EB2901">
        <w:rPr>
          <w:rFonts w:ascii="Arial" w:hAnsi="Arial" w:cs="Arial"/>
          <w:sz w:val="22"/>
          <w:szCs w:val="22"/>
        </w:rPr>
        <w:t xml:space="preserve"> (</w:t>
      </w:r>
      <w:r w:rsidR="009531BD" w:rsidRPr="00EB2901">
        <w:rPr>
          <w:rFonts w:ascii="Arial" w:hAnsi="Arial" w:cs="Arial"/>
          <w:b/>
          <w:bCs/>
          <w:sz w:val="22"/>
          <w:szCs w:val="22"/>
        </w:rPr>
        <w:t>PSED</w:t>
      </w:r>
      <w:r w:rsidR="009531BD" w:rsidRPr="00EB2901">
        <w:rPr>
          <w:rFonts w:ascii="Arial" w:hAnsi="Arial" w:cs="Arial"/>
          <w:sz w:val="22"/>
          <w:szCs w:val="22"/>
        </w:rPr>
        <w:t xml:space="preserve">) on the NHS, which requires public bodies to </w:t>
      </w:r>
      <w:r w:rsidR="009531BD" w:rsidRPr="00EB2901">
        <w:rPr>
          <w:rFonts w:ascii="Arial" w:hAnsi="Arial" w:cs="Arial"/>
          <w:i/>
          <w:iCs/>
          <w:sz w:val="22"/>
          <w:szCs w:val="22"/>
        </w:rPr>
        <w:t>proactively eliminate discrimination</w:t>
      </w:r>
      <w:r w:rsidR="009531BD" w:rsidRPr="00EB2901">
        <w:rPr>
          <w:rFonts w:ascii="Arial" w:hAnsi="Arial" w:cs="Arial"/>
          <w:sz w:val="22"/>
          <w:szCs w:val="22"/>
        </w:rPr>
        <w:t xml:space="preserve"> and </w:t>
      </w:r>
      <w:r w:rsidR="009531BD" w:rsidRPr="00EB2901">
        <w:rPr>
          <w:rFonts w:ascii="Arial" w:hAnsi="Arial" w:cs="Arial"/>
          <w:i/>
          <w:iCs/>
          <w:sz w:val="22"/>
          <w:szCs w:val="22"/>
        </w:rPr>
        <w:t>advance equality</w:t>
      </w:r>
      <w:r w:rsidR="009531BD" w:rsidRPr="00EB2901">
        <w:rPr>
          <w:rFonts w:ascii="Arial" w:hAnsi="Arial" w:cs="Arial"/>
          <w:sz w:val="22"/>
          <w:szCs w:val="22"/>
        </w:rPr>
        <w:t xml:space="preserve"> for individuals with protected characteristics, including race and religion.</w:t>
      </w:r>
      <w:r w:rsidR="007D4873">
        <w:rPr>
          <w:rFonts w:ascii="Arial" w:hAnsi="Arial" w:cs="Arial"/>
          <w:sz w:val="22"/>
          <w:szCs w:val="22"/>
        </w:rPr>
        <w:t xml:space="preserve">  </w:t>
      </w:r>
      <w:r w:rsidR="001175AD" w:rsidRPr="00EB2901">
        <w:rPr>
          <w:rFonts w:ascii="Arial" w:hAnsi="Arial" w:cs="Arial"/>
          <w:sz w:val="22"/>
          <w:szCs w:val="22"/>
        </w:rPr>
        <w:t xml:space="preserve">The Equality Act 2010 is crucial because it places </w:t>
      </w:r>
      <w:r w:rsidR="001175AD" w:rsidRPr="00EB2901">
        <w:rPr>
          <w:rFonts w:ascii="Arial" w:hAnsi="Arial" w:cs="Arial"/>
          <w:i/>
          <w:iCs/>
          <w:sz w:val="22"/>
          <w:szCs w:val="22"/>
        </w:rPr>
        <w:t>a legal obligation</w:t>
      </w:r>
      <w:r w:rsidR="001175AD" w:rsidRPr="00EB2901">
        <w:rPr>
          <w:rFonts w:ascii="Arial" w:hAnsi="Arial" w:cs="Arial"/>
          <w:sz w:val="22"/>
          <w:szCs w:val="22"/>
        </w:rPr>
        <w:t xml:space="preserve"> on NHS organisations to ensure that donation information is</w:t>
      </w:r>
      <w:r w:rsidR="007D4873">
        <w:rPr>
          <w:rFonts w:ascii="Arial" w:hAnsi="Arial" w:cs="Arial"/>
          <w:sz w:val="22"/>
          <w:szCs w:val="22"/>
        </w:rPr>
        <w:t>:</w:t>
      </w:r>
    </w:p>
    <w:p w14:paraId="17361286" w14:textId="20B30C65" w:rsidR="001175AD" w:rsidRPr="00EB2901" w:rsidRDefault="001175AD" w:rsidP="00EB2901">
      <w:pPr>
        <w:pStyle w:val="NormalWeb"/>
        <w:numPr>
          <w:ilvl w:val="0"/>
          <w:numId w:val="34"/>
        </w:numPr>
        <w:spacing w:line="360" w:lineRule="auto"/>
        <w:jc w:val="both"/>
        <w:rPr>
          <w:rFonts w:ascii="Arial" w:hAnsi="Arial" w:cs="Arial"/>
          <w:sz w:val="22"/>
          <w:szCs w:val="22"/>
        </w:rPr>
      </w:pPr>
      <w:r w:rsidRPr="00EB2901">
        <w:rPr>
          <w:rFonts w:ascii="Arial" w:hAnsi="Arial" w:cs="Arial"/>
          <w:sz w:val="22"/>
          <w:szCs w:val="22"/>
        </w:rPr>
        <w:t>Accessible</w:t>
      </w:r>
      <w:r w:rsidR="007D4873">
        <w:rPr>
          <w:rFonts w:ascii="Arial" w:hAnsi="Arial" w:cs="Arial"/>
          <w:sz w:val="22"/>
          <w:szCs w:val="22"/>
        </w:rPr>
        <w:t xml:space="preserve">                                                    </w:t>
      </w:r>
    </w:p>
    <w:p w14:paraId="10715229" w14:textId="77777777" w:rsidR="001175AD" w:rsidRPr="00EB2901" w:rsidRDefault="001175AD" w:rsidP="00EB2901">
      <w:pPr>
        <w:pStyle w:val="NormalWeb"/>
        <w:numPr>
          <w:ilvl w:val="0"/>
          <w:numId w:val="34"/>
        </w:numPr>
        <w:spacing w:line="360" w:lineRule="auto"/>
        <w:jc w:val="both"/>
        <w:rPr>
          <w:rFonts w:ascii="Arial" w:hAnsi="Arial" w:cs="Arial"/>
          <w:sz w:val="22"/>
          <w:szCs w:val="22"/>
        </w:rPr>
      </w:pPr>
      <w:r w:rsidRPr="00EB2901">
        <w:rPr>
          <w:rFonts w:ascii="Arial" w:hAnsi="Arial" w:cs="Arial"/>
          <w:sz w:val="22"/>
          <w:szCs w:val="22"/>
        </w:rPr>
        <w:t>Culturally appropriate</w:t>
      </w:r>
    </w:p>
    <w:p w14:paraId="05DF28E4" w14:textId="79708A3D" w:rsidR="007D4873" w:rsidRDefault="001175AD" w:rsidP="007D4873">
      <w:pPr>
        <w:pStyle w:val="NormalWeb"/>
        <w:numPr>
          <w:ilvl w:val="0"/>
          <w:numId w:val="34"/>
        </w:numPr>
        <w:spacing w:line="360" w:lineRule="auto"/>
        <w:jc w:val="both"/>
        <w:rPr>
          <w:rFonts w:ascii="Arial" w:hAnsi="Arial" w:cs="Arial"/>
          <w:sz w:val="22"/>
          <w:szCs w:val="22"/>
        </w:rPr>
      </w:pPr>
      <w:r w:rsidRPr="00EB2901">
        <w:rPr>
          <w:rFonts w:ascii="Arial" w:hAnsi="Arial" w:cs="Arial"/>
          <w:sz w:val="22"/>
          <w:szCs w:val="22"/>
        </w:rPr>
        <w:t>Non</w:t>
      </w:r>
      <w:r w:rsidRPr="00EB2901">
        <w:rPr>
          <w:rFonts w:ascii="Arial" w:hAnsi="Arial" w:cs="Arial"/>
          <w:sz w:val="22"/>
          <w:szCs w:val="22"/>
        </w:rPr>
        <w:noBreakHyphen/>
        <w:t>discriminatory</w:t>
      </w:r>
    </w:p>
    <w:p w14:paraId="1FF5D888" w14:textId="77777777" w:rsidR="007D4873" w:rsidRPr="007D4873" w:rsidRDefault="007D4873" w:rsidP="007D4873">
      <w:pPr>
        <w:pStyle w:val="NormalWeb"/>
        <w:spacing w:line="360" w:lineRule="auto"/>
        <w:ind w:left="720"/>
        <w:jc w:val="both"/>
        <w:rPr>
          <w:rFonts w:ascii="Arial" w:hAnsi="Arial" w:cs="Arial"/>
          <w:sz w:val="22"/>
          <w:szCs w:val="22"/>
        </w:rPr>
      </w:pPr>
    </w:p>
    <w:p w14:paraId="7C4D9647" w14:textId="77777777" w:rsidR="001175AD" w:rsidRPr="00EB2901" w:rsidRDefault="001175AD" w:rsidP="00EB2901">
      <w:pPr>
        <w:pStyle w:val="NormalWeb"/>
        <w:numPr>
          <w:ilvl w:val="0"/>
          <w:numId w:val="34"/>
        </w:numPr>
        <w:spacing w:line="360" w:lineRule="auto"/>
        <w:jc w:val="both"/>
        <w:rPr>
          <w:rFonts w:ascii="Arial" w:hAnsi="Arial" w:cs="Arial"/>
          <w:sz w:val="22"/>
          <w:szCs w:val="22"/>
        </w:rPr>
      </w:pPr>
      <w:r w:rsidRPr="00EB2901">
        <w:rPr>
          <w:rFonts w:ascii="Arial" w:hAnsi="Arial" w:cs="Arial"/>
          <w:sz w:val="22"/>
          <w:szCs w:val="22"/>
        </w:rPr>
        <w:t>Equitably delivered across communities</w:t>
      </w:r>
    </w:p>
    <w:p w14:paraId="549E8E86" w14:textId="1A772D2B" w:rsidR="002865F5" w:rsidRPr="00EB2901" w:rsidRDefault="001175AD" w:rsidP="00EB2901">
      <w:pPr>
        <w:pStyle w:val="NormalWeb"/>
        <w:spacing w:line="360" w:lineRule="auto"/>
        <w:jc w:val="both"/>
        <w:rPr>
          <w:rFonts w:ascii="Arial" w:hAnsi="Arial" w:cs="Arial"/>
          <w:sz w:val="22"/>
          <w:szCs w:val="22"/>
        </w:rPr>
      </w:pPr>
      <w:r w:rsidRPr="00EB2901">
        <w:rPr>
          <w:rFonts w:ascii="Arial" w:hAnsi="Arial" w:cs="Arial"/>
          <w:sz w:val="22"/>
          <w:szCs w:val="22"/>
        </w:rPr>
        <w:t>The Act directly connects to Theme 1 and Theme 2</w:t>
      </w:r>
      <w:r w:rsidR="00A668AF" w:rsidRPr="00EB2901">
        <w:rPr>
          <w:rFonts w:ascii="Arial" w:hAnsi="Arial" w:cs="Arial"/>
          <w:sz w:val="22"/>
          <w:szCs w:val="22"/>
        </w:rPr>
        <w:t>,</w:t>
      </w:r>
      <w:r w:rsidRPr="00EB2901">
        <w:rPr>
          <w:rFonts w:ascii="Arial" w:hAnsi="Arial" w:cs="Arial"/>
          <w:sz w:val="22"/>
          <w:szCs w:val="22"/>
        </w:rPr>
        <w:t xml:space="preserve"> </w:t>
      </w:r>
      <w:r w:rsidR="008C6BA5" w:rsidRPr="00EB2901">
        <w:rPr>
          <w:rFonts w:ascii="Arial" w:hAnsi="Arial" w:cs="Arial"/>
          <w:sz w:val="22"/>
          <w:szCs w:val="22"/>
        </w:rPr>
        <w:t>as</w:t>
      </w:r>
      <w:r w:rsidRPr="00EB2901">
        <w:rPr>
          <w:rFonts w:ascii="Arial" w:hAnsi="Arial" w:cs="Arial"/>
          <w:sz w:val="22"/>
          <w:szCs w:val="22"/>
        </w:rPr>
        <w:t xml:space="preserve"> when NHSBT communication materials are not translated, not culturally adapted, or delivered in ways that minority families cannot easily access, this may constitute a breach of PSED. </w:t>
      </w:r>
      <w:r w:rsidR="008813BC" w:rsidRPr="00EB2901">
        <w:rPr>
          <w:rFonts w:ascii="Arial" w:hAnsi="Arial" w:cs="Arial"/>
          <w:sz w:val="22"/>
          <w:szCs w:val="22"/>
        </w:rPr>
        <w:t xml:space="preserve">A </w:t>
      </w:r>
      <w:r w:rsidRPr="00EB2901">
        <w:rPr>
          <w:rFonts w:ascii="Arial" w:hAnsi="Arial" w:cs="Arial"/>
          <w:sz w:val="22"/>
          <w:szCs w:val="22"/>
        </w:rPr>
        <w:t xml:space="preserve">lack of accessible information disadvantages minority groups and highlights the need for “reasonable adjustments,” such as translation and culturally tailored messaging. </w:t>
      </w:r>
    </w:p>
    <w:p w14:paraId="092DFBA6" w14:textId="77777777" w:rsidR="00D4277C" w:rsidRDefault="002865F5" w:rsidP="00EB2901">
      <w:pPr>
        <w:spacing w:before="100" w:beforeAutospacing="1" w:after="100" w:afterAutospacing="1"/>
        <w:rPr>
          <w:rStyle w:val="Strong"/>
          <w:rFonts w:ascii="Arial" w:hAnsi="Arial" w:cs="Arial"/>
          <w:b w:val="0"/>
          <w:bCs w:val="0"/>
        </w:rPr>
      </w:pPr>
      <w:r w:rsidRPr="00EB2901">
        <w:rPr>
          <w:rStyle w:val="Strong"/>
          <w:rFonts w:ascii="Arial" w:hAnsi="Arial" w:cs="Arial"/>
        </w:rPr>
        <w:t>Positive and Negative Implications</w:t>
      </w:r>
      <w:r w:rsidRPr="00EB2901">
        <w:rPr>
          <w:rStyle w:val="Strong"/>
          <w:rFonts w:ascii="Arial" w:hAnsi="Arial" w:cs="Arial"/>
          <w:b w:val="0"/>
          <w:bCs w:val="0"/>
        </w:rPr>
        <w:t>:</w:t>
      </w:r>
      <w:r w:rsidR="00D4277C">
        <w:rPr>
          <w:rStyle w:val="Strong"/>
          <w:rFonts w:ascii="Arial" w:hAnsi="Arial" w:cs="Arial"/>
          <w:b w:val="0"/>
          <w:bCs w:val="0"/>
        </w:rPr>
        <w:t xml:space="preserve"> </w:t>
      </w:r>
    </w:p>
    <w:p w14:paraId="102A5AA7" w14:textId="22D60FEF" w:rsidR="006552CF" w:rsidRPr="00EB2901" w:rsidRDefault="006552CF" w:rsidP="00EB2901">
      <w:pPr>
        <w:spacing w:before="100" w:beforeAutospacing="1" w:after="100" w:afterAutospacing="1"/>
        <w:rPr>
          <w:rStyle w:val="Strong"/>
          <w:rFonts w:ascii="Arial" w:hAnsi="Arial" w:cs="Arial"/>
        </w:rPr>
      </w:pPr>
      <w:r w:rsidRPr="00EB2901">
        <w:rPr>
          <w:rStyle w:val="Strong"/>
          <w:rFonts w:ascii="Arial" w:hAnsi="Arial" w:cs="Arial"/>
        </w:rPr>
        <w:t>Positive Implications</w:t>
      </w:r>
      <w:r w:rsidR="00453FC4" w:rsidRPr="00EB2901">
        <w:rPr>
          <w:rStyle w:val="Strong"/>
          <w:rFonts w:ascii="Arial" w:hAnsi="Arial" w:cs="Arial"/>
        </w:rPr>
        <w:t>:</w:t>
      </w:r>
    </w:p>
    <w:p w14:paraId="40A1DC20" w14:textId="2F2C9EE6" w:rsidR="00FA354C" w:rsidRPr="00EB2901" w:rsidRDefault="00FA354C" w:rsidP="00EB2901">
      <w:pPr>
        <w:spacing w:before="100" w:beforeAutospacing="1" w:after="100" w:afterAutospacing="1"/>
        <w:rPr>
          <w:rStyle w:val="Strong"/>
          <w:rFonts w:ascii="Arial" w:hAnsi="Arial" w:cs="Arial"/>
        </w:rPr>
      </w:pPr>
      <w:r w:rsidRPr="00EB2901">
        <w:rPr>
          <w:rStyle w:val="Strong"/>
          <w:rFonts w:ascii="Arial" w:hAnsi="Arial" w:cs="Arial"/>
          <w:b w:val="0"/>
          <w:bCs w:val="0"/>
        </w:rPr>
        <w:t>Recognising intersectional</w:t>
      </w:r>
      <w:r w:rsidR="00640287" w:rsidRPr="00EB2901">
        <w:rPr>
          <w:rStyle w:val="Strong"/>
          <w:rFonts w:ascii="Arial" w:hAnsi="Arial" w:cs="Arial"/>
          <w:b w:val="0"/>
          <w:bCs w:val="0"/>
        </w:rPr>
        <w:t xml:space="preserve"> barriers helps </w:t>
      </w:r>
      <w:r w:rsidR="00954D81" w:rsidRPr="00EB2901">
        <w:rPr>
          <w:rStyle w:val="Strong"/>
          <w:rFonts w:ascii="Arial" w:hAnsi="Arial" w:cs="Arial"/>
          <w:b w:val="0"/>
          <w:bCs w:val="0"/>
        </w:rPr>
        <w:t xml:space="preserve">tailor interventions more precisely to </w:t>
      </w:r>
      <w:r w:rsidR="000A07BB" w:rsidRPr="00EB2901">
        <w:rPr>
          <w:rStyle w:val="Strong"/>
          <w:rFonts w:ascii="Arial" w:hAnsi="Arial" w:cs="Arial"/>
          <w:b w:val="0"/>
          <w:bCs w:val="0"/>
        </w:rPr>
        <w:t>communities’</w:t>
      </w:r>
      <w:r w:rsidR="00C013DC" w:rsidRPr="00EB2901">
        <w:rPr>
          <w:rStyle w:val="Strong"/>
          <w:rFonts w:ascii="Arial" w:hAnsi="Arial" w:cs="Arial"/>
          <w:b w:val="0"/>
          <w:bCs w:val="0"/>
        </w:rPr>
        <w:t xml:space="preserve"> lived experiences.</w:t>
      </w:r>
    </w:p>
    <w:p w14:paraId="224F8D69" w14:textId="1E060207" w:rsidR="003A038D" w:rsidRPr="00EB2901" w:rsidRDefault="00C013DC" w:rsidP="00EB2901">
      <w:pPr>
        <w:spacing w:before="100" w:beforeAutospacing="1" w:after="100" w:afterAutospacing="1"/>
        <w:rPr>
          <w:rStyle w:val="Strong"/>
          <w:rFonts w:ascii="Arial" w:hAnsi="Arial" w:cs="Arial"/>
          <w:b w:val="0"/>
          <w:bCs w:val="0"/>
        </w:rPr>
      </w:pPr>
      <w:r w:rsidRPr="00EB2901">
        <w:rPr>
          <w:rStyle w:val="Strong"/>
          <w:rFonts w:ascii="Arial" w:hAnsi="Arial" w:cs="Arial"/>
        </w:rPr>
        <w:t xml:space="preserve">NHSBT </w:t>
      </w:r>
      <w:r w:rsidRPr="00EB2901">
        <w:rPr>
          <w:rStyle w:val="Strong"/>
          <w:rFonts w:ascii="Arial" w:hAnsi="Arial" w:cs="Arial"/>
          <w:b w:val="0"/>
          <w:bCs w:val="0"/>
        </w:rPr>
        <w:t>can develop improved pathways</w:t>
      </w:r>
      <w:r w:rsidR="00EB7AF5" w:rsidRPr="00EB2901">
        <w:rPr>
          <w:rStyle w:val="Strong"/>
          <w:rFonts w:ascii="Arial" w:hAnsi="Arial" w:cs="Arial"/>
          <w:b w:val="0"/>
          <w:bCs w:val="0"/>
        </w:rPr>
        <w:t xml:space="preserve"> that address multiple needs simultan</w:t>
      </w:r>
      <w:r w:rsidR="00EB1698" w:rsidRPr="00EB2901">
        <w:rPr>
          <w:rStyle w:val="Strong"/>
          <w:rFonts w:ascii="Arial" w:hAnsi="Arial" w:cs="Arial"/>
          <w:b w:val="0"/>
          <w:bCs w:val="0"/>
        </w:rPr>
        <w:t xml:space="preserve">eously (e.g., translated materials </w:t>
      </w:r>
      <w:r w:rsidR="00643082" w:rsidRPr="00EB2901">
        <w:rPr>
          <w:rStyle w:val="Strong"/>
          <w:rFonts w:ascii="Arial" w:hAnsi="Arial" w:cs="Arial"/>
          <w:b w:val="0"/>
          <w:bCs w:val="0"/>
        </w:rPr>
        <w:t>+ digital access support).</w:t>
      </w:r>
    </w:p>
    <w:p w14:paraId="15C643DA" w14:textId="00116251" w:rsidR="00D504F9" w:rsidRPr="00EB2901" w:rsidRDefault="00E54236" w:rsidP="00EB2901">
      <w:pPr>
        <w:spacing w:before="100" w:beforeAutospacing="1" w:after="100" w:afterAutospacing="1"/>
        <w:rPr>
          <w:rFonts w:ascii="Arial" w:hAnsi="Arial" w:cs="Arial"/>
        </w:rPr>
      </w:pPr>
      <w:r w:rsidRPr="00EB2901">
        <w:rPr>
          <w:rFonts w:ascii="Arial" w:hAnsi="Arial" w:cs="Arial"/>
        </w:rPr>
        <w:t>Strengthens</w:t>
      </w:r>
      <w:r w:rsidR="00624814" w:rsidRPr="00EB2901">
        <w:rPr>
          <w:rFonts w:ascii="Arial" w:hAnsi="Arial" w:cs="Arial"/>
        </w:rPr>
        <w:t xml:space="preserve"> advocacy </w:t>
      </w:r>
      <w:r w:rsidR="00DF28BA" w:rsidRPr="00EB2901">
        <w:rPr>
          <w:rFonts w:ascii="Arial" w:hAnsi="Arial" w:cs="Arial"/>
        </w:rPr>
        <w:t>for specialised community-based approaches, such as partnerships</w:t>
      </w:r>
      <w:r w:rsidRPr="00EB2901">
        <w:rPr>
          <w:rFonts w:ascii="Arial" w:hAnsi="Arial" w:cs="Arial"/>
        </w:rPr>
        <w:t xml:space="preserve"> with cultural organisations and mi</w:t>
      </w:r>
      <w:r w:rsidR="00B82CA7" w:rsidRPr="00EB2901">
        <w:rPr>
          <w:rFonts w:ascii="Arial" w:hAnsi="Arial" w:cs="Arial"/>
        </w:rPr>
        <w:t>grant support groups</w:t>
      </w:r>
      <w:r w:rsidR="0082788D" w:rsidRPr="00EB2901">
        <w:rPr>
          <w:rFonts w:ascii="Arial" w:hAnsi="Arial" w:cs="Arial"/>
        </w:rPr>
        <w:t>.</w:t>
      </w:r>
    </w:p>
    <w:p w14:paraId="6C576C7A" w14:textId="3EA8A851" w:rsidR="000F3284" w:rsidRPr="00EB2901" w:rsidRDefault="000F3284" w:rsidP="00EB2901">
      <w:pPr>
        <w:spacing w:before="100" w:beforeAutospacing="1" w:after="100" w:afterAutospacing="1"/>
        <w:rPr>
          <w:rFonts w:ascii="Arial" w:hAnsi="Arial" w:cs="Arial"/>
        </w:rPr>
      </w:pPr>
      <w:r w:rsidRPr="00EB2901">
        <w:rPr>
          <w:rFonts w:ascii="Arial" w:hAnsi="Arial" w:cs="Arial"/>
        </w:rPr>
        <w:t>S</w:t>
      </w:r>
      <w:r w:rsidR="004E2441" w:rsidRPr="00EB2901">
        <w:rPr>
          <w:rFonts w:ascii="Arial" w:hAnsi="Arial" w:cs="Arial"/>
        </w:rPr>
        <w:t xml:space="preserve">trengthens </w:t>
      </w:r>
      <w:r w:rsidR="00CF0A30" w:rsidRPr="00EB2901">
        <w:rPr>
          <w:rFonts w:ascii="Arial" w:hAnsi="Arial" w:cs="Arial"/>
        </w:rPr>
        <w:t>accountability.</w:t>
      </w:r>
      <w:r w:rsidRPr="00EB2901">
        <w:rPr>
          <w:rFonts w:ascii="Arial" w:hAnsi="Arial" w:cs="Arial"/>
        </w:rPr>
        <w:t xml:space="preserve"> </w:t>
      </w:r>
      <w:r w:rsidRPr="00EB2901">
        <w:rPr>
          <w:rFonts w:ascii="Arial" w:hAnsi="Arial" w:cs="Arial"/>
          <w:b/>
          <w:bCs/>
        </w:rPr>
        <w:t>NHSBT</w:t>
      </w:r>
      <w:r w:rsidRPr="00EB2901">
        <w:rPr>
          <w:rFonts w:ascii="Arial" w:hAnsi="Arial" w:cs="Arial"/>
        </w:rPr>
        <w:t xml:space="preserve"> and clinical staff are legally required to consider race and religion when designing donation campaigns.</w:t>
      </w:r>
    </w:p>
    <w:p w14:paraId="756AA4B5" w14:textId="41EAF4AD" w:rsidR="0080496E" w:rsidRPr="00EB2901" w:rsidRDefault="00D61CAF" w:rsidP="00EB2901">
      <w:pPr>
        <w:spacing w:before="100" w:beforeAutospacing="1" w:after="100" w:afterAutospacing="1"/>
        <w:rPr>
          <w:rFonts w:ascii="Arial" w:hAnsi="Arial" w:cs="Arial"/>
        </w:rPr>
      </w:pPr>
      <w:r w:rsidRPr="00EB2901">
        <w:rPr>
          <w:rFonts w:ascii="Arial" w:hAnsi="Arial" w:cs="Arial"/>
          <w:b/>
          <w:bCs/>
        </w:rPr>
        <w:t>Mandates equal access</w:t>
      </w:r>
      <w:r w:rsidRPr="00EB2901">
        <w:rPr>
          <w:rFonts w:ascii="Arial" w:hAnsi="Arial" w:cs="Arial"/>
        </w:rPr>
        <w:t>: Helps reduce systemic inequalities in registration, awareness, and consent rates.</w:t>
      </w:r>
    </w:p>
    <w:p w14:paraId="384E0B40" w14:textId="5DDA2B91" w:rsidR="0082788D" w:rsidRPr="00EB2901" w:rsidRDefault="0082788D" w:rsidP="00EB2901">
      <w:pPr>
        <w:spacing w:before="100" w:beforeAutospacing="1" w:after="100" w:afterAutospacing="1"/>
        <w:rPr>
          <w:rFonts w:ascii="Arial" w:hAnsi="Arial" w:cs="Arial"/>
          <w:b/>
          <w:bCs/>
        </w:rPr>
      </w:pPr>
      <w:r w:rsidRPr="00EB2901">
        <w:rPr>
          <w:rFonts w:ascii="Arial" w:hAnsi="Arial" w:cs="Arial"/>
          <w:b/>
          <w:bCs/>
        </w:rPr>
        <w:t>Negative Implications</w:t>
      </w:r>
      <w:r w:rsidR="006552CF" w:rsidRPr="00EB2901">
        <w:rPr>
          <w:rFonts w:ascii="Arial" w:hAnsi="Arial" w:cs="Arial"/>
          <w:b/>
          <w:bCs/>
        </w:rPr>
        <w:t>:</w:t>
      </w:r>
    </w:p>
    <w:p w14:paraId="3230232D" w14:textId="451B1067" w:rsidR="00737B50" w:rsidRPr="00EB2901" w:rsidRDefault="00737B50" w:rsidP="00EB2901">
      <w:pPr>
        <w:spacing w:before="100" w:beforeAutospacing="1" w:after="100" w:afterAutospacing="1"/>
        <w:rPr>
          <w:rFonts w:ascii="Arial" w:hAnsi="Arial" w:cs="Arial"/>
        </w:rPr>
      </w:pPr>
      <w:r w:rsidRPr="00EB2901">
        <w:rPr>
          <w:rFonts w:ascii="Arial" w:hAnsi="Arial" w:cs="Arial"/>
        </w:rPr>
        <w:t xml:space="preserve">Intersectional disadvantage is complex and difficult to address with “one size fits all” interventions. </w:t>
      </w:r>
    </w:p>
    <w:p w14:paraId="7BC2496A" w14:textId="38B440E4" w:rsidR="00737B50" w:rsidRPr="00EB2901" w:rsidRDefault="00737B50" w:rsidP="00EB2901">
      <w:pPr>
        <w:spacing w:before="100" w:beforeAutospacing="1" w:after="100" w:afterAutospacing="1"/>
        <w:rPr>
          <w:rFonts w:ascii="Arial" w:hAnsi="Arial" w:cs="Arial"/>
        </w:rPr>
      </w:pPr>
      <w:r w:rsidRPr="00EB2901">
        <w:rPr>
          <w:rFonts w:ascii="Arial" w:hAnsi="Arial" w:cs="Arial"/>
        </w:rPr>
        <w:t xml:space="preserve">Intersecting forms of discrimination can make families distrust clinical staff, especially during emotionally intense consent conversations. </w:t>
      </w:r>
    </w:p>
    <w:p w14:paraId="67876011" w14:textId="7A8DC316" w:rsidR="00737B50" w:rsidRPr="00EB2901" w:rsidRDefault="00737B50" w:rsidP="00EB2901">
      <w:pPr>
        <w:spacing w:before="100" w:beforeAutospacing="1" w:after="100" w:afterAutospacing="1"/>
        <w:rPr>
          <w:rFonts w:ascii="Arial" w:hAnsi="Arial" w:cs="Arial"/>
        </w:rPr>
      </w:pPr>
      <w:r w:rsidRPr="00EB2901">
        <w:rPr>
          <w:rFonts w:ascii="Arial" w:hAnsi="Arial" w:cs="Arial"/>
        </w:rPr>
        <w:t xml:space="preserve">Crisis events (e.g., pandemics) disproportionately harm minority communities, reversing progress in donation engagement. </w:t>
      </w:r>
    </w:p>
    <w:p w14:paraId="62323BA5" w14:textId="77777777" w:rsidR="005212F7" w:rsidRDefault="005212F7" w:rsidP="00EB2901">
      <w:pPr>
        <w:spacing w:before="100" w:beforeAutospacing="1" w:after="100" w:afterAutospacing="1"/>
        <w:rPr>
          <w:rFonts w:ascii="Arial" w:hAnsi="Arial" w:cs="Arial"/>
        </w:rPr>
      </w:pPr>
    </w:p>
    <w:p w14:paraId="43AA75E6" w14:textId="77777777" w:rsidR="005212F7" w:rsidRDefault="005212F7" w:rsidP="00EB2901">
      <w:pPr>
        <w:spacing w:before="100" w:beforeAutospacing="1" w:after="100" w:afterAutospacing="1"/>
        <w:rPr>
          <w:rFonts w:ascii="Arial" w:hAnsi="Arial" w:cs="Arial"/>
        </w:rPr>
      </w:pPr>
    </w:p>
    <w:p w14:paraId="308F1EA9" w14:textId="3C271DAE" w:rsidR="00313DE0" w:rsidRPr="00EB2901" w:rsidRDefault="00737B50" w:rsidP="00EB2901">
      <w:pPr>
        <w:spacing w:before="100" w:beforeAutospacing="1" w:after="100" w:afterAutospacing="1"/>
        <w:rPr>
          <w:rFonts w:ascii="Arial" w:hAnsi="Arial" w:cs="Arial"/>
        </w:rPr>
      </w:pPr>
      <w:r w:rsidRPr="00EB2901">
        <w:rPr>
          <w:rFonts w:ascii="Arial" w:hAnsi="Arial" w:cs="Arial"/>
        </w:rPr>
        <w:t>Institutions may resist changes requiring workforce reform or investment in cultural competence.</w:t>
      </w:r>
      <w:r w:rsidR="00573540" w:rsidRPr="00EB2901">
        <w:rPr>
          <w:rFonts w:ascii="Arial" w:hAnsi="Arial" w:cs="Arial"/>
        </w:rPr>
        <w:t xml:space="preserve"> Although legally required, many Trusts struggle to fully </w:t>
      </w:r>
      <w:r w:rsidR="007477A4" w:rsidRPr="00EB2901">
        <w:rPr>
          <w:rFonts w:ascii="Arial" w:hAnsi="Arial" w:cs="Arial"/>
        </w:rPr>
        <w:t xml:space="preserve">comply, resulting </w:t>
      </w:r>
      <w:r w:rsidR="00DA33D8" w:rsidRPr="00EB2901">
        <w:rPr>
          <w:rFonts w:ascii="Arial" w:hAnsi="Arial" w:cs="Arial"/>
        </w:rPr>
        <w:t>in inconsistent</w:t>
      </w:r>
      <w:r w:rsidR="00F92434" w:rsidRPr="00EB2901">
        <w:rPr>
          <w:rFonts w:ascii="Arial" w:hAnsi="Arial" w:cs="Arial"/>
        </w:rPr>
        <w:t xml:space="preserve"> provision of translated materials or cultural</w:t>
      </w:r>
      <w:r w:rsidR="00857267" w:rsidRPr="00EB2901">
        <w:rPr>
          <w:rFonts w:ascii="Arial" w:hAnsi="Arial" w:cs="Arial"/>
        </w:rPr>
        <w:t xml:space="preserve">ly sensitive </w:t>
      </w:r>
      <w:r w:rsidR="00F02750" w:rsidRPr="00EB2901">
        <w:rPr>
          <w:rFonts w:ascii="Arial" w:hAnsi="Arial" w:cs="Arial"/>
        </w:rPr>
        <w:t>engagement.</w:t>
      </w:r>
    </w:p>
    <w:p w14:paraId="34DEA959" w14:textId="51CFB3D7" w:rsidR="0082760D" w:rsidRPr="003A038D" w:rsidRDefault="0082760D" w:rsidP="00EB2901">
      <w:pPr>
        <w:pStyle w:val="Heading4"/>
        <w:rPr>
          <w:rFonts w:ascii="Arial" w:hAnsi="Arial" w:cs="Arial"/>
          <w:b/>
          <w:bCs/>
          <w:i w:val="0"/>
          <w:iCs w:val="0"/>
          <w:color w:val="auto"/>
          <w:sz w:val="24"/>
          <w:szCs w:val="24"/>
        </w:rPr>
      </w:pPr>
      <w:r w:rsidRPr="003A038D">
        <w:rPr>
          <w:rFonts w:ascii="Arial" w:hAnsi="Arial" w:cs="Arial"/>
          <w:b/>
          <w:bCs/>
          <w:i w:val="0"/>
          <w:iCs w:val="0"/>
          <w:color w:val="auto"/>
          <w:sz w:val="24"/>
          <w:szCs w:val="24"/>
        </w:rPr>
        <w:t xml:space="preserve">Examples </w:t>
      </w:r>
      <w:r w:rsidR="000E53DB" w:rsidRPr="003A038D">
        <w:rPr>
          <w:rFonts w:ascii="Arial" w:hAnsi="Arial" w:cs="Arial"/>
          <w:b/>
          <w:bCs/>
          <w:i w:val="0"/>
          <w:iCs w:val="0"/>
          <w:color w:val="auto"/>
          <w:sz w:val="24"/>
          <w:szCs w:val="24"/>
        </w:rPr>
        <w:t xml:space="preserve">of </w:t>
      </w:r>
      <w:r w:rsidR="004E1BA5" w:rsidRPr="003A038D">
        <w:rPr>
          <w:rFonts w:ascii="Arial" w:hAnsi="Arial" w:cs="Arial"/>
          <w:b/>
          <w:bCs/>
          <w:i w:val="0"/>
          <w:iCs w:val="0"/>
          <w:color w:val="auto"/>
          <w:sz w:val="24"/>
          <w:szCs w:val="24"/>
        </w:rPr>
        <w:t>Articles</w:t>
      </w:r>
    </w:p>
    <w:p w14:paraId="3EEAFFB5" w14:textId="76331842" w:rsidR="003E2EEE" w:rsidRPr="00EB2901" w:rsidRDefault="003E2EEE" w:rsidP="00EB2901">
      <w:pPr>
        <w:rPr>
          <w:rFonts w:ascii="Arial" w:hAnsi="Arial" w:cs="Arial"/>
        </w:rPr>
      </w:pPr>
      <w:r w:rsidRPr="003E2EEE">
        <w:rPr>
          <w:rFonts w:ascii="Arial" w:hAnsi="Arial" w:cs="Arial"/>
        </w:rPr>
        <w:t>While Ahmed (2020) highlights how external crises such as COVID</w:t>
      </w:r>
      <w:r w:rsidRPr="003E2EEE">
        <w:rPr>
          <w:rFonts w:ascii="Arial" w:hAnsi="Arial" w:cs="Arial"/>
        </w:rPr>
        <w:noBreakHyphen/>
        <w:t>19 intensify existing inequalities through service disruption and transplantation decline, Grossi et al. (2023) adopt</w:t>
      </w:r>
      <w:r w:rsidR="009F65DC" w:rsidRPr="00EB2901">
        <w:rPr>
          <w:rFonts w:ascii="Arial" w:hAnsi="Arial" w:cs="Arial"/>
        </w:rPr>
        <w:t>s</w:t>
      </w:r>
      <w:r w:rsidRPr="003E2EEE">
        <w:rPr>
          <w:rFonts w:ascii="Arial" w:hAnsi="Arial" w:cs="Arial"/>
        </w:rPr>
        <w:t xml:space="preserve"> a whole</w:t>
      </w:r>
      <w:r w:rsidRPr="003E2EEE">
        <w:rPr>
          <w:rFonts w:ascii="Arial" w:hAnsi="Arial" w:cs="Arial"/>
        </w:rPr>
        <w:noBreakHyphen/>
        <w:t>systems perspective, demonstrating how inequity is embedded within routine care pathways and organisational structures. Together, these studies show that intersectional barriers are both exposed during periods of crisis and sustained through everyday institutional practices.</w:t>
      </w:r>
    </w:p>
    <w:p w14:paraId="3F4904C9" w14:textId="77777777" w:rsidR="005F64B3" w:rsidRPr="00356DC5" w:rsidRDefault="005F64B3" w:rsidP="00EB2901">
      <w:pPr>
        <w:rPr>
          <w:rFonts w:ascii="Arial" w:hAnsi="Arial" w:cs="Arial"/>
          <w:b/>
          <w:bCs/>
          <w:sz w:val="24"/>
          <w:szCs w:val="24"/>
        </w:rPr>
      </w:pPr>
      <w:r w:rsidRPr="00356DC5">
        <w:rPr>
          <w:rFonts w:ascii="Arial" w:hAnsi="Arial" w:cs="Arial"/>
          <w:b/>
          <w:bCs/>
          <w:sz w:val="24"/>
          <w:szCs w:val="24"/>
        </w:rPr>
        <w:t>Ahmed (2020)</w:t>
      </w:r>
    </w:p>
    <w:p w14:paraId="400BDD13" w14:textId="47D82C48" w:rsidR="00356DC5" w:rsidRPr="00F00FC4" w:rsidRDefault="00D15BC8" w:rsidP="00EB2901">
      <w:pPr>
        <w:rPr>
          <w:rFonts w:ascii="Arial" w:hAnsi="Arial" w:cs="Arial"/>
        </w:rPr>
      </w:pPr>
      <w:r w:rsidRPr="00EB2901">
        <w:rPr>
          <w:rFonts w:ascii="Arial" w:hAnsi="Arial" w:cs="Arial"/>
        </w:rPr>
        <w:t>This</w:t>
      </w:r>
      <w:r w:rsidR="005F64B3" w:rsidRPr="00EB2901">
        <w:rPr>
          <w:rFonts w:ascii="Arial" w:hAnsi="Arial" w:cs="Arial"/>
        </w:rPr>
        <w:t xml:space="preserve"> coding indicate</w:t>
      </w:r>
      <w:r w:rsidR="0037291A" w:rsidRPr="00EB2901">
        <w:rPr>
          <w:rFonts w:ascii="Arial" w:hAnsi="Arial" w:cs="Arial"/>
        </w:rPr>
        <w:t>d</w:t>
      </w:r>
      <w:r w:rsidR="00F36B29" w:rsidRPr="00EB2901">
        <w:rPr>
          <w:rFonts w:ascii="Arial" w:hAnsi="Arial" w:cs="Arial"/>
        </w:rPr>
        <w:t xml:space="preserve"> </w:t>
      </w:r>
      <w:r w:rsidR="005F64B3" w:rsidRPr="00EB2901">
        <w:rPr>
          <w:rFonts w:ascii="Arial" w:hAnsi="Arial" w:cs="Arial"/>
        </w:rPr>
        <w:t>that COVID</w:t>
      </w:r>
      <w:r w:rsidR="005F64B3" w:rsidRPr="00EB2901">
        <w:rPr>
          <w:rFonts w:ascii="Arial" w:hAnsi="Arial" w:cs="Arial"/>
        </w:rPr>
        <w:noBreakHyphen/>
        <w:t xml:space="preserve">19 caused significant “transplantation decline” and operational instability, disproportionately affecting marginalised communities. </w:t>
      </w:r>
      <w:r w:rsidR="005F64B3" w:rsidRPr="00EB2901">
        <w:rPr>
          <w:rFonts w:ascii="Arial" w:hAnsi="Arial" w:cs="Arial"/>
        </w:rPr>
        <w:br/>
        <w:t>This directly supports Theme 2 by showing how health crises magnify existing inequities.</w:t>
      </w:r>
    </w:p>
    <w:p w14:paraId="670E016B" w14:textId="0937E2FE" w:rsidR="00751C61" w:rsidRPr="00356DC5" w:rsidRDefault="00751C61" w:rsidP="00EB2901">
      <w:pPr>
        <w:rPr>
          <w:rFonts w:ascii="Arial" w:hAnsi="Arial" w:cs="Arial"/>
          <w:b/>
          <w:bCs/>
          <w:sz w:val="24"/>
          <w:szCs w:val="24"/>
        </w:rPr>
      </w:pPr>
      <w:r w:rsidRPr="00356DC5">
        <w:rPr>
          <w:rFonts w:ascii="Arial" w:hAnsi="Arial" w:cs="Arial"/>
          <w:b/>
          <w:bCs/>
          <w:sz w:val="24"/>
          <w:szCs w:val="24"/>
        </w:rPr>
        <w:t>Grossi (2023)</w:t>
      </w:r>
    </w:p>
    <w:p w14:paraId="1F59439C" w14:textId="77777777" w:rsidR="00751C61" w:rsidRPr="00943ACB" w:rsidRDefault="00751C61" w:rsidP="00EB2901">
      <w:pPr>
        <w:rPr>
          <w:rFonts w:ascii="Arial" w:hAnsi="Arial" w:cs="Arial"/>
        </w:rPr>
      </w:pPr>
      <w:r w:rsidRPr="00943ACB">
        <w:rPr>
          <w:rFonts w:ascii="Arial" w:hAnsi="Arial" w:cs="Arial"/>
        </w:rPr>
        <w:t xml:space="preserve">Grossi provides a systemic analysis of inequality across the care pathway and demonstrates why donation disparities cannot be resolved with awareness campaigns alone. </w:t>
      </w:r>
      <w:r w:rsidRPr="00943ACB">
        <w:rPr>
          <w:rFonts w:ascii="Arial" w:hAnsi="Arial" w:cs="Arial"/>
        </w:rPr>
        <w:br/>
        <w:t>This reinforces the need for structural reform.</w:t>
      </w:r>
    </w:p>
    <w:p w14:paraId="70C2B916" w14:textId="77777777" w:rsidR="0082760D" w:rsidRPr="00943ACB" w:rsidRDefault="0082760D" w:rsidP="00EB2901">
      <w:pPr>
        <w:pStyle w:val="Heading4"/>
        <w:rPr>
          <w:rFonts w:ascii="Arial" w:hAnsi="Arial" w:cs="Arial"/>
        </w:rPr>
      </w:pPr>
    </w:p>
    <w:p w14:paraId="219757CE" w14:textId="0020434E" w:rsidR="002865F5" w:rsidRPr="00943ACB" w:rsidRDefault="002865F5" w:rsidP="00EB2901">
      <w:pPr>
        <w:pStyle w:val="Heading4"/>
        <w:rPr>
          <w:rFonts w:ascii="Arial" w:hAnsi="Arial" w:cs="Arial"/>
          <w:b/>
          <w:bCs/>
          <w:i w:val="0"/>
          <w:iCs w:val="0"/>
          <w:color w:val="auto"/>
          <w:sz w:val="24"/>
          <w:szCs w:val="24"/>
        </w:rPr>
      </w:pPr>
      <w:r w:rsidRPr="00943ACB">
        <w:rPr>
          <w:rFonts w:ascii="Arial" w:hAnsi="Arial" w:cs="Arial"/>
          <w:b/>
          <w:bCs/>
          <w:i w:val="0"/>
          <w:iCs w:val="0"/>
          <w:color w:val="auto"/>
          <w:sz w:val="24"/>
          <w:szCs w:val="24"/>
        </w:rPr>
        <w:t>Connections to Other Themes</w:t>
      </w:r>
    </w:p>
    <w:p w14:paraId="36C13FC2" w14:textId="77777777" w:rsidR="008F4CF2" w:rsidRPr="00943ACB" w:rsidRDefault="008F4CF2" w:rsidP="00EB2901">
      <w:pPr>
        <w:rPr>
          <w:rFonts w:ascii="Arial" w:hAnsi="Arial" w:cs="Arial"/>
          <w:b/>
          <w:bCs/>
          <w:color w:val="323E4F" w:themeColor="text2" w:themeShade="BF"/>
        </w:rPr>
      </w:pPr>
    </w:p>
    <w:p w14:paraId="4868BFDF" w14:textId="77777777" w:rsidR="00F00FC4" w:rsidRPr="00943ACB" w:rsidRDefault="001C3AF6" w:rsidP="00A73F38">
      <w:pPr>
        <w:rPr>
          <w:rFonts w:ascii="Arial" w:hAnsi="Arial" w:cs="Arial"/>
        </w:rPr>
      </w:pPr>
      <w:r w:rsidRPr="00943ACB">
        <w:rPr>
          <w:rFonts w:ascii="Arial" w:hAnsi="Arial" w:cs="Arial"/>
          <w:sz w:val="24"/>
          <w:szCs w:val="24"/>
        </w:rPr>
        <w:t>4.5 – Theme 3</w:t>
      </w:r>
      <w:r w:rsidRPr="00943ACB">
        <w:rPr>
          <w:rFonts w:ascii="Arial" w:hAnsi="Arial" w:cs="Arial"/>
        </w:rPr>
        <w:t xml:space="preserve"> (</w:t>
      </w:r>
      <w:r w:rsidR="00601D85" w:rsidRPr="00943ACB">
        <w:rPr>
          <w:rFonts w:ascii="Arial" w:hAnsi="Arial" w:cs="Arial"/>
          <w:b/>
          <w:bCs/>
          <w:sz w:val="24"/>
          <w:szCs w:val="24"/>
          <w:highlight w:val="green"/>
        </w:rPr>
        <w:t>Institutional Transformation and Structural Equity</w:t>
      </w:r>
      <w:r w:rsidR="00601D85" w:rsidRPr="00943ACB">
        <w:rPr>
          <w:rFonts w:ascii="Arial" w:hAnsi="Arial" w:cs="Arial"/>
        </w:rPr>
        <w:t>)</w:t>
      </w:r>
      <w:r w:rsidR="008D33A6" w:rsidRPr="00943ACB">
        <w:rPr>
          <w:rFonts w:ascii="Arial" w:hAnsi="Arial" w:cs="Arial"/>
        </w:rPr>
        <w:t xml:space="preserve"> </w:t>
      </w:r>
      <w:r w:rsidR="00356DC5" w:rsidRPr="00943ACB">
        <w:rPr>
          <w:rFonts w:ascii="Arial" w:hAnsi="Arial" w:cs="Arial"/>
        </w:rPr>
        <w:t xml:space="preserve"> </w:t>
      </w:r>
    </w:p>
    <w:p w14:paraId="4EC9289B" w14:textId="4B279415" w:rsidR="008D33A6" w:rsidRPr="00943ACB" w:rsidRDefault="00356DC5" w:rsidP="00F00FC4">
      <w:pPr>
        <w:rPr>
          <w:rFonts w:ascii="Arial" w:hAnsi="Arial" w:cs="Arial"/>
        </w:rPr>
      </w:pPr>
      <w:r w:rsidRPr="00943ACB">
        <w:rPr>
          <w:rFonts w:ascii="Arial" w:hAnsi="Arial" w:cs="Arial"/>
        </w:rPr>
        <w:t>I</w:t>
      </w:r>
      <w:r w:rsidR="00DE377E" w:rsidRPr="00943ACB">
        <w:rPr>
          <w:rFonts w:ascii="Arial" w:hAnsi="Arial" w:cs="Arial"/>
        </w:rPr>
        <w:t>t builds</w:t>
      </w:r>
      <w:r w:rsidR="008D33A6" w:rsidRPr="00943ACB">
        <w:rPr>
          <w:rFonts w:ascii="Arial" w:hAnsi="Arial" w:cs="Arial"/>
        </w:rPr>
        <w:t xml:space="preserve"> on Theme 1 by showing how socio</w:t>
      </w:r>
      <w:r w:rsidR="008D33A6" w:rsidRPr="00943ACB">
        <w:rPr>
          <w:rFonts w:ascii="Arial" w:hAnsi="Arial" w:cs="Arial"/>
        </w:rPr>
        <w:noBreakHyphen/>
        <w:t xml:space="preserve">cultural beliefs are intensified by structural disadvantage. </w:t>
      </w:r>
    </w:p>
    <w:p w14:paraId="0D8B4DA0" w14:textId="2A13C94C" w:rsidR="00636D9A" w:rsidRPr="00943ACB" w:rsidRDefault="00F00FC4" w:rsidP="00F00FC4">
      <w:pPr>
        <w:rPr>
          <w:rFonts w:ascii="Arial" w:hAnsi="Arial" w:cs="Arial"/>
        </w:rPr>
      </w:pPr>
      <w:r w:rsidRPr="00943ACB">
        <w:rPr>
          <w:rFonts w:ascii="Arial" w:hAnsi="Arial" w:cs="Arial"/>
        </w:rPr>
        <w:t>It leads</w:t>
      </w:r>
      <w:r w:rsidR="008D33A6" w:rsidRPr="00943ACB">
        <w:rPr>
          <w:rFonts w:ascii="Arial" w:hAnsi="Arial" w:cs="Arial"/>
        </w:rPr>
        <w:t xml:space="preserve"> directly to Theme 3 by highlighting systemic failures.</w:t>
      </w:r>
    </w:p>
    <w:p w14:paraId="5E207A09" w14:textId="208F3D53" w:rsidR="002865F5" w:rsidRPr="00943ACB" w:rsidRDefault="002865F5" w:rsidP="00EB2901">
      <w:pPr>
        <w:pStyle w:val="Heading4"/>
        <w:rPr>
          <w:rStyle w:val="Strong"/>
          <w:rFonts w:ascii="Arial" w:hAnsi="Arial" w:cs="Arial"/>
          <w:b w:val="0"/>
          <w:bCs w:val="0"/>
          <w:i w:val="0"/>
          <w:iCs w:val="0"/>
          <w:color w:val="auto"/>
          <w:sz w:val="24"/>
          <w:szCs w:val="24"/>
        </w:rPr>
      </w:pPr>
      <w:r w:rsidRPr="00943ACB">
        <w:rPr>
          <w:rFonts w:ascii="Arial" w:hAnsi="Arial" w:cs="Arial"/>
          <w:b/>
          <w:bCs/>
          <w:i w:val="0"/>
          <w:iCs w:val="0"/>
          <w:color w:val="auto"/>
          <w:sz w:val="24"/>
          <w:szCs w:val="24"/>
        </w:rPr>
        <w:t xml:space="preserve">Definition </w:t>
      </w:r>
    </w:p>
    <w:p w14:paraId="73055C57" w14:textId="309638C0" w:rsidR="002865F5" w:rsidRPr="00F96527" w:rsidRDefault="00FB4038" w:rsidP="00F96527">
      <w:pPr>
        <w:rPr>
          <w:rFonts w:ascii="Arial" w:eastAsia="Times New Roman" w:hAnsi="Arial" w:cs="Arial"/>
          <w:sz w:val="21"/>
          <w:szCs w:val="21"/>
        </w:rPr>
      </w:pPr>
      <w:r w:rsidRPr="00EB2901">
        <w:rPr>
          <w:rFonts w:ascii="Arial" w:eastAsia="Times New Roman" w:hAnsi="Arial" w:cs="Arial"/>
        </w:rPr>
        <w:t>This theme examines how institutional structures, historical injustices, and systemic racism shape access to organ donation information and trust in the NHS</w:t>
      </w:r>
      <w:r w:rsidRPr="00EB2901">
        <w:rPr>
          <w:rFonts w:ascii="Arial" w:eastAsia="Times New Roman" w:hAnsi="Arial" w:cs="Arial"/>
          <w:sz w:val="21"/>
          <w:szCs w:val="21"/>
        </w:rPr>
        <w:t>.</w:t>
      </w:r>
    </w:p>
    <w:p w14:paraId="2FB465ED" w14:textId="77777777" w:rsidR="002865F5" w:rsidRPr="00EB2901" w:rsidRDefault="002865F5" w:rsidP="00EB2901">
      <w:pPr>
        <w:spacing w:before="100" w:beforeAutospacing="1" w:after="100" w:afterAutospacing="1"/>
        <w:rPr>
          <w:rStyle w:val="Strong"/>
          <w:rFonts w:ascii="Arial" w:hAnsi="Arial" w:cs="Arial"/>
        </w:rPr>
      </w:pPr>
      <w:r w:rsidRPr="00EB2901">
        <w:rPr>
          <w:rStyle w:val="Strong"/>
          <w:rFonts w:ascii="Arial" w:hAnsi="Arial" w:cs="Arial"/>
        </w:rPr>
        <w:t>Historical/Contextual Background:</w:t>
      </w:r>
    </w:p>
    <w:p w14:paraId="3730796D" w14:textId="649213D4" w:rsidR="009E2550" w:rsidRPr="009E2550" w:rsidRDefault="009E2550" w:rsidP="00EB2901">
      <w:pPr>
        <w:spacing w:before="100" w:beforeAutospacing="1" w:after="100" w:afterAutospacing="1"/>
        <w:rPr>
          <w:rFonts w:ascii="Arial" w:hAnsi="Arial" w:cs="Arial"/>
        </w:rPr>
      </w:pPr>
      <w:r w:rsidRPr="009E2550">
        <w:rPr>
          <w:rFonts w:ascii="Arial" w:hAnsi="Arial" w:cs="Arial"/>
        </w:rPr>
        <w:t>A critical driver of institutional mistrust among ethnic minority communities is the legacy of historical medical injustices. Two events frequently cited within literature</w:t>
      </w:r>
      <w:r w:rsidR="005812A1" w:rsidRPr="00EB2901">
        <w:rPr>
          <w:rFonts w:ascii="Arial" w:hAnsi="Arial" w:cs="Arial"/>
        </w:rPr>
        <w:t>,</w:t>
      </w:r>
      <w:r w:rsidRPr="00EB2901">
        <w:rPr>
          <w:rFonts w:ascii="Arial" w:hAnsi="Arial" w:cs="Arial"/>
        </w:rPr>
        <w:t xml:space="preserve"> </w:t>
      </w:r>
      <w:r w:rsidRPr="009E2550">
        <w:rPr>
          <w:rFonts w:ascii="Arial" w:hAnsi="Arial" w:cs="Arial"/>
        </w:rPr>
        <w:t>the Tuskegee Syphilis Study (1932–1972) and the UK Infected Blood Scandal</w:t>
      </w:r>
      <w:r w:rsidR="00B34804" w:rsidRPr="00EB2901">
        <w:rPr>
          <w:rFonts w:ascii="Arial" w:hAnsi="Arial" w:cs="Arial"/>
        </w:rPr>
        <w:t>,</w:t>
      </w:r>
      <w:r w:rsidR="005812A1" w:rsidRPr="00EB2901">
        <w:rPr>
          <w:rFonts w:ascii="Arial" w:hAnsi="Arial" w:cs="Arial"/>
        </w:rPr>
        <w:t xml:space="preserve"> </w:t>
      </w:r>
      <w:r w:rsidRPr="009E2550">
        <w:rPr>
          <w:rFonts w:ascii="Arial" w:hAnsi="Arial" w:cs="Arial"/>
        </w:rPr>
        <w:t>illustrate how systemic failures, unethical practices, and lack of transparency have produced long</w:t>
      </w:r>
      <w:r w:rsidRPr="009E2550">
        <w:rPr>
          <w:rFonts w:ascii="Arial" w:hAnsi="Arial" w:cs="Arial"/>
        </w:rPr>
        <w:noBreakHyphen/>
        <w:t xml:space="preserve">lasting damage to public trust in healthcare systems, particularly among </w:t>
      </w:r>
      <w:r w:rsidR="009E5EF1" w:rsidRPr="00EB2901">
        <w:rPr>
          <w:rFonts w:ascii="Arial" w:hAnsi="Arial" w:cs="Arial"/>
        </w:rPr>
        <w:t xml:space="preserve">racially </w:t>
      </w:r>
      <w:r w:rsidR="000D34DE" w:rsidRPr="00EB2901">
        <w:rPr>
          <w:rFonts w:ascii="Arial" w:hAnsi="Arial" w:cs="Arial"/>
        </w:rPr>
        <w:t>oppressed</w:t>
      </w:r>
      <w:r w:rsidR="009E5EF1" w:rsidRPr="00EB2901">
        <w:rPr>
          <w:rFonts w:ascii="Arial" w:hAnsi="Arial" w:cs="Arial"/>
        </w:rPr>
        <w:t xml:space="preserve"> </w:t>
      </w:r>
      <w:r w:rsidRPr="009E2550">
        <w:rPr>
          <w:rFonts w:ascii="Arial" w:hAnsi="Arial" w:cs="Arial"/>
        </w:rPr>
        <w:t>communities.</w:t>
      </w:r>
    </w:p>
    <w:p w14:paraId="64649F01" w14:textId="67247191" w:rsidR="00DE377E" w:rsidRPr="00EB2901" w:rsidRDefault="009E2550" w:rsidP="00EB2901">
      <w:pPr>
        <w:spacing w:before="100" w:beforeAutospacing="1" w:after="100" w:afterAutospacing="1"/>
        <w:rPr>
          <w:rFonts w:ascii="Arial" w:hAnsi="Arial" w:cs="Arial"/>
        </w:rPr>
      </w:pPr>
      <w:r w:rsidRPr="009E2550">
        <w:rPr>
          <w:rFonts w:ascii="Arial" w:hAnsi="Arial" w:cs="Arial"/>
          <w:b/>
          <w:bCs/>
        </w:rPr>
        <w:t>The Tuskegee Syphilis Study</w:t>
      </w:r>
      <w:r w:rsidRPr="009E2550">
        <w:rPr>
          <w:rFonts w:ascii="Arial" w:hAnsi="Arial" w:cs="Arial"/>
        </w:rPr>
        <w:t xml:space="preserve"> is recognised as one of the most severe ethical violations in modern medical history. Conducted by the U.S. Public Health Service, the study involved hundreds of Black men who were deliberately left untreated for syphilis, despite effective treatment becoming available. Participants were misled, denied informed consent, and prevented from accessing care, resulting in preventable illness, death, and transmission to partners and children (Tobin, 2022). Although conducted outside the UK, the Tuskegee legacy continues to influence perceptions of healthcare among Black communities globally, contributing to deep</w:t>
      </w:r>
      <w:r w:rsidRPr="009E2550">
        <w:rPr>
          <w:rFonts w:ascii="Arial" w:hAnsi="Arial" w:cs="Arial"/>
        </w:rPr>
        <w:noBreakHyphen/>
        <w:t>rooted medical mistrust and scepticism regarding state</w:t>
      </w:r>
      <w:r w:rsidRPr="009E2550">
        <w:rPr>
          <w:rFonts w:ascii="Arial" w:hAnsi="Arial" w:cs="Arial"/>
        </w:rPr>
        <w:noBreakHyphen/>
        <w:t>led health interventions (Gill et al., 2013).</w:t>
      </w:r>
    </w:p>
    <w:p w14:paraId="30F4177D" w14:textId="188412B6" w:rsidR="004D55F8" w:rsidRPr="009E2550" w:rsidRDefault="004D55F8" w:rsidP="00EB2901">
      <w:pPr>
        <w:spacing w:before="100" w:beforeAutospacing="1" w:after="100" w:afterAutospacing="1"/>
        <w:rPr>
          <w:rFonts w:ascii="Arial" w:hAnsi="Arial" w:cs="Arial"/>
        </w:rPr>
      </w:pPr>
      <w:r w:rsidRPr="00EB2901">
        <w:rPr>
          <w:rFonts w:ascii="Arial" w:hAnsi="Arial" w:cs="Arial"/>
          <w:b/>
          <w:bCs/>
        </w:rPr>
        <w:t>The Infected Blood Scandal</w:t>
      </w:r>
      <w:r w:rsidRPr="00EB2901">
        <w:rPr>
          <w:rFonts w:ascii="Arial" w:hAnsi="Arial" w:cs="Arial"/>
        </w:rPr>
        <w:t xml:space="preserve"> in the UK serves as a stark example of institutional failure on a national level. During the 1970s and 1980s, thousands of patients, particularly from disadvantaged backgrounds, became infected with HIV and hepatitis due to contaminated blood products. Investigations that followed have uncovered a prolonged denial of accountability, delays in providing compensation, and systemic issues regarding duty of care, transparency, and responsibility (Thornton, 2023). These revelations have reinforced the belief that healthcare institutions often compromise patient safety and transparency, especially when the affected groups are </w:t>
      </w:r>
      <w:r w:rsidR="00DE54BE" w:rsidRPr="00EB2901">
        <w:rPr>
          <w:rFonts w:ascii="Arial" w:hAnsi="Arial" w:cs="Arial"/>
        </w:rPr>
        <w:t>marginalised</w:t>
      </w:r>
      <w:r w:rsidRPr="00EB2901">
        <w:rPr>
          <w:rFonts w:ascii="Arial" w:hAnsi="Arial" w:cs="Arial"/>
        </w:rPr>
        <w:t xml:space="preserve"> or lack political influence.</w:t>
      </w:r>
    </w:p>
    <w:p w14:paraId="1EBB24AD" w14:textId="77777777" w:rsidR="00C47691" w:rsidRDefault="009E2550" w:rsidP="00EB2901">
      <w:pPr>
        <w:spacing w:before="100" w:beforeAutospacing="1" w:after="100" w:afterAutospacing="1"/>
        <w:rPr>
          <w:rFonts w:ascii="Arial" w:hAnsi="Arial" w:cs="Arial"/>
        </w:rPr>
      </w:pPr>
      <w:r w:rsidRPr="009E2550">
        <w:rPr>
          <w:rFonts w:ascii="Arial" w:hAnsi="Arial" w:cs="Arial"/>
        </w:rPr>
        <w:t>Within the context of blood and organ donation, these historical injustices directly inform contemporary attitudes. Medical mistrust identified in ethnic minority communities should therefore be understood not as cultural reluctance, but as a rational response to documented harms. This aligns with the Anti</w:t>
      </w:r>
      <w:r w:rsidRPr="009E2550">
        <w:rPr>
          <w:rFonts w:ascii="Arial" w:hAnsi="Arial" w:cs="Arial"/>
        </w:rPr>
        <w:noBreakHyphen/>
        <w:t xml:space="preserve">Racist Framework, which reframes mistrust as structurally </w:t>
      </w:r>
    </w:p>
    <w:p w14:paraId="5B41FBDD" w14:textId="77777777" w:rsidR="00C47691" w:rsidRDefault="00C47691" w:rsidP="00EB2901">
      <w:pPr>
        <w:spacing w:before="100" w:beforeAutospacing="1" w:after="100" w:afterAutospacing="1"/>
        <w:rPr>
          <w:rFonts w:ascii="Arial" w:hAnsi="Arial" w:cs="Arial"/>
        </w:rPr>
      </w:pPr>
    </w:p>
    <w:p w14:paraId="3363D5D3" w14:textId="612E12DF" w:rsidR="00F00FC4" w:rsidRPr="00C47691" w:rsidRDefault="009E2550" w:rsidP="00C47691">
      <w:pPr>
        <w:spacing w:before="100" w:beforeAutospacing="1" w:after="100" w:afterAutospacing="1"/>
        <w:rPr>
          <w:rFonts w:ascii="Arial" w:hAnsi="Arial" w:cs="Arial"/>
        </w:rPr>
      </w:pPr>
      <w:r w:rsidRPr="009E2550">
        <w:rPr>
          <w:rFonts w:ascii="Arial" w:hAnsi="Arial" w:cs="Arial"/>
        </w:rPr>
        <w:t xml:space="preserve">produced rather than individually driven. The implication for NHS Blood and Transplant (NHSBT) is significant: trust cannot be rebuilt through informational campaigns alone but requires explicit </w:t>
      </w:r>
      <w:r w:rsidR="00780BA3" w:rsidRPr="00EB2901">
        <w:rPr>
          <w:rFonts w:ascii="Arial" w:hAnsi="Arial" w:cs="Arial"/>
        </w:rPr>
        <w:t>acknowledgement</w:t>
      </w:r>
      <w:r w:rsidRPr="009E2550">
        <w:rPr>
          <w:rFonts w:ascii="Arial" w:hAnsi="Arial" w:cs="Arial"/>
        </w:rPr>
        <w:t xml:space="preserve"> of historical harms, transparency in clinical decision</w:t>
      </w:r>
      <w:r w:rsidRPr="009E2550">
        <w:rPr>
          <w:rFonts w:ascii="Arial" w:hAnsi="Arial" w:cs="Arial"/>
        </w:rPr>
        <w:noBreakHyphen/>
        <w:t>making, and accountability at an institutional level.</w:t>
      </w:r>
    </w:p>
    <w:p w14:paraId="416E3F8C" w14:textId="77777777" w:rsidR="002865F5" w:rsidRPr="00DE377E" w:rsidRDefault="002865F5" w:rsidP="00EB2901">
      <w:pPr>
        <w:pStyle w:val="Heading4"/>
        <w:rPr>
          <w:rFonts w:ascii="Arial" w:hAnsi="Arial" w:cs="Arial"/>
          <w:b/>
          <w:bCs/>
          <w:i w:val="0"/>
          <w:iCs w:val="0"/>
          <w:color w:val="auto"/>
          <w:sz w:val="24"/>
          <w:szCs w:val="24"/>
        </w:rPr>
      </w:pPr>
      <w:r w:rsidRPr="00DE377E">
        <w:rPr>
          <w:rFonts w:ascii="Arial" w:hAnsi="Arial" w:cs="Arial"/>
          <w:b/>
          <w:bCs/>
          <w:i w:val="0"/>
          <w:iCs w:val="0"/>
          <w:color w:val="auto"/>
          <w:sz w:val="24"/>
          <w:szCs w:val="24"/>
        </w:rPr>
        <w:t>Impact on Research Question</w:t>
      </w:r>
    </w:p>
    <w:p w14:paraId="3D88BBAC" w14:textId="1FCE9F63" w:rsidR="002865F5" w:rsidRPr="00EB2901" w:rsidRDefault="007A5C81" w:rsidP="00EB2901">
      <w:pPr>
        <w:rPr>
          <w:rFonts w:ascii="Arial" w:hAnsi="Arial" w:cs="Arial"/>
        </w:rPr>
      </w:pPr>
      <w:r w:rsidRPr="00EB2901">
        <w:rPr>
          <w:rFonts w:ascii="Arial" w:hAnsi="Arial" w:cs="Arial"/>
        </w:rPr>
        <w:t xml:space="preserve"> </w:t>
      </w:r>
      <w:r w:rsidR="005652E4" w:rsidRPr="00EB2901">
        <w:rPr>
          <w:rFonts w:ascii="Arial" w:hAnsi="Arial" w:cs="Arial"/>
        </w:rPr>
        <w:t>Institutional</w:t>
      </w:r>
      <w:r w:rsidR="00625867" w:rsidRPr="00EB2901">
        <w:rPr>
          <w:rFonts w:ascii="Arial" w:hAnsi="Arial" w:cs="Arial"/>
        </w:rPr>
        <w:t xml:space="preserve"> barriers operate by:</w:t>
      </w:r>
    </w:p>
    <w:p w14:paraId="217E5ED6" w14:textId="77777777" w:rsidR="00F02A10" w:rsidRPr="00F02A10" w:rsidRDefault="00F02A10" w:rsidP="00EB2901">
      <w:pPr>
        <w:numPr>
          <w:ilvl w:val="0"/>
          <w:numId w:val="44"/>
        </w:numPr>
        <w:rPr>
          <w:rFonts w:ascii="Arial" w:hAnsi="Arial" w:cs="Arial"/>
        </w:rPr>
      </w:pPr>
      <w:r w:rsidRPr="00F02A10">
        <w:rPr>
          <w:rFonts w:ascii="Arial" w:hAnsi="Arial" w:cs="Arial"/>
        </w:rPr>
        <w:t>Undermining trust in NHS messaging</w:t>
      </w:r>
    </w:p>
    <w:p w14:paraId="0808F38A" w14:textId="77777777" w:rsidR="00F02A10" w:rsidRPr="00F02A10" w:rsidRDefault="00F02A10" w:rsidP="00EB2901">
      <w:pPr>
        <w:numPr>
          <w:ilvl w:val="0"/>
          <w:numId w:val="44"/>
        </w:numPr>
        <w:rPr>
          <w:rFonts w:ascii="Arial" w:hAnsi="Arial" w:cs="Arial"/>
        </w:rPr>
      </w:pPr>
      <w:r w:rsidRPr="00F02A10">
        <w:rPr>
          <w:rFonts w:ascii="Arial" w:hAnsi="Arial" w:cs="Arial"/>
        </w:rPr>
        <w:t>Limiting meaningful engagement through culturally inappropriate communication</w:t>
      </w:r>
    </w:p>
    <w:p w14:paraId="5A73A6A9" w14:textId="77777777" w:rsidR="00F02A10" w:rsidRPr="00F02A10" w:rsidRDefault="00F02A10" w:rsidP="00EB2901">
      <w:pPr>
        <w:numPr>
          <w:ilvl w:val="0"/>
          <w:numId w:val="44"/>
        </w:numPr>
        <w:rPr>
          <w:rFonts w:ascii="Arial" w:hAnsi="Arial" w:cs="Arial"/>
        </w:rPr>
      </w:pPr>
      <w:r w:rsidRPr="00F02A10">
        <w:rPr>
          <w:rFonts w:ascii="Arial" w:hAnsi="Arial" w:cs="Arial"/>
        </w:rPr>
        <w:t>Excluding minority voices from decision</w:t>
      </w:r>
      <w:r w:rsidRPr="00F02A10">
        <w:rPr>
          <w:rFonts w:ascii="Arial" w:hAnsi="Arial" w:cs="Arial"/>
        </w:rPr>
        <w:noBreakHyphen/>
        <w:t>making processes</w:t>
      </w:r>
    </w:p>
    <w:p w14:paraId="3571DEF2" w14:textId="582D9E6A" w:rsidR="00485775" w:rsidRPr="00EB2901" w:rsidRDefault="00F02A10" w:rsidP="00EB2901">
      <w:pPr>
        <w:numPr>
          <w:ilvl w:val="0"/>
          <w:numId w:val="44"/>
        </w:numPr>
        <w:rPr>
          <w:rFonts w:ascii="Arial" w:hAnsi="Arial" w:cs="Arial"/>
        </w:rPr>
      </w:pPr>
      <w:r w:rsidRPr="00F02A10">
        <w:rPr>
          <w:rFonts w:ascii="Arial" w:hAnsi="Arial" w:cs="Arial"/>
        </w:rPr>
        <w:t>Framing low donation rates as community failure rather than institutional responsibility</w:t>
      </w:r>
    </w:p>
    <w:p w14:paraId="5607E377" w14:textId="77777777" w:rsidR="002865F5" w:rsidRPr="00EB2901" w:rsidRDefault="002865F5" w:rsidP="00EB2901">
      <w:pPr>
        <w:numPr>
          <w:ilvl w:val="0"/>
          <w:numId w:val="9"/>
        </w:numPr>
        <w:spacing w:before="100" w:beforeAutospacing="1" w:after="100" w:afterAutospacing="1"/>
        <w:rPr>
          <w:rFonts w:ascii="Arial" w:hAnsi="Arial" w:cs="Arial"/>
        </w:rPr>
      </w:pPr>
      <w:r w:rsidRPr="00EB2901">
        <w:rPr>
          <w:rStyle w:val="Strong"/>
          <w:rFonts w:ascii="Arial" w:hAnsi="Arial" w:cs="Arial"/>
        </w:rPr>
        <w:t>Data and Statistics:</w:t>
      </w:r>
    </w:p>
    <w:p w14:paraId="7EE10BEC" w14:textId="70AA54C6" w:rsidR="00464FC1" w:rsidRPr="00EB2901" w:rsidRDefault="00464FC1" w:rsidP="00EB2901">
      <w:pPr>
        <w:pStyle w:val="ListParagraph"/>
        <w:numPr>
          <w:ilvl w:val="0"/>
          <w:numId w:val="9"/>
        </w:numPr>
        <w:spacing w:line="360" w:lineRule="auto"/>
        <w:jc w:val="both"/>
        <w:rPr>
          <w:rFonts w:ascii="Arial" w:eastAsia="Times New Roman" w:hAnsi="Arial" w:cs="Arial"/>
          <w:sz w:val="21"/>
          <w:szCs w:val="21"/>
        </w:rPr>
      </w:pPr>
      <w:r w:rsidRPr="00EB2901">
        <w:rPr>
          <w:rFonts w:ascii="Arial" w:eastAsia="Times New Roman" w:hAnsi="Arial" w:cs="Arial"/>
          <w:sz w:val="21"/>
          <w:szCs w:val="21"/>
        </w:rPr>
        <w:t>80% of minority patient transplants use organs from white donors (</w:t>
      </w:r>
      <w:r w:rsidR="002D1F82" w:rsidRPr="00EB2901">
        <w:rPr>
          <w:rFonts w:ascii="Arial" w:eastAsia="Times New Roman" w:hAnsi="Arial" w:cs="Arial"/>
          <w:sz w:val="21"/>
          <w:szCs w:val="21"/>
        </w:rPr>
        <w:t xml:space="preserve">a </w:t>
      </w:r>
      <w:r w:rsidRPr="00EB2901">
        <w:rPr>
          <w:rFonts w:ascii="Arial" w:eastAsia="Times New Roman" w:hAnsi="Arial" w:cs="Arial"/>
          <w:sz w:val="21"/>
          <w:szCs w:val="21"/>
        </w:rPr>
        <w:t xml:space="preserve">sign of unequal donor representation). </w:t>
      </w:r>
    </w:p>
    <w:p w14:paraId="1A93699A" w14:textId="243417A4" w:rsidR="00464FC1" w:rsidRPr="00EB2901" w:rsidRDefault="00464FC1" w:rsidP="00EB2901">
      <w:pPr>
        <w:pStyle w:val="ListParagraph"/>
        <w:spacing w:line="360" w:lineRule="auto"/>
        <w:ind w:left="360" w:firstLine="0"/>
        <w:jc w:val="both"/>
        <w:rPr>
          <w:rFonts w:ascii="Arial" w:eastAsia="Times New Roman" w:hAnsi="Arial" w:cs="Arial"/>
          <w:sz w:val="21"/>
          <w:szCs w:val="21"/>
        </w:rPr>
      </w:pPr>
      <w:r w:rsidRPr="00EB2901">
        <w:rPr>
          <w:rFonts w:ascii="Arial" w:eastAsia="Times New Roman" w:hAnsi="Arial" w:cs="Arial"/>
          <w:sz w:val="21"/>
          <w:szCs w:val="21"/>
        </w:rPr>
        <w:t xml:space="preserve">Minority families refuse consent at almost double the rate of white families. </w:t>
      </w:r>
    </w:p>
    <w:p w14:paraId="40FF9ACE" w14:textId="42C44AEB" w:rsidR="002865F5" w:rsidRDefault="00464FC1" w:rsidP="009C7D0E">
      <w:pPr>
        <w:pStyle w:val="ListParagraph"/>
        <w:numPr>
          <w:ilvl w:val="0"/>
          <w:numId w:val="9"/>
        </w:numPr>
        <w:spacing w:line="360" w:lineRule="auto"/>
        <w:jc w:val="both"/>
        <w:rPr>
          <w:rFonts w:ascii="Arial" w:eastAsia="Times New Roman" w:hAnsi="Arial" w:cs="Arial"/>
          <w:sz w:val="21"/>
          <w:szCs w:val="21"/>
        </w:rPr>
      </w:pPr>
      <w:r w:rsidRPr="00EB2901">
        <w:rPr>
          <w:rFonts w:ascii="Arial" w:eastAsia="Times New Roman" w:hAnsi="Arial" w:cs="Arial"/>
          <w:sz w:val="21"/>
          <w:szCs w:val="21"/>
        </w:rPr>
        <w:t>Birmingham’s “silent crisis” shows a mismatch between health need and engagement.</w:t>
      </w:r>
    </w:p>
    <w:p w14:paraId="456617FC" w14:textId="77777777" w:rsidR="00DE377E" w:rsidRPr="00DE377E" w:rsidRDefault="00DE377E" w:rsidP="00DE377E">
      <w:pPr>
        <w:rPr>
          <w:rFonts w:ascii="Arial" w:eastAsia="Times New Roman" w:hAnsi="Arial" w:cs="Arial"/>
          <w:sz w:val="21"/>
          <w:szCs w:val="21"/>
        </w:rPr>
      </w:pPr>
    </w:p>
    <w:p w14:paraId="181CBEA8" w14:textId="324F8109" w:rsidR="002865F5" w:rsidRPr="00DE377E" w:rsidRDefault="002865F5" w:rsidP="00EB2901">
      <w:pPr>
        <w:pStyle w:val="Heading4"/>
        <w:rPr>
          <w:rStyle w:val="Strong"/>
          <w:rFonts w:ascii="Arial" w:hAnsi="Arial" w:cs="Arial"/>
          <w:b w:val="0"/>
          <w:bCs w:val="0"/>
          <w:i w:val="0"/>
          <w:iCs w:val="0"/>
          <w:color w:val="auto"/>
          <w:sz w:val="24"/>
          <w:szCs w:val="24"/>
        </w:rPr>
      </w:pPr>
      <w:r w:rsidRPr="00DE377E">
        <w:rPr>
          <w:rFonts w:ascii="Arial" w:hAnsi="Arial" w:cs="Arial"/>
          <w:b/>
          <w:bCs/>
          <w:i w:val="0"/>
          <w:iCs w:val="0"/>
          <w:color w:val="auto"/>
          <w:sz w:val="24"/>
          <w:szCs w:val="24"/>
        </w:rPr>
        <w:t>Theories, Policies, and Legislation</w:t>
      </w:r>
    </w:p>
    <w:p w14:paraId="1790165A" w14:textId="7FCDB66D" w:rsidR="00A86D8B" w:rsidRPr="00EB2901" w:rsidRDefault="00A86D8B" w:rsidP="00EB2901">
      <w:pPr>
        <w:pStyle w:val="NormalWeb"/>
        <w:spacing w:line="360" w:lineRule="auto"/>
        <w:jc w:val="both"/>
        <w:rPr>
          <w:rFonts w:ascii="Arial" w:hAnsi="Arial" w:cs="Arial"/>
          <w:sz w:val="22"/>
          <w:szCs w:val="22"/>
        </w:rPr>
      </w:pPr>
      <w:r w:rsidRPr="00EB2901">
        <w:rPr>
          <w:rFonts w:ascii="Arial" w:hAnsi="Arial" w:cs="Arial"/>
          <w:sz w:val="22"/>
          <w:szCs w:val="22"/>
        </w:rPr>
        <w:t xml:space="preserve">The </w:t>
      </w:r>
      <w:r w:rsidRPr="00EB2901">
        <w:rPr>
          <w:rFonts w:ascii="Arial" w:hAnsi="Arial" w:cs="Arial"/>
          <w:b/>
          <w:bCs/>
          <w:sz w:val="22"/>
          <w:szCs w:val="22"/>
        </w:rPr>
        <w:t>Anti-Racist Framework</w:t>
      </w:r>
      <w:r w:rsidRPr="00EB2901">
        <w:rPr>
          <w:rFonts w:ascii="Arial" w:hAnsi="Arial" w:cs="Arial"/>
          <w:sz w:val="22"/>
          <w:szCs w:val="22"/>
        </w:rPr>
        <w:t xml:space="preserve"> </w:t>
      </w:r>
      <w:r w:rsidR="00141047" w:rsidRPr="00EB2901">
        <w:rPr>
          <w:rFonts w:ascii="Arial" w:hAnsi="Arial" w:cs="Arial"/>
          <w:sz w:val="22"/>
          <w:szCs w:val="22"/>
        </w:rPr>
        <w:t>emphasises</w:t>
      </w:r>
      <w:r w:rsidRPr="00EB2901">
        <w:rPr>
          <w:rFonts w:ascii="Arial" w:hAnsi="Arial" w:cs="Arial"/>
          <w:sz w:val="22"/>
          <w:szCs w:val="22"/>
        </w:rPr>
        <w:t xml:space="preserve"> that societal disparities stem from structural racism rather than inherent cultural deficiencies. This approach seeks to dismantle the systems that perpetuate inequality and promotes the following key elements:</w:t>
      </w:r>
    </w:p>
    <w:p w14:paraId="24FE72A7" w14:textId="4EDA02ED" w:rsidR="00A86D8B" w:rsidRPr="00EB2901" w:rsidRDefault="00A86D8B" w:rsidP="00EB2901">
      <w:pPr>
        <w:pStyle w:val="NormalWeb"/>
        <w:numPr>
          <w:ilvl w:val="0"/>
          <w:numId w:val="42"/>
        </w:numPr>
        <w:spacing w:line="360" w:lineRule="auto"/>
        <w:jc w:val="both"/>
        <w:rPr>
          <w:rFonts w:ascii="Arial" w:hAnsi="Arial" w:cs="Arial"/>
          <w:sz w:val="22"/>
          <w:szCs w:val="22"/>
        </w:rPr>
      </w:pPr>
      <w:r w:rsidRPr="00EB2901">
        <w:rPr>
          <w:rFonts w:ascii="Arial" w:hAnsi="Arial" w:cs="Arial"/>
          <w:sz w:val="22"/>
          <w:szCs w:val="22"/>
        </w:rPr>
        <w:t xml:space="preserve">Increased Transparency: </w:t>
      </w:r>
      <w:r w:rsidR="00141047" w:rsidRPr="00EB2901">
        <w:rPr>
          <w:rFonts w:ascii="Arial" w:hAnsi="Arial" w:cs="Arial"/>
          <w:sz w:val="22"/>
          <w:szCs w:val="22"/>
        </w:rPr>
        <w:t>Organisations</w:t>
      </w:r>
      <w:r w:rsidRPr="00EB2901">
        <w:rPr>
          <w:rFonts w:ascii="Arial" w:hAnsi="Arial" w:cs="Arial"/>
          <w:sz w:val="22"/>
          <w:szCs w:val="22"/>
        </w:rPr>
        <w:t xml:space="preserve"> are encouraged to be open about their practices, policies, and data concerning diversity and equity. This means providing clear information about how decisions are made and how resources are allocated, allowing stakeholders to understand the underlying factors that contribute to inequities.</w:t>
      </w:r>
    </w:p>
    <w:p w14:paraId="50813B5F" w14:textId="25C3F7C3" w:rsidR="00A86D8B" w:rsidRPr="00EB2901" w:rsidRDefault="00A86D8B" w:rsidP="00EB2901">
      <w:pPr>
        <w:pStyle w:val="NormalWeb"/>
        <w:numPr>
          <w:ilvl w:val="0"/>
          <w:numId w:val="42"/>
        </w:numPr>
        <w:spacing w:line="360" w:lineRule="auto"/>
        <w:jc w:val="both"/>
        <w:rPr>
          <w:rFonts w:ascii="Arial" w:hAnsi="Arial" w:cs="Arial"/>
          <w:sz w:val="22"/>
          <w:szCs w:val="22"/>
        </w:rPr>
      </w:pPr>
      <w:r w:rsidRPr="00EB2901">
        <w:rPr>
          <w:rFonts w:ascii="Arial" w:hAnsi="Arial" w:cs="Arial"/>
          <w:sz w:val="22"/>
          <w:szCs w:val="22"/>
        </w:rPr>
        <w:t>Accountability</w:t>
      </w:r>
      <w:r w:rsidR="008E3346" w:rsidRPr="00EB2901">
        <w:rPr>
          <w:rFonts w:ascii="Arial" w:hAnsi="Arial" w:cs="Arial"/>
          <w:sz w:val="22"/>
          <w:szCs w:val="22"/>
        </w:rPr>
        <w:t>:</w:t>
      </w:r>
      <w:r w:rsidRPr="00EB2901">
        <w:rPr>
          <w:rFonts w:ascii="Arial" w:hAnsi="Arial" w:cs="Arial"/>
          <w:sz w:val="22"/>
          <w:szCs w:val="22"/>
        </w:rPr>
        <w:t xml:space="preserve"> Institutions must establish mechanisms to hold themselves accountable for their actions regarding diversity and inclusion. This includes setting measurable goals, regularly reporting on progress, and creating consequences for failing to address disparities effectively.</w:t>
      </w:r>
    </w:p>
    <w:p w14:paraId="54F60B81" w14:textId="6113C1C8" w:rsidR="00CE70A9" w:rsidRPr="00DE377E" w:rsidRDefault="00A86D8B" w:rsidP="00DE377E">
      <w:pPr>
        <w:pStyle w:val="NormalWeb"/>
        <w:numPr>
          <w:ilvl w:val="0"/>
          <w:numId w:val="42"/>
        </w:numPr>
        <w:spacing w:line="360" w:lineRule="auto"/>
        <w:jc w:val="both"/>
        <w:rPr>
          <w:rFonts w:ascii="Arial" w:hAnsi="Arial" w:cs="Arial"/>
          <w:sz w:val="22"/>
          <w:szCs w:val="22"/>
        </w:rPr>
      </w:pPr>
      <w:r w:rsidRPr="00EB2901">
        <w:rPr>
          <w:rFonts w:ascii="Arial" w:hAnsi="Arial" w:cs="Arial"/>
          <w:sz w:val="22"/>
          <w:szCs w:val="22"/>
        </w:rPr>
        <w:t>Representation in the Donation Workforce</w:t>
      </w:r>
      <w:r w:rsidR="00141047" w:rsidRPr="00EB2901">
        <w:rPr>
          <w:rFonts w:ascii="Arial" w:hAnsi="Arial" w:cs="Arial"/>
          <w:sz w:val="22"/>
          <w:szCs w:val="22"/>
        </w:rPr>
        <w:t>:</w:t>
      </w:r>
      <w:r w:rsidRPr="00EB2901">
        <w:rPr>
          <w:rFonts w:ascii="Arial" w:hAnsi="Arial" w:cs="Arial"/>
          <w:sz w:val="22"/>
          <w:szCs w:val="22"/>
        </w:rPr>
        <w:t xml:space="preserve"> To create more equitable systems, it is crucial to ensure that the teams involved in decision-making processes reflect the diversity of the communities they serve. This representation helps to bring different </w:t>
      </w:r>
    </w:p>
    <w:p w14:paraId="51D7F72E" w14:textId="07608D73" w:rsidR="00A86D8B" w:rsidRPr="00EB2901" w:rsidRDefault="00A86D8B" w:rsidP="00EB2901">
      <w:pPr>
        <w:pStyle w:val="NormalWeb"/>
        <w:numPr>
          <w:ilvl w:val="0"/>
          <w:numId w:val="42"/>
        </w:numPr>
        <w:spacing w:line="360" w:lineRule="auto"/>
        <w:jc w:val="both"/>
        <w:rPr>
          <w:rFonts w:ascii="Arial" w:hAnsi="Arial" w:cs="Arial"/>
          <w:sz w:val="22"/>
          <w:szCs w:val="22"/>
        </w:rPr>
      </w:pPr>
      <w:r w:rsidRPr="00EB2901">
        <w:rPr>
          <w:rFonts w:ascii="Arial" w:hAnsi="Arial" w:cs="Arial"/>
          <w:sz w:val="22"/>
          <w:szCs w:val="22"/>
        </w:rPr>
        <w:t xml:space="preserve">perspectives and experiences into the conversation, which is vital for understanding the needs and challenges faced by </w:t>
      </w:r>
      <w:r w:rsidR="006A30A4" w:rsidRPr="00EB2901">
        <w:rPr>
          <w:rFonts w:ascii="Arial" w:hAnsi="Arial" w:cs="Arial"/>
          <w:sz w:val="22"/>
          <w:szCs w:val="22"/>
        </w:rPr>
        <w:t>marginalised</w:t>
      </w:r>
      <w:r w:rsidRPr="00EB2901">
        <w:rPr>
          <w:rFonts w:ascii="Arial" w:hAnsi="Arial" w:cs="Arial"/>
          <w:sz w:val="22"/>
          <w:szCs w:val="22"/>
        </w:rPr>
        <w:t xml:space="preserve"> groups.</w:t>
      </w:r>
    </w:p>
    <w:p w14:paraId="64C61EEC" w14:textId="03533E2B" w:rsidR="00141047" w:rsidRPr="00EB2901" w:rsidRDefault="00A86D8B" w:rsidP="00EB2901">
      <w:pPr>
        <w:pStyle w:val="NormalWeb"/>
        <w:numPr>
          <w:ilvl w:val="0"/>
          <w:numId w:val="42"/>
        </w:numPr>
        <w:spacing w:line="360" w:lineRule="auto"/>
        <w:jc w:val="both"/>
        <w:rPr>
          <w:rFonts w:ascii="Arial" w:hAnsi="Arial" w:cs="Arial"/>
          <w:sz w:val="22"/>
          <w:szCs w:val="22"/>
        </w:rPr>
      </w:pPr>
      <w:r w:rsidRPr="00EB2901">
        <w:rPr>
          <w:rFonts w:ascii="Arial" w:hAnsi="Arial" w:cs="Arial"/>
          <w:sz w:val="22"/>
          <w:szCs w:val="22"/>
        </w:rPr>
        <w:t>Explicit Acknowledgement of Historical Harms</w:t>
      </w:r>
      <w:r w:rsidR="006A30A4" w:rsidRPr="00EB2901">
        <w:rPr>
          <w:rFonts w:ascii="Arial" w:hAnsi="Arial" w:cs="Arial"/>
          <w:sz w:val="22"/>
          <w:szCs w:val="22"/>
        </w:rPr>
        <w:t>:</w:t>
      </w:r>
      <w:r w:rsidRPr="00EB2901">
        <w:rPr>
          <w:rFonts w:ascii="Arial" w:hAnsi="Arial" w:cs="Arial"/>
          <w:sz w:val="22"/>
          <w:szCs w:val="22"/>
        </w:rPr>
        <w:t xml:space="preserve"> </w:t>
      </w:r>
      <w:r w:rsidR="006A30A4" w:rsidRPr="00EB2901">
        <w:rPr>
          <w:rFonts w:ascii="Arial" w:hAnsi="Arial" w:cs="Arial"/>
          <w:sz w:val="22"/>
          <w:szCs w:val="22"/>
        </w:rPr>
        <w:t>Recognising</w:t>
      </w:r>
      <w:r w:rsidRPr="00EB2901">
        <w:rPr>
          <w:rFonts w:ascii="Arial" w:hAnsi="Arial" w:cs="Arial"/>
          <w:sz w:val="22"/>
          <w:szCs w:val="22"/>
        </w:rPr>
        <w:t xml:space="preserve"> and addressing the historical injustices and systemic inequalities that exist is essential. This </w:t>
      </w:r>
      <w:r w:rsidR="006A30A4" w:rsidRPr="00EB2901">
        <w:rPr>
          <w:rFonts w:ascii="Arial" w:hAnsi="Arial" w:cs="Arial"/>
          <w:sz w:val="22"/>
          <w:szCs w:val="22"/>
        </w:rPr>
        <w:t>acknowledgement</w:t>
      </w:r>
      <w:r w:rsidRPr="00EB2901">
        <w:rPr>
          <w:rFonts w:ascii="Arial" w:hAnsi="Arial" w:cs="Arial"/>
          <w:sz w:val="22"/>
          <w:szCs w:val="22"/>
        </w:rPr>
        <w:t xml:space="preserve"> involves a commitment to understanding the past and working towards reparative actions that can help rectify the ongoing impacts of these injustices.</w:t>
      </w:r>
    </w:p>
    <w:p w14:paraId="17FCB39E" w14:textId="4FE836FC" w:rsidR="00DE377E" w:rsidRPr="00F00FC4" w:rsidRDefault="00A86D8B" w:rsidP="00EB2901">
      <w:pPr>
        <w:pStyle w:val="NormalWeb"/>
        <w:spacing w:line="360" w:lineRule="auto"/>
        <w:jc w:val="both"/>
        <w:rPr>
          <w:rFonts w:ascii="Arial" w:hAnsi="Arial" w:cs="Arial"/>
          <w:sz w:val="22"/>
          <w:szCs w:val="22"/>
        </w:rPr>
      </w:pPr>
      <w:r w:rsidRPr="00EB2901">
        <w:rPr>
          <w:rFonts w:ascii="Arial" w:hAnsi="Arial" w:cs="Arial"/>
          <w:sz w:val="22"/>
          <w:szCs w:val="22"/>
        </w:rPr>
        <w:t xml:space="preserve">In addition to these fundamental aspects, relevant legislation plays a crucial role in promoting anti-racist initiatives. One significant piece of legislation is the Human Rights Act </w:t>
      </w:r>
      <w:r w:rsidR="00F3120B" w:rsidRPr="00EB2901">
        <w:rPr>
          <w:rFonts w:ascii="Arial" w:hAnsi="Arial" w:cs="Arial"/>
          <w:sz w:val="22"/>
          <w:szCs w:val="22"/>
        </w:rPr>
        <w:t xml:space="preserve">1998, which embodies principles </w:t>
      </w:r>
      <w:r w:rsidRPr="00EB2901">
        <w:rPr>
          <w:rFonts w:ascii="Arial" w:hAnsi="Arial" w:cs="Arial"/>
          <w:sz w:val="22"/>
          <w:szCs w:val="22"/>
        </w:rPr>
        <w:t>essential to the advancement of individual rights and freedoms in the UK.</w:t>
      </w:r>
    </w:p>
    <w:p w14:paraId="7D238E1E" w14:textId="0539DDC0" w:rsidR="00A86D8B" w:rsidRPr="00EB2901" w:rsidRDefault="00A86D8B" w:rsidP="00EB2901">
      <w:pPr>
        <w:pStyle w:val="NormalWeb"/>
        <w:spacing w:line="360" w:lineRule="auto"/>
        <w:jc w:val="both"/>
        <w:rPr>
          <w:rFonts w:ascii="Arial" w:hAnsi="Arial" w:cs="Arial"/>
          <w:b/>
          <w:bCs/>
          <w:sz w:val="22"/>
          <w:szCs w:val="22"/>
        </w:rPr>
      </w:pPr>
      <w:r w:rsidRPr="00EB2901">
        <w:rPr>
          <w:rFonts w:ascii="Arial" w:hAnsi="Arial" w:cs="Arial"/>
          <w:b/>
          <w:bCs/>
          <w:sz w:val="22"/>
          <w:szCs w:val="22"/>
        </w:rPr>
        <w:t>Human Rights Act 1998</w:t>
      </w:r>
    </w:p>
    <w:p w14:paraId="79997420" w14:textId="2BCD73F4" w:rsidR="00A86D8B" w:rsidRPr="00EB2901" w:rsidRDefault="00A86D8B" w:rsidP="00EB2901">
      <w:pPr>
        <w:pStyle w:val="NormalWeb"/>
        <w:spacing w:line="360" w:lineRule="auto"/>
        <w:jc w:val="both"/>
        <w:rPr>
          <w:rFonts w:ascii="Arial" w:hAnsi="Arial" w:cs="Arial"/>
          <w:sz w:val="22"/>
          <w:szCs w:val="22"/>
        </w:rPr>
      </w:pPr>
      <w:r w:rsidRPr="00EB2901">
        <w:rPr>
          <w:rFonts w:ascii="Arial" w:hAnsi="Arial" w:cs="Arial"/>
          <w:sz w:val="22"/>
          <w:szCs w:val="22"/>
        </w:rPr>
        <w:t xml:space="preserve">The Human Rights Act serves as a cornerstone for protecting the rights of individuals, </w:t>
      </w:r>
      <w:r w:rsidR="006A30A4" w:rsidRPr="00EB2901">
        <w:rPr>
          <w:rFonts w:ascii="Arial" w:hAnsi="Arial" w:cs="Arial"/>
          <w:sz w:val="22"/>
          <w:szCs w:val="22"/>
        </w:rPr>
        <w:t>emphasising</w:t>
      </w:r>
      <w:r w:rsidRPr="00EB2901">
        <w:rPr>
          <w:rFonts w:ascii="Arial" w:hAnsi="Arial" w:cs="Arial"/>
          <w:sz w:val="22"/>
          <w:szCs w:val="22"/>
        </w:rPr>
        <w:t xml:space="preserve"> autonomy, dignity, and equality before the law. Some key aspects include:</w:t>
      </w:r>
    </w:p>
    <w:p w14:paraId="614AB359" w14:textId="18FE6B17" w:rsidR="00A86D8B" w:rsidRPr="00EB2901" w:rsidRDefault="00A86D8B" w:rsidP="00EB2901">
      <w:pPr>
        <w:pStyle w:val="NormalWeb"/>
        <w:numPr>
          <w:ilvl w:val="0"/>
          <w:numId w:val="41"/>
        </w:numPr>
        <w:spacing w:line="360" w:lineRule="auto"/>
        <w:jc w:val="both"/>
        <w:rPr>
          <w:rFonts w:ascii="Arial" w:hAnsi="Arial" w:cs="Arial"/>
          <w:sz w:val="22"/>
          <w:szCs w:val="22"/>
        </w:rPr>
      </w:pPr>
      <w:r w:rsidRPr="00EB2901">
        <w:rPr>
          <w:rFonts w:ascii="Arial" w:hAnsi="Arial" w:cs="Arial"/>
          <w:sz w:val="22"/>
          <w:szCs w:val="22"/>
        </w:rPr>
        <w:t>Right to Life</w:t>
      </w:r>
      <w:r w:rsidR="006A30A4" w:rsidRPr="00EB2901">
        <w:rPr>
          <w:rFonts w:ascii="Arial" w:hAnsi="Arial" w:cs="Arial"/>
          <w:sz w:val="22"/>
          <w:szCs w:val="22"/>
        </w:rPr>
        <w:t>:</w:t>
      </w:r>
      <w:r w:rsidRPr="00EB2901">
        <w:rPr>
          <w:rFonts w:ascii="Arial" w:hAnsi="Arial" w:cs="Arial"/>
          <w:sz w:val="22"/>
          <w:szCs w:val="22"/>
        </w:rPr>
        <w:t xml:space="preserve"> This protects individuals from unlawful deprivation of life, ensuring that state actions do not unjustly harm citizens.</w:t>
      </w:r>
    </w:p>
    <w:p w14:paraId="724FCD6E" w14:textId="7D0D706C" w:rsidR="00A86D8B" w:rsidRPr="00EB2901" w:rsidRDefault="00A86D8B" w:rsidP="00EB2901">
      <w:pPr>
        <w:pStyle w:val="NormalWeb"/>
        <w:numPr>
          <w:ilvl w:val="0"/>
          <w:numId w:val="41"/>
        </w:numPr>
        <w:spacing w:line="360" w:lineRule="auto"/>
        <w:jc w:val="both"/>
        <w:rPr>
          <w:rFonts w:ascii="Arial" w:hAnsi="Arial" w:cs="Arial"/>
          <w:sz w:val="22"/>
          <w:szCs w:val="22"/>
        </w:rPr>
      </w:pPr>
      <w:r w:rsidRPr="00EB2901">
        <w:rPr>
          <w:rFonts w:ascii="Arial" w:hAnsi="Arial" w:cs="Arial"/>
          <w:sz w:val="22"/>
          <w:szCs w:val="22"/>
        </w:rPr>
        <w:t xml:space="preserve">Prohibition of Torture and Inhumane Treatment: The Act prohibits torture and inhumane or degrading treatment. This is particularly relevant in contexts where </w:t>
      </w:r>
      <w:r w:rsidR="006A30A4" w:rsidRPr="00EB2901">
        <w:rPr>
          <w:rFonts w:ascii="Arial" w:hAnsi="Arial" w:cs="Arial"/>
          <w:sz w:val="22"/>
          <w:szCs w:val="22"/>
        </w:rPr>
        <w:t>marginalised</w:t>
      </w:r>
      <w:r w:rsidRPr="00EB2901">
        <w:rPr>
          <w:rFonts w:ascii="Arial" w:hAnsi="Arial" w:cs="Arial"/>
          <w:sz w:val="22"/>
          <w:szCs w:val="22"/>
        </w:rPr>
        <w:t xml:space="preserve"> communities may be at risk of mistreatment.</w:t>
      </w:r>
    </w:p>
    <w:p w14:paraId="73E1760A" w14:textId="256327A8" w:rsidR="00A86D8B" w:rsidRPr="00EB2901" w:rsidRDefault="00A86D8B" w:rsidP="00EB2901">
      <w:pPr>
        <w:pStyle w:val="NormalWeb"/>
        <w:numPr>
          <w:ilvl w:val="0"/>
          <w:numId w:val="41"/>
        </w:numPr>
        <w:spacing w:line="360" w:lineRule="auto"/>
        <w:jc w:val="both"/>
        <w:rPr>
          <w:rFonts w:ascii="Arial" w:hAnsi="Arial" w:cs="Arial"/>
          <w:sz w:val="22"/>
          <w:szCs w:val="22"/>
        </w:rPr>
      </w:pPr>
      <w:r w:rsidRPr="00EB2901">
        <w:rPr>
          <w:rFonts w:ascii="Arial" w:hAnsi="Arial" w:cs="Arial"/>
          <w:sz w:val="22"/>
          <w:szCs w:val="22"/>
        </w:rPr>
        <w:t>Right to a Fair Trial</w:t>
      </w:r>
      <w:r w:rsidR="006A30A4" w:rsidRPr="00EB2901">
        <w:rPr>
          <w:rFonts w:ascii="Arial" w:hAnsi="Arial" w:cs="Arial"/>
          <w:sz w:val="22"/>
          <w:szCs w:val="22"/>
        </w:rPr>
        <w:t>:</w:t>
      </w:r>
      <w:r w:rsidRPr="00EB2901">
        <w:rPr>
          <w:rFonts w:ascii="Arial" w:hAnsi="Arial" w:cs="Arial"/>
          <w:sz w:val="22"/>
          <w:szCs w:val="22"/>
        </w:rPr>
        <w:t xml:space="preserve"> Everyone is entitled to a fair and public hearing in the determination of their rights and obligations, which reinforces the importance of equality in legal processes.</w:t>
      </w:r>
    </w:p>
    <w:p w14:paraId="0D32D1BD" w14:textId="668E9F00" w:rsidR="00A86D8B" w:rsidRPr="00EB2901" w:rsidRDefault="00A86D8B" w:rsidP="00EB2901">
      <w:pPr>
        <w:pStyle w:val="NormalWeb"/>
        <w:numPr>
          <w:ilvl w:val="0"/>
          <w:numId w:val="41"/>
        </w:numPr>
        <w:spacing w:line="360" w:lineRule="auto"/>
        <w:jc w:val="both"/>
        <w:rPr>
          <w:rFonts w:ascii="Arial" w:hAnsi="Arial" w:cs="Arial"/>
          <w:sz w:val="22"/>
          <w:szCs w:val="22"/>
        </w:rPr>
      </w:pPr>
      <w:r w:rsidRPr="00EB2901">
        <w:rPr>
          <w:rFonts w:ascii="Arial" w:hAnsi="Arial" w:cs="Arial"/>
          <w:sz w:val="22"/>
          <w:szCs w:val="22"/>
        </w:rPr>
        <w:t>Protection Against Discrimination: The Act outlines that everyone is entitled to the rights and freedoms set out without discrimination of any kind, including race, ethnicity, and social status. This aspect is vital for combating systemic racism and ensuring that everyone has equal access to justice and opportunity.</w:t>
      </w:r>
    </w:p>
    <w:p w14:paraId="4C5D470D" w14:textId="100BF5E4" w:rsidR="00592FF6" w:rsidRPr="00F00FC4" w:rsidRDefault="00A86D8B" w:rsidP="00EB2901">
      <w:pPr>
        <w:pStyle w:val="NormalWeb"/>
        <w:spacing w:line="360" w:lineRule="auto"/>
        <w:jc w:val="both"/>
        <w:rPr>
          <w:rFonts w:ascii="Arial" w:hAnsi="Arial" w:cs="Arial"/>
          <w:sz w:val="22"/>
          <w:szCs w:val="22"/>
        </w:rPr>
      </w:pPr>
      <w:r w:rsidRPr="00EB2901">
        <w:rPr>
          <w:rFonts w:ascii="Arial" w:hAnsi="Arial" w:cs="Arial"/>
          <w:sz w:val="22"/>
          <w:szCs w:val="22"/>
        </w:rPr>
        <w:t xml:space="preserve">In conclusion, the integration of the Anti-Racist Framework and the principles enshrined in the Human Rights Act of 1998 creates a robust foundation for fostering equity and justice. By </w:t>
      </w:r>
      <w:r w:rsidR="006A30A4" w:rsidRPr="00EB2901">
        <w:rPr>
          <w:rFonts w:ascii="Arial" w:hAnsi="Arial" w:cs="Arial"/>
          <w:sz w:val="22"/>
          <w:szCs w:val="22"/>
        </w:rPr>
        <w:t>prioritising</w:t>
      </w:r>
      <w:r w:rsidRPr="00EB2901">
        <w:rPr>
          <w:rFonts w:ascii="Arial" w:hAnsi="Arial" w:cs="Arial"/>
          <w:sz w:val="22"/>
          <w:szCs w:val="22"/>
        </w:rPr>
        <w:t xml:space="preserve"> transparency, accountability, representation, and </w:t>
      </w:r>
      <w:r w:rsidR="006A30A4" w:rsidRPr="00EB2901">
        <w:rPr>
          <w:rFonts w:ascii="Arial" w:hAnsi="Arial" w:cs="Arial"/>
          <w:sz w:val="22"/>
          <w:szCs w:val="22"/>
        </w:rPr>
        <w:t>acknowledgement</w:t>
      </w:r>
      <w:r w:rsidRPr="00EB2901">
        <w:rPr>
          <w:rFonts w:ascii="Arial" w:hAnsi="Arial" w:cs="Arial"/>
          <w:sz w:val="22"/>
          <w:szCs w:val="22"/>
        </w:rPr>
        <w:t xml:space="preserve"> of historical injustices, we can work towards a more inclusive society that </w:t>
      </w:r>
      <w:r w:rsidR="006A30A4" w:rsidRPr="00EB2901">
        <w:rPr>
          <w:rFonts w:ascii="Arial" w:hAnsi="Arial" w:cs="Arial"/>
          <w:sz w:val="22"/>
          <w:szCs w:val="22"/>
        </w:rPr>
        <w:t>recognises</w:t>
      </w:r>
      <w:r w:rsidRPr="00EB2901">
        <w:rPr>
          <w:rFonts w:ascii="Arial" w:hAnsi="Arial" w:cs="Arial"/>
          <w:sz w:val="22"/>
          <w:szCs w:val="22"/>
        </w:rPr>
        <w:t xml:space="preserve"> and values the rights of all individuals. This holistic approach is essential for dismantling systemic barriers and promoting a future grounded in equality and respect</w:t>
      </w:r>
      <w:r w:rsidR="00F00FC4">
        <w:rPr>
          <w:rFonts w:ascii="Arial" w:hAnsi="Arial" w:cs="Arial"/>
          <w:sz w:val="22"/>
          <w:szCs w:val="22"/>
        </w:rPr>
        <w:t>.</w:t>
      </w:r>
    </w:p>
    <w:p w14:paraId="4BBD559A" w14:textId="317B8DF9" w:rsidR="00C7209A" w:rsidRPr="00EB2901" w:rsidRDefault="00C7209A" w:rsidP="00EB2901">
      <w:pPr>
        <w:pStyle w:val="NormalWeb"/>
        <w:spacing w:line="360" w:lineRule="auto"/>
        <w:jc w:val="both"/>
        <w:rPr>
          <w:rFonts w:ascii="Arial" w:hAnsi="Arial" w:cs="Arial"/>
          <w:sz w:val="22"/>
          <w:szCs w:val="22"/>
        </w:rPr>
      </w:pPr>
      <w:r w:rsidRPr="00EB2901">
        <w:rPr>
          <w:rFonts w:ascii="Arial" w:hAnsi="Arial" w:cs="Arial"/>
          <w:b/>
          <w:bCs/>
          <w:sz w:val="22"/>
          <w:szCs w:val="22"/>
        </w:rPr>
        <w:t>Equality Act 2010 (non</w:t>
      </w:r>
      <w:r w:rsidRPr="00EB2901">
        <w:rPr>
          <w:rFonts w:ascii="Arial" w:hAnsi="Arial" w:cs="Arial"/>
          <w:b/>
          <w:bCs/>
          <w:sz w:val="22"/>
          <w:szCs w:val="22"/>
        </w:rPr>
        <w:noBreakHyphen/>
        <w:t>discrimination)</w:t>
      </w:r>
      <w:r w:rsidR="000046C7" w:rsidRPr="00EB2901">
        <w:rPr>
          <w:rFonts w:ascii="Arial" w:hAnsi="Arial" w:cs="Arial"/>
          <w:b/>
          <w:bCs/>
          <w:sz w:val="22"/>
          <w:szCs w:val="22"/>
        </w:rPr>
        <w:t xml:space="preserve"> &amp; </w:t>
      </w:r>
      <w:r w:rsidR="00A02B8E" w:rsidRPr="00EB2901">
        <w:rPr>
          <w:rFonts w:ascii="Arial" w:hAnsi="Arial" w:cs="Arial"/>
          <w:b/>
          <w:bCs/>
          <w:sz w:val="22"/>
          <w:szCs w:val="22"/>
        </w:rPr>
        <w:t>NHS Long Term Plan</w:t>
      </w:r>
    </w:p>
    <w:p w14:paraId="672D98FC" w14:textId="3C52D707" w:rsidR="008850D2" w:rsidRPr="00EB2901" w:rsidRDefault="008850D2" w:rsidP="00EB2901">
      <w:pPr>
        <w:rPr>
          <w:rFonts w:ascii="Arial" w:hAnsi="Arial" w:cs="Arial"/>
        </w:rPr>
      </w:pPr>
      <w:r w:rsidRPr="00EB2901">
        <w:rPr>
          <w:rFonts w:ascii="Arial" w:hAnsi="Arial" w:cs="Arial"/>
          <w:b/>
          <w:bCs/>
        </w:rPr>
        <w:t>The Equality Act 2010</w:t>
      </w:r>
      <w:r w:rsidRPr="00EB2901">
        <w:rPr>
          <w:rFonts w:ascii="Arial" w:hAnsi="Arial" w:cs="Arial"/>
        </w:rPr>
        <w:t xml:space="preserve"> is a crucial piece of legislation aimed at addressing and dismantling structural barriers that limit access to blood and organ donation services. This dissertation highlights the Act's role in establishing a Public Sector Equality Duty (PSED), which is particularly relevant to the National Health Service (NHS) and other public bodies.</w:t>
      </w:r>
    </w:p>
    <w:p w14:paraId="142FE45F" w14:textId="5CF4561A" w:rsidR="008850D2" w:rsidRPr="00EB2901" w:rsidRDefault="008850D2" w:rsidP="00EB2901">
      <w:pPr>
        <w:rPr>
          <w:rFonts w:ascii="Arial" w:hAnsi="Arial" w:cs="Arial"/>
        </w:rPr>
      </w:pPr>
      <w:r w:rsidRPr="00EB2901">
        <w:rPr>
          <w:rFonts w:ascii="Arial" w:hAnsi="Arial" w:cs="Arial"/>
        </w:rPr>
        <w:t xml:space="preserve">The </w:t>
      </w:r>
      <w:r w:rsidRPr="00EB2901">
        <w:rPr>
          <w:rFonts w:ascii="Arial" w:hAnsi="Arial" w:cs="Arial"/>
          <w:b/>
          <w:bCs/>
        </w:rPr>
        <w:t xml:space="preserve">PSED </w:t>
      </w:r>
      <w:r w:rsidRPr="00EB2901">
        <w:rPr>
          <w:rFonts w:ascii="Arial" w:hAnsi="Arial" w:cs="Arial"/>
        </w:rPr>
        <w:t>requires these organisations to go beyond simply complying with non-discrimination laws; it obliges them to take proactive measures to prevent discrimination and actively promote equality for all individuals, especially those with specific protected characteristics (Equality Act 2010). These characteristics include race, religion, age, disability, gender, sexual orientation, and pregnancy or maternity status (Equality and Human Rights Commission, 2017).</w:t>
      </w:r>
    </w:p>
    <w:p w14:paraId="46F0153A" w14:textId="42262D38" w:rsidR="008850D2" w:rsidRPr="00EB2901" w:rsidRDefault="008850D2" w:rsidP="00EB2901">
      <w:pPr>
        <w:rPr>
          <w:rFonts w:ascii="Arial" w:hAnsi="Arial" w:cs="Arial"/>
        </w:rPr>
      </w:pPr>
      <w:r w:rsidRPr="00EB2901">
        <w:rPr>
          <w:rFonts w:ascii="Arial" w:hAnsi="Arial" w:cs="Arial"/>
        </w:rPr>
        <w:t>This framework compels the NHS to not only acknowledge the diverse backgrounds of patients and potential donors but also to ensure that their services are accessible and equitable (NHS England, 2016). By mandating that public bodies integrate equality considerations into their decision-making processes and policies, the Equality Act aims to create an inclusive environment where all individuals, regardless of their identity or background, have equal opportunities to participate in blood and organ donation programs (NHS Blood and Transplant, 2018).</w:t>
      </w:r>
    </w:p>
    <w:p w14:paraId="56A06CCE" w14:textId="321BFDD1" w:rsidR="002865F5" w:rsidRPr="00EB2901" w:rsidRDefault="008850D2" w:rsidP="00592FF6">
      <w:pPr>
        <w:rPr>
          <w:rFonts w:ascii="Arial" w:hAnsi="Arial" w:cs="Arial"/>
        </w:rPr>
      </w:pPr>
      <w:r w:rsidRPr="00EB2901">
        <w:rPr>
          <w:rFonts w:ascii="Arial" w:hAnsi="Arial" w:cs="Arial"/>
        </w:rPr>
        <w:t>Furthermore, the legislation emphasises the importance of removing barriers and improving access for marginalised communities, ensuring that the benefits of essential healthcare services are distributed fairly (Scottish Government, 2021). Through the lens of the Equality Act 2010, this dissertation explores the ongoing challenges and opportunities for enhancing access to blood and organ donations within the framework of equality and non-discrimination.</w:t>
      </w:r>
    </w:p>
    <w:p w14:paraId="637B0DED" w14:textId="77777777" w:rsidR="002865F5" w:rsidRPr="007E113C" w:rsidRDefault="002865F5" w:rsidP="00EB2901">
      <w:pPr>
        <w:pStyle w:val="Heading4"/>
        <w:rPr>
          <w:rFonts w:ascii="Arial" w:hAnsi="Arial" w:cs="Arial"/>
          <w:b/>
          <w:bCs/>
          <w:i w:val="0"/>
          <w:iCs w:val="0"/>
          <w:color w:val="auto"/>
          <w:sz w:val="24"/>
          <w:szCs w:val="24"/>
        </w:rPr>
      </w:pPr>
      <w:r w:rsidRPr="007E113C">
        <w:rPr>
          <w:rFonts w:ascii="Arial" w:hAnsi="Arial" w:cs="Arial"/>
          <w:b/>
          <w:bCs/>
          <w:i w:val="0"/>
          <w:iCs w:val="0"/>
          <w:color w:val="auto"/>
          <w:sz w:val="24"/>
          <w:szCs w:val="24"/>
        </w:rPr>
        <w:t>Implications</w:t>
      </w:r>
    </w:p>
    <w:p w14:paraId="02D216F1" w14:textId="77777777" w:rsidR="002865F5" w:rsidRPr="00EB2901" w:rsidRDefault="002865F5" w:rsidP="00EB2901">
      <w:pPr>
        <w:numPr>
          <w:ilvl w:val="0"/>
          <w:numId w:val="11"/>
        </w:numPr>
        <w:spacing w:before="100" w:beforeAutospacing="1" w:after="100" w:afterAutospacing="1"/>
        <w:rPr>
          <w:rStyle w:val="Strong"/>
          <w:rFonts w:ascii="Arial" w:hAnsi="Arial" w:cs="Arial"/>
          <w:b w:val="0"/>
          <w:bCs w:val="0"/>
        </w:rPr>
      </w:pPr>
      <w:r w:rsidRPr="00EB2901">
        <w:rPr>
          <w:rStyle w:val="Strong"/>
          <w:rFonts w:ascii="Arial" w:hAnsi="Arial" w:cs="Arial"/>
        </w:rPr>
        <w:t>Positive and Negative Implications:</w:t>
      </w:r>
    </w:p>
    <w:p w14:paraId="0F8C1936" w14:textId="34925210" w:rsidR="003A3E5B" w:rsidRPr="00EB2901" w:rsidRDefault="003A3E5B" w:rsidP="00EB2901">
      <w:pPr>
        <w:pStyle w:val="ListParagraph"/>
        <w:numPr>
          <w:ilvl w:val="0"/>
          <w:numId w:val="11"/>
        </w:numPr>
        <w:spacing w:line="360" w:lineRule="auto"/>
        <w:jc w:val="both"/>
        <w:rPr>
          <w:rFonts w:ascii="Arial" w:eastAsia="Times New Roman" w:hAnsi="Arial" w:cs="Arial"/>
          <w:sz w:val="21"/>
          <w:szCs w:val="21"/>
        </w:rPr>
      </w:pPr>
      <w:r w:rsidRPr="00EB2901">
        <w:rPr>
          <w:rFonts w:ascii="Arial" w:eastAsia="Times New Roman" w:hAnsi="Arial" w:cs="Arial"/>
          <w:sz w:val="21"/>
          <w:szCs w:val="21"/>
        </w:rPr>
        <w:t xml:space="preserve">Encourages institutions to change practices rather than expecting individuals to adapt. </w:t>
      </w:r>
    </w:p>
    <w:p w14:paraId="0CAFF12E" w14:textId="6DF37422" w:rsidR="003A3E5B" w:rsidRPr="00EB2901" w:rsidRDefault="003A3E5B" w:rsidP="00EB2901">
      <w:pPr>
        <w:pStyle w:val="ListParagraph"/>
        <w:numPr>
          <w:ilvl w:val="0"/>
          <w:numId w:val="11"/>
        </w:numPr>
        <w:spacing w:line="360" w:lineRule="auto"/>
        <w:jc w:val="both"/>
        <w:rPr>
          <w:rFonts w:ascii="Arial" w:eastAsia="Times New Roman" w:hAnsi="Arial" w:cs="Arial"/>
          <w:sz w:val="21"/>
          <w:szCs w:val="21"/>
        </w:rPr>
      </w:pPr>
      <w:r w:rsidRPr="00EB2901">
        <w:rPr>
          <w:rFonts w:ascii="Arial" w:eastAsia="Times New Roman" w:hAnsi="Arial" w:cs="Arial"/>
          <w:sz w:val="21"/>
          <w:szCs w:val="21"/>
        </w:rPr>
        <w:t>Supports trust</w:t>
      </w:r>
      <w:r w:rsidRPr="00EB2901">
        <w:rPr>
          <w:rFonts w:ascii="Arial" w:eastAsia="Times New Roman" w:hAnsi="Arial" w:cs="Arial"/>
          <w:sz w:val="21"/>
          <w:szCs w:val="21"/>
        </w:rPr>
        <w:noBreakHyphen/>
        <w:t xml:space="preserve">building measures and community </w:t>
      </w:r>
      <w:r w:rsidR="007D2DD0" w:rsidRPr="00EB2901">
        <w:rPr>
          <w:rFonts w:ascii="Arial" w:eastAsia="Times New Roman" w:hAnsi="Arial" w:cs="Arial"/>
          <w:sz w:val="21"/>
          <w:szCs w:val="21"/>
        </w:rPr>
        <w:t>partnerships</w:t>
      </w:r>
      <w:r w:rsidRPr="00EB2901">
        <w:rPr>
          <w:rFonts w:ascii="Arial" w:eastAsia="Times New Roman" w:hAnsi="Arial" w:cs="Arial"/>
          <w:sz w:val="21"/>
          <w:szCs w:val="21"/>
        </w:rPr>
        <w:t xml:space="preserve">. </w:t>
      </w:r>
    </w:p>
    <w:p w14:paraId="418A1EC4" w14:textId="5C3C759A" w:rsidR="003A3E5B" w:rsidRPr="0005710D" w:rsidRDefault="003A3E5B" w:rsidP="0005710D">
      <w:pPr>
        <w:pStyle w:val="ListParagraph"/>
        <w:numPr>
          <w:ilvl w:val="0"/>
          <w:numId w:val="38"/>
        </w:numPr>
        <w:spacing w:line="360" w:lineRule="auto"/>
        <w:jc w:val="both"/>
        <w:rPr>
          <w:rFonts w:ascii="Arial" w:eastAsia="Times New Roman" w:hAnsi="Arial" w:cs="Arial"/>
          <w:sz w:val="21"/>
          <w:szCs w:val="21"/>
        </w:rPr>
      </w:pPr>
      <w:r w:rsidRPr="00EB2901">
        <w:rPr>
          <w:rFonts w:ascii="Arial" w:eastAsia="Times New Roman" w:hAnsi="Arial" w:cs="Arial"/>
          <w:sz w:val="21"/>
          <w:szCs w:val="21"/>
        </w:rPr>
        <w:t>Highlights system</w:t>
      </w:r>
      <w:r w:rsidRPr="00EB2901">
        <w:rPr>
          <w:rFonts w:ascii="Arial" w:eastAsia="Times New Roman" w:hAnsi="Arial" w:cs="Arial"/>
          <w:sz w:val="21"/>
          <w:szCs w:val="21"/>
        </w:rPr>
        <w:noBreakHyphen/>
        <w:t>level reforms such as translation services and diverse SNOD recruitment</w:t>
      </w:r>
      <w:r w:rsidR="0005710D">
        <w:rPr>
          <w:rFonts w:ascii="Arial" w:eastAsia="Times New Roman" w:hAnsi="Arial" w:cs="Arial"/>
          <w:sz w:val="21"/>
          <w:szCs w:val="21"/>
        </w:rPr>
        <w:t>.</w:t>
      </w:r>
    </w:p>
    <w:p w14:paraId="0EC0FF57" w14:textId="77777777" w:rsidR="00BD531B" w:rsidRDefault="00BD531B" w:rsidP="00EB2901">
      <w:pPr>
        <w:pStyle w:val="Heading4"/>
        <w:rPr>
          <w:rFonts w:ascii="Arial" w:hAnsi="Arial" w:cs="Arial"/>
          <w:i w:val="0"/>
          <w:iCs w:val="0"/>
          <w:sz w:val="24"/>
          <w:szCs w:val="24"/>
        </w:rPr>
      </w:pPr>
    </w:p>
    <w:p w14:paraId="0AD9FEAE" w14:textId="2D3CC0E6" w:rsidR="00FE5C58" w:rsidRPr="007E113C" w:rsidRDefault="00FE5C58" w:rsidP="00EB2901">
      <w:pPr>
        <w:pStyle w:val="Heading4"/>
        <w:rPr>
          <w:rFonts w:ascii="Arial" w:hAnsi="Arial" w:cs="Arial"/>
          <w:b/>
          <w:bCs/>
          <w:i w:val="0"/>
          <w:iCs w:val="0"/>
          <w:color w:val="auto"/>
          <w:sz w:val="24"/>
          <w:szCs w:val="24"/>
        </w:rPr>
      </w:pPr>
      <w:r w:rsidRPr="007E113C">
        <w:rPr>
          <w:rFonts w:ascii="Arial" w:hAnsi="Arial" w:cs="Arial"/>
          <w:b/>
          <w:bCs/>
          <w:i w:val="0"/>
          <w:iCs w:val="0"/>
          <w:color w:val="auto"/>
          <w:sz w:val="24"/>
          <w:szCs w:val="24"/>
        </w:rPr>
        <w:t xml:space="preserve">Examples from </w:t>
      </w:r>
      <w:r w:rsidR="00800C20" w:rsidRPr="007E113C">
        <w:rPr>
          <w:rFonts w:ascii="Arial" w:hAnsi="Arial" w:cs="Arial"/>
          <w:b/>
          <w:bCs/>
          <w:i w:val="0"/>
          <w:iCs w:val="0"/>
          <w:color w:val="auto"/>
          <w:sz w:val="24"/>
          <w:szCs w:val="24"/>
        </w:rPr>
        <w:t xml:space="preserve">the </w:t>
      </w:r>
      <w:r w:rsidRPr="007E113C">
        <w:rPr>
          <w:rFonts w:ascii="Arial" w:hAnsi="Arial" w:cs="Arial"/>
          <w:b/>
          <w:bCs/>
          <w:i w:val="0"/>
          <w:iCs w:val="0"/>
          <w:color w:val="auto"/>
          <w:sz w:val="24"/>
          <w:szCs w:val="24"/>
        </w:rPr>
        <w:t>Art</w:t>
      </w:r>
      <w:r w:rsidR="00800C20" w:rsidRPr="007E113C">
        <w:rPr>
          <w:rFonts w:ascii="Arial" w:hAnsi="Arial" w:cs="Arial"/>
          <w:b/>
          <w:bCs/>
          <w:i w:val="0"/>
          <w:iCs w:val="0"/>
          <w:color w:val="auto"/>
          <w:sz w:val="24"/>
          <w:szCs w:val="24"/>
        </w:rPr>
        <w:t>icles</w:t>
      </w:r>
    </w:p>
    <w:p w14:paraId="3BFB060C" w14:textId="13D8FBDE" w:rsidR="00643E84" w:rsidRPr="00643E84" w:rsidRDefault="00643E84" w:rsidP="00EB2901">
      <w:pPr>
        <w:rPr>
          <w:rFonts w:ascii="Arial" w:hAnsi="Arial" w:cs="Arial"/>
        </w:rPr>
      </w:pPr>
      <w:r w:rsidRPr="00EB2901">
        <w:rPr>
          <w:rFonts w:ascii="Arial" w:hAnsi="Arial" w:cs="Arial"/>
        </w:rPr>
        <w:t>T</w:t>
      </w:r>
      <w:r w:rsidR="00C439ED" w:rsidRPr="00EB2901">
        <w:rPr>
          <w:rFonts w:ascii="Arial" w:hAnsi="Arial" w:cs="Arial"/>
        </w:rPr>
        <w:t>hornto</w:t>
      </w:r>
      <w:r w:rsidR="000B67B9" w:rsidRPr="00EB2901">
        <w:rPr>
          <w:rFonts w:ascii="Arial" w:hAnsi="Arial" w:cs="Arial"/>
        </w:rPr>
        <w:t>n(</w:t>
      </w:r>
      <w:r w:rsidR="00C439ED" w:rsidRPr="00EB2901">
        <w:rPr>
          <w:rFonts w:ascii="Arial" w:hAnsi="Arial" w:cs="Arial"/>
        </w:rPr>
        <w:t>2023)</w:t>
      </w:r>
      <w:r w:rsidR="00C439ED" w:rsidRPr="00EB2901">
        <w:rPr>
          <w:rFonts w:ascii="Arial" w:hAnsi="Arial" w:cs="Arial"/>
          <w:b/>
          <w:bCs/>
        </w:rPr>
        <w:t xml:space="preserve">  </w:t>
      </w:r>
      <w:r w:rsidRPr="00643E84">
        <w:rPr>
          <w:rFonts w:ascii="Arial" w:hAnsi="Arial" w:cs="Arial"/>
        </w:rPr>
        <w:br/>
        <w:t>Demonstrates how historical medical injustice has long</w:t>
      </w:r>
      <w:r w:rsidRPr="00643E84">
        <w:rPr>
          <w:rFonts w:ascii="Arial" w:hAnsi="Arial" w:cs="Arial"/>
        </w:rPr>
        <w:noBreakHyphen/>
        <w:t>term effects on trust and engagement with healthcare services.</w:t>
      </w:r>
    </w:p>
    <w:p w14:paraId="44FDC52F" w14:textId="77777777" w:rsidR="007A7B11" w:rsidRDefault="007A7B11" w:rsidP="00EB2901">
      <w:pPr>
        <w:rPr>
          <w:rFonts w:ascii="Arial" w:hAnsi="Arial" w:cs="Arial"/>
        </w:rPr>
      </w:pPr>
    </w:p>
    <w:p w14:paraId="2823C870" w14:textId="630EAC88" w:rsidR="00643E84" w:rsidRPr="00EB2901" w:rsidRDefault="000B67B9" w:rsidP="00EB2901">
      <w:pPr>
        <w:rPr>
          <w:rFonts w:ascii="Arial" w:hAnsi="Arial" w:cs="Arial"/>
        </w:rPr>
      </w:pPr>
      <w:r w:rsidRPr="00EB2901">
        <w:rPr>
          <w:rFonts w:ascii="Arial" w:hAnsi="Arial" w:cs="Arial"/>
        </w:rPr>
        <w:t>Deedat</w:t>
      </w:r>
      <w:r w:rsidR="00643E84" w:rsidRPr="00643E84">
        <w:rPr>
          <w:rFonts w:ascii="Arial" w:hAnsi="Arial" w:cs="Arial"/>
        </w:rPr>
        <w:t>(2013)</w:t>
      </w:r>
      <w:r w:rsidR="00643E84" w:rsidRPr="00643E84">
        <w:rPr>
          <w:rFonts w:ascii="Arial" w:hAnsi="Arial" w:cs="Arial"/>
        </w:rPr>
        <w:br/>
        <w:t>Highlights the failure of institutions to deliver culturally credible information, reinforcing the need for inclusive communication strategies rather than deficit</w:t>
      </w:r>
      <w:r w:rsidR="00643E84" w:rsidRPr="00643E84">
        <w:rPr>
          <w:rFonts w:ascii="Arial" w:hAnsi="Arial" w:cs="Arial"/>
        </w:rPr>
        <w:noBreakHyphen/>
        <w:t>based community narratives.</w:t>
      </w:r>
    </w:p>
    <w:p w14:paraId="486EB594" w14:textId="128713C8" w:rsidR="002865F5" w:rsidRPr="007A7B11" w:rsidRDefault="00E32B70" w:rsidP="007A7B11">
      <w:pPr>
        <w:rPr>
          <w:rFonts w:ascii="Arial" w:hAnsi="Arial" w:cs="Arial"/>
        </w:rPr>
      </w:pPr>
      <w:r w:rsidRPr="00EB2901">
        <w:rPr>
          <w:rFonts w:ascii="Arial" w:hAnsi="Arial" w:cs="Arial"/>
        </w:rPr>
        <w:t>While Deedat (2013) and Thornton (2023) do not present opposing viewpoints, they differ in their analytical emphasis. Thornton (2023) highlights historical institutional failure and lack of accountability within the context of the Infected Blood Scandal, illustrating how state-level harm and delayed justice have contributed to long-term mistrust of healthcare systems. In contrast, Deedat (2013) concentrates on contemporary institutional shortcomings in culturally credible communication, demonstrating how mistrust is maintained through inadequate engagement and information delivery. Together, these perspectives offer a layered understanding of institutional barriers, showing that mistrust is both historically constructed and continually reinforced through current practices.</w:t>
      </w:r>
    </w:p>
    <w:p w14:paraId="5A38C502" w14:textId="2C8ED222" w:rsidR="002865F5" w:rsidRPr="00EB2901" w:rsidRDefault="002865F5" w:rsidP="00EB2901">
      <w:pPr>
        <w:numPr>
          <w:ilvl w:val="0"/>
          <w:numId w:val="12"/>
        </w:numPr>
        <w:spacing w:before="100" w:beforeAutospacing="1" w:after="100" w:afterAutospacing="1"/>
        <w:rPr>
          <w:rStyle w:val="Strong"/>
          <w:rFonts w:ascii="Arial" w:hAnsi="Arial" w:cs="Arial"/>
          <w:b w:val="0"/>
          <w:bCs w:val="0"/>
          <w:sz w:val="24"/>
          <w:szCs w:val="24"/>
        </w:rPr>
      </w:pPr>
      <w:r w:rsidRPr="00EB2901">
        <w:rPr>
          <w:rStyle w:val="Strong"/>
          <w:rFonts w:ascii="Arial" w:hAnsi="Arial" w:cs="Arial"/>
          <w:sz w:val="24"/>
          <w:szCs w:val="24"/>
        </w:rPr>
        <w:t>Interconnections</w:t>
      </w:r>
    </w:p>
    <w:p w14:paraId="562A83FB" w14:textId="134BF517" w:rsidR="00A60565" w:rsidRPr="00EB2901" w:rsidRDefault="00280C47" w:rsidP="00EB2901">
      <w:pPr>
        <w:rPr>
          <w:rStyle w:val="Strong"/>
          <w:rFonts w:ascii="Arial" w:eastAsia="Times New Roman" w:hAnsi="Arial" w:cs="Arial"/>
          <w:b w:val="0"/>
          <w:bCs w:val="0"/>
        </w:rPr>
      </w:pPr>
      <w:r w:rsidRPr="00EB2901">
        <w:rPr>
          <w:rFonts w:ascii="Arial" w:eastAsia="Times New Roman" w:hAnsi="Arial" w:cs="Arial"/>
        </w:rPr>
        <w:t xml:space="preserve">Theme 3 directly connects with Themes 1 and 2 by addressing the structural origins of the barriers identified in the analysis. While Theme 1 </w:t>
      </w:r>
      <w:r w:rsidR="0021782A" w:rsidRPr="00EB2901">
        <w:rPr>
          <w:rFonts w:ascii="Arial" w:eastAsia="Times New Roman" w:hAnsi="Arial" w:cs="Arial"/>
        </w:rPr>
        <w:t>emphasises</w:t>
      </w:r>
      <w:r w:rsidRPr="00EB2901">
        <w:rPr>
          <w:rFonts w:ascii="Arial" w:eastAsia="Times New Roman" w:hAnsi="Arial" w:cs="Arial"/>
        </w:rPr>
        <w:t xml:space="preserve"> mistrust and </w:t>
      </w:r>
      <w:r w:rsidR="0021782A" w:rsidRPr="00EB2901">
        <w:rPr>
          <w:rFonts w:ascii="Arial" w:eastAsia="Times New Roman" w:hAnsi="Arial" w:cs="Arial"/>
        </w:rPr>
        <w:t>family-centred</w:t>
      </w:r>
      <w:r w:rsidRPr="00EB2901">
        <w:rPr>
          <w:rFonts w:ascii="Arial" w:eastAsia="Times New Roman" w:hAnsi="Arial" w:cs="Arial"/>
        </w:rPr>
        <w:t xml:space="preserve"> decision-making, Theme 3 illustrates that these attitudes stem from historical and institutional failures, including the Infected Blood Scandal. Meanwhile, Theme 2 reveals how intersecting inequalities exacerbate access barriers, a point that Theme 3 further explores by discussing inadequate institutional responses. Together, the themes show that low donation rates are the result of systemic and institutional shortcomings rather than cultural </w:t>
      </w:r>
      <w:r w:rsidR="0021782A" w:rsidRPr="00EB2901">
        <w:rPr>
          <w:rFonts w:ascii="Arial" w:eastAsia="Times New Roman" w:hAnsi="Arial" w:cs="Arial"/>
        </w:rPr>
        <w:t>reluctance.</w:t>
      </w:r>
    </w:p>
    <w:p w14:paraId="2873CBD5" w14:textId="35FF48A7" w:rsidR="00EB48FE" w:rsidRDefault="00DE17F3" w:rsidP="00EB2901">
      <w:pPr>
        <w:rPr>
          <w:rFonts w:ascii="Arial" w:eastAsia="Times New Roman" w:hAnsi="Arial" w:cs="Arial"/>
        </w:rPr>
      </w:pPr>
      <w:r w:rsidRPr="00EB2901">
        <w:rPr>
          <w:rFonts w:ascii="Arial" w:eastAsia="Times New Roman" w:hAnsi="Arial" w:cs="Arial"/>
        </w:rPr>
        <w:t>The Tuskegee Syphilis Study and the UK Infected Blood Scandal provide crucial context for understanding contemporary mistrust toward blood and organ donation systems among ethnic minority communities. These events demonstrate that mistrust is not simply cultural reluctance,</w:t>
      </w:r>
      <w:r w:rsidR="0005710D">
        <w:rPr>
          <w:rFonts w:ascii="Arial" w:eastAsia="Times New Roman" w:hAnsi="Arial" w:cs="Arial"/>
        </w:rPr>
        <w:t xml:space="preserve"> </w:t>
      </w:r>
      <w:r w:rsidRPr="00EB2901">
        <w:rPr>
          <w:rFonts w:ascii="Arial" w:eastAsia="Times New Roman" w:hAnsi="Arial" w:cs="Arial"/>
        </w:rPr>
        <w:t>but a rational response to historical deception, harm, and institutional failure. When examined through an intersectional and anti</w:t>
      </w:r>
      <w:r w:rsidRPr="00EB2901">
        <w:rPr>
          <w:rFonts w:ascii="Arial" w:eastAsia="Times New Roman" w:hAnsi="Arial" w:cs="Arial"/>
        </w:rPr>
        <w:noBreakHyphen/>
        <w:t>racist lens, these injustices show how socio</w:t>
      </w:r>
      <w:r w:rsidRPr="00EB2901">
        <w:rPr>
          <w:rFonts w:ascii="Arial" w:eastAsia="Times New Roman" w:hAnsi="Arial" w:cs="Arial"/>
        </w:rPr>
        <w:noBreakHyphen/>
        <w:t>cultural beliefs</w:t>
      </w:r>
      <w:r w:rsidR="00BC3C80">
        <w:rPr>
          <w:rFonts w:ascii="Arial" w:eastAsia="Times New Roman" w:hAnsi="Arial" w:cs="Arial"/>
        </w:rPr>
        <w:t>.</w:t>
      </w:r>
    </w:p>
    <w:p w14:paraId="522EA0CC" w14:textId="77777777" w:rsidR="00631712" w:rsidRDefault="00631712" w:rsidP="00EB2901">
      <w:pPr>
        <w:rPr>
          <w:rFonts w:ascii="Arial" w:eastAsia="Times New Roman" w:hAnsi="Arial" w:cs="Arial"/>
        </w:rPr>
      </w:pPr>
    </w:p>
    <w:p w14:paraId="5F5F9132" w14:textId="3C4C3233" w:rsidR="00EB48FE" w:rsidRDefault="00DE17F3" w:rsidP="00EB2901">
      <w:pPr>
        <w:rPr>
          <w:rFonts w:ascii="Arial" w:eastAsia="Times New Roman" w:hAnsi="Arial" w:cs="Arial"/>
        </w:rPr>
      </w:pPr>
      <w:r w:rsidRPr="00EB2901">
        <w:rPr>
          <w:rFonts w:ascii="Arial" w:eastAsia="Times New Roman" w:hAnsi="Arial" w:cs="Arial"/>
        </w:rPr>
        <w:t xml:space="preserve">(Theme 1) are reinforced by structural inequities (Theme 2) and sustained by institutional practices that fail to acknowledge past harms (Theme 3). This synthesis highlights the </w:t>
      </w:r>
    </w:p>
    <w:p w14:paraId="1C875143" w14:textId="0C029FE3" w:rsidR="00CB05B4" w:rsidRDefault="00DE17F3" w:rsidP="007A7B11">
      <w:pPr>
        <w:rPr>
          <w:rFonts w:ascii="Arial" w:eastAsia="Times New Roman" w:hAnsi="Arial" w:cs="Arial"/>
        </w:rPr>
      </w:pPr>
      <w:r w:rsidRPr="00EB2901">
        <w:rPr>
          <w:rFonts w:ascii="Arial" w:eastAsia="Times New Roman" w:hAnsi="Arial" w:cs="Arial"/>
        </w:rPr>
        <w:t>limitations of awareness</w:t>
      </w:r>
      <w:r w:rsidRPr="00EB2901">
        <w:rPr>
          <w:rFonts w:ascii="Arial" w:eastAsia="Times New Roman" w:hAnsi="Arial" w:cs="Arial"/>
        </w:rPr>
        <w:noBreakHyphen/>
        <w:t>based interventions and underscores the need for transparent, accountable, and whole</w:t>
      </w:r>
      <w:r w:rsidRPr="00EB2901">
        <w:rPr>
          <w:rFonts w:ascii="Arial" w:eastAsia="Times New Roman" w:hAnsi="Arial" w:cs="Arial"/>
        </w:rPr>
        <w:noBreakHyphen/>
        <w:t>systems reform to rebuild trust and improve equitable access to donation services.</w:t>
      </w:r>
      <w:bookmarkStart w:id="29" w:name="_Toc226743166"/>
    </w:p>
    <w:p w14:paraId="1B0F989C" w14:textId="1AD8262B" w:rsidR="00697C51" w:rsidRPr="00BD2AE8" w:rsidRDefault="00697C51" w:rsidP="00697C51">
      <w:pPr>
        <w:pStyle w:val="Heading2"/>
        <w:rPr>
          <w:rFonts w:ascii="Arial" w:hAnsi="Arial" w:cs="Arial"/>
          <w:sz w:val="32"/>
          <w:szCs w:val="32"/>
        </w:rPr>
      </w:pPr>
      <w:r w:rsidRPr="00BD2AE8">
        <w:rPr>
          <w:rFonts w:ascii="Arial" w:hAnsi="Arial" w:cs="Arial"/>
          <w:b/>
          <w:bCs/>
          <w:color w:val="auto"/>
          <w:sz w:val="32"/>
          <w:szCs w:val="32"/>
        </w:rPr>
        <w:t>4.6</w:t>
      </w:r>
      <w:r w:rsidRPr="007E113C">
        <w:rPr>
          <w:rFonts w:ascii="Arial" w:hAnsi="Arial" w:cs="Arial"/>
          <w:b/>
          <w:bCs/>
          <w:color w:val="auto"/>
        </w:rPr>
        <w:t xml:space="preserve"> </w:t>
      </w:r>
      <w:r w:rsidRPr="007E113C">
        <w:rPr>
          <w:rFonts w:ascii="Arial" w:hAnsi="Arial" w:cs="Arial"/>
          <w:b/>
          <w:bCs/>
        </w:rPr>
        <w:t>–</w:t>
      </w:r>
      <w:r w:rsidRPr="00EB2901">
        <w:rPr>
          <w:rFonts w:ascii="Arial" w:hAnsi="Arial" w:cs="Arial"/>
        </w:rPr>
        <w:t xml:space="preserve"> </w:t>
      </w:r>
      <w:r w:rsidRPr="00BD2AE8">
        <w:rPr>
          <w:rFonts w:ascii="Arial" w:hAnsi="Arial" w:cs="Arial"/>
          <w:b/>
          <w:bCs/>
          <w:color w:val="auto"/>
          <w:sz w:val="32"/>
          <w:szCs w:val="32"/>
        </w:rPr>
        <w:t>Chapter Conclusion</w:t>
      </w:r>
    </w:p>
    <w:p w14:paraId="6953FD3C" w14:textId="494C03CC" w:rsidR="006A4377" w:rsidRPr="000F7720" w:rsidRDefault="006A4377" w:rsidP="006A4377">
      <w:pPr>
        <w:pStyle w:val="Heading1"/>
        <w:keepNext/>
        <w:keepLines/>
        <w:spacing w:before="360" w:after="80" w:line="360" w:lineRule="auto"/>
        <w:jc w:val="both"/>
        <w:rPr>
          <w:rFonts w:eastAsiaTheme="majorEastAsia" w:cs="Arial"/>
          <w:b w:val="0"/>
          <w:bCs/>
          <w:sz w:val="22"/>
          <w:szCs w:val="22"/>
        </w:rPr>
      </w:pPr>
      <w:bookmarkStart w:id="30" w:name="_Toc226743167"/>
      <w:bookmarkEnd w:id="29"/>
      <w:r>
        <w:rPr>
          <w:rFonts w:eastAsiaTheme="majorEastAsia" w:cs="Arial"/>
          <w:b w:val="0"/>
          <w:bCs/>
          <w:sz w:val="22"/>
          <w:szCs w:val="22"/>
        </w:rPr>
        <w:t>T</w:t>
      </w:r>
      <w:r w:rsidRPr="000F7720">
        <w:rPr>
          <w:rFonts w:eastAsiaTheme="majorEastAsia" w:cs="Arial"/>
          <w:b w:val="0"/>
          <w:bCs/>
          <w:sz w:val="22"/>
          <w:szCs w:val="22"/>
        </w:rPr>
        <w:t>his chapter has provided a comprehensive examination of the socio</w:t>
      </w:r>
      <w:r w:rsidRPr="000F7720">
        <w:rPr>
          <w:rFonts w:eastAsiaTheme="majorEastAsia" w:cs="Arial"/>
          <w:b w:val="0"/>
          <w:bCs/>
          <w:sz w:val="22"/>
          <w:szCs w:val="22"/>
        </w:rPr>
        <w:noBreakHyphen/>
        <w:t>cultural, intersectional, and institutional factors that shape participation in blood and organ donation among ethnic minority communities in the UK. Through the application of multiple theoretical frameworks, the analysis demonstrates that lower donation rates cannot be explained by cultural reluctance alone. Rather, they result from a complex interaction between perceived risks, structural disadvantage, and long</w:t>
      </w:r>
      <w:r w:rsidRPr="000F7720">
        <w:rPr>
          <w:rFonts w:eastAsiaTheme="majorEastAsia" w:cs="Arial"/>
          <w:b w:val="0"/>
          <w:bCs/>
          <w:sz w:val="22"/>
          <w:szCs w:val="22"/>
        </w:rPr>
        <w:noBreakHyphen/>
        <w:t>standing institutional inequities.</w:t>
      </w:r>
    </w:p>
    <w:p w14:paraId="04D1F36B" w14:textId="34021144" w:rsidR="006A4377" w:rsidRPr="000F7720" w:rsidRDefault="006A4377" w:rsidP="006A4377">
      <w:pPr>
        <w:pStyle w:val="Heading1"/>
        <w:keepNext/>
        <w:keepLines/>
        <w:spacing w:before="360" w:after="80" w:line="360" w:lineRule="auto"/>
        <w:jc w:val="both"/>
        <w:rPr>
          <w:rFonts w:eastAsiaTheme="majorEastAsia" w:cs="Arial"/>
          <w:b w:val="0"/>
          <w:bCs/>
          <w:sz w:val="22"/>
          <w:szCs w:val="22"/>
        </w:rPr>
      </w:pPr>
      <w:r w:rsidRPr="000F7720">
        <w:rPr>
          <w:rFonts w:eastAsiaTheme="majorEastAsia" w:cs="Arial"/>
          <w:b w:val="0"/>
          <w:bCs/>
          <w:sz w:val="22"/>
          <w:szCs w:val="22"/>
        </w:rPr>
        <w:t xml:space="preserve">The findings highlight how access to </w:t>
      </w:r>
      <w:r>
        <w:rPr>
          <w:rFonts w:eastAsiaTheme="majorEastAsia" w:cs="Arial"/>
          <w:b w:val="0"/>
          <w:bCs/>
          <w:sz w:val="22"/>
          <w:szCs w:val="22"/>
        </w:rPr>
        <w:t>information, trust</w:t>
      </w:r>
      <w:r w:rsidRPr="000F7720">
        <w:rPr>
          <w:rFonts w:eastAsiaTheme="majorEastAsia" w:cs="Arial"/>
          <w:b w:val="0"/>
          <w:bCs/>
          <w:sz w:val="22"/>
          <w:szCs w:val="22"/>
        </w:rPr>
        <w:t xml:space="preserve"> in healthcare institutions, and opportunities for meaningful engagement are closely interconnected with individual beliefs, social positioning, and systemic conditions. Misinformation surrounding donation procedures and health consequences continues to generate fear and uncertainty, while language barriers, limited workforce representation, and historical medical injustices further restrict engagement.</w:t>
      </w:r>
    </w:p>
    <w:p w14:paraId="0574121D" w14:textId="77777777" w:rsidR="006A4377" w:rsidRPr="000F7720" w:rsidRDefault="006A4377" w:rsidP="006A4377">
      <w:pPr>
        <w:pStyle w:val="Heading1"/>
        <w:keepNext/>
        <w:keepLines/>
        <w:spacing w:before="360" w:after="80" w:line="360" w:lineRule="auto"/>
        <w:jc w:val="both"/>
        <w:rPr>
          <w:rFonts w:eastAsiaTheme="majorEastAsia" w:cs="Arial"/>
          <w:b w:val="0"/>
          <w:bCs/>
          <w:sz w:val="22"/>
          <w:szCs w:val="22"/>
        </w:rPr>
      </w:pPr>
      <w:r w:rsidRPr="000F7720">
        <w:rPr>
          <w:rFonts w:eastAsiaTheme="majorEastAsia" w:cs="Arial"/>
          <w:b w:val="0"/>
          <w:bCs/>
          <w:sz w:val="22"/>
          <w:szCs w:val="22"/>
        </w:rPr>
        <w:t>Building on these insights, the following chapter presents evidence</w:t>
      </w:r>
      <w:r w:rsidRPr="000F7720">
        <w:rPr>
          <w:rFonts w:eastAsiaTheme="majorEastAsia" w:cs="Arial"/>
          <w:b w:val="0"/>
          <w:bCs/>
          <w:sz w:val="22"/>
          <w:szCs w:val="22"/>
        </w:rPr>
        <w:noBreakHyphen/>
        <w:t>based recommendations aimed at reducing inequities within blood and organ donation services. By prioritising trust</w:t>
      </w:r>
      <w:r w:rsidRPr="000F7720">
        <w:rPr>
          <w:rFonts w:eastAsiaTheme="majorEastAsia" w:cs="Arial"/>
          <w:b w:val="0"/>
          <w:bCs/>
          <w:sz w:val="22"/>
          <w:szCs w:val="22"/>
        </w:rPr>
        <w:noBreakHyphen/>
        <w:t>building, accessibility, and culturally credible practice, these recommendations seek to support the development of a more inclusive and equitable donation system. Collectively, the findings reinforce that persistent disparities reflect unresolved institutional and structural challenges, rather than individual or cultural failure.</w:t>
      </w:r>
    </w:p>
    <w:p w14:paraId="50E78587" w14:textId="77777777" w:rsidR="006A4377" w:rsidRPr="000F7720" w:rsidRDefault="006A4377" w:rsidP="006A4377">
      <w:pPr>
        <w:pStyle w:val="Heading1"/>
        <w:spacing w:line="360" w:lineRule="auto"/>
        <w:ind w:left="0"/>
        <w:jc w:val="both"/>
        <w:rPr>
          <w:rFonts w:cs="Arial"/>
          <w:sz w:val="22"/>
          <w:szCs w:val="22"/>
        </w:rPr>
      </w:pPr>
    </w:p>
    <w:p w14:paraId="5CFA5F36" w14:textId="77777777" w:rsidR="006A4377" w:rsidRPr="000F7720" w:rsidRDefault="006A4377" w:rsidP="006A4377">
      <w:pPr>
        <w:pStyle w:val="Heading1"/>
        <w:spacing w:line="360" w:lineRule="auto"/>
        <w:ind w:left="0"/>
        <w:jc w:val="both"/>
        <w:rPr>
          <w:rFonts w:cs="Arial"/>
          <w:sz w:val="22"/>
          <w:szCs w:val="22"/>
        </w:rPr>
      </w:pPr>
    </w:p>
    <w:p w14:paraId="78727637" w14:textId="77777777" w:rsidR="006674EE" w:rsidRDefault="006674EE" w:rsidP="00EB2901">
      <w:pPr>
        <w:pStyle w:val="Heading1"/>
        <w:spacing w:line="360" w:lineRule="auto"/>
        <w:ind w:left="0"/>
        <w:jc w:val="both"/>
        <w:rPr>
          <w:rFonts w:cs="Arial"/>
        </w:rPr>
      </w:pPr>
    </w:p>
    <w:p w14:paraId="329ACFD3" w14:textId="77777777" w:rsidR="006674EE" w:rsidRDefault="006674EE" w:rsidP="00EB2901">
      <w:pPr>
        <w:pStyle w:val="Heading1"/>
        <w:spacing w:line="360" w:lineRule="auto"/>
        <w:ind w:left="0"/>
        <w:jc w:val="both"/>
        <w:rPr>
          <w:rFonts w:cs="Arial"/>
        </w:rPr>
      </w:pPr>
    </w:p>
    <w:p w14:paraId="09A80745" w14:textId="77777777" w:rsidR="006674EE" w:rsidRDefault="006674EE" w:rsidP="00EB2901">
      <w:pPr>
        <w:pStyle w:val="Heading1"/>
        <w:spacing w:line="360" w:lineRule="auto"/>
        <w:ind w:left="0"/>
        <w:jc w:val="both"/>
        <w:rPr>
          <w:rFonts w:cs="Arial"/>
        </w:rPr>
      </w:pPr>
    </w:p>
    <w:p w14:paraId="5053749D" w14:textId="78239F6D" w:rsidR="00636D9A" w:rsidRPr="00EB2901" w:rsidRDefault="00636D9A" w:rsidP="00EB2901">
      <w:pPr>
        <w:pStyle w:val="Heading1"/>
        <w:spacing w:line="360" w:lineRule="auto"/>
        <w:ind w:left="0"/>
        <w:jc w:val="both"/>
        <w:rPr>
          <w:rFonts w:cs="Arial"/>
        </w:rPr>
      </w:pPr>
      <w:r w:rsidRPr="00EB2901">
        <w:rPr>
          <w:rFonts w:cs="Arial"/>
        </w:rPr>
        <w:t>CHAPTER 5 – Conclusion and Recommendations</w:t>
      </w:r>
      <w:bookmarkEnd w:id="30"/>
      <w:r w:rsidRPr="00EB2901">
        <w:rPr>
          <w:rFonts w:cs="Arial"/>
        </w:rPr>
        <w:t xml:space="preserve"> </w:t>
      </w:r>
    </w:p>
    <w:p w14:paraId="2C633CBA" w14:textId="2FFDC463" w:rsidR="00636D9A" w:rsidRPr="00EB2901" w:rsidRDefault="00636D9A" w:rsidP="00EB2901">
      <w:pPr>
        <w:pStyle w:val="Heading2"/>
        <w:rPr>
          <w:rFonts w:ascii="Arial" w:hAnsi="Arial" w:cs="Arial"/>
          <w:sz w:val="22"/>
          <w:szCs w:val="22"/>
        </w:rPr>
      </w:pPr>
      <w:bookmarkStart w:id="31" w:name="_Toc226743168"/>
      <w:r w:rsidRPr="005D73C7">
        <w:rPr>
          <w:rFonts w:ascii="Arial" w:hAnsi="Arial" w:cs="Arial"/>
          <w:b/>
          <w:bCs/>
          <w:color w:val="000000" w:themeColor="text1"/>
        </w:rPr>
        <w:t>5.1</w:t>
      </w:r>
      <w:r w:rsidRPr="005D73C7">
        <w:rPr>
          <w:rFonts w:ascii="Arial" w:hAnsi="Arial" w:cs="Arial"/>
          <w:color w:val="000000" w:themeColor="text1"/>
        </w:rPr>
        <w:t xml:space="preserve"> – </w:t>
      </w:r>
      <w:r w:rsidRPr="005D73C7">
        <w:rPr>
          <w:rFonts w:ascii="Arial" w:hAnsi="Arial" w:cs="Arial"/>
          <w:b/>
          <w:bCs/>
          <w:color w:val="000000" w:themeColor="text1"/>
        </w:rPr>
        <w:t>Overall Conclusion</w:t>
      </w:r>
      <w:bookmarkEnd w:id="31"/>
      <w:r w:rsidRPr="005D73C7">
        <w:rPr>
          <w:rFonts w:ascii="Arial" w:hAnsi="Arial" w:cs="Arial"/>
          <w:color w:val="000000" w:themeColor="text1"/>
        </w:rPr>
        <w:t xml:space="preserve">  </w:t>
      </w:r>
    </w:p>
    <w:p w14:paraId="10D0C9EF" w14:textId="77777777" w:rsidR="008E1EDF" w:rsidRPr="008E1EDF" w:rsidRDefault="008E1EDF" w:rsidP="00EB2901">
      <w:pPr>
        <w:rPr>
          <w:rFonts w:ascii="Arial" w:hAnsi="Arial" w:cs="Arial"/>
        </w:rPr>
      </w:pPr>
      <w:r w:rsidRPr="008E1EDF">
        <w:rPr>
          <w:rFonts w:ascii="Arial" w:hAnsi="Arial" w:cs="Arial"/>
        </w:rPr>
        <w:t>This dissertation set out to explore the barriers faced by ethnic minority communities in accessing information and resources about blood and organ donation in the UK, as outlined in Chapter 1. The study aimed to identify and critically analyse socio</w:t>
      </w:r>
      <w:r w:rsidRPr="008E1EDF">
        <w:rPr>
          <w:rFonts w:ascii="Arial" w:hAnsi="Arial" w:cs="Arial"/>
        </w:rPr>
        <w:noBreakHyphen/>
        <w:t>cultural, structural, and institutional barriers and to propose recommendations to improve equity and inclusivity within donation services.</w:t>
      </w:r>
    </w:p>
    <w:p w14:paraId="34DF9CDB" w14:textId="77777777" w:rsidR="008E1EDF" w:rsidRPr="008E1EDF" w:rsidRDefault="008E1EDF" w:rsidP="00EB2901">
      <w:pPr>
        <w:rPr>
          <w:rFonts w:ascii="Arial" w:hAnsi="Arial" w:cs="Arial"/>
        </w:rPr>
      </w:pPr>
      <w:r w:rsidRPr="008E1EDF">
        <w:rPr>
          <w:rFonts w:ascii="Arial" w:hAnsi="Arial" w:cs="Arial"/>
        </w:rPr>
        <w:t>Chapter 2 provided the contextual and theoretical foundation for the study, examining the historical development of blood and organ donation, existing inequalities within the UK system, and relevant theoretical frameworks, including the Health Belief Model, intersectionality, and whole</w:t>
      </w:r>
      <w:r w:rsidRPr="008E1EDF">
        <w:rPr>
          <w:rFonts w:ascii="Arial" w:hAnsi="Arial" w:cs="Arial"/>
        </w:rPr>
        <w:noBreakHyphen/>
        <w:t>systems and anti</w:t>
      </w:r>
      <w:r w:rsidRPr="008E1EDF">
        <w:rPr>
          <w:rFonts w:ascii="Arial" w:hAnsi="Arial" w:cs="Arial"/>
        </w:rPr>
        <w:noBreakHyphen/>
        <w:t>racist approaches. This chapter established that disparities in donation are shaped by both individual beliefs and systemic factors.</w:t>
      </w:r>
    </w:p>
    <w:p w14:paraId="45DC4870" w14:textId="77777777" w:rsidR="00EF33CE" w:rsidRPr="00EB2901" w:rsidRDefault="008E1EDF" w:rsidP="00EB2901">
      <w:pPr>
        <w:rPr>
          <w:rFonts w:ascii="Arial" w:hAnsi="Arial" w:cs="Arial"/>
        </w:rPr>
      </w:pPr>
      <w:r w:rsidRPr="008E1EDF">
        <w:rPr>
          <w:rFonts w:ascii="Arial" w:hAnsi="Arial" w:cs="Arial"/>
        </w:rPr>
        <w:t>Chapter 3 outlined the desk</w:t>
      </w:r>
      <w:r w:rsidRPr="008E1EDF">
        <w:rPr>
          <w:rFonts w:ascii="Arial" w:hAnsi="Arial" w:cs="Arial"/>
        </w:rPr>
        <w:noBreakHyphen/>
        <w:t>based methodological approach and justified the use of thematic analysis to examine secondary literature. By applying</w:t>
      </w:r>
      <w:r w:rsidRPr="00EB2901">
        <w:rPr>
          <w:rFonts w:ascii="Arial" w:hAnsi="Arial" w:cs="Arial"/>
        </w:rPr>
        <w:t xml:space="preserve"> the CRAAP test to test the validity of each </w:t>
      </w:r>
      <w:r w:rsidR="008C5ADC" w:rsidRPr="00EB2901">
        <w:rPr>
          <w:rFonts w:ascii="Arial" w:hAnsi="Arial" w:cs="Arial"/>
        </w:rPr>
        <w:t>article/journal and</w:t>
      </w:r>
      <w:r w:rsidRPr="008E1EDF">
        <w:rPr>
          <w:rFonts w:ascii="Arial" w:hAnsi="Arial" w:cs="Arial"/>
        </w:rPr>
        <w:t xml:space="preserve"> Braun and Clarke’s framework, the study ensured a structured and rigorous analysis of existing evidence.</w:t>
      </w:r>
      <w:r w:rsidRPr="00EB2901">
        <w:rPr>
          <w:rFonts w:ascii="Arial" w:hAnsi="Arial" w:cs="Arial"/>
        </w:rPr>
        <w:t xml:space="preserve"> </w:t>
      </w:r>
    </w:p>
    <w:p w14:paraId="40F228CB" w14:textId="1924D5C0" w:rsidR="008E1EDF" w:rsidRPr="008E1EDF" w:rsidRDefault="008E1EDF" w:rsidP="00EB2901">
      <w:pPr>
        <w:rPr>
          <w:rFonts w:ascii="Arial" w:hAnsi="Arial" w:cs="Arial"/>
        </w:rPr>
      </w:pPr>
      <w:r w:rsidRPr="008E1EDF">
        <w:rPr>
          <w:rFonts w:ascii="Arial" w:hAnsi="Arial" w:cs="Arial"/>
        </w:rPr>
        <w:t>Chapter 4</w:t>
      </w:r>
      <w:r w:rsidR="00F73D0E" w:rsidRPr="00EB2901">
        <w:rPr>
          <w:rFonts w:ascii="Arial" w:hAnsi="Arial" w:cs="Arial"/>
        </w:rPr>
        <w:t xml:space="preserve"> addressed how codes were made into themes</w:t>
      </w:r>
      <w:r w:rsidR="00BB15C6" w:rsidRPr="00EB2901">
        <w:rPr>
          <w:rFonts w:ascii="Arial" w:hAnsi="Arial" w:cs="Arial"/>
        </w:rPr>
        <w:t xml:space="preserve">.  In this </w:t>
      </w:r>
      <w:r w:rsidR="000A5137" w:rsidRPr="00EB2901">
        <w:rPr>
          <w:rFonts w:ascii="Arial" w:hAnsi="Arial" w:cs="Arial"/>
        </w:rPr>
        <w:t>chapter's</w:t>
      </w:r>
      <w:r w:rsidR="00BB15C6" w:rsidRPr="00EB2901">
        <w:rPr>
          <w:rFonts w:ascii="Arial" w:hAnsi="Arial" w:cs="Arial"/>
        </w:rPr>
        <w:t xml:space="preserve"> findings</w:t>
      </w:r>
      <w:r w:rsidR="000A5137" w:rsidRPr="00EB2901">
        <w:rPr>
          <w:rFonts w:ascii="Arial" w:hAnsi="Arial" w:cs="Arial"/>
        </w:rPr>
        <w:t>,</w:t>
      </w:r>
      <w:r w:rsidR="00BB15C6" w:rsidRPr="00EB2901">
        <w:rPr>
          <w:rFonts w:ascii="Arial" w:hAnsi="Arial" w:cs="Arial"/>
        </w:rPr>
        <w:t xml:space="preserve"> it </w:t>
      </w:r>
      <w:r w:rsidRPr="008E1EDF">
        <w:rPr>
          <w:rFonts w:ascii="Arial" w:hAnsi="Arial" w:cs="Arial"/>
        </w:rPr>
        <w:t>demonstrated that barriers to donation are multi</w:t>
      </w:r>
      <w:r w:rsidRPr="008E1EDF">
        <w:rPr>
          <w:rFonts w:ascii="Arial" w:hAnsi="Arial" w:cs="Arial"/>
        </w:rPr>
        <w:noBreakHyphen/>
        <w:t>layered. Socio</w:t>
      </w:r>
      <w:r w:rsidRPr="008E1EDF">
        <w:rPr>
          <w:rFonts w:ascii="Arial" w:hAnsi="Arial" w:cs="Arial"/>
        </w:rPr>
        <w:noBreakHyphen/>
        <w:t xml:space="preserve">cultural beliefs and mistrust </w:t>
      </w:r>
      <w:r w:rsidR="00137366">
        <w:rPr>
          <w:rFonts w:ascii="Arial" w:hAnsi="Arial" w:cs="Arial"/>
        </w:rPr>
        <w:t>Influence</w:t>
      </w:r>
      <w:r w:rsidRPr="008E1EDF">
        <w:rPr>
          <w:rFonts w:ascii="Arial" w:hAnsi="Arial" w:cs="Arial"/>
        </w:rPr>
        <w:t xml:space="preserve"> engagement with donation information, intersectional inequalities restrict access to resources, and historical and ongoing institutional failures further entrench disengagement. Collectively, the findings show that responsibility for improving donation equity lies primarily with institutions rather than communities.</w:t>
      </w:r>
    </w:p>
    <w:p w14:paraId="2C0F57D7" w14:textId="61A9AB8F" w:rsidR="0042135B" w:rsidRDefault="008E1EDF" w:rsidP="0005710D">
      <w:pPr>
        <w:rPr>
          <w:rFonts w:ascii="Arial" w:hAnsi="Arial" w:cs="Arial"/>
        </w:rPr>
      </w:pPr>
      <w:r w:rsidRPr="008E1EDF">
        <w:rPr>
          <w:rFonts w:ascii="Arial" w:hAnsi="Arial" w:cs="Arial"/>
        </w:rPr>
        <w:t xml:space="preserve">Overall, the research objectives were met, and the study provides </w:t>
      </w:r>
      <w:r w:rsidR="008C5ADC" w:rsidRPr="00EB2901">
        <w:rPr>
          <w:rFonts w:ascii="Arial" w:hAnsi="Arial" w:cs="Arial"/>
        </w:rPr>
        <w:t xml:space="preserve">a </w:t>
      </w:r>
      <w:r w:rsidRPr="00EB2901">
        <w:rPr>
          <w:rFonts w:ascii="Arial" w:hAnsi="Arial" w:cs="Arial"/>
        </w:rPr>
        <w:t>clear evidence</w:t>
      </w:r>
      <w:r w:rsidRPr="008E1EDF">
        <w:rPr>
          <w:rFonts w:ascii="Arial" w:hAnsi="Arial" w:cs="Arial"/>
        </w:rPr>
        <w:t xml:space="preserve"> base for the recommendations that follow, which aim to address these barriers through practical, system</w:t>
      </w:r>
      <w:r w:rsidRPr="008E1EDF">
        <w:rPr>
          <w:rFonts w:ascii="Arial" w:hAnsi="Arial" w:cs="Arial"/>
        </w:rPr>
        <w:noBreakHyphen/>
        <w:t>level change.</w:t>
      </w:r>
    </w:p>
    <w:p w14:paraId="2D1A18DB" w14:textId="77777777" w:rsidR="00A15493" w:rsidRDefault="00A15493" w:rsidP="00EB2901">
      <w:pPr>
        <w:pStyle w:val="Heading2"/>
        <w:rPr>
          <w:rFonts w:ascii="Arial" w:hAnsi="Arial" w:cs="Arial"/>
          <w:b/>
          <w:bCs/>
          <w:color w:val="000000" w:themeColor="text1"/>
        </w:rPr>
      </w:pPr>
      <w:bookmarkStart w:id="32" w:name="_Toc226743169"/>
    </w:p>
    <w:p w14:paraId="538FBCA9" w14:textId="77777777" w:rsidR="00A15493" w:rsidRDefault="00A15493" w:rsidP="00EB2901">
      <w:pPr>
        <w:pStyle w:val="Heading2"/>
        <w:rPr>
          <w:rFonts w:ascii="Arial" w:hAnsi="Arial" w:cs="Arial"/>
          <w:b/>
          <w:bCs/>
          <w:color w:val="000000" w:themeColor="text1"/>
        </w:rPr>
      </w:pPr>
    </w:p>
    <w:p w14:paraId="16E8A34F" w14:textId="77777777" w:rsidR="00A15493" w:rsidRDefault="00A15493" w:rsidP="00EB2901">
      <w:pPr>
        <w:pStyle w:val="Heading2"/>
        <w:rPr>
          <w:rFonts w:ascii="Arial" w:hAnsi="Arial" w:cs="Arial"/>
          <w:b/>
          <w:bCs/>
          <w:color w:val="000000" w:themeColor="text1"/>
        </w:rPr>
      </w:pPr>
    </w:p>
    <w:p w14:paraId="31956F02" w14:textId="77777777" w:rsidR="00A15493" w:rsidRPr="00A15493" w:rsidRDefault="00A15493" w:rsidP="00A15493"/>
    <w:p w14:paraId="72F13C13" w14:textId="77777777" w:rsidR="00A15493" w:rsidRDefault="00A15493" w:rsidP="00EB2901">
      <w:pPr>
        <w:pStyle w:val="Heading2"/>
        <w:rPr>
          <w:rFonts w:ascii="Arial" w:hAnsi="Arial" w:cs="Arial"/>
          <w:b/>
          <w:bCs/>
          <w:color w:val="000000" w:themeColor="text1"/>
        </w:rPr>
      </w:pPr>
    </w:p>
    <w:p w14:paraId="664413FC" w14:textId="77777777" w:rsidR="00A15493" w:rsidRDefault="00A15493" w:rsidP="00EB2901">
      <w:pPr>
        <w:pStyle w:val="Heading2"/>
        <w:rPr>
          <w:rFonts w:ascii="Arial" w:hAnsi="Arial" w:cs="Arial"/>
          <w:b/>
          <w:bCs/>
          <w:color w:val="000000" w:themeColor="text1"/>
        </w:rPr>
      </w:pPr>
    </w:p>
    <w:p w14:paraId="6599D6CF" w14:textId="2B9AA1F6" w:rsidR="005C5E80" w:rsidRPr="00EB2901" w:rsidRDefault="00636D9A" w:rsidP="00EB2901">
      <w:pPr>
        <w:pStyle w:val="Heading2"/>
        <w:rPr>
          <w:rFonts w:ascii="Arial" w:hAnsi="Arial" w:cs="Arial"/>
        </w:rPr>
      </w:pPr>
      <w:r w:rsidRPr="003950EB">
        <w:rPr>
          <w:rFonts w:ascii="Arial" w:hAnsi="Arial" w:cs="Arial"/>
          <w:b/>
          <w:bCs/>
          <w:color w:val="000000" w:themeColor="text1"/>
        </w:rPr>
        <w:t>5.</w:t>
      </w:r>
      <w:r w:rsidR="005C5E80" w:rsidRPr="003950EB">
        <w:rPr>
          <w:rFonts w:ascii="Arial" w:hAnsi="Arial" w:cs="Arial"/>
          <w:b/>
          <w:bCs/>
          <w:color w:val="000000" w:themeColor="text1"/>
        </w:rPr>
        <w:t>2</w:t>
      </w:r>
      <w:r w:rsidRPr="003950EB">
        <w:rPr>
          <w:rFonts w:ascii="Arial" w:hAnsi="Arial" w:cs="Arial"/>
          <w:color w:val="000000" w:themeColor="text1"/>
        </w:rPr>
        <w:t xml:space="preserve"> – </w:t>
      </w:r>
      <w:r w:rsidR="005C5E80" w:rsidRPr="003950EB">
        <w:rPr>
          <w:rFonts w:ascii="Arial" w:hAnsi="Arial" w:cs="Arial"/>
          <w:b/>
          <w:bCs/>
          <w:color w:val="000000" w:themeColor="text1"/>
        </w:rPr>
        <w:t>Recommendations</w:t>
      </w:r>
      <w:bookmarkEnd w:id="32"/>
      <w:r w:rsidRPr="003950EB">
        <w:rPr>
          <w:rFonts w:ascii="Arial" w:hAnsi="Arial" w:cs="Arial"/>
          <w:color w:val="000000" w:themeColor="text1"/>
        </w:rPr>
        <w:t xml:space="preserve"> </w:t>
      </w:r>
    </w:p>
    <w:p w14:paraId="413B573D" w14:textId="02874006" w:rsidR="00137366" w:rsidRDefault="005C5E80" w:rsidP="00A15493">
      <w:pPr>
        <w:pStyle w:val="Heading1"/>
        <w:spacing w:line="360" w:lineRule="auto"/>
        <w:jc w:val="both"/>
        <w:rPr>
          <w:rFonts w:cs="Arial"/>
          <w:sz w:val="24"/>
          <w:szCs w:val="24"/>
        </w:rPr>
      </w:pPr>
      <w:bookmarkStart w:id="33" w:name="_Toc226743170"/>
      <w:r w:rsidRPr="000051AD">
        <w:rPr>
          <w:rFonts w:cs="Arial"/>
          <w:sz w:val="24"/>
          <w:szCs w:val="24"/>
        </w:rPr>
        <w:t>5.2.1 – Recommendation 1</w:t>
      </w:r>
      <w:bookmarkEnd w:id="33"/>
      <w:r w:rsidRPr="000051AD">
        <w:rPr>
          <w:rFonts w:cs="Arial"/>
          <w:sz w:val="24"/>
          <w:szCs w:val="24"/>
        </w:rPr>
        <w:t xml:space="preserve"> </w:t>
      </w:r>
      <w:bookmarkStart w:id="34" w:name="_Toc226743171"/>
    </w:p>
    <w:p w14:paraId="16894F00" w14:textId="5D87E3CF" w:rsidR="00690548" w:rsidRPr="00690548" w:rsidRDefault="00690548" w:rsidP="00EB2901">
      <w:pPr>
        <w:pStyle w:val="Heading1"/>
        <w:spacing w:line="360" w:lineRule="auto"/>
        <w:ind w:left="0"/>
        <w:jc w:val="both"/>
        <w:rPr>
          <w:rFonts w:cs="Arial"/>
          <w:sz w:val="24"/>
          <w:szCs w:val="24"/>
        </w:rPr>
      </w:pPr>
      <w:r w:rsidRPr="00690548">
        <w:rPr>
          <w:rFonts w:cs="Arial"/>
          <w:sz w:val="24"/>
          <w:szCs w:val="24"/>
        </w:rPr>
        <w:t>Develop Culturally Credible, Community</w:t>
      </w:r>
      <w:r w:rsidRPr="00690548">
        <w:rPr>
          <w:rFonts w:cs="Arial"/>
          <w:sz w:val="24"/>
          <w:szCs w:val="24"/>
        </w:rPr>
        <w:noBreakHyphen/>
        <w:t>Led Information Strategies</w:t>
      </w:r>
      <w:bookmarkEnd w:id="34"/>
    </w:p>
    <w:p w14:paraId="2CA8626E" w14:textId="19AFD337" w:rsidR="00690548" w:rsidRPr="00690548" w:rsidRDefault="00690548" w:rsidP="00EB2901">
      <w:pPr>
        <w:pStyle w:val="Heading1"/>
        <w:spacing w:line="360" w:lineRule="auto"/>
        <w:ind w:left="0"/>
        <w:jc w:val="both"/>
        <w:rPr>
          <w:rFonts w:cs="Arial"/>
          <w:sz w:val="24"/>
          <w:szCs w:val="24"/>
        </w:rPr>
      </w:pPr>
      <w:bookmarkStart w:id="35" w:name="_Toc226743172"/>
      <w:r w:rsidRPr="00690548">
        <w:rPr>
          <w:rFonts w:cs="Arial"/>
          <w:sz w:val="24"/>
          <w:szCs w:val="24"/>
        </w:rPr>
        <w:t xml:space="preserve">Linked to Theme 1: </w:t>
      </w:r>
      <w:r w:rsidR="00A15493">
        <w:rPr>
          <w:rFonts w:cs="Arial"/>
          <w:sz w:val="24"/>
          <w:szCs w:val="24"/>
        </w:rPr>
        <w:t>(</w:t>
      </w:r>
      <w:r w:rsidRPr="00690548">
        <w:rPr>
          <w:rFonts w:cs="Arial"/>
          <w:sz w:val="24"/>
          <w:szCs w:val="24"/>
        </w:rPr>
        <w:t>Socio</w:t>
      </w:r>
      <w:r w:rsidRPr="00690548">
        <w:rPr>
          <w:rFonts w:cs="Arial"/>
          <w:sz w:val="24"/>
          <w:szCs w:val="24"/>
        </w:rPr>
        <w:noBreakHyphen/>
        <w:t>Cultural Beliefs and Individual Decision</w:t>
      </w:r>
      <w:r w:rsidRPr="00690548">
        <w:rPr>
          <w:rFonts w:cs="Arial"/>
          <w:sz w:val="24"/>
          <w:szCs w:val="24"/>
        </w:rPr>
        <w:noBreakHyphen/>
        <w:t>Making)</w:t>
      </w:r>
      <w:bookmarkEnd w:id="35"/>
    </w:p>
    <w:p w14:paraId="492EC573" w14:textId="77777777" w:rsidR="00A9349B" w:rsidRPr="00137366" w:rsidRDefault="00690548" w:rsidP="00EB2901">
      <w:pPr>
        <w:pStyle w:val="Heading1"/>
        <w:spacing w:line="360" w:lineRule="auto"/>
        <w:ind w:left="0"/>
        <w:jc w:val="both"/>
        <w:rPr>
          <w:rFonts w:cs="Arial"/>
          <w:sz w:val="24"/>
          <w:szCs w:val="24"/>
        </w:rPr>
      </w:pPr>
      <w:bookmarkStart w:id="36" w:name="_Toc226743173"/>
      <w:r w:rsidRPr="00137366">
        <w:rPr>
          <w:rFonts w:cs="Arial"/>
          <w:sz w:val="24"/>
          <w:szCs w:val="24"/>
        </w:rPr>
        <w:t>Rationale</w:t>
      </w:r>
      <w:bookmarkEnd w:id="36"/>
    </w:p>
    <w:p w14:paraId="55E98078" w14:textId="5FADE8F1" w:rsidR="00634523" w:rsidRPr="00EB2901" w:rsidRDefault="00634523" w:rsidP="00EB2901">
      <w:pPr>
        <w:pStyle w:val="Heading1"/>
        <w:spacing w:line="360" w:lineRule="auto"/>
        <w:ind w:left="0"/>
        <w:jc w:val="both"/>
        <w:rPr>
          <w:rFonts w:cs="Arial"/>
          <w:b w:val="0"/>
          <w:bCs/>
          <w:sz w:val="22"/>
          <w:szCs w:val="22"/>
        </w:rPr>
      </w:pPr>
      <w:bookmarkStart w:id="37" w:name="_Toc226743174"/>
      <w:r w:rsidRPr="00EB2901">
        <w:rPr>
          <w:rFonts w:cs="Arial"/>
          <w:b w:val="0"/>
          <w:bCs/>
          <w:sz w:val="22"/>
          <w:szCs w:val="22"/>
        </w:rPr>
        <w:t xml:space="preserve">Chapter 4 showed that socio-cultural beliefs, religious uncertainties, mistrust, and </w:t>
      </w:r>
      <w:r w:rsidR="00611A72" w:rsidRPr="00EB2901">
        <w:rPr>
          <w:rFonts w:cs="Arial"/>
          <w:b w:val="0"/>
          <w:bCs/>
          <w:sz w:val="22"/>
          <w:szCs w:val="22"/>
        </w:rPr>
        <w:t>family-centred</w:t>
      </w:r>
      <w:r w:rsidRPr="00EB2901">
        <w:rPr>
          <w:rFonts w:cs="Arial"/>
          <w:b w:val="0"/>
          <w:bCs/>
          <w:sz w:val="22"/>
          <w:szCs w:val="22"/>
        </w:rPr>
        <w:t xml:space="preserve"> decision-making significantly impact how ethnic minority communities interact with information about blood and organ donation. Generic, nationally designed NHS campaigns often do not resonate with these communities because they lack cultural relevance and trusted messengers. As a result, there is low engagement and limited discussion within families.</w:t>
      </w:r>
      <w:bookmarkEnd w:id="37"/>
      <w:r w:rsidRPr="00EB2901">
        <w:rPr>
          <w:rFonts w:cs="Arial"/>
          <w:b w:val="0"/>
          <w:bCs/>
          <w:sz w:val="22"/>
          <w:szCs w:val="22"/>
        </w:rPr>
        <w:t xml:space="preserve"> </w:t>
      </w:r>
    </w:p>
    <w:p w14:paraId="607C83B1" w14:textId="77777777" w:rsidR="00634523" w:rsidRPr="00EB2901" w:rsidRDefault="00634523" w:rsidP="00EB2901">
      <w:pPr>
        <w:pStyle w:val="Heading1"/>
        <w:spacing w:line="360" w:lineRule="auto"/>
        <w:jc w:val="both"/>
        <w:rPr>
          <w:rFonts w:cs="Arial"/>
          <w:b w:val="0"/>
          <w:bCs/>
          <w:sz w:val="22"/>
          <w:szCs w:val="22"/>
        </w:rPr>
      </w:pPr>
    </w:p>
    <w:p w14:paraId="3C8AC243" w14:textId="0E1F7E35" w:rsidR="00420B5C" w:rsidRPr="00EB2901" w:rsidRDefault="00420B5C" w:rsidP="00EB2901">
      <w:pPr>
        <w:pStyle w:val="Heading1"/>
        <w:spacing w:line="360" w:lineRule="auto"/>
        <w:ind w:left="0"/>
        <w:jc w:val="both"/>
        <w:rPr>
          <w:rFonts w:cs="Arial"/>
          <w:b w:val="0"/>
          <w:bCs/>
          <w:sz w:val="22"/>
          <w:szCs w:val="22"/>
        </w:rPr>
      </w:pPr>
      <w:bookmarkStart w:id="38" w:name="_Toc226743175"/>
      <w:r w:rsidRPr="007A44BF">
        <w:rPr>
          <w:rFonts w:cs="Arial"/>
          <w:sz w:val="24"/>
          <w:szCs w:val="24"/>
        </w:rPr>
        <w:t>Recommendation:</w:t>
      </w:r>
      <w:r w:rsidR="00225D57" w:rsidRPr="00EB2901">
        <w:rPr>
          <w:rFonts w:cs="Arial"/>
          <w:b w:val="0"/>
          <w:bCs/>
          <w:sz w:val="22"/>
          <w:szCs w:val="22"/>
        </w:rPr>
        <w:t xml:space="preserve"> </w:t>
      </w:r>
      <w:r w:rsidRPr="00EB2901">
        <w:rPr>
          <w:rFonts w:cs="Arial"/>
          <w:b w:val="0"/>
          <w:bCs/>
          <w:sz w:val="22"/>
          <w:szCs w:val="22"/>
        </w:rPr>
        <w:t>NHS Blood and Transplant (NHSBT)</w:t>
      </w:r>
      <w:r w:rsidR="008C06B1" w:rsidRPr="00EB2901">
        <w:rPr>
          <w:rFonts w:cs="Arial"/>
          <w:b w:val="0"/>
          <w:bCs/>
          <w:sz w:val="22"/>
          <w:szCs w:val="22"/>
        </w:rPr>
        <w:t xml:space="preserve"> To</w:t>
      </w:r>
      <w:r w:rsidRPr="00EB2901">
        <w:rPr>
          <w:rFonts w:cs="Arial"/>
          <w:b w:val="0"/>
          <w:bCs/>
          <w:sz w:val="22"/>
          <w:szCs w:val="22"/>
        </w:rPr>
        <w:t xml:space="preserve"> improve community-led information strategies by collaborating with faith leaders, community </w:t>
      </w:r>
      <w:r w:rsidR="00225D57" w:rsidRPr="00EB2901">
        <w:rPr>
          <w:rFonts w:cs="Arial"/>
          <w:b w:val="0"/>
          <w:bCs/>
          <w:sz w:val="22"/>
          <w:szCs w:val="22"/>
        </w:rPr>
        <w:t>organisations</w:t>
      </w:r>
      <w:r w:rsidRPr="00EB2901">
        <w:rPr>
          <w:rFonts w:cs="Arial"/>
          <w:b w:val="0"/>
          <w:bCs/>
          <w:sz w:val="22"/>
          <w:szCs w:val="22"/>
        </w:rPr>
        <w:t xml:space="preserve">, and culturally representative advocates. Information should be disseminated in trusted community spaces, such as places of worship and community </w:t>
      </w:r>
      <w:r w:rsidR="00225D57" w:rsidRPr="00EB2901">
        <w:rPr>
          <w:rFonts w:cs="Arial"/>
          <w:b w:val="0"/>
          <w:bCs/>
          <w:sz w:val="22"/>
          <w:szCs w:val="22"/>
        </w:rPr>
        <w:t>centres</w:t>
      </w:r>
      <w:r w:rsidRPr="00EB2901">
        <w:rPr>
          <w:rFonts w:cs="Arial"/>
          <w:b w:val="0"/>
          <w:bCs/>
          <w:sz w:val="22"/>
          <w:szCs w:val="22"/>
        </w:rPr>
        <w:t xml:space="preserve">, and provided in relevant languages. The emphasis should be on encouraging open dialogue instead of aiming to persuade. This strategy will promote informed, </w:t>
      </w:r>
      <w:r w:rsidR="00225D57" w:rsidRPr="00EB2901">
        <w:rPr>
          <w:rFonts w:cs="Arial"/>
          <w:b w:val="0"/>
          <w:bCs/>
          <w:sz w:val="22"/>
          <w:szCs w:val="22"/>
        </w:rPr>
        <w:t>family-centred</w:t>
      </w:r>
      <w:r w:rsidRPr="00EB2901">
        <w:rPr>
          <w:rFonts w:cs="Arial"/>
          <w:b w:val="0"/>
          <w:bCs/>
          <w:sz w:val="22"/>
          <w:szCs w:val="22"/>
        </w:rPr>
        <w:t xml:space="preserve"> decision-making and enhance cultural credibility.</w:t>
      </w:r>
      <w:bookmarkEnd w:id="38"/>
    </w:p>
    <w:p w14:paraId="0D46E078" w14:textId="77777777" w:rsidR="00420B5C" w:rsidRPr="00EB2901" w:rsidRDefault="00420B5C" w:rsidP="00EB2901">
      <w:pPr>
        <w:pStyle w:val="Heading1"/>
        <w:spacing w:line="360" w:lineRule="auto"/>
        <w:jc w:val="both"/>
        <w:rPr>
          <w:rFonts w:cs="Arial"/>
          <w:b w:val="0"/>
          <w:bCs/>
          <w:sz w:val="22"/>
          <w:szCs w:val="22"/>
        </w:rPr>
      </w:pPr>
    </w:p>
    <w:p w14:paraId="62F899ED" w14:textId="2F7FA1B8" w:rsidR="00420B5C" w:rsidRPr="00EB2901" w:rsidRDefault="00420B5C" w:rsidP="00EB2901">
      <w:pPr>
        <w:pStyle w:val="Heading1"/>
        <w:spacing w:line="360" w:lineRule="auto"/>
        <w:ind w:left="0"/>
        <w:jc w:val="both"/>
        <w:rPr>
          <w:rFonts w:cs="Arial"/>
          <w:sz w:val="22"/>
          <w:szCs w:val="22"/>
        </w:rPr>
      </w:pPr>
      <w:bookmarkStart w:id="39" w:name="_Toc226743176"/>
      <w:r w:rsidRPr="00EB2901">
        <w:rPr>
          <w:rFonts w:cs="Arial"/>
          <w:sz w:val="22"/>
          <w:szCs w:val="22"/>
        </w:rPr>
        <w:t>Barriers and Limitations:</w:t>
      </w:r>
      <w:bookmarkEnd w:id="39"/>
    </w:p>
    <w:p w14:paraId="101FE291" w14:textId="1D8EC923" w:rsidR="00420B5C" w:rsidRPr="00EB2901" w:rsidRDefault="00420B5C" w:rsidP="00EB2901">
      <w:pPr>
        <w:pStyle w:val="Heading1"/>
        <w:numPr>
          <w:ilvl w:val="0"/>
          <w:numId w:val="38"/>
        </w:numPr>
        <w:spacing w:line="360" w:lineRule="auto"/>
        <w:jc w:val="both"/>
        <w:rPr>
          <w:rFonts w:cs="Arial"/>
          <w:b w:val="0"/>
          <w:bCs/>
          <w:sz w:val="22"/>
          <w:szCs w:val="22"/>
        </w:rPr>
      </w:pPr>
      <w:bookmarkStart w:id="40" w:name="_Toc226743177"/>
      <w:r w:rsidRPr="00EB2901">
        <w:rPr>
          <w:rFonts w:cs="Arial"/>
          <w:b w:val="0"/>
          <w:bCs/>
          <w:sz w:val="22"/>
          <w:szCs w:val="22"/>
        </w:rPr>
        <w:t>Insufficient funding and resources</w:t>
      </w:r>
      <w:bookmarkEnd w:id="40"/>
    </w:p>
    <w:p w14:paraId="6665F3D6" w14:textId="75C03F19" w:rsidR="00420B5C" w:rsidRPr="00EB2901" w:rsidRDefault="00420B5C" w:rsidP="00EB2901">
      <w:pPr>
        <w:pStyle w:val="Heading1"/>
        <w:numPr>
          <w:ilvl w:val="0"/>
          <w:numId w:val="38"/>
        </w:numPr>
        <w:spacing w:line="360" w:lineRule="auto"/>
        <w:jc w:val="both"/>
        <w:rPr>
          <w:rFonts w:cs="Arial"/>
          <w:b w:val="0"/>
          <w:bCs/>
          <w:sz w:val="22"/>
          <w:szCs w:val="22"/>
        </w:rPr>
      </w:pPr>
      <w:bookmarkStart w:id="41" w:name="_Toc226743178"/>
      <w:r w:rsidRPr="00EB2901">
        <w:rPr>
          <w:rFonts w:cs="Arial"/>
          <w:b w:val="0"/>
          <w:bCs/>
          <w:sz w:val="22"/>
          <w:szCs w:val="22"/>
        </w:rPr>
        <w:t>Potential for short-term or superficial engagement</w:t>
      </w:r>
      <w:bookmarkEnd w:id="41"/>
    </w:p>
    <w:p w14:paraId="1D2B0B68" w14:textId="21FBABA5" w:rsidR="00420B5C" w:rsidRPr="00EB2901" w:rsidRDefault="00420B5C" w:rsidP="00EB2901">
      <w:pPr>
        <w:pStyle w:val="Heading1"/>
        <w:numPr>
          <w:ilvl w:val="0"/>
          <w:numId w:val="38"/>
        </w:numPr>
        <w:spacing w:line="360" w:lineRule="auto"/>
        <w:jc w:val="both"/>
        <w:rPr>
          <w:rFonts w:cs="Arial"/>
          <w:b w:val="0"/>
          <w:bCs/>
          <w:sz w:val="22"/>
          <w:szCs w:val="22"/>
        </w:rPr>
      </w:pPr>
      <w:bookmarkStart w:id="42" w:name="_Toc226743179"/>
      <w:r w:rsidRPr="00EB2901">
        <w:rPr>
          <w:rFonts w:cs="Arial"/>
          <w:b w:val="0"/>
          <w:bCs/>
          <w:sz w:val="22"/>
          <w:szCs w:val="22"/>
        </w:rPr>
        <w:t>Differences in community needs</w:t>
      </w:r>
      <w:bookmarkEnd w:id="42"/>
    </w:p>
    <w:p w14:paraId="0C0C4768" w14:textId="77777777" w:rsidR="00420B5C" w:rsidRPr="00EB2901" w:rsidRDefault="00420B5C" w:rsidP="00EB2901">
      <w:pPr>
        <w:pStyle w:val="Heading1"/>
        <w:spacing w:line="360" w:lineRule="auto"/>
        <w:jc w:val="both"/>
        <w:rPr>
          <w:rFonts w:cs="Arial"/>
          <w:b w:val="0"/>
          <w:bCs/>
          <w:sz w:val="22"/>
          <w:szCs w:val="22"/>
        </w:rPr>
      </w:pPr>
    </w:p>
    <w:p w14:paraId="45BB93B7" w14:textId="77777777" w:rsidR="00611A72" w:rsidRPr="00EB2901" w:rsidRDefault="00420B5C" w:rsidP="00EB2901">
      <w:pPr>
        <w:pStyle w:val="Heading1"/>
        <w:spacing w:line="360" w:lineRule="auto"/>
        <w:ind w:left="0"/>
        <w:jc w:val="both"/>
        <w:rPr>
          <w:rFonts w:cs="Arial"/>
          <w:b w:val="0"/>
          <w:bCs/>
          <w:sz w:val="22"/>
          <w:szCs w:val="22"/>
        </w:rPr>
      </w:pPr>
      <w:bookmarkStart w:id="43" w:name="_Toc226743180"/>
      <w:r w:rsidRPr="00EB2901">
        <w:rPr>
          <w:rFonts w:cs="Arial"/>
          <w:sz w:val="22"/>
          <w:szCs w:val="22"/>
        </w:rPr>
        <w:t>Addressing Barriers</w:t>
      </w:r>
      <w:r w:rsidRPr="00EB2901">
        <w:rPr>
          <w:rFonts w:cs="Arial"/>
          <w:b w:val="0"/>
          <w:bCs/>
          <w:sz w:val="22"/>
          <w:szCs w:val="22"/>
        </w:rPr>
        <w:t>:</w:t>
      </w:r>
      <w:bookmarkEnd w:id="43"/>
    </w:p>
    <w:p w14:paraId="2D1FFF62" w14:textId="77777777" w:rsidR="003F18E4" w:rsidRPr="00EB2901" w:rsidRDefault="00420B5C" w:rsidP="00EB2901">
      <w:pPr>
        <w:pStyle w:val="Heading1"/>
        <w:numPr>
          <w:ilvl w:val="0"/>
          <w:numId w:val="47"/>
        </w:numPr>
        <w:spacing w:line="360" w:lineRule="auto"/>
        <w:jc w:val="both"/>
        <w:rPr>
          <w:rFonts w:cs="Arial"/>
          <w:sz w:val="28"/>
          <w:szCs w:val="28"/>
        </w:rPr>
      </w:pPr>
      <w:bookmarkStart w:id="44" w:name="_Toc226743181"/>
      <w:r w:rsidRPr="00EB2901">
        <w:rPr>
          <w:rFonts w:cs="Arial"/>
          <w:b w:val="0"/>
          <w:bCs/>
          <w:sz w:val="22"/>
          <w:szCs w:val="22"/>
        </w:rPr>
        <w:t>To overcome these obstacles, NHSBT should integrate community engagement into its long-term strategies,</w:t>
      </w:r>
      <w:bookmarkEnd w:id="44"/>
      <w:r w:rsidRPr="00EB2901">
        <w:rPr>
          <w:rFonts w:cs="Arial"/>
          <w:b w:val="0"/>
          <w:bCs/>
          <w:sz w:val="22"/>
          <w:szCs w:val="22"/>
        </w:rPr>
        <w:t xml:space="preserve"> </w:t>
      </w:r>
    </w:p>
    <w:p w14:paraId="5866AD44" w14:textId="349EDB3D" w:rsidR="003F18E4" w:rsidRPr="00EB2901" w:rsidRDefault="00420B5C" w:rsidP="00EB2901">
      <w:pPr>
        <w:pStyle w:val="Heading1"/>
        <w:numPr>
          <w:ilvl w:val="0"/>
          <w:numId w:val="47"/>
        </w:numPr>
        <w:spacing w:line="360" w:lineRule="auto"/>
        <w:jc w:val="both"/>
        <w:rPr>
          <w:rFonts w:cs="Arial"/>
          <w:sz w:val="28"/>
          <w:szCs w:val="28"/>
        </w:rPr>
      </w:pPr>
      <w:bookmarkStart w:id="45" w:name="_Toc226743182"/>
      <w:r w:rsidRPr="00EB2901">
        <w:rPr>
          <w:rFonts w:cs="Arial"/>
          <w:b w:val="0"/>
          <w:bCs/>
          <w:sz w:val="22"/>
          <w:szCs w:val="22"/>
        </w:rPr>
        <w:t xml:space="preserve">secure ongoing </w:t>
      </w:r>
      <w:r w:rsidR="006956A3" w:rsidRPr="00EB2901">
        <w:rPr>
          <w:rFonts w:cs="Arial"/>
          <w:b w:val="0"/>
          <w:bCs/>
          <w:sz w:val="22"/>
          <w:szCs w:val="22"/>
        </w:rPr>
        <w:t>funding and</w:t>
      </w:r>
      <w:r w:rsidRPr="00EB2901">
        <w:rPr>
          <w:rFonts w:cs="Arial"/>
          <w:b w:val="0"/>
          <w:bCs/>
          <w:sz w:val="22"/>
          <w:szCs w:val="22"/>
        </w:rPr>
        <w:t xml:space="preserve"> involve community representatives in both planning and evaluation.</w:t>
      </w:r>
      <w:bookmarkEnd w:id="45"/>
      <w:r w:rsidRPr="00EB2901">
        <w:rPr>
          <w:rFonts w:cs="Arial"/>
          <w:b w:val="0"/>
          <w:bCs/>
          <w:sz w:val="22"/>
          <w:szCs w:val="22"/>
        </w:rPr>
        <w:t xml:space="preserve"> </w:t>
      </w:r>
    </w:p>
    <w:p w14:paraId="6C0D0306" w14:textId="3F952985" w:rsidR="00690548" w:rsidRPr="00EB2901" w:rsidRDefault="00420B5C" w:rsidP="00EB2901">
      <w:pPr>
        <w:pStyle w:val="Heading1"/>
        <w:spacing w:line="360" w:lineRule="auto"/>
        <w:ind w:left="0"/>
        <w:jc w:val="both"/>
        <w:rPr>
          <w:rFonts w:cs="Arial"/>
          <w:sz w:val="28"/>
          <w:szCs w:val="28"/>
        </w:rPr>
      </w:pPr>
      <w:bookmarkStart w:id="46" w:name="_Toc226743183"/>
      <w:r w:rsidRPr="00EB2901">
        <w:rPr>
          <w:rFonts w:cs="Arial"/>
          <w:b w:val="0"/>
          <w:bCs/>
          <w:sz w:val="22"/>
          <w:szCs w:val="22"/>
        </w:rPr>
        <w:t>This will help ensure consistency and create a significant impact.</w:t>
      </w:r>
      <w:bookmarkEnd w:id="46"/>
    </w:p>
    <w:p w14:paraId="5176C379" w14:textId="77777777" w:rsidR="00F03E1F" w:rsidRDefault="00F03E1F" w:rsidP="007A44BF">
      <w:pPr>
        <w:pStyle w:val="Heading1"/>
        <w:spacing w:line="360" w:lineRule="auto"/>
        <w:ind w:left="0"/>
        <w:jc w:val="both"/>
        <w:rPr>
          <w:rFonts w:cs="Arial"/>
          <w:sz w:val="28"/>
          <w:szCs w:val="28"/>
        </w:rPr>
      </w:pPr>
    </w:p>
    <w:p w14:paraId="706B8FC5" w14:textId="77777777" w:rsidR="00173A5A" w:rsidRDefault="00173A5A" w:rsidP="007A44BF">
      <w:pPr>
        <w:pStyle w:val="Heading1"/>
        <w:spacing w:line="360" w:lineRule="auto"/>
        <w:ind w:left="0"/>
        <w:jc w:val="both"/>
        <w:rPr>
          <w:rFonts w:cs="Arial"/>
          <w:sz w:val="28"/>
          <w:szCs w:val="28"/>
        </w:rPr>
      </w:pPr>
    </w:p>
    <w:p w14:paraId="528BF754" w14:textId="77777777" w:rsidR="00173A5A" w:rsidRDefault="00173A5A" w:rsidP="007A44BF">
      <w:pPr>
        <w:pStyle w:val="Heading1"/>
        <w:spacing w:line="360" w:lineRule="auto"/>
        <w:ind w:left="0"/>
        <w:jc w:val="both"/>
        <w:rPr>
          <w:rFonts w:cs="Arial"/>
          <w:sz w:val="28"/>
          <w:szCs w:val="28"/>
        </w:rPr>
      </w:pPr>
    </w:p>
    <w:p w14:paraId="319A59F0" w14:textId="77777777" w:rsidR="00173A5A" w:rsidRDefault="00173A5A" w:rsidP="007A44BF">
      <w:pPr>
        <w:pStyle w:val="Heading1"/>
        <w:spacing w:line="360" w:lineRule="auto"/>
        <w:ind w:left="0"/>
        <w:jc w:val="both"/>
        <w:rPr>
          <w:rFonts w:cs="Arial"/>
          <w:sz w:val="28"/>
          <w:szCs w:val="28"/>
        </w:rPr>
      </w:pPr>
    </w:p>
    <w:p w14:paraId="2F94AB23" w14:textId="77777777" w:rsidR="00173A5A" w:rsidRPr="00EB2901" w:rsidRDefault="00173A5A" w:rsidP="007A44BF">
      <w:pPr>
        <w:pStyle w:val="Heading1"/>
        <w:spacing w:line="360" w:lineRule="auto"/>
        <w:ind w:left="0"/>
        <w:jc w:val="both"/>
        <w:rPr>
          <w:rFonts w:cs="Arial"/>
          <w:sz w:val="28"/>
          <w:szCs w:val="28"/>
        </w:rPr>
      </w:pPr>
    </w:p>
    <w:p w14:paraId="421B4956" w14:textId="050FEE4A" w:rsidR="00030444" w:rsidRPr="00EB2901" w:rsidRDefault="005C5E80" w:rsidP="007A44BF">
      <w:pPr>
        <w:pStyle w:val="Heading1"/>
        <w:spacing w:line="360" w:lineRule="auto"/>
        <w:jc w:val="both"/>
        <w:rPr>
          <w:rFonts w:cs="Arial"/>
          <w:sz w:val="28"/>
          <w:szCs w:val="28"/>
        </w:rPr>
      </w:pPr>
      <w:bookmarkStart w:id="47" w:name="_Toc226743184"/>
      <w:r w:rsidRPr="00EB2901">
        <w:rPr>
          <w:rFonts w:cs="Arial"/>
          <w:sz w:val="28"/>
          <w:szCs w:val="28"/>
        </w:rPr>
        <w:t>5.2.2 – Recommendation 2</w:t>
      </w:r>
      <w:bookmarkEnd w:id="47"/>
      <w:r w:rsidRPr="00EB2901">
        <w:rPr>
          <w:rFonts w:cs="Arial"/>
          <w:sz w:val="28"/>
          <w:szCs w:val="28"/>
        </w:rPr>
        <w:t xml:space="preserve"> </w:t>
      </w:r>
    </w:p>
    <w:p w14:paraId="14B035C0" w14:textId="77777777" w:rsidR="00F03E1F" w:rsidRPr="00F03E1F" w:rsidRDefault="00F03E1F" w:rsidP="00EB2901">
      <w:pPr>
        <w:pStyle w:val="Heading1"/>
        <w:spacing w:line="360" w:lineRule="auto"/>
        <w:jc w:val="both"/>
        <w:rPr>
          <w:rFonts w:cs="Arial"/>
          <w:bCs/>
          <w:sz w:val="24"/>
          <w:szCs w:val="24"/>
        </w:rPr>
      </w:pPr>
      <w:bookmarkStart w:id="48" w:name="_Toc226743185"/>
      <w:r w:rsidRPr="00F03E1F">
        <w:rPr>
          <w:rFonts w:cs="Arial"/>
          <w:bCs/>
          <w:sz w:val="24"/>
          <w:szCs w:val="24"/>
        </w:rPr>
        <w:t>Reduce Intersectional Barriers Through Accessible and Inclusive Information Pathways</w:t>
      </w:r>
      <w:bookmarkEnd w:id="48"/>
    </w:p>
    <w:p w14:paraId="470ABA86" w14:textId="77777777" w:rsidR="00F03E1F" w:rsidRPr="00F03E1F" w:rsidRDefault="00F03E1F" w:rsidP="00EB2901">
      <w:pPr>
        <w:pStyle w:val="Heading1"/>
        <w:spacing w:line="360" w:lineRule="auto"/>
        <w:jc w:val="both"/>
        <w:rPr>
          <w:rFonts w:cs="Arial"/>
          <w:bCs/>
          <w:sz w:val="24"/>
          <w:szCs w:val="24"/>
        </w:rPr>
      </w:pPr>
      <w:bookmarkStart w:id="49" w:name="_Toc226743186"/>
      <w:r w:rsidRPr="00F03E1F">
        <w:rPr>
          <w:rFonts w:cs="Arial"/>
          <w:bCs/>
          <w:sz w:val="24"/>
          <w:szCs w:val="24"/>
        </w:rPr>
        <w:t>(Linked to Theme 2: Intersectional Barriers and Structural Inequality)</w:t>
      </w:r>
      <w:bookmarkEnd w:id="49"/>
    </w:p>
    <w:p w14:paraId="01A2943B" w14:textId="77777777" w:rsidR="00F03E1F" w:rsidRPr="00F03E1F" w:rsidRDefault="00F03E1F" w:rsidP="00EB2901">
      <w:pPr>
        <w:pStyle w:val="Heading1"/>
        <w:spacing w:line="360" w:lineRule="auto"/>
        <w:jc w:val="both"/>
        <w:rPr>
          <w:rFonts w:cs="Arial"/>
          <w:b w:val="0"/>
          <w:sz w:val="22"/>
          <w:szCs w:val="22"/>
        </w:rPr>
      </w:pPr>
      <w:bookmarkStart w:id="50" w:name="_Toc226743187"/>
      <w:r w:rsidRPr="00F03E1F">
        <w:rPr>
          <w:rFonts w:cs="Arial"/>
          <w:b w:val="0"/>
          <w:sz w:val="22"/>
          <w:szCs w:val="22"/>
        </w:rPr>
        <w:t>Rationale</w:t>
      </w:r>
      <w:r w:rsidRPr="00F03E1F">
        <w:rPr>
          <w:rFonts w:cs="Arial"/>
          <w:b w:val="0"/>
          <w:sz w:val="22"/>
          <w:szCs w:val="22"/>
        </w:rPr>
        <w:br/>
        <w:t>Theme 2 highlighted that intersecting factors such as socioeconomic disadvantage, language barriers, digital exclusion, and migration status restrict access to donation information and resources. These barriers limit awareness and engagement even where willingness to donate may exist.</w:t>
      </w:r>
      <w:bookmarkEnd w:id="50"/>
    </w:p>
    <w:p w14:paraId="551D3DF9" w14:textId="77777777" w:rsidR="00F03E1F" w:rsidRPr="00F03E1F" w:rsidRDefault="00F03E1F" w:rsidP="00EB2901">
      <w:pPr>
        <w:pStyle w:val="Heading1"/>
        <w:spacing w:line="360" w:lineRule="auto"/>
        <w:jc w:val="both"/>
        <w:rPr>
          <w:rFonts w:cs="Arial"/>
          <w:b w:val="0"/>
          <w:sz w:val="22"/>
          <w:szCs w:val="22"/>
        </w:rPr>
      </w:pPr>
      <w:bookmarkStart w:id="51" w:name="_Toc226743188"/>
      <w:r w:rsidRPr="00F03E1F">
        <w:rPr>
          <w:rFonts w:cs="Arial"/>
          <w:b w:val="0"/>
          <w:sz w:val="22"/>
          <w:szCs w:val="22"/>
        </w:rPr>
        <w:t>Recommendation</w:t>
      </w:r>
      <w:r w:rsidRPr="00F03E1F">
        <w:rPr>
          <w:rFonts w:cs="Arial"/>
          <w:b w:val="0"/>
          <w:sz w:val="22"/>
          <w:szCs w:val="22"/>
        </w:rPr>
        <w:br/>
        <w:t>NHSBT and local health authorities should ensure that information about blood and organ donation is available through multiple, accessible formats. This includes translated materials, non</w:t>
      </w:r>
      <w:r w:rsidRPr="00F03E1F">
        <w:rPr>
          <w:rFonts w:cs="Arial"/>
          <w:b w:val="0"/>
          <w:sz w:val="22"/>
          <w:szCs w:val="22"/>
        </w:rPr>
        <w:noBreakHyphen/>
        <w:t>digital options, and integration of donation discussions into routine healthcare interactions, particularly within primary care settings serving high</w:t>
      </w:r>
      <w:r w:rsidRPr="00F03E1F">
        <w:rPr>
          <w:rFonts w:cs="Arial"/>
          <w:b w:val="0"/>
          <w:sz w:val="22"/>
          <w:szCs w:val="22"/>
        </w:rPr>
        <w:noBreakHyphen/>
        <w:t>need populations. Outreach initiatives should be tailored to local demographic needs.</w:t>
      </w:r>
      <w:bookmarkEnd w:id="51"/>
    </w:p>
    <w:p w14:paraId="5DDF6F8B" w14:textId="77777777" w:rsidR="00F03E1F" w:rsidRPr="00F03E1F" w:rsidRDefault="00F03E1F" w:rsidP="00EB2901">
      <w:pPr>
        <w:pStyle w:val="Heading1"/>
        <w:spacing w:line="360" w:lineRule="auto"/>
        <w:jc w:val="both"/>
        <w:rPr>
          <w:rFonts w:cs="Arial"/>
          <w:b w:val="0"/>
          <w:sz w:val="22"/>
          <w:szCs w:val="22"/>
        </w:rPr>
      </w:pPr>
      <w:bookmarkStart w:id="52" w:name="_Toc226743189"/>
      <w:r w:rsidRPr="00F03E1F">
        <w:rPr>
          <w:rFonts w:cs="Arial"/>
          <w:b w:val="0"/>
          <w:sz w:val="22"/>
          <w:szCs w:val="22"/>
        </w:rPr>
        <w:t>Barriers and Limitations</w:t>
      </w:r>
      <w:bookmarkEnd w:id="52"/>
    </w:p>
    <w:p w14:paraId="5FC716FD" w14:textId="77777777" w:rsidR="00F03E1F" w:rsidRPr="00F03E1F" w:rsidRDefault="00F03E1F" w:rsidP="00EB2901">
      <w:pPr>
        <w:pStyle w:val="Heading1"/>
        <w:numPr>
          <w:ilvl w:val="0"/>
          <w:numId w:val="46"/>
        </w:numPr>
        <w:spacing w:line="360" w:lineRule="auto"/>
        <w:jc w:val="both"/>
        <w:rPr>
          <w:rFonts w:cs="Arial"/>
          <w:b w:val="0"/>
          <w:sz w:val="22"/>
          <w:szCs w:val="22"/>
        </w:rPr>
      </w:pPr>
      <w:bookmarkStart w:id="53" w:name="_Toc226743190"/>
      <w:r w:rsidRPr="00F03E1F">
        <w:rPr>
          <w:rFonts w:cs="Arial"/>
          <w:b w:val="0"/>
          <w:sz w:val="22"/>
          <w:szCs w:val="22"/>
        </w:rPr>
        <w:t>Inconsistent implementation across regions</w:t>
      </w:r>
      <w:bookmarkEnd w:id="53"/>
    </w:p>
    <w:p w14:paraId="73C9CC89" w14:textId="77777777" w:rsidR="00F03E1F" w:rsidRPr="00F03E1F" w:rsidRDefault="00F03E1F" w:rsidP="00EB2901">
      <w:pPr>
        <w:pStyle w:val="Heading1"/>
        <w:numPr>
          <w:ilvl w:val="0"/>
          <w:numId w:val="46"/>
        </w:numPr>
        <w:spacing w:line="360" w:lineRule="auto"/>
        <w:jc w:val="both"/>
        <w:rPr>
          <w:rFonts w:cs="Arial"/>
          <w:b w:val="0"/>
          <w:sz w:val="22"/>
          <w:szCs w:val="22"/>
        </w:rPr>
      </w:pPr>
      <w:bookmarkStart w:id="54" w:name="_Toc226743191"/>
      <w:r w:rsidRPr="00F03E1F">
        <w:rPr>
          <w:rFonts w:cs="Arial"/>
          <w:b w:val="0"/>
          <w:sz w:val="22"/>
          <w:szCs w:val="22"/>
        </w:rPr>
        <w:t>Workforce time pressures</w:t>
      </w:r>
      <w:bookmarkEnd w:id="54"/>
    </w:p>
    <w:p w14:paraId="0F265171" w14:textId="5D2FC8E1" w:rsidR="00E2167C" w:rsidRPr="00EE3DCC" w:rsidRDefault="00F03E1F" w:rsidP="00EE3DCC">
      <w:pPr>
        <w:pStyle w:val="Heading1"/>
        <w:numPr>
          <w:ilvl w:val="0"/>
          <w:numId w:val="46"/>
        </w:numPr>
        <w:spacing w:line="360" w:lineRule="auto"/>
        <w:jc w:val="both"/>
        <w:rPr>
          <w:rFonts w:cs="Arial"/>
          <w:b w:val="0"/>
          <w:sz w:val="22"/>
          <w:szCs w:val="22"/>
        </w:rPr>
      </w:pPr>
      <w:bookmarkStart w:id="55" w:name="_Toc226743192"/>
      <w:r w:rsidRPr="00F03E1F">
        <w:rPr>
          <w:rFonts w:cs="Arial"/>
          <w:b w:val="0"/>
          <w:sz w:val="22"/>
          <w:szCs w:val="22"/>
        </w:rPr>
        <w:t>Limited training on intersectionality</w:t>
      </w:r>
      <w:bookmarkStart w:id="56" w:name="_Toc226743193"/>
      <w:bookmarkEnd w:id="55"/>
      <w:bookmarkEnd w:id="56"/>
    </w:p>
    <w:p w14:paraId="5A3ED482" w14:textId="15AF8477" w:rsidR="00E2167C" w:rsidRPr="00A9349B" w:rsidRDefault="00E2167C" w:rsidP="00E2167C">
      <w:pPr>
        <w:pStyle w:val="Heading1"/>
        <w:spacing w:line="360" w:lineRule="auto"/>
        <w:ind w:left="0"/>
        <w:jc w:val="both"/>
        <w:rPr>
          <w:rFonts w:cs="Arial"/>
          <w:sz w:val="22"/>
          <w:szCs w:val="22"/>
        </w:rPr>
      </w:pPr>
      <w:bookmarkStart w:id="57" w:name="_Toc226743194"/>
      <w:r w:rsidRPr="00A9349B">
        <w:rPr>
          <w:rFonts w:cs="Arial"/>
          <w:sz w:val="22"/>
          <w:szCs w:val="22"/>
        </w:rPr>
        <w:t>Addressing Barriers</w:t>
      </w:r>
      <w:bookmarkEnd w:id="57"/>
    </w:p>
    <w:p w14:paraId="144F3A41" w14:textId="009397F7" w:rsidR="0005710D" w:rsidRPr="00173A5A" w:rsidRDefault="00F03E1F" w:rsidP="00E2167C">
      <w:pPr>
        <w:pStyle w:val="Heading1"/>
        <w:spacing w:line="360" w:lineRule="auto"/>
        <w:ind w:left="0"/>
        <w:jc w:val="both"/>
        <w:rPr>
          <w:rFonts w:cs="Arial"/>
          <w:b w:val="0"/>
          <w:sz w:val="22"/>
          <w:szCs w:val="22"/>
        </w:rPr>
      </w:pPr>
      <w:r w:rsidRPr="00F03E1F">
        <w:rPr>
          <w:rFonts w:cs="Arial"/>
          <w:b w:val="0"/>
          <w:sz w:val="22"/>
          <w:szCs w:val="22"/>
        </w:rPr>
        <w:br/>
      </w:r>
      <w:bookmarkStart w:id="58" w:name="_Toc226743195"/>
      <w:r w:rsidRPr="00F03E1F">
        <w:rPr>
          <w:rFonts w:cs="Arial"/>
          <w:b w:val="0"/>
          <w:sz w:val="22"/>
          <w:szCs w:val="22"/>
        </w:rPr>
        <w:t>National guidance, targeted staff training, and collaboration with local authorities and voluntary organisations can support consistent delivery and reduce inequities in access.</w:t>
      </w:r>
      <w:bookmarkEnd w:id="58"/>
    </w:p>
    <w:p w14:paraId="0C49F18B" w14:textId="06CB4F91" w:rsidR="00D249F0" w:rsidRPr="00EB2901" w:rsidRDefault="005C5E80" w:rsidP="00E2167C">
      <w:pPr>
        <w:pStyle w:val="Heading1"/>
        <w:spacing w:line="360" w:lineRule="auto"/>
        <w:ind w:left="0"/>
        <w:jc w:val="both"/>
        <w:rPr>
          <w:rFonts w:cs="Arial"/>
          <w:sz w:val="28"/>
          <w:szCs w:val="28"/>
        </w:rPr>
      </w:pPr>
      <w:bookmarkStart w:id="59" w:name="_Toc226743196"/>
      <w:r w:rsidRPr="00EB2901">
        <w:rPr>
          <w:rFonts w:cs="Arial"/>
          <w:sz w:val="28"/>
          <w:szCs w:val="28"/>
        </w:rPr>
        <w:t>5.2.3 – Recommendation 3</w:t>
      </w:r>
      <w:bookmarkEnd w:id="59"/>
      <w:r w:rsidRPr="00EB2901">
        <w:rPr>
          <w:rFonts w:cs="Arial"/>
          <w:sz w:val="28"/>
          <w:szCs w:val="28"/>
        </w:rPr>
        <w:t xml:space="preserve"> </w:t>
      </w:r>
    </w:p>
    <w:p w14:paraId="2206DADA" w14:textId="77777777" w:rsidR="00A9349B" w:rsidRPr="00A9349B" w:rsidRDefault="00A9349B" w:rsidP="00EB2901">
      <w:pPr>
        <w:pStyle w:val="Heading1"/>
        <w:spacing w:line="360" w:lineRule="auto"/>
        <w:jc w:val="both"/>
        <w:rPr>
          <w:rFonts w:cs="Arial"/>
          <w:sz w:val="22"/>
          <w:szCs w:val="22"/>
        </w:rPr>
      </w:pPr>
      <w:bookmarkStart w:id="60" w:name="_Toc226743197"/>
      <w:r w:rsidRPr="00A9349B">
        <w:rPr>
          <w:rFonts w:cs="Arial"/>
          <w:sz w:val="22"/>
          <w:szCs w:val="22"/>
        </w:rPr>
        <w:t>Strengthen Institutional Trust Through Transparent and Anti</w:t>
      </w:r>
      <w:r w:rsidRPr="00A9349B">
        <w:rPr>
          <w:rFonts w:ascii="Cambria Math" w:hAnsi="Cambria Math" w:cs="Cambria Math"/>
          <w:sz w:val="22"/>
          <w:szCs w:val="22"/>
        </w:rPr>
        <w:t>‑</w:t>
      </w:r>
      <w:r w:rsidRPr="00A9349B">
        <w:rPr>
          <w:rFonts w:cs="Arial"/>
          <w:sz w:val="22"/>
          <w:szCs w:val="22"/>
        </w:rPr>
        <w:t>Racist Practice</w:t>
      </w:r>
      <w:bookmarkEnd w:id="60"/>
    </w:p>
    <w:p w14:paraId="7C06AD5E" w14:textId="77777777" w:rsidR="00A9349B" w:rsidRPr="00A9349B" w:rsidRDefault="00A9349B" w:rsidP="00EB2901">
      <w:pPr>
        <w:pStyle w:val="Heading1"/>
        <w:spacing w:line="360" w:lineRule="auto"/>
        <w:jc w:val="both"/>
        <w:rPr>
          <w:rFonts w:cs="Arial"/>
          <w:sz w:val="22"/>
          <w:szCs w:val="22"/>
        </w:rPr>
      </w:pPr>
      <w:bookmarkStart w:id="61" w:name="_Toc226743198"/>
      <w:r w:rsidRPr="00A9349B">
        <w:rPr>
          <w:rFonts w:cs="Arial"/>
          <w:sz w:val="22"/>
          <w:szCs w:val="22"/>
        </w:rPr>
        <w:t>(Linked to Theme 3: Institutional Transformation and Structural Equity)</w:t>
      </w:r>
      <w:bookmarkEnd w:id="61"/>
    </w:p>
    <w:p w14:paraId="2735D6A0" w14:textId="77777777" w:rsidR="00A9349B" w:rsidRPr="00173A5A" w:rsidRDefault="00A9349B" w:rsidP="00EB2901">
      <w:pPr>
        <w:pStyle w:val="Heading1"/>
        <w:spacing w:line="360" w:lineRule="auto"/>
        <w:jc w:val="both"/>
        <w:rPr>
          <w:rFonts w:cs="Arial"/>
          <w:sz w:val="24"/>
          <w:szCs w:val="24"/>
        </w:rPr>
      </w:pPr>
      <w:bookmarkStart w:id="62" w:name="_Toc226743199"/>
      <w:r w:rsidRPr="00173A5A">
        <w:rPr>
          <w:rFonts w:cs="Arial"/>
          <w:sz w:val="24"/>
          <w:szCs w:val="24"/>
        </w:rPr>
        <w:t>Rationale</w:t>
      </w:r>
      <w:bookmarkEnd w:id="62"/>
    </w:p>
    <w:p w14:paraId="0CD62192" w14:textId="6616A70F" w:rsidR="00823CF2" w:rsidRDefault="00A9349B" w:rsidP="0005710D">
      <w:pPr>
        <w:pStyle w:val="Heading1"/>
        <w:spacing w:line="360" w:lineRule="auto"/>
        <w:jc w:val="both"/>
        <w:rPr>
          <w:rFonts w:cs="Arial"/>
          <w:b w:val="0"/>
          <w:bCs/>
          <w:sz w:val="22"/>
          <w:szCs w:val="22"/>
        </w:rPr>
      </w:pPr>
      <w:bookmarkStart w:id="63" w:name="_Toc226743200"/>
      <w:r w:rsidRPr="00A9349B">
        <w:rPr>
          <w:rFonts w:cs="Arial"/>
          <w:b w:val="0"/>
          <w:bCs/>
          <w:sz w:val="22"/>
          <w:szCs w:val="22"/>
        </w:rPr>
        <w:t>Theme 3 demonstrated that historical and ongoing institutional failures, including the Infected Blood Scandal, have produced a lasting trust deficit among ethnic minority communities. Mistrust is therefore a rational response to institutional harm rather than cultural reluctance</w:t>
      </w:r>
      <w:bookmarkEnd w:id="63"/>
      <w:r w:rsidR="00E41FC0">
        <w:rPr>
          <w:rFonts w:cs="Arial"/>
          <w:b w:val="0"/>
          <w:bCs/>
          <w:sz w:val="22"/>
          <w:szCs w:val="22"/>
        </w:rPr>
        <w:t>.</w:t>
      </w:r>
    </w:p>
    <w:p w14:paraId="1E7D5092" w14:textId="77777777" w:rsidR="00AD51A4" w:rsidRPr="00A9349B" w:rsidRDefault="00AD51A4" w:rsidP="0005710D">
      <w:pPr>
        <w:pStyle w:val="Heading1"/>
        <w:spacing w:line="360" w:lineRule="auto"/>
        <w:jc w:val="both"/>
        <w:rPr>
          <w:rFonts w:cs="Arial"/>
          <w:b w:val="0"/>
          <w:bCs/>
          <w:sz w:val="22"/>
          <w:szCs w:val="22"/>
        </w:rPr>
      </w:pPr>
    </w:p>
    <w:p w14:paraId="20474C7E" w14:textId="77777777" w:rsidR="00A9349B" w:rsidRPr="00A9349B" w:rsidRDefault="00A9349B" w:rsidP="00EB2901">
      <w:pPr>
        <w:pStyle w:val="Heading1"/>
        <w:spacing w:line="360" w:lineRule="auto"/>
        <w:jc w:val="both"/>
        <w:rPr>
          <w:rFonts w:cs="Arial"/>
          <w:sz w:val="24"/>
          <w:szCs w:val="24"/>
        </w:rPr>
      </w:pPr>
      <w:bookmarkStart w:id="64" w:name="_Toc226743201"/>
      <w:r w:rsidRPr="00A9349B">
        <w:rPr>
          <w:rFonts w:cs="Arial"/>
          <w:sz w:val="24"/>
          <w:szCs w:val="24"/>
        </w:rPr>
        <w:t>Recommendation</w:t>
      </w:r>
      <w:bookmarkEnd w:id="64"/>
    </w:p>
    <w:p w14:paraId="6A4E3F55" w14:textId="77777777" w:rsidR="00A9349B" w:rsidRPr="00A9349B" w:rsidRDefault="00A9349B" w:rsidP="00EB2901">
      <w:pPr>
        <w:pStyle w:val="Heading1"/>
        <w:spacing w:line="360" w:lineRule="auto"/>
        <w:jc w:val="both"/>
        <w:rPr>
          <w:rFonts w:cs="Arial"/>
          <w:b w:val="0"/>
          <w:bCs/>
          <w:sz w:val="22"/>
          <w:szCs w:val="22"/>
        </w:rPr>
      </w:pPr>
      <w:bookmarkStart w:id="65" w:name="_Toc226743202"/>
      <w:r w:rsidRPr="00A9349B">
        <w:rPr>
          <w:rFonts w:cs="Arial"/>
          <w:b w:val="0"/>
          <w:bCs/>
          <w:sz w:val="22"/>
          <w:szCs w:val="22"/>
        </w:rPr>
        <w:t>Healthcare institutions should adopt explicit trust</w:t>
      </w:r>
      <w:r w:rsidRPr="00A9349B">
        <w:rPr>
          <w:rFonts w:ascii="Cambria Math" w:hAnsi="Cambria Math" w:cs="Cambria Math"/>
          <w:b w:val="0"/>
          <w:bCs/>
          <w:sz w:val="22"/>
          <w:szCs w:val="22"/>
        </w:rPr>
        <w:t>‑</w:t>
      </w:r>
      <w:r w:rsidRPr="00A9349B">
        <w:rPr>
          <w:rFonts w:cs="Arial"/>
          <w:b w:val="0"/>
          <w:bCs/>
          <w:sz w:val="22"/>
          <w:szCs w:val="22"/>
        </w:rPr>
        <w:t>building and anti</w:t>
      </w:r>
      <w:r w:rsidRPr="00A9349B">
        <w:rPr>
          <w:rFonts w:ascii="Cambria Math" w:hAnsi="Cambria Math" w:cs="Cambria Math"/>
          <w:b w:val="0"/>
          <w:bCs/>
          <w:sz w:val="22"/>
          <w:szCs w:val="22"/>
        </w:rPr>
        <w:t>‑</w:t>
      </w:r>
      <w:r w:rsidRPr="00A9349B">
        <w:rPr>
          <w:rFonts w:cs="Arial"/>
          <w:b w:val="0"/>
          <w:bCs/>
          <w:sz w:val="22"/>
          <w:szCs w:val="22"/>
        </w:rPr>
        <w:t>racist practices. This includes transparent communication about donation processes, acknowledgement of past harms, and improved ethnic diversity within donation and transplantation teams. Institutions should also embed equity and accountability measures within organisational policy and leadership structures.</w:t>
      </w:r>
      <w:bookmarkEnd w:id="65"/>
    </w:p>
    <w:p w14:paraId="020B3B93" w14:textId="736528AD" w:rsidR="00A9349B" w:rsidRPr="00A9349B" w:rsidRDefault="00A9349B" w:rsidP="00D054F7">
      <w:pPr>
        <w:pStyle w:val="Heading1"/>
        <w:spacing w:line="360" w:lineRule="auto"/>
        <w:jc w:val="both"/>
        <w:rPr>
          <w:rFonts w:cs="Arial"/>
          <w:sz w:val="24"/>
          <w:szCs w:val="24"/>
        </w:rPr>
      </w:pPr>
      <w:bookmarkStart w:id="66" w:name="_Toc226743203"/>
      <w:r w:rsidRPr="00A9349B">
        <w:rPr>
          <w:rFonts w:cs="Arial"/>
          <w:sz w:val="24"/>
          <w:szCs w:val="24"/>
        </w:rPr>
        <w:t>Barriers and Limitations</w:t>
      </w:r>
      <w:bookmarkEnd w:id="66"/>
    </w:p>
    <w:p w14:paraId="03F917F9" w14:textId="77777777" w:rsidR="00A9349B" w:rsidRPr="00A9349B" w:rsidRDefault="00A9349B" w:rsidP="00EB2901">
      <w:pPr>
        <w:pStyle w:val="Heading1"/>
        <w:numPr>
          <w:ilvl w:val="0"/>
          <w:numId w:val="49"/>
        </w:numPr>
        <w:spacing w:line="360" w:lineRule="auto"/>
        <w:jc w:val="both"/>
        <w:rPr>
          <w:rFonts w:cs="Arial"/>
          <w:b w:val="0"/>
          <w:bCs/>
          <w:sz w:val="22"/>
          <w:szCs w:val="22"/>
        </w:rPr>
      </w:pPr>
      <w:bookmarkStart w:id="67" w:name="_Toc226743204"/>
      <w:r w:rsidRPr="00A9349B">
        <w:rPr>
          <w:rFonts w:cs="Arial"/>
          <w:b w:val="0"/>
          <w:bCs/>
          <w:sz w:val="22"/>
          <w:szCs w:val="22"/>
        </w:rPr>
        <w:t>Institutional resistance to structural change</w:t>
      </w:r>
      <w:bookmarkEnd w:id="67"/>
    </w:p>
    <w:p w14:paraId="06196D53" w14:textId="77777777" w:rsidR="00A9349B" w:rsidRPr="00A9349B" w:rsidRDefault="00A9349B" w:rsidP="00EB2901">
      <w:pPr>
        <w:pStyle w:val="Heading1"/>
        <w:numPr>
          <w:ilvl w:val="0"/>
          <w:numId w:val="48"/>
        </w:numPr>
        <w:spacing w:line="360" w:lineRule="auto"/>
        <w:jc w:val="both"/>
        <w:rPr>
          <w:rFonts w:cs="Arial"/>
          <w:b w:val="0"/>
          <w:bCs/>
          <w:sz w:val="22"/>
          <w:szCs w:val="22"/>
        </w:rPr>
      </w:pPr>
      <w:bookmarkStart w:id="68" w:name="_Toc226743205"/>
      <w:r w:rsidRPr="00A9349B">
        <w:rPr>
          <w:rFonts w:cs="Arial"/>
          <w:b w:val="0"/>
          <w:bCs/>
          <w:sz w:val="22"/>
          <w:szCs w:val="22"/>
        </w:rPr>
        <w:t>Difficulty measuring trust outcomes</w:t>
      </w:r>
      <w:bookmarkEnd w:id="68"/>
    </w:p>
    <w:p w14:paraId="1883C6A9" w14:textId="77777777" w:rsidR="00A9349B" w:rsidRPr="00A9349B" w:rsidRDefault="00A9349B" w:rsidP="00EB2901">
      <w:pPr>
        <w:pStyle w:val="Heading1"/>
        <w:numPr>
          <w:ilvl w:val="0"/>
          <w:numId w:val="48"/>
        </w:numPr>
        <w:spacing w:line="360" w:lineRule="auto"/>
        <w:jc w:val="both"/>
        <w:rPr>
          <w:rFonts w:cs="Arial"/>
          <w:b w:val="0"/>
          <w:bCs/>
          <w:sz w:val="22"/>
          <w:szCs w:val="22"/>
        </w:rPr>
      </w:pPr>
      <w:bookmarkStart w:id="69" w:name="_Toc226743206"/>
      <w:r w:rsidRPr="00A9349B">
        <w:rPr>
          <w:rFonts w:cs="Arial"/>
          <w:b w:val="0"/>
          <w:bCs/>
          <w:sz w:val="22"/>
          <w:szCs w:val="22"/>
        </w:rPr>
        <w:t>Long</w:t>
      </w:r>
      <w:r w:rsidRPr="00A9349B">
        <w:rPr>
          <w:rFonts w:ascii="Cambria Math" w:hAnsi="Cambria Math" w:cs="Cambria Math"/>
          <w:b w:val="0"/>
          <w:bCs/>
          <w:sz w:val="22"/>
          <w:szCs w:val="22"/>
        </w:rPr>
        <w:t>‑</w:t>
      </w:r>
      <w:r w:rsidRPr="00A9349B">
        <w:rPr>
          <w:rFonts w:cs="Arial"/>
          <w:b w:val="0"/>
          <w:bCs/>
          <w:sz w:val="22"/>
          <w:szCs w:val="22"/>
        </w:rPr>
        <w:t>term nature of cultural transformation</w:t>
      </w:r>
      <w:bookmarkEnd w:id="69"/>
    </w:p>
    <w:p w14:paraId="126910DA" w14:textId="77777777" w:rsidR="00A9349B" w:rsidRPr="00A9349B" w:rsidRDefault="00A9349B" w:rsidP="00EB2901">
      <w:pPr>
        <w:pStyle w:val="Heading1"/>
        <w:spacing w:line="360" w:lineRule="auto"/>
        <w:jc w:val="both"/>
        <w:rPr>
          <w:rFonts w:cs="Arial"/>
          <w:b w:val="0"/>
          <w:bCs/>
          <w:sz w:val="22"/>
          <w:szCs w:val="22"/>
        </w:rPr>
      </w:pPr>
    </w:p>
    <w:p w14:paraId="63B82467" w14:textId="77777777" w:rsidR="00A9349B" w:rsidRPr="00A9349B" w:rsidRDefault="00A9349B" w:rsidP="00D054F7">
      <w:pPr>
        <w:pStyle w:val="Heading1"/>
        <w:spacing w:line="360" w:lineRule="auto"/>
        <w:ind w:left="0"/>
        <w:jc w:val="both"/>
        <w:rPr>
          <w:rFonts w:cs="Arial"/>
          <w:sz w:val="24"/>
          <w:szCs w:val="24"/>
        </w:rPr>
      </w:pPr>
      <w:bookmarkStart w:id="70" w:name="_Toc226743207"/>
      <w:r w:rsidRPr="00A9349B">
        <w:rPr>
          <w:rFonts w:cs="Arial"/>
          <w:sz w:val="24"/>
          <w:szCs w:val="24"/>
        </w:rPr>
        <w:t>Addressing Barriers</w:t>
      </w:r>
      <w:bookmarkEnd w:id="70"/>
    </w:p>
    <w:p w14:paraId="593DE644" w14:textId="45B07BF9" w:rsidR="00A77B27" w:rsidRPr="005775FB" w:rsidRDefault="00A9349B" w:rsidP="005775FB">
      <w:pPr>
        <w:pStyle w:val="Heading1"/>
        <w:spacing w:line="360" w:lineRule="auto"/>
        <w:ind w:left="0"/>
        <w:jc w:val="both"/>
        <w:rPr>
          <w:rFonts w:cs="Arial"/>
          <w:b w:val="0"/>
          <w:bCs/>
          <w:sz w:val="22"/>
          <w:szCs w:val="22"/>
        </w:rPr>
      </w:pPr>
      <w:bookmarkStart w:id="71" w:name="_Toc226743208"/>
      <w:r w:rsidRPr="00EB2901">
        <w:rPr>
          <w:rFonts w:cs="Arial"/>
          <w:b w:val="0"/>
          <w:bCs/>
          <w:sz w:val="22"/>
          <w:szCs w:val="22"/>
        </w:rPr>
        <w:t>Clear accountability frameworks, leadership commitment, and regular evaluation of equity indicators can support sustainable institutional change and rebuild trust over time.</w:t>
      </w:r>
      <w:bookmarkEnd w:id="71"/>
    </w:p>
    <w:p w14:paraId="6D0A9592" w14:textId="64676EA2" w:rsidR="009D31C6" w:rsidRPr="00EB2901" w:rsidRDefault="009D31C6" w:rsidP="00EB2901">
      <w:pPr>
        <w:rPr>
          <w:rFonts w:ascii="Arial" w:hAnsi="Arial" w:cs="Arial"/>
        </w:rPr>
      </w:pPr>
      <w:r w:rsidRPr="00EB2901">
        <w:rPr>
          <w:rFonts w:ascii="Arial" w:hAnsi="Arial" w:cs="Arial"/>
        </w:rPr>
        <w:t xml:space="preserve">This chapter translates the findings of the dissertation into practical, evidence-based recommendations aimed at improving equitable access to blood and organ donation information and resources for ethnic minority communities in the UK. Drawing directly from the socio-cultural, intersectional, and institutional barriers identified in Chapter 4, the recommendations </w:t>
      </w:r>
      <w:r w:rsidR="007F4188" w:rsidRPr="00EB2901">
        <w:rPr>
          <w:rFonts w:ascii="Arial" w:hAnsi="Arial" w:cs="Arial"/>
        </w:rPr>
        <w:t>emphasise</w:t>
      </w:r>
      <w:r w:rsidRPr="00EB2901">
        <w:rPr>
          <w:rFonts w:ascii="Arial" w:hAnsi="Arial" w:cs="Arial"/>
        </w:rPr>
        <w:t xml:space="preserve"> culturally credible communication, inclusive access pathways, and the building of institutional trust</w:t>
      </w:r>
      <w:r w:rsidR="005775FB">
        <w:rPr>
          <w:rFonts w:ascii="Arial" w:hAnsi="Arial" w:cs="Arial"/>
        </w:rPr>
        <w:t>.</w:t>
      </w:r>
    </w:p>
    <w:p w14:paraId="231DEEAB" w14:textId="7EB346AB" w:rsidR="009D31C6" w:rsidRPr="00EB2901" w:rsidRDefault="009D31C6" w:rsidP="00EB2901">
      <w:pPr>
        <w:rPr>
          <w:rFonts w:ascii="Arial" w:hAnsi="Arial" w:cs="Arial"/>
        </w:rPr>
      </w:pPr>
      <w:r w:rsidRPr="00EB2901">
        <w:rPr>
          <w:rFonts w:ascii="Arial" w:hAnsi="Arial" w:cs="Arial"/>
        </w:rPr>
        <w:t xml:space="preserve">The proposed recommendations </w:t>
      </w:r>
      <w:r w:rsidR="007F4188" w:rsidRPr="00EB2901">
        <w:rPr>
          <w:rFonts w:ascii="Arial" w:hAnsi="Arial" w:cs="Arial"/>
        </w:rPr>
        <w:t>recognise</w:t>
      </w:r>
      <w:r w:rsidRPr="00EB2901">
        <w:rPr>
          <w:rFonts w:ascii="Arial" w:hAnsi="Arial" w:cs="Arial"/>
        </w:rPr>
        <w:t xml:space="preserve"> that increasing equity in donations requires more than just raising awareness. They highlight the importance of community-led engagement, addressing intersecting structural disadvantages, and adopting transparent, anti-racist institutional practices. By shifting the responsibility away from individuals and communities and directing it towards healthcare systems and policy frameworks, these recommendations align with a whole-systems approach focused on equity in public health.</w:t>
      </w:r>
    </w:p>
    <w:p w14:paraId="25E08242" w14:textId="189FBCF0" w:rsidR="00AA5A88" w:rsidRPr="00EB2901" w:rsidRDefault="002F29E3" w:rsidP="00EB2901">
      <w:pPr>
        <w:rPr>
          <w:rFonts w:ascii="Arial" w:hAnsi="Arial" w:cs="Arial"/>
        </w:rPr>
      </w:pPr>
      <w:r w:rsidRPr="00EB2901">
        <w:rPr>
          <w:rFonts w:ascii="Arial" w:hAnsi="Arial" w:cs="Arial"/>
        </w:rPr>
        <w:t xml:space="preserve">Although limitations in resources, workforce challenges, and resistance to structural change may hinder the implementation of these recommendations, the proposed strategies indicate that significant progress is possible with ongoing commitment, accountability, and collaboration with the communities involved. </w:t>
      </w:r>
      <w:r w:rsidR="00346062" w:rsidRPr="00EB2901">
        <w:rPr>
          <w:rFonts w:ascii="Arial" w:hAnsi="Arial" w:cs="Arial"/>
        </w:rPr>
        <w:t xml:space="preserve"> Therefore, enhancing</w:t>
      </w:r>
      <w:r w:rsidRPr="00EB2901">
        <w:rPr>
          <w:rFonts w:ascii="Arial" w:hAnsi="Arial" w:cs="Arial"/>
        </w:rPr>
        <w:t xml:space="preserve"> equity in blood and organ donation is not only a public health priority but also a moral obligation. Tackling the barriers highlighted in this study could foster trust, encourage informed participation, and lead to more equitable health outcomes for all communities.</w:t>
      </w:r>
    </w:p>
    <w:p w14:paraId="2BDFC52E" w14:textId="77777777" w:rsidR="000400E4" w:rsidRPr="00EB2901" w:rsidRDefault="000400E4" w:rsidP="00EB2901">
      <w:pPr>
        <w:rPr>
          <w:rFonts w:ascii="Arial" w:hAnsi="Arial" w:cs="Arial"/>
        </w:rPr>
      </w:pPr>
    </w:p>
    <w:p w14:paraId="43820FD2" w14:textId="77777777" w:rsidR="00A77B27" w:rsidRDefault="00A77B27" w:rsidP="00EB2901">
      <w:pPr>
        <w:pStyle w:val="Heading1"/>
        <w:spacing w:line="360" w:lineRule="auto"/>
        <w:ind w:left="0"/>
        <w:jc w:val="both"/>
        <w:rPr>
          <w:rFonts w:cs="Arial"/>
        </w:rPr>
      </w:pPr>
    </w:p>
    <w:p w14:paraId="735EEF3A" w14:textId="77777777" w:rsidR="006674EE" w:rsidRDefault="006674EE" w:rsidP="00EB2901">
      <w:pPr>
        <w:pStyle w:val="Heading1"/>
        <w:spacing w:line="360" w:lineRule="auto"/>
        <w:ind w:left="0"/>
        <w:jc w:val="both"/>
        <w:rPr>
          <w:rFonts w:cs="Arial"/>
        </w:rPr>
      </w:pPr>
      <w:bookmarkStart w:id="72" w:name="_Toc226743209"/>
    </w:p>
    <w:p w14:paraId="24B4805A" w14:textId="77777777" w:rsidR="006674EE" w:rsidRDefault="006674EE" w:rsidP="00EB2901">
      <w:pPr>
        <w:pStyle w:val="Heading1"/>
        <w:spacing w:line="360" w:lineRule="auto"/>
        <w:ind w:left="0"/>
        <w:jc w:val="both"/>
        <w:rPr>
          <w:rFonts w:cs="Arial"/>
        </w:rPr>
      </w:pPr>
    </w:p>
    <w:p w14:paraId="2EE69DD1" w14:textId="7EBFCC39" w:rsidR="00211184" w:rsidRPr="00EB2901" w:rsidRDefault="00211184" w:rsidP="006674EE">
      <w:pPr>
        <w:pStyle w:val="Heading1"/>
        <w:spacing w:line="360" w:lineRule="auto"/>
        <w:ind w:left="0"/>
        <w:jc w:val="both"/>
        <w:rPr>
          <w:rFonts w:cs="Arial"/>
        </w:rPr>
      </w:pPr>
      <w:r w:rsidRPr="00EB2901">
        <w:rPr>
          <w:rFonts w:cs="Arial"/>
        </w:rPr>
        <w:t>CHAPTER 6 – References and Appendices</w:t>
      </w:r>
      <w:bookmarkEnd w:id="72"/>
      <w:r w:rsidRPr="00EB2901">
        <w:rPr>
          <w:rFonts w:cs="Arial"/>
        </w:rPr>
        <w:t xml:space="preserve"> </w:t>
      </w:r>
    </w:p>
    <w:p w14:paraId="020975DD" w14:textId="16A395E8" w:rsidR="00621776" w:rsidRDefault="00621776" w:rsidP="00EB2901">
      <w:pPr>
        <w:pStyle w:val="Heading1"/>
        <w:spacing w:line="360" w:lineRule="auto"/>
        <w:ind w:left="0"/>
        <w:jc w:val="both"/>
        <w:rPr>
          <w:rFonts w:cs="Arial"/>
          <w:sz w:val="28"/>
          <w:szCs w:val="28"/>
        </w:rPr>
      </w:pPr>
      <w:bookmarkStart w:id="73" w:name="_Toc226743210"/>
      <w:r w:rsidRPr="00EB2901">
        <w:rPr>
          <w:rFonts w:cs="Arial"/>
          <w:sz w:val="28"/>
          <w:szCs w:val="28"/>
        </w:rPr>
        <w:t xml:space="preserve">6.1 </w:t>
      </w:r>
      <w:r w:rsidRPr="00C10DC6">
        <w:rPr>
          <w:rFonts w:cs="Arial"/>
          <w:sz w:val="24"/>
          <w:szCs w:val="24"/>
        </w:rPr>
        <w:t>– References</w:t>
      </w:r>
      <w:bookmarkEnd w:id="73"/>
      <w:r w:rsidRPr="00EB2901">
        <w:rPr>
          <w:rFonts w:cs="Arial"/>
          <w:sz w:val="28"/>
          <w:szCs w:val="28"/>
        </w:rPr>
        <w:t xml:space="preserve"> </w:t>
      </w:r>
    </w:p>
    <w:p w14:paraId="0249307C" w14:textId="77777777" w:rsidR="00077842" w:rsidRDefault="00077842" w:rsidP="00077842">
      <w:pPr>
        <w:pStyle w:val="Heading1"/>
        <w:spacing w:line="360" w:lineRule="auto"/>
        <w:ind w:left="0"/>
        <w:jc w:val="both"/>
        <w:rPr>
          <w:rFonts w:cs="Arial"/>
          <w:b w:val="0"/>
          <w:bCs/>
          <w:sz w:val="22"/>
          <w:szCs w:val="22"/>
        </w:rPr>
      </w:pPr>
    </w:p>
    <w:p w14:paraId="4CD5B5FA" w14:textId="1C754B8F" w:rsidR="00077842" w:rsidRPr="00494120" w:rsidRDefault="00077842" w:rsidP="00494120">
      <w:pPr>
        <w:rPr>
          <w:rFonts w:ascii="Arial" w:hAnsi="Arial" w:cs="Arial"/>
        </w:rPr>
      </w:pPr>
      <w:r w:rsidRPr="00494120">
        <w:rPr>
          <w:rFonts w:ascii="Arial" w:hAnsi="Arial" w:cs="Arial"/>
        </w:rPr>
        <w:t xml:space="preserve">Ahmed, A. </w:t>
      </w:r>
      <w:r w:rsidR="00E10F18" w:rsidRPr="00494120">
        <w:rPr>
          <w:rFonts w:ascii="Arial" w:hAnsi="Arial" w:cs="Arial"/>
        </w:rPr>
        <w:t>(</w:t>
      </w:r>
      <w:r w:rsidRPr="00494120">
        <w:rPr>
          <w:rFonts w:ascii="Arial" w:hAnsi="Arial" w:cs="Arial"/>
        </w:rPr>
        <w:t>2023</w:t>
      </w:r>
      <w:r w:rsidR="00E10F18" w:rsidRPr="00494120">
        <w:rPr>
          <w:rFonts w:ascii="Arial" w:hAnsi="Arial" w:cs="Arial"/>
        </w:rPr>
        <w:t>)</w:t>
      </w:r>
      <w:r w:rsidRPr="00494120">
        <w:rPr>
          <w:rFonts w:ascii="Arial" w:hAnsi="Arial" w:cs="Arial"/>
        </w:rPr>
        <w:t xml:space="preserve"> 'The RESTORE trial's implications on the future of blood transfusions', BioScientist: The Salford Biomedicine Society Magazine, 1(4). Available at: </w:t>
      </w:r>
      <w:hyperlink r:id="rId16" w:history="1">
        <w:r w:rsidR="00ED55FE" w:rsidRPr="00494120">
          <w:rPr>
            <w:rStyle w:val="Hyperlink"/>
            <w:rFonts w:ascii="Arial" w:hAnsi="Arial" w:cs="Arial"/>
          </w:rPr>
          <w:t>https://openjournals.salford.ac.uk/bioscientist/article/id/58/</w:t>
        </w:r>
      </w:hyperlink>
      <w:r w:rsidRPr="00494120">
        <w:rPr>
          <w:rFonts w:ascii="Arial" w:hAnsi="Arial" w:cs="Arial"/>
        </w:rPr>
        <w:t xml:space="preserve">  (Accessed: 22 January 2026).</w:t>
      </w:r>
    </w:p>
    <w:p w14:paraId="17194349" w14:textId="1E724393" w:rsidR="00B25C85" w:rsidRPr="00494120" w:rsidRDefault="00B25C85" w:rsidP="00494120">
      <w:pPr>
        <w:rPr>
          <w:rFonts w:ascii="Arial" w:hAnsi="Arial" w:cs="Arial"/>
        </w:rPr>
      </w:pPr>
      <w:r w:rsidRPr="00494120">
        <w:rPr>
          <w:rFonts w:ascii="Arial" w:hAnsi="Arial" w:cs="Arial"/>
        </w:rPr>
        <w:t>Ahmed</w:t>
      </w:r>
      <w:r w:rsidR="005C657D" w:rsidRPr="00494120">
        <w:rPr>
          <w:rFonts w:ascii="Arial" w:hAnsi="Arial" w:cs="Arial"/>
        </w:rPr>
        <w:t xml:space="preserve">, A. </w:t>
      </w:r>
      <w:r w:rsidR="00E10F18" w:rsidRPr="00494120">
        <w:rPr>
          <w:rFonts w:ascii="Arial" w:hAnsi="Arial" w:cs="Arial"/>
        </w:rPr>
        <w:t>(</w:t>
      </w:r>
      <w:r w:rsidR="005C657D" w:rsidRPr="00494120">
        <w:rPr>
          <w:rFonts w:ascii="Arial" w:hAnsi="Arial" w:cs="Arial"/>
        </w:rPr>
        <w:t>2020</w:t>
      </w:r>
      <w:r w:rsidR="00E10F18" w:rsidRPr="00494120">
        <w:rPr>
          <w:rFonts w:ascii="Arial" w:hAnsi="Arial" w:cs="Arial"/>
        </w:rPr>
        <w:t>).</w:t>
      </w:r>
      <w:r w:rsidR="005C657D" w:rsidRPr="00494120">
        <w:rPr>
          <w:rFonts w:ascii="Arial" w:hAnsi="Arial" w:cs="Arial"/>
        </w:rPr>
        <w:t xml:space="preserve"> ‘Organ donation during the COVID-19 </w:t>
      </w:r>
      <w:r w:rsidR="00082435" w:rsidRPr="00494120">
        <w:rPr>
          <w:rFonts w:ascii="Arial" w:hAnsi="Arial" w:cs="Arial"/>
        </w:rPr>
        <w:t>pandemic’ American journal of transplantation</w:t>
      </w:r>
      <w:r w:rsidR="00B81126" w:rsidRPr="00494120">
        <w:rPr>
          <w:rFonts w:ascii="Arial" w:hAnsi="Arial" w:cs="Arial"/>
        </w:rPr>
        <w:t>.</w:t>
      </w:r>
      <w:r w:rsidR="00ED55FE" w:rsidRPr="00494120">
        <w:rPr>
          <w:rFonts w:ascii="Arial" w:hAnsi="Arial" w:cs="Arial"/>
        </w:rPr>
        <w:t xml:space="preserve"> Available at:</w:t>
      </w:r>
      <w:r w:rsidR="00B81126" w:rsidRPr="00494120">
        <w:rPr>
          <w:rFonts w:ascii="Arial" w:hAnsi="Arial" w:cs="Arial"/>
        </w:rPr>
        <w:t xml:space="preserve"> </w:t>
      </w:r>
      <w:r w:rsidR="00ED55FE" w:rsidRPr="00494120">
        <w:rPr>
          <w:rFonts w:ascii="Arial" w:hAnsi="Arial" w:cs="Arial"/>
        </w:rPr>
        <w:t xml:space="preserve"> </w:t>
      </w:r>
      <w:hyperlink r:id="rId17" w:history="1">
        <w:r w:rsidR="00ED55FE" w:rsidRPr="00494120">
          <w:rPr>
            <w:rStyle w:val="Hyperlink"/>
            <w:rFonts w:ascii="Arial" w:hAnsi="Arial" w:cs="Arial"/>
          </w:rPr>
          <w:t>https://doi.org/10.1111ajt.16199</w:t>
        </w:r>
      </w:hyperlink>
      <w:r w:rsidR="00ED55FE" w:rsidRPr="00494120">
        <w:rPr>
          <w:rFonts w:ascii="Arial" w:hAnsi="Arial" w:cs="Arial"/>
        </w:rPr>
        <w:t xml:space="preserve"> </w:t>
      </w:r>
      <w:r w:rsidR="005E3208" w:rsidRPr="00494120">
        <w:rPr>
          <w:rFonts w:ascii="Arial" w:hAnsi="Arial" w:cs="Arial"/>
        </w:rPr>
        <w:t>(Accessed</w:t>
      </w:r>
      <w:r w:rsidR="002C3A42" w:rsidRPr="00494120">
        <w:rPr>
          <w:rFonts w:ascii="Arial" w:hAnsi="Arial" w:cs="Arial"/>
        </w:rPr>
        <w:t>: 12 March 2026).</w:t>
      </w:r>
    </w:p>
    <w:p w14:paraId="1B8B6E91" w14:textId="67B67708" w:rsidR="00C11916" w:rsidRPr="00494120" w:rsidRDefault="00924281" w:rsidP="00020D46">
      <w:pPr>
        <w:rPr>
          <w:rFonts w:ascii="Arial" w:hAnsi="Arial" w:cs="Arial"/>
        </w:rPr>
      </w:pPr>
      <w:r w:rsidRPr="00494120">
        <w:rPr>
          <w:rFonts w:ascii="Arial" w:hAnsi="Arial" w:cs="Arial"/>
        </w:rPr>
        <w:t xml:space="preserve">Allain,J. </w:t>
      </w:r>
      <w:r w:rsidR="00E10F18" w:rsidRPr="00494120">
        <w:rPr>
          <w:rFonts w:ascii="Arial" w:hAnsi="Arial" w:cs="Arial"/>
        </w:rPr>
        <w:t>(</w:t>
      </w:r>
      <w:r w:rsidRPr="00494120">
        <w:rPr>
          <w:rFonts w:ascii="Arial" w:hAnsi="Arial" w:cs="Arial"/>
        </w:rPr>
        <w:t>2011</w:t>
      </w:r>
      <w:r w:rsidR="00E10F18" w:rsidRPr="00494120">
        <w:rPr>
          <w:rFonts w:ascii="Arial" w:hAnsi="Arial" w:cs="Arial"/>
        </w:rPr>
        <w:t>).</w:t>
      </w:r>
      <w:r w:rsidR="00A255DF" w:rsidRPr="00494120">
        <w:rPr>
          <w:rFonts w:ascii="Arial" w:hAnsi="Arial" w:cs="Arial"/>
        </w:rPr>
        <w:t xml:space="preserve"> ‘Moving on from </w:t>
      </w:r>
      <w:r w:rsidR="00E53A3E" w:rsidRPr="00494120">
        <w:rPr>
          <w:rFonts w:ascii="Arial" w:hAnsi="Arial" w:cs="Arial"/>
        </w:rPr>
        <w:t>voluntary non- renumerated donors: who is the best blood donor</w:t>
      </w:r>
      <w:r w:rsidR="000A49AF" w:rsidRPr="00494120">
        <w:rPr>
          <w:rFonts w:ascii="Arial" w:hAnsi="Arial" w:cs="Arial"/>
        </w:rPr>
        <w:t xml:space="preserve">? </w:t>
      </w:r>
      <w:r w:rsidR="00ED55FE" w:rsidRPr="00494120">
        <w:rPr>
          <w:rFonts w:ascii="Arial" w:hAnsi="Arial" w:cs="Arial"/>
        </w:rPr>
        <w:t xml:space="preserve">Available at: </w:t>
      </w:r>
      <w:hyperlink r:id="rId18" w:history="1">
        <w:r w:rsidR="00ED55FE" w:rsidRPr="00494120">
          <w:rPr>
            <w:rStyle w:val="Hyperlink"/>
            <w:rFonts w:ascii="Arial" w:hAnsi="Arial" w:cs="Arial"/>
          </w:rPr>
          <w:t>https://doi.org/10.1111/j.1365-2141.2011.08708.x</w:t>
        </w:r>
      </w:hyperlink>
      <w:r w:rsidR="00DA3922" w:rsidRPr="00494120">
        <w:rPr>
          <w:rFonts w:ascii="Arial" w:hAnsi="Arial" w:cs="Arial"/>
        </w:rPr>
        <w:t xml:space="preserve"> </w:t>
      </w:r>
      <w:r w:rsidR="00ED55FE" w:rsidRPr="00494120">
        <w:rPr>
          <w:rFonts w:ascii="Arial" w:hAnsi="Arial" w:cs="Arial"/>
        </w:rPr>
        <w:t xml:space="preserve"> (Accessed: </w:t>
      </w:r>
      <w:r w:rsidR="005E3208" w:rsidRPr="00494120">
        <w:rPr>
          <w:rFonts w:ascii="Arial" w:hAnsi="Arial" w:cs="Arial"/>
        </w:rPr>
        <w:t>12</w:t>
      </w:r>
      <w:r w:rsidR="002719CE" w:rsidRPr="00494120">
        <w:rPr>
          <w:rFonts w:ascii="Arial" w:hAnsi="Arial" w:cs="Arial"/>
        </w:rPr>
        <w:t xml:space="preserve"> March 2026)</w:t>
      </w:r>
      <w:r w:rsidR="005E3208" w:rsidRPr="00494120">
        <w:rPr>
          <w:rFonts w:ascii="Arial" w:hAnsi="Arial" w:cs="Arial"/>
        </w:rPr>
        <w:t>.</w:t>
      </w:r>
    </w:p>
    <w:p w14:paraId="7C554BF5" w14:textId="4C67926D" w:rsidR="00912830" w:rsidRPr="00494120" w:rsidRDefault="00077842" w:rsidP="00020D46">
      <w:pPr>
        <w:pStyle w:val="Heading1"/>
        <w:spacing w:line="360" w:lineRule="auto"/>
        <w:ind w:left="0"/>
        <w:jc w:val="both"/>
        <w:rPr>
          <w:rFonts w:cs="Arial"/>
          <w:b w:val="0"/>
          <w:bCs/>
          <w:sz w:val="22"/>
          <w:szCs w:val="22"/>
        </w:rPr>
      </w:pPr>
      <w:r w:rsidRPr="00494120">
        <w:rPr>
          <w:rFonts w:cs="Arial"/>
          <w:b w:val="0"/>
          <w:bCs/>
          <w:sz w:val="22"/>
          <w:szCs w:val="22"/>
        </w:rPr>
        <w:t xml:space="preserve"> Ali, S.M. et al. </w:t>
      </w:r>
      <w:r w:rsidR="00E10F18" w:rsidRPr="00494120">
        <w:rPr>
          <w:rFonts w:cs="Arial"/>
          <w:b w:val="0"/>
          <w:bCs/>
          <w:sz w:val="22"/>
          <w:szCs w:val="22"/>
        </w:rPr>
        <w:t>(</w:t>
      </w:r>
      <w:r w:rsidRPr="00494120">
        <w:rPr>
          <w:rFonts w:cs="Arial"/>
          <w:b w:val="0"/>
          <w:bCs/>
          <w:sz w:val="22"/>
          <w:szCs w:val="22"/>
        </w:rPr>
        <w:t>2025</w:t>
      </w:r>
      <w:r w:rsidR="00E10F18" w:rsidRPr="00494120">
        <w:rPr>
          <w:rFonts w:cs="Arial"/>
          <w:b w:val="0"/>
          <w:bCs/>
          <w:sz w:val="22"/>
          <w:szCs w:val="22"/>
        </w:rPr>
        <w:t xml:space="preserve">). </w:t>
      </w:r>
      <w:r w:rsidRPr="00494120">
        <w:rPr>
          <w:rFonts w:cs="Arial"/>
          <w:b w:val="0"/>
          <w:bCs/>
          <w:sz w:val="22"/>
          <w:szCs w:val="22"/>
        </w:rPr>
        <w:t xml:space="preserve"> “Determinants of mistrust in digital health research and approaches to address them among Muslim ethnic minorities living in the United Kingdom: a qualitative study,” International journal for equity in health, 24(1). Available at:   </w:t>
      </w:r>
      <w:hyperlink r:id="rId19" w:history="1">
        <w:r w:rsidRPr="00494120">
          <w:rPr>
            <w:rStyle w:val="Hyperlink"/>
            <w:rFonts w:cs="Arial"/>
            <w:b w:val="0"/>
            <w:bCs/>
            <w:sz w:val="22"/>
            <w:szCs w:val="22"/>
          </w:rPr>
          <w:t>https://doi.org/10.1186/s12939-025-02583-3</w:t>
        </w:r>
      </w:hyperlink>
      <w:r w:rsidRPr="00494120">
        <w:rPr>
          <w:rFonts w:cs="Arial"/>
          <w:b w:val="0"/>
          <w:bCs/>
          <w:sz w:val="22"/>
          <w:szCs w:val="22"/>
        </w:rPr>
        <w:t xml:space="preserve">. </w:t>
      </w:r>
    </w:p>
    <w:p w14:paraId="21A78C40" w14:textId="7F4D4254" w:rsidR="00D80F97" w:rsidRPr="00494120" w:rsidRDefault="001F1AA6" w:rsidP="00020D46">
      <w:pPr>
        <w:pStyle w:val="Heading1"/>
        <w:spacing w:line="360" w:lineRule="auto"/>
        <w:ind w:left="0"/>
        <w:jc w:val="both"/>
        <w:rPr>
          <w:rFonts w:cs="Arial"/>
          <w:b w:val="0"/>
          <w:bCs/>
          <w:sz w:val="22"/>
          <w:szCs w:val="22"/>
        </w:rPr>
      </w:pPr>
      <w:r w:rsidRPr="00494120">
        <w:rPr>
          <w:rFonts w:cs="Arial"/>
          <w:b w:val="0"/>
          <w:bCs/>
          <w:sz w:val="22"/>
          <w:szCs w:val="22"/>
        </w:rPr>
        <w:t>Av</w:t>
      </w:r>
      <w:r w:rsidR="003E02FC" w:rsidRPr="00494120">
        <w:rPr>
          <w:rFonts w:cs="Arial"/>
          <w:b w:val="0"/>
          <w:bCs/>
          <w:sz w:val="22"/>
          <w:szCs w:val="22"/>
        </w:rPr>
        <w:t>eyard, H. 2014 Doing a Literature</w:t>
      </w:r>
      <w:r w:rsidR="002F06B7" w:rsidRPr="00494120">
        <w:rPr>
          <w:rFonts w:cs="Arial"/>
          <w:b w:val="0"/>
          <w:bCs/>
          <w:sz w:val="22"/>
          <w:szCs w:val="22"/>
        </w:rPr>
        <w:t xml:space="preserve"> Review in Health and Social Care</w:t>
      </w:r>
      <w:r w:rsidR="00F8677A" w:rsidRPr="00494120">
        <w:rPr>
          <w:rFonts w:cs="Arial"/>
          <w:b w:val="0"/>
          <w:bCs/>
          <w:sz w:val="22"/>
          <w:szCs w:val="22"/>
        </w:rPr>
        <w:t>: a practical guide</w:t>
      </w:r>
      <w:r w:rsidR="002E43ED" w:rsidRPr="00494120">
        <w:rPr>
          <w:rFonts w:cs="Arial"/>
          <w:b w:val="0"/>
          <w:bCs/>
          <w:sz w:val="22"/>
          <w:szCs w:val="22"/>
        </w:rPr>
        <w:t xml:space="preserve">. Fifth </w:t>
      </w:r>
      <w:r w:rsidR="002F06B7" w:rsidRPr="00494120">
        <w:rPr>
          <w:rFonts w:cs="Arial"/>
          <w:b w:val="0"/>
          <w:bCs/>
          <w:sz w:val="22"/>
          <w:szCs w:val="22"/>
        </w:rPr>
        <w:t>ed</w:t>
      </w:r>
      <w:r w:rsidR="0042690B" w:rsidRPr="00494120">
        <w:rPr>
          <w:rFonts w:cs="Arial"/>
          <w:b w:val="0"/>
          <w:bCs/>
          <w:sz w:val="22"/>
          <w:szCs w:val="22"/>
        </w:rPr>
        <w:t>ition. Maidenhead: Open University Press</w:t>
      </w:r>
      <w:r w:rsidR="002E43ED" w:rsidRPr="00494120">
        <w:rPr>
          <w:rFonts w:cs="Arial"/>
          <w:b w:val="0"/>
          <w:bCs/>
          <w:sz w:val="22"/>
          <w:szCs w:val="22"/>
        </w:rPr>
        <w:t xml:space="preserve">. </w:t>
      </w:r>
      <w:r w:rsidR="005C6427" w:rsidRPr="00494120">
        <w:rPr>
          <w:rFonts w:cs="Arial"/>
          <w:b w:val="0"/>
          <w:bCs/>
          <w:sz w:val="22"/>
          <w:szCs w:val="22"/>
        </w:rPr>
        <w:t>(Accessed</w:t>
      </w:r>
      <w:r w:rsidR="007F50F7" w:rsidRPr="00494120">
        <w:rPr>
          <w:rFonts w:cs="Arial"/>
          <w:b w:val="0"/>
          <w:bCs/>
          <w:sz w:val="22"/>
          <w:szCs w:val="22"/>
        </w:rPr>
        <w:t xml:space="preserve">: 19 March 2026). </w:t>
      </w:r>
      <w:r w:rsidR="00C72850" w:rsidRPr="00494120">
        <w:rPr>
          <w:rFonts w:cs="Arial"/>
          <w:b w:val="0"/>
          <w:bCs/>
          <w:sz w:val="22"/>
          <w:szCs w:val="22"/>
        </w:rPr>
        <w:t xml:space="preserve"> </w:t>
      </w:r>
    </w:p>
    <w:p w14:paraId="6DCB4FC3" w14:textId="4AF4BBDE" w:rsidR="0009063B" w:rsidRPr="00494120" w:rsidRDefault="00323E4A" w:rsidP="00020D46">
      <w:pPr>
        <w:pStyle w:val="Heading1"/>
        <w:spacing w:line="360" w:lineRule="auto"/>
        <w:ind w:left="0"/>
        <w:jc w:val="both"/>
        <w:rPr>
          <w:rFonts w:cs="Arial"/>
          <w:b w:val="0"/>
          <w:bCs/>
          <w:sz w:val="22"/>
          <w:szCs w:val="22"/>
        </w:rPr>
      </w:pPr>
      <w:r w:rsidRPr="00494120">
        <w:rPr>
          <w:rFonts w:cs="Arial"/>
          <w:b w:val="0"/>
          <w:bCs/>
          <w:sz w:val="22"/>
          <w:szCs w:val="22"/>
        </w:rPr>
        <w:t>Bea, S. 2020 “Assembling organ donation: situating organ donation in hospital practice” Sociology of health &amp; illness, 42 (8), pp. 1934-1948. Available at</w:t>
      </w:r>
      <w:r w:rsidR="00A71082" w:rsidRPr="00494120">
        <w:rPr>
          <w:rFonts w:cs="Arial"/>
          <w:b w:val="0"/>
          <w:bCs/>
          <w:sz w:val="22"/>
          <w:szCs w:val="22"/>
        </w:rPr>
        <w:t xml:space="preserve"> </w:t>
      </w:r>
      <w:hyperlink r:id="rId20" w:history="1">
        <w:r w:rsidR="001C3947" w:rsidRPr="00494120">
          <w:rPr>
            <w:rStyle w:val="Hyperlink"/>
            <w:rFonts w:cs="Arial"/>
            <w:b w:val="0"/>
            <w:bCs/>
            <w:sz w:val="22"/>
            <w:szCs w:val="22"/>
          </w:rPr>
          <w:t>https://doi.org/</w:t>
        </w:r>
      </w:hyperlink>
      <w:r w:rsidR="007C5185" w:rsidRPr="00494120">
        <w:rPr>
          <w:rFonts w:cs="Arial"/>
          <w:b w:val="0"/>
          <w:bCs/>
          <w:sz w:val="22"/>
          <w:szCs w:val="22"/>
        </w:rPr>
        <w:t xml:space="preserve"> </w:t>
      </w:r>
      <w:r w:rsidRPr="00494120">
        <w:rPr>
          <w:rFonts w:cs="Arial"/>
          <w:b w:val="0"/>
          <w:bCs/>
          <w:sz w:val="22"/>
          <w:szCs w:val="22"/>
        </w:rPr>
        <w:t>10.1111/1467-9566.13177 </w:t>
      </w:r>
    </w:p>
    <w:p w14:paraId="7AC7586A" w14:textId="77777777" w:rsidR="00EA6366" w:rsidRDefault="00077842" w:rsidP="00020D46">
      <w:pPr>
        <w:rPr>
          <w:rFonts w:ascii="Arial" w:hAnsi="Arial" w:cs="Arial"/>
        </w:rPr>
      </w:pPr>
      <w:r w:rsidRPr="00494120">
        <w:rPr>
          <w:rFonts w:ascii="Arial" w:hAnsi="Arial" w:cs="Arial"/>
        </w:rPr>
        <w:t xml:space="preserve">Beauchamp,T.L. and Childress, J.F </w:t>
      </w:r>
      <w:r w:rsidR="00E34B97" w:rsidRPr="00494120">
        <w:rPr>
          <w:rFonts w:ascii="Arial" w:hAnsi="Arial" w:cs="Arial"/>
        </w:rPr>
        <w:t>(</w:t>
      </w:r>
      <w:r w:rsidRPr="00494120">
        <w:rPr>
          <w:rFonts w:ascii="Arial" w:hAnsi="Arial" w:cs="Arial"/>
        </w:rPr>
        <w:t>2013</w:t>
      </w:r>
      <w:r w:rsidR="00E34B97" w:rsidRPr="00494120">
        <w:rPr>
          <w:rFonts w:ascii="Arial" w:hAnsi="Arial" w:cs="Arial"/>
        </w:rPr>
        <w:t>)</w:t>
      </w:r>
      <w:r w:rsidRPr="00494120">
        <w:rPr>
          <w:rFonts w:ascii="Arial" w:hAnsi="Arial" w:cs="Arial"/>
        </w:rPr>
        <w:t>. Principles of Biomedical Ethics. Oxford: Oxford University Press.</w:t>
      </w:r>
      <w:r w:rsidR="00643544" w:rsidRPr="00494120">
        <w:rPr>
          <w:rFonts w:ascii="Arial" w:hAnsi="Arial" w:cs="Arial"/>
        </w:rPr>
        <w:t xml:space="preserve"> </w:t>
      </w:r>
      <w:hyperlink r:id="rId21" w:history="1">
        <w:r w:rsidR="009502D4" w:rsidRPr="00494120">
          <w:rPr>
            <w:rStyle w:val="Hyperlink"/>
            <w:rFonts w:ascii="Arial" w:hAnsi="Arial" w:cs="Arial"/>
          </w:rPr>
          <w:t>Https://global.oup.com/academic/product/principles-of-biomedical=ethics-9780199924585</w:t>
        </w:r>
      </w:hyperlink>
      <w:r w:rsidR="002D5704" w:rsidRPr="00494120">
        <w:rPr>
          <w:rFonts w:ascii="Arial" w:hAnsi="Arial" w:cs="Arial"/>
        </w:rPr>
        <w:t xml:space="preserve"> </w:t>
      </w:r>
      <w:r w:rsidR="00F26103" w:rsidRPr="00494120">
        <w:rPr>
          <w:rFonts w:ascii="Arial" w:hAnsi="Arial" w:cs="Arial"/>
        </w:rPr>
        <w:t>(</w:t>
      </w:r>
      <w:r w:rsidR="009021FF" w:rsidRPr="00494120">
        <w:rPr>
          <w:rFonts w:ascii="Arial" w:hAnsi="Arial" w:cs="Arial"/>
        </w:rPr>
        <w:t>global.oup.com in bing</w:t>
      </w:r>
      <w:r w:rsidR="00F26103" w:rsidRPr="00494120">
        <w:rPr>
          <w:rFonts w:ascii="Arial" w:hAnsi="Arial" w:cs="Arial"/>
        </w:rPr>
        <w:t>)</w:t>
      </w:r>
      <w:r w:rsidR="00873A80" w:rsidRPr="00494120">
        <w:rPr>
          <w:rFonts w:ascii="Arial" w:hAnsi="Arial" w:cs="Arial"/>
        </w:rPr>
        <w:t>.</w:t>
      </w:r>
      <w:r w:rsidR="00A21CA7" w:rsidRPr="00494120">
        <w:rPr>
          <w:rFonts w:ascii="Arial" w:hAnsi="Arial" w:cs="Arial"/>
        </w:rPr>
        <w:t xml:space="preserve">  </w:t>
      </w:r>
    </w:p>
    <w:p w14:paraId="499EC4EF" w14:textId="7DF83210" w:rsidR="00AC41B1" w:rsidRPr="00494120" w:rsidRDefault="00296F14" w:rsidP="00020D46">
      <w:pPr>
        <w:rPr>
          <w:rFonts w:ascii="Arial" w:hAnsi="Arial" w:cs="Arial"/>
        </w:rPr>
      </w:pPr>
      <w:r w:rsidRPr="003F7B6F">
        <w:rPr>
          <w:rFonts w:ascii="Arial" w:hAnsi="Arial" w:cs="Arial"/>
        </w:rPr>
        <w:t>World Medical Association (2013) Declaration of Helsinki: Ethical Principles for Medical Research Involving Human Subjects.Available at:  (wma.net in Bing)</w:t>
      </w:r>
    </w:p>
    <w:p w14:paraId="5A2FA000" w14:textId="28E494CC" w:rsidR="00873A80" w:rsidRDefault="00EA6366" w:rsidP="00020D46">
      <w:pPr>
        <w:rPr>
          <w:rFonts w:ascii="Arial" w:hAnsi="Arial" w:cs="Arial"/>
        </w:rPr>
      </w:pPr>
      <w:r w:rsidRPr="00494120">
        <w:rPr>
          <w:rFonts w:ascii="Arial" w:hAnsi="Arial" w:cs="Arial"/>
        </w:rPr>
        <w:t>Birtan</w:t>
      </w:r>
      <w:r w:rsidR="009E76FC" w:rsidRPr="00494120">
        <w:rPr>
          <w:rFonts w:ascii="Arial" w:hAnsi="Arial" w:cs="Arial"/>
        </w:rPr>
        <w:t>,D., Arslantas, M</w:t>
      </w:r>
      <w:r w:rsidR="003A2411" w:rsidRPr="00494120">
        <w:rPr>
          <w:rFonts w:ascii="Arial" w:hAnsi="Arial" w:cs="Arial"/>
        </w:rPr>
        <w:t>.K., Dincer, P.C., Alt</w:t>
      </w:r>
      <w:r w:rsidR="0054479F" w:rsidRPr="00494120">
        <w:rPr>
          <w:rFonts w:ascii="Arial" w:hAnsi="Arial" w:cs="Arial"/>
        </w:rPr>
        <w:t>un, G.T., Bilgili</w:t>
      </w:r>
      <w:r w:rsidR="00D87FCC" w:rsidRPr="00494120">
        <w:rPr>
          <w:rFonts w:ascii="Arial" w:hAnsi="Arial" w:cs="Arial"/>
        </w:rPr>
        <w:t>, B., Ucar, F.B., Toker, K. and Cinel, I</w:t>
      </w:r>
      <w:r w:rsidR="00693ED0" w:rsidRPr="00494120">
        <w:rPr>
          <w:rFonts w:ascii="Arial" w:hAnsi="Arial" w:cs="Arial"/>
        </w:rPr>
        <w:t>. (2017).  Effect of interviews done by intensive</w:t>
      </w:r>
      <w:r w:rsidR="00513B9B" w:rsidRPr="00494120">
        <w:rPr>
          <w:rFonts w:ascii="Arial" w:hAnsi="Arial" w:cs="Arial"/>
        </w:rPr>
        <w:t xml:space="preserve"> Care Physicians on Organ Donation</w:t>
      </w:r>
      <w:r w:rsidR="00324A00" w:rsidRPr="00494120">
        <w:rPr>
          <w:rFonts w:ascii="Arial" w:hAnsi="Arial" w:cs="Arial"/>
        </w:rPr>
        <w:t xml:space="preserve">’. </w:t>
      </w:r>
      <w:r w:rsidR="00202666" w:rsidRPr="00494120">
        <w:rPr>
          <w:rFonts w:ascii="Arial" w:hAnsi="Arial" w:cs="Arial"/>
        </w:rPr>
        <w:t xml:space="preserve"> </w:t>
      </w:r>
      <w:r w:rsidR="00324A00" w:rsidRPr="00494120">
        <w:rPr>
          <w:rFonts w:ascii="Arial" w:hAnsi="Arial" w:cs="Arial"/>
        </w:rPr>
        <w:t xml:space="preserve">Transplantation </w:t>
      </w:r>
      <w:r w:rsidR="00826209" w:rsidRPr="00494120">
        <w:rPr>
          <w:rFonts w:ascii="Arial" w:hAnsi="Arial" w:cs="Arial"/>
        </w:rPr>
        <w:t>proceeding, 49(3),pp.39398</w:t>
      </w:r>
      <w:r w:rsidR="00202666" w:rsidRPr="00494120">
        <w:rPr>
          <w:rFonts w:ascii="Arial" w:hAnsi="Arial" w:cs="Arial"/>
        </w:rPr>
        <w:t xml:space="preserve"> </w:t>
      </w:r>
      <w:r w:rsidR="00A21CA7" w:rsidRPr="00494120">
        <w:rPr>
          <w:rFonts w:ascii="Arial" w:hAnsi="Arial" w:cs="Arial"/>
        </w:rPr>
        <w:t xml:space="preserve"> </w:t>
      </w:r>
    </w:p>
    <w:p w14:paraId="162DE287" w14:textId="731518D6" w:rsidR="00A27CFF" w:rsidRPr="00494120" w:rsidRDefault="00F37B30" w:rsidP="00020D46">
      <w:pPr>
        <w:rPr>
          <w:rFonts w:ascii="Arial" w:hAnsi="Arial" w:cs="Arial"/>
        </w:rPr>
      </w:pPr>
      <w:r w:rsidRPr="00845044">
        <w:rPr>
          <w:rFonts w:ascii="Arial" w:hAnsi="Arial" w:cs="Arial"/>
        </w:rPr>
        <w:t xml:space="preserve">Blakeslee, S. (2004). </w:t>
      </w:r>
      <w:r w:rsidRPr="00845044">
        <w:rPr>
          <w:rFonts w:ascii="Arial" w:hAnsi="Arial" w:cs="Arial"/>
          <w:i/>
          <w:iCs/>
        </w:rPr>
        <w:t>The CRAAP Test</w:t>
      </w:r>
      <w:r>
        <w:rPr>
          <w:rFonts w:ascii="Arial" w:hAnsi="Arial" w:cs="Arial"/>
          <w:i/>
          <w:iCs/>
        </w:rPr>
        <w:t xml:space="preserve">. </w:t>
      </w:r>
      <w:r w:rsidRPr="00845044">
        <w:rPr>
          <w:rFonts w:ascii="Arial" w:hAnsi="Arial" w:cs="Arial"/>
        </w:rPr>
        <w:t xml:space="preserve">California State University, Chico.Available at: </w:t>
      </w:r>
      <w:hyperlink r:id="rId22" w:history="1">
        <w:r w:rsidRPr="00845044">
          <w:rPr>
            <w:rStyle w:val="Hyperlink"/>
            <w:rFonts w:ascii="Arial" w:hAnsi="Arial" w:cs="Arial"/>
          </w:rPr>
          <w:t>https://library.csuchico.edu/sites/default/files/craap-test.pdf</w:t>
        </w:r>
      </w:hyperlink>
      <w:r>
        <w:rPr>
          <w:rFonts w:ascii="Arial" w:hAnsi="Arial" w:cs="Arial"/>
        </w:rPr>
        <w:t xml:space="preserve"> </w:t>
      </w:r>
      <w:r w:rsidRPr="00845044">
        <w:rPr>
          <w:rFonts w:ascii="Arial" w:hAnsi="Arial" w:cs="Arial"/>
        </w:rPr>
        <w:t>(Accessed: 15 April 2026).</w:t>
      </w:r>
    </w:p>
    <w:p w14:paraId="745DEB29" w14:textId="42AA1AC7" w:rsidR="00077842" w:rsidRPr="00494120" w:rsidRDefault="00077842" w:rsidP="00020D46">
      <w:pPr>
        <w:rPr>
          <w:rFonts w:ascii="Arial" w:hAnsi="Arial" w:cs="Arial"/>
        </w:rPr>
      </w:pPr>
      <w:r w:rsidRPr="00494120">
        <w:rPr>
          <w:rFonts w:ascii="Arial" w:hAnsi="Arial" w:cs="Arial"/>
        </w:rPr>
        <w:t xml:space="preserve">Boadu, P., McLaughlin, L., Noyes, J., et al. </w:t>
      </w:r>
      <w:r w:rsidR="00A31C8F" w:rsidRPr="00494120">
        <w:rPr>
          <w:rFonts w:ascii="Arial" w:hAnsi="Arial" w:cs="Arial"/>
        </w:rPr>
        <w:t>(</w:t>
      </w:r>
      <w:r w:rsidRPr="00494120">
        <w:rPr>
          <w:rFonts w:ascii="Arial" w:hAnsi="Arial" w:cs="Arial"/>
        </w:rPr>
        <w:t>2024</w:t>
      </w:r>
      <w:r w:rsidR="00A31C8F" w:rsidRPr="00494120">
        <w:rPr>
          <w:rFonts w:ascii="Arial" w:hAnsi="Arial" w:cs="Arial"/>
        </w:rPr>
        <w:t>).</w:t>
      </w:r>
      <w:r w:rsidRPr="00494120">
        <w:rPr>
          <w:rFonts w:ascii="Arial" w:hAnsi="Arial" w:cs="Arial"/>
        </w:rPr>
        <w:t xml:space="preserve"> ‘Subgroup differences in public attitudes… after the introduction of the “soft” opt</w:t>
      </w:r>
      <w:r w:rsidRPr="00494120">
        <w:rPr>
          <w:rFonts w:ascii="Arial" w:hAnsi="Arial" w:cs="Arial"/>
        </w:rPr>
        <w:noBreakHyphen/>
        <w:t>out consent system in England: mixed</w:t>
      </w:r>
      <w:r w:rsidRPr="00494120">
        <w:rPr>
          <w:rFonts w:ascii="Arial" w:hAnsi="Arial" w:cs="Arial"/>
        </w:rPr>
        <w:noBreakHyphen/>
        <w:t xml:space="preserve">methods study’, </w:t>
      </w:r>
      <w:r w:rsidRPr="00494120">
        <w:rPr>
          <w:rFonts w:ascii="Arial" w:hAnsi="Arial" w:cs="Arial"/>
          <w:i/>
          <w:iCs/>
        </w:rPr>
        <w:t>BMC Health Services Research</w:t>
      </w:r>
      <w:r w:rsidRPr="00494120">
        <w:rPr>
          <w:rFonts w:ascii="Arial" w:hAnsi="Arial" w:cs="Arial"/>
        </w:rPr>
        <w:t xml:space="preserve">, 24, 1447. Open access. </w:t>
      </w:r>
      <w:hyperlink r:id="rId23" w:history="1">
        <w:r w:rsidRPr="00494120">
          <w:rPr>
            <w:rStyle w:val="Hyperlink"/>
            <w:rFonts w:ascii="Arial" w:hAnsi="Arial" w:cs="Arial"/>
          </w:rPr>
          <w:t>(link.springer.com)</w:t>
        </w:r>
      </w:hyperlink>
      <w:r w:rsidR="002400AD" w:rsidRPr="00494120">
        <w:rPr>
          <w:rFonts w:ascii="Arial" w:hAnsi="Arial" w:cs="Arial"/>
        </w:rPr>
        <w:t xml:space="preserve"> Available at:</w:t>
      </w:r>
      <w:r w:rsidR="002E66CD" w:rsidRPr="00494120">
        <w:rPr>
          <w:rFonts w:ascii="Arial" w:hAnsi="Arial" w:cs="Arial"/>
        </w:rPr>
        <w:t xml:space="preserve"> </w:t>
      </w:r>
      <w:r w:rsidR="002400AD" w:rsidRPr="00494120">
        <w:rPr>
          <w:rFonts w:ascii="Arial" w:hAnsi="Arial" w:cs="Arial"/>
        </w:rPr>
        <w:t xml:space="preserve"> </w:t>
      </w:r>
      <w:hyperlink r:id="rId24" w:history="1">
        <w:r w:rsidR="002E66CD" w:rsidRPr="00494120">
          <w:rPr>
            <w:rStyle w:val="Hyperlink"/>
            <w:rFonts w:ascii="Arial" w:hAnsi="Arial" w:cs="Arial"/>
          </w:rPr>
          <w:t>https://doi101186/s12913-024-11821-3</w:t>
        </w:r>
      </w:hyperlink>
      <w:r w:rsidR="006C1878" w:rsidRPr="00494120">
        <w:rPr>
          <w:rFonts w:ascii="Arial" w:hAnsi="Arial" w:cs="Arial"/>
        </w:rPr>
        <w:t>.</w:t>
      </w:r>
      <w:r w:rsidR="002E66CD" w:rsidRPr="00494120">
        <w:rPr>
          <w:rFonts w:ascii="Arial" w:hAnsi="Arial" w:cs="Arial"/>
        </w:rPr>
        <w:t xml:space="preserve"> </w:t>
      </w:r>
      <w:r w:rsidR="00FF0C5F" w:rsidRPr="00494120">
        <w:rPr>
          <w:rFonts w:ascii="Arial" w:hAnsi="Arial" w:cs="Arial"/>
        </w:rPr>
        <w:t>(</w:t>
      </w:r>
      <w:r w:rsidR="002E66CD" w:rsidRPr="00494120">
        <w:rPr>
          <w:rFonts w:ascii="Arial" w:hAnsi="Arial" w:cs="Arial"/>
        </w:rPr>
        <w:t>Accessed</w:t>
      </w:r>
      <w:r w:rsidR="00FF0C5F" w:rsidRPr="00494120">
        <w:rPr>
          <w:rFonts w:ascii="Arial" w:hAnsi="Arial" w:cs="Arial"/>
        </w:rPr>
        <w:t xml:space="preserve">: </w:t>
      </w:r>
      <w:r w:rsidR="00886608" w:rsidRPr="00494120">
        <w:rPr>
          <w:rFonts w:ascii="Arial" w:hAnsi="Arial" w:cs="Arial"/>
        </w:rPr>
        <w:t>19 March</w:t>
      </w:r>
      <w:r w:rsidR="00F23CCE" w:rsidRPr="00494120">
        <w:rPr>
          <w:rFonts w:ascii="Arial" w:hAnsi="Arial" w:cs="Arial"/>
        </w:rPr>
        <w:t xml:space="preserve"> 2026).  </w:t>
      </w:r>
      <w:r w:rsidR="002E66CD" w:rsidRPr="00494120">
        <w:rPr>
          <w:rFonts w:ascii="Arial" w:hAnsi="Arial" w:cs="Arial"/>
        </w:rPr>
        <w:t xml:space="preserve"> </w:t>
      </w:r>
      <w:r w:rsidR="006C1878" w:rsidRPr="00494120">
        <w:rPr>
          <w:rFonts w:ascii="Arial" w:hAnsi="Arial" w:cs="Arial"/>
        </w:rPr>
        <w:t xml:space="preserve">  </w:t>
      </w:r>
      <w:r w:rsidRPr="00494120">
        <w:rPr>
          <w:rFonts w:ascii="Arial" w:hAnsi="Arial" w:cs="Arial"/>
        </w:rPr>
        <w:t xml:space="preserve"> </w:t>
      </w:r>
      <w:r w:rsidR="002E66CD" w:rsidRPr="00494120">
        <w:rPr>
          <w:rFonts w:ascii="Arial" w:hAnsi="Arial" w:cs="Arial"/>
        </w:rPr>
        <w:t xml:space="preserve"> </w:t>
      </w:r>
    </w:p>
    <w:p w14:paraId="2D0B5E05" w14:textId="7D919D44" w:rsidR="00857373" w:rsidRPr="00494120" w:rsidRDefault="00077842" w:rsidP="00020D46">
      <w:pPr>
        <w:rPr>
          <w:rFonts w:ascii="Arial" w:hAnsi="Arial" w:cs="Arial"/>
        </w:rPr>
      </w:pPr>
      <w:r w:rsidRPr="001108F3">
        <w:rPr>
          <w:rFonts w:ascii="Arial" w:hAnsi="Arial" w:cs="Arial"/>
        </w:rPr>
        <w:t xml:space="preserve">Braun, V. and Clarke, V. </w:t>
      </w:r>
      <w:r w:rsidR="00D86BEC" w:rsidRPr="00494120">
        <w:rPr>
          <w:rFonts w:ascii="Arial" w:hAnsi="Arial" w:cs="Arial"/>
        </w:rPr>
        <w:t>(</w:t>
      </w:r>
      <w:r w:rsidRPr="001108F3">
        <w:rPr>
          <w:rFonts w:ascii="Arial" w:hAnsi="Arial" w:cs="Arial"/>
        </w:rPr>
        <w:t>2006</w:t>
      </w:r>
      <w:r w:rsidR="00D86BEC" w:rsidRPr="00494120">
        <w:rPr>
          <w:rFonts w:ascii="Arial" w:hAnsi="Arial" w:cs="Arial"/>
        </w:rPr>
        <w:t>).</w:t>
      </w:r>
      <w:r w:rsidRPr="001108F3">
        <w:rPr>
          <w:rFonts w:ascii="Arial" w:hAnsi="Arial" w:cs="Arial"/>
        </w:rPr>
        <w:t xml:space="preserve"> “Using thematic analysis in psychology,” </w:t>
      </w:r>
      <w:r w:rsidRPr="001108F3">
        <w:rPr>
          <w:rFonts w:ascii="Arial" w:hAnsi="Arial" w:cs="Arial"/>
          <w:i/>
          <w:iCs/>
        </w:rPr>
        <w:t>Qualitative research in psychology</w:t>
      </w:r>
      <w:r w:rsidRPr="001108F3">
        <w:rPr>
          <w:rFonts w:ascii="Arial" w:hAnsi="Arial" w:cs="Arial"/>
        </w:rPr>
        <w:t>, 3(2), pp. 77–101. Available at:</w:t>
      </w:r>
      <w:r w:rsidRPr="00494120">
        <w:rPr>
          <w:rFonts w:ascii="Arial" w:hAnsi="Arial" w:cs="Arial"/>
        </w:rPr>
        <w:t xml:space="preserve"> </w:t>
      </w:r>
      <w:r w:rsidRPr="001108F3">
        <w:rPr>
          <w:rFonts w:ascii="Arial" w:hAnsi="Arial" w:cs="Arial"/>
        </w:rPr>
        <w:t xml:space="preserve"> </w:t>
      </w:r>
      <w:hyperlink r:id="rId25" w:history="1">
        <w:r w:rsidRPr="00494120">
          <w:rPr>
            <w:rStyle w:val="Hyperlink"/>
            <w:rFonts w:ascii="Arial" w:hAnsi="Arial" w:cs="Arial"/>
          </w:rPr>
          <w:t>https://doi.org/10.1191/1478088706qp063oa</w:t>
        </w:r>
      </w:hyperlink>
      <w:r w:rsidRPr="00494120">
        <w:rPr>
          <w:rFonts w:ascii="Arial" w:hAnsi="Arial" w:cs="Arial"/>
        </w:rPr>
        <w:t xml:space="preserve">. </w:t>
      </w:r>
    </w:p>
    <w:p w14:paraId="15263149" w14:textId="14F54802" w:rsidR="001E4F0A" w:rsidRPr="00494120" w:rsidRDefault="00CD39AB" w:rsidP="00020D46">
      <w:pPr>
        <w:rPr>
          <w:rFonts w:ascii="Arial" w:hAnsi="Arial" w:cs="Arial"/>
        </w:rPr>
      </w:pPr>
      <w:r w:rsidRPr="00494120">
        <w:rPr>
          <w:rFonts w:ascii="Arial" w:hAnsi="Arial" w:cs="Arial"/>
        </w:rPr>
        <w:t>Brau</w:t>
      </w:r>
      <w:r w:rsidR="00D80F97" w:rsidRPr="00494120">
        <w:rPr>
          <w:rFonts w:ascii="Arial" w:hAnsi="Arial" w:cs="Arial"/>
        </w:rPr>
        <w:t>n</w:t>
      </w:r>
      <w:r w:rsidR="00927A4C" w:rsidRPr="00494120">
        <w:rPr>
          <w:rFonts w:ascii="Arial" w:hAnsi="Arial" w:cs="Arial"/>
        </w:rPr>
        <w:t>, V</w:t>
      </w:r>
      <w:r w:rsidR="00F56F4D" w:rsidRPr="00494120">
        <w:rPr>
          <w:rFonts w:ascii="Arial" w:hAnsi="Arial" w:cs="Arial"/>
        </w:rPr>
        <w:t xml:space="preserve">. and Clarke, </w:t>
      </w:r>
      <w:r w:rsidR="00954565" w:rsidRPr="00494120">
        <w:rPr>
          <w:rFonts w:ascii="Arial" w:hAnsi="Arial" w:cs="Arial"/>
        </w:rPr>
        <w:t xml:space="preserve">V. </w:t>
      </w:r>
      <w:r w:rsidR="00D86BEC" w:rsidRPr="00494120">
        <w:rPr>
          <w:rFonts w:ascii="Arial" w:hAnsi="Arial" w:cs="Arial"/>
        </w:rPr>
        <w:t>(</w:t>
      </w:r>
      <w:r w:rsidR="00954565" w:rsidRPr="00494120">
        <w:rPr>
          <w:rFonts w:ascii="Arial" w:hAnsi="Arial" w:cs="Arial"/>
        </w:rPr>
        <w:t>2006</w:t>
      </w:r>
      <w:r w:rsidR="00D86BEC" w:rsidRPr="00494120">
        <w:rPr>
          <w:rFonts w:ascii="Arial" w:hAnsi="Arial" w:cs="Arial"/>
        </w:rPr>
        <w:t>)</w:t>
      </w:r>
      <w:r w:rsidR="00F72562" w:rsidRPr="00494120">
        <w:rPr>
          <w:rFonts w:ascii="Arial" w:hAnsi="Arial" w:cs="Arial"/>
        </w:rPr>
        <w:t>.</w:t>
      </w:r>
      <w:r w:rsidR="00954565" w:rsidRPr="00494120">
        <w:rPr>
          <w:rFonts w:ascii="Arial" w:hAnsi="Arial" w:cs="Arial"/>
        </w:rPr>
        <w:t xml:space="preserve"> </w:t>
      </w:r>
      <w:r w:rsidR="00231FE2" w:rsidRPr="00494120">
        <w:rPr>
          <w:rFonts w:ascii="Arial" w:hAnsi="Arial" w:cs="Arial"/>
        </w:rPr>
        <w:t>Thematic an</w:t>
      </w:r>
      <w:r w:rsidR="00452474" w:rsidRPr="00494120">
        <w:rPr>
          <w:rFonts w:ascii="Arial" w:hAnsi="Arial" w:cs="Arial"/>
        </w:rPr>
        <w:t>alysis diagram</w:t>
      </w:r>
      <w:r w:rsidR="0017313F" w:rsidRPr="00494120">
        <w:rPr>
          <w:rFonts w:ascii="Arial" w:hAnsi="Arial" w:cs="Arial"/>
        </w:rPr>
        <w:t>. Appendix</w:t>
      </w:r>
      <w:r w:rsidR="00D41028" w:rsidRPr="00494120">
        <w:rPr>
          <w:rFonts w:ascii="Arial" w:hAnsi="Arial" w:cs="Arial"/>
        </w:rPr>
        <w:t xml:space="preserve"> </w:t>
      </w:r>
      <w:r w:rsidR="0017313F" w:rsidRPr="00494120">
        <w:rPr>
          <w:rFonts w:ascii="Arial" w:hAnsi="Arial" w:cs="Arial"/>
        </w:rPr>
        <w:t xml:space="preserve"> </w:t>
      </w:r>
    </w:p>
    <w:p w14:paraId="23E70293" w14:textId="69DAFAD5" w:rsidR="00ED57D5" w:rsidRPr="00494120" w:rsidRDefault="00077842" w:rsidP="00020D46">
      <w:pPr>
        <w:rPr>
          <w:rFonts w:ascii="Arial" w:hAnsi="Arial" w:cs="Arial"/>
        </w:rPr>
      </w:pPr>
      <w:r w:rsidRPr="00494120">
        <w:rPr>
          <w:rFonts w:ascii="Arial" w:hAnsi="Arial" w:cs="Arial"/>
        </w:rPr>
        <w:t xml:space="preserve">British Society for Haematology </w:t>
      </w:r>
      <w:r w:rsidR="00E34B97" w:rsidRPr="00494120">
        <w:rPr>
          <w:rFonts w:ascii="Arial" w:hAnsi="Arial" w:cs="Arial"/>
        </w:rPr>
        <w:t>(</w:t>
      </w:r>
      <w:r w:rsidRPr="00494120">
        <w:rPr>
          <w:rFonts w:ascii="Arial" w:hAnsi="Arial" w:cs="Arial"/>
        </w:rPr>
        <w:t>2016</w:t>
      </w:r>
      <w:r w:rsidR="00E34B97" w:rsidRPr="00494120">
        <w:rPr>
          <w:rFonts w:ascii="Arial" w:hAnsi="Arial" w:cs="Arial"/>
        </w:rPr>
        <w:t>)</w:t>
      </w:r>
      <w:r w:rsidRPr="00494120">
        <w:rPr>
          <w:rFonts w:ascii="Arial" w:hAnsi="Arial" w:cs="Arial"/>
        </w:rPr>
        <w:t>; addendum 2024 ‘Guidelines on red cell transfusion in sickle cell disease. Part II: indications for transfusion’. Open access.</w:t>
      </w:r>
      <w:r w:rsidR="00ED57D5" w:rsidRPr="00494120">
        <w:rPr>
          <w:rFonts w:ascii="Arial" w:hAnsi="Arial" w:cs="Arial"/>
        </w:rPr>
        <w:t xml:space="preserve"> Available at:</w:t>
      </w:r>
      <w:r w:rsidRPr="00494120">
        <w:rPr>
          <w:rFonts w:ascii="Arial" w:hAnsi="Arial" w:cs="Arial"/>
        </w:rPr>
        <w:t xml:space="preserve"> </w:t>
      </w:r>
      <w:hyperlink r:id="rId26" w:history="1">
        <w:r w:rsidRPr="00494120">
          <w:rPr>
            <w:rStyle w:val="Hyperlink"/>
            <w:rFonts w:ascii="Arial" w:hAnsi="Arial" w:cs="Arial"/>
          </w:rPr>
          <w:t>(b-s-h.org.uk)</w:t>
        </w:r>
      </w:hyperlink>
      <w:r w:rsidRPr="00494120">
        <w:rPr>
          <w:rFonts w:ascii="Arial" w:hAnsi="Arial" w:cs="Arial"/>
        </w:rPr>
        <w:t xml:space="preserve">  </w:t>
      </w:r>
    </w:p>
    <w:p w14:paraId="0C5ED78A" w14:textId="263C684C" w:rsidR="00077842" w:rsidRPr="00494120" w:rsidRDefault="00077842" w:rsidP="00020D46">
      <w:pPr>
        <w:rPr>
          <w:rFonts w:ascii="Arial" w:hAnsi="Arial" w:cs="Arial"/>
        </w:rPr>
      </w:pPr>
      <w:r w:rsidRPr="00494120">
        <w:rPr>
          <w:rFonts w:ascii="Arial" w:hAnsi="Arial" w:cs="Arial"/>
        </w:rPr>
        <w:t xml:space="preserve">Charity Commission </w:t>
      </w:r>
      <w:r w:rsidR="006D1BA2" w:rsidRPr="00494120">
        <w:rPr>
          <w:rFonts w:ascii="Arial" w:hAnsi="Arial" w:cs="Arial"/>
        </w:rPr>
        <w:t>(</w:t>
      </w:r>
      <w:r w:rsidRPr="00494120">
        <w:rPr>
          <w:rFonts w:ascii="Arial" w:hAnsi="Arial" w:cs="Arial"/>
        </w:rPr>
        <w:t>2026</w:t>
      </w:r>
      <w:r w:rsidR="006D1BA2" w:rsidRPr="00494120">
        <w:rPr>
          <w:rFonts w:ascii="Arial" w:hAnsi="Arial" w:cs="Arial"/>
        </w:rPr>
        <w:t>)</w:t>
      </w:r>
      <w:r w:rsidRPr="00494120">
        <w:rPr>
          <w:rFonts w:ascii="Arial" w:hAnsi="Arial" w:cs="Arial"/>
        </w:rPr>
        <w:t xml:space="preserve">. National Black, Asian, Mixed Race and Minority Ethnic Transplant Alliance (NBTA) Trustees' Annual Report 2024/25. Online. Available at: </w:t>
      </w:r>
      <w:hyperlink r:id="rId27" w:history="1">
        <w:r w:rsidRPr="00494120">
          <w:rPr>
            <w:rStyle w:val="Hyperlink"/>
            <w:rFonts w:ascii="Arial" w:hAnsi="Arial" w:cs="Arial"/>
          </w:rPr>
          <w:t>https://register-of-charities.charitycommission.gov.uk/</w:t>
        </w:r>
      </w:hyperlink>
      <w:r w:rsidRPr="00494120">
        <w:rPr>
          <w:rFonts w:ascii="Arial" w:hAnsi="Arial" w:cs="Arial"/>
        </w:rPr>
        <w:t xml:space="preserve">. </w:t>
      </w:r>
    </w:p>
    <w:p w14:paraId="2D7F7DA9" w14:textId="41B723E2" w:rsidR="00077842" w:rsidRPr="00494120" w:rsidRDefault="00077842" w:rsidP="00494120">
      <w:pPr>
        <w:rPr>
          <w:rFonts w:ascii="Arial" w:hAnsi="Arial" w:cs="Arial"/>
        </w:rPr>
      </w:pPr>
      <w:r w:rsidRPr="00494120">
        <w:rPr>
          <w:rFonts w:ascii="Arial" w:hAnsi="Arial" w:cs="Arial"/>
        </w:rPr>
        <w:t xml:space="preserve">Covic, A., et al. </w:t>
      </w:r>
      <w:r w:rsidR="006D1BA2" w:rsidRPr="00494120">
        <w:rPr>
          <w:rFonts w:ascii="Arial" w:hAnsi="Arial" w:cs="Arial"/>
        </w:rPr>
        <w:t>(</w:t>
      </w:r>
      <w:r w:rsidRPr="00494120">
        <w:rPr>
          <w:rFonts w:ascii="Arial" w:hAnsi="Arial" w:cs="Arial"/>
        </w:rPr>
        <w:t>2024</w:t>
      </w:r>
      <w:r w:rsidR="006D1BA2" w:rsidRPr="00494120">
        <w:rPr>
          <w:rFonts w:ascii="Arial" w:hAnsi="Arial" w:cs="Arial"/>
        </w:rPr>
        <w:t>)</w:t>
      </w:r>
      <w:r w:rsidRPr="00494120">
        <w:rPr>
          <w:rFonts w:ascii="Arial" w:hAnsi="Arial" w:cs="Arial"/>
        </w:rPr>
        <w:t xml:space="preserve">. 'Barriers to living kidney donation in ethnic minorities'. Nephrology Dialysis Transplantation, 39(2). (Online). Available at: </w:t>
      </w:r>
      <w:hyperlink r:id="rId28" w:history="1">
        <w:r w:rsidR="003A1EEE" w:rsidRPr="00494120">
          <w:rPr>
            <w:rStyle w:val="Hyperlink"/>
            <w:rFonts w:ascii="Arial" w:hAnsi="Arial" w:cs="Arial"/>
          </w:rPr>
          <w:t>https://academic.oup.com/ndt/article/39/Supplement_2/gfae069.043/7679310</w:t>
        </w:r>
      </w:hyperlink>
      <w:r w:rsidRPr="00494120">
        <w:rPr>
          <w:rFonts w:ascii="Arial" w:hAnsi="Arial" w:cs="Arial"/>
        </w:rPr>
        <w:t xml:space="preserve"> (Open Access).</w:t>
      </w:r>
    </w:p>
    <w:p w14:paraId="34E8A9C7" w14:textId="4047B73D" w:rsidR="005D15D4" w:rsidRPr="00494120" w:rsidRDefault="005D15D4" w:rsidP="00494120">
      <w:pPr>
        <w:rPr>
          <w:rFonts w:ascii="Arial" w:hAnsi="Arial" w:cs="Arial"/>
        </w:rPr>
      </w:pPr>
      <w:r w:rsidRPr="00494120">
        <w:rPr>
          <w:rFonts w:ascii="Arial" w:hAnsi="Arial" w:cs="Arial"/>
        </w:rPr>
        <w:t xml:space="preserve">Data </w:t>
      </w:r>
      <w:r w:rsidR="00B46560" w:rsidRPr="00494120">
        <w:rPr>
          <w:rFonts w:ascii="Arial" w:hAnsi="Arial" w:cs="Arial"/>
        </w:rPr>
        <w:t xml:space="preserve">Protection Act </w:t>
      </w:r>
      <w:r w:rsidR="00B43912" w:rsidRPr="00494120">
        <w:rPr>
          <w:rFonts w:ascii="Arial" w:hAnsi="Arial" w:cs="Arial"/>
        </w:rPr>
        <w:t>(</w:t>
      </w:r>
      <w:r w:rsidR="00B46560" w:rsidRPr="00494120">
        <w:rPr>
          <w:rFonts w:ascii="Arial" w:hAnsi="Arial" w:cs="Arial"/>
        </w:rPr>
        <w:t>2018</w:t>
      </w:r>
      <w:r w:rsidR="006D1BA2" w:rsidRPr="00494120">
        <w:rPr>
          <w:rFonts w:ascii="Arial" w:hAnsi="Arial" w:cs="Arial"/>
        </w:rPr>
        <w:t xml:space="preserve">). </w:t>
      </w:r>
      <w:r w:rsidR="00B46560" w:rsidRPr="00494120">
        <w:rPr>
          <w:rFonts w:ascii="Arial" w:hAnsi="Arial" w:cs="Arial"/>
        </w:rPr>
        <w:t xml:space="preserve"> c.12</w:t>
      </w:r>
      <w:r w:rsidR="005E379F" w:rsidRPr="00494120">
        <w:rPr>
          <w:rFonts w:ascii="Arial" w:hAnsi="Arial" w:cs="Arial"/>
        </w:rPr>
        <w:t xml:space="preserve">. Available at: https:// </w:t>
      </w:r>
      <w:hyperlink r:id="rId29" w:history="1">
        <w:r w:rsidR="00FA44B0" w:rsidRPr="00494120">
          <w:rPr>
            <w:rStyle w:val="Hyperlink"/>
            <w:rFonts w:ascii="Arial" w:hAnsi="Arial" w:cs="Arial"/>
          </w:rPr>
          <w:t>www.legislation.gov.uk/</w:t>
        </w:r>
      </w:hyperlink>
      <w:r w:rsidR="00FA44B0" w:rsidRPr="00494120">
        <w:rPr>
          <w:rFonts w:ascii="Arial" w:hAnsi="Arial" w:cs="Arial"/>
        </w:rPr>
        <w:t xml:space="preserve"> (Accessed</w:t>
      </w:r>
      <w:r w:rsidR="00BA7CEC" w:rsidRPr="00494120">
        <w:rPr>
          <w:rFonts w:ascii="Arial" w:hAnsi="Arial" w:cs="Arial"/>
        </w:rPr>
        <w:t>:</w:t>
      </w:r>
      <w:r w:rsidR="00FA44B0" w:rsidRPr="00494120">
        <w:rPr>
          <w:rFonts w:ascii="Arial" w:hAnsi="Arial" w:cs="Arial"/>
        </w:rPr>
        <w:t xml:space="preserve"> 1</w:t>
      </w:r>
      <w:r w:rsidR="00BA7CEC" w:rsidRPr="00494120">
        <w:rPr>
          <w:rFonts w:ascii="Arial" w:hAnsi="Arial" w:cs="Arial"/>
        </w:rPr>
        <w:t>9</w:t>
      </w:r>
      <w:r w:rsidR="00FA44B0" w:rsidRPr="00494120">
        <w:rPr>
          <w:rFonts w:ascii="Arial" w:hAnsi="Arial" w:cs="Arial"/>
        </w:rPr>
        <w:t xml:space="preserve"> March 2026</w:t>
      </w:r>
      <w:r w:rsidR="00BA7CEC" w:rsidRPr="00494120">
        <w:rPr>
          <w:rFonts w:ascii="Arial" w:hAnsi="Arial" w:cs="Arial"/>
        </w:rPr>
        <w:t xml:space="preserve">). </w:t>
      </w:r>
    </w:p>
    <w:p w14:paraId="1427ADC5" w14:textId="7454E64D" w:rsidR="00293A0A" w:rsidRPr="00494120" w:rsidRDefault="005B3C44" w:rsidP="00494120">
      <w:pPr>
        <w:rPr>
          <w:rFonts w:ascii="Arial" w:hAnsi="Arial" w:cs="Arial"/>
        </w:rPr>
      </w:pPr>
      <w:r w:rsidRPr="00494120">
        <w:rPr>
          <w:rFonts w:ascii="Arial" w:hAnsi="Arial" w:cs="Arial"/>
        </w:rPr>
        <w:t>Deedat</w:t>
      </w:r>
      <w:r w:rsidR="007D00B0" w:rsidRPr="00494120">
        <w:rPr>
          <w:rFonts w:ascii="Arial" w:hAnsi="Arial" w:cs="Arial"/>
        </w:rPr>
        <w:t>,</w:t>
      </w:r>
      <w:r w:rsidR="007B60A1" w:rsidRPr="00494120">
        <w:rPr>
          <w:rFonts w:ascii="Arial" w:hAnsi="Arial" w:cs="Arial"/>
        </w:rPr>
        <w:t xml:space="preserve"> (2013). </w:t>
      </w:r>
      <w:r w:rsidR="00C66D09" w:rsidRPr="00494120">
        <w:rPr>
          <w:rFonts w:ascii="Arial" w:hAnsi="Arial" w:cs="Arial"/>
        </w:rPr>
        <w:t>‘What are effective approaches to increasing</w:t>
      </w:r>
      <w:r w:rsidR="003F50CA" w:rsidRPr="00494120">
        <w:rPr>
          <w:rFonts w:ascii="Arial" w:hAnsi="Arial" w:cs="Arial"/>
        </w:rPr>
        <w:t xml:space="preserve"> rates of organ don</w:t>
      </w:r>
      <w:r w:rsidR="009475F1" w:rsidRPr="00494120">
        <w:rPr>
          <w:rFonts w:ascii="Arial" w:hAnsi="Arial" w:cs="Arial"/>
        </w:rPr>
        <w:t>or registration</w:t>
      </w:r>
      <w:r w:rsidR="002C225F" w:rsidRPr="00494120">
        <w:rPr>
          <w:rFonts w:ascii="Arial" w:hAnsi="Arial" w:cs="Arial"/>
        </w:rPr>
        <w:t xml:space="preserve"> </w:t>
      </w:r>
      <w:r w:rsidR="00452820" w:rsidRPr="00494120">
        <w:rPr>
          <w:rFonts w:ascii="Arial" w:hAnsi="Arial" w:cs="Arial"/>
        </w:rPr>
        <w:t>among ethnic minority populations</w:t>
      </w:r>
      <w:r w:rsidR="00985F12" w:rsidRPr="00494120">
        <w:rPr>
          <w:rFonts w:ascii="Arial" w:hAnsi="Arial" w:cs="Arial"/>
        </w:rPr>
        <w:t xml:space="preserve">’. </w:t>
      </w:r>
      <w:r w:rsidR="001A5FCF" w:rsidRPr="00494120">
        <w:rPr>
          <w:rFonts w:ascii="Arial" w:hAnsi="Arial" w:cs="Arial"/>
        </w:rPr>
        <w:t xml:space="preserve"> </w:t>
      </w:r>
      <w:r w:rsidR="00C359B2" w:rsidRPr="00494120">
        <w:rPr>
          <w:rFonts w:ascii="Arial" w:hAnsi="Arial" w:cs="Arial"/>
        </w:rPr>
        <w:t xml:space="preserve">Available at: </w:t>
      </w:r>
      <w:hyperlink r:id="rId30" w:history="1">
        <w:r w:rsidR="00C359B2" w:rsidRPr="00494120">
          <w:rPr>
            <w:rStyle w:val="Hyperlink"/>
            <w:rFonts w:ascii="Arial" w:hAnsi="Arial" w:cs="Arial"/>
          </w:rPr>
          <w:t>https://doi.org/10.1136/bmjopen-2013-003453</w:t>
        </w:r>
      </w:hyperlink>
      <w:r w:rsidR="001A5FCF" w:rsidRPr="00494120">
        <w:rPr>
          <w:rFonts w:ascii="Arial" w:hAnsi="Arial" w:cs="Arial"/>
        </w:rPr>
        <w:t>.</w:t>
      </w:r>
      <w:r w:rsidR="00C359B2" w:rsidRPr="00494120">
        <w:rPr>
          <w:rFonts w:ascii="Arial" w:hAnsi="Arial" w:cs="Arial"/>
        </w:rPr>
        <w:t xml:space="preserve"> </w:t>
      </w:r>
      <w:r w:rsidR="001A5FCF" w:rsidRPr="00494120">
        <w:rPr>
          <w:rFonts w:ascii="Arial" w:hAnsi="Arial" w:cs="Arial"/>
        </w:rPr>
        <w:t xml:space="preserve">   </w:t>
      </w:r>
    </w:p>
    <w:p w14:paraId="56FE7399" w14:textId="0CE33F79" w:rsidR="00E97E65" w:rsidRPr="00494120" w:rsidRDefault="00E97E65" w:rsidP="00494120">
      <w:pPr>
        <w:rPr>
          <w:rFonts w:ascii="Arial" w:hAnsi="Arial" w:cs="Arial"/>
        </w:rPr>
      </w:pPr>
      <w:r w:rsidRPr="00494120">
        <w:rPr>
          <w:rFonts w:ascii="Arial" w:hAnsi="Arial" w:cs="Arial"/>
        </w:rPr>
        <w:t>Department of Health</w:t>
      </w:r>
      <w:r w:rsidR="00DB40CA" w:rsidRPr="00494120">
        <w:rPr>
          <w:rFonts w:ascii="Arial" w:hAnsi="Arial" w:cs="Arial"/>
        </w:rPr>
        <w:t xml:space="preserve"> and Social Care</w:t>
      </w:r>
      <w:r w:rsidR="00363066" w:rsidRPr="00494120">
        <w:rPr>
          <w:rFonts w:ascii="Arial" w:hAnsi="Arial" w:cs="Arial"/>
        </w:rPr>
        <w:t xml:space="preserve">, </w:t>
      </w:r>
      <w:r w:rsidR="00B43912" w:rsidRPr="00494120">
        <w:rPr>
          <w:rFonts w:ascii="Arial" w:hAnsi="Arial" w:cs="Arial"/>
        </w:rPr>
        <w:t>(</w:t>
      </w:r>
      <w:r w:rsidR="00363066" w:rsidRPr="00494120">
        <w:rPr>
          <w:rFonts w:ascii="Arial" w:hAnsi="Arial" w:cs="Arial"/>
        </w:rPr>
        <w:t>2019</w:t>
      </w:r>
      <w:r w:rsidR="00B43912" w:rsidRPr="00494120">
        <w:rPr>
          <w:rFonts w:ascii="Arial" w:hAnsi="Arial" w:cs="Arial"/>
        </w:rPr>
        <w:t>)</w:t>
      </w:r>
      <w:r w:rsidR="00363066" w:rsidRPr="00494120">
        <w:rPr>
          <w:rFonts w:ascii="Arial" w:hAnsi="Arial" w:cs="Arial"/>
        </w:rPr>
        <w:t>. Opt-out organ donation</w:t>
      </w:r>
      <w:r w:rsidR="006620C0" w:rsidRPr="00494120">
        <w:rPr>
          <w:rFonts w:ascii="Arial" w:hAnsi="Arial" w:cs="Arial"/>
        </w:rPr>
        <w:t>: Max and Keira’s Bill passed into law</w:t>
      </w:r>
      <w:r w:rsidR="0081437C" w:rsidRPr="00494120">
        <w:rPr>
          <w:rFonts w:ascii="Arial" w:hAnsi="Arial" w:cs="Arial"/>
        </w:rPr>
        <w:t xml:space="preserve">.GOV.UK. </w:t>
      </w:r>
      <w:r w:rsidR="0007269A" w:rsidRPr="00494120">
        <w:rPr>
          <w:rFonts w:ascii="Arial" w:hAnsi="Arial" w:cs="Arial"/>
        </w:rPr>
        <w:t xml:space="preserve">Available at: </w:t>
      </w:r>
      <w:hyperlink r:id="rId31" w:history="1">
        <w:r w:rsidR="00B25255" w:rsidRPr="00494120">
          <w:rPr>
            <w:rStyle w:val="Hyperlink"/>
            <w:rFonts w:ascii="Arial" w:hAnsi="Arial" w:cs="Arial"/>
          </w:rPr>
          <w:t>https://www.gov.uk/government/news/opt-out-organ-donation-max-and-keiras-bill-passed-into-law(gov.uk</w:t>
        </w:r>
      </w:hyperlink>
      <w:r w:rsidR="004D5DBE" w:rsidRPr="00494120">
        <w:rPr>
          <w:rFonts w:ascii="Arial" w:hAnsi="Arial" w:cs="Arial"/>
        </w:rPr>
        <w:t>)</w:t>
      </w:r>
    </w:p>
    <w:p w14:paraId="3BE650C8" w14:textId="7E500087" w:rsidR="00073300" w:rsidRPr="00494120" w:rsidRDefault="00AA271C" w:rsidP="00494120">
      <w:pPr>
        <w:rPr>
          <w:rFonts w:ascii="Arial" w:hAnsi="Arial" w:cs="Arial"/>
        </w:rPr>
      </w:pPr>
      <w:r w:rsidRPr="00494120">
        <w:rPr>
          <w:rFonts w:ascii="Arial" w:hAnsi="Arial" w:cs="Arial"/>
        </w:rPr>
        <w:t>E</w:t>
      </w:r>
      <w:r w:rsidR="005D06A0" w:rsidRPr="00494120">
        <w:rPr>
          <w:rFonts w:ascii="Arial" w:hAnsi="Arial" w:cs="Arial"/>
        </w:rPr>
        <w:t>quality Act</w:t>
      </w:r>
      <w:r w:rsidR="00844192" w:rsidRPr="00494120">
        <w:rPr>
          <w:rFonts w:ascii="Arial" w:hAnsi="Arial" w:cs="Arial"/>
        </w:rPr>
        <w:t xml:space="preserve"> </w:t>
      </w:r>
      <w:r w:rsidR="005D06A0" w:rsidRPr="00494120">
        <w:rPr>
          <w:rFonts w:ascii="Arial" w:hAnsi="Arial" w:cs="Arial"/>
        </w:rPr>
        <w:t xml:space="preserve"> </w:t>
      </w:r>
      <w:r w:rsidR="00844192" w:rsidRPr="00494120">
        <w:rPr>
          <w:rFonts w:ascii="Arial" w:hAnsi="Arial" w:cs="Arial"/>
        </w:rPr>
        <w:t>(</w:t>
      </w:r>
      <w:r w:rsidR="005D06A0" w:rsidRPr="00494120">
        <w:rPr>
          <w:rFonts w:ascii="Arial" w:hAnsi="Arial" w:cs="Arial"/>
        </w:rPr>
        <w:t>2010</w:t>
      </w:r>
      <w:r w:rsidR="00E652BF" w:rsidRPr="00494120">
        <w:rPr>
          <w:rFonts w:ascii="Arial" w:hAnsi="Arial" w:cs="Arial"/>
        </w:rPr>
        <w:t>)</w:t>
      </w:r>
      <w:r w:rsidR="00B43912" w:rsidRPr="00494120">
        <w:rPr>
          <w:rFonts w:ascii="Arial" w:hAnsi="Arial" w:cs="Arial"/>
        </w:rPr>
        <w:t xml:space="preserve">. </w:t>
      </w:r>
      <w:r w:rsidR="005D06A0" w:rsidRPr="00494120">
        <w:rPr>
          <w:rFonts w:ascii="Arial" w:hAnsi="Arial" w:cs="Arial"/>
        </w:rPr>
        <w:t xml:space="preserve"> </w:t>
      </w:r>
      <w:r w:rsidR="002754D7" w:rsidRPr="00494120">
        <w:rPr>
          <w:rFonts w:ascii="Arial" w:hAnsi="Arial" w:cs="Arial"/>
        </w:rPr>
        <w:t>c.15. Available at:</w:t>
      </w:r>
      <w:r w:rsidR="00880D23" w:rsidRPr="00494120">
        <w:rPr>
          <w:rFonts w:ascii="Arial" w:hAnsi="Arial" w:cs="Arial"/>
        </w:rPr>
        <w:t xml:space="preserve"> </w:t>
      </w:r>
      <w:hyperlink r:id="rId32" w:history="1">
        <w:r w:rsidR="00880D23" w:rsidRPr="00494120">
          <w:rPr>
            <w:rStyle w:val="Hyperlink"/>
            <w:rFonts w:ascii="Arial" w:hAnsi="Arial" w:cs="Arial"/>
          </w:rPr>
          <w:t>https://www.legislation.gov.uk/ukpga/2010/15</w:t>
        </w:r>
      </w:hyperlink>
      <w:r w:rsidR="00880D23" w:rsidRPr="00494120">
        <w:rPr>
          <w:rFonts w:ascii="Arial" w:hAnsi="Arial" w:cs="Arial"/>
        </w:rPr>
        <w:t xml:space="preserve"> </w:t>
      </w:r>
      <w:r w:rsidR="004B0628" w:rsidRPr="00494120">
        <w:rPr>
          <w:rFonts w:ascii="Arial" w:hAnsi="Arial" w:cs="Arial"/>
        </w:rPr>
        <w:t xml:space="preserve"> </w:t>
      </w:r>
      <w:r w:rsidR="00880D23" w:rsidRPr="00494120">
        <w:rPr>
          <w:rFonts w:ascii="Arial" w:hAnsi="Arial" w:cs="Arial"/>
        </w:rPr>
        <w:t>(</w:t>
      </w:r>
      <w:r w:rsidR="004B0628" w:rsidRPr="00494120">
        <w:rPr>
          <w:rFonts w:ascii="Arial" w:hAnsi="Arial" w:cs="Arial"/>
        </w:rPr>
        <w:t xml:space="preserve">Accessed: </w:t>
      </w:r>
      <w:r w:rsidR="00965720" w:rsidRPr="00494120">
        <w:rPr>
          <w:rFonts w:ascii="Arial" w:hAnsi="Arial" w:cs="Arial"/>
        </w:rPr>
        <w:t>4 April 2026</w:t>
      </w:r>
      <w:r w:rsidR="00880D23" w:rsidRPr="00494120">
        <w:rPr>
          <w:rFonts w:ascii="Arial" w:hAnsi="Arial" w:cs="Arial"/>
        </w:rPr>
        <w:t>)</w:t>
      </w:r>
      <w:r w:rsidR="00693277" w:rsidRPr="00494120">
        <w:rPr>
          <w:rFonts w:ascii="Arial" w:hAnsi="Arial" w:cs="Arial"/>
        </w:rPr>
        <w:t>.</w:t>
      </w:r>
    </w:p>
    <w:p w14:paraId="669FF9A3" w14:textId="35EEEDFE" w:rsidR="00006760" w:rsidRDefault="000D5361" w:rsidP="00494120">
      <w:pPr>
        <w:rPr>
          <w:rFonts w:ascii="Arial" w:hAnsi="Arial" w:cs="Arial"/>
        </w:rPr>
      </w:pPr>
      <w:r w:rsidRPr="00494120">
        <w:rPr>
          <w:rFonts w:ascii="Arial" w:hAnsi="Arial" w:cs="Arial"/>
        </w:rPr>
        <w:t xml:space="preserve">Ferguson </w:t>
      </w:r>
      <w:r w:rsidR="00E652BF" w:rsidRPr="00494120">
        <w:rPr>
          <w:rFonts w:ascii="Arial" w:hAnsi="Arial" w:cs="Arial"/>
        </w:rPr>
        <w:t>(</w:t>
      </w:r>
      <w:r w:rsidR="0084433E" w:rsidRPr="00494120">
        <w:rPr>
          <w:rFonts w:ascii="Arial" w:hAnsi="Arial" w:cs="Arial"/>
        </w:rPr>
        <w:t>2019</w:t>
      </w:r>
      <w:r w:rsidR="00E652BF" w:rsidRPr="00494120">
        <w:rPr>
          <w:rFonts w:ascii="Arial" w:hAnsi="Arial" w:cs="Arial"/>
        </w:rPr>
        <w:t>).</w:t>
      </w:r>
      <w:r w:rsidR="008A3ADC" w:rsidRPr="00494120">
        <w:rPr>
          <w:rFonts w:ascii="Arial" w:hAnsi="Arial" w:cs="Arial"/>
        </w:rPr>
        <w:t xml:space="preserve"> Blood and organ donation: health impact, </w:t>
      </w:r>
      <w:r w:rsidR="00F55BA5" w:rsidRPr="00494120">
        <w:rPr>
          <w:rFonts w:ascii="Arial" w:hAnsi="Arial" w:cs="Arial"/>
        </w:rPr>
        <w:t>prevalence, correlates, and interventions P</w:t>
      </w:r>
      <w:r w:rsidR="007275B3" w:rsidRPr="00494120">
        <w:rPr>
          <w:rFonts w:ascii="Arial" w:hAnsi="Arial" w:cs="Arial"/>
        </w:rPr>
        <w:t xml:space="preserve">sychology &amp; health.  </w:t>
      </w:r>
      <w:hyperlink r:id="rId33" w:history="1">
        <w:r w:rsidR="002A4810" w:rsidRPr="00494120">
          <w:rPr>
            <w:rStyle w:val="Hyperlink"/>
            <w:rFonts w:ascii="Arial" w:hAnsi="Arial" w:cs="Arial"/>
          </w:rPr>
          <w:t>https://doi.org/10.1080/08870446.2019.1603385</w:t>
        </w:r>
      </w:hyperlink>
      <w:r w:rsidR="001C1DE3" w:rsidRPr="00494120">
        <w:rPr>
          <w:rFonts w:ascii="Arial" w:hAnsi="Arial" w:cs="Arial"/>
        </w:rPr>
        <w:t>.</w:t>
      </w:r>
      <w:r w:rsidR="00600120" w:rsidRPr="00494120">
        <w:rPr>
          <w:rFonts w:ascii="Arial" w:hAnsi="Arial" w:cs="Arial"/>
        </w:rPr>
        <w:t xml:space="preserve"> </w:t>
      </w:r>
    </w:p>
    <w:p w14:paraId="77E7FB33" w14:textId="6D669A16" w:rsidR="0070694A" w:rsidRPr="00494120" w:rsidRDefault="0070694A" w:rsidP="00494120">
      <w:pPr>
        <w:rPr>
          <w:rFonts w:ascii="Arial" w:hAnsi="Arial" w:cs="Arial"/>
        </w:rPr>
      </w:pPr>
      <w:r w:rsidRPr="00142FFF">
        <w:rPr>
          <w:rFonts w:ascii="Arial" w:hAnsi="Arial" w:cs="Arial"/>
          <w:i/>
          <w:iCs/>
        </w:rPr>
        <w:t>Fiftieth</w:t>
      </w:r>
      <w:r>
        <w:rPr>
          <w:rFonts w:ascii="Arial" w:hAnsi="Arial" w:cs="Arial"/>
          <w:i/>
          <w:iCs/>
        </w:rPr>
        <w:t xml:space="preserve"> </w:t>
      </w:r>
      <w:r w:rsidRPr="00142FFF">
        <w:rPr>
          <w:rFonts w:ascii="Arial" w:hAnsi="Arial" w:cs="Arial"/>
          <w:i/>
          <w:iCs/>
        </w:rPr>
        <w:t>anniversary of uncovering the Tuskegee Syphilis Study: the story and timeless lessons.</w:t>
      </w:r>
      <w:r w:rsidRPr="00142FFF">
        <w:rPr>
          <w:rFonts w:ascii="Arial" w:hAnsi="Arial" w:cs="Arial"/>
        </w:rPr>
        <w:t>American Journal of Respiratory and Critical Care Medicine, 205(10), pp. 1145–1158.</w:t>
      </w:r>
      <w:r>
        <w:rPr>
          <w:rFonts w:ascii="Arial" w:hAnsi="Arial" w:cs="Arial"/>
        </w:rPr>
        <w:t xml:space="preserve"> Available at:</w:t>
      </w:r>
      <w:r w:rsidR="004B581B">
        <w:rPr>
          <w:rFonts w:ascii="Arial" w:hAnsi="Arial" w:cs="Arial"/>
        </w:rPr>
        <w:t xml:space="preserve"> </w:t>
      </w:r>
      <w:hyperlink r:id="rId34" w:history="1">
        <w:r w:rsidR="004B581B" w:rsidRPr="00142FFF">
          <w:rPr>
            <w:rStyle w:val="Hyperlink"/>
            <w:rFonts w:ascii="Arial" w:hAnsi="Arial" w:cs="Arial"/>
          </w:rPr>
          <w:t>https://doi.org/10.1164/rccm.202201-0136SO</w:t>
        </w:r>
      </w:hyperlink>
      <w:r w:rsidR="004B581B">
        <w:rPr>
          <w:rFonts w:ascii="Arial" w:hAnsi="Arial" w:cs="Arial"/>
        </w:rPr>
        <w:t xml:space="preserve"> (Accessed: </w:t>
      </w:r>
      <w:r w:rsidR="000809CF">
        <w:rPr>
          <w:rFonts w:ascii="Arial" w:hAnsi="Arial" w:cs="Arial"/>
        </w:rPr>
        <w:t>3 April)</w:t>
      </w:r>
      <w:r w:rsidR="00923A70">
        <w:rPr>
          <w:rFonts w:ascii="Arial" w:hAnsi="Arial" w:cs="Arial"/>
        </w:rPr>
        <w:t>.</w:t>
      </w:r>
    </w:p>
    <w:p w14:paraId="0F047C89" w14:textId="3FD0DAF5" w:rsidR="00077842" w:rsidRPr="00494120" w:rsidRDefault="00077842" w:rsidP="00494120">
      <w:pPr>
        <w:rPr>
          <w:rFonts w:ascii="Arial" w:hAnsi="Arial" w:cs="Arial"/>
        </w:rPr>
      </w:pPr>
      <w:r w:rsidRPr="00494120">
        <w:rPr>
          <w:rFonts w:ascii="Arial" w:hAnsi="Arial" w:cs="Arial"/>
        </w:rPr>
        <w:t xml:space="preserve">Gardner, U.G. and McClelland, S. </w:t>
      </w:r>
      <w:r w:rsidR="00844192" w:rsidRPr="00494120">
        <w:rPr>
          <w:rFonts w:ascii="Arial" w:hAnsi="Arial" w:cs="Arial"/>
        </w:rPr>
        <w:t>(</w:t>
      </w:r>
      <w:r w:rsidRPr="00494120">
        <w:rPr>
          <w:rFonts w:ascii="Arial" w:hAnsi="Arial" w:cs="Arial"/>
        </w:rPr>
        <w:t>2025</w:t>
      </w:r>
      <w:r w:rsidR="00844192" w:rsidRPr="00494120">
        <w:rPr>
          <w:rFonts w:ascii="Arial" w:hAnsi="Arial" w:cs="Arial"/>
        </w:rPr>
        <w:t>)</w:t>
      </w:r>
      <w:r w:rsidR="00B86B1C" w:rsidRPr="00494120">
        <w:rPr>
          <w:rFonts w:ascii="Arial" w:hAnsi="Arial" w:cs="Arial"/>
        </w:rPr>
        <w:t>.</w:t>
      </w:r>
      <w:r w:rsidRPr="00494120">
        <w:rPr>
          <w:rFonts w:ascii="Arial" w:hAnsi="Arial" w:cs="Arial"/>
        </w:rPr>
        <w:t xml:space="preserve"> “Peter Buxtun, the Tuskegee study whistleblower: Memorandum of a hero,” Journal of the National Medical Association, 117(1), pp. 32–35.   Available at:  </w:t>
      </w:r>
      <w:hyperlink r:id="rId35" w:history="1">
        <w:r w:rsidRPr="00494120">
          <w:rPr>
            <w:rStyle w:val="Hyperlink"/>
            <w:rFonts w:ascii="Arial" w:hAnsi="Arial" w:cs="Arial"/>
          </w:rPr>
          <w:t>https://doi.org/10.1016/j.jnma.2025.01.004</w:t>
        </w:r>
      </w:hyperlink>
      <w:r w:rsidRPr="00494120">
        <w:rPr>
          <w:rFonts w:ascii="Arial" w:hAnsi="Arial" w:cs="Arial"/>
        </w:rPr>
        <w:t xml:space="preserve">.  </w:t>
      </w:r>
    </w:p>
    <w:p w14:paraId="3A2A59D4" w14:textId="61B29E56" w:rsidR="00077842" w:rsidRPr="00494120" w:rsidRDefault="00077842" w:rsidP="00494120">
      <w:pPr>
        <w:rPr>
          <w:rFonts w:ascii="Arial" w:hAnsi="Arial" w:cs="Arial"/>
        </w:rPr>
      </w:pPr>
      <w:r w:rsidRPr="00494120">
        <w:rPr>
          <w:rFonts w:ascii="Arial" w:hAnsi="Arial" w:cs="Arial"/>
        </w:rPr>
        <w:t xml:space="preserve">Ghevaert, C. </w:t>
      </w:r>
      <w:r w:rsidR="00844192" w:rsidRPr="00494120">
        <w:rPr>
          <w:rFonts w:ascii="Arial" w:hAnsi="Arial" w:cs="Arial"/>
        </w:rPr>
        <w:t>(</w:t>
      </w:r>
      <w:r w:rsidRPr="00494120">
        <w:rPr>
          <w:rFonts w:ascii="Arial" w:hAnsi="Arial" w:cs="Arial"/>
        </w:rPr>
        <w:t>2023</w:t>
      </w:r>
      <w:r w:rsidR="00844192" w:rsidRPr="00494120">
        <w:rPr>
          <w:rFonts w:ascii="Arial" w:hAnsi="Arial" w:cs="Arial"/>
        </w:rPr>
        <w:t>).</w:t>
      </w:r>
      <w:r w:rsidRPr="00494120">
        <w:rPr>
          <w:rFonts w:ascii="Arial" w:hAnsi="Arial" w:cs="Arial"/>
        </w:rPr>
        <w:t xml:space="preserve"> 'The drivers and the discoveries: Provision of safe blood and the RESTORE trial', College Bulletin (The Royal College of Pathologists), April issue.  Available at: </w:t>
      </w:r>
      <w:hyperlink r:id="rId36" w:history="1">
        <w:r w:rsidRPr="00494120">
          <w:rPr>
            <w:rStyle w:val="Hyperlink"/>
            <w:rFonts w:ascii="Arial" w:hAnsi="Arial" w:cs="Arial"/>
          </w:rPr>
          <w:t>https://www.rcpath.org/profession/publications/college-bulletin/april-2023/restore.html</w:t>
        </w:r>
      </w:hyperlink>
      <w:r w:rsidR="004748CA" w:rsidRPr="00494120">
        <w:rPr>
          <w:rFonts w:ascii="Arial" w:hAnsi="Arial" w:cs="Arial"/>
        </w:rPr>
        <w:t xml:space="preserve"> </w:t>
      </w:r>
      <w:r w:rsidR="0077749E" w:rsidRPr="00494120">
        <w:rPr>
          <w:rFonts w:ascii="Arial" w:hAnsi="Arial" w:cs="Arial"/>
        </w:rPr>
        <w:t>(</w:t>
      </w:r>
      <w:r w:rsidR="004748CA" w:rsidRPr="00494120">
        <w:rPr>
          <w:rFonts w:ascii="Arial" w:hAnsi="Arial" w:cs="Arial"/>
        </w:rPr>
        <w:t>Accessed</w:t>
      </w:r>
      <w:r w:rsidR="0077749E" w:rsidRPr="00494120">
        <w:rPr>
          <w:rFonts w:ascii="Arial" w:hAnsi="Arial" w:cs="Arial"/>
        </w:rPr>
        <w:t xml:space="preserve">: </w:t>
      </w:r>
      <w:r w:rsidR="00DD0AC5" w:rsidRPr="00494120">
        <w:rPr>
          <w:rFonts w:ascii="Arial" w:hAnsi="Arial" w:cs="Arial"/>
        </w:rPr>
        <w:t>22 Jan 2026).</w:t>
      </w:r>
    </w:p>
    <w:p w14:paraId="05C4ED7D" w14:textId="404D25E8" w:rsidR="00077842" w:rsidRDefault="00077842" w:rsidP="00494120">
      <w:pPr>
        <w:rPr>
          <w:rFonts w:ascii="Arial" w:hAnsi="Arial" w:cs="Arial"/>
        </w:rPr>
      </w:pPr>
      <w:r w:rsidRPr="00B724F9">
        <w:rPr>
          <w:rFonts w:ascii="Arial" w:hAnsi="Arial" w:cs="Arial"/>
          <w:lang w:val="nl-NL"/>
        </w:rPr>
        <w:t xml:space="preserve">Gill, P.S., et al. </w:t>
      </w:r>
      <w:r w:rsidR="00844192" w:rsidRPr="00494120">
        <w:rPr>
          <w:rFonts w:ascii="Arial" w:hAnsi="Arial" w:cs="Arial"/>
        </w:rPr>
        <w:t>(</w:t>
      </w:r>
      <w:r w:rsidRPr="00494120">
        <w:rPr>
          <w:rFonts w:ascii="Arial" w:hAnsi="Arial" w:cs="Arial"/>
        </w:rPr>
        <w:t>2013</w:t>
      </w:r>
      <w:r w:rsidR="00844192" w:rsidRPr="00494120">
        <w:rPr>
          <w:rFonts w:ascii="Arial" w:hAnsi="Arial" w:cs="Arial"/>
        </w:rPr>
        <w:t>).</w:t>
      </w:r>
      <w:r w:rsidRPr="00494120">
        <w:rPr>
          <w:rFonts w:ascii="Arial" w:hAnsi="Arial" w:cs="Arial"/>
        </w:rPr>
        <w:t xml:space="preserve"> 'Distrust in the healthcare system and organ donation intentions among African American adults', Journal of Health Care for the Poor and Underserved, 24(3), pp. 1216–1227. Available at: </w:t>
      </w:r>
      <w:hyperlink r:id="rId37" w:history="1">
        <w:r w:rsidRPr="00494120">
          <w:rPr>
            <w:rStyle w:val="Hyperlink"/>
            <w:rFonts w:ascii="Arial" w:hAnsi="Arial" w:cs="Arial"/>
          </w:rPr>
          <w:t>https://pmc.ncbi.nlm.nih.gov/articles/PMC3489022/</w:t>
        </w:r>
      </w:hyperlink>
      <w:r w:rsidRPr="00494120">
        <w:rPr>
          <w:rFonts w:ascii="Arial" w:hAnsi="Arial" w:cs="Arial"/>
        </w:rPr>
        <w:t xml:space="preserve"> (Accessed: 22 January 2026).</w:t>
      </w:r>
    </w:p>
    <w:p w14:paraId="262F8F58" w14:textId="52B09052" w:rsidR="00503D56" w:rsidRPr="00494120" w:rsidRDefault="00503D56" w:rsidP="00503D56">
      <w:pPr>
        <w:rPr>
          <w:rFonts w:ascii="Arial" w:hAnsi="Arial" w:cs="Arial"/>
        </w:rPr>
      </w:pPr>
      <w:r w:rsidRPr="00503D56">
        <w:rPr>
          <w:rFonts w:ascii="Arial" w:hAnsi="Arial" w:cs="Arial"/>
          <w:lang w:val="nl-NL"/>
        </w:rPr>
        <w:t xml:space="preserve">Gasparović Babić, S. et al. </w:t>
      </w:r>
      <w:r w:rsidRPr="00503D56">
        <w:rPr>
          <w:rFonts w:ascii="Arial" w:hAnsi="Arial" w:cs="Arial"/>
        </w:rPr>
        <w:t>(2023)Blood Donation: Knowledge, Attitudes and Practices among the General Population(mdpi.com in Bing)</w:t>
      </w:r>
      <w:r w:rsidR="00A53EEE">
        <w:rPr>
          <w:rFonts w:ascii="Arial" w:hAnsi="Arial" w:cs="Arial"/>
        </w:rPr>
        <w:t xml:space="preserve">. </w:t>
      </w:r>
      <w:r w:rsidR="0043215D">
        <w:rPr>
          <w:rFonts w:ascii="Arial" w:hAnsi="Arial" w:cs="Arial"/>
        </w:rPr>
        <w:t>(</w:t>
      </w:r>
      <w:r w:rsidR="00A53EEE">
        <w:rPr>
          <w:rFonts w:ascii="Arial" w:hAnsi="Arial" w:cs="Arial"/>
        </w:rPr>
        <w:t>Accessed</w:t>
      </w:r>
      <w:r w:rsidR="0043215D">
        <w:rPr>
          <w:rFonts w:ascii="Arial" w:hAnsi="Arial" w:cs="Arial"/>
        </w:rPr>
        <w:t>: 13 April 2026)</w:t>
      </w:r>
    </w:p>
    <w:p w14:paraId="6ED79538" w14:textId="1A7E49AB" w:rsidR="00077842" w:rsidRPr="00494120" w:rsidRDefault="00077842" w:rsidP="00494120">
      <w:pPr>
        <w:rPr>
          <w:rFonts w:ascii="Arial" w:hAnsi="Arial" w:cs="Arial"/>
        </w:rPr>
      </w:pPr>
      <w:r w:rsidRPr="00B724F9">
        <w:rPr>
          <w:rFonts w:ascii="Arial" w:hAnsi="Arial" w:cs="Arial"/>
          <w:lang w:val="nl-NL"/>
        </w:rPr>
        <w:t xml:space="preserve">Grossi, A.A. </w:t>
      </w:r>
      <w:r w:rsidRPr="00B724F9">
        <w:rPr>
          <w:rFonts w:ascii="Arial" w:hAnsi="Arial" w:cs="Arial"/>
          <w:i/>
          <w:iCs/>
          <w:lang w:val="nl-NL"/>
        </w:rPr>
        <w:t>et al.</w:t>
      </w:r>
      <w:r w:rsidRPr="00B724F9">
        <w:rPr>
          <w:rFonts w:ascii="Arial" w:hAnsi="Arial" w:cs="Arial"/>
          <w:lang w:val="nl-NL"/>
        </w:rPr>
        <w:t xml:space="preserve"> </w:t>
      </w:r>
      <w:r w:rsidR="00844192" w:rsidRPr="00494120">
        <w:rPr>
          <w:rFonts w:ascii="Arial" w:hAnsi="Arial" w:cs="Arial"/>
        </w:rPr>
        <w:t>(</w:t>
      </w:r>
      <w:r w:rsidRPr="005F30EB">
        <w:rPr>
          <w:rFonts w:ascii="Arial" w:hAnsi="Arial" w:cs="Arial"/>
        </w:rPr>
        <w:t>2023</w:t>
      </w:r>
      <w:r w:rsidR="00844192" w:rsidRPr="00494120">
        <w:rPr>
          <w:rFonts w:ascii="Arial" w:hAnsi="Arial" w:cs="Arial"/>
        </w:rPr>
        <w:t>).</w:t>
      </w:r>
      <w:r w:rsidRPr="005F30EB">
        <w:rPr>
          <w:rFonts w:ascii="Arial" w:hAnsi="Arial" w:cs="Arial"/>
        </w:rPr>
        <w:t xml:space="preserve"> “Taking a ‘Care Pathway/Whole Systems’ Approach to Equality Diversity Inclusion (EDI) in Organ Donation and Transplantation in Relation to the Needs of ‘Ethnic/Racial/Migrant’ Minority Communities: A Statement and a Call for Action,” </w:t>
      </w:r>
      <w:r w:rsidRPr="005F30EB">
        <w:rPr>
          <w:rFonts w:ascii="Arial" w:hAnsi="Arial" w:cs="Arial"/>
          <w:i/>
          <w:iCs/>
        </w:rPr>
        <w:t>Transplant international</w:t>
      </w:r>
      <w:r w:rsidRPr="005F30EB">
        <w:rPr>
          <w:rFonts w:ascii="Arial" w:hAnsi="Arial" w:cs="Arial"/>
        </w:rPr>
        <w:t>, 36, p. 11310. Available at:</w:t>
      </w:r>
      <w:r w:rsidRPr="00494120">
        <w:rPr>
          <w:rFonts w:ascii="Arial" w:hAnsi="Arial" w:cs="Arial"/>
        </w:rPr>
        <w:t xml:space="preserve"> </w:t>
      </w:r>
      <w:r w:rsidRPr="005F30EB">
        <w:rPr>
          <w:rFonts w:ascii="Arial" w:hAnsi="Arial" w:cs="Arial"/>
        </w:rPr>
        <w:t>https://doi.org/10.3389/ti.2023.11310.</w:t>
      </w:r>
      <w:r w:rsidRPr="00494120">
        <w:rPr>
          <w:rFonts w:ascii="Arial" w:hAnsi="Arial" w:cs="Arial"/>
        </w:rPr>
        <w:t xml:space="preserve"> </w:t>
      </w:r>
      <w:hyperlink r:id="rId38" w:history="1">
        <w:r w:rsidRPr="00494120">
          <w:rPr>
            <w:rStyle w:val="Hyperlink"/>
            <w:rFonts w:ascii="Arial" w:hAnsi="Arial" w:cs="Arial"/>
          </w:rPr>
          <w:t>(frontiersp...rships.org)</w:t>
        </w:r>
      </w:hyperlink>
    </w:p>
    <w:p w14:paraId="5F848A1D" w14:textId="2C5C49FE" w:rsidR="00077842" w:rsidRPr="00494120" w:rsidRDefault="00077842" w:rsidP="00494120">
      <w:pPr>
        <w:rPr>
          <w:rFonts w:ascii="Arial" w:hAnsi="Arial" w:cs="Arial"/>
        </w:rPr>
      </w:pPr>
      <w:r w:rsidRPr="00494120">
        <w:rPr>
          <w:rFonts w:ascii="Arial" w:hAnsi="Arial" w:cs="Arial"/>
        </w:rPr>
        <w:t>Güntürkün, P., et al.</w:t>
      </w:r>
      <w:r w:rsidR="00844192" w:rsidRPr="00494120">
        <w:rPr>
          <w:rFonts w:ascii="Arial" w:hAnsi="Arial" w:cs="Arial"/>
        </w:rPr>
        <w:t xml:space="preserve"> </w:t>
      </w:r>
      <w:r w:rsidRPr="00494120">
        <w:rPr>
          <w:rFonts w:ascii="Arial" w:hAnsi="Arial" w:cs="Arial"/>
        </w:rPr>
        <w:t>(2025)</w:t>
      </w:r>
      <w:r w:rsidR="00844192" w:rsidRPr="00494120">
        <w:rPr>
          <w:rFonts w:ascii="Arial" w:hAnsi="Arial" w:cs="Arial"/>
        </w:rPr>
        <w:t>.</w:t>
      </w:r>
      <w:r w:rsidRPr="00494120">
        <w:rPr>
          <w:rFonts w:ascii="Arial" w:hAnsi="Arial" w:cs="Arial"/>
        </w:rPr>
        <w:t xml:space="preserve">'Crowding-out effects of opt-out defaults: Evidence from organ donation', PNAS Nexus, 4(10). doi: 10.1093/pnasnexus/pgaf311. Available at: </w:t>
      </w:r>
      <w:hyperlink r:id="rId39" w:history="1">
        <w:r w:rsidRPr="00494120">
          <w:rPr>
            <w:rStyle w:val="Hyperlink"/>
            <w:rFonts w:ascii="Arial" w:hAnsi="Arial" w:cs="Arial"/>
          </w:rPr>
          <w:t>https://academic.oup.com/pnasnexus/article/4/10/pgaf311/8303887</w:t>
        </w:r>
      </w:hyperlink>
      <w:r w:rsidRPr="00494120">
        <w:rPr>
          <w:rFonts w:ascii="Arial" w:hAnsi="Arial" w:cs="Arial"/>
        </w:rPr>
        <w:t xml:space="preserve"> (Accessed: 20 January 2026).</w:t>
      </w:r>
    </w:p>
    <w:p w14:paraId="7EAD8A67" w14:textId="3EC75876" w:rsidR="003750C2" w:rsidRDefault="00C976E3" w:rsidP="00494120">
      <w:pPr>
        <w:rPr>
          <w:rFonts w:ascii="Arial" w:hAnsi="Arial" w:cs="Arial"/>
        </w:rPr>
      </w:pPr>
      <w:r w:rsidRPr="00494120">
        <w:rPr>
          <w:rFonts w:ascii="Arial" w:hAnsi="Arial" w:cs="Arial"/>
        </w:rPr>
        <w:t>Human Rights Act</w:t>
      </w:r>
      <w:r w:rsidR="006813F3" w:rsidRPr="00494120">
        <w:rPr>
          <w:rFonts w:ascii="Arial" w:hAnsi="Arial" w:cs="Arial"/>
        </w:rPr>
        <w:t xml:space="preserve"> </w:t>
      </w:r>
      <w:r w:rsidR="00597EA0" w:rsidRPr="00494120">
        <w:rPr>
          <w:rFonts w:ascii="Arial" w:hAnsi="Arial" w:cs="Arial"/>
        </w:rPr>
        <w:t>(</w:t>
      </w:r>
      <w:r w:rsidR="006813F3" w:rsidRPr="00494120">
        <w:rPr>
          <w:rFonts w:ascii="Arial" w:hAnsi="Arial" w:cs="Arial"/>
        </w:rPr>
        <w:t>1998</w:t>
      </w:r>
      <w:r w:rsidR="00597EA0" w:rsidRPr="00494120">
        <w:rPr>
          <w:rFonts w:ascii="Arial" w:hAnsi="Arial" w:cs="Arial"/>
        </w:rPr>
        <w:t xml:space="preserve">). </w:t>
      </w:r>
      <w:r w:rsidR="000969AF" w:rsidRPr="00494120">
        <w:rPr>
          <w:rFonts w:ascii="Arial" w:hAnsi="Arial" w:cs="Arial"/>
        </w:rPr>
        <w:t>c.42. Available</w:t>
      </w:r>
      <w:r w:rsidR="00F234B5" w:rsidRPr="00494120">
        <w:rPr>
          <w:rFonts w:ascii="Arial" w:hAnsi="Arial" w:cs="Arial"/>
        </w:rPr>
        <w:t xml:space="preserve"> at: </w:t>
      </w:r>
      <w:hyperlink r:id="rId40" w:history="1">
        <w:r w:rsidR="00E1332B" w:rsidRPr="00494120">
          <w:rPr>
            <w:rStyle w:val="Hyperlink"/>
            <w:rFonts w:ascii="Arial" w:hAnsi="Arial" w:cs="Arial"/>
          </w:rPr>
          <w:t>https://www.legislation.gov.uk/ukpga/1998/42/content</w:t>
        </w:r>
      </w:hyperlink>
      <w:r w:rsidR="00E1332B" w:rsidRPr="00494120">
        <w:rPr>
          <w:rFonts w:ascii="Arial" w:hAnsi="Arial" w:cs="Arial"/>
        </w:rPr>
        <w:t xml:space="preserve"> </w:t>
      </w:r>
      <w:r w:rsidR="00425CB6" w:rsidRPr="00494120">
        <w:rPr>
          <w:rFonts w:ascii="Arial" w:hAnsi="Arial" w:cs="Arial"/>
        </w:rPr>
        <w:t xml:space="preserve">5 {Accessed: </w:t>
      </w:r>
      <w:r w:rsidR="00693277" w:rsidRPr="00494120">
        <w:rPr>
          <w:rFonts w:ascii="Arial" w:hAnsi="Arial" w:cs="Arial"/>
        </w:rPr>
        <w:t>4</w:t>
      </w:r>
      <w:r w:rsidR="00E6549A" w:rsidRPr="00494120">
        <w:rPr>
          <w:rFonts w:ascii="Arial" w:hAnsi="Arial" w:cs="Arial"/>
        </w:rPr>
        <w:t xml:space="preserve"> April 2026}</w:t>
      </w:r>
      <w:r w:rsidR="007D449C" w:rsidRPr="00494120">
        <w:rPr>
          <w:rFonts w:ascii="Arial" w:hAnsi="Arial" w:cs="Arial"/>
        </w:rPr>
        <w:t>.</w:t>
      </w:r>
    </w:p>
    <w:p w14:paraId="0886C63B" w14:textId="34CF5B6F" w:rsidR="00AF5694" w:rsidRPr="00494120" w:rsidRDefault="00AF5694" w:rsidP="00494120">
      <w:pPr>
        <w:rPr>
          <w:rFonts w:ascii="Arial" w:hAnsi="Arial" w:cs="Arial"/>
        </w:rPr>
      </w:pPr>
      <w:r w:rsidRPr="00AF5694">
        <w:rPr>
          <w:rFonts w:ascii="Arial" w:hAnsi="Arial" w:cs="Arial"/>
        </w:rPr>
        <w:t xml:space="preserve">World Health Organisation (2024) </w:t>
      </w:r>
      <w:r w:rsidRPr="00AF5694">
        <w:rPr>
          <w:rFonts w:ascii="Arial" w:hAnsi="Arial" w:cs="Arial"/>
          <w:i/>
          <w:iCs/>
        </w:rPr>
        <w:t>Seventy</w:t>
      </w:r>
      <w:r w:rsidRPr="00AF5694">
        <w:rPr>
          <w:rFonts w:ascii="Arial" w:hAnsi="Arial" w:cs="Arial"/>
          <w:i/>
          <w:iCs/>
        </w:rPr>
        <w:noBreakHyphen/>
        <w:t>seventh World Health Assembly: Resolution on increasing availability, ethical access and oversight of transplantation</w:t>
      </w:r>
      <w:r w:rsidRPr="00AF5694">
        <w:rPr>
          <w:rFonts w:ascii="Arial" w:hAnsi="Arial" w:cs="Arial"/>
        </w:rPr>
        <w:t xml:space="preserve">. Geneva: </w:t>
      </w:r>
      <w:r w:rsidRPr="00AF5694">
        <w:rPr>
          <w:rFonts w:ascii="Arial" w:hAnsi="Arial" w:cs="Arial"/>
        </w:rPr>
        <w:br/>
      </w:r>
      <w:r w:rsidR="00800AC9">
        <w:rPr>
          <w:rFonts w:ascii="Arial" w:hAnsi="Arial" w:cs="Arial"/>
        </w:rPr>
        <w:t xml:space="preserve">Available at: </w:t>
      </w:r>
      <w:hyperlink r:id="rId41" w:history="1">
        <w:r w:rsidR="00800AC9" w:rsidRPr="00AF5694">
          <w:rPr>
            <w:rStyle w:val="Hyperlink"/>
            <w:rFonts w:ascii="Arial" w:hAnsi="Arial" w:cs="Arial"/>
          </w:rPr>
          <w:t>https://www.who.int/news/item/30-05-2024-seventy-seventh-world</w:t>
        </w:r>
        <w:r w:rsidR="00800AC9" w:rsidRPr="00194E8F">
          <w:rPr>
            <w:rStyle w:val="Hyperlink"/>
            <w:rFonts w:ascii="Arial" w:hAnsi="Arial" w:cs="Arial"/>
          </w:rPr>
          <w:t>-</w:t>
        </w:r>
        <w:r w:rsidR="00800AC9" w:rsidRPr="00AF5694">
          <w:rPr>
            <w:rStyle w:val="Hyperlink"/>
            <w:rFonts w:ascii="Arial" w:hAnsi="Arial" w:cs="Arial"/>
          </w:rPr>
          <w:t>health</w:t>
        </w:r>
        <w:r w:rsidR="00800AC9" w:rsidRPr="00194E8F">
          <w:rPr>
            <w:rStyle w:val="Hyperlink"/>
            <w:rFonts w:ascii="Arial" w:hAnsi="Arial" w:cs="Arial"/>
          </w:rPr>
          <w:t>-</w:t>
        </w:r>
        <w:r w:rsidR="00800AC9" w:rsidRPr="00AF5694">
          <w:rPr>
            <w:rStyle w:val="Hyperlink"/>
            <w:rFonts w:ascii="Arial" w:hAnsi="Arial" w:cs="Arial"/>
          </w:rPr>
          <w:t>assembly</w:t>
        </w:r>
        <w:r w:rsidR="00800AC9" w:rsidRPr="00194E8F">
          <w:rPr>
            <w:rStyle w:val="Hyperlink"/>
            <w:rFonts w:ascii="Arial" w:hAnsi="Arial" w:cs="Arial"/>
          </w:rPr>
          <w:t>-</w:t>
        </w:r>
        <w:r w:rsidR="00800AC9" w:rsidRPr="00AF5694">
          <w:rPr>
            <w:rStyle w:val="Hyperlink"/>
            <w:rFonts w:ascii="Arial" w:hAnsi="Arial" w:cs="Arial"/>
          </w:rPr>
          <w:t>daily-update</w:t>
        </w:r>
        <w:r w:rsidR="00800AC9" w:rsidRPr="00194E8F">
          <w:rPr>
            <w:rStyle w:val="Hyperlink"/>
            <w:rFonts w:ascii="Arial" w:hAnsi="Arial" w:cs="Arial"/>
          </w:rPr>
          <w:t>-</w:t>
        </w:r>
        <w:r w:rsidR="00800AC9" w:rsidRPr="00AF5694">
          <w:rPr>
            <w:rStyle w:val="Hyperlink"/>
            <w:rFonts w:ascii="Arial" w:hAnsi="Arial" w:cs="Arial"/>
          </w:rPr>
          <w:t>30-may-2024</w:t>
        </w:r>
      </w:hyperlink>
    </w:p>
    <w:p w14:paraId="7AB375A4" w14:textId="12C4CA0C" w:rsidR="00077842" w:rsidRPr="00494120" w:rsidRDefault="00077842" w:rsidP="00494120">
      <w:pPr>
        <w:rPr>
          <w:rFonts w:ascii="Arial" w:hAnsi="Arial" w:cs="Arial"/>
        </w:rPr>
      </w:pPr>
      <w:r w:rsidRPr="00494120">
        <w:rPr>
          <w:rFonts w:ascii="Arial" w:hAnsi="Arial" w:cs="Arial"/>
        </w:rPr>
        <w:t xml:space="preserve">Lago, M. d. </w:t>
      </w:r>
      <w:r w:rsidR="00597EA0" w:rsidRPr="00494120">
        <w:rPr>
          <w:rFonts w:ascii="Arial" w:hAnsi="Arial" w:cs="Arial"/>
        </w:rPr>
        <w:t>(</w:t>
      </w:r>
      <w:r w:rsidRPr="00494120">
        <w:rPr>
          <w:rFonts w:ascii="Arial" w:hAnsi="Arial" w:cs="Arial"/>
        </w:rPr>
        <w:t>2011</w:t>
      </w:r>
      <w:r w:rsidR="00597EA0" w:rsidRPr="00494120">
        <w:rPr>
          <w:rFonts w:ascii="Arial" w:hAnsi="Arial" w:cs="Arial"/>
        </w:rPr>
        <w:t>).</w:t>
      </w:r>
      <w:r w:rsidRPr="00494120">
        <w:rPr>
          <w:rFonts w:ascii="Arial" w:hAnsi="Arial" w:cs="Arial"/>
        </w:rPr>
        <w:t xml:space="preserve"> ‘Organ donors and transplantations decrease in Spain, the leading country in both’, </w:t>
      </w:r>
      <w:r w:rsidRPr="00494120">
        <w:rPr>
          <w:rFonts w:ascii="Arial" w:hAnsi="Arial" w:cs="Arial"/>
          <w:i/>
          <w:iCs/>
        </w:rPr>
        <w:t>BMJ</w:t>
      </w:r>
      <w:r w:rsidRPr="00494120">
        <w:rPr>
          <w:rFonts w:ascii="Arial" w:hAnsi="Arial" w:cs="Arial"/>
        </w:rPr>
        <w:t>, 342(jan13 3), pp. d242–d242.</w:t>
      </w:r>
      <w:r w:rsidR="004E0F26" w:rsidRPr="00494120">
        <w:rPr>
          <w:rFonts w:ascii="Arial" w:hAnsi="Arial" w:cs="Arial"/>
        </w:rPr>
        <w:t xml:space="preserve"> </w:t>
      </w:r>
      <w:r w:rsidRPr="00494120">
        <w:rPr>
          <w:rFonts w:ascii="Arial" w:hAnsi="Arial" w:cs="Arial"/>
        </w:rPr>
        <w:t>doi:10.1136/bmj.d242.</w:t>
      </w:r>
      <w:r w:rsidR="00F969F4" w:rsidRPr="00494120">
        <w:rPr>
          <w:rFonts w:ascii="Arial" w:hAnsi="Arial" w:cs="Arial"/>
        </w:rPr>
        <w:t xml:space="preserve"> </w:t>
      </w:r>
    </w:p>
    <w:p w14:paraId="51B4FF20" w14:textId="2ABC5D20" w:rsidR="00077842" w:rsidRPr="00494120" w:rsidRDefault="00077842" w:rsidP="00494120">
      <w:pPr>
        <w:rPr>
          <w:rFonts w:ascii="Arial" w:hAnsi="Arial" w:cs="Arial"/>
        </w:rPr>
      </w:pPr>
      <w:r w:rsidRPr="00B724F9">
        <w:rPr>
          <w:rFonts w:ascii="Arial" w:hAnsi="Arial" w:cs="Arial"/>
          <w:lang w:val="nl-NL"/>
        </w:rPr>
        <w:t>Lentine, K.L. </w:t>
      </w:r>
      <w:r w:rsidRPr="00B724F9">
        <w:rPr>
          <w:rFonts w:ascii="Arial" w:hAnsi="Arial" w:cs="Arial"/>
          <w:i/>
          <w:iCs/>
          <w:lang w:val="nl-NL"/>
        </w:rPr>
        <w:t>et al.</w:t>
      </w:r>
      <w:r w:rsidRPr="00B724F9">
        <w:rPr>
          <w:rFonts w:ascii="Arial" w:hAnsi="Arial" w:cs="Arial"/>
          <w:lang w:val="nl-NL"/>
        </w:rPr>
        <w:t> </w:t>
      </w:r>
      <w:r w:rsidR="00844192" w:rsidRPr="00494120">
        <w:rPr>
          <w:rFonts w:ascii="Arial" w:hAnsi="Arial" w:cs="Arial"/>
        </w:rPr>
        <w:t>(</w:t>
      </w:r>
      <w:r w:rsidRPr="00494120">
        <w:rPr>
          <w:rFonts w:ascii="Arial" w:hAnsi="Arial" w:cs="Arial"/>
        </w:rPr>
        <w:t>2021</w:t>
      </w:r>
      <w:r w:rsidR="00844192" w:rsidRPr="00494120">
        <w:rPr>
          <w:rFonts w:ascii="Arial" w:hAnsi="Arial" w:cs="Arial"/>
        </w:rPr>
        <w:t>).</w:t>
      </w:r>
      <w:r w:rsidRPr="00494120">
        <w:rPr>
          <w:rFonts w:ascii="Arial" w:hAnsi="Arial" w:cs="Arial"/>
        </w:rPr>
        <w:t xml:space="preserve"> “Disparities in Deceased Organ Donor Research </w:t>
      </w:r>
      <w:r w:rsidR="00097BCD">
        <w:rPr>
          <w:rFonts w:ascii="Arial" w:hAnsi="Arial" w:cs="Arial"/>
        </w:rPr>
        <w:t>Authorisation</w:t>
      </w:r>
      <w:r w:rsidRPr="00494120">
        <w:rPr>
          <w:rFonts w:ascii="Arial" w:hAnsi="Arial" w:cs="Arial"/>
        </w:rPr>
        <w:t xml:space="preserve">: Experience at One Organ Procurement </w:t>
      </w:r>
      <w:r w:rsidR="00097BCD">
        <w:rPr>
          <w:rFonts w:ascii="Arial" w:hAnsi="Arial" w:cs="Arial"/>
        </w:rPr>
        <w:t>Organisation</w:t>
      </w:r>
      <w:r w:rsidRPr="00494120">
        <w:rPr>
          <w:rFonts w:ascii="Arial" w:hAnsi="Arial" w:cs="Arial"/>
        </w:rPr>
        <w:t xml:space="preserve"> and Call for National Conversations,” </w:t>
      </w:r>
      <w:r w:rsidRPr="00494120">
        <w:rPr>
          <w:rFonts w:ascii="Arial" w:hAnsi="Arial" w:cs="Arial"/>
          <w:i/>
          <w:iCs/>
        </w:rPr>
        <w:t>Kidney international reports</w:t>
      </w:r>
      <w:r w:rsidRPr="00494120">
        <w:rPr>
          <w:rFonts w:ascii="Arial" w:hAnsi="Arial" w:cs="Arial"/>
        </w:rPr>
        <w:t xml:space="preserve">, 6(9), pp. 2331–37. Available at:  </w:t>
      </w:r>
      <w:hyperlink r:id="rId42" w:history="1">
        <w:r w:rsidRPr="00494120">
          <w:rPr>
            <w:rStyle w:val="Hyperlink"/>
            <w:rFonts w:ascii="Arial" w:hAnsi="Arial" w:cs="Arial"/>
          </w:rPr>
          <w:t>https://doi.org/10.1016/j.ekir.2021.06.017</w:t>
        </w:r>
      </w:hyperlink>
      <w:r w:rsidRPr="00494120">
        <w:rPr>
          <w:rFonts w:ascii="Arial" w:hAnsi="Arial" w:cs="Arial"/>
        </w:rPr>
        <w:t xml:space="preserve">. Mothupi, M., Dasgupta, J., Hosseini Jebeli, S.S., et al. (2023) ‘Using an intersectionality approach to transform health services…’, </w:t>
      </w:r>
      <w:r w:rsidRPr="00494120">
        <w:rPr>
          <w:rFonts w:ascii="Arial" w:hAnsi="Arial" w:cs="Arial"/>
          <w:i/>
          <w:iCs/>
        </w:rPr>
        <w:t>BMJ</w:t>
      </w:r>
      <w:r w:rsidRPr="00494120">
        <w:rPr>
          <w:rFonts w:ascii="Arial" w:hAnsi="Arial" w:cs="Arial"/>
        </w:rPr>
        <w:t xml:space="preserve">, 381:e072243. Open access. </w:t>
      </w:r>
      <w:hyperlink r:id="rId43" w:history="1">
        <w:r w:rsidRPr="00494120">
          <w:rPr>
            <w:rStyle w:val="Hyperlink"/>
            <w:rFonts w:ascii="Arial" w:hAnsi="Arial" w:cs="Arial"/>
          </w:rPr>
          <w:t>(bmj.com)</w:t>
        </w:r>
      </w:hyperlink>
      <w:r w:rsidRPr="00494120">
        <w:rPr>
          <w:rFonts w:ascii="Arial" w:hAnsi="Arial" w:cs="Arial"/>
        </w:rPr>
        <w:t xml:space="preserve">  </w:t>
      </w:r>
    </w:p>
    <w:p w14:paraId="27AC53DB" w14:textId="5575E045" w:rsidR="00077842" w:rsidRPr="00494120" w:rsidRDefault="00077842" w:rsidP="00494120">
      <w:pPr>
        <w:rPr>
          <w:rFonts w:ascii="Arial" w:hAnsi="Arial" w:cs="Arial"/>
        </w:rPr>
      </w:pPr>
      <w:r w:rsidRPr="008B3913">
        <w:rPr>
          <w:rFonts w:ascii="Arial" w:hAnsi="Arial" w:cs="Arial"/>
        </w:rPr>
        <w:t xml:space="preserve">Levitt, H.M. </w:t>
      </w:r>
      <w:r w:rsidRPr="008B3913">
        <w:rPr>
          <w:rFonts w:ascii="Arial" w:hAnsi="Arial" w:cs="Arial"/>
          <w:i/>
          <w:iCs/>
        </w:rPr>
        <w:t>et al.</w:t>
      </w:r>
      <w:r w:rsidRPr="008B3913">
        <w:rPr>
          <w:rFonts w:ascii="Arial" w:hAnsi="Arial" w:cs="Arial"/>
        </w:rPr>
        <w:t xml:space="preserve"> </w:t>
      </w:r>
      <w:r w:rsidR="00844192" w:rsidRPr="00494120">
        <w:rPr>
          <w:rFonts w:ascii="Arial" w:hAnsi="Arial" w:cs="Arial"/>
        </w:rPr>
        <w:t>(</w:t>
      </w:r>
      <w:r w:rsidRPr="008B3913">
        <w:rPr>
          <w:rFonts w:ascii="Arial" w:hAnsi="Arial" w:cs="Arial"/>
        </w:rPr>
        <w:t>2018</w:t>
      </w:r>
      <w:r w:rsidR="00844192" w:rsidRPr="00494120">
        <w:rPr>
          <w:rFonts w:ascii="Arial" w:hAnsi="Arial" w:cs="Arial"/>
        </w:rPr>
        <w:t>).</w:t>
      </w:r>
      <w:r w:rsidRPr="008B3913">
        <w:rPr>
          <w:rFonts w:ascii="Arial" w:hAnsi="Arial" w:cs="Arial"/>
        </w:rPr>
        <w:t xml:space="preserve"> “Journal Article Reporting Standards for Qualitative Primary, Qualitative Meta-Analytic, and Mixed Methods Research in Psychology: The APA Publications and Communications Board Task Force Report,” </w:t>
      </w:r>
      <w:r w:rsidRPr="008B3913">
        <w:rPr>
          <w:rFonts w:ascii="Arial" w:hAnsi="Arial" w:cs="Arial"/>
          <w:i/>
          <w:iCs/>
        </w:rPr>
        <w:t>The American psychologist</w:t>
      </w:r>
      <w:r w:rsidRPr="008B3913">
        <w:rPr>
          <w:rFonts w:ascii="Arial" w:hAnsi="Arial" w:cs="Arial"/>
        </w:rPr>
        <w:t xml:space="preserve">, 73(1), pp. 26–46. Available at: </w:t>
      </w:r>
      <w:hyperlink r:id="rId44" w:history="1">
        <w:r w:rsidRPr="00494120">
          <w:rPr>
            <w:rStyle w:val="Hyperlink"/>
            <w:rFonts w:ascii="Arial" w:hAnsi="Arial" w:cs="Arial"/>
          </w:rPr>
          <w:t>https://doi.org/10.1037/amp0000151</w:t>
        </w:r>
      </w:hyperlink>
      <w:r w:rsidRPr="00494120">
        <w:rPr>
          <w:rFonts w:ascii="Arial" w:hAnsi="Arial" w:cs="Arial"/>
        </w:rPr>
        <w:t xml:space="preserve">. </w:t>
      </w:r>
    </w:p>
    <w:p w14:paraId="1919BB3F" w14:textId="16E1D647" w:rsidR="00077842" w:rsidRDefault="00097BCD" w:rsidP="00494120">
      <w:pPr>
        <w:rPr>
          <w:rFonts w:ascii="Arial" w:hAnsi="Arial" w:cs="Arial"/>
        </w:rPr>
      </w:pPr>
      <w:r>
        <w:rPr>
          <w:rFonts w:ascii="Arial" w:hAnsi="Arial" w:cs="Arial"/>
        </w:rPr>
        <w:t>Lkhawari</w:t>
      </w:r>
      <w:r w:rsidR="00077842" w:rsidRPr="00494120">
        <w:rPr>
          <w:rFonts w:ascii="Arial" w:hAnsi="Arial" w:cs="Arial"/>
        </w:rPr>
        <w:t xml:space="preserve">, H., et al. </w:t>
      </w:r>
      <w:r w:rsidR="00844192" w:rsidRPr="00494120">
        <w:rPr>
          <w:rFonts w:ascii="Arial" w:hAnsi="Arial" w:cs="Arial"/>
        </w:rPr>
        <w:t>(</w:t>
      </w:r>
      <w:r w:rsidR="00077842" w:rsidRPr="00494120">
        <w:rPr>
          <w:rFonts w:ascii="Arial" w:hAnsi="Arial" w:cs="Arial"/>
        </w:rPr>
        <w:t>2011</w:t>
      </w:r>
      <w:r w:rsidR="00844192" w:rsidRPr="00494120">
        <w:rPr>
          <w:rFonts w:ascii="Arial" w:hAnsi="Arial" w:cs="Arial"/>
        </w:rPr>
        <w:t>).</w:t>
      </w:r>
      <w:r w:rsidR="00077842" w:rsidRPr="00494120">
        <w:rPr>
          <w:rFonts w:ascii="Arial" w:hAnsi="Arial" w:cs="Arial"/>
        </w:rPr>
        <w:t xml:space="preserve"> 'Religious views on organ donation: from the Southeast Asian and Arab-Muslim perspective', Nephrology Dialysis Transplantation, 26(2), pp. 437–441. Available at: </w:t>
      </w:r>
      <w:hyperlink r:id="rId45" w:history="1">
        <w:r w:rsidR="00077842" w:rsidRPr="00494120">
          <w:rPr>
            <w:rStyle w:val="Hyperlink"/>
            <w:rFonts w:ascii="Arial" w:hAnsi="Arial" w:cs="Arial"/>
          </w:rPr>
          <w:t>https://academic.oup.com/ndt/article-pdf/26/2/437/5350850/gfq628.pdf</w:t>
        </w:r>
      </w:hyperlink>
      <w:r w:rsidR="00077842" w:rsidRPr="00494120">
        <w:rPr>
          <w:rFonts w:ascii="Arial" w:hAnsi="Arial" w:cs="Arial"/>
        </w:rPr>
        <w:t xml:space="preserve"> (Accessed: 25 January 2026).</w:t>
      </w:r>
    </w:p>
    <w:p w14:paraId="3E056BC3" w14:textId="2E3F88C1" w:rsidR="00DE682A" w:rsidRDefault="00DE682A" w:rsidP="00DE682A">
      <w:pPr>
        <w:rPr>
          <w:rFonts w:ascii="Arial" w:hAnsi="Arial" w:cs="Arial"/>
        </w:rPr>
      </w:pPr>
      <w:r w:rsidRPr="00DE682A">
        <w:rPr>
          <w:rFonts w:ascii="Arial" w:hAnsi="Arial" w:cs="Arial"/>
        </w:rPr>
        <w:t xml:space="preserve">Padela, A.I. and Zaganjor, H. (2014) ‘Relationships between Islamic religiosity and attitudes toward deceased organ donation among American Muslims’, </w:t>
      </w:r>
      <w:r w:rsidRPr="00DE682A">
        <w:rPr>
          <w:rFonts w:ascii="Arial" w:hAnsi="Arial" w:cs="Arial"/>
          <w:i/>
          <w:iCs/>
        </w:rPr>
        <w:t>Transplantation</w:t>
      </w:r>
      <w:r w:rsidRPr="00DE682A">
        <w:rPr>
          <w:rFonts w:ascii="Arial" w:hAnsi="Arial" w:cs="Arial"/>
        </w:rPr>
        <w:t>, 97(12),pp. 1292–1299.</w:t>
      </w:r>
      <w:r w:rsidRPr="00DE682A">
        <w:rPr>
          <w:rFonts w:ascii="Arial" w:hAnsi="Arial" w:cs="Arial"/>
        </w:rPr>
        <w:br/>
      </w:r>
      <w:hyperlink r:id="rId46" w:history="1">
        <w:r w:rsidRPr="00DE682A">
          <w:rPr>
            <w:rStyle w:val="Hyperlink"/>
            <w:rFonts w:ascii="Arial" w:hAnsi="Arial" w:cs="Arial"/>
          </w:rPr>
          <w:t>https://doi.org/10.1097/01.TP.0000441874.43007.81</w:t>
        </w:r>
      </w:hyperlink>
      <w:r>
        <w:rPr>
          <w:rFonts w:ascii="Arial" w:hAnsi="Arial" w:cs="Arial"/>
        </w:rPr>
        <w:t xml:space="preserve"> </w:t>
      </w:r>
    </w:p>
    <w:p w14:paraId="3DE0CA02" w14:textId="3E7B4954" w:rsidR="00FE03B3" w:rsidRPr="00DE682A" w:rsidRDefault="0001191D" w:rsidP="00DE682A">
      <w:pPr>
        <w:rPr>
          <w:rFonts w:ascii="Arial" w:hAnsi="Arial" w:cs="Arial"/>
        </w:rPr>
      </w:pPr>
      <w:r w:rsidRPr="0001191D">
        <w:rPr>
          <w:rFonts w:ascii="Arial" w:hAnsi="Arial" w:cs="Arial"/>
        </w:rPr>
        <w:t>Powell, J.A. (2008) Structural racism: Building upon the insights of John Calmore. North Carolina Law Review, 86(3), pp. 791–816.</w:t>
      </w:r>
      <w:r w:rsidR="00ED0089">
        <w:rPr>
          <w:rFonts w:ascii="Arial" w:hAnsi="Arial" w:cs="Arial"/>
        </w:rPr>
        <w:t xml:space="preserve"> </w:t>
      </w:r>
      <w:r>
        <w:rPr>
          <w:rFonts w:ascii="Arial" w:hAnsi="Arial" w:cs="Arial"/>
        </w:rPr>
        <w:t>(Accessed: 10 April 2026)</w:t>
      </w:r>
      <w:r w:rsidR="00886325">
        <w:rPr>
          <w:rFonts w:ascii="Arial" w:hAnsi="Arial" w:cs="Arial"/>
        </w:rPr>
        <w:t>.</w:t>
      </w:r>
    </w:p>
    <w:p w14:paraId="17B22174" w14:textId="4528997D" w:rsidR="002515D7" w:rsidRPr="00494120" w:rsidRDefault="0056552F" w:rsidP="00494120">
      <w:pPr>
        <w:rPr>
          <w:rFonts w:ascii="Arial" w:hAnsi="Arial" w:cs="Arial"/>
        </w:rPr>
      </w:pPr>
      <w:r w:rsidRPr="00494120">
        <w:rPr>
          <w:rFonts w:ascii="Arial" w:hAnsi="Arial" w:cs="Arial"/>
        </w:rPr>
        <w:t>Manla, Y. </w:t>
      </w:r>
      <w:r w:rsidRPr="00494120">
        <w:rPr>
          <w:rFonts w:ascii="Arial" w:hAnsi="Arial" w:cs="Arial"/>
          <w:i/>
          <w:iCs/>
        </w:rPr>
        <w:t>et al.</w:t>
      </w:r>
      <w:r w:rsidRPr="00494120">
        <w:rPr>
          <w:rFonts w:ascii="Arial" w:hAnsi="Arial" w:cs="Arial"/>
        </w:rPr>
        <w:t> </w:t>
      </w:r>
      <w:r w:rsidR="00844192" w:rsidRPr="00494120">
        <w:rPr>
          <w:rFonts w:ascii="Arial" w:hAnsi="Arial" w:cs="Arial"/>
        </w:rPr>
        <w:t>(</w:t>
      </w:r>
      <w:r w:rsidRPr="00494120">
        <w:rPr>
          <w:rFonts w:ascii="Arial" w:hAnsi="Arial" w:cs="Arial"/>
        </w:rPr>
        <w:t>2022</w:t>
      </w:r>
      <w:r w:rsidR="00844192" w:rsidRPr="00494120">
        <w:rPr>
          <w:rFonts w:ascii="Arial" w:hAnsi="Arial" w:cs="Arial"/>
        </w:rPr>
        <w:t>).</w:t>
      </w:r>
      <w:r w:rsidRPr="00494120">
        <w:rPr>
          <w:rFonts w:ascii="Arial" w:hAnsi="Arial" w:cs="Arial"/>
        </w:rPr>
        <w:t xml:space="preserve"> “Early impact of COVID-19 pandemic on heart transplant volumes in Asia and Oceania: results from the Global Observatory on Donation and Transplantation (GODT),” </w:t>
      </w:r>
      <w:r w:rsidRPr="00494120">
        <w:rPr>
          <w:rFonts w:ascii="Arial" w:hAnsi="Arial" w:cs="Arial"/>
          <w:i/>
          <w:iCs/>
        </w:rPr>
        <w:t>European heart journal</w:t>
      </w:r>
      <w:r w:rsidRPr="00494120">
        <w:rPr>
          <w:rFonts w:ascii="Arial" w:hAnsi="Arial" w:cs="Arial"/>
        </w:rPr>
        <w:t xml:space="preserve">, 43(Supplement_1). Available at: </w:t>
      </w:r>
      <w:hyperlink r:id="rId47" w:history="1">
        <w:r w:rsidR="00454E48" w:rsidRPr="00494120">
          <w:rPr>
            <w:rStyle w:val="Hyperlink"/>
            <w:rFonts w:ascii="Arial" w:hAnsi="Arial" w:cs="Arial"/>
          </w:rPr>
          <w:t>https://doi.org/10.1093/eurheartj/ehab849.137</w:t>
        </w:r>
      </w:hyperlink>
      <w:r w:rsidRPr="00494120">
        <w:rPr>
          <w:rFonts w:ascii="Arial" w:hAnsi="Arial" w:cs="Arial"/>
        </w:rPr>
        <w:t>.</w:t>
      </w:r>
    </w:p>
    <w:p w14:paraId="5A107080" w14:textId="1B225156" w:rsidR="00454E48" w:rsidRPr="00494120" w:rsidRDefault="00454E48" w:rsidP="00494120">
      <w:pPr>
        <w:rPr>
          <w:rFonts w:ascii="Arial" w:hAnsi="Arial" w:cs="Arial"/>
        </w:rPr>
      </w:pPr>
      <w:r w:rsidRPr="00454E48">
        <w:rPr>
          <w:rFonts w:ascii="Arial" w:hAnsi="Arial" w:cs="Arial"/>
        </w:rPr>
        <w:t xml:space="preserve">Matesanz, R. </w:t>
      </w:r>
      <w:r w:rsidRPr="00454E48">
        <w:rPr>
          <w:rFonts w:ascii="Arial" w:hAnsi="Arial" w:cs="Arial"/>
          <w:i/>
          <w:iCs/>
        </w:rPr>
        <w:t>et al.</w:t>
      </w:r>
      <w:r w:rsidRPr="00454E48">
        <w:rPr>
          <w:rFonts w:ascii="Arial" w:hAnsi="Arial" w:cs="Arial"/>
        </w:rPr>
        <w:t xml:space="preserve"> </w:t>
      </w:r>
      <w:r w:rsidR="00844192" w:rsidRPr="00494120">
        <w:rPr>
          <w:rFonts w:ascii="Arial" w:hAnsi="Arial" w:cs="Arial"/>
        </w:rPr>
        <w:t>(</w:t>
      </w:r>
      <w:r w:rsidRPr="00454E48">
        <w:rPr>
          <w:rFonts w:ascii="Arial" w:hAnsi="Arial" w:cs="Arial"/>
        </w:rPr>
        <w:t>2009</w:t>
      </w:r>
      <w:r w:rsidR="00844192" w:rsidRPr="00494120">
        <w:rPr>
          <w:rFonts w:ascii="Arial" w:hAnsi="Arial" w:cs="Arial"/>
        </w:rPr>
        <w:t>).</w:t>
      </w:r>
      <w:r w:rsidRPr="00454E48">
        <w:rPr>
          <w:rFonts w:ascii="Arial" w:hAnsi="Arial" w:cs="Arial"/>
        </w:rPr>
        <w:t xml:space="preserve"> “Global Observatory and Database on Donation and Transplantation: World Overview on Transplantation Activities,” </w:t>
      </w:r>
      <w:r w:rsidRPr="00454E48">
        <w:rPr>
          <w:rFonts w:ascii="Arial" w:hAnsi="Arial" w:cs="Arial"/>
          <w:i/>
          <w:iCs/>
        </w:rPr>
        <w:t>Transplantation proceedings</w:t>
      </w:r>
      <w:r w:rsidRPr="00454E48">
        <w:rPr>
          <w:rFonts w:ascii="Arial" w:hAnsi="Arial" w:cs="Arial"/>
        </w:rPr>
        <w:t xml:space="preserve">, 41(6), pp. 2297–2301. Available at: </w:t>
      </w:r>
      <w:r w:rsidR="00EC7779" w:rsidRPr="00494120">
        <w:rPr>
          <w:rFonts w:ascii="Arial" w:hAnsi="Arial" w:cs="Arial"/>
        </w:rPr>
        <w:t xml:space="preserve">  </w:t>
      </w:r>
      <w:hyperlink r:id="rId48" w:history="1">
        <w:r w:rsidR="00EC7779" w:rsidRPr="00494120">
          <w:rPr>
            <w:rStyle w:val="Hyperlink"/>
            <w:rFonts w:ascii="Arial" w:hAnsi="Arial" w:cs="Arial"/>
          </w:rPr>
          <w:t>https://doi.org/10.1016/j.transproceed.2009.05.004</w:t>
        </w:r>
      </w:hyperlink>
      <w:r w:rsidRPr="00494120">
        <w:rPr>
          <w:rFonts w:ascii="Arial" w:hAnsi="Arial" w:cs="Arial"/>
        </w:rPr>
        <w:t>.</w:t>
      </w:r>
      <w:r w:rsidR="00EC7779" w:rsidRPr="00494120">
        <w:rPr>
          <w:rFonts w:ascii="Arial" w:hAnsi="Arial" w:cs="Arial"/>
        </w:rPr>
        <w:t xml:space="preserve"> </w:t>
      </w:r>
    </w:p>
    <w:p w14:paraId="10E1ADA6" w14:textId="77777777" w:rsidR="00E878E6" w:rsidRDefault="00077842" w:rsidP="00494120">
      <w:pPr>
        <w:rPr>
          <w:rFonts w:ascii="Arial" w:hAnsi="Arial" w:cs="Arial"/>
        </w:rPr>
      </w:pPr>
      <w:r w:rsidRPr="00494120">
        <w:rPr>
          <w:rFonts w:ascii="Arial" w:hAnsi="Arial" w:cs="Arial"/>
        </w:rPr>
        <w:t xml:space="preserve">McLaughlin, L., et al. (2024) 'Experiences of family members and healthcare professionals under the "soft" opt-out system in England', PLOS ONE, 19(7). Available at: </w:t>
      </w:r>
      <w:hyperlink r:id="rId49" w:history="1">
        <w:r w:rsidRPr="00494120">
          <w:rPr>
            <w:rStyle w:val="Hyperlink"/>
            <w:rFonts w:ascii="Arial" w:hAnsi="Arial" w:cs="Arial"/>
          </w:rPr>
          <w:t>https://pmc.ncbi.nlm.nih.gov/articles/PMC11580530/</w:t>
        </w:r>
      </w:hyperlink>
      <w:r w:rsidRPr="00494120">
        <w:rPr>
          <w:rFonts w:ascii="Arial" w:hAnsi="Arial" w:cs="Arial"/>
        </w:rPr>
        <w:t xml:space="preserve">  (Accessed</w:t>
      </w:r>
      <w:r w:rsidR="00D67381" w:rsidRPr="00494120">
        <w:rPr>
          <w:rFonts w:ascii="Arial" w:hAnsi="Arial" w:cs="Arial"/>
        </w:rPr>
        <w:t>:</w:t>
      </w:r>
      <w:r w:rsidRPr="00494120">
        <w:rPr>
          <w:rFonts w:ascii="Arial" w:hAnsi="Arial" w:cs="Arial"/>
        </w:rPr>
        <w:t xml:space="preserve"> 30 January 2026).</w:t>
      </w:r>
    </w:p>
    <w:p w14:paraId="7F039AD9" w14:textId="4E3E980D" w:rsidR="00B813A0" w:rsidRPr="00494120" w:rsidRDefault="00923A70" w:rsidP="00494120">
      <w:pPr>
        <w:rPr>
          <w:rFonts w:ascii="Arial" w:hAnsi="Arial" w:cs="Arial"/>
        </w:rPr>
      </w:pPr>
      <w:r w:rsidRPr="00E27199">
        <w:rPr>
          <w:rFonts w:ascii="Arial" w:hAnsi="Arial" w:cs="Arial"/>
        </w:rPr>
        <w:t xml:space="preserve">Maxwell, J.A. (2013) </w:t>
      </w:r>
      <w:r w:rsidRPr="00E27199">
        <w:rPr>
          <w:rFonts w:ascii="Arial" w:hAnsi="Arial" w:cs="Arial"/>
          <w:i/>
          <w:iCs/>
        </w:rPr>
        <w:t>Qualitative Research Design: An Interactive Approach.</w:t>
      </w:r>
      <w:r w:rsidRPr="00E27199">
        <w:rPr>
          <w:rFonts w:ascii="Arial" w:hAnsi="Arial" w:cs="Arial"/>
        </w:rPr>
        <w:t xml:space="preserve"> 3rd edn.</w:t>
      </w:r>
      <w:r>
        <w:rPr>
          <w:rFonts w:ascii="Arial" w:hAnsi="Arial" w:cs="Arial"/>
        </w:rPr>
        <w:t xml:space="preserve"> </w:t>
      </w:r>
      <w:r w:rsidRPr="00E27199">
        <w:rPr>
          <w:rFonts w:ascii="Arial" w:hAnsi="Arial" w:cs="Arial"/>
        </w:rPr>
        <w:t>Thousand Oaks, CA: SAGE Publications.</w:t>
      </w:r>
      <w:r>
        <w:rPr>
          <w:rFonts w:ascii="Arial" w:hAnsi="Arial" w:cs="Arial"/>
        </w:rPr>
        <w:t xml:space="preserve"> (Accessed: 10 April 2026). </w:t>
      </w:r>
    </w:p>
    <w:p w14:paraId="14596EB3" w14:textId="685273E3" w:rsidR="00F3737A" w:rsidRPr="00494120" w:rsidRDefault="00077842" w:rsidP="00494120">
      <w:pPr>
        <w:rPr>
          <w:rFonts w:ascii="Arial" w:hAnsi="Arial" w:cs="Arial"/>
        </w:rPr>
      </w:pPr>
      <w:r w:rsidRPr="00494120">
        <w:rPr>
          <w:rFonts w:ascii="Arial" w:hAnsi="Arial" w:cs="Arial"/>
        </w:rPr>
        <w:t xml:space="preserve">Morgan,M., Kenton,c.,Deedat,S., </w:t>
      </w:r>
      <w:r w:rsidR="00F0551E">
        <w:rPr>
          <w:rFonts w:ascii="Arial" w:hAnsi="Arial" w:cs="Arial"/>
        </w:rPr>
        <w:t>Farsides,B., Newton, T</w:t>
      </w:r>
      <w:r w:rsidR="00DD0953">
        <w:rPr>
          <w:rFonts w:ascii="Arial" w:hAnsi="Arial" w:cs="Arial"/>
        </w:rPr>
        <w:t>., Randhawa, G., Sims</w:t>
      </w:r>
      <w:r w:rsidR="00664315">
        <w:rPr>
          <w:rFonts w:ascii="Arial" w:hAnsi="Arial" w:cs="Arial"/>
        </w:rPr>
        <w:t>,J.and Sque,M</w:t>
      </w:r>
      <w:r w:rsidR="002275B4">
        <w:rPr>
          <w:rFonts w:ascii="Arial" w:hAnsi="Arial" w:cs="Arial"/>
        </w:rPr>
        <w:t>.</w:t>
      </w:r>
      <w:r w:rsidR="00BC161B" w:rsidRPr="00494120">
        <w:rPr>
          <w:rFonts w:ascii="Arial" w:hAnsi="Arial" w:cs="Arial"/>
        </w:rPr>
        <w:t>(</w:t>
      </w:r>
      <w:r w:rsidR="00947CF4" w:rsidRPr="00494120">
        <w:rPr>
          <w:rFonts w:ascii="Arial" w:hAnsi="Arial" w:cs="Arial"/>
        </w:rPr>
        <w:t xml:space="preserve"> </w:t>
      </w:r>
      <w:r w:rsidRPr="00494120">
        <w:rPr>
          <w:rFonts w:ascii="Arial" w:hAnsi="Arial" w:cs="Arial"/>
        </w:rPr>
        <w:t xml:space="preserve">2016 </w:t>
      </w:r>
      <w:r w:rsidR="00BC161B" w:rsidRPr="00494120">
        <w:rPr>
          <w:rFonts w:ascii="Arial" w:hAnsi="Arial" w:cs="Arial"/>
        </w:rPr>
        <w:t xml:space="preserve">) </w:t>
      </w:r>
      <w:r w:rsidRPr="00494120">
        <w:rPr>
          <w:rFonts w:ascii="Arial" w:hAnsi="Arial" w:cs="Arial"/>
        </w:rPr>
        <w:t>Increasing the acceptability and rates of organ donation among minority groups: a programme of observational and evaluative research on Donation, Transplantation and Ethnicity (DonaTE). Southampton: NIHR Journals Library.</w:t>
      </w:r>
      <w:r w:rsidR="004F466B" w:rsidRPr="00494120">
        <w:rPr>
          <w:rFonts w:ascii="Arial" w:hAnsi="Arial" w:cs="Arial"/>
        </w:rPr>
        <w:t xml:space="preserve"> (Accessed: 30</w:t>
      </w:r>
      <w:r w:rsidR="007E4594" w:rsidRPr="00494120">
        <w:rPr>
          <w:rFonts w:ascii="Arial" w:hAnsi="Arial" w:cs="Arial"/>
        </w:rPr>
        <w:t xml:space="preserve"> January 2026)</w:t>
      </w:r>
      <w:r w:rsidR="001E3E24" w:rsidRPr="00494120">
        <w:rPr>
          <w:rFonts w:ascii="Arial" w:hAnsi="Arial" w:cs="Arial"/>
        </w:rPr>
        <w:t>.</w:t>
      </w:r>
    </w:p>
    <w:p w14:paraId="00901925" w14:textId="0406F5E5" w:rsidR="001E3E24" w:rsidRPr="00494120" w:rsidRDefault="00F72185" w:rsidP="00494120">
      <w:pPr>
        <w:pStyle w:val="Heading1"/>
        <w:spacing w:line="360" w:lineRule="auto"/>
        <w:ind w:left="0"/>
        <w:jc w:val="both"/>
        <w:rPr>
          <w:rFonts w:cs="Arial"/>
          <w:b w:val="0"/>
          <w:bCs/>
          <w:sz w:val="22"/>
          <w:szCs w:val="22"/>
        </w:rPr>
      </w:pPr>
      <w:r w:rsidRPr="00B724F9">
        <w:rPr>
          <w:rFonts w:cs="Arial"/>
          <w:b w:val="0"/>
          <w:bCs/>
          <w:sz w:val="22"/>
          <w:szCs w:val="22"/>
        </w:rPr>
        <w:t>Moth</w:t>
      </w:r>
      <w:r w:rsidR="00B60EF6" w:rsidRPr="00B724F9">
        <w:rPr>
          <w:rFonts w:cs="Arial"/>
          <w:b w:val="0"/>
          <w:bCs/>
          <w:sz w:val="22"/>
          <w:szCs w:val="22"/>
        </w:rPr>
        <w:t>upi</w:t>
      </w:r>
      <w:r w:rsidR="00CA52DE" w:rsidRPr="00B724F9">
        <w:rPr>
          <w:rFonts w:cs="Arial"/>
          <w:b w:val="0"/>
          <w:bCs/>
          <w:sz w:val="22"/>
          <w:szCs w:val="22"/>
        </w:rPr>
        <w:t>., Das</w:t>
      </w:r>
      <w:r w:rsidR="00E12BD5" w:rsidRPr="00B724F9">
        <w:rPr>
          <w:rFonts w:cs="Arial"/>
          <w:b w:val="0"/>
          <w:bCs/>
          <w:sz w:val="22"/>
          <w:szCs w:val="22"/>
        </w:rPr>
        <w:t>gupta</w:t>
      </w:r>
      <w:r w:rsidR="002C2E76" w:rsidRPr="00B724F9">
        <w:rPr>
          <w:rFonts w:cs="Arial"/>
          <w:b w:val="0"/>
          <w:bCs/>
          <w:sz w:val="22"/>
          <w:szCs w:val="22"/>
        </w:rPr>
        <w:t>,J</w:t>
      </w:r>
      <w:r w:rsidR="00AB7429" w:rsidRPr="00B724F9">
        <w:rPr>
          <w:rFonts w:cs="Arial"/>
          <w:b w:val="0"/>
          <w:bCs/>
          <w:sz w:val="22"/>
          <w:szCs w:val="22"/>
        </w:rPr>
        <w:t>.,</w:t>
      </w:r>
      <w:r w:rsidR="00D5575F" w:rsidRPr="00B724F9">
        <w:rPr>
          <w:rFonts w:cs="Arial"/>
          <w:b w:val="0"/>
          <w:bCs/>
          <w:sz w:val="22"/>
          <w:szCs w:val="22"/>
        </w:rPr>
        <w:t xml:space="preserve"> Ho</w:t>
      </w:r>
      <w:r w:rsidR="002C512E" w:rsidRPr="00B724F9">
        <w:rPr>
          <w:rFonts w:cs="Arial"/>
          <w:b w:val="0"/>
          <w:bCs/>
          <w:sz w:val="22"/>
          <w:szCs w:val="22"/>
        </w:rPr>
        <w:t>sseini Jeb</w:t>
      </w:r>
      <w:r w:rsidR="00476BDF" w:rsidRPr="00B724F9">
        <w:rPr>
          <w:rFonts w:cs="Arial"/>
          <w:b w:val="0"/>
          <w:bCs/>
          <w:sz w:val="22"/>
          <w:szCs w:val="22"/>
        </w:rPr>
        <w:t>eli</w:t>
      </w:r>
      <w:r w:rsidR="00296A9F" w:rsidRPr="00B724F9">
        <w:rPr>
          <w:rFonts w:cs="Arial"/>
          <w:b w:val="0"/>
          <w:bCs/>
          <w:sz w:val="22"/>
          <w:szCs w:val="22"/>
        </w:rPr>
        <w:t>.s</w:t>
      </w:r>
      <w:r w:rsidR="00DE675F" w:rsidRPr="00B724F9">
        <w:rPr>
          <w:rFonts w:cs="Arial"/>
          <w:b w:val="0"/>
          <w:bCs/>
          <w:sz w:val="22"/>
          <w:szCs w:val="22"/>
        </w:rPr>
        <w:t xml:space="preserve">.s., </w:t>
      </w:r>
      <w:r w:rsidR="00927354" w:rsidRPr="00B724F9">
        <w:rPr>
          <w:rFonts w:cs="Arial"/>
          <w:b w:val="0"/>
          <w:bCs/>
          <w:sz w:val="22"/>
          <w:szCs w:val="22"/>
        </w:rPr>
        <w:t>et al</w:t>
      </w:r>
      <w:r w:rsidR="00451B9F" w:rsidRPr="00B724F9">
        <w:rPr>
          <w:rFonts w:cs="Arial"/>
          <w:b w:val="0"/>
          <w:bCs/>
          <w:sz w:val="22"/>
          <w:szCs w:val="22"/>
        </w:rPr>
        <w:t xml:space="preserve"> </w:t>
      </w:r>
      <w:r w:rsidR="00BC161B" w:rsidRPr="00B724F9">
        <w:rPr>
          <w:rFonts w:cs="Arial"/>
          <w:b w:val="0"/>
          <w:bCs/>
          <w:sz w:val="22"/>
          <w:szCs w:val="22"/>
        </w:rPr>
        <w:t>(</w:t>
      </w:r>
      <w:r w:rsidR="00451B9F" w:rsidRPr="00B724F9">
        <w:rPr>
          <w:rFonts w:cs="Arial"/>
          <w:b w:val="0"/>
          <w:bCs/>
          <w:sz w:val="22"/>
          <w:szCs w:val="22"/>
        </w:rPr>
        <w:t>2023</w:t>
      </w:r>
      <w:r w:rsidR="00BC161B" w:rsidRPr="00B724F9">
        <w:rPr>
          <w:rFonts w:cs="Arial"/>
          <w:b w:val="0"/>
          <w:bCs/>
          <w:sz w:val="22"/>
          <w:szCs w:val="22"/>
        </w:rPr>
        <w:t xml:space="preserve">). </w:t>
      </w:r>
      <w:r w:rsidR="0020199E" w:rsidRPr="00494120">
        <w:rPr>
          <w:rFonts w:cs="Arial"/>
          <w:b w:val="0"/>
          <w:bCs/>
          <w:sz w:val="22"/>
          <w:szCs w:val="22"/>
        </w:rPr>
        <w:t>Using an intersectiona</w:t>
      </w:r>
      <w:r w:rsidR="00E4448B" w:rsidRPr="00494120">
        <w:rPr>
          <w:rFonts w:cs="Arial"/>
          <w:b w:val="0"/>
          <w:bCs/>
          <w:sz w:val="22"/>
          <w:szCs w:val="22"/>
        </w:rPr>
        <w:t>lity</w:t>
      </w:r>
      <w:r w:rsidR="00D072D2" w:rsidRPr="00494120">
        <w:rPr>
          <w:rFonts w:cs="Arial"/>
          <w:b w:val="0"/>
          <w:bCs/>
          <w:sz w:val="22"/>
          <w:szCs w:val="22"/>
        </w:rPr>
        <w:t xml:space="preserve"> approach</w:t>
      </w:r>
      <w:r w:rsidR="008116F7" w:rsidRPr="00494120">
        <w:rPr>
          <w:rFonts w:cs="Arial"/>
          <w:b w:val="0"/>
          <w:bCs/>
          <w:sz w:val="22"/>
          <w:szCs w:val="22"/>
        </w:rPr>
        <w:t xml:space="preserve"> to</w:t>
      </w:r>
      <w:r w:rsidR="00340986" w:rsidRPr="00494120">
        <w:rPr>
          <w:rFonts w:cs="Arial"/>
          <w:b w:val="0"/>
          <w:bCs/>
          <w:sz w:val="22"/>
          <w:szCs w:val="22"/>
        </w:rPr>
        <w:t xml:space="preserve"> transform health services</w:t>
      </w:r>
      <w:r w:rsidR="00F726E0" w:rsidRPr="00494120">
        <w:rPr>
          <w:rFonts w:cs="Arial"/>
          <w:b w:val="0"/>
          <w:bCs/>
          <w:sz w:val="22"/>
          <w:szCs w:val="22"/>
        </w:rPr>
        <w:t>.</w:t>
      </w:r>
      <w:r w:rsidR="00461660" w:rsidRPr="00494120">
        <w:rPr>
          <w:rFonts w:cs="Arial"/>
          <w:b w:val="0"/>
          <w:bCs/>
          <w:sz w:val="22"/>
          <w:szCs w:val="22"/>
        </w:rPr>
        <w:t>’</w:t>
      </w:r>
      <w:r w:rsidR="00F15797" w:rsidRPr="00494120">
        <w:rPr>
          <w:rFonts w:cs="Arial"/>
          <w:b w:val="0"/>
          <w:bCs/>
          <w:sz w:val="22"/>
          <w:szCs w:val="22"/>
        </w:rPr>
        <w:t xml:space="preserve"> </w:t>
      </w:r>
      <w:r w:rsidR="00F726E0" w:rsidRPr="00494120">
        <w:rPr>
          <w:rFonts w:cs="Arial"/>
          <w:b w:val="0"/>
          <w:bCs/>
          <w:sz w:val="22"/>
          <w:szCs w:val="22"/>
        </w:rPr>
        <w:t>BM</w:t>
      </w:r>
      <w:r w:rsidR="00EF6A41" w:rsidRPr="00494120">
        <w:rPr>
          <w:rFonts w:cs="Arial"/>
          <w:b w:val="0"/>
          <w:bCs/>
          <w:sz w:val="22"/>
          <w:szCs w:val="22"/>
        </w:rPr>
        <w:t>J</w:t>
      </w:r>
      <w:r w:rsidR="007B6BD5" w:rsidRPr="00494120">
        <w:rPr>
          <w:rFonts w:cs="Arial"/>
          <w:b w:val="0"/>
          <w:bCs/>
          <w:sz w:val="22"/>
          <w:szCs w:val="22"/>
        </w:rPr>
        <w:t>, 38</w:t>
      </w:r>
      <w:r w:rsidR="00D2325D" w:rsidRPr="00494120">
        <w:rPr>
          <w:rFonts w:cs="Arial"/>
          <w:b w:val="0"/>
          <w:bCs/>
          <w:sz w:val="22"/>
          <w:szCs w:val="22"/>
        </w:rPr>
        <w:t>1:e</w:t>
      </w:r>
      <w:r w:rsidR="00322356" w:rsidRPr="00494120">
        <w:rPr>
          <w:rFonts w:cs="Arial"/>
          <w:b w:val="0"/>
          <w:bCs/>
          <w:sz w:val="22"/>
          <w:szCs w:val="22"/>
        </w:rPr>
        <w:t>0722</w:t>
      </w:r>
      <w:r w:rsidR="00EE25B1" w:rsidRPr="00494120">
        <w:rPr>
          <w:rFonts w:cs="Arial"/>
          <w:b w:val="0"/>
          <w:bCs/>
          <w:sz w:val="22"/>
          <w:szCs w:val="22"/>
        </w:rPr>
        <w:t>43</w:t>
      </w:r>
      <w:r w:rsidR="00095D9C" w:rsidRPr="00494120">
        <w:rPr>
          <w:rFonts w:cs="Arial"/>
          <w:b w:val="0"/>
          <w:bCs/>
          <w:sz w:val="22"/>
          <w:szCs w:val="22"/>
        </w:rPr>
        <w:t xml:space="preserve">. </w:t>
      </w:r>
      <w:r w:rsidR="00DA06EA" w:rsidRPr="00494120">
        <w:rPr>
          <w:rFonts w:cs="Arial"/>
          <w:b w:val="0"/>
          <w:bCs/>
          <w:sz w:val="22"/>
          <w:szCs w:val="22"/>
        </w:rPr>
        <w:t>O</w:t>
      </w:r>
      <w:r w:rsidR="006C105E" w:rsidRPr="00494120">
        <w:rPr>
          <w:rFonts w:cs="Arial"/>
          <w:b w:val="0"/>
          <w:bCs/>
          <w:sz w:val="22"/>
          <w:szCs w:val="22"/>
        </w:rPr>
        <w:t>pen access</w:t>
      </w:r>
      <w:r w:rsidR="009F6E7A" w:rsidRPr="00494120">
        <w:rPr>
          <w:rFonts w:cs="Arial"/>
          <w:b w:val="0"/>
          <w:bCs/>
          <w:sz w:val="22"/>
          <w:szCs w:val="22"/>
        </w:rPr>
        <w:t>.</w:t>
      </w:r>
      <w:r w:rsidR="00EA4DA1" w:rsidRPr="00494120">
        <w:rPr>
          <w:rFonts w:cs="Arial"/>
          <w:b w:val="0"/>
          <w:bCs/>
          <w:sz w:val="22"/>
          <w:szCs w:val="22"/>
        </w:rPr>
        <w:t xml:space="preserve"> Available at: </w:t>
      </w:r>
      <w:hyperlink r:id="rId50" w:history="1">
        <w:r w:rsidR="00783E5D" w:rsidRPr="00494120">
          <w:rPr>
            <w:rStyle w:val="Hyperlink"/>
            <w:rFonts w:cs="Arial"/>
            <w:b w:val="0"/>
            <w:bCs/>
            <w:sz w:val="22"/>
            <w:szCs w:val="22"/>
          </w:rPr>
          <w:t>https://doi.org/10.1136/bmj-2022-072243</w:t>
        </w:r>
      </w:hyperlink>
      <w:r w:rsidR="00994E12" w:rsidRPr="00494120">
        <w:rPr>
          <w:rFonts w:cs="Arial"/>
          <w:b w:val="0"/>
          <w:bCs/>
          <w:sz w:val="22"/>
          <w:szCs w:val="22"/>
        </w:rPr>
        <w:t>.</w:t>
      </w:r>
      <w:r w:rsidR="00783E5D" w:rsidRPr="00494120">
        <w:rPr>
          <w:rFonts w:cs="Arial"/>
          <w:b w:val="0"/>
          <w:bCs/>
          <w:sz w:val="22"/>
          <w:szCs w:val="22"/>
        </w:rPr>
        <w:t xml:space="preserve"> </w:t>
      </w:r>
      <w:r w:rsidR="00994E12" w:rsidRPr="00494120">
        <w:rPr>
          <w:rFonts w:cs="Arial"/>
          <w:b w:val="0"/>
          <w:bCs/>
          <w:sz w:val="22"/>
          <w:szCs w:val="22"/>
        </w:rPr>
        <w:t xml:space="preserve">     </w:t>
      </w:r>
      <w:r w:rsidR="00461660" w:rsidRPr="00494120">
        <w:rPr>
          <w:rFonts w:cs="Arial"/>
          <w:b w:val="0"/>
          <w:bCs/>
          <w:sz w:val="22"/>
          <w:szCs w:val="22"/>
        </w:rPr>
        <w:t xml:space="preserve"> </w:t>
      </w:r>
      <w:r w:rsidR="00FD2A02" w:rsidRPr="00494120">
        <w:rPr>
          <w:rFonts w:cs="Arial"/>
          <w:b w:val="0"/>
          <w:bCs/>
          <w:sz w:val="22"/>
          <w:szCs w:val="22"/>
        </w:rPr>
        <w:t xml:space="preserve">  </w:t>
      </w:r>
    </w:p>
    <w:p w14:paraId="370338F0" w14:textId="4379E50B" w:rsidR="00077842" w:rsidRPr="00494120" w:rsidRDefault="00077842" w:rsidP="00494120">
      <w:pPr>
        <w:rPr>
          <w:rFonts w:ascii="Arial" w:hAnsi="Arial" w:cs="Arial"/>
        </w:rPr>
      </w:pPr>
      <w:r w:rsidRPr="00494120">
        <w:rPr>
          <w:rFonts w:ascii="Arial" w:hAnsi="Arial" w:cs="Arial"/>
        </w:rPr>
        <w:t xml:space="preserve">NHS Blood and Transplant </w:t>
      </w:r>
      <w:r w:rsidR="00844192" w:rsidRPr="00494120">
        <w:rPr>
          <w:rFonts w:ascii="Arial" w:hAnsi="Arial" w:cs="Arial"/>
        </w:rPr>
        <w:t>(</w:t>
      </w:r>
      <w:r w:rsidRPr="00494120">
        <w:rPr>
          <w:rFonts w:ascii="Arial" w:hAnsi="Arial" w:cs="Arial"/>
        </w:rPr>
        <w:t>202</w:t>
      </w:r>
      <w:r w:rsidR="000F1F65">
        <w:rPr>
          <w:rFonts w:ascii="Arial" w:hAnsi="Arial" w:cs="Arial"/>
        </w:rPr>
        <w:t>5</w:t>
      </w:r>
      <w:r w:rsidR="00844192" w:rsidRPr="00494120">
        <w:rPr>
          <w:rFonts w:ascii="Arial" w:hAnsi="Arial" w:cs="Arial"/>
        </w:rPr>
        <w:t>).</w:t>
      </w:r>
      <w:r w:rsidRPr="00494120">
        <w:rPr>
          <w:rFonts w:ascii="Arial" w:hAnsi="Arial" w:cs="Arial"/>
        </w:rPr>
        <w:t xml:space="preserve"> </w:t>
      </w:r>
      <w:r w:rsidRPr="00494120">
        <w:rPr>
          <w:rFonts w:ascii="Arial" w:hAnsi="Arial" w:cs="Arial"/>
          <w:i/>
          <w:iCs/>
        </w:rPr>
        <w:t>Organ and Tissue Donation and Transplantation: Activity Report 2023/24</w:t>
      </w:r>
      <w:r w:rsidRPr="00494120">
        <w:rPr>
          <w:rFonts w:ascii="Arial" w:hAnsi="Arial" w:cs="Arial"/>
        </w:rPr>
        <w:t xml:space="preserve">. Open access. </w:t>
      </w:r>
      <w:hyperlink r:id="rId51" w:history="1">
        <w:r w:rsidRPr="00494120">
          <w:rPr>
            <w:rStyle w:val="Hyperlink"/>
            <w:rFonts w:ascii="Arial" w:hAnsi="Arial" w:cs="Arial"/>
          </w:rPr>
          <w:t>(nhsbtdbe.b...indows.net)</w:t>
        </w:r>
      </w:hyperlink>
      <w:r w:rsidR="004A2573">
        <w:rPr>
          <w:rFonts w:ascii="Arial" w:hAnsi="Arial" w:cs="Arial"/>
        </w:rPr>
        <w:t>.</w:t>
      </w:r>
      <w:r w:rsidRPr="00494120">
        <w:rPr>
          <w:rFonts w:ascii="Arial" w:hAnsi="Arial" w:cs="Arial"/>
        </w:rPr>
        <w:t xml:space="preserve">  </w:t>
      </w:r>
    </w:p>
    <w:p w14:paraId="11AC2908" w14:textId="1D12B7BB" w:rsidR="00077842" w:rsidRPr="00494120" w:rsidRDefault="00077842" w:rsidP="00494120">
      <w:pPr>
        <w:rPr>
          <w:rFonts w:ascii="Arial" w:hAnsi="Arial" w:cs="Arial"/>
        </w:rPr>
      </w:pPr>
      <w:r w:rsidRPr="00494120">
        <w:rPr>
          <w:rFonts w:ascii="Arial" w:hAnsi="Arial" w:cs="Arial"/>
        </w:rPr>
        <w:t>NHS Blood and Transplant</w:t>
      </w:r>
      <w:r w:rsidR="00BC161B" w:rsidRPr="00494120">
        <w:rPr>
          <w:rFonts w:ascii="Arial" w:hAnsi="Arial" w:cs="Arial"/>
        </w:rPr>
        <w:t xml:space="preserve"> (</w:t>
      </w:r>
      <w:r w:rsidRPr="00494120">
        <w:rPr>
          <w:rFonts w:ascii="Arial" w:hAnsi="Arial" w:cs="Arial"/>
        </w:rPr>
        <w:t>2025</w:t>
      </w:r>
      <w:r w:rsidR="00BC161B" w:rsidRPr="00494120">
        <w:rPr>
          <w:rFonts w:ascii="Arial" w:hAnsi="Arial" w:cs="Arial"/>
        </w:rPr>
        <w:t>).</w:t>
      </w:r>
      <w:r w:rsidRPr="00494120">
        <w:rPr>
          <w:rFonts w:ascii="Arial" w:hAnsi="Arial" w:cs="Arial"/>
        </w:rPr>
        <w:t xml:space="preserve"> Annual Report on Ethnicity Differences in Organ Donation and Transplantation 2024/25. Bristol: NHSBT. Available at: </w:t>
      </w:r>
      <w:hyperlink r:id="rId52" w:history="1">
        <w:r w:rsidRPr="00494120">
          <w:rPr>
            <w:rStyle w:val="Hyperlink"/>
            <w:rFonts w:ascii="Arial" w:hAnsi="Arial" w:cs="Arial"/>
          </w:rPr>
          <w:t>https://nhsbtdbe.blob.core.windows.net/umbraco-assets-corp/37695/annual-report-on- ethnicity-differences-2024_2025.pdf</w:t>
        </w:r>
      </w:hyperlink>
      <w:r w:rsidRPr="00494120">
        <w:rPr>
          <w:rFonts w:ascii="Arial" w:hAnsi="Arial" w:cs="Arial"/>
        </w:rPr>
        <w:t xml:space="preserve">  (Accessed: 15 January 2026).</w:t>
      </w:r>
    </w:p>
    <w:p w14:paraId="14AEC338" w14:textId="56F73E3C" w:rsidR="00077842" w:rsidRPr="00494120" w:rsidRDefault="00077842" w:rsidP="00494120">
      <w:pPr>
        <w:rPr>
          <w:rFonts w:ascii="Arial" w:hAnsi="Arial" w:cs="Arial"/>
        </w:rPr>
      </w:pPr>
      <w:r w:rsidRPr="00494120">
        <w:rPr>
          <w:rFonts w:ascii="Arial" w:hAnsi="Arial" w:cs="Arial"/>
        </w:rPr>
        <w:t xml:space="preserve">NHS Blood and Transplant </w:t>
      </w:r>
      <w:r w:rsidR="00BC161B" w:rsidRPr="00494120">
        <w:rPr>
          <w:rFonts w:ascii="Arial" w:hAnsi="Arial" w:cs="Arial"/>
        </w:rPr>
        <w:t>(</w:t>
      </w:r>
      <w:r w:rsidRPr="00494120">
        <w:rPr>
          <w:rFonts w:ascii="Arial" w:hAnsi="Arial" w:cs="Arial"/>
        </w:rPr>
        <w:t>2025</w:t>
      </w:r>
      <w:r w:rsidR="00BC161B" w:rsidRPr="00494120">
        <w:rPr>
          <w:rFonts w:ascii="Arial" w:hAnsi="Arial" w:cs="Arial"/>
        </w:rPr>
        <w:t xml:space="preserve">). </w:t>
      </w:r>
      <w:r w:rsidRPr="00494120">
        <w:rPr>
          <w:rFonts w:ascii="Arial" w:hAnsi="Arial" w:cs="Arial"/>
        </w:rPr>
        <w:t xml:space="preserve"> Annual Report on Kidney Transplantation 2024/25. Online. Available at: </w:t>
      </w:r>
      <w:hyperlink r:id="rId53" w:history="1">
        <w:r w:rsidRPr="00494120">
          <w:rPr>
            <w:rStyle w:val="Hyperlink"/>
            <w:rFonts w:ascii="Arial" w:hAnsi="Arial" w:cs="Arial"/>
          </w:rPr>
          <w:t>https://www.odt.nhs.uk/statistics-and-reports/annual-reports/</w:t>
        </w:r>
      </w:hyperlink>
      <w:r w:rsidRPr="00494120">
        <w:rPr>
          <w:rFonts w:ascii="Arial" w:hAnsi="Arial" w:cs="Arial"/>
        </w:rPr>
        <w:t xml:space="preserve"> (Accessed: 8 February 2026).</w:t>
      </w:r>
    </w:p>
    <w:p w14:paraId="0F83EE60" w14:textId="66C4C021" w:rsidR="00077842" w:rsidRPr="00494120" w:rsidRDefault="00077842" w:rsidP="00494120">
      <w:pPr>
        <w:rPr>
          <w:rFonts w:ascii="Arial" w:hAnsi="Arial" w:cs="Arial"/>
        </w:rPr>
      </w:pPr>
      <w:r w:rsidRPr="008601D6">
        <w:rPr>
          <w:rFonts w:ascii="Arial" w:hAnsi="Arial" w:cs="Arial"/>
        </w:rPr>
        <w:t xml:space="preserve">NHS Blood Donation </w:t>
      </w:r>
      <w:r w:rsidR="004179FD" w:rsidRPr="00494120">
        <w:rPr>
          <w:rFonts w:ascii="Arial" w:hAnsi="Arial" w:cs="Arial"/>
        </w:rPr>
        <w:t>(</w:t>
      </w:r>
      <w:r w:rsidRPr="008601D6">
        <w:rPr>
          <w:rFonts w:ascii="Arial" w:hAnsi="Arial" w:cs="Arial"/>
        </w:rPr>
        <w:t>2025</w:t>
      </w:r>
      <w:r w:rsidR="004179FD" w:rsidRPr="00494120">
        <w:rPr>
          <w:rFonts w:ascii="Arial" w:hAnsi="Arial" w:cs="Arial"/>
        </w:rPr>
        <w:t>).</w:t>
      </w:r>
      <w:r w:rsidRPr="008601D6">
        <w:rPr>
          <w:rFonts w:ascii="Arial" w:hAnsi="Arial" w:cs="Arial"/>
        </w:rPr>
        <w:t xml:space="preserve"> 'Number of life-saving stem cell donations by Black, Asian and mixed ethnicity donors is at a 10-year high'. </w:t>
      </w:r>
      <w:r w:rsidRPr="00494120">
        <w:rPr>
          <w:rFonts w:ascii="Arial" w:hAnsi="Arial" w:cs="Arial"/>
        </w:rPr>
        <w:t xml:space="preserve">Available at: </w:t>
      </w:r>
      <w:r w:rsidR="00EC7779" w:rsidRPr="00494120">
        <w:rPr>
          <w:rFonts w:ascii="Arial" w:hAnsi="Arial" w:cs="Arial"/>
        </w:rPr>
        <w:t xml:space="preserve"> </w:t>
      </w:r>
      <w:hyperlink r:id="rId54" w:history="1">
        <w:r w:rsidR="00EC7779" w:rsidRPr="00494120">
          <w:rPr>
            <w:rStyle w:val="Hyperlink"/>
            <w:rFonts w:ascii="Arial" w:hAnsi="Arial" w:cs="Arial"/>
          </w:rPr>
          <w:t>https://www.blood.co.uk/news-and-campaigns/news-and-statements/number-of-life-saving-stem-cell-donations-by-black-asian-and-mixed-ethnicity-donors-is-at-a-10-year-high/</w:t>
        </w:r>
      </w:hyperlink>
      <w:r w:rsidR="00EC7779" w:rsidRPr="00494120">
        <w:rPr>
          <w:rFonts w:ascii="Arial" w:hAnsi="Arial" w:cs="Arial"/>
        </w:rPr>
        <w:t xml:space="preserve"> </w:t>
      </w:r>
      <w:r w:rsidRPr="00494120">
        <w:rPr>
          <w:rFonts w:ascii="Arial" w:hAnsi="Arial" w:cs="Arial"/>
        </w:rPr>
        <w:t xml:space="preserve"> (Accessed: 22 January 2026).    </w:t>
      </w:r>
    </w:p>
    <w:p w14:paraId="535C80BC" w14:textId="77777777" w:rsidR="00077842" w:rsidRPr="00494120" w:rsidRDefault="00077842" w:rsidP="00494120">
      <w:pPr>
        <w:rPr>
          <w:rFonts w:ascii="Arial" w:hAnsi="Arial" w:cs="Arial"/>
        </w:rPr>
      </w:pPr>
      <w:r w:rsidRPr="00494120">
        <w:rPr>
          <w:rFonts w:ascii="Arial" w:hAnsi="Arial" w:cs="Arial"/>
        </w:rPr>
        <w:t xml:space="preserve">NHS Blood Donation (n.d.) ‘Ro blood’. Open access. </w:t>
      </w:r>
      <w:hyperlink r:id="rId55" w:history="1">
        <w:r w:rsidRPr="00494120">
          <w:rPr>
            <w:rStyle w:val="Hyperlink"/>
            <w:rFonts w:ascii="Arial" w:hAnsi="Arial" w:cs="Arial"/>
          </w:rPr>
          <w:t>(blood.co.uk)</w:t>
        </w:r>
      </w:hyperlink>
      <w:r w:rsidRPr="00494120">
        <w:rPr>
          <w:rFonts w:ascii="Arial" w:hAnsi="Arial" w:cs="Arial"/>
        </w:rPr>
        <w:t xml:space="preserve">  </w:t>
      </w:r>
    </w:p>
    <w:p w14:paraId="77398BB6" w14:textId="25CA08BD" w:rsidR="00512438" w:rsidRPr="00494120" w:rsidRDefault="00077842" w:rsidP="00494120">
      <w:pPr>
        <w:rPr>
          <w:rFonts w:ascii="Arial" w:hAnsi="Arial" w:cs="Arial"/>
        </w:rPr>
      </w:pPr>
      <w:r w:rsidRPr="00494120">
        <w:rPr>
          <w:rFonts w:ascii="Arial" w:hAnsi="Arial" w:cs="Arial"/>
        </w:rPr>
        <w:t xml:space="preserve">NHS Race and Health Observatory </w:t>
      </w:r>
      <w:r w:rsidR="00E128B1" w:rsidRPr="00494120">
        <w:rPr>
          <w:rFonts w:ascii="Arial" w:hAnsi="Arial" w:cs="Arial"/>
        </w:rPr>
        <w:t>(</w:t>
      </w:r>
      <w:r w:rsidRPr="00494120">
        <w:rPr>
          <w:rFonts w:ascii="Arial" w:hAnsi="Arial" w:cs="Arial"/>
        </w:rPr>
        <w:t>2025</w:t>
      </w:r>
      <w:r w:rsidR="00E128B1" w:rsidRPr="00494120">
        <w:rPr>
          <w:rFonts w:ascii="Arial" w:hAnsi="Arial" w:cs="Arial"/>
        </w:rPr>
        <w:t>)</w:t>
      </w:r>
      <w:r w:rsidR="00F72562" w:rsidRPr="00494120">
        <w:rPr>
          <w:rFonts w:ascii="Arial" w:hAnsi="Arial" w:cs="Arial"/>
        </w:rPr>
        <w:t>.</w:t>
      </w:r>
      <w:r w:rsidRPr="00494120">
        <w:rPr>
          <w:rFonts w:ascii="Arial" w:hAnsi="Arial" w:cs="Arial"/>
        </w:rPr>
        <w:t xml:space="preserve"> Trust in Primary Care: Patient Experience and Trust in NHS Primary Care. London: RHO. Available at</w:t>
      </w:r>
      <w:r w:rsidR="0065475F" w:rsidRPr="00494120">
        <w:rPr>
          <w:rFonts w:ascii="Arial" w:hAnsi="Arial" w:cs="Arial"/>
        </w:rPr>
        <w:t>: (</w:t>
      </w:r>
      <w:hyperlink r:id="rId56" w:history="1">
        <w:r w:rsidRPr="00494120">
          <w:rPr>
            <w:rStyle w:val="Hyperlink"/>
            <w:rFonts w:ascii="Arial" w:hAnsi="Arial" w:cs="Arial"/>
          </w:rPr>
          <w:t>https://www.nhsrho.org/wp-content/uploads/2025/03/TRUST-IN-PRIMARY-CARE-REPORT.pdf</w:t>
        </w:r>
      </w:hyperlink>
      <w:r w:rsidRPr="00494120">
        <w:rPr>
          <w:rFonts w:ascii="Arial" w:hAnsi="Arial" w:cs="Arial"/>
        </w:rPr>
        <w:t>) (Accessed: 2 February 2026).</w:t>
      </w:r>
    </w:p>
    <w:p w14:paraId="1EC39E6A" w14:textId="2FFE6F2B" w:rsidR="00077842" w:rsidRPr="00696691" w:rsidRDefault="00077842" w:rsidP="00494120">
      <w:pPr>
        <w:rPr>
          <w:rFonts w:ascii="Arial" w:hAnsi="Arial" w:cs="Arial"/>
        </w:rPr>
      </w:pPr>
      <w:r w:rsidRPr="00696691">
        <w:rPr>
          <w:rFonts w:ascii="Arial" w:hAnsi="Arial" w:cs="Arial"/>
        </w:rPr>
        <w:t xml:space="preserve">Patel, A. and Singh, J. </w:t>
      </w:r>
      <w:r w:rsidR="00E128B1" w:rsidRPr="00494120">
        <w:rPr>
          <w:rFonts w:ascii="Arial" w:hAnsi="Arial" w:cs="Arial"/>
        </w:rPr>
        <w:t>(</w:t>
      </w:r>
      <w:r w:rsidRPr="00696691">
        <w:rPr>
          <w:rFonts w:ascii="Arial" w:hAnsi="Arial" w:cs="Arial"/>
        </w:rPr>
        <w:t>2023</w:t>
      </w:r>
      <w:r w:rsidR="00E128B1" w:rsidRPr="00494120">
        <w:rPr>
          <w:rFonts w:ascii="Arial" w:hAnsi="Arial" w:cs="Arial"/>
        </w:rPr>
        <w:t>)</w:t>
      </w:r>
      <w:r w:rsidR="00F853DA" w:rsidRPr="00494120">
        <w:rPr>
          <w:rFonts w:ascii="Arial" w:hAnsi="Arial" w:cs="Arial"/>
        </w:rPr>
        <w:t xml:space="preserve">. </w:t>
      </w:r>
      <w:r w:rsidRPr="00696691">
        <w:rPr>
          <w:rFonts w:ascii="Arial" w:hAnsi="Arial" w:cs="Arial"/>
        </w:rPr>
        <w:t xml:space="preserve"> 'Barriers to blood and organ donation in UK minority ethnic communities', British Medical Journal, 380, p. 145.</w:t>
      </w:r>
    </w:p>
    <w:p w14:paraId="6E1CA53F" w14:textId="77777777" w:rsidR="00DF2D65" w:rsidRDefault="00077842" w:rsidP="00494120">
      <w:pPr>
        <w:rPr>
          <w:rFonts w:ascii="Arial" w:hAnsi="Arial" w:cs="Arial"/>
        </w:rPr>
      </w:pPr>
      <w:r w:rsidRPr="00494120">
        <w:rPr>
          <w:rFonts w:ascii="Arial" w:hAnsi="Arial" w:cs="Arial"/>
        </w:rPr>
        <w:t xml:space="preserve">Noyes, J., McLaughlin, L., Morgan, K., et al. </w:t>
      </w:r>
      <w:r w:rsidR="00523FC1" w:rsidRPr="00494120">
        <w:rPr>
          <w:rFonts w:ascii="Arial" w:hAnsi="Arial" w:cs="Arial"/>
        </w:rPr>
        <w:t>(</w:t>
      </w:r>
      <w:r w:rsidRPr="00494120">
        <w:rPr>
          <w:rFonts w:ascii="Arial" w:hAnsi="Arial" w:cs="Arial"/>
        </w:rPr>
        <w:t>2019</w:t>
      </w:r>
      <w:r w:rsidR="00523FC1" w:rsidRPr="00494120">
        <w:rPr>
          <w:rFonts w:ascii="Arial" w:hAnsi="Arial" w:cs="Arial"/>
        </w:rPr>
        <w:t>)</w:t>
      </w:r>
      <w:r w:rsidR="00F853DA" w:rsidRPr="00494120">
        <w:rPr>
          <w:rFonts w:ascii="Arial" w:hAnsi="Arial" w:cs="Arial"/>
        </w:rPr>
        <w:t>.</w:t>
      </w:r>
      <w:r w:rsidRPr="00494120">
        <w:rPr>
          <w:rFonts w:ascii="Arial" w:hAnsi="Arial" w:cs="Arial"/>
        </w:rPr>
        <w:t xml:space="preserve"> ‘Short</w:t>
      </w:r>
      <w:r w:rsidRPr="00494120">
        <w:rPr>
          <w:rFonts w:ascii="Arial" w:hAnsi="Arial" w:cs="Arial"/>
        </w:rPr>
        <w:noBreakHyphen/>
        <w:t>term impact of introducing a soft opt</w:t>
      </w:r>
      <w:r w:rsidRPr="00494120">
        <w:rPr>
          <w:rFonts w:ascii="Arial" w:hAnsi="Arial" w:cs="Arial"/>
        </w:rPr>
        <w:noBreakHyphen/>
        <w:t xml:space="preserve">out organ donation system in Wales: before and after study’, </w:t>
      </w:r>
      <w:r w:rsidRPr="00494120">
        <w:rPr>
          <w:rFonts w:ascii="Arial" w:hAnsi="Arial" w:cs="Arial"/>
          <w:i/>
          <w:iCs/>
        </w:rPr>
        <w:t>BMJ Open</w:t>
      </w:r>
      <w:r w:rsidRPr="00494120">
        <w:rPr>
          <w:rFonts w:ascii="Arial" w:hAnsi="Arial" w:cs="Arial"/>
        </w:rPr>
        <w:t xml:space="preserve">, 9:e025159. Open access. </w:t>
      </w:r>
      <w:hyperlink r:id="rId57" w:history="1">
        <w:r w:rsidRPr="00494120">
          <w:rPr>
            <w:rStyle w:val="Hyperlink"/>
            <w:rFonts w:ascii="Arial" w:hAnsi="Arial" w:cs="Arial"/>
          </w:rPr>
          <w:t>(bmjopen.bmj.com)</w:t>
        </w:r>
      </w:hyperlink>
      <w:r w:rsidRPr="00494120">
        <w:rPr>
          <w:rFonts w:ascii="Arial" w:hAnsi="Arial" w:cs="Arial"/>
        </w:rPr>
        <w:t xml:space="preserve"> </w:t>
      </w:r>
    </w:p>
    <w:p w14:paraId="34BBD306" w14:textId="77777777" w:rsidR="00655234" w:rsidRDefault="009B4B65" w:rsidP="00494120">
      <w:pPr>
        <w:rPr>
          <w:rFonts w:ascii="Arial" w:hAnsi="Arial" w:cs="Arial"/>
        </w:rPr>
      </w:pPr>
      <w:r>
        <w:rPr>
          <w:rFonts w:ascii="Arial" w:hAnsi="Arial" w:cs="Arial"/>
        </w:rPr>
        <w:t xml:space="preserve">Office </w:t>
      </w:r>
      <w:r w:rsidR="00CC2DA0">
        <w:rPr>
          <w:rFonts w:ascii="Arial" w:hAnsi="Arial" w:cs="Arial"/>
        </w:rPr>
        <w:t>for National Statistics (ONS)</w:t>
      </w:r>
      <w:r w:rsidR="00F04C9D">
        <w:rPr>
          <w:rFonts w:ascii="Arial" w:hAnsi="Arial" w:cs="Arial"/>
        </w:rPr>
        <w:t>.  Census 2021: Ethnic</w:t>
      </w:r>
      <w:r w:rsidR="00FA6625">
        <w:rPr>
          <w:rFonts w:ascii="Arial" w:hAnsi="Arial" w:cs="Arial"/>
        </w:rPr>
        <w:t>ity and Religion</w:t>
      </w:r>
      <w:r w:rsidR="00E10EAE">
        <w:rPr>
          <w:rFonts w:ascii="Arial" w:hAnsi="Arial" w:cs="Arial"/>
        </w:rPr>
        <w:t xml:space="preserve"> Analysis.</w:t>
      </w:r>
      <w:r w:rsidR="00F04C9D">
        <w:rPr>
          <w:rFonts w:ascii="Arial" w:hAnsi="Arial" w:cs="Arial"/>
        </w:rPr>
        <w:t xml:space="preserve"> </w:t>
      </w:r>
      <w:r w:rsidR="00A36882">
        <w:rPr>
          <w:rFonts w:ascii="Arial" w:hAnsi="Arial" w:cs="Arial"/>
        </w:rPr>
        <w:t xml:space="preserve">Available at: </w:t>
      </w:r>
      <w:hyperlink r:id="rId58" w:history="1">
        <w:r w:rsidR="001A3990" w:rsidRPr="00194E8F">
          <w:rPr>
            <w:rStyle w:val="Hyperlink"/>
            <w:rFonts w:ascii="Arial" w:hAnsi="Arial" w:cs="Arial"/>
          </w:rPr>
          <w:t>https://www.cityobservatory.birmingham.gov.uk/analysis-of-census-2021-data/</w:t>
        </w:r>
      </w:hyperlink>
      <w:r w:rsidR="001A3990">
        <w:rPr>
          <w:rFonts w:ascii="Arial" w:hAnsi="Arial" w:cs="Arial"/>
        </w:rPr>
        <w:t xml:space="preserve"> </w:t>
      </w:r>
      <w:r w:rsidR="00B412D1">
        <w:rPr>
          <w:rFonts w:ascii="Arial" w:hAnsi="Arial" w:cs="Arial"/>
        </w:rPr>
        <w:t>(Accessed:12</w:t>
      </w:r>
      <w:r w:rsidR="00655234">
        <w:rPr>
          <w:rFonts w:ascii="Arial" w:hAnsi="Arial" w:cs="Arial"/>
        </w:rPr>
        <w:t xml:space="preserve"> April 2026)</w:t>
      </w:r>
      <w:r w:rsidR="00AF66FE">
        <w:rPr>
          <w:rFonts w:ascii="Arial" w:hAnsi="Arial" w:cs="Arial"/>
        </w:rPr>
        <w:t xml:space="preserve"> </w:t>
      </w:r>
    </w:p>
    <w:p w14:paraId="2B9BB9EE" w14:textId="13C62D12" w:rsidR="00077842" w:rsidRPr="00494120" w:rsidRDefault="00077842" w:rsidP="00494120">
      <w:pPr>
        <w:rPr>
          <w:rFonts w:ascii="Arial" w:hAnsi="Arial" w:cs="Arial"/>
        </w:rPr>
      </w:pPr>
      <w:r w:rsidRPr="00494120">
        <w:rPr>
          <w:rFonts w:ascii="Arial" w:hAnsi="Arial" w:cs="Arial"/>
        </w:rPr>
        <w:t xml:space="preserve">O’Neill, S., Thomas, K., McLaughlin, L., et al. </w:t>
      </w:r>
      <w:r w:rsidR="00E128B1" w:rsidRPr="00494120">
        <w:rPr>
          <w:rFonts w:ascii="Arial" w:hAnsi="Arial" w:cs="Arial"/>
        </w:rPr>
        <w:t>(</w:t>
      </w:r>
      <w:r w:rsidRPr="00494120">
        <w:rPr>
          <w:rFonts w:ascii="Arial" w:hAnsi="Arial" w:cs="Arial"/>
        </w:rPr>
        <w:t>2024</w:t>
      </w:r>
      <w:r w:rsidR="00E128B1" w:rsidRPr="00494120">
        <w:rPr>
          <w:rFonts w:ascii="Arial" w:hAnsi="Arial" w:cs="Arial"/>
        </w:rPr>
        <w:t>)</w:t>
      </w:r>
      <w:r w:rsidR="00F72562" w:rsidRPr="00494120">
        <w:rPr>
          <w:rFonts w:ascii="Arial" w:hAnsi="Arial" w:cs="Arial"/>
        </w:rPr>
        <w:t>.</w:t>
      </w:r>
      <w:r w:rsidRPr="00494120">
        <w:rPr>
          <w:rFonts w:ascii="Arial" w:hAnsi="Arial" w:cs="Arial"/>
        </w:rPr>
        <w:t xml:space="preserve"> ‘Trends in organ donation… and “opt</w:t>
      </w:r>
      <w:r w:rsidRPr="00494120">
        <w:rPr>
          <w:rFonts w:ascii="Arial" w:hAnsi="Arial" w:cs="Arial"/>
        </w:rPr>
        <w:noBreakHyphen/>
        <w:t xml:space="preserve">out” legislation’, </w:t>
      </w:r>
      <w:r w:rsidRPr="00494120">
        <w:rPr>
          <w:rFonts w:ascii="Arial" w:hAnsi="Arial" w:cs="Arial"/>
          <w:i/>
          <w:iCs/>
        </w:rPr>
        <w:t>PLOS ONE</w:t>
      </w:r>
      <w:r w:rsidRPr="00494120">
        <w:rPr>
          <w:rFonts w:ascii="Arial" w:hAnsi="Arial" w:cs="Arial"/>
        </w:rPr>
        <w:t>, 19(7):e0306541. Open access.</w:t>
      </w:r>
      <w:hyperlink r:id="rId59" w:history="1">
        <w:r w:rsidRPr="00494120">
          <w:rPr>
            <w:rStyle w:val="Hyperlink"/>
            <w:rFonts w:ascii="Arial" w:hAnsi="Arial" w:cs="Arial"/>
          </w:rPr>
          <w:t xml:space="preserve"> (journals.pl</w:t>
        </w:r>
        <w:r w:rsidR="00655234">
          <w:rPr>
            <w:rStyle w:val="Hyperlink"/>
            <w:rFonts w:ascii="Arial" w:hAnsi="Arial" w:cs="Arial"/>
          </w:rPr>
          <w:t xml:space="preserve"> </w:t>
        </w:r>
        <w:r w:rsidRPr="00494120">
          <w:rPr>
            <w:rStyle w:val="Hyperlink"/>
            <w:rFonts w:ascii="Arial" w:hAnsi="Arial" w:cs="Arial"/>
          </w:rPr>
          <w:t>os.org)</w:t>
        </w:r>
      </w:hyperlink>
      <w:r w:rsidRPr="00494120">
        <w:rPr>
          <w:rFonts w:ascii="Arial" w:hAnsi="Arial" w:cs="Arial"/>
        </w:rPr>
        <w:t xml:space="preserve">  </w:t>
      </w:r>
    </w:p>
    <w:p w14:paraId="1038B3FC" w14:textId="3DBD922D" w:rsidR="00077842" w:rsidRPr="00F230E7" w:rsidRDefault="00077842" w:rsidP="00494120">
      <w:pPr>
        <w:rPr>
          <w:rFonts w:ascii="Arial" w:hAnsi="Arial" w:cs="Arial"/>
        </w:rPr>
      </w:pPr>
      <w:r w:rsidRPr="00F230E7">
        <w:rPr>
          <w:rFonts w:ascii="Arial" w:hAnsi="Arial" w:cs="Arial"/>
        </w:rPr>
        <w:t xml:space="preserve">OPTN/UNOS </w:t>
      </w:r>
      <w:r w:rsidR="00251537" w:rsidRPr="00494120">
        <w:rPr>
          <w:rFonts w:ascii="Arial" w:hAnsi="Arial" w:cs="Arial"/>
        </w:rPr>
        <w:t>(</w:t>
      </w:r>
      <w:r w:rsidRPr="00F230E7">
        <w:rPr>
          <w:rFonts w:ascii="Arial" w:hAnsi="Arial" w:cs="Arial"/>
        </w:rPr>
        <w:t>2023</w:t>
      </w:r>
      <w:r w:rsidR="00251537" w:rsidRPr="00494120">
        <w:rPr>
          <w:rFonts w:ascii="Arial" w:hAnsi="Arial" w:cs="Arial"/>
        </w:rPr>
        <w:t xml:space="preserve">). </w:t>
      </w:r>
      <w:r w:rsidRPr="00F230E7">
        <w:rPr>
          <w:rFonts w:ascii="Arial" w:hAnsi="Arial" w:cs="Arial"/>
        </w:rPr>
        <w:t xml:space="preserve"> Retrospective Waiting Time Adjustments for Black Kidney Transplant Candidates. Richmond, VA: OPTN.</w:t>
      </w:r>
      <w:r w:rsidRPr="00494120">
        <w:rPr>
          <w:rFonts w:ascii="Arial" w:hAnsi="Arial" w:cs="Arial"/>
        </w:rPr>
        <w:t xml:space="preserve"> </w:t>
      </w:r>
    </w:p>
    <w:p w14:paraId="6A5D79D3" w14:textId="7839E310" w:rsidR="00077842" w:rsidRDefault="00077842" w:rsidP="00494120">
      <w:pPr>
        <w:rPr>
          <w:rFonts w:ascii="Arial" w:hAnsi="Arial" w:cs="Arial"/>
        </w:rPr>
      </w:pPr>
      <w:r w:rsidRPr="00494120">
        <w:rPr>
          <w:rFonts w:ascii="Arial" w:hAnsi="Arial" w:cs="Arial"/>
        </w:rPr>
        <w:t xml:space="preserve">Pears, R. and Shields, G., </w:t>
      </w:r>
      <w:r w:rsidR="00E128B1" w:rsidRPr="00494120">
        <w:rPr>
          <w:rFonts w:ascii="Arial" w:hAnsi="Arial" w:cs="Arial"/>
        </w:rPr>
        <w:t>(</w:t>
      </w:r>
      <w:r w:rsidRPr="00494120">
        <w:rPr>
          <w:rFonts w:ascii="Arial" w:hAnsi="Arial" w:cs="Arial"/>
        </w:rPr>
        <w:t>2004</w:t>
      </w:r>
      <w:r w:rsidR="00E128B1" w:rsidRPr="00494120">
        <w:rPr>
          <w:rFonts w:ascii="Arial" w:hAnsi="Arial" w:cs="Arial"/>
        </w:rPr>
        <w:t>)</w:t>
      </w:r>
      <w:r w:rsidRPr="00494120">
        <w:rPr>
          <w:rFonts w:ascii="Arial" w:hAnsi="Arial" w:cs="Arial"/>
        </w:rPr>
        <w:t>. Cite them right.</w:t>
      </w:r>
      <w:r w:rsidR="00F46EED" w:rsidRPr="00494120">
        <w:rPr>
          <w:rFonts w:ascii="Arial" w:hAnsi="Arial" w:cs="Arial"/>
        </w:rPr>
        <w:t xml:space="preserve"> 12</w:t>
      </w:r>
      <w:r w:rsidR="00F46EED" w:rsidRPr="00494120">
        <w:rPr>
          <w:rFonts w:ascii="Arial" w:hAnsi="Arial" w:cs="Arial"/>
          <w:vertAlign w:val="superscript"/>
        </w:rPr>
        <w:t>th</w:t>
      </w:r>
      <w:r w:rsidR="00F46EED" w:rsidRPr="00494120">
        <w:rPr>
          <w:rFonts w:ascii="Arial" w:hAnsi="Arial" w:cs="Arial"/>
        </w:rPr>
        <w:t xml:space="preserve"> edition</w:t>
      </w:r>
      <w:r w:rsidR="00A9079C" w:rsidRPr="00494120">
        <w:rPr>
          <w:rFonts w:ascii="Arial" w:hAnsi="Arial" w:cs="Arial"/>
        </w:rPr>
        <w:t>. London: Bloomsbury.</w:t>
      </w:r>
      <w:r w:rsidR="00AD7415">
        <w:rPr>
          <w:rFonts w:ascii="Arial" w:hAnsi="Arial" w:cs="Arial"/>
        </w:rPr>
        <w:t>.</w:t>
      </w:r>
    </w:p>
    <w:p w14:paraId="622AEC19" w14:textId="3AF2F9E4" w:rsidR="00C1341E" w:rsidRDefault="00B3579F" w:rsidP="00494120">
      <w:pPr>
        <w:rPr>
          <w:rFonts w:ascii="Arial" w:hAnsi="Arial" w:cs="Arial"/>
        </w:rPr>
      </w:pPr>
      <w:r>
        <w:rPr>
          <w:rFonts w:ascii="Arial" w:hAnsi="Arial" w:cs="Arial"/>
        </w:rPr>
        <w:t>Relationships between Islamic Reli</w:t>
      </w:r>
      <w:r w:rsidR="005331B7">
        <w:rPr>
          <w:rFonts w:ascii="Arial" w:hAnsi="Arial" w:cs="Arial"/>
        </w:rPr>
        <w:t>giosity and Attitude Toward deceased</w:t>
      </w:r>
      <w:r w:rsidR="003D5FE3">
        <w:rPr>
          <w:rFonts w:ascii="Arial" w:hAnsi="Arial" w:cs="Arial"/>
        </w:rPr>
        <w:t xml:space="preserve"> Organ Donation Among American Muslims</w:t>
      </w:r>
      <w:r w:rsidR="00636802">
        <w:rPr>
          <w:rFonts w:ascii="Arial" w:hAnsi="Arial" w:cs="Arial"/>
        </w:rPr>
        <w:t xml:space="preserve">: A </w:t>
      </w:r>
      <w:r w:rsidR="00AD7415">
        <w:rPr>
          <w:rFonts w:ascii="Arial" w:hAnsi="Arial" w:cs="Arial"/>
        </w:rPr>
        <w:t xml:space="preserve">Policy Study.  </w:t>
      </w:r>
      <w:r w:rsidR="00C66D63">
        <w:rPr>
          <w:rFonts w:ascii="Arial" w:hAnsi="Arial" w:cs="Arial"/>
        </w:rPr>
        <w:t xml:space="preserve">Available </w:t>
      </w:r>
      <w:r w:rsidR="00C1341E">
        <w:rPr>
          <w:rFonts w:ascii="Arial" w:hAnsi="Arial" w:cs="Arial"/>
        </w:rPr>
        <w:t xml:space="preserve">at: DOI: </w:t>
      </w:r>
      <w:hyperlink r:id="rId60" w:history="1">
        <w:r w:rsidR="008D13AE" w:rsidRPr="00194E8F">
          <w:rPr>
            <w:rStyle w:val="Hyperlink"/>
            <w:rFonts w:ascii="Arial" w:hAnsi="Arial" w:cs="Arial"/>
          </w:rPr>
          <w:t>HTTPS://10.1097/01.T.P.0000441</w:t>
        </w:r>
      </w:hyperlink>
    </w:p>
    <w:p w14:paraId="1F178519" w14:textId="7A131B24" w:rsidR="00077842" w:rsidRPr="00494120" w:rsidRDefault="00941C05" w:rsidP="00494120">
      <w:pPr>
        <w:rPr>
          <w:rFonts w:ascii="Arial" w:hAnsi="Arial" w:cs="Arial"/>
        </w:rPr>
      </w:pPr>
      <w:r w:rsidRPr="00AC5815">
        <w:rPr>
          <w:rFonts w:ascii="Arial" w:hAnsi="Arial" w:cs="Arial"/>
        </w:rPr>
        <w:t>Popay, J., Roberts, H., Swoden, A, Petticrew, M., Arai, L., Rodgers, M., Britten, N., Roen, K. and Duffy, S. (2006). Guidance on the conduct of narrative synthesis in systematic reviews:</w:t>
      </w:r>
      <w:hyperlink r:id="rId61" w:history="1">
        <w:r w:rsidRPr="00194E8F">
          <w:rPr>
            <w:rStyle w:val="Hyperlink"/>
            <w:rFonts w:ascii="Arial" w:hAnsi="Arial" w:cs="Arial"/>
          </w:rPr>
          <w:t>Https://www.researchgate.net/publication/233866356_Guidance_on_the_conduct_of_narrative_synthesis_in_systematic_reviews_A_product_from_the_ESRC_Methods_Programme</w:t>
        </w:r>
      </w:hyperlink>
      <w:r>
        <w:rPr>
          <w:rFonts w:ascii="Arial" w:hAnsi="Arial" w:cs="Arial"/>
        </w:rPr>
        <w:t xml:space="preserve"> (Accessed: 10 April 2026).</w:t>
      </w:r>
    </w:p>
    <w:p w14:paraId="474468FF" w14:textId="73F21F26" w:rsidR="00954954" w:rsidRPr="008F27FD" w:rsidRDefault="00077842" w:rsidP="00494120">
      <w:pPr>
        <w:rPr>
          <w:rFonts w:ascii="Arial" w:hAnsi="Arial" w:cs="Arial"/>
        </w:rPr>
      </w:pPr>
      <w:r w:rsidRPr="008F27FD">
        <w:rPr>
          <w:rFonts w:ascii="Arial" w:hAnsi="Arial" w:cs="Arial"/>
        </w:rPr>
        <w:t xml:space="preserve">Randhawa, G. </w:t>
      </w:r>
      <w:r w:rsidR="00A9079C" w:rsidRPr="00494120">
        <w:rPr>
          <w:rFonts w:ascii="Arial" w:hAnsi="Arial" w:cs="Arial"/>
        </w:rPr>
        <w:t>(</w:t>
      </w:r>
      <w:r w:rsidRPr="008F27FD">
        <w:rPr>
          <w:rFonts w:ascii="Arial" w:hAnsi="Arial" w:cs="Arial"/>
        </w:rPr>
        <w:t>2012</w:t>
      </w:r>
      <w:r w:rsidR="00A9079C" w:rsidRPr="00494120">
        <w:rPr>
          <w:rFonts w:ascii="Arial" w:hAnsi="Arial" w:cs="Arial"/>
        </w:rPr>
        <w:t>)</w:t>
      </w:r>
      <w:r w:rsidRPr="008F27FD">
        <w:rPr>
          <w:rFonts w:ascii="Arial" w:hAnsi="Arial" w:cs="Arial"/>
        </w:rPr>
        <w:t xml:space="preserve"> “Death and organ donation: meeting the needs of multiethnic and multifaith populations,” British journal of anaesthesia </w:t>
      </w:r>
      <w:r w:rsidRPr="008F27FD">
        <w:rPr>
          <w:rFonts w:ascii="Arial" w:hAnsi="Arial" w:cs="Arial"/>
          <w:i/>
          <w:iCs/>
        </w:rPr>
        <w:t xml:space="preserve">: </w:t>
      </w:r>
      <w:r w:rsidRPr="008F27FD">
        <w:rPr>
          <w:rFonts w:ascii="Arial" w:hAnsi="Arial" w:cs="Arial"/>
        </w:rPr>
        <w:t>BJA, 108(suppl_1), pp. i88–i91. Available at:</w:t>
      </w:r>
      <w:r w:rsidRPr="00494120">
        <w:rPr>
          <w:rFonts w:ascii="Arial" w:hAnsi="Arial" w:cs="Arial"/>
        </w:rPr>
        <w:t xml:space="preserve"> </w:t>
      </w:r>
      <w:hyperlink r:id="rId62" w:history="1">
        <w:r w:rsidRPr="00494120">
          <w:rPr>
            <w:rStyle w:val="Hyperlink"/>
            <w:rFonts w:ascii="Arial" w:hAnsi="Arial" w:cs="Arial"/>
          </w:rPr>
          <w:t>https://doi.org/10.1093/bja/aer385</w:t>
        </w:r>
      </w:hyperlink>
      <w:r w:rsidRPr="00494120">
        <w:rPr>
          <w:rFonts w:ascii="Arial" w:hAnsi="Arial" w:cs="Arial"/>
        </w:rPr>
        <w:t xml:space="preserve">. </w:t>
      </w:r>
    </w:p>
    <w:p w14:paraId="1DF53C36" w14:textId="531CA40A" w:rsidR="00DE5D1D" w:rsidRPr="00DE5D1D" w:rsidRDefault="00077842" w:rsidP="00494120">
      <w:pPr>
        <w:rPr>
          <w:rFonts w:ascii="Arial" w:hAnsi="Arial" w:cs="Arial"/>
        </w:rPr>
      </w:pPr>
      <w:r w:rsidRPr="001C02FC">
        <w:rPr>
          <w:rFonts w:ascii="Arial" w:hAnsi="Arial" w:cs="Arial"/>
        </w:rPr>
        <w:t xml:space="preserve">Randhawa, G. and Gardiner, D. </w:t>
      </w:r>
      <w:r w:rsidR="00AE3578" w:rsidRPr="00494120">
        <w:rPr>
          <w:rFonts w:ascii="Arial" w:hAnsi="Arial" w:cs="Arial"/>
        </w:rPr>
        <w:t>(</w:t>
      </w:r>
      <w:r w:rsidRPr="001C02FC">
        <w:rPr>
          <w:rFonts w:ascii="Arial" w:hAnsi="Arial" w:cs="Arial"/>
        </w:rPr>
        <w:t>2022</w:t>
      </w:r>
      <w:r w:rsidR="00AE3578" w:rsidRPr="00494120">
        <w:rPr>
          <w:rFonts w:ascii="Arial" w:hAnsi="Arial" w:cs="Arial"/>
        </w:rPr>
        <w:t>)</w:t>
      </w:r>
      <w:r w:rsidR="00F72562" w:rsidRPr="00494120">
        <w:rPr>
          <w:rFonts w:ascii="Arial" w:hAnsi="Arial" w:cs="Arial"/>
        </w:rPr>
        <w:t>.</w:t>
      </w:r>
      <w:r w:rsidRPr="001C02FC">
        <w:rPr>
          <w:rFonts w:ascii="Arial" w:hAnsi="Arial" w:cs="Arial"/>
        </w:rPr>
        <w:t xml:space="preserve"> “Tackling organ donation among minority ethnic communities in the UK—a whole systems approach,” </w:t>
      </w:r>
      <w:r w:rsidRPr="001C02FC">
        <w:rPr>
          <w:rFonts w:ascii="Arial" w:hAnsi="Arial" w:cs="Arial"/>
          <w:i/>
          <w:iCs/>
        </w:rPr>
        <w:t xml:space="preserve">British </w:t>
      </w:r>
      <w:r w:rsidRPr="00494120">
        <w:rPr>
          <w:rFonts w:ascii="Arial" w:hAnsi="Arial" w:cs="Arial"/>
          <w:i/>
          <w:iCs/>
        </w:rPr>
        <w:t>Medical Bulletin</w:t>
      </w:r>
      <w:r w:rsidRPr="001C02FC">
        <w:rPr>
          <w:rFonts w:ascii="Arial" w:hAnsi="Arial" w:cs="Arial"/>
        </w:rPr>
        <w:t xml:space="preserve">, 142(1), pp. 4–14. Available at: </w:t>
      </w:r>
      <w:hyperlink r:id="rId63" w:history="1">
        <w:r w:rsidRPr="00494120">
          <w:rPr>
            <w:rStyle w:val="Hyperlink"/>
            <w:rFonts w:ascii="Arial" w:hAnsi="Arial" w:cs="Arial"/>
          </w:rPr>
          <w:t>https://doi.org/10.1093/bmb/ldac008</w:t>
        </w:r>
      </w:hyperlink>
      <w:r w:rsidRPr="00494120">
        <w:rPr>
          <w:rFonts w:ascii="Arial" w:hAnsi="Arial" w:cs="Arial"/>
        </w:rPr>
        <w:t>.</w:t>
      </w:r>
    </w:p>
    <w:p w14:paraId="3511E914" w14:textId="4CA273A5" w:rsidR="00DE5D1D" w:rsidRPr="00494120" w:rsidRDefault="00DE5D1D" w:rsidP="00494120">
      <w:pPr>
        <w:rPr>
          <w:rFonts w:ascii="Arial" w:hAnsi="Arial" w:cs="Arial"/>
        </w:rPr>
      </w:pPr>
      <w:r w:rsidRPr="00494120">
        <w:rPr>
          <w:rFonts w:ascii="Arial" w:hAnsi="Arial" w:cs="Arial"/>
        </w:rPr>
        <w:t xml:space="preserve">Randhawa, G. and Neuberger, J. (2016) “Role of Religion in Organ Donation—Development of the United Kingdom Faith and Organ Donation Action Plan,” Transplantation proceedings, 48(3), pp. 689–694. Available at: </w:t>
      </w:r>
      <w:r w:rsidR="008D3E2A" w:rsidRPr="00494120">
        <w:rPr>
          <w:rFonts w:ascii="Arial" w:hAnsi="Arial" w:cs="Arial"/>
        </w:rPr>
        <w:t xml:space="preserve"> </w:t>
      </w:r>
      <w:hyperlink r:id="rId64" w:history="1">
        <w:r w:rsidR="008D3E2A" w:rsidRPr="00494120">
          <w:rPr>
            <w:rStyle w:val="Hyperlink"/>
            <w:rFonts w:ascii="Arial" w:hAnsi="Arial" w:cs="Arial"/>
          </w:rPr>
          <w:t>https://doi.org/10.1016/j.transproceed.2015.10.074</w:t>
        </w:r>
      </w:hyperlink>
      <w:r w:rsidRPr="00494120">
        <w:rPr>
          <w:rFonts w:ascii="Arial" w:hAnsi="Arial" w:cs="Arial"/>
        </w:rPr>
        <w:t>.</w:t>
      </w:r>
      <w:r w:rsidR="008D3E2A" w:rsidRPr="00494120">
        <w:rPr>
          <w:rFonts w:ascii="Arial" w:hAnsi="Arial" w:cs="Arial"/>
        </w:rPr>
        <w:t xml:space="preserve"> </w:t>
      </w:r>
    </w:p>
    <w:p w14:paraId="1230DCC7" w14:textId="1FA529D5" w:rsidR="00F50341" w:rsidRPr="00494120" w:rsidRDefault="00077842" w:rsidP="00494120">
      <w:pPr>
        <w:rPr>
          <w:rFonts w:ascii="Arial" w:hAnsi="Arial" w:cs="Arial"/>
        </w:rPr>
      </w:pPr>
      <w:r w:rsidRPr="00494120">
        <w:rPr>
          <w:rFonts w:ascii="Arial" w:hAnsi="Arial" w:cs="Arial"/>
        </w:rPr>
        <w:t>Research Reports on Health and Medicine from Deakin University Provide New Insights (Prevention of Trafficking in Organs, Tissues, and Cells) </w:t>
      </w:r>
      <w:r w:rsidR="00AE3578" w:rsidRPr="00494120">
        <w:rPr>
          <w:rFonts w:ascii="Arial" w:hAnsi="Arial" w:cs="Arial"/>
        </w:rPr>
        <w:t>(</w:t>
      </w:r>
      <w:r w:rsidRPr="00494120">
        <w:rPr>
          <w:rFonts w:ascii="Arial" w:hAnsi="Arial" w:cs="Arial"/>
        </w:rPr>
        <w:t>2024</w:t>
      </w:r>
      <w:r w:rsidR="00AE3578" w:rsidRPr="00494120">
        <w:rPr>
          <w:rFonts w:ascii="Arial" w:hAnsi="Arial" w:cs="Arial"/>
        </w:rPr>
        <w:t>)</w:t>
      </w:r>
      <w:r w:rsidR="00AF7E2D" w:rsidRPr="00494120">
        <w:rPr>
          <w:rFonts w:ascii="Arial" w:hAnsi="Arial" w:cs="Arial"/>
        </w:rPr>
        <w:t>.</w:t>
      </w:r>
      <w:r w:rsidRPr="00494120">
        <w:rPr>
          <w:rFonts w:ascii="Arial" w:hAnsi="Arial" w:cs="Arial"/>
        </w:rPr>
        <w:t> Health &amp; Medicine Week. NewsRX LLC, p. 5372.</w:t>
      </w:r>
      <w:r w:rsidR="00116DC3" w:rsidRPr="00494120">
        <w:rPr>
          <w:rFonts w:ascii="Arial" w:hAnsi="Arial" w:cs="Arial"/>
        </w:rPr>
        <w:t xml:space="preserve">  </w:t>
      </w:r>
    </w:p>
    <w:p w14:paraId="562B65CC" w14:textId="487CEAA2" w:rsidR="00077842" w:rsidRPr="00494120" w:rsidRDefault="00077842" w:rsidP="00494120">
      <w:pPr>
        <w:rPr>
          <w:rFonts w:ascii="Arial" w:hAnsi="Arial" w:cs="Arial"/>
        </w:rPr>
      </w:pPr>
      <w:r w:rsidRPr="00494120">
        <w:rPr>
          <w:rFonts w:ascii="Arial" w:hAnsi="Arial" w:cs="Arial"/>
          <w:lang w:val="nl-NL"/>
        </w:rPr>
        <w:t xml:space="preserve">Ronzi, S., Gravenhorst, K., Rinaldi, C., et al. </w:t>
      </w:r>
      <w:r w:rsidR="003C11CA" w:rsidRPr="004A60E1">
        <w:rPr>
          <w:rFonts w:ascii="Arial" w:hAnsi="Arial" w:cs="Arial"/>
        </w:rPr>
        <w:t>(</w:t>
      </w:r>
      <w:r w:rsidRPr="004A60E1">
        <w:rPr>
          <w:rFonts w:ascii="Arial" w:hAnsi="Arial" w:cs="Arial"/>
        </w:rPr>
        <w:t>2023</w:t>
      </w:r>
      <w:r w:rsidR="003C11CA" w:rsidRPr="004A60E1">
        <w:rPr>
          <w:rFonts w:ascii="Arial" w:hAnsi="Arial" w:cs="Arial"/>
        </w:rPr>
        <w:t>)</w:t>
      </w:r>
      <w:r w:rsidR="00F72562" w:rsidRPr="004A60E1">
        <w:rPr>
          <w:rFonts w:ascii="Arial" w:hAnsi="Arial" w:cs="Arial"/>
        </w:rPr>
        <w:t>.</w:t>
      </w:r>
      <w:r w:rsidRPr="004A60E1">
        <w:rPr>
          <w:rFonts w:ascii="Arial" w:hAnsi="Arial" w:cs="Arial"/>
        </w:rPr>
        <w:t xml:space="preserve"> </w:t>
      </w:r>
      <w:r w:rsidRPr="00494120">
        <w:rPr>
          <w:rFonts w:ascii="Arial" w:hAnsi="Arial" w:cs="Arial"/>
        </w:rPr>
        <w:t xml:space="preserve">‘Intersectionality and public understandings of health inequity in England’, </w:t>
      </w:r>
      <w:r w:rsidRPr="00494120">
        <w:rPr>
          <w:rFonts w:ascii="Arial" w:hAnsi="Arial" w:cs="Arial"/>
          <w:i/>
          <w:iCs/>
        </w:rPr>
        <w:t>Public Health</w:t>
      </w:r>
      <w:r w:rsidRPr="00494120">
        <w:rPr>
          <w:rFonts w:ascii="Arial" w:hAnsi="Arial" w:cs="Arial"/>
        </w:rPr>
        <w:t xml:space="preserve">, 222, 147–153. Open access. </w:t>
      </w:r>
      <w:hyperlink r:id="rId65" w:history="1">
        <w:r w:rsidRPr="00494120">
          <w:rPr>
            <w:rStyle w:val="Hyperlink"/>
            <w:rFonts w:ascii="Arial" w:hAnsi="Arial" w:cs="Arial"/>
          </w:rPr>
          <w:t>(eprints.wh...rose.ac.uk)</w:t>
        </w:r>
      </w:hyperlink>
      <w:r w:rsidRPr="00494120">
        <w:rPr>
          <w:rFonts w:ascii="Arial" w:hAnsi="Arial" w:cs="Arial"/>
        </w:rPr>
        <w:t xml:space="preserve">  </w:t>
      </w:r>
    </w:p>
    <w:p w14:paraId="59ED2E55" w14:textId="6855FFED" w:rsidR="00077842" w:rsidRPr="00494120" w:rsidRDefault="00077842" w:rsidP="00494120">
      <w:pPr>
        <w:rPr>
          <w:rFonts w:ascii="Arial" w:hAnsi="Arial" w:cs="Arial"/>
        </w:rPr>
      </w:pPr>
      <w:r w:rsidRPr="00C0698A">
        <w:rPr>
          <w:rFonts w:ascii="Arial" w:hAnsi="Arial" w:cs="Arial"/>
        </w:rPr>
        <w:t xml:space="preserve">Rosenstock, I.M., Strecher, V.J. and Becker, M.H. </w:t>
      </w:r>
      <w:r w:rsidR="00F41B64" w:rsidRPr="00494120">
        <w:rPr>
          <w:rFonts w:ascii="Arial" w:hAnsi="Arial" w:cs="Arial"/>
        </w:rPr>
        <w:t>(</w:t>
      </w:r>
      <w:r w:rsidRPr="00C0698A">
        <w:rPr>
          <w:rFonts w:ascii="Arial" w:hAnsi="Arial" w:cs="Arial"/>
        </w:rPr>
        <w:t>1988</w:t>
      </w:r>
      <w:r w:rsidR="00F41B64" w:rsidRPr="00494120">
        <w:rPr>
          <w:rFonts w:ascii="Arial" w:hAnsi="Arial" w:cs="Arial"/>
        </w:rPr>
        <w:t>)</w:t>
      </w:r>
      <w:r w:rsidRPr="00C0698A">
        <w:rPr>
          <w:rFonts w:ascii="Arial" w:hAnsi="Arial" w:cs="Arial"/>
        </w:rPr>
        <w:t xml:space="preserve"> “Social Learning Theory and the Health Belief Model,” </w:t>
      </w:r>
      <w:r w:rsidRPr="00C0698A">
        <w:rPr>
          <w:rFonts w:ascii="Arial" w:hAnsi="Arial" w:cs="Arial"/>
          <w:i/>
          <w:iCs/>
        </w:rPr>
        <w:t xml:space="preserve">Health education &amp; </w:t>
      </w:r>
      <w:r w:rsidRPr="00494120">
        <w:rPr>
          <w:rFonts w:ascii="Arial" w:hAnsi="Arial" w:cs="Arial"/>
          <w:i/>
          <w:iCs/>
        </w:rPr>
        <w:t>behavior</w:t>
      </w:r>
      <w:r w:rsidRPr="00C0698A">
        <w:rPr>
          <w:rFonts w:ascii="Arial" w:hAnsi="Arial" w:cs="Arial"/>
        </w:rPr>
        <w:t xml:space="preserve">, 15(2), pp. 175–183. Available at: </w:t>
      </w:r>
      <w:hyperlink r:id="rId66" w:history="1">
        <w:r w:rsidRPr="00494120">
          <w:rPr>
            <w:rStyle w:val="Hyperlink"/>
            <w:rFonts w:ascii="Arial" w:hAnsi="Arial" w:cs="Arial"/>
          </w:rPr>
          <w:t>https://doi.org/10.1177/109019818801500203</w:t>
        </w:r>
      </w:hyperlink>
      <w:r w:rsidRPr="00494120">
        <w:rPr>
          <w:rFonts w:ascii="Arial" w:hAnsi="Arial" w:cs="Arial"/>
        </w:rPr>
        <w:t>. (Accessed  4 April 2026)</w:t>
      </w:r>
    </w:p>
    <w:p w14:paraId="037F5809" w14:textId="5ECB4E1A" w:rsidR="00CD714C" w:rsidRPr="00C0698A" w:rsidRDefault="00EF3A55" w:rsidP="00494120">
      <w:pPr>
        <w:rPr>
          <w:rFonts w:ascii="Arial" w:hAnsi="Arial" w:cs="Arial"/>
        </w:rPr>
      </w:pPr>
      <w:r w:rsidRPr="00494120">
        <w:rPr>
          <w:rFonts w:ascii="Arial" w:hAnsi="Arial" w:cs="Arial"/>
        </w:rPr>
        <w:t>Salve S, Raven</w:t>
      </w:r>
      <w:r w:rsidR="00162499" w:rsidRPr="00494120">
        <w:rPr>
          <w:rFonts w:ascii="Arial" w:hAnsi="Arial" w:cs="Arial"/>
        </w:rPr>
        <w:t xml:space="preserve"> J, Das P</w:t>
      </w:r>
      <w:r w:rsidR="00170DEF" w:rsidRPr="00494120">
        <w:rPr>
          <w:rFonts w:ascii="Arial" w:hAnsi="Arial" w:cs="Arial"/>
        </w:rPr>
        <w:t>.,</w:t>
      </w:r>
      <w:r w:rsidR="00255A79" w:rsidRPr="00494120">
        <w:rPr>
          <w:rFonts w:ascii="Arial" w:hAnsi="Arial" w:cs="Arial"/>
        </w:rPr>
        <w:t xml:space="preserve"> Sr</w:t>
      </w:r>
      <w:r w:rsidR="00183841" w:rsidRPr="00494120">
        <w:rPr>
          <w:rFonts w:ascii="Arial" w:hAnsi="Arial" w:cs="Arial"/>
        </w:rPr>
        <w:t>in</w:t>
      </w:r>
      <w:r w:rsidR="00614950" w:rsidRPr="00494120">
        <w:rPr>
          <w:rFonts w:ascii="Arial" w:hAnsi="Arial" w:cs="Arial"/>
        </w:rPr>
        <w:t>i</w:t>
      </w:r>
      <w:r w:rsidR="00486936" w:rsidRPr="00494120">
        <w:rPr>
          <w:rFonts w:ascii="Arial" w:hAnsi="Arial" w:cs="Arial"/>
        </w:rPr>
        <w:t>vasan</w:t>
      </w:r>
      <w:r w:rsidR="00171B14" w:rsidRPr="00494120">
        <w:rPr>
          <w:rFonts w:ascii="Arial" w:hAnsi="Arial" w:cs="Arial"/>
        </w:rPr>
        <w:t xml:space="preserve">, </w:t>
      </w:r>
      <w:r w:rsidR="005B3CB9" w:rsidRPr="00494120">
        <w:rPr>
          <w:rFonts w:ascii="Arial" w:hAnsi="Arial" w:cs="Arial"/>
        </w:rPr>
        <w:t>S</w:t>
      </w:r>
      <w:r w:rsidR="0096034D" w:rsidRPr="00494120">
        <w:rPr>
          <w:rFonts w:ascii="Arial" w:hAnsi="Arial" w:cs="Arial"/>
        </w:rPr>
        <w:t>.</w:t>
      </w:r>
      <w:r w:rsidR="00C83E13" w:rsidRPr="00494120">
        <w:rPr>
          <w:rFonts w:ascii="Arial" w:hAnsi="Arial" w:cs="Arial"/>
        </w:rPr>
        <w:t xml:space="preserve"> Khalid,</w:t>
      </w:r>
      <w:r w:rsidR="0023726A" w:rsidRPr="00494120">
        <w:rPr>
          <w:rFonts w:ascii="Arial" w:hAnsi="Arial" w:cs="Arial"/>
        </w:rPr>
        <w:t>A</w:t>
      </w:r>
      <w:r w:rsidR="009B4A9C" w:rsidRPr="00494120">
        <w:rPr>
          <w:rFonts w:ascii="Arial" w:hAnsi="Arial" w:cs="Arial"/>
        </w:rPr>
        <w:t>.</w:t>
      </w:r>
      <w:r w:rsidR="002D790E" w:rsidRPr="00494120">
        <w:rPr>
          <w:rFonts w:ascii="Arial" w:hAnsi="Arial" w:cs="Arial"/>
        </w:rPr>
        <w:t>,</w:t>
      </w:r>
      <w:r w:rsidR="00C83E13" w:rsidRPr="00494120">
        <w:rPr>
          <w:rFonts w:ascii="Arial" w:hAnsi="Arial" w:cs="Arial"/>
        </w:rPr>
        <w:t>Hayee</w:t>
      </w:r>
      <w:r w:rsidR="00C84242" w:rsidRPr="00494120">
        <w:rPr>
          <w:rFonts w:ascii="Arial" w:hAnsi="Arial" w:cs="Arial"/>
        </w:rPr>
        <w:t>,</w:t>
      </w:r>
      <w:r w:rsidR="003414BF" w:rsidRPr="00494120">
        <w:rPr>
          <w:rFonts w:ascii="Arial" w:hAnsi="Arial" w:cs="Arial"/>
        </w:rPr>
        <w:t xml:space="preserve"> </w:t>
      </w:r>
      <w:r w:rsidR="003300C1" w:rsidRPr="00494120">
        <w:rPr>
          <w:rFonts w:ascii="Arial" w:hAnsi="Arial" w:cs="Arial"/>
        </w:rPr>
        <w:t>M</w:t>
      </w:r>
      <w:r w:rsidR="00683E7D" w:rsidRPr="00494120">
        <w:rPr>
          <w:rFonts w:ascii="Arial" w:hAnsi="Arial" w:cs="Arial"/>
        </w:rPr>
        <w:t>., Olisen</w:t>
      </w:r>
      <w:r w:rsidR="008B3033" w:rsidRPr="00494120">
        <w:rPr>
          <w:rFonts w:ascii="Arial" w:hAnsi="Arial" w:cs="Arial"/>
        </w:rPr>
        <w:t>e</w:t>
      </w:r>
      <w:r w:rsidR="001124E1" w:rsidRPr="00494120">
        <w:rPr>
          <w:rFonts w:ascii="Arial" w:hAnsi="Arial" w:cs="Arial"/>
        </w:rPr>
        <w:t>kw</w:t>
      </w:r>
      <w:r w:rsidR="00A95899" w:rsidRPr="00494120">
        <w:rPr>
          <w:rFonts w:ascii="Arial" w:hAnsi="Arial" w:cs="Arial"/>
        </w:rPr>
        <w:t>u</w:t>
      </w:r>
      <w:r w:rsidR="00E353C3" w:rsidRPr="00494120">
        <w:rPr>
          <w:rFonts w:ascii="Arial" w:hAnsi="Arial" w:cs="Arial"/>
        </w:rPr>
        <w:t>,</w:t>
      </w:r>
      <w:r w:rsidR="00185B6E" w:rsidRPr="00494120">
        <w:rPr>
          <w:rFonts w:ascii="Arial" w:hAnsi="Arial" w:cs="Arial"/>
        </w:rPr>
        <w:t xml:space="preserve"> </w:t>
      </w:r>
      <w:r w:rsidR="002E2F33" w:rsidRPr="00494120">
        <w:rPr>
          <w:rFonts w:ascii="Arial" w:hAnsi="Arial" w:cs="Arial"/>
        </w:rPr>
        <w:t>G</w:t>
      </w:r>
      <w:r w:rsidR="001923AE" w:rsidRPr="00494120">
        <w:rPr>
          <w:rFonts w:ascii="Arial" w:hAnsi="Arial" w:cs="Arial"/>
        </w:rPr>
        <w:t>. and Gooding</w:t>
      </w:r>
      <w:r w:rsidR="00140D4C" w:rsidRPr="00494120">
        <w:rPr>
          <w:rFonts w:ascii="Arial" w:hAnsi="Arial" w:cs="Arial"/>
        </w:rPr>
        <w:t xml:space="preserve">, K., </w:t>
      </w:r>
      <w:r w:rsidR="003C11CA" w:rsidRPr="00494120">
        <w:rPr>
          <w:rFonts w:ascii="Arial" w:hAnsi="Arial" w:cs="Arial"/>
        </w:rPr>
        <w:t>(</w:t>
      </w:r>
      <w:r w:rsidR="00140D4C" w:rsidRPr="00494120">
        <w:rPr>
          <w:rFonts w:ascii="Arial" w:hAnsi="Arial" w:cs="Arial"/>
        </w:rPr>
        <w:t>2023</w:t>
      </w:r>
      <w:r w:rsidR="003C11CA" w:rsidRPr="00494120">
        <w:rPr>
          <w:rFonts w:ascii="Arial" w:hAnsi="Arial" w:cs="Arial"/>
        </w:rPr>
        <w:t>)</w:t>
      </w:r>
      <w:r w:rsidR="00140D4C" w:rsidRPr="00494120">
        <w:rPr>
          <w:rFonts w:ascii="Arial" w:hAnsi="Arial" w:cs="Arial"/>
        </w:rPr>
        <w:t>.</w:t>
      </w:r>
      <w:r w:rsidR="00BA3337" w:rsidRPr="00494120">
        <w:rPr>
          <w:rFonts w:ascii="Arial" w:hAnsi="Arial" w:cs="Arial"/>
        </w:rPr>
        <w:t xml:space="preserve"> </w:t>
      </w:r>
      <w:r w:rsidR="00617BBA" w:rsidRPr="00494120">
        <w:rPr>
          <w:rFonts w:ascii="Arial" w:hAnsi="Arial" w:cs="Arial"/>
        </w:rPr>
        <w:t>C</w:t>
      </w:r>
      <w:r w:rsidR="00BA3337" w:rsidRPr="00494120">
        <w:rPr>
          <w:rFonts w:ascii="Arial" w:hAnsi="Arial" w:cs="Arial"/>
        </w:rPr>
        <w:t>ommunity</w:t>
      </w:r>
      <w:r w:rsidR="00617BBA" w:rsidRPr="00494120">
        <w:rPr>
          <w:rFonts w:ascii="Arial" w:hAnsi="Arial" w:cs="Arial"/>
        </w:rPr>
        <w:t xml:space="preserve"> </w:t>
      </w:r>
      <w:r w:rsidR="00A660E9" w:rsidRPr="00494120">
        <w:rPr>
          <w:rFonts w:ascii="Arial" w:hAnsi="Arial" w:cs="Arial"/>
        </w:rPr>
        <w:t>health workers</w:t>
      </w:r>
      <w:r w:rsidR="00256BD7" w:rsidRPr="00494120">
        <w:rPr>
          <w:rFonts w:ascii="Arial" w:hAnsi="Arial" w:cs="Arial"/>
        </w:rPr>
        <w:t xml:space="preserve"> and Covid-19</w:t>
      </w:r>
      <w:r w:rsidR="00FC6228" w:rsidRPr="00494120">
        <w:rPr>
          <w:rFonts w:ascii="Arial" w:hAnsi="Arial" w:cs="Arial"/>
        </w:rPr>
        <w:t>: cross</w:t>
      </w:r>
      <w:r w:rsidR="0052093C" w:rsidRPr="00494120">
        <w:rPr>
          <w:rFonts w:ascii="Arial" w:hAnsi="Arial" w:cs="Arial"/>
        </w:rPr>
        <w:t>-country</w:t>
      </w:r>
      <w:r w:rsidR="00715022" w:rsidRPr="00494120">
        <w:rPr>
          <w:rFonts w:ascii="Arial" w:hAnsi="Arial" w:cs="Arial"/>
        </w:rPr>
        <w:t xml:space="preserve"> evidence on their roles</w:t>
      </w:r>
      <w:r w:rsidR="00D578C9" w:rsidRPr="00494120">
        <w:rPr>
          <w:rFonts w:ascii="Arial" w:hAnsi="Arial" w:cs="Arial"/>
        </w:rPr>
        <w:t>, experiences</w:t>
      </w:r>
      <w:r w:rsidR="00B14DE2" w:rsidRPr="00494120">
        <w:rPr>
          <w:rFonts w:ascii="Arial" w:hAnsi="Arial" w:cs="Arial"/>
        </w:rPr>
        <w:t>, challenges and adaptive</w:t>
      </w:r>
      <w:r w:rsidR="00146F97" w:rsidRPr="00494120">
        <w:rPr>
          <w:rFonts w:ascii="Arial" w:hAnsi="Arial" w:cs="Arial"/>
        </w:rPr>
        <w:t xml:space="preserve"> strateg</w:t>
      </w:r>
      <w:r w:rsidR="002E1D79" w:rsidRPr="00494120">
        <w:rPr>
          <w:rFonts w:ascii="Arial" w:hAnsi="Arial" w:cs="Arial"/>
        </w:rPr>
        <w:t>ies</w:t>
      </w:r>
      <w:r w:rsidR="00C346C5" w:rsidRPr="00494120">
        <w:rPr>
          <w:rFonts w:ascii="Arial" w:hAnsi="Arial" w:cs="Arial"/>
        </w:rPr>
        <w:t>. PLO</w:t>
      </w:r>
      <w:r w:rsidR="00C11B36" w:rsidRPr="00494120">
        <w:rPr>
          <w:rFonts w:ascii="Arial" w:hAnsi="Arial" w:cs="Arial"/>
        </w:rPr>
        <w:t>S Glob Public Health 202</w:t>
      </w:r>
      <w:r w:rsidR="004259F4" w:rsidRPr="00494120">
        <w:rPr>
          <w:rFonts w:ascii="Arial" w:hAnsi="Arial" w:cs="Arial"/>
        </w:rPr>
        <w:t>3,3</w:t>
      </w:r>
      <w:r w:rsidR="00333A01" w:rsidRPr="00494120">
        <w:rPr>
          <w:rFonts w:ascii="Arial" w:hAnsi="Arial" w:cs="Arial"/>
        </w:rPr>
        <w:t xml:space="preserve"> (1)</w:t>
      </w:r>
      <w:r w:rsidR="000E0EA0" w:rsidRPr="00494120">
        <w:rPr>
          <w:rFonts w:ascii="Arial" w:hAnsi="Arial" w:cs="Arial"/>
        </w:rPr>
        <w:t>,</w:t>
      </w:r>
      <w:r w:rsidR="00183AEE" w:rsidRPr="00494120">
        <w:rPr>
          <w:rFonts w:ascii="Arial" w:hAnsi="Arial" w:cs="Arial"/>
        </w:rPr>
        <w:t xml:space="preserve"> p.</w:t>
      </w:r>
      <w:r w:rsidR="00D8432B" w:rsidRPr="00494120">
        <w:rPr>
          <w:rFonts w:ascii="Arial" w:hAnsi="Arial" w:cs="Arial"/>
        </w:rPr>
        <w:t>e</w:t>
      </w:r>
      <w:r w:rsidR="00D42A6E" w:rsidRPr="00494120">
        <w:rPr>
          <w:rFonts w:ascii="Arial" w:hAnsi="Arial" w:cs="Arial"/>
        </w:rPr>
        <w:t>0001447</w:t>
      </w:r>
      <w:r w:rsidR="002730AF" w:rsidRPr="00494120">
        <w:rPr>
          <w:rFonts w:ascii="Arial" w:hAnsi="Arial" w:cs="Arial"/>
        </w:rPr>
        <w:t>.</w:t>
      </w:r>
      <w:r w:rsidR="002B638A">
        <w:rPr>
          <w:rFonts w:ascii="Arial" w:hAnsi="Arial" w:cs="Arial"/>
        </w:rPr>
        <w:t xml:space="preserve"> (Accessed</w:t>
      </w:r>
      <w:r w:rsidR="0038362B">
        <w:rPr>
          <w:rFonts w:ascii="Arial" w:hAnsi="Arial" w:cs="Arial"/>
        </w:rPr>
        <w:t>: 10 April)</w:t>
      </w:r>
      <w:r w:rsidR="00BA3337" w:rsidRPr="00494120">
        <w:rPr>
          <w:rFonts w:ascii="Arial" w:hAnsi="Arial" w:cs="Arial"/>
        </w:rPr>
        <w:t xml:space="preserve">  </w:t>
      </w:r>
    </w:p>
    <w:p w14:paraId="7B1749F1" w14:textId="51A4E284" w:rsidR="00077842" w:rsidRPr="00494120" w:rsidRDefault="00077842" w:rsidP="00494120">
      <w:pPr>
        <w:rPr>
          <w:rFonts w:ascii="Arial" w:hAnsi="Arial" w:cs="Arial"/>
        </w:rPr>
      </w:pPr>
      <w:r w:rsidRPr="00494120">
        <w:rPr>
          <w:rFonts w:ascii="Arial" w:hAnsi="Arial" w:cs="Arial"/>
        </w:rPr>
        <w:t xml:space="preserve">Salway, S. and Barley, R. </w:t>
      </w:r>
      <w:r w:rsidR="003C11CA" w:rsidRPr="00494120">
        <w:rPr>
          <w:rFonts w:ascii="Arial" w:hAnsi="Arial" w:cs="Arial"/>
        </w:rPr>
        <w:t>(</w:t>
      </w:r>
      <w:r w:rsidRPr="00494120">
        <w:rPr>
          <w:rFonts w:ascii="Arial" w:hAnsi="Arial" w:cs="Arial"/>
        </w:rPr>
        <w:t>2020</w:t>
      </w:r>
      <w:r w:rsidR="003C11CA" w:rsidRPr="00494120">
        <w:rPr>
          <w:rFonts w:ascii="Arial" w:hAnsi="Arial" w:cs="Arial"/>
        </w:rPr>
        <w:t>)</w:t>
      </w:r>
      <w:r w:rsidRPr="00494120">
        <w:rPr>
          <w:rFonts w:ascii="Arial" w:hAnsi="Arial" w:cs="Arial"/>
        </w:rPr>
        <w:t xml:space="preserve"> 'Tackling ethnic health inequalities: the role of evidence and policy', The BMJ, 370. Available at: </w:t>
      </w:r>
      <w:hyperlink r:id="rId67" w:history="1">
        <w:r w:rsidRPr="00494120">
          <w:rPr>
            <w:rStyle w:val="Hyperlink"/>
            <w:rFonts w:ascii="Arial" w:hAnsi="Arial" w:cs="Arial"/>
          </w:rPr>
          <w:t>https://spiral.imperial.ac.uk/bitstreams/0a79a54d-ec2d-4174-afd1-dddcd3e1e07e/download</w:t>
        </w:r>
      </w:hyperlink>
      <w:r w:rsidRPr="00494120">
        <w:rPr>
          <w:rFonts w:ascii="Arial" w:hAnsi="Arial" w:cs="Arial"/>
        </w:rPr>
        <w:t xml:space="preserve">  (Accessed: 18 January 2026).</w:t>
      </w:r>
    </w:p>
    <w:p w14:paraId="477CA54D" w14:textId="5C5EC423" w:rsidR="00077842" w:rsidRPr="00494120" w:rsidRDefault="00077842" w:rsidP="00494120">
      <w:pPr>
        <w:rPr>
          <w:rFonts w:ascii="Arial" w:hAnsi="Arial" w:cs="Arial"/>
        </w:rPr>
      </w:pPr>
      <w:r w:rsidRPr="00FF7594">
        <w:rPr>
          <w:rFonts w:ascii="Arial" w:hAnsi="Arial" w:cs="Arial"/>
        </w:rPr>
        <w:t xml:space="preserve">Santiago Vispo, N. </w:t>
      </w:r>
      <w:r w:rsidR="00205C91" w:rsidRPr="00494120">
        <w:rPr>
          <w:rFonts w:ascii="Arial" w:hAnsi="Arial" w:cs="Arial"/>
        </w:rPr>
        <w:t>(</w:t>
      </w:r>
      <w:r w:rsidRPr="00FF7594">
        <w:rPr>
          <w:rFonts w:ascii="Arial" w:hAnsi="Arial" w:cs="Arial"/>
        </w:rPr>
        <w:t>2025</w:t>
      </w:r>
      <w:r w:rsidR="00205C91" w:rsidRPr="00494120">
        <w:rPr>
          <w:rFonts w:ascii="Arial" w:hAnsi="Arial" w:cs="Arial"/>
        </w:rPr>
        <w:t>)</w:t>
      </w:r>
      <w:r w:rsidRPr="00FF7594">
        <w:rPr>
          <w:rFonts w:ascii="Arial" w:hAnsi="Arial" w:cs="Arial"/>
        </w:rPr>
        <w:t xml:space="preserve"> “Pioneering the Future of Organ Transplantation: Lessons from the Spanish Model,” </w:t>
      </w:r>
      <w:r w:rsidRPr="00FF7594">
        <w:rPr>
          <w:rFonts w:ascii="Arial" w:hAnsi="Arial" w:cs="Arial"/>
          <w:i/>
          <w:iCs/>
        </w:rPr>
        <w:t>BioNatura Journal: Ibero-American Journal of Biotechnology and Life Sciences</w:t>
      </w:r>
      <w:r w:rsidRPr="00FF7594">
        <w:rPr>
          <w:rFonts w:ascii="Arial" w:hAnsi="Arial" w:cs="Arial"/>
        </w:rPr>
        <w:t xml:space="preserve">, 2(1), p. 5. Available at: </w:t>
      </w:r>
      <w:hyperlink r:id="rId68" w:history="1">
        <w:r w:rsidRPr="00494120">
          <w:rPr>
            <w:rStyle w:val="Hyperlink"/>
            <w:rFonts w:ascii="Arial" w:hAnsi="Arial" w:cs="Arial"/>
          </w:rPr>
          <w:t>https://doi.org/10.70099/BJ/2025.02.01.1</w:t>
        </w:r>
      </w:hyperlink>
      <w:r w:rsidRPr="00494120">
        <w:rPr>
          <w:rFonts w:ascii="Arial" w:hAnsi="Arial" w:cs="Arial"/>
        </w:rPr>
        <w:t>. (Accessed 4 April 2026)</w:t>
      </w:r>
    </w:p>
    <w:p w14:paraId="13DE5377" w14:textId="458F78C7" w:rsidR="00077842" w:rsidRPr="00494120" w:rsidRDefault="00077842" w:rsidP="00494120">
      <w:pPr>
        <w:rPr>
          <w:rFonts w:ascii="Arial" w:hAnsi="Arial" w:cs="Arial"/>
        </w:rPr>
      </w:pPr>
      <w:r w:rsidRPr="00494120">
        <w:rPr>
          <w:rFonts w:ascii="Arial" w:hAnsi="Arial" w:cs="Arial"/>
        </w:rPr>
        <w:t xml:space="preserve">Siminoff, L.A. and Saunders-Sturm, C. </w:t>
      </w:r>
      <w:r w:rsidR="001073C7" w:rsidRPr="00494120">
        <w:rPr>
          <w:rFonts w:ascii="Arial" w:hAnsi="Arial" w:cs="Arial"/>
        </w:rPr>
        <w:t>(</w:t>
      </w:r>
      <w:r w:rsidRPr="00494120">
        <w:rPr>
          <w:rFonts w:ascii="Arial" w:hAnsi="Arial" w:cs="Arial"/>
        </w:rPr>
        <w:t>2021</w:t>
      </w:r>
      <w:r w:rsidR="001073C7" w:rsidRPr="00494120">
        <w:rPr>
          <w:rFonts w:ascii="Arial" w:hAnsi="Arial" w:cs="Arial"/>
        </w:rPr>
        <w:t>)</w:t>
      </w:r>
      <w:r w:rsidRPr="00494120">
        <w:rPr>
          <w:rFonts w:ascii="Arial" w:hAnsi="Arial" w:cs="Arial"/>
        </w:rPr>
        <w:t xml:space="preserve"> 'Disparities in deceased organ donor research authorisation: Experience at one organ procurement organisation', Transplant International, 34(9), pp. 1656–1665. Available at: </w:t>
      </w:r>
      <w:hyperlink r:id="rId69" w:history="1">
        <w:r w:rsidRPr="00494120">
          <w:rPr>
            <w:rStyle w:val="Hyperlink"/>
            <w:rFonts w:ascii="Arial" w:hAnsi="Arial" w:cs="Arial"/>
          </w:rPr>
          <w:t>https://pmc.ncbi.nlm.nih.gov/articles/PMC8419125/</w:t>
        </w:r>
      </w:hyperlink>
      <w:r w:rsidRPr="00494120">
        <w:rPr>
          <w:rFonts w:ascii="Arial" w:hAnsi="Arial" w:cs="Arial"/>
        </w:rPr>
        <w:t xml:space="preserve">  (Accessed: 22 January 2026). </w:t>
      </w:r>
    </w:p>
    <w:p w14:paraId="5334C390" w14:textId="51489B49" w:rsidR="00077842" w:rsidRPr="00494120" w:rsidRDefault="00077842" w:rsidP="00494120">
      <w:pPr>
        <w:rPr>
          <w:rFonts w:ascii="Arial" w:hAnsi="Arial" w:cs="Arial"/>
        </w:rPr>
      </w:pPr>
      <w:r w:rsidRPr="00B724F9">
        <w:rPr>
          <w:rFonts w:ascii="Arial" w:hAnsi="Arial" w:cs="Arial"/>
          <w:lang w:val="nl-NL"/>
        </w:rPr>
        <w:t xml:space="preserve">Stanworth, S.J., et al. </w:t>
      </w:r>
      <w:r w:rsidR="00205C91" w:rsidRPr="00494120">
        <w:rPr>
          <w:rFonts w:ascii="Arial" w:hAnsi="Arial" w:cs="Arial"/>
        </w:rPr>
        <w:t>(</w:t>
      </w:r>
      <w:r w:rsidRPr="000F5905">
        <w:rPr>
          <w:rFonts w:ascii="Arial" w:hAnsi="Arial" w:cs="Arial"/>
        </w:rPr>
        <w:t>2020</w:t>
      </w:r>
      <w:r w:rsidR="00205C91" w:rsidRPr="00494120">
        <w:rPr>
          <w:rFonts w:ascii="Arial" w:hAnsi="Arial" w:cs="Arial"/>
        </w:rPr>
        <w:t xml:space="preserve">) </w:t>
      </w:r>
      <w:r w:rsidRPr="000F5905">
        <w:rPr>
          <w:rFonts w:ascii="Arial" w:hAnsi="Arial" w:cs="Arial"/>
        </w:rPr>
        <w:t>'Effects of the COVID-19 Pandemic on Supply and Use of Blood for Transfusion', The Lancet Haematology, 7(10), pp. e756–e764.</w:t>
      </w:r>
      <w:r w:rsidRPr="00494120">
        <w:rPr>
          <w:rFonts w:ascii="Arial" w:hAnsi="Arial" w:cs="Arial"/>
        </w:rPr>
        <w:t xml:space="preserve">  </w:t>
      </w:r>
      <w:hyperlink r:id="rId70" w:history="1">
        <w:r w:rsidRPr="00494120">
          <w:rPr>
            <w:rStyle w:val="Hyperlink"/>
            <w:rFonts w:ascii="Arial" w:hAnsi="Arial" w:cs="Arial"/>
          </w:rPr>
          <w:t>https://www.ovid.com/journals/ojdd/pdf/10.1177/00302228231183191</w:t>
        </w:r>
      </w:hyperlink>
      <w:r w:rsidRPr="00494120">
        <w:rPr>
          <w:rFonts w:ascii="Arial" w:hAnsi="Arial" w:cs="Arial"/>
        </w:rPr>
        <w:t xml:space="preserve">  (Accessed 29 January 2026).  </w:t>
      </w:r>
    </w:p>
    <w:p w14:paraId="5C6D8B6F" w14:textId="30B5BB2B" w:rsidR="00483000" w:rsidRPr="000F5905" w:rsidRDefault="00483000" w:rsidP="00494120">
      <w:pPr>
        <w:rPr>
          <w:rFonts w:ascii="Arial" w:hAnsi="Arial" w:cs="Arial"/>
        </w:rPr>
      </w:pPr>
      <w:r w:rsidRPr="00494120">
        <w:rPr>
          <w:rFonts w:ascii="Arial" w:hAnsi="Arial" w:cs="Arial"/>
        </w:rPr>
        <w:t>Thornton,</w:t>
      </w:r>
      <w:r w:rsidR="00194C6E" w:rsidRPr="00494120">
        <w:rPr>
          <w:rFonts w:ascii="Arial" w:hAnsi="Arial" w:cs="Arial"/>
        </w:rPr>
        <w:t xml:space="preserve"> J</w:t>
      </w:r>
      <w:r w:rsidR="00F20BAA" w:rsidRPr="00494120">
        <w:rPr>
          <w:rFonts w:ascii="Arial" w:hAnsi="Arial" w:cs="Arial"/>
        </w:rPr>
        <w:t xml:space="preserve">. </w:t>
      </w:r>
      <w:r w:rsidR="00E8413C" w:rsidRPr="00494120">
        <w:rPr>
          <w:rFonts w:ascii="Arial" w:hAnsi="Arial" w:cs="Arial"/>
        </w:rPr>
        <w:t>(</w:t>
      </w:r>
      <w:r w:rsidR="00B1056C" w:rsidRPr="00494120">
        <w:rPr>
          <w:rFonts w:ascii="Arial" w:hAnsi="Arial" w:cs="Arial"/>
        </w:rPr>
        <w:t>2</w:t>
      </w:r>
      <w:r w:rsidRPr="00494120">
        <w:rPr>
          <w:rFonts w:ascii="Arial" w:hAnsi="Arial" w:cs="Arial"/>
        </w:rPr>
        <w:t>023</w:t>
      </w:r>
      <w:r w:rsidR="00E8413C" w:rsidRPr="00494120">
        <w:rPr>
          <w:rFonts w:ascii="Arial" w:hAnsi="Arial" w:cs="Arial"/>
        </w:rPr>
        <w:t>)</w:t>
      </w:r>
      <w:r w:rsidR="008F33E0" w:rsidRPr="00494120">
        <w:rPr>
          <w:rFonts w:ascii="Arial" w:hAnsi="Arial" w:cs="Arial"/>
        </w:rPr>
        <w:t>.</w:t>
      </w:r>
      <w:r w:rsidR="00B1056C" w:rsidRPr="00494120">
        <w:rPr>
          <w:rFonts w:ascii="Arial" w:hAnsi="Arial" w:cs="Arial"/>
        </w:rPr>
        <w:t xml:space="preserve"> UK infected blood inquiry releases </w:t>
      </w:r>
      <w:r w:rsidR="0027148E" w:rsidRPr="00494120">
        <w:rPr>
          <w:rFonts w:ascii="Arial" w:hAnsi="Arial" w:cs="Arial"/>
        </w:rPr>
        <w:t>compensation report’.</w:t>
      </w:r>
      <w:r w:rsidR="00D32D97" w:rsidRPr="00494120">
        <w:rPr>
          <w:rFonts w:ascii="Arial" w:hAnsi="Arial" w:cs="Arial"/>
        </w:rPr>
        <w:t xml:space="preserve"> </w:t>
      </w:r>
      <w:r w:rsidR="00203F4C" w:rsidRPr="00494120">
        <w:rPr>
          <w:rFonts w:ascii="Arial" w:hAnsi="Arial" w:cs="Arial"/>
        </w:rPr>
        <w:t>The Lancet</w:t>
      </w:r>
      <w:r w:rsidR="00C64882" w:rsidRPr="00494120">
        <w:rPr>
          <w:rFonts w:ascii="Arial" w:hAnsi="Arial" w:cs="Arial"/>
        </w:rPr>
        <w:t xml:space="preserve"> (Bri</w:t>
      </w:r>
      <w:r w:rsidR="0030376E" w:rsidRPr="00494120">
        <w:rPr>
          <w:rFonts w:ascii="Arial" w:hAnsi="Arial" w:cs="Arial"/>
        </w:rPr>
        <w:t>tish</w:t>
      </w:r>
      <w:r w:rsidR="00FA3983" w:rsidRPr="00494120">
        <w:rPr>
          <w:rFonts w:ascii="Arial" w:hAnsi="Arial" w:cs="Arial"/>
        </w:rPr>
        <w:t xml:space="preserve"> edition)</w:t>
      </w:r>
      <w:r w:rsidR="00C25437" w:rsidRPr="00494120">
        <w:rPr>
          <w:rFonts w:ascii="Arial" w:hAnsi="Arial" w:cs="Arial"/>
        </w:rPr>
        <w:t>, 401 (10</w:t>
      </w:r>
      <w:r w:rsidR="00B80AA1" w:rsidRPr="00494120">
        <w:rPr>
          <w:rFonts w:ascii="Arial" w:hAnsi="Arial" w:cs="Arial"/>
        </w:rPr>
        <w:t>384)</w:t>
      </w:r>
      <w:r w:rsidR="00AC1318" w:rsidRPr="00494120">
        <w:rPr>
          <w:rFonts w:ascii="Arial" w:hAnsi="Arial" w:cs="Arial"/>
        </w:rPr>
        <w:t>, pp. 1252</w:t>
      </w:r>
      <w:r w:rsidR="008A72FF" w:rsidRPr="00494120">
        <w:rPr>
          <w:rFonts w:ascii="Arial" w:hAnsi="Arial" w:cs="Arial"/>
        </w:rPr>
        <w:t>-1254</w:t>
      </w:r>
      <w:r w:rsidR="0009598D" w:rsidRPr="00494120">
        <w:rPr>
          <w:rFonts w:ascii="Arial" w:hAnsi="Arial" w:cs="Arial"/>
        </w:rPr>
        <w:t xml:space="preserve">.  </w:t>
      </w:r>
      <w:r w:rsidR="00D32D97" w:rsidRPr="00494120">
        <w:rPr>
          <w:rFonts w:ascii="Arial" w:hAnsi="Arial" w:cs="Arial"/>
        </w:rPr>
        <w:t>Available at</w:t>
      </w:r>
      <w:r w:rsidR="00F23402" w:rsidRPr="00494120">
        <w:rPr>
          <w:rFonts w:ascii="Arial" w:hAnsi="Arial" w:cs="Arial"/>
        </w:rPr>
        <w:t xml:space="preserve">: </w:t>
      </w:r>
      <w:r w:rsidR="0027148E" w:rsidRPr="00494120">
        <w:rPr>
          <w:rFonts w:ascii="Arial" w:hAnsi="Arial" w:cs="Arial"/>
        </w:rPr>
        <w:t xml:space="preserve"> </w:t>
      </w:r>
      <w:hyperlink r:id="rId71" w:history="1">
        <w:r w:rsidR="00587F0E" w:rsidRPr="00494120">
          <w:rPr>
            <w:rStyle w:val="Hyperlink"/>
            <w:rFonts w:ascii="Arial" w:hAnsi="Arial" w:cs="Arial"/>
          </w:rPr>
          <w:t>https://doi.org/10.1016/S0140-6736(23)00762-6</w:t>
        </w:r>
      </w:hyperlink>
      <w:r w:rsidR="00587F0E" w:rsidRPr="00494120">
        <w:rPr>
          <w:rFonts w:ascii="Arial" w:hAnsi="Arial" w:cs="Arial"/>
        </w:rPr>
        <w:t>)</w:t>
      </w:r>
      <w:r w:rsidR="00B40A76" w:rsidRPr="00494120">
        <w:rPr>
          <w:rFonts w:ascii="Arial" w:hAnsi="Arial" w:cs="Arial"/>
        </w:rPr>
        <w:t>.</w:t>
      </w:r>
      <w:r w:rsidR="00587F0E" w:rsidRPr="00494120">
        <w:rPr>
          <w:rFonts w:ascii="Arial" w:hAnsi="Arial" w:cs="Arial"/>
        </w:rPr>
        <w:t xml:space="preserve"> </w:t>
      </w:r>
    </w:p>
    <w:p w14:paraId="2A3F4228" w14:textId="5436277B" w:rsidR="00077842" w:rsidRPr="00494120" w:rsidRDefault="00077842" w:rsidP="00494120">
      <w:pPr>
        <w:rPr>
          <w:rFonts w:ascii="Arial" w:hAnsi="Arial" w:cs="Arial"/>
        </w:rPr>
      </w:pPr>
      <w:r w:rsidRPr="00494120">
        <w:rPr>
          <w:rFonts w:ascii="Arial" w:hAnsi="Arial" w:cs="Arial"/>
        </w:rPr>
        <w:t xml:space="preserve">Tarabeih, M., et al. </w:t>
      </w:r>
      <w:r w:rsidR="00E8413C" w:rsidRPr="00494120">
        <w:rPr>
          <w:rFonts w:ascii="Arial" w:hAnsi="Arial" w:cs="Arial"/>
        </w:rPr>
        <w:t>(</w:t>
      </w:r>
      <w:r w:rsidRPr="00494120">
        <w:rPr>
          <w:rFonts w:ascii="Arial" w:hAnsi="Arial" w:cs="Arial"/>
        </w:rPr>
        <w:t>2023</w:t>
      </w:r>
      <w:r w:rsidR="00E8413C" w:rsidRPr="00494120">
        <w:rPr>
          <w:rFonts w:ascii="Arial" w:hAnsi="Arial" w:cs="Arial"/>
        </w:rPr>
        <w:t>)</w:t>
      </w:r>
      <w:r w:rsidR="00E10F18" w:rsidRPr="00494120">
        <w:rPr>
          <w:rFonts w:ascii="Arial" w:hAnsi="Arial" w:cs="Arial"/>
        </w:rPr>
        <w:t xml:space="preserve">. </w:t>
      </w:r>
      <w:r w:rsidRPr="00494120">
        <w:rPr>
          <w:rFonts w:ascii="Arial" w:hAnsi="Arial" w:cs="Arial"/>
        </w:rPr>
        <w:t xml:space="preserve">'Posthumous Organ Donation in Islam, Christianity, and Judaism: A Comparative Study', Omega: Journal of Death and Dying. Available at: </w:t>
      </w:r>
      <w:hyperlink r:id="rId72" w:history="1">
        <w:r w:rsidRPr="00494120">
          <w:rPr>
            <w:rStyle w:val="Hyperlink"/>
            <w:rFonts w:ascii="Arial" w:hAnsi="Arial" w:cs="Arial"/>
          </w:rPr>
          <w:t>https://www.ovid.com/journals/ojdd/pdf/10.1177/00302228231183191</w:t>
        </w:r>
      </w:hyperlink>
      <w:r w:rsidRPr="00494120">
        <w:rPr>
          <w:rFonts w:ascii="Arial" w:hAnsi="Arial" w:cs="Arial"/>
        </w:rPr>
        <w:t xml:space="preserve"> (Accessed: 29 January 2026).</w:t>
      </w:r>
    </w:p>
    <w:p w14:paraId="57D9C003" w14:textId="04B7A365" w:rsidR="00077842" w:rsidRPr="00494120" w:rsidRDefault="00077842" w:rsidP="00494120">
      <w:pPr>
        <w:rPr>
          <w:rFonts w:ascii="Arial" w:hAnsi="Arial" w:cs="Arial"/>
        </w:rPr>
      </w:pPr>
      <w:r w:rsidRPr="00DD2146">
        <w:rPr>
          <w:rFonts w:ascii="Arial" w:hAnsi="Arial" w:cs="Arial"/>
        </w:rPr>
        <w:t xml:space="preserve">Taylor, C., et al. </w:t>
      </w:r>
      <w:r w:rsidR="00E8413C" w:rsidRPr="00494120">
        <w:rPr>
          <w:rFonts w:ascii="Arial" w:hAnsi="Arial" w:cs="Arial"/>
        </w:rPr>
        <w:t>(</w:t>
      </w:r>
      <w:r w:rsidRPr="00DD2146">
        <w:rPr>
          <w:rFonts w:ascii="Arial" w:hAnsi="Arial" w:cs="Arial"/>
        </w:rPr>
        <w:t>2019</w:t>
      </w:r>
      <w:r w:rsidR="00E8413C" w:rsidRPr="00494120">
        <w:rPr>
          <w:rFonts w:ascii="Arial" w:hAnsi="Arial" w:cs="Arial"/>
        </w:rPr>
        <w:t>)</w:t>
      </w:r>
      <w:r w:rsidRPr="00DD2146">
        <w:rPr>
          <w:rFonts w:ascii="Arial" w:hAnsi="Arial" w:cs="Arial"/>
        </w:rPr>
        <w:t xml:space="preserve"> 'Health literacy and its association with health-related quality of life', Journal of Renal Care, 45(4), pp. 209-217</w:t>
      </w:r>
      <w:r w:rsidRPr="00494120">
        <w:rPr>
          <w:rFonts w:ascii="Arial" w:hAnsi="Arial" w:cs="Arial"/>
        </w:rPr>
        <w:t>.  https://www.nottingham.ac.uk/news/research-shows-community-made videos encourage -black-blood-donors (Accessed 14 October 2024).</w:t>
      </w:r>
    </w:p>
    <w:p w14:paraId="66A88540" w14:textId="348A64E4" w:rsidR="00077842" w:rsidRPr="00494120" w:rsidRDefault="00077842" w:rsidP="00494120">
      <w:pPr>
        <w:rPr>
          <w:rFonts w:ascii="Arial" w:hAnsi="Arial" w:cs="Arial"/>
        </w:rPr>
      </w:pPr>
      <w:r w:rsidRPr="00494120">
        <w:rPr>
          <w:rFonts w:ascii="Arial" w:hAnsi="Arial" w:cs="Arial"/>
        </w:rPr>
        <w:t xml:space="preserve">Terasaki, P. I. </w:t>
      </w:r>
      <w:r w:rsidR="00E8413C" w:rsidRPr="00494120">
        <w:rPr>
          <w:rFonts w:ascii="Arial" w:hAnsi="Arial" w:cs="Arial"/>
        </w:rPr>
        <w:t>(</w:t>
      </w:r>
      <w:r w:rsidRPr="00494120">
        <w:rPr>
          <w:rFonts w:ascii="Arial" w:hAnsi="Arial" w:cs="Arial"/>
        </w:rPr>
        <w:t>2023</w:t>
      </w:r>
      <w:r w:rsidR="00E8413C" w:rsidRPr="00494120">
        <w:rPr>
          <w:rFonts w:ascii="Arial" w:hAnsi="Arial" w:cs="Arial"/>
        </w:rPr>
        <w:t>)</w:t>
      </w:r>
      <w:r w:rsidRPr="00494120">
        <w:rPr>
          <w:rFonts w:ascii="Arial" w:hAnsi="Arial" w:cs="Arial"/>
        </w:rPr>
        <w:t xml:space="preserve">. 'The importance of HLA matching in different ethnic groups'. Transplantation Proceedings. (Online). Available at: </w:t>
      </w:r>
      <w:hyperlink r:id="rId73" w:history="1">
        <w:r w:rsidRPr="00494120">
          <w:rPr>
            <w:rStyle w:val="Hyperlink"/>
            <w:rFonts w:ascii="Arial" w:hAnsi="Arial" w:cs="Arial"/>
          </w:rPr>
          <w:t>https://www.sciencedirect.com/</w:t>
        </w:r>
      </w:hyperlink>
      <w:r w:rsidRPr="00494120">
        <w:rPr>
          <w:rFonts w:ascii="Arial" w:hAnsi="Arial" w:cs="Arial"/>
        </w:rPr>
        <w:t xml:space="preserve"> (Search for HLA Ethnicity). (Accessed 4 April 2026) </w:t>
      </w:r>
    </w:p>
    <w:p w14:paraId="6A0CCDC7" w14:textId="7A86B55F" w:rsidR="00077842" w:rsidRPr="00494120" w:rsidRDefault="00077842" w:rsidP="00494120">
      <w:pPr>
        <w:rPr>
          <w:rFonts w:ascii="Arial" w:hAnsi="Arial" w:cs="Arial"/>
        </w:rPr>
      </w:pPr>
      <w:r w:rsidRPr="00494120">
        <w:rPr>
          <w:rFonts w:ascii="Arial" w:hAnsi="Arial" w:cs="Arial"/>
        </w:rPr>
        <w:t xml:space="preserve">Tobin, M.J. </w:t>
      </w:r>
      <w:r w:rsidR="00E8413C" w:rsidRPr="00494120">
        <w:rPr>
          <w:rFonts w:ascii="Arial" w:hAnsi="Arial" w:cs="Arial"/>
        </w:rPr>
        <w:t>(</w:t>
      </w:r>
      <w:r w:rsidRPr="00494120">
        <w:rPr>
          <w:rFonts w:ascii="Arial" w:hAnsi="Arial" w:cs="Arial"/>
        </w:rPr>
        <w:t>2022</w:t>
      </w:r>
      <w:r w:rsidR="00E8413C" w:rsidRPr="00494120">
        <w:rPr>
          <w:rFonts w:ascii="Arial" w:hAnsi="Arial" w:cs="Arial"/>
        </w:rPr>
        <w:t>)</w:t>
      </w:r>
      <w:r w:rsidRPr="00494120">
        <w:rPr>
          <w:rFonts w:ascii="Arial" w:hAnsi="Arial" w:cs="Arial"/>
        </w:rPr>
        <w:t xml:space="preserve"> “Fiftieth Anniversary of Uncovering the Tuskegee Syphilis Study: The Story and Timeless Lessons,” </w:t>
      </w:r>
      <w:r w:rsidRPr="00494120">
        <w:rPr>
          <w:rFonts w:ascii="Arial" w:hAnsi="Arial" w:cs="Arial"/>
          <w:i/>
          <w:iCs/>
        </w:rPr>
        <w:t>American journal of respiratory and critical care medicine</w:t>
      </w:r>
      <w:r w:rsidRPr="00494120">
        <w:rPr>
          <w:rFonts w:ascii="Arial" w:hAnsi="Arial" w:cs="Arial"/>
        </w:rPr>
        <w:t xml:space="preserve">, 205(10), pp. 1145–1158.  Available at: </w:t>
      </w:r>
      <w:hyperlink r:id="rId74" w:history="1">
        <w:r w:rsidRPr="00494120">
          <w:rPr>
            <w:rStyle w:val="Hyperlink"/>
            <w:rFonts w:ascii="Arial" w:hAnsi="Arial" w:cs="Arial"/>
          </w:rPr>
          <w:t>https://doi.org/10.1164/rccm.202201-0136SO</w:t>
        </w:r>
      </w:hyperlink>
      <w:r w:rsidRPr="00494120">
        <w:rPr>
          <w:rFonts w:ascii="Arial" w:hAnsi="Arial" w:cs="Arial"/>
        </w:rPr>
        <w:t xml:space="preserve">. </w:t>
      </w:r>
    </w:p>
    <w:p w14:paraId="083F29DB" w14:textId="55647DEE" w:rsidR="00077842" w:rsidRPr="00494120" w:rsidRDefault="00077842" w:rsidP="00494120">
      <w:pPr>
        <w:rPr>
          <w:rFonts w:ascii="Arial" w:hAnsi="Arial" w:cs="Arial"/>
        </w:rPr>
      </w:pPr>
      <w:r w:rsidRPr="00494120">
        <w:rPr>
          <w:rFonts w:ascii="Arial" w:hAnsi="Arial" w:cs="Arial"/>
        </w:rPr>
        <w:t xml:space="preserve">US Department of Health and Human Services </w:t>
      </w:r>
      <w:r w:rsidR="00E8413C" w:rsidRPr="00494120">
        <w:rPr>
          <w:rFonts w:ascii="Arial" w:hAnsi="Arial" w:cs="Arial"/>
        </w:rPr>
        <w:t>(</w:t>
      </w:r>
      <w:r w:rsidRPr="00494120">
        <w:rPr>
          <w:rFonts w:ascii="Arial" w:hAnsi="Arial" w:cs="Arial"/>
        </w:rPr>
        <w:t>2025</w:t>
      </w:r>
      <w:r w:rsidR="008F33E0" w:rsidRPr="00494120">
        <w:rPr>
          <w:rFonts w:ascii="Arial" w:hAnsi="Arial" w:cs="Arial"/>
        </w:rPr>
        <w:t>)</w:t>
      </w:r>
      <w:r w:rsidR="00D92412" w:rsidRPr="00494120">
        <w:rPr>
          <w:rFonts w:ascii="Arial" w:hAnsi="Arial" w:cs="Arial"/>
        </w:rPr>
        <w:t>.</w:t>
      </w:r>
      <w:r w:rsidRPr="00494120">
        <w:rPr>
          <w:rFonts w:ascii="Arial" w:hAnsi="Arial" w:cs="Arial"/>
        </w:rPr>
        <w:t xml:space="preserve"> Organ Transplantation and Minority Health Statistics 2024. Washington, DC: HHS Office of Minority Health. Available at: </w:t>
      </w:r>
      <w:hyperlink r:id="rId75" w:history="1">
        <w:r w:rsidRPr="00494120">
          <w:rPr>
            <w:rStyle w:val="Hyperlink"/>
            <w:rFonts w:ascii="Arial" w:hAnsi="Arial" w:cs="Arial"/>
          </w:rPr>
          <w:t>https://minorityhealth.hhs.gov/organ-transplants-and-blackafrican-americans</w:t>
        </w:r>
      </w:hyperlink>
      <w:r w:rsidRPr="00494120">
        <w:rPr>
          <w:rFonts w:ascii="Arial" w:hAnsi="Arial" w:cs="Arial"/>
        </w:rPr>
        <w:t xml:space="preserve"> (Accessed: 12 January 2026).</w:t>
      </w:r>
    </w:p>
    <w:p w14:paraId="7A3572DF" w14:textId="3A72AC1B" w:rsidR="00077842" w:rsidRPr="00494120" w:rsidRDefault="00077842" w:rsidP="00494120">
      <w:pPr>
        <w:rPr>
          <w:rFonts w:ascii="Arial" w:hAnsi="Arial" w:cs="Arial"/>
        </w:rPr>
      </w:pPr>
      <w:r w:rsidRPr="00494120">
        <w:rPr>
          <w:rFonts w:ascii="Arial" w:hAnsi="Arial" w:cs="Arial"/>
        </w:rPr>
        <w:t xml:space="preserve">Weeks, S., Fanstone, J.W., Marcu, V., et al. </w:t>
      </w:r>
      <w:r w:rsidR="007A1813" w:rsidRPr="00494120">
        <w:rPr>
          <w:rFonts w:ascii="Arial" w:hAnsi="Arial" w:cs="Arial"/>
        </w:rPr>
        <w:t>(</w:t>
      </w:r>
      <w:r w:rsidRPr="00494120">
        <w:rPr>
          <w:rFonts w:ascii="Arial" w:hAnsi="Arial" w:cs="Arial"/>
        </w:rPr>
        <w:t>2025</w:t>
      </w:r>
      <w:r w:rsidR="007A1813" w:rsidRPr="00494120">
        <w:rPr>
          <w:rFonts w:ascii="Arial" w:hAnsi="Arial" w:cs="Arial"/>
        </w:rPr>
        <w:t>)</w:t>
      </w:r>
      <w:r w:rsidR="008F33E0" w:rsidRPr="00494120">
        <w:rPr>
          <w:rFonts w:ascii="Arial" w:hAnsi="Arial" w:cs="Arial"/>
        </w:rPr>
        <w:t xml:space="preserve">. </w:t>
      </w:r>
      <w:r w:rsidRPr="00494120">
        <w:rPr>
          <w:rFonts w:ascii="Arial" w:hAnsi="Arial" w:cs="Arial"/>
        </w:rPr>
        <w:t xml:space="preserve">Barriers to conversations about deceased organ HO (2010) </w:t>
      </w:r>
      <w:r w:rsidRPr="00494120">
        <w:rPr>
          <w:rFonts w:ascii="Arial" w:hAnsi="Arial" w:cs="Arial"/>
          <w:i/>
          <w:iCs/>
        </w:rPr>
        <w:t>WHO Guiding Principles on Human Cell, Tissue and Organ Transplantation</w:t>
      </w:r>
      <w:r w:rsidRPr="00494120">
        <w:rPr>
          <w:rFonts w:ascii="Arial" w:hAnsi="Arial" w:cs="Arial"/>
        </w:rPr>
        <w:t xml:space="preserve">. Open access. </w:t>
      </w:r>
      <w:hyperlink r:id="rId76" w:history="1">
        <w:r w:rsidRPr="00494120">
          <w:rPr>
            <w:rStyle w:val="Hyperlink"/>
            <w:rFonts w:ascii="Arial" w:hAnsi="Arial" w:cs="Arial"/>
          </w:rPr>
          <w:t>(who.int)</w:t>
        </w:r>
      </w:hyperlink>
      <w:r w:rsidRPr="00494120">
        <w:rPr>
          <w:rFonts w:ascii="Arial" w:hAnsi="Arial" w:cs="Arial"/>
        </w:rPr>
        <w:t xml:space="preserve">  </w:t>
      </w:r>
    </w:p>
    <w:p w14:paraId="6F84DDAE" w14:textId="1B2796A7" w:rsidR="00077842" w:rsidRPr="00494120" w:rsidRDefault="00077842" w:rsidP="00494120">
      <w:pPr>
        <w:rPr>
          <w:rFonts w:ascii="Arial" w:hAnsi="Arial" w:cs="Arial"/>
        </w:rPr>
      </w:pPr>
      <w:r w:rsidRPr="00494120">
        <w:rPr>
          <w:rFonts w:ascii="Arial" w:hAnsi="Arial" w:cs="Arial"/>
        </w:rPr>
        <w:t xml:space="preserve">World Health Organisation 2023 </w:t>
      </w:r>
      <w:r w:rsidR="00F231FD" w:rsidRPr="00494120">
        <w:rPr>
          <w:rFonts w:ascii="Arial" w:hAnsi="Arial" w:cs="Arial"/>
        </w:rPr>
        <w:t xml:space="preserve">.  </w:t>
      </w:r>
      <w:r w:rsidRPr="00494120">
        <w:rPr>
          <w:rFonts w:ascii="Arial" w:hAnsi="Arial" w:cs="Arial"/>
        </w:rPr>
        <w:t xml:space="preserve">Action framework to advance universal access to safe, effective and quality-assured blood products 2020–2023. Geneva: WHO. Available at:  </w:t>
      </w:r>
      <w:hyperlink r:id="rId77" w:history="1">
        <w:r w:rsidRPr="00494120">
          <w:rPr>
            <w:rStyle w:val="Hyperlink"/>
            <w:rFonts w:ascii="Arial" w:hAnsi="Arial" w:cs="Arial"/>
          </w:rPr>
          <w:t>https://www.who.int/publications/b/59487</w:t>
        </w:r>
      </w:hyperlink>
      <w:r w:rsidRPr="00494120">
        <w:rPr>
          <w:rFonts w:ascii="Arial" w:hAnsi="Arial" w:cs="Arial"/>
        </w:rPr>
        <w:t xml:space="preserve">  (Accessed: 5 January 2026).</w:t>
      </w:r>
    </w:p>
    <w:p w14:paraId="5739420A" w14:textId="3234C1A7" w:rsidR="00077842" w:rsidRPr="00494120" w:rsidRDefault="00077842" w:rsidP="00494120">
      <w:pPr>
        <w:rPr>
          <w:rFonts w:ascii="Arial" w:hAnsi="Arial" w:cs="Arial"/>
        </w:rPr>
      </w:pPr>
      <w:r w:rsidRPr="00494120">
        <w:rPr>
          <w:rFonts w:ascii="Arial" w:hAnsi="Arial" w:cs="Arial"/>
        </w:rPr>
        <w:t xml:space="preserve">Wu, D.A., et al. </w:t>
      </w:r>
      <w:r w:rsidR="007A1813" w:rsidRPr="00494120">
        <w:rPr>
          <w:rFonts w:ascii="Arial" w:hAnsi="Arial" w:cs="Arial"/>
        </w:rPr>
        <w:t>(</w:t>
      </w:r>
      <w:r w:rsidRPr="00494120">
        <w:rPr>
          <w:rFonts w:ascii="Arial" w:hAnsi="Arial" w:cs="Arial"/>
        </w:rPr>
        <w:t>2022</w:t>
      </w:r>
      <w:r w:rsidR="007A1813" w:rsidRPr="00494120">
        <w:rPr>
          <w:rFonts w:ascii="Arial" w:hAnsi="Arial" w:cs="Arial"/>
        </w:rPr>
        <w:t>)</w:t>
      </w:r>
      <w:r w:rsidR="00D92412" w:rsidRPr="00494120">
        <w:rPr>
          <w:rFonts w:ascii="Arial" w:hAnsi="Arial" w:cs="Arial"/>
        </w:rPr>
        <w:t xml:space="preserve">. </w:t>
      </w:r>
      <w:r w:rsidRPr="00494120">
        <w:rPr>
          <w:rFonts w:ascii="Arial" w:hAnsi="Arial" w:cs="Arial"/>
        </w:rPr>
        <w:t xml:space="preserve">Ethnicity and socioeconomic deprivation as factors in living donor kidney transplantation: A large single-center analysis', Transplant International, 35. Available at: </w:t>
      </w:r>
      <w:hyperlink r:id="rId78" w:history="1">
        <w:r w:rsidRPr="00494120">
          <w:rPr>
            <w:rStyle w:val="Hyperlink"/>
            <w:rFonts w:ascii="Arial" w:hAnsi="Arial" w:cs="Arial"/>
          </w:rPr>
          <w:t>https://pmc.ncbi.nlm.nih.gov/articles/PMC8934457/</w:t>
        </w:r>
      </w:hyperlink>
      <w:r w:rsidRPr="00494120">
        <w:rPr>
          <w:rFonts w:ascii="Arial" w:hAnsi="Arial" w:cs="Arial"/>
        </w:rPr>
        <w:t xml:space="preserve"> (Accessed: 27 January 2026).</w:t>
      </w:r>
    </w:p>
    <w:p w14:paraId="4AA74DC7" w14:textId="4F9479C8" w:rsidR="00077842" w:rsidRPr="00494120" w:rsidRDefault="00077842" w:rsidP="00494120">
      <w:pPr>
        <w:rPr>
          <w:rFonts w:ascii="Arial" w:hAnsi="Arial" w:cs="Arial"/>
        </w:rPr>
      </w:pPr>
      <w:r w:rsidRPr="00494120">
        <w:rPr>
          <w:rFonts w:ascii="Arial" w:hAnsi="Arial" w:cs="Arial"/>
          <w:lang w:val="nl-NL"/>
        </w:rPr>
        <w:t>Yip, J.L.Y., Poduval, S., de Souza</w:t>
      </w:r>
      <w:r w:rsidRPr="00494120">
        <w:rPr>
          <w:rFonts w:ascii="Arial" w:hAnsi="Arial" w:cs="Arial"/>
          <w:lang w:val="nl-NL"/>
        </w:rPr>
        <w:noBreakHyphen/>
        <w:t>Thomas, L., et al</w:t>
      </w:r>
      <w:r w:rsidRPr="00494120">
        <w:rPr>
          <w:rFonts w:ascii="Arial" w:hAnsi="Arial" w:cs="Arial"/>
          <w:b/>
          <w:bCs/>
          <w:lang w:val="nl-NL"/>
        </w:rPr>
        <w:t>.</w:t>
      </w:r>
      <w:r w:rsidR="00116783" w:rsidRPr="00494120">
        <w:rPr>
          <w:rFonts w:ascii="Arial" w:hAnsi="Arial" w:cs="Arial"/>
          <w:lang w:val="nl-NL"/>
        </w:rPr>
        <w:t xml:space="preserve">, </w:t>
      </w:r>
      <w:r w:rsidR="007A1813" w:rsidRPr="00494120">
        <w:rPr>
          <w:rFonts w:ascii="Arial" w:hAnsi="Arial" w:cs="Arial"/>
          <w:lang w:val="nl-NL"/>
        </w:rPr>
        <w:t>(</w:t>
      </w:r>
      <w:r w:rsidRPr="00494120">
        <w:rPr>
          <w:rFonts w:ascii="Arial" w:hAnsi="Arial" w:cs="Arial"/>
          <w:lang w:val="nl-NL"/>
        </w:rPr>
        <w:t>2024</w:t>
      </w:r>
      <w:r w:rsidR="007A1813" w:rsidRPr="00494120">
        <w:rPr>
          <w:rFonts w:ascii="Arial" w:hAnsi="Arial" w:cs="Arial"/>
          <w:lang w:val="nl-NL"/>
        </w:rPr>
        <w:t>)</w:t>
      </w:r>
      <w:r w:rsidR="00116783" w:rsidRPr="00494120">
        <w:rPr>
          <w:rFonts w:ascii="Arial" w:hAnsi="Arial" w:cs="Arial"/>
          <w:lang w:val="nl-NL"/>
        </w:rPr>
        <w:t xml:space="preserve">. </w:t>
      </w:r>
      <w:r w:rsidRPr="00494120">
        <w:rPr>
          <w:rFonts w:ascii="Arial" w:hAnsi="Arial" w:cs="Arial"/>
          <w:lang w:val="nl-NL"/>
        </w:rPr>
        <w:t xml:space="preserve"> </w:t>
      </w:r>
      <w:r w:rsidRPr="00494120">
        <w:rPr>
          <w:rFonts w:ascii="Arial" w:hAnsi="Arial" w:cs="Arial"/>
        </w:rPr>
        <w:t>‘Anti</w:t>
      </w:r>
      <w:r w:rsidRPr="00494120">
        <w:rPr>
          <w:rFonts w:ascii="Arial" w:hAnsi="Arial" w:cs="Arial"/>
        </w:rPr>
        <w:noBreakHyphen/>
        <w:t xml:space="preserve">racist interventions to reduce ethnic disparities in healthcare in the UK: umbrella review’, </w:t>
      </w:r>
      <w:r w:rsidRPr="00494120">
        <w:rPr>
          <w:rFonts w:ascii="Arial" w:hAnsi="Arial" w:cs="Arial"/>
          <w:i/>
          <w:iCs/>
        </w:rPr>
        <w:t>BMJ Open</w:t>
      </w:r>
      <w:r w:rsidRPr="00494120">
        <w:rPr>
          <w:rFonts w:ascii="Arial" w:hAnsi="Arial" w:cs="Arial"/>
        </w:rPr>
        <w:t>, 14:e075711. Open</w:t>
      </w:r>
      <w:r w:rsidRPr="00494120">
        <w:rPr>
          <w:rFonts w:ascii="Arial" w:hAnsi="Arial" w:cs="Arial"/>
          <w:b/>
          <w:bCs/>
        </w:rPr>
        <w:t xml:space="preserve"> </w:t>
      </w:r>
      <w:r w:rsidRPr="00494120">
        <w:rPr>
          <w:rFonts w:ascii="Arial" w:hAnsi="Arial" w:cs="Arial"/>
        </w:rPr>
        <w:t xml:space="preserve">access. </w:t>
      </w:r>
      <w:r w:rsidR="00B40A76" w:rsidRPr="00494120">
        <w:rPr>
          <w:rFonts w:ascii="Arial" w:hAnsi="Arial" w:cs="Arial"/>
        </w:rPr>
        <w:t xml:space="preserve">Available at: </w:t>
      </w:r>
      <w:hyperlink r:id="rId79" w:history="1">
        <w:r w:rsidRPr="00494120">
          <w:rPr>
            <w:rStyle w:val="Hyperlink"/>
            <w:rFonts w:ascii="Arial" w:hAnsi="Arial" w:cs="Arial"/>
          </w:rPr>
          <w:t>(bmjopen.bmj.com)</w:t>
        </w:r>
      </w:hyperlink>
      <w:r w:rsidRPr="00494120">
        <w:rPr>
          <w:rFonts w:ascii="Arial" w:hAnsi="Arial" w:cs="Arial"/>
        </w:rPr>
        <w:t xml:space="preserve"> </w:t>
      </w:r>
    </w:p>
    <w:p w14:paraId="7E91485D" w14:textId="703A2FA9" w:rsidR="00CC65F1" w:rsidRDefault="00077842" w:rsidP="00CC65F1">
      <w:r w:rsidRPr="00B724F9">
        <w:rPr>
          <w:rFonts w:ascii="Arial" w:hAnsi="Arial" w:cs="Arial"/>
        </w:rPr>
        <w:t>Zewdie, A., Mose, A., Sahle, T., et al.</w:t>
      </w:r>
      <w:r w:rsidR="00116783" w:rsidRPr="00B724F9">
        <w:rPr>
          <w:rFonts w:ascii="Arial" w:hAnsi="Arial" w:cs="Arial"/>
        </w:rPr>
        <w:t>,</w:t>
      </w:r>
      <w:r w:rsidRPr="00B724F9">
        <w:rPr>
          <w:rFonts w:ascii="Arial" w:hAnsi="Arial" w:cs="Arial"/>
        </w:rPr>
        <w:t xml:space="preserve"> </w:t>
      </w:r>
      <w:r w:rsidR="007A1813" w:rsidRPr="00B724F9">
        <w:rPr>
          <w:rFonts w:ascii="Arial" w:hAnsi="Arial" w:cs="Arial"/>
        </w:rPr>
        <w:t>(</w:t>
      </w:r>
      <w:r w:rsidRPr="00B724F9">
        <w:rPr>
          <w:rFonts w:ascii="Arial" w:hAnsi="Arial" w:cs="Arial"/>
        </w:rPr>
        <w:t>2022</w:t>
      </w:r>
      <w:r w:rsidR="007A1813" w:rsidRPr="00B724F9">
        <w:rPr>
          <w:rFonts w:ascii="Arial" w:hAnsi="Arial" w:cs="Arial"/>
        </w:rPr>
        <w:t>)</w:t>
      </w:r>
      <w:r w:rsidR="00116783" w:rsidRPr="00B724F9">
        <w:rPr>
          <w:rFonts w:ascii="Arial" w:hAnsi="Arial" w:cs="Arial"/>
        </w:rPr>
        <w:t>.</w:t>
      </w:r>
      <w:r w:rsidRPr="00B724F9">
        <w:rPr>
          <w:rFonts w:ascii="Arial" w:hAnsi="Arial" w:cs="Arial"/>
        </w:rPr>
        <w:t xml:space="preserve"> </w:t>
      </w:r>
      <w:r w:rsidRPr="00494120">
        <w:rPr>
          <w:rFonts w:ascii="Arial" w:hAnsi="Arial" w:cs="Arial"/>
        </w:rPr>
        <w:t>‘The health belief model’s ability to predict COVID</w:t>
      </w:r>
      <w:r w:rsidRPr="00494120">
        <w:rPr>
          <w:rFonts w:ascii="Arial" w:hAnsi="Arial" w:cs="Arial"/>
        </w:rPr>
        <w:noBreakHyphen/>
        <w:t xml:space="preserve">19 preventive behaviour: a systematic review’, </w:t>
      </w:r>
      <w:r w:rsidRPr="00494120">
        <w:rPr>
          <w:rFonts w:ascii="Arial" w:hAnsi="Arial" w:cs="Arial"/>
          <w:i/>
          <w:iCs/>
        </w:rPr>
        <w:t>SAGE Open Medicine</w:t>
      </w:r>
      <w:r w:rsidRPr="00494120">
        <w:rPr>
          <w:rFonts w:ascii="Arial" w:hAnsi="Arial" w:cs="Arial"/>
        </w:rPr>
        <w:t>, 10:20503121221113668.</w:t>
      </w:r>
      <w:r w:rsidR="00772F82" w:rsidRPr="00494120">
        <w:rPr>
          <w:rFonts w:ascii="Arial" w:hAnsi="Arial" w:cs="Arial"/>
        </w:rPr>
        <w:t xml:space="preserve"> </w:t>
      </w:r>
      <w:r w:rsidRPr="00494120">
        <w:rPr>
          <w:rFonts w:ascii="Arial" w:hAnsi="Arial" w:cs="Arial"/>
        </w:rPr>
        <w:t>Open access.</w:t>
      </w:r>
      <w:r w:rsidR="002E28CD" w:rsidRPr="00494120">
        <w:rPr>
          <w:rFonts w:ascii="Arial" w:hAnsi="Arial" w:cs="Arial"/>
        </w:rPr>
        <w:t xml:space="preserve"> Available at: </w:t>
      </w:r>
      <w:r w:rsidRPr="00494120">
        <w:rPr>
          <w:rFonts w:ascii="Arial" w:hAnsi="Arial" w:cs="Arial"/>
          <w:b/>
          <w:bCs/>
        </w:rPr>
        <w:t xml:space="preserve"> </w:t>
      </w:r>
      <w:hyperlink r:id="rId80" w:history="1">
        <w:r w:rsidRPr="00494120">
          <w:rPr>
            <w:rStyle w:val="Hyperlink"/>
            <w:rFonts w:ascii="Arial" w:hAnsi="Arial" w:cs="Arial"/>
          </w:rPr>
          <w:t>(journals.sagepub.com)</w:t>
        </w:r>
      </w:hyperlink>
      <w:bookmarkStart w:id="74" w:name="_Toc226743211"/>
    </w:p>
    <w:p w14:paraId="4A989A25" w14:textId="77777777" w:rsidR="00CC65F1" w:rsidRDefault="00CC65F1" w:rsidP="00CC65F1"/>
    <w:p w14:paraId="505233C8" w14:textId="77777777" w:rsidR="00CC65F1" w:rsidRDefault="00CC65F1" w:rsidP="00CC65F1"/>
    <w:p w14:paraId="75AE5A86" w14:textId="77777777" w:rsidR="00CC65F1" w:rsidRDefault="00CC65F1" w:rsidP="00CC65F1"/>
    <w:p w14:paraId="234DE02E" w14:textId="77777777" w:rsidR="00CC65F1" w:rsidRDefault="00CC65F1" w:rsidP="00CC65F1"/>
    <w:p w14:paraId="30DF7442" w14:textId="77777777" w:rsidR="00CC65F1" w:rsidRDefault="00CC65F1" w:rsidP="00CC65F1"/>
    <w:p w14:paraId="32880F28" w14:textId="77777777" w:rsidR="00CC65F1" w:rsidRDefault="00CC65F1" w:rsidP="00CC65F1"/>
    <w:p w14:paraId="5BAFBEB3" w14:textId="77777777" w:rsidR="0089438F" w:rsidRDefault="0089438F" w:rsidP="00CC65F1">
      <w:pPr>
        <w:rPr>
          <w:sz w:val="28"/>
          <w:szCs w:val="28"/>
        </w:rPr>
      </w:pPr>
    </w:p>
    <w:p w14:paraId="63CAEFC9" w14:textId="77777777" w:rsidR="0089438F" w:rsidRDefault="0089438F" w:rsidP="00CC65F1">
      <w:pPr>
        <w:rPr>
          <w:sz w:val="28"/>
          <w:szCs w:val="28"/>
        </w:rPr>
      </w:pPr>
    </w:p>
    <w:p w14:paraId="505E9C73" w14:textId="77777777" w:rsidR="0089438F" w:rsidRDefault="0089438F" w:rsidP="00CC65F1">
      <w:pPr>
        <w:rPr>
          <w:sz w:val="28"/>
          <w:szCs w:val="28"/>
        </w:rPr>
      </w:pPr>
    </w:p>
    <w:p w14:paraId="6D7584F3" w14:textId="39D23596" w:rsidR="00621776" w:rsidRPr="00CC65F1" w:rsidRDefault="00621776" w:rsidP="00CC65F1">
      <w:pPr>
        <w:rPr>
          <w:rFonts w:ascii="Arial" w:hAnsi="Arial" w:cs="Arial"/>
        </w:rPr>
      </w:pPr>
      <w:r w:rsidRPr="008C38C3">
        <w:rPr>
          <w:sz w:val="28"/>
          <w:szCs w:val="28"/>
        </w:rPr>
        <w:t xml:space="preserve">6.2 – </w:t>
      </w:r>
      <w:r w:rsidRPr="0038362B">
        <w:rPr>
          <w:rFonts w:cs="Arial"/>
          <w:sz w:val="24"/>
          <w:szCs w:val="24"/>
        </w:rPr>
        <w:t>Appendices</w:t>
      </w:r>
      <w:bookmarkEnd w:id="74"/>
      <w:r w:rsidRPr="0038362B">
        <w:rPr>
          <w:rFonts w:cs="Arial"/>
          <w:sz w:val="24"/>
          <w:szCs w:val="24"/>
        </w:rPr>
        <w:t xml:space="preserve"> </w:t>
      </w:r>
    </w:p>
    <w:p w14:paraId="5E02AF15" w14:textId="4B44A9D6" w:rsidR="00621776" w:rsidRPr="0038362B" w:rsidRDefault="00F12255" w:rsidP="00621776">
      <w:pPr>
        <w:rPr>
          <w:rFonts w:ascii="Arial" w:hAnsi="Arial" w:cs="Arial"/>
          <w:sz w:val="24"/>
          <w:szCs w:val="24"/>
        </w:rPr>
      </w:pPr>
      <w:r>
        <w:rPr>
          <w:noProof/>
        </w:rPr>
        <w:drawing>
          <wp:anchor distT="0" distB="0" distL="114300" distR="114300" simplePos="0" relativeHeight="251658242" behindDoc="0" locked="0" layoutInCell="1" allowOverlap="1" wp14:anchorId="63A2F41E" wp14:editId="2E1ABA91">
            <wp:simplePos x="0" y="0"/>
            <wp:positionH relativeFrom="column">
              <wp:posOffset>2889885</wp:posOffset>
            </wp:positionH>
            <wp:positionV relativeFrom="paragraph">
              <wp:posOffset>226060</wp:posOffset>
            </wp:positionV>
            <wp:extent cx="1953895" cy="1866265"/>
            <wp:effectExtent l="0" t="0" r="8255" b="635"/>
            <wp:wrapTopAndBottom/>
            <wp:docPr id="17784448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444800" name="Picture 1778444800"/>
                    <pic:cNvPicPr/>
                  </pic:nvPicPr>
                  <pic:blipFill>
                    <a:blip r:embed="rId81" cstate="print">
                      <a:extLst>
                        <a:ext uri="{28A0092B-C50C-407E-A947-70E740481C1C}">
                          <a14:useLocalDpi xmlns:a14="http://schemas.microsoft.com/office/drawing/2010/main" val="0"/>
                        </a:ext>
                      </a:extLst>
                    </a:blip>
                    <a:stretch>
                      <a:fillRect/>
                    </a:stretch>
                  </pic:blipFill>
                  <pic:spPr>
                    <a:xfrm>
                      <a:off x="0" y="0"/>
                      <a:ext cx="1953895" cy="1866265"/>
                    </a:xfrm>
                    <a:prstGeom prst="rect">
                      <a:avLst/>
                    </a:prstGeom>
                  </pic:spPr>
                </pic:pic>
              </a:graphicData>
            </a:graphic>
            <wp14:sizeRelH relativeFrom="margin">
              <wp14:pctWidth>0</wp14:pctWidth>
            </wp14:sizeRelH>
            <wp14:sizeRelV relativeFrom="margin">
              <wp14:pctHeight>0</wp14:pctHeight>
            </wp14:sizeRelV>
          </wp:anchor>
        </w:drawing>
      </w:r>
      <w:r w:rsidR="00266AAE">
        <w:rPr>
          <w:rFonts w:ascii="Arial" w:hAnsi="Arial" w:cs="Arial"/>
          <w:noProof/>
          <w:sz w:val="24"/>
          <w:szCs w:val="24"/>
        </w:rPr>
        <w:drawing>
          <wp:anchor distT="0" distB="0" distL="114300" distR="114300" simplePos="0" relativeHeight="251658243" behindDoc="0" locked="0" layoutInCell="1" allowOverlap="1" wp14:anchorId="35AB0D52" wp14:editId="1C6C67AF">
            <wp:simplePos x="0" y="0"/>
            <wp:positionH relativeFrom="column">
              <wp:posOffset>12700</wp:posOffset>
            </wp:positionH>
            <wp:positionV relativeFrom="paragraph">
              <wp:posOffset>289560</wp:posOffset>
            </wp:positionV>
            <wp:extent cx="1991995" cy="1879600"/>
            <wp:effectExtent l="0" t="0" r="8255" b="6350"/>
            <wp:wrapTopAndBottom/>
            <wp:docPr id="551589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589809" name="Picture 551589809"/>
                    <pic:cNvPicPr/>
                  </pic:nvPicPr>
                  <pic:blipFill>
                    <a:blip r:embed="rId82" cstate="print">
                      <a:extLst>
                        <a:ext uri="{28A0092B-C50C-407E-A947-70E740481C1C}">
                          <a14:useLocalDpi xmlns:a14="http://schemas.microsoft.com/office/drawing/2010/main" val="0"/>
                        </a:ext>
                      </a:extLst>
                    </a:blip>
                    <a:stretch>
                      <a:fillRect/>
                    </a:stretch>
                  </pic:blipFill>
                  <pic:spPr>
                    <a:xfrm>
                      <a:off x="0" y="0"/>
                      <a:ext cx="1991995" cy="1879600"/>
                    </a:xfrm>
                    <a:prstGeom prst="rect">
                      <a:avLst/>
                    </a:prstGeom>
                  </pic:spPr>
                </pic:pic>
              </a:graphicData>
            </a:graphic>
            <wp14:sizeRelH relativeFrom="margin">
              <wp14:pctWidth>0</wp14:pctWidth>
            </wp14:sizeRelH>
            <wp14:sizeRelV relativeFrom="margin">
              <wp14:pctHeight>0</wp14:pctHeight>
            </wp14:sizeRelV>
          </wp:anchor>
        </w:drawing>
      </w:r>
    </w:p>
    <w:p w14:paraId="6E10B0F3" w14:textId="393898A4" w:rsidR="00BF211B" w:rsidRPr="00FC6146" w:rsidRDefault="00BF211B" w:rsidP="00621776">
      <w:pPr>
        <w:rPr>
          <w:rFonts w:ascii="Arial" w:hAnsi="Arial" w:cs="Arial"/>
        </w:rPr>
      </w:pPr>
    </w:p>
    <w:p w14:paraId="18FF6044" w14:textId="12DFCA99" w:rsidR="008C38C3" w:rsidRDefault="008C38C3" w:rsidP="00621776">
      <w:pPr>
        <w:rPr>
          <w:rFonts w:ascii="Arial" w:hAnsi="Arial" w:cs="Arial"/>
          <w:sz w:val="16"/>
          <w:szCs w:val="16"/>
        </w:rPr>
      </w:pPr>
    </w:p>
    <w:p w14:paraId="5CB85BDE" w14:textId="0C80CFB1" w:rsidR="00B54ACA" w:rsidRDefault="00B54ACA" w:rsidP="00621776">
      <w:pPr>
        <w:rPr>
          <w:rFonts w:ascii="Arial" w:hAnsi="Arial" w:cs="Arial"/>
          <w:sz w:val="16"/>
          <w:szCs w:val="16"/>
        </w:rPr>
      </w:pPr>
    </w:p>
    <w:p w14:paraId="244AD7A8" w14:textId="244C163D" w:rsidR="00B54ACA" w:rsidRPr="00BF211B" w:rsidRDefault="00266AAE" w:rsidP="00621776">
      <w:pPr>
        <w:rPr>
          <w:rFonts w:ascii="Arial" w:hAnsi="Arial" w:cs="Arial"/>
          <w:sz w:val="16"/>
          <w:szCs w:val="16"/>
        </w:rPr>
      </w:pPr>
      <w:r>
        <w:rPr>
          <w:rFonts w:ascii="Arial" w:hAnsi="Arial" w:cs="Arial"/>
          <w:noProof/>
          <w:sz w:val="24"/>
          <w:szCs w:val="24"/>
        </w:rPr>
        <w:drawing>
          <wp:anchor distT="0" distB="0" distL="114300" distR="114300" simplePos="0" relativeHeight="251658244" behindDoc="0" locked="0" layoutInCell="1" allowOverlap="1" wp14:anchorId="028728D2" wp14:editId="52A4EEDD">
            <wp:simplePos x="0" y="0"/>
            <wp:positionH relativeFrom="column">
              <wp:posOffset>982980</wp:posOffset>
            </wp:positionH>
            <wp:positionV relativeFrom="paragraph">
              <wp:posOffset>-362585</wp:posOffset>
            </wp:positionV>
            <wp:extent cx="2607945" cy="1776095"/>
            <wp:effectExtent l="0" t="0" r="1905" b="0"/>
            <wp:wrapTopAndBottom/>
            <wp:docPr id="19840565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056552" name="Picture 1984056552"/>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607945" cy="1776095"/>
                    </a:xfrm>
                    <a:prstGeom prst="rect">
                      <a:avLst/>
                    </a:prstGeom>
                  </pic:spPr>
                </pic:pic>
              </a:graphicData>
            </a:graphic>
            <wp14:sizeRelH relativeFrom="margin">
              <wp14:pctWidth>0</wp14:pctWidth>
            </wp14:sizeRelH>
            <wp14:sizeRelV relativeFrom="margin">
              <wp14:pctHeight>0</wp14:pctHeight>
            </wp14:sizeRelV>
          </wp:anchor>
        </w:drawing>
      </w:r>
    </w:p>
    <w:p w14:paraId="5DA0FD87" w14:textId="49B4551C" w:rsidR="008C38C3" w:rsidRDefault="008C38C3" w:rsidP="00621776"/>
    <w:p w14:paraId="6ED1B63A" w14:textId="77777777" w:rsidR="000264A2" w:rsidRDefault="000264A2" w:rsidP="00621776"/>
    <w:p w14:paraId="01E01220" w14:textId="77777777" w:rsidR="008C38C3" w:rsidRDefault="008C38C3" w:rsidP="00621776"/>
    <w:p w14:paraId="5123C817" w14:textId="4B9440D9" w:rsidR="008C38C3" w:rsidRPr="00FA06BD" w:rsidRDefault="00D76EA5" w:rsidP="008C38C3">
      <w:pPr>
        <w:pStyle w:val="Heading1"/>
        <w:ind w:left="0"/>
        <w:rPr>
          <w:rFonts w:cs="Arial"/>
        </w:rPr>
      </w:pPr>
      <w:r w:rsidRPr="00FA06BD">
        <w:rPr>
          <w:rFonts w:cs="Arial"/>
        </w:rPr>
        <w:t>Source Tracking Table</w:t>
      </w:r>
    </w:p>
    <w:p w14:paraId="65DEF094" w14:textId="2B47D42A" w:rsidR="00633D20" w:rsidRPr="00FA06BD" w:rsidRDefault="002C517F" w:rsidP="008C38C3">
      <w:pPr>
        <w:pStyle w:val="Heading1"/>
        <w:ind w:left="0"/>
        <w:rPr>
          <w:rFonts w:cs="Arial"/>
        </w:rPr>
      </w:pPr>
      <w:r w:rsidRPr="00FA06BD">
        <w:rPr>
          <w:rFonts w:cs="Arial"/>
        </w:rPr>
        <w:t>5 sources</w:t>
      </w:r>
    </w:p>
    <w:p w14:paraId="2843727D" w14:textId="52BF6366" w:rsidR="008C38C3" w:rsidRPr="0085723C" w:rsidRDefault="0012193F" w:rsidP="00621776">
      <w:pPr>
        <w:rPr>
          <w:rFonts w:ascii="Arial" w:hAnsi="Arial" w:cs="Arial"/>
          <w:b/>
          <w:sz w:val="32"/>
          <w:szCs w:val="32"/>
        </w:rPr>
      </w:pPr>
      <w:r w:rsidRPr="0085723C">
        <w:rPr>
          <w:rFonts w:ascii="Arial" w:hAnsi="Arial" w:cs="Arial"/>
          <w:b/>
          <w:sz w:val="32"/>
          <w:szCs w:val="32"/>
        </w:rPr>
        <w:t xml:space="preserve">Codes to Themes. </w:t>
      </w:r>
    </w:p>
    <w:p w14:paraId="51376449" w14:textId="77777777" w:rsidR="0044011C" w:rsidRDefault="0044011C" w:rsidP="00621776"/>
    <w:p w14:paraId="70C7CA0C" w14:textId="2FE6A4E1" w:rsidR="008C38C3" w:rsidRPr="000D42C8" w:rsidRDefault="008C38C3" w:rsidP="008C38C3">
      <w:pPr>
        <w:rPr>
          <w:rFonts w:ascii="Arial" w:hAnsi="Arial" w:cs="Arial"/>
        </w:rPr>
      </w:pPr>
    </w:p>
    <w:sectPr w:rsidR="008C38C3" w:rsidRPr="000D42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FFD57" w14:textId="77777777" w:rsidR="001265D1" w:rsidRDefault="001265D1" w:rsidP="00211184">
      <w:pPr>
        <w:spacing w:after="0" w:line="240" w:lineRule="auto"/>
      </w:pPr>
      <w:r>
        <w:separator/>
      </w:r>
    </w:p>
  </w:endnote>
  <w:endnote w:type="continuationSeparator" w:id="0">
    <w:p w14:paraId="58FD0EA7" w14:textId="77777777" w:rsidR="001265D1" w:rsidRDefault="001265D1"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5A59C" w14:textId="77777777" w:rsidR="001265D1" w:rsidRDefault="001265D1" w:rsidP="00211184">
      <w:pPr>
        <w:spacing w:after="0" w:line="240" w:lineRule="auto"/>
      </w:pPr>
      <w:r>
        <w:separator/>
      </w:r>
    </w:p>
  </w:footnote>
  <w:footnote w:type="continuationSeparator" w:id="0">
    <w:p w14:paraId="26E4DC5A" w14:textId="77777777" w:rsidR="001265D1" w:rsidRDefault="001265D1" w:rsidP="002111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9FED41" w14:textId="77777777" w:rsidR="00A6045E" w:rsidRDefault="00A6045E">
    <w:pPr>
      <w:pStyle w:val="Header"/>
    </w:pPr>
  </w:p>
  <w:p w14:paraId="037D3D3D" w14:textId="77777777" w:rsidR="00A6045E" w:rsidRPr="00A74114" w:rsidRDefault="00A6045E">
    <w:pPr>
      <w:pStyle w:val="Header"/>
      <w:rPr>
        <w:rFonts w:ascii="Arial" w:hAnsi="Arial" w:cs="Arial"/>
      </w:rPr>
    </w:pPr>
  </w:p>
  <w:p w14:paraId="65006E88" w14:textId="77777777" w:rsidR="00A6045E" w:rsidRDefault="00A6045E">
    <w:pPr>
      <w:pStyle w:val="Header"/>
    </w:pPr>
  </w:p>
  <w:p w14:paraId="1B258E1F" w14:textId="77777777" w:rsidR="00A6045E" w:rsidRDefault="00A604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542A2"/>
    <w:multiLevelType w:val="multilevel"/>
    <w:tmpl w:val="13168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F71BF"/>
    <w:multiLevelType w:val="hybridMultilevel"/>
    <w:tmpl w:val="17661FCE"/>
    <w:lvl w:ilvl="0" w:tplc="08090001">
      <w:start w:val="1"/>
      <w:numFmt w:val="bullet"/>
      <w:lvlText w:val=""/>
      <w:lvlJc w:val="left"/>
      <w:pPr>
        <w:ind w:left="996" w:hanging="360"/>
      </w:pPr>
      <w:rPr>
        <w:rFonts w:ascii="Symbol" w:hAnsi="Symbol" w:hint="default"/>
      </w:rPr>
    </w:lvl>
    <w:lvl w:ilvl="1" w:tplc="08090003" w:tentative="1">
      <w:start w:val="1"/>
      <w:numFmt w:val="bullet"/>
      <w:lvlText w:val="o"/>
      <w:lvlJc w:val="left"/>
      <w:pPr>
        <w:ind w:left="1716" w:hanging="360"/>
      </w:pPr>
      <w:rPr>
        <w:rFonts w:ascii="Courier New" w:hAnsi="Courier New" w:cs="Courier New" w:hint="default"/>
      </w:rPr>
    </w:lvl>
    <w:lvl w:ilvl="2" w:tplc="08090005" w:tentative="1">
      <w:start w:val="1"/>
      <w:numFmt w:val="bullet"/>
      <w:lvlText w:val=""/>
      <w:lvlJc w:val="left"/>
      <w:pPr>
        <w:ind w:left="2436" w:hanging="360"/>
      </w:pPr>
      <w:rPr>
        <w:rFonts w:ascii="Wingdings" w:hAnsi="Wingdings" w:hint="default"/>
      </w:rPr>
    </w:lvl>
    <w:lvl w:ilvl="3" w:tplc="08090001" w:tentative="1">
      <w:start w:val="1"/>
      <w:numFmt w:val="bullet"/>
      <w:lvlText w:val=""/>
      <w:lvlJc w:val="left"/>
      <w:pPr>
        <w:ind w:left="3156" w:hanging="360"/>
      </w:pPr>
      <w:rPr>
        <w:rFonts w:ascii="Symbol" w:hAnsi="Symbol" w:hint="default"/>
      </w:rPr>
    </w:lvl>
    <w:lvl w:ilvl="4" w:tplc="08090003" w:tentative="1">
      <w:start w:val="1"/>
      <w:numFmt w:val="bullet"/>
      <w:lvlText w:val="o"/>
      <w:lvlJc w:val="left"/>
      <w:pPr>
        <w:ind w:left="3876" w:hanging="360"/>
      </w:pPr>
      <w:rPr>
        <w:rFonts w:ascii="Courier New" w:hAnsi="Courier New" w:cs="Courier New" w:hint="default"/>
      </w:rPr>
    </w:lvl>
    <w:lvl w:ilvl="5" w:tplc="08090005" w:tentative="1">
      <w:start w:val="1"/>
      <w:numFmt w:val="bullet"/>
      <w:lvlText w:val=""/>
      <w:lvlJc w:val="left"/>
      <w:pPr>
        <w:ind w:left="4596" w:hanging="360"/>
      </w:pPr>
      <w:rPr>
        <w:rFonts w:ascii="Wingdings" w:hAnsi="Wingdings" w:hint="default"/>
      </w:rPr>
    </w:lvl>
    <w:lvl w:ilvl="6" w:tplc="08090001" w:tentative="1">
      <w:start w:val="1"/>
      <w:numFmt w:val="bullet"/>
      <w:lvlText w:val=""/>
      <w:lvlJc w:val="left"/>
      <w:pPr>
        <w:ind w:left="5316" w:hanging="360"/>
      </w:pPr>
      <w:rPr>
        <w:rFonts w:ascii="Symbol" w:hAnsi="Symbol" w:hint="default"/>
      </w:rPr>
    </w:lvl>
    <w:lvl w:ilvl="7" w:tplc="08090003" w:tentative="1">
      <w:start w:val="1"/>
      <w:numFmt w:val="bullet"/>
      <w:lvlText w:val="o"/>
      <w:lvlJc w:val="left"/>
      <w:pPr>
        <w:ind w:left="6036" w:hanging="360"/>
      </w:pPr>
      <w:rPr>
        <w:rFonts w:ascii="Courier New" w:hAnsi="Courier New" w:cs="Courier New" w:hint="default"/>
      </w:rPr>
    </w:lvl>
    <w:lvl w:ilvl="8" w:tplc="08090005" w:tentative="1">
      <w:start w:val="1"/>
      <w:numFmt w:val="bullet"/>
      <w:lvlText w:val=""/>
      <w:lvlJc w:val="left"/>
      <w:pPr>
        <w:ind w:left="6756" w:hanging="360"/>
      </w:pPr>
      <w:rPr>
        <w:rFonts w:ascii="Wingdings" w:hAnsi="Wingdings" w:hint="default"/>
      </w:rPr>
    </w:lvl>
  </w:abstractNum>
  <w:abstractNum w:abstractNumId="2" w15:restartNumberingAfterBreak="0">
    <w:nsid w:val="039C3405"/>
    <w:multiLevelType w:val="hybridMultilevel"/>
    <w:tmpl w:val="DF4E5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44A59"/>
    <w:multiLevelType w:val="hybridMultilevel"/>
    <w:tmpl w:val="021A1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FA55BD"/>
    <w:multiLevelType w:val="multilevel"/>
    <w:tmpl w:val="F6B2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D251EF"/>
    <w:multiLevelType w:val="hybridMultilevel"/>
    <w:tmpl w:val="C1B26BC4"/>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7" w15:restartNumberingAfterBreak="0">
    <w:nsid w:val="1E490B30"/>
    <w:multiLevelType w:val="multilevel"/>
    <w:tmpl w:val="D7F20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7C2242"/>
    <w:multiLevelType w:val="multilevel"/>
    <w:tmpl w:val="FEE2E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D67464"/>
    <w:multiLevelType w:val="hybridMultilevel"/>
    <w:tmpl w:val="D8A00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02664F"/>
    <w:multiLevelType w:val="hybridMultilevel"/>
    <w:tmpl w:val="FE1AE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B36A3E"/>
    <w:multiLevelType w:val="multilevel"/>
    <w:tmpl w:val="2214B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AC0123"/>
    <w:multiLevelType w:val="multilevel"/>
    <w:tmpl w:val="7004E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495B3A"/>
    <w:multiLevelType w:val="hybridMultilevel"/>
    <w:tmpl w:val="32DEB5C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37C54258"/>
    <w:multiLevelType w:val="multilevel"/>
    <w:tmpl w:val="CB10A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64076E"/>
    <w:multiLevelType w:val="hybridMultilevel"/>
    <w:tmpl w:val="B860B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433143"/>
    <w:multiLevelType w:val="multilevel"/>
    <w:tmpl w:val="4BEE6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AD28F5"/>
    <w:multiLevelType w:val="hybridMultilevel"/>
    <w:tmpl w:val="4D760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6E53AC"/>
    <w:multiLevelType w:val="hybridMultilevel"/>
    <w:tmpl w:val="C434B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427B3C09"/>
    <w:multiLevelType w:val="multilevel"/>
    <w:tmpl w:val="E87EB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836B8D"/>
    <w:multiLevelType w:val="multilevel"/>
    <w:tmpl w:val="BF98A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9F664F"/>
    <w:multiLevelType w:val="multilevel"/>
    <w:tmpl w:val="7090E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F56F3F"/>
    <w:multiLevelType w:val="hybridMultilevel"/>
    <w:tmpl w:val="2AB6F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3A3D25"/>
    <w:multiLevelType w:val="hybridMultilevel"/>
    <w:tmpl w:val="E8303E6A"/>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8" w15:restartNumberingAfterBreak="0">
    <w:nsid w:val="528754CB"/>
    <w:multiLevelType w:val="hybridMultilevel"/>
    <w:tmpl w:val="DE7CB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A03CBF"/>
    <w:multiLevelType w:val="hybridMultilevel"/>
    <w:tmpl w:val="F7504C0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0" w15:restartNumberingAfterBreak="0">
    <w:nsid w:val="559A4FF5"/>
    <w:multiLevelType w:val="hybridMultilevel"/>
    <w:tmpl w:val="B70A91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6F3741C"/>
    <w:multiLevelType w:val="hybridMultilevel"/>
    <w:tmpl w:val="3B603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C8612E"/>
    <w:multiLevelType w:val="multilevel"/>
    <w:tmpl w:val="21F41552"/>
    <w:lvl w:ilvl="0">
      <w:start w:val="3"/>
      <w:numFmt w:val="decimal"/>
      <w:lvlText w:val="%1"/>
      <w:lvlJc w:val="left"/>
      <w:pPr>
        <w:ind w:left="360" w:hanging="360"/>
      </w:pPr>
      <w:rPr>
        <w:rFonts w:hint="default"/>
      </w:rPr>
    </w:lvl>
    <w:lvl w:ilvl="1">
      <w:start w:val="3"/>
      <w:numFmt w:val="decimal"/>
      <w:lvlText w:val="%1.%2"/>
      <w:lvlJc w:val="left"/>
      <w:pPr>
        <w:ind w:left="360" w:hanging="360"/>
      </w:pPr>
      <w:rPr>
        <w:rFonts w:ascii="Arial" w:hAnsi="Arial" w:cs="Arial" w:hint="default"/>
        <w:b/>
        <w:bCs/>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64460F5E"/>
    <w:multiLevelType w:val="hybridMultilevel"/>
    <w:tmpl w:val="6E645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15:restartNumberingAfterBreak="0">
    <w:nsid w:val="6B1D1290"/>
    <w:multiLevelType w:val="hybridMultilevel"/>
    <w:tmpl w:val="C09A6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2627D2F"/>
    <w:multiLevelType w:val="multilevel"/>
    <w:tmpl w:val="735E827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44424C"/>
    <w:multiLevelType w:val="multilevel"/>
    <w:tmpl w:val="4E4E7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40594C"/>
    <w:multiLevelType w:val="multilevel"/>
    <w:tmpl w:val="F5264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7BF33BF"/>
    <w:multiLevelType w:val="hybridMultilevel"/>
    <w:tmpl w:val="D7D6C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C22FA2"/>
    <w:multiLevelType w:val="hybridMultilevel"/>
    <w:tmpl w:val="6C100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3337"/>
        </w:tabs>
        <w:ind w:left="3337"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8"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C1109C"/>
    <w:multiLevelType w:val="hybridMultilevel"/>
    <w:tmpl w:val="6448B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6225712">
    <w:abstractNumId w:val="43"/>
  </w:num>
  <w:num w:numId="2" w16cid:durableId="747188340">
    <w:abstractNumId w:val="39"/>
  </w:num>
  <w:num w:numId="3" w16cid:durableId="1919750537">
    <w:abstractNumId w:val="46"/>
  </w:num>
  <w:num w:numId="4" w16cid:durableId="164788852">
    <w:abstractNumId w:val="33"/>
  </w:num>
  <w:num w:numId="5" w16cid:durableId="735323509">
    <w:abstractNumId w:val="4"/>
  </w:num>
  <w:num w:numId="6" w16cid:durableId="424033359">
    <w:abstractNumId w:val="22"/>
  </w:num>
  <w:num w:numId="7" w16cid:durableId="1335066293">
    <w:abstractNumId w:val="37"/>
  </w:num>
  <w:num w:numId="8" w16cid:durableId="662587085">
    <w:abstractNumId w:val="16"/>
  </w:num>
  <w:num w:numId="9" w16cid:durableId="2071072074">
    <w:abstractNumId w:val="35"/>
  </w:num>
  <w:num w:numId="10" w16cid:durableId="1573662111">
    <w:abstractNumId w:val="47"/>
  </w:num>
  <w:num w:numId="11" w16cid:durableId="131678057">
    <w:abstractNumId w:val="40"/>
  </w:num>
  <w:num w:numId="12" w16cid:durableId="99565733">
    <w:abstractNumId w:val="13"/>
  </w:num>
  <w:num w:numId="13" w16cid:durableId="1810784339">
    <w:abstractNumId w:val="32"/>
  </w:num>
  <w:num w:numId="14" w16cid:durableId="29957555">
    <w:abstractNumId w:val="48"/>
  </w:num>
  <w:num w:numId="15" w16cid:durableId="1042821728">
    <w:abstractNumId w:val="38"/>
  </w:num>
  <w:num w:numId="16" w16cid:durableId="633143735">
    <w:abstractNumId w:val="45"/>
  </w:num>
  <w:num w:numId="17" w16cid:durableId="1100951892">
    <w:abstractNumId w:val="12"/>
  </w:num>
  <w:num w:numId="18" w16cid:durableId="1778715021">
    <w:abstractNumId w:val="9"/>
  </w:num>
  <w:num w:numId="19" w16cid:durableId="1453936009">
    <w:abstractNumId w:val="26"/>
  </w:num>
  <w:num w:numId="20" w16cid:durableId="1835341096">
    <w:abstractNumId w:val="34"/>
  </w:num>
  <w:num w:numId="21" w16cid:durableId="215623760">
    <w:abstractNumId w:val="28"/>
  </w:num>
  <w:num w:numId="22" w16cid:durableId="1942912208">
    <w:abstractNumId w:val="49"/>
  </w:num>
  <w:num w:numId="23" w16cid:durableId="2027243754">
    <w:abstractNumId w:val="24"/>
  </w:num>
  <w:num w:numId="24" w16cid:durableId="745301768">
    <w:abstractNumId w:val="0"/>
  </w:num>
  <w:num w:numId="25" w16cid:durableId="1840541811">
    <w:abstractNumId w:val="11"/>
  </w:num>
  <w:num w:numId="26" w16cid:durableId="399866705">
    <w:abstractNumId w:val="25"/>
  </w:num>
  <w:num w:numId="27" w16cid:durableId="491063968">
    <w:abstractNumId w:val="30"/>
  </w:num>
  <w:num w:numId="28" w16cid:durableId="1152410666">
    <w:abstractNumId w:val="44"/>
  </w:num>
  <w:num w:numId="29" w16cid:durableId="1149253415">
    <w:abstractNumId w:val="14"/>
  </w:num>
  <w:num w:numId="30" w16cid:durableId="634720160">
    <w:abstractNumId w:val="41"/>
  </w:num>
  <w:num w:numId="31" w16cid:durableId="134614097">
    <w:abstractNumId w:val="18"/>
  </w:num>
  <w:num w:numId="32" w16cid:durableId="1667053029">
    <w:abstractNumId w:val="31"/>
  </w:num>
  <w:num w:numId="33" w16cid:durableId="525023775">
    <w:abstractNumId w:val="36"/>
  </w:num>
  <w:num w:numId="34" w16cid:durableId="925501893">
    <w:abstractNumId w:val="23"/>
  </w:num>
  <w:num w:numId="35" w16cid:durableId="1722053983">
    <w:abstractNumId w:val="2"/>
  </w:num>
  <w:num w:numId="36" w16cid:durableId="1071580799">
    <w:abstractNumId w:val="7"/>
  </w:num>
  <w:num w:numId="37" w16cid:durableId="1777796775">
    <w:abstractNumId w:val="42"/>
  </w:num>
  <w:num w:numId="38" w16cid:durableId="1386682880">
    <w:abstractNumId w:val="10"/>
  </w:num>
  <w:num w:numId="39" w16cid:durableId="546138996">
    <w:abstractNumId w:val="3"/>
  </w:num>
  <w:num w:numId="40" w16cid:durableId="247347579">
    <w:abstractNumId w:val="29"/>
  </w:num>
  <w:num w:numId="41" w16cid:durableId="1175152191">
    <w:abstractNumId w:val="20"/>
  </w:num>
  <w:num w:numId="42" w16cid:durableId="1845783373">
    <w:abstractNumId w:val="21"/>
  </w:num>
  <w:num w:numId="43" w16cid:durableId="1447237206">
    <w:abstractNumId w:val="19"/>
  </w:num>
  <w:num w:numId="44" w16cid:durableId="664360358">
    <w:abstractNumId w:val="17"/>
  </w:num>
  <w:num w:numId="45" w16cid:durableId="285550062">
    <w:abstractNumId w:val="8"/>
  </w:num>
  <w:num w:numId="46" w16cid:durableId="632638322">
    <w:abstractNumId w:val="5"/>
  </w:num>
  <w:num w:numId="47" w16cid:durableId="2132940670">
    <w:abstractNumId w:val="1"/>
  </w:num>
  <w:num w:numId="48" w16cid:durableId="1811364521">
    <w:abstractNumId w:val="6"/>
  </w:num>
  <w:num w:numId="49" w16cid:durableId="1024137616">
    <w:abstractNumId w:val="27"/>
  </w:num>
  <w:num w:numId="50" w16cid:durableId="1124881287">
    <w:abstractNumId w:val="15"/>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10D0E9E-6CF4-41A1-ADC1-1D37FA20A2CF}"/>
    <w:docVar w:name="dgnword-eventsink" w:val="1763225780464"/>
  </w:docVars>
  <w:rsids>
    <w:rsidRoot w:val="00BB65AC"/>
    <w:rsid w:val="00000146"/>
    <w:rsid w:val="000002AE"/>
    <w:rsid w:val="00000610"/>
    <w:rsid w:val="00001411"/>
    <w:rsid w:val="00001956"/>
    <w:rsid w:val="00001C0F"/>
    <w:rsid w:val="00001DA4"/>
    <w:rsid w:val="00001DE4"/>
    <w:rsid w:val="00002BD8"/>
    <w:rsid w:val="00002FE5"/>
    <w:rsid w:val="000031E4"/>
    <w:rsid w:val="000031F9"/>
    <w:rsid w:val="000037C3"/>
    <w:rsid w:val="000046C7"/>
    <w:rsid w:val="00004702"/>
    <w:rsid w:val="00004765"/>
    <w:rsid w:val="000051AD"/>
    <w:rsid w:val="0000640F"/>
    <w:rsid w:val="00006760"/>
    <w:rsid w:val="00007B4F"/>
    <w:rsid w:val="00007C18"/>
    <w:rsid w:val="00010A2F"/>
    <w:rsid w:val="00010C9A"/>
    <w:rsid w:val="00010CDE"/>
    <w:rsid w:val="00011022"/>
    <w:rsid w:val="000110A8"/>
    <w:rsid w:val="0001169F"/>
    <w:rsid w:val="000117B6"/>
    <w:rsid w:val="0001191D"/>
    <w:rsid w:val="00011E22"/>
    <w:rsid w:val="00012223"/>
    <w:rsid w:val="000122B4"/>
    <w:rsid w:val="00012871"/>
    <w:rsid w:val="00012E4B"/>
    <w:rsid w:val="00013D1B"/>
    <w:rsid w:val="0001411A"/>
    <w:rsid w:val="00014384"/>
    <w:rsid w:val="000147B4"/>
    <w:rsid w:val="00016193"/>
    <w:rsid w:val="0001658D"/>
    <w:rsid w:val="00016D6F"/>
    <w:rsid w:val="00017577"/>
    <w:rsid w:val="0001789F"/>
    <w:rsid w:val="00020685"/>
    <w:rsid w:val="000207C1"/>
    <w:rsid w:val="00020D46"/>
    <w:rsid w:val="0002112D"/>
    <w:rsid w:val="000211DB"/>
    <w:rsid w:val="000219CD"/>
    <w:rsid w:val="000223FC"/>
    <w:rsid w:val="00022586"/>
    <w:rsid w:val="0002268A"/>
    <w:rsid w:val="000227F7"/>
    <w:rsid w:val="00023472"/>
    <w:rsid w:val="0002473F"/>
    <w:rsid w:val="00024879"/>
    <w:rsid w:val="000248B1"/>
    <w:rsid w:val="00025776"/>
    <w:rsid w:val="000258AC"/>
    <w:rsid w:val="00026139"/>
    <w:rsid w:val="000264A2"/>
    <w:rsid w:val="000270E6"/>
    <w:rsid w:val="00027691"/>
    <w:rsid w:val="00030091"/>
    <w:rsid w:val="000300D4"/>
    <w:rsid w:val="00030444"/>
    <w:rsid w:val="0003070C"/>
    <w:rsid w:val="00030C93"/>
    <w:rsid w:val="000318DB"/>
    <w:rsid w:val="00031DE0"/>
    <w:rsid w:val="0003277D"/>
    <w:rsid w:val="00032F5F"/>
    <w:rsid w:val="00032F67"/>
    <w:rsid w:val="0003489D"/>
    <w:rsid w:val="00034C7C"/>
    <w:rsid w:val="00034ED0"/>
    <w:rsid w:val="0003565F"/>
    <w:rsid w:val="000356EE"/>
    <w:rsid w:val="000359FB"/>
    <w:rsid w:val="00035ABF"/>
    <w:rsid w:val="00035BBA"/>
    <w:rsid w:val="00036F3B"/>
    <w:rsid w:val="00036F92"/>
    <w:rsid w:val="000379BF"/>
    <w:rsid w:val="00037A43"/>
    <w:rsid w:val="00037ED3"/>
    <w:rsid w:val="000400E4"/>
    <w:rsid w:val="0004082B"/>
    <w:rsid w:val="00040A03"/>
    <w:rsid w:val="00041B6C"/>
    <w:rsid w:val="00042C3E"/>
    <w:rsid w:val="000430ED"/>
    <w:rsid w:val="000433FE"/>
    <w:rsid w:val="000438D2"/>
    <w:rsid w:val="00043DA1"/>
    <w:rsid w:val="00043E75"/>
    <w:rsid w:val="00044E21"/>
    <w:rsid w:val="00045111"/>
    <w:rsid w:val="00045306"/>
    <w:rsid w:val="00045474"/>
    <w:rsid w:val="00045BC7"/>
    <w:rsid w:val="00046350"/>
    <w:rsid w:val="00046C5C"/>
    <w:rsid w:val="0004738F"/>
    <w:rsid w:val="000473ED"/>
    <w:rsid w:val="00050770"/>
    <w:rsid w:val="00050B56"/>
    <w:rsid w:val="000513DF"/>
    <w:rsid w:val="00051C1C"/>
    <w:rsid w:val="00051CD8"/>
    <w:rsid w:val="00052967"/>
    <w:rsid w:val="00052C5F"/>
    <w:rsid w:val="00052D72"/>
    <w:rsid w:val="000533C3"/>
    <w:rsid w:val="00053538"/>
    <w:rsid w:val="000535C9"/>
    <w:rsid w:val="0005368B"/>
    <w:rsid w:val="00053B62"/>
    <w:rsid w:val="0005442D"/>
    <w:rsid w:val="00054608"/>
    <w:rsid w:val="00054620"/>
    <w:rsid w:val="000549B6"/>
    <w:rsid w:val="00054DD0"/>
    <w:rsid w:val="00054EC0"/>
    <w:rsid w:val="000552AD"/>
    <w:rsid w:val="00055C84"/>
    <w:rsid w:val="00056F11"/>
    <w:rsid w:val="00056FE1"/>
    <w:rsid w:val="0005710D"/>
    <w:rsid w:val="00057713"/>
    <w:rsid w:val="00057C06"/>
    <w:rsid w:val="00057CFC"/>
    <w:rsid w:val="000603EA"/>
    <w:rsid w:val="000606A3"/>
    <w:rsid w:val="000609A4"/>
    <w:rsid w:val="00060CC7"/>
    <w:rsid w:val="0006137B"/>
    <w:rsid w:val="00061BAE"/>
    <w:rsid w:val="00061C01"/>
    <w:rsid w:val="000621CF"/>
    <w:rsid w:val="0006271C"/>
    <w:rsid w:val="000627AE"/>
    <w:rsid w:val="00062949"/>
    <w:rsid w:val="00063B4C"/>
    <w:rsid w:val="00063DC9"/>
    <w:rsid w:val="00064025"/>
    <w:rsid w:val="000641E9"/>
    <w:rsid w:val="000643D2"/>
    <w:rsid w:val="000648E3"/>
    <w:rsid w:val="00064B8C"/>
    <w:rsid w:val="00064E57"/>
    <w:rsid w:val="000656FB"/>
    <w:rsid w:val="00065B5D"/>
    <w:rsid w:val="00066039"/>
    <w:rsid w:val="0006632B"/>
    <w:rsid w:val="00066748"/>
    <w:rsid w:val="00066AF6"/>
    <w:rsid w:val="00066E6B"/>
    <w:rsid w:val="00066E74"/>
    <w:rsid w:val="00070722"/>
    <w:rsid w:val="0007082E"/>
    <w:rsid w:val="0007139D"/>
    <w:rsid w:val="00071968"/>
    <w:rsid w:val="00071C1C"/>
    <w:rsid w:val="00072006"/>
    <w:rsid w:val="0007269A"/>
    <w:rsid w:val="000729DD"/>
    <w:rsid w:val="00073300"/>
    <w:rsid w:val="00073462"/>
    <w:rsid w:val="000749F7"/>
    <w:rsid w:val="00074EB1"/>
    <w:rsid w:val="00074EC3"/>
    <w:rsid w:val="00075275"/>
    <w:rsid w:val="00076896"/>
    <w:rsid w:val="000768C7"/>
    <w:rsid w:val="00076D93"/>
    <w:rsid w:val="000773DE"/>
    <w:rsid w:val="00077842"/>
    <w:rsid w:val="0007793A"/>
    <w:rsid w:val="00080560"/>
    <w:rsid w:val="000809CF"/>
    <w:rsid w:val="00080AE5"/>
    <w:rsid w:val="00081AEA"/>
    <w:rsid w:val="00081D8E"/>
    <w:rsid w:val="000820D0"/>
    <w:rsid w:val="00082330"/>
    <w:rsid w:val="000823F5"/>
    <w:rsid w:val="00082435"/>
    <w:rsid w:val="000829B9"/>
    <w:rsid w:val="00082F9C"/>
    <w:rsid w:val="000830BC"/>
    <w:rsid w:val="00083355"/>
    <w:rsid w:val="00083AB7"/>
    <w:rsid w:val="0008419F"/>
    <w:rsid w:val="000857ED"/>
    <w:rsid w:val="00085E7A"/>
    <w:rsid w:val="00085ECC"/>
    <w:rsid w:val="00086B99"/>
    <w:rsid w:val="00087307"/>
    <w:rsid w:val="00087597"/>
    <w:rsid w:val="000901F8"/>
    <w:rsid w:val="0009063B"/>
    <w:rsid w:val="0009097C"/>
    <w:rsid w:val="000911E2"/>
    <w:rsid w:val="000912E7"/>
    <w:rsid w:val="00091DF9"/>
    <w:rsid w:val="00094264"/>
    <w:rsid w:val="00094618"/>
    <w:rsid w:val="000948F1"/>
    <w:rsid w:val="000952C9"/>
    <w:rsid w:val="000956BB"/>
    <w:rsid w:val="0009598D"/>
    <w:rsid w:val="00095D9C"/>
    <w:rsid w:val="0009628D"/>
    <w:rsid w:val="00096719"/>
    <w:rsid w:val="00096738"/>
    <w:rsid w:val="000969AF"/>
    <w:rsid w:val="00097823"/>
    <w:rsid w:val="00097BCD"/>
    <w:rsid w:val="000A0580"/>
    <w:rsid w:val="000A0786"/>
    <w:rsid w:val="000A07BB"/>
    <w:rsid w:val="000A2D63"/>
    <w:rsid w:val="000A2DA1"/>
    <w:rsid w:val="000A31B1"/>
    <w:rsid w:val="000A33A5"/>
    <w:rsid w:val="000A3D2C"/>
    <w:rsid w:val="000A3DEF"/>
    <w:rsid w:val="000A49AF"/>
    <w:rsid w:val="000A4C4A"/>
    <w:rsid w:val="000A4EC7"/>
    <w:rsid w:val="000A5137"/>
    <w:rsid w:val="000A5B8C"/>
    <w:rsid w:val="000A73A9"/>
    <w:rsid w:val="000A788C"/>
    <w:rsid w:val="000A7A1E"/>
    <w:rsid w:val="000B00A0"/>
    <w:rsid w:val="000B0600"/>
    <w:rsid w:val="000B112E"/>
    <w:rsid w:val="000B1272"/>
    <w:rsid w:val="000B1989"/>
    <w:rsid w:val="000B2040"/>
    <w:rsid w:val="000B292A"/>
    <w:rsid w:val="000B4608"/>
    <w:rsid w:val="000B5388"/>
    <w:rsid w:val="000B553B"/>
    <w:rsid w:val="000B5608"/>
    <w:rsid w:val="000B5904"/>
    <w:rsid w:val="000B5EAC"/>
    <w:rsid w:val="000B6559"/>
    <w:rsid w:val="000B67B9"/>
    <w:rsid w:val="000B6B74"/>
    <w:rsid w:val="000B780F"/>
    <w:rsid w:val="000B7BD2"/>
    <w:rsid w:val="000C0224"/>
    <w:rsid w:val="000C0801"/>
    <w:rsid w:val="000C0A70"/>
    <w:rsid w:val="000C149B"/>
    <w:rsid w:val="000C1C6C"/>
    <w:rsid w:val="000C2EE6"/>
    <w:rsid w:val="000C3663"/>
    <w:rsid w:val="000C40FD"/>
    <w:rsid w:val="000C4146"/>
    <w:rsid w:val="000C4187"/>
    <w:rsid w:val="000C5003"/>
    <w:rsid w:val="000C6344"/>
    <w:rsid w:val="000C67E9"/>
    <w:rsid w:val="000C6903"/>
    <w:rsid w:val="000C7E54"/>
    <w:rsid w:val="000D010B"/>
    <w:rsid w:val="000D0365"/>
    <w:rsid w:val="000D05D8"/>
    <w:rsid w:val="000D0641"/>
    <w:rsid w:val="000D0C5C"/>
    <w:rsid w:val="000D158D"/>
    <w:rsid w:val="000D15B4"/>
    <w:rsid w:val="000D1E53"/>
    <w:rsid w:val="000D2177"/>
    <w:rsid w:val="000D2277"/>
    <w:rsid w:val="000D29C2"/>
    <w:rsid w:val="000D2B00"/>
    <w:rsid w:val="000D2D0D"/>
    <w:rsid w:val="000D2DDA"/>
    <w:rsid w:val="000D3338"/>
    <w:rsid w:val="000D33B2"/>
    <w:rsid w:val="000D34DE"/>
    <w:rsid w:val="000D426E"/>
    <w:rsid w:val="000D42C8"/>
    <w:rsid w:val="000D4A16"/>
    <w:rsid w:val="000D504D"/>
    <w:rsid w:val="000D505C"/>
    <w:rsid w:val="000D518D"/>
    <w:rsid w:val="000D5361"/>
    <w:rsid w:val="000D5EA9"/>
    <w:rsid w:val="000D696E"/>
    <w:rsid w:val="000D6EBF"/>
    <w:rsid w:val="000D7210"/>
    <w:rsid w:val="000D72E8"/>
    <w:rsid w:val="000D7A1F"/>
    <w:rsid w:val="000E088B"/>
    <w:rsid w:val="000E0DD4"/>
    <w:rsid w:val="000E0EA0"/>
    <w:rsid w:val="000E1E39"/>
    <w:rsid w:val="000E39F6"/>
    <w:rsid w:val="000E4153"/>
    <w:rsid w:val="000E4720"/>
    <w:rsid w:val="000E47BF"/>
    <w:rsid w:val="000E53C7"/>
    <w:rsid w:val="000E53D7"/>
    <w:rsid w:val="000E53DB"/>
    <w:rsid w:val="000E55C9"/>
    <w:rsid w:val="000E55F2"/>
    <w:rsid w:val="000E561D"/>
    <w:rsid w:val="000F03F5"/>
    <w:rsid w:val="000F0DE3"/>
    <w:rsid w:val="000F1635"/>
    <w:rsid w:val="000F1F65"/>
    <w:rsid w:val="000F20CF"/>
    <w:rsid w:val="000F2882"/>
    <w:rsid w:val="000F3284"/>
    <w:rsid w:val="000F3FFA"/>
    <w:rsid w:val="000F4DA7"/>
    <w:rsid w:val="000F52F7"/>
    <w:rsid w:val="000F5561"/>
    <w:rsid w:val="000F5905"/>
    <w:rsid w:val="000F5912"/>
    <w:rsid w:val="000F5B5D"/>
    <w:rsid w:val="000F673E"/>
    <w:rsid w:val="000F6C61"/>
    <w:rsid w:val="000F7565"/>
    <w:rsid w:val="000F7757"/>
    <w:rsid w:val="000F7AC1"/>
    <w:rsid w:val="000F7CC4"/>
    <w:rsid w:val="00100F20"/>
    <w:rsid w:val="00102A2B"/>
    <w:rsid w:val="00102E7B"/>
    <w:rsid w:val="0010326D"/>
    <w:rsid w:val="001034B3"/>
    <w:rsid w:val="00103671"/>
    <w:rsid w:val="00103A82"/>
    <w:rsid w:val="00103B79"/>
    <w:rsid w:val="00104E57"/>
    <w:rsid w:val="00105003"/>
    <w:rsid w:val="001059EA"/>
    <w:rsid w:val="00106F4E"/>
    <w:rsid w:val="001073C7"/>
    <w:rsid w:val="00107EA8"/>
    <w:rsid w:val="001106AC"/>
    <w:rsid w:val="001106FC"/>
    <w:rsid w:val="001108F3"/>
    <w:rsid w:val="00110CCA"/>
    <w:rsid w:val="00110EC0"/>
    <w:rsid w:val="00111617"/>
    <w:rsid w:val="001116FD"/>
    <w:rsid w:val="00111976"/>
    <w:rsid w:val="00111EE8"/>
    <w:rsid w:val="001124E1"/>
    <w:rsid w:val="0011327C"/>
    <w:rsid w:val="0011370C"/>
    <w:rsid w:val="00113A20"/>
    <w:rsid w:val="00113EB3"/>
    <w:rsid w:val="0011456A"/>
    <w:rsid w:val="00114A98"/>
    <w:rsid w:val="00115907"/>
    <w:rsid w:val="00115C12"/>
    <w:rsid w:val="0011628C"/>
    <w:rsid w:val="001164E5"/>
    <w:rsid w:val="001165A5"/>
    <w:rsid w:val="00116783"/>
    <w:rsid w:val="001167FA"/>
    <w:rsid w:val="00116B13"/>
    <w:rsid w:val="00116DC3"/>
    <w:rsid w:val="00117118"/>
    <w:rsid w:val="001171D3"/>
    <w:rsid w:val="0011751C"/>
    <w:rsid w:val="001175AD"/>
    <w:rsid w:val="00117B94"/>
    <w:rsid w:val="00120216"/>
    <w:rsid w:val="001207A5"/>
    <w:rsid w:val="00120B9A"/>
    <w:rsid w:val="0012193F"/>
    <w:rsid w:val="00121AF2"/>
    <w:rsid w:val="00121DDA"/>
    <w:rsid w:val="00122555"/>
    <w:rsid w:val="00123611"/>
    <w:rsid w:val="00124C12"/>
    <w:rsid w:val="00125634"/>
    <w:rsid w:val="001257E4"/>
    <w:rsid w:val="00125DEB"/>
    <w:rsid w:val="00125EE2"/>
    <w:rsid w:val="001265D1"/>
    <w:rsid w:val="00126AC8"/>
    <w:rsid w:val="00127272"/>
    <w:rsid w:val="00127F28"/>
    <w:rsid w:val="0013056B"/>
    <w:rsid w:val="001313E0"/>
    <w:rsid w:val="00131BB0"/>
    <w:rsid w:val="00131D32"/>
    <w:rsid w:val="00132404"/>
    <w:rsid w:val="00132609"/>
    <w:rsid w:val="00134123"/>
    <w:rsid w:val="0013437C"/>
    <w:rsid w:val="00134768"/>
    <w:rsid w:val="00135346"/>
    <w:rsid w:val="00135E48"/>
    <w:rsid w:val="00136F35"/>
    <w:rsid w:val="0013702D"/>
    <w:rsid w:val="00137366"/>
    <w:rsid w:val="001377B3"/>
    <w:rsid w:val="001378F2"/>
    <w:rsid w:val="00137CB0"/>
    <w:rsid w:val="00137E38"/>
    <w:rsid w:val="00137E5F"/>
    <w:rsid w:val="00140741"/>
    <w:rsid w:val="001409D0"/>
    <w:rsid w:val="00140C2C"/>
    <w:rsid w:val="00140D4C"/>
    <w:rsid w:val="00140EA9"/>
    <w:rsid w:val="00141047"/>
    <w:rsid w:val="00141B75"/>
    <w:rsid w:val="00141FF0"/>
    <w:rsid w:val="0014200D"/>
    <w:rsid w:val="00142505"/>
    <w:rsid w:val="00142730"/>
    <w:rsid w:val="00143528"/>
    <w:rsid w:val="00143542"/>
    <w:rsid w:val="00143DF4"/>
    <w:rsid w:val="0014432C"/>
    <w:rsid w:val="00144FA7"/>
    <w:rsid w:val="00145B04"/>
    <w:rsid w:val="00146B49"/>
    <w:rsid w:val="00146F97"/>
    <w:rsid w:val="001474BC"/>
    <w:rsid w:val="00147F4B"/>
    <w:rsid w:val="0015074A"/>
    <w:rsid w:val="00150BE9"/>
    <w:rsid w:val="001513BC"/>
    <w:rsid w:val="00151CA5"/>
    <w:rsid w:val="001535BF"/>
    <w:rsid w:val="00153D8E"/>
    <w:rsid w:val="00154517"/>
    <w:rsid w:val="00154863"/>
    <w:rsid w:val="001548CC"/>
    <w:rsid w:val="0015520A"/>
    <w:rsid w:val="00156F96"/>
    <w:rsid w:val="001601E6"/>
    <w:rsid w:val="00160569"/>
    <w:rsid w:val="00160704"/>
    <w:rsid w:val="00160C3A"/>
    <w:rsid w:val="00161702"/>
    <w:rsid w:val="001617D7"/>
    <w:rsid w:val="00162499"/>
    <w:rsid w:val="00162792"/>
    <w:rsid w:val="00163D0F"/>
    <w:rsid w:val="00163F23"/>
    <w:rsid w:val="00164213"/>
    <w:rsid w:val="00164BDB"/>
    <w:rsid w:val="00164F20"/>
    <w:rsid w:val="001653F6"/>
    <w:rsid w:val="00165B2A"/>
    <w:rsid w:val="00166056"/>
    <w:rsid w:val="0016633E"/>
    <w:rsid w:val="00167135"/>
    <w:rsid w:val="00167775"/>
    <w:rsid w:val="001707A4"/>
    <w:rsid w:val="00170A71"/>
    <w:rsid w:val="00170BAF"/>
    <w:rsid w:val="00170DEF"/>
    <w:rsid w:val="00171B14"/>
    <w:rsid w:val="00172250"/>
    <w:rsid w:val="0017313F"/>
    <w:rsid w:val="001736DF"/>
    <w:rsid w:val="00173A5A"/>
    <w:rsid w:val="00173E0D"/>
    <w:rsid w:val="001742EE"/>
    <w:rsid w:val="0017464A"/>
    <w:rsid w:val="0017660C"/>
    <w:rsid w:val="00176E4F"/>
    <w:rsid w:val="00176F07"/>
    <w:rsid w:val="0017729B"/>
    <w:rsid w:val="001779D6"/>
    <w:rsid w:val="00180A66"/>
    <w:rsid w:val="00180A89"/>
    <w:rsid w:val="00181089"/>
    <w:rsid w:val="00181253"/>
    <w:rsid w:val="0018156D"/>
    <w:rsid w:val="00181DA7"/>
    <w:rsid w:val="0018218C"/>
    <w:rsid w:val="001821C5"/>
    <w:rsid w:val="00182690"/>
    <w:rsid w:val="00182BB2"/>
    <w:rsid w:val="00183601"/>
    <w:rsid w:val="00183841"/>
    <w:rsid w:val="00183AEE"/>
    <w:rsid w:val="00183B90"/>
    <w:rsid w:val="00183C7A"/>
    <w:rsid w:val="001847F4"/>
    <w:rsid w:val="0018488A"/>
    <w:rsid w:val="00184A58"/>
    <w:rsid w:val="00185781"/>
    <w:rsid w:val="00185B6E"/>
    <w:rsid w:val="0018673A"/>
    <w:rsid w:val="00186F17"/>
    <w:rsid w:val="00187568"/>
    <w:rsid w:val="00192250"/>
    <w:rsid w:val="001922D0"/>
    <w:rsid w:val="001923AE"/>
    <w:rsid w:val="0019296B"/>
    <w:rsid w:val="0019462D"/>
    <w:rsid w:val="0019492E"/>
    <w:rsid w:val="00194C6E"/>
    <w:rsid w:val="0019513D"/>
    <w:rsid w:val="00195A68"/>
    <w:rsid w:val="00196F5B"/>
    <w:rsid w:val="00197215"/>
    <w:rsid w:val="001977CE"/>
    <w:rsid w:val="001A0184"/>
    <w:rsid w:val="001A05A5"/>
    <w:rsid w:val="001A07B2"/>
    <w:rsid w:val="001A0FA5"/>
    <w:rsid w:val="001A139E"/>
    <w:rsid w:val="001A16EC"/>
    <w:rsid w:val="001A2370"/>
    <w:rsid w:val="001A2988"/>
    <w:rsid w:val="001A2A76"/>
    <w:rsid w:val="001A2CE0"/>
    <w:rsid w:val="001A3024"/>
    <w:rsid w:val="001A348D"/>
    <w:rsid w:val="001A3849"/>
    <w:rsid w:val="001A3990"/>
    <w:rsid w:val="001A3A28"/>
    <w:rsid w:val="001A41E9"/>
    <w:rsid w:val="001A4661"/>
    <w:rsid w:val="001A4BE2"/>
    <w:rsid w:val="001A4F7B"/>
    <w:rsid w:val="001A5D6B"/>
    <w:rsid w:val="001A5FCF"/>
    <w:rsid w:val="001A688B"/>
    <w:rsid w:val="001A6BA2"/>
    <w:rsid w:val="001A724C"/>
    <w:rsid w:val="001A72AD"/>
    <w:rsid w:val="001A7385"/>
    <w:rsid w:val="001A7A34"/>
    <w:rsid w:val="001B0451"/>
    <w:rsid w:val="001B0A39"/>
    <w:rsid w:val="001B212E"/>
    <w:rsid w:val="001B217F"/>
    <w:rsid w:val="001B33EA"/>
    <w:rsid w:val="001B38F7"/>
    <w:rsid w:val="001B3D01"/>
    <w:rsid w:val="001B466C"/>
    <w:rsid w:val="001B4C29"/>
    <w:rsid w:val="001B4FD4"/>
    <w:rsid w:val="001B58E4"/>
    <w:rsid w:val="001B5B15"/>
    <w:rsid w:val="001B64A1"/>
    <w:rsid w:val="001B7E6B"/>
    <w:rsid w:val="001C02FC"/>
    <w:rsid w:val="001C04B2"/>
    <w:rsid w:val="001C18D7"/>
    <w:rsid w:val="001C1B81"/>
    <w:rsid w:val="001C1DE3"/>
    <w:rsid w:val="001C1E52"/>
    <w:rsid w:val="001C21E0"/>
    <w:rsid w:val="001C2EF3"/>
    <w:rsid w:val="001C30E2"/>
    <w:rsid w:val="001C363C"/>
    <w:rsid w:val="001C3661"/>
    <w:rsid w:val="001C3947"/>
    <w:rsid w:val="001C3AF6"/>
    <w:rsid w:val="001C3E0D"/>
    <w:rsid w:val="001C48E6"/>
    <w:rsid w:val="001C4EB0"/>
    <w:rsid w:val="001C5152"/>
    <w:rsid w:val="001C7131"/>
    <w:rsid w:val="001D0813"/>
    <w:rsid w:val="001D0CDD"/>
    <w:rsid w:val="001D0EB4"/>
    <w:rsid w:val="001D0F64"/>
    <w:rsid w:val="001D1381"/>
    <w:rsid w:val="001D1485"/>
    <w:rsid w:val="001D182C"/>
    <w:rsid w:val="001D22EB"/>
    <w:rsid w:val="001D305A"/>
    <w:rsid w:val="001D37A2"/>
    <w:rsid w:val="001D40D1"/>
    <w:rsid w:val="001D4B04"/>
    <w:rsid w:val="001D4FA7"/>
    <w:rsid w:val="001D61E2"/>
    <w:rsid w:val="001D635A"/>
    <w:rsid w:val="001D63AC"/>
    <w:rsid w:val="001D6CEA"/>
    <w:rsid w:val="001D7037"/>
    <w:rsid w:val="001D703F"/>
    <w:rsid w:val="001E068C"/>
    <w:rsid w:val="001E20FC"/>
    <w:rsid w:val="001E226B"/>
    <w:rsid w:val="001E2382"/>
    <w:rsid w:val="001E2DCD"/>
    <w:rsid w:val="001E2EF9"/>
    <w:rsid w:val="001E3E24"/>
    <w:rsid w:val="001E40E4"/>
    <w:rsid w:val="001E41C5"/>
    <w:rsid w:val="001E45F5"/>
    <w:rsid w:val="001E4629"/>
    <w:rsid w:val="001E4F0A"/>
    <w:rsid w:val="001E54A5"/>
    <w:rsid w:val="001E633E"/>
    <w:rsid w:val="001E68FC"/>
    <w:rsid w:val="001E6A4C"/>
    <w:rsid w:val="001E78E0"/>
    <w:rsid w:val="001E7A64"/>
    <w:rsid w:val="001F018F"/>
    <w:rsid w:val="001F07D9"/>
    <w:rsid w:val="001F0EBD"/>
    <w:rsid w:val="001F11B6"/>
    <w:rsid w:val="001F1399"/>
    <w:rsid w:val="001F19A6"/>
    <w:rsid w:val="001F1AA6"/>
    <w:rsid w:val="001F21AE"/>
    <w:rsid w:val="001F29B6"/>
    <w:rsid w:val="001F3272"/>
    <w:rsid w:val="001F3F16"/>
    <w:rsid w:val="001F4294"/>
    <w:rsid w:val="001F57BD"/>
    <w:rsid w:val="001F587F"/>
    <w:rsid w:val="001F599B"/>
    <w:rsid w:val="001F62CF"/>
    <w:rsid w:val="001F64B8"/>
    <w:rsid w:val="001F67AF"/>
    <w:rsid w:val="001F7611"/>
    <w:rsid w:val="001F79B2"/>
    <w:rsid w:val="0020104B"/>
    <w:rsid w:val="002018D6"/>
    <w:rsid w:val="0020199E"/>
    <w:rsid w:val="00201AA7"/>
    <w:rsid w:val="0020209C"/>
    <w:rsid w:val="00202666"/>
    <w:rsid w:val="002028F8"/>
    <w:rsid w:val="00202B61"/>
    <w:rsid w:val="00203F4C"/>
    <w:rsid w:val="00204443"/>
    <w:rsid w:val="00204836"/>
    <w:rsid w:val="002048C3"/>
    <w:rsid w:val="00204A51"/>
    <w:rsid w:val="00204FE7"/>
    <w:rsid w:val="0020521B"/>
    <w:rsid w:val="00205801"/>
    <w:rsid w:val="00205B31"/>
    <w:rsid w:val="00205C91"/>
    <w:rsid w:val="00205DE7"/>
    <w:rsid w:val="00205F42"/>
    <w:rsid w:val="00206CFA"/>
    <w:rsid w:val="00206D22"/>
    <w:rsid w:val="00207BB6"/>
    <w:rsid w:val="002108BD"/>
    <w:rsid w:val="00211184"/>
    <w:rsid w:val="002113C8"/>
    <w:rsid w:val="00211530"/>
    <w:rsid w:val="00211B65"/>
    <w:rsid w:val="002125EF"/>
    <w:rsid w:val="0021364B"/>
    <w:rsid w:val="00213FD1"/>
    <w:rsid w:val="002143F1"/>
    <w:rsid w:val="00214AE1"/>
    <w:rsid w:val="00215277"/>
    <w:rsid w:val="00216603"/>
    <w:rsid w:val="00216CB1"/>
    <w:rsid w:val="0021706E"/>
    <w:rsid w:val="0021782A"/>
    <w:rsid w:val="00220842"/>
    <w:rsid w:val="00221D5E"/>
    <w:rsid w:val="00221FC1"/>
    <w:rsid w:val="0022271A"/>
    <w:rsid w:val="00222A55"/>
    <w:rsid w:val="00222BDE"/>
    <w:rsid w:val="002244D4"/>
    <w:rsid w:val="00224602"/>
    <w:rsid w:val="00224727"/>
    <w:rsid w:val="00224F38"/>
    <w:rsid w:val="002258B7"/>
    <w:rsid w:val="00225D57"/>
    <w:rsid w:val="002274E4"/>
    <w:rsid w:val="002275B4"/>
    <w:rsid w:val="00227D8D"/>
    <w:rsid w:val="00230BD3"/>
    <w:rsid w:val="00230F1A"/>
    <w:rsid w:val="00231536"/>
    <w:rsid w:val="00231AC7"/>
    <w:rsid w:val="00231FE2"/>
    <w:rsid w:val="00232010"/>
    <w:rsid w:val="0023262F"/>
    <w:rsid w:val="002337B0"/>
    <w:rsid w:val="00233F41"/>
    <w:rsid w:val="0023437D"/>
    <w:rsid w:val="00235288"/>
    <w:rsid w:val="00235960"/>
    <w:rsid w:val="00235B56"/>
    <w:rsid w:val="00235D6A"/>
    <w:rsid w:val="002361BF"/>
    <w:rsid w:val="00236C88"/>
    <w:rsid w:val="0023726A"/>
    <w:rsid w:val="00240098"/>
    <w:rsid w:val="002400AD"/>
    <w:rsid w:val="002403E8"/>
    <w:rsid w:val="00240504"/>
    <w:rsid w:val="00240D5B"/>
    <w:rsid w:val="00240FFB"/>
    <w:rsid w:val="00241329"/>
    <w:rsid w:val="002413F6"/>
    <w:rsid w:val="00241BC2"/>
    <w:rsid w:val="00242088"/>
    <w:rsid w:val="0024236B"/>
    <w:rsid w:val="0024257B"/>
    <w:rsid w:val="002425ED"/>
    <w:rsid w:val="00242682"/>
    <w:rsid w:val="00243D90"/>
    <w:rsid w:val="0024527A"/>
    <w:rsid w:val="00246E04"/>
    <w:rsid w:val="00247CDC"/>
    <w:rsid w:val="00250179"/>
    <w:rsid w:val="00250184"/>
    <w:rsid w:val="0025020C"/>
    <w:rsid w:val="00251537"/>
    <w:rsid w:val="002515D7"/>
    <w:rsid w:val="00251CF1"/>
    <w:rsid w:val="00251FB6"/>
    <w:rsid w:val="0025295C"/>
    <w:rsid w:val="00252D26"/>
    <w:rsid w:val="00252F67"/>
    <w:rsid w:val="00253E55"/>
    <w:rsid w:val="002543C8"/>
    <w:rsid w:val="002559EF"/>
    <w:rsid w:val="00255A79"/>
    <w:rsid w:val="00256951"/>
    <w:rsid w:val="00256BD7"/>
    <w:rsid w:val="00256D2F"/>
    <w:rsid w:val="002573E6"/>
    <w:rsid w:val="00257B6B"/>
    <w:rsid w:val="00260EFA"/>
    <w:rsid w:val="002612E3"/>
    <w:rsid w:val="00261400"/>
    <w:rsid w:val="00261B34"/>
    <w:rsid w:val="002622A8"/>
    <w:rsid w:val="00262ACD"/>
    <w:rsid w:val="002644E6"/>
    <w:rsid w:val="00264AF8"/>
    <w:rsid w:val="00264E6A"/>
    <w:rsid w:val="00264E99"/>
    <w:rsid w:val="00265CA3"/>
    <w:rsid w:val="002669F1"/>
    <w:rsid w:val="00266A32"/>
    <w:rsid w:val="00266AAE"/>
    <w:rsid w:val="00266B67"/>
    <w:rsid w:val="00266CF5"/>
    <w:rsid w:val="002679F7"/>
    <w:rsid w:val="00267BA1"/>
    <w:rsid w:val="00270B30"/>
    <w:rsid w:val="00270D1F"/>
    <w:rsid w:val="0027148E"/>
    <w:rsid w:val="002719CE"/>
    <w:rsid w:val="00271E0F"/>
    <w:rsid w:val="002725B4"/>
    <w:rsid w:val="00272C04"/>
    <w:rsid w:val="002730AF"/>
    <w:rsid w:val="00273212"/>
    <w:rsid w:val="002745C0"/>
    <w:rsid w:val="00274B66"/>
    <w:rsid w:val="002750A8"/>
    <w:rsid w:val="002754D7"/>
    <w:rsid w:val="002757B6"/>
    <w:rsid w:val="00276033"/>
    <w:rsid w:val="0027625A"/>
    <w:rsid w:val="002770B6"/>
    <w:rsid w:val="00277DF9"/>
    <w:rsid w:val="00280190"/>
    <w:rsid w:val="002806BD"/>
    <w:rsid w:val="00280C47"/>
    <w:rsid w:val="0028139C"/>
    <w:rsid w:val="00282427"/>
    <w:rsid w:val="00282A19"/>
    <w:rsid w:val="00282DB2"/>
    <w:rsid w:val="00283CA5"/>
    <w:rsid w:val="00284004"/>
    <w:rsid w:val="0028461C"/>
    <w:rsid w:val="00284F9E"/>
    <w:rsid w:val="002859BB"/>
    <w:rsid w:val="00285C1D"/>
    <w:rsid w:val="002865F5"/>
    <w:rsid w:val="0028688B"/>
    <w:rsid w:val="00286E38"/>
    <w:rsid w:val="00287626"/>
    <w:rsid w:val="00287F17"/>
    <w:rsid w:val="002909CC"/>
    <w:rsid w:val="00290EB3"/>
    <w:rsid w:val="002913F7"/>
    <w:rsid w:val="00292089"/>
    <w:rsid w:val="00292371"/>
    <w:rsid w:val="00292447"/>
    <w:rsid w:val="00292A36"/>
    <w:rsid w:val="00293492"/>
    <w:rsid w:val="00293A0A"/>
    <w:rsid w:val="00293B44"/>
    <w:rsid w:val="00293E92"/>
    <w:rsid w:val="0029567A"/>
    <w:rsid w:val="002966EF"/>
    <w:rsid w:val="00296A9F"/>
    <w:rsid w:val="00296F14"/>
    <w:rsid w:val="00297E64"/>
    <w:rsid w:val="002A0483"/>
    <w:rsid w:val="002A0F5E"/>
    <w:rsid w:val="002A199B"/>
    <w:rsid w:val="002A23DB"/>
    <w:rsid w:val="002A3E54"/>
    <w:rsid w:val="002A4091"/>
    <w:rsid w:val="002A4616"/>
    <w:rsid w:val="002A4810"/>
    <w:rsid w:val="002A5B3A"/>
    <w:rsid w:val="002A6347"/>
    <w:rsid w:val="002A668F"/>
    <w:rsid w:val="002B0031"/>
    <w:rsid w:val="002B07D1"/>
    <w:rsid w:val="002B0901"/>
    <w:rsid w:val="002B0CCF"/>
    <w:rsid w:val="002B0DB3"/>
    <w:rsid w:val="002B124A"/>
    <w:rsid w:val="002B2FB5"/>
    <w:rsid w:val="002B3076"/>
    <w:rsid w:val="002B3884"/>
    <w:rsid w:val="002B39DE"/>
    <w:rsid w:val="002B3DFD"/>
    <w:rsid w:val="002B3E31"/>
    <w:rsid w:val="002B404B"/>
    <w:rsid w:val="002B4125"/>
    <w:rsid w:val="002B4155"/>
    <w:rsid w:val="002B4C2F"/>
    <w:rsid w:val="002B54F4"/>
    <w:rsid w:val="002B590A"/>
    <w:rsid w:val="002B5A18"/>
    <w:rsid w:val="002B61FE"/>
    <w:rsid w:val="002B638A"/>
    <w:rsid w:val="002B6943"/>
    <w:rsid w:val="002C05A5"/>
    <w:rsid w:val="002C06F1"/>
    <w:rsid w:val="002C12FB"/>
    <w:rsid w:val="002C196E"/>
    <w:rsid w:val="002C1D21"/>
    <w:rsid w:val="002C1FF2"/>
    <w:rsid w:val="002C225F"/>
    <w:rsid w:val="002C2E76"/>
    <w:rsid w:val="002C38CA"/>
    <w:rsid w:val="002C3A42"/>
    <w:rsid w:val="002C4021"/>
    <w:rsid w:val="002C4182"/>
    <w:rsid w:val="002C4820"/>
    <w:rsid w:val="002C4E62"/>
    <w:rsid w:val="002C512E"/>
    <w:rsid w:val="002C517F"/>
    <w:rsid w:val="002C5774"/>
    <w:rsid w:val="002C5EC5"/>
    <w:rsid w:val="002C6D33"/>
    <w:rsid w:val="002C7E24"/>
    <w:rsid w:val="002D04D9"/>
    <w:rsid w:val="002D11E7"/>
    <w:rsid w:val="002D1241"/>
    <w:rsid w:val="002D1836"/>
    <w:rsid w:val="002D1BCB"/>
    <w:rsid w:val="002D1F82"/>
    <w:rsid w:val="002D258F"/>
    <w:rsid w:val="002D3670"/>
    <w:rsid w:val="002D3BA2"/>
    <w:rsid w:val="002D43AC"/>
    <w:rsid w:val="002D4413"/>
    <w:rsid w:val="002D4476"/>
    <w:rsid w:val="002D44A5"/>
    <w:rsid w:val="002D4CF1"/>
    <w:rsid w:val="002D5077"/>
    <w:rsid w:val="002D5352"/>
    <w:rsid w:val="002D5704"/>
    <w:rsid w:val="002D5A31"/>
    <w:rsid w:val="002D5F1B"/>
    <w:rsid w:val="002D64A3"/>
    <w:rsid w:val="002D7794"/>
    <w:rsid w:val="002D790E"/>
    <w:rsid w:val="002E00A0"/>
    <w:rsid w:val="002E0E85"/>
    <w:rsid w:val="002E1088"/>
    <w:rsid w:val="002E1139"/>
    <w:rsid w:val="002E14A5"/>
    <w:rsid w:val="002E1669"/>
    <w:rsid w:val="002E1D79"/>
    <w:rsid w:val="002E28CD"/>
    <w:rsid w:val="002E2F33"/>
    <w:rsid w:val="002E339C"/>
    <w:rsid w:val="002E3BDD"/>
    <w:rsid w:val="002E3CB5"/>
    <w:rsid w:val="002E3DF3"/>
    <w:rsid w:val="002E43ED"/>
    <w:rsid w:val="002E4F9B"/>
    <w:rsid w:val="002E4FA3"/>
    <w:rsid w:val="002E53B0"/>
    <w:rsid w:val="002E66CD"/>
    <w:rsid w:val="002E6AB7"/>
    <w:rsid w:val="002E6B8A"/>
    <w:rsid w:val="002E6D78"/>
    <w:rsid w:val="002E7CD5"/>
    <w:rsid w:val="002F06B7"/>
    <w:rsid w:val="002F0B08"/>
    <w:rsid w:val="002F0D62"/>
    <w:rsid w:val="002F1165"/>
    <w:rsid w:val="002F16A2"/>
    <w:rsid w:val="002F1913"/>
    <w:rsid w:val="002F29E3"/>
    <w:rsid w:val="002F4100"/>
    <w:rsid w:val="002F42C2"/>
    <w:rsid w:val="002F4746"/>
    <w:rsid w:val="002F4973"/>
    <w:rsid w:val="002F4AA3"/>
    <w:rsid w:val="002F4C17"/>
    <w:rsid w:val="002F527B"/>
    <w:rsid w:val="002F5E53"/>
    <w:rsid w:val="002F5ECA"/>
    <w:rsid w:val="002F67EA"/>
    <w:rsid w:val="002F6B01"/>
    <w:rsid w:val="002F7045"/>
    <w:rsid w:val="00300684"/>
    <w:rsid w:val="0030094C"/>
    <w:rsid w:val="00300D9A"/>
    <w:rsid w:val="00301154"/>
    <w:rsid w:val="00301495"/>
    <w:rsid w:val="00301A06"/>
    <w:rsid w:val="00302063"/>
    <w:rsid w:val="00302A74"/>
    <w:rsid w:val="00302CA2"/>
    <w:rsid w:val="00302D8E"/>
    <w:rsid w:val="0030376E"/>
    <w:rsid w:val="003045C1"/>
    <w:rsid w:val="003045DC"/>
    <w:rsid w:val="0030462D"/>
    <w:rsid w:val="00304B3C"/>
    <w:rsid w:val="00304C01"/>
    <w:rsid w:val="003052A6"/>
    <w:rsid w:val="00305CC9"/>
    <w:rsid w:val="003065CA"/>
    <w:rsid w:val="0030799B"/>
    <w:rsid w:val="00310770"/>
    <w:rsid w:val="00310EBA"/>
    <w:rsid w:val="00310F54"/>
    <w:rsid w:val="00311650"/>
    <w:rsid w:val="00311A9A"/>
    <w:rsid w:val="00312A5A"/>
    <w:rsid w:val="00312B25"/>
    <w:rsid w:val="00313484"/>
    <w:rsid w:val="003135AD"/>
    <w:rsid w:val="00313DE0"/>
    <w:rsid w:val="00314BAE"/>
    <w:rsid w:val="00314F2B"/>
    <w:rsid w:val="00315A58"/>
    <w:rsid w:val="00315C98"/>
    <w:rsid w:val="00315DA9"/>
    <w:rsid w:val="00315F51"/>
    <w:rsid w:val="00316607"/>
    <w:rsid w:val="00316751"/>
    <w:rsid w:val="00316C12"/>
    <w:rsid w:val="0031735B"/>
    <w:rsid w:val="00320AB6"/>
    <w:rsid w:val="0032122C"/>
    <w:rsid w:val="00321745"/>
    <w:rsid w:val="00322356"/>
    <w:rsid w:val="0032250D"/>
    <w:rsid w:val="00322A44"/>
    <w:rsid w:val="003238E6"/>
    <w:rsid w:val="00323E4A"/>
    <w:rsid w:val="00324A00"/>
    <w:rsid w:val="0032510E"/>
    <w:rsid w:val="00325657"/>
    <w:rsid w:val="0032607C"/>
    <w:rsid w:val="00327052"/>
    <w:rsid w:val="003273CA"/>
    <w:rsid w:val="003300C1"/>
    <w:rsid w:val="0033067B"/>
    <w:rsid w:val="00330AEA"/>
    <w:rsid w:val="0033122D"/>
    <w:rsid w:val="00331246"/>
    <w:rsid w:val="003312C8"/>
    <w:rsid w:val="0033134B"/>
    <w:rsid w:val="003323CC"/>
    <w:rsid w:val="00332D01"/>
    <w:rsid w:val="00332F3F"/>
    <w:rsid w:val="0033363D"/>
    <w:rsid w:val="00333A01"/>
    <w:rsid w:val="00334195"/>
    <w:rsid w:val="003346CF"/>
    <w:rsid w:val="00335057"/>
    <w:rsid w:val="003350FC"/>
    <w:rsid w:val="003352EB"/>
    <w:rsid w:val="003354A5"/>
    <w:rsid w:val="00335524"/>
    <w:rsid w:val="003355F3"/>
    <w:rsid w:val="00335D86"/>
    <w:rsid w:val="00335FDC"/>
    <w:rsid w:val="00336F79"/>
    <w:rsid w:val="00340986"/>
    <w:rsid w:val="00341239"/>
    <w:rsid w:val="00341349"/>
    <w:rsid w:val="003413E5"/>
    <w:rsid w:val="003414BF"/>
    <w:rsid w:val="00341DF0"/>
    <w:rsid w:val="00341F1C"/>
    <w:rsid w:val="003423FD"/>
    <w:rsid w:val="003424AB"/>
    <w:rsid w:val="003424E2"/>
    <w:rsid w:val="00343436"/>
    <w:rsid w:val="00343679"/>
    <w:rsid w:val="00343D54"/>
    <w:rsid w:val="003443AF"/>
    <w:rsid w:val="003448E8"/>
    <w:rsid w:val="00344D27"/>
    <w:rsid w:val="00345034"/>
    <w:rsid w:val="00346062"/>
    <w:rsid w:val="003461FB"/>
    <w:rsid w:val="0034652B"/>
    <w:rsid w:val="00346C5A"/>
    <w:rsid w:val="00347208"/>
    <w:rsid w:val="0034750D"/>
    <w:rsid w:val="003476FC"/>
    <w:rsid w:val="00347AC0"/>
    <w:rsid w:val="00347C4F"/>
    <w:rsid w:val="00350E96"/>
    <w:rsid w:val="003516F7"/>
    <w:rsid w:val="00351B95"/>
    <w:rsid w:val="003528B1"/>
    <w:rsid w:val="003530A7"/>
    <w:rsid w:val="00353163"/>
    <w:rsid w:val="0035363C"/>
    <w:rsid w:val="00353F20"/>
    <w:rsid w:val="00354BD6"/>
    <w:rsid w:val="003558BB"/>
    <w:rsid w:val="00355BF4"/>
    <w:rsid w:val="00355C00"/>
    <w:rsid w:val="0035687F"/>
    <w:rsid w:val="00356DC5"/>
    <w:rsid w:val="00357554"/>
    <w:rsid w:val="00357B14"/>
    <w:rsid w:val="00357E89"/>
    <w:rsid w:val="00357E8F"/>
    <w:rsid w:val="003600C1"/>
    <w:rsid w:val="0036095C"/>
    <w:rsid w:val="003609A2"/>
    <w:rsid w:val="00360D9F"/>
    <w:rsid w:val="00361DCF"/>
    <w:rsid w:val="00361E78"/>
    <w:rsid w:val="00362502"/>
    <w:rsid w:val="00362E29"/>
    <w:rsid w:val="00363066"/>
    <w:rsid w:val="003649F4"/>
    <w:rsid w:val="00364E14"/>
    <w:rsid w:val="00365106"/>
    <w:rsid w:val="003653D9"/>
    <w:rsid w:val="003654E6"/>
    <w:rsid w:val="003656AE"/>
    <w:rsid w:val="0036579B"/>
    <w:rsid w:val="003664E7"/>
    <w:rsid w:val="00366FE7"/>
    <w:rsid w:val="003702B8"/>
    <w:rsid w:val="003705CF"/>
    <w:rsid w:val="003709B9"/>
    <w:rsid w:val="00370A0F"/>
    <w:rsid w:val="00370AA5"/>
    <w:rsid w:val="00370C6B"/>
    <w:rsid w:val="00371877"/>
    <w:rsid w:val="00371AE0"/>
    <w:rsid w:val="00371D9B"/>
    <w:rsid w:val="00371F77"/>
    <w:rsid w:val="00372820"/>
    <w:rsid w:val="0037291A"/>
    <w:rsid w:val="00372A36"/>
    <w:rsid w:val="00372A37"/>
    <w:rsid w:val="0037365B"/>
    <w:rsid w:val="00373B9F"/>
    <w:rsid w:val="003741CD"/>
    <w:rsid w:val="00374C10"/>
    <w:rsid w:val="003750C2"/>
    <w:rsid w:val="0037656C"/>
    <w:rsid w:val="003770EA"/>
    <w:rsid w:val="0038112A"/>
    <w:rsid w:val="00381A17"/>
    <w:rsid w:val="00381AAE"/>
    <w:rsid w:val="00381AEF"/>
    <w:rsid w:val="00382417"/>
    <w:rsid w:val="003828AE"/>
    <w:rsid w:val="003828B0"/>
    <w:rsid w:val="00382BA5"/>
    <w:rsid w:val="00382C52"/>
    <w:rsid w:val="0038362B"/>
    <w:rsid w:val="00384EDE"/>
    <w:rsid w:val="003864DF"/>
    <w:rsid w:val="00386A75"/>
    <w:rsid w:val="00386A81"/>
    <w:rsid w:val="00387B52"/>
    <w:rsid w:val="0039006B"/>
    <w:rsid w:val="0039014E"/>
    <w:rsid w:val="0039044D"/>
    <w:rsid w:val="00391300"/>
    <w:rsid w:val="00391541"/>
    <w:rsid w:val="00391581"/>
    <w:rsid w:val="0039164C"/>
    <w:rsid w:val="00392002"/>
    <w:rsid w:val="00393F39"/>
    <w:rsid w:val="003948DD"/>
    <w:rsid w:val="00394913"/>
    <w:rsid w:val="00394AE7"/>
    <w:rsid w:val="00394E69"/>
    <w:rsid w:val="003950EB"/>
    <w:rsid w:val="003960D1"/>
    <w:rsid w:val="003962C7"/>
    <w:rsid w:val="0039744B"/>
    <w:rsid w:val="0039758C"/>
    <w:rsid w:val="00397BD9"/>
    <w:rsid w:val="00397D32"/>
    <w:rsid w:val="00397FC8"/>
    <w:rsid w:val="003A0081"/>
    <w:rsid w:val="003A038D"/>
    <w:rsid w:val="003A0CB2"/>
    <w:rsid w:val="003A1AE5"/>
    <w:rsid w:val="003A1EEE"/>
    <w:rsid w:val="003A22F9"/>
    <w:rsid w:val="003A2411"/>
    <w:rsid w:val="003A2E25"/>
    <w:rsid w:val="003A3E5B"/>
    <w:rsid w:val="003A3F29"/>
    <w:rsid w:val="003A4A66"/>
    <w:rsid w:val="003A52CB"/>
    <w:rsid w:val="003A53F9"/>
    <w:rsid w:val="003A54A9"/>
    <w:rsid w:val="003A56E7"/>
    <w:rsid w:val="003A5794"/>
    <w:rsid w:val="003A66FD"/>
    <w:rsid w:val="003A67C3"/>
    <w:rsid w:val="003A6830"/>
    <w:rsid w:val="003A6A7A"/>
    <w:rsid w:val="003A6D64"/>
    <w:rsid w:val="003A7276"/>
    <w:rsid w:val="003A7367"/>
    <w:rsid w:val="003A77E1"/>
    <w:rsid w:val="003A7DBD"/>
    <w:rsid w:val="003A7F0E"/>
    <w:rsid w:val="003A7FB0"/>
    <w:rsid w:val="003B0DDF"/>
    <w:rsid w:val="003B175B"/>
    <w:rsid w:val="003B1B8E"/>
    <w:rsid w:val="003B1E32"/>
    <w:rsid w:val="003B25A9"/>
    <w:rsid w:val="003B2AA1"/>
    <w:rsid w:val="003B34B2"/>
    <w:rsid w:val="003B3858"/>
    <w:rsid w:val="003B3AC9"/>
    <w:rsid w:val="003B3B62"/>
    <w:rsid w:val="003B4A24"/>
    <w:rsid w:val="003B4B2B"/>
    <w:rsid w:val="003B4BDB"/>
    <w:rsid w:val="003B5F12"/>
    <w:rsid w:val="003B63B6"/>
    <w:rsid w:val="003B6658"/>
    <w:rsid w:val="003B7078"/>
    <w:rsid w:val="003B70A5"/>
    <w:rsid w:val="003B77CE"/>
    <w:rsid w:val="003B7DE7"/>
    <w:rsid w:val="003C0147"/>
    <w:rsid w:val="003C0876"/>
    <w:rsid w:val="003C08E4"/>
    <w:rsid w:val="003C0BD4"/>
    <w:rsid w:val="003C11CA"/>
    <w:rsid w:val="003C1D89"/>
    <w:rsid w:val="003C2CD0"/>
    <w:rsid w:val="003C2F80"/>
    <w:rsid w:val="003C31B6"/>
    <w:rsid w:val="003C5091"/>
    <w:rsid w:val="003C5396"/>
    <w:rsid w:val="003C5414"/>
    <w:rsid w:val="003C6548"/>
    <w:rsid w:val="003C7A6B"/>
    <w:rsid w:val="003D006C"/>
    <w:rsid w:val="003D069F"/>
    <w:rsid w:val="003D094B"/>
    <w:rsid w:val="003D0F91"/>
    <w:rsid w:val="003D1067"/>
    <w:rsid w:val="003D1BE6"/>
    <w:rsid w:val="003D2542"/>
    <w:rsid w:val="003D373E"/>
    <w:rsid w:val="003D3C73"/>
    <w:rsid w:val="003D559E"/>
    <w:rsid w:val="003D55D7"/>
    <w:rsid w:val="003D5FE3"/>
    <w:rsid w:val="003D6B41"/>
    <w:rsid w:val="003D6EAE"/>
    <w:rsid w:val="003D6F12"/>
    <w:rsid w:val="003D6F87"/>
    <w:rsid w:val="003D71FA"/>
    <w:rsid w:val="003D783A"/>
    <w:rsid w:val="003D7AA5"/>
    <w:rsid w:val="003E02FC"/>
    <w:rsid w:val="003E053F"/>
    <w:rsid w:val="003E09F1"/>
    <w:rsid w:val="003E1423"/>
    <w:rsid w:val="003E1590"/>
    <w:rsid w:val="003E174E"/>
    <w:rsid w:val="003E1C1C"/>
    <w:rsid w:val="003E2215"/>
    <w:rsid w:val="003E290C"/>
    <w:rsid w:val="003E2EEE"/>
    <w:rsid w:val="003E30A2"/>
    <w:rsid w:val="003E3440"/>
    <w:rsid w:val="003E36F2"/>
    <w:rsid w:val="003E3DA6"/>
    <w:rsid w:val="003E4147"/>
    <w:rsid w:val="003E441E"/>
    <w:rsid w:val="003E4486"/>
    <w:rsid w:val="003E47A7"/>
    <w:rsid w:val="003E4A34"/>
    <w:rsid w:val="003E4E16"/>
    <w:rsid w:val="003E4F9C"/>
    <w:rsid w:val="003E541E"/>
    <w:rsid w:val="003E6B78"/>
    <w:rsid w:val="003E7AE5"/>
    <w:rsid w:val="003E7B0C"/>
    <w:rsid w:val="003E7C18"/>
    <w:rsid w:val="003E7D20"/>
    <w:rsid w:val="003F014F"/>
    <w:rsid w:val="003F0327"/>
    <w:rsid w:val="003F0ACC"/>
    <w:rsid w:val="003F1708"/>
    <w:rsid w:val="003F18E4"/>
    <w:rsid w:val="003F1A41"/>
    <w:rsid w:val="003F2079"/>
    <w:rsid w:val="003F2162"/>
    <w:rsid w:val="003F3841"/>
    <w:rsid w:val="003F3BE7"/>
    <w:rsid w:val="003F3C76"/>
    <w:rsid w:val="003F4184"/>
    <w:rsid w:val="003F50CA"/>
    <w:rsid w:val="003F5133"/>
    <w:rsid w:val="003F54DD"/>
    <w:rsid w:val="003F5817"/>
    <w:rsid w:val="003F5922"/>
    <w:rsid w:val="003F5A86"/>
    <w:rsid w:val="003F5CBF"/>
    <w:rsid w:val="003F5E62"/>
    <w:rsid w:val="003F61AA"/>
    <w:rsid w:val="003F664A"/>
    <w:rsid w:val="00400247"/>
    <w:rsid w:val="0040066E"/>
    <w:rsid w:val="00400A10"/>
    <w:rsid w:val="00400F1C"/>
    <w:rsid w:val="0040112A"/>
    <w:rsid w:val="00401959"/>
    <w:rsid w:val="00401AE8"/>
    <w:rsid w:val="0040203B"/>
    <w:rsid w:val="00402CB7"/>
    <w:rsid w:val="00404BC9"/>
    <w:rsid w:val="00406295"/>
    <w:rsid w:val="00406CC6"/>
    <w:rsid w:val="004074BB"/>
    <w:rsid w:val="00407C75"/>
    <w:rsid w:val="00412229"/>
    <w:rsid w:val="00412839"/>
    <w:rsid w:val="00413456"/>
    <w:rsid w:val="00413BD1"/>
    <w:rsid w:val="00414432"/>
    <w:rsid w:val="00414BC5"/>
    <w:rsid w:val="00415244"/>
    <w:rsid w:val="004154D5"/>
    <w:rsid w:val="004159E9"/>
    <w:rsid w:val="00415BCF"/>
    <w:rsid w:val="00416DA2"/>
    <w:rsid w:val="0041723B"/>
    <w:rsid w:val="0041771C"/>
    <w:rsid w:val="004179FD"/>
    <w:rsid w:val="00417AAE"/>
    <w:rsid w:val="0042008B"/>
    <w:rsid w:val="00420B5C"/>
    <w:rsid w:val="0042135B"/>
    <w:rsid w:val="004218B2"/>
    <w:rsid w:val="0042198A"/>
    <w:rsid w:val="00421B31"/>
    <w:rsid w:val="00422FB8"/>
    <w:rsid w:val="004232A5"/>
    <w:rsid w:val="00423BE2"/>
    <w:rsid w:val="004240DE"/>
    <w:rsid w:val="00424296"/>
    <w:rsid w:val="004256F7"/>
    <w:rsid w:val="004259F4"/>
    <w:rsid w:val="00425CB6"/>
    <w:rsid w:val="00426149"/>
    <w:rsid w:val="00426559"/>
    <w:rsid w:val="00426675"/>
    <w:rsid w:val="0042690B"/>
    <w:rsid w:val="004273C5"/>
    <w:rsid w:val="004273CF"/>
    <w:rsid w:val="00427948"/>
    <w:rsid w:val="00430160"/>
    <w:rsid w:val="0043078C"/>
    <w:rsid w:val="00431360"/>
    <w:rsid w:val="00431617"/>
    <w:rsid w:val="00431B6A"/>
    <w:rsid w:val="00431EE6"/>
    <w:rsid w:val="0043215D"/>
    <w:rsid w:val="00432619"/>
    <w:rsid w:val="00432715"/>
    <w:rsid w:val="00433293"/>
    <w:rsid w:val="004334E0"/>
    <w:rsid w:val="004338B1"/>
    <w:rsid w:val="00433B4F"/>
    <w:rsid w:val="004344DE"/>
    <w:rsid w:val="004345E6"/>
    <w:rsid w:val="0043480E"/>
    <w:rsid w:val="00434948"/>
    <w:rsid w:val="00434954"/>
    <w:rsid w:val="00434F9B"/>
    <w:rsid w:val="00435595"/>
    <w:rsid w:val="0043648E"/>
    <w:rsid w:val="004364BD"/>
    <w:rsid w:val="00436A23"/>
    <w:rsid w:val="004372A9"/>
    <w:rsid w:val="0043761E"/>
    <w:rsid w:val="00437D57"/>
    <w:rsid w:val="00437D9D"/>
    <w:rsid w:val="0044011C"/>
    <w:rsid w:val="004403EF"/>
    <w:rsid w:val="00440A21"/>
    <w:rsid w:val="00440E22"/>
    <w:rsid w:val="00440FF2"/>
    <w:rsid w:val="00441C24"/>
    <w:rsid w:val="00441ED1"/>
    <w:rsid w:val="00444065"/>
    <w:rsid w:val="00444387"/>
    <w:rsid w:val="00444F2F"/>
    <w:rsid w:val="00445162"/>
    <w:rsid w:val="0044637F"/>
    <w:rsid w:val="00447681"/>
    <w:rsid w:val="00447D23"/>
    <w:rsid w:val="00447D3C"/>
    <w:rsid w:val="00447D5C"/>
    <w:rsid w:val="00447E97"/>
    <w:rsid w:val="00450410"/>
    <w:rsid w:val="004506D8"/>
    <w:rsid w:val="0045087E"/>
    <w:rsid w:val="004516F7"/>
    <w:rsid w:val="004519C7"/>
    <w:rsid w:val="00451A32"/>
    <w:rsid w:val="00451B9F"/>
    <w:rsid w:val="00451C1F"/>
    <w:rsid w:val="00451ECB"/>
    <w:rsid w:val="00452474"/>
    <w:rsid w:val="00452820"/>
    <w:rsid w:val="0045289E"/>
    <w:rsid w:val="00452AB6"/>
    <w:rsid w:val="0045326D"/>
    <w:rsid w:val="004533DE"/>
    <w:rsid w:val="00453FC4"/>
    <w:rsid w:val="004540EC"/>
    <w:rsid w:val="00454ADA"/>
    <w:rsid w:val="00454E48"/>
    <w:rsid w:val="00455118"/>
    <w:rsid w:val="004556CC"/>
    <w:rsid w:val="0045646F"/>
    <w:rsid w:val="00456C4C"/>
    <w:rsid w:val="00457194"/>
    <w:rsid w:val="004572AA"/>
    <w:rsid w:val="00457EB9"/>
    <w:rsid w:val="00457EBB"/>
    <w:rsid w:val="004601FA"/>
    <w:rsid w:val="004606C8"/>
    <w:rsid w:val="00460B49"/>
    <w:rsid w:val="004610BE"/>
    <w:rsid w:val="00461619"/>
    <w:rsid w:val="00461660"/>
    <w:rsid w:val="0046304D"/>
    <w:rsid w:val="00463205"/>
    <w:rsid w:val="004632E0"/>
    <w:rsid w:val="0046394F"/>
    <w:rsid w:val="00463AFF"/>
    <w:rsid w:val="00463F44"/>
    <w:rsid w:val="00464A8C"/>
    <w:rsid w:val="00464FC1"/>
    <w:rsid w:val="0046527B"/>
    <w:rsid w:val="00465F10"/>
    <w:rsid w:val="004663F3"/>
    <w:rsid w:val="004664C1"/>
    <w:rsid w:val="00467BEF"/>
    <w:rsid w:val="00467DD4"/>
    <w:rsid w:val="004702E0"/>
    <w:rsid w:val="004708B2"/>
    <w:rsid w:val="004708D2"/>
    <w:rsid w:val="00470A0F"/>
    <w:rsid w:val="00470CBF"/>
    <w:rsid w:val="004716C2"/>
    <w:rsid w:val="00472200"/>
    <w:rsid w:val="004726A3"/>
    <w:rsid w:val="00472AB7"/>
    <w:rsid w:val="00472E16"/>
    <w:rsid w:val="00472F5A"/>
    <w:rsid w:val="004730C4"/>
    <w:rsid w:val="004734BF"/>
    <w:rsid w:val="00473C06"/>
    <w:rsid w:val="00473E93"/>
    <w:rsid w:val="00474377"/>
    <w:rsid w:val="004748CA"/>
    <w:rsid w:val="00475031"/>
    <w:rsid w:val="0047532B"/>
    <w:rsid w:val="0047595A"/>
    <w:rsid w:val="00475B02"/>
    <w:rsid w:val="00475DFB"/>
    <w:rsid w:val="0047693A"/>
    <w:rsid w:val="00476BCE"/>
    <w:rsid w:val="00476BDF"/>
    <w:rsid w:val="00476DB7"/>
    <w:rsid w:val="00480943"/>
    <w:rsid w:val="004813EA"/>
    <w:rsid w:val="00481991"/>
    <w:rsid w:val="00481A47"/>
    <w:rsid w:val="00481C81"/>
    <w:rsid w:val="00483000"/>
    <w:rsid w:val="004840DF"/>
    <w:rsid w:val="00484473"/>
    <w:rsid w:val="00485639"/>
    <w:rsid w:val="00485775"/>
    <w:rsid w:val="00485FFB"/>
    <w:rsid w:val="004862E3"/>
    <w:rsid w:val="00486715"/>
    <w:rsid w:val="00486828"/>
    <w:rsid w:val="00486936"/>
    <w:rsid w:val="00487D49"/>
    <w:rsid w:val="00487F6B"/>
    <w:rsid w:val="0049009F"/>
    <w:rsid w:val="00490821"/>
    <w:rsid w:val="00490968"/>
    <w:rsid w:val="004917B9"/>
    <w:rsid w:val="00491889"/>
    <w:rsid w:val="00491C7E"/>
    <w:rsid w:val="00491F05"/>
    <w:rsid w:val="00492562"/>
    <w:rsid w:val="00492B30"/>
    <w:rsid w:val="00493893"/>
    <w:rsid w:val="00494120"/>
    <w:rsid w:val="00495320"/>
    <w:rsid w:val="00495373"/>
    <w:rsid w:val="00495472"/>
    <w:rsid w:val="00495D06"/>
    <w:rsid w:val="00496030"/>
    <w:rsid w:val="0049633C"/>
    <w:rsid w:val="004974B1"/>
    <w:rsid w:val="00497C76"/>
    <w:rsid w:val="00497E08"/>
    <w:rsid w:val="004A0576"/>
    <w:rsid w:val="004A1307"/>
    <w:rsid w:val="004A220E"/>
    <w:rsid w:val="004A2249"/>
    <w:rsid w:val="004A2573"/>
    <w:rsid w:val="004A38DB"/>
    <w:rsid w:val="004A3AF3"/>
    <w:rsid w:val="004A60E1"/>
    <w:rsid w:val="004A6DEE"/>
    <w:rsid w:val="004A7C3B"/>
    <w:rsid w:val="004A7CA9"/>
    <w:rsid w:val="004B04A8"/>
    <w:rsid w:val="004B0628"/>
    <w:rsid w:val="004B0FD1"/>
    <w:rsid w:val="004B1446"/>
    <w:rsid w:val="004B1C4F"/>
    <w:rsid w:val="004B49A3"/>
    <w:rsid w:val="004B581B"/>
    <w:rsid w:val="004B619B"/>
    <w:rsid w:val="004B7F60"/>
    <w:rsid w:val="004C0FFE"/>
    <w:rsid w:val="004C32A3"/>
    <w:rsid w:val="004C3584"/>
    <w:rsid w:val="004C43C0"/>
    <w:rsid w:val="004C4E0A"/>
    <w:rsid w:val="004C5252"/>
    <w:rsid w:val="004C5B0D"/>
    <w:rsid w:val="004C5EE2"/>
    <w:rsid w:val="004C7263"/>
    <w:rsid w:val="004C729F"/>
    <w:rsid w:val="004C7E79"/>
    <w:rsid w:val="004D0109"/>
    <w:rsid w:val="004D0BC5"/>
    <w:rsid w:val="004D0FC1"/>
    <w:rsid w:val="004D1696"/>
    <w:rsid w:val="004D19A8"/>
    <w:rsid w:val="004D21CC"/>
    <w:rsid w:val="004D34F1"/>
    <w:rsid w:val="004D4021"/>
    <w:rsid w:val="004D4D32"/>
    <w:rsid w:val="004D55F8"/>
    <w:rsid w:val="004D5618"/>
    <w:rsid w:val="004D5DBE"/>
    <w:rsid w:val="004D5E02"/>
    <w:rsid w:val="004D6D16"/>
    <w:rsid w:val="004D6F5E"/>
    <w:rsid w:val="004E02D4"/>
    <w:rsid w:val="004E0F26"/>
    <w:rsid w:val="004E0F45"/>
    <w:rsid w:val="004E1BA5"/>
    <w:rsid w:val="004E2441"/>
    <w:rsid w:val="004E3513"/>
    <w:rsid w:val="004E421C"/>
    <w:rsid w:val="004E44DC"/>
    <w:rsid w:val="004E4784"/>
    <w:rsid w:val="004E4AD5"/>
    <w:rsid w:val="004E4CE4"/>
    <w:rsid w:val="004E546E"/>
    <w:rsid w:val="004E5BA9"/>
    <w:rsid w:val="004E6390"/>
    <w:rsid w:val="004E655A"/>
    <w:rsid w:val="004E65E9"/>
    <w:rsid w:val="004E6628"/>
    <w:rsid w:val="004E7E08"/>
    <w:rsid w:val="004F0632"/>
    <w:rsid w:val="004F0A94"/>
    <w:rsid w:val="004F0E8A"/>
    <w:rsid w:val="004F1D04"/>
    <w:rsid w:val="004F2133"/>
    <w:rsid w:val="004F24A6"/>
    <w:rsid w:val="004F2CD3"/>
    <w:rsid w:val="004F3334"/>
    <w:rsid w:val="004F4538"/>
    <w:rsid w:val="004F4643"/>
    <w:rsid w:val="004F466B"/>
    <w:rsid w:val="004F4C15"/>
    <w:rsid w:val="004F5159"/>
    <w:rsid w:val="004F6B5A"/>
    <w:rsid w:val="004F7DB4"/>
    <w:rsid w:val="004F7F35"/>
    <w:rsid w:val="00500231"/>
    <w:rsid w:val="00501685"/>
    <w:rsid w:val="00501B8D"/>
    <w:rsid w:val="00503725"/>
    <w:rsid w:val="00503D56"/>
    <w:rsid w:val="00503F74"/>
    <w:rsid w:val="005041B2"/>
    <w:rsid w:val="005049CA"/>
    <w:rsid w:val="00505451"/>
    <w:rsid w:val="00505D69"/>
    <w:rsid w:val="00506171"/>
    <w:rsid w:val="0050677E"/>
    <w:rsid w:val="00506CAE"/>
    <w:rsid w:val="00506D42"/>
    <w:rsid w:val="00507035"/>
    <w:rsid w:val="00507741"/>
    <w:rsid w:val="00507E6A"/>
    <w:rsid w:val="005106A0"/>
    <w:rsid w:val="00511076"/>
    <w:rsid w:val="005115FE"/>
    <w:rsid w:val="005119DE"/>
    <w:rsid w:val="00511CAE"/>
    <w:rsid w:val="0051213E"/>
    <w:rsid w:val="00512438"/>
    <w:rsid w:val="005127EA"/>
    <w:rsid w:val="005129A0"/>
    <w:rsid w:val="005138B7"/>
    <w:rsid w:val="00513B9B"/>
    <w:rsid w:val="00514797"/>
    <w:rsid w:val="0051500C"/>
    <w:rsid w:val="00515817"/>
    <w:rsid w:val="005165BD"/>
    <w:rsid w:val="00516A56"/>
    <w:rsid w:val="00517C61"/>
    <w:rsid w:val="0052093C"/>
    <w:rsid w:val="005212F7"/>
    <w:rsid w:val="00522DFD"/>
    <w:rsid w:val="00523A39"/>
    <w:rsid w:val="00523FC1"/>
    <w:rsid w:val="0052483C"/>
    <w:rsid w:val="00524AA0"/>
    <w:rsid w:val="00524CE3"/>
    <w:rsid w:val="00525428"/>
    <w:rsid w:val="005258B7"/>
    <w:rsid w:val="00525B07"/>
    <w:rsid w:val="005262C7"/>
    <w:rsid w:val="00526A46"/>
    <w:rsid w:val="00526F40"/>
    <w:rsid w:val="0052767B"/>
    <w:rsid w:val="00527F95"/>
    <w:rsid w:val="00530139"/>
    <w:rsid w:val="00531499"/>
    <w:rsid w:val="00531826"/>
    <w:rsid w:val="00531828"/>
    <w:rsid w:val="00531ADC"/>
    <w:rsid w:val="00531ED2"/>
    <w:rsid w:val="00532432"/>
    <w:rsid w:val="00532D99"/>
    <w:rsid w:val="005331B7"/>
    <w:rsid w:val="0053416B"/>
    <w:rsid w:val="00534B79"/>
    <w:rsid w:val="00535B91"/>
    <w:rsid w:val="00535DBD"/>
    <w:rsid w:val="005361E4"/>
    <w:rsid w:val="0053662C"/>
    <w:rsid w:val="00536864"/>
    <w:rsid w:val="00536B89"/>
    <w:rsid w:val="005372E2"/>
    <w:rsid w:val="005378CC"/>
    <w:rsid w:val="00537B58"/>
    <w:rsid w:val="0054057A"/>
    <w:rsid w:val="005406B5"/>
    <w:rsid w:val="00542AB7"/>
    <w:rsid w:val="00543052"/>
    <w:rsid w:val="005432F8"/>
    <w:rsid w:val="00543487"/>
    <w:rsid w:val="00543B8D"/>
    <w:rsid w:val="00543D05"/>
    <w:rsid w:val="00544082"/>
    <w:rsid w:val="00544361"/>
    <w:rsid w:val="005446BF"/>
    <w:rsid w:val="0054479F"/>
    <w:rsid w:val="005447FC"/>
    <w:rsid w:val="00544821"/>
    <w:rsid w:val="00545838"/>
    <w:rsid w:val="00545BB4"/>
    <w:rsid w:val="00546FC9"/>
    <w:rsid w:val="005475EB"/>
    <w:rsid w:val="0054774F"/>
    <w:rsid w:val="00547C10"/>
    <w:rsid w:val="005507EE"/>
    <w:rsid w:val="0055147E"/>
    <w:rsid w:val="005522B8"/>
    <w:rsid w:val="005524C5"/>
    <w:rsid w:val="00552602"/>
    <w:rsid w:val="0055420E"/>
    <w:rsid w:val="00555185"/>
    <w:rsid w:val="00555A52"/>
    <w:rsid w:val="00555FB7"/>
    <w:rsid w:val="0055613E"/>
    <w:rsid w:val="00556A2F"/>
    <w:rsid w:val="00557713"/>
    <w:rsid w:val="00560757"/>
    <w:rsid w:val="005617D7"/>
    <w:rsid w:val="00561840"/>
    <w:rsid w:val="0056307B"/>
    <w:rsid w:val="005652E4"/>
    <w:rsid w:val="0056552F"/>
    <w:rsid w:val="005657DD"/>
    <w:rsid w:val="005660CD"/>
    <w:rsid w:val="00566C3D"/>
    <w:rsid w:val="0056758E"/>
    <w:rsid w:val="0056770E"/>
    <w:rsid w:val="00567D82"/>
    <w:rsid w:val="00570026"/>
    <w:rsid w:val="00570183"/>
    <w:rsid w:val="00570B3A"/>
    <w:rsid w:val="0057178C"/>
    <w:rsid w:val="005719D5"/>
    <w:rsid w:val="005719E8"/>
    <w:rsid w:val="00571A99"/>
    <w:rsid w:val="00572B22"/>
    <w:rsid w:val="00573328"/>
    <w:rsid w:val="00573540"/>
    <w:rsid w:val="0057384C"/>
    <w:rsid w:val="00573CCD"/>
    <w:rsid w:val="005740F0"/>
    <w:rsid w:val="005741EC"/>
    <w:rsid w:val="00574F1D"/>
    <w:rsid w:val="00575ED1"/>
    <w:rsid w:val="00576CC7"/>
    <w:rsid w:val="0057701B"/>
    <w:rsid w:val="005774E5"/>
    <w:rsid w:val="005775FB"/>
    <w:rsid w:val="00577A82"/>
    <w:rsid w:val="0058121A"/>
    <w:rsid w:val="005812A1"/>
    <w:rsid w:val="00582316"/>
    <w:rsid w:val="005827D8"/>
    <w:rsid w:val="005837A4"/>
    <w:rsid w:val="00583B0F"/>
    <w:rsid w:val="00583CDA"/>
    <w:rsid w:val="00583E5F"/>
    <w:rsid w:val="00584C2D"/>
    <w:rsid w:val="00584CCC"/>
    <w:rsid w:val="00586F7A"/>
    <w:rsid w:val="0058741A"/>
    <w:rsid w:val="0058743F"/>
    <w:rsid w:val="00587DE9"/>
    <w:rsid w:val="00587F0E"/>
    <w:rsid w:val="00591797"/>
    <w:rsid w:val="00591CC6"/>
    <w:rsid w:val="00591E87"/>
    <w:rsid w:val="005920FC"/>
    <w:rsid w:val="00592376"/>
    <w:rsid w:val="00592FF6"/>
    <w:rsid w:val="005931AB"/>
    <w:rsid w:val="005932BA"/>
    <w:rsid w:val="0059426F"/>
    <w:rsid w:val="00594415"/>
    <w:rsid w:val="00594F28"/>
    <w:rsid w:val="005957AC"/>
    <w:rsid w:val="00595A06"/>
    <w:rsid w:val="00595B34"/>
    <w:rsid w:val="00595DE3"/>
    <w:rsid w:val="00596062"/>
    <w:rsid w:val="0059665E"/>
    <w:rsid w:val="00596994"/>
    <w:rsid w:val="00597494"/>
    <w:rsid w:val="0059771F"/>
    <w:rsid w:val="00597EA0"/>
    <w:rsid w:val="005A015B"/>
    <w:rsid w:val="005A0742"/>
    <w:rsid w:val="005A08B5"/>
    <w:rsid w:val="005A2384"/>
    <w:rsid w:val="005A23DE"/>
    <w:rsid w:val="005A24B1"/>
    <w:rsid w:val="005A2A0F"/>
    <w:rsid w:val="005A3997"/>
    <w:rsid w:val="005A3DBE"/>
    <w:rsid w:val="005A4E8F"/>
    <w:rsid w:val="005A549E"/>
    <w:rsid w:val="005A5599"/>
    <w:rsid w:val="005A5F29"/>
    <w:rsid w:val="005A5FFF"/>
    <w:rsid w:val="005A62F0"/>
    <w:rsid w:val="005B0173"/>
    <w:rsid w:val="005B0DBB"/>
    <w:rsid w:val="005B125F"/>
    <w:rsid w:val="005B1D0E"/>
    <w:rsid w:val="005B21FB"/>
    <w:rsid w:val="005B2621"/>
    <w:rsid w:val="005B2DB2"/>
    <w:rsid w:val="005B2E61"/>
    <w:rsid w:val="005B3C44"/>
    <w:rsid w:val="005B3CB9"/>
    <w:rsid w:val="005B3EDE"/>
    <w:rsid w:val="005B4403"/>
    <w:rsid w:val="005B55F8"/>
    <w:rsid w:val="005B616F"/>
    <w:rsid w:val="005B669D"/>
    <w:rsid w:val="005B6834"/>
    <w:rsid w:val="005B6C15"/>
    <w:rsid w:val="005B6E67"/>
    <w:rsid w:val="005B77B5"/>
    <w:rsid w:val="005B79C1"/>
    <w:rsid w:val="005B7A28"/>
    <w:rsid w:val="005C06E4"/>
    <w:rsid w:val="005C07C0"/>
    <w:rsid w:val="005C07EB"/>
    <w:rsid w:val="005C0AE9"/>
    <w:rsid w:val="005C0D8D"/>
    <w:rsid w:val="005C1674"/>
    <w:rsid w:val="005C1752"/>
    <w:rsid w:val="005C1B0A"/>
    <w:rsid w:val="005C1ED3"/>
    <w:rsid w:val="005C2892"/>
    <w:rsid w:val="005C2A68"/>
    <w:rsid w:val="005C3BAC"/>
    <w:rsid w:val="005C5E80"/>
    <w:rsid w:val="005C6427"/>
    <w:rsid w:val="005C657D"/>
    <w:rsid w:val="005C6B1F"/>
    <w:rsid w:val="005C7BC7"/>
    <w:rsid w:val="005D00FB"/>
    <w:rsid w:val="005D06A0"/>
    <w:rsid w:val="005D14B1"/>
    <w:rsid w:val="005D15D4"/>
    <w:rsid w:val="005D174F"/>
    <w:rsid w:val="005D1E56"/>
    <w:rsid w:val="005D2854"/>
    <w:rsid w:val="005D37BD"/>
    <w:rsid w:val="005D38BE"/>
    <w:rsid w:val="005D483E"/>
    <w:rsid w:val="005D52F0"/>
    <w:rsid w:val="005D5909"/>
    <w:rsid w:val="005D73A4"/>
    <w:rsid w:val="005D73C7"/>
    <w:rsid w:val="005D7A1E"/>
    <w:rsid w:val="005D7EA8"/>
    <w:rsid w:val="005E035F"/>
    <w:rsid w:val="005E1543"/>
    <w:rsid w:val="005E1583"/>
    <w:rsid w:val="005E1650"/>
    <w:rsid w:val="005E1971"/>
    <w:rsid w:val="005E1A46"/>
    <w:rsid w:val="005E2FF3"/>
    <w:rsid w:val="005E3208"/>
    <w:rsid w:val="005E34D3"/>
    <w:rsid w:val="005E379F"/>
    <w:rsid w:val="005E38A8"/>
    <w:rsid w:val="005E41EF"/>
    <w:rsid w:val="005E4A66"/>
    <w:rsid w:val="005E4F0B"/>
    <w:rsid w:val="005E4F19"/>
    <w:rsid w:val="005E52C5"/>
    <w:rsid w:val="005E53DD"/>
    <w:rsid w:val="005E63E9"/>
    <w:rsid w:val="005E7BF4"/>
    <w:rsid w:val="005E7F26"/>
    <w:rsid w:val="005F01E4"/>
    <w:rsid w:val="005F058A"/>
    <w:rsid w:val="005F082B"/>
    <w:rsid w:val="005F198F"/>
    <w:rsid w:val="005F1A52"/>
    <w:rsid w:val="005F20C2"/>
    <w:rsid w:val="005F20F2"/>
    <w:rsid w:val="005F24A9"/>
    <w:rsid w:val="005F2C1C"/>
    <w:rsid w:val="005F2DB2"/>
    <w:rsid w:val="005F30EB"/>
    <w:rsid w:val="005F329C"/>
    <w:rsid w:val="005F3A80"/>
    <w:rsid w:val="005F3F3D"/>
    <w:rsid w:val="005F41D9"/>
    <w:rsid w:val="005F4683"/>
    <w:rsid w:val="005F5A0C"/>
    <w:rsid w:val="005F5A98"/>
    <w:rsid w:val="005F5AC7"/>
    <w:rsid w:val="005F6148"/>
    <w:rsid w:val="005F64B3"/>
    <w:rsid w:val="005F678B"/>
    <w:rsid w:val="005F744C"/>
    <w:rsid w:val="005F7820"/>
    <w:rsid w:val="00600120"/>
    <w:rsid w:val="0060082E"/>
    <w:rsid w:val="006008AA"/>
    <w:rsid w:val="006010E8"/>
    <w:rsid w:val="0060122F"/>
    <w:rsid w:val="00601274"/>
    <w:rsid w:val="0060195F"/>
    <w:rsid w:val="00601D85"/>
    <w:rsid w:val="00601D9E"/>
    <w:rsid w:val="00602465"/>
    <w:rsid w:val="0060266B"/>
    <w:rsid w:val="00602CED"/>
    <w:rsid w:val="006031EC"/>
    <w:rsid w:val="00603663"/>
    <w:rsid w:val="006038E4"/>
    <w:rsid w:val="006043F7"/>
    <w:rsid w:val="00604A87"/>
    <w:rsid w:val="00604FA3"/>
    <w:rsid w:val="00605356"/>
    <w:rsid w:val="00605CAC"/>
    <w:rsid w:val="006062D8"/>
    <w:rsid w:val="00606A45"/>
    <w:rsid w:val="006107CF"/>
    <w:rsid w:val="00610960"/>
    <w:rsid w:val="006118C4"/>
    <w:rsid w:val="00611A72"/>
    <w:rsid w:val="00611BC2"/>
    <w:rsid w:val="00612483"/>
    <w:rsid w:val="006125B2"/>
    <w:rsid w:val="0061388A"/>
    <w:rsid w:val="006140FE"/>
    <w:rsid w:val="0061426B"/>
    <w:rsid w:val="0061436D"/>
    <w:rsid w:val="00614708"/>
    <w:rsid w:val="0061491B"/>
    <w:rsid w:val="00614950"/>
    <w:rsid w:val="006149F5"/>
    <w:rsid w:val="00614D7E"/>
    <w:rsid w:val="006154E2"/>
    <w:rsid w:val="0061556D"/>
    <w:rsid w:val="00615949"/>
    <w:rsid w:val="0061622E"/>
    <w:rsid w:val="00616B63"/>
    <w:rsid w:val="00617BBA"/>
    <w:rsid w:val="00620844"/>
    <w:rsid w:val="00620A1B"/>
    <w:rsid w:val="00620AAB"/>
    <w:rsid w:val="00620C19"/>
    <w:rsid w:val="006210CA"/>
    <w:rsid w:val="00621516"/>
    <w:rsid w:val="00621776"/>
    <w:rsid w:val="00621872"/>
    <w:rsid w:val="00621951"/>
    <w:rsid w:val="006219E7"/>
    <w:rsid w:val="00621DD7"/>
    <w:rsid w:val="0062290B"/>
    <w:rsid w:val="006238CC"/>
    <w:rsid w:val="00624814"/>
    <w:rsid w:val="00624852"/>
    <w:rsid w:val="00624B33"/>
    <w:rsid w:val="00624B65"/>
    <w:rsid w:val="00625867"/>
    <w:rsid w:val="006261BB"/>
    <w:rsid w:val="006267F3"/>
    <w:rsid w:val="00626D73"/>
    <w:rsid w:val="006274C8"/>
    <w:rsid w:val="00630356"/>
    <w:rsid w:val="0063037C"/>
    <w:rsid w:val="006304C3"/>
    <w:rsid w:val="0063068D"/>
    <w:rsid w:val="00630CC6"/>
    <w:rsid w:val="00630D84"/>
    <w:rsid w:val="0063128E"/>
    <w:rsid w:val="00631712"/>
    <w:rsid w:val="00631E19"/>
    <w:rsid w:val="006323B3"/>
    <w:rsid w:val="00633D20"/>
    <w:rsid w:val="00634523"/>
    <w:rsid w:val="00635A40"/>
    <w:rsid w:val="00636044"/>
    <w:rsid w:val="00636592"/>
    <w:rsid w:val="006367DD"/>
    <w:rsid w:val="00636802"/>
    <w:rsid w:val="00636D9A"/>
    <w:rsid w:val="00637820"/>
    <w:rsid w:val="00637A0A"/>
    <w:rsid w:val="00640287"/>
    <w:rsid w:val="006416AF"/>
    <w:rsid w:val="00642D51"/>
    <w:rsid w:val="00643082"/>
    <w:rsid w:val="00643544"/>
    <w:rsid w:val="006437D8"/>
    <w:rsid w:val="00643E84"/>
    <w:rsid w:val="00643F93"/>
    <w:rsid w:val="006441B3"/>
    <w:rsid w:val="006443C7"/>
    <w:rsid w:val="00645017"/>
    <w:rsid w:val="0064571F"/>
    <w:rsid w:val="006457C8"/>
    <w:rsid w:val="006457CD"/>
    <w:rsid w:val="00645A9A"/>
    <w:rsid w:val="00645C22"/>
    <w:rsid w:val="0064658B"/>
    <w:rsid w:val="00646B1D"/>
    <w:rsid w:val="006472CA"/>
    <w:rsid w:val="0064731F"/>
    <w:rsid w:val="00650557"/>
    <w:rsid w:val="006509B4"/>
    <w:rsid w:val="0065259D"/>
    <w:rsid w:val="006525AC"/>
    <w:rsid w:val="0065290D"/>
    <w:rsid w:val="00652FA5"/>
    <w:rsid w:val="006530C0"/>
    <w:rsid w:val="00653D2A"/>
    <w:rsid w:val="0065475F"/>
    <w:rsid w:val="00655234"/>
    <w:rsid w:val="006552CF"/>
    <w:rsid w:val="006558F1"/>
    <w:rsid w:val="00656258"/>
    <w:rsid w:val="006566E0"/>
    <w:rsid w:val="006572CF"/>
    <w:rsid w:val="00657643"/>
    <w:rsid w:val="006578E3"/>
    <w:rsid w:val="00661157"/>
    <w:rsid w:val="006615A1"/>
    <w:rsid w:val="006620C0"/>
    <w:rsid w:val="00662440"/>
    <w:rsid w:val="00662CC5"/>
    <w:rsid w:val="00663317"/>
    <w:rsid w:val="0066344A"/>
    <w:rsid w:val="006634C2"/>
    <w:rsid w:val="006634CA"/>
    <w:rsid w:val="006638FA"/>
    <w:rsid w:val="00663A50"/>
    <w:rsid w:val="00664315"/>
    <w:rsid w:val="0066472B"/>
    <w:rsid w:val="00665D26"/>
    <w:rsid w:val="0066705F"/>
    <w:rsid w:val="0066718B"/>
    <w:rsid w:val="006674EE"/>
    <w:rsid w:val="00667E30"/>
    <w:rsid w:val="00667ECD"/>
    <w:rsid w:val="006702F1"/>
    <w:rsid w:val="006707FB"/>
    <w:rsid w:val="0067126A"/>
    <w:rsid w:val="0067134E"/>
    <w:rsid w:val="00671F7F"/>
    <w:rsid w:val="00672F69"/>
    <w:rsid w:val="00672FD0"/>
    <w:rsid w:val="006749FF"/>
    <w:rsid w:val="006750F9"/>
    <w:rsid w:val="00675A29"/>
    <w:rsid w:val="0067600D"/>
    <w:rsid w:val="006765F3"/>
    <w:rsid w:val="00676738"/>
    <w:rsid w:val="00676989"/>
    <w:rsid w:val="006775D5"/>
    <w:rsid w:val="00677ADE"/>
    <w:rsid w:val="00680FFE"/>
    <w:rsid w:val="006813F3"/>
    <w:rsid w:val="0068154B"/>
    <w:rsid w:val="006822E9"/>
    <w:rsid w:val="00682439"/>
    <w:rsid w:val="006835FB"/>
    <w:rsid w:val="00683E7D"/>
    <w:rsid w:val="0068492B"/>
    <w:rsid w:val="00685426"/>
    <w:rsid w:val="006861C1"/>
    <w:rsid w:val="0068650C"/>
    <w:rsid w:val="0068693B"/>
    <w:rsid w:val="00686C9C"/>
    <w:rsid w:val="00686CEB"/>
    <w:rsid w:val="00686DB0"/>
    <w:rsid w:val="00687A44"/>
    <w:rsid w:val="00687FFC"/>
    <w:rsid w:val="00690548"/>
    <w:rsid w:val="00690EB6"/>
    <w:rsid w:val="00691205"/>
    <w:rsid w:val="006922FB"/>
    <w:rsid w:val="00692520"/>
    <w:rsid w:val="006929E8"/>
    <w:rsid w:val="00693277"/>
    <w:rsid w:val="0069356B"/>
    <w:rsid w:val="006935AD"/>
    <w:rsid w:val="00693B26"/>
    <w:rsid w:val="00693B4D"/>
    <w:rsid w:val="00693ED0"/>
    <w:rsid w:val="00694902"/>
    <w:rsid w:val="00694B96"/>
    <w:rsid w:val="00695482"/>
    <w:rsid w:val="00695497"/>
    <w:rsid w:val="006956A3"/>
    <w:rsid w:val="00695F5E"/>
    <w:rsid w:val="006965EA"/>
    <w:rsid w:val="00696691"/>
    <w:rsid w:val="00696978"/>
    <w:rsid w:val="006969DB"/>
    <w:rsid w:val="006979FA"/>
    <w:rsid w:val="00697B68"/>
    <w:rsid w:val="00697C33"/>
    <w:rsid w:val="00697C51"/>
    <w:rsid w:val="00697F6B"/>
    <w:rsid w:val="006A1950"/>
    <w:rsid w:val="006A1B8E"/>
    <w:rsid w:val="006A1BDC"/>
    <w:rsid w:val="006A1C18"/>
    <w:rsid w:val="006A30A4"/>
    <w:rsid w:val="006A356B"/>
    <w:rsid w:val="006A3E8C"/>
    <w:rsid w:val="006A3F0D"/>
    <w:rsid w:val="006A4377"/>
    <w:rsid w:val="006A4515"/>
    <w:rsid w:val="006A4C02"/>
    <w:rsid w:val="006A5324"/>
    <w:rsid w:val="006A548B"/>
    <w:rsid w:val="006A54EF"/>
    <w:rsid w:val="006A54FC"/>
    <w:rsid w:val="006A55FB"/>
    <w:rsid w:val="006A5720"/>
    <w:rsid w:val="006A5C0F"/>
    <w:rsid w:val="006A5DB9"/>
    <w:rsid w:val="006A6626"/>
    <w:rsid w:val="006A7614"/>
    <w:rsid w:val="006A775F"/>
    <w:rsid w:val="006A7B5A"/>
    <w:rsid w:val="006A7BCC"/>
    <w:rsid w:val="006B06DB"/>
    <w:rsid w:val="006B0B4C"/>
    <w:rsid w:val="006B1590"/>
    <w:rsid w:val="006B1EF7"/>
    <w:rsid w:val="006B24B1"/>
    <w:rsid w:val="006B30E9"/>
    <w:rsid w:val="006B32AB"/>
    <w:rsid w:val="006B4075"/>
    <w:rsid w:val="006B4BCE"/>
    <w:rsid w:val="006B508F"/>
    <w:rsid w:val="006B50CD"/>
    <w:rsid w:val="006B5669"/>
    <w:rsid w:val="006B5874"/>
    <w:rsid w:val="006B5D20"/>
    <w:rsid w:val="006B5D93"/>
    <w:rsid w:val="006B5FAA"/>
    <w:rsid w:val="006B5FB7"/>
    <w:rsid w:val="006B61A3"/>
    <w:rsid w:val="006B684C"/>
    <w:rsid w:val="006B6B77"/>
    <w:rsid w:val="006B6CC5"/>
    <w:rsid w:val="006B7269"/>
    <w:rsid w:val="006B75F3"/>
    <w:rsid w:val="006B7713"/>
    <w:rsid w:val="006B7BAF"/>
    <w:rsid w:val="006B7D11"/>
    <w:rsid w:val="006B7D31"/>
    <w:rsid w:val="006C0E3D"/>
    <w:rsid w:val="006C105E"/>
    <w:rsid w:val="006C11EE"/>
    <w:rsid w:val="006C1878"/>
    <w:rsid w:val="006C1F98"/>
    <w:rsid w:val="006C23C0"/>
    <w:rsid w:val="006C2E8F"/>
    <w:rsid w:val="006C2EB3"/>
    <w:rsid w:val="006C37FF"/>
    <w:rsid w:val="006C41A3"/>
    <w:rsid w:val="006C433B"/>
    <w:rsid w:val="006C4AE3"/>
    <w:rsid w:val="006C51A5"/>
    <w:rsid w:val="006C536B"/>
    <w:rsid w:val="006C6AC3"/>
    <w:rsid w:val="006C78AA"/>
    <w:rsid w:val="006C7FD1"/>
    <w:rsid w:val="006D000D"/>
    <w:rsid w:val="006D0563"/>
    <w:rsid w:val="006D07FD"/>
    <w:rsid w:val="006D1517"/>
    <w:rsid w:val="006D17A7"/>
    <w:rsid w:val="006D1A1C"/>
    <w:rsid w:val="006D1BA2"/>
    <w:rsid w:val="006D1C32"/>
    <w:rsid w:val="006D1D4D"/>
    <w:rsid w:val="006D3641"/>
    <w:rsid w:val="006D385A"/>
    <w:rsid w:val="006D397F"/>
    <w:rsid w:val="006D4189"/>
    <w:rsid w:val="006D54AC"/>
    <w:rsid w:val="006D559A"/>
    <w:rsid w:val="006D74A0"/>
    <w:rsid w:val="006E028C"/>
    <w:rsid w:val="006E1262"/>
    <w:rsid w:val="006E1C6F"/>
    <w:rsid w:val="006E2DBB"/>
    <w:rsid w:val="006E35B8"/>
    <w:rsid w:val="006E393E"/>
    <w:rsid w:val="006E3CA1"/>
    <w:rsid w:val="006E489E"/>
    <w:rsid w:val="006E50F6"/>
    <w:rsid w:val="006E5306"/>
    <w:rsid w:val="006E5A1B"/>
    <w:rsid w:val="006E6459"/>
    <w:rsid w:val="006E6910"/>
    <w:rsid w:val="006E6A0D"/>
    <w:rsid w:val="006E764F"/>
    <w:rsid w:val="006F04D4"/>
    <w:rsid w:val="006F13D6"/>
    <w:rsid w:val="006F1493"/>
    <w:rsid w:val="006F1775"/>
    <w:rsid w:val="006F181C"/>
    <w:rsid w:val="006F1D8A"/>
    <w:rsid w:val="006F1EDF"/>
    <w:rsid w:val="006F2B11"/>
    <w:rsid w:val="006F38B2"/>
    <w:rsid w:val="006F3D5B"/>
    <w:rsid w:val="006F4383"/>
    <w:rsid w:val="006F47E6"/>
    <w:rsid w:val="006F4AB2"/>
    <w:rsid w:val="006F4F1A"/>
    <w:rsid w:val="006F4F37"/>
    <w:rsid w:val="006F5095"/>
    <w:rsid w:val="006F6444"/>
    <w:rsid w:val="006F75AB"/>
    <w:rsid w:val="00701A22"/>
    <w:rsid w:val="00701F92"/>
    <w:rsid w:val="0070260D"/>
    <w:rsid w:val="007027BC"/>
    <w:rsid w:val="007032CE"/>
    <w:rsid w:val="0070403D"/>
    <w:rsid w:val="0070470B"/>
    <w:rsid w:val="0070538D"/>
    <w:rsid w:val="00705521"/>
    <w:rsid w:val="007063BA"/>
    <w:rsid w:val="0070694A"/>
    <w:rsid w:val="00706BD9"/>
    <w:rsid w:val="00707410"/>
    <w:rsid w:val="00710C5B"/>
    <w:rsid w:val="00710E2A"/>
    <w:rsid w:val="0071110C"/>
    <w:rsid w:val="00711C75"/>
    <w:rsid w:val="00712294"/>
    <w:rsid w:val="00712321"/>
    <w:rsid w:val="007123C4"/>
    <w:rsid w:val="00712C07"/>
    <w:rsid w:val="00712E5F"/>
    <w:rsid w:val="00713456"/>
    <w:rsid w:val="00713A6A"/>
    <w:rsid w:val="00713E2D"/>
    <w:rsid w:val="007142DE"/>
    <w:rsid w:val="00714372"/>
    <w:rsid w:val="00714CA8"/>
    <w:rsid w:val="00714CCA"/>
    <w:rsid w:val="00715022"/>
    <w:rsid w:val="0071526F"/>
    <w:rsid w:val="007157BC"/>
    <w:rsid w:val="00715A65"/>
    <w:rsid w:val="00715F64"/>
    <w:rsid w:val="00715FAD"/>
    <w:rsid w:val="00717288"/>
    <w:rsid w:val="00717370"/>
    <w:rsid w:val="00717EB5"/>
    <w:rsid w:val="00720A39"/>
    <w:rsid w:val="0072116C"/>
    <w:rsid w:val="007211E5"/>
    <w:rsid w:val="00721313"/>
    <w:rsid w:val="00721CE4"/>
    <w:rsid w:val="00723392"/>
    <w:rsid w:val="007235E6"/>
    <w:rsid w:val="00723744"/>
    <w:rsid w:val="00723B81"/>
    <w:rsid w:val="0072484A"/>
    <w:rsid w:val="007265A5"/>
    <w:rsid w:val="00726742"/>
    <w:rsid w:val="00726A3C"/>
    <w:rsid w:val="00726EF9"/>
    <w:rsid w:val="00727178"/>
    <w:rsid w:val="007275B3"/>
    <w:rsid w:val="00727D9F"/>
    <w:rsid w:val="00727EF0"/>
    <w:rsid w:val="007309F1"/>
    <w:rsid w:val="00730C3C"/>
    <w:rsid w:val="00730CA3"/>
    <w:rsid w:val="00730D80"/>
    <w:rsid w:val="007324E0"/>
    <w:rsid w:val="0073280B"/>
    <w:rsid w:val="00732E32"/>
    <w:rsid w:val="007346AE"/>
    <w:rsid w:val="00734F3F"/>
    <w:rsid w:val="007350CE"/>
    <w:rsid w:val="00735A23"/>
    <w:rsid w:val="007367DD"/>
    <w:rsid w:val="00736CE5"/>
    <w:rsid w:val="00736FC6"/>
    <w:rsid w:val="00737B50"/>
    <w:rsid w:val="007407B9"/>
    <w:rsid w:val="0074107B"/>
    <w:rsid w:val="007414F7"/>
    <w:rsid w:val="007415BB"/>
    <w:rsid w:val="0074188F"/>
    <w:rsid w:val="0074238E"/>
    <w:rsid w:val="00742DD6"/>
    <w:rsid w:val="00744037"/>
    <w:rsid w:val="00744078"/>
    <w:rsid w:val="00744E65"/>
    <w:rsid w:val="00745080"/>
    <w:rsid w:val="00745CD6"/>
    <w:rsid w:val="007467E1"/>
    <w:rsid w:val="00747153"/>
    <w:rsid w:val="00747370"/>
    <w:rsid w:val="007477A4"/>
    <w:rsid w:val="0075025C"/>
    <w:rsid w:val="00750383"/>
    <w:rsid w:val="007504E6"/>
    <w:rsid w:val="00750B5B"/>
    <w:rsid w:val="00750C30"/>
    <w:rsid w:val="00751A8B"/>
    <w:rsid w:val="00751C61"/>
    <w:rsid w:val="00753100"/>
    <w:rsid w:val="0075373C"/>
    <w:rsid w:val="00753871"/>
    <w:rsid w:val="00753A24"/>
    <w:rsid w:val="00754D75"/>
    <w:rsid w:val="007552D5"/>
    <w:rsid w:val="0075546A"/>
    <w:rsid w:val="00755488"/>
    <w:rsid w:val="00755BE6"/>
    <w:rsid w:val="00756B90"/>
    <w:rsid w:val="00756D98"/>
    <w:rsid w:val="007570C8"/>
    <w:rsid w:val="0075785D"/>
    <w:rsid w:val="00757C16"/>
    <w:rsid w:val="00757F04"/>
    <w:rsid w:val="00760E40"/>
    <w:rsid w:val="0076146B"/>
    <w:rsid w:val="007614A1"/>
    <w:rsid w:val="0076151B"/>
    <w:rsid w:val="00761E62"/>
    <w:rsid w:val="00762BDE"/>
    <w:rsid w:val="00763468"/>
    <w:rsid w:val="007644D5"/>
    <w:rsid w:val="007648C0"/>
    <w:rsid w:val="00765F3C"/>
    <w:rsid w:val="00767ECB"/>
    <w:rsid w:val="007703E7"/>
    <w:rsid w:val="007705DC"/>
    <w:rsid w:val="007708C4"/>
    <w:rsid w:val="0077115A"/>
    <w:rsid w:val="0077163A"/>
    <w:rsid w:val="007717E7"/>
    <w:rsid w:val="00771C19"/>
    <w:rsid w:val="00772CBA"/>
    <w:rsid w:val="00772F82"/>
    <w:rsid w:val="0077300B"/>
    <w:rsid w:val="0077368D"/>
    <w:rsid w:val="0077391E"/>
    <w:rsid w:val="0077451E"/>
    <w:rsid w:val="00775485"/>
    <w:rsid w:val="00775D52"/>
    <w:rsid w:val="00775EA6"/>
    <w:rsid w:val="00776143"/>
    <w:rsid w:val="00777009"/>
    <w:rsid w:val="0077749E"/>
    <w:rsid w:val="0078065B"/>
    <w:rsid w:val="00780801"/>
    <w:rsid w:val="00780B32"/>
    <w:rsid w:val="00780BA3"/>
    <w:rsid w:val="00780D82"/>
    <w:rsid w:val="00780E8B"/>
    <w:rsid w:val="00781281"/>
    <w:rsid w:val="00781836"/>
    <w:rsid w:val="007820D5"/>
    <w:rsid w:val="007834BB"/>
    <w:rsid w:val="00783E5D"/>
    <w:rsid w:val="007845C8"/>
    <w:rsid w:val="00785752"/>
    <w:rsid w:val="0078624A"/>
    <w:rsid w:val="0078662E"/>
    <w:rsid w:val="0078764D"/>
    <w:rsid w:val="00787A3E"/>
    <w:rsid w:val="007902FB"/>
    <w:rsid w:val="00790436"/>
    <w:rsid w:val="0079070F"/>
    <w:rsid w:val="0079098B"/>
    <w:rsid w:val="00791580"/>
    <w:rsid w:val="0079167F"/>
    <w:rsid w:val="00791E9A"/>
    <w:rsid w:val="00793D1F"/>
    <w:rsid w:val="007947DD"/>
    <w:rsid w:val="007950AD"/>
    <w:rsid w:val="007951B8"/>
    <w:rsid w:val="007951C7"/>
    <w:rsid w:val="00795A9C"/>
    <w:rsid w:val="00795DF0"/>
    <w:rsid w:val="00795DF8"/>
    <w:rsid w:val="007968FB"/>
    <w:rsid w:val="0079745D"/>
    <w:rsid w:val="007A02B0"/>
    <w:rsid w:val="007A0397"/>
    <w:rsid w:val="007A044A"/>
    <w:rsid w:val="007A147B"/>
    <w:rsid w:val="007A1813"/>
    <w:rsid w:val="007A29BB"/>
    <w:rsid w:val="007A2AA8"/>
    <w:rsid w:val="007A2F9A"/>
    <w:rsid w:val="007A34DD"/>
    <w:rsid w:val="007A3CB7"/>
    <w:rsid w:val="007A44BF"/>
    <w:rsid w:val="007A530A"/>
    <w:rsid w:val="007A58B3"/>
    <w:rsid w:val="007A59C8"/>
    <w:rsid w:val="007A5BCC"/>
    <w:rsid w:val="007A5C81"/>
    <w:rsid w:val="007A5F0E"/>
    <w:rsid w:val="007A607A"/>
    <w:rsid w:val="007A64AD"/>
    <w:rsid w:val="007A65B6"/>
    <w:rsid w:val="007A712E"/>
    <w:rsid w:val="007A7183"/>
    <w:rsid w:val="007A7319"/>
    <w:rsid w:val="007A798D"/>
    <w:rsid w:val="007A7B11"/>
    <w:rsid w:val="007B0255"/>
    <w:rsid w:val="007B0903"/>
    <w:rsid w:val="007B1189"/>
    <w:rsid w:val="007B2FF8"/>
    <w:rsid w:val="007B302B"/>
    <w:rsid w:val="007B31EB"/>
    <w:rsid w:val="007B465B"/>
    <w:rsid w:val="007B4B33"/>
    <w:rsid w:val="007B51D1"/>
    <w:rsid w:val="007B5443"/>
    <w:rsid w:val="007B5469"/>
    <w:rsid w:val="007B5CC8"/>
    <w:rsid w:val="007B5D33"/>
    <w:rsid w:val="007B5D86"/>
    <w:rsid w:val="007B5E07"/>
    <w:rsid w:val="007B60A1"/>
    <w:rsid w:val="007B69D0"/>
    <w:rsid w:val="007B6BD5"/>
    <w:rsid w:val="007B71F9"/>
    <w:rsid w:val="007B7609"/>
    <w:rsid w:val="007B7CFE"/>
    <w:rsid w:val="007C06DE"/>
    <w:rsid w:val="007C100A"/>
    <w:rsid w:val="007C246B"/>
    <w:rsid w:val="007C4659"/>
    <w:rsid w:val="007C5185"/>
    <w:rsid w:val="007C54C7"/>
    <w:rsid w:val="007C6053"/>
    <w:rsid w:val="007C685B"/>
    <w:rsid w:val="007C6A5E"/>
    <w:rsid w:val="007C7114"/>
    <w:rsid w:val="007C74AA"/>
    <w:rsid w:val="007C76B0"/>
    <w:rsid w:val="007C7E11"/>
    <w:rsid w:val="007D00B0"/>
    <w:rsid w:val="007D07AD"/>
    <w:rsid w:val="007D1512"/>
    <w:rsid w:val="007D1CC1"/>
    <w:rsid w:val="007D1F76"/>
    <w:rsid w:val="007D1FC9"/>
    <w:rsid w:val="007D2192"/>
    <w:rsid w:val="007D2AED"/>
    <w:rsid w:val="007D2DD0"/>
    <w:rsid w:val="007D36A2"/>
    <w:rsid w:val="007D3930"/>
    <w:rsid w:val="007D3C8E"/>
    <w:rsid w:val="007D449C"/>
    <w:rsid w:val="007D450E"/>
    <w:rsid w:val="007D4873"/>
    <w:rsid w:val="007D4F92"/>
    <w:rsid w:val="007D5751"/>
    <w:rsid w:val="007D6077"/>
    <w:rsid w:val="007D654F"/>
    <w:rsid w:val="007D7929"/>
    <w:rsid w:val="007E107D"/>
    <w:rsid w:val="007E113C"/>
    <w:rsid w:val="007E15FF"/>
    <w:rsid w:val="007E188D"/>
    <w:rsid w:val="007E1FBB"/>
    <w:rsid w:val="007E2ABF"/>
    <w:rsid w:val="007E30E5"/>
    <w:rsid w:val="007E35DF"/>
    <w:rsid w:val="007E4505"/>
    <w:rsid w:val="007E4594"/>
    <w:rsid w:val="007E4B80"/>
    <w:rsid w:val="007E4C20"/>
    <w:rsid w:val="007E503F"/>
    <w:rsid w:val="007E56ED"/>
    <w:rsid w:val="007E5867"/>
    <w:rsid w:val="007E6039"/>
    <w:rsid w:val="007E64B5"/>
    <w:rsid w:val="007E6755"/>
    <w:rsid w:val="007E6FD6"/>
    <w:rsid w:val="007E7A8C"/>
    <w:rsid w:val="007E7AC0"/>
    <w:rsid w:val="007E7D19"/>
    <w:rsid w:val="007F109D"/>
    <w:rsid w:val="007F1269"/>
    <w:rsid w:val="007F145D"/>
    <w:rsid w:val="007F1888"/>
    <w:rsid w:val="007F1BC9"/>
    <w:rsid w:val="007F27D2"/>
    <w:rsid w:val="007F2AB8"/>
    <w:rsid w:val="007F3458"/>
    <w:rsid w:val="007F4188"/>
    <w:rsid w:val="007F4812"/>
    <w:rsid w:val="007F4ABD"/>
    <w:rsid w:val="007F50F7"/>
    <w:rsid w:val="007F5CBB"/>
    <w:rsid w:val="007F5D2E"/>
    <w:rsid w:val="007F647E"/>
    <w:rsid w:val="007F66E7"/>
    <w:rsid w:val="007F6F90"/>
    <w:rsid w:val="007F7847"/>
    <w:rsid w:val="007F7E07"/>
    <w:rsid w:val="007F7F8D"/>
    <w:rsid w:val="00800713"/>
    <w:rsid w:val="00800AC9"/>
    <w:rsid w:val="00800C20"/>
    <w:rsid w:val="00801D16"/>
    <w:rsid w:val="00801FA6"/>
    <w:rsid w:val="008030FD"/>
    <w:rsid w:val="00803437"/>
    <w:rsid w:val="0080397C"/>
    <w:rsid w:val="00803FB8"/>
    <w:rsid w:val="0080426D"/>
    <w:rsid w:val="0080496E"/>
    <w:rsid w:val="00804B94"/>
    <w:rsid w:val="0080567A"/>
    <w:rsid w:val="00805702"/>
    <w:rsid w:val="00805FBA"/>
    <w:rsid w:val="008060C4"/>
    <w:rsid w:val="008062D6"/>
    <w:rsid w:val="00806701"/>
    <w:rsid w:val="00806CFD"/>
    <w:rsid w:val="0080709E"/>
    <w:rsid w:val="00807B11"/>
    <w:rsid w:val="00807BFB"/>
    <w:rsid w:val="00810A93"/>
    <w:rsid w:val="00810D99"/>
    <w:rsid w:val="00810DC2"/>
    <w:rsid w:val="00811009"/>
    <w:rsid w:val="00811497"/>
    <w:rsid w:val="008115F8"/>
    <w:rsid w:val="00811626"/>
    <w:rsid w:val="008116F7"/>
    <w:rsid w:val="008117C9"/>
    <w:rsid w:val="008119E6"/>
    <w:rsid w:val="0081220C"/>
    <w:rsid w:val="0081247B"/>
    <w:rsid w:val="0081284E"/>
    <w:rsid w:val="008132C2"/>
    <w:rsid w:val="00813EB1"/>
    <w:rsid w:val="0081437C"/>
    <w:rsid w:val="00814394"/>
    <w:rsid w:val="00814870"/>
    <w:rsid w:val="00814D6B"/>
    <w:rsid w:val="00814F7B"/>
    <w:rsid w:val="00815B22"/>
    <w:rsid w:val="008163AA"/>
    <w:rsid w:val="00816F99"/>
    <w:rsid w:val="00817443"/>
    <w:rsid w:val="00817AB8"/>
    <w:rsid w:val="008203E0"/>
    <w:rsid w:val="00820B79"/>
    <w:rsid w:val="0082111C"/>
    <w:rsid w:val="008213E4"/>
    <w:rsid w:val="0082164F"/>
    <w:rsid w:val="00821B3D"/>
    <w:rsid w:val="00821E21"/>
    <w:rsid w:val="008226ED"/>
    <w:rsid w:val="008229D2"/>
    <w:rsid w:val="00822B3B"/>
    <w:rsid w:val="00823C18"/>
    <w:rsid w:val="00823CF2"/>
    <w:rsid w:val="00823F0E"/>
    <w:rsid w:val="00824183"/>
    <w:rsid w:val="00824AEA"/>
    <w:rsid w:val="00825537"/>
    <w:rsid w:val="00825BF7"/>
    <w:rsid w:val="00825C72"/>
    <w:rsid w:val="00826168"/>
    <w:rsid w:val="00826209"/>
    <w:rsid w:val="008262CD"/>
    <w:rsid w:val="008263C1"/>
    <w:rsid w:val="008265F5"/>
    <w:rsid w:val="00826808"/>
    <w:rsid w:val="008268E5"/>
    <w:rsid w:val="00826ED6"/>
    <w:rsid w:val="00827105"/>
    <w:rsid w:val="0082760D"/>
    <w:rsid w:val="0082788D"/>
    <w:rsid w:val="00830755"/>
    <w:rsid w:val="00830D7E"/>
    <w:rsid w:val="00831A1A"/>
    <w:rsid w:val="00831D9F"/>
    <w:rsid w:val="00832E55"/>
    <w:rsid w:val="008334FB"/>
    <w:rsid w:val="008346EB"/>
    <w:rsid w:val="00834828"/>
    <w:rsid w:val="00834BFC"/>
    <w:rsid w:val="00835340"/>
    <w:rsid w:val="00835C72"/>
    <w:rsid w:val="00835D9F"/>
    <w:rsid w:val="00836628"/>
    <w:rsid w:val="00836767"/>
    <w:rsid w:val="008369F8"/>
    <w:rsid w:val="00837E62"/>
    <w:rsid w:val="008401C1"/>
    <w:rsid w:val="008405DB"/>
    <w:rsid w:val="00842C13"/>
    <w:rsid w:val="00843FAD"/>
    <w:rsid w:val="00844192"/>
    <w:rsid w:val="0084433E"/>
    <w:rsid w:val="008446FC"/>
    <w:rsid w:val="00845150"/>
    <w:rsid w:val="0084522C"/>
    <w:rsid w:val="008453C1"/>
    <w:rsid w:val="00845E85"/>
    <w:rsid w:val="00845FE7"/>
    <w:rsid w:val="008462FC"/>
    <w:rsid w:val="0084689C"/>
    <w:rsid w:val="00847F46"/>
    <w:rsid w:val="00847F9C"/>
    <w:rsid w:val="008505BA"/>
    <w:rsid w:val="00850AB4"/>
    <w:rsid w:val="00850EE0"/>
    <w:rsid w:val="00851759"/>
    <w:rsid w:val="00851D7B"/>
    <w:rsid w:val="00852399"/>
    <w:rsid w:val="00852B87"/>
    <w:rsid w:val="00853056"/>
    <w:rsid w:val="008532E4"/>
    <w:rsid w:val="0085441D"/>
    <w:rsid w:val="00855A2E"/>
    <w:rsid w:val="00855B01"/>
    <w:rsid w:val="00855D17"/>
    <w:rsid w:val="00855DA1"/>
    <w:rsid w:val="00856251"/>
    <w:rsid w:val="00856F44"/>
    <w:rsid w:val="00856F76"/>
    <w:rsid w:val="0085709C"/>
    <w:rsid w:val="0085723C"/>
    <w:rsid w:val="00857267"/>
    <w:rsid w:val="00857373"/>
    <w:rsid w:val="00857531"/>
    <w:rsid w:val="008601D6"/>
    <w:rsid w:val="00860865"/>
    <w:rsid w:val="00860ED8"/>
    <w:rsid w:val="008610C9"/>
    <w:rsid w:val="008612D2"/>
    <w:rsid w:val="00861EF0"/>
    <w:rsid w:val="008621C9"/>
    <w:rsid w:val="00862D12"/>
    <w:rsid w:val="00862FB9"/>
    <w:rsid w:val="00863F65"/>
    <w:rsid w:val="008642A4"/>
    <w:rsid w:val="00864FF4"/>
    <w:rsid w:val="00865E89"/>
    <w:rsid w:val="00866CFB"/>
    <w:rsid w:val="00867DB5"/>
    <w:rsid w:val="0087052F"/>
    <w:rsid w:val="00870984"/>
    <w:rsid w:val="00870AE5"/>
    <w:rsid w:val="00870B8E"/>
    <w:rsid w:val="00870BFF"/>
    <w:rsid w:val="00871673"/>
    <w:rsid w:val="00871901"/>
    <w:rsid w:val="00872079"/>
    <w:rsid w:val="00872B53"/>
    <w:rsid w:val="00872D9B"/>
    <w:rsid w:val="00872E61"/>
    <w:rsid w:val="008730BC"/>
    <w:rsid w:val="008738F8"/>
    <w:rsid w:val="00873A80"/>
    <w:rsid w:val="00874187"/>
    <w:rsid w:val="008742A2"/>
    <w:rsid w:val="008747A2"/>
    <w:rsid w:val="008755D5"/>
    <w:rsid w:val="0087612C"/>
    <w:rsid w:val="0087662A"/>
    <w:rsid w:val="008770ED"/>
    <w:rsid w:val="0087720B"/>
    <w:rsid w:val="0087751C"/>
    <w:rsid w:val="008801CF"/>
    <w:rsid w:val="00880952"/>
    <w:rsid w:val="00880B2D"/>
    <w:rsid w:val="00880D23"/>
    <w:rsid w:val="008811CE"/>
    <w:rsid w:val="008813BC"/>
    <w:rsid w:val="0088153C"/>
    <w:rsid w:val="00881A06"/>
    <w:rsid w:val="00881AB2"/>
    <w:rsid w:val="00881FAF"/>
    <w:rsid w:val="00882D4E"/>
    <w:rsid w:val="00882D5D"/>
    <w:rsid w:val="0088374B"/>
    <w:rsid w:val="00883925"/>
    <w:rsid w:val="0088399A"/>
    <w:rsid w:val="0088399C"/>
    <w:rsid w:val="00883AB0"/>
    <w:rsid w:val="00884C46"/>
    <w:rsid w:val="00884E52"/>
    <w:rsid w:val="008850D2"/>
    <w:rsid w:val="00885B64"/>
    <w:rsid w:val="00886065"/>
    <w:rsid w:val="00886142"/>
    <w:rsid w:val="00886325"/>
    <w:rsid w:val="00886608"/>
    <w:rsid w:val="00886CC0"/>
    <w:rsid w:val="00887F5E"/>
    <w:rsid w:val="00890143"/>
    <w:rsid w:val="00890744"/>
    <w:rsid w:val="00892A04"/>
    <w:rsid w:val="00892DE5"/>
    <w:rsid w:val="00893AE8"/>
    <w:rsid w:val="00893CF8"/>
    <w:rsid w:val="00893DDF"/>
    <w:rsid w:val="00894108"/>
    <w:rsid w:val="0089438F"/>
    <w:rsid w:val="00894AE3"/>
    <w:rsid w:val="008950CA"/>
    <w:rsid w:val="008951E2"/>
    <w:rsid w:val="0089540C"/>
    <w:rsid w:val="00895853"/>
    <w:rsid w:val="008963B1"/>
    <w:rsid w:val="008963BD"/>
    <w:rsid w:val="0089679A"/>
    <w:rsid w:val="00896B61"/>
    <w:rsid w:val="00896D47"/>
    <w:rsid w:val="008978AC"/>
    <w:rsid w:val="008A022B"/>
    <w:rsid w:val="008A08AB"/>
    <w:rsid w:val="008A13A3"/>
    <w:rsid w:val="008A1549"/>
    <w:rsid w:val="008A1F70"/>
    <w:rsid w:val="008A3A5F"/>
    <w:rsid w:val="008A3ADC"/>
    <w:rsid w:val="008A3B35"/>
    <w:rsid w:val="008A4F03"/>
    <w:rsid w:val="008A5152"/>
    <w:rsid w:val="008A53D0"/>
    <w:rsid w:val="008A5782"/>
    <w:rsid w:val="008A5C5C"/>
    <w:rsid w:val="008A5CDF"/>
    <w:rsid w:val="008A5E43"/>
    <w:rsid w:val="008A5E5F"/>
    <w:rsid w:val="008A6332"/>
    <w:rsid w:val="008A72FF"/>
    <w:rsid w:val="008A7445"/>
    <w:rsid w:val="008A7617"/>
    <w:rsid w:val="008A797D"/>
    <w:rsid w:val="008A7A11"/>
    <w:rsid w:val="008A7A1D"/>
    <w:rsid w:val="008A7E56"/>
    <w:rsid w:val="008B07A1"/>
    <w:rsid w:val="008B0CB1"/>
    <w:rsid w:val="008B0F53"/>
    <w:rsid w:val="008B1288"/>
    <w:rsid w:val="008B1DFA"/>
    <w:rsid w:val="008B20F6"/>
    <w:rsid w:val="008B27D3"/>
    <w:rsid w:val="008B298B"/>
    <w:rsid w:val="008B2A9A"/>
    <w:rsid w:val="008B3033"/>
    <w:rsid w:val="008B380B"/>
    <w:rsid w:val="008B38D3"/>
    <w:rsid w:val="008B3913"/>
    <w:rsid w:val="008B44AA"/>
    <w:rsid w:val="008B4A9E"/>
    <w:rsid w:val="008B600D"/>
    <w:rsid w:val="008B62E5"/>
    <w:rsid w:val="008B6BC2"/>
    <w:rsid w:val="008B6E87"/>
    <w:rsid w:val="008C00E9"/>
    <w:rsid w:val="008C06B1"/>
    <w:rsid w:val="008C088D"/>
    <w:rsid w:val="008C1F01"/>
    <w:rsid w:val="008C27A3"/>
    <w:rsid w:val="008C2FA4"/>
    <w:rsid w:val="008C330D"/>
    <w:rsid w:val="008C341C"/>
    <w:rsid w:val="008C3681"/>
    <w:rsid w:val="008C38C3"/>
    <w:rsid w:val="008C3A95"/>
    <w:rsid w:val="008C4C02"/>
    <w:rsid w:val="008C53A0"/>
    <w:rsid w:val="008C5ADC"/>
    <w:rsid w:val="008C6BA5"/>
    <w:rsid w:val="008C6F7A"/>
    <w:rsid w:val="008C7197"/>
    <w:rsid w:val="008D0849"/>
    <w:rsid w:val="008D0DFC"/>
    <w:rsid w:val="008D0F5E"/>
    <w:rsid w:val="008D11F1"/>
    <w:rsid w:val="008D13AE"/>
    <w:rsid w:val="008D25C2"/>
    <w:rsid w:val="008D33A6"/>
    <w:rsid w:val="008D3E2A"/>
    <w:rsid w:val="008D3FCE"/>
    <w:rsid w:val="008D5D14"/>
    <w:rsid w:val="008D6C5F"/>
    <w:rsid w:val="008D6C76"/>
    <w:rsid w:val="008D6F0F"/>
    <w:rsid w:val="008D72B6"/>
    <w:rsid w:val="008D77C1"/>
    <w:rsid w:val="008D7F88"/>
    <w:rsid w:val="008E047B"/>
    <w:rsid w:val="008E083D"/>
    <w:rsid w:val="008E08ED"/>
    <w:rsid w:val="008E0D0B"/>
    <w:rsid w:val="008E0F19"/>
    <w:rsid w:val="008E1E48"/>
    <w:rsid w:val="008E1EDF"/>
    <w:rsid w:val="008E2C7F"/>
    <w:rsid w:val="008E2FB8"/>
    <w:rsid w:val="008E3346"/>
    <w:rsid w:val="008E3A1E"/>
    <w:rsid w:val="008E3C62"/>
    <w:rsid w:val="008E4875"/>
    <w:rsid w:val="008E4A0C"/>
    <w:rsid w:val="008E4EC3"/>
    <w:rsid w:val="008E5407"/>
    <w:rsid w:val="008E69F0"/>
    <w:rsid w:val="008E760E"/>
    <w:rsid w:val="008E76BB"/>
    <w:rsid w:val="008E7886"/>
    <w:rsid w:val="008E7B2E"/>
    <w:rsid w:val="008E7CCF"/>
    <w:rsid w:val="008F0197"/>
    <w:rsid w:val="008F0620"/>
    <w:rsid w:val="008F0869"/>
    <w:rsid w:val="008F0B8F"/>
    <w:rsid w:val="008F10DA"/>
    <w:rsid w:val="008F136A"/>
    <w:rsid w:val="008F1AC1"/>
    <w:rsid w:val="008F1DD3"/>
    <w:rsid w:val="008F20E8"/>
    <w:rsid w:val="008F22E7"/>
    <w:rsid w:val="008F273F"/>
    <w:rsid w:val="008F27FD"/>
    <w:rsid w:val="008F2BDE"/>
    <w:rsid w:val="008F33E0"/>
    <w:rsid w:val="008F36EB"/>
    <w:rsid w:val="008F39B6"/>
    <w:rsid w:val="008F4CF2"/>
    <w:rsid w:val="008F5EBA"/>
    <w:rsid w:val="008F6375"/>
    <w:rsid w:val="008F63E5"/>
    <w:rsid w:val="008F6583"/>
    <w:rsid w:val="008F6BAC"/>
    <w:rsid w:val="008F7A79"/>
    <w:rsid w:val="0090004C"/>
    <w:rsid w:val="00900073"/>
    <w:rsid w:val="00900385"/>
    <w:rsid w:val="00900891"/>
    <w:rsid w:val="00900898"/>
    <w:rsid w:val="00900C70"/>
    <w:rsid w:val="00900E82"/>
    <w:rsid w:val="009011D8"/>
    <w:rsid w:val="009021FF"/>
    <w:rsid w:val="0090232A"/>
    <w:rsid w:val="00902C1A"/>
    <w:rsid w:val="00902C29"/>
    <w:rsid w:val="009069C8"/>
    <w:rsid w:val="00907047"/>
    <w:rsid w:val="00907432"/>
    <w:rsid w:val="00907F3F"/>
    <w:rsid w:val="00910440"/>
    <w:rsid w:val="00910797"/>
    <w:rsid w:val="0091103A"/>
    <w:rsid w:val="00911111"/>
    <w:rsid w:val="00911F59"/>
    <w:rsid w:val="00912830"/>
    <w:rsid w:val="00912CE9"/>
    <w:rsid w:val="00912FF1"/>
    <w:rsid w:val="009137BF"/>
    <w:rsid w:val="00913F7B"/>
    <w:rsid w:val="009145BA"/>
    <w:rsid w:val="009146C7"/>
    <w:rsid w:val="009148C1"/>
    <w:rsid w:val="009151C2"/>
    <w:rsid w:val="009167B2"/>
    <w:rsid w:val="00916814"/>
    <w:rsid w:val="009169BA"/>
    <w:rsid w:val="009200FE"/>
    <w:rsid w:val="0092097B"/>
    <w:rsid w:val="00921940"/>
    <w:rsid w:val="00921B52"/>
    <w:rsid w:val="009234B6"/>
    <w:rsid w:val="0092359B"/>
    <w:rsid w:val="00923A70"/>
    <w:rsid w:val="00923D4C"/>
    <w:rsid w:val="0092420C"/>
    <w:rsid w:val="00924281"/>
    <w:rsid w:val="00925511"/>
    <w:rsid w:val="00925915"/>
    <w:rsid w:val="00926678"/>
    <w:rsid w:val="00926874"/>
    <w:rsid w:val="00926915"/>
    <w:rsid w:val="00926B87"/>
    <w:rsid w:val="00927354"/>
    <w:rsid w:val="0092737B"/>
    <w:rsid w:val="0092784C"/>
    <w:rsid w:val="009278B6"/>
    <w:rsid w:val="00927A4C"/>
    <w:rsid w:val="00927AA2"/>
    <w:rsid w:val="00930085"/>
    <w:rsid w:val="009303DF"/>
    <w:rsid w:val="009305CF"/>
    <w:rsid w:val="00931025"/>
    <w:rsid w:val="009314B8"/>
    <w:rsid w:val="00931811"/>
    <w:rsid w:val="00931B53"/>
    <w:rsid w:val="00932ADD"/>
    <w:rsid w:val="0093323F"/>
    <w:rsid w:val="0093434E"/>
    <w:rsid w:val="00935787"/>
    <w:rsid w:val="00935ADF"/>
    <w:rsid w:val="00935DB9"/>
    <w:rsid w:val="00936A7B"/>
    <w:rsid w:val="00937B59"/>
    <w:rsid w:val="0094037C"/>
    <w:rsid w:val="00940662"/>
    <w:rsid w:val="00941123"/>
    <w:rsid w:val="00941C05"/>
    <w:rsid w:val="009422B4"/>
    <w:rsid w:val="009429E1"/>
    <w:rsid w:val="00942EBB"/>
    <w:rsid w:val="0094325C"/>
    <w:rsid w:val="00943ACB"/>
    <w:rsid w:val="00944B2F"/>
    <w:rsid w:val="00944D46"/>
    <w:rsid w:val="00945D50"/>
    <w:rsid w:val="00946165"/>
    <w:rsid w:val="009462BD"/>
    <w:rsid w:val="00946588"/>
    <w:rsid w:val="009468BA"/>
    <w:rsid w:val="009475F1"/>
    <w:rsid w:val="00947B29"/>
    <w:rsid w:val="00947CF4"/>
    <w:rsid w:val="009500AB"/>
    <w:rsid w:val="009502D4"/>
    <w:rsid w:val="009506D8"/>
    <w:rsid w:val="0095071E"/>
    <w:rsid w:val="00951406"/>
    <w:rsid w:val="00951537"/>
    <w:rsid w:val="00951946"/>
    <w:rsid w:val="009524CD"/>
    <w:rsid w:val="009530C4"/>
    <w:rsid w:val="009531BD"/>
    <w:rsid w:val="00953588"/>
    <w:rsid w:val="00953996"/>
    <w:rsid w:val="00954565"/>
    <w:rsid w:val="00954954"/>
    <w:rsid w:val="00954B26"/>
    <w:rsid w:val="00954C19"/>
    <w:rsid w:val="00954C76"/>
    <w:rsid w:val="00954D81"/>
    <w:rsid w:val="00954D85"/>
    <w:rsid w:val="0095539D"/>
    <w:rsid w:val="00955B5B"/>
    <w:rsid w:val="00955D40"/>
    <w:rsid w:val="00956403"/>
    <w:rsid w:val="009565D3"/>
    <w:rsid w:val="00956656"/>
    <w:rsid w:val="00956FFB"/>
    <w:rsid w:val="009572DA"/>
    <w:rsid w:val="0096034D"/>
    <w:rsid w:val="00960EBD"/>
    <w:rsid w:val="0096207C"/>
    <w:rsid w:val="00964023"/>
    <w:rsid w:val="00964511"/>
    <w:rsid w:val="009646A0"/>
    <w:rsid w:val="00964A14"/>
    <w:rsid w:val="00964F9A"/>
    <w:rsid w:val="00965007"/>
    <w:rsid w:val="00965033"/>
    <w:rsid w:val="00965720"/>
    <w:rsid w:val="00965812"/>
    <w:rsid w:val="00966761"/>
    <w:rsid w:val="00966F16"/>
    <w:rsid w:val="00967058"/>
    <w:rsid w:val="0096771F"/>
    <w:rsid w:val="009679C9"/>
    <w:rsid w:val="00967BC3"/>
    <w:rsid w:val="00970134"/>
    <w:rsid w:val="00970EEB"/>
    <w:rsid w:val="009718D8"/>
    <w:rsid w:val="00971BDB"/>
    <w:rsid w:val="00971C3A"/>
    <w:rsid w:val="00972920"/>
    <w:rsid w:val="00972B20"/>
    <w:rsid w:val="00972C8A"/>
    <w:rsid w:val="00973170"/>
    <w:rsid w:val="009732B6"/>
    <w:rsid w:val="0097343A"/>
    <w:rsid w:val="00973BD2"/>
    <w:rsid w:val="009747F0"/>
    <w:rsid w:val="00974994"/>
    <w:rsid w:val="00975117"/>
    <w:rsid w:val="0097526F"/>
    <w:rsid w:val="00975482"/>
    <w:rsid w:val="0097584C"/>
    <w:rsid w:val="0097614E"/>
    <w:rsid w:val="00980C43"/>
    <w:rsid w:val="00980CD1"/>
    <w:rsid w:val="00981802"/>
    <w:rsid w:val="009831A1"/>
    <w:rsid w:val="00983349"/>
    <w:rsid w:val="0098348A"/>
    <w:rsid w:val="00983DE8"/>
    <w:rsid w:val="00984038"/>
    <w:rsid w:val="009842FA"/>
    <w:rsid w:val="00985259"/>
    <w:rsid w:val="00985E30"/>
    <w:rsid w:val="00985F12"/>
    <w:rsid w:val="00986273"/>
    <w:rsid w:val="009863CB"/>
    <w:rsid w:val="00986623"/>
    <w:rsid w:val="00986A5F"/>
    <w:rsid w:val="009870D1"/>
    <w:rsid w:val="00987191"/>
    <w:rsid w:val="009877E4"/>
    <w:rsid w:val="00987AB2"/>
    <w:rsid w:val="00987CB9"/>
    <w:rsid w:val="00987F61"/>
    <w:rsid w:val="009901A6"/>
    <w:rsid w:val="00990292"/>
    <w:rsid w:val="00990976"/>
    <w:rsid w:val="009914E5"/>
    <w:rsid w:val="0099187E"/>
    <w:rsid w:val="00991DE2"/>
    <w:rsid w:val="00992230"/>
    <w:rsid w:val="00993A70"/>
    <w:rsid w:val="00993DBF"/>
    <w:rsid w:val="0099419C"/>
    <w:rsid w:val="00994E12"/>
    <w:rsid w:val="00994ED9"/>
    <w:rsid w:val="00995444"/>
    <w:rsid w:val="00995999"/>
    <w:rsid w:val="009959E9"/>
    <w:rsid w:val="00996823"/>
    <w:rsid w:val="009971AC"/>
    <w:rsid w:val="00997D9F"/>
    <w:rsid w:val="009A0E05"/>
    <w:rsid w:val="009A1473"/>
    <w:rsid w:val="009A14F8"/>
    <w:rsid w:val="009A181D"/>
    <w:rsid w:val="009A227D"/>
    <w:rsid w:val="009A286E"/>
    <w:rsid w:val="009A40C8"/>
    <w:rsid w:val="009A410E"/>
    <w:rsid w:val="009A5265"/>
    <w:rsid w:val="009A53A3"/>
    <w:rsid w:val="009A6255"/>
    <w:rsid w:val="009A66DF"/>
    <w:rsid w:val="009A6D97"/>
    <w:rsid w:val="009A790F"/>
    <w:rsid w:val="009B0207"/>
    <w:rsid w:val="009B08C4"/>
    <w:rsid w:val="009B1015"/>
    <w:rsid w:val="009B2973"/>
    <w:rsid w:val="009B3207"/>
    <w:rsid w:val="009B345A"/>
    <w:rsid w:val="009B372A"/>
    <w:rsid w:val="009B3946"/>
    <w:rsid w:val="009B3D7B"/>
    <w:rsid w:val="009B4A9C"/>
    <w:rsid w:val="009B4B65"/>
    <w:rsid w:val="009B4D02"/>
    <w:rsid w:val="009B59B0"/>
    <w:rsid w:val="009B6091"/>
    <w:rsid w:val="009B7D59"/>
    <w:rsid w:val="009B7FDF"/>
    <w:rsid w:val="009C112C"/>
    <w:rsid w:val="009C142E"/>
    <w:rsid w:val="009C157A"/>
    <w:rsid w:val="009C1B42"/>
    <w:rsid w:val="009C3B69"/>
    <w:rsid w:val="009C4793"/>
    <w:rsid w:val="009C4FD5"/>
    <w:rsid w:val="009C5B44"/>
    <w:rsid w:val="009C6470"/>
    <w:rsid w:val="009C6AD8"/>
    <w:rsid w:val="009C6B43"/>
    <w:rsid w:val="009C6CC1"/>
    <w:rsid w:val="009C6F51"/>
    <w:rsid w:val="009C7D0E"/>
    <w:rsid w:val="009D06C5"/>
    <w:rsid w:val="009D0BDF"/>
    <w:rsid w:val="009D1513"/>
    <w:rsid w:val="009D18E7"/>
    <w:rsid w:val="009D1C65"/>
    <w:rsid w:val="009D1C92"/>
    <w:rsid w:val="009D2483"/>
    <w:rsid w:val="009D252F"/>
    <w:rsid w:val="009D27D4"/>
    <w:rsid w:val="009D29DA"/>
    <w:rsid w:val="009D2BB2"/>
    <w:rsid w:val="009D2D4C"/>
    <w:rsid w:val="009D31C6"/>
    <w:rsid w:val="009D3D5A"/>
    <w:rsid w:val="009D4B9C"/>
    <w:rsid w:val="009D50BD"/>
    <w:rsid w:val="009D534C"/>
    <w:rsid w:val="009D545F"/>
    <w:rsid w:val="009D5A28"/>
    <w:rsid w:val="009D5C6E"/>
    <w:rsid w:val="009D5DBD"/>
    <w:rsid w:val="009D69AB"/>
    <w:rsid w:val="009D6C5F"/>
    <w:rsid w:val="009D6CB0"/>
    <w:rsid w:val="009D728C"/>
    <w:rsid w:val="009D7ABD"/>
    <w:rsid w:val="009E0A36"/>
    <w:rsid w:val="009E0CBC"/>
    <w:rsid w:val="009E109B"/>
    <w:rsid w:val="009E1332"/>
    <w:rsid w:val="009E1755"/>
    <w:rsid w:val="009E1B94"/>
    <w:rsid w:val="009E1DA8"/>
    <w:rsid w:val="009E2550"/>
    <w:rsid w:val="009E29AA"/>
    <w:rsid w:val="009E3C13"/>
    <w:rsid w:val="009E3D93"/>
    <w:rsid w:val="009E4252"/>
    <w:rsid w:val="009E45A3"/>
    <w:rsid w:val="009E4935"/>
    <w:rsid w:val="009E4ED4"/>
    <w:rsid w:val="009E4FA6"/>
    <w:rsid w:val="009E5B14"/>
    <w:rsid w:val="009E5EC6"/>
    <w:rsid w:val="009E5EF1"/>
    <w:rsid w:val="009E61BF"/>
    <w:rsid w:val="009E6686"/>
    <w:rsid w:val="009E6A2E"/>
    <w:rsid w:val="009E7659"/>
    <w:rsid w:val="009E76FC"/>
    <w:rsid w:val="009E7CE6"/>
    <w:rsid w:val="009F0399"/>
    <w:rsid w:val="009F0E72"/>
    <w:rsid w:val="009F1C4B"/>
    <w:rsid w:val="009F1CF2"/>
    <w:rsid w:val="009F29AF"/>
    <w:rsid w:val="009F2C89"/>
    <w:rsid w:val="009F2D5D"/>
    <w:rsid w:val="009F325F"/>
    <w:rsid w:val="009F331F"/>
    <w:rsid w:val="009F3377"/>
    <w:rsid w:val="009F3757"/>
    <w:rsid w:val="009F425A"/>
    <w:rsid w:val="009F495B"/>
    <w:rsid w:val="009F575C"/>
    <w:rsid w:val="009F6364"/>
    <w:rsid w:val="009F65DC"/>
    <w:rsid w:val="009F691B"/>
    <w:rsid w:val="009F6C77"/>
    <w:rsid w:val="009F6E7A"/>
    <w:rsid w:val="009F7843"/>
    <w:rsid w:val="009F7F60"/>
    <w:rsid w:val="009F7FE3"/>
    <w:rsid w:val="00A00312"/>
    <w:rsid w:val="00A003F7"/>
    <w:rsid w:val="00A00E0C"/>
    <w:rsid w:val="00A00E63"/>
    <w:rsid w:val="00A01388"/>
    <w:rsid w:val="00A01EAF"/>
    <w:rsid w:val="00A02B8E"/>
    <w:rsid w:val="00A03D8F"/>
    <w:rsid w:val="00A04038"/>
    <w:rsid w:val="00A04240"/>
    <w:rsid w:val="00A046FC"/>
    <w:rsid w:val="00A04AAC"/>
    <w:rsid w:val="00A04AF0"/>
    <w:rsid w:val="00A05151"/>
    <w:rsid w:val="00A0524B"/>
    <w:rsid w:val="00A05A8D"/>
    <w:rsid w:val="00A05B90"/>
    <w:rsid w:val="00A05CC2"/>
    <w:rsid w:val="00A06308"/>
    <w:rsid w:val="00A067FC"/>
    <w:rsid w:val="00A06C1B"/>
    <w:rsid w:val="00A0776B"/>
    <w:rsid w:val="00A077A4"/>
    <w:rsid w:val="00A07812"/>
    <w:rsid w:val="00A07EE3"/>
    <w:rsid w:val="00A109DF"/>
    <w:rsid w:val="00A10D2B"/>
    <w:rsid w:val="00A110A1"/>
    <w:rsid w:val="00A115BB"/>
    <w:rsid w:val="00A11777"/>
    <w:rsid w:val="00A11A7C"/>
    <w:rsid w:val="00A12EAB"/>
    <w:rsid w:val="00A13D95"/>
    <w:rsid w:val="00A143A7"/>
    <w:rsid w:val="00A14480"/>
    <w:rsid w:val="00A14645"/>
    <w:rsid w:val="00A146A4"/>
    <w:rsid w:val="00A147A5"/>
    <w:rsid w:val="00A14818"/>
    <w:rsid w:val="00A14F0C"/>
    <w:rsid w:val="00A15493"/>
    <w:rsid w:val="00A154CE"/>
    <w:rsid w:val="00A16215"/>
    <w:rsid w:val="00A16BB8"/>
    <w:rsid w:val="00A172CD"/>
    <w:rsid w:val="00A17378"/>
    <w:rsid w:val="00A1787B"/>
    <w:rsid w:val="00A17E35"/>
    <w:rsid w:val="00A213BA"/>
    <w:rsid w:val="00A21985"/>
    <w:rsid w:val="00A21A84"/>
    <w:rsid w:val="00A21B96"/>
    <w:rsid w:val="00A21CA7"/>
    <w:rsid w:val="00A22ADF"/>
    <w:rsid w:val="00A23045"/>
    <w:rsid w:val="00A235E5"/>
    <w:rsid w:val="00A2378A"/>
    <w:rsid w:val="00A24DEF"/>
    <w:rsid w:val="00A25301"/>
    <w:rsid w:val="00A255DF"/>
    <w:rsid w:val="00A25C56"/>
    <w:rsid w:val="00A25C77"/>
    <w:rsid w:val="00A25F0F"/>
    <w:rsid w:val="00A26213"/>
    <w:rsid w:val="00A26403"/>
    <w:rsid w:val="00A271E6"/>
    <w:rsid w:val="00A2770C"/>
    <w:rsid w:val="00A27CFF"/>
    <w:rsid w:val="00A27E86"/>
    <w:rsid w:val="00A308BD"/>
    <w:rsid w:val="00A30929"/>
    <w:rsid w:val="00A30932"/>
    <w:rsid w:val="00A30C0A"/>
    <w:rsid w:val="00A30F7F"/>
    <w:rsid w:val="00A30F98"/>
    <w:rsid w:val="00A31C7E"/>
    <w:rsid w:val="00A31C8F"/>
    <w:rsid w:val="00A32040"/>
    <w:rsid w:val="00A32403"/>
    <w:rsid w:val="00A324A3"/>
    <w:rsid w:val="00A32BDF"/>
    <w:rsid w:val="00A32C0B"/>
    <w:rsid w:val="00A32C50"/>
    <w:rsid w:val="00A33C1D"/>
    <w:rsid w:val="00A33DF6"/>
    <w:rsid w:val="00A33EA2"/>
    <w:rsid w:val="00A34093"/>
    <w:rsid w:val="00A34249"/>
    <w:rsid w:val="00A36882"/>
    <w:rsid w:val="00A36989"/>
    <w:rsid w:val="00A37771"/>
    <w:rsid w:val="00A37A6F"/>
    <w:rsid w:val="00A37EB6"/>
    <w:rsid w:val="00A404B8"/>
    <w:rsid w:val="00A4067A"/>
    <w:rsid w:val="00A40893"/>
    <w:rsid w:val="00A40911"/>
    <w:rsid w:val="00A41236"/>
    <w:rsid w:val="00A41C2E"/>
    <w:rsid w:val="00A422C4"/>
    <w:rsid w:val="00A4261D"/>
    <w:rsid w:val="00A42769"/>
    <w:rsid w:val="00A436A0"/>
    <w:rsid w:val="00A44A7D"/>
    <w:rsid w:val="00A45417"/>
    <w:rsid w:val="00A457D1"/>
    <w:rsid w:val="00A459EB"/>
    <w:rsid w:val="00A468C8"/>
    <w:rsid w:val="00A47D7F"/>
    <w:rsid w:val="00A504DA"/>
    <w:rsid w:val="00A507BB"/>
    <w:rsid w:val="00A50C62"/>
    <w:rsid w:val="00A51215"/>
    <w:rsid w:val="00A514E6"/>
    <w:rsid w:val="00A51BCE"/>
    <w:rsid w:val="00A5213A"/>
    <w:rsid w:val="00A5254A"/>
    <w:rsid w:val="00A52B34"/>
    <w:rsid w:val="00A52C95"/>
    <w:rsid w:val="00A53AB0"/>
    <w:rsid w:val="00A53BC1"/>
    <w:rsid w:val="00A53EEE"/>
    <w:rsid w:val="00A54068"/>
    <w:rsid w:val="00A54377"/>
    <w:rsid w:val="00A55417"/>
    <w:rsid w:val="00A5673A"/>
    <w:rsid w:val="00A56790"/>
    <w:rsid w:val="00A5694D"/>
    <w:rsid w:val="00A6045E"/>
    <w:rsid w:val="00A60565"/>
    <w:rsid w:val="00A6091A"/>
    <w:rsid w:val="00A62246"/>
    <w:rsid w:val="00A62305"/>
    <w:rsid w:val="00A63397"/>
    <w:rsid w:val="00A63FE5"/>
    <w:rsid w:val="00A65A20"/>
    <w:rsid w:val="00A65FD9"/>
    <w:rsid w:val="00A660E9"/>
    <w:rsid w:val="00A668AF"/>
    <w:rsid w:val="00A6762D"/>
    <w:rsid w:val="00A70167"/>
    <w:rsid w:val="00A706D8"/>
    <w:rsid w:val="00A70714"/>
    <w:rsid w:val="00A70907"/>
    <w:rsid w:val="00A71033"/>
    <w:rsid w:val="00A71082"/>
    <w:rsid w:val="00A717E2"/>
    <w:rsid w:val="00A71A02"/>
    <w:rsid w:val="00A72418"/>
    <w:rsid w:val="00A7250E"/>
    <w:rsid w:val="00A72A02"/>
    <w:rsid w:val="00A72CBF"/>
    <w:rsid w:val="00A73C92"/>
    <w:rsid w:val="00A73F38"/>
    <w:rsid w:val="00A74114"/>
    <w:rsid w:val="00A74EAC"/>
    <w:rsid w:val="00A75A56"/>
    <w:rsid w:val="00A75AF4"/>
    <w:rsid w:val="00A76639"/>
    <w:rsid w:val="00A7688D"/>
    <w:rsid w:val="00A77418"/>
    <w:rsid w:val="00A77A6D"/>
    <w:rsid w:val="00A77B27"/>
    <w:rsid w:val="00A801FE"/>
    <w:rsid w:val="00A81588"/>
    <w:rsid w:val="00A8163E"/>
    <w:rsid w:val="00A81684"/>
    <w:rsid w:val="00A81AF0"/>
    <w:rsid w:val="00A81E4E"/>
    <w:rsid w:val="00A82607"/>
    <w:rsid w:val="00A826F9"/>
    <w:rsid w:val="00A8481B"/>
    <w:rsid w:val="00A84D4D"/>
    <w:rsid w:val="00A84EBB"/>
    <w:rsid w:val="00A857E4"/>
    <w:rsid w:val="00A85E08"/>
    <w:rsid w:val="00A86089"/>
    <w:rsid w:val="00A869B5"/>
    <w:rsid w:val="00A86D8B"/>
    <w:rsid w:val="00A86DD0"/>
    <w:rsid w:val="00A87742"/>
    <w:rsid w:val="00A9011B"/>
    <w:rsid w:val="00A90538"/>
    <w:rsid w:val="00A9074C"/>
    <w:rsid w:val="00A9079C"/>
    <w:rsid w:val="00A90A37"/>
    <w:rsid w:val="00A90A7A"/>
    <w:rsid w:val="00A91CE4"/>
    <w:rsid w:val="00A91FC3"/>
    <w:rsid w:val="00A929E6"/>
    <w:rsid w:val="00A92B43"/>
    <w:rsid w:val="00A92F4C"/>
    <w:rsid w:val="00A9349B"/>
    <w:rsid w:val="00A945C6"/>
    <w:rsid w:val="00A945E4"/>
    <w:rsid w:val="00A950A0"/>
    <w:rsid w:val="00A95899"/>
    <w:rsid w:val="00A958F3"/>
    <w:rsid w:val="00A95A10"/>
    <w:rsid w:val="00A96A0E"/>
    <w:rsid w:val="00A96D5C"/>
    <w:rsid w:val="00A972BA"/>
    <w:rsid w:val="00AA03D9"/>
    <w:rsid w:val="00AA0FBF"/>
    <w:rsid w:val="00AA23C9"/>
    <w:rsid w:val="00AA23F0"/>
    <w:rsid w:val="00AA245C"/>
    <w:rsid w:val="00AA271C"/>
    <w:rsid w:val="00AA32B0"/>
    <w:rsid w:val="00AA3A44"/>
    <w:rsid w:val="00AA437C"/>
    <w:rsid w:val="00AA57DE"/>
    <w:rsid w:val="00AA5A88"/>
    <w:rsid w:val="00AA5AEF"/>
    <w:rsid w:val="00AA5BFA"/>
    <w:rsid w:val="00AA6491"/>
    <w:rsid w:val="00AA6D86"/>
    <w:rsid w:val="00AA7525"/>
    <w:rsid w:val="00AA7571"/>
    <w:rsid w:val="00AA7BF3"/>
    <w:rsid w:val="00AA7D12"/>
    <w:rsid w:val="00AA7E14"/>
    <w:rsid w:val="00AA7F15"/>
    <w:rsid w:val="00AB0B8D"/>
    <w:rsid w:val="00AB12E4"/>
    <w:rsid w:val="00AB169F"/>
    <w:rsid w:val="00AB1F0F"/>
    <w:rsid w:val="00AB2393"/>
    <w:rsid w:val="00AB2E98"/>
    <w:rsid w:val="00AB4ADF"/>
    <w:rsid w:val="00AB4CDD"/>
    <w:rsid w:val="00AB5228"/>
    <w:rsid w:val="00AB55B0"/>
    <w:rsid w:val="00AB58B7"/>
    <w:rsid w:val="00AB6E69"/>
    <w:rsid w:val="00AB7187"/>
    <w:rsid w:val="00AB725C"/>
    <w:rsid w:val="00AB7429"/>
    <w:rsid w:val="00AB7528"/>
    <w:rsid w:val="00AB78BE"/>
    <w:rsid w:val="00AB78F0"/>
    <w:rsid w:val="00AC1318"/>
    <w:rsid w:val="00AC1607"/>
    <w:rsid w:val="00AC17FB"/>
    <w:rsid w:val="00AC22E1"/>
    <w:rsid w:val="00AC237C"/>
    <w:rsid w:val="00AC252F"/>
    <w:rsid w:val="00AC258A"/>
    <w:rsid w:val="00AC264F"/>
    <w:rsid w:val="00AC301E"/>
    <w:rsid w:val="00AC33C9"/>
    <w:rsid w:val="00AC3CAD"/>
    <w:rsid w:val="00AC3CF1"/>
    <w:rsid w:val="00AC3DC2"/>
    <w:rsid w:val="00AC41B1"/>
    <w:rsid w:val="00AC43F6"/>
    <w:rsid w:val="00AC44A7"/>
    <w:rsid w:val="00AC44F6"/>
    <w:rsid w:val="00AC5626"/>
    <w:rsid w:val="00AC6406"/>
    <w:rsid w:val="00AC7062"/>
    <w:rsid w:val="00AC74F9"/>
    <w:rsid w:val="00AC769F"/>
    <w:rsid w:val="00AC7FDF"/>
    <w:rsid w:val="00AD06A6"/>
    <w:rsid w:val="00AD194D"/>
    <w:rsid w:val="00AD1B9B"/>
    <w:rsid w:val="00AD1BA1"/>
    <w:rsid w:val="00AD330C"/>
    <w:rsid w:val="00AD3333"/>
    <w:rsid w:val="00AD338F"/>
    <w:rsid w:val="00AD3731"/>
    <w:rsid w:val="00AD37D9"/>
    <w:rsid w:val="00AD44BF"/>
    <w:rsid w:val="00AD45D3"/>
    <w:rsid w:val="00AD496F"/>
    <w:rsid w:val="00AD51A4"/>
    <w:rsid w:val="00AD547F"/>
    <w:rsid w:val="00AD54FD"/>
    <w:rsid w:val="00AD5968"/>
    <w:rsid w:val="00AD5D11"/>
    <w:rsid w:val="00AD7415"/>
    <w:rsid w:val="00AD767A"/>
    <w:rsid w:val="00AD7984"/>
    <w:rsid w:val="00AE08D6"/>
    <w:rsid w:val="00AE096F"/>
    <w:rsid w:val="00AE0B10"/>
    <w:rsid w:val="00AE0B52"/>
    <w:rsid w:val="00AE0D8C"/>
    <w:rsid w:val="00AE148B"/>
    <w:rsid w:val="00AE155D"/>
    <w:rsid w:val="00AE16B1"/>
    <w:rsid w:val="00AE1737"/>
    <w:rsid w:val="00AE26F1"/>
    <w:rsid w:val="00AE3078"/>
    <w:rsid w:val="00AE3578"/>
    <w:rsid w:val="00AE3B15"/>
    <w:rsid w:val="00AE3D66"/>
    <w:rsid w:val="00AE5520"/>
    <w:rsid w:val="00AE5973"/>
    <w:rsid w:val="00AE598C"/>
    <w:rsid w:val="00AE5A98"/>
    <w:rsid w:val="00AE5E9B"/>
    <w:rsid w:val="00AE6093"/>
    <w:rsid w:val="00AE745D"/>
    <w:rsid w:val="00AE7614"/>
    <w:rsid w:val="00AE7DC5"/>
    <w:rsid w:val="00AF1450"/>
    <w:rsid w:val="00AF3361"/>
    <w:rsid w:val="00AF37C2"/>
    <w:rsid w:val="00AF3EFC"/>
    <w:rsid w:val="00AF41DE"/>
    <w:rsid w:val="00AF440E"/>
    <w:rsid w:val="00AF5694"/>
    <w:rsid w:val="00AF5FC1"/>
    <w:rsid w:val="00AF6571"/>
    <w:rsid w:val="00AF66FE"/>
    <w:rsid w:val="00AF6D34"/>
    <w:rsid w:val="00AF70F1"/>
    <w:rsid w:val="00AF7557"/>
    <w:rsid w:val="00AF7D7D"/>
    <w:rsid w:val="00AF7E2D"/>
    <w:rsid w:val="00B00A87"/>
    <w:rsid w:val="00B00EC3"/>
    <w:rsid w:val="00B01396"/>
    <w:rsid w:val="00B01AC5"/>
    <w:rsid w:val="00B01D5B"/>
    <w:rsid w:val="00B01DC1"/>
    <w:rsid w:val="00B0210E"/>
    <w:rsid w:val="00B02110"/>
    <w:rsid w:val="00B02A86"/>
    <w:rsid w:val="00B02CF5"/>
    <w:rsid w:val="00B02F0B"/>
    <w:rsid w:val="00B03104"/>
    <w:rsid w:val="00B03449"/>
    <w:rsid w:val="00B03CF9"/>
    <w:rsid w:val="00B03F49"/>
    <w:rsid w:val="00B0431F"/>
    <w:rsid w:val="00B04691"/>
    <w:rsid w:val="00B046A6"/>
    <w:rsid w:val="00B05DE7"/>
    <w:rsid w:val="00B06610"/>
    <w:rsid w:val="00B075C1"/>
    <w:rsid w:val="00B075DB"/>
    <w:rsid w:val="00B07FE8"/>
    <w:rsid w:val="00B1056C"/>
    <w:rsid w:val="00B10729"/>
    <w:rsid w:val="00B10986"/>
    <w:rsid w:val="00B10E9F"/>
    <w:rsid w:val="00B11951"/>
    <w:rsid w:val="00B1252B"/>
    <w:rsid w:val="00B1367A"/>
    <w:rsid w:val="00B13A98"/>
    <w:rsid w:val="00B13AB5"/>
    <w:rsid w:val="00B1457A"/>
    <w:rsid w:val="00B14D86"/>
    <w:rsid w:val="00B14DE2"/>
    <w:rsid w:val="00B15321"/>
    <w:rsid w:val="00B1572F"/>
    <w:rsid w:val="00B159B9"/>
    <w:rsid w:val="00B16480"/>
    <w:rsid w:val="00B1653B"/>
    <w:rsid w:val="00B168E7"/>
    <w:rsid w:val="00B16B7D"/>
    <w:rsid w:val="00B16C66"/>
    <w:rsid w:val="00B16CA1"/>
    <w:rsid w:val="00B16EF8"/>
    <w:rsid w:val="00B177E1"/>
    <w:rsid w:val="00B17CC2"/>
    <w:rsid w:val="00B17ECD"/>
    <w:rsid w:val="00B20259"/>
    <w:rsid w:val="00B20443"/>
    <w:rsid w:val="00B20909"/>
    <w:rsid w:val="00B20CCE"/>
    <w:rsid w:val="00B211E3"/>
    <w:rsid w:val="00B21DBC"/>
    <w:rsid w:val="00B21F0E"/>
    <w:rsid w:val="00B22234"/>
    <w:rsid w:val="00B22752"/>
    <w:rsid w:val="00B23369"/>
    <w:rsid w:val="00B234E7"/>
    <w:rsid w:val="00B23653"/>
    <w:rsid w:val="00B236AC"/>
    <w:rsid w:val="00B23EEC"/>
    <w:rsid w:val="00B23EED"/>
    <w:rsid w:val="00B2418B"/>
    <w:rsid w:val="00B2422A"/>
    <w:rsid w:val="00B25255"/>
    <w:rsid w:val="00B2597E"/>
    <w:rsid w:val="00B25C85"/>
    <w:rsid w:val="00B26537"/>
    <w:rsid w:val="00B26973"/>
    <w:rsid w:val="00B2778A"/>
    <w:rsid w:val="00B30304"/>
    <w:rsid w:val="00B31243"/>
    <w:rsid w:val="00B31FC5"/>
    <w:rsid w:val="00B324CF"/>
    <w:rsid w:val="00B33615"/>
    <w:rsid w:val="00B336C4"/>
    <w:rsid w:val="00B338CE"/>
    <w:rsid w:val="00B34349"/>
    <w:rsid w:val="00B34804"/>
    <w:rsid w:val="00B34D74"/>
    <w:rsid w:val="00B34F54"/>
    <w:rsid w:val="00B3579F"/>
    <w:rsid w:val="00B35D1E"/>
    <w:rsid w:val="00B368B9"/>
    <w:rsid w:val="00B369B7"/>
    <w:rsid w:val="00B3704B"/>
    <w:rsid w:val="00B3710D"/>
    <w:rsid w:val="00B3721C"/>
    <w:rsid w:val="00B37529"/>
    <w:rsid w:val="00B37AB4"/>
    <w:rsid w:val="00B4014F"/>
    <w:rsid w:val="00B402ED"/>
    <w:rsid w:val="00B408C1"/>
    <w:rsid w:val="00B40A76"/>
    <w:rsid w:val="00B412D1"/>
    <w:rsid w:val="00B418B4"/>
    <w:rsid w:val="00B419BF"/>
    <w:rsid w:val="00B4376F"/>
    <w:rsid w:val="00B43912"/>
    <w:rsid w:val="00B4408C"/>
    <w:rsid w:val="00B44532"/>
    <w:rsid w:val="00B44A97"/>
    <w:rsid w:val="00B44C91"/>
    <w:rsid w:val="00B452AD"/>
    <w:rsid w:val="00B45D50"/>
    <w:rsid w:val="00B45E61"/>
    <w:rsid w:val="00B46290"/>
    <w:rsid w:val="00B46391"/>
    <w:rsid w:val="00B464AD"/>
    <w:rsid w:val="00B46560"/>
    <w:rsid w:val="00B476E5"/>
    <w:rsid w:val="00B4790F"/>
    <w:rsid w:val="00B47C42"/>
    <w:rsid w:val="00B47DE0"/>
    <w:rsid w:val="00B50CF0"/>
    <w:rsid w:val="00B50F53"/>
    <w:rsid w:val="00B51080"/>
    <w:rsid w:val="00B51990"/>
    <w:rsid w:val="00B52071"/>
    <w:rsid w:val="00B52A43"/>
    <w:rsid w:val="00B52EF5"/>
    <w:rsid w:val="00B530FC"/>
    <w:rsid w:val="00B53C7E"/>
    <w:rsid w:val="00B5444B"/>
    <w:rsid w:val="00B54ACA"/>
    <w:rsid w:val="00B54DAC"/>
    <w:rsid w:val="00B55D3A"/>
    <w:rsid w:val="00B56EEA"/>
    <w:rsid w:val="00B56FF9"/>
    <w:rsid w:val="00B57470"/>
    <w:rsid w:val="00B575E2"/>
    <w:rsid w:val="00B604E4"/>
    <w:rsid w:val="00B60EF6"/>
    <w:rsid w:val="00B613AE"/>
    <w:rsid w:val="00B62831"/>
    <w:rsid w:val="00B63AC0"/>
    <w:rsid w:val="00B641CF"/>
    <w:rsid w:val="00B642DA"/>
    <w:rsid w:val="00B64AA8"/>
    <w:rsid w:val="00B657A7"/>
    <w:rsid w:val="00B65FA8"/>
    <w:rsid w:val="00B6644B"/>
    <w:rsid w:val="00B667A9"/>
    <w:rsid w:val="00B66AA9"/>
    <w:rsid w:val="00B676D1"/>
    <w:rsid w:val="00B706C7"/>
    <w:rsid w:val="00B7073C"/>
    <w:rsid w:val="00B7082D"/>
    <w:rsid w:val="00B70B30"/>
    <w:rsid w:val="00B710A1"/>
    <w:rsid w:val="00B7180C"/>
    <w:rsid w:val="00B71D5F"/>
    <w:rsid w:val="00B7243A"/>
    <w:rsid w:val="00B724F9"/>
    <w:rsid w:val="00B7328F"/>
    <w:rsid w:val="00B741F3"/>
    <w:rsid w:val="00B758C5"/>
    <w:rsid w:val="00B76275"/>
    <w:rsid w:val="00B77DFF"/>
    <w:rsid w:val="00B804FC"/>
    <w:rsid w:val="00B80AA1"/>
    <w:rsid w:val="00B80DB9"/>
    <w:rsid w:val="00B80EE7"/>
    <w:rsid w:val="00B81126"/>
    <w:rsid w:val="00B813A0"/>
    <w:rsid w:val="00B8183D"/>
    <w:rsid w:val="00B81D4E"/>
    <w:rsid w:val="00B8217B"/>
    <w:rsid w:val="00B82CA7"/>
    <w:rsid w:val="00B83D48"/>
    <w:rsid w:val="00B842B9"/>
    <w:rsid w:val="00B85389"/>
    <w:rsid w:val="00B85843"/>
    <w:rsid w:val="00B858A1"/>
    <w:rsid w:val="00B86B1C"/>
    <w:rsid w:val="00B879AB"/>
    <w:rsid w:val="00B87DD3"/>
    <w:rsid w:val="00B87F3D"/>
    <w:rsid w:val="00B90105"/>
    <w:rsid w:val="00B90524"/>
    <w:rsid w:val="00B906F7"/>
    <w:rsid w:val="00B90A52"/>
    <w:rsid w:val="00B91086"/>
    <w:rsid w:val="00B9176D"/>
    <w:rsid w:val="00B91B50"/>
    <w:rsid w:val="00B91C19"/>
    <w:rsid w:val="00B91F34"/>
    <w:rsid w:val="00B92637"/>
    <w:rsid w:val="00B927FB"/>
    <w:rsid w:val="00B92CE2"/>
    <w:rsid w:val="00B935E7"/>
    <w:rsid w:val="00B93867"/>
    <w:rsid w:val="00B942AD"/>
    <w:rsid w:val="00B94507"/>
    <w:rsid w:val="00B94A0A"/>
    <w:rsid w:val="00B94BAE"/>
    <w:rsid w:val="00B96E6B"/>
    <w:rsid w:val="00B9723C"/>
    <w:rsid w:val="00BA0DB6"/>
    <w:rsid w:val="00BA0E56"/>
    <w:rsid w:val="00BA0F23"/>
    <w:rsid w:val="00BA1D42"/>
    <w:rsid w:val="00BA1D8E"/>
    <w:rsid w:val="00BA1E00"/>
    <w:rsid w:val="00BA25AD"/>
    <w:rsid w:val="00BA2970"/>
    <w:rsid w:val="00BA2BCB"/>
    <w:rsid w:val="00BA2CE7"/>
    <w:rsid w:val="00BA2E5D"/>
    <w:rsid w:val="00BA3337"/>
    <w:rsid w:val="00BA3548"/>
    <w:rsid w:val="00BA3732"/>
    <w:rsid w:val="00BA4315"/>
    <w:rsid w:val="00BA4FA7"/>
    <w:rsid w:val="00BA54D2"/>
    <w:rsid w:val="00BA5744"/>
    <w:rsid w:val="00BA5CBF"/>
    <w:rsid w:val="00BA69B3"/>
    <w:rsid w:val="00BA72BF"/>
    <w:rsid w:val="00BA7345"/>
    <w:rsid w:val="00BA79D7"/>
    <w:rsid w:val="00BA7A46"/>
    <w:rsid w:val="00BA7CEC"/>
    <w:rsid w:val="00BB155A"/>
    <w:rsid w:val="00BB15C6"/>
    <w:rsid w:val="00BB1AC8"/>
    <w:rsid w:val="00BB1F0F"/>
    <w:rsid w:val="00BB319B"/>
    <w:rsid w:val="00BB45B9"/>
    <w:rsid w:val="00BB5161"/>
    <w:rsid w:val="00BB5AE1"/>
    <w:rsid w:val="00BB65AC"/>
    <w:rsid w:val="00BB66CA"/>
    <w:rsid w:val="00BB7367"/>
    <w:rsid w:val="00BB7D4B"/>
    <w:rsid w:val="00BC0247"/>
    <w:rsid w:val="00BC063E"/>
    <w:rsid w:val="00BC161B"/>
    <w:rsid w:val="00BC1E0A"/>
    <w:rsid w:val="00BC2280"/>
    <w:rsid w:val="00BC2B4E"/>
    <w:rsid w:val="00BC2C77"/>
    <w:rsid w:val="00BC3104"/>
    <w:rsid w:val="00BC3C80"/>
    <w:rsid w:val="00BC3C9E"/>
    <w:rsid w:val="00BC4307"/>
    <w:rsid w:val="00BC46C2"/>
    <w:rsid w:val="00BC6DAC"/>
    <w:rsid w:val="00BC7276"/>
    <w:rsid w:val="00BC73CC"/>
    <w:rsid w:val="00BD0388"/>
    <w:rsid w:val="00BD04DA"/>
    <w:rsid w:val="00BD0E61"/>
    <w:rsid w:val="00BD1011"/>
    <w:rsid w:val="00BD1B6F"/>
    <w:rsid w:val="00BD1E8A"/>
    <w:rsid w:val="00BD2909"/>
    <w:rsid w:val="00BD2AE8"/>
    <w:rsid w:val="00BD39EF"/>
    <w:rsid w:val="00BD4E71"/>
    <w:rsid w:val="00BD531B"/>
    <w:rsid w:val="00BD5F86"/>
    <w:rsid w:val="00BD6424"/>
    <w:rsid w:val="00BD689A"/>
    <w:rsid w:val="00BD6AE0"/>
    <w:rsid w:val="00BD6C24"/>
    <w:rsid w:val="00BD7EE0"/>
    <w:rsid w:val="00BD7F78"/>
    <w:rsid w:val="00BE0902"/>
    <w:rsid w:val="00BE10FB"/>
    <w:rsid w:val="00BE1577"/>
    <w:rsid w:val="00BE1B6A"/>
    <w:rsid w:val="00BE1CFC"/>
    <w:rsid w:val="00BE1F3F"/>
    <w:rsid w:val="00BE1FA0"/>
    <w:rsid w:val="00BE3838"/>
    <w:rsid w:val="00BE4204"/>
    <w:rsid w:val="00BE4489"/>
    <w:rsid w:val="00BE46B0"/>
    <w:rsid w:val="00BE4A5D"/>
    <w:rsid w:val="00BE4C67"/>
    <w:rsid w:val="00BE592B"/>
    <w:rsid w:val="00BE5ACD"/>
    <w:rsid w:val="00BE6F21"/>
    <w:rsid w:val="00BE7627"/>
    <w:rsid w:val="00BE7835"/>
    <w:rsid w:val="00BE7F73"/>
    <w:rsid w:val="00BF0258"/>
    <w:rsid w:val="00BF05EC"/>
    <w:rsid w:val="00BF08D8"/>
    <w:rsid w:val="00BF090C"/>
    <w:rsid w:val="00BF0FDA"/>
    <w:rsid w:val="00BF1EC8"/>
    <w:rsid w:val="00BF211B"/>
    <w:rsid w:val="00BF22E3"/>
    <w:rsid w:val="00BF292D"/>
    <w:rsid w:val="00BF354D"/>
    <w:rsid w:val="00BF4252"/>
    <w:rsid w:val="00BF4576"/>
    <w:rsid w:val="00BF4CAD"/>
    <w:rsid w:val="00BF53CB"/>
    <w:rsid w:val="00BF53F7"/>
    <w:rsid w:val="00BF55D8"/>
    <w:rsid w:val="00BF5801"/>
    <w:rsid w:val="00BF611E"/>
    <w:rsid w:val="00BF622C"/>
    <w:rsid w:val="00BF669E"/>
    <w:rsid w:val="00BF68A0"/>
    <w:rsid w:val="00BF694E"/>
    <w:rsid w:val="00BF79C9"/>
    <w:rsid w:val="00BF7B93"/>
    <w:rsid w:val="00BF7F95"/>
    <w:rsid w:val="00C002D0"/>
    <w:rsid w:val="00C00942"/>
    <w:rsid w:val="00C00B2D"/>
    <w:rsid w:val="00C00C5B"/>
    <w:rsid w:val="00C013DC"/>
    <w:rsid w:val="00C014D0"/>
    <w:rsid w:val="00C023B5"/>
    <w:rsid w:val="00C02763"/>
    <w:rsid w:val="00C02EB4"/>
    <w:rsid w:val="00C03B4B"/>
    <w:rsid w:val="00C03DCC"/>
    <w:rsid w:val="00C05220"/>
    <w:rsid w:val="00C05FAE"/>
    <w:rsid w:val="00C06542"/>
    <w:rsid w:val="00C0676D"/>
    <w:rsid w:val="00C0698A"/>
    <w:rsid w:val="00C07320"/>
    <w:rsid w:val="00C100A6"/>
    <w:rsid w:val="00C10978"/>
    <w:rsid w:val="00C1097D"/>
    <w:rsid w:val="00C10DC6"/>
    <w:rsid w:val="00C111E6"/>
    <w:rsid w:val="00C11228"/>
    <w:rsid w:val="00C11564"/>
    <w:rsid w:val="00C11916"/>
    <w:rsid w:val="00C1199E"/>
    <w:rsid w:val="00C11A97"/>
    <w:rsid w:val="00C11B36"/>
    <w:rsid w:val="00C12486"/>
    <w:rsid w:val="00C1256C"/>
    <w:rsid w:val="00C1341E"/>
    <w:rsid w:val="00C13B03"/>
    <w:rsid w:val="00C14CB4"/>
    <w:rsid w:val="00C15095"/>
    <w:rsid w:val="00C156F3"/>
    <w:rsid w:val="00C1586F"/>
    <w:rsid w:val="00C1639F"/>
    <w:rsid w:val="00C16E61"/>
    <w:rsid w:val="00C17A49"/>
    <w:rsid w:val="00C2081F"/>
    <w:rsid w:val="00C20903"/>
    <w:rsid w:val="00C21670"/>
    <w:rsid w:val="00C216A0"/>
    <w:rsid w:val="00C22161"/>
    <w:rsid w:val="00C229E0"/>
    <w:rsid w:val="00C22BA4"/>
    <w:rsid w:val="00C23915"/>
    <w:rsid w:val="00C2434C"/>
    <w:rsid w:val="00C243DE"/>
    <w:rsid w:val="00C24473"/>
    <w:rsid w:val="00C24BD5"/>
    <w:rsid w:val="00C24CC9"/>
    <w:rsid w:val="00C24E30"/>
    <w:rsid w:val="00C24F69"/>
    <w:rsid w:val="00C25437"/>
    <w:rsid w:val="00C254D8"/>
    <w:rsid w:val="00C257D2"/>
    <w:rsid w:val="00C26221"/>
    <w:rsid w:val="00C3041C"/>
    <w:rsid w:val="00C3159B"/>
    <w:rsid w:val="00C31982"/>
    <w:rsid w:val="00C31E5A"/>
    <w:rsid w:val="00C3209F"/>
    <w:rsid w:val="00C331E5"/>
    <w:rsid w:val="00C3326D"/>
    <w:rsid w:val="00C33E5F"/>
    <w:rsid w:val="00C33EDD"/>
    <w:rsid w:val="00C33EF1"/>
    <w:rsid w:val="00C34209"/>
    <w:rsid w:val="00C34467"/>
    <w:rsid w:val="00C344FA"/>
    <w:rsid w:val="00C346C5"/>
    <w:rsid w:val="00C347F4"/>
    <w:rsid w:val="00C34962"/>
    <w:rsid w:val="00C34A61"/>
    <w:rsid w:val="00C34D5D"/>
    <w:rsid w:val="00C350F1"/>
    <w:rsid w:val="00C35147"/>
    <w:rsid w:val="00C357C5"/>
    <w:rsid w:val="00C359B2"/>
    <w:rsid w:val="00C35ADC"/>
    <w:rsid w:val="00C360F6"/>
    <w:rsid w:val="00C361E9"/>
    <w:rsid w:val="00C367ED"/>
    <w:rsid w:val="00C377B4"/>
    <w:rsid w:val="00C37C4C"/>
    <w:rsid w:val="00C37D30"/>
    <w:rsid w:val="00C37F98"/>
    <w:rsid w:val="00C401AE"/>
    <w:rsid w:val="00C426AD"/>
    <w:rsid w:val="00C42B41"/>
    <w:rsid w:val="00C42FC1"/>
    <w:rsid w:val="00C439ED"/>
    <w:rsid w:val="00C43A02"/>
    <w:rsid w:val="00C43A63"/>
    <w:rsid w:val="00C43FB9"/>
    <w:rsid w:val="00C44323"/>
    <w:rsid w:val="00C44891"/>
    <w:rsid w:val="00C45E65"/>
    <w:rsid w:val="00C46A34"/>
    <w:rsid w:val="00C46EAC"/>
    <w:rsid w:val="00C47514"/>
    <w:rsid w:val="00C47691"/>
    <w:rsid w:val="00C47A38"/>
    <w:rsid w:val="00C47EAB"/>
    <w:rsid w:val="00C502FB"/>
    <w:rsid w:val="00C504C5"/>
    <w:rsid w:val="00C5074F"/>
    <w:rsid w:val="00C50ADA"/>
    <w:rsid w:val="00C50B55"/>
    <w:rsid w:val="00C51BF3"/>
    <w:rsid w:val="00C51C76"/>
    <w:rsid w:val="00C5394D"/>
    <w:rsid w:val="00C53FEC"/>
    <w:rsid w:val="00C54952"/>
    <w:rsid w:val="00C54DA5"/>
    <w:rsid w:val="00C56EFF"/>
    <w:rsid w:val="00C579AE"/>
    <w:rsid w:val="00C60D73"/>
    <w:rsid w:val="00C60F06"/>
    <w:rsid w:val="00C610AE"/>
    <w:rsid w:val="00C61249"/>
    <w:rsid w:val="00C614E9"/>
    <w:rsid w:val="00C61833"/>
    <w:rsid w:val="00C61F3C"/>
    <w:rsid w:val="00C62158"/>
    <w:rsid w:val="00C627F8"/>
    <w:rsid w:val="00C629D9"/>
    <w:rsid w:val="00C6318F"/>
    <w:rsid w:val="00C63471"/>
    <w:rsid w:val="00C63AAC"/>
    <w:rsid w:val="00C64665"/>
    <w:rsid w:val="00C64882"/>
    <w:rsid w:val="00C65D84"/>
    <w:rsid w:val="00C66249"/>
    <w:rsid w:val="00C6687F"/>
    <w:rsid w:val="00C66D09"/>
    <w:rsid w:val="00C66D63"/>
    <w:rsid w:val="00C66EF4"/>
    <w:rsid w:val="00C679C6"/>
    <w:rsid w:val="00C70344"/>
    <w:rsid w:val="00C71213"/>
    <w:rsid w:val="00C71345"/>
    <w:rsid w:val="00C71512"/>
    <w:rsid w:val="00C71AC6"/>
    <w:rsid w:val="00C71AD8"/>
    <w:rsid w:val="00C7209A"/>
    <w:rsid w:val="00C721EC"/>
    <w:rsid w:val="00C72850"/>
    <w:rsid w:val="00C72CA2"/>
    <w:rsid w:val="00C731FE"/>
    <w:rsid w:val="00C733D0"/>
    <w:rsid w:val="00C7370C"/>
    <w:rsid w:val="00C737A8"/>
    <w:rsid w:val="00C744C0"/>
    <w:rsid w:val="00C74CFF"/>
    <w:rsid w:val="00C752B4"/>
    <w:rsid w:val="00C75BDD"/>
    <w:rsid w:val="00C75CF3"/>
    <w:rsid w:val="00C76F26"/>
    <w:rsid w:val="00C773B5"/>
    <w:rsid w:val="00C778AA"/>
    <w:rsid w:val="00C77D15"/>
    <w:rsid w:val="00C77FDB"/>
    <w:rsid w:val="00C80165"/>
    <w:rsid w:val="00C808D9"/>
    <w:rsid w:val="00C80B3D"/>
    <w:rsid w:val="00C80EC5"/>
    <w:rsid w:val="00C816BD"/>
    <w:rsid w:val="00C81935"/>
    <w:rsid w:val="00C81B52"/>
    <w:rsid w:val="00C8221A"/>
    <w:rsid w:val="00C82805"/>
    <w:rsid w:val="00C82A27"/>
    <w:rsid w:val="00C83819"/>
    <w:rsid w:val="00C83DE3"/>
    <w:rsid w:val="00C83E13"/>
    <w:rsid w:val="00C84242"/>
    <w:rsid w:val="00C84291"/>
    <w:rsid w:val="00C842EE"/>
    <w:rsid w:val="00C847D0"/>
    <w:rsid w:val="00C85204"/>
    <w:rsid w:val="00C85B77"/>
    <w:rsid w:val="00C8623E"/>
    <w:rsid w:val="00C86796"/>
    <w:rsid w:val="00C8685A"/>
    <w:rsid w:val="00C8737B"/>
    <w:rsid w:val="00C87467"/>
    <w:rsid w:val="00C911E0"/>
    <w:rsid w:val="00C91479"/>
    <w:rsid w:val="00C91B57"/>
    <w:rsid w:val="00C91C98"/>
    <w:rsid w:val="00C91D4A"/>
    <w:rsid w:val="00C91E1F"/>
    <w:rsid w:val="00C925C5"/>
    <w:rsid w:val="00C92959"/>
    <w:rsid w:val="00C92A35"/>
    <w:rsid w:val="00C933E5"/>
    <w:rsid w:val="00C936EE"/>
    <w:rsid w:val="00C9375F"/>
    <w:rsid w:val="00C93C8A"/>
    <w:rsid w:val="00C9403A"/>
    <w:rsid w:val="00C9481D"/>
    <w:rsid w:val="00C955F0"/>
    <w:rsid w:val="00C958AA"/>
    <w:rsid w:val="00C959F2"/>
    <w:rsid w:val="00C95E94"/>
    <w:rsid w:val="00C95EE5"/>
    <w:rsid w:val="00C97034"/>
    <w:rsid w:val="00C970D3"/>
    <w:rsid w:val="00C976E3"/>
    <w:rsid w:val="00C97797"/>
    <w:rsid w:val="00C97AA0"/>
    <w:rsid w:val="00CA05F2"/>
    <w:rsid w:val="00CA1A2C"/>
    <w:rsid w:val="00CA1ACB"/>
    <w:rsid w:val="00CA1B06"/>
    <w:rsid w:val="00CA1BEF"/>
    <w:rsid w:val="00CA1CEB"/>
    <w:rsid w:val="00CA247B"/>
    <w:rsid w:val="00CA26AD"/>
    <w:rsid w:val="00CA2C5E"/>
    <w:rsid w:val="00CA3135"/>
    <w:rsid w:val="00CA33C3"/>
    <w:rsid w:val="00CA3A97"/>
    <w:rsid w:val="00CA3BE8"/>
    <w:rsid w:val="00CA4933"/>
    <w:rsid w:val="00CA52DE"/>
    <w:rsid w:val="00CA5482"/>
    <w:rsid w:val="00CA681D"/>
    <w:rsid w:val="00CA6CF7"/>
    <w:rsid w:val="00CA7430"/>
    <w:rsid w:val="00CA75E3"/>
    <w:rsid w:val="00CB01B2"/>
    <w:rsid w:val="00CB05B4"/>
    <w:rsid w:val="00CB089C"/>
    <w:rsid w:val="00CB15C2"/>
    <w:rsid w:val="00CB2156"/>
    <w:rsid w:val="00CB273F"/>
    <w:rsid w:val="00CB2E9D"/>
    <w:rsid w:val="00CB3AF6"/>
    <w:rsid w:val="00CB3B5C"/>
    <w:rsid w:val="00CB3C13"/>
    <w:rsid w:val="00CB47F0"/>
    <w:rsid w:val="00CB4E63"/>
    <w:rsid w:val="00CB5788"/>
    <w:rsid w:val="00CB61D7"/>
    <w:rsid w:val="00CB62EB"/>
    <w:rsid w:val="00CB70B3"/>
    <w:rsid w:val="00CB74CD"/>
    <w:rsid w:val="00CB7C3F"/>
    <w:rsid w:val="00CC0B2B"/>
    <w:rsid w:val="00CC1B9D"/>
    <w:rsid w:val="00CC2043"/>
    <w:rsid w:val="00CC20B9"/>
    <w:rsid w:val="00CC2B4C"/>
    <w:rsid w:val="00CC2DA0"/>
    <w:rsid w:val="00CC3684"/>
    <w:rsid w:val="00CC4086"/>
    <w:rsid w:val="00CC4595"/>
    <w:rsid w:val="00CC48DD"/>
    <w:rsid w:val="00CC49C0"/>
    <w:rsid w:val="00CC4B6D"/>
    <w:rsid w:val="00CC4D88"/>
    <w:rsid w:val="00CC4E17"/>
    <w:rsid w:val="00CC5B87"/>
    <w:rsid w:val="00CC62CE"/>
    <w:rsid w:val="00CC62F4"/>
    <w:rsid w:val="00CC6559"/>
    <w:rsid w:val="00CC65F1"/>
    <w:rsid w:val="00CC71A6"/>
    <w:rsid w:val="00CC7887"/>
    <w:rsid w:val="00CC7943"/>
    <w:rsid w:val="00CD0864"/>
    <w:rsid w:val="00CD0905"/>
    <w:rsid w:val="00CD15B9"/>
    <w:rsid w:val="00CD1871"/>
    <w:rsid w:val="00CD20C5"/>
    <w:rsid w:val="00CD2515"/>
    <w:rsid w:val="00CD2618"/>
    <w:rsid w:val="00CD2EED"/>
    <w:rsid w:val="00CD308A"/>
    <w:rsid w:val="00CD3175"/>
    <w:rsid w:val="00CD38D4"/>
    <w:rsid w:val="00CD39AB"/>
    <w:rsid w:val="00CD3F5B"/>
    <w:rsid w:val="00CD4594"/>
    <w:rsid w:val="00CD4B69"/>
    <w:rsid w:val="00CD4F84"/>
    <w:rsid w:val="00CD52A2"/>
    <w:rsid w:val="00CD5423"/>
    <w:rsid w:val="00CD573C"/>
    <w:rsid w:val="00CD61CE"/>
    <w:rsid w:val="00CD62ED"/>
    <w:rsid w:val="00CD714C"/>
    <w:rsid w:val="00CD73DF"/>
    <w:rsid w:val="00CD768D"/>
    <w:rsid w:val="00CE025A"/>
    <w:rsid w:val="00CE0974"/>
    <w:rsid w:val="00CE1119"/>
    <w:rsid w:val="00CE143C"/>
    <w:rsid w:val="00CE14F7"/>
    <w:rsid w:val="00CE1E8A"/>
    <w:rsid w:val="00CE2A6B"/>
    <w:rsid w:val="00CE3FD1"/>
    <w:rsid w:val="00CE4198"/>
    <w:rsid w:val="00CE4333"/>
    <w:rsid w:val="00CE43B6"/>
    <w:rsid w:val="00CE4413"/>
    <w:rsid w:val="00CE4CFB"/>
    <w:rsid w:val="00CE4D9A"/>
    <w:rsid w:val="00CE539A"/>
    <w:rsid w:val="00CE58C9"/>
    <w:rsid w:val="00CE620E"/>
    <w:rsid w:val="00CE6B22"/>
    <w:rsid w:val="00CE6C17"/>
    <w:rsid w:val="00CE6CFC"/>
    <w:rsid w:val="00CE6ED4"/>
    <w:rsid w:val="00CE6FD3"/>
    <w:rsid w:val="00CE70A9"/>
    <w:rsid w:val="00CE74AF"/>
    <w:rsid w:val="00CF0A30"/>
    <w:rsid w:val="00CF17E4"/>
    <w:rsid w:val="00CF1ED5"/>
    <w:rsid w:val="00CF1F73"/>
    <w:rsid w:val="00CF2677"/>
    <w:rsid w:val="00CF2AE1"/>
    <w:rsid w:val="00CF2E16"/>
    <w:rsid w:val="00CF35A6"/>
    <w:rsid w:val="00CF35B2"/>
    <w:rsid w:val="00CF3D4A"/>
    <w:rsid w:val="00CF4B43"/>
    <w:rsid w:val="00CF56DA"/>
    <w:rsid w:val="00CF585C"/>
    <w:rsid w:val="00CF6C72"/>
    <w:rsid w:val="00CF703A"/>
    <w:rsid w:val="00D000CD"/>
    <w:rsid w:val="00D00832"/>
    <w:rsid w:val="00D0147D"/>
    <w:rsid w:val="00D01766"/>
    <w:rsid w:val="00D0200B"/>
    <w:rsid w:val="00D03A5D"/>
    <w:rsid w:val="00D03CC4"/>
    <w:rsid w:val="00D03F13"/>
    <w:rsid w:val="00D04904"/>
    <w:rsid w:val="00D04E70"/>
    <w:rsid w:val="00D054F7"/>
    <w:rsid w:val="00D063DF"/>
    <w:rsid w:val="00D067B3"/>
    <w:rsid w:val="00D06D2C"/>
    <w:rsid w:val="00D072D2"/>
    <w:rsid w:val="00D07AD6"/>
    <w:rsid w:val="00D10904"/>
    <w:rsid w:val="00D10A3C"/>
    <w:rsid w:val="00D11B0F"/>
    <w:rsid w:val="00D120E3"/>
    <w:rsid w:val="00D1351F"/>
    <w:rsid w:val="00D136B5"/>
    <w:rsid w:val="00D13A82"/>
    <w:rsid w:val="00D13BB8"/>
    <w:rsid w:val="00D13DB7"/>
    <w:rsid w:val="00D1431B"/>
    <w:rsid w:val="00D1442F"/>
    <w:rsid w:val="00D14581"/>
    <w:rsid w:val="00D14C0B"/>
    <w:rsid w:val="00D15011"/>
    <w:rsid w:val="00D1547E"/>
    <w:rsid w:val="00D15806"/>
    <w:rsid w:val="00D15BC8"/>
    <w:rsid w:val="00D162AE"/>
    <w:rsid w:val="00D170C6"/>
    <w:rsid w:val="00D17660"/>
    <w:rsid w:val="00D17B35"/>
    <w:rsid w:val="00D203F6"/>
    <w:rsid w:val="00D204D2"/>
    <w:rsid w:val="00D20F83"/>
    <w:rsid w:val="00D216DC"/>
    <w:rsid w:val="00D2218E"/>
    <w:rsid w:val="00D2325D"/>
    <w:rsid w:val="00D236AF"/>
    <w:rsid w:val="00D23BAA"/>
    <w:rsid w:val="00D24171"/>
    <w:rsid w:val="00D243D4"/>
    <w:rsid w:val="00D244D0"/>
    <w:rsid w:val="00D249F0"/>
    <w:rsid w:val="00D24A8B"/>
    <w:rsid w:val="00D25EE8"/>
    <w:rsid w:val="00D273F8"/>
    <w:rsid w:val="00D27422"/>
    <w:rsid w:val="00D27FAC"/>
    <w:rsid w:val="00D30C0B"/>
    <w:rsid w:val="00D30DD5"/>
    <w:rsid w:val="00D31081"/>
    <w:rsid w:val="00D31512"/>
    <w:rsid w:val="00D316F6"/>
    <w:rsid w:val="00D31CA4"/>
    <w:rsid w:val="00D32CEF"/>
    <w:rsid w:val="00D32D97"/>
    <w:rsid w:val="00D341C9"/>
    <w:rsid w:val="00D3579C"/>
    <w:rsid w:val="00D35A2F"/>
    <w:rsid w:val="00D35DAD"/>
    <w:rsid w:val="00D362A8"/>
    <w:rsid w:val="00D36575"/>
    <w:rsid w:val="00D371F6"/>
    <w:rsid w:val="00D372DC"/>
    <w:rsid w:val="00D377C5"/>
    <w:rsid w:val="00D37C07"/>
    <w:rsid w:val="00D40022"/>
    <w:rsid w:val="00D400D7"/>
    <w:rsid w:val="00D405FC"/>
    <w:rsid w:val="00D41028"/>
    <w:rsid w:val="00D412D9"/>
    <w:rsid w:val="00D42624"/>
    <w:rsid w:val="00D4277C"/>
    <w:rsid w:val="00D429E3"/>
    <w:rsid w:val="00D42A6E"/>
    <w:rsid w:val="00D42B17"/>
    <w:rsid w:val="00D42FFE"/>
    <w:rsid w:val="00D430B6"/>
    <w:rsid w:val="00D432A6"/>
    <w:rsid w:val="00D44158"/>
    <w:rsid w:val="00D4485F"/>
    <w:rsid w:val="00D44BFF"/>
    <w:rsid w:val="00D45122"/>
    <w:rsid w:val="00D4594F"/>
    <w:rsid w:val="00D45DDD"/>
    <w:rsid w:val="00D46275"/>
    <w:rsid w:val="00D46B9C"/>
    <w:rsid w:val="00D4752C"/>
    <w:rsid w:val="00D504F9"/>
    <w:rsid w:val="00D506DF"/>
    <w:rsid w:val="00D5108E"/>
    <w:rsid w:val="00D51196"/>
    <w:rsid w:val="00D512A9"/>
    <w:rsid w:val="00D51650"/>
    <w:rsid w:val="00D52415"/>
    <w:rsid w:val="00D5284A"/>
    <w:rsid w:val="00D52955"/>
    <w:rsid w:val="00D532FA"/>
    <w:rsid w:val="00D538C4"/>
    <w:rsid w:val="00D53D48"/>
    <w:rsid w:val="00D5410A"/>
    <w:rsid w:val="00D54194"/>
    <w:rsid w:val="00D55047"/>
    <w:rsid w:val="00D5540D"/>
    <w:rsid w:val="00D55432"/>
    <w:rsid w:val="00D5551C"/>
    <w:rsid w:val="00D5575F"/>
    <w:rsid w:val="00D55AF6"/>
    <w:rsid w:val="00D56BCA"/>
    <w:rsid w:val="00D57316"/>
    <w:rsid w:val="00D578C9"/>
    <w:rsid w:val="00D57B10"/>
    <w:rsid w:val="00D57E4B"/>
    <w:rsid w:val="00D600C4"/>
    <w:rsid w:val="00D60729"/>
    <w:rsid w:val="00D6107C"/>
    <w:rsid w:val="00D615AF"/>
    <w:rsid w:val="00D61896"/>
    <w:rsid w:val="00D61CAF"/>
    <w:rsid w:val="00D61F14"/>
    <w:rsid w:val="00D62055"/>
    <w:rsid w:val="00D62B94"/>
    <w:rsid w:val="00D6382C"/>
    <w:rsid w:val="00D63979"/>
    <w:rsid w:val="00D6468C"/>
    <w:rsid w:val="00D650E5"/>
    <w:rsid w:val="00D65190"/>
    <w:rsid w:val="00D65196"/>
    <w:rsid w:val="00D65AC9"/>
    <w:rsid w:val="00D66CC0"/>
    <w:rsid w:val="00D67381"/>
    <w:rsid w:val="00D6799B"/>
    <w:rsid w:val="00D67AA0"/>
    <w:rsid w:val="00D701E4"/>
    <w:rsid w:val="00D70294"/>
    <w:rsid w:val="00D703A7"/>
    <w:rsid w:val="00D711DF"/>
    <w:rsid w:val="00D713AE"/>
    <w:rsid w:val="00D723A3"/>
    <w:rsid w:val="00D73114"/>
    <w:rsid w:val="00D732A4"/>
    <w:rsid w:val="00D73ACA"/>
    <w:rsid w:val="00D74519"/>
    <w:rsid w:val="00D74D55"/>
    <w:rsid w:val="00D74DD0"/>
    <w:rsid w:val="00D75371"/>
    <w:rsid w:val="00D755CF"/>
    <w:rsid w:val="00D75F82"/>
    <w:rsid w:val="00D76E51"/>
    <w:rsid w:val="00D76EA5"/>
    <w:rsid w:val="00D7770D"/>
    <w:rsid w:val="00D77F7D"/>
    <w:rsid w:val="00D806FB"/>
    <w:rsid w:val="00D80F97"/>
    <w:rsid w:val="00D81210"/>
    <w:rsid w:val="00D8131C"/>
    <w:rsid w:val="00D82790"/>
    <w:rsid w:val="00D8287B"/>
    <w:rsid w:val="00D829C6"/>
    <w:rsid w:val="00D82B16"/>
    <w:rsid w:val="00D8319C"/>
    <w:rsid w:val="00D83696"/>
    <w:rsid w:val="00D8432B"/>
    <w:rsid w:val="00D84E0F"/>
    <w:rsid w:val="00D84F1D"/>
    <w:rsid w:val="00D859DE"/>
    <w:rsid w:val="00D8607D"/>
    <w:rsid w:val="00D860D7"/>
    <w:rsid w:val="00D867AE"/>
    <w:rsid w:val="00D86BEC"/>
    <w:rsid w:val="00D873CE"/>
    <w:rsid w:val="00D8774B"/>
    <w:rsid w:val="00D87E09"/>
    <w:rsid w:val="00D87FC3"/>
    <w:rsid w:val="00D87FCC"/>
    <w:rsid w:val="00D90330"/>
    <w:rsid w:val="00D9042B"/>
    <w:rsid w:val="00D9053B"/>
    <w:rsid w:val="00D9061A"/>
    <w:rsid w:val="00D9061B"/>
    <w:rsid w:val="00D911C9"/>
    <w:rsid w:val="00D9163F"/>
    <w:rsid w:val="00D92412"/>
    <w:rsid w:val="00D939A0"/>
    <w:rsid w:val="00D93C59"/>
    <w:rsid w:val="00D93C98"/>
    <w:rsid w:val="00D96365"/>
    <w:rsid w:val="00D963CE"/>
    <w:rsid w:val="00D96E92"/>
    <w:rsid w:val="00D96F00"/>
    <w:rsid w:val="00D96F1F"/>
    <w:rsid w:val="00D9715E"/>
    <w:rsid w:val="00D97250"/>
    <w:rsid w:val="00D97C6F"/>
    <w:rsid w:val="00D97FFA"/>
    <w:rsid w:val="00DA025F"/>
    <w:rsid w:val="00DA06EA"/>
    <w:rsid w:val="00DA0764"/>
    <w:rsid w:val="00DA0DBA"/>
    <w:rsid w:val="00DA1034"/>
    <w:rsid w:val="00DA2452"/>
    <w:rsid w:val="00DA33D8"/>
    <w:rsid w:val="00DA3531"/>
    <w:rsid w:val="00DA3922"/>
    <w:rsid w:val="00DA3954"/>
    <w:rsid w:val="00DA4220"/>
    <w:rsid w:val="00DA42E1"/>
    <w:rsid w:val="00DA48D1"/>
    <w:rsid w:val="00DA4DB3"/>
    <w:rsid w:val="00DA5C93"/>
    <w:rsid w:val="00DA5FBE"/>
    <w:rsid w:val="00DA6363"/>
    <w:rsid w:val="00DA6A73"/>
    <w:rsid w:val="00DA6BEE"/>
    <w:rsid w:val="00DA6ED0"/>
    <w:rsid w:val="00DA6FFB"/>
    <w:rsid w:val="00DA78AC"/>
    <w:rsid w:val="00DB0122"/>
    <w:rsid w:val="00DB09C5"/>
    <w:rsid w:val="00DB0F47"/>
    <w:rsid w:val="00DB28F6"/>
    <w:rsid w:val="00DB2A05"/>
    <w:rsid w:val="00DB32AC"/>
    <w:rsid w:val="00DB40CA"/>
    <w:rsid w:val="00DB4694"/>
    <w:rsid w:val="00DB4B84"/>
    <w:rsid w:val="00DB5218"/>
    <w:rsid w:val="00DB5366"/>
    <w:rsid w:val="00DB5A6C"/>
    <w:rsid w:val="00DB6822"/>
    <w:rsid w:val="00DB6E84"/>
    <w:rsid w:val="00DB6ED1"/>
    <w:rsid w:val="00DB71AC"/>
    <w:rsid w:val="00DB7C53"/>
    <w:rsid w:val="00DC00D1"/>
    <w:rsid w:val="00DC04F3"/>
    <w:rsid w:val="00DC0A72"/>
    <w:rsid w:val="00DC1CBE"/>
    <w:rsid w:val="00DC23D5"/>
    <w:rsid w:val="00DC25B6"/>
    <w:rsid w:val="00DC2A04"/>
    <w:rsid w:val="00DC2C1B"/>
    <w:rsid w:val="00DC33FD"/>
    <w:rsid w:val="00DC3AEB"/>
    <w:rsid w:val="00DC3B7B"/>
    <w:rsid w:val="00DC466B"/>
    <w:rsid w:val="00DC5088"/>
    <w:rsid w:val="00DC50C9"/>
    <w:rsid w:val="00DC7580"/>
    <w:rsid w:val="00DC7806"/>
    <w:rsid w:val="00DD02A4"/>
    <w:rsid w:val="00DD03BC"/>
    <w:rsid w:val="00DD0953"/>
    <w:rsid w:val="00DD0AC5"/>
    <w:rsid w:val="00DD0F7E"/>
    <w:rsid w:val="00DD1C6D"/>
    <w:rsid w:val="00DD1E8C"/>
    <w:rsid w:val="00DD2146"/>
    <w:rsid w:val="00DD2789"/>
    <w:rsid w:val="00DD3ADD"/>
    <w:rsid w:val="00DD3C75"/>
    <w:rsid w:val="00DD412D"/>
    <w:rsid w:val="00DD4AB1"/>
    <w:rsid w:val="00DD4C9D"/>
    <w:rsid w:val="00DD5387"/>
    <w:rsid w:val="00DD7692"/>
    <w:rsid w:val="00DD790B"/>
    <w:rsid w:val="00DD7F54"/>
    <w:rsid w:val="00DE03B8"/>
    <w:rsid w:val="00DE17F3"/>
    <w:rsid w:val="00DE18AB"/>
    <w:rsid w:val="00DE1A02"/>
    <w:rsid w:val="00DE1E47"/>
    <w:rsid w:val="00DE2C5E"/>
    <w:rsid w:val="00DE2C7F"/>
    <w:rsid w:val="00DE2D36"/>
    <w:rsid w:val="00DE377E"/>
    <w:rsid w:val="00DE39ED"/>
    <w:rsid w:val="00DE3A6E"/>
    <w:rsid w:val="00DE4F03"/>
    <w:rsid w:val="00DE54BE"/>
    <w:rsid w:val="00DE5645"/>
    <w:rsid w:val="00DE5D1D"/>
    <w:rsid w:val="00DE64CF"/>
    <w:rsid w:val="00DE675F"/>
    <w:rsid w:val="00DE682A"/>
    <w:rsid w:val="00DE74C7"/>
    <w:rsid w:val="00DE7D85"/>
    <w:rsid w:val="00DF02CF"/>
    <w:rsid w:val="00DF23D8"/>
    <w:rsid w:val="00DF28BA"/>
    <w:rsid w:val="00DF2D65"/>
    <w:rsid w:val="00DF4D4A"/>
    <w:rsid w:val="00DF5D6E"/>
    <w:rsid w:val="00DF5EF9"/>
    <w:rsid w:val="00DF6289"/>
    <w:rsid w:val="00DF6BEA"/>
    <w:rsid w:val="00DF7439"/>
    <w:rsid w:val="00DF7D14"/>
    <w:rsid w:val="00E00322"/>
    <w:rsid w:val="00E00E7D"/>
    <w:rsid w:val="00E013FF"/>
    <w:rsid w:val="00E018A8"/>
    <w:rsid w:val="00E01A65"/>
    <w:rsid w:val="00E01FE2"/>
    <w:rsid w:val="00E021A3"/>
    <w:rsid w:val="00E022BE"/>
    <w:rsid w:val="00E02CFD"/>
    <w:rsid w:val="00E0336D"/>
    <w:rsid w:val="00E03ED4"/>
    <w:rsid w:val="00E0482C"/>
    <w:rsid w:val="00E05C6C"/>
    <w:rsid w:val="00E06C5A"/>
    <w:rsid w:val="00E100D8"/>
    <w:rsid w:val="00E10D38"/>
    <w:rsid w:val="00E10DAD"/>
    <w:rsid w:val="00E10EAE"/>
    <w:rsid w:val="00E10F18"/>
    <w:rsid w:val="00E10FCE"/>
    <w:rsid w:val="00E11495"/>
    <w:rsid w:val="00E11513"/>
    <w:rsid w:val="00E11F4C"/>
    <w:rsid w:val="00E128B1"/>
    <w:rsid w:val="00E12BD5"/>
    <w:rsid w:val="00E1332B"/>
    <w:rsid w:val="00E134CF"/>
    <w:rsid w:val="00E13E21"/>
    <w:rsid w:val="00E14C64"/>
    <w:rsid w:val="00E14E62"/>
    <w:rsid w:val="00E157E1"/>
    <w:rsid w:val="00E15AC6"/>
    <w:rsid w:val="00E167F5"/>
    <w:rsid w:val="00E204F8"/>
    <w:rsid w:val="00E208DF"/>
    <w:rsid w:val="00E2167C"/>
    <w:rsid w:val="00E2182C"/>
    <w:rsid w:val="00E21919"/>
    <w:rsid w:val="00E223D8"/>
    <w:rsid w:val="00E228AE"/>
    <w:rsid w:val="00E22CFA"/>
    <w:rsid w:val="00E24489"/>
    <w:rsid w:val="00E247CF"/>
    <w:rsid w:val="00E2498C"/>
    <w:rsid w:val="00E257D3"/>
    <w:rsid w:val="00E260E7"/>
    <w:rsid w:val="00E264CB"/>
    <w:rsid w:val="00E26C80"/>
    <w:rsid w:val="00E26C8A"/>
    <w:rsid w:val="00E26D36"/>
    <w:rsid w:val="00E26E10"/>
    <w:rsid w:val="00E278B3"/>
    <w:rsid w:val="00E27A16"/>
    <w:rsid w:val="00E27F83"/>
    <w:rsid w:val="00E308AA"/>
    <w:rsid w:val="00E3104D"/>
    <w:rsid w:val="00E311DF"/>
    <w:rsid w:val="00E31CED"/>
    <w:rsid w:val="00E321DF"/>
    <w:rsid w:val="00E325CF"/>
    <w:rsid w:val="00E32B70"/>
    <w:rsid w:val="00E32F10"/>
    <w:rsid w:val="00E334E3"/>
    <w:rsid w:val="00E33C30"/>
    <w:rsid w:val="00E34392"/>
    <w:rsid w:val="00E34B97"/>
    <w:rsid w:val="00E35169"/>
    <w:rsid w:val="00E353C3"/>
    <w:rsid w:val="00E35D35"/>
    <w:rsid w:val="00E36E60"/>
    <w:rsid w:val="00E37CC1"/>
    <w:rsid w:val="00E37EF1"/>
    <w:rsid w:val="00E40B0D"/>
    <w:rsid w:val="00E40F5F"/>
    <w:rsid w:val="00E41AD4"/>
    <w:rsid w:val="00E41EE4"/>
    <w:rsid w:val="00E41FC0"/>
    <w:rsid w:val="00E4286C"/>
    <w:rsid w:val="00E42960"/>
    <w:rsid w:val="00E43B79"/>
    <w:rsid w:val="00E43D3C"/>
    <w:rsid w:val="00E4448B"/>
    <w:rsid w:val="00E449DA"/>
    <w:rsid w:val="00E44C95"/>
    <w:rsid w:val="00E46009"/>
    <w:rsid w:val="00E46CD5"/>
    <w:rsid w:val="00E47088"/>
    <w:rsid w:val="00E476AA"/>
    <w:rsid w:val="00E503F1"/>
    <w:rsid w:val="00E504C4"/>
    <w:rsid w:val="00E50BCE"/>
    <w:rsid w:val="00E50BE5"/>
    <w:rsid w:val="00E517B4"/>
    <w:rsid w:val="00E538F5"/>
    <w:rsid w:val="00E53A3E"/>
    <w:rsid w:val="00E54236"/>
    <w:rsid w:val="00E5474F"/>
    <w:rsid w:val="00E54C33"/>
    <w:rsid w:val="00E54FAA"/>
    <w:rsid w:val="00E5540E"/>
    <w:rsid w:val="00E55DED"/>
    <w:rsid w:val="00E55EAB"/>
    <w:rsid w:val="00E56361"/>
    <w:rsid w:val="00E56447"/>
    <w:rsid w:val="00E56496"/>
    <w:rsid w:val="00E56D1B"/>
    <w:rsid w:val="00E574A1"/>
    <w:rsid w:val="00E5769B"/>
    <w:rsid w:val="00E57C79"/>
    <w:rsid w:val="00E60E05"/>
    <w:rsid w:val="00E61D93"/>
    <w:rsid w:val="00E61F2A"/>
    <w:rsid w:val="00E624D6"/>
    <w:rsid w:val="00E628CD"/>
    <w:rsid w:val="00E62ACF"/>
    <w:rsid w:val="00E62ECB"/>
    <w:rsid w:val="00E62F03"/>
    <w:rsid w:val="00E652BF"/>
    <w:rsid w:val="00E6549A"/>
    <w:rsid w:val="00E66576"/>
    <w:rsid w:val="00E67A87"/>
    <w:rsid w:val="00E70217"/>
    <w:rsid w:val="00E709B4"/>
    <w:rsid w:val="00E70DC0"/>
    <w:rsid w:val="00E70EED"/>
    <w:rsid w:val="00E71405"/>
    <w:rsid w:val="00E71420"/>
    <w:rsid w:val="00E71A4E"/>
    <w:rsid w:val="00E71A9E"/>
    <w:rsid w:val="00E71B68"/>
    <w:rsid w:val="00E72488"/>
    <w:rsid w:val="00E729A0"/>
    <w:rsid w:val="00E72C34"/>
    <w:rsid w:val="00E748F4"/>
    <w:rsid w:val="00E749D0"/>
    <w:rsid w:val="00E76055"/>
    <w:rsid w:val="00E76CA2"/>
    <w:rsid w:val="00E76F10"/>
    <w:rsid w:val="00E778CA"/>
    <w:rsid w:val="00E77E53"/>
    <w:rsid w:val="00E807D1"/>
    <w:rsid w:val="00E80DE4"/>
    <w:rsid w:val="00E80F58"/>
    <w:rsid w:val="00E80FDB"/>
    <w:rsid w:val="00E8122F"/>
    <w:rsid w:val="00E81557"/>
    <w:rsid w:val="00E8169F"/>
    <w:rsid w:val="00E826FA"/>
    <w:rsid w:val="00E836E7"/>
    <w:rsid w:val="00E8413C"/>
    <w:rsid w:val="00E843F6"/>
    <w:rsid w:val="00E850DA"/>
    <w:rsid w:val="00E8516E"/>
    <w:rsid w:val="00E85A92"/>
    <w:rsid w:val="00E85BF1"/>
    <w:rsid w:val="00E85F7C"/>
    <w:rsid w:val="00E86572"/>
    <w:rsid w:val="00E878E6"/>
    <w:rsid w:val="00E87C49"/>
    <w:rsid w:val="00E91352"/>
    <w:rsid w:val="00E915D5"/>
    <w:rsid w:val="00E9167E"/>
    <w:rsid w:val="00E9286C"/>
    <w:rsid w:val="00E933DA"/>
    <w:rsid w:val="00E934F3"/>
    <w:rsid w:val="00E935F0"/>
    <w:rsid w:val="00E94C1F"/>
    <w:rsid w:val="00E94DA0"/>
    <w:rsid w:val="00E94EBA"/>
    <w:rsid w:val="00E951E0"/>
    <w:rsid w:val="00E95A68"/>
    <w:rsid w:val="00E95F1D"/>
    <w:rsid w:val="00E96063"/>
    <w:rsid w:val="00E963AB"/>
    <w:rsid w:val="00E96F61"/>
    <w:rsid w:val="00E9784A"/>
    <w:rsid w:val="00E97AD0"/>
    <w:rsid w:val="00E97B12"/>
    <w:rsid w:val="00E97E35"/>
    <w:rsid w:val="00E97E65"/>
    <w:rsid w:val="00EA02A6"/>
    <w:rsid w:val="00EA0CD9"/>
    <w:rsid w:val="00EA2574"/>
    <w:rsid w:val="00EA3597"/>
    <w:rsid w:val="00EA3A5E"/>
    <w:rsid w:val="00EA46CF"/>
    <w:rsid w:val="00EA4A04"/>
    <w:rsid w:val="00EA4D47"/>
    <w:rsid w:val="00EA4DA1"/>
    <w:rsid w:val="00EA5828"/>
    <w:rsid w:val="00EA5971"/>
    <w:rsid w:val="00EA5A17"/>
    <w:rsid w:val="00EA5CC3"/>
    <w:rsid w:val="00EA5F71"/>
    <w:rsid w:val="00EA6366"/>
    <w:rsid w:val="00EA73B0"/>
    <w:rsid w:val="00EA7F24"/>
    <w:rsid w:val="00EB0560"/>
    <w:rsid w:val="00EB092B"/>
    <w:rsid w:val="00EB0CE1"/>
    <w:rsid w:val="00EB137A"/>
    <w:rsid w:val="00EB1698"/>
    <w:rsid w:val="00EB25D4"/>
    <w:rsid w:val="00EB2901"/>
    <w:rsid w:val="00EB29C9"/>
    <w:rsid w:val="00EB3652"/>
    <w:rsid w:val="00EB37B6"/>
    <w:rsid w:val="00EB3CE1"/>
    <w:rsid w:val="00EB40EF"/>
    <w:rsid w:val="00EB48FE"/>
    <w:rsid w:val="00EB49A5"/>
    <w:rsid w:val="00EB4B18"/>
    <w:rsid w:val="00EB4CEE"/>
    <w:rsid w:val="00EB5070"/>
    <w:rsid w:val="00EB61CB"/>
    <w:rsid w:val="00EB7293"/>
    <w:rsid w:val="00EB7559"/>
    <w:rsid w:val="00EB7AF5"/>
    <w:rsid w:val="00EB7AF9"/>
    <w:rsid w:val="00EC0137"/>
    <w:rsid w:val="00EC0251"/>
    <w:rsid w:val="00EC0298"/>
    <w:rsid w:val="00EC0D35"/>
    <w:rsid w:val="00EC0E65"/>
    <w:rsid w:val="00EC1CE5"/>
    <w:rsid w:val="00EC2FDF"/>
    <w:rsid w:val="00EC332E"/>
    <w:rsid w:val="00EC3578"/>
    <w:rsid w:val="00EC35ED"/>
    <w:rsid w:val="00EC37DA"/>
    <w:rsid w:val="00EC3A4A"/>
    <w:rsid w:val="00EC3DC7"/>
    <w:rsid w:val="00EC3ED0"/>
    <w:rsid w:val="00EC4602"/>
    <w:rsid w:val="00EC67B6"/>
    <w:rsid w:val="00EC732E"/>
    <w:rsid w:val="00EC7779"/>
    <w:rsid w:val="00EC7C4E"/>
    <w:rsid w:val="00ED0089"/>
    <w:rsid w:val="00ED0417"/>
    <w:rsid w:val="00ED0A03"/>
    <w:rsid w:val="00ED0B37"/>
    <w:rsid w:val="00ED0BD4"/>
    <w:rsid w:val="00ED13D7"/>
    <w:rsid w:val="00ED15D2"/>
    <w:rsid w:val="00ED2034"/>
    <w:rsid w:val="00ED2090"/>
    <w:rsid w:val="00ED2789"/>
    <w:rsid w:val="00ED2806"/>
    <w:rsid w:val="00ED2967"/>
    <w:rsid w:val="00ED2E1F"/>
    <w:rsid w:val="00ED3361"/>
    <w:rsid w:val="00ED3D5D"/>
    <w:rsid w:val="00ED4347"/>
    <w:rsid w:val="00ED4659"/>
    <w:rsid w:val="00ED55FE"/>
    <w:rsid w:val="00ED5695"/>
    <w:rsid w:val="00ED57D5"/>
    <w:rsid w:val="00ED5B75"/>
    <w:rsid w:val="00EE06BA"/>
    <w:rsid w:val="00EE14BE"/>
    <w:rsid w:val="00EE1663"/>
    <w:rsid w:val="00EE1884"/>
    <w:rsid w:val="00EE25B1"/>
    <w:rsid w:val="00EE2ED0"/>
    <w:rsid w:val="00EE35C1"/>
    <w:rsid w:val="00EE3B14"/>
    <w:rsid w:val="00EE3C7A"/>
    <w:rsid w:val="00EE3DCC"/>
    <w:rsid w:val="00EE3E12"/>
    <w:rsid w:val="00EE3EC0"/>
    <w:rsid w:val="00EE44CF"/>
    <w:rsid w:val="00EE4907"/>
    <w:rsid w:val="00EE4B58"/>
    <w:rsid w:val="00EE565C"/>
    <w:rsid w:val="00EE56BF"/>
    <w:rsid w:val="00EE666B"/>
    <w:rsid w:val="00EE694D"/>
    <w:rsid w:val="00EE6BE5"/>
    <w:rsid w:val="00EF03DB"/>
    <w:rsid w:val="00EF157D"/>
    <w:rsid w:val="00EF18EB"/>
    <w:rsid w:val="00EF1C4B"/>
    <w:rsid w:val="00EF27B5"/>
    <w:rsid w:val="00EF2C32"/>
    <w:rsid w:val="00EF330E"/>
    <w:rsid w:val="00EF33CE"/>
    <w:rsid w:val="00EF3454"/>
    <w:rsid w:val="00EF3463"/>
    <w:rsid w:val="00EF3A55"/>
    <w:rsid w:val="00EF3FF3"/>
    <w:rsid w:val="00EF5301"/>
    <w:rsid w:val="00EF54A0"/>
    <w:rsid w:val="00EF6341"/>
    <w:rsid w:val="00EF6A41"/>
    <w:rsid w:val="00EF6E03"/>
    <w:rsid w:val="00EF7686"/>
    <w:rsid w:val="00EF7D4E"/>
    <w:rsid w:val="00F00FC4"/>
    <w:rsid w:val="00F01AFB"/>
    <w:rsid w:val="00F01B7C"/>
    <w:rsid w:val="00F02750"/>
    <w:rsid w:val="00F027D9"/>
    <w:rsid w:val="00F02A10"/>
    <w:rsid w:val="00F02FC1"/>
    <w:rsid w:val="00F03789"/>
    <w:rsid w:val="00F03E1F"/>
    <w:rsid w:val="00F04B54"/>
    <w:rsid w:val="00F04C9D"/>
    <w:rsid w:val="00F0551E"/>
    <w:rsid w:val="00F0560A"/>
    <w:rsid w:val="00F056CE"/>
    <w:rsid w:val="00F05E4D"/>
    <w:rsid w:val="00F05E68"/>
    <w:rsid w:val="00F065F6"/>
    <w:rsid w:val="00F06949"/>
    <w:rsid w:val="00F10209"/>
    <w:rsid w:val="00F10404"/>
    <w:rsid w:val="00F10BD5"/>
    <w:rsid w:val="00F1155F"/>
    <w:rsid w:val="00F116B2"/>
    <w:rsid w:val="00F1180F"/>
    <w:rsid w:val="00F119B8"/>
    <w:rsid w:val="00F11D08"/>
    <w:rsid w:val="00F11F5F"/>
    <w:rsid w:val="00F121BE"/>
    <w:rsid w:val="00F12255"/>
    <w:rsid w:val="00F125DF"/>
    <w:rsid w:val="00F12BDB"/>
    <w:rsid w:val="00F1326C"/>
    <w:rsid w:val="00F1329B"/>
    <w:rsid w:val="00F135D2"/>
    <w:rsid w:val="00F15797"/>
    <w:rsid w:val="00F158D7"/>
    <w:rsid w:val="00F15DEA"/>
    <w:rsid w:val="00F16730"/>
    <w:rsid w:val="00F16D04"/>
    <w:rsid w:val="00F17071"/>
    <w:rsid w:val="00F20290"/>
    <w:rsid w:val="00F202C1"/>
    <w:rsid w:val="00F204D4"/>
    <w:rsid w:val="00F20684"/>
    <w:rsid w:val="00F209EC"/>
    <w:rsid w:val="00F20BAA"/>
    <w:rsid w:val="00F20DBC"/>
    <w:rsid w:val="00F20EE5"/>
    <w:rsid w:val="00F227FA"/>
    <w:rsid w:val="00F230B9"/>
    <w:rsid w:val="00F230D3"/>
    <w:rsid w:val="00F230E7"/>
    <w:rsid w:val="00F231FD"/>
    <w:rsid w:val="00F23402"/>
    <w:rsid w:val="00F234B5"/>
    <w:rsid w:val="00F235D8"/>
    <w:rsid w:val="00F2366F"/>
    <w:rsid w:val="00F238AD"/>
    <w:rsid w:val="00F23946"/>
    <w:rsid w:val="00F23CCE"/>
    <w:rsid w:val="00F23E7C"/>
    <w:rsid w:val="00F246F8"/>
    <w:rsid w:val="00F24FF3"/>
    <w:rsid w:val="00F25897"/>
    <w:rsid w:val="00F2601C"/>
    <w:rsid w:val="00F26103"/>
    <w:rsid w:val="00F26363"/>
    <w:rsid w:val="00F2644B"/>
    <w:rsid w:val="00F26637"/>
    <w:rsid w:val="00F26DBA"/>
    <w:rsid w:val="00F27756"/>
    <w:rsid w:val="00F27BB2"/>
    <w:rsid w:val="00F30685"/>
    <w:rsid w:val="00F308CE"/>
    <w:rsid w:val="00F3107E"/>
    <w:rsid w:val="00F3120B"/>
    <w:rsid w:val="00F31B08"/>
    <w:rsid w:val="00F31CFB"/>
    <w:rsid w:val="00F32539"/>
    <w:rsid w:val="00F32A67"/>
    <w:rsid w:val="00F32F29"/>
    <w:rsid w:val="00F32F5E"/>
    <w:rsid w:val="00F33C68"/>
    <w:rsid w:val="00F3462E"/>
    <w:rsid w:val="00F34F4B"/>
    <w:rsid w:val="00F35478"/>
    <w:rsid w:val="00F356C2"/>
    <w:rsid w:val="00F36B29"/>
    <w:rsid w:val="00F36CF6"/>
    <w:rsid w:val="00F36DC6"/>
    <w:rsid w:val="00F37064"/>
    <w:rsid w:val="00F37079"/>
    <w:rsid w:val="00F371F7"/>
    <w:rsid w:val="00F3737A"/>
    <w:rsid w:val="00F37B30"/>
    <w:rsid w:val="00F41B64"/>
    <w:rsid w:val="00F42172"/>
    <w:rsid w:val="00F4263E"/>
    <w:rsid w:val="00F42E5C"/>
    <w:rsid w:val="00F43462"/>
    <w:rsid w:val="00F436EB"/>
    <w:rsid w:val="00F43A80"/>
    <w:rsid w:val="00F43B61"/>
    <w:rsid w:val="00F440C2"/>
    <w:rsid w:val="00F44833"/>
    <w:rsid w:val="00F44B85"/>
    <w:rsid w:val="00F45058"/>
    <w:rsid w:val="00F450DC"/>
    <w:rsid w:val="00F4568A"/>
    <w:rsid w:val="00F45904"/>
    <w:rsid w:val="00F45D02"/>
    <w:rsid w:val="00F45F12"/>
    <w:rsid w:val="00F45F13"/>
    <w:rsid w:val="00F46882"/>
    <w:rsid w:val="00F46D2F"/>
    <w:rsid w:val="00F46EED"/>
    <w:rsid w:val="00F4711E"/>
    <w:rsid w:val="00F47508"/>
    <w:rsid w:val="00F47CFF"/>
    <w:rsid w:val="00F50341"/>
    <w:rsid w:val="00F504B8"/>
    <w:rsid w:val="00F515BC"/>
    <w:rsid w:val="00F52827"/>
    <w:rsid w:val="00F53301"/>
    <w:rsid w:val="00F533A8"/>
    <w:rsid w:val="00F5369E"/>
    <w:rsid w:val="00F5375E"/>
    <w:rsid w:val="00F53F3D"/>
    <w:rsid w:val="00F544B0"/>
    <w:rsid w:val="00F55041"/>
    <w:rsid w:val="00F5551B"/>
    <w:rsid w:val="00F55BA5"/>
    <w:rsid w:val="00F55D44"/>
    <w:rsid w:val="00F56F20"/>
    <w:rsid w:val="00F56F4D"/>
    <w:rsid w:val="00F57277"/>
    <w:rsid w:val="00F60426"/>
    <w:rsid w:val="00F61D34"/>
    <w:rsid w:val="00F6213A"/>
    <w:rsid w:val="00F63BB6"/>
    <w:rsid w:val="00F63E13"/>
    <w:rsid w:val="00F64596"/>
    <w:rsid w:val="00F645A9"/>
    <w:rsid w:val="00F64AEF"/>
    <w:rsid w:val="00F64D00"/>
    <w:rsid w:val="00F6516F"/>
    <w:rsid w:val="00F65744"/>
    <w:rsid w:val="00F66444"/>
    <w:rsid w:val="00F67532"/>
    <w:rsid w:val="00F67952"/>
    <w:rsid w:val="00F67A2D"/>
    <w:rsid w:val="00F67C87"/>
    <w:rsid w:val="00F704C3"/>
    <w:rsid w:val="00F705E4"/>
    <w:rsid w:val="00F70896"/>
    <w:rsid w:val="00F70DD8"/>
    <w:rsid w:val="00F71776"/>
    <w:rsid w:val="00F72185"/>
    <w:rsid w:val="00F72562"/>
    <w:rsid w:val="00F726E0"/>
    <w:rsid w:val="00F7299A"/>
    <w:rsid w:val="00F72ACA"/>
    <w:rsid w:val="00F73D0E"/>
    <w:rsid w:val="00F73F1F"/>
    <w:rsid w:val="00F743D2"/>
    <w:rsid w:val="00F74E4C"/>
    <w:rsid w:val="00F77528"/>
    <w:rsid w:val="00F77857"/>
    <w:rsid w:val="00F802FB"/>
    <w:rsid w:val="00F80452"/>
    <w:rsid w:val="00F807E0"/>
    <w:rsid w:val="00F82018"/>
    <w:rsid w:val="00F8201B"/>
    <w:rsid w:val="00F833DF"/>
    <w:rsid w:val="00F8425E"/>
    <w:rsid w:val="00F8449A"/>
    <w:rsid w:val="00F84C23"/>
    <w:rsid w:val="00F853DA"/>
    <w:rsid w:val="00F860E7"/>
    <w:rsid w:val="00F862EF"/>
    <w:rsid w:val="00F8677A"/>
    <w:rsid w:val="00F86A1D"/>
    <w:rsid w:val="00F8790E"/>
    <w:rsid w:val="00F87A30"/>
    <w:rsid w:val="00F87E16"/>
    <w:rsid w:val="00F90538"/>
    <w:rsid w:val="00F905B1"/>
    <w:rsid w:val="00F90AF1"/>
    <w:rsid w:val="00F90DC5"/>
    <w:rsid w:val="00F92434"/>
    <w:rsid w:val="00F929CC"/>
    <w:rsid w:val="00F92B0F"/>
    <w:rsid w:val="00F93A7E"/>
    <w:rsid w:val="00F94048"/>
    <w:rsid w:val="00F94AEA"/>
    <w:rsid w:val="00F9558D"/>
    <w:rsid w:val="00F95A1C"/>
    <w:rsid w:val="00F9619B"/>
    <w:rsid w:val="00F963F0"/>
    <w:rsid w:val="00F96527"/>
    <w:rsid w:val="00F969F4"/>
    <w:rsid w:val="00F96DFD"/>
    <w:rsid w:val="00F97072"/>
    <w:rsid w:val="00FA06BD"/>
    <w:rsid w:val="00FA1FAE"/>
    <w:rsid w:val="00FA2123"/>
    <w:rsid w:val="00FA217F"/>
    <w:rsid w:val="00FA22AA"/>
    <w:rsid w:val="00FA2761"/>
    <w:rsid w:val="00FA298E"/>
    <w:rsid w:val="00FA2A4B"/>
    <w:rsid w:val="00FA354C"/>
    <w:rsid w:val="00FA38CA"/>
    <w:rsid w:val="00FA3983"/>
    <w:rsid w:val="00FA44B0"/>
    <w:rsid w:val="00FA4FA3"/>
    <w:rsid w:val="00FA55B1"/>
    <w:rsid w:val="00FA584C"/>
    <w:rsid w:val="00FA59B2"/>
    <w:rsid w:val="00FA6625"/>
    <w:rsid w:val="00FA7D6D"/>
    <w:rsid w:val="00FB01EF"/>
    <w:rsid w:val="00FB0200"/>
    <w:rsid w:val="00FB044A"/>
    <w:rsid w:val="00FB0E39"/>
    <w:rsid w:val="00FB20B6"/>
    <w:rsid w:val="00FB280F"/>
    <w:rsid w:val="00FB2AB1"/>
    <w:rsid w:val="00FB4038"/>
    <w:rsid w:val="00FB4438"/>
    <w:rsid w:val="00FB45D3"/>
    <w:rsid w:val="00FB502A"/>
    <w:rsid w:val="00FB66FC"/>
    <w:rsid w:val="00FB69D4"/>
    <w:rsid w:val="00FB6AC9"/>
    <w:rsid w:val="00FB6DCC"/>
    <w:rsid w:val="00FB7120"/>
    <w:rsid w:val="00FB7319"/>
    <w:rsid w:val="00FB788F"/>
    <w:rsid w:val="00FB7AD2"/>
    <w:rsid w:val="00FC0581"/>
    <w:rsid w:val="00FC2AF1"/>
    <w:rsid w:val="00FC321E"/>
    <w:rsid w:val="00FC3DE5"/>
    <w:rsid w:val="00FC3E36"/>
    <w:rsid w:val="00FC417A"/>
    <w:rsid w:val="00FC4FCF"/>
    <w:rsid w:val="00FC552C"/>
    <w:rsid w:val="00FC5613"/>
    <w:rsid w:val="00FC6146"/>
    <w:rsid w:val="00FC6228"/>
    <w:rsid w:val="00FC684E"/>
    <w:rsid w:val="00FC701D"/>
    <w:rsid w:val="00FC7706"/>
    <w:rsid w:val="00FC78F4"/>
    <w:rsid w:val="00FC7CAA"/>
    <w:rsid w:val="00FD1854"/>
    <w:rsid w:val="00FD21DA"/>
    <w:rsid w:val="00FD2A02"/>
    <w:rsid w:val="00FD32FF"/>
    <w:rsid w:val="00FD3DE0"/>
    <w:rsid w:val="00FD4233"/>
    <w:rsid w:val="00FD4D3A"/>
    <w:rsid w:val="00FD642A"/>
    <w:rsid w:val="00FD6FA6"/>
    <w:rsid w:val="00FD7729"/>
    <w:rsid w:val="00FD7C22"/>
    <w:rsid w:val="00FE00BF"/>
    <w:rsid w:val="00FE03B3"/>
    <w:rsid w:val="00FE056A"/>
    <w:rsid w:val="00FE080F"/>
    <w:rsid w:val="00FE09DA"/>
    <w:rsid w:val="00FE0A3F"/>
    <w:rsid w:val="00FE1BCC"/>
    <w:rsid w:val="00FE21D9"/>
    <w:rsid w:val="00FE25A0"/>
    <w:rsid w:val="00FE2D3A"/>
    <w:rsid w:val="00FE3005"/>
    <w:rsid w:val="00FE303B"/>
    <w:rsid w:val="00FE3193"/>
    <w:rsid w:val="00FE3318"/>
    <w:rsid w:val="00FE3AB4"/>
    <w:rsid w:val="00FE45AB"/>
    <w:rsid w:val="00FE4896"/>
    <w:rsid w:val="00FE4A9C"/>
    <w:rsid w:val="00FE515E"/>
    <w:rsid w:val="00FE5646"/>
    <w:rsid w:val="00FE5C58"/>
    <w:rsid w:val="00FE5E24"/>
    <w:rsid w:val="00FE5F32"/>
    <w:rsid w:val="00FE60E5"/>
    <w:rsid w:val="00FE6268"/>
    <w:rsid w:val="00FE6C0B"/>
    <w:rsid w:val="00FE7478"/>
    <w:rsid w:val="00FE777C"/>
    <w:rsid w:val="00FF0C5F"/>
    <w:rsid w:val="00FF0F73"/>
    <w:rsid w:val="00FF1162"/>
    <w:rsid w:val="00FF1DE1"/>
    <w:rsid w:val="00FF1E4C"/>
    <w:rsid w:val="00FF41CA"/>
    <w:rsid w:val="00FF5030"/>
    <w:rsid w:val="00FF5C7C"/>
    <w:rsid w:val="00FF5CFB"/>
    <w:rsid w:val="00FF5DDB"/>
    <w:rsid w:val="00FF5EA4"/>
    <w:rsid w:val="00FF66A8"/>
    <w:rsid w:val="00FF688E"/>
    <w:rsid w:val="00FF6A7F"/>
    <w:rsid w:val="00FF7594"/>
    <w:rsid w:val="021C626D"/>
    <w:rsid w:val="029C003A"/>
    <w:rsid w:val="0BDD4BBD"/>
    <w:rsid w:val="199DCB8C"/>
    <w:rsid w:val="22734756"/>
    <w:rsid w:val="33EDB4ED"/>
    <w:rsid w:val="3A135C49"/>
    <w:rsid w:val="4D897140"/>
    <w:rsid w:val="54E55B39"/>
    <w:rsid w:val="5FD45A2E"/>
    <w:rsid w:val="6A14D4F3"/>
    <w:rsid w:val="7103DD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FD53ABAF-66FF-4D33-915B-17108490E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table" w:styleId="TableGridLight">
    <w:name w:val="Grid Table Light"/>
    <w:basedOn w:val="TableNormal"/>
    <w:uiPriority w:val="40"/>
    <w:rsid w:val="00A8168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Emphasis">
    <w:name w:val="Emphasis"/>
    <w:basedOn w:val="DefaultParagraphFont"/>
    <w:uiPriority w:val="20"/>
    <w:qFormat/>
    <w:rsid w:val="00FE056A"/>
    <w:rPr>
      <w:i/>
      <w:iCs/>
    </w:rPr>
  </w:style>
  <w:style w:type="paragraph" w:styleId="TOCHeading">
    <w:name w:val="TOC Heading"/>
    <w:basedOn w:val="Heading1"/>
    <w:next w:val="Normal"/>
    <w:uiPriority w:val="39"/>
    <w:unhideWhenUsed/>
    <w:qFormat/>
    <w:rsid w:val="00F06949"/>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F06949"/>
    <w:pPr>
      <w:spacing w:after="100"/>
    </w:pPr>
  </w:style>
  <w:style w:type="paragraph" w:styleId="TOC2">
    <w:name w:val="toc 2"/>
    <w:basedOn w:val="Normal"/>
    <w:next w:val="Normal"/>
    <w:autoRedefine/>
    <w:uiPriority w:val="39"/>
    <w:unhideWhenUsed/>
    <w:rsid w:val="00052C5F"/>
    <w:pPr>
      <w:tabs>
        <w:tab w:val="left" w:pos="960"/>
        <w:tab w:val="right" w:leader="dot" w:pos="9016"/>
      </w:tabs>
      <w:spacing w:after="100"/>
    </w:pPr>
    <w:rPr>
      <w:rFonts w:ascii="Arial" w:hAnsi="Arial" w:cs="Arial"/>
      <w:b/>
      <w:bCs/>
      <w:noProof/>
    </w:rPr>
  </w:style>
  <w:style w:type="paragraph" w:styleId="TOC3">
    <w:name w:val="toc 3"/>
    <w:basedOn w:val="Normal"/>
    <w:next w:val="Normal"/>
    <w:autoRedefine/>
    <w:uiPriority w:val="39"/>
    <w:unhideWhenUsed/>
    <w:rsid w:val="00F06949"/>
    <w:pPr>
      <w:spacing w:after="100"/>
      <w:ind w:left="440"/>
    </w:pPr>
  </w:style>
  <w:style w:type="character" w:styleId="FollowedHyperlink">
    <w:name w:val="FollowedHyperlink"/>
    <w:basedOn w:val="DefaultParagraphFont"/>
    <w:uiPriority w:val="99"/>
    <w:semiHidden/>
    <w:unhideWhenUsed/>
    <w:rsid w:val="00440A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 /><Relationship Id="rId18" Type="http://schemas.openxmlformats.org/officeDocument/2006/relationships/hyperlink" Target="https://doi.org/10.1111/j.1365-2141.2011.08708.x" TargetMode="External" /><Relationship Id="rId26" Type="http://schemas.openxmlformats.org/officeDocument/2006/relationships/hyperlink" Target="https://b-s-h.org.uk/guidelines/guidelines/guidelines-on-red-cell-transfusion-in-sickle-cell-disease-part-ii-indications-for-transfusion" TargetMode="External" /><Relationship Id="rId39" Type="http://schemas.openxmlformats.org/officeDocument/2006/relationships/hyperlink" Target="https://academic.oup.com/pnasnexus/article/4/10/pgaf311/8303887" TargetMode="External" /><Relationship Id="rId21" Type="http://schemas.openxmlformats.org/officeDocument/2006/relationships/hyperlink" Target="Https://global.oup.com/academic/product/principles-of-biomedical=ethics-9780199924585" TargetMode="External" /><Relationship Id="rId34" Type="http://schemas.openxmlformats.org/officeDocument/2006/relationships/hyperlink" Target="https://doi.org/10.1164/rccm.202201-0136SO" TargetMode="External" /><Relationship Id="rId42" Type="http://schemas.openxmlformats.org/officeDocument/2006/relationships/hyperlink" Target="https://doi.org/10.1016/j.ekir.2021.06.017" TargetMode="External" /><Relationship Id="rId47" Type="http://schemas.openxmlformats.org/officeDocument/2006/relationships/hyperlink" Target="https://doi.org/10.1093/eurheartj/ehab849.137" TargetMode="External" /><Relationship Id="rId50" Type="http://schemas.openxmlformats.org/officeDocument/2006/relationships/hyperlink" Target="https://doi.org/10.1136/bmj-2022-072243" TargetMode="External" /><Relationship Id="rId55" Type="http://schemas.openxmlformats.org/officeDocument/2006/relationships/hyperlink" Target="https://www.blood.co.uk/why-give-blood/demand-for-different-blood-types/ro-blood/" TargetMode="External" /><Relationship Id="rId63" Type="http://schemas.openxmlformats.org/officeDocument/2006/relationships/hyperlink" Target="https://doi.org/10.1093/bmb/ldac008" TargetMode="External" /><Relationship Id="rId68" Type="http://schemas.openxmlformats.org/officeDocument/2006/relationships/hyperlink" Target="https://doi.org/10.70099/BJ/2025.02.01.1" TargetMode="External" /><Relationship Id="rId76" Type="http://schemas.openxmlformats.org/officeDocument/2006/relationships/hyperlink" Target="https://www.who.int/publications/i/item/WHO-HTP-EHT-CPR-2010.01" TargetMode="External" /><Relationship Id="rId84" Type="http://schemas.openxmlformats.org/officeDocument/2006/relationships/fontTable" Target="fontTable.xml" /><Relationship Id="rId7" Type="http://schemas.openxmlformats.org/officeDocument/2006/relationships/endnotes" Target="endnotes.xml" /><Relationship Id="rId71" Type="http://schemas.openxmlformats.org/officeDocument/2006/relationships/hyperlink" Target="https://doi.org/10.1016/S0140-6736(23)00762-6" TargetMode="External" /><Relationship Id="rId2" Type="http://schemas.openxmlformats.org/officeDocument/2006/relationships/numbering" Target="numbering.xml" /><Relationship Id="rId16" Type="http://schemas.openxmlformats.org/officeDocument/2006/relationships/hyperlink" Target="https://openjournals.salford.ac.uk/bioscientist/article/id/58/" TargetMode="External" /><Relationship Id="rId29" Type="http://schemas.openxmlformats.org/officeDocument/2006/relationships/hyperlink" Target="http://www.legislation.gov.uk/" TargetMode="External" /><Relationship Id="rId11" Type="http://schemas.openxmlformats.org/officeDocument/2006/relationships/diagramData" Target="diagrams/data1.xml" /><Relationship Id="rId24" Type="http://schemas.openxmlformats.org/officeDocument/2006/relationships/hyperlink" Target="https://doi101186/s12913-024-11821-3" TargetMode="External" /><Relationship Id="rId32" Type="http://schemas.openxmlformats.org/officeDocument/2006/relationships/hyperlink" Target="https://www.legislation.gov.uk/ukpga/2010/15" TargetMode="External" /><Relationship Id="rId37" Type="http://schemas.openxmlformats.org/officeDocument/2006/relationships/hyperlink" Target="https://pmc.ncbi.nlm.nih.gov/articles/PMC3489022/" TargetMode="External" /><Relationship Id="rId40" Type="http://schemas.openxmlformats.org/officeDocument/2006/relationships/hyperlink" Target="https://www.legislation.gov.uk/ukpga/1998/42/content" TargetMode="External" /><Relationship Id="rId45" Type="http://schemas.openxmlformats.org/officeDocument/2006/relationships/hyperlink" Target="https://academic.oup.com/ndt/article-pdf/26/2/437/5350850/gfq628.pdf" TargetMode="External" /><Relationship Id="rId53" Type="http://schemas.openxmlformats.org/officeDocument/2006/relationships/hyperlink" Target="https://www.odt.nhs.uk/statistics-and-reports/annual-reports/" TargetMode="External" /><Relationship Id="rId58" Type="http://schemas.openxmlformats.org/officeDocument/2006/relationships/hyperlink" Target="https://www.cityobservatory.birmingham.gov.uk/analysis-of-census-2021-data/" TargetMode="External" /><Relationship Id="rId66" Type="http://schemas.openxmlformats.org/officeDocument/2006/relationships/hyperlink" Target="https://doi.org/10.1177/109019818801500203" TargetMode="External" /><Relationship Id="rId74" Type="http://schemas.openxmlformats.org/officeDocument/2006/relationships/hyperlink" Target="https://doi.org/10.1164/rccm.202201-0136SO" TargetMode="External" /><Relationship Id="rId79" Type="http://schemas.openxmlformats.org/officeDocument/2006/relationships/hyperlink" Target="https://bmjopen.bmj.com/content/14/2/e075711" TargetMode="External" /><Relationship Id="rId5" Type="http://schemas.openxmlformats.org/officeDocument/2006/relationships/webSettings" Target="webSettings.xml" /><Relationship Id="rId61" Type="http://schemas.openxmlformats.org/officeDocument/2006/relationships/hyperlink" Target="Https://www.researchgate.net/publication/233866356_Guidance_on_the_conduct_of_narrative_synthesis_in_systematic_reviews_A_product_from_the_ESRC_Methods_Programme" TargetMode="External" /><Relationship Id="rId82" Type="http://schemas.openxmlformats.org/officeDocument/2006/relationships/image" Target="media/image3.jpeg" /><Relationship Id="rId19" Type="http://schemas.openxmlformats.org/officeDocument/2006/relationships/hyperlink" Target="https://doi.org/10.1186/s12939-025-02583-3" TargetMode="Externa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diagramColors" Target="diagrams/colors1.xml" /><Relationship Id="rId22" Type="http://schemas.openxmlformats.org/officeDocument/2006/relationships/hyperlink" Target="https://library.csuchico.edu/sites/default/files/craap-test.pdf" TargetMode="External" /><Relationship Id="rId27" Type="http://schemas.openxmlformats.org/officeDocument/2006/relationships/hyperlink" Target="https://register-of-charities.charitycommission.gov.uk/" TargetMode="External" /><Relationship Id="rId30" Type="http://schemas.openxmlformats.org/officeDocument/2006/relationships/hyperlink" Target="https://doi.org/10.1136/bmjopen-2013-003453" TargetMode="External" /><Relationship Id="rId35" Type="http://schemas.openxmlformats.org/officeDocument/2006/relationships/hyperlink" Target="https://doi.org/10.1016/j.jnma.2025.01.004" TargetMode="External" /><Relationship Id="rId43" Type="http://schemas.openxmlformats.org/officeDocument/2006/relationships/hyperlink" Target="https://www.bmj.com/content/381/bmj-2022-072243" TargetMode="External" /><Relationship Id="rId48" Type="http://schemas.openxmlformats.org/officeDocument/2006/relationships/hyperlink" Target="https://doi.org/10.1016/j.transproceed.2009.05.004" TargetMode="External" /><Relationship Id="rId56" Type="http://schemas.openxmlformats.org/officeDocument/2006/relationships/hyperlink" Target="https://www.nhsrho.org/wp-content/uploads/2025/03/TRUST-IN-PRIMARY-CARE-REPORT.pdf" TargetMode="External" /><Relationship Id="rId64" Type="http://schemas.openxmlformats.org/officeDocument/2006/relationships/hyperlink" Target="https://doi.org/10.1016/j.transproceed.2015.10.074" TargetMode="External" /><Relationship Id="rId69" Type="http://schemas.openxmlformats.org/officeDocument/2006/relationships/hyperlink" Target="https://pmc.ncbi.nlm.nih.gov/articles/PMC8419125/" TargetMode="External" /><Relationship Id="rId77" Type="http://schemas.openxmlformats.org/officeDocument/2006/relationships/hyperlink" Target="https://www.who.int/publications/b/59487" TargetMode="External" /><Relationship Id="rId8" Type="http://schemas.openxmlformats.org/officeDocument/2006/relationships/image" Target="media/image1.png" /><Relationship Id="rId51" Type="http://schemas.openxmlformats.org/officeDocument/2006/relationships/hyperlink" Target="https://nhsbtdbe.blob.core.windows.net/umbraco-assets-corp/33778/activity-report-2023-2024.pdf" TargetMode="External" /><Relationship Id="rId72" Type="http://schemas.openxmlformats.org/officeDocument/2006/relationships/hyperlink" Target="https://www.ovid.com/journals/ojdd/pdf/10.1177/00302228231183191" TargetMode="External" /><Relationship Id="rId80" Type="http://schemas.openxmlformats.org/officeDocument/2006/relationships/hyperlink" Target="https://journals.sagepub.com/doi/pdf/10.1177/20503121221113668" TargetMode="External" /><Relationship Id="rId85" Type="http://schemas.openxmlformats.org/officeDocument/2006/relationships/theme" Target="theme/theme1.xml" /><Relationship Id="rId3" Type="http://schemas.openxmlformats.org/officeDocument/2006/relationships/styles" Target="styles.xml" /><Relationship Id="rId12" Type="http://schemas.openxmlformats.org/officeDocument/2006/relationships/diagramLayout" Target="diagrams/layout1.xml" /><Relationship Id="rId17" Type="http://schemas.openxmlformats.org/officeDocument/2006/relationships/hyperlink" Target="https://doi.org/10.1111ajt.16199" TargetMode="External" /><Relationship Id="rId25" Type="http://schemas.openxmlformats.org/officeDocument/2006/relationships/hyperlink" Target="https://doi.org/10.1191/1478088706qp063oa" TargetMode="External" /><Relationship Id="rId33" Type="http://schemas.openxmlformats.org/officeDocument/2006/relationships/hyperlink" Target="https://doi.org/10.1080/08870446.2019.1603385" TargetMode="External" /><Relationship Id="rId38" Type="http://schemas.openxmlformats.org/officeDocument/2006/relationships/hyperlink" Target="https://www.frontierspartnerships.org/journals/transplant-international/articles/10.3389/ti.2023.11310/full" TargetMode="External" /><Relationship Id="rId46" Type="http://schemas.openxmlformats.org/officeDocument/2006/relationships/hyperlink" Target="https://doi.org/10.1097/01.TP.0000441874.43007.81" TargetMode="External" /><Relationship Id="rId59" Type="http://schemas.openxmlformats.org/officeDocument/2006/relationships/hyperlink" Target="https://journals.plos.org/plosone/article?id=10.1371/journal.pone.0306541" TargetMode="External" /><Relationship Id="rId67" Type="http://schemas.openxmlformats.org/officeDocument/2006/relationships/hyperlink" Target="https://spiral.imperial.ac.uk/bitstreams/0a79a54d-ec2d-4174-afd1-dddcd3e1e07e/download" TargetMode="External" /><Relationship Id="rId20" Type="http://schemas.openxmlformats.org/officeDocument/2006/relationships/hyperlink" Target="https://doi.org/" TargetMode="External" /><Relationship Id="rId41" Type="http://schemas.openxmlformats.org/officeDocument/2006/relationships/hyperlink" Target="https://www.who.int/news/item/30-05-2024-seventy-seventh-world-health-assembly-daily-update-30-may-2024" TargetMode="External" /><Relationship Id="rId54" Type="http://schemas.openxmlformats.org/officeDocument/2006/relationships/hyperlink" Target="https://www.blood.co.uk/news-and-campaigns/news-and-statements/number-of-life-saving-stem-cell-donations-by-black-asian-and-mixed-ethnicity-donors-is-at-a-10-year-high/" TargetMode="External" /><Relationship Id="rId62" Type="http://schemas.openxmlformats.org/officeDocument/2006/relationships/hyperlink" Target="https://doi.org/10.1093/bja/aer385" TargetMode="External" /><Relationship Id="rId70" Type="http://schemas.openxmlformats.org/officeDocument/2006/relationships/hyperlink" Target="https://www.ovid.com/journals/ojdd/pdf/10.1177/00302228231183191" TargetMode="External" /><Relationship Id="rId75" Type="http://schemas.openxmlformats.org/officeDocument/2006/relationships/hyperlink" Target="https://minorityhealth.hhs.gov/organ-transplants-and-blackafrican-americans" TargetMode="External" /><Relationship Id="rId83" Type="http://schemas.openxmlformats.org/officeDocument/2006/relationships/image" Target="media/image4.jpeg" /><Relationship Id="rId1" Type="http://schemas.openxmlformats.org/officeDocument/2006/relationships/customXml" Target="../customXml/item1.xml" /><Relationship Id="rId6" Type="http://schemas.openxmlformats.org/officeDocument/2006/relationships/footnotes" Target="footnotes.xml" /><Relationship Id="rId15" Type="http://schemas.microsoft.com/office/2007/relationships/diagramDrawing" Target="diagrams/drawing1.xml" /><Relationship Id="rId23" Type="http://schemas.openxmlformats.org/officeDocument/2006/relationships/hyperlink" Target="https://link.springer.com/article/10.1186/s12913-024-11821-3" TargetMode="External" /><Relationship Id="rId28" Type="http://schemas.openxmlformats.org/officeDocument/2006/relationships/hyperlink" Target="https://academic.oup.com/ndt/article/39/Supplement_2/gfae069.043/7679310" TargetMode="External" /><Relationship Id="rId36" Type="http://schemas.openxmlformats.org/officeDocument/2006/relationships/hyperlink" Target="https://www.rcpath.org/profession/publications/college-bulletin/april-2023/restore.html" TargetMode="External" /><Relationship Id="rId49" Type="http://schemas.openxmlformats.org/officeDocument/2006/relationships/hyperlink" Target="https://pmc.ncbi.nlm.nih.gov/articles/PMC11580530/" TargetMode="External" /><Relationship Id="rId57" Type="http://schemas.openxmlformats.org/officeDocument/2006/relationships/hyperlink" Target="https://bmjopen.bmj.com/content/9/4/e025159" TargetMode="External" /><Relationship Id="rId10" Type="http://schemas.openxmlformats.org/officeDocument/2006/relationships/footer" Target="footer1.xml" /><Relationship Id="rId31" Type="http://schemas.openxmlformats.org/officeDocument/2006/relationships/hyperlink" Target="https://www.gov.uk/government/news/opt-out-organ-donation-max-and-keiras-bill-passed-into-law(gov.uk" TargetMode="External" /><Relationship Id="rId44" Type="http://schemas.openxmlformats.org/officeDocument/2006/relationships/hyperlink" Target="https://doi.org/10.1037/amp0000151" TargetMode="External" /><Relationship Id="rId52" Type="http://schemas.openxmlformats.org/officeDocument/2006/relationships/hyperlink" Target="https://nhsbtdbe.blob.core.windows.net/umbraco-assets-corp/37695/annual-report-on-%20ethnicity-differences-2024_2025.pdf" TargetMode="External" /><Relationship Id="rId60" Type="http://schemas.openxmlformats.org/officeDocument/2006/relationships/hyperlink" Target="HTTPS://10.1097/01.T.P.0000441" TargetMode="External" /><Relationship Id="rId65" Type="http://schemas.openxmlformats.org/officeDocument/2006/relationships/hyperlink" Target="https://eprints.whiterose.ac.uk/id/eprint/208748/" TargetMode="External" /><Relationship Id="rId73" Type="http://schemas.openxmlformats.org/officeDocument/2006/relationships/hyperlink" Target="https://www.sciencedirect.com/" TargetMode="External" /><Relationship Id="rId78" Type="http://schemas.openxmlformats.org/officeDocument/2006/relationships/hyperlink" Target="https://pmc.ncbi.nlm.nih.gov/articles/PMC8934457/" TargetMode="External" /><Relationship Id="rId81" Type="http://schemas.openxmlformats.org/officeDocument/2006/relationships/image" Target="media/image2.jpeg"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B0B3DC-73DF-4BD7-8FD8-013A1D3D3F99}"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GB"/>
        </a:p>
      </dgm:t>
    </dgm:pt>
    <dgm:pt modelId="{99956976-0F4B-4093-AE91-B4CAC6F7B339}">
      <dgm:prSet phldrT="[Text]" custT="1"/>
      <dgm:spPr/>
      <dgm:t>
        <a:bodyPr/>
        <a:lstStyle/>
        <a:p>
          <a:r>
            <a:rPr lang="en-GB" sz="800">
              <a:latin typeface="Arial" panose="020B0604020202020204" pitchFamily="34" charset="0"/>
              <a:cs typeface="Arial" panose="020B0604020202020204" pitchFamily="34" charset="0"/>
            </a:rPr>
            <a:t>1.Familiarisation with data</a:t>
          </a:r>
        </a:p>
      </dgm:t>
    </dgm:pt>
    <dgm:pt modelId="{E141D0ED-D260-49C1-9ECE-6F2FBD18E015}" type="parTrans" cxnId="{95E80F0E-7BC7-4ADB-B42E-8AB9C5204AC6}">
      <dgm:prSet/>
      <dgm:spPr/>
      <dgm:t>
        <a:bodyPr/>
        <a:lstStyle/>
        <a:p>
          <a:endParaRPr lang="en-GB" sz="800">
            <a:latin typeface="Arial" panose="020B0604020202020204" pitchFamily="34" charset="0"/>
            <a:cs typeface="Arial" panose="020B0604020202020204" pitchFamily="34" charset="0"/>
          </a:endParaRPr>
        </a:p>
      </dgm:t>
    </dgm:pt>
    <dgm:pt modelId="{9DA09EB5-BD9E-4A2F-B7E7-028F4419BF9F}" type="sibTrans" cxnId="{95E80F0E-7BC7-4ADB-B42E-8AB9C5204AC6}">
      <dgm:prSet/>
      <dgm:spPr/>
      <dgm:t>
        <a:bodyPr/>
        <a:lstStyle/>
        <a:p>
          <a:endParaRPr lang="en-GB" sz="800">
            <a:latin typeface="Arial" panose="020B0604020202020204" pitchFamily="34" charset="0"/>
            <a:cs typeface="Arial" panose="020B0604020202020204" pitchFamily="34" charset="0"/>
          </a:endParaRPr>
        </a:p>
      </dgm:t>
    </dgm:pt>
    <dgm:pt modelId="{271541B4-64B0-4E28-A1A7-4C3BCD38E034}">
      <dgm:prSet phldrT="[Text]" custT="1"/>
      <dgm:spPr/>
      <dgm:t>
        <a:bodyPr/>
        <a:lstStyle/>
        <a:p>
          <a:r>
            <a:rPr lang="en-GB" sz="800">
              <a:latin typeface="Arial" panose="020B0604020202020204" pitchFamily="34" charset="0"/>
              <a:cs typeface="Arial" panose="020B0604020202020204" pitchFamily="34" charset="0"/>
            </a:rPr>
            <a:t>2.Generate codes</a:t>
          </a:r>
        </a:p>
      </dgm:t>
    </dgm:pt>
    <dgm:pt modelId="{AC1FC8F5-2276-4A31-AE20-AD50FAEEC077}" type="parTrans" cxnId="{AA6E5578-7E23-474E-ABC0-6988FC7771E2}">
      <dgm:prSet custT="1"/>
      <dgm:spPr/>
      <dgm:t>
        <a:bodyPr/>
        <a:lstStyle/>
        <a:p>
          <a:endParaRPr lang="en-GB" sz="800">
            <a:latin typeface="Arial" panose="020B0604020202020204" pitchFamily="34" charset="0"/>
            <a:cs typeface="Arial" panose="020B0604020202020204" pitchFamily="34" charset="0"/>
          </a:endParaRPr>
        </a:p>
      </dgm:t>
    </dgm:pt>
    <dgm:pt modelId="{3E069C69-FE94-4742-94C9-814A6F0F252D}" type="sibTrans" cxnId="{AA6E5578-7E23-474E-ABC0-6988FC7771E2}">
      <dgm:prSet/>
      <dgm:spPr/>
      <dgm:t>
        <a:bodyPr/>
        <a:lstStyle/>
        <a:p>
          <a:endParaRPr lang="en-GB" sz="800">
            <a:latin typeface="Arial" panose="020B0604020202020204" pitchFamily="34" charset="0"/>
            <a:cs typeface="Arial" panose="020B0604020202020204" pitchFamily="34" charset="0"/>
          </a:endParaRPr>
        </a:p>
      </dgm:t>
    </dgm:pt>
    <dgm:pt modelId="{8534099C-BB2A-4D4F-BB88-A886406ECFE2}">
      <dgm:prSet phldrT="[Text]" custT="1"/>
      <dgm:spPr/>
      <dgm:t>
        <a:bodyPr/>
        <a:lstStyle/>
        <a:p>
          <a:r>
            <a:rPr lang="en-GB" sz="800">
              <a:latin typeface="Arial" panose="020B0604020202020204" pitchFamily="34" charset="0"/>
              <a:cs typeface="Arial" panose="020B0604020202020204" pitchFamily="34" charset="0"/>
            </a:rPr>
            <a:t>4.Reviewing themes</a:t>
          </a:r>
        </a:p>
      </dgm:t>
    </dgm:pt>
    <dgm:pt modelId="{558B0722-19CE-42B8-9149-1FA014641F08}" type="parTrans" cxnId="{6F58D662-7FD0-49C1-9838-B1E5CB05168E}">
      <dgm:prSet custT="1"/>
      <dgm:spPr/>
      <dgm:t>
        <a:bodyPr/>
        <a:lstStyle/>
        <a:p>
          <a:endParaRPr lang="en-GB" sz="800">
            <a:latin typeface="Arial" panose="020B0604020202020204" pitchFamily="34" charset="0"/>
            <a:cs typeface="Arial" panose="020B0604020202020204" pitchFamily="34" charset="0"/>
          </a:endParaRPr>
        </a:p>
      </dgm:t>
    </dgm:pt>
    <dgm:pt modelId="{BD212AD9-0009-4DFB-8FD8-AADE8EE76CFF}" type="sibTrans" cxnId="{6F58D662-7FD0-49C1-9838-B1E5CB05168E}">
      <dgm:prSet/>
      <dgm:spPr/>
      <dgm:t>
        <a:bodyPr/>
        <a:lstStyle/>
        <a:p>
          <a:endParaRPr lang="en-GB" sz="800">
            <a:latin typeface="Arial" panose="020B0604020202020204" pitchFamily="34" charset="0"/>
            <a:cs typeface="Arial" panose="020B0604020202020204" pitchFamily="34" charset="0"/>
          </a:endParaRPr>
        </a:p>
      </dgm:t>
    </dgm:pt>
    <dgm:pt modelId="{EAB68D1A-4627-4B18-BDA7-9900892742B2}">
      <dgm:prSet phldrT="[Text]" custT="1"/>
      <dgm:spPr/>
      <dgm:t>
        <a:bodyPr/>
        <a:lstStyle/>
        <a:p>
          <a:r>
            <a:rPr lang="en-GB" sz="800">
              <a:latin typeface="Arial" panose="020B0604020202020204" pitchFamily="34" charset="0"/>
              <a:cs typeface="Arial" panose="020B0604020202020204" pitchFamily="34" charset="0"/>
            </a:rPr>
            <a:t>5. Defining and naming themes</a:t>
          </a:r>
        </a:p>
      </dgm:t>
    </dgm:pt>
    <dgm:pt modelId="{99CE7F2D-E172-4FF3-AD49-384416467FE5}" type="parTrans" cxnId="{7283CD1A-FB57-4D80-8590-40B46F1E7E08}">
      <dgm:prSet custT="1"/>
      <dgm:spPr/>
      <dgm:t>
        <a:bodyPr/>
        <a:lstStyle/>
        <a:p>
          <a:endParaRPr lang="en-GB" sz="800">
            <a:latin typeface="Arial" panose="020B0604020202020204" pitchFamily="34" charset="0"/>
            <a:cs typeface="Arial" panose="020B0604020202020204" pitchFamily="34" charset="0"/>
          </a:endParaRPr>
        </a:p>
      </dgm:t>
    </dgm:pt>
    <dgm:pt modelId="{25C1AB3D-B482-4C1D-A088-F039400FBE7E}" type="sibTrans" cxnId="{7283CD1A-FB57-4D80-8590-40B46F1E7E08}">
      <dgm:prSet/>
      <dgm:spPr/>
      <dgm:t>
        <a:bodyPr/>
        <a:lstStyle/>
        <a:p>
          <a:endParaRPr lang="en-GB" sz="800">
            <a:latin typeface="Arial" panose="020B0604020202020204" pitchFamily="34" charset="0"/>
            <a:cs typeface="Arial" panose="020B0604020202020204" pitchFamily="34" charset="0"/>
          </a:endParaRPr>
        </a:p>
      </dgm:t>
    </dgm:pt>
    <dgm:pt modelId="{69AC46E9-A07E-46D7-8127-CE53725886F5}">
      <dgm:prSet phldrT="[Text]" custT="1"/>
      <dgm:spPr/>
      <dgm:t>
        <a:bodyPr/>
        <a:lstStyle/>
        <a:p>
          <a:r>
            <a:rPr lang="en-GB" sz="800">
              <a:latin typeface="Arial" panose="020B0604020202020204" pitchFamily="34" charset="0"/>
              <a:cs typeface="Arial" panose="020B0604020202020204" pitchFamily="34" charset="0"/>
            </a:rPr>
            <a:t>3. Searching for themes</a:t>
          </a:r>
        </a:p>
      </dgm:t>
    </dgm:pt>
    <dgm:pt modelId="{B7586DF8-8379-426A-BA1D-D5F261F89419}" type="parTrans" cxnId="{E0B0F5DF-4B9B-4FB8-A827-678ADA55F815}">
      <dgm:prSet custT="1"/>
      <dgm:spPr/>
      <dgm:t>
        <a:bodyPr/>
        <a:lstStyle/>
        <a:p>
          <a:endParaRPr lang="en-GB" sz="800">
            <a:latin typeface="Arial" panose="020B0604020202020204" pitchFamily="34" charset="0"/>
            <a:cs typeface="Arial" panose="020B0604020202020204" pitchFamily="34" charset="0"/>
          </a:endParaRPr>
        </a:p>
      </dgm:t>
    </dgm:pt>
    <dgm:pt modelId="{31ACC19A-338A-4ECE-AF7E-4D6E64E29601}" type="sibTrans" cxnId="{E0B0F5DF-4B9B-4FB8-A827-678ADA55F815}">
      <dgm:prSet/>
      <dgm:spPr/>
      <dgm:t>
        <a:bodyPr/>
        <a:lstStyle/>
        <a:p>
          <a:endParaRPr lang="en-GB" sz="800">
            <a:latin typeface="Arial" panose="020B0604020202020204" pitchFamily="34" charset="0"/>
            <a:cs typeface="Arial" panose="020B0604020202020204" pitchFamily="34" charset="0"/>
          </a:endParaRPr>
        </a:p>
      </dgm:t>
    </dgm:pt>
    <dgm:pt modelId="{8B526F49-9872-4A6A-BCC0-466B244C764A}">
      <dgm:prSet phldrT="[Text]" custT="1"/>
      <dgm:spPr/>
      <dgm:t>
        <a:bodyPr/>
        <a:lstStyle/>
        <a:p>
          <a:r>
            <a:rPr lang="en-GB" sz="800">
              <a:latin typeface="Arial" panose="020B0604020202020204" pitchFamily="34" charset="0"/>
              <a:cs typeface="Arial" panose="020B0604020202020204" pitchFamily="34" charset="0"/>
            </a:rPr>
            <a:t>6. Producing the report      </a:t>
          </a:r>
        </a:p>
      </dgm:t>
    </dgm:pt>
    <dgm:pt modelId="{48895379-38F1-41C7-BFA8-6587EDE26D35}" type="parTrans" cxnId="{01FB5030-EA3D-4D68-853B-060498688A38}">
      <dgm:prSet custT="1"/>
      <dgm:spPr/>
      <dgm:t>
        <a:bodyPr/>
        <a:lstStyle/>
        <a:p>
          <a:endParaRPr lang="en-GB" sz="800">
            <a:latin typeface="Arial" panose="020B0604020202020204" pitchFamily="34" charset="0"/>
            <a:cs typeface="Arial" panose="020B0604020202020204" pitchFamily="34" charset="0"/>
          </a:endParaRPr>
        </a:p>
      </dgm:t>
    </dgm:pt>
    <dgm:pt modelId="{0652A702-D9E7-4487-BB6E-E21628AF7143}" type="sibTrans" cxnId="{01FB5030-EA3D-4D68-853B-060498688A38}">
      <dgm:prSet/>
      <dgm:spPr/>
      <dgm:t>
        <a:bodyPr/>
        <a:lstStyle/>
        <a:p>
          <a:endParaRPr lang="en-GB" sz="800">
            <a:latin typeface="Arial" panose="020B0604020202020204" pitchFamily="34" charset="0"/>
            <a:cs typeface="Arial" panose="020B0604020202020204" pitchFamily="34" charset="0"/>
          </a:endParaRPr>
        </a:p>
      </dgm:t>
    </dgm:pt>
    <dgm:pt modelId="{B8D5FFFE-D111-40DF-8B5A-393DF9E4913D}" type="pres">
      <dgm:prSet presAssocID="{F7B0B3DC-73DF-4BD7-8FD8-013A1D3D3F99}" presName="diagram" presStyleCnt="0">
        <dgm:presLayoutVars>
          <dgm:chPref val="1"/>
          <dgm:dir/>
          <dgm:animOne val="branch"/>
          <dgm:animLvl val="lvl"/>
          <dgm:resizeHandles val="exact"/>
        </dgm:presLayoutVars>
      </dgm:prSet>
      <dgm:spPr/>
    </dgm:pt>
    <dgm:pt modelId="{AEEFAFA8-3F4F-4885-B02F-2178E3D26CD2}" type="pres">
      <dgm:prSet presAssocID="{99956976-0F4B-4093-AE91-B4CAC6F7B339}" presName="root1" presStyleCnt="0"/>
      <dgm:spPr/>
    </dgm:pt>
    <dgm:pt modelId="{33252675-54DD-4FF7-AF33-6C0E45866307}" type="pres">
      <dgm:prSet presAssocID="{99956976-0F4B-4093-AE91-B4CAC6F7B339}" presName="LevelOneTextNode" presStyleLbl="node0" presStyleIdx="0" presStyleCnt="1" custScaleX="104778" custScaleY="88438" custLinFactNeighborX="19268" custLinFactNeighborY="4361">
        <dgm:presLayoutVars>
          <dgm:chPref val="3"/>
        </dgm:presLayoutVars>
      </dgm:prSet>
      <dgm:spPr/>
    </dgm:pt>
    <dgm:pt modelId="{90E7E24A-C78F-4525-88F2-3142A3C4DB7B}" type="pres">
      <dgm:prSet presAssocID="{99956976-0F4B-4093-AE91-B4CAC6F7B339}" presName="level2hierChild" presStyleCnt="0"/>
      <dgm:spPr/>
    </dgm:pt>
    <dgm:pt modelId="{55FC3863-ACFF-40B0-A88D-E4BBB3CF0919}" type="pres">
      <dgm:prSet presAssocID="{AC1FC8F5-2276-4A31-AE20-AD50FAEEC077}" presName="conn2-1" presStyleLbl="parChTrans1D2" presStyleIdx="0" presStyleCnt="2"/>
      <dgm:spPr/>
    </dgm:pt>
    <dgm:pt modelId="{581F0F1C-B3F4-4016-8289-AE3F4EFF1508}" type="pres">
      <dgm:prSet presAssocID="{AC1FC8F5-2276-4A31-AE20-AD50FAEEC077}" presName="connTx" presStyleLbl="parChTrans1D2" presStyleIdx="0" presStyleCnt="2"/>
      <dgm:spPr/>
    </dgm:pt>
    <dgm:pt modelId="{258951B3-4620-4BAB-88A0-BE59F8CFFAFE}" type="pres">
      <dgm:prSet presAssocID="{271541B4-64B0-4E28-A1A7-4C3BCD38E034}" presName="root2" presStyleCnt="0"/>
      <dgm:spPr/>
    </dgm:pt>
    <dgm:pt modelId="{DA45D847-FCB4-40A8-AB5C-8E32A3211ED3}" type="pres">
      <dgm:prSet presAssocID="{271541B4-64B0-4E28-A1A7-4C3BCD38E034}" presName="LevelTwoTextNode" presStyleLbl="node2" presStyleIdx="0" presStyleCnt="2" custScaleX="108617" custScaleY="82362" custLinFactNeighborX="4666" custLinFactNeighborY="2114">
        <dgm:presLayoutVars>
          <dgm:chPref val="3"/>
        </dgm:presLayoutVars>
      </dgm:prSet>
      <dgm:spPr/>
    </dgm:pt>
    <dgm:pt modelId="{C90FCD06-3B1B-4D56-A858-3620F1AEE509}" type="pres">
      <dgm:prSet presAssocID="{271541B4-64B0-4E28-A1A7-4C3BCD38E034}" presName="level3hierChild" presStyleCnt="0"/>
      <dgm:spPr/>
    </dgm:pt>
    <dgm:pt modelId="{4AE66457-91ED-4B09-8831-F55AA2C6A97F}" type="pres">
      <dgm:prSet presAssocID="{558B0722-19CE-42B8-9149-1FA014641F08}" presName="conn2-1" presStyleLbl="parChTrans1D3" presStyleIdx="0" presStyleCnt="3"/>
      <dgm:spPr/>
    </dgm:pt>
    <dgm:pt modelId="{7AFC791B-2404-40D2-AE73-3A642928863E}" type="pres">
      <dgm:prSet presAssocID="{558B0722-19CE-42B8-9149-1FA014641F08}" presName="connTx" presStyleLbl="parChTrans1D3" presStyleIdx="0" presStyleCnt="3"/>
      <dgm:spPr/>
    </dgm:pt>
    <dgm:pt modelId="{DA4ED49F-6BA0-4461-9CED-F1788D580EDE}" type="pres">
      <dgm:prSet presAssocID="{8534099C-BB2A-4D4F-BB88-A886406ECFE2}" presName="root2" presStyleCnt="0"/>
      <dgm:spPr/>
    </dgm:pt>
    <dgm:pt modelId="{1F7A908F-AA7D-4C73-9915-B0E6F669F661}" type="pres">
      <dgm:prSet presAssocID="{8534099C-BB2A-4D4F-BB88-A886406ECFE2}" presName="LevelTwoTextNode" presStyleLbl="node3" presStyleIdx="0" presStyleCnt="3" custScaleX="97611" custScaleY="82378" custLinFactNeighborX="7526" custLinFactNeighborY="14797">
        <dgm:presLayoutVars>
          <dgm:chPref val="3"/>
        </dgm:presLayoutVars>
      </dgm:prSet>
      <dgm:spPr/>
    </dgm:pt>
    <dgm:pt modelId="{FD9136FE-2E01-4410-A896-0168930496BE}" type="pres">
      <dgm:prSet presAssocID="{8534099C-BB2A-4D4F-BB88-A886406ECFE2}" presName="level3hierChild" presStyleCnt="0"/>
      <dgm:spPr/>
    </dgm:pt>
    <dgm:pt modelId="{80416C70-7B9F-4FF7-93FF-C1563F04C689}" type="pres">
      <dgm:prSet presAssocID="{99CE7F2D-E172-4FF3-AD49-384416467FE5}" presName="conn2-1" presStyleLbl="parChTrans1D3" presStyleIdx="1" presStyleCnt="3"/>
      <dgm:spPr/>
    </dgm:pt>
    <dgm:pt modelId="{ACF70506-9E9A-4E30-B6B6-AFC5B47496B5}" type="pres">
      <dgm:prSet presAssocID="{99CE7F2D-E172-4FF3-AD49-384416467FE5}" presName="connTx" presStyleLbl="parChTrans1D3" presStyleIdx="1" presStyleCnt="3"/>
      <dgm:spPr/>
    </dgm:pt>
    <dgm:pt modelId="{2EC2EE46-4213-4BD5-BA05-27883110D6FB}" type="pres">
      <dgm:prSet presAssocID="{EAB68D1A-4627-4B18-BDA7-9900892742B2}" presName="root2" presStyleCnt="0"/>
      <dgm:spPr/>
    </dgm:pt>
    <dgm:pt modelId="{37E1071C-8FD5-49CD-BC28-0CEFEF6841FC}" type="pres">
      <dgm:prSet presAssocID="{EAB68D1A-4627-4B18-BDA7-9900892742B2}" presName="LevelTwoTextNode" presStyleLbl="node3" presStyleIdx="1" presStyleCnt="3" custScaleX="97817" custScaleY="83204" custLinFactNeighborX="7409" custLinFactNeighborY="4940">
        <dgm:presLayoutVars>
          <dgm:chPref val="3"/>
        </dgm:presLayoutVars>
      </dgm:prSet>
      <dgm:spPr/>
    </dgm:pt>
    <dgm:pt modelId="{3F4C36B9-E052-4DEA-8252-DFD1AF6D6BB1}" type="pres">
      <dgm:prSet presAssocID="{EAB68D1A-4627-4B18-BDA7-9900892742B2}" presName="level3hierChild" presStyleCnt="0"/>
      <dgm:spPr/>
    </dgm:pt>
    <dgm:pt modelId="{4DE7AEFF-8722-44D8-90C3-ED741553D703}" type="pres">
      <dgm:prSet presAssocID="{B7586DF8-8379-426A-BA1D-D5F261F89419}" presName="conn2-1" presStyleLbl="parChTrans1D2" presStyleIdx="1" presStyleCnt="2"/>
      <dgm:spPr/>
    </dgm:pt>
    <dgm:pt modelId="{4C8EC2D1-5F3D-45D8-9917-FC1E0DC1A7A8}" type="pres">
      <dgm:prSet presAssocID="{B7586DF8-8379-426A-BA1D-D5F261F89419}" presName="connTx" presStyleLbl="parChTrans1D2" presStyleIdx="1" presStyleCnt="2"/>
      <dgm:spPr/>
    </dgm:pt>
    <dgm:pt modelId="{F3E5C774-ED76-45CD-9FEE-20E72D3DF9F5}" type="pres">
      <dgm:prSet presAssocID="{69AC46E9-A07E-46D7-8127-CE53725886F5}" presName="root2" presStyleCnt="0"/>
      <dgm:spPr/>
    </dgm:pt>
    <dgm:pt modelId="{09B91668-0424-4198-A72D-F0506B8B65F2}" type="pres">
      <dgm:prSet presAssocID="{69AC46E9-A07E-46D7-8127-CE53725886F5}" presName="LevelTwoTextNode" presStyleLbl="node2" presStyleIdx="1" presStyleCnt="2" custScaleX="106184" custScaleY="92806" custLinFactNeighborY="-7643">
        <dgm:presLayoutVars>
          <dgm:chPref val="3"/>
        </dgm:presLayoutVars>
      </dgm:prSet>
      <dgm:spPr/>
    </dgm:pt>
    <dgm:pt modelId="{4F72F4E6-1218-4D91-8D6B-B065567BB9A9}" type="pres">
      <dgm:prSet presAssocID="{69AC46E9-A07E-46D7-8127-CE53725886F5}" presName="level3hierChild" presStyleCnt="0"/>
      <dgm:spPr/>
    </dgm:pt>
    <dgm:pt modelId="{EF21B7CE-7BEE-4576-9934-996C7BACD829}" type="pres">
      <dgm:prSet presAssocID="{48895379-38F1-41C7-BFA8-6587EDE26D35}" presName="conn2-1" presStyleLbl="parChTrans1D3" presStyleIdx="2" presStyleCnt="3"/>
      <dgm:spPr/>
    </dgm:pt>
    <dgm:pt modelId="{0641E434-B3B5-4B1E-A71F-21BC41EF8C2A}" type="pres">
      <dgm:prSet presAssocID="{48895379-38F1-41C7-BFA8-6587EDE26D35}" presName="connTx" presStyleLbl="parChTrans1D3" presStyleIdx="2" presStyleCnt="3"/>
      <dgm:spPr/>
    </dgm:pt>
    <dgm:pt modelId="{56E01D8E-1BE9-4FE9-AD63-E0D88EF80D50}" type="pres">
      <dgm:prSet presAssocID="{8B526F49-9872-4A6A-BCC0-466B244C764A}" presName="root2" presStyleCnt="0"/>
      <dgm:spPr/>
    </dgm:pt>
    <dgm:pt modelId="{6CF4EA2F-8371-408A-9BBF-A63076332A99}" type="pres">
      <dgm:prSet presAssocID="{8B526F49-9872-4A6A-BCC0-466B244C764A}" presName="LevelTwoTextNode" presStyleLbl="node3" presStyleIdx="2" presStyleCnt="3" custScaleX="100598" custScaleY="93473" custLinFactNeighborX="13554" custLinFactNeighborY="-3467">
        <dgm:presLayoutVars>
          <dgm:chPref val="3"/>
        </dgm:presLayoutVars>
      </dgm:prSet>
      <dgm:spPr/>
    </dgm:pt>
    <dgm:pt modelId="{D030DD5C-E7D2-4471-8CCA-83F0CEA0E816}" type="pres">
      <dgm:prSet presAssocID="{8B526F49-9872-4A6A-BCC0-466B244C764A}" presName="level3hierChild" presStyleCnt="0"/>
      <dgm:spPr/>
    </dgm:pt>
  </dgm:ptLst>
  <dgm:cxnLst>
    <dgm:cxn modelId="{95E80F0E-7BC7-4ADB-B42E-8AB9C5204AC6}" srcId="{F7B0B3DC-73DF-4BD7-8FD8-013A1D3D3F99}" destId="{99956976-0F4B-4093-AE91-B4CAC6F7B339}" srcOrd="0" destOrd="0" parTransId="{E141D0ED-D260-49C1-9ECE-6F2FBD18E015}" sibTransId="{9DA09EB5-BD9E-4A2F-B7E7-028F4419BF9F}"/>
    <dgm:cxn modelId="{7283CD1A-FB57-4D80-8590-40B46F1E7E08}" srcId="{271541B4-64B0-4E28-A1A7-4C3BCD38E034}" destId="{EAB68D1A-4627-4B18-BDA7-9900892742B2}" srcOrd="1" destOrd="0" parTransId="{99CE7F2D-E172-4FF3-AD49-384416467FE5}" sibTransId="{25C1AB3D-B482-4C1D-A088-F039400FBE7E}"/>
    <dgm:cxn modelId="{3C8A5C20-F580-40D7-A625-60E41DE95A9D}" type="presOf" srcId="{EAB68D1A-4627-4B18-BDA7-9900892742B2}" destId="{37E1071C-8FD5-49CD-BC28-0CEFEF6841FC}" srcOrd="0" destOrd="0" presId="urn:microsoft.com/office/officeart/2005/8/layout/hierarchy2"/>
    <dgm:cxn modelId="{932C5C2C-4F1D-4D5B-A411-44F795618D1E}" type="presOf" srcId="{8534099C-BB2A-4D4F-BB88-A886406ECFE2}" destId="{1F7A908F-AA7D-4C73-9915-B0E6F669F661}" srcOrd="0" destOrd="0" presId="urn:microsoft.com/office/officeart/2005/8/layout/hierarchy2"/>
    <dgm:cxn modelId="{01FB5030-EA3D-4D68-853B-060498688A38}" srcId="{69AC46E9-A07E-46D7-8127-CE53725886F5}" destId="{8B526F49-9872-4A6A-BCC0-466B244C764A}" srcOrd="0" destOrd="0" parTransId="{48895379-38F1-41C7-BFA8-6587EDE26D35}" sibTransId="{0652A702-D9E7-4487-BB6E-E21628AF7143}"/>
    <dgm:cxn modelId="{6F58D662-7FD0-49C1-9838-B1E5CB05168E}" srcId="{271541B4-64B0-4E28-A1A7-4C3BCD38E034}" destId="{8534099C-BB2A-4D4F-BB88-A886406ECFE2}" srcOrd="0" destOrd="0" parTransId="{558B0722-19CE-42B8-9149-1FA014641F08}" sibTransId="{BD212AD9-0009-4DFB-8FD8-AADE8EE76CFF}"/>
    <dgm:cxn modelId="{76E89544-B4C2-4C23-9E5A-0B6403CEEF52}" type="presOf" srcId="{558B0722-19CE-42B8-9149-1FA014641F08}" destId="{7AFC791B-2404-40D2-AE73-3A642928863E}" srcOrd="1" destOrd="0" presId="urn:microsoft.com/office/officeart/2005/8/layout/hierarchy2"/>
    <dgm:cxn modelId="{05B2AB74-57A9-4597-A6B7-F415418E7BC6}" type="presOf" srcId="{271541B4-64B0-4E28-A1A7-4C3BCD38E034}" destId="{DA45D847-FCB4-40A8-AB5C-8E32A3211ED3}" srcOrd="0" destOrd="0" presId="urn:microsoft.com/office/officeart/2005/8/layout/hierarchy2"/>
    <dgm:cxn modelId="{45BFFC54-8A29-4483-8019-7D2F53B79B35}" type="presOf" srcId="{B7586DF8-8379-426A-BA1D-D5F261F89419}" destId="{4DE7AEFF-8722-44D8-90C3-ED741553D703}" srcOrd="0" destOrd="0" presId="urn:microsoft.com/office/officeart/2005/8/layout/hierarchy2"/>
    <dgm:cxn modelId="{71E03C57-9189-42C1-996B-B5E953BC1D5A}" type="presOf" srcId="{99CE7F2D-E172-4FF3-AD49-384416467FE5}" destId="{ACF70506-9E9A-4E30-B6B6-AFC5B47496B5}" srcOrd="1" destOrd="0" presId="urn:microsoft.com/office/officeart/2005/8/layout/hierarchy2"/>
    <dgm:cxn modelId="{AA6E5578-7E23-474E-ABC0-6988FC7771E2}" srcId="{99956976-0F4B-4093-AE91-B4CAC6F7B339}" destId="{271541B4-64B0-4E28-A1A7-4C3BCD38E034}" srcOrd="0" destOrd="0" parTransId="{AC1FC8F5-2276-4A31-AE20-AD50FAEEC077}" sibTransId="{3E069C69-FE94-4742-94C9-814A6F0F252D}"/>
    <dgm:cxn modelId="{6D64CF84-46BE-4AD5-87BA-188EB1C20C62}" type="presOf" srcId="{558B0722-19CE-42B8-9149-1FA014641F08}" destId="{4AE66457-91ED-4B09-8831-F55AA2C6A97F}" srcOrd="0" destOrd="0" presId="urn:microsoft.com/office/officeart/2005/8/layout/hierarchy2"/>
    <dgm:cxn modelId="{E4083888-9FBF-4386-A92E-E638E5E41924}" type="presOf" srcId="{8B526F49-9872-4A6A-BCC0-466B244C764A}" destId="{6CF4EA2F-8371-408A-9BBF-A63076332A99}" srcOrd="0" destOrd="0" presId="urn:microsoft.com/office/officeart/2005/8/layout/hierarchy2"/>
    <dgm:cxn modelId="{367D059A-BD51-4450-918B-D1585BFDAADC}" type="presOf" srcId="{69AC46E9-A07E-46D7-8127-CE53725886F5}" destId="{09B91668-0424-4198-A72D-F0506B8B65F2}" srcOrd="0" destOrd="0" presId="urn:microsoft.com/office/officeart/2005/8/layout/hierarchy2"/>
    <dgm:cxn modelId="{83A2C89D-6462-47D1-8BE9-1EDE9E03D616}" type="presOf" srcId="{48895379-38F1-41C7-BFA8-6587EDE26D35}" destId="{EF21B7CE-7BEE-4576-9934-996C7BACD829}" srcOrd="0" destOrd="0" presId="urn:microsoft.com/office/officeart/2005/8/layout/hierarchy2"/>
    <dgm:cxn modelId="{5B1872A7-9D49-4D65-8BB6-BCF3FE3526D2}" type="presOf" srcId="{AC1FC8F5-2276-4A31-AE20-AD50FAEEC077}" destId="{55FC3863-ACFF-40B0-A88D-E4BBB3CF0919}" srcOrd="0" destOrd="0" presId="urn:microsoft.com/office/officeart/2005/8/layout/hierarchy2"/>
    <dgm:cxn modelId="{4B9882BA-4DD3-4ED2-8345-8EF1BDF17D7C}" type="presOf" srcId="{B7586DF8-8379-426A-BA1D-D5F261F89419}" destId="{4C8EC2D1-5F3D-45D8-9917-FC1E0DC1A7A8}" srcOrd="1" destOrd="0" presId="urn:microsoft.com/office/officeart/2005/8/layout/hierarchy2"/>
    <dgm:cxn modelId="{D29E67C0-59B6-49D8-84D4-0F00AB2B4E42}" type="presOf" srcId="{48895379-38F1-41C7-BFA8-6587EDE26D35}" destId="{0641E434-B3B5-4B1E-A71F-21BC41EF8C2A}" srcOrd="1" destOrd="0" presId="urn:microsoft.com/office/officeart/2005/8/layout/hierarchy2"/>
    <dgm:cxn modelId="{491EC5C5-6859-4BF0-8834-AF9057D09776}" type="presOf" srcId="{99956976-0F4B-4093-AE91-B4CAC6F7B339}" destId="{33252675-54DD-4FF7-AF33-6C0E45866307}" srcOrd="0" destOrd="0" presId="urn:microsoft.com/office/officeart/2005/8/layout/hierarchy2"/>
    <dgm:cxn modelId="{A69E4CCF-EC24-4862-99CD-6867ED08C2AE}" type="presOf" srcId="{AC1FC8F5-2276-4A31-AE20-AD50FAEEC077}" destId="{581F0F1C-B3F4-4016-8289-AE3F4EFF1508}" srcOrd="1" destOrd="0" presId="urn:microsoft.com/office/officeart/2005/8/layout/hierarchy2"/>
    <dgm:cxn modelId="{E0B0F5DF-4B9B-4FB8-A827-678ADA55F815}" srcId="{99956976-0F4B-4093-AE91-B4CAC6F7B339}" destId="{69AC46E9-A07E-46D7-8127-CE53725886F5}" srcOrd="1" destOrd="0" parTransId="{B7586DF8-8379-426A-BA1D-D5F261F89419}" sibTransId="{31ACC19A-338A-4ECE-AF7E-4D6E64E29601}"/>
    <dgm:cxn modelId="{82E4BBE8-1F72-4B32-9643-7F8E719872C1}" type="presOf" srcId="{F7B0B3DC-73DF-4BD7-8FD8-013A1D3D3F99}" destId="{B8D5FFFE-D111-40DF-8B5A-393DF9E4913D}" srcOrd="0" destOrd="0" presId="urn:microsoft.com/office/officeart/2005/8/layout/hierarchy2"/>
    <dgm:cxn modelId="{07EBA3EC-8822-4E6F-AB0E-6A1525FAE75B}" type="presOf" srcId="{99CE7F2D-E172-4FF3-AD49-384416467FE5}" destId="{80416C70-7B9F-4FF7-93FF-C1563F04C689}" srcOrd="0" destOrd="0" presId="urn:microsoft.com/office/officeart/2005/8/layout/hierarchy2"/>
    <dgm:cxn modelId="{5C8D2522-15A5-4C2B-8EE0-1B867E153EF3}" type="presParOf" srcId="{B8D5FFFE-D111-40DF-8B5A-393DF9E4913D}" destId="{AEEFAFA8-3F4F-4885-B02F-2178E3D26CD2}" srcOrd="0" destOrd="0" presId="urn:microsoft.com/office/officeart/2005/8/layout/hierarchy2"/>
    <dgm:cxn modelId="{55BE2B7E-A149-4B6B-8315-EC7CD9D31370}" type="presParOf" srcId="{AEEFAFA8-3F4F-4885-B02F-2178E3D26CD2}" destId="{33252675-54DD-4FF7-AF33-6C0E45866307}" srcOrd="0" destOrd="0" presId="urn:microsoft.com/office/officeart/2005/8/layout/hierarchy2"/>
    <dgm:cxn modelId="{B3F33A86-3693-47DE-86E1-53C61C965821}" type="presParOf" srcId="{AEEFAFA8-3F4F-4885-B02F-2178E3D26CD2}" destId="{90E7E24A-C78F-4525-88F2-3142A3C4DB7B}" srcOrd="1" destOrd="0" presId="urn:microsoft.com/office/officeart/2005/8/layout/hierarchy2"/>
    <dgm:cxn modelId="{47E89982-0FA1-428A-A663-FAD431A6D620}" type="presParOf" srcId="{90E7E24A-C78F-4525-88F2-3142A3C4DB7B}" destId="{55FC3863-ACFF-40B0-A88D-E4BBB3CF0919}" srcOrd="0" destOrd="0" presId="urn:microsoft.com/office/officeart/2005/8/layout/hierarchy2"/>
    <dgm:cxn modelId="{818E2AAA-1B08-4520-8B64-0141A08624AB}" type="presParOf" srcId="{55FC3863-ACFF-40B0-A88D-E4BBB3CF0919}" destId="{581F0F1C-B3F4-4016-8289-AE3F4EFF1508}" srcOrd="0" destOrd="0" presId="urn:microsoft.com/office/officeart/2005/8/layout/hierarchy2"/>
    <dgm:cxn modelId="{40FD152B-A713-416D-81B7-9A69B84394DF}" type="presParOf" srcId="{90E7E24A-C78F-4525-88F2-3142A3C4DB7B}" destId="{258951B3-4620-4BAB-88A0-BE59F8CFFAFE}" srcOrd="1" destOrd="0" presId="urn:microsoft.com/office/officeart/2005/8/layout/hierarchy2"/>
    <dgm:cxn modelId="{8C4008EA-7F34-465A-BEAF-EC6515BA263B}" type="presParOf" srcId="{258951B3-4620-4BAB-88A0-BE59F8CFFAFE}" destId="{DA45D847-FCB4-40A8-AB5C-8E32A3211ED3}" srcOrd="0" destOrd="0" presId="urn:microsoft.com/office/officeart/2005/8/layout/hierarchy2"/>
    <dgm:cxn modelId="{74031274-5EB3-4D99-B982-EDC365B70F7C}" type="presParOf" srcId="{258951B3-4620-4BAB-88A0-BE59F8CFFAFE}" destId="{C90FCD06-3B1B-4D56-A858-3620F1AEE509}" srcOrd="1" destOrd="0" presId="urn:microsoft.com/office/officeart/2005/8/layout/hierarchy2"/>
    <dgm:cxn modelId="{843437A0-EA42-4764-BC6D-5A1191F37961}" type="presParOf" srcId="{C90FCD06-3B1B-4D56-A858-3620F1AEE509}" destId="{4AE66457-91ED-4B09-8831-F55AA2C6A97F}" srcOrd="0" destOrd="0" presId="urn:microsoft.com/office/officeart/2005/8/layout/hierarchy2"/>
    <dgm:cxn modelId="{D175BCB7-415A-4E91-A656-735634DA2979}" type="presParOf" srcId="{4AE66457-91ED-4B09-8831-F55AA2C6A97F}" destId="{7AFC791B-2404-40D2-AE73-3A642928863E}" srcOrd="0" destOrd="0" presId="urn:microsoft.com/office/officeart/2005/8/layout/hierarchy2"/>
    <dgm:cxn modelId="{BD2A6A9B-5E89-421B-884E-B9581209E7D1}" type="presParOf" srcId="{C90FCD06-3B1B-4D56-A858-3620F1AEE509}" destId="{DA4ED49F-6BA0-4461-9CED-F1788D580EDE}" srcOrd="1" destOrd="0" presId="urn:microsoft.com/office/officeart/2005/8/layout/hierarchy2"/>
    <dgm:cxn modelId="{5F56CB71-BAC4-455C-98D7-81FBF9AAD258}" type="presParOf" srcId="{DA4ED49F-6BA0-4461-9CED-F1788D580EDE}" destId="{1F7A908F-AA7D-4C73-9915-B0E6F669F661}" srcOrd="0" destOrd="0" presId="urn:microsoft.com/office/officeart/2005/8/layout/hierarchy2"/>
    <dgm:cxn modelId="{282050E9-B5DD-4E84-B75C-4FCF0884FDF2}" type="presParOf" srcId="{DA4ED49F-6BA0-4461-9CED-F1788D580EDE}" destId="{FD9136FE-2E01-4410-A896-0168930496BE}" srcOrd="1" destOrd="0" presId="urn:microsoft.com/office/officeart/2005/8/layout/hierarchy2"/>
    <dgm:cxn modelId="{96AC9E6F-4CB6-4160-90BB-B8F25B3E81B5}" type="presParOf" srcId="{C90FCD06-3B1B-4D56-A858-3620F1AEE509}" destId="{80416C70-7B9F-4FF7-93FF-C1563F04C689}" srcOrd="2" destOrd="0" presId="urn:microsoft.com/office/officeart/2005/8/layout/hierarchy2"/>
    <dgm:cxn modelId="{55DF8597-5CE2-4662-9419-814D75D01248}" type="presParOf" srcId="{80416C70-7B9F-4FF7-93FF-C1563F04C689}" destId="{ACF70506-9E9A-4E30-B6B6-AFC5B47496B5}" srcOrd="0" destOrd="0" presId="urn:microsoft.com/office/officeart/2005/8/layout/hierarchy2"/>
    <dgm:cxn modelId="{4D776222-A0B0-4F99-A09B-7AFCADA82E6B}" type="presParOf" srcId="{C90FCD06-3B1B-4D56-A858-3620F1AEE509}" destId="{2EC2EE46-4213-4BD5-BA05-27883110D6FB}" srcOrd="3" destOrd="0" presId="urn:microsoft.com/office/officeart/2005/8/layout/hierarchy2"/>
    <dgm:cxn modelId="{A595F72D-9A76-4705-A4CF-1813B474D09E}" type="presParOf" srcId="{2EC2EE46-4213-4BD5-BA05-27883110D6FB}" destId="{37E1071C-8FD5-49CD-BC28-0CEFEF6841FC}" srcOrd="0" destOrd="0" presId="urn:microsoft.com/office/officeart/2005/8/layout/hierarchy2"/>
    <dgm:cxn modelId="{7A7C43F9-0720-436F-A3F0-9815B37577FE}" type="presParOf" srcId="{2EC2EE46-4213-4BD5-BA05-27883110D6FB}" destId="{3F4C36B9-E052-4DEA-8252-DFD1AF6D6BB1}" srcOrd="1" destOrd="0" presId="urn:microsoft.com/office/officeart/2005/8/layout/hierarchy2"/>
    <dgm:cxn modelId="{B93C65DA-58DD-45AE-BBDD-05CFD4BD4461}" type="presParOf" srcId="{90E7E24A-C78F-4525-88F2-3142A3C4DB7B}" destId="{4DE7AEFF-8722-44D8-90C3-ED741553D703}" srcOrd="2" destOrd="0" presId="urn:microsoft.com/office/officeart/2005/8/layout/hierarchy2"/>
    <dgm:cxn modelId="{018BAF49-4A2C-492B-A8A9-701DD446529A}" type="presParOf" srcId="{4DE7AEFF-8722-44D8-90C3-ED741553D703}" destId="{4C8EC2D1-5F3D-45D8-9917-FC1E0DC1A7A8}" srcOrd="0" destOrd="0" presId="urn:microsoft.com/office/officeart/2005/8/layout/hierarchy2"/>
    <dgm:cxn modelId="{88441877-B5B9-462D-8594-BBDC475EEEE9}" type="presParOf" srcId="{90E7E24A-C78F-4525-88F2-3142A3C4DB7B}" destId="{F3E5C774-ED76-45CD-9FEE-20E72D3DF9F5}" srcOrd="3" destOrd="0" presId="urn:microsoft.com/office/officeart/2005/8/layout/hierarchy2"/>
    <dgm:cxn modelId="{C13A3779-A016-4C91-BBE1-C1F22B27F06A}" type="presParOf" srcId="{F3E5C774-ED76-45CD-9FEE-20E72D3DF9F5}" destId="{09B91668-0424-4198-A72D-F0506B8B65F2}" srcOrd="0" destOrd="0" presId="urn:microsoft.com/office/officeart/2005/8/layout/hierarchy2"/>
    <dgm:cxn modelId="{46DA6DB4-41F0-4E38-924E-97AEFA6C7348}" type="presParOf" srcId="{F3E5C774-ED76-45CD-9FEE-20E72D3DF9F5}" destId="{4F72F4E6-1218-4D91-8D6B-B065567BB9A9}" srcOrd="1" destOrd="0" presId="urn:microsoft.com/office/officeart/2005/8/layout/hierarchy2"/>
    <dgm:cxn modelId="{2A839BDB-69AA-44BF-869E-3466D21E71C0}" type="presParOf" srcId="{4F72F4E6-1218-4D91-8D6B-B065567BB9A9}" destId="{EF21B7CE-7BEE-4576-9934-996C7BACD829}" srcOrd="0" destOrd="0" presId="urn:microsoft.com/office/officeart/2005/8/layout/hierarchy2"/>
    <dgm:cxn modelId="{C13EA636-19A9-4785-8B65-5E3D17292F43}" type="presParOf" srcId="{EF21B7CE-7BEE-4576-9934-996C7BACD829}" destId="{0641E434-B3B5-4B1E-A71F-21BC41EF8C2A}" srcOrd="0" destOrd="0" presId="urn:microsoft.com/office/officeart/2005/8/layout/hierarchy2"/>
    <dgm:cxn modelId="{10A9AA36-5678-4FDE-B04E-5FBF4CD4C9BD}" type="presParOf" srcId="{4F72F4E6-1218-4D91-8D6B-B065567BB9A9}" destId="{56E01D8E-1BE9-4FE9-AD63-E0D88EF80D50}" srcOrd="1" destOrd="0" presId="urn:microsoft.com/office/officeart/2005/8/layout/hierarchy2"/>
    <dgm:cxn modelId="{C9FB7979-2942-4F6C-B0AB-EA822454FD93}" type="presParOf" srcId="{56E01D8E-1BE9-4FE9-AD63-E0D88EF80D50}" destId="{6CF4EA2F-8371-408A-9BBF-A63076332A99}" srcOrd="0" destOrd="0" presId="urn:microsoft.com/office/officeart/2005/8/layout/hierarchy2"/>
    <dgm:cxn modelId="{1722ABDA-358F-4CB8-BAB7-A51599ED5488}" type="presParOf" srcId="{56E01D8E-1BE9-4FE9-AD63-E0D88EF80D50}" destId="{D030DD5C-E7D2-4471-8CCA-83F0CEA0E816}" srcOrd="1" destOrd="0" presId="urn:microsoft.com/office/officeart/2005/8/layout/hierarchy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252675-54DD-4FF7-AF33-6C0E45866307}">
      <dsp:nvSpPr>
        <dsp:cNvPr id="0" name=""/>
        <dsp:cNvSpPr/>
      </dsp:nvSpPr>
      <dsp:spPr>
        <a:xfrm>
          <a:off x="220665" y="584660"/>
          <a:ext cx="948562" cy="400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1.Familiarisation with data</a:t>
          </a:r>
        </a:p>
      </dsp:txBody>
      <dsp:txXfrm>
        <a:off x="232390" y="596385"/>
        <a:ext cx="925112" cy="376867"/>
      </dsp:txXfrm>
    </dsp:sp>
    <dsp:sp modelId="{55FC3863-ACFF-40B0-A88D-E4BBB3CF0919}">
      <dsp:nvSpPr>
        <dsp:cNvPr id="0" name=""/>
        <dsp:cNvSpPr/>
      </dsp:nvSpPr>
      <dsp:spPr>
        <a:xfrm rot="18127990">
          <a:off x="1068047" y="570671"/>
          <a:ext cx="432289" cy="62226"/>
        </a:xfrm>
        <a:custGeom>
          <a:avLst/>
          <a:gdLst/>
          <a:ahLst/>
          <a:cxnLst/>
          <a:rect l="0" t="0" r="0" b="0"/>
          <a:pathLst>
            <a:path>
              <a:moveTo>
                <a:pt x="0" y="31113"/>
              </a:moveTo>
              <a:lnTo>
                <a:pt x="432289" y="3111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GB" sz="800" kern="1200">
            <a:latin typeface="Arial" panose="020B0604020202020204" pitchFamily="34" charset="0"/>
            <a:cs typeface="Arial" panose="020B0604020202020204" pitchFamily="34" charset="0"/>
          </a:endParaRPr>
        </a:p>
      </dsp:txBody>
      <dsp:txXfrm>
        <a:off x="1273385" y="590977"/>
        <a:ext cx="21614" cy="21614"/>
      </dsp:txXfrm>
    </dsp:sp>
    <dsp:sp modelId="{DA45D847-FCB4-40A8-AB5C-8E32A3211ED3}">
      <dsp:nvSpPr>
        <dsp:cNvPr id="0" name=""/>
        <dsp:cNvSpPr/>
      </dsp:nvSpPr>
      <dsp:spPr>
        <a:xfrm>
          <a:off x="1399157" y="232343"/>
          <a:ext cx="983316" cy="37281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2.Generate codes</a:t>
          </a:r>
        </a:p>
      </dsp:txBody>
      <dsp:txXfrm>
        <a:off x="1410076" y="243262"/>
        <a:ext cx="961478" cy="350976"/>
      </dsp:txXfrm>
    </dsp:sp>
    <dsp:sp modelId="{4AE66457-91ED-4B09-8831-F55AA2C6A97F}">
      <dsp:nvSpPr>
        <dsp:cNvPr id="0" name=""/>
        <dsp:cNvSpPr/>
      </dsp:nvSpPr>
      <dsp:spPr>
        <a:xfrm rot="20162975">
          <a:off x="2364991" y="305211"/>
          <a:ext cx="406092" cy="62226"/>
        </a:xfrm>
        <a:custGeom>
          <a:avLst/>
          <a:gdLst/>
          <a:ahLst/>
          <a:cxnLst/>
          <a:rect l="0" t="0" r="0" b="0"/>
          <a:pathLst>
            <a:path>
              <a:moveTo>
                <a:pt x="0" y="31113"/>
              </a:moveTo>
              <a:lnTo>
                <a:pt x="406092" y="3111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GB" sz="800" kern="1200">
            <a:latin typeface="Arial" panose="020B0604020202020204" pitchFamily="34" charset="0"/>
            <a:cs typeface="Arial" panose="020B0604020202020204" pitchFamily="34" charset="0"/>
          </a:endParaRPr>
        </a:p>
      </dsp:txBody>
      <dsp:txXfrm>
        <a:off x="2557885" y="326172"/>
        <a:ext cx="20304" cy="20304"/>
      </dsp:txXfrm>
    </dsp:sp>
    <dsp:sp modelId="{1F7A908F-AA7D-4C73-9915-B0E6F669F661}">
      <dsp:nvSpPr>
        <dsp:cNvPr id="0" name=""/>
        <dsp:cNvSpPr/>
      </dsp:nvSpPr>
      <dsp:spPr>
        <a:xfrm>
          <a:off x="2753601" y="67455"/>
          <a:ext cx="883678" cy="3728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4.Reviewing themes</a:t>
          </a:r>
        </a:p>
      </dsp:txBody>
      <dsp:txXfrm>
        <a:off x="2764522" y="78376"/>
        <a:ext cx="861836" cy="351044"/>
      </dsp:txXfrm>
    </dsp:sp>
    <dsp:sp modelId="{80416C70-7B9F-4FF7-93FF-C1563F04C689}">
      <dsp:nvSpPr>
        <dsp:cNvPr id="0" name=""/>
        <dsp:cNvSpPr/>
      </dsp:nvSpPr>
      <dsp:spPr>
        <a:xfrm rot="1936313">
          <a:off x="2348742" y="504229"/>
          <a:ext cx="436725" cy="62226"/>
        </a:xfrm>
        <a:custGeom>
          <a:avLst/>
          <a:gdLst/>
          <a:ahLst/>
          <a:cxnLst/>
          <a:rect l="0" t="0" r="0" b="0"/>
          <a:pathLst>
            <a:path>
              <a:moveTo>
                <a:pt x="0" y="31113"/>
              </a:moveTo>
              <a:lnTo>
                <a:pt x="436725" y="3111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GB" sz="800" kern="1200">
            <a:latin typeface="Arial" panose="020B0604020202020204" pitchFamily="34" charset="0"/>
            <a:cs typeface="Arial" panose="020B0604020202020204" pitchFamily="34" charset="0"/>
          </a:endParaRPr>
        </a:p>
      </dsp:txBody>
      <dsp:txXfrm>
        <a:off x="2556186" y="524424"/>
        <a:ext cx="21836" cy="21836"/>
      </dsp:txXfrm>
    </dsp:sp>
    <dsp:sp modelId="{37E1071C-8FD5-49CD-BC28-0CEFEF6841FC}">
      <dsp:nvSpPr>
        <dsp:cNvPr id="0" name=""/>
        <dsp:cNvSpPr/>
      </dsp:nvSpPr>
      <dsp:spPr>
        <a:xfrm>
          <a:off x="2751736" y="463622"/>
          <a:ext cx="885543" cy="37662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5. Defining and naming themes</a:t>
          </a:r>
        </a:p>
      </dsp:txBody>
      <dsp:txXfrm>
        <a:off x="2762767" y="474653"/>
        <a:ext cx="863481" cy="354563"/>
      </dsp:txXfrm>
    </dsp:sp>
    <dsp:sp modelId="{4DE7AEFF-8722-44D8-90C3-ED741553D703}">
      <dsp:nvSpPr>
        <dsp:cNvPr id="0" name=""/>
        <dsp:cNvSpPr/>
      </dsp:nvSpPr>
      <dsp:spPr>
        <a:xfrm rot="3358076">
          <a:off x="1095389" y="892667"/>
          <a:ext cx="335362" cy="62226"/>
        </a:xfrm>
        <a:custGeom>
          <a:avLst/>
          <a:gdLst/>
          <a:ahLst/>
          <a:cxnLst/>
          <a:rect l="0" t="0" r="0" b="0"/>
          <a:pathLst>
            <a:path>
              <a:moveTo>
                <a:pt x="0" y="31113"/>
              </a:moveTo>
              <a:lnTo>
                <a:pt x="335362" y="3111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GB" sz="800" kern="1200">
            <a:latin typeface="Arial" panose="020B0604020202020204" pitchFamily="34" charset="0"/>
            <a:cs typeface="Arial" panose="020B0604020202020204" pitchFamily="34" charset="0"/>
          </a:endParaRPr>
        </a:p>
      </dsp:txBody>
      <dsp:txXfrm>
        <a:off x="1254687" y="915397"/>
        <a:ext cx="16768" cy="16768"/>
      </dsp:txXfrm>
    </dsp:sp>
    <dsp:sp modelId="{09B91668-0424-4198-A72D-F0506B8B65F2}">
      <dsp:nvSpPr>
        <dsp:cNvPr id="0" name=""/>
        <dsp:cNvSpPr/>
      </dsp:nvSpPr>
      <dsp:spPr>
        <a:xfrm>
          <a:off x="1356915" y="852698"/>
          <a:ext cx="961290" cy="4200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3. Searching for themes</a:t>
          </a:r>
        </a:p>
      </dsp:txBody>
      <dsp:txXfrm>
        <a:off x="1369219" y="865002"/>
        <a:ext cx="936682" cy="395481"/>
      </dsp:txXfrm>
    </dsp:sp>
    <dsp:sp modelId="{EF21B7CE-7BEE-4576-9934-996C7BACD829}">
      <dsp:nvSpPr>
        <dsp:cNvPr id="0" name=""/>
        <dsp:cNvSpPr/>
      </dsp:nvSpPr>
      <dsp:spPr>
        <a:xfrm rot="159021">
          <a:off x="2317987" y="1041081"/>
          <a:ext cx="408790" cy="62226"/>
        </a:xfrm>
        <a:custGeom>
          <a:avLst/>
          <a:gdLst/>
          <a:ahLst/>
          <a:cxnLst/>
          <a:rect l="0" t="0" r="0" b="0"/>
          <a:pathLst>
            <a:path>
              <a:moveTo>
                <a:pt x="0" y="31113"/>
              </a:moveTo>
              <a:lnTo>
                <a:pt x="408790" y="3111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GB" sz="800" kern="1200">
            <a:latin typeface="Arial" panose="020B0604020202020204" pitchFamily="34" charset="0"/>
            <a:cs typeface="Arial" panose="020B0604020202020204" pitchFamily="34" charset="0"/>
          </a:endParaRPr>
        </a:p>
      </dsp:txBody>
      <dsp:txXfrm>
        <a:off x="2512163" y="1061974"/>
        <a:ext cx="20439" cy="20439"/>
      </dsp:txXfrm>
    </dsp:sp>
    <dsp:sp modelId="{6CF4EA2F-8371-408A-9BBF-A63076332A99}">
      <dsp:nvSpPr>
        <dsp:cNvPr id="0" name=""/>
        <dsp:cNvSpPr/>
      </dsp:nvSpPr>
      <dsp:spPr>
        <a:xfrm>
          <a:off x="2726559" y="870091"/>
          <a:ext cx="910720" cy="4231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6. Producing the report      </a:t>
          </a:r>
        </a:p>
      </dsp:txBody>
      <dsp:txXfrm>
        <a:off x="2738951" y="882483"/>
        <a:ext cx="885936" cy="39832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E2DD18-DCD5-4A6F-8469-39CFB02E2EC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18690</Words>
  <Characters>106539</Characters>
  <Application>Microsoft Office Word</Application>
  <DocSecurity>0</DocSecurity>
  <Lines>887</Lines>
  <Paragraphs>249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124980</CharactersWithSpaces>
  <SharedDoc>false</SharedDoc>
  <HLinks>
    <vt:vector size="546" baseType="variant">
      <vt:variant>
        <vt:i4>3014776</vt:i4>
      </vt:variant>
      <vt:variant>
        <vt:i4>351</vt:i4>
      </vt:variant>
      <vt:variant>
        <vt:i4>0</vt:i4>
      </vt:variant>
      <vt:variant>
        <vt:i4>5</vt:i4>
      </vt:variant>
      <vt:variant>
        <vt:lpwstr>https://journals.sagepub.com/doi/pdf/10.1177/20503121221113668</vt:lpwstr>
      </vt:variant>
      <vt:variant>
        <vt:lpwstr/>
      </vt:variant>
      <vt:variant>
        <vt:i4>5439561</vt:i4>
      </vt:variant>
      <vt:variant>
        <vt:i4>348</vt:i4>
      </vt:variant>
      <vt:variant>
        <vt:i4>0</vt:i4>
      </vt:variant>
      <vt:variant>
        <vt:i4>5</vt:i4>
      </vt:variant>
      <vt:variant>
        <vt:lpwstr>https://bmjopen.bmj.com/content/14/2/e075711</vt:lpwstr>
      </vt:variant>
      <vt:variant>
        <vt:lpwstr/>
      </vt:variant>
      <vt:variant>
        <vt:i4>1376283</vt:i4>
      </vt:variant>
      <vt:variant>
        <vt:i4>345</vt:i4>
      </vt:variant>
      <vt:variant>
        <vt:i4>0</vt:i4>
      </vt:variant>
      <vt:variant>
        <vt:i4>5</vt:i4>
      </vt:variant>
      <vt:variant>
        <vt:lpwstr>https://pmc.ncbi.nlm.nih.gov/articles/PMC8934457/</vt:lpwstr>
      </vt:variant>
      <vt:variant>
        <vt:lpwstr/>
      </vt:variant>
      <vt:variant>
        <vt:i4>589913</vt:i4>
      </vt:variant>
      <vt:variant>
        <vt:i4>342</vt:i4>
      </vt:variant>
      <vt:variant>
        <vt:i4>0</vt:i4>
      </vt:variant>
      <vt:variant>
        <vt:i4>5</vt:i4>
      </vt:variant>
      <vt:variant>
        <vt:lpwstr>https://www.who.int/publications/b/59487</vt:lpwstr>
      </vt:variant>
      <vt:variant>
        <vt:lpwstr/>
      </vt:variant>
      <vt:variant>
        <vt:i4>2293868</vt:i4>
      </vt:variant>
      <vt:variant>
        <vt:i4>339</vt:i4>
      </vt:variant>
      <vt:variant>
        <vt:i4>0</vt:i4>
      </vt:variant>
      <vt:variant>
        <vt:i4>5</vt:i4>
      </vt:variant>
      <vt:variant>
        <vt:lpwstr>https://www.who.int/publications/i/item/WHO-HTP-EHT-CPR-2010.01</vt:lpwstr>
      </vt:variant>
      <vt:variant>
        <vt:lpwstr/>
      </vt:variant>
      <vt:variant>
        <vt:i4>2162724</vt:i4>
      </vt:variant>
      <vt:variant>
        <vt:i4>336</vt:i4>
      </vt:variant>
      <vt:variant>
        <vt:i4>0</vt:i4>
      </vt:variant>
      <vt:variant>
        <vt:i4>5</vt:i4>
      </vt:variant>
      <vt:variant>
        <vt:lpwstr>https://minorityhealth.hhs.gov/organ-transplants-and-blackafrican-americans</vt:lpwstr>
      </vt:variant>
      <vt:variant>
        <vt:lpwstr/>
      </vt:variant>
      <vt:variant>
        <vt:i4>7208995</vt:i4>
      </vt:variant>
      <vt:variant>
        <vt:i4>333</vt:i4>
      </vt:variant>
      <vt:variant>
        <vt:i4>0</vt:i4>
      </vt:variant>
      <vt:variant>
        <vt:i4>5</vt:i4>
      </vt:variant>
      <vt:variant>
        <vt:lpwstr>https://doi.org/10.1164/rccm.202201-0136SO</vt:lpwstr>
      </vt:variant>
      <vt:variant>
        <vt:lpwstr/>
      </vt:variant>
      <vt:variant>
        <vt:i4>3538983</vt:i4>
      </vt:variant>
      <vt:variant>
        <vt:i4>330</vt:i4>
      </vt:variant>
      <vt:variant>
        <vt:i4>0</vt:i4>
      </vt:variant>
      <vt:variant>
        <vt:i4>5</vt:i4>
      </vt:variant>
      <vt:variant>
        <vt:lpwstr>https://www.sciencedirect.com/</vt:lpwstr>
      </vt:variant>
      <vt:variant>
        <vt:lpwstr/>
      </vt:variant>
      <vt:variant>
        <vt:i4>6226003</vt:i4>
      </vt:variant>
      <vt:variant>
        <vt:i4>327</vt:i4>
      </vt:variant>
      <vt:variant>
        <vt:i4>0</vt:i4>
      </vt:variant>
      <vt:variant>
        <vt:i4>5</vt:i4>
      </vt:variant>
      <vt:variant>
        <vt:lpwstr>https://www.ovid.com/journals/ojdd/pdf/10.1177/00302228231183191</vt:lpwstr>
      </vt:variant>
      <vt:variant>
        <vt:lpwstr/>
      </vt:variant>
      <vt:variant>
        <vt:i4>655365</vt:i4>
      </vt:variant>
      <vt:variant>
        <vt:i4>324</vt:i4>
      </vt:variant>
      <vt:variant>
        <vt:i4>0</vt:i4>
      </vt:variant>
      <vt:variant>
        <vt:i4>5</vt:i4>
      </vt:variant>
      <vt:variant>
        <vt:lpwstr>https://doi.org/10.1016/S0140-6736(23)00762-6</vt:lpwstr>
      </vt:variant>
      <vt:variant>
        <vt:lpwstr/>
      </vt:variant>
      <vt:variant>
        <vt:i4>6226003</vt:i4>
      </vt:variant>
      <vt:variant>
        <vt:i4>321</vt:i4>
      </vt:variant>
      <vt:variant>
        <vt:i4>0</vt:i4>
      </vt:variant>
      <vt:variant>
        <vt:i4>5</vt:i4>
      </vt:variant>
      <vt:variant>
        <vt:lpwstr>https://www.ovid.com/journals/ojdd/pdf/10.1177/00302228231183191</vt:lpwstr>
      </vt:variant>
      <vt:variant>
        <vt:lpwstr/>
      </vt:variant>
      <vt:variant>
        <vt:i4>1048604</vt:i4>
      </vt:variant>
      <vt:variant>
        <vt:i4>318</vt:i4>
      </vt:variant>
      <vt:variant>
        <vt:i4>0</vt:i4>
      </vt:variant>
      <vt:variant>
        <vt:i4>5</vt:i4>
      </vt:variant>
      <vt:variant>
        <vt:lpwstr>https://pmc.ncbi.nlm.nih.gov/articles/PMC8419125/</vt:lpwstr>
      </vt:variant>
      <vt:variant>
        <vt:lpwstr/>
      </vt:variant>
      <vt:variant>
        <vt:i4>5570580</vt:i4>
      </vt:variant>
      <vt:variant>
        <vt:i4>315</vt:i4>
      </vt:variant>
      <vt:variant>
        <vt:i4>0</vt:i4>
      </vt:variant>
      <vt:variant>
        <vt:i4>5</vt:i4>
      </vt:variant>
      <vt:variant>
        <vt:lpwstr>https://doi.org/10.70099/BJ/2025.02.01.1</vt:lpwstr>
      </vt:variant>
      <vt:variant>
        <vt:lpwstr/>
      </vt:variant>
      <vt:variant>
        <vt:i4>7274601</vt:i4>
      </vt:variant>
      <vt:variant>
        <vt:i4>312</vt:i4>
      </vt:variant>
      <vt:variant>
        <vt:i4>0</vt:i4>
      </vt:variant>
      <vt:variant>
        <vt:i4>5</vt:i4>
      </vt:variant>
      <vt:variant>
        <vt:lpwstr>https://spiral.imperial.ac.uk/bitstreams/0a79a54d-ec2d-4174-afd1-dddcd3e1e07e/download</vt:lpwstr>
      </vt:variant>
      <vt:variant>
        <vt:lpwstr/>
      </vt:variant>
      <vt:variant>
        <vt:i4>2359392</vt:i4>
      </vt:variant>
      <vt:variant>
        <vt:i4>309</vt:i4>
      </vt:variant>
      <vt:variant>
        <vt:i4>0</vt:i4>
      </vt:variant>
      <vt:variant>
        <vt:i4>5</vt:i4>
      </vt:variant>
      <vt:variant>
        <vt:lpwstr>https://doi.org/10.1177/109019818801500203</vt:lpwstr>
      </vt:variant>
      <vt:variant>
        <vt:lpwstr/>
      </vt:variant>
      <vt:variant>
        <vt:i4>5570570</vt:i4>
      </vt:variant>
      <vt:variant>
        <vt:i4>306</vt:i4>
      </vt:variant>
      <vt:variant>
        <vt:i4>0</vt:i4>
      </vt:variant>
      <vt:variant>
        <vt:i4>5</vt:i4>
      </vt:variant>
      <vt:variant>
        <vt:lpwstr>https://eprints.whiterose.ac.uk/id/eprint/208748/</vt:lpwstr>
      </vt:variant>
      <vt:variant>
        <vt:lpwstr/>
      </vt:variant>
      <vt:variant>
        <vt:i4>2555943</vt:i4>
      </vt:variant>
      <vt:variant>
        <vt:i4>303</vt:i4>
      </vt:variant>
      <vt:variant>
        <vt:i4>0</vt:i4>
      </vt:variant>
      <vt:variant>
        <vt:i4>5</vt:i4>
      </vt:variant>
      <vt:variant>
        <vt:lpwstr>https://doi.org/10.1016/j.transproceed.2015.10.074</vt:lpwstr>
      </vt:variant>
      <vt:variant>
        <vt:lpwstr/>
      </vt:variant>
      <vt:variant>
        <vt:i4>7274596</vt:i4>
      </vt:variant>
      <vt:variant>
        <vt:i4>300</vt:i4>
      </vt:variant>
      <vt:variant>
        <vt:i4>0</vt:i4>
      </vt:variant>
      <vt:variant>
        <vt:i4>5</vt:i4>
      </vt:variant>
      <vt:variant>
        <vt:lpwstr>https://doi.org/10.1093/bmb/ldac008</vt:lpwstr>
      </vt:variant>
      <vt:variant>
        <vt:lpwstr/>
      </vt:variant>
      <vt:variant>
        <vt:i4>3932273</vt:i4>
      </vt:variant>
      <vt:variant>
        <vt:i4>297</vt:i4>
      </vt:variant>
      <vt:variant>
        <vt:i4>0</vt:i4>
      </vt:variant>
      <vt:variant>
        <vt:i4>5</vt:i4>
      </vt:variant>
      <vt:variant>
        <vt:lpwstr>https://doi.org/10.1093/bja/aer385</vt:lpwstr>
      </vt:variant>
      <vt:variant>
        <vt:lpwstr/>
      </vt:variant>
      <vt:variant>
        <vt:i4>458813</vt:i4>
      </vt:variant>
      <vt:variant>
        <vt:i4>294</vt:i4>
      </vt:variant>
      <vt:variant>
        <vt:i4>0</vt:i4>
      </vt:variant>
      <vt:variant>
        <vt:i4>5</vt:i4>
      </vt:variant>
      <vt:variant>
        <vt:lpwstr>https://www.researchgate.net/publication/233866356_Guidance_on_the_conduct_of_narrative_synthesis_in_systematic_reviews_A_product_from_the_ESRC_Methods_Programme</vt:lpwstr>
      </vt:variant>
      <vt:variant>
        <vt:lpwstr/>
      </vt:variant>
      <vt:variant>
        <vt:i4>852038</vt:i4>
      </vt:variant>
      <vt:variant>
        <vt:i4>291</vt:i4>
      </vt:variant>
      <vt:variant>
        <vt:i4>0</vt:i4>
      </vt:variant>
      <vt:variant>
        <vt:i4>5</vt:i4>
      </vt:variant>
      <vt:variant>
        <vt:lpwstr>https://10.0.4.73/01.T.P.0000441</vt:lpwstr>
      </vt:variant>
      <vt:variant>
        <vt:lpwstr/>
      </vt:variant>
      <vt:variant>
        <vt:i4>65602</vt:i4>
      </vt:variant>
      <vt:variant>
        <vt:i4>288</vt:i4>
      </vt:variant>
      <vt:variant>
        <vt:i4>0</vt:i4>
      </vt:variant>
      <vt:variant>
        <vt:i4>5</vt:i4>
      </vt:variant>
      <vt:variant>
        <vt:lpwstr>https://journals.plos.org/plosone/article?id=10.1371/journal.pone.0306541</vt:lpwstr>
      </vt:variant>
      <vt:variant>
        <vt:lpwstr/>
      </vt:variant>
      <vt:variant>
        <vt:i4>2949162</vt:i4>
      </vt:variant>
      <vt:variant>
        <vt:i4>285</vt:i4>
      </vt:variant>
      <vt:variant>
        <vt:i4>0</vt:i4>
      </vt:variant>
      <vt:variant>
        <vt:i4>5</vt:i4>
      </vt:variant>
      <vt:variant>
        <vt:lpwstr>https://www.cityobservatory.birmingham.gov.uk/analysis-of-census-2021-data/</vt:lpwstr>
      </vt:variant>
      <vt:variant>
        <vt:lpwstr/>
      </vt:variant>
      <vt:variant>
        <vt:i4>3211303</vt:i4>
      </vt:variant>
      <vt:variant>
        <vt:i4>282</vt:i4>
      </vt:variant>
      <vt:variant>
        <vt:i4>0</vt:i4>
      </vt:variant>
      <vt:variant>
        <vt:i4>5</vt:i4>
      </vt:variant>
      <vt:variant>
        <vt:lpwstr>https://bmjopen.bmj.com/content/9/4/e025159</vt:lpwstr>
      </vt:variant>
      <vt:variant>
        <vt:lpwstr/>
      </vt:variant>
      <vt:variant>
        <vt:i4>7078002</vt:i4>
      </vt:variant>
      <vt:variant>
        <vt:i4>279</vt:i4>
      </vt:variant>
      <vt:variant>
        <vt:i4>0</vt:i4>
      </vt:variant>
      <vt:variant>
        <vt:i4>5</vt:i4>
      </vt:variant>
      <vt:variant>
        <vt:lpwstr>https://www.nhsrho.org/wp-content/uploads/2025/03/TRUST-IN-PRIMARY-CARE-REPORT.pdf</vt:lpwstr>
      </vt:variant>
      <vt:variant>
        <vt:lpwstr/>
      </vt:variant>
      <vt:variant>
        <vt:i4>6094929</vt:i4>
      </vt:variant>
      <vt:variant>
        <vt:i4>276</vt:i4>
      </vt:variant>
      <vt:variant>
        <vt:i4>0</vt:i4>
      </vt:variant>
      <vt:variant>
        <vt:i4>5</vt:i4>
      </vt:variant>
      <vt:variant>
        <vt:lpwstr>https://www.blood.co.uk/why-give-blood/demand-for-different-blood-types/ro-blood/</vt:lpwstr>
      </vt:variant>
      <vt:variant>
        <vt:lpwstr/>
      </vt:variant>
      <vt:variant>
        <vt:i4>1245277</vt:i4>
      </vt:variant>
      <vt:variant>
        <vt:i4>273</vt:i4>
      </vt:variant>
      <vt:variant>
        <vt:i4>0</vt:i4>
      </vt:variant>
      <vt:variant>
        <vt:i4>5</vt:i4>
      </vt:variant>
      <vt:variant>
        <vt:lpwstr>https://www.blood.co.uk/news-and-campaigns/news-and-statements/number-of-life-saving-stem-cell-donations-by-black-asian-and-mixed-ethnicity-donors-is-at-a-10-year-high/</vt:lpwstr>
      </vt:variant>
      <vt:variant>
        <vt:lpwstr/>
      </vt:variant>
      <vt:variant>
        <vt:i4>524366</vt:i4>
      </vt:variant>
      <vt:variant>
        <vt:i4>270</vt:i4>
      </vt:variant>
      <vt:variant>
        <vt:i4>0</vt:i4>
      </vt:variant>
      <vt:variant>
        <vt:i4>5</vt:i4>
      </vt:variant>
      <vt:variant>
        <vt:lpwstr>https://www.odt.nhs.uk/statistics-and-reports/annual-reports/</vt:lpwstr>
      </vt:variant>
      <vt:variant>
        <vt:lpwstr/>
      </vt:variant>
      <vt:variant>
        <vt:i4>262192</vt:i4>
      </vt:variant>
      <vt:variant>
        <vt:i4>267</vt:i4>
      </vt:variant>
      <vt:variant>
        <vt:i4>0</vt:i4>
      </vt:variant>
      <vt:variant>
        <vt:i4>5</vt:i4>
      </vt:variant>
      <vt:variant>
        <vt:lpwstr>https://nhsbtdbe.blob.core.windows.net/umbraco-assets-corp/37695/annual-report-on- ethnicity-differences-2024_2025.pdf</vt:lpwstr>
      </vt:variant>
      <vt:variant>
        <vt:lpwstr/>
      </vt:variant>
      <vt:variant>
        <vt:i4>2490469</vt:i4>
      </vt:variant>
      <vt:variant>
        <vt:i4>264</vt:i4>
      </vt:variant>
      <vt:variant>
        <vt:i4>0</vt:i4>
      </vt:variant>
      <vt:variant>
        <vt:i4>5</vt:i4>
      </vt:variant>
      <vt:variant>
        <vt:lpwstr>https://nhsbtdbe.blob.core.windows.net/umbraco-assets-corp/33778/activity-report-2023-2024.pdf</vt:lpwstr>
      </vt:variant>
      <vt:variant>
        <vt:lpwstr/>
      </vt:variant>
      <vt:variant>
        <vt:i4>6553725</vt:i4>
      </vt:variant>
      <vt:variant>
        <vt:i4>261</vt:i4>
      </vt:variant>
      <vt:variant>
        <vt:i4>0</vt:i4>
      </vt:variant>
      <vt:variant>
        <vt:i4>5</vt:i4>
      </vt:variant>
      <vt:variant>
        <vt:lpwstr>https://doi.org/10.1136/bmj-2022-072243</vt:lpwstr>
      </vt:variant>
      <vt:variant>
        <vt:lpwstr/>
      </vt:variant>
      <vt:variant>
        <vt:i4>3473455</vt:i4>
      </vt:variant>
      <vt:variant>
        <vt:i4>258</vt:i4>
      </vt:variant>
      <vt:variant>
        <vt:i4>0</vt:i4>
      </vt:variant>
      <vt:variant>
        <vt:i4>5</vt:i4>
      </vt:variant>
      <vt:variant>
        <vt:lpwstr>https://pmc.ncbi.nlm.nih.gov/articles/PMC11580530/</vt:lpwstr>
      </vt:variant>
      <vt:variant>
        <vt:lpwstr/>
      </vt:variant>
      <vt:variant>
        <vt:i4>2293805</vt:i4>
      </vt:variant>
      <vt:variant>
        <vt:i4>255</vt:i4>
      </vt:variant>
      <vt:variant>
        <vt:i4>0</vt:i4>
      </vt:variant>
      <vt:variant>
        <vt:i4>5</vt:i4>
      </vt:variant>
      <vt:variant>
        <vt:lpwstr>https://doi.org/10.1016/j.transproceed.2009.05.004</vt:lpwstr>
      </vt:variant>
      <vt:variant>
        <vt:lpwstr/>
      </vt:variant>
      <vt:variant>
        <vt:i4>1966087</vt:i4>
      </vt:variant>
      <vt:variant>
        <vt:i4>252</vt:i4>
      </vt:variant>
      <vt:variant>
        <vt:i4>0</vt:i4>
      </vt:variant>
      <vt:variant>
        <vt:i4>5</vt:i4>
      </vt:variant>
      <vt:variant>
        <vt:lpwstr>https://doi.org/10.1093/eurheartj/ehab849.137</vt:lpwstr>
      </vt:variant>
      <vt:variant>
        <vt:lpwstr/>
      </vt:variant>
      <vt:variant>
        <vt:i4>4325378</vt:i4>
      </vt:variant>
      <vt:variant>
        <vt:i4>249</vt:i4>
      </vt:variant>
      <vt:variant>
        <vt:i4>0</vt:i4>
      </vt:variant>
      <vt:variant>
        <vt:i4>5</vt:i4>
      </vt:variant>
      <vt:variant>
        <vt:lpwstr>https://doi.org/10.1097/01.TP.0000441874.43007.81</vt:lpwstr>
      </vt:variant>
      <vt:variant>
        <vt:lpwstr/>
      </vt:variant>
      <vt:variant>
        <vt:i4>6225986</vt:i4>
      </vt:variant>
      <vt:variant>
        <vt:i4>246</vt:i4>
      </vt:variant>
      <vt:variant>
        <vt:i4>0</vt:i4>
      </vt:variant>
      <vt:variant>
        <vt:i4>5</vt:i4>
      </vt:variant>
      <vt:variant>
        <vt:lpwstr>https://academic.oup.com/ndt/article-pdf/26/2/437/5350850/gfq628.pdf</vt:lpwstr>
      </vt:variant>
      <vt:variant>
        <vt:lpwstr/>
      </vt:variant>
      <vt:variant>
        <vt:i4>8192121</vt:i4>
      </vt:variant>
      <vt:variant>
        <vt:i4>243</vt:i4>
      </vt:variant>
      <vt:variant>
        <vt:i4>0</vt:i4>
      </vt:variant>
      <vt:variant>
        <vt:i4>5</vt:i4>
      </vt:variant>
      <vt:variant>
        <vt:lpwstr>https://doi.org/10.1037/amp0000151</vt:lpwstr>
      </vt:variant>
      <vt:variant>
        <vt:lpwstr/>
      </vt:variant>
      <vt:variant>
        <vt:i4>7471224</vt:i4>
      </vt:variant>
      <vt:variant>
        <vt:i4>240</vt:i4>
      </vt:variant>
      <vt:variant>
        <vt:i4>0</vt:i4>
      </vt:variant>
      <vt:variant>
        <vt:i4>5</vt:i4>
      </vt:variant>
      <vt:variant>
        <vt:lpwstr>https://www.bmj.com/content/381/bmj-2022-072243</vt:lpwstr>
      </vt:variant>
      <vt:variant>
        <vt:lpwstr/>
      </vt:variant>
      <vt:variant>
        <vt:i4>3801146</vt:i4>
      </vt:variant>
      <vt:variant>
        <vt:i4>237</vt:i4>
      </vt:variant>
      <vt:variant>
        <vt:i4>0</vt:i4>
      </vt:variant>
      <vt:variant>
        <vt:i4>5</vt:i4>
      </vt:variant>
      <vt:variant>
        <vt:lpwstr>https://doi.org/10.1016/j.ekir.2021.06.017</vt:lpwstr>
      </vt:variant>
      <vt:variant>
        <vt:lpwstr/>
      </vt:variant>
      <vt:variant>
        <vt:i4>6684715</vt:i4>
      </vt:variant>
      <vt:variant>
        <vt:i4>234</vt:i4>
      </vt:variant>
      <vt:variant>
        <vt:i4>0</vt:i4>
      </vt:variant>
      <vt:variant>
        <vt:i4>5</vt:i4>
      </vt:variant>
      <vt:variant>
        <vt:lpwstr>https://www.who.int/news/item/30-05-2024-seventy-seventh-world-health-assembly-daily-update-30-may-2024</vt:lpwstr>
      </vt:variant>
      <vt:variant>
        <vt:lpwstr/>
      </vt:variant>
      <vt:variant>
        <vt:i4>5898329</vt:i4>
      </vt:variant>
      <vt:variant>
        <vt:i4>231</vt:i4>
      </vt:variant>
      <vt:variant>
        <vt:i4>0</vt:i4>
      </vt:variant>
      <vt:variant>
        <vt:i4>5</vt:i4>
      </vt:variant>
      <vt:variant>
        <vt:lpwstr>https://www.legislation.gov.uk/ukpga/1998/42/content</vt:lpwstr>
      </vt:variant>
      <vt:variant>
        <vt:lpwstr/>
      </vt:variant>
      <vt:variant>
        <vt:i4>6488127</vt:i4>
      </vt:variant>
      <vt:variant>
        <vt:i4>228</vt:i4>
      </vt:variant>
      <vt:variant>
        <vt:i4>0</vt:i4>
      </vt:variant>
      <vt:variant>
        <vt:i4>5</vt:i4>
      </vt:variant>
      <vt:variant>
        <vt:lpwstr>https://academic.oup.com/pnasnexus/article/4/10/pgaf311/8303887</vt:lpwstr>
      </vt:variant>
      <vt:variant>
        <vt:lpwstr/>
      </vt:variant>
      <vt:variant>
        <vt:i4>3932193</vt:i4>
      </vt:variant>
      <vt:variant>
        <vt:i4>225</vt:i4>
      </vt:variant>
      <vt:variant>
        <vt:i4>0</vt:i4>
      </vt:variant>
      <vt:variant>
        <vt:i4>5</vt:i4>
      </vt:variant>
      <vt:variant>
        <vt:lpwstr>https://www.frontierspartnerships.org/journals/transplant-international/articles/10.3389/ti.2023.11310/full</vt:lpwstr>
      </vt:variant>
      <vt:variant>
        <vt:lpwstr/>
      </vt:variant>
      <vt:variant>
        <vt:i4>1310748</vt:i4>
      </vt:variant>
      <vt:variant>
        <vt:i4>222</vt:i4>
      </vt:variant>
      <vt:variant>
        <vt:i4>0</vt:i4>
      </vt:variant>
      <vt:variant>
        <vt:i4>5</vt:i4>
      </vt:variant>
      <vt:variant>
        <vt:lpwstr>https://pmc.ncbi.nlm.nih.gov/articles/PMC3489022/</vt:lpwstr>
      </vt:variant>
      <vt:variant>
        <vt:lpwstr/>
      </vt:variant>
      <vt:variant>
        <vt:i4>6946868</vt:i4>
      </vt:variant>
      <vt:variant>
        <vt:i4>219</vt:i4>
      </vt:variant>
      <vt:variant>
        <vt:i4>0</vt:i4>
      </vt:variant>
      <vt:variant>
        <vt:i4>5</vt:i4>
      </vt:variant>
      <vt:variant>
        <vt:lpwstr>https://www.rcpath.org/profession/publications/college-bulletin/april-2023/restore.html</vt:lpwstr>
      </vt:variant>
      <vt:variant>
        <vt:lpwstr/>
      </vt:variant>
      <vt:variant>
        <vt:i4>2621492</vt:i4>
      </vt:variant>
      <vt:variant>
        <vt:i4>216</vt:i4>
      </vt:variant>
      <vt:variant>
        <vt:i4>0</vt:i4>
      </vt:variant>
      <vt:variant>
        <vt:i4>5</vt:i4>
      </vt:variant>
      <vt:variant>
        <vt:lpwstr>https://doi.org/10.1016/j.jnma.2025.01.004</vt:lpwstr>
      </vt:variant>
      <vt:variant>
        <vt:lpwstr/>
      </vt:variant>
      <vt:variant>
        <vt:i4>7208995</vt:i4>
      </vt:variant>
      <vt:variant>
        <vt:i4>213</vt:i4>
      </vt:variant>
      <vt:variant>
        <vt:i4>0</vt:i4>
      </vt:variant>
      <vt:variant>
        <vt:i4>5</vt:i4>
      </vt:variant>
      <vt:variant>
        <vt:lpwstr>https://doi.org/10.1164/rccm.202201-0136SO</vt:lpwstr>
      </vt:variant>
      <vt:variant>
        <vt:lpwstr/>
      </vt:variant>
      <vt:variant>
        <vt:i4>393283</vt:i4>
      </vt:variant>
      <vt:variant>
        <vt:i4>210</vt:i4>
      </vt:variant>
      <vt:variant>
        <vt:i4>0</vt:i4>
      </vt:variant>
      <vt:variant>
        <vt:i4>5</vt:i4>
      </vt:variant>
      <vt:variant>
        <vt:lpwstr>https://doi.org/10.1080/08870446.2019.1603385</vt:lpwstr>
      </vt:variant>
      <vt:variant>
        <vt:lpwstr/>
      </vt:variant>
      <vt:variant>
        <vt:i4>4849671</vt:i4>
      </vt:variant>
      <vt:variant>
        <vt:i4>207</vt:i4>
      </vt:variant>
      <vt:variant>
        <vt:i4>0</vt:i4>
      </vt:variant>
      <vt:variant>
        <vt:i4>5</vt:i4>
      </vt:variant>
      <vt:variant>
        <vt:lpwstr>https://www.legislation.gov.uk/ukpga/2010/15</vt:lpwstr>
      </vt:variant>
      <vt:variant>
        <vt:lpwstr/>
      </vt:variant>
      <vt:variant>
        <vt:i4>786452</vt:i4>
      </vt:variant>
      <vt:variant>
        <vt:i4>204</vt:i4>
      </vt:variant>
      <vt:variant>
        <vt:i4>0</vt:i4>
      </vt:variant>
      <vt:variant>
        <vt:i4>5</vt:i4>
      </vt:variant>
      <vt:variant>
        <vt:lpwstr>https://www.gov.uk/government/news/opt-out-organ-donation-max-and-keiras-bill-passed-into-law(gov.uk</vt:lpwstr>
      </vt:variant>
      <vt:variant>
        <vt:lpwstr/>
      </vt:variant>
      <vt:variant>
        <vt:i4>7274593</vt:i4>
      </vt:variant>
      <vt:variant>
        <vt:i4>201</vt:i4>
      </vt:variant>
      <vt:variant>
        <vt:i4>0</vt:i4>
      </vt:variant>
      <vt:variant>
        <vt:i4>5</vt:i4>
      </vt:variant>
      <vt:variant>
        <vt:lpwstr>https://doi.org/10.1136/bmjopen-2013-003453</vt:lpwstr>
      </vt:variant>
      <vt:variant>
        <vt:lpwstr/>
      </vt:variant>
      <vt:variant>
        <vt:i4>8257583</vt:i4>
      </vt:variant>
      <vt:variant>
        <vt:i4>198</vt:i4>
      </vt:variant>
      <vt:variant>
        <vt:i4>0</vt:i4>
      </vt:variant>
      <vt:variant>
        <vt:i4>5</vt:i4>
      </vt:variant>
      <vt:variant>
        <vt:lpwstr>http://www.legislation.gov.uk/</vt:lpwstr>
      </vt:variant>
      <vt:variant>
        <vt:lpwstr/>
      </vt:variant>
      <vt:variant>
        <vt:i4>5242993</vt:i4>
      </vt:variant>
      <vt:variant>
        <vt:i4>195</vt:i4>
      </vt:variant>
      <vt:variant>
        <vt:i4>0</vt:i4>
      </vt:variant>
      <vt:variant>
        <vt:i4>5</vt:i4>
      </vt:variant>
      <vt:variant>
        <vt:lpwstr>https://academic.oup.com/ndt/article/39/Supplement_2/gfae069.043/7679310</vt:lpwstr>
      </vt:variant>
      <vt:variant>
        <vt:lpwstr/>
      </vt:variant>
      <vt:variant>
        <vt:i4>7143545</vt:i4>
      </vt:variant>
      <vt:variant>
        <vt:i4>192</vt:i4>
      </vt:variant>
      <vt:variant>
        <vt:i4>0</vt:i4>
      </vt:variant>
      <vt:variant>
        <vt:i4>5</vt:i4>
      </vt:variant>
      <vt:variant>
        <vt:lpwstr>https://register-of-charities.charitycommission.gov.uk/</vt:lpwstr>
      </vt:variant>
      <vt:variant>
        <vt:lpwstr/>
      </vt:variant>
      <vt:variant>
        <vt:i4>1966174</vt:i4>
      </vt:variant>
      <vt:variant>
        <vt:i4>189</vt:i4>
      </vt:variant>
      <vt:variant>
        <vt:i4>0</vt:i4>
      </vt:variant>
      <vt:variant>
        <vt:i4>5</vt:i4>
      </vt:variant>
      <vt:variant>
        <vt:lpwstr>https://b-s-h.org.uk/guidelines/guidelines/guidelines-on-red-cell-transfusion-in-sickle-cell-disease-part-ii-indications-for-transfusion</vt:lpwstr>
      </vt:variant>
      <vt:variant>
        <vt:lpwstr/>
      </vt:variant>
      <vt:variant>
        <vt:i4>393238</vt:i4>
      </vt:variant>
      <vt:variant>
        <vt:i4>186</vt:i4>
      </vt:variant>
      <vt:variant>
        <vt:i4>0</vt:i4>
      </vt:variant>
      <vt:variant>
        <vt:i4>5</vt:i4>
      </vt:variant>
      <vt:variant>
        <vt:lpwstr>https://doi.org/10.1191/1478088706qp063oa</vt:lpwstr>
      </vt:variant>
      <vt:variant>
        <vt:lpwstr/>
      </vt:variant>
      <vt:variant>
        <vt:i4>6094870</vt:i4>
      </vt:variant>
      <vt:variant>
        <vt:i4>183</vt:i4>
      </vt:variant>
      <vt:variant>
        <vt:i4>0</vt:i4>
      </vt:variant>
      <vt:variant>
        <vt:i4>5</vt:i4>
      </vt:variant>
      <vt:variant>
        <vt:lpwstr>https://doi101186/s12913-024-11821-3</vt:lpwstr>
      </vt:variant>
      <vt:variant>
        <vt:lpwstr/>
      </vt:variant>
      <vt:variant>
        <vt:i4>851977</vt:i4>
      </vt:variant>
      <vt:variant>
        <vt:i4>180</vt:i4>
      </vt:variant>
      <vt:variant>
        <vt:i4>0</vt:i4>
      </vt:variant>
      <vt:variant>
        <vt:i4>5</vt:i4>
      </vt:variant>
      <vt:variant>
        <vt:lpwstr>https://link.springer.com/article/10.1186/s12913-024-11821-3</vt:lpwstr>
      </vt:variant>
      <vt:variant>
        <vt:lpwstr/>
      </vt:variant>
      <vt:variant>
        <vt:i4>6357046</vt:i4>
      </vt:variant>
      <vt:variant>
        <vt:i4>177</vt:i4>
      </vt:variant>
      <vt:variant>
        <vt:i4>0</vt:i4>
      </vt:variant>
      <vt:variant>
        <vt:i4>5</vt:i4>
      </vt:variant>
      <vt:variant>
        <vt:lpwstr>https://library.csuchico.edu/sites/default/files/craap-test.pdf</vt:lpwstr>
      </vt:variant>
      <vt:variant>
        <vt:lpwstr/>
      </vt:variant>
      <vt:variant>
        <vt:i4>1310738</vt:i4>
      </vt:variant>
      <vt:variant>
        <vt:i4>174</vt:i4>
      </vt:variant>
      <vt:variant>
        <vt:i4>0</vt:i4>
      </vt:variant>
      <vt:variant>
        <vt:i4>5</vt:i4>
      </vt:variant>
      <vt:variant>
        <vt:lpwstr>https://global.oup.com/academic/product/principles-of-biomedical=ethics-9780199924585</vt:lpwstr>
      </vt:variant>
      <vt:variant>
        <vt:lpwstr/>
      </vt:variant>
      <vt:variant>
        <vt:i4>852037</vt:i4>
      </vt:variant>
      <vt:variant>
        <vt:i4>171</vt:i4>
      </vt:variant>
      <vt:variant>
        <vt:i4>0</vt:i4>
      </vt:variant>
      <vt:variant>
        <vt:i4>5</vt:i4>
      </vt:variant>
      <vt:variant>
        <vt:lpwstr>https://doi.org/</vt:lpwstr>
      </vt:variant>
      <vt:variant>
        <vt:lpwstr/>
      </vt:variant>
      <vt:variant>
        <vt:i4>2752570</vt:i4>
      </vt:variant>
      <vt:variant>
        <vt:i4>168</vt:i4>
      </vt:variant>
      <vt:variant>
        <vt:i4>0</vt:i4>
      </vt:variant>
      <vt:variant>
        <vt:i4>5</vt:i4>
      </vt:variant>
      <vt:variant>
        <vt:lpwstr>https://doi.org/10.1186/s12939-025-02583-3</vt:lpwstr>
      </vt:variant>
      <vt:variant>
        <vt:lpwstr/>
      </vt:variant>
      <vt:variant>
        <vt:i4>5505041</vt:i4>
      </vt:variant>
      <vt:variant>
        <vt:i4>165</vt:i4>
      </vt:variant>
      <vt:variant>
        <vt:i4>0</vt:i4>
      </vt:variant>
      <vt:variant>
        <vt:i4>5</vt:i4>
      </vt:variant>
      <vt:variant>
        <vt:lpwstr>https://doi.org/10.1111/j.1365-2141.2011.08708.x</vt:lpwstr>
      </vt:variant>
      <vt:variant>
        <vt:lpwstr/>
      </vt:variant>
      <vt:variant>
        <vt:i4>1114129</vt:i4>
      </vt:variant>
      <vt:variant>
        <vt:i4>162</vt:i4>
      </vt:variant>
      <vt:variant>
        <vt:i4>0</vt:i4>
      </vt:variant>
      <vt:variant>
        <vt:i4>5</vt:i4>
      </vt:variant>
      <vt:variant>
        <vt:lpwstr>https://doi.org/10.1111ajt.16199</vt:lpwstr>
      </vt:variant>
      <vt:variant>
        <vt:lpwstr/>
      </vt:variant>
      <vt:variant>
        <vt:i4>3473526</vt:i4>
      </vt:variant>
      <vt:variant>
        <vt:i4>159</vt:i4>
      </vt:variant>
      <vt:variant>
        <vt:i4>0</vt:i4>
      </vt:variant>
      <vt:variant>
        <vt:i4>5</vt:i4>
      </vt:variant>
      <vt:variant>
        <vt:lpwstr>https://openjournals.salford.ac.uk/bioscientist/article/id/58/</vt:lpwstr>
      </vt:variant>
      <vt:variant>
        <vt:lpwstr/>
      </vt:variant>
      <vt:variant>
        <vt:i4>1048626</vt:i4>
      </vt:variant>
      <vt:variant>
        <vt:i4>152</vt:i4>
      </vt:variant>
      <vt:variant>
        <vt:i4>0</vt:i4>
      </vt:variant>
      <vt:variant>
        <vt:i4>5</vt:i4>
      </vt:variant>
      <vt:variant>
        <vt:lpwstr/>
      </vt:variant>
      <vt:variant>
        <vt:lpwstr>_Toc226743212</vt:lpwstr>
      </vt:variant>
      <vt:variant>
        <vt:i4>1048626</vt:i4>
      </vt:variant>
      <vt:variant>
        <vt:i4>146</vt:i4>
      </vt:variant>
      <vt:variant>
        <vt:i4>0</vt:i4>
      </vt:variant>
      <vt:variant>
        <vt:i4>5</vt:i4>
      </vt:variant>
      <vt:variant>
        <vt:lpwstr/>
      </vt:variant>
      <vt:variant>
        <vt:lpwstr>_Toc226743211</vt:lpwstr>
      </vt:variant>
      <vt:variant>
        <vt:i4>1048626</vt:i4>
      </vt:variant>
      <vt:variant>
        <vt:i4>140</vt:i4>
      </vt:variant>
      <vt:variant>
        <vt:i4>0</vt:i4>
      </vt:variant>
      <vt:variant>
        <vt:i4>5</vt:i4>
      </vt:variant>
      <vt:variant>
        <vt:lpwstr/>
      </vt:variant>
      <vt:variant>
        <vt:lpwstr>_Toc226743210</vt:lpwstr>
      </vt:variant>
      <vt:variant>
        <vt:i4>1114162</vt:i4>
      </vt:variant>
      <vt:variant>
        <vt:i4>134</vt:i4>
      </vt:variant>
      <vt:variant>
        <vt:i4>0</vt:i4>
      </vt:variant>
      <vt:variant>
        <vt:i4>5</vt:i4>
      </vt:variant>
      <vt:variant>
        <vt:lpwstr/>
      </vt:variant>
      <vt:variant>
        <vt:lpwstr>_Toc226743209</vt:lpwstr>
      </vt:variant>
      <vt:variant>
        <vt:i4>1572913</vt:i4>
      </vt:variant>
      <vt:variant>
        <vt:i4>128</vt:i4>
      </vt:variant>
      <vt:variant>
        <vt:i4>0</vt:i4>
      </vt:variant>
      <vt:variant>
        <vt:i4>5</vt:i4>
      </vt:variant>
      <vt:variant>
        <vt:lpwstr/>
      </vt:variant>
      <vt:variant>
        <vt:lpwstr>_Toc226743196</vt:lpwstr>
      </vt:variant>
      <vt:variant>
        <vt:i4>1638449</vt:i4>
      </vt:variant>
      <vt:variant>
        <vt:i4>122</vt:i4>
      </vt:variant>
      <vt:variant>
        <vt:i4>0</vt:i4>
      </vt:variant>
      <vt:variant>
        <vt:i4>5</vt:i4>
      </vt:variant>
      <vt:variant>
        <vt:lpwstr/>
      </vt:variant>
      <vt:variant>
        <vt:lpwstr>_Toc226743184</vt:lpwstr>
      </vt:variant>
      <vt:variant>
        <vt:i4>1441841</vt:i4>
      </vt:variant>
      <vt:variant>
        <vt:i4>116</vt:i4>
      </vt:variant>
      <vt:variant>
        <vt:i4>0</vt:i4>
      </vt:variant>
      <vt:variant>
        <vt:i4>5</vt:i4>
      </vt:variant>
      <vt:variant>
        <vt:lpwstr/>
      </vt:variant>
      <vt:variant>
        <vt:lpwstr>_Toc226743170</vt:lpwstr>
      </vt:variant>
      <vt:variant>
        <vt:i4>1507377</vt:i4>
      </vt:variant>
      <vt:variant>
        <vt:i4>110</vt:i4>
      </vt:variant>
      <vt:variant>
        <vt:i4>0</vt:i4>
      </vt:variant>
      <vt:variant>
        <vt:i4>5</vt:i4>
      </vt:variant>
      <vt:variant>
        <vt:lpwstr/>
      </vt:variant>
      <vt:variant>
        <vt:lpwstr>_Toc226743169</vt:lpwstr>
      </vt:variant>
      <vt:variant>
        <vt:i4>1507377</vt:i4>
      </vt:variant>
      <vt:variant>
        <vt:i4>104</vt:i4>
      </vt:variant>
      <vt:variant>
        <vt:i4>0</vt:i4>
      </vt:variant>
      <vt:variant>
        <vt:i4>5</vt:i4>
      </vt:variant>
      <vt:variant>
        <vt:lpwstr/>
      </vt:variant>
      <vt:variant>
        <vt:lpwstr>_Toc226743168</vt:lpwstr>
      </vt:variant>
      <vt:variant>
        <vt:i4>1507377</vt:i4>
      </vt:variant>
      <vt:variant>
        <vt:i4>98</vt:i4>
      </vt:variant>
      <vt:variant>
        <vt:i4>0</vt:i4>
      </vt:variant>
      <vt:variant>
        <vt:i4>5</vt:i4>
      </vt:variant>
      <vt:variant>
        <vt:lpwstr/>
      </vt:variant>
      <vt:variant>
        <vt:lpwstr>_Toc226743167</vt:lpwstr>
      </vt:variant>
      <vt:variant>
        <vt:i4>1507377</vt:i4>
      </vt:variant>
      <vt:variant>
        <vt:i4>92</vt:i4>
      </vt:variant>
      <vt:variant>
        <vt:i4>0</vt:i4>
      </vt:variant>
      <vt:variant>
        <vt:i4>5</vt:i4>
      </vt:variant>
      <vt:variant>
        <vt:lpwstr/>
      </vt:variant>
      <vt:variant>
        <vt:lpwstr>_Toc226743166</vt:lpwstr>
      </vt:variant>
      <vt:variant>
        <vt:i4>1507377</vt:i4>
      </vt:variant>
      <vt:variant>
        <vt:i4>86</vt:i4>
      </vt:variant>
      <vt:variant>
        <vt:i4>0</vt:i4>
      </vt:variant>
      <vt:variant>
        <vt:i4>5</vt:i4>
      </vt:variant>
      <vt:variant>
        <vt:lpwstr/>
      </vt:variant>
      <vt:variant>
        <vt:lpwstr>_Toc226743164</vt:lpwstr>
      </vt:variant>
      <vt:variant>
        <vt:i4>1507377</vt:i4>
      </vt:variant>
      <vt:variant>
        <vt:i4>80</vt:i4>
      </vt:variant>
      <vt:variant>
        <vt:i4>0</vt:i4>
      </vt:variant>
      <vt:variant>
        <vt:i4>5</vt:i4>
      </vt:variant>
      <vt:variant>
        <vt:lpwstr/>
      </vt:variant>
      <vt:variant>
        <vt:lpwstr>_Toc226743162</vt:lpwstr>
      </vt:variant>
      <vt:variant>
        <vt:i4>1507377</vt:i4>
      </vt:variant>
      <vt:variant>
        <vt:i4>74</vt:i4>
      </vt:variant>
      <vt:variant>
        <vt:i4>0</vt:i4>
      </vt:variant>
      <vt:variant>
        <vt:i4>5</vt:i4>
      </vt:variant>
      <vt:variant>
        <vt:lpwstr/>
      </vt:variant>
      <vt:variant>
        <vt:lpwstr>_Toc226743161</vt:lpwstr>
      </vt:variant>
      <vt:variant>
        <vt:i4>1310769</vt:i4>
      </vt:variant>
      <vt:variant>
        <vt:i4>68</vt:i4>
      </vt:variant>
      <vt:variant>
        <vt:i4>0</vt:i4>
      </vt:variant>
      <vt:variant>
        <vt:i4>5</vt:i4>
      </vt:variant>
      <vt:variant>
        <vt:lpwstr/>
      </vt:variant>
      <vt:variant>
        <vt:lpwstr>_Toc226743152</vt:lpwstr>
      </vt:variant>
      <vt:variant>
        <vt:i4>1310769</vt:i4>
      </vt:variant>
      <vt:variant>
        <vt:i4>62</vt:i4>
      </vt:variant>
      <vt:variant>
        <vt:i4>0</vt:i4>
      </vt:variant>
      <vt:variant>
        <vt:i4>5</vt:i4>
      </vt:variant>
      <vt:variant>
        <vt:lpwstr/>
      </vt:variant>
      <vt:variant>
        <vt:lpwstr>_Toc226743151</vt:lpwstr>
      </vt:variant>
      <vt:variant>
        <vt:i4>1310769</vt:i4>
      </vt:variant>
      <vt:variant>
        <vt:i4>56</vt:i4>
      </vt:variant>
      <vt:variant>
        <vt:i4>0</vt:i4>
      </vt:variant>
      <vt:variant>
        <vt:i4>5</vt:i4>
      </vt:variant>
      <vt:variant>
        <vt:lpwstr/>
      </vt:variant>
      <vt:variant>
        <vt:lpwstr>_Toc226743150</vt:lpwstr>
      </vt:variant>
      <vt:variant>
        <vt:i4>1376305</vt:i4>
      </vt:variant>
      <vt:variant>
        <vt:i4>50</vt:i4>
      </vt:variant>
      <vt:variant>
        <vt:i4>0</vt:i4>
      </vt:variant>
      <vt:variant>
        <vt:i4>5</vt:i4>
      </vt:variant>
      <vt:variant>
        <vt:lpwstr/>
      </vt:variant>
      <vt:variant>
        <vt:lpwstr>_Toc226743148</vt:lpwstr>
      </vt:variant>
      <vt:variant>
        <vt:i4>1376305</vt:i4>
      </vt:variant>
      <vt:variant>
        <vt:i4>44</vt:i4>
      </vt:variant>
      <vt:variant>
        <vt:i4>0</vt:i4>
      </vt:variant>
      <vt:variant>
        <vt:i4>5</vt:i4>
      </vt:variant>
      <vt:variant>
        <vt:lpwstr/>
      </vt:variant>
      <vt:variant>
        <vt:lpwstr>_Toc226743147</vt:lpwstr>
      </vt:variant>
      <vt:variant>
        <vt:i4>1376305</vt:i4>
      </vt:variant>
      <vt:variant>
        <vt:i4>38</vt:i4>
      </vt:variant>
      <vt:variant>
        <vt:i4>0</vt:i4>
      </vt:variant>
      <vt:variant>
        <vt:i4>5</vt:i4>
      </vt:variant>
      <vt:variant>
        <vt:lpwstr/>
      </vt:variant>
      <vt:variant>
        <vt:lpwstr>_Toc226743146</vt:lpwstr>
      </vt:variant>
      <vt:variant>
        <vt:i4>1376305</vt:i4>
      </vt:variant>
      <vt:variant>
        <vt:i4>32</vt:i4>
      </vt:variant>
      <vt:variant>
        <vt:i4>0</vt:i4>
      </vt:variant>
      <vt:variant>
        <vt:i4>5</vt:i4>
      </vt:variant>
      <vt:variant>
        <vt:lpwstr/>
      </vt:variant>
      <vt:variant>
        <vt:lpwstr>_Toc226743145</vt:lpwstr>
      </vt:variant>
      <vt:variant>
        <vt:i4>1376305</vt:i4>
      </vt:variant>
      <vt:variant>
        <vt:i4>26</vt:i4>
      </vt:variant>
      <vt:variant>
        <vt:i4>0</vt:i4>
      </vt:variant>
      <vt:variant>
        <vt:i4>5</vt:i4>
      </vt:variant>
      <vt:variant>
        <vt:lpwstr/>
      </vt:variant>
      <vt:variant>
        <vt:lpwstr>_Toc226743143</vt:lpwstr>
      </vt:variant>
      <vt:variant>
        <vt:i4>1376305</vt:i4>
      </vt:variant>
      <vt:variant>
        <vt:i4>20</vt:i4>
      </vt:variant>
      <vt:variant>
        <vt:i4>0</vt:i4>
      </vt:variant>
      <vt:variant>
        <vt:i4>5</vt:i4>
      </vt:variant>
      <vt:variant>
        <vt:lpwstr/>
      </vt:variant>
      <vt:variant>
        <vt:lpwstr>_Toc226743142</vt:lpwstr>
      </vt:variant>
      <vt:variant>
        <vt:i4>1376305</vt:i4>
      </vt:variant>
      <vt:variant>
        <vt:i4>14</vt:i4>
      </vt:variant>
      <vt:variant>
        <vt:i4>0</vt:i4>
      </vt:variant>
      <vt:variant>
        <vt:i4>5</vt:i4>
      </vt:variant>
      <vt:variant>
        <vt:lpwstr/>
      </vt:variant>
      <vt:variant>
        <vt:lpwstr>_Toc226743141</vt:lpwstr>
      </vt:variant>
      <vt:variant>
        <vt:i4>1376305</vt:i4>
      </vt:variant>
      <vt:variant>
        <vt:i4>8</vt:i4>
      </vt:variant>
      <vt:variant>
        <vt:i4>0</vt:i4>
      </vt:variant>
      <vt:variant>
        <vt:i4>5</vt:i4>
      </vt:variant>
      <vt:variant>
        <vt:lpwstr/>
      </vt:variant>
      <vt:variant>
        <vt:lpwstr>_Toc226743140</vt:lpwstr>
      </vt:variant>
      <vt:variant>
        <vt:i4>1179697</vt:i4>
      </vt:variant>
      <vt:variant>
        <vt:i4>2</vt:i4>
      </vt:variant>
      <vt:variant>
        <vt:i4>0</vt:i4>
      </vt:variant>
      <vt:variant>
        <vt:i4>5</vt:i4>
      </vt:variant>
      <vt:variant>
        <vt:lpwstr/>
      </vt:variant>
      <vt:variant>
        <vt:lpwstr>_Toc226743139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Annie M McD</cp:lastModifiedBy>
  <cp:revision>2</cp:revision>
  <dcterms:created xsi:type="dcterms:W3CDTF">2026-04-15T12:23:00Z</dcterms:created>
  <dcterms:modified xsi:type="dcterms:W3CDTF">2026-04-15T12:23:00Z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c4eca92f-dcb8-466b-8849-e9f106a4afdd</vt:lpwstr>
  </property>
</Properties>
</file>