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50E43" w14:textId="23A5C68D" w:rsidR="00DB5F39" w:rsidRPr="00DB5F39" w:rsidRDefault="009B2A72" w:rsidP="00DB5F39">
      <w:pPr>
        <w:spacing w:after="0" w:line="360" w:lineRule="auto"/>
        <w:jc w:val="center"/>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88"/>
                              <w:gridCol w:w="2588"/>
                            </w:tblGrid>
                            <w:tr w:rsidR="00CD71D3" w14:paraId="4D67C6E0" w14:textId="77777777" w:rsidTr="000221DF">
                              <w:trPr>
                                <w:trHeight w:val="10470"/>
                                <w:jc w:val="center"/>
                              </w:trPr>
                              <w:tc>
                                <w:tcPr>
                                  <w:tcW w:w="2532" w:type="pct"/>
                                  <w:vAlign w:val="center"/>
                                </w:tcPr>
                                <w:sdt>
                                  <w:sdtPr>
                                    <w:rPr>
                                      <w:rFonts w:ascii="Arial" w:eastAsia="Arial" w:hAnsi="Arial" w:cs="Arial"/>
                                      <w:b/>
                                      <w:bCs/>
                                      <w:sz w:val="60"/>
                                      <w:szCs w:val="6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E5DB462" w:rsidR="00CD71D3" w:rsidRPr="004728E1" w:rsidRDefault="004728E1" w:rsidP="00F0505E">
                                      <w:pPr>
                                        <w:pStyle w:val="NoSpacing"/>
                                        <w:spacing w:line="312" w:lineRule="auto"/>
                                        <w:jc w:val="center"/>
                                        <w:rPr>
                                          <w:rFonts w:ascii="Arial" w:hAnsi="Arial" w:cs="Arial"/>
                                          <w:caps/>
                                          <w:sz w:val="60"/>
                                          <w:szCs w:val="60"/>
                                        </w:rPr>
                                      </w:pPr>
                                      <w:r w:rsidRPr="004728E1">
                                        <w:rPr>
                                          <w:rFonts w:ascii="Arial" w:eastAsia="Arial" w:hAnsi="Arial" w:cs="Arial"/>
                                          <w:b/>
                                          <w:bCs/>
                                          <w:sz w:val="60"/>
                                          <w:szCs w:val="60"/>
                                        </w:rPr>
                                        <w:t xml:space="preserve">International </w:t>
                                      </w:r>
                                      <w:r>
                                        <w:rPr>
                                          <w:rFonts w:ascii="Arial" w:eastAsia="Arial" w:hAnsi="Arial" w:cs="Arial"/>
                                          <w:b/>
                                          <w:bCs/>
                                          <w:sz w:val="60"/>
                                          <w:szCs w:val="60"/>
                                        </w:rPr>
                                        <w:t xml:space="preserve">  </w:t>
                                      </w:r>
                                      <w:r w:rsidR="000221DF">
                                        <w:rPr>
                                          <w:rFonts w:ascii="Arial" w:eastAsia="Arial" w:hAnsi="Arial" w:cs="Arial"/>
                                          <w:b/>
                                          <w:bCs/>
                                          <w:sz w:val="60"/>
                                          <w:szCs w:val="60"/>
                                        </w:rPr>
                                        <w:t xml:space="preserve">Financial   </w:t>
                                      </w:r>
                                      <w:r w:rsidR="000221DF" w:rsidRPr="004728E1">
                                        <w:rPr>
                                          <w:rFonts w:ascii="Arial" w:eastAsia="Arial" w:hAnsi="Arial" w:cs="Arial"/>
                                          <w:b/>
                                          <w:bCs/>
                                          <w:sz w:val="60"/>
                                          <w:szCs w:val="60"/>
                                        </w:rPr>
                                        <w:t>Management</w:t>
                                      </w:r>
                                    </w:p>
                                  </w:sdtContent>
                                </w:sdt>
                                <w:sdt>
                                  <w:sdtPr>
                                    <w:rPr>
                                      <w:rFonts w:ascii="Arial" w:eastAsia="Arial" w:hAnsi="Arial" w:cs="Arial"/>
                                      <w:b/>
                                      <w:sz w:val="40"/>
                                      <w:szCs w:val="40"/>
                                    </w:rPr>
                                    <w:alias w:val="Subtitle"/>
                                    <w:tag w:val=""/>
                                    <w:id w:val="-828599613"/>
                                    <w:showingPlcHdr/>
                                    <w:dataBinding w:prefixMappings="xmlns:ns0='http://purl.org/dc/elements/1.1/' xmlns:ns1='http://schemas.openxmlformats.org/package/2006/metadata/core-properties' " w:xpath="/ns1:coreProperties[1]/ns0:subject[1]" w:storeItemID="{6C3C8BC8-F283-45AE-878A-BAB7291924A1}"/>
                                    <w:text/>
                                  </w:sdtPr>
                                  <w:sdtContent>
                                    <w:p w14:paraId="27258F5A" w14:textId="53A18882" w:rsidR="00CD71D3" w:rsidRPr="00CD71D3" w:rsidRDefault="004728E1" w:rsidP="00CD71D3">
                                      <w:pPr>
                                        <w:jc w:val="center"/>
                                        <w:rPr>
                                          <w:sz w:val="40"/>
                                          <w:szCs w:val="40"/>
                                        </w:rPr>
                                      </w:pPr>
                                      <w:r>
                                        <w:rPr>
                                          <w:rFonts w:ascii="Arial" w:eastAsia="Arial" w:hAnsi="Arial" w:cs="Arial"/>
                                          <w:b/>
                                          <w:sz w:val="40"/>
                                          <w:szCs w:val="40"/>
                                        </w:rPr>
                                        <w:t xml:space="preserve">     </w:t>
                                      </w:r>
                                    </w:p>
                                  </w:sdtContent>
                                </w:sdt>
                              </w:tc>
                              <w:tc>
                                <w:tcPr>
                                  <w:tcW w:w="2468" w:type="pct"/>
                                  <w:vAlign w:val="center"/>
                                </w:tcPr>
                                <w:p w14:paraId="66F92CB0" w14:textId="77777777" w:rsidR="00CD71D3" w:rsidRDefault="00CD71D3">
                                  <w:pPr>
                                    <w:pStyle w:val="NoSpacing"/>
                                    <w:rPr>
                                      <w:caps/>
                                      <w:color w:val="ED7D31" w:themeColor="accent2"/>
                                      <w:sz w:val="26"/>
                                      <w:szCs w:val="26"/>
                                    </w:rPr>
                                  </w:pPr>
                                </w:p>
                                <w:p w14:paraId="175A66E7" w14:textId="4A2E313D" w:rsidR="000221DF" w:rsidRDefault="000221DF" w:rsidP="000221DF">
                                  <w:pPr>
                                    <w:jc w:val="center"/>
                                    <w:rPr>
                                      <w:rFonts w:ascii="Arial" w:hAnsi="Arial" w:cs="Arial"/>
                                      <w:sz w:val="32"/>
                                      <w:szCs w:val="32"/>
                                    </w:rPr>
                                  </w:pPr>
                                  <w:sdt>
                                    <w:sdtPr>
                                      <w:rPr>
                                        <w:rFonts w:ascii="Arial" w:hAnsi="Arial" w:cs="Arial"/>
                                        <w:sz w:val="32"/>
                                        <w:szCs w:val="32"/>
                                      </w:rPr>
                                      <w:alias w:val="Abstract"/>
                                      <w:tag w:val=""/>
                                      <w:id w:val="1714151373"/>
                                      <w:dataBinding w:prefixMappings="xmlns:ns0='http://schemas.microsoft.com/office/2006/coverPageProps' " w:xpath="/ns0:CoverPageProperties[1]/ns0:Abstract[1]" w:storeItemID="{55AF091B-3C7A-41E3-B477-F2FDAA23CFDA}"/>
                                      <w:text/>
                                    </w:sdtPr>
                                    <w:sdtContent>
                                      <w:r>
                                        <w:rPr>
                                          <w:rFonts w:ascii="Arial" w:hAnsi="Arial" w:cs="Arial"/>
                                          <w:sz w:val="32"/>
                                          <w:szCs w:val="32"/>
                                        </w:rPr>
                                        <w:t>BA Business Management                Module Code: LCBB6002    Module Lead: Dr Mudassar Hasan</w:t>
                                      </w:r>
                                    </w:sdtContent>
                                  </w:sdt>
                                </w:p>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022A5E80" w:rsidR="00CD71D3" w:rsidRPr="006E1B19" w:rsidRDefault="00DB5F39" w:rsidP="00386155">
                                      <w:pPr>
                                        <w:pStyle w:val="NoSpacing"/>
                                        <w:jc w:val="center"/>
                                        <w:rPr>
                                          <w:i/>
                                          <w:color w:val="ED7D31" w:themeColor="accent2"/>
                                          <w:sz w:val="26"/>
                                          <w:szCs w:val="26"/>
                                        </w:rPr>
                                      </w:pPr>
                                      <w:r>
                                        <w:rPr>
                                          <w:i/>
                                        </w:rPr>
                                        <w:t xml:space="preserve">     </w:t>
                                      </w:r>
                                    </w:p>
                                  </w:sdtContent>
                                </w:sdt>
                                <w:p w14:paraId="61748038" w14:textId="386F57AA"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0221DF">
                                        <w:rPr>
                                          <w:i/>
                                          <w:sz w:val="28"/>
                                          <w:szCs w:val="28"/>
                                        </w:rPr>
                                        <w:t xml:space="preserve">Student: </w:t>
                                      </w:r>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8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88"/>
                        <w:gridCol w:w="2588"/>
                      </w:tblGrid>
                      <w:tr w:rsidR="00CD71D3" w14:paraId="4D67C6E0" w14:textId="77777777" w:rsidTr="000221DF">
                        <w:trPr>
                          <w:trHeight w:val="10470"/>
                          <w:jc w:val="center"/>
                        </w:trPr>
                        <w:tc>
                          <w:tcPr>
                            <w:tcW w:w="2532" w:type="pct"/>
                            <w:vAlign w:val="center"/>
                          </w:tcPr>
                          <w:sdt>
                            <w:sdtPr>
                              <w:rPr>
                                <w:rFonts w:ascii="Arial" w:eastAsia="Arial" w:hAnsi="Arial" w:cs="Arial"/>
                                <w:b/>
                                <w:bCs/>
                                <w:sz w:val="60"/>
                                <w:szCs w:val="6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E5DB462" w:rsidR="00CD71D3" w:rsidRPr="004728E1" w:rsidRDefault="004728E1" w:rsidP="00F0505E">
                                <w:pPr>
                                  <w:pStyle w:val="NoSpacing"/>
                                  <w:spacing w:line="312" w:lineRule="auto"/>
                                  <w:jc w:val="center"/>
                                  <w:rPr>
                                    <w:rFonts w:ascii="Arial" w:hAnsi="Arial" w:cs="Arial"/>
                                    <w:caps/>
                                    <w:sz w:val="60"/>
                                    <w:szCs w:val="60"/>
                                  </w:rPr>
                                </w:pPr>
                                <w:r w:rsidRPr="004728E1">
                                  <w:rPr>
                                    <w:rFonts w:ascii="Arial" w:eastAsia="Arial" w:hAnsi="Arial" w:cs="Arial"/>
                                    <w:b/>
                                    <w:bCs/>
                                    <w:sz w:val="60"/>
                                    <w:szCs w:val="60"/>
                                  </w:rPr>
                                  <w:t xml:space="preserve">International </w:t>
                                </w:r>
                                <w:r>
                                  <w:rPr>
                                    <w:rFonts w:ascii="Arial" w:eastAsia="Arial" w:hAnsi="Arial" w:cs="Arial"/>
                                    <w:b/>
                                    <w:bCs/>
                                    <w:sz w:val="60"/>
                                    <w:szCs w:val="60"/>
                                  </w:rPr>
                                  <w:t xml:space="preserve">  </w:t>
                                </w:r>
                                <w:r w:rsidR="000221DF">
                                  <w:rPr>
                                    <w:rFonts w:ascii="Arial" w:eastAsia="Arial" w:hAnsi="Arial" w:cs="Arial"/>
                                    <w:b/>
                                    <w:bCs/>
                                    <w:sz w:val="60"/>
                                    <w:szCs w:val="60"/>
                                  </w:rPr>
                                  <w:t xml:space="preserve">Financial   </w:t>
                                </w:r>
                                <w:r w:rsidR="000221DF" w:rsidRPr="004728E1">
                                  <w:rPr>
                                    <w:rFonts w:ascii="Arial" w:eastAsia="Arial" w:hAnsi="Arial" w:cs="Arial"/>
                                    <w:b/>
                                    <w:bCs/>
                                    <w:sz w:val="60"/>
                                    <w:szCs w:val="60"/>
                                  </w:rPr>
                                  <w:t>Management</w:t>
                                </w:r>
                              </w:p>
                            </w:sdtContent>
                          </w:sdt>
                          <w:sdt>
                            <w:sdtPr>
                              <w:rPr>
                                <w:rFonts w:ascii="Arial" w:eastAsia="Arial" w:hAnsi="Arial" w:cs="Arial"/>
                                <w:b/>
                                <w:sz w:val="40"/>
                                <w:szCs w:val="40"/>
                              </w:rPr>
                              <w:alias w:val="Subtitle"/>
                              <w:tag w:val=""/>
                              <w:id w:val="-828599613"/>
                              <w:showingPlcHdr/>
                              <w:dataBinding w:prefixMappings="xmlns:ns0='http://purl.org/dc/elements/1.1/' xmlns:ns1='http://schemas.openxmlformats.org/package/2006/metadata/core-properties' " w:xpath="/ns1:coreProperties[1]/ns0:subject[1]" w:storeItemID="{6C3C8BC8-F283-45AE-878A-BAB7291924A1}"/>
                              <w:text/>
                            </w:sdtPr>
                            <w:sdtContent>
                              <w:p w14:paraId="27258F5A" w14:textId="53A18882" w:rsidR="00CD71D3" w:rsidRPr="00CD71D3" w:rsidRDefault="004728E1" w:rsidP="00CD71D3">
                                <w:pPr>
                                  <w:jc w:val="center"/>
                                  <w:rPr>
                                    <w:sz w:val="40"/>
                                    <w:szCs w:val="40"/>
                                  </w:rPr>
                                </w:pPr>
                                <w:r>
                                  <w:rPr>
                                    <w:rFonts w:ascii="Arial" w:eastAsia="Arial" w:hAnsi="Arial" w:cs="Arial"/>
                                    <w:b/>
                                    <w:sz w:val="40"/>
                                    <w:szCs w:val="40"/>
                                  </w:rPr>
                                  <w:t xml:space="preserve">     </w:t>
                                </w:r>
                              </w:p>
                            </w:sdtContent>
                          </w:sdt>
                        </w:tc>
                        <w:tc>
                          <w:tcPr>
                            <w:tcW w:w="2468" w:type="pct"/>
                            <w:vAlign w:val="center"/>
                          </w:tcPr>
                          <w:p w14:paraId="66F92CB0" w14:textId="77777777" w:rsidR="00CD71D3" w:rsidRDefault="00CD71D3">
                            <w:pPr>
                              <w:pStyle w:val="NoSpacing"/>
                              <w:rPr>
                                <w:caps/>
                                <w:color w:val="ED7D31" w:themeColor="accent2"/>
                                <w:sz w:val="26"/>
                                <w:szCs w:val="26"/>
                              </w:rPr>
                            </w:pPr>
                          </w:p>
                          <w:p w14:paraId="175A66E7" w14:textId="4A2E313D" w:rsidR="000221DF" w:rsidRDefault="000221DF" w:rsidP="000221DF">
                            <w:pPr>
                              <w:jc w:val="center"/>
                              <w:rPr>
                                <w:rFonts w:ascii="Arial" w:hAnsi="Arial" w:cs="Arial"/>
                                <w:sz w:val="32"/>
                                <w:szCs w:val="32"/>
                              </w:rPr>
                            </w:pPr>
                            <w:sdt>
                              <w:sdtPr>
                                <w:rPr>
                                  <w:rFonts w:ascii="Arial" w:hAnsi="Arial" w:cs="Arial"/>
                                  <w:sz w:val="32"/>
                                  <w:szCs w:val="32"/>
                                </w:rPr>
                                <w:alias w:val="Abstract"/>
                                <w:tag w:val=""/>
                                <w:id w:val="1714151373"/>
                                <w:dataBinding w:prefixMappings="xmlns:ns0='http://schemas.microsoft.com/office/2006/coverPageProps' " w:xpath="/ns0:CoverPageProperties[1]/ns0:Abstract[1]" w:storeItemID="{55AF091B-3C7A-41E3-B477-F2FDAA23CFDA}"/>
                                <w:text/>
                              </w:sdtPr>
                              <w:sdtContent>
                                <w:r>
                                  <w:rPr>
                                    <w:rFonts w:ascii="Arial" w:hAnsi="Arial" w:cs="Arial"/>
                                    <w:sz w:val="32"/>
                                    <w:szCs w:val="32"/>
                                  </w:rPr>
                                  <w:t>BA Business Management                Module Code: LCBB6002    Module Lead: Dr Mudassar Hasan</w:t>
                                </w:r>
                              </w:sdtContent>
                            </w:sdt>
                          </w:p>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022A5E80" w:rsidR="00CD71D3" w:rsidRPr="006E1B19" w:rsidRDefault="00DB5F39" w:rsidP="00386155">
                                <w:pPr>
                                  <w:pStyle w:val="NoSpacing"/>
                                  <w:jc w:val="center"/>
                                  <w:rPr>
                                    <w:i/>
                                    <w:color w:val="ED7D31" w:themeColor="accent2"/>
                                    <w:sz w:val="26"/>
                                    <w:szCs w:val="26"/>
                                  </w:rPr>
                                </w:pPr>
                                <w:r>
                                  <w:rPr>
                                    <w:i/>
                                  </w:rPr>
                                  <w:t xml:space="preserve">     </w:t>
                                </w:r>
                              </w:p>
                            </w:sdtContent>
                          </w:sdt>
                          <w:p w14:paraId="61748038" w14:textId="386F57AA"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0221DF">
                                  <w:rPr>
                                    <w:i/>
                                    <w:sz w:val="28"/>
                                    <w:szCs w:val="28"/>
                                  </w:rPr>
                                  <w:t xml:space="preserve">Student: </w:t>
                                </w:r>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5156E3">
            <w:rPr>
              <w:rFonts w:ascii="Arial" w:hAnsi="Arial" w:cs="Arial"/>
              <w:bCs/>
            </w:rPr>
            <w:br w:type="page"/>
          </w:r>
        </w:sdtContent>
      </w:sdt>
    </w:p>
    <w:p w14:paraId="12541BB2"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sdt>
      <w:sdtPr>
        <w:rPr>
          <w:rFonts w:asciiTheme="minorHAnsi" w:eastAsiaTheme="minorHAnsi" w:hAnsiTheme="minorHAnsi" w:cstheme="minorBidi"/>
          <w:color w:val="auto"/>
          <w:sz w:val="22"/>
          <w:szCs w:val="22"/>
        </w:rPr>
        <w:id w:val="-979311499"/>
        <w:docPartObj>
          <w:docPartGallery w:val="Table of Contents"/>
          <w:docPartUnique/>
        </w:docPartObj>
      </w:sdtPr>
      <w:sdtEndPr>
        <w:rPr>
          <w:b/>
          <w:bCs/>
          <w:noProof/>
        </w:rPr>
      </w:sdtEndPr>
      <w:sdtContent>
        <w:p w14:paraId="5D477A1A" w14:textId="77777777" w:rsidR="00F26256" w:rsidRDefault="00F26256" w:rsidP="00F26256">
          <w:pPr>
            <w:pStyle w:val="TOCHeading"/>
            <w:rPr>
              <w:rFonts w:ascii="Arial" w:hAnsi="Arial" w:cs="Arial"/>
              <w:color w:val="auto"/>
              <w:sz w:val="40"/>
              <w:szCs w:val="40"/>
            </w:rPr>
          </w:pPr>
          <w:r w:rsidRPr="00D1740F">
            <w:rPr>
              <w:rFonts w:ascii="Arial" w:hAnsi="Arial" w:cs="Arial"/>
              <w:color w:val="auto"/>
              <w:sz w:val="40"/>
              <w:szCs w:val="40"/>
            </w:rPr>
            <w:t>Table of Contents</w:t>
          </w:r>
        </w:p>
        <w:p w14:paraId="31CC490C" w14:textId="77777777" w:rsidR="00117B6F" w:rsidRPr="00117B6F" w:rsidRDefault="00117B6F" w:rsidP="00117B6F"/>
        <w:p w14:paraId="1A2427C4" w14:textId="77777777" w:rsidR="00F26256" w:rsidRPr="00D1740F" w:rsidRDefault="00F26256" w:rsidP="00F26256">
          <w:pPr>
            <w:rPr>
              <w:rFonts w:ascii="Arial" w:hAnsi="Arial" w:cs="Arial"/>
            </w:rPr>
          </w:pPr>
        </w:p>
        <w:p w14:paraId="4D3F6C12" w14:textId="1C3CAD54" w:rsidR="00F66D65" w:rsidRDefault="00F26256">
          <w:pPr>
            <w:pStyle w:val="TOC1"/>
            <w:tabs>
              <w:tab w:val="right" w:leader="dot" w:pos="9962"/>
            </w:tabs>
            <w:rPr>
              <w:rFonts w:eastAsiaTheme="minorEastAsia"/>
              <w:noProof/>
              <w:sz w:val="24"/>
              <w:szCs w:val="24"/>
              <w:lang w:val="bg-BG" w:eastAsia="bg-BG"/>
            </w:rPr>
          </w:pPr>
          <w:r w:rsidRPr="00D1740F">
            <w:rPr>
              <w:rFonts w:ascii="Arial" w:hAnsi="Arial" w:cs="Arial"/>
            </w:rPr>
            <w:fldChar w:fldCharType="begin"/>
          </w:r>
          <w:r w:rsidRPr="00D1740F">
            <w:rPr>
              <w:rFonts w:ascii="Arial" w:hAnsi="Arial" w:cs="Arial"/>
            </w:rPr>
            <w:instrText xml:space="preserve"> TOC \o "1-3" \h \z \u </w:instrText>
          </w:r>
          <w:r w:rsidRPr="00D1740F">
            <w:rPr>
              <w:rFonts w:ascii="Arial" w:hAnsi="Arial" w:cs="Arial"/>
            </w:rPr>
            <w:fldChar w:fldCharType="separate"/>
          </w:r>
          <w:hyperlink w:anchor="_Toc190338948" w:history="1">
            <w:r w:rsidR="00F66D65" w:rsidRPr="00821FEA">
              <w:rPr>
                <w:rStyle w:val="Hyperlink"/>
                <w:rFonts w:ascii="Arial" w:hAnsi="Arial" w:cs="Arial"/>
                <w:b/>
                <w:bCs/>
                <w:noProof/>
              </w:rPr>
              <w:t>Executive Summary</w:t>
            </w:r>
            <w:r w:rsidR="00F66D65">
              <w:rPr>
                <w:noProof/>
                <w:webHidden/>
              </w:rPr>
              <w:tab/>
            </w:r>
            <w:r w:rsidR="00F66D65">
              <w:rPr>
                <w:noProof/>
                <w:webHidden/>
              </w:rPr>
              <w:fldChar w:fldCharType="begin"/>
            </w:r>
            <w:r w:rsidR="00F66D65">
              <w:rPr>
                <w:noProof/>
                <w:webHidden/>
              </w:rPr>
              <w:instrText xml:space="preserve"> PAGEREF _Toc190338948 \h </w:instrText>
            </w:r>
            <w:r w:rsidR="00F66D65">
              <w:rPr>
                <w:noProof/>
                <w:webHidden/>
              </w:rPr>
            </w:r>
            <w:r w:rsidR="00F66D65">
              <w:rPr>
                <w:noProof/>
                <w:webHidden/>
              </w:rPr>
              <w:fldChar w:fldCharType="separate"/>
            </w:r>
            <w:r w:rsidR="000221DF">
              <w:rPr>
                <w:noProof/>
                <w:webHidden/>
              </w:rPr>
              <w:t>3</w:t>
            </w:r>
            <w:r w:rsidR="00F66D65">
              <w:rPr>
                <w:noProof/>
                <w:webHidden/>
              </w:rPr>
              <w:fldChar w:fldCharType="end"/>
            </w:r>
          </w:hyperlink>
        </w:p>
        <w:p w14:paraId="1521D56B" w14:textId="68B436F2" w:rsidR="00F66D65" w:rsidRDefault="00F66D65">
          <w:pPr>
            <w:pStyle w:val="TOC1"/>
            <w:tabs>
              <w:tab w:val="right" w:leader="dot" w:pos="9962"/>
            </w:tabs>
            <w:rPr>
              <w:rFonts w:eastAsiaTheme="minorEastAsia"/>
              <w:noProof/>
              <w:sz w:val="24"/>
              <w:szCs w:val="24"/>
              <w:lang w:val="bg-BG" w:eastAsia="bg-BG"/>
            </w:rPr>
          </w:pPr>
          <w:hyperlink w:anchor="_Toc190338949" w:history="1">
            <w:r w:rsidRPr="00821FE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_Toc190338949 \h </w:instrText>
            </w:r>
            <w:r>
              <w:rPr>
                <w:noProof/>
                <w:webHidden/>
              </w:rPr>
            </w:r>
            <w:r>
              <w:rPr>
                <w:noProof/>
                <w:webHidden/>
              </w:rPr>
              <w:fldChar w:fldCharType="separate"/>
            </w:r>
            <w:r w:rsidR="000221DF">
              <w:rPr>
                <w:noProof/>
                <w:webHidden/>
              </w:rPr>
              <w:t>3</w:t>
            </w:r>
            <w:r>
              <w:rPr>
                <w:noProof/>
                <w:webHidden/>
              </w:rPr>
              <w:fldChar w:fldCharType="end"/>
            </w:r>
          </w:hyperlink>
        </w:p>
        <w:p w14:paraId="4E052C68" w14:textId="338BFF7A" w:rsidR="00F66D65" w:rsidRDefault="00F66D65">
          <w:pPr>
            <w:pStyle w:val="TOC1"/>
            <w:tabs>
              <w:tab w:val="right" w:leader="dot" w:pos="9962"/>
            </w:tabs>
            <w:rPr>
              <w:rFonts w:eastAsiaTheme="minorEastAsia"/>
              <w:noProof/>
              <w:sz w:val="24"/>
              <w:szCs w:val="24"/>
              <w:lang w:val="bg-BG" w:eastAsia="bg-BG"/>
            </w:rPr>
          </w:pPr>
          <w:hyperlink w:anchor="_Toc190338950" w:history="1">
            <w:r w:rsidRPr="00821FEA">
              <w:rPr>
                <w:rStyle w:val="Hyperlink"/>
                <w:rFonts w:ascii="Arial" w:hAnsi="Arial" w:cs="Arial"/>
                <w:b/>
                <w:bCs/>
                <w:noProof/>
              </w:rPr>
              <w:t>Corporate Governance and Agency Theory</w:t>
            </w:r>
            <w:r>
              <w:rPr>
                <w:noProof/>
                <w:webHidden/>
              </w:rPr>
              <w:tab/>
            </w:r>
            <w:r>
              <w:rPr>
                <w:noProof/>
                <w:webHidden/>
              </w:rPr>
              <w:fldChar w:fldCharType="begin"/>
            </w:r>
            <w:r>
              <w:rPr>
                <w:noProof/>
                <w:webHidden/>
              </w:rPr>
              <w:instrText xml:space="preserve"> PAGEREF _Toc190338950 \h </w:instrText>
            </w:r>
            <w:r>
              <w:rPr>
                <w:noProof/>
                <w:webHidden/>
              </w:rPr>
            </w:r>
            <w:r>
              <w:rPr>
                <w:noProof/>
                <w:webHidden/>
              </w:rPr>
              <w:fldChar w:fldCharType="separate"/>
            </w:r>
            <w:r w:rsidR="000221DF">
              <w:rPr>
                <w:noProof/>
                <w:webHidden/>
              </w:rPr>
              <w:t>3</w:t>
            </w:r>
            <w:r>
              <w:rPr>
                <w:noProof/>
                <w:webHidden/>
              </w:rPr>
              <w:fldChar w:fldCharType="end"/>
            </w:r>
          </w:hyperlink>
        </w:p>
        <w:p w14:paraId="37857703" w14:textId="7C0A547A" w:rsidR="00F66D65" w:rsidRDefault="00F66D65">
          <w:pPr>
            <w:pStyle w:val="TOC1"/>
            <w:tabs>
              <w:tab w:val="right" w:leader="dot" w:pos="9962"/>
            </w:tabs>
            <w:rPr>
              <w:rFonts w:eastAsiaTheme="minorEastAsia"/>
              <w:noProof/>
              <w:sz w:val="24"/>
              <w:szCs w:val="24"/>
              <w:lang w:val="bg-BG" w:eastAsia="bg-BG"/>
            </w:rPr>
          </w:pPr>
          <w:hyperlink w:anchor="_Toc190338951" w:history="1">
            <w:r w:rsidRPr="00821FEA">
              <w:rPr>
                <w:rStyle w:val="Hyperlink"/>
                <w:rFonts w:ascii="Arial" w:hAnsi="Arial" w:cs="Arial"/>
                <w:b/>
                <w:bCs/>
                <w:noProof/>
              </w:rPr>
              <w:t>Strategic Control with Minority Shareholding</w:t>
            </w:r>
            <w:r>
              <w:rPr>
                <w:noProof/>
                <w:webHidden/>
              </w:rPr>
              <w:tab/>
            </w:r>
            <w:r>
              <w:rPr>
                <w:noProof/>
                <w:webHidden/>
              </w:rPr>
              <w:fldChar w:fldCharType="begin"/>
            </w:r>
            <w:r>
              <w:rPr>
                <w:noProof/>
                <w:webHidden/>
              </w:rPr>
              <w:instrText xml:space="preserve"> PAGEREF _Toc190338951 \h </w:instrText>
            </w:r>
            <w:r>
              <w:rPr>
                <w:noProof/>
                <w:webHidden/>
              </w:rPr>
            </w:r>
            <w:r>
              <w:rPr>
                <w:noProof/>
                <w:webHidden/>
              </w:rPr>
              <w:fldChar w:fldCharType="separate"/>
            </w:r>
            <w:r w:rsidR="000221DF">
              <w:rPr>
                <w:noProof/>
                <w:webHidden/>
              </w:rPr>
              <w:t>4</w:t>
            </w:r>
            <w:r>
              <w:rPr>
                <w:noProof/>
                <w:webHidden/>
              </w:rPr>
              <w:fldChar w:fldCharType="end"/>
            </w:r>
          </w:hyperlink>
        </w:p>
        <w:p w14:paraId="163370C7" w14:textId="63AC6534" w:rsidR="00F66D65" w:rsidRDefault="00F66D65">
          <w:pPr>
            <w:pStyle w:val="TOC1"/>
            <w:tabs>
              <w:tab w:val="right" w:leader="dot" w:pos="9962"/>
            </w:tabs>
            <w:rPr>
              <w:rFonts w:eastAsiaTheme="minorEastAsia"/>
              <w:noProof/>
              <w:sz w:val="24"/>
              <w:szCs w:val="24"/>
              <w:lang w:val="bg-BG" w:eastAsia="bg-BG"/>
            </w:rPr>
          </w:pPr>
          <w:hyperlink w:anchor="_Toc190338952" w:history="1">
            <w:r w:rsidRPr="00821FEA">
              <w:rPr>
                <w:rStyle w:val="Hyperlink"/>
                <w:rFonts w:ascii="Arial" w:hAnsi="Arial" w:cs="Arial"/>
                <w:b/>
                <w:bCs/>
                <w:noProof/>
              </w:rPr>
              <w:t>Director Remuneration</w:t>
            </w:r>
            <w:r>
              <w:rPr>
                <w:noProof/>
                <w:webHidden/>
              </w:rPr>
              <w:tab/>
            </w:r>
            <w:r>
              <w:rPr>
                <w:noProof/>
                <w:webHidden/>
              </w:rPr>
              <w:fldChar w:fldCharType="begin"/>
            </w:r>
            <w:r>
              <w:rPr>
                <w:noProof/>
                <w:webHidden/>
              </w:rPr>
              <w:instrText xml:space="preserve"> PAGEREF _Toc190338952 \h </w:instrText>
            </w:r>
            <w:r>
              <w:rPr>
                <w:noProof/>
                <w:webHidden/>
              </w:rPr>
            </w:r>
            <w:r>
              <w:rPr>
                <w:noProof/>
                <w:webHidden/>
              </w:rPr>
              <w:fldChar w:fldCharType="separate"/>
            </w:r>
            <w:r w:rsidR="000221DF">
              <w:rPr>
                <w:noProof/>
                <w:webHidden/>
              </w:rPr>
              <w:t>5</w:t>
            </w:r>
            <w:r>
              <w:rPr>
                <w:noProof/>
                <w:webHidden/>
              </w:rPr>
              <w:fldChar w:fldCharType="end"/>
            </w:r>
          </w:hyperlink>
        </w:p>
        <w:p w14:paraId="4E7A4F18" w14:textId="24882B42" w:rsidR="00F66D65" w:rsidRDefault="00F66D65">
          <w:pPr>
            <w:pStyle w:val="TOC1"/>
            <w:tabs>
              <w:tab w:val="right" w:leader="dot" w:pos="9962"/>
            </w:tabs>
            <w:rPr>
              <w:rFonts w:eastAsiaTheme="minorEastAsia"/>
              <w:noProof/>
              <w:sz w:val="24"/>
              <w:szCs w:val="24"/>
              <w:lang w:val="bg-BG" w:eastAsia="bg-BG"/>
            </w:rPr>
          </w:pPr>
          <w:hyperlink w:anchor="_Toc190338953" w:history="1">
            <w:r w:rsidRPr="00821FEA">
              <w:rPr>
                <w:rStyle w:val="Hyperlink"/>
                <w:rFonts w:ascii="Arial" w:hAnsi="Arial" w:cs="Arial"/>
                <w:b/>
                <w:bCs/>
                <w:noProof/>
              </w:rPr>
              <w:t>Determining Director Remuneration</w:t>
            </w:r>
            <w:r>
              <w:rPr>
                <w:noProof/>
                <w:webHidden/>
              </w:rPr>
              <w:tab/>
            </w:r>
            <w:r>
              <w:rPr>
                <w:noProof/>
                <w:webHidden/>
              </w:rPr>
              <w:fldChar w:fldCharType="begin"/>
            </w:r>
            <w:r>
              <w:rPr>
                <w:noProof/>
                <w:webHidden/>
              </w:rPr>
              <w:instrText xml:space="preserve"> PAGEREF _Toc190338953 \h </w:instrText>
            </w:r>
            <w:r>
              <w:rPr>
                <w:noProof/>
                <w:webHidden/>
              </w:rPr>
            </w:r>
            <w:r>
              <w:rPr>
                <w:noProof/>
                <w:webHidden/>
              </w:rPr>
              <w:fldChar w:fldCharType="separate"/>
            </w:r>
            <w:r w:rsidR="000221DF">
              <w:rPr>
                <w:noProof/>
                <w:webHidden/>
              </w:rPr>
              <w:t>5</w:t>
            </w:r>
            <w:r>
              <w:rPr>
                <w:noProof/>
                <w:webHidden/>
              </w:rPr>
              <w:fldChar w:fldCharType="end"/>
            </w:r>
          </w:hyperlink>
        </w:p>
        <w:p w14:paraId="45392C87" w14:textId="566C7B5E" w:rsidR="00F66D65" w:rsidRDefault="00F66D65">
          <w:pPr>
            <w:pStyle w:val="TOC1"/>
            <w:tabs>
              <w:tab w:val="right" w:leader="dot" w:pos="9962"/>
            </w:tabs>
            <w:rPr>
              <w:rFonts w:eastAsiaTheme="minorEastAsia"/>
              <w:noProof/>
              <w:sz w:val="24"/>
              <w:szCs w:val="24"/>
              <w:lang w:val="bg-BG" w:eastAsia="bg-BG"/>
            </w:rPr>
          </w:pPr>
          <w:hyperlink w:anchor="_Toc190338954" w:history="1">
            <w:r w:rsidRPr="00821FEA">
              <w:rPr>
                <w:rStyle w:val="Hyperlink"/>
                <w:rFonts w:ascii="Arial" w:hAnsi="Arial" w:cs="Arial"/>
                <w:b/>
                <w:bCs/>
                <w:noProof/>
              </w:rPr>
              <w:t>Structures for Fair Compensation</w:t>
            </w:r>
            <w:r>
              <w:rPr>
                <w:noProof/>
                <w:webHidden/>
              </w:rPr>
              <w:tab/>
            </w:r>
            <w:r>
              <w:rPr>
                <w:noProof/>
                <w:webHidden/>
              </w:rPr>
              <w:fldChar w:fldCharType="begin"/>
            </w:r>
            <w:r>
              <w:rPr>
                <w:noProof/>
                <w:webHidden/>
              </w:rPr>
              <w:instrText xml:space="preserve"> PAGEREF _Toc190338954 \h </w:instrText>
            </w:r>
            <w:r>
              <w:rPr>
                <w:noProof/>
                <w:webHidden/>
              </w:rPr>
            </w:r>
            <w:r>
              <w:rPr>
                <w:noProof/>
                <w:webHidden/>
              </w:rPr>
              <w:fldChar w:fldCharType="separate"/>
            </w:r>
            <w:r w:rsidR="000221DF">
              <w:rPr>
                <w:noProof/>
                <w:webHidden/>
              </w:rPr>
              <w:t>5</w:t>
            </w:r>
            <w:r>
              <w:rPr>
                <w:noProof/>
                <w:webHidden/>
              </w:rPr>
              <w:fldChar w:fldCharType="end"/>
            </w:r>
          </w:hyperlink>
        </w:p>
        <w:p w14:paraId="3D6E0498" w14:textId="4795E7E8" w:rsidR="00F66D65" w:rsidRDefault="00F66D65">
          <w:pPr>
            <w:pStyle w:val="TOC1"/>
            <w:tabs>
              <w:tab w:val="right" w:leader="dot" w:pos="9962"/>
            </w:tabs>
            <w:rPr>
              <w:rFonts w:eastAsiaTheme="minorEastAsia"/>
              <w:noProof/>
              <w:sz w:val="24"/>
              <w:szCs w:val="24"/>
              <w:lang w:val="bg-BG" w:eastAsia="bg-BG"/>
            </w:rPr>
          </w:pPr>
          <w:hyperlink w:anchor="_Toc190338955" w:history="1">
            <w:r w:rsidRPr="00821FEA">
              <w:rPr>
                <w:rStyle w:val="Hyperlink"/>
                <w:rFonts w:ascii="Arial" w:hAnsi="Arial" w:cs="Arial"/>
                <w:b/>
                <w:bCs/>
                <w:noProof/>
              </w:rPr>
              <w:t>International Listing Considerations</w:t>
            </w:r>
            <w:r>
              <w:rPr>
                <w:noProof/>
                <w:webHidden/>
              </w:rPr>
              <w:tab/>
            </w:r>
            <w:r>
              <w:rPr>
                <w:noProof/>
                <w:webHidden/>
              </w:rPr>
              <w:fldChar w:fldCharType="begin"/>
            </w:r>
            <w:r>
              <w:rPr>
                <w:noProof/>
                <w:webHidden/>
              </w:rPr>
              <w:instrText xml:space="preserve"> PAGEREF _Toc190338955 \h </w:instrText>
            </w:r>
            <w:r>
              <w:rPr>
                <w:noProof/>
                <w:webHidden/>
              </w:rPr>
            </w:r>
            <w:r>
              <w:rPr>
                <w:noProof/>
                <w:webHidden/>
              </w:rPr>
              <w:fldChar w:fldCharType="separate"/>
            </w:r>
            <w:r w:rsidR="000221DF">
              <w:rPr>
                <w:noProof/>
                <w:webHidden/>
              </w:rPr>
              <w:t>5</w:t>
            </w:r>
            <w:r>
              <w:rPr>
                <w:noProof/>
                <w:webHidden/>
              </w:rPr>
              <w:fldChar w:fldCharType="end"/>
            </w:r>
          </w:hyperlink>
        </w:p>
        <w:p w14:paraId="40B314FC" w14:textId="5C341779" w:rsidR="00F66D65" w:rsidRDefault="00F66D65">
          <w:pPr>
            <w:pStyle w:val="TOC1"/>
            <w:tabs>
              <w:tab w:val="right" w:leader="dot" w:pos="9962"/>
            </w:tabs>
            <w:rPr>
              <w:rFonts w:eastAsiaTheme="minorEastAsia"/>
              <w:noProof/>
              <w:sz w:val="24"/>
              <w:szCs w:val="24"/>
              <w:lang w:val="bg-BG" w:eastAsia="bg-BG"/>
            </w:rPr>
          </w:pPr>
          <w:hyperlink w:anchor="_Toc190338956" w:history="1">
            <w:r w:rsidRPr="00821FEA">
              <w:rPr>
                <w:rStyle w:val="Hyperlink"/>
                <w:rFonts w:ascii="Arial" w:hAnsi="Arial" w:cs="Arial"/>
                <w:b/>
                <w:bCs/>
                <w:noProof/>
              </w:rPr>
              <w:t>Regulatory Frameworks</w:t>
            </w:r>
            <w:r>
              <w:rPr>
                <w:noProof/>
                <w:webHidden/>
              </w:rPr>
              <w:tab/>
            </w:r>
            <w:r>
              <w:rPr>
                <w:noProof/>
                <w:webHidden/>
              </w:rPr>
              <w:fldChar w:fldCharType="begin"/>
            </w:r>
            <w:r>
              <w:rPr>
                <w:noProof/>
                <w:webHidden/>
              </w:rPr>
              <w:instrText xml:space="preserve"> PAGEREF _Toc190338956 \h </w:instrText>
            </w:r>
            <w:r>
              <w:rPr>
                <w:noProof/>
                <w:webHidden/>
              </w:rPr>
            </w:r>
            <w:r>
              <w:rPr>
                <w:noProof/>
                <w:webHidden/>
              </w:rPr>
              <w:fldChar w:fldCharType="separate"/>
            </w:r>
            <w:r w:rsidR="000221DF">
              <w:rPr>
                <w:noProof/>
                <w:webHidden/>
              </w:rPr>
              <w:t>5</w:t>
            </w:r>
            <w:r>
              <w:rPr>
                <w:noProof/>
                <w:webHidden/>
              </w:rPr>
              <w:fldChar w:fldCharType="end"/>
            </w:r>
          </w:hyperlink>
        </w:p>
        <w:p w14:paraId="3138D240" w14:textId="096191A5" w:rsidR="00F66D65" w:rsidRDefault="00F66D65">
          <w:pPr>
            <w:pStyle w:val="TOC1"/>
            <w:tabs>
              <w:tab w:val="right" w:leader="dot" w:pos="9962"/>
            </w:tabs>
            <w:rPr>
              <w:rFonts w:eastAsiaTheme="minorEastAsia"/>
              <w:noProof/>
              <w:sz w:val="24"/>
              <w:szCs w:val="24"/>
              <w:lang w:val="bg-BG" w:eastAsia="bg-BG"/>
            </w:rPr>
          </w:pPr>
          <w:hyperlink w:anchor="_Toc190338957" w:history="1">
            <w:r w:rsidRPr="00821FEA">
              <w:rPr>
                <w:rStyle w:val="Hyperlink"/>
                <w:rFonts w:ascii="Arial" w:hAnsi="Arial" w:cs="Arial"/>
                <w:b/>
                <w:bCs/>
                <w:noProof/>
              </w:rPr>
              <w:t>Corporate Governance Differences</w:t>
            </w:r>
            <w:r>
              <w:rPr>
                <w:noProof/>
                <w:webHidden/>
              </w:rPr>
              <w:tab/>
            </w:r>
            <w:r>
              <w:rPr>
                <w:noProof/>
                <w:webHidden/>
              </w:rPr>
              <w:fldChar w:fldCharType="begin"/>
            </w:r>
            <w:r>
              <w:rPr>
                <w:noProof/>
                <w:webHidden/>
              </w:rPr>
              <w:instrText xml:space="preserve"> PAGEREF _Toc190338957 \h </w:instrText>
            </w:r>
            <w:r>
              <w:rPr>
                <w:noProof/>
                <w:webHidden/>
              </w:rPr>
            </w:r>
            <w:r>
              <w:rPr>
                <w:noProof/>
                <w:webHidden/>
              </w:rPr>
              <w:fldChar w:fldCharType="separate"/>
            </w:r>
            <w:r w:rsidR="000221DF">
              <w:rPr>
                <w:noProof/>
                <w:webHidden/>
              </w:rPr>
              <w:t>6</w:t>
            </w:r>
            <w:r>
              <w:rPr>
                <w:noProof/>
                <w:webHidden/>
              </w:rPr>
              <w:fldChar w:fldCharType="end"/>
            </w:r>
          </w:hyperlink>
        </w:p>
        <w:p w14:paraId="6BE6BEC2" w14:textId="01988259" w:rsidR="00F66D65" w:rsidRDefault="00F66D65">
          <w:pPr>
            <w:pStyle w:val="TOC1"/>
            <w:tabs>
              <w:tab w:val="right" w:leader="dot" w:pos="9962"/>
            </w:tabs>
            <w:rPr>
              <w:rFonts w:eastAsiaTheme="minorEastAsia"/>
              <w:noProof/>
              <w:sz w:val="24"/>
              <w:szCs w:val="24"/>
              <w:lang w:val="bg-BG" w:eastAsia="bg-BG"/>
            </w:rPr>
          </w:pPr>
          <w:hyperlink w:anchor="_Toc190338958" w:history="1">
            <w:r w:rsidRPr="00821FEA">
              <w:rPr>
                <w:rStyle w:val="Hyperlink"/>
                <w:rFonts w:ascii="Arial" w:hAnsi="Arial" w:cs="Arial"/>
                <w:b/>
                <w:bCs/>
                <w:noProof/>
              </w:rPr>
              <w:t>Institutional Environment Analysis</w:t>
            </w:r>
            <w:r>
              <w:rPr>
                <w:noProof/>
                <w:webHidden/>
              </w:rPr>
              <w:tab/>
            </w:r>
            <w:r>
              <w:rPr>
                <w:noProof/>
                <w:webHidden/>
              </w:rPr>
              <w:fldChar w:fldCharType="begin"/>
            </w:r>
            <w:r>
              <w:rPr>
                <w:noProof/>
                <w:webHidden/>
              </w:rPr>
              <w:instrText xml:space="preserve"> PAGEREF _Toc190338958 \h </w:instrText>
            </w:r>
            <w:r>
              <w:rPr>
                <w:noProof/>
                <w:webHidden/>
              </w:rPr>
            </w:r>
            <w:r>
              <w:rPr>
                <w:noProof/>
                <w:webHidden/>
              </w:rPr>
              <w:fldChar w:fldCharType="separate"/>
            </w:r>
            <w:r w:rsidR="000221DF">
              <w:rPr>
                <w:noProof/>
                <w:webHidden/>
              </w:rPr>
              <w:t>6</w:t>
            </w:r>
            <w:r>
              <w:rPr>
                <w:noProof/>
                <w:webHidden/>
              </w:rPr>
              <w:fldChar w:fldCharType="end"/>
            </w:r>
          </w:hyperlink>
        </w:p>
        <w:p w14:paraId="0E310CB2" w14:textId="2F206F35" w:rsidR="00F66D65" w:rsidRDefault="00F66D65">
          <w:pPr>
            <w:pStyle w:val="TOC1"/>
            <w:tabs>
              <w:tab w:val="right" w:leader="dot" w:pos="9962"/>
            </w:tabs>
            <w:rPr>
              <w:rFonts w:eastAsiaTheme="minorEastAsia"/>
              <w:noProof/>
              <w:sz w:val="24"/>
              <w:szCs w:val="24"/>
              <w:lang w:val="bg-BG" w:eastAsia="bg-BG"/>
            </w:rPr>
          </w:pPr>
          <w:hyperlink w:anchor="_Toc190338959" w:history="1">
            <w:r w:rsidRPr="00821FE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_Toc190338959 \h </w:instrText>
            </w:r>
            <w:r>
              <w:rPr>
                <w:noProof/>
                <w:webHidden/>
              </w:rPr>
            </w:r>
            <w:r>
              <w:rPr>
                <w:noProof/>
                <w:webHidden/>
              </w:rPr>
              <w:fldChar w:fldCharType="separate"/>
            </w:r>
            <w:r w:rsidR="000221DF">
              <w:rPr>
                <w:noProof/>
                <w:webHidden/>
              </w:rPr>
              <w:t>6</w:t>
            </w:r>
            <w:r>
              <w:rPr>
                <w:noProof/>
                <w:webHidden/>
              </w:rPr>
              <w:fldChar w:fldCharType="end"/>
            </w:r>
          </w:hyperlink>
        </w:p>
        <w:p w14:paraId="0AC0B1A7" w14:textId="09377276" w:rsidR="00F66D65" w:rsidRDefault="00F66D65">
          <w:pPr>
            <w:pStyle w:val="TOC1"/>
            <w:tabs>
              <w:tab w:val="right" w:leader="dot" w:pos="9962"/>
            </w:tabs>
            <w:rPr>
              <w:rFonts w:eastAsiaTheme="minorEastAsia"/>
              <w:noProof/>
              <w:sz w:val="24"/>
              <w:szCs w:val="24"/>
              <w:lang w:val="bg-BG" w:eastAsia="bg-BG"/>
            </w:rPr>
          </w:pPr>
          <w:hyperlink w:anchor="_Toc190338960" w:history="1">
            <w:r w:rsidRPr="00821FEA">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_Toc190338960 \h </w:instrText>
            </w:r>
            <w:r>
              <w:rPr>
                <w:noProof/>
                <w:webHidden/>
              </w:rPr>
            </w:r>
            <w:r>
              <w:rPr>
                <w:noProof/>
                <w:webHidden/>
              </w:rPr>
              <w:fldChar w:fldCharType="separate"/>
            </w:r>
            <w:r w:rsidR="000221DF">
              <w:rPr>
                <w:noProof/>
                <w:webHidden/>
              </w:rPr>
              <w:t>7</w:t>
            </w:r>
            <w:r>
              <w:rPr>
                <w:noProof/>
                <w:webHidden/>
              </w:rPr>
              <w:fldChar w:fldCharType="end"/>
            </w:r>
          </w:hyperlink>
        </w:p>
        <w:p w14:paraId="1D6C14DC" w14:textId="65A80A4B" w:rsidR="00F66D65" w:rsidRDefault="00F66D65">
          <w:pPr>
            <w:pStyle w:val="TOC1"/>
            <w:tabs>
              <w:tab w:val="right" w:leader="dot" w:pos="9962"/>
            </w:tabs>
            <w:rPr>
              <w:rFonts w:eastAsiaTheme="minorEastAsia"/>
              <w:noProof/>
              <w:sz w:val="24"/>
              <w:szCs w:val="24"/>
              <w:lang w:val="bg-BG" w:eastAsia="bg-BG"/>
            </w:rPr>
          </w:pPr>
          <w:hyperlink w:anchor="_Toc190338961" w:history="1">
            <w:r w:rsidRPr="00821FEA">
              <w:rPr>
                <w:rStyle w:val="Hyperlink"/>
                <w:rFonts w:ascii="Arial" w:hAnsi="Arial" w:cs="Arial"/>
                <w:b/>
                <w:bCs/>
                <w:noProof/>
              </w:rPr>
              <w:t>Governance Structure</w:t>
            </w:r>
            <w:r>
              <w:rPr>
                <w:noProof/>
                <w:webHidden/>
              </w:rPr>
              <w:tab/>
            </w:r>
            <w:r>
              <w:rPr>
                <w:noProof/>
                <w:webHidden/>
              </w:rPr>
              <w:fldChar w:fldCharType="begin"/>
            </w:r>
            <w:r>
              <w:rPr>
                <w:noProof/>
                <w:webHidden/>
              </w:rPr>
              <w:instrText xml:space="preserve"> PAGEREF _Toc190338961 \h </w:instrText>
            </w:r>
            <w:r>
              <w:rPr>
                <w:noProof/>
                <w:webHidden/>
              </w:rPr>
            </w:r>
            <w:r>
              <w:rPr>
                <w:noProof/>
                <w:webHidden/>
              </w:rPr>
              <w:fldChar w:fldCharType="separate"/>
            </w:r>
            <w:r w:rsidR="000221DF">
              <w:rPr>
                <w:noProof/>
                <w:webHidden/>
              </w:rPr>
              <w:t>7</w:t>
            </w:r>
            <w:r>
              <w:rPr>
                <w:noProof/>
                <w:webHidden/>
              </w:rPr>
              <w:fldChar w:fldCharType="end"/>
            </w:r>
          </w:hyperlink>
        </w:p>
        <w:p w14:paraId="5668F072" w14:textId="117A9F43" w:rsidR="00F66D65" w:rsidRDefault="00F66D65">
          <w:pPr>
            <w:pStyle w:val="TOC1"/>
            <w:tabs>
              <w:tab w:val="right" w:leader="dot" w:pos="9962"/>
            </w:tabs>
            <w:rPr>
              <w:rFonts w:eastAsiaTheme="minorEastAsia"/>
              <w:noProof/>
              <w:sz w:val="24"/>
              <w:szCs w:val="24"/>
              <w:lang w:val="bg-BG" w:eastAsia="bg-BG"/>
            </w:rPr>
          </w:pPr>
          <w:hyperlink w:anchor="_Toc190338962" w:history="1">
            <w:r w:rsidRPr="00821FEA">
              <w:rPr>
                <w:rStyle w:val="Hyperlink"/>
                <w:rFonts w:ascii="Arial" w:hAnsi="Arial" w:cs="Arial"/>
                <w:b/>
                <w:bCs/>
                <w:noProof/>
              </w:rPr>
              <w:t>Control Mechanisms and Remuneration Framework</w:t>
            </w:r>
            <w:r>
              <w:rPr>
                <w:noProof/>
                <w:webHidden/>
              </w:rPr>
              <w:tab/>
            </w:r>
            <w:r>
              <w:rPr>
                <w:noProof/>
                <w:webHidden/>
              </w:rPr>
              <w:fldChar w:fldCharType="begin"/>
            </w:r>
            <w:r>
              <w:rPr>
                <w:noProof/>
                <w:webHidden/>
              </w:rPr>
              <w:instrText xml:space="preserve"> PAGEREF _Toc190338962 \h </w:instrText>
            </w:r>
            <w:r>
              <w:rPr>
                <w:noProof/>
                <w:webHidden/>
              </w:rPr>
            </w:r>
            <w:r>
              <w:rPr>
                <w:noProof/>
                <w:webHidden/>
              </w:rPr>
              <w:fldChar w:fldCharType="separate"/>
            </w:r>
            <w:r w:rsidR="000221DF">
              <w:rPr>
                <w:noProof/>
                <w:webHidden/>
              </w:rPr>
              <w:t>7</w:t>
            </w:r>
            <w:r>
              <w:rPr>
                <w:noProof/>
                <w:webHidden/>
              </w:rPr>
              <w:fldChar w:fldCharType="end"/>
            </w:r>
          </w:hyperlink>
        </w:p>
        <w:p w14:paraId="12DD2BEB" w14:textId="4ACDCD6F" w:rsidR="00F66D65" w:rsidRDefault="00F66D65">
          <w:pPr>
            <w:pStyle w:val="TOC1"/>
            <w:tabs>
              <w:tab w:val="right" w:leader="dot" w:pos="9962"/>
            </w:tabs>
            <w:rPr>
              <w:rFonts w:eastAsiaTheme="minorEastAsia"/>
              <w:noProof/>
              <w:sz w:val="24"/>
              <w:szCs w:val="24"/>
              <w:lang w:val="bg-BG" w:eastAsia="bg-BG"/>
            </w:rPr>
          </w:pPr>
          <w:hyperlink w:anchor="_Toc190338963" w:history="1">
            <w:r w:rsidRPr="00821FEA">
              <w:rPr>
                <w:rStyle w:val="Hyperlink"/>
                <w:rFonts w:ascii="Arial" w:hAnsi="Arial" w:cs="Arial"/>
                <w:b/>
                <w:bCs/>
                <w:noProof/>
              </w:rPr>
              <w:t>Listing Location Decision</w:t>
            </w:r>
            <w:r>
              <w:rPr>
                <w:noProof/>
                <w:webHidden/>
              </w:rPr>
              <w:tab/>
            </w:r>
            <w:r>
              <w:rPr>
                <w:noProof/>
                <w:webHidden/>
              </w:rPr>
              <w:fldChar w:fldCharType="begin"/>
            </w:r>
            <w:r>
              <w:rPr>
                <w:noProof/>
                <w:webHidden/>
              </w:rPr>
              <w:instrText xml:space="preserve"> PAGEREF _Toc190338963 \h </w:instrText>
            </w:r>
            <w:r>
              <w:rPr>
                <w:noProof/>
                <w:webHidden/>
              </w:rPr>
            </w:r>
            <w:r>
              <w:rPr>
                <w:noProof/>
                <w:webHidden/>
              </w:rPr>
              <w:fldChar w:fldCharType="separate"/>
            </w:r>
            <w:r w:rsidR="000221DF">
              <w:rPr>
                <w:noProof/>
                <w:webHidden/>
              </w:rPr>
              <w:t>7</w:t>
            </w:r>
            <w:r>
              <w:rPr>
                <w:noProof/>
                <w:webHidden/>
              </w:rPr>
              <w:fldChar w:fldCharType="end"/>
            </w:r>
          </w:hyperlink>
        </w:p>
        <w:p w14:paraId="49EA9C6E" w14:textId="11379B2D" w:rsidR="00F66D65" w:rsidRDefault="00F66D65">
          <w:pPr>
            <w:pStyle w:val="TOC1"/>
            <w:tabs>
              <w:tab w:val="right" w:leader="dot" w:pos="9962"/>
            </w:tabs>
            <w:rPr>
              <w:rFonts w:eastAsiaTheme="minorEastAsia"/>
              <w:noProof/>
              <w:sz w:val="24"/>
              <w:szCs w:val="24"/>
              <w:lang w:val="bg-BG" w:eastAsia="bg-BG"/>
            </w:rPr>
          </w:pPr>
          <w:hyperlink w:anchor="_Toc190338964" w:history="1">
            <w:r w:rsidRPr="00821FE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_Toc190338964 \h </w:instrText>
            </w:r>
            <w:r>
              <w:rPr>
                <w:noProof/>
                <w:webHidden/>
              </w:rPr>
            </w:r>
            <w:r>
              <w:rPr>
                <w:noProof/>
                <w:webHidden/>
              </w:rPr>
              <w:fldChar w:fldCharType="separate"/>
            </w:r>
            <w:r w:rsidR="000221DF">
              <w:rPr>
                <w:noProof/>
                <w:webHidden/>
              </w:rPr>
              <w:t>8</w:t>
            </w:r>
            <w:r>
              <w:rPr>
                <w:noProof/>
                <w:webHidden/>
              </w:rPr>
              <w:fldChar w:fldCharType="end"/>
            </w:r>
          </w:hyperlink>
        </w:p>
        <w:p w14:paraId="686135C8" w14:textId="487FFB6E" w:rsidR="00F26256" w:rsidRDefault="00F26256" w:rsidP="00F26256">
          <w:r w:rsidRPr="00D1740F">
            <w:rPr>
              <w:rFonts w:ascii="Arial" w:hAnsi="Arial" w:cs="Arial"/>
              <w:b/>
              <w:bCs/>
              <w:noProof/>
            </w:rPr>
            <w:fldChar w:fldCharType="end"/>
          </w:r>
        </w:p>
      </w:sdtContent>
    </w:sdt>
    <w:p w14:paraId="70E611C4"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FE4B91D" w14:textId="77777777" w:rsidR="00FE0FAA" w:rsidRPr="00430734" w:rsidRDefault="00FE0FAA" w:rsidP="00430734">
      <w:pPr>
        <w:spacing w:after="0" w:line="360" w:lineRule="auto"/>
        <w:ind w:firstLine="720"/>
        <w:contextualSpacing/>
        <w:jc w:val="both"/>
        <w:rPr>
          <w:rFonts w:ascii="Arial" w:eastAsia="Calibri" w:hAnsi="Arial" w:cs="Arial"/>
          <w:b/>
          <w:bCs/>
          <w:kern w:val="2"/>
          <w:lang w:val=""/>
          <w14:ligatures w14:val="standardContextual"/>
        </w:rPr>
      </w:pPr>
    </w:p>
    <w:p w14:paraId="57B4EA3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AD662C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062C42EC"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61FB033E"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3C64BB6F"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23067F8E"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0E861D7D"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2D9251EA"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52E389D1" w14:textId="77777777" w:rsidR="00430734" w:rsidRDefault="00430734" w:rsidP="00430734">
      <w:pPr>
        <w:spacing w:after="0" w:line="360" w:lineRule="auto"/>
        <w:ind w:firstLine="720"/>
        <w:contextualSpacing/>
        <w:jc w:val="both"/>
        <w:rPr>
          <w:rFonts w:ascii="Arial" w:eastAsia="Calibri" w:hAnsi="Arial" w:cs="Arial"/>
          <w:kern w:val="2"/>
          <w14:ligatures w14:val="standardContextual"/>
        </w:rPr>
      </w:pPr>
    </w:p>
    <w:p w14:paraId="219C243E" w14:textId="77777777" w:rsidR="00435350" w:rsidRPr="00435350" w:rsidRDefault="00435350" w:rsidP="00435350">
      <w:pPr>
        <w:spacing w:after="0" w:line="480" w:lineRule="auto"/>
        <w:jc w:val="center"/>
        <w:rPr>
          <w:rFonts w:ascii="Arial" w:hAnsi="Arial" w:cs="Arial"/>
          <w:b/>
          <w:bCs/>
          <w:sz w:val="24"/>
          <w:szCs w:val="24"/>
        </w:rPr>
      </w:pPr>
      <w:r w:rsidRPr="00435350">
        <w:rPr>
          <w:rFonts w:ascii="Arial" w:hAnsi="Arial" w:cs="Arial"/>
          <w:b/>
          <w:bCs/>
          <w:sz w:val="24"/>
          <w:szCs w:val="24"/>
        </w:rPr>
        <w:lastRenderedPageBreak/>
        <w:t>International Financial Management</w:t>
      </w:r>
    </w:p>
    <w:p w14:paraId="04002393" w14:textId="77777777" w:rsidR="00435350" w:rsidRDefault="00435350" w:rsidP="00435350">
      <w:pPr>
        <w:spacing w:after="0" w:line="480" w:lineRule="auto"/>
        <w:jc w:val="center"/>
        <w:rPr>
          <w:rFonts w:ascii="Times New Roman" w:hAnsi="Times New Roman" w:cs="Times New Roman"/>
          <w:b/>
          <w:bCs/>
        </w:rPr>
      </w:pPr>
    </w:p>
    <w:p w14:paraId="3094065C" w14:textId="6FEAE690"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0" w:name="_Toc190338948"/>
      <w:r w:rsidRPr="00435350">
        <w:rPr>
          <w:rFonts w:ascii="Arial" w:hAnsi="Arial" w:cs="Arial"/>
          <w:b/>
          <w:bCs/>
          <w:color w:val="auto"/>
          <w:sz w:val="24"/>
          <w:szCs w:val="24"/>
        </w:rPr>
        <w:t>Executive Summary</w:t>
      </w:r>
      <w:bookmarkEnd w:id="0"/>
    </w:p>
    <w:p w14:paraId="40EF4319" w14:textId="77777777" w:rsidR="00435350" w:rsidRPr="00435350" w:rsidRDefault="00435350" w:rsidP="00435350"/>
    <w:p w14:paraId="39C4BC5B" w14:textId="77777777" w:rsid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This report guides the Board of Directors through essential steps to help the company achieve a successful AIM (Alternative Investment Market) or other international market listing. The company needs strong governance systems and controls given the family desire to keep its strategic power while owning minority share of the company. The board should adopt dual classes of shares while choosing directors wisely and implementing remuneration based on performance metrics. Our report reviews how different business environments in the UK, Shanghai, and the Netherlands affect the company's operations and helps the board understand market potential and safety. The board must follow governance standards while solving agency conflicts to maintaining investor trust. By adopting these strategies, the company can build lasting success while making effectively transition to a publicly listed entity.</w:t>
      </w:r>
    </w:p>
    <w:p w14:paraId="0D344C50" w14:textId="77777777" w:rsidR="00435350" w:rsidRPr="00435350" w:rsidRDefault="00435350" w:rsidP="00435350">
      <w:pPr>
        <w:spacing w:after="0" w:line="360" w:lineRule="auto"/>
        <w:ind w:firstLine="720"/>
        <w:contextualSpacing/>
        <w:jc w:val="both"/>
        <w:rPr>
          <w:rFonts w:ascii="Arial" w:eastAsia="Calibri" w:hAnsi="Arial" w:cs="Arial"/>
          <w:kern w:val="2"/>
          <w14:ligatures w14:val="standardContextual"/>
        </w:rPr>
      </w:pPr>
    </w:p>
    <w:p w14:paraId="7CF8585B"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 w:name="_Toc190338949"/>
      <w:r w:rsidRPr="00435350">
        <w:rPr>
          <w:rFonts w:ascii="Arial" w:hAnsi="Arial" w:cs="Arial"/>
          <w:b/>
          <w:bCs/>
          <w:color w:val="auto"/>
          <w:sz w:val="24"/>
          <w:szCs w:val="24"/>
        </w:rPr>
        <w:t>Introduction</w:t>
      </w:r>
      <w:bookmarkEnd w:id="1"/>
    </w:p>
    <w:p w14:paraId="711D1BBD" w14:textId="77777777" w:rsidR="00435350" w:rsidRPr="00435350" w:rsidRDefault="00435350" w:rsidP="00435350"/>
    <w:p w14:paraId="5E62A05B" w14:textId="77777777" w:rsid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This report helps the private family-owned company's Board of Directors understand why corporate governance and agency theory matter when preparing for their AIM listing in the UK. When the company lists on AIM (Alternative Investment Market) will become a public limited liability company that needs to follow stronger governance rules and handle more shareholder oversight. The report will assess how feasibility of retaining board control despite holding less than 30% of the shareholding; best practices for determining directors' remuneration; and regional considerations on differences between institutional preferences of listing location, Shanghai compared to the Netherlands. Through the view of international financial management principles, this report aims at facilitating the board with a detailed and a complete recommendation on how it can tackle public listing associated challenges while retaining the company’s long-term interests.</w:t>
      </w:r>
    </w:p>
    <w:p w14:paraId="4B104BDC" w14:textId="77777777" w:rsidR="00435350" w:rsidRPr="00435350" w:rsidRDefault="00435350" w:rsidP="00435350">
      <w:pPr>
        <w:spacing w:after="0" w:line="360" w:lineRule="auto"/>
        <w:ind w:firstLine="720"/>
        <w:contextualSpacing/>
        <w:jc w:val="both"/>
        <w:rPr>
          <w:rFonts w:ascii="Arial" w:eastAsia="Calibri" w:hAnsi="Arial" w:cs="Arial"/>
          <w:kern w:val="2"/>
          <w14:ligatures w14:val="standardContextual"/>
        </w:rPr>
      </w:pPr>
    </w:p>
    <w:p w14:paraId="08AEA24C"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2" w:name="_Toc190338950"/>
      <w:r w:rsidRPr="00435350">
        <w:rPr>
          <w:rFonts w:ascii="Arial" w:hAnsi="Arial" w:cs="Arial"/>
          <w:b/>
          <w:bCs/>
          <w:color w:val="auto"/>
          <w:sz w:val="24"/>
          <w:szCs w:val="24"/>
        </w:rPr>
        <w:t>Corporate Governance and Agency Theory</w:t>
      </w:r>
      <w:bookmarkEnd w:id="2"/>
    </w:p>
    <w:p w14:paraId="5F960B13" w14:textId="77777777" w:rsidR="00435350" w:rsidRPr="00435350" w:rsidRDefault="00435350" w:rsidP="00435350"/>
    <w:p w14:paraId="2E94EBEB" w14:textId="77777777" w:rsidR="00435350" w:rsidRP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 xml:space="preserve">Corporate governance refers to set of rules, practices, and processes for the direction and control of a company for promoting accountability, fairness, and transparency in the sphere of stakeholders. These core governance elements include how well leaders perform their duties while making sure the board takes responsibility and handles risks properly (Hecht et al., 2024). The UK </w:t>
      </w:r>
      <w:r w:rsidRPr="00435350">
        <w:rPr>
          <w:rFonts w:ascii="Arial" w:eastAsia="Calibri" w:hAnsi="Arial" w:cs="Arial"/>
          <w:kern w:val="2"/>
          <w14:ligatures w14:val="standardContextual"/>
        </w:rPr>
        <w:lastRenderedPageBreak/>
        <w:t>Corporate Governance Code demands organizations to build reliable governance systems with independent boards and clear financial reports to keep investors confident and achieve lasting business results. Public limited liability companies need to follow these guidelines to earn market trust and stakeholder support. Companies that effectively govern their operations lower potential risks and achieve better performance because their decision-making serves shareholders' interests.</w:t>
      </w:r>
    </w:p>
    <w:p w14:paraId="222B5397" w14:textId="77777777" w:rsid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Agency theory examines the conflicts of interests among shareholders (principals) and managers (agents) in the principal – agent relationship. Differing interests and information asymmetry give rise to these conflicts, which can also yield potential agency problems (Al-Faryan, 2024). These issues can be mitigated with mechanisms like performance-based incentives, independent board oversight and regular shareholder engagement. Public companies need strong governance systems and agency theory principles to match managers' and shareholders' goals while ensuring transparency, accountability, and ethical management practices. Companies that solve agency problems decrease their agency costs and enhance market standing while winning back investor trust.</w:t>
      </w:r>
    </w:p>
    <w:p w14:paraId="2C16AD82" w14:textId="77777777" w:rsidR="00F66D65" w:rsidRPr="00435350" w:rsidRDefault="00F66D65" w:rsidP="00435350">
      <w:pPr>
        <w:spacing w:after="0" w:line="360" w:lineRule="auto"/>
        <w:ind w:firstLine="720"/>
        <w:contextualSpacing/>
        <w:jc w:val="both"/>
        <w:rPr>
          <w:rFonts w:ascii="Arial" w:eastAsia="Calibri" w:hAnsi="Arial" w:cs="Arial"/>
          <w:kern w:val="2"/>
          <w14:ligatures w14:val="standardContextual"/>
        </w:rPr>
      </w:pPr>
    </w:p>
    <w:p w14:paraId="73328AB0"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3" w:name="_Toc190338951"/>
      <w:r w:rsidRPr="00435350">
        <w:rPr>
          <w:rFonts w:ascii="Arial" w:hAnsi="Arial" w:cs="Arial"/>
          <w:b/>
          <w:bCs/>
          <w:color w:val="auto"/>
          <w:sz w:val="24"/>
          <w:szCs w:val="24"/>
        </w:rPr>
        <w:t>Strategic Control with Minority Shareholding</w:t>
      </w:r>
      <w:bookmarkEnd w:id="3"/>
    </w:p>
    <w:p w14:paraId="2F77A4EC" w14:textId="77777777" w:rsidR="00F66D65" w:rsidRPr="00F66D65" w:rsidRDefault="00F66D65" w:rsidP="00F66D65"/>
    <w:p w14:paraId="74FF8309" w14:textId="77777777" w:rsidR="00435350" w:rsidRP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The board can keep its strategic control over the company through a dual-class share structure even with 30% ownership. The family board members gain more voting influence than their actual share percentage through special voting rights in specific stock types (Guthri and Hobbs, 2021). The use of dual-class shares lets family shareholders stay in charge of important corporate choices including merger planning, acquisition deals, and executive appointments. Good governance depends on effective communications about the voting rights structure to external investors to avoid misunderstandings and skepticism (Hecht et al., 2024).</w:t>
      </w:r>
    </w:p>
    <w:p w14:paraId="0952EF47" w14:textId="77777777" w:rsidR="00435350" w:rsidRP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Another important strategy in maintaining control is optimizing board composition. Members of the family can sit as executive and independent directors on the board in return for taking responsibility and guaranteeing representation of the family (</w:t>
      </w:r>
      <w:proofErr w:type="spellStart"/>
      <w:r w:rsidRPr="00435350">
        <w:rPr>
          <w:rFonts w:ascii="Arial" w:eastAsia="Calibri" w:hAnsi="Arial" w:cs="Arial"/>
          <w:kern w:val="2"/>
          <w14:ligatures w14:val="standardContextual"/>
        </w:rPr>
        <w:t>Hendrastuti</w:t>
      </w:r>
      <w:proofErr w:type="spellEnd"/>
      <w:r w:rsidRPr="00435350">
        <w:rPr>
          <w:rFonts w:ascii="Arial" w:eastAsia="Calibri" w:hAnsi="Arial" w:cs="Arial"/>
          <w:kern w:val="2"/>
          <w14:ligatures w14:val="standardContextual"/>
        </w:rPr>
        <w:t xml:space="preserve"> and </w:t>
      </w:r>
      <w:proofErr w:type="spellStart"/>
      <w:r w:rsidRPr="00435350">
        <w:rPr>
          <w:rFonts w:ascii="Arial" w:eastAsia="Calibri" w:hAnsi="Arial" w:cs="Arial"/>
          <w:kern w:val="2"/>
          <w14:ligatures w14:val="standardContextual"/>
        </w:rPr>
        <w:t>Harahap</w:t>
      </w:r>
      <w:proofErr w:type="spellEnd"/>
      <w:r w:rsidRPr="00435350">
        <w:rPr>
          <w:rFonts w:ascii="Arial" w:eastAsia="Calibri" w:hAnsi="Arial" w:cs="Arial"/>
          <w:kern w:val="2"/>
          <w14:ligatures w14:val="standardContextual"/>
        </w:rPr>
        <w:t>, 2023). By placing independent directors on the board according to corporate governance rules families can maintain their influence in key decision-making committees. The right mix of governance standards helps maintain business integrity and lets family owners keep their shareholding hence ensuring strategic direction.</w:t>
      </w:r>
    </w:p>
    <w:p w14:paraId="4DB225C6" w14:textId="77777777" w:rsidR="00435350" w:rsidRPr="00435350" w:rsidRDefault="00435350" w:rsidP="00435350">
      <w:pPr>
        <w:spacing w:after="0" w:line="360" w:lineRule="auto"/>
        <w:ind w:firstLine="720"/>
        <w:contextualSpacing/>
        <w:jc w:val="both"/>
        <w:rPr>
          <w:rFonts w:ascii="Arial" w:eastAsia="Calibri" w:hAnsi="Arial" w:cs="Arial"/>
          <w:kern w:val="2"/>
          <w14:ligatures w14:val="standardContextual"/>
        </w:rPr>
      </w:pPr>
      <w:r w:rsidRPr="00435350">
        <w:rPr>
          <w:rFonts w:ascii="Arial" w:eastAsia="Calibri" w:hAnsi="Arial" w:cs="Arial"/>
          <w:kern w:val="2"/>
          <w14:ligatures w14:val="standardContextual"/>
        </w:rPr>
        <w:t>Finally, implementing Shareholder agreements help secure the family's right to make decisions through legal protection. These agreements give families power to reject critical business choices about dividends, capital changes, and spending. When family members cannot sell their shares to outsiders they maintain their control over the company. The agreements create a legal shield that helps families make decisions while owning less than half of the company shares (</w:t>
      </w:r>
      <w:proofErr w:type="spellStart"/>
      <w:r w:rsidRPr="00435350">
        <w:rPr>
          <w:rFonts w:ascii="Arial" w:eastAsia="Calibri" w:hAnsi="Arial" w:cs="Arial"/>
          <w:kern w:val="2"/>
          <w14:ligatures w14:val="standardContextual"/>
        </w:rPr>
        <w:t>Wikartika</w:t>
      </w:r>
      <w:proofErr w:type="spellEnd"/>
      <w:r w:rsidRPr="00435350">
        <w:rPr>
          <w:rFonts w:ascii="Arial" w:eastAsia="Calibri" w:hAnsi="Arial" w:cs="Arial"/>
          <w:kern w:val="2"/>
          <w14:ligatures w14:val="standardContextual"/>
        </w:rPr>
        <w:t xml:space="preserve"> and Akbar, 2018).</w:t>
      </w:r>
    </w:p>
    <w:p w14:paraId="465FF27F"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4" w:name="_Toc190338952"/>
      <w:r w:rsidRPr="00435350">
        <w:rPr>
          <w:rFonts w:ascii="Arial" w:hAnsi="Arial" w:cs="Arial"/>
          <w:b/>
          <w:bCs/>
          <w:color w:val="auto"/>
          <w:sz w:val="24"/>
          <w:szCs w:val="24"/>
        </w:rPr>
        <w:lastRenderedPageBreak/>
        <w:t>Director Remuneration</w:t>
      </w:r>
      <w:bookmarkEnd w:id="4"/>
    </w:p>
    <w:p w14:paraId="1411CEE9" w14:textId="77777777" w:rsidR="00F66D65" w:rsidRPr="00F66D65" w:rsidRDefault="00F66D65" w:rsidP="00F66D65"/>
    <w:p w14:paraId="69E6DC9C"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5" w:name="_Toc190338953"/>
      <w:r w:rsidRPr="00435350">
        <w:rPr>
          <w:rFonts w:ascii="Arial" w:hAnsi="Arial" w:cs="Arial"/>
          <w:b/>
          <w:bCs/>
          <w:color w:val="auto"/>
          <w:sz w:val="24"/>
          <w:szCs w:val="24"/>
        </w:rPr>
        <w:t>Determining Director Remuneration</w:t>
      </w:r>
      <w:bookmarkEnd w:id="5"/>
    </w:p>
    <w:p w14:paraId="28F63780" w14:textId="77777777" w:rsidR="00F66D65" w:rsidRPr="00F66D65" w:rsidRDefault="00F66D65" w:rsidP="00F66D65"/>
    <w:p w14:paraId="58AA2AC8"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An independent board of directors forms a remuneration committee which operates independently without executive board interference. Non-executive directors make up the majority of our remuneration committee to avoid conflict of interest and ensure right decisions are made (Hecht et al., 2024). The committee primary role is creating remuneration packages that help the company find and retain skilled directors while making sure their financial goals support company objectives. To maintain investor confidence, the UK Corporate Governance Code stresses the importance of directors’ remuneration to be fair and performance driven (</w:t>
      </w:r>
      <w:proofErr w:type="spellStart"/>
      <w:r w:rsidRPr="00F66D65">
        <w:rPr>
          <w:rFonts w:ascii="Arial" w:eastAsia="Calibri" w:hAnsi="Arial" w:cs="Arial"/>
          <w:kern w:val="2"/>
          <w14:ligatures w14:val="standardContextual"/>
        </w:rPr>
        <w:t>Hendrastuti</w:t>
      </w:r>
      <w:proofErr w:type="spellEnd"/>
      <w:r w:rsidRPr="00F66D65">
        <w:rPr>
          <w:rFonts w:ascii="Arial" w:eastAsia="Calibri" w:hAnsi="Arial" w:cs="Arial"/>
          <w:kern w:val="2"/>
          <w14:ligatures w14:val="standardContextual"/>
        </w:rPr>
        <w:t xml:space="preserve"> and </w:t>
      </w:r>
      <w:proofErr w:type="spellStart"/>
      <w:r w:rsidRPr="00F66D65">
        <w:rPr>
          <w:rFonts w:ascii="Arial" w:eastAsia="Calibri" w:hAnsi="Arial" w:cs="Arial"/>
          <w:kern w:val="2"/>
          <w14:ligatures w14:val="standardContextual"/>
        </w:rPr>
        <w:t>Harahap</w:t>
      </w:r>
      <w:proofErr w:type="spellEnd"/>
      <w:r w:rsidRPr="00F66D65">
        <w:rPr>
          <w:rFonts w:ascii="Arial" w:eastAsia="Calibri" w:hAnsi="Arial" w:cs="Arial"/>
          <w:kern w:val="2"/>
          <w14:ligatures w14:val="standardContextual"/>
        </w:rPr>
        <w:t>, 2023).</w:t>
      </w:r>
    </w:p>
    <w:p w14:paraId="2D498FC4"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133819E5"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6" w:name="_Toc190338954"/>
      <w:r w:rsidRPr="00F66D65">
        <w:rPr>
          <w:rFonts w:ascii="Arial" w:hAnsi="Arial" w:cs="Arial"/>
          <w:b/>
          <w:bCs/>
          <w:color w:val="auto"/>
          <w:sz w:val="24"/>
          <w:szCs w:val="24"/>
        </w:rPr>
        <w:t>Structures for Fair Compensation</w:t>
      </w:r>
      <w:bookmarkEnd w:id="6"/>
    </w:p>
    <w:p w14:paraId="4932D612" w14:textId="77777777" w:rsidR="00F66D65" w:rsidRPr="00F66D65" w:rsidRDefault="00F66D65" w:rsidP="00F66D65"/>
    <w:p w14:paraId="6A46147F" w14:textId="77777777" w:rsidR="00435350" w:rsidRPr="00F66D65"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A good remuneration policy combines fixed salary payments with bonus and long-term incentive programs. Directors' rewards must include financial metrics and non-financial measurements including ESG performance results. The UK Corporate Governance Code demands that performance-linked pay must create long-term success without leading directors to take excessive risks (Musa et al., 2022). Remuneration structures connect incentives to long term goals of the company so as to ensure that directors act in the best interests of shareholders and stakeholders.</w:t>
      </w:r>
    </w:p>
    <w:p w14:paraId="1D8D2FB8"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Transparency to director remuneration is vital to maintain directors’ accountability, as well as investor trust. Detailed reports detailing the remuneration of individual directors as payments including metrics and justifications now have to be published by companies (</w:t>
      </w:r>
      <w:proofErr w:type="spellStart"/>
      <w:r w:rsidRPr="00F66D65">
        <w:rPr>
          <w:rFonts w:ascii="Arial" w:eastAsia="Calibri" w:hAnsi="Arial" w:cs="Arial"/>
          <w:kern w:val="2"/>
          <w14:ligatures w14:val="standardContextual"/>
        </w:rPr>
        <w:t>Hendrastuti</w:t>
      </w:r>
      <w:proofErr w:type="spellEnd"/>
      <w:r w:rsidRPr="00F66D65">
        <w:rPr>
          <w:rFonts w:ascii="Arial" w:eastAsia="Calibri" w:hAnsi="Arial" w:cs="Arial"/>
          <w:kern w:val="2"/>
          <w14:ligatures w14:val="standardContextual"/>
        </w:rPr>
        <w:t xml:space="preserve"> and </w:t>
      </w:r>
      <w:proofErr w:type="spellStart"/>
      <w:r w:rsidRPr="00F66D65">
        <w:rPr>
          <w:rFonts w:ascii="Arial" w:eastAsia="Calibri" w:hAnsi="Arial" w:cs="Arial"/>
          <w:kern w:val="2"/>
          <w14:ligatures w14:val="standardContextual"/>
        </w:rPr>
        <w:t>Harahap</w:t>
      </w:r>
      <w:proofErr w:type="spellEnd"/>
      <w:r w:rsidRPr="00F66D65">
        <w:rPr>
          <w:rFonts w:ascii="Arial" w:eastAsia="Calibri" w:hAnsi="Arial" w:cs="Arial"/>
          <w:kern w:val="2"/>
          <w14:ligatures w14:val="standardContextual"/>
        </w:rPr>
        <w:t>, 2023). Under the UK Corporate Governance Code's "comply or explain" rule companies must follow these guidelines or show their reasons openly (Martin et all., 2023). Companies must let their investors vote on important pay policies through disclosure requirements. Open company information builds trust while making sure governance practices stay reliable.</w:t>
      </w:r>
    </w:p>
    <w:p w14:paraId="66ED59E1"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4C6C68AE"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7" w:name="_Toc190338955"/>
      <w:r w:rsidRPr="00F66D65">
        <w:rPr>
          <w:rFonts w:ascii="Arial" w:hAnsi="Arial" w:cs="Arial"/>
          <w:b/>
          <w:bCs/>
          <w:color w:val="auto"/>
          <w:sz w:val="24"/>
          <w:szCs w:val="24"/>
        </w:rPr>
        <w:t>International Listing Considerations</w:t>
      </w:r>
      <w:bookmarkEnd w:id="7"/>
    </w:p>
    <w:p w14:paraId="56EE4A13" w14:textId="77777777" w:rsidR="00F66D65" w:rsidRPr="00F66D65" w:rsidRDefault="00F66D65" w:rsidP="00F66D65"/>
    <w:p w14:paraId="75F8B5F2"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8" w:name="_Toc190338956"/>
      <w:r w:rsidRPr="00F66D65">
        <w:rPr>
          <w:rFonts w:ascii="Arial" w:hAnsi="Arial" w:cs="Arial"/>
          <w:b/>
          <w:bCs/>
          <w:color w:val="auto"/>
          <w:sz w:val="24"/>
          <w:szCs w:val="24"/>
        </w:rPr>
        <w:t>Regulatory Frameworks</w:t>
      </w:r>
      <w:bookmarkEnd w:id="8"/>
    </w:p>
    <w:p w14:paraId="292281C4" w14:textId="77777777" w:rsidR="00F66D65" w:rsidRPr="00F66D65" w:rsidRDefault="00F66D65" w:rsidP="00F66D65"/>
    <w:p w14:paraId="616903D7"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 xml:space="preserve">Under the UK’s regulatory framework for public companies, transparency, accountability and adherence to the UK Corporate Governance Code are stressed. The London Stock Exchange requires </w:t>
      </w:r>
      <w:r w:rsidRPr="00F66D65">
        <w:rPr>
          <w:rFonts w:ascii="Arial" w:eastAsia="Calibri" w:hAnsi="Arial" w:cs="Arial"/>
          <w:kern w:val="2"/>
          <w14:ligatures w14:val="standardContextual"/>
        </w:rPr>
        <w:lastRenderedPageBreak/>
        <w:t>companies to either follow its governance guidelines or explain why their unique practices work better (Hecht et al., 2024). Under Shanghai regulations the China Securities Regulatory Commission requires companies to meet strict compliance standards. Under Dutch Corporate Governance Code rules companies must create lasting business value while engaging with all stakeholders alongside shareholders (</w:t>
      </w:r>
      <w:proofErr w:type="spellStart"/>
      <w:r w:rsidRPr="00F66D65">
        <w:rPr>
          <w:rFonts w:ascii="Arial" w:eastAsia="Calibri" w:hAnsi="Arial" w:cs="Arial"/>
          <w:kern w:val="2"/>
          <w14:ligatures w14:val="standardContextual"/>
        </w:rPr>
        <w:t>Koeswa</w:t>
      </w:r>
      <w:proofErr w:type="spellEnd"/>
      <w:r w:rsidRPr="00F66D65">
        <w:rPr>
          <w:rFonts w:ascii="Arial" w:eastAsia="Calibri" w:hAnsi="Arial" w:cs="Arial"/>
          <w:kern w:val="2"/>
          <w14:ligatures w14:val="standardContextual"/>
        </w:rPr>
        <w:t xml:space="preserve"> et al., 2024).</w:t>
      </w:r>
    </w:p>
    <w:p w14:paraId="3DD9E797"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14C543EC"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9" w:name="_Toc190338957"/>
      <w:r w:rsidRPr="00F66D65">
        <w:rPr>
          <w:rFonts w:ascii="Arial" w:hAnsi="Arial" w:cs="Arial"/>
          <w:b/>
          <w:bCs/>
          <w:color w:val="auto"/>
          <w:sz w:val="24"/>
          <w:szCs w:val="24"/>
        </w:rPr>
        <w:t>Corporate Governance Differences</w:t>
      </w:r>
      <w:bookmarkEnd w:id="9"/>
    </w:p>
    <w:p w14:paraId="00A3538D" w14:textId="77777777" w:rsidR="00F66D65" w:rsidRPr="00F66D65" w:rsidRDefault="00F66D65" w:rsidP="00F66D65"/>
    <w:p w14:paraId="0D6F4586"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The rules that control company operations differ greatly between these markets. The UK maintains a balanced power structure by separating board independence from CEO and Chair functions to make leaders accountable for their actions (Hecht, 2024). In Shanghai businesses follow state guidelines as government-selected board members lead decision-making. The Netherlands uses a two-level board design to divide executive and oversight tasks which helps stakeholders monitor management performance better (</w:t>
      </w:r>
      <w:proofErr w:type="spellStart"/>
      <w:r w:rsidRPr="00F66D65">
        <w:rPr>
          <w:rFonts w:ascii="Arial" w:eastAsia="Calibri" w:hAnsi="Arial" w:cs="Arial"/>
          <w:kern w:val="2"/>
          <w14:ligatures w14:val="standardContextual"/>
        </w:rPr>
        <w:t>Sageder</w:t>
      </w:r>
      <w:proofErr w:type="spellEnd"/>
      <w:r w:rsidRPr="00F66D65">
        <w:rPr>
          <w:rFonts w:ascii="Arial" w:eastAsia="Calibri" w:hAnsi="Arial" w:cs="Arial"/>
          <w:kern w:val="2"/>
          <w14:ligatures w14:val="standardContextual"/>
        </w:rPr>
        <w:t xml:space="preserve"> and Feldbauer-</w:t>
      </w:r>
      <w:proofErr w:type="spellStart"/>
      <w:r w:rsidRPr="00F66D65">
        <w:rPr>
          <w:rFonts w:ascii="Arial" w:eastAsia="Calibri" w:hAnsi="Arial" w:cs="Arial"/>
          <w:kern w:val="2"/>
          <w14:ligatures w14:val="standardContextual"/>
        </w:rPr>
        <w:t>Durstmüller</w:t>
      </w:r>
      <w:proofErr w:type="spellEnd"/>
      <w:r w:rsidRPr="00F66D65">
        <w:rPr>
          <w:rFonts w:ascii="Arial" w:eastAsia="Calibri" w:hAnsi="Arial" w:cs="Arial"/>
          <w:kern w:val="2"/>
          <w14:ligatures w14:val="standardContextual"/>
        </w:rPr>
        <w:t>, 20190). Businesses need to adjust their governance methods to match local business standards in different markets.</w:t>
      </w:r>
    </w:p>
    <w:p w14:paraId="7DD44F0B"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00CAE167"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0" w:name="_Toc190338958"/>
      <w:r w:rsidRPr="00F66D65">
        <w:rPr>
          <w:rFonts w:ascii="Arial" w:hAnsi="Arial" w:cs="Arial"/>
          <w:b/>
          <w:bCs/>
          <w:color w:val="auto"/>
          <w:sz w:val="24"/>
          <w:szCs w:val="24"/>
        </w:rPr>
        <w:t>Institutional Environment Analysis</w:t>
      </w:r>
      <w:bookmarkEnd w:id="10"/>
    </w:p>
    <w:p w14:paraId="13BB81A9" w14:textId="77777777" w:rsidR="00F66D65" w:rsidRPr="00F66D65" w:rsidRDefault="00F66D65" w:rsidP="00F66D65"/>
    <w:p w14:paraId="0235D6FB"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Market institutions determine what companies do and how investors expect them to behave. The UK features a secure legal and financial framework that protects investors and supports developed financial markets (Hecht et al., 2024). Companies entering Shanghai's market gain access to China's fast growth but must deal with capital restrictions and cultural differences in business management. The Netherlands offers firms a reliable business setting plus EU access though they need to deal with multiple rules and regulations (</w:t>
      </w:r>
      <w:proofErr w:type="spellStart"/>
      <w:r w:rsidRPr="00F66D65">
        <w:rPr>
          <w:rFonts w:ascii="Arial" w:eastAsia="Calibri" w:hAnsi="Arial" w:cs="Arial"/>
          <w:kern w:val="2"/>
          <w14:ligatures w14:val="standardContextual"/>
        </w:rPr>
        <w:t>Sageder</w:t>
      </w:r>
      <w:proofErr w:type="spellEnd"/>
      <w:r w:rsidRPr="00F66D65">
        <w:rPr>
          <w:rFonts w:ascii="Arial" w:eastAsia="Calibri" w:hAnsi="Arial" w:cs="Arial"/>
          <w:kern w:val="2"/>
          <w14:ligatures w14:val="standardContextual"/>
        </w:rPr>
        <w:t xml:space="preserve"> and Feldbauer, 2019). Examining these business rules helps companies create strategies that work within each market environment.</w:t>
      </w:r>
    </w:p>
    <w:p w14:paraId="48FB8C50"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66851541"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1" w:name="_Toc190338959"/>
      <w:r w:rsidRPr="00F66D65">
        <w:rPr>
          <w:rFonts w:ascii="Arial" w:hAnsi="Arial" w:cs="Arial"/>
          <w:b/>
          <w:bCs/>
          <w:color w:val="auto"/>
          <w:sz w:val="24"/>
          <w:szCs w:val="24"/>
        </w:rPr>
        <w:t>Conclusion</w:t>
      </w:r>
      <w:bookmarkEnd w:id="11"/>
    </w:p>
    <w:p w14:paraId="1A0FC284" w14:textId="77777777" w:rsidR="00F66D65" w:rsidRPr="00F66D65" w:rsidRDefault="00F66D65" w:rsidP="00F66D65"/>
    <w:p w14:paraId="1A8D3B30"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 xml:space="preserve">The business needs to build strong governance practices and develop its strategy before moving to public limited liability status and listing. Research results show that businesses need to develop solid governance practices and use dual-class stock systems alongside performance-linked pay systems to build trust with investors. The path to success demands that families keep their control while satisfying both regulatory bodies and investing institutions. Companies need to handle listing differences between institutions plus follow regulations while managing shareholder disagreements. To succeed with a public </w:t>
      </w:r>
      <w:r w:rsidRPr="00F66D65">
        <w:rPr>
          <w:rFonts w:ascii="Arial" w:eastAsia="Calibri" w:hAnsi="Arial" w:cs="Arial"/>
          <w:kern w:val="2"/>
          <w14:ligatures w14:val="standardContextual"/>
        </w:rPr>
        <w:lastRenderedPageBreak/>
        <w:t>listing the company must focus on creating long-term value for all stakeholders and engage them effectively.</w:t>
      </w:r>
    </w:p>
    <w:p w14:paraId="211573FE"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37246021"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2" w:name="_Toc190338960"/>
      <w:r w:rsidRPr="00F66D65">
        <w:rPr>
          <w:rFonts w:ascii="Arial" w:hAnsi="Arial" w:cs="Arial"/>
          <w:b/>
          <w:bCs/>
          <w:color w:val="auto"/>
          <w:sz w:val="24"/>
          <w:szCs w:val="24"/>
        </w:rPr>
        <w:t>Recommendations</w:t>
      </w:r>
      <w:bookmarkEnd w:id="12"/>
    </w:p>
    <w:p w14:paraId="273B8085" w14:textId="77777777" w:rsidR="00F66D65" w:rsidRPr="00F66D65" w:rsidRDefault="00F66D65" w:rsidP="00F66D65"/>
    <w:p w14:paraId="0988949A"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3" w:name="_Toc190338961"/>
      <w:r w:rsidRPr="00F66D65">
        <w:rPr>
          <w:rFonts w:ascii="Arial" w:hAnsi="Arial" w:cs="Arial"/>
          <w:b/>
          <w:bCs/>
          <w:color w:val="auto"/>
          <w:sz w:val="24"/>
          <w:szCs w:val="24"/>
        </w:rPr>
        <w:t>Governance Structure</w:t>
      </w:r>
      <w:bookmarkEnd w:id="13"/>
    </w:p>
    <w:p w14:paraId="0D4ACA92" w14:textId="77777777" w:rsidR="00F66D65" w:rsidRPr="00F66D65" w:rsidRDefault="00F66D65" w:rsidP="00F66D65"/>
    <w:p w14:paraId="57B99DC7"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The company needs to set up a leadership system based on worldwide industry standards to show the public how decisions are made. The company needs to put independent directors on its board while making sure the company leader does not control both CEO and board chair positions. The UK Corporate Governance Code and its international equivalents help investors trust companies more and let them monitor effectively. Our company will create better business sustainability and long-term value by improving our governance system while putting stakeholder needs first.</w:t>
      </w:r>
    </w:p>
    <w:p w14:paraId="76E76796"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06E6C03A"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4" w:name="_Toc190338962"/>
      <w:r w:rsidRPr="00F66D65">
        <w:rPr>
          <w:rFonts w:ascii="Arial" w:hAnsi="Arial" w:cs="Arial"/>
          <w:b/>
          <w:bCs/>
          <w:color w:val="auto"/>
          <w:sz w:val="24"/>
          <w:szCs w:val="24"/>
        </w:rPr>
        <w:t>Control Mechanisms and Remuneration Framework</w:t>
      </w:r>
      <w:bookmarkEnd w:id="14"/>
    </w:p>
    <w:p w14:paraId="44F90565" w14:textId="77777777" w:rsidR="00F66D65" w:rsidRPr="00F66D65" w:rsidRDefault="00F66D65" w:rsidP="00F66D65"/>
    <w:p w14:paraId="5D6917E2" w14:textId="77777777" w:rsidR="00435350"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 xml:space="preserve">The board should use dual-class shares or shareholder agreements to guarantee family members run the company even though they own less than half. Executive pay should include financial results plus non-financial targets such as environmental social and governance (ESG) achievements. An independent committee will supervise director pay to make sure compensation is fair and follows legal rules. Transparent payment practices shared through annual reports build trust between investors and other stakeholders according to </w:t>
      </w:r>
      <w:proofErr w:type="spellStart"/>
      <w:r w:rsidRPr="00F66D65">
        <w:rPr>
          <w:rFonts w:ascii="Arial" w:eastAsia="Calibri" w:hAnsi="Arial" w:cs="Arial"/>
          <w:kern w:val="2"/>
          <w14:ligatures w14:val="standardContextual"/>
        </w:rPr>
        <w:t>Hendrastuti</w:t>
      </w:r>
      <w:proofErr w:type="spellEnd"/>
      <w:r w:rsidRPr="00F66D65">
        <w:rPr>
          <w:rFonts w:ascii="Arial" w:eastAsia="Calibri" w:hAnsi="Arial" w:cs="Arial"/>
          <w:kern w:val="2"/>
          <w14:ligatures w14:val="standardContextual"/>
        </w:rPr>
        <w:t xml:space="preserve"> and </w:t>
      </w:r>
      <w:proofErr w:type="spellStart"/>
      <w:r w:rsidRPr="00F66D65">
        <w:rPr>
          <w:rFonts w:ascii="Arial" w:eastAsia="Calibri" w:hAnsi="Arial" w:cs="Arial"/>
          <w:kern w:val="2"/>
          <w14:ligatures w14:val="standardContextual"/>
        </w:rPr>
        <w:t>Harahap</w:t>
      </w:r>
      <w:proofErr w:type="spellEnd"/>
      <w:r w:rsidRPr="00F66D65">
        <w:rPr>
          <w:rFonts w:ascii="Arial" w:eastAsia="Calibri" w:hAnsi="Arial" w:cs="Arial"/>
          <w:kern w:val="2"/>
          <w14:ligatures w14:val="standardContextual"/>
        </w:rPr>
        <w:t xml:space="preserve"> (2023).</w:t>
      </w:r>
    </w:p>
    <w:p w14:paraId="5964EF7F" w14:textId="77777777" w:rsidR="00F66D65" w:rsidRPr="00F66D65" w:rsidRDefault="00F66D65" w:rsidP="00F66D65">
      <w:pPr>
        <w:spacing w:after="0" w:line="360" w:lineRule="auto"/>
        <w:ind w:firstLine="720"/>
        <w:contextualSpacing/>
        <w:jc w:val="both"/>
        <w:rPr>
          <w:rFonts w:ascii="Arial" w:eastAsia="Calibri" w:hAnsi="Arial" w:cs="Arial"/>
          <w:kern w:val="2"/>
          <w14:ligatures w14:val="standardContextual"/>
        </w:rPr>
      </w:pPr>
    </w:p>
    <w:p w14:paraId="23C61664" w14:textId="77777777" w:rsidR="00435350" w:rsidRDefault="00435350" w:rsidP="00435350">
      <w:pPr>
        <w:pStyle w:val="Heading1"/>
        <w:spacing w:before="0" w:line="360" w:lineRule="auto"/>
        <w:ind w:firstLine="720"/>
        <w:contextualSpacing/>
        <w:jc w:val="both"/>
        <w:rPr>
          <w:rFonts w:ascii="Arial" w:hAnsi="Arial" w:cs="Arial"/>
          <w:b/>
          <w:bCs/>
          <w:color w:val="auto"/>
          <w:sz w:val="24"/>
          <w:szCs w:val="24"/>
        </w:rPr>
      </w:pPr>
      <w:bookmarkStart w:id="15" w:name="_Toc190338963"/>
      <w:r w:rsidRPr="00F66D65">
        <w:rPr>
          <w:rFonts w:ascii="Arial" w:hAnsi="Arial" w:cs="Arial"/>
          <w:b/>
          <w:bCs/>
          <w:color w:val="auto"/>
          <w:sz w:val="24"/>
          <w:szCs w:val="24"/>
        </w:rPr>
        <w:t>Listing Location Decision</w:t>
      </w:r>
      <w:bookmarkEnd w:id="15"/>
    </w:p>
    <w:p w14:paraId="384CBC12" w14:textId="77777777" w:rsidR="00F66D65" w:rsidRPr="00F66D65" w:rsidRDefault="00F66D65" w:rsidP="00F66D65"/>
    <w:p w14:paraId="0155B347" w14:textId="77777777" w:rsidR="00435350" w:rsidRPr="00F66D65" w:rsidRDefault="00435350" w:rsidP="00F66D65">
      <w:pPr>
        <w:spacing w:after="0" w:line="360" w:lineRule="auto"/>
        <w:ind w:firstLine="720"/>
        <w:contextualSpacing/>
        <w:jc w:val="both"/>
        <w:rPr>
          <w:rFonts w:ascii="Arial" w:eastAsia="Calibri" w:hAnsi="Arial" w:cs="Arial"/>
          <w:kern w:val="2"/>
          <w14:ligatures w14:val="standardContextual"/>
        </w:rPr>
      </w:pPr>
      <w:r w:rsidRPr="00F66D65">
        <w:rPr>
          <w:rFonts w:ascii="Arial" w:eastAsia="Calibri" w:hAnsi="Arial" w:cs="Arial"/>
          <w:kern w:val="2"/>
          <w14:ligatures w14:val="standardContextual"/>
        </w:rPr>
        <w:t xml:space="preserve">Deciding where to list your company depends on how well it meets market access rules and business needs. Investors from around the world choose the UK because its robust investor protection laws and worldwide financial market access (Hecht et al., 2024). Shanghai connects companies to a rapidly expanding economy yet limits their capital movements and influences their corporate management. The Netherlands provides a reliable business setting alongside EU market access but demands adjustments to its specific two-tier board system according to </w:t>
      </w:r>
      <w:proofErr w:type="spellStart"/>
      <w:r w:rsidRPr="00F66D65">
        <w:rPr>
          <w:rFonts w:ascii="Arial" w:eastAsia="Calibri" w:hAnsi="Arial" w:cs="Arial"/>
          <w:kern w:val="2"/>
          <w14:ligatures w14:val="standardContextual"/>
        </w:rPr>
        <w:t>Koeswayo</w:t>
      </w:r>
      <w:proofErr w:type="spellEnd"/>
      <w:r w:rsidRPr="00F66D65">
        <w:rPr>
          <w:rFonts w:ascii="Arial" w:eastAsia="Calibri" w:hAnsi="Arial" w:cs="Arial"/>
          <w:kern w:val="2"/>
          <w14:ligatures w14:val="standardContextual"/>
        </w:rPr>
        <w:t xml:space="preserve"> et al. (2024). The best choice for the company must support its strategic direction and future objectives.</w:t>
      </w:r>
    </w:p>
    <w:p w14:paraId="4FCB6011" w14:textId="77777777" w:rsidR="00435350" w:rsidRPr="00BF32CB" w:rsidRDefault="00435350" w:rsidP="00435350">
      <w:pPr>
        <w:spacing w:after="0" w:line="480" w:lineRule="auto"/>
        <w:ind w:firstLine="720"/>
        <w:jc w:val="both"/>
        <w:rPr>
          <w:rFonts w:ascii="Times New Roman" w:hAnsi="Times New Roman" w:cs="Times New Roman"/>
        </w:rPr>
      </w:pPr>
    </w:p>
    <w:p w14:paraId="48314BA3" w14:textId="77777777" w:rsidR="00435350" w:rsidRPr="00BF32CB" w:rsidRDefault="00435350" w:rsidP="00435350">
      <w:pPr>
        <w:spacing w:after="0" w:line="480" w:lineRule="auto"/>
        <w:ind w:firstLine="720"/>
        <w:jc w:val="both"/>
        <w:rPr>
          <w:rFonts w:ascii="Times New Roman" w:hAnsi="Times New Roman" w:cs="Times New Roman"/>
        </w:rPr>
      </w:pPr>
    </w:p>
    <w:p w14:paraId="17318DEF" w14:textId="77777777" w:rsidR="005156E3" w:rsidRPr="00F26256" w:rsidRDefault="005156E3" w:rsidP="00430734">
      <w:pPr>
        <w:pStyle w:val="Heading1"/>
        <w:pBdr>
          <w:top w:val="single" w:sz="4" w:space="1" w:color="auto"/>
        </w:pBdr>
        <w:spacing w:before="0" w:line="360" w:lineRule="auto"/>
        <w:ind w:firstLine="720"/>
        <w:contextualSpacing/>
        <w:jc w:val="both"/>
        <w:rPr>
          <w:rFonts w:ascii="Arial" w:hAnsi="Arial" w:cs="Arial"/>
          <w:b/>
          <w:bCs/>
          <w:color w:val="auto"/>
          <w:sz w:val="24"/>
          <w:szCs w:val="24"/>
        </w:rPr>
      </w:pPr>
      <w:bookmarkStart w:id="16" w:name="_Toc190338964"/>
      <w:r w:rsidRPr="00F26256">
        <w:rPr>
          <w:rFonts w:ascii="Arial" w:hAnsi="Arial" w:cs="Arial"/>
          <w:b/>
          <w:bCs/>
          <w:color w:val="auto"/>
          <w:sz w:val="24"/>
          <w:szCs w:val="24"/>
        </w:rPr>
        <w:lastRenderedPageBreak/>
        <w:t>References</w:t>
      </w:r>
      <w:bookmarkEnd w:id="16"/>
    </w:p>
    <w:p w14:paraId="6881DA41" w14:textId="77777777" w:rsidR="00435350" w:rsidRDefault="00435350" w:rsidP="00435350">
      <w:pPr>
        <w:spacing w:after="0" w:line="360" w:lineRule="auto"/>
        <w:jc w:val="both"/>
        <w:rPr>
          <w:rFonts w:ascii="Arial" w:hAnsi="Arial" w:cs="Arial"/>
        </w:rPr>
      </w:pPr>
    </w:p>
    <w:p w14:paraId="2DF4A9A1"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r w:rsidRPr="00435350">
        <w:rPr>
          <w:rFonts w:ascii="Arial" w:hAnsi="Arial" w:cs="Arial"/>
        </w:rPr>
        <w:t xml:space="preserve">Al-Faryan, M.A.S., 2024. Agency theory, corporate governance and corruption: an integrative literature review approach. Cogent Social Sciences, 10(1), p.2337893. </w:t>
      </w:r>
      <w:hyperlink r:id="rId9" w:history="1">
        <w:r w:rsidRPr="00435350">
          <w:rPr>
            <w:rFonts w:ascii="Arial" w:hAnsi="Arial" w:cs="Arial"/>
          </w:rPr>
          <w:t>https://www.tandfonline.com/doi/abs/10.1080/23311886.2024.2337893</w:t>
        </w:r>
      </w:hyperlink>
      <w:r w:rsidRPr="00435350">
        <w:rPr>
          <w:rFonts w:ascii="Arial" w:hAnsi="Arial" w:cs="Arial"/>
        </w:rPr>
        <w:t xml:space="preserve">  </w:t>
      </w:r>
    </w:p>
    <w:p w14:paraId="1E1C5178"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r w:rsidRPr="00435350">
        <w:rPr>
          <w:rFonts w:ascii="Arial" w:hAnsi="Arial" w:cs="Arial"/>
        </w:rPr>
        <w:t xml:space="preserve">Guthrie, G. and Hobbs, C., 2021. </w:t>
      </w:r>
      <w:proofErr w:type="gramStart"/>
      <w:r w:rsidRPr="00435350">
        <w:rPr>
          <w:rFonts w:ascii="Arial" w:hAnsi="Arial" w:cs="Arial"/>
        </w:rPr>
        <w:t>How</w:t>
      </w:r>
      <w:proofErr w:type="gramEnd"/>
      <w:r w:rsidRPr="00435350">
        <w:rPr>
          <w:rFonts w:ascii="Arial" w:hAnsi="Arial" w:cs="Arial"/>
        </w:rPr>
        <w:t xml:space="preserve"> managerial ownership and the market for corporate control can improve investment timing. Journal of Banking &amp; Finance, 128, p.106154. </w:t>
      </w:r>
      <w:hyperlink r:id="rId10" w:history="1">
        <w:r w:rsidRPr="00435350">
          <w:rPr>
            <w:rFonts w:ascii="Arial" w:hAnsi="Arial" w:cs="Arial"/>
          </w:rPr>
          <w:t>https://www.sciencedirect.com/science/article/pii/S0378426621001126</w:t>
        </w:r>
      </w:hyperlink>
      <w:r w:rsidRPr="00435350">
        <w:rPr>
          <w:rFonts w:ascii="Arial" w:hAnsi="Arial" w:cs="Arial"/>
        </w:rPr>
        <w:t xml:space="preserve"> </w:t>
      </w:r>
    </w:p>
    <w:p w14:paraId="3F6E231D"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r w:rsidRPr="00435350">
        <w:rPr>
          <w:rFonts w:ascii="Arial" w:hAnsi="Arial" w:cs="Arial"/>
        </w:rPr>
        <w:t xml:space="preserve">Harper James. 2021. Legal guide to public limited companies | Harper James. </w:t>
      </w:r>
      <w:hyperlink r:id="rId11" w:history="1">
        <w:r w:rsidRPr="00435350">
          <w:rPr>
            <w:rFonts w:ascii="Arial" w:hAnsi="Arial" w:cs="Arial"/>
          </w:rPr>
          <w:t>https://harperjames.co.uk/article/public-limited-company/</w:t>
        </w:r>
      </w:hyperlink>
      <w:r w:rsidRPr="00435350">
        <w:rPr>
          <w:rFonts w:ascii="Arial" w:hAnsi="Arial" w:cs="Arial"/>
        </w:rPr>
        <w:t>.</w:t>
      </w:r>
    </w:p>
    <w:p w14:paraId="7F45E40D"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r w:rsidRPr="00435350">
        <w:rPr>
          <w:rFonts w:ascii="Arial" w:hAnsi="Arial" w:cs="Arial"/>
        </w:rPr>
        <w:t xml:space="preserve">Hecht, H., Stanbrook, J. and Lim, G. 2024 Corporate Governance Laws and Regulations UK 2024-2025. </w:t>
      </w:r>
      <w:hyperlink r:id="rId12" w:history="1">
        <w:r w:rsidRPr="00435350">
          <w:rPr>
            <w:rFonts w:ascii="Arial" w:hAnsi="Arial" w:cs="Arial"/>
          </w:rPr>
          <w:t>https://iclg.com/practice-areas/corporate-governance-laws-and-regulations/united-kingdom</w:t>
        </w:r>
      </w:hyperlink>
      <w:r w:rsidRPr="00435350">
        <w:rPr>
          <w:rFonts w:ascii="Arial" w:hAnsi="Arial" w:cs="Arial"/>
        </w:rPr>
        <w:t xml:space="preserve">. </w:t>
      </w:r>
    </w:p>
    <w:p w14:paraId="374AC2BB"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proofErr w:type="spellStart"/>
      <w:r w:rsidRPr="00435350">
        <w:rPr>
          <w:rFonts w:ascii="Arial" w:hAnsi="Arial" w:cs="Arial"/>
        </w:rPr>
        <w:t>Hendrastuti</w:t>
      </w:r>
      <w:proofErr w:type="spellEnd"/>
      <w:r w:rsidRPr="00435350">
        <w:rPr>
          <w:rFonts w:ascii="Arial" w:hAnsi="Arial" w:cs="Arial"/>
        </w:rPr>
        <w:t xml:space="preserve">, R. and </w:t>
      </w:r>
      <w:proofErr w:type="spellStart"/>
      <w:r w:rsidRPr="00435350">
        <w:rPr>
          <w:rFonts w:ascii="Arial" w:hAnsi="Arial" w:cs="Arial"/>
        </w:rPr>
        <w:t>Harahap</w:t>
      </w:r>
      <w:proofErr w:type="spellEnd"/>
      <w:r w:rsidRPr="00435350">
        <w:rPr>
          <w:rFonts w:ascii="Arial" w:hAnsi="Arial" w:cs="Arial"/>
        </w:rPr>
        <w:t>, R.F., 2023. Agency theory: Review of the theory and current research. </w:t>
      </w:r>
      <w:proofErr w:type="spellStart"/>
      <w:r w:rsidRPr="00435350">
        <w:rPr>
          <w:rFonts w:ascii="Arial" w:hAnsi="Arial" w:cs="Arial"/>
        </w:rPr>
        <w:t>Jurnal</w:t>
      </w:r>
      <w:proofErr w:type="spellEnd"/>
      <w:r w:rsidRPr="00435350">
        <w:rPr>
          <w:rFonts w:ascii="Arial" w:hAnsi="Arial" w:cs="Arial"/>
        </w:rPr>
        <w:t xml:space="preserve"> </w:t>
      </w:r>
      <w:proofErr w:type="spellStart"/>
      <w:r w:rsidRPr="00435350">
        <w:rPr>
          <w:rFonts w:ascii="Arial" w:hAnsi="Arial" w:cs="Arial"/>
        </w:rPr>
        <w:t>Akuntansi</w:t>
      </w:r>
      <w:proofErr w:type="spellEnd"/>
      <w:r w:rsidRPr="00435350">
        <w:rPr>
          <w:rFonts w:ascii="Arial" w:hAnsi="Arial" w:cs="Arial"/>
        </w:rPr>
        <w:t xml:space="preserve"> </w:t>
      </w:r>
      <w:proofErr w:type="spellStart"/>
      <w:r w:rsidRPr="00435350">
        <w:rPr>
          <w:rFonts w:ascii="Arial" w:hAnsi="Arial" w:cs="Arial"/>
        </w:rPr>
        <w:t>Aktual</w:t>
      </w:r>
      <w:proofErr w:type="spellEnd"/>
      <w:r w:rsidRPr="00435350">
        <w:rPr>
          <w:rFonts w:ascii="Arial" w:hAnsi="Arial" w:cs="Arial"/>
        </w:rPr>
        <w:t>, 10(1), p.85. DOI: </w:t>
      </w:r>
      <w:hyperlink r:id="rId13" w:tgtFrame="_blank" w:history="1">
        <w:r w:rsidRPr="00435350">
          <w:rPr>
            <w:rFonts w:ascii="Arial" w:hAnsi="Arial" w:cs="Arial"/>
          </w:rPr>
          <w:t>10.17977/um004v10i12023p085</w:t>
        </w:r>
      </w:hyperlink>
    </w:p>
    <w:p w14:paraId="4A1D4B16"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proofErr w:type="spellStart"/>
      <w:r w:rsidRPr="00435350">
        <w:rPr>
          <w:rFonts w:ascii="Arial" w:hAnsi="Arial" w:cs="Arial"/>
        </w:rPr>
        <w:t>Koeswayo</w:t>
      </w:r>
      <w:proofErr w:type="spellEnd"/>
      <w:r w:rsidRPr="00435350">
        <w:rPr>
          <w:rFonts w:ascii="Arial" w:hAnsi="Arial" w:cs="Arial"/>
        </w:rPr>
        <w:t xml:space="preserve">, P.S., Haryanto, H. and </w:t>
      </w:r>
      <w:proofErr w:type="spellStart"/>
      <w:r w:rsidRPr="00435350">
        <w:rPr>
          <w:rFonts w:ascii="Arial" w:hAnsi="Arial" w:cs="Arial"/>
        </w:rPr>
        <w:t>Handoyo</w:t>
      </w:r>
      <w:proofErr w:type="spellEnd"/>
      <w:r w:rsidRPr="00435350">
        <w:rPr>
          <w:rFonts w:ascii="Arial" w:hAnsi="Arial" w:cs="Arial"/>
        </w:rPr>
        <w:t xml:space="preserve">, S., 2024. The impact of corporate governance, internal control and corporate reputation on employee engagement: a moderating role of leadership style. Cogent Business &amp; Management, 11(1), p.2296698. </w:t>
      </w:r>
      <w:hyperlink r:id="rId14" w:history="1">
        <w:r w:rsidRPr="00435350">
          <w:rPr>
            <w:rFonts w:ascii="Arial" w:hAnsi="Arial" w:cs="Arial"/>
          </w:rPr>
          <w:t>https://doi.org/10.1080/23311975.2023.2296698</w:t>
        </w:r>
      </w:hyperlink>
    </w:p>
    <w:p w14:paraId="60D66BF3"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r w:rsidRPr="00435350">
        <w:rPr>
          <w:rFonts w:ascii="Arial" w:hAnsi="Arial" w:cs="Arial"/>
        </w:rPr>
        <w:t xml:space="preserve">Martins, A., Oliveira, C., Silva, R. and Castelo Branco, M., 2023. Management control practices as performance facilitators in a crisis context. Administrative Sciences, 13(7), p.163. </w:t>
      </w:r>
      <w:hyperlink r:id="rId15" w:history="1">
        <w:r w:rsidRPr="00435350">
          <w:rPr>
            <w:rFonts w:ascii="Arial" w:hAnsi="Arial" w:cs="Arial"/>
          </w:rPr>
          <w:t>https://www.mdpi.com/2076-3387/13/7/163</w:t>
        </w:r>
      </w:hyperlink>
      <w:r w:rsidRPr="00435350">
        <w:rPr>
          <w:rFonts w:ascii="Arial" w:hAnsi="Arial" w:cs="Arial"/>
        </w:rPr>
        <w:t xml:space="preserve"> </w:t>
      </w:r>
    </w:p>
    <w:p w14:paraId="1CF824C4"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r w:rsidRPr="00435350">
        <w:rPr>
          <w:rFonts w:ascii="Arial" w:hAnsi="Arial" w:cs="Arial"/>
        </w:rPr>
        <w:t xml:space="preserve">Musa, S.J., Ibrahim, K.M. and Success, B.E., 2022. Agency theory and corporate governance: A comparative study of Board diversity and financial performance in Nigeria. Journal of Positive School Psychology, pp.10364-10372. </w:t>
      </w:r>
      <w:hyperlink r:id="rId16" w:history="1">
        <w:r w:rsidRPr="00435350">
          <w:rPr>
            <w:rFonts w:ascii="Arial" w:hAnsi="Arial" w:cs="Arial"/>
          </w:rPr>
          <w:t>https://www.journalppw.com/index.php/jpsp/article/view/9663</w:t>
        </w:r>
      </w:hyperlink>
      <w:r w:rsidRPr="00435350">
        <w:rPr>
          <w:rFonts w:ascii="Arial" w:hAnsi="Arial" w:cs="Arial"/>
        </w:rPr>
        <w:t xml:space="preserve"> </w:t>
      </w:r>
    </w:p>
    <w:p w14:paraId="76A744B9" w14:textId="77777777" w:rsidR="00435350" w:rsidRPr="00435350" w:rsidRDefault="00435350" w:rsidP="00435350">
      <w:pPr>
        <w:pStyle w:val="ListParagraph"/>
        <w:numPr>
          <w:ilvl w:val="0"/>
          <w:numId w:val="2"/>
        </w:numPr>
        <w:spacing w:after="0" w:line="360" w:lineRule="auto"/>
        <w:ind w:left="0" w:firstLine="720"/>
        <w:jc w:val="both"/>
        <w:rPr>
          <w:rFonts w:ascii="Arial" w:hAnsi="Arial" w:cs="Arial"/>
        </w:rPr>
      </w:pPr>
      <w:proofErr w:type="spellStart"/>
      <w:r w:rsidRPr="00435350">
        <w:rPr>
          <w:rFonts w:ascii="Arial" w:hAnsi="Arial" w:cs="Arial"/>
        </w:rPr>
        <w:t>Sageder</w:t>
      </w:r>
      <w:proofErr w:type="spellEnd"/>
      <w:r w:rsidRPr="00435350">
        <w:rPr>
          <w:rFonts w:ascii="Arial" w:hAnsi="Arial" w:cs="Arial"/>
        </w:rPr>
        <w:t>, M. and Feldbauer-</w:t>
      </w:r>
      <w:proofErr w:type="spellStart"/>
      <w:r w:rsidRPr="00435350">
        <w:rPr>
          <w:rFonts w:ascii="Arial" w:hAnsi="Arial" w:cs="Arial"/>
        </w:rPr>
        <w:t>Durstmüller</w:t>
      </w:r>
      <w:proofErr w:type="spellEnd"/>
      <w:r w:rsidRPr="00435350">
        <w:rPr>
          <w:rFonts w:ascii="Arial" w:hAnsi="Arial" w:cs="Arial"/>
        </w:rPr>
        <w:t xml:space="preserve">, B., 2019. Management control in multinational companies: a systematic literature review. Review of Managerial Science, 13(5), pp.875-918. </w:t>
      </w:r>
      <w:hyperlink r:id="rId17" w:history="1">
        <w:r w:rsidRPr="00435350">
          <w:rPr>
            <w:rFonts w:ascii="Arial" w:hAnsi="Arial" w:cs="Arial"/>
          </w:rPr>
          <w:t>https://link.springer.com/article/10.1007/s11846-018-0276-1</w:t>
        </w:r>
      </w:hyperlink>
      <w:r w:rsidRPr="00435350">
        <w:rPr>
          <w:rFonts w:ascii="Arial" w:hAnsi="Arial" w:cs="Arial"/>
        </w:rPr>
        <w:t xml:space="preserve"> </w:t>
      </w:r>
    </w:p>
    <w:p w14:paraId="0A045F07" w14:textId="77777777" w:rsidR="00435350" w:rsidRPr="00BF32CB" w:rsidRDefault="00435350" w:rsidP="00435350">
      <w:pPr>
        <w:pStyle w:val="ListParagraph"/>
        <w:numPr>
          <w:ilvl w:val="0"/>
          <w:numId w:val="2"/>
        </w:numPr>
        <w:spacing w:after="0" w:line="360" w:lineRule="auto"/>
        <w:ind w:left="0" w:firstLine="720"/>
        <w:jc w:val="both"/>
        <w:rPr>
          <w:rFonts w:ascii="Times New Roman" w:hAnsi="Times New Roman" w:cs="Times New Roman"/>
        </w:rPr>
      </w:pPr>
      <w:proofErr w:type="spellStart"/>
      <w:r w:rsidRPr="00435350">
        <w:rPr>
          <w:rFonts w:ascii="Arial" w:hAnsi="Arial" w:cs="Arial"/>
        </w:rPr>
        <w:t>Wikartika</w:t>
      </w:r>
      <w:proofErr w:type="spellEnd"/>
      <w:r w:rsidRPr="00435350">
        <w:rPr>
          <w:rFonts w:ascii="Arial" w:hAnsi="Arial" w:cs="Arial"/>
        </w:rPr>
        <w:t xml:space="preserve">, I. and Akbar, F.S., 2018. Analysis of Corporate Governance Based on The Agency Theory. Nusantara Science and Technology Proceedings, pp.1-9. </w:t>
      </w:r>
      <w:hyperlink r:id="rId18" w:history="1">
        <w:r w:rsidRPr="00435350">
          <w:rPr>
            <w:rFonts w:ascii="Arial" w:hAnsi="Arial" w:cs="Arial"/>
          </w:rPr>
          <w:t>http://nstproceeding.com/index.php/nuscientech/article/view/159</w:t>
        </w:r>
      </w:hyperlink>
      <w:r>
        <w:rPr>
          <w:rFonts w:ascii="Times New Roman" w:hAnsi="Times New Roman" w:cs="Times New Roman"/>
        </w:rPr>
        <w:t xml:space="preserve"> </w:t>
      </w:r>
    </w:p>
    <w:sectPr w:rsidR="00435350" w:rsidRPr="00BF32CB" w:rsidSect="006818F1">
      <w:footerReference w:type="default" r:id="rId19"/>
      <w:pgSz w:w="12240" w:h="15840" w:code="1"/>
      <w:pgMar w:top="1134" w:right="1134" w:bottom="1134" w:left="1134"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C5496" w14:textId="77777777" w:rsidR="00310624" w:rsidRDefault="00310624">
      <w:pPr>
        <w:spacing w:after="0" w:line="240" w:lineRule="auto"/>
      </w:pPr>
      <w:r>
        <w:separator/>
      </w:r>
    </w:p>
  </w:endnote>
  <w:endnote w:type="continuationSeparator" w:id="0">
    <w:p w14:paraId="2B9367EB" w14:textId="77777777" w:rsidR="00310624" w:rsidRDefault="00310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9FA60" w14:textId="77777777" w:rsidR="00310624" w:rsidRDefault="00310624">
      <w:pPr>
        <w:spacing w:after="0" w:line="240" w:lineRule="auto"/>
      </w:pPr>
      <w:r>
        <w:separator/>
      </w:r>
    </w:p>
  </w:footnote>
  <w:footnote w:type="continuationSeparator" w:id="0">
    <w:p w14:paraId="1E474274" w14:textId="77777777" w:rsidR="00310624" w:rsidRDefault="00310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0"/>
  </w:num>
  <w:num w:numId="2" w16cid:durableId="1614053347">
    <w:abstractNumId w:val="2"/>
  </w:num>
  <w:num w:numId="3" w16cid:durableId="1744251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221DF"/>
    <w:rsid w:val="0002643A"/>
    <w:rsid w:val="000609FA"/>
    <w:rsid w:val="00061971"/>
    <w:rsid w:val="00071D32"/>
    <w:rsid w:val="00082318"/>
    <w:rsid w:val="000A2847"/>
    <w:rsid w:val="000C021E"/>
    <w:rsid w:val="000C10CE"/>
    <w:rsid w:val="000E01E1"/>
    <w:rsid w:val="000E0A89"/>
    <w:rsid w:val="000E7D76"/>
    <w:rsid w:val="00117B6F"/>
    <w:rsid w:val="00133EF9"/>
    <w:rsid w:val="00136F8A"/>
    <w:rsid w:val="0016666C"/>
    <w:rsid w:val="00171F93"/>
    <w:rsid w:val="00174127"/>
    <w:rsid w:val="001761CE"/>
    <w:rsid w:val="00176D04"/>
    <w:rsid w:val="00192426"/>
    <w:rsid w:val="001B117F"/>
    <w:rsid w:val="001E015B"/>
    <w:rsid w:val="002020D8"/>
    <w:rsid w:val="00213F2E"/>
    <w:rsid w:val="00220792"/>
    <w:rsid w:val="0022624A"/>
    <w:rsid w:val="002407C8"/>
    <w:rsid w:val="002431CD"/>
    <w:rsid w:val="00266D6C"/>
    <w:rsid w:val="00281E0E"/>
    <w:rsid w:val="00285DAF"/>
    <w:rsid w:val="00310624"/>
    <w:rsid w:val="00324FB3"/>
    <w:rsid w:val="0032602D"/>
    <w:rsid w:val="00332472"/>
    <w:rsid w:val="00334D76"/>
    <w:rsid w:val="0034427D"/>
    <w:rsid w:val="00353A97"/>
    <w:rsid w:val="003826E4"/>
    <w:rsid w:val="00386155"/>
    <w:rsid w:val="00387C5B"/>
    <w:rsid w:val="00391826"/>
    <w:rsid w:val="00392F63"/>
    <w:rsid w:val="003C17C2"/>
    <w:rsid w:val="003F092A"/>
    <w:rsid w:val="003F0DCA"/>
    <w:rsid w:val="00414E60"/>
    <w:rsid w:val="00430734"/>
    <w:rsid w:val="00435350"/>
    <w:rsid w:val="00437386"/>
    <w:rsid w:val="00440854"/>
    <w:rsid w:val="004529FC"/>
    <w:rsid w:val="004728E1"/>
    <w:rsid w:val="00485009"/>
    <w:rsid w:val="004A60A1"/>
    <w:rsid w:val="004C32F4"/>
    <w:rsid w:val="004C3C9D"/>
    <w:rsid w:val="004C7355"/>
    <w:rsid w:val="004D3201"/>
    <w:rsid w:val="00505433"/>
    <w:rsid w:val="00515299"/>
    <w:rsid w:val="005156E3"/>
    <w:rsid w:val="005444EF"/>
    <w:rsid w:val="00554B5C"/>
    <w:rsid w:val="005570FC"/>
    <w:rsid w:val="00567206"/>
    <w:rsid w:val="00573018"/>
    <w:rsid w:val="00581A53"/>
    <w:rsid w:val="005837BE"/>
    <w:rsid w:val="005A0089"/>
    <w:rsid w:val="005A41CB"/>
    <w:rsid w:val="005A6860"/>
    <w:rsid w:val="005B5417"/>
    <w:rsid w:val="005D4FF9"/>
    <w:rsid w:val="005F418D"/>
    <w:rsid w:val="006020E3"/>
    <w:rsid w:val="006027DC"/>
    <w:rsid w:val="00604DEE"/>
    <w:rsid w:val="0065001F"/>
    <w:rsid w:val="00654BC0"/>
    <w:rsid w:val="0066706C"/>
    <w:rsid w:val="00673893"/>
    <w:rsid w:val="006750FA"/>
    <w:rsid w:val="006818F1"/>
    <w:rsid w:val="006E1AC1"/>
    <w:rsid w:val="006E1B19"/>
    <w:rsid w:val="006F46D4"/>
    <w:rsid w:val="007056A1"/>
    <w:rsid w:val="007121DE"/>
    <w:rsid w:val="00716444"/>
    <w:rsid w:val="00724D1C"/>
    <w:rsid w:val="00744540"/>
    <w:rsid w:val="00747450"/>
    <w:rsid w:val="0079567D"/>
    <w:rsid w:val="007A4C52"/>
    <w:rsid w:val="007B1DCE"/>
    <w:rsid w:val="007C0159"/>
    <w:rsid w:val="007C15B1"/>
    <w:rsid w:val="007E3E14"/>
    <w:rsid w:val="007E5212"/>
    <w:rsid w:val="0080562D"/>
    <w:rsid w:val="00805A26"/>
    <w:rsid w:val="00820D3F"/>
    <w:rsid w:val="00826CEC"/>
    <w:rsid w:val="008448B7"/>
    <w:rsid w:val="008672A0"/>
    <w:rsid w:val="00893581"/>
    <w:rsid w:val="00897E74"/>
    <w:rsid w:val="008C2F48"/>
    <w:rsid w:val="008F7CD3"/>
    <w:rsid w:val="00904673"/>
    <w:rsid w:val="0090795F"/>
    <w:rsid w:val="00913D35"/>
    <w:rsid w:val="0093386B"/>
    <w:rsid w:val="009430A6"/>
    <w:rsid w:val="00944408"/>
    <w:rsid w:val="00966B33"/>
    <w:rsid w:val="00977FA7"/>
    <w:rsid w:val="009810CE"/>
    <w:rsid w:val="00991677"/>
    <w:rsid w:val="00992BCE"/>
    <w:rsid w:val="00995012"/>
    <w:rsid w:val="009B1C74"/>
    <w:rsid w:val="009B292A"/>
    <w:rsid w:val="009B2A72"/>
    <w:rsid w:val="009C0F06"/>
    <w:rsid w:val="009C5C05"/>
    <w:rsid w:val="009F2987"/>
    <w:rsid w:val="009F5BB8"/>
    <w:rsid w:val="009F6403"/>
    <w:rsid w:val="00A20B8A"/>
    <w:rsid w:val="00A302A9"/>
    <w:rsid w:val="00A367FE"/>
    <w:rsid w:val="00A47998"/>
    <w:rsid w:val="00A544BD"/>
    <w:rsid w:val="00A60950"/>
    <w:rsid w:val="00A97C56"/>
    <w:rsid w:val="00AB2828"/>
    <w:rsid w:val="00AC5129"/>
    <w:rsid w:val="00AF3BC9"/>
    <w:rsid w:val="00AF5EA3"/>
    <w:rsid w:val="00B03A82"/>
    <w:rsid w:val="00B17038"/>
    <w:rsid w:val="00B53DA3"/>
    <w:rsid w:val="00B72072"/>
    <w:rsid w:val="00B925AF"/>
    <w:rsid w:val="00B976F9"/>
    <w:rsid w:val="00BB3FA5"/>
    <w:rsid w:val="00BC4BC6"/>
    <w:rsid w:val="00BC7258"/>
    <w:rsid w:val="00BC7654"/>
    <w:rsid w:val="00BD2CB9"/>
    <w:rsid w:val="00BD4991"/>
    <w:rsid w:val="00BE71AD"/>
    <w:rsid w:val="00C04508"/>
    <w:rsid w:val="00C419F6"/>
    <w:rsid w:val="00C41CBA"/>
    <w:rsid w:val="00C73207"/>
    <w:rsid w:val="00C82898"/>
    <w:rsid w:val="00C84F0F"/>
    <w:rsid w:val="00CA66F2"/>
    <w:rsid w:val="00CD36B7"/>
    <w:rsid w:val="00CD71D3"/>
    <w:rsid w:val="00CE3274"/>
    <w:rsid w:val="00CF5BA3"/>
    <w:rsid w:val="00D05069"/>
    <w:rsid w:val="00D05FB2"/>
    <w:rsid w:val="00D1279A"/>
    <w:rsid w:val="00D1405E"/>
    <w:rsid w:val="00D1740F"/>
    <w:rsid w:val="00D20B79"/>
    <w:rsid w:val="00D27931"/>
    <w:rsid w:val="00D5306E"/>
    <w:rsid w:val="00D54AE0"/>
    <w:rsid w:val="00D55D12"/>
    <w:rsid w:val="00D67435"/>
    <w:rsid w:val="00D83FE5"/>
    <w:rsid w:val="00DA3AE8"/>
    <w:rsid w:val="00DB5F39"/>
    <w:rsid w:val="00DC0427"/>
    <w:rsid w:val="00DD0E06"/>
    <w:rsid w:val="00DF1306"/>
    <w:rsid w:val="00DF53EF"/>
    <w:rsid w:val="00DF5917"/>
    <w:rsid w:val="00E3673C"/>
    <w:rsid w:val="00E43A5B"/>
    <w:rsid w:val="00E63034"/>
    <w:rsid w:val="00E76C3F"/>
    <w:rsid w:val="00E91CD4"/>
    <w:rsid w:val="00E94E39"/>
    <w:rsid w:val="00F044CE"/>
    <w:rsid w:val="00F0505E"/>
    <w:rsid w:val="00F2163C"/>
    <w:rsid w:val="00F2338F"/>
    <w:rsid w:val="00F26256"/>
    <w:rsid w:val="00F34FC5"/>
    <w:rsid w:val="00F41F4F"/>
    <w:rsid w:val="00F445E2"/>
    <w:rsid w:val="00F47081"/>
    <w:rsid w:val="00F66D65"/>
    <w:rsid w:val="00F75E83"/>
    <w:rsid w:val="00F85C11"/>
    <w:rsid w:val="00FA2DB6"/>
    <w:rsid w:val="00FE0FAA"/>
    <w:rsid w:val="00FF1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15:docId w15:val="{E3AE3BE7-FC36-4B0D-8A24-93D047689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7FE"/>
    <w:pPr>
      <w:keepNext/>
      <w:keepLines/>
      <w:spacing w:before="40" w:after="0" w:line="259" w:lineRule="auto"/>
      <w:outlineLvl w:val="1"/>
    </w:pPr>
    <w:rPr>
      <w:rFonts w:asciiTheme="majorHAnsi" w:eastAsiaTheme="majorEastAsia" w:hAnsiTheme="majorHAnsi" w:cstheme="majorBidi"/>
      <w:color w:val="2F5496" w:themeColor="accent1" w:themeShade="BF"/>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character" w:customStyle="1" w:styleId="Heading2Char">
    <w:name w:val="Heading 2 Char"/>
    <w:basedOn w:val="DefaultParagraphFont"/>
    <w:link w:val="Heading2"/>
    <w:uiPriority w:val="9"/>
    <w:rsid w:val="00A367FE"/>
    <w:rPr>
      <w:rFonts w:asciiTheme="majorHAnsi" w:eastAsiaTheme="majorEastAsia" w:hAnsiTheme="majorHAnsi" w:cstheme="majorBidi"/>
      <w:color w:val="2F5496" w:themeColor="accent1" w:themeShade="BF"/>
      <w:kern w:val="2"/>
      <w:sz w:val="26"/>
      <w:szCs w:val="26"/>
      <w14:ligatures w14:val="standardContextual"/>
    </w:rPr>
  </w:style>
  <w:style w:type="paragraph" w:styleId="TOC1">
    <w:name w:val="toc 1"/>
    <w:basedOn w:val="Normal"/>
    <w:next w:val="Normal"/>
    <w:autoRedefine/>
    <w:uiPriority w:val="39"/>
    <w:unhideWhenUsed/>
    <w:rsid w:val="00A367FE"/>
    <w:pPr>
      <w:spacing w:after="100" w:line="259" w:lineRule="auto"/>
    </w:pPr>
    <w:rPr>
      <w:kern w:val="2"/>
      <w14:ligatures w14:val="standardContextual"/>
    </w:rPr>
  </w:style>
  <w:style w:type="paragraph" w:styleId="TOC2">
    <w:name w:val="toc 2"/>
    <w:basedOn w:val="Normal"/>
    <w:next w:val="Normal"/>
    <w:autoRedefine/>
    <w:uiPriority w:val="39"/>
    <w:unhideWhenUsed/>
    <w:rsid w:val="00A367FE"/>
    <w:pPr>
      <w:spacing w:after="100" w:line="259" w:lineRule="auto"/>
      <w:ind w:left="220"/>
    </w:pPr>
    <w:rPr>
      <w:kern w:val="2"/>
      <w14:ligatures w14:val="standardContextual"/>
    </w:rPr>
  </w:style>
  <w:style w:type="character" w:styleId="UnresolvedMention">
    <w:name w:val="Unresolved Mention"/>
    <w:basedOn w:val="DefaultParagraphFont"/>
    <w:uiPriority w:val="99"/>
    <w:semiHidden/>
    <w:unhideWhenUsed/>
    <w:rsid w:val="00DC0427"/>
    <w:rPr>
      <w:color w:val="605E5C"/>
      <w:shd w:val="clear" w:color="auto" w:fill="E1DFDD"/>
    </w:rPr>
  </w:style>
  <w:style w:type="paragraph" w:customStyle="1" w:styleId="TableParagraph">
    <w:name w:val="Table Paragraph"/>
    <w:basedOn w:val="Normal"/>
    <w:uiPriority w:val="1"/>
    <w:qFormat/>
    <w:rsid w:val="00F044CE"/>
    <w:pPr>
      <w:widowControl w:val="0"/>
      <w:autoSpaceDE w:val="0"/>
      <w:autoSpaceDN w:val="0"/>
      <w:spacing w:after="0" w:line="240" w:lineRule="auto"/>
      <w:ind w:left="110"/>
    </w:pPr>
    <w:rPr>
      <w:rFonts w:ascii="Arial" w:eastAsia="Arial" w:hAnsi="Arial" w:cs="Arial"/>
    </w:rPr>
  </w:style>
  <w:style w:type="paragraph" w:styleId="TOC3">
    <w:name w:val="toc 3"/>
    <w:basedOn w:val="Normal"/>
    <w:next w:val="Normal"/>
    <w:autoRedefine/>
    <w:uiPriority w:val="39"/>
    <w:unhideWhenUsed/>
    <w:rsid w:val="00430734"/>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207182110">
      <w:bodyDiv w:val="1"/>
      <w:marLeft w:val="0"/>
      <w:marRight w:val="0"/>
      <w:marTop w:val="0"/>
      <w:marBottom w:val="0"/>
      <w:divBdr>
        <w:top w:val="none" w:sz="0" w:space="0" w:color="auto"/>
        <w:left w:val="none" w:sz="0" w:space="0" w:color="auto"/>
        <w:bottom w:val="none" w:sz="0" w:space="0" w:color="auto"/>
        <w:right w:val="none" w:sz="0" w:space="0" w:color="auto"/>
      </w:divBdr>
    </w:div>
    <w:div w:id="461315548">
      <w:bodyDiv w:val="1"/>
      <w:marLeft w:val="0"/>
      <w:marRight w:val="0"/>
      <w:marTop w:val="0"/>
      <w:marBottom w:val="0"/>
      <w:divBdr>
        <w:top w:val="none" w:sz="0" w:space="0" w:color="auto"/>
        <w:left w:val="none" w:sz="0" w:space="0" w:color="auto"/>
        <w:bottom w:val="none" w:sz="0" w:space="0" w:color="auto"/>
        <w:right w:val="none" w:sz="0" w:space="0" w:color="auto"/>
      </w:divBdr>
    </w:div>
    <w:div w:id="472987797">
      <w:bodyDiv w:val="1"/>
      <w:marLeft w:val="0"/>
      <w:marRight w:val="0"/>
      <w:marTop w:val="0"/>
      <w:marBottom w:val="0"/>
      <w:divBdr>
        <w:top w:val="none" w:sz="0" w:space="0" w:color="auto"/>
        <w:left w:val="none" w:sz="0" w:space="0" w:color="auto"/>
        <w:bottom w:val="none" w:sz="0" w:space="0" w:color="auto"/>
        <w:right w:val="none" w:sz="0" w:space="0" w:color="auto"/>
      </w:divBdr>
    </w:div>
    <w:div w:id="501625838">
      <w:bodyDiv w:val="1"/>
      <w:marLeft w:val="0"/>
      <w:marRight w:val="0"/>
      <w:marTop w:val="0"/>
      <w:marBottom w:val="0"/>
      <w:divBdr>
        <w:top w:val="none" w:sz="0" w:space="0" w:color="auto"/>
        <w:left w:val="none" w:sz="0" w:space="0" w:color="auto"/>
        <w:bottom w:val="none" w:sz="0" w:space="0" w:color="auto"/>
        <w:right w:val="none" w:sz="0" w:space="0" w:color="auto"/>
      </w:divBdr>
    </w:div>
    <w:div w:id="512451200">
      <w:bodyDiv w:val="1"/>
      <w:marLeft w:val="0"/>
      <w:marRight w:val="0"/>
      <w:marTop w:val="0"/>
      <w:marBottom w:val="0"/>
      <w:divBdr>
        <w:top w:val="none" w:sz="0" w:space="0" w:color="auto"/>
        <w:left w:val="none" w:sz="0" w:space="0" w:color="auto"/>
        <w:bottom w:val="none" w:sz="0" w:space="0" w:color="auto"/>
        <w:right w:val="none" w:sz="0" w:space="0" w:color="auto"/>
      </w:divBdr>
    </w:div>
    <w:div w:id="560217824">
      <w:bodyDiv w:val="1"/>
      <w:marLeft w:val="0"/>
      <w:marRight w:val="0"/>
      <w:marTop w:val="0"/>
      <w:marBottom w:val="0"/>
      <w:divBdr>
        <w:top w:val="none" w:sz="0" w:space="0" w:color="auto"/>
        <w:left w:val="none" w:sz="0" w:space="0" w:color="auto"/>
        <w:bottom w:val="none" w:sz="0" w:space="0" w:color="auto"/>
        <w:right w:val="none" w:sz="0" w:space="0" w:color="auto"/>
      </w:divBdr>
    </w:div>
    <w:div w:id="930048932">
      <w:bodyDiv w:val="1"/>
      <w:marLeft w:val="0"/>
      <w:marRight w:val="0"/>
      <w:marTop w:val="0"/>
      <w:marBottom w:val="0"/>
      <w:divBdr>
        <w:top w:val="none" w:sz="0" w:space="0" w:color="auto"/>
        <w:left w:val="none" w:sz="0" w:space="0" w:color="auto"/>
        <w:bottom w:val="none" w:sz="0" w:space="0" w:color="auto"/>
        <w:right w:val="none" w:sz="0" w:space="0" w:color="auto"/>
      </w:divBdr>
    </w:div>
    <w:div w:id="1135105185">
      <w:bodyDiv w:val="1"/>
      <w:marLeft w:val="0"/>
      <w:marRight w:val="0"/>
      <w:marTop w:val="0"/>
      <w:marBottom w:val="0"/>
      <w:divBdr>
        <w:top w:val="none" w:sz="0" w:space="0" w:color="auto"/>
        <w:left w:val="none" w:sz="0" w:space="0" w:color="auto"/>
        <w:bottom w:val="none" w:sz="0" w:space="0" w:color="auto"/>
        <w:right w:val="none" w:sz="0" w:space="0" w:color="auto"/>
      </w:divBdr>
    </w:div>
    <w:div w:id="1201044644">
      <w:bodyDiv w:val="1"/>
      <w:marLeft w:val="0"/>
      <w:marRight w:val="0"/>
      <w:marTop w:val="0"/>
      <w:marBottom w:val="0"/>
      <w:divBdr>
        <w:top w:val="none" w:sz="0" w:space="0" w:color="auto"/>
        <w:left w:val="none" w:sz="0" w:space="0" w:color="auto"/>
        <w:bottom w:val="none" w:sz="0" w:space="0" w:color="auto"/>
        <w:right w:val="none" w:sz="0" w:space="0" w:color="auto"/>
      </w:divBdr>
    </w:div>
    <w:div w:id="1253662143">
      <w:bodyDiv w:val="1"/>
      <w:marLeft w:val="0"/>
      <w:marRight w:val="0"/>
      <w:marTop w:val="0"/>
      <w:marBottom w:val="0"/>
      <w:divBdr>
        <w:top w:val="none" w:sz="0" w:space="0" w:color="auto"/>
        <w:left w:val="none" w:sz="0" w:space="0" w:color="auto"/>
        <w:bottom w:val="none" w:sz="0" w:space="0" w:color="auto"/>
        <w:right w:val="none" w:sz="0" w:space="0" w:color="auto"/>
      </w:divBdr>
    </w:div>
    <w:div w:id="1275553691">
      <w:bodyDiv w:val="1"/>
      <w:marLeft w:val="0"/>
      <w:marRight w:val="0"/>
      <w:marTop w:val="0"/>
      <w:marBottom w:val="0"/>
      <w:divBdr>
        <w:top w:val="none" w:sz="0" w:space="0" w:color="auto"/>
        <w:left w:val="none" w:sz="0" w:space="0" w:color="auto"/>
        <w:bottom w:val="none" w:sz="0" w:space="0" w:color="auto"/>
        <w:right w:val="none" w:sz="0" w:space="0" w:color="auto"/>
      </w:divBdr>
    </w:div>
    <w:div w:id="1396589712">
      <w:bodyDiv w:val="1"/>
      <w:marLeft w:val="0"/>
      <w:marRight w:val="0"/>
      <w:marTop w:val="0"/>
      <w:marBottom w:val="0"/>
      <w:divBdr>
        <w:top w:val="none" w:sz="0" w:space="0" w:color="auto"/>
        <w:left w:val="none" w:sz="0" w:space="0" w:color="auto"/>
        <w:bottom w:val="none" w:sz="0" w:space="0" w:color="auto"/>
        <w:right w:val="none" w:sz="0" w:space="0" w:color="auto"/>
      </w:divBdr>
    </w:div>
    <w:div w:id="1431047736">
      <w:bodyDiv w:val="1"/>
      <w:marLeft w:val="0"/>
      <w:marRight w:val="0"/>
      <w:marTop w:val="0"/>
      <w:marBottom w:val="0"/>
      <w:divBdr>
        <w:top w:val="none" w:sz="0" w:space="0" w:color="auto"/>
        <w:left w:val="none" w:sz="0" w:space="0" w:color="auto"/>
        <w:bottom w:val="none" w:sz="0" w:space="0" w:color="auto"/>
        <w:right w:val="none" w:sz="0" w:space="0" w:color="auto"/>
      </w:divBdr>
    </w:div>
    <w:div w:id="1541240867">
      <w:bodyDiv w:val="1"/>
      <w:marLeft w:val="0"/>
      <w:marRight w:val="0"/>
      <w:marTop w:val="0"/>
      <w:marBottom w:val="0"/>
      <w:divBdr>
        <w:top w:val="none" w:sz="0" w:space="0" w:color="auto"/>
        <w:left w:val="none" w:sz="0" w:space="0" w:color="auto"/>
        <w:bottom w:val="none" w:sz="0" w:space="0" w:color="auto"/>
        <w:right w:val="none" w:sz="0" w:space="0" w:color="auto"/>
      </w:divBdr>
    </w:div>
    <w:div w:id="1598370257">
      <w:bodyDiv w:val="1"/>
      <w:marLeft w:val="0"/>
      <w:marRight w:val="0"/>
      <w:marTop w:val="0"/>
      <w:marBottom w:val="0"/>
      <w:divBdr>
        <w:top w:val="none" w:sz="0" w:space="0" w:color="auto"/>
        <w:left w:val="none" w:sz="0" w:space="0" w:color="auto"/>
        <w:bottom w:val="none" w:sz="0" w:space="0" w:color="auto"/>
        <w:right w:val="none" w:sz="0" w:space="0" w:color="auto"/>
      </w:divBdr>
    </w:div>
    <w:div w:id="1658532729">
      <w:bodyDiv w:val="1"/>
      <w:marLeft w:val="0"/>
      <w:marRight w:val="0"/>
      <w:marTop w:val="0"/>
      <w:marBottom w:val="0"/>
      <w:divBdr>
        <w:top w:val="none" w:sz="0" w:space="0" w:color="auto"/>
        <w:left w:val="none" w:sz="0" w:space="0" w:color="auto"/>
        <w:bottom w:val="none" w:sz="0" w:space="0" w:color="auto"/>
        <w:right w:val="none" w:sz="0" w:space="0" w:color="auto"/>
      </w:divBdr>
    </w:div>
    <w:div w:id="1779761325">
      <w:bodyDiv w:val="1"/>
      <w:marLeft w:val="0"/>
      <w:marRight w:val="0"/>
      <w:marTop w:val="0"/>
      <w:marBottom w:val="0"/>
      <w:divBdr>
        <w:top w:val="none" w:sz="0" w:space="0" w:color="auto"/>
        <w:left w:val="none" w:sz="0" w:space="0" w:color="auto"/>
        <w:bottom w:val="none" w:sz="0" w:space="0" w:color="auto"/>
        <w:right w:val="none" w:sz="0" w:space="0" w:color="auto"/>
      </w:divBdr>
    </w:div>
    <w:div w:id="1795710204">
      <w:bodyDiv w:val="1"/>
      <w:marLeft w:val="0"/>
      <w:marRight w:val="0"/>
      <w:marTop w:val="0"/>
      <w:marBottom w:val="0"/>
      <w:divBdr>
        <w:top w:val="none" w:sz="0" w:space="0" w:color="auto"/>
        <w:left w:val="none" w:sz="0" w:space="0" w:color="auto"/>
        <w:bottom w:val="none" w:sz="0" w:space="0" w:color="auto"/>
        <w:right w:val="none" w:sz="0" w:space="0" w:color="auto"/>
      </w:divBdr>
    </w:div>
    <w:div w:id="1937786354">
      <w:bodyDiv w:val="1"/>
      <w:marLeft w:val="0"/>
      <w:marRight w:val="0"/>
      <w:marTop w:val="0"/>
      <w:marBottom w:val="0"/>
      <w:divBdr>
        <w:top w:val="none" w:sz="0" w:space="0" w:color="auto"/>
        <w:left w:val="none" w:sz="0" w:space="0" w:color="auto"/>
        <w:bottom w:val="none" w:sz="0" w:space="0" w:color="auto"/>
        <w:right w:val="none" w:sz="0" w:space="0" w:color="auto"/>
      </w:divBdr>
    </w:div>
    <w:div w:id="197166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dx.doi.org/10.17977/um004v10i12023p085" TargetMode="External"/><Relationship Id="rId18" Type="http://schemas.openxmlformats.org/officeDocument/2006/relationships/hyperlink" Target="http://nstproceeding.com/index.php/nuscientech/article/view/159"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iclg.com/practice-areas/corporate-governance-laws-and-regulations/united-kingdom" TargetMode="External"/><Relationship Id="rId17" Type="http://schemas.openxmlformats.org/officeDocument/2006/relationships/hyperlink" Target="https://link.springer.com/article/10.1007/s11846-018-0276-1" TargetMode="External"/><Relationship Id="rId2" Type="http://schemas.openxmlformats.org/officeDocument/2006/relationships/customXml" Target="../customXml/item2.xml"/><Relationship Id="rId16" Type="http://schemas.openxmlformats.org/officeDocument/2006/relationships/hyperlink" Target="https://www.journalppw.com/index.php/jpsp/article/view/966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arperjames.co.uk/article/public-limited-company/" TargetMode="External"/><Relationship Id="rId5" Type="http://schemas.openxmlformats.org/officeDocument/2006/relationships/settings" Target="settings.xml"/><Relationship Id="rId15" Type="http://schemas.openxmlformats.org/officeDocument/2006/relationships/hyperlink" Target="https://www.mdpi.com/2076-3387/13/7/163" TargetMode="External"/><Relationship Id="rId10" Type="http://schemas.openxmlformats.org/officeDocument/2006/relationships/hyperlink" Target="https://www.sciencedirect.com/science/article/pii/S0378426621001126"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tandfonline.com/doi/abs/10.1080/23311886.2024.2337893" TargetMode="External"/><Relationship Id="rId14" Type="http://schemas.openxmlformats.org/officeDocument/2006/relationships/hyperlink" Target="https://doi.org/10.1080/23311975.2023.2296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Module Code: LCBB6002    Module Lead: Dr Mudassar Hasan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Pages>
  <Words>2479</Words>
  <Characters>14135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International   Business Communications</vt:lpstr>
    </vt:vector>
  </TitlesOfParts>
  <Company/>
  <LinksUpToDate>false</LinksUpToDate>
  <CharactersWithSpaces>16581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
  <dc:creator/>
  <cp:lastModifiedBy>Administrator</cp:lastModifiedBy>
  <cp:revision>8</cp:revision>
  <dcterms:created xsi:type="dcterms:W3CDTF">2024-07-05T10:08:00Z</dcterms:created>
  <dcterms:modified xsi:type="dcterms:W3CDTF">2025-02-18T17:52:00Z</dcterms:modified>
  <cp:category>Student: Georgi Dimitrov                    Student number 2230344</cp:category>
</cp:coreProperties>
</file>