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B8FF2" w14:textId="5BB8EACE" w:rsidR="002D5B3F" w:rsidRPr="00A85BFE" w:rsidRDefault="007D46AC" w:rsidP="004D0443">
      <w:pPr>
        <w:pStyle w:val="Header"/>
        <w:tabs>
          <w:tab w:val="clear" w:pos="4153"/>
          <w:tab w:val="clear" w:pos="8306"/>
          <w:tab w:val="left" w:pos="2014"/>
          <w:tab w:val="right" w:pos="6230"/>
        </w:tabs>
        <w:ind w:right="100"/>
        <w:rPr>
          <w:rFonts w:ascii="Arial" w:hAnsi="Arial" w:cs="Arial"/>
          <w:b/>
          <w:sz w:val="28"/>
          <w:szCs w:val="28"/>
        </w:rPr>
      </w:pPr>
      <w:r w:rsidRPr="007D46AC">
        <w:rPr>
          <w:rFonts w:ascii="Arial" w:hAnsi="Arial" w:cs="Arial"/>
          <w:noProof/>
        </w:rPr>
        <w:drawing>
          <wp:inline distT="0" distB="0" distL="0" distR="0" wp14:anchorId="3612D45F" wp14:editId="666AF5C1">
            <wp:extent cx="5943600" cy="1447165"/>
            <wp:effectExtent l="0" t="0" r="0" b="635"/>
            <wp:docPr id="130425101" name="Picture 1" descr="A grey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25101" name="Picture 1" descr="A grey rectangular sign with black text&#10;&#10;Description automatically generated"/>
                    <pic:cNvPicPr/>
                  </pic:nvPicPr>
                  <pic:blipFill>
                    <a:blip r:embed="rId11"/>
                    <a:stretch>
                      <a:fillRect/>
                    </a:stretch>
                  </pic:blipFill>
                  <pic:spPr>
                    <a:xfrm>
                      <a:off x="0" y="0"/>
                      <a:ext cx="5943600" cy="1447165"/>
                    </a:xfrm>
                    <a:prstGeom prst="rect">
                      <a:avLst/>
                    </a:prstGeom>
                  </pic:spPr>
                </pic:pic>
              </a:graphicData>
            </a:graphic>
          </wp:inline>
        </w:drawing>
      </w:r>
      <w:r w:rsidR="005F3A53">
        <w:rPr>
          <w:rFonts w:ascii="Arial" w:hAnsi="Arial" w:cs="Arial"/>
        </w:rPr>
        <w:t xml:space="preserve"> </w:t>
      </w:r>
      <w:r w:rsidR="005F3A53">
        <w:rPr>
          <w:rFonts w:ascii="Arial" w:hAnsi="Arial" w:cs="Arial"/>
        </w:rPr>
        <w:br w:type="textWrapping" w:clear="all"/>
      </w:r>
    </w:p>
    <w:p w14:paraId="5B1AF062" w14:textId="77777777" w:rsidR="003A3CE5" w:rsidRPr="00A406E5" w:rsidRDefault="003A3CE5" w:rsidP="002D5B3F">
      <w:pPr>
        <w:jc w:val="center"/>
        <w:rPr>
          <w:rFonts w:ascii="Arial" w:hAnsi="Arial" w:cs="Arial"/>
          <w:b/>
          <w:i/>
          <w:sz w:val="32"/>
        </w:rPr>
      </w:pPr>
    </w:p>
    <w:p w14:paraId="72AE42FE" w14:textId="6B782D3F" w:rsidR="0028204E" w:rsidRPr="00A406E5" w:rsidRDefault="007D46AC" w:rsidP="00DB116D">
      <w:pPr>
        <w:rPr>
          <w:rFonts w:ascii="Arial" w:hAnsi="Arial" w:cs="Arial"/>
          <w:sz w:val="32"/>
        </w:rPr>
      </w:pPr>
      <w:r w:rsidRPr="007D46AC">
        <w:rPr>
          <w:rFonts w:ascii="Arial" w:hAnsi="Arial" w:cs="Arial"/>
          <w:noProof/>
          <w:sz w:val="32"/>
        </w:rPr>
        <w:drawing>
          <wp:inline distT="0" distB="0" distL="0" distR="0" wp14:anchorId="7C6CBF85" wp14:editId="6FCBFF3B">
            <wp:extent cx="6084277" cy="5217787"/>
            <wp:effectExtent l="0" t="0" r="0" b="2540"/>
            <wp:docPr id="181052711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527115" name="Picture 1" descr="A close-up of a document&#10;&#10;Description automatically generated"/>
                    <pic:cNvPicPr/>
                  </pic:nvPicPr>
                  <pic:blipFill>
                    <a:blip r:embed="rId12"/>
                    <a:stretch>
                      <a:fillRect/>
                    </a:stretch>
                  </pic:blipFill>
                  <pic:spPr>
                    <a:xfrm>
                      <a:off x="0" y="0"/>
                      <a:ext cx="6096839" cy="5228560"/>
                    </a:xfrm>
                    <a:prstGeom prst="rect">
                      <a:avLst/>
                    </a:prstGeom>
                  </pic:spPr>
                </pic:pic>
              </a:graphicData>
            </a:graphic>
          </wp:inline>
        </w:drawing>
      </w:r>
    </w:p>
    <w:p w14:paraId="224CEF0E" w14:textId="77777777" w:rsidR="00152E9D" w:rsidRPr="00A406E5" w:rsidRDefault="00152E9D" w:rsidP="00DB116D">
      <w:pPr>
        <w:rPr>
          <w:rFonts w:ascii="Arial" w:hAnsi="Arial" w:cs="Arial"/>
          <w:sz w:val="32"/>
        </w:rPr>
      </w:pPr>
    </w:p>
    <w:p w14:paraId="7C7BAB66" w14:textId="77777777" w:rsidR="00152E9D" w:rsidRPr="00A406E5" w:rsidRDefault="00152E9D" w:rsidP="00DB116D">
      <w:pPr>
        <w:rPr>
          <w:rFonts w:ascii="Arial" w:hAnsi="Arial" w:cs="Arial"/>
          <w:sz w:val="32"/>
        </w:rPr>
      </w:pPr>
    </w:p>
    <w:p w14:paraId="2F6B548D" w14:textId="77777777" w:rsidR="00152E9D" w:rsidRPr="00A406E5" w:rsidRDefault="00152E9D" w:rsidP="00DB116D">
      <w:pPr>
        <w:rPr>
          <w:rFonts w:ascii="Arial" w:hAnsi="Arial" w:cs="Arial"/>
          <w:sz w:val="32"/>
        </w:rPr>
      </w:pPr>
    </w:p>
    <w:p w14:paraId="43977FA9" w14:textId="77777777" w:rsidR="00152E9D" w:rsidRPr="00A406E5" w:rsidRDefault="00152E9D" w:rsidP="00DB116D">
      <w:pPr>
        <w:rPr>
          <w:rFonts w:ascii="Arial" w:hAnsi="Arial" w:cs="Arial"/>
          <w:sz w:val="32"/>
        </w:rPr>
      </w:pPr>
    </w:p>
    <w:p w14:paraId="26095974" w14:textId="77777777" w:rsidR="00152E9D" w:rsidRPr="00A406E5" w:rsidRDefault="00152E9D" w:rsidP="00DB116D">
      <w:pPr>
        <w:rPr>
          <w:rFonts w:ascii="Arial" w:hAnsi="Arial" w:cs="Arial"/>
          <w:sz w:val="32"/>
        </w:rPr>
      </w:pPr>
    </w:p>
    <w:p w14:paraId="4FB96F90" w14:textId="77777777" w:rsidR="00A406E5" w:rsidRDefault="00A406E5">
      <w:pPr>
        <w:rPr>
          <w:rFonts w:ascii="Arial" w:hAnsi="Arial" w:cs="Arial"/>
          <w:sz w:val="32"/>
        </w:rPr>
      </w:pPr>
      <w:r>
        <w:rPr>
          <w:rFonts w:ascii="Arial" w:hAnsi="Arial" w:cs="Arial"/>
          <w:sz w:val="32"/>
        </w:rPr>
        <w:br w:type="page"/>
      </w:r>
    </w:p>
    <w:p w14:paraId="50E965A8" w14:textId="64D8654A" w:rsidR="005E2D0F" w:rsidRPr="00A31E5D" w:rsidRDefault="005E2D0F" w:rsidP="005F7DF9">
      <w:pPr>
        <w:widowControl w:val="0"/>
        <w:tabs>
          <w:tab w:val="left" w:pos="180"/>
        </w:tabs>
        <w:kinsoku w:val="0"/>
        <w:overflowPunct w:val="0"/>
        <w:autoSpaceDE w:val="0"/>
        <w:autoSpaceDN w:val="0"/>
        <w:adjustRightInd w:val="0"/>
        <w:snapToGrid w:val="0"/>
        <w:spacing w:before="71" w:line="360" w:lineRule="auto"/>
        <w:rPr>
          <w:rFonts w:ascii="Arial" w:hAnsi="Arial" w:cs="Arial"/>
          <w:b/>
          <w:bCs/>
        </w:rPr>
      </w:pPr>
      <w:r w:rsidRPr="00A31E5D">
        <w:rPr>
          <w:rFonts w:ascii="Arial" w:hAnsi="Arial" w:cs="Arial"/>
          <w:b/>
          <w:bCs/>
        </w:rPr>
        <w:lastRenderedPageBreak/>
        <w:t xml:space="preserve">Topic: </w:t>
      </w:r>
      <w:r w:rsidR="003B46FF" w:rsidRPr="00A31E5D">
        <w:rPr>
          <w:rFonts w:ascii="Arial" w:hAnsi="Arial" w:cs="Arial"/>
          <w:b/>
          <w:bCs/>
        </w:rPr>
        <w:t>F</w:t>
      </w:r>
      <w:r w:rsidRPr="00A31E5D">
        <w:rPr>
          <w:rFonts w:ascii="Arial" w:hAnsi="Arial" w:cs="Arial"/>
          <w:b/>
          <w:bCs/>
        </w:rPr>
        <w:t>actors that affect</w:t>
      </w:r>
      <w:r w:rsidR="003B46FF" w:rsidRPr="00A31E5D">
        <w:rPr>
          <w:rFonts w:ascii="Arial" w:hAnsi="Arial" w:cs="Arial"/>
          <w:b/>
          <w:bCs/>
        </w:rPr>
        <w:t>ing</w:t>
      </w:r>
      <w:r w:rsidRPr="00A31E5D">
        <w:rPr>
          <w:rFonts w:ascii="Arial" w:hAnsi="Arial" w:cs="Arial"/>
          <w:b/>
          <w:bCs/>
        </w:rPr>
        <w:t xml:space="preserve"> online store </w:t>
      </w:r>
      <w:r w:rsidR="00BC33FB">
        <w:rPr>
          <w:rFonts w:ascii="Arial" w:hAnsi="Arial" w:cs="Arial"/>
          <w:b/>
          <w:bCs/>
        </w:rPr>
        <w:t xml:space="preserve">image and </w:t>
      </w:r>
      <w:r w:rsidR="00BC33FB" w:rsidRPr="00A31E5D">
        <w:rPr>
          <w:rFonts w:ascii="Arial" w:hAnsi="Arial" w:cs="Arial"/>
          <w:b/>
          <w:bCs/>
        </w:rPr>
        <w:t xml:space="preserve">the </w:t>
      </w:r>
      <w:r w:rsidR="00864CB2">
        <w:rPr>
          <w:rFonts w:ascii="Arial" w:hAnsi="Arial" w:cs="Arial"/>
          <w:b/>
          <w:bCs/>
        </w:rPr>
        <w:t>intentions</w:t>
      </w:r>
      <w:r w:rsidR="00BC33FB" w:rsidRPr="00A31E5D">
        <w:rPr>
          <w:rFonts w:ascii="Arial" w:hAnsi="Arial" w:cs="Arial"/>
          <w:b/>
          <w:bCs/>
        </w:rPr>
        <w:t xml:space="preserve"> to buy </w:t>
      </w:r>
      <w:r w:rsidRPr="00A31E5D">
        <w:rPr>
          <w:rFonts w:ascii="Arial" w:hAnsi="Arial" w:cs="Arial"/>
          <w:b/>
          <w:bCs/>
        </w:rPr>
        <w:t>in Hong Kong</w:t>
      </w:r>
    </w:p>
    <w:p w14:paraId="24EDACC8" w14:textId="77777777" w:rsidR="005E2D0F" w:rsidRDefault="005E2D0F" w:rsidP="005F7DF9">
      <w:pPr>
        <w:widowControl w:val="0"/>
        <w:tabs>
          <w:tab w:val="left" w:pos="180"/>
        </w:tabs>
        <w:kinsoku w:val="0"/>
        <w:overflowPunct w:val="0"/>
        <w:autoSpaceDE w:val="0"/>
        <w:autoSpaceDN w:val="0"/>
        <w:adjustRightInd w:val="0"/>
        <w:snapToGrid w:val="0"/>
        <w:spacing w:before="71" w:line="360" w:lineRule="auto"/>
        <w:rPr>
          <w:rFonts w:ascii="Arial" w:hAnsi="Arial" w:cs="Arial"/>
        </w:rPr>
      </w:pPr>
    </w:p>
    <w:p w14:paraId="7923E434" w14:textId="7FDBC432" w:rsidR="00CE47E7" w:rsidRDefault="00CE47E7" w:rsidP="005F7DF9">
      <w:pPr>
        <w:widowControl w:val="0"/>
        <w:tabs>
          <w:tab w:val="left" w:pos="180"/>
        </w:tabs>
        <w:kinsoku w:val="0"/>
        <w:overflowPunct w:val="0"/>
        <w:autoSpaceDE w:val="0"/>
        <w:autoSpaceDN w:val="0"/>
        <w:adjustRightInd w:val="0"/>
        <w:snapToGrid w:val="0"/>
        <w:spacing w:before="71" w:line="360" w:lineRule="auto"/>
        <w:rPr>
          <w:rFonts w:ascii="Arial" w:hAnsi="Arial" w:cs="Arial"/>
        </w:rPr>
      </w:pPr>
      <w:r w:rsidRPr="00C558E2">
        <w:rPr>
          <w:rFonts w:ascii="Arial" w:hAnsi="Arial" w:cs="Arial"/>
        </w:rPr>
        <w:t>Abstract</w:t>
      </w:r>
    </w:p>
    <w:p w14:paraId="6AD752DE" w14:textId="17A16571" w:rsidR="00CE47E7" w:rsidRDefault="005774B5" w:rsidP="006C6BD4">
      <w:pPr>
        <w:pStyle w:val="BodyText"/>
        <w:tabs>
          <w:tab w:val="left" w:pos="180"/>
        </w:tabs>
        <w:kinsoku w:val="0"/>
        <w:overflowPunct w:val="0"/>
        <w:snapToGrid w:val="0"/>
        <w:spacing w:line="360" w:lineRule="auto"/>
        <w:ind w:right="201"/>
        <w:jc w:val="both"/>
        <w:rPr>
          <w:rFonts w:ascii="Arial" w:hAnsi="Arial" w:cs="Arial"/>
        </w:rPr>
      </w:pPr>
      <w:r w:rsidRPr="005774B5">
        <w:rPr>
          <w:rFonts w:ascii="Arial" w:hAnsi="Arial" w:cs="Arial"/>
          <w:sz w:val="24"/>
          <w:szCs w:val="24"/>
        </w:rPr>
        <w:t xml:space="preserve">Online store image is influenced by several key factors, which can significantly impact consumer perception and purchasing decisions. </w:t>
      </w:r>
      <w:r w:rsidR="000E1665">
        <w:rPr>
          <w:rFonts w:ascii="Arial" w:hAnsi="Arial" w:cs="Arial"/>
          <w:sz w:val="24"/>
          <w:szCs w:val="24"/>
        </w:rPr>
        <w:t>Key factors include O</w:t>
      </w:r>
      <w:r w:rsidR="000E1665" w:rsidRPr="004C2BC4">
        <w:rPr>
          <w:rFonts w:ascii="Arial" w:hAnsi="Arial" w:cs="Arial"/>
          <w:sz w:val="24"/>
          <w:szCs w:val="24"/>
        </w:rPr>
        <w:t xml:space="preserve">nline store image, </w:t>
      </w:r>
      <w:r w:rsidR="000E1665">
        <w:rPr>
          <w:rFonts w:ascii="Arial" w:hAnsi="Arial" w:cs="Arial"/>
          <w:sz w:val="24"/>
          <w:szCs w:val="24"/>
        </w:rPr>
        <w:t>Store Ease of Use</w:t>
      </w:r>
      <w:r w:rsidR="000E1665" w:rsidRPr="004C2BC4">
        <w:rPr>
          <w:rFonts w:ascii="Arial" w:hAnsi="Arial" w:cs="Arial"/>
          <w:sz w:val="24"/>
          <w:szCs w:val="24"/>
        </w:rPr>
        <w:t xml:space="preserve">, </w:t>
      </w:r>
      <w:r w:rsidR="000E1665">
        <w:rPr>
          <w:rFonts w:ascii="Arial" w:hAnsi="Arial" w:cs="Arial"/>
          <w:sz w:val="24"/>
          <w:szCs w:val="24"/>
        </w:rPr>
        <w:t>Store Enjoyment</w:t>
      </w:r>
      <w:r w:rsidR="000E1665" w:rsidRPr="004C2BC4">
        <w:rPr>
          <w:rFonts w:ascii="Arial" w:hAnsi="Arial" w:cs="Arial"/>
          <w:sz w:val="24"/>
          <w:szCs w:val="24"/>
        </w:rPr>
        <w:t xml:space="preserve">, </w:t>
      </w:r>
      <w:r w:rsidR="000E1665">
        <w:rPr>
          <w:rFonts w:ascii="Arial" w:hAnsi="Arial" w:cs="Arial"/>
          <w:sz w:val="24"/>
          <w:szCs w:val="24"/>
        </w:rPr>
        <w:t>Store Familiarity</w:t>
      </w:r>
      <w:r w:rsidR="000E1665" w:rsidRPr="004C2BC4">
        <w:rPr>
          <w:rFonts w:ascii="Arial" w:hAnsi="Arial" w:cs="Arial"/>
          <w:sz w:val="24"/>
          <w:szCs w:val="24"/>
        </w:rPr>
        <w:t xml:space="preserve">, </w:t>
      </w:r>
      <w:r w:rsidR="000E1665">
        <w:rPr>
          <w:rFonts w:ascii="Arial" w:hAnsi="Arial" w:cs="Arial"/>
          <w:sz w:val="24"/>
          <w:szCs w:val="24"/>
        </w:rPr>
        <w:t>Store Style</w:t>
      </w:r>
      <w:r w:rsidR="000E1665" w:rsidRPr="004C2BC4">
        <w:rPr>
          <w:rFonts w:ascii="Arial" w:hAnsi="Arial" w:cs="Arial"/>
          <w:sz w:val="24"/>
          <w:szCs w:val="24"/>
        </w:rPr>
        <w:t xml:space="preserve">, </w:t>
      </w:r>
      <w:r w:rsidR="000E1665">
        <w:rPr>
          <w:rFonts w:ascii="Arial" w:hAnsi="Arial" w:cs="Arial"/>
          <w:sz w:val="24"/>
          <w:szCs w:val="24"/>
        </w:rPr>
        <w:t>Store Settlement, Store Trustworthiness</w:t>
      </w:r>
      <w:r w:rsidR="000E1665" w:rsidRPr="004C2BC4">
        <w:rPr>
          <w:rFonts w:ascii="Arial" w:hAnsi="Arial" w:cs="Arial"/>
          <w:sz w:val="24"/>
          <w:szCs w:val="24"/>
        </w:rPr>
        <w:t xml:space="preserve">, </w:t>
      </w:r>
      <w:r w:rsidR="00832913">
        <w:rPr>
          <w:rFonts w:ascii="Arial" w:hAnsi="Arial" w:cs="Arial"/>
          <w:sz w:val="24"/>
          <w:szCs w:val="24"/>
        </w:rPr>
        <w:t xml:space="preserve">and </w:t>
      </w:r>
      <w:r w:rsidR="000E1665">
        <w:rPr>
          <w:rFonts w:ascii="Arial" w:hAnsi="Arial" w:cs="Arial"/>
          <w:sz w:val="24"/>
          <w:szCs w:val="24"/>
        </w:rPr>
        <w:t>Store Usefulness.</w:t>
      </w:r>
      <w:r w:rsidR="00832913">
        <w:rPr>
          <w:rFonts w:ascii="Arial" w:hAnsi="Arial" w:cs="Arial"/>
          <w:sz w:val="24"/>
          <w:szCs w:val="24"/>
        </w:rPr>
        <w:t xml:space="preserve"> </w:t>
      </w:r>
      <w:r w:rsidR="00266804" w:rsidRPr="00266804">
        <w:rPr>
          <w:rFonts w:ascii="Arial" w:hAnsi="Arial" w:cs="Arial"/>
          <w:sz w:val="24"/>
          <w:szCs w:val="24"/>
        </w:rPr>
        <w:t>These factors collectively contribute to how consumers perceive and interact with online stores, ultimately influencing their purchasing decisions and loyalty.</w:t>
      </w:r>
      <w:r w:rsidR="00266804">
        <w:rPr>
          <w:rFonts w:ascii="Arial" w:hAnsi="Arial" w:cs="Arial"/>
          <w:sz w:val="24"/>
          <w:szCs w:val="24"/>
        </w:rPr>
        <w:t xml:space="preserve"> </w:t>
      </w:r>
      <w:r w:rsidR="006C6BD4" w:rsidRPr="006C6BD4">
        <w:rPr>
          <w:rFonts w:ascii="Arial" w:hAnsi="Arial" w:cs="Arial"/>
          <w:sz w:val="24"/>
          <w:szCs w:val="24"/>
        </w:rPr>
        <w:t xml:space="preserve">This study delves into what makes an online business seem good and whether or not a Hong Kong resident would make a purchase there. It finds that both old and new factors play a role in this context.  The primary factors impacting the perception of an online store and the likelihood of making a purchase can be defined and mapped out by empirical study.  This study established a valid instrument to test these parameters. It also identified seven elements linked with online business image and intentions to buy, using a robust methodological framework proposed by Churchill (1979).  In order to determine the importance and reliability of our results, our study used analysis techniques such as Cronbach's Alpha and the Hypothesis Test.  In contrast to previous research that placed a premium on store usefulness and </w:t>
      </w:r>
      <w:r w:rsidR="003561FE">
        <w:rPr>
          <w:rFonts w:ascii="Arial" w:hAnsi="Arial" w:cs="Arial"/>
          <w:sz w:val="24"/>
          <w:szCs w:val="24"/>
        </w:rPr>
        <w:t xml:space="preserve">store </w:t>
      </w:r>
      <w:r w:rsidR="006C6BD4" w:rsidRPr="006C6BD4">
        <w:rPr>
          <w:rFonts w:ascii="Arial" w:hAnsi="Arial" w:cs="Arial"/>
          <w:sz w:val="24"/>
          <w:szCs w:val="24"/>
        </w:rPr>
        <w:t xml:space="preserve">ease of use, the current study found that store trustworthiness and store enjoyment were the most important factors in determining whether or not customers would make a purchase.  In order to increase customer trust and satisfaction with their online stores, this study highlights the need of online retailers focusing on both the visual attractiveness and security elements of their platforms.  Potential areas for future research include expanding the age range of participants and investigating different types of online stores, as highlighted by the underrepresentation of younger consumers.  As a whole, this study fills a knowledge gap regarding the factors impacting Hong Kong residents' perceptions of online stores and their intentions to make purchases in this manner, and it adds to our knowledge of online consumer </w:t>
      </w:r>
      <w:proofErr w:type="spellStart"/>
      <w:r w:rsidR="006C6BD4" w:rsidRPr="006C6BD4">
        <w:rPr>
          <w:rFonts w:ascii="Arial" w:hAnsi="Arial" w:cs="Arial"/>
          <w:sz w:val="24"/>
          <w:szCs w:val="24"/>
        </w:rPr>
        <w:t>behavior</w:t>
      </w:r>
      <w:proofErr w:type="spellEnd"/>
      <w:r w:rsidR="006C6BD4" w:rsidRPr="006C6BD4">
        <w:rPr>
          <w:rFonts w:ascii="Arial" w:hAnsi="Arial" w:cs="Arial"/>
          <w:sz w:val="24"/>
          <w:szCs w:val="24"/>
        </w:rPr>
        <w:t xml:space="preserve"> in the city by providing practical insights for online store marketers.</w:t>
      </w:r>
    </w:p>
    <w:p w14:paraId="16DE4CD4" w14:textId="3AC9039E" w:rsidR="00CE47E7" w:rsidRPr="004C2BC4" w:rsidRDefault="00CE47E7" w:rsidP="00CE47E7">
      <w:pPr>
        <w:pStyle w:val="BodyText"/>
        <w:tabs>
          <w:tab w:val="left" w:pos="180"/>
        </w:tabs>
        <w:kinsoku w:val="0"/>
        <w:overflowPunct w:val="0"/>
        <w:snapToGrid w:val="0"/>
        <w:spacing w:line="360" w:lineRule="auto"/>
        <w:ind w:right="201"/>
        <w:jc w:val="both"/>
        <w:rPr>
          <w:rFonts w:ascii="Arial" w:hAnsi="Arial" w:cs="Arial"/>
          <w:sz w:val="24"/>
          <w:szCs w:val="24"/>
        </w:rPr>
      </w:pPr>
      <w:r w:rsidRPr="004C2BC4">
        <w:rPr>
          <w:rFonts w:ascii="Arial" w:hAnsi="Arial" w:cs="Arial"/>
          <w:sz w:val="24"/>
          <w:szCs w:val="24"/>
        </w:rPr>
        <w:t xml:space="preserve">Key Words: </w:t>
      </w:r>
      <w:r w:rsidR="00EB15B0">
        <w:rPr>
          <w:rFonts w:ascii="Arial" w:hAnsi="Arial" w:cs="Arial"/>
          <w:sz w:val="24"/>
          <w:szCs w:val="24"/>
        </w:rPr>
        <w:t xml:space="preserve">Hong Kong, </w:t>
      </w:r>
      <w:r w:rsidR="00864CB2">
        <w:rPr>
          <w:rFonts w:ascii="Arial" w:hAnsi="Arial" w:cs="Arial"/>
          <w:sz w:val="24"/>
          <w:szCs w:val="24"/>
        </w:rPr>
        <w:t>Intentions</w:t>
      </w:r>
      <w:r w:rsidRPr="004C2BC4">
        <w:rPr>
          <w:rFonts w:ascii="Arial" w:hAnsi="Arial" w:cs="Arial"/>
          <w:sz w:val="24"/>
          <w:szCs w:val="24"/>
        </w:rPr>
        <w:t xml:space="preserve"> to buy, </w:t>
      </w:r>
      <w:r w:rsidR="00EB15B0">
        <w:rPr>
          <w:rFonts w:ascii="Arial" w:hAnsi="Arial" w:cs="Arial"/>
          <w:sz w:val="24"/>
          <w:szCs w:val="24"/>
        </w:rPr>
        <w:t>O</w:t>
      </w:r>
      <w:r w:rsidR="00EB15B0" w:rsidRPr="004C2BC4">
        <w:rPr>
          <w:rFonts w:ascii="Arial" w:hAnsi="Arial" w:cs="Arial"/>
          <w:sz w:val="24"/>
          <w:szCs w:val="24"/>
        </w:rPr>
        <w:t xml:space="preserve">nline store image, </w:t>
      </w:r>
      <w:r w:rsidR="00EB15B0">
        <w:rPr>
          <w:rFonts w:ascii="Arial" w:hAnsi="Arial" w:cs="Arial"/>
          <w:sz w:val="24"/>
          <w:szCs w:val="24"/>
        </w:rPr>
        <w:t>Store Ease of Use</w:t>
      </w:r>
      <w:r w:rsidR="00EB15B0" w:rsidRPr="004C2BC4">
        <w:rPr>
          <w:rFonts w:ascii="Arial" w:hAnsi="Arial" w:cs="Arial"/>
          <w:sz w:val="24"/>
          <w:szCs w:val="24"/>
        </w:rPr>
        <w:t xml:space="preserve">, </w:t>
      </w:r>
      <w:r w:rsidR="00091B6F">
        <w:rPr>
          <w:rFonts w:ascii="Arial" w:hAnsi="Arial" w:cs="Arial"/>
          <w:sz w:val="24"/>
          <w:szCs w:val="24"/>
        </w:rPr>
        <w:t>Store Enjoyment</w:t>
      </w:r>
      <w:r w:rsidRPr="004C2BC4">
        <w:rPr>
          <w:rFonts w:ascii="Arial" w:hAnsi="Arial" w:cs="Arial"/>
          <w:sz w:val="24"/>
          <w:szCs w:val="24"/>
        </w:rPr>
        <w:t xml:space="preserve">, </w:t>
      </w:r>
      <w:r w:rsidR="00EB15B0">
        <w:rPr>
          <w:rFonts w:ascii="Arial" w:hAnsi="Arial" w:cs="Arial"/>
          <w:sz w:val="24"/>
          <w:szCs w:val="24"/>
        </w:rPr>
        <w:t>Store Familiarity</w:t>
      </w:r>
      <w:r w:rsidR="00EB15B0" w:rsidRPr="004C2BC4">
        <w:rPr>
          <w:rFonts w:ascii="Arial" w:hAnsi="Arial" w:cs="Arial"/>
          <w:sz w:val="24"/>
          <w:szCs w:val="24"/>
        </w:rPr>
        <w:t xml:space="preserve">, </w:t>
      </w:r>
      <w:r w:rsidR="00EB15B0">
        <w:rPr>
          <w:rFonts w:ascii="Arial" w:hAnsi="Arial" w:cs="Arial"/>
          <w:sz w:val="24"/>
          <w:szCs w:val="24"/>
        </w:rPr>
        <w:t>Store Style</w:t>
      </w:r>
      <w:r w:rsidR="00EB15B0" w:rsidRPr="004C2BC4">
        <w:rPr>
          <w:rFonts w:ascii="Arial" w:hAnsi="Arial" w:cs="Arial"/>
          <w:sz w:val="24"/>
          <w:szCs w:val="24"/>
        </w:rPr>
        <w:t xml:space="preserve">, </w:t>
      </w:r>
      <w:r w:rsidR="00EB15B0">
        <w:rPr>
          <w:rFonts w:ascii="Arial" w:hAnsi="Arial" w:cs="Arial"/>
          <w:sz w:val="24"/>
          <w:szCs w:val="24"/>
        </w:rPr>
        <w:t xml:space="preserve">Store Settlement, </w:t>
      </w:r>
      <w:r w:rsidR="00F30994">
        <w:rPr>
          <w:rFonts w:ascii="Arial" w:hAnsi="Arial" w:cs="Arial"/>
          <w:sz w:val="24"/>
          <w:szCs w:val="24"/>
        </w:rPr>
        <w:t>Store Trustworthiness</w:t>
      </w:r>
      <w:r w:rsidRPr="004C2BC4">
        <w:rPr>
          <w:rFonts w:ascii="Arial" w:hAnsi="Arial" w:cs="Arial"/>
          <w:sz w:val="24"/>
          <w:szCs w:val="24"/>
        </w:rPr>
        <w:t xml:space="preserve">, </w:t>
      </w:r>
      <w:r w:rsidR="00EB15B0">
        <w:rPr>
          <w:rFonts w:ascii="Arial" w:hAnsi="Arial" w:cs="Arial"/>
          <w:sz w:val="24"/>
          <w:szCs w:val="24"/>
        </w:rPr>
        <w:t>Store Usefulness.</w:t>
      </w:r>
    </w:p>
    <w:p w14:paraId="3E95E0CF" w14:textId="77777777" w:rsidR="00CE47E7" w:rsidRPr="00A31E5D" w:rsidRDefault="00CE47E7" w:rsidP="005F7DF9">
      <w:pPr>
        <w:widowControl w:val="0"/>
        <w:tabs>
          <w:tab w:val="left" w:pos="180"/>
        </w:tabs>
        <w:kinsoku w:val="0"/>
        <w:overflowPunct w:val="0"/>
        <w:autoSpaceDE w:val="0"/>
        <w:autoSpaceDN w:val="0"/>
        <w:adjustRightInd w:val="0"/>
        <w:snapToGrid w:val="0"/>
        <w:spacing w:before="71" w:line="360" w:lineRule="auto"/>
        <w:rPr>
          <w:rFonts w:ascii="Arial" w:hAnsi="Arial" w:cs="Arial"/>
        </w:rPr>
      </w:pPr>
    </w:p>
    <w:p w14:paraId="4D0A4AD3" w14:textId="594D710B" w:rsidR="005E2D0F" w:rsidRPr="00A31E5D" w:rsidRDefault="00CE47E7" w:rsidP="005F7DF9">
      <w:pPr>
        <w:pStyle w:val="ListParagraph"/>
        <w:widowControl w:val="0"/>
        <w:numPr>
          <w:ilvl w:val="0"/>
          <w:numId w:val="26"/>
        </w:numPr>
        <w:tabs>
          <w:tab w:val="left" w:pos="180"/>
        </w:tabs>
        <w:kinsoku w:val="0"/>
        <w:overflowPunct w:val="0"/>
        <w:autoSpaceDE w:val="0"/>
        <w:autoSpaceDN w:val="0"/>
        <w:adjustRightInd w:val="0"/>
        <w:snapToGrid w:val="0"/>
        <w:spacing w:before="71" w:line="360" w:lineRule="auto"/>
        <w:ind w:left="0" w:firstLine="0"/>
        <w:contextualSpacing w:val="0"/>
        <w:rPr>
          <w:rFonts w:ascii="Arial" w:hAnsi="Arial" w:cs="Arial"/>
          <w:sz w:val="24"/>
          <w:szCs w:val="24"/>
        </w:rPr>
      </w:pPr>
      <w:r>
        <w:rPr>
          <w:rFonts w:ascii="Arial" w:hAnsi="Arial" w:cs="Arial"/>
          <w:sz w:val="24"/>
          <w:szCs w:val="24"/>
        </w:rPr>
        <w:lastRenderedPageBreak/>
        <w:t>Introduction</w:t>
      </w:r>
    </w:p>
    <w:p w14:paraId="1EE55626" w14:textId="77777777" w:rsidR="005E2D0F" w:rsidRDefault="005E2D0F" w:rsidP="005F7DF9">
      <w:pPr>
        <w:pStyle w:val="BodyText"/>
        <w:tabs>
          <w:tab w:val="left" w:pos="180"/>
        </w:tabs>
        <w:kinsoku w:val="0"/>
        <w:overflowPunct w:val="0"/>
        <w:snapToGrid w:val="0"/>
        <w:spacing w:before="8" w:line="360" w:lineRule="auto"/>
        <w:rPr>
          <w:rFonts w:ascii="Arial" w:hAnsi="Arial" w:cs="Arial"/>
          <w:sz w:val="24"/>
          <w:szCs w:val="24"/>
        </w:rPr>
      </w:pPr>
    </w:p>
    <w:p w14:paraId="4F9DB47A" w14:textId="5A0038B6" w:rsidR="00D30A5A" w:rsidRDefault="00284CBD" w:rsidP="005F7DF9">
      <w:pPr>
        <w:widowControl w:val="0"/>
        <w:tabs>
          <w:tab w:val="left" w:pos="180"/>
        </w:tabs>
        <w:kinsoku w:val="0"/>
        <w:overflowPunct w:val="0"/>
        <w:autoSpaceDE w:val="0"/>
        <w:autoSpaceDN w:val="0"/>
        <w:adjustRightInd w:val="0"/>
        <w:snapToGrid w:val="0"/>
        <w:spacing w:before="71" w:line="360" w:lineRule="auto"/>
        <w:jc w:val="both"/>
        <w:rPr>
          <w:rFonts w:ascii="Arial" w:eastAsia="PMingLiU" w:hAnsi="Arial" w:cs="Arial"/>
          <w:lang w:val="en-GB" w:eastAsia="en-GB"/>
        </w:rPr>
      </w:pPr>
      <w:r w:rsidRPr="00284CBD">
        <w:rPr>
          <w:rFonts w:ascii="Arial" w:eastAsia="PMingLiU" w:hAnsi="Arial" w:cs="Arial"/>
          <w:lang w:val="en-GB" w:eastAsia="en-GB"/>
        </w:rPr>
        <w:t xml:space="preserve">One of the most important challenges for those working in electronic commerce is finding a way to make money from their online store.  Consequently, research is being conducted to identify the elements that impact the propensity to shop online.  There has been a lack of focus on the online store's general image, even though these elements include specific antecedents like website functionality and store ease of use.   We argue that consumers' perceptions of online stores significantly influence their propensity to make purchases made through these channels.  Store image and purchase intentions have been linked by multiple researchers in empirical marketing studies.  That these associations would persist in virtual spaces is a reasonable assumption to make.  Another compelling argument in </w:t>
      </w:r>
      <w:proofErr w:type="spellStart"/>
      <w:r w:rsidRPr="00284CBD">
        <w:rPr>
          <w:rFonts w:ascii="Arial" w:eastAsia="PMingLiU" w:hAnsi="Arial" w:cs="Arial"/>
          <w:lang w:val="en-GB" w:eastAsia="en-GB"/>
        </w:rPr>
        <w:t>favor</w:t>
      </w:r>
      <w:proofErr w:type="spellEnd"/>
      <w:r w:rsidRPr="00284CBD">
        <w:rPr>
          <w:rFonts w:ascii="Arial" w:eastAsia="PMingLiU" w:hAnsi="Arial" w:cs="Arial"/>
          <w:lang w:val="en-GB" w:eastAsia="en-GB"/>
        </w:rPr>
        <w:t xml:space="preserve"> of researching the effects of online business image is that the owner or web designer has direct influence over the image, at least to some degree.  For conventional retailers, the many facets of store image have been studied extensively.  However, it appears that the current measurements of this construct are inadequate in an online setting.  Things like "shop crowdedness" and "shop cleanliness" are examples of improper items found in these.  Furthermore, things like privacy concerns and the accurate delivery of bought items—which are likely to be crucial in an online store—are not covered either.  Hence, it is necessary to modify the current store image measurement tools in order to acquire a valid instrument for online store image.</w:t>
      </w:r>
    </w:p>
    <w:p w14:paraId="18B35609" w14:textId="77777777" w:rsidR="00284CBD" w:rsidRPr="00A31E5D" w:rsidRDefault="00284CBD" w:rsidP="005F7DF9">
      <w:pPr>
        <w:widowControl w:val="0"/>
        <w:tabs>
          <w:tab w:val="left" w:pos="180"/>
        </w:tabs>
        <w:kinsoku w:val="0"/>
        <w:overflowPunct w:val="0"/>
        <w:autoSpaceDE w:val="0"/>
        <w:autoSpaceDN w:val="0"/>
        <w:adjustRightInd w:val="0"/>
        <w:snapToGrid w:val="0"/>
        <w:spacing w:before="71" w:line="360" w:lineRule="auto"/>
        <w:jc w:val="both"/>
        <w:rPr>
          <w:rFonts w:ascii="Arial" w:eastAsia="宋体" w:hAnsi="Arial" w:cs="Arial"/>
        </w:rPr>
      </w:pPr>
    </w:p>
    <w:p w14:paraId="3B830D9C" w14:textId="24B720AD" w:rsidR="006A7DC1" w:rsidRPr="00A31E5D" w:rsidRDefault="00616635" w:rsidP="006A7DC1">
      <w:pPr>
        <w:widowControl w:val="0"/>
        <w:tabs>
          <w:tab w:val="left" w:pos="180"/>
        </w:tabs>
        <w:kinsoku w:val="0"/>
        <w:overflowPunct w:val="0"/>
        <w:autoSpaceDE w:val="0"/>
        <w:autoSpaceDN w:val="0"/>
        <w:adjustRightInd w:val="0"/>
        <w:snapToGrid w:val="0"/>
        <w:spacing w:before="71" w:line="360" w:lineRule="auto"/>
        <w:jc w:val="both"/>
        <w:rPr>
          <w:rFonts w:ascii="Arial" w:hAnsi="Arial" w:cs="Arial"/>
        </w:rPr>
      </w:pPr>
      <w:r w:rsidRPr="00616635">
        <w:rPr>
          <w:rFonts w:ascii="Arial" w:hAnsi="Arial" w:cs="Arial"/>
        </w:rPr>
        <w:t xml:space="preserve">In Western countries, the idea of store image has been researched extensively in relation to attitude towards purchasing at that store. </w:t>
      </w:r>
      <w:r w:rsidR="005E2D0F" w:rsidRPr="00A31E5D">
        <w:rPr>
          <w:rFonts w:ascii="Arial" w:hAnsi="Arial" w:cs="Arial"/>
        </w:rPr>
        <w:t xml:space="preserve">For instance, </w:t>
      </w:r>
      <w:r w:rsidR="002A7E3F">
        <w:rPr>
          <w:rFonts w:ascii="Arial" w:hAnsi="Arial" w:cs="Arial"/>
        </w:rPr>
        <w:t>w</w:t>
      </w:r>
      <w:r w:rsidR="002A7E3F" w:rsidRPr="002A7E3F">
        <w:rPr>
          <w:rFonts w:ascii="Arial" w:hAnsi="Arial" w:cs="Arial"/>
        </w:rPr>
        <w:t xml:space="preserve">hen comparing hedonic and utilitarian information systems, (Van der Heijden and Verhagen, 2004) delves into the variations in user acceptance models.  It emphasizes that hedonic system utilization is determined more by perceived enjoyment and ease of use than by perceived usefulness. </w:t>
      </w:r>
      <w:r w:rsidR="0046652F">
        <w:rPr>
          <w:rFonts w:ascii="Arial" w:hAnsi="Arial" w:cs="Arial"/>
        </w:rPr>
        <w:t>In Asia, here is lack</w:t>
      </w:r>
      <w:r w:rsidR="00972382">
        <w:rPr>
          <w:rFonts w:ascii="Arial" w:hAnsi="Arial" w:cs="Arial"/>
        </w:rPr>
        <w:t xml:space="preserve">ing of fruitful related study in recent years, not to mention a proper one in Hong Kong. </w:t>
      </w:r>
      <w:r w:rsidR="005E19EB" w:rsidRPr="005E19EB">
        <w:rPr>
          <w:rFonts w:ascii="Arial" w:hAnsi="Arial" w:cs="Arial"/>
        </w:rPr>
        <w:t xml:space="preserve">In Taiwan, (Chen and Teng, 2013) found that there are underlying correlations between consumers' perceptions of online stores and their propensity to make a purchase.  We need to do our own study on the circumstances of the image of Hong Kong online stores, even if the results showed that settlement performance and usefulness are </w:t>
      </w:r>
      <w:r w:rsidR="005E19EB" w:rsidRPr="005E19EB">
        <w:rPr>
          <w:rFonts w:ascii="Arial" w:hAnsi="Arial" w:cs="Arial"/>
        </w:rPr>
        <w:t>favourably</w:t>
      </w:r>
      <w:r w:rsidR="005E19EB" w:rsidRPr="005E19EB">
        <w:rPr>
          <w:rFonts w:ascii="Arial" w:hAnsi="Arial" w:cs="Arial"/>
        </w:rPr>
        <w:t xml:space="preserve"> associated to purchase intents. </w:t>
      </w:r>
      <w:r w:rsidR="00950286" w:rsidRPr="00950286">
        <w:rPr>
          <w:rFonts w:ascii="Arial" w:hAnsi="Arial" w:cs="Arial"/>
        </w:rPr>
        <w:fldChar w:fldCharType="begin"/>
      </w:r>
      <w:r w:rsidR="00950286" w:rsidRPr="00950286">
        <w:rPr>
          <w:rFonts w:ascii="Arial" w:hAnsi="Arial" w:cs="Arial"/>
        </w:rPr>
        <w:instrText xml:space="preserve"> ADDIN ZOTERO_ITEM CSL_CITATION {"citationID":"Cesbr7x9","properties":{"formattedCitation":"(Chau, Au and Tam, 2000)","plainCitation":"(Chau, Au and Tam, 2000)","noteIndex":0},"citationItems":[{"id":79,"uris":["http://zotero.org/users/local/cS9Yx6Zq/items/HWFZNKAM"],"itemData":{"id":79,"type":"article-journal","container-title":"Journal of Organizational Computing and Electronic Commerce","issue":"1","page":"1-20","title":"Impact of Information Presentation Modes on Online Shopping: An Empirical Evaluation of a Broadband Interactive Shopping Service","volume":"10","author":[{"family":"Chau","given":"Patrick"},{"family":"Au","given":"Grace"},{"family":"Tam","given":"Kar Yan"}],"issued":{"date-parts":[["2000"]]}}}],"schema":"https://github.com/citation-style-language/schema/raw/master/csl-citation.json"} </w:instrText>
      </w:r>
      <w:r w:rsidR="00950286" w:rsidRPr="00950286">
        <w:rPr>
          <w:rFonts w:ascii="Arial" w:hAnsi="Arial" w:cs="Arial"/>
        </w:rPr>
        <w:fldChar w:fldCharType="separate"/>
      </w:r>
      <w:r w:rsidR="00950286" w:rsidRPr="00950286">
        <w:rPr>
          <w:rFonts w:ascii="Arial" w:hAnsi="Arial" w:cs="Arial"/>
        </w:rPr>
        <w:t>(Chau, Au and Tam, 2000)</w:t>
      </w:r>
      <w:r w:rsidR="00950286" w:rsidRPr="00950286">
        <w:rPr>
          <w:rFonts w:ascii="Arial" w:hAnsi="Arial" w:cs="Arial"/>
        </w:rPr>
        <w:fldChar w:fldCharType="end"/>
      </w:r>
      <w:r w:rsidR="00950286" w:rsidRPr="00950286">
        <w:rPr>
          <w:rFonts w:ascii="Arial" w:hAnsi="Arial" w:cs="Arial"/>
        </w:rPr>
        <w:t xml:space="preserve"> studied how text, graphics and pictures affect the acceptance of online shopping in Hong Kong. Although their study started an analysis about the online shopping, they did not </w:t>
      </w:r>
      <w:r w:rsidR="00950286" w:rsidRPr="00950286">
        <w:rPr>
          <w:rFonts w:ascii="Arial" w:hAnsi="Arial" w:cs="Arial"/>
        </w:rPr>
        <w:lastRenderedPageBreak/>
        <w:t>consider more factors like Store Ease of Use, Store Enjoyment, Store Familiarity, Store Style, Store Settlement, Store Trustworthiness, and Store Usefulness. Moreover, their study was 20 years ago which would not well represent the current situation of online store image in Hong Kong.</w:t>
      </w:r>
      <w:r w:rsidR="00950286">
        <w:rPr>
          <w:rFonts w:ascii="Arial" w:hAnsi="Arial" w:cs="Arial"/>
        </w:rPr>
        <w:t xml:space="preserve"> </w:t>
      </w:r>
      <w:r w:rsidR="000E4236" w:rsidRPr="000E4236">
        <w:rPr>
          <w:rFonts w:ascii="Arial" w:hAnsi="Arial" w:cs="Arial"/>
        </w:rPr>
        <w:t>In light of the lack of research on what makes a good online business and what motivates Hong Kong residents to make purchases there, this study can help fill that void.  Other elements that impact the image of an online store in Hong Kong, according to this study, are store enjoyment, trustworthiness, style, and familiarity.</w:t>
      </w:r>
    </w:p>
    <w:p w14:paraId="401BA020" w14:textId="77777777" w:rsidR="002A3AD0" w:rsidRDefault="002A3AD0" w:rsidP="000D23D0">
      <w:pPr>
        <w:widowControl w:val="0"/>
        <w:tabs>
          <w:tab w:val="left" w:pos="180"/>
        </w:tabs>
        <w:kinsoku w:val="0"/>
        <w:overflowPunct w:val="0"/>
        <w:autoSpaceDE w:val="0"/>
        <w:autoSpaceDN w:val="0"/>
        <w:adjustRightInd w:val="0"/>
        <w:snapToGrid w:val="0"/>
        <w:spacing w:before="71" w:line="360" w:lineRule="auto"/>
        <w:jc w:val="both"/>
        <w:rPr>
          <w:rFonts w:ascii="Arial" w:hAnsi="Arial" w:cs="Arial"/>
        </w:rPr>
      </w:pPr>
    </w:p>
    <w:p w14:paraId="044D1217" w14:textId="25144F0B" w:rsidR="000B695C" w:rsidRDefault="00782A85" w:rsidP="00414AFA">
      <w:pPr>
        <w:widowControl w:val="0"/>
        <w:tabs>
          <w:tab w:val="left" w:pos="180"/>
        </w:tabs>
        <w:kinsoku w:val="0"/>
        <w:overflowPunct w:val="0"/>
        <w:autoSpaceDE w:val="0"/>
        <w:autoSpaceDN w:val="0"/>
        <w:adjustRightInd w:val="0"/>
        <w:snapToGrid w:val="0"/>
        <w:spacing w:before="71" w:line="360" w:lineRule="auto"/>
        <w:rPr>
          <w:rFonts w:ascii="Arial" w:hAnsi="Arial" w:cs="Arial"/>
        </w:rPr>
      </w:pPr>
      <w:r w:rsidRPr="00782A85">
        <w:rPr>
          <w:rFonts w:ascii="Arial" w:hAnsi="Arial" w:cs="Arial"/>
        </w:rPr>
        <w:t>Examining what factors impact Hong Kong consumers' perceptions of online stores and their propensity to make purchases from such sites is the primary goal of this research.  What are the conceptual components (dimensions) of online store image? That is, that is the specific question that guided the research.  Which of these mental dimensions can be measured with what items?  Do the items serve as valid and dependable assessments?  And lastly, how robust are the correlations between the aspects of store appearance and the likelihood of making an online purchase?  This study aims to evaluate the impact of these characteristics on online purchase intentions and to build a valid and reliable tool for evaluating the image of online stores.  Finding the conceptual parts (dimensions) of an online store's image is the main goal of this research.  What concrete things may be used to measure these intangible dimensions?  How accurate and trustworthy are the measurements provided by the items?  And lastly, how do the components of a store's image relate to customers' intentions to make an online purchase?  The focus of this study is on online shops that sell tangible, secure consumer items and rely only on the Internet for delivery.  This emphasis was placed on these online businesses because they are very comparable to the traditional brick-and-mortar stores that inspired the creation of the present store image tools.</w:t>
      </w:r>
    </w:p>
    <w:p w14:paraId="5FFC8061" w14:textId="77777777" w:rsidR="00782A85" w:rsidRDefault="00782A85" w:rsidP="00414AFA">
      <w:pPr>
        <w:widowControl w:val="0"/>
        <w:tabs>
          <w:tab w:val="left" w:pos="180"/>
        </w:tabs>
        <w:kinsoku w:val="0"/>
        <w:overflowPunct w:val="0"/>
        <w:autoSpaceDE w:val="0"/>
        <w:autoSpaceDN w:val="0"/>
        <w:adjustRightInd w:val="0"/>
        <w:snapToGrid w:val="0"/>
        <w:spacing w:before="71" w:line="360" w:lineRule="auto"/>
        <w:rPr>
          <w:rFonts w:ascii="Arial" w:hAnsi="Arial" w:cs="Arial"/>
        </w:rPr>
      </w:pPr>
    </w:p>
    <w:p w14:paraId="578ECAED" w14:textId="77777777" w:rsidR="00C5463D" w:rsidRPr="00C5463D" w:rsidRDefault="00C5463D" w:rsidP="00C5463D">
      <w:pPr>
        <w:widowControl w:val="0"/>
        <w:tabs>
          <w:tab w:val="left" w:pos="180"/>
        </w:tabs>
        <w:kinsoku w:val="0"/>
        <w:overflowPunct w:val="0"/>
        <w:autoSpaceDE w:val="0"/>
        <w:autoSpaceDN w:val="0"/>
        <w:adjustRightInd w:val="0"/>
        <w:snapToGrid w:val="0"/>
        <w:spacing w:before="71" w:line="360" w:lineRule="auto"/>
        <w:rPr>
          <w:rFonts w:ascii="Arial" w:hAnsi="Arial" w:cs="Arial"/>
        </w:rPr>
      </w:pPr>
      <w:r w:rsidRPr="00C5463D">
        <w:rPr>
          <w:rFonts w:ascii="Arial" w:hAnsi="Arial" w:cs="Arial"/>
        </w:rPr>
        <w:t>In this study, we look specifically at B2C e-commerce sites that offer physical, low-risk consumer goods (e.g., electronics, books, food, toys, etc.) on the Internet.  The existing store image instruments were initially built for typical high street stores, which is why this focus was driven by their similarities.</w:t>
      </w:r>
    </w:p>
    <w:p w14:paraId="69C5A225" w14:textId="77777777" w:rsidR="005E2D0F" w:rsidRPr="00C5463D" w:rsidRDefault="005E2D0F" w:rsidP="005F7DF9">
      <w:pPr>
        <w:pStyle w:val="BodyText"/>
        <w:tabs>
          <w:tab w:val="left" w:pos="180"/>
        </w:tabs>
        <w:kinsoku w:val="0"/>
        <w:overflowPunct w:val="0"/>
        <w:snapToGrid w:val="0"/>
        <w:spacing w:before="5" w:line="360" w:lineRule="auto"/>
        <w:rPr>
          <w:rFonts w:ascii="Arial" w:hAnsi="Arial" w:cs="Arial"/>
          <w:sz w:val="24"/>
          <w:szCs w:val="24"/>
          <w:lang w:val="en-HK"/>
        </w:rPr>
      </w:pPr>
    </w:p>
    <w:p w14:paraId="5DEA444D" w14:textId="77777777" w:rsidR="005E2D0F" w:rsidRPr="00A31E5D" w:rsidRDefault="005E2D0F" w:rsidP="005F7DF9">
      <w:pPr>
        <w:pStyle w:val="ListParagraph"/>
        <w:widowControl w:val="0"/>
        <w:numPr>
          <w:ilvl w:val="0"/>
          <w:numId w:val="26"/>
        </w:numPr>
        <w:tabs>
          <w:tab w:val="left" w:pos="180"/>
          <w:tab w:val="left" w:pos="499"/>
        </w:tabs>
        <w:kinsoku w:val="0"/>
        <w:overflowPunct w:val="0"/>
        <w:autoSpaceDE w:val="0"/>
        <w:autoSpaceDN w:val="0"/>
        <w:adjustRightInd w:val="0"/>
        <w:snapToGrid w:val="0"/>
        <w:spacing w:before="1" w:line="360" w:lineRule="auto"/>
        <w:ind w:left="0" w:firstLine="0"/>
        <w:contextualSpacing w:val="0"/>
        <w:jc w:val="both"/>
        <w:rPr>
          <w:rFonts w:ascii="Arial" w:hAnsi="Arial" w:cs="Arial"/>
          <w:sz w:val="24"/>
          <w:szCs w:val="24"/>
        </w:rPr>
      </w:pPr>
      <w:r w:rsidRPr="00A31E5D">
        <w:rPr>
          <w:rFonts w:ascii="Arial" w:hAnsi="Arial" w:cs="Arial"/>
          <w:sz w:val="24"/>
          <w:szCs w:val="24"/>
        </w:rPr>
        <w:t>Theoretical</w:t>
      </w:r>
      <w:r w:rsidRPr="00A31E5D">
        <w:rPr>
          <w:rFonts w:ascii="Arial" w:hAnsi="Arial" w:cs="Arial"/>
          <w:spacing w:val="15"/>
          <w:sz w:val="24"/>
          <w:szCs w:val="24"/>
        </w:rPr>
        <w:t xml:space="preserve"> </w:t>
      </w:r>
      <w:r w:rsidRPr="00A31E5D">
        <w:rPr>
          <w:rFonts w:ascii="Arial" w:hAnsi="Arial" w:cs="Arial"/>
          <w:sz w:val="24"/>
          <w:szCs w:val="24"/>
        </w:rPr>
        <w:t>foundations</w:t>
      </w:r>
    </w:p>
    <w:p w14:paraId="7F4B1629" w14:textId="77777777" w:rsidR="005E2D0F" w:rsidRDefault="005E2D0F" w:rsidP="005F7DF9">
      <w:pPr>
        <w:pStyle w:val="BodyText"/>
        <w:tabs>
          <w:tab w:val="left" w:pos="180"/>
        </w:tabs>
        <w:kinsoku w:val="0"/>
        <w:overflowPunct w:val="0"/>
        <w:snapToGrid w:val="0"/>
        <w:spacing w:before="8" w:line="360" w:lineRule="auto"/>
        <w:rPr>
          <w:rFonts w:ascii="Arial" w:hAnsi="Arial" w:cs="Arial"/>
          <w:sz w:val="24"/>
          <w:szCs w:val="24"/>
        </w:rPr>
      </w:pPr>
    </w:p>
    <w:p w14:paraId="3A69FDAF" w14:textId="1A02116A" w:rsidR="002F5C26" w:rsidRDefault="004E4AA6" w:rsidP="005F7DF9">
      <w:pPr>
        <w:pStyle w:val="BodyText"/>
        <w:tabs>
          <w:tab w:val="left" w:pos="180"/>
        </w:tabs>
        <w:kinsoku w:val="0"/>
        <w:overflowPunct w:val="0"/>
        <w:snapToGrid w:val="0"/>
        <w:spacing w:before="8" w:line="360" w:lineRule="auto"/>
        <w:rPr>
          <w:rFonts w:ascii="Arial" w:hAnsi="Arial" w:cs="Arial"/>
          <w:sz w:val="24"/>
          <w:szCs w:val="24"/>
        </w:rPr>
      </w:pPr>
      <w:r w:rsidRPr="004E4AA6">
        <w:rPr>
          <w:rFonts w:ascii="Arial" w:hAnsi="Arial" w:cs="Arial"/>
          <w:sz w:val="24"/>
          <w:szCs w:val="24"/>
        </w:rPr>
        <w:lastRenderedPageBreak/>
        <w:t>Our research on traditional store image, which has been around for a while, served as a foundation for our development of an online store image measurement.  According to (Martineau, 1958), a store's image is the mental picture that customers have of the business based on their experiences there, which is influenced by both the store's practicality and the ambiance it exudes.  The term "store image" was first used by Hirschman, Greenberg, and Robertson (1978) to describe how customers felt about a certain store.  A store's image is the total of the many ways in which customers perceive it along several dimensions, often referred to as components or qualities.  A store's functional and psychological aspects, along with the consumer's perceptions of its practical and emotional traits, contribute to the shopper's overall impression of the store, as stated by Houston and Nevin (1981).  Many different things, called components or qualities, come together to create a store's image in the eyes of consumers.  (</w:t>
      </w:r>
      <w:proofErr w:type="spellStart"/>
      <w:r w:rsidRPr="004E4AA6">
        <w:rPr>
          <w:rFonts w:ascii="Arial" w:hAnsi="Arial" w:cs="Arial"/>
          <w:sz w:val="24"/>
          <w:szCs w:val="24"/>
        </w:rPr>
        <w:t>Poiesz</w:t>
      </w:r>
      <w:proofErr w:type="spellEnd"/>
      <w:r w:rsidRPr="004E4AA6">
        <w:rPr>
          <w:rFonts w:ascii="Arial" w:hAnsi="Arial" w:cs="Arial"/>
          <w:sz w:val="24"/>
          <w:szCs w:val="24"/>
        </w:rPr>
        <w:t>, 1989) characterized as the store's public persona or the web of associations that people use to describe the store.</w:t>
      </w:r>
    </w:p>
    <w:p w14:paraId="1EAB75B7" w14:textId="77777777" w:rsidR="004E4AA6" w:rsidRPr="00A31E5D" w:rsidRDefault="004E4AA6" w:rsidP="005F7DF9">
      <w:pPr>
        <w:pStyle w:val="BodyText"/>
        <w:tabs>
          <w:tab w:val="left" w:pos="180"/>
        </w:tabs>
        <w:kinsoku w:val="0"/>
        <w:overflowPunct w:val="0"/>
        <w:snapToGrid w:val="0"/>
        <w:spacing w:before="8" w:line="360" w:lineRule="auto"/>
        <w:rPr>
          <w:rFonts w:ascii="Arial" w:hAnsi="Arial" w:cs="Arial"/>
          <w:sz w:val="24"/>
          <w:szCs w:val="24"/>
        </w:rPr>
      </w:pPr>
    </w:p>
    <w:p w14:paraId="1281B598" w14:textId="0EF9C4C8" w:rsidR="005E2D0F" w:rsidRDefault="00256830" w:rsidP="005F7DF9">
      <w:pPr>
        <w:pStyle w:val="BodyText"/>
        <w:tabs>
          <w:tab w:val="left" w:pos="180"/>
        </w:tabs>
        <w:kinsoku w:val="0"/>
        <w:overflowPunct w:val="0"/>
        <w:snapToGrid w:val="0"/>
        <w:spacing w:line="360" w:lineRule="auto"/>
        <w:ind w:right="102"/>
        <w:jc w:val="both"/>
        <w:rPr>
          <w:rFonts w:ascii="Arial" w:hAnsi="Arial" w:cs="Arial"/>
          <w:sz w:val="24"/>
          <w:szCs w:val="24"/>
        </w:rPr>
      </w:pPr>
      <w:r w:rsidRPr="00256830">
        <w:rPr>
          <w:rFonts w:ascii="Arial" w:hAnsi="Arial" w:cs="Arial"/>
          <w:sz w:val="24"/>
          <w:szCs w:val="24"/>
        </w:rPr>
        <w:t xml:space="preserve">One of the first ways to gauge a store's reputation was developed by (Kelly and Stephenson, 1967).  They proposed using the semantic differential, a scale with two extreme adjectives.  (Lindquist, 1974) reports that 51 products were developed with many factors taken into account, including but not limited to: size, shape, physical attributes, usability, cost, quality, promotion, and word of mouth recommendations.  His groundbreaking research on visual interpretation included nine components.  By including store design and amenities, pricing, merchandise, advertising, service, and employees, among other factors, Dickson and Albaum (1977) enhanced the metrics for retail store image.  The reliability and validity of a tool that was developed out of 29 individual components were evaluated.  A number of variables, including the attractiveness of a shopping location and the intentions to make a purchase, can be predicted by the retail image, which has grown in popularity since then.  The importance of store image as a dependent variable is not surprising.  (Baker, Grewal and Parasuraman, 1994) and (Grewal et al., 1998) conducted studies that looked at factors including retail atmosphere and store name.  Research on consumer behaviour has looked at the links between various aspects of store image and the likelihood that a customer would make a purchase.  A number of studies have linked specific aspects of a store's image—its name, prices, and perceived value for money—to consumers' intentions to make a purchase. These studies include (Dodds, Monroe and Grewal, </w:t>
      </w:r>
      <w:r w:rsidRPr="00256830">
        <w:rPr>
          <w:rFonts w:ascii="Arial" w:hAnsi="Arial" w:cs="Arial"/>
          <w:sz w:val="24"/>
          <w:szCs w:val="24"/>
        </w:rPr>
        <w:lastRenderedPageBreak/>
        <w:t>1991) and (Sweeney, Soutar and Johnson, 1999).  One study looked at how customers' perceptions of a store influenced their desire to shop there (Houston and Nevin, 1981).  Although no strong correlations were found, the closer the customer lived to the store, the better.  Some could argue that these findings don't readily translate to an e-commerce context because distance is less important in the digital realm.  Researchers looked at the relationship between store image and intention (Baker, Grewal and Parasuraman, 1994).  Bicycles and stores selling bicycles were part of their particular real-life scenario.  Their research proved that consumers' perceptions of a store had a significant impact on their propensity to buy.  Store image had a limited association with purchase intentions, whereas perceived value had a stronger correlation.  Many research on store image touch on the topic of perceived value, thus some would argue that it is an integral part of store image as well.  All things considered, the variables accounted for 41% of the variance in intent to buy.  An investigation on the relationship between consumers' impressions of a store's image and their propensity to shop there was carried out by (Bell, 1999).  Five characteristics were identified in an exploratory factor analysis study: aesthetics, product diversity and quality, price equity, accessibility, and ease of use.  When added together, they explained 29% of the variation in purchase attitude.  The attitude idea explained thirty percent of the variation in the propensity to buy.</w:t>
      </w:r>
    </w:p>
    <w:p w14:paraId="4F6522D2" w14:textId="77777777" w:rsidR="00256830" w:rsidRPr="00A31E5D" w:rsidRDefault="00256830" w:rsidP="005F7DF9">
      <w:pPr>
        <w:pStyle w:val="BodyText"/>
        <w:tabs>
          <w:tab w:val="left" w:pos="180"/>
        </w:tabs>
        <w:kinsoku w:val="0"/>
        <w:overflowPunct w:val="0"/>
        <w:snapToGrid w:val="0"/>
        <w:spacing w:line="360" w:lineRule="auto"/>
        <w:ind w:right="102"/>
        <w:jc w:val="both"/>
        <w:rPr>
          <w:rFonts w:ascii="Arial" w:hAnsi="Arial" w:cs="Arial"/>
          <w:color w:val="000000"/>
          <w:spacing w:val="-4"/>
          <w:sz w:val="24"/>
          <w:szCs w:val="24"/>
        </w:rPr>
      </w:pPr>
    </w:p>
    <w:p w14:paraId="6CFF125C" w14:textId="08704F3F" w:rsidR="00961E90" w:rsidRDefault="000443D1" w:rsidP="00961E90">
      <w:pPr>
        <w:pStyle w:val="BodyText"/>
        <w:tabs>
          <w:tab w:val="left" w:pos="180"/>
        </w:tabs>
        <w:kinsoku w:val="0"/>
        <w:overflowPunct w:val="0"/>
        <w:snapToGrid w:val="0"/>
        <w:spacing w:line="360" w:lineRule="auto"/>
        <w:ind w:right="38"/>
        <w:jc w:val="both"/>
        <w:rPr>
          <w:rFonts w:ascii="Arial" w:hAnsi="Arial" w:cs="Arial"/>
          <w:sz w:val="24"/>
          <w:szCs w:val="24"/>
        </w:rPr>
      </w:pPr>
      <w:r w:rsidRPr="000443D1">
        <w:rPr>
          <w:rFonts w:ascii="Arial" w:hAnsi="Arial" w:cs="Arial"/>
          <w:sz w:val="24"/>
          <w:szCs w:val="24"/>
        </w:rPr>
        <w:t>Similarities between the desire to use a website and the want to purchase online are striking.  Using input variables from the widely-used Technology Acceptance Model construct within the context of the World Wide Web, (Davis, 1989) had explored the origins of this idea.  According to Lederer et al. (2000), the characteristics that contribute to store usefulness include management, research and development, main activities, quality of information, and support information.  Perceived attractiveness and its role in the Store Enjoyment experience was studied by Van Der Heijden (2004).  Between evaluations of the system and plans to use it, a separate attitude framework is often shown as a go-between.  Prior to and following website usability—or, to use the terminology of the Technology Acceptance Model, the impression of Store Ease of Use—a great deal of study had focused on these aspects.  Within the context of this research, this is important because it shows how the online store's perception is likely to be affected by the human-computer interaction.  As an example, (</w:t>
      </w:r>
      <w:proofErr w:type="spellStart"/>
      <w:r w:rsidRPr="000443D1">
        <w:rPr>
          <w:rFonts w:ascii="Arial" w:hAnsi="Arial" w:cs="Arial"/>
          <w:sz w:val="24"/>
          <w:szCs w:val="24"/>
        </w:rPr>
        <w:t>Huizingh</w:t>
      </w:r>
      <w:proofErr w:type="spellEnd"/>
      <w:r w:rsidRPr="000443D1">
        <w:rPr>
          <w:rFonts w:ascii="Arial" w:hAnsi="Arial" w:cs="Arial"/>
          <w:sz w:val="24"/>
          <w:szCs w:val="24"/>
        </w:rPr>
        <w:t xml:space="preserve">, 2000) compared 150 publicly available websites based on their structure and content.  What makes good </w:t>
      </w:r>
      <w:r w:rsidRPr="000443D1">
        <w:rPr>
          <w:rFonts w:ascii="Arial" w:hAnsi="Arial" w:cs="Arial"/>
          <w:sz w:val="24"/>
          <w:szCs w:val="24"/>
        </w:rPr>
        <w:lastRenderedPageBreak/>
        <w:t>website design was investigated by Liu and Arnett (2000).  This study, along with others like it, proves that people's views and intentions towards accessing a website are significantly impacted by how easy it is to use.  This effect, according to some authors, is indirect via utility and pleasure rather than direct.  An intriguing chance to bridge studies in online consumer marketing with those on the Technology Acceptance Model exists in the possibility of using these findings to comprehend the want to visit a website for online shopping.</w:t>
      </w:r>
    </w:p>
    <w:p w14:paraId="43B941CE" w14:textId="77777777" w:rsidR="000443D1" w:rsidRDefault="000443D1" w:rsidP="00961E90">
      <w:pPr>
        <w:pStyle w:val="BodyText"/>
        <w:tabs>
          <w:tab w:val="left" w:pos="180"/>
        </w:tabs>
        <w:kinsoku w:val="0"/>
        <w:overflowPunct w:val="0"/>
        <w:snapToGrid w:val="0"/>
        <w:spacing w:line="360" w:lineRule="auto"/>
        <w:ind w:right="38"/>
        <w:jc w:val="both"/>
        <w:rPr>
          <w:rFonts w:ascii="Arial" w:hAnsi="Arial" w:cs="Arial"/>
          <w:sz w:val="24"/>
          <w:szCs w:val="24"/>
        </w:rPr>
      </w:pPr>
    </w:p>
    <w:p w14:paraId="0E88F09C" w14:textId="5757AE4A" w:rsidR="00C70841" w:rsidRPr="00A31E5D" w:rsidRDefault="000959E1" w:rsidP="00961E90">
      <w:pPr>
        <w:pStyle w:val="BodyText"/>
        <w:tabs>
          <w:tab w:val="left" w:pos="180"/>
        </w:tabs>
        <w:kinsoku w:val="0"/>
        <w:overflowPunct w:val="0"/>
        <w:snapToGrid w:val="0"/>
        <w:spacing w:line="360" w:lineRule="auto"/>
        <w:ind w:right="38"/>
        <w:jc w:val="both"/>
        <w:rPr>
          <w:rFonts w:ascii="Arial" w:hAnsi="Arial" w:cs="Arial"/>
          <w:sz w:val="24"/>
          <w:szCs w:val="24"/>
        </w:rPr>
      </w:pPr>
      <w:r w:rsidRPr="000959E1">
        <w:rPr>
          <w:rFonts w:ascii="Arial" w:hAnsi="Arial" w:cs="Arial"/>
          <w:sz w:val="24"/>
          <w:szCs w:val="24"/>
        </w:rPr>
        <w:t>Considerations impacting consumers' perceptions of and propensity to purchase from online retailers were highlighted by (Van der Heijden and Verhagen, 2004)</w:t>
      </w:r>
      <w:r w:rsidR="002B0517">
        <w:rPr>
          <w:rFonts w:ascii="Arial" w:hAnsi="Arial" w:cs="Arial"/>
          <w:sz w:val="24"/>
          <w:szCs w:val="24"/>
        </w:rPr>
        <w:t xml:space="preserve">, which </w:t>
      </w:r>
      <w:r w:rsidR="00C70841" w:rsidRPr="00A31E5D">
        <w:rPr>
          <w:rFonts w:ascii="Arial" w:hAnsi="Arial" w:cs="Arial"/>
          <w:sz w:val="24"/>
          <w:szCs w:val="24"/>
        </w:rPr>
        <w:t xml:space="preserve">include online </w:t>
      </w:r>
      <w:r w:rsidR="00091B6F">
        <w:rPr>
          <w:rFonts w:ascii="Arial" w:hAnsi="Arial" w:cs="Arial"/>
          <w:sz w:val="24"/>
          <w:szCs w:val="24"/>
        </w:rPr>
        <w:t xml:space="preserve">Store </w:t>
      </w:r>
      <w:r w:rsidR="00091B6F" w:rsidRPr="00B010AD">
        <w:rPr>
          <w:rFonts w:ascii="Arial" w:hAnsi="Arial" w:cs="Arial"/>
          <w:b/>
          <w:bCs/>
          <w:sz w:val="24"/>
          <w:szCs w:val="24"/>
        </w:rPr>
        <w:t>Usefulness</w:t>
      </w:r>
      <w:r w:rsidR="00B010AD">
        <w:rPr>
          <w:rFonts w:ascii="Arial" w:hAnsi="Arial" w:cs="Arial"/>
          <w:sz w:val="24"/>
          <w:szCs w:val="24"/>
        </w:rPr>
        <w:t xml:space="preserve"> </w:t>
      </w:r>
      <w:r w:rsidR="00B010AD" w:rsidRPr="00004B2B">
        <w:rPr>
          <w:rFonts w:ascii="Arial" w:hAnsi="Arial" w:cs="Arial"/>
          <w:sz w:val="24"/>
          <w:szCs w:val="24"/>
        </w:rPr>
        <w:t>(the “</w:t>
      </w:r>
      <w:r w:rsidR="00395187">
        <w:rPr>
          <w:rFonts w:ascii="Arial" w:hAnsi="Arial" w:cs="Arial"/>
          <w:sz w:val="24"/>
          <w:szCs w:val="24"/>
        </w:rPr>
        <w:t xml:space="preserve">Store </w:t>
      </w:r>
      <w:r w:rsidR="00B010AD">
        <w:rPr>
          <w:rFonts w:ascii="Arial" w:hAnsi="Arial" w:cs="Arial"/>
          <w:sz w:val="24"/>
          <w:szCs w:val="24"/>
        </w:rPr>
        <w:t>Usefulness</w:t>
      </w:r>
      <w:r w:rsidR="00B010AD" w:rsidRPr="00004B2B">
        <w:rPr>
          <w:rFonts w:ascii="Arial" w:hAnsi="Arial" w:cs="Arial"/>
          <w:sz w:val="24"/>
          <w:szCs w:val="24"/>
        </w:rPr>
        <w:t>”)</w:t>
      </w:r>
      <w:r w:rsidR="00C70841" w:rsidRPr="00A31E5D">
        <w:rPr>
          <w:rFonts w:ascii="Arial" w:hAnsi="Arial" w:cs="Arial"/>
          <w:sz w:val="24"/>
          <w:szCs w:val="24"/>
        </w:rPr>
        <w:t xml:space="preserve">, online </w:t>
      </w:r>
      <w:r w:rsidR="00091B6F">
        <w:rPr>
          <w:rFonts w:ascii="Arial" w:hAnsi="Arial" w:cs="Arial"/>
          <w:sz w:val="24"/>
          <w:szCs w:val="24"/>
        </w:rPr>
        <w:t xml:space="preserve">Store </w:t>
      </w:r>
      <w:r w:rsidR="00091B6F" w:rsidRPr="00B010AD">
        <w:rPr>
          <w:rFonts w:ascii="Arial" w:hAnsi="Arial" w:cs="Arial"/>
          <w:b/>
          <w:bCs/>
          <w:sz w:val="24"/>
          <w:szCs w:val="24"/>
        </w:rPr>
        <w:t>Enjoyment</w:t>
      </w:r>
      <w:r w:rsidR="00B010AD">
        <w:rPr>
          <w:rFonts w:ascii="Arial" w:hAnsi="Arial" w:cs="Arial"/>
          <w:sz w:val="24"/>
          <w:szCs w:val="24"/>
        </w:rPr>
        <w:t xml:space="preserve"> </w:t>
      </w:r>
      <w:r w:rsidR="00B010AD" w:rsidRPr="00004B2B">
        <w:rPr>
          <w:rFonts w:ascii="Arial" w:hAnsi="Arial" w:cs="Arial"/>
          <w:sz w:val="24"/>
          <w:szCs w:val="24"/>
        </w:rPr>
        <w:t>(the “</w:t>
      </w:r>
      <w:r w:rsidR="00395187">
        <w:rPr>
          <w:rFonts w:ascii="Arial" w:hAnsi="Arial" w:cs="Arial"/>
          <w:sz w:val="24"/>
          <w:szCs w:val="24"/>
        </w:rPr>
        <w:t xml:space="preserve">Store </w:t>
      </w:r>
      <w:r w:rsidR="00B010AD">
        <w:rPr>
          <w:rFonts w:ascii="Arial" w:hAnsi="Arial" w:cs="Arial"/>
          <w:sz w:val="24"/>
          <w:szCs w:val="24"/>
        </w:rPr>
        <w:t>Enjoyment</w:t>
      </w:r>
      <w:r w:rsidR="00B010AD" w:rsidRPr="00004B2B">
        <w:rPr>
          <w:rFonts w:ascii="Arial" w:hAnsi="Arial" w:cs="Arial"/>
          <w:sz w:val="24"/>
          <w:szCs w:val="24"/>
        </w:rPr>
        <w:t>”),</w:t>
      </w:r>
      <w:r w:rsidR="00B010AD" w:rsidRPr="00A31E5D">
        <w:rPr>
          <w:rFonts w:ascii="Arial" w:hAnsi="Arial" w:cs="Arial"/>
          <w:sz w:val="24"/>
          <w:szCs w:val="24"/>
        </w:rPr>
        <w:t xml:space="preserve"> </w:t>
      </w:r>
      <w:r w:rsidR="00C70841" w:rsidRPr="00A31E5D">
        <w:rPr>
          <w:rFonts w:ascii="Arial" w:hAnsi="Arial" w:cs="Arial"/>
          <w:sz w:val="24"/>
          <w:szCs w:val="24"/>
        </w:rPr>
        <w:t xml:space="preserve">online </w:t>
      </w:r>
      <w:r w:rsidR="008773F3">
        <w:rPr>
          <w:rFonts w:ascii="Arial" w:hAnsi="Arial" w:cs="Arial"/>
          <w:sz w:val="24"/>
          <w:szCs w:val="24"/>
        </w:rPr>
        <w:t>Store Ease of Use</w:t>
      </w:r>
      <w:r w:rsidR="00091B6F">
        <w:rPr>
          <w:rFonts w:ascii="Arial" w:hAnsi="Arial" w:cs="Arial"/>
          <w:b/>
          <w:bCs/>
          <w:sz w:val="24"/>
          <w:szCs w:val="24"/>
        </w:rPr>
        <w:t xml:space="preserve"> </w:t>
      </w:r>
      <w:r w:rsidR="00091B6F" w:rsidRPr="00004B2B">
        <w:rPr>
          <w:rFonts w:ascii="Arial" w:hAnsi="Arial" w:cs="Arial"/>
          <w:sz w:val="24"/>
          <w:szCs w:val="24"/>
        </w:rPr>
        <w:t>(the “</w:t>
      </w:r>
      <w:r w:rsidR="008773F3">
        <w:rPr>
          <w:rFonts w:ascii="Arial" w:hAnsi="Arial" w:cs="Arial"/>
          <w:sz w:val="24"/>
          <w:szCs w:val="24"/>
        </w:rPr>
        <w:t>Store Ease of Use</w:t>
      </w:r>
      <w:r w:rsidR="00091B6F" w:rsidRPr="00004B2B">
        <w:rPr>
          <w:rFonts w:ascii="Arial" w:hAnsi="Arial" w:cs="Arial"/>
          <w:sz w:val="24"/>
          <w:szCs w:val="24"/>
        </w:rPr>
        <w:t>”)</w:t>
      </w:r>
      <w:r w:rsidR="00C70841" w:rsidRPr="00004B2B">
        <w:rPr>
          <w:rFonts w:ascii="Arial" w:hAnsi="Arial" w:cs="Arial"/>
          <w:sz w:val="24"/>
          <w:szCs w:val="24"/>
        </w:rPr>
        <w:t>,</w:t>
      </w:r>
      <w:r w:rsidR="00C70841" w:rsidRPr="00A31E5D">
        <w:rPr>
          <w:rFonts w:ascii="Arial" w:hAnsi="Arial" w:cs="Arial"/>
          <w:sz w:val="24"/>
          <w:szCs w:val="24"/>
        </w:rPr>
        <w:t xml:space="preserve"> online </w:t>
      </w:r>
      <w:r w:rsidR="00F30994">
        <w:rPr>
          <w:rFonts w:ascii="Arial" w:hAnsi="Arial" w:cs="Arial"/>
          <w:sz w:val="24"/>
          <w:szCs w:val="24"/>
        </w:rPr>
        <w:t>Store Trustworthiness</w:t>
      </w:r>
      <w:r w:rsidR="00004B2B">
        <w:rPr>
          <w:rFonts w:ascii="Arial" w:hAnsi="Arial" w:cs="Arial"/>
          <w:b/>
          <w:bCs/>
          <w:sz w:val="24"/>
          <w:szCs w:val="24"/>
        </w:rPr>
        <w:t xml:space="preserve"> </w:t>
      </w:r>
      <w:r w:rsidR="00004B2B" w:rsidRPr="00004B2B">
        <w:rPr>
          <w:rFonts w:ascii="Arial" w:hAnsi="Arial" w:cs="Arial"/>
          <w:sz w:val="24"/>
          <w:szCs w:val="24"/>
        </w:rPr>
        <w:t>(the “</w:t>
      </w:r>
      <w:r w:rsidR="00F30994">
        <w:rPr>
          <w:rFonts w:ascii="Arial" w:hAnsi="Arial" w:cs="Arial"/>
          <w:sz w:val="24"/>
          <w:szCs w:val="24"/>
        </w:rPr>
        <w:t>Store Trustworthiness</w:t>
      </w:r>
      <w:r w:rsidR="00004B2B" w:rsidRPr="00004B2B">
        <w:rPr>
          <w:rFonts w:ascii="Arial" w:hAnsi="Arial" w:cs="Arial"/>
          <w:sz w:val="24"/>
          <w:szCs w:val="24"/>
        </w:rPr>
        <w:t>”),</w:t>
      </w:r>
      <w:r w:rsidR="00C70841" w:rsidRPr="00A31E5D">
        <w:rPr>
          <w:rFonts w:ascii="Arial" w:hAnsi="Arial" w:cs="Arial"/>
          <w:sz w:val="24"/>
          <w:szCs w:val="24"/>
        </w:rPr>
        <w:t xml:space="preserve"> online </w:t>
      </w:r>
      <w:r w:rsidR="000706D8">
        <w:rPr>
          <w:rFonts w:ascii="Arial" w:hAnsi="Arial" w:cs="Arial"/>
          <w:sz w:val="24"/>
          <w:szCs w:val="24"/>
        </w:rPr>
        <w:t>Store Style</w:t>
      </w:r>
      <w:r w:rsidR="00004B2B">
        <w:rPr>
          <w:rFonts w:ascii="Arial" w:hAnsi="Arial" w:cs="Arial"/>
          <w:b/>
          <w:bCs/>
          <w:sz w:val="24"/>
          <w:szCs w:val="24"/>
        </w:rPr>
        <w:t xml:space="preserve"> </w:t>
      </w:r>
      <w:r w:rsidR="00004B2B" w:rsidRPr="00004B2B">
        <w:rPr>
          <w:rFonts w:ascii="Arial" w:hAnsi="Arial" w:cs="Arial"/>
          <w:sz w:val="24"/>
          <w:szCs w:val="24"/>
        </w:rPr>
        <w:t>(the “</w:t>
      </w:r>
      <w:r w:rsidR="000706D8">
        <w:rPr>
          <w:rFonts w:ascii="Arial" w:hAnsi="Arial" w:cs="Arial"/>
          <w:sz w:val="24"/>
          <w:szCs w:val="24"/>
        </w:rPr>
        <w:t>Store Style</w:t>
      </w:r>
      <w:r w:rsidR="00004B2B" w:rsidRPr="00004B2B">
        <w:rPr>
          <w:rFonts w:ascii="Arial" w:hAnsi="Arial" w:cs="Arial"/>
          <w:sz w:val="24"/>
          <w:szCs w:val="24"/>
        </w:rPr>
        <w:t>”),</w:t>
      </w:r>
      <w:r w:rsidR="00C70841" w:rsidRPr="00A31E5D">
        <w:rPr>
          <w:rFonts w:ascii="Arial" w:hAnsi="Arial" w:cs="Arial"/>
          <w:sz w:val="24"/>
          <w:szCs w:val="24"/>
        </w:rPr>
        <w:t xml:space="preserve"> online </w:t>
      </w:r>
      <w:r w:rsidR="000706D8">
        <w:rPr>
          <w:rFonts w:ascii="Arial" w:hAnsi="Arial" w:cs="Arial"/>
          <w:sz w:val="24"/>
          <w:szCs w:val="24"/>
        </w:rPr>
        <w:t>Store Familiarity</w:t>
      </w:r>
      <w:r w:rsidR="00004B2B">
        <w:rPr>
          <w:rFonts w:ascii="Arial" w:hAnsi="Arial" w:cs="Arial"/>
          <w:b/>
          <w:bCs/>
          <w:sz w:val="24"/>
          <w:szCs w:val="24"/>
        </w:rPr>
        <w:t xml:space="preserve"> </w:t>
      </w:r>
      <w:r w:rsidR="00004B2B" w:rsidRPr="00004B2B">
        <w:rPr>
          <w:rFonts w:ascii="Arial" w:hAnsi="Arial" w:cs="Arial"/>
          <w:sz w:val="24"/>
          <w:szCs w:val="24"/>
        </w:rPr>
        <w:t>(the “</w:t>
      </w:r>
      <w:r w:rsidR="000706D8">
        <w:rPr>
          <w:rFonts w:ascii="Arial" w:hAnsi="Arial" w:cs="Arial"/>
          <w:sz w:val="24"/>
          <w:szCs w:val="24"/>
        </w:rPr>
        <w:t>Store Familiarity</w:t>
      </w:r>
      <w:r w:rsidR="00004B2B" w:rsidRPr="00004B2B">
        <w:rPr>
          <w:rFonts w:ascii="Arial" w:hAnsi="Arial" w:cs="Arial"/>
          <w:sz w:val="24"/>
          <w:szCs w:val="24"/>
        </w:rPr>
        <w:t>”),</w:t>
      </w:r>
      <w:r w:rsidR="00C70841" w:rsidRPr="00004B2B">
        <w:rPr>
          <w:rFonts w:ascii="Arial" w:hAnsi="Arial" w:cs="Arial"/>
          <w:sz w:val="24"/>
          <w:szCs w:val="24"/>
        </w:rPr>
        <w:t>,</w:t>
      </w:r>
      <w:r w:rsidR="00C70841" w:rsidRPr="00A31E5D">
        <w:rPr>
          <w:rFonts w:ascii="Arial" w:hAnsi="Arial" w:cs="Arial"/>
          <w:sz w:val="24"/>
          <w:szCs w:val="24"/>
        </w:rPr>
        <w:t xml:space="preserve"> and online </w:t>
      </w:r>
      <w:r w:rsidR="000706D8">
        <w:rPr>
          <w:rFonts w:ascii="Arial" w:hAnsi="Arial" w:cs="Arial"/>
          <w:sz w:val="24"/>
          <w:szCs w:val="24"/>
        </w:rPr>
        <w:t>Store Settlement</w:t>
      </w:r>
      <w:r w:rsidR="00004B2B">
        <w:rPr>
          <w:rFonts w:ascii="Arial" w:hAnsi="Arial" w:cs="Arial"/>
          <w:b/>
          <w:bCs/>
          <w:sz w:val="24"/>
          <w:szCs w:val="24"/>
        </w:rPr>
        <w:t xml:space="preserve"> </w:t>
      </w:r>
      <w:r w:rsidR="00004B2B" w:rsidRPr="00004B2B">
        <w:rPr>
          <w:rFonts w:ascii="Arial" w:hAnsi="Arial" w:cs="Arial"/>
          <w:sz w:val="24"/>
          <w:szCs w:val="24"/>
        </w:rPr>
        <w:t>(the “</w:t>
      </w:r>
      <w:r w:rsidR="000706D8">
        <w:rPr>
          <w:rFonts w:ascii="Arial" w:hAnsi="Arial" w:cs="Arial"/>
          <w:sz w:val="24"/>
          <w:szCs w:val="24"/>
        </w:rPr>
        <w:t>Store Settlement</w:t>
      </w:r>
      <w:r w:rsidR="00004B2B" w:rsidRPr="00004B2B">
        <w:rPr>
          <w:rFonts w:ascii="Arial" w:hAnsi="Arial" w:cs="Arial"/>
          <w:sz w:val="24"/>
          <w:szCs w:val="24"/>
        </w:rPr>
        <w:t>”)</w:t>
      </w:r>
      <w:r w:rsidR="00C70841" w:rsidRPr="00A31E5D">
        <w:rPr>
          <w:rFonts w:ascii="Arial" w:hAnsi="Arial" w:cs="Arial"/>
          <w:sz w:val="24"/>
          <w:szCs w:val="24"/>
        </w:rPr>
        <w:t xml:space="preserve">: </w:t>
      </w:r>
    </w:p>
    <w:p w14:paraId="0F90749B" w14:textId="0222DD1A" w:rsidR="00412D35" w:rsidRPr="00A31E5D" w:rsidRDefault="00412D35" w:rsidP="005F7DF9">
      <w:pPr>
        <w:pStyle w:val="BodyText"/>
        <w:tabs>
          <w:tab w:val="left" w:pos="180"/>
        </w:tabs>
        <w:kinsoku w:val="0"/>
        <w:overflowPunct w:val="0"/>
        <w:snapToGrid w:val="0"/>
        <w:spacing w:line="360" w:lineRule="auto"/>
        <w:ind w:right="38"/>
        <w:jc w:val="both"/>
        <w:rPr>
          <w:rFonts w:ascii="Arial" w:hAnsi="Arial" w:cs="Arial"/>
          <w:sz w:val="24"/>
          <w:szCs w:val="24"/>
        </w:rPr>
      </w:pPr>
    </w:p>
    <w:p w14:paraId="7D17E215" w14:textId="77777777" w:rsidR="00734222" w:rsidRPr="00734222" w:rsidRDefault="00734222" w:rsidP="00734222">
      <w:pPr>
        <w:pStyle w:val="BodyText"/>
        <w:tabs>
          <w:tab w:val="left" w:pos="180"/>
        </w:tabs>
        <w:kinsoku w:val="0"/>
        <w:overflowPunct w:val="0"/>
        <w:snapToGrid w:val="0"/>
        <w:spacing w:line="360" w:lineRule="auto"/>
        <w:ind w:left="720" w:right="38"/>
        <w:jc w:val="both"/>
        <w:rPr>
          <w:rFonts w:ascii="Arial" w:hAnsi="Arial" w:cs="Arial"/>
          <w:sz w:val="24"/>
          <w:szCs w:val="24"/>
        </w:rPr>
      </w:pPr>
      <w:r w:rsidRPr="00734222">
        <w:rPr>
          <w:rFonts w:ascii="Arial" w:hAnsi="Arial" w:cs="Arial"/>
          <w:sz w:val="24"/>
          <w:szCs w:val="24"/>
        </w:rPr>
        <w:t>1. Online Store Usefulness: When an online store is fast, easy, and improves user performance, it is clearly useful, especially when compared to manual shopping systems.  This is in line with previous studies that have shown that Store Usefulness has a positive effect on online shopping intentions (Davis, 1989; Sarika et al., 2016; NGUYEN, 2020; Ha and Stoel, 2009), which is supported by more recent research.</w:t>
      </w:r>
    </w:p>
    <w:p w14:paraId="18494D05" w14:textId="77777777" w:rsidR="00734222" w:rsidRPr="00734222" w:rsidRDefault="00734222" w:rsidP="00734222">
      <w:pPr>
        <w:pStyle w:val="BodyText"/>
        <w:tabs>
          <w:tab w:val="left" w:pos="180"/>
        </w:tabs>
        <w:kinsoku w:val="0"/>
        <w:overflowPunct w:val="0"/>
        <w:snapToGrid w:val="0"/>
        <w:spacing w:line="360" w:lineRule="auto"/>
        <w:ind w:left="720" w:right="38"/>
        <w:jc w:val="both"/>
        <w:rPr>
          <w:rFonts w:ascii="Arial" w:hAnsi="Arial" w:cs="Arial"/>
          <w:sz w:val="24"/>
          <w:szCs w:val="24"/>
        </w:rPr>
      </w:pPr>
    </w:p>
    <w:p w14:paraId="4F1C895D" w14:textId="77777777" w:rsidR="00734222" w:rsidRPr="00734222" w:rsidRDefault="00734222" w:rsidP="00734222">
      <w:pPr>
        <w:pStyle w:val="BodyText"/>
        <w:tabs>
          <w:tab w:val="left" w:pos="180"/>
        </w:tabs>
        <w:kinsoku w:val="0"/>
        <w:overflowPunct w:val="0"/>
        <w:snapToGrid w:val="0"/>
        <w:spacing w:line="360" w:lineRule="auto"/>
        <w:ind w:left="720" w:right="38"/>
        <w:jc w:val="both"/>
        <w:rPr>
          <w:rFonts w:ascii="Arial" w:hAnsi="Arial" w:cs="Arial"/>
          <w:sz w:val="24"/>
          <w:szCs w:val="24"/>
        </w:rPr>
      </w:pPr>
      <w:r w:rsidRPr="00734222">
        <w:rPr>
          <w:rFonts w:ascii="Arial" w:hAnsi="Arial" w:cs="Arial"/>
          <w:sz w:val="24"/>
          <w:szCs w:val="24"/>
        </w:rPr>
        <w:t xml:space="preserve">2. Online Store Enjoyment: According to Beatty and Elizabeth Ferrell (1998) and Mohan, Sivakumaran and Sharma (2013), store enjoyment refers to the ways in which consumers derive pleasure from their shopping experiences.  Research by Donovan (1994), </w:t>
      </w:r>
      <w:proofErr w:type="spellStart"/>
      <w:r w:rsidRPr="00734222">
        <w:rPr>
          <w:rFonts w:ascii="Arial" w:hAnsi="Arial" w:cs="Arial"/>
          <w:sz w:val="24"/>
          <w:szCs w:val="24"/>
        </w:rPr>
        <w:t>Korgaonkar</w:t>
      </w:r>
      <w:proofErr w:type="spellEnd"/>
      <w:r w:rsidRPr="00734222">
        <w:rPr>
          <w:rFonts w:ascii="Arial" w:hAnsi="Arial" w:cs="Arial"/>
          <w:sz w:val="24"/>
          <w:szCs w:val="24"/>
        </w:rPr>
        <w:t xml:space="preserve"> and Bellenger (1980), and Shannon and </w:t>
      </w:r>
      <w:proofErr w:type="spellStart"/>
      <w:r w:rsidRPr="00734222">
        <w:rPr>
          <w:rFonts w:ascii="Arial" w:hAnsi="Arial" w:cs="Arial"/>
          <w:sz w:val="24"/>
          <w:szCs w:val="24"/>
        </w:rPr>
        <w:t>Mandhachitara</w:t>
      </w:r>
      <w:proofErr w:type="spellEnd"/>
      <w:r w:rsidRPr="00734222">
        <w:rPr>
          <w:rFonts w:ascii="Arial" w:hAnsi="Arial" w:cs="Arial"/>
          <w:sz w:val="24"/>
          <w:szCs w:val="24"/>
        </w:rPr>
        <w:t xml:space="preserve"> (2008) found that consumers who enjoy shopping spend more money overall because they spend more time per visit, are less likely to stick to a strict budget, and are more likely to be creative and actively seek out new information.</w:t>
      </w:r>
    </w:p>
    <w:p w14:paraId="14CE98BE" w14:textId="77777777" w:rsidR="00734222" w:rsidRPr="00734222" w:rsidRDefault="00734222" w:rsidP="00734222">
      <w:pPr>
        <w:pStyle w:val="BodyText"/>
        <w:tabs>
          <w:tab w:val="left" w:pos="180"/>
        </w:tabs>
        <w:kinsoku w:val="0"/>
        <w:overflowPunct w:val="0"/>
        <w:snapToGrid w:val="0"/>
        <w:spacing w:line="360" w:lineRule="auto"/>
        <w:ind w:left="720" w:right="38"/>
        <w:jc w:val="both"/>
        <w:rPr>
          <w:rFonts w:ascii="Arial" w:hAnsi="Arial" w:cs="Arial"/>
          <w:sz w:val="24"/>
          <w:szCs w:val="24"/>
        </w:rPr>
      </w:pPr>
    </w:p>
    <w:p w14:paraId="54C67056" w14:textId="77777777" w:rsidR="00734222" w:rsidRPr="00734222" w:rsidRDefault="00734222" w:rsidP="00734222">
      <w:pPr>
        <w:pStyle w:val="BodyText"/>
        <w:tabs>
          <w:tab w:val="left" w:pos="180"/>
        </w:tabs>
        <w:kinsoku w:val="0"/>
        <w:overflowPunct w:val="0"/>
        <w:snapToGrid w:val="0"/>
        <w:spacing w:line="360" w:lineRule="auto"/>
        <w:ind w:left="720" w:right="38"/>
        <w:jc w:val="both"/>
        <w:rPr>
          <w:rFonts w:ascii="Arial" w:hAnsi="Arial" w:cs="Arial"/>
          <w:sz w:val="24"/>
          <w:szCs w:val="24"/>
        </w:rPr>
      </w:pPr>
    </w:p>
    <w:p w14:paraId="5BD07FBD" w14:textId="77777777" w:rsidR="00734222" w:rsidRPr="00734222" w:rsidRDefault="00734222" w:rsidP="00734222">
      <w:pPr>
        <w:pStyle w:val="BodyText"/>
        <w:tabs>
          <w:tab w:val="left" w:pos="180"/>
        </w:tabs>
        <w:kinsoku w:val="0"/>
        <w:overflowPunct w:val="0"/>
        <w:snapToGrid w:val="0"/>
        <w:spacing w:line="360" w:lineRule="auto"/>
        <w:ind w:left="720" w:right="38"/>
        <w:jc w:val="both"/>
        <w:rPr>
          <w:rFonts w:ascii="Arial" w:hAnsi="Arial" w:cs="Arial"/>
          <w:sz w:val="24"/>
          <w:szCs w:val="24"/>
        </w:rPr>
      </w:pPr>
      <w:r w:rsidRPr="00734222">
        <w:rPr>
          <w:rFonts w:ascii="Arial" w:hAnsi="Arial" w:cs="Arial"/>
          <w:sz w:val="24"/>
          <w:szCs w:val="24"/>
        </w:rPr>
        <w:lastRenderedPageBreak/>
        <w:t>3. Online Store Ease: According to (Davis, 1989), "Store Ease of Use" describes how customers feel about the perceived ease of using a store's website to make a purchase.  Store Ease of Use describes how easy it is for customers to shop online without having to put in a lot of mental or physical effort.  Therefore, the quality of service, the application's functioning, and the ease of information comprehension can impact consumers' decisions to shop online.  According to studies conducted by Sarika et al. (2016), LE et al. (2020), and NGUYEN (2020), Store Ease of Use influences the decision to purchase online.</w:t>
      </w:r>
    </w:p>
    <w:p w14:paraId="68C15019" w14:textId="77777777" w:rsidR="00734222" w:rsidRPr="00734222" w:rsidRDefault="00734222" w:rsidP="00734222">
      <w:pPr>
        <w:pStyle w:val="BodyText"/>
        <w:tabs>
          <w:tab w:val="left" w:pos="180"/>
        </w:tabs>
        <w:kinsoku w:val="0"/>
        <w:overflowPunct w:val="0"/>
        <w:snapToGrid w:val="0"/>
        <w:spacing w:line="360" w:lineRule="auto"/>
        <w:ind w:left="720" w:right="38"/>
        <w:jc w:val="both"/>
        <w:rPr>
          <w:rFonts w:ascii="Arial" w:hAnsi="Arial" w:cs="Arial"/>
          <w:sz w:val="24"/>
          <w:szCs w:val="24"/>
        </w:rPr>
      </w:pPr>
    </w:p>
    <w:p w14:paraId="5B2AB223" w14:textId="77777777" w:rsidR="00734222" w:rsidRPr="00734222" w:rsidRDefault="00734222" w:rsidP="00734222">
      <w:pPr>
        <w:pStyle w:val="BodyText"/>
        <w:tabs>
          <w:tab w:val="left" w:pos="180"/>
        </w:tabs>
        <w:kinsoku w:val="0"/>
        <w:overflowPunct w:val="0"/>
        <w:snapToGrid w:val="0"/>
        <w:spacing w:line="360" w:lineRule="auto"/>
        <w:ind w:left="720" w:right="38"/>
        <w:jc w:val="both"/>
        <w:rPr>
          <w:rFonts w:ascii="Arial" w:hAnsi="Arial" w:cs="Arial"/>
          <w:sz w:val="24"/>
          <w:szCs w:val="24"/>
        </w:rPr>
      </w:pPr>
      <w:r w:rsidRPr="00734222">
        <w:rPr>
          <w:rFonts w:ascii="Arial" w:hAnsi="Arial" w:cs="Arial"/>
          <w:sz w:val="24"/>
          <w:szCs w:val="24"/>
        </w:rPr>
        <w:t>4. Online Store Trustworthiness: If a store is trustworthy, then data is transmitted securely and privacy is protected (Doney and Cannon, 1997; Hoffman, Novak and Peralta, 1999).  Those who use the website to make purchases do so with a sense of calm assurance.  The website's security is crucial to the users' confidence in it.  People who utilize the site have trust that its administrators will not misuse their information.  Online shoppers are more likely to complete a purchase after researching the store's reliability.</w:t>
      </w:r>
    </w:p>
    <w:p w14:paraId="1000C781" w14:textId="77777777" w:rsidR="00734222" w:rsidRPr="00734222" w:rsidRDefault="00734222" w:rsidP="00734222">
      <w:pPr>
        <w:pStyle w:val="BodyText"/>
        <w:tabs>
          <w:tab w:val="left" w:pos="180"/>
        </w:tabs>
        <w:kinsoku w:val="0"/>
        <w:overflowPunct w:val="0"/>
        <w:snapToGrid w:val="0"/>
        <w:spacing w:line="360" w:lineRule="auto"/>
        <w:ind w:left="720" w:right="38"/>
        <w:jc w:val="both"/>
        <w:rPr>
          <w:rFonts w:ascii="Arial" w:hAnsi="Arial" w:cs="Arial"/>
          <w:sz w:val="24"/>
          <w:szCs w:val="24"/>
        </w:rPr>
      </w:pPr>
    </w:p>
    <w:p w14:paraId="08F24ABA" w14:textId="77777777" w:rsidR="00734222" w:rsidRPr="00734222" w:rsidRDefault="00734222" w:rsidP="00734222">
      <w:pPr>
        <w:pStyle w:val="BodyText"/>
        <w:tabs>
          <w:tab w:val="left" w:pos="180"/>
        </w:tabs>
        <w:kinsoku w:val="0"/>
        <w:overflowPunct w:val="0"/>
        <w:snapToGrid w:val="0"/>
        <w:spacing w:line="360" w:lineRule="auto"/>
        <w:ind w:left="720" w:right="38"/>
        <w:jc w:val="both"/>
        <w:rPr>
          <w:rFonts w:ascii="Arial" w:hAnsi="Arial" w:cs="Arial"/>
          <w:sz w:val="24"/>
          <w:szCs w:val="24"/>
        </w:rPr>
      </w:pPr>
      <w:r w:rsidRPr="00734222">
        <w:rPr>
          <w:rFonts w:ascii="Arial" w:hAnsi="Arial" w:cs="Arial"/>
          <w:sz w:val="24"/>
          <w:szCs w:val="24"/>
        </w:rPr>
        <w:t>5. Online Store Style: According to Ranganathan and Grandon (2002), the Online Store Style represents the way the content on the website is organized.  Attracting customers to any online store relies heavily on the website's Store Style quality.  Cho and Park (2001) found that e-commerce customer happiness is correlated with the quality of the website's Store Style.  Online store style also has a beneficial effect on purchase intentions, according to research (Ranganathan and Grandon, 2002).</w:t>
      </w:r>
    </w:p>
    <w:p w14:paraId="52297126" w14:textId="77777777" w:rsidR="00734222" w:rsidRPr="00734222" w:rsidRDefault="00734222" w:rsidP="00734222">
      <w:pPr>
        <w:pStyle w:val="BodyText"/>
        <w:tabs>
          <w:tab w:val="left" w:pos="180"/>
        </w:tabs>
        <w:kinsoku w:val="0"/>
        <w:overflowPunct w:val="0"/>
        <w:snapToGrid w:val="0"/>
        <w:spacing w:line="360" w:lineRule="auto"/>
        <w:ind w:left="720" w:right="38"/>
        <w:jc w:val="both"/>
        <w:rPr>
          <w:rFonts w:ascii="Arial" w:hAnsi="Arial" w:cs="Arial"/>
          <w:sz w:val="24"/>
          <w:szCs w:val="24"/>
        </w:rPr>
      </w:pPr>
    </w:p>
    <w:p w14:paraId="1AE6A5C2" w14:textId="77777777" w:rsidR="00734222" w:rsidRPr="00734222" w:rsidRDefault="00734222" w:rsidP="00734222">
      <w:pPr>
        <w:pStyle w:val="BodyText"/>
        <w:tabs>
          <w:tab w:val="left" w:pos="180"/>
        </w:tabs>
        <w:kinsoku w:val="0"/>
        <w:overflowPunct w:val="0"/>
        <w:snapToGrid w:val="0"/>
        <w:spacing w:line="360" w:lineRule="auto"/>
        <w:ind w:left="720" w:right="38"/>
        <w:jc w:val="both"/>
        <w:rPr>
          <w:rFonts w:ascii="Arial" w:hAnsi="Arial" w:cs="Arial"/>
          <w:sz w:val="24"/>
          <w:szCs w:val="24"/>
        </w:rPr>
      </w:pPr>
      <w:r w:rsidRPr="00734222">
        <w:rPr>
          <w:rFonts w:ascii="Arial" w:hAnsi="Arial" w:cs="Arial"/>
          <w:sz w:val="24"/>
          <w:szCs w:val="24"/>
        </w:rPr>
        <w:t>6. Online Store Familiarity: According to (Luhmann, 2000), a strong relationship between consumers and producers develops through pleasant encounters, such as product assessment, which in turn leads to store familiarity.  According to (Zhang, Ghorbani and Cohen, 2007), one's level of store familiarity is based on their own unique combination of prior experiences, education, and interactions pertaining to their own past acts.  A degree of store familiarity can modify the relationship between trust, contentment, and inclinations to repurchase (</w:t>
      </w:r>
      <w:proofErr w:type="spellStart"/>
      <w:r w:rsidRPr="00734222">
        <w:rPr>
          <w:rFonts w:ascii="Arial" w:hAnsi="Arial" w:cs="Arial"/>
          <w:sz w:val="24"/>
          <w:szCs w:val="24"/>
        </w:rPr>
        <w:t>Fandos</w:t>
      </w:r>
      <w:proofErr w:type="spellEnd"/>
      <w:r w:rsidRPr="00734222">
        <w:rPr>
          <w:rFonts w:ascii="Arial" w:hAnsi="Arial" w:cs="Arial"/>
          <w:sz w:val="24"/>
          <w:szCs w:val="24"/>
        </w:rPr>
        <w:t xml:space="preserve"> Herrera and Flavián Blanco, 2011).</w:t>
      </w:r>
    </w:p>
    <w:p w14:paraId="1D71CCFC" w14:textId="77777777" w:rsidR="00734222" w:rsidRPr="00734222" w:rsidRDefault="00734222" w:rsidP="00734222">
      <w:pPr>
        <w:pStyle w:val="BodyText"/>
        <w:tabs>
          <w:tab w:val="left" w:pos="180"/>
        </w:tabs>
        <w:kinsoku w:val="0"/>
        <w:overflowPunct w:val="0"/>
        <w:snapToGrid w:val="0"/>
        <w:spacing w:line="360" w:lineRule="auto"/>
        <w:ind w:left="720" w:right="38"/>
        <w:jc w:val="both"/>
        <w:rPr>
          <w:rFonts w:ascii="Arial" w:hAnsi="Arial" w:cs="Arial"/>
          <w:sz w:val="24"/>
          <w:szCs w:val="24"/>
        </w:rPr>
      </w:pPr>
    </w:p>
    <w:p w14:paraId="08944DCE" w14:textId="31D19A4B" w:rsidR="009A2674" w:rsidRDefault="00734222" w:rsidP="00734222">
      <w:pPr>
        <w:pStyle w:val="BodyText"/>
        <w:tabs>
          <w:tab w:val="left" w:pos="180"/>
        </w:tabs>
        <w:kinsoku w:val="0"/>
        <w:overflowPunct w:val="0"/>
        <w:snapToGrid w:val="0"/>
        <w:spacing w:line="360" w:lineRule="auto"/>
        <w:ind w:left="720" w:right="38"/>
        <w:jc w:val="both"/>
        <w:rPr>
          <w:rFonts w:ascii="Arial" w:hAnsi="Arial" w:cs="Arial"/>
          <w:sz w:val="24"/>
          <w:szCs w:val="24"/>
        </w:rPr>
      </w:pPr>
      <w:r w:rsidRPr="00734222">
        <w:rPr>
          <w:rFonts w:ascii="Arial" w:hAnsi="Arial" w:cs="Arial"/>
          <w:sz w:val="24"/>
          <w:szCs w:val="24"/>
        </w:rPr>
        <w:t>7. Online Store Settlement: When you shop at an online store, you can choose from a variety of delivery alternatives. The speed, precision, and correctness of your delivery are all part of store settlement.  The ability of an online business to meet its obligations for each transaction is demonstrated by its exceptional store settlement performance (</w:t>
      </w:r>
      <w:proofErr w:type="spellStart"/>
      <w:r w:rsidRPr="00734222">
        <w:rPr>
          <w:rFonts w:ascii="Arial" w:hAnsi="Arial" w:cs="Arial"/>
          <w:sz w:val="24"/>
          <w:szCs w:val="24"/>
        </w:rPr>
        <w:t>Culnan</w:t>
      </w:r>
      <w:proofErr w:type="spellEnd"/>
      <w:r w:rsidRPr="00734222">
        <w:rPr>
          <w:rFonts w:ascii="Arial" w:hAnsi="Arial" w:cs="Arial"/>
          <w:sz w:val="24"/>
          <w:szCs w:val="24"/>
        </w:rPr>
        <w:t xml:space="preserve"> and Armstrong, 1999).  According to Spence (1973), heuristic indicators for evaluating Store Settlement performance can be found in the public's perception of an online store, whether that perception is positive or negative.</w:t>
      </w:r>
    </w:p>
    <w:p w14:paraId="0EDF1272" w14:textId="77777777" w:rsidR="00734222" w:rsidRPr="00A31E5D" w:rsidRDefault="00734222" w:rsidP="00734222">
      <w:pPr>
        <w:pStyle w:val="BodyText"/>
        <w:tabs>
          <w:tab w:val="left" w:pos="180"/>
        </w:tabs>
        <w:kinsoku w:val="0"/>
        <w:overflowPunct w:val="0"/>
        <w:snapToGrid w:val="0"/>
        <w:spacing w:line="360" w:lineRule="auto"/>
        <w:ind w:left="720" w:right="38"/>
        <w:jc w:val="both"/>
        <w:rPr>
          <w:rFonts w:ascii="Arial" w:hAnsi="Arial" w:cs="Arial"/>
          <w:color w:val="000000"/>
          <w:sz w:val="24"/>
          <w:szCs w:val="24"/>
        </w:rPr>
      </w:pPr>
    </w:p>
    <w:p w14:paraId="103A6A85" w14:textId="77777777" w:rsidR="005E2D0F" w:rsidRPr="00A31E5D" w:rsidRDefault="005E2D0F" w:rsidP="005F7DF9">
      <w:pPr>
        <w:pStyle w:val="ListParagraph"/>
        <w:widowControl w:val="0"/>
        <w:numPr>
          <w:ilvl w:val="0"/>
          <w:numId w:val="26"/>
        </w:numPr>
        <w:tabs>
          <w:tab w:val="left" w:pos="180"/>
        </w:tabs>
        <w:kinsoku w:val="0"/>
        <w:overflowPunct w:val="0"/>
        <w:autoSpaceDE w:val="0"/>
        <w:autoSpaceDN w:val="0"/>
        <w:adjustRightInd w:val="0"/>
        <w:snapToGrid w:val="0"/>
        <w:spacing w:before="71" w:line="360" w:lineRule="auto"/>
        <w:ind w:left="0" w:firstLine="0"/>
        <w:contextualSpacing w:val="0"/>
        <w:rPr>
          <w:rFonts w:ascii="Arial" w:hAnsi="Arial" w:cs="Arial"/>
          <w:sz w:val="24"/>
          <w:szCs w:val="24"/>
        </w:rPr>
      </w:pPr>
      <w:r w:rsidRPr="00A31E5D">
        <w:rPr>
          <w:rFonts w:ascii="Arial" w:hAnsi="Arial" w:cs="Arial"/>
          <w:sz w:val="24"/>
          <w:szCs w:val="24"/>
        </w:rPr>
        <w:t>Method</w:t>
      </w:r>
    </w:p>
    <w:p w14:paraId="2C15285D" w14:textId="77777777" w:rsidR="005E2D0F" w:rsidRPr="00A31E5D" w:rsidRDefault="005E2D0F" w:rsidP="005F7DF9">
      <w:pPr>
        <w:pStyle w:val="BodyText"/>
        <w:tabs>
          <w:tab w:val="left" w:pos="180"/>
        </w:tabs>
        <w:kinsoku w:val="0"/>
        <w:overflowPunct w:val="0"/>
        <w:snapToGrid w:val="0"/>
        <w:spacing w:before="8" w:line="360" w:lineRule="auto"/>
        <w:rPr>
          <w:rFonts w:ascii="Arial" w:hAnsi="Arial" w:cs="Arial"/>
          <w:sz w:val="24"/>
          <w:szCs w:val="24"/>
        </w:rPr>
      </w:pPr>
    </w:p>
    <w:p w14:paraId="12638FCA" w14:textId="028372EB" w:rsidR="00BF059B" w:rsidRDefault="00B80E88" w:rsidP="005F7DF9">
      <w:pPr>
        <w:pStyle w:val="BodyText"/>
        <w:tabs>
          <w:tab w:val="left" w:pos="180"/>
        </w:tabs>
        <w:kinsoku w:val="0"/>
        <w:overflowPunct w:val="0"/>
        <w:snapToGrid w:val="0"/>
        <w:spacing w:line="360" w:lineRule="auto"/>
        <w:ind w:right="201"/>
        <w:jc w:val="both"/>
        <w:rPr>
          <w:rFonts w:ascii="Arial" w:hAnsi="Arial" w:cs="Arial"/>
          <w:sz w:val="24"/>
          <w:szCs w:val="24"/>
        </w:rPr>
      </w:pPr>
      <w:r w:rsidRPr="00B80E88">
        <w:rPr>
          <w:rFonts w:ascii="Arial" w:hAnsi="Arial" w:cs="Arial"/>
          <w:sz w:val="24"/>
          <w:szCs w:val="24"/>
        </w:rPr>
        <w:t xml:space="preserve">The research followed the tried-and-true procedure for making instruments that had been previously suggested by (Churchill, 1979). </w:t>
      </w:r>
      <w:r w:rsidR="00D2635B">
        <w:rPr>
          <w:rFonts w:ascii="Arial" w:hAnsi="Arial" w:cs="Arial"/>
          <w:sz w:val="24"/>
          <w:szCs w:val="24"/>
        </w:rPr>
        <w:t xml:space="preserve">He </w:t>
      </w:r>
      <w:r w:rsidR="00D2635B" w:rsidRPr="00D2635B">
        <w:rPr>
          <w:rFonts w:ascii="Arial" w:hAnsi="Arial" w:cs="Arial"/>
          <w:sz w:val="24"/>
          <w:szCs w:val="24"/>
        </w:rPr>
        <w:t xml:space="preserve">proposed a framework for developing and improving measures of marketing </w:t>
      </w:r>
      <w:r w:rsidR="00810155">
        <w:rPr>
          <w:rFonts w:ascii="Arial" w:hAnsi="Arial" w:cs="Arial"/>
          <w:sz w:val="24"/>
          <w:szCs w:val="24"/>
        </w:rPr>
        <w:t>Factors</w:t>
      </w:r>
      <w:r w:rsidR="00D2635B" w:rsidRPr="00D2635B">
        <w:rPr>
          <w:rFonts w:ascii="Arial" w:hAnsi="Arial" w:cs="Arial"/>
          <w:sz w:val="24"/>
          <w:szCs w:val="24"/>
        </w:rPr>
        <w:t xml:space="preserve">, which has been influential in marketing research. </w:t>
      </w:r>
      <w:r w:rsidR="00933F85" w:rsidRPr="00933F85">
        <w:rPr>
          <w:rFonts w:ascii="Arial" w:hAnsi="Arial" w:cs="Arial"/>
          <w:sz w:val="24"/>
          <w:szCs w:val="24"/>
        </w:rPr>
        <w:t xml:space="preserve">The significance of thorough measurement in marketing to guarantee the credibility and validity of study results was highlighted by Churchill in his writings. </w:t>
      </w:r>
      <w:r w:rsidR="00085AF4" w:rsidRPr="00085AF4">
        <w:rPr>
          <w:rFonts w:ascii="Arial" w:hAnsi="Arial" w:cs="Arial"/>
          <w:sz w:val="24"/>
          <w:szCs w:val="24"/>
        </w:rPr>
        <w:t>The methods used in this process are shown in Table-1, which was originally proposed by Churchill (1979).</w:t>
      </w:r>
    </w:p>
    <w:p w14:paraId="767749EB" w14:textId="77777777" w:rsidR="008E28D1" w:rsidRDefault="008E28D1" w:rsidP="005F7DF9">
      <w:pPr>
        <w:pStyle w:val="BodyText"/>
        <w:tabs>
          <w:tab w:val="left" w:pos="180"/>
        </w:tabs>
        <w:kinsoku w:val="0"/>
        <w:overflowPunct w:val="0"/>
        <w:snapToGrid w:val="0"/>
        <w:spacing w:line="360" w:lineRule="auto"/>
        <w:ind w:right="201"/>
        <w:jc w:val="both"/>
        <w:rPr>
          <w:rFonts w:ascii="Arial" w:hAnsi="Arial" w:cs="Arial"/>
          <w:sz w:val="24"/>
          <w:szCs w:val="24"/>
        </w:rPr>
      </w:pPr>
    </w:p>
    <w:p w14:paraId="7ABD1B16" w14:textId="346E5B0F" w:rsidR="00BF059B" w:rsidRDefault="0043603A" w:rsidP="005F7DF9">
      <w:pPr>
        <w:pStyle w:val="BodyText"/>
        <w:tabs>
          <w:tab w:val="left" w:pos="180"/>
        </w:tabs>
        <w:kinsoku w:val="0"/>
        <w:overflowPunct w:val="0"/>
        <w:snapToGrid w:val="0"/>
        <w:spacing w:line="360" w:lineRule="auto"/>
        <w:ind w:right="201"/>
        <w:jc w:val="both"/>
        <w:rPr>
          <w:rFonts w:ascii="Arial" w:hAnsi="Arial" w:cs="Arial"/>
          <w:sz w:val="24"/>
          <w:szCs w:val="24"/>
        </w:rPr>
      </w:pPr>
      <w:r w:rsidRPr="0043603A">
        <w:rPr>
          <w:rFonts w:ascii="Arial" w:hAnsi="Arial" w:cs="Arial"/>
          <w:noProof/>
          <w:sz w:val="24"/>
          <w:szCs w:val="24"/>
        </w:rPr>
        <w:drawing>
          <wp:inline distT="0" distB="0" distL="0" distR="0" wp14:anchorId="08A81842" wp14:editId="13670C41">
            <wp:extent cx="2847372" cy="1949831"/>
            <wp:effectExtent l="0" t="0" r="0" b="0"/>
            <wp:docPr id="22175798"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75798" name="Picture 1" descr="A white rectangular object with black text&#10;&#10;Description automatically generated"/>
                    <pic:cNvPicPr/>
                  </pic:nvPicPr>
                  <pic:blipFill>
                    <a:blip r:embed="rId13"/>
                    <a:stretch>
                      <a:fillRect/>
                    </a:stretch>
                  </pic:blipFill>
                  <pic:spPr>
                    <a:xfrm>
                      <a:off x="0" y="0"/>
                      <a:ext cx="2860006" cy="1958483"/>
                    </a:xfrm>
                    <a:prstGeom prst="rect">
                      <a:avLst/>
                    </a:prstGeom>
                  </pic:spPr>
                </pic:pic>
              </a:graphicData>
            </a:graphic>
          </wp:inline>
        </w:drawing>
      </w:r>
    </w:p>
    <w:p w14:paraId="42BA4C87" w14:textId="6FC9386C" w:rsidR="005E2D0F" w:rsidRPr="00A31E5D" w:rsidRDefault="00321F7A" w:rsidP="005F7DF9">
      <w:pPr>
        <w:pStyle w:val="BodyText"/>
        <w:tabs>
          <w:tab w:val="left" w:pos="180"/>
        </w:tabs>
        <w:kinsoku w:val="0"/>
        <w:overflowPunct w:val="0"/>
        <w:snapToGrid w:val="0"/>
        <w:spacing w:line="360" w:lineRule="auto"/>
        <w:ind w:right="201"/>
        <w:jc w:val="both"/>
        <w:rPr>
          <w:rFonts w:ascii="Arial" w:hAnsi="Arial" w:cs="Arial"/>
          <w:sz w:val="24"/>
          <w:szCs w:val="24"/>
        </w:rPr>
      </w:pPr>
      <w:r w:rsidRPr="00321F7A">
        <w:rPr>
          <w:rFonts w:ascii="Arial" w:hAnsi="Arial" w:cs="Arial"/>
          <w:sz w:val="24"/>
          <w:szCs w:val="24"/>
        </w:rPr>
        <w:t xml:space="preserve">As a first step, this research divided the retail image construct from (Dickson and Albaum, 1977) into seven components: the online store's usefulness, enjoyment, ease of use, trustworthiness, style, familiarity, and settlement. </w:t>
      </w:r>
      <w:r w:rsidR="00982A58">
        <w:rPr>
          <w:rFonts w:ascii="Arial" w:hAnsi="Arial" w:cs="Arial"/>
          <w:sz w:val="24"/>
          <w:szCs w:val="24"/>
        </w:rPr>
        <w:fldChar w:fldCharType="begin"/>
      </w:r>
      <w:r w:rsidR="008E6D1F">
        <w:rPr>
          <w:rFonts w:ascii="Arial" w:hAnsi="Arial" w:cs="Arial"/>
          <w:sz w:val="24"/>
          <w:szCs w:val="24"/>
        </w:rPr>
        <w:instrText xml:space="preserve"> ADDIN ZOTERO_ITEM CSL_CITATION {"citationID":"qvO4NHyR","properties":{"formattedCitation":"(Dickson and Albaum, 1977)","plainCitation":"(Dickson and Albaum, 1977)","noteIndex":0},"citationItems":[{"id":12,"uris":["http://zotero.org/users/local/cS9Yx6Zq/items/UI4C43QI"],"itemData":{"id":12,"type":"article-journal","abstract":"The authors suggest the need for more thorough testing of tailormade semantic differential instruments before they are used in specific marketing content areas. The results of this study provide evidence that it is possible to develop, as endpoints for semantic differential scales, phrases which show a high degree of reliability and aid in the reduction of concept-scale interaction.","container-title":"Journal of Marketing Research","DOI":"10.1177/002224377701400110","ISSN":"0022-2437, 1547-7193","issue":"1","journalAbbreviation":"Journal of Marketing Research","language":"en","license":"https://journals.sagepub.com/page/policies/text-and-data-mining-license","page":"87-91","source":"DOI.org (Crossref)","title":"A Method for Developing Tailormade Semantic Differentials for Specific Marketing Content Areas","volume":"14","author":[{"family":"Dickson","given":"John"},{"family":"Albaum","given":"Gerald"}],"issued":{"date-parts":[["1977",2]]}}}],"schema":"https://github.com/citation-style-language/schema/raw/master/csl-citation.json"} </w:instrText>
      </w:r>
      <w:r w:rsidR="00982A58">
        <w:rPr>
          <w:rFonts w:ascii="Arial" w:hAnsi="Arial" w:cs="Arial"/>
          <w:sz w:val="24"/>
          <w:szCs w:val="24"/>
        </w:rPr>
        <w:fldChar w:fldCharType="separate"/>
      </w:r>
      <w:r w:rsidR="00982A58" w:rsidRPr="00D767AE">
        <w:rPr>
          <w:rFonts w:ascii="Arial" w:hAnsi="Arial" w:cs="Arial"/>
          <w:sz w:val="24"/>
        </w:rPr>
        <w:t>(Dickson and Albaum, 1977)</w:t>
      </w:r>
      <w:r w:rsidR="00982A58">
        <w:rPr>
          <w:rFonts w:ascii="Arial" w:hAnsi="Arial" w:cs="Arial"/>
          <w:sz w:val="24"/>
          <w:szCs w:val="24"/>
        </w:rPr>
        <w:fldChar w:fldCharType="end"/>
      </w:r>
      <w:r w:rsidR="00982A58">
        <w:rPr>
          <w:rFonts w:ascii="Arial" w:hAnsi="Arial" w:cs="Arial" w:hint="eastAsia"/>
          <w:sz w:val="24"/>
          <w:szCs w:val="24"/>
          <w:lang w:eastAsia="zh-TW"/>
        </w:rPr>
        <w:t xml:space="preserve"> </w:t>
      </w:r>
      <w:r w:rsidR="00D854C9" w:rsidRPr="00D854C9">
        <w:rPr>
          <w:rFonts w:ascii="Arial" w:hAnsi="Arial" w:cs="Arial"/>
          <w:sz w:val="24"/>
          <w:szCs w:val="24"/>
        </w:rPr>
        <w:t xml:space="preserve">focuses on creating customized semantic differential scales for use in marketing </w:t>
      </w:r>
      <w:r w:rsidR="00D854C9" w:rsidRPr="00D854C9">
        <w:rPr>
          <w:rFonts w:ascii="Arial" w:hAnsi="Arial" w:cs="Arial"/>
          <w:sz w:val="24"/>
          <w:szCs w:val="24"/>
        </w:rPr>
        <w:lastRenderedPageBreak/>
        <w:t>research. These scales are designed to measure attitudes or perceptions by asking respondents to rate concepts on a series of bipolar adjectives</w:t>
      </w:r>
      <w:r w:rsidR="008F4610">
        <w:rPr>
          <w:rFonts w:ascii="Arial" w:hAnsi="Arial" w:cs="Arial"/>
          <w:sz w:val="24"/>
          <w:szCs w:val="24"/>
        </w:rPr>
        <w:t>.</w:t>
      </w:r>
    </w:p>
    <w:p w14:paraId="3B96AC37" w14:textId="77777777" w:rsidR="005E2D0F" w:rsidRPr="00A31E5D" w:rsidRDefault="005E2D0F" w:rsidP="005F7DF9">
      <w:pPr>
        <w:pStyle w:val="BodyText"/>
        <w:tabs>
          <w:tab w:val="left" w:pos="180"/>
        </w:tabs>
        <w:kinsoku w:val="0"/>
        <w:overflowPunct w:val="0"/>
        <w:snapToGrid w:val="0"/>
        <w:spacing w:line="360" w:lineRule="auto"/>
        <w:ind w:right="201"/>
        <w:jc w:val="both"/>
        <w:rPr>
          <w:rFonts w:ascii="Arial" w:hAnsi="Arial" w:cs="Arial"/>
          <w:sz w:val="24"/>
          <w:szCs w:val="24"/>
        </w:rPr>
      </w:pPr>
    </w:p>
    <w:p w14:paraId="68C61B69" w14:textId="1A36AC17" w:rsidR="00D707C2" w:rsidRDefault="007B0039" w:rsidP="005F7DF9">
      <w:pPr>
        <w:pStyle w:val="BodyText"/>
        <w:tabs>
          <w:tab w:val="left" w:pos="180"/>
        </w:tabs>
        <w:kinsoku w:val="0"/>
        <w:overflowPunct w:val="0"/>
        <w:snapToGrid w:val="0"/>
        <w:spacing w:line="360" w:lineRule="auto"/>
        <w:ind w:right="201"/>
        <w:jc w:val="both"/>
        <w:rPr>
          <w:rFonts w:ascii="Arial" w:hAnsi="Arial" w:cs="Arial"/>
          <w:sz w:val="24"/>
          <w:szCs w:val="24"/>
        </w:rPr>
      </w:pPr>
      <w:r w:rsidRPr="007B0039">
        <w:rPr>
          <w:rFonts w:ascii="Arial" w:hAnsi="Arial" w:cs="Arial"/>
          <w:sz w:val="24"/>
          <w:szCs w:val="24"/>
        </w:rPr>
        <w:t xml:space="preserve">Step two involved recruiting five friends with prior expertise purchasing online to serve as a focus group.  One kind of qualitative research is the focus group, which involves interviewing a chosen few people to get their opinions and experiences. </w:t>
      </w:r>
      <w:r w:rsidR="000C1940" w:rsidRPr="000C1940">
        <w:rPr>
          <w:rFonts w:ascii="Arial" w:hAnsi="Arial" w:cs="Arial"/>
          <w:sz w:val="24"/>
          <w:szCs w:val="24"/>
        </w:rPr>
        <w:t xml:space="preserve">It involves open discussions led by a moderator to explore specific topics, such as new products, services, or concepts.  </w:t>
      </w:r>
      <w:r w:rsidR="00BB56F1">
        <w:rPr>
          <w:rFonts w:ascii="Arial" w:hAnsi="Arial" w:cs="Arial"/>
          <w:sz w:val="24"/>
          <w:szCs w:val="24"/>
        </w:rPr>
        <w:t>Although r</w:t>
      </w:r>
      <w:r w:rsidR="00BB56F1" w:rsidRPr="00BB56F1">
        <w:rPr>
          <w:rFonts w:ascii="Arial" w:hAnsi="Arial" w:cs="Arial"/>
          <w:sz w:val="24"/>
          <w:szCs w:val="24"/>
        </w:rPr>
        <w:t>esults may not be statistically representative of larger populations</w:t>
      </w:r>
      <w:r w:rsidR="00BB56F1">
        <w:rPr>
          <w:rFonts w:ascii="Arial" w:hAnsi="Arial" w:cs="Arial"/>
          <w:sz w:val="24"/>
          <w:szCs w:val="24"/>
        </w:rPr>
        <w:t>, the fo</w:t>
      </w:r>
      <w:r w:rsidR="0052465A">
        <w:rPr>
          <w:rFonts w:ascii="Arial" w:hAnsi="Arial" w:cs="Arial"/>
          <w:sz w:val="24"/>
          <w:szCs w:val="24"/>
        </w:rPr>
        <w:t>cus group</w:t>
      </w:r>
      <w:r w:rsidR="00D47C76">
        <w:rPr>
          <w:rFonts w:ascii="Arial" w:hAnsi="Arial" w:cs="Arial"/>
          <w:sz w:val="24"/>
          <w:szCs w:val="24"/>
        </w:rPr>
        <w:t xml:space="preserve">, it </w:t>
      </w:r>
      <w:r w:rsidR="00D47C76" w:rsidRPr="00D47C76">
        <w:rPr>
          <w:rFonts w:ascii="Arial" w:hAnsi="Arial" w:cs="Arial"/>
          <w:sz w:val="24"/>
          <w:szCs w:val="24"/>
        </w:rPr>
        <w:t>can spark new ideas for products or marketing approaches</w:t>
      </w:r>
      <w:r w:rsidR="00B41592">
        <w:rPr>
          <w:rFonts w:ascii="Arial" w:hAnsi="Arial" w:cs="Arial"/>
          <w:sz w:val="24"/>
          <w:szCs w:val="24"/>
        </w:rPr>
        <w:t xml:space="preserve"> and r</w:t>
      </w:r>
      <w:r w:rsidR="00B41592" w:rsidRPr="00B41592">
        <w:rPr>
          <w:rFonts w:ascii="Arial" w:hAnsi="Arial" w:cs="Arial"/>
          <w:sz w:val="24"/>
          <w:szCs w:val="24"/>
        </w:rPr>
        <w:t>eveal subtleties in consumer perceptions that might be missed in structured formats</w:t>
      </w:r>
      <w:r w:rsidR="00B41592">
        <w:rPr>
          <w:rFonts w:ascii="Arial" w:hAnsi="Arial" w:cs="Arial"/>
          <w:sz w:val="24"/>
          <w:szCs w:val="24"/>
        </w:rPr>
        <w:t>.</w:t>
      </w:r>
      <w:r w:rsidR="007D4C06">
        <w:rPr>
          <w:rFonts w:ascii="Arial" w:hAnsi="Arial" w:cs="Arial"/>
          <w:sz w:val="24"/>
          <w:szCs w:val="24"/>
        </w:rPr>
        <w:t xml:space="preserve"> </w:t>
      </w:r>
      <w:r w:rsidR="00E3421F" w:rsidRPr="00E3421F">
        <w:rPr>
          <w:rFonts w:ascii="Arial" w:hAnsi="Arial" w:cs="Arial"/>
          <w:sz w:val="24"/>
          <w:szCs w:val="24"/>
        </w:rPr>
        <w:t>Two people who actually worked in e-commerce were part of the focus group.  In an online shopping context, we asked all participants to rate the goods from (Dickson and Albaum, 1977) and suggest any other elements that would influence their decision to make a purchase.  Because of this, the Pilot Test Questionnaire was developed, which consists of seven factors and thirty-two items: online store usefulness (with six items), enjoyment (with three items), ease of use (five items), trustworthiness (four items), style (five items), familiarity (four items), and settlement (five items).  The scales used to measure online purchase intentions were adapted from those of (</w:t>
      </w:r>
      <w:proofErr w:type="spellStart"/>
      <w:r w:rsidR="00E3421F" w:rsidRPr="00E3421F">
        <w:rPr>
          <w:rFonts w:ascii="Arial" w:hAnsi="Arial" w:cs="Arial"/>
          <w:sz w:val="24"/>
          <w:szCs w:val="24"/>
        </w:rPr>
        <w:t>Jarvenpaa</w:t>
      </w:r>
      <w:proofErr w:type="spellEnd"/>
      <w:r w:rsidR="00E3421F" w:rsidRPr="00E3421F">
        <w:rPr>
          <w:rFonts w:ascii="Arial" w:hAnsi="Arial" w:cs="Arial"/>
          <w:sz w:val="24"/>
          <w:szCs w:val="24"/>
        </w:rPr>
        <w:t xml:space="preserve">, </w:t>
      </w:r>
      <w:proofErr w:type="spellStart"/>
      <w:r w:rsidR="00E3421F" w:rsidRPr="00E3421F">
        <w:rPr>
          <w:rFonts w:ascii="Arial" w:hAnsi="Arial" w:cs="Arial"/>
          <w:sz w:val="24"/>
          <w:szCs w:val="24"/>
        </w:rPr>
        <w:t>Tractinsky</w:t>
      </w:r>
      <w:proofErr w:type="spellEnd"/>
      <w:r w:rsidR="00E3421F" w:rsidRPr="00E3421F">
        <w:rPr>
          <w:rFonts w:ascii="Arial" w:hAnsi="Arial" w:cs="Arial"/>
          <w:sz w:val="24"/>
          <w:szCs w:val="24"/>
        </w:rPr>
        <w:t xml:space="preserve"> and Vitale, 2000) with some adjustments made in the wake of a previous study on online purchase intentions (Van Der Heijden, Verhagen and Creemers, 2003).  At the conclusion of the Pilot Test Questionnaire, participants are asked to indicate their intentions to make an online purchase (four items total).</w:t>
      </w:r>
    </w:p>
    <w:p w14:paraId="2161925A" w14:textId="77777777" w:rsidR="00E3421F" w:rsidRPr="00A31E5D" w:rsidRDefault="00E3421F" w:rsidP="005F7DF9">
      <w:pPr>
        <w:pStyle w:val="BodyText"/>
        <w:tabs>
          <w:tab w:val="left" w:pos="180"/>
        </w:tabs>
        <w:kinsoku w:val="0"/>
        <w:overflowPunct w:val="0"/>
        <w:snapToGrid w:val="0"/>
        <w:spacing w:line="360" w:lineRule="auto"/>
        <w:ind w:right="201"/>
        <w:jc w:val="both"/>
        <w:rPr>
          <w:rFonts w:ascii="Arial" w:hAnsi="Arial" w:cs="Arial"/>
          <w:sz w:val="24"/>
          <w:szCs w:val="24"/>
        </w:rPr>
      </w:pPr>
    </w:p>
    <w:p w14:paraId="0E6AA0D3" w14:textId="77777777" w:rsidR="0089540F" w:rsidRPr="0089540F" w:rsidRDefault="0089540F" w:rsidP="0089540F">
      <w:pPr>
        <w:pStyle w:val="BodyText"/>
        <w:tabs>
          <w:tab w:val="left" w:pos="180"/>
        </w:tabs>
        <w:kinsoku w:val="0"/>
        <w:overflowPunct w:val="0"/>
        <w:snapToGrid w:val="0"/>
        <w:spacing w:line="360" w:lineRule="auto"/>
        <w:ind w:right="201"/>
        <w:jc w:val="both"/>
        <w:rPr>
          <w:rFonts w:ascii="Arial" w:hAnsi="Arial" w:cs="Arial"/>
          <w:sz w:val="24"/>
          <w:szCs w:val="24"/>
        </w:rPr>
      </w:pPr>
      <w:r w:rsidRPr="0089540F">
        <w:rPr>
          <w:rFonts w:ascii="Arial" w:hAnsi="Arial" w:cs="Arial"/>
          <w:sz w:val="24"/>
          <w:szCs w:val="24"/>
        </w:rPr>
        <w:t xml:space="preserve">Step Three: A pilot test of the instrument was carried out by this study with 10 respondents chosen by convenience sampling.  The Pilot Test Questionnaire and an overview of the </w:t>
      </w:r>
      <w:proofErr w:type="spellStart"/>
      <w:r w:rsidRPr="0089540F">
        <w:rPr>
          <w:rFonts w:ascii="Arial" w:hAnsi="Arial" w:cs="Arial"/>
          <w:sz w:val="24"/>
          <w:szCs w:val="24"/>
        </w:rPr>
        <w:t>HKTVmall</w:t>
      </w:r>
      <w:proofErr w:type="spellEnd"/>
      <w:r w:rsidRPr="0089540F">
        <w:rPr>
          <w:rFonts w:ascii="Arial" w:hAnsi="Arial" w:cs="Arial"/>
          <w:sz w:val="24"/>
          <w:szCs w:val="24"/>
        </w:rPr>
        <w:t xml:space="preserve"> (1137.hk) online store were distributed to the participants.</w:t>
      </w:r>
    </w:p>
    <w:p w14:paraId="2BA87008" w14:textId="77777777" w:rsidR="0089540F" w:rsidRPr="0089540F" w:rsidRDefault="0089540F" w:rsidP="0089540F">
      <w:pPr>
        <w:pStyle w:val="BodyText"/>
        <w:tabs>
          <w:tab w:val="left" w:pos="180"/>
        </w:tabs>
        <w:kinsoku w:val="0"/>
        <w:overflowPunct w:val="0"/>
        <w:snapToGrid w:val="0"/>
        <w:spacing w:line="360" w:lineRule="auto"/>
        <w:ind w:right="201"/>
        <w:jc w:val="both"/>
        <w:rPr>
          <w:rFonts w:ascii="Arial" w:hAnsi="Arial" w:cs="Arial"/>
          <w:sz w:val="24"/>
          <w:szCs w:val="24"/>
        </w:rPr>
      </w:pPr>
    </w:p>
    <w:p w14:paraId="7CC15C3A" w14:textId="39213650" w:rsidR="0008460D" w:rsidRDefault="0089540F" w:rsidP="005F7DF9">
      <w:pPr>
        <w:pStyle w:val="BodyText"/>
        <w:tabs>
          <w:tab w:val="left" w:pos="180"/>
        </w:tabs>
        <w:kinsoku w:val="0"/>
        <w:overflowPunct w:val="0"/>
        <w:snapToGrid w:val="0"/>
        <w:spacing w:line="360" w:lineRule="auto"/>
        <w:ind w:right="201"/>
        <w:jc w:val="both"/>
        <w:rPr>
          <w:rFonts w:ascii="Arial" w:eastAsia="宋体" w:hAnsi="Arial" w:cs="Arial"/>
          <w:sz w:val="24"/>
          <w:szCs w:val="24"/>
          <w:lang w:eastAsia="zh-CN"/>
        </w:rPr>
      </w:pPr>
      <w:r w:rsidRPr="0089540F">
        <w:rPr>
          <w:rFonts w:ascii="Arial" w:hAnsi="Arial" w:cs="Arial"/>
          <w:sz w:val="24"/>
          <w:szCs w:val="24"/>
        </w:rPr>
        <w:t xml:space="preserve">Using data from the Pilot Test's convenience sample, this study looked at the measurement scales' reliability in Step </w:t>
      </w:r>
      <w:r>
        <w:rPr>
          <w:rFonts w:ascii="Arial" w:hAnsi="Arial" w:cs="Arial"/>
          <w:sz w:val="24"/>
          <w:szCs w:val="24"/>
        </w:rPr>
        <w:t>Four</w:t>
      </w:r>
      <w:r w:rsidRPr="0089540F">
        <w:rPr>
          <w:rFonts w:ascii="Arial" w:hAnsi="Arial" w:cs="Arial"/>
          <w:sz w:val="24"/>
          <w:szCs w:val="24"/>
        </w:rPr>
        <w:t xml:space="preserve"> to see how they may be improved.  </w:t>
      </w:r>
      <w:r w:rsidRPr="0089540F">
        <w:rPr>
          <w:rFonts w:ascii="Arial" w:hAnsi="Arial" w:cs="Arial"/>
          <w:sz w:val="24"/>
          <w:szCs w:val="24"/>
        </w:rPr>
        <w:t>Analysing</w:t>
      </w:r>
      <w:r w:rsidRPr="0089540F">
        <w:rPr>
          <w:rFonts w:ascii="Arial" w:hAnsi="Arial" w:cs="Arial"/>
          <w:sz w:val="24"/>
          <w:szCs w:val="24"/>
        </w:rPr>
        <w:t xml:space="preserve"> the total scores of each online store component against the intentions to make a purchase from the store allowed us to illustrate the predictive accuracy of the Factors.  Each measurement's Cronbach's Alpha was computed in this study.  Reliability was improved by eliminating six items with alpha coefficients below 0.70 </w:t>
      </w:r>
      <w:r w:rsidRPr="0089540F">
        <w:rPr>
          <w:rFonts w:ascii="Arial" w:hAnsi="Arial" w:cs="Arial"/>
          <w:sz w:val="24"/>
          <w:szCs w:val="24"/>
        </w:rPr>
        <w:lastRenderedPageBreak/>
        <w:t>(George and Mallery, 2003).  The revised items from the Pilot Test Questionnaire are displayed in Table 2.</w:t>
      </w:r>
    </w:p>
    <w:p w14:paraId="7FD13CA5" w14:textId="72F71F8C" w:rsidR="0008460D" w:rsidRPr="0008460D" w:rsidRDefault="0008460D" w:rsidP="005F7DF9">
      <w:pPr>
        <w:pStyle w:val="BodyText"/>
        <w:tabs>
          <w:tab w:val="left" w:pos="180"/>
        </w:tabs>
        <w:kinsoku w:val="0"/>
        <w:overflowPunct w:val="0"/>
        <w:snapToGrid w:val="0"/>
        <w:spacing w:line="360" w:lineRule="auto"/>
        <w:ind w:right="201"/>
        <w:jc w:val="both"/>
        <w:rPr>
          <w:rFonts w:ascii="Arial" w:hAnsi="Arial" w:cs="Arial"/>
          <w:sz w:val="24"/>
          <w:szCs w:val="24"/>
          <w:lang w:eastAsia="zh-TW"/>
        </w:rPr>
      </w:pPr>
    </w:p>
    <w:p w14:paraId="21004E7D" w14:textId="6A2D7C1E" w:rsidR="0043603A" w:rsidRPr="0008460D" w:rsidRDefault="0008460D" w:rsidP="005F7DF9">
      <w:pPr>
        <w:pStyle w:val="BodyText"/>
        <w:tabs>
          <w:tab w:val="left" w:pos="180"/>
        </w:tabs>
        <w:kinsoku w:val="0"/>
        <w:overflowPunct w:val="0"/>
        <w:snapToGrid w:val="0"/>
        <w:spacing w:line="360" w:lineRule="auto"/>
        <w:ind w:right="201"/>
        <w:jc w:val="both"/>
        <w:rPr>
          <w:rFonts w:ascii="Arial" w:hAnsi="Arial" w:cs="Arial"/>
          <w:sz w:val="24"/>
          <w:szCs w:val="24"/>
          <w:lang w:eastAsia="zh-TW"/>
        </w:rPr>
      </w:pPr>
      <w:r>
        <w:rPr>
          <w:rFonts w:ascii="Arial" w:hAnsi="Arial" w:cs="Arial" w:hint="eastAsia"/>
          <w:sz w:val="24"/>
          <w:szCs w:val="24"/>
          <w:lang w:eastAsia="zh-TW"/>
        </w:rPr>
        <w:t>Table-2 Items Revisions from Pilot Test</w:t>
      </w:r>
    </w:p>
    <w:tbl>
      <w:tblPr>
        <w:tblW w:w="9955" w:type="dxa"/>
        <w:tblLook w:val="04A0" w:firstRow="1" w:lastRow="0" w:firstColumn="1" w:lastColumn="0" w:noHBand="0" w:noVBand="1"/>
      </w:tblPr>
      <w:tblGrid>
        <w:gridCol w:w="1204"/>
        <w:gridCol w:w="1851"/>
        <w:gridCol w:w="3600"/>
        <w:gridCol w:w="1480"/>
        <w:gridCol w:w="1820"/>
      </w:tblGrid>
      <w:tr w:rsidR="005C63F1" w14:paraId="3EB29A08" w14:textId="77777777" w:rsidTr="005C63F1">
        <w:trPr>
          <w:trHeight w:val="310"/>
        </w:trPr>
        <w:tc>
          <w:tcPr>
            <w:tcW w:w="12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31F73B" w14:textId="77777777" w:rsidR="005C63F1" w:rsidRDefault="005C63F1">
            <w:pPr>
              <w:jc w:val="center"/>
              <w:rPr>
                <w:rFonts w:ascii="Arial" w:hAnsi="Arial" w:cs="Arial"/>
                <w:b/>
                <w:bCs/>
                <w:color w:val="000000"/>
              </w:rPr>
            </w:pPr>
            <w:r>
              <w:rPr>
                <w:rFonts w:ascii="Arial" w:hAnsi="Arial" w:cs="Arial"/>
                <w:b/>
                <w:bCs/>
                <w:color w:val="000000"/>
              </w:rPr>
              <w:t>Example</w:t>
            </w:r>
          </w:p>
        </w:tc>
        <w:tc>
          <w:tcPr>
            <w:tcW w:w="1851" w:type="dxa"/>
            <w:tcBorders>
              <w:top w:val="single" w:sz="4" w:space="0" w:color="auto"/>
              <w:left w:val="nil"/>
              <w:bottom w:val="single" w:sz="4" w:space="0" w:color="auto"/>
              <w:right w:val="single" w:sz="4" w:space="0" w:color="auto"/>
            </w:tcBorders>
            <w:shd w:val="clear" w:color="auto" w:fill="auto"/>
            <w:noWrap/>
            <w:vAlign w:val="bottom"/>
            <w:hideMark/>
          </w:tcPr>
          <w:p w14:paraId="54E68479" w14:textId="77777777" w:rsidR="005C63F1" w:rsidRDefault="005C63F1">
            <w:pPr>
              <w:jc w:val="center"/>
              <w:rPr>
                <w:rFonts w:ascii="Arial" w:hAnsi="Arial" w:cs="Arial"/>
                <w:b/>
                <w:bCs/>
                <w:color w:val="000000"/>
              </w:rPr>
            </w:pPr>
            <w:r>
              <w:rPr>
                <w:rFonts w:ascii="Arial" w:hAnsi="Arial" w:cs="Arial"/>
                <w:b/>
                <w:bCs/>
                <w:color w:val="000000"/>
              </w:rPr>
              <w:t>Construct</w:t>
            </w:r>
          </w:p>
        </w:tc>
        <w:tc>
          <w:tcPr>
            <w:tcW w:w="3600" w:type="dxa"/>
            <w:tcBorders>
              <w:top w:val="single" w:sz="4" w:space="0" w:color="auto"/>
              <w:left w:val="nil"/>
              <w:bottom w:val="single" w:sz="4" w:space="0" w:color="auto"/>
              <w:right w:val="single" w:sz="4" w:space="0" w:color="auto"/>
            </w:tcBorders>
            <w:shd w:val="clear" w:color="auto" w:fill="auto"/>
            <w:noWrap/>
            <w:vAlign w:val="bottom"/>
            <w:hideMark/>
          </w:tcPr>
          <w:p w14:paraId="2A750155" w14:textId="77777777" w:rsidR="005C63F1" w:rsidRDefault="005C63F1">
            <w:pPr>
              <w:jc w:val="center"/>
              <w:rPr>
                <w:rFonts w:ascii="Arial" w:hAnsi="Arial" w:cs="Arial"/>
                <w:b/>
                <w:bCs/>
                <w:color w:val="000000"/>
              </w:rPr>
            </w:pPr>
            <w:r>
              <w:rPr>
                <w:rFonts w:ascii="Arial" w:hAnsi="Arial" w:cs="Arial"/>
                <w:b/>
                <w:bCs/>
                <w:color w:val="000000"/>
              </w:rPr>
              <w:t>Item</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14:paraId="65C0D884" w14:textId="77777777" w:rsidR="005C63F1" w:rsidRDefault="005C63F1">
            <w:pPr>
              <w:jc w:val="center"/>
              <w:rPr>
                <w:rFonts w:ascii="Arial" w:hAnsi="Arial" w:cs="Arial"/>
                <w:b/>
                <w:bCs/>
                <w:color w:val="000000"/>
              </w:rPr>
            </w:pPr>
            <w:r>
              <w:rPr>
                <w:rFonts w:ascii="Arial" w:hAnsi="Arial" w:cs="Arial"/>
                <w:b/>
                <w:bCs/>
                <w:color w:val="000000"/>
              </w:rPr>
              <w:t>Revision</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14:paraId="323F3A76" w14:textId="77777777" w:rsidR="005C63F1" w:rsidRDefault="005C63F1">
            <w:pPr>
              <w:jc w:val="center"/>
              <w:rPr>
                <w:rFonts w:ascii="Arial" w:hAnsi="Arial" w:cs="Arial"/>
                <w:b/>
                <w:bCs/>
                <w:color w:val="000000"/>
              </w:rPr>
            </w:pPr>
            <w:r>
              <w:rPr>
                <w:rFonts w:ascii="Arial" w:hAnsi="Arial" w:cs="Arial"/>
                <w:b/>
                <w:bCs/>
                <w:color w:val="000000"/>
              </w:rPr>
              <w:t xml:space="preserve">Reason </w:t>
            </w:r>
          </w:p>
        </w:tc>
      </w:tr>
      <w:tr w:rsidR="005C63F1" w14:paraId="34BACAB3" w14:textId="77777777" w:rsidTr="005C63F1">
        <w:trPr>
          <w:trHeight w:val="310"/>
        </w:trPr>
        <w:tc>
          <w:tcPr>
            <w:tcW w:w="1204" w:type="dxa"/>
            <w:tcBorders>
              <w:top w:val="nil"/>
              <w:left w:val="single" w:sz="4" w:space="0" w:color="auto"/>
              <w:bottom w:val="single" w:sz="4" w:space="0" w:color="auto"/>
              <w:right w:val="single" w:sz="4" w:space="0" w:color="auto"/>
            </w:tcBorders>
            <w:shd w:val="clear" w:color="auto" w:fill="auto"/>
            <w:noWrap/>
            <w:vAlign w:val="bottom"/>
            <w:hideMark/>
          </w:tcPr>
          <w:p w14:paraId="64CC0496" w14:textId="77777777" w:rsidR="005C63F1" w:rsidRDefault="005C63F1">
            <w:pPr>
              <w:jc w:val="center"/>
              <w:rPr>
                <w:rFonts w:ascii="Arial" w:hAnsi="Arial" w:cs="Arial"/>
                <w:color w:val="000000"/>
              </w:rPr>
            </w:pPr>
            <w:r>
              <w:rPr>
                <w:rFonts w:ascii="Arial" w:hAnsi="Arial" w:cs="Arial"/>
                <w:color w:val="000000"/>
              </w:rPr>
              <w:t>1</w:t>
            </w:r>
          </w:p>
        </w:tc>
        <w:tc>
          <w:tcPr>
            <w:tcW w:w="1851" w:type="dxa"/>
            <w:tcBorders>
              <w:top w:val="nil"/>
              <w:left w:val="nil"/>
              <w:bottom w:val="single" w:sz="4" w:space="0" w:color="auto"/>
              <w:right w:val="single" w:sz="4" w:space="0" w:color="auto"/>
            </w:tcBorders>
            <w:shd w:val="clear" w:color="auto" w:fill="auto"/>
            <w:noWrap/>
            <w:vAlign w:val="bottom"/>
            <w:hideMark/>
          </w:tcPr>
          <w:p w14:paraId="01D8ECFA" w14:textId="77777777" w:rsidR="005C63F1" w:rsidRDefault="005C63F1">
            <w:pPr>
              <w:rPr>
                <w:rFonts w:ascii="Arial" w:hAnsi="Arial" w:cs="Arial"/>
                <w:color w:val="000000"/>
              </w:rPr>
            </w:pPr>
            <w:r>
              <w:rPr>
                <w:rFonts w:ascii="Arial" w:hAnsi="Arial" w:cs="Arial"/>
                <w:color w:val="000000"/>
              </w:rPr>
              <w:t>Store Usefulness</w:t>
            </w:r>
          </w:p>
        </w:tc>
        <w:tc>
          <w:tcPr>
            <w:tcW w:w="3600" w:type="dxa"/>
            <w:tcBorders>
              <w:top w:val="nil"/>
              <w:left w:val="nil"/>
              <w:bottom w:val="single" w:sz="4" w:space="0" w:color="auto"/>
              <w:right w:val="single" w:sz="4" w:space="0" w:color="auto"/>
            </w:tcBorders>
            <w:shd w:val="clear" w:color="auto" w:fill="auto"/>
            <w:vAlign w:val="bottom"/>
            <w:hideMark/>
          </w:tcPr>
          <w:p w14:paraId="7A07D74F" w14:textId="77777777" w:rsidR="005C63F1" w:rsidRDefault="005C63F1">
            <w:pPr>
              <w:rPr>
                <w:rFonts w:ascii="Arial" w:hAnsi="Arial" w:cs="Arial"/>
                <w:color w:val="000000"/>
              </w:rPr>
            </w:pPr>
            <w:r>
              <w:rPr>
                <w:rFonts w:ascii="Arial" w:hAnsi="Arial" w:cs="Arial"/>
                <w:color w:val="000000"/>
              </w:rPr>
              <w:t>"High price - Low price"</w:t>
            </w:r>
          </w:p>
        </w:tc>
        <w:tc>
          <w:tcPr>
            <w:tcW w:w="1480" w:type="dxa"/>
            <w:tcBorders>
              <w:top w:val="nil"/>
              <w:left w:val="nil"/>
              <w:bottom w:val="single" w:sz="4" w:space="0" w:color="auto"/>
              <w:right w:val="single" w:sz="4" w:space="0" w:color="auto"/>
            </w:tcBorders>
            <w:shd w:val="clear" w:color="auto" w:fill="auto"/>
            <w:noWrap/>
            <w:vAlign w:val="bottom"/>
            <w:hideMark/>
          </w:tcPr>
          <w:p w14:paraId="19DBDD27" w14:textId="77777777" w:rsidR="005C63F1" w:rsidRDefault="005C63F1">
            <w:pPr>
              <w:rPr>
                <w:rFonts w:ascii="Arial" w:hAnsi="Arial" w:cs="Arial"/>
                <w:color w:val="000000"/>
              </w:rPr>
            </w:pPr>
            <w:r>
              <w:rPr>
                <w:rFonts w:ascii="Arial" w:hAnsi="Arial" w:cs="Arial"/>
                <w:color w:val="000000"/>
              </w:rPr>
              <w:t>Deleted Item</w:t>
            </w:r>
          </w:p>
        </w:tc>
        <w:tc>
          <w:tcPr>
            <w:tcW w:w="1820" w:type="dxa"/>
            <w:tcBorders>
              <w:top w:val="nil"/>
              <w:left w:val="nil"/>
              <w:bottom w:val="single" w:sz="4" w:space="0" w:color="auto"/>
              <w:right w:val="single" w:sz="4" w:space="0" w:color="auto"/>
            </w:tcBorders>
            <w:shd w:val="clear" w:color="auto" w:fill="auto"/>
            <w:noWrap/>
            <w:vAlign w:val="bottom"/>
            <w:hideMark/>
          </w:tcPr>
          <w:p w14:paraId="22BFD77E" w14:textId="77777777" w:rsidR="005C63F1" w:rsidRDefault="005C63F1">
            <w:pPr>
              <w:rPr>
                <w:rFonts w:ascii="Arial" w:hAnsi="Arial" w:cs="Arial"/>
                <w:color w:val="000000"/>
              </w:rPr>
            </w:pPr>
            <w:r>
              <w:rPr>
                <w:rFonts w:ascii="Arial" w:hAnsi="Arial" w:cs="Arial"/>
                <w:color w:val="000000"/>
              </w:rPr>
              <w:t>Cronbach’s Alpha &lt; 0.7</w:t>
            </w:r>
          </w:p>
        </w:tc>
      </w:tr>
      <w:tr w:rsidR="005C63F1" w14:paraId="50B7D56C" w14:textId="77777777" w:rsidTr="005C63F1">
        <w:trPr>
          <w:trHeight w:val="620"/>
        </w:trPr>
        <w:tc>
          <w:tcPr>
            <w:tcW w:w="1204" w:type="dxa"/>
            <w:tcBorders>
              <w:top w:val="nil"/>
              <w:left w:val="single" w:sz="4" w:space="0" w:color="auto"/>
              <w:bottom w:val="single" w:sz="4" w:space="0" w:color="auto"/>
              <w:right w:val="single" w:sz="4" w:space="0" w:color="auto"/>
            </w:tcBorders>
            <w:shd w:val="clear" w:color="auto" w:fill="auto"/>
            <w:noWrap/>
            <w:vAlign w:val="bottom"/>
            <w:hideMark/>
          </w:tcPr>
          <w:p w14:paraId="7CFF0B44" w14:textId="77777777" w:rsidR="005C63F1" w:rsidRDefault="005C63F1">
            <w:pPr>
              <w:jc w:val="center"/>
              <w:rPr>
                <w:rFonts w:ascii="Arial" w:hAnsi="Arial" w:cs="Arial"/>
                <w:color w:val="000000"/>
              </w:rPr>
            </w:pPr>
            <w:r>
              <w:rPr>
                <w:rFonts w:ascii="Arial" w:hAnsi="Arial" w:cs="Arial"/>
                <w:color w:val="000000"/>
              </w:rPr>
              <w:t>2</w:t>
            </w:r>
          </w:p>
        </w:tc>
        <w:tc>
          <w:tcPr>
            <w:tcW w:w="1851" w:type="dxa"/>
            <w:tcBorders>
              <w:top w:val="nil"/>
              <w:left w:val="nil"/>
              <w:bottom w:val="single" w:sz="4" w:space="0" w:color="auto"/>
              <w:right w:val="single" w:sz="4" w:space="0" w:color="auto"/>
            </w:tcBorders>
            <w:shd w:val="clear" w:color="auto" w:fill="auto"/>
            <w:noWrap/>
            <w:vAlign w:val="bottom"/>
            <w:hideMark/>
          </w:tcPr>
          <w:p w14:paraId="5F603287" w14:textId="77777777" w:rsidR="005C63F1" w:rsidRDefault="005C63F1">
            <w:pPr>
              <w:rPr>
                <w:rFonts w:ascii="Arial" w:hAnsi="Arial" w:cs="Arial"/>
                <w:color w:val="000000"/>
              </w:rPr>
            </w:pPr>
            <w:r>
              <w:rPr>
                <w:rFonts w:ascii="Arial" w:hAnsi="Arial" w:cs="Arial"/>
                <w:color w:val="000000"/>
              </w:rPr>
              <w:t>Store Usefulness</w:t>
            </w:r>
          </w:p>
        </w:tc>
        <w:tc>
          <w:tcPr>
            <w:tcW w:w="3600" w:type="dxa"/>
            <w:tcBorders>
              <w:top w:val="nil"/>
              <w:left w:val="nil"/>
              <w:bottom w:val="single" w:sz="4" w:space="0" w:color="auto"/>
              <w:right w:val="single" w:sz="4" w:space="0" w:color="auto"/>
            </w:tcBorders>
            <w:shd w:val="clear" w:color="auto" w:fill="auto"/>
            <w:vAlign w:val="bottom"/>
            <w:hideMark/>
          </w:tcPr>
          <w:p w14:paraId="087F4495" w14:textId="77777777" w:rsidR="005C63F1" w:rsidRDefault="005C63F1">
            <w:pPr>
              <w:rPr>
                <w:rFonts w:ascii="Arial" w:hAnsi="Arial" w:cs="Arial"/>
                <w:color w:val="000000"/>
              </w:rPr>
            </w:pPr>
            <w:r>
              <w:rPr>
                <w:rFonts w:ascii="Arial" w:hAnsi="Arial" w:cs="Arial"/>
                <w:color w:val="000000"/>
              </w:rPr>
              <w:t>"Little choice - A lot of choice"</w:t>
            </w:r>
          </w:p>
        </w:tc>
        <w:tc>
          <w:tcPr>
            <w:tcW w:w="1480" w:type="dxa"/>
            <w:tcBorders>
              <w:top w:val="nil"/>
              <w:left w:val="nil"/>
              <w:bottom w:val="single" w:sz="4" w:space="0" w:color="auto"/>
              <w:right w:val="single" w:sz="4" w:space="0" w:color="auto"/>
            </w:tcBorders>
            <w:shd w:val="clear" w:color="auto" w:fill="auto"/>
            <w:noWrap/>
            <w:vAlign w:val="bottom"/>
            <w:hideMark/>
          </w:tcPr>
          <w:p w14:paraId="1576ABF3" w14:textId="77777777" w:rsidR="005C63F1" w:rsidRDefault="005C63F1">
            <w:pPr>
              <w:rPr>
                <w:rFonts w:ascii="Arial" w:hAnsi="Arial" w:cs="Arial"/>
                <w:color w:val="000000"/>
              </w:rPr>
            </w:pPr>
            <w:r>
              <w:rPr>
                <w:rFonts w:ascii="Arial" w:hAnsi="Arial" w:cs="Arial"/>
                <w:color w:val="000000"/>
              </w:rPr>
              <w:t>Deleted Item</w:t>
            </w:r>
          </w:p>
        </w:tc>
        <w:tc>
          <w:tcPr>
            <w:tcW w:w="1820" w:type="dxa"/>
            <w:tcBorders>
              <w:top w:val="nil"/>
              <w:left w:val="nil"/>
              <w:bottom w:val="single" w:sz="4" w:space="0" w:color="auto"/>
              <w:right w:val="single" w:sz="4" w:space="0" w:color="auto"/>
            </w:tcBorders>
            <w:shd w:val="clear" w:color="auto" w:fill="auto"/>
            <w:noWrap/>
            <w:vAlign w:val="bottom"/>
            <w:hideMark/>
          </w:tcPr>
          <w:p w14:paraId="04AF3603" w14:textId="77777777" w:rsidR="005C63F1" w:rsidRDefault="005C63F1">
            <w:pPr>
              <w:rPr>
                <w:rFonts w:ascii="Arial" w:hAnsi="Arial" w:cs="Arial"/>
                <w:color w:val="000000"/>
              </w:rPr>
            </w:pPr>
            <w:r>
              <w:rPr>
                <w:rFonts w:ascii="Arial" w:hAnsi="Arial" w:cs="Arial"/>
                <w:color w:val="000000"/>
              </w:rPr>
              <w:t>Cronbach’s Alpha &lt; 0.7</w:t>
            </w:r>
          </w:p>
        </w:tc>
      </w:tr>
      <w:tr w:rsidR="005C63F1" w14:paraId="360CED29" w14:textId="77777777" w:rsidTr="005C63F1">
        <w:trPr>
          <w:trHeight w:val="620"/>
        </w:trPr>
        <w:tc>
          <w:tcPr>
            <w:tcW w:w="1204" w:type="dxa"/>
            <w:tcBorders>
              <w:top w:val="nil"/>
              <w:left w:val="single" w:sz="4" w:space="0" w:color="auto"/>
              <w:bottom w:val="single" w:sz="4" w:space="0" w:color="auto"/>
              <w:right w:val="single" w:sz="4" w:space="0" w:color="auto"/>
            </w:tcBorders>
            <w:shd w:val="clear" w:color="auto" w:fill="auto"/>
            <w:noWrap/>
            <w:vAlign w:val="bottom"/>
            <w:hideMark/>
          </w:tcPr>
          <w:p w14:paraId="37838340" w14:textId="77777777" w:rsidR="005C63F1" w:rsidRDefault="005C63F1">
            <w:pPr>
              <w:jc w:val="center"/>
              <w:rPr>
                <w:rFonts w:ascii="Arial" w:hAnsi="Arial" w:cs="Arial"/>
                <w:color w:val="000000"/>
              </w:rPr>
            </w:pPr>
            <w:r>
              <w:rPr>
                <w:rFonts w:ascii="Arial" w:hAnsi="Arial" w:cs="Arial"/>
                <w:color w:val="000000"/>
              </w:rPr>
              <w:t>3</w:t>
            </w:r>
          </w:p>
        </w:tc>
        <w:tc>
          <w:tcPr>
            <w:tcW w:w="1851" w:type="dxa"/>
            <w:tcBorders>
              <w:top w:val="nil"/>
              <w:left w:val="nil"/>
              <w:bottom w:val="single" w:sz="4" w:space="0" w:color="auto"/>
              <w:right w:val="single" w:sz="4" w:space="0" w:color="auto"/>
            </w:tcBorders>
            <w:shd w:val="clear" w:color="auto" w:fill="auto"/>
            <w:noWrap/>
            <w:vAlign w:val="bottom"/>
            <w:hideMark/>
          </w:tcPr>
          <w:p w14:paraId="4B4F011F" w14:textId="77777777" w:rsidR="005C63F1" w:rsidRDefault="005C63F1">
            <w:pPr>
              <w:rPr>
                <w:rFonts w:ascii="Arial" w:hAnsi="Arial" w:cs="Arial"/>
                <w:color w:val="000000"/>
              </w:rPr>
            </w:pPr>
            <w:r>
              <w:rPr>
                <w:rFonts w:ascii="Arial" w:hAnsi="Arial" w:cs="Arial"/>
                <w:color w:val="000000"/>
              </w:rPr>
              <w:t>Store Ease of use</w:t>
            </w:r>
          </w:p>
        </w:tc>
        <w:tc>
          <w:tcPr>
            <w:tcW w:w="3600" w:type="dxa"/>
            <w:tcBorders>
              <w:top w:val="nil"/>
              <w:left w:val="nil"/>
              <w:bottom w:val="single" w:sz="4" w:space="0" w:color="auto"/>
              <w:right w:val="single" w:sz="4" w:space="0" w:color="auto"/>
            </w:tcBorders>
            <w:shd w:val="clear" w:color="auto" w:fill="auto"/>
            <w:vAlign w:val="bottom"/>
            <w:hideMark/>
          </w:tcPr>
          <w:p w14:paraId="30EAD80E" w14:textId="77777777" w:rsidR="005C63F1" w:rsidRDefault="005C63F1">
            <w:pPr>
              <w:rPr>
                <w:rFonts w:ascii="Arial" w:hAnsi="Arial" w:cs="Arial"/>
                <w:color w:val="000000"/>
              </w:rPr>
            </w:pPr>
            <w:r>
              <w:rPr>
                <w:rFonts w:ascii="Arial" w:hAnsi="Arial" w:cs="Arial"/>
                <w:color w:val="000000"/>
              </w:rPr>
              <w:t>"Hard to navigate the site - easy to navigate the site"</w:t>
            </w:r>
          </w:p>
        </w:tc>
        <w:tc>
          <w:tcPr>
            <w:tcW w:w="1480" w:type="dxa"/>
            <w:tcBorders>
              <w:top w:val="nil"/>
              <w:left w:val="nil"/>
              <w:bottom w:val="single" w:sz="4" w:space="0" w:color="auto"/>
              <w:right w:val="single" w:sz="4" w:space="0" w:color="auto"/>
            </w:tcBorders>
            <w:shd w:val="clear" w:color="auto" w:fill="auto"/>
            <w:noWrap/>
            <w:vAlign w:val="bottom"/>
            <w:hideMark/>
          </w:tcPr>
          <w:p w14:paraId="3C6F6A1A" w14:textId="77777777" w:rsidR="005C63F1" w:rsidRDefault="005C63F1">
            <w:pPr>
              <w:rPr>
                <w:rFonts w:ascii="Arial" w:hAnsi="Arial" w:cs="Arial"/>
                <w:color w:val="000000"/>
              </w:rPr>
            </w:pPr>
            <w:r>
              <w:rPr>
                <w:rFonts w:ascii="Arial" w:hAnsi="Arial" w:cs="Arial"/>
                <w:color w:val="000000"/>
              </w:rPr>
              <w:t>Deleted Item</w:t>
            </w:r>
          </w:p>
        </w:tc>
        <w:tc>
          <w:tcPr>
            <w:tcW w:w="1820" w:type="dxa"/>
            <w:tcBorders>
              <w:top w:val="nil"/>
              <w:left w:val="nil"/>
              <w:bottom w:val="single" w:sz="4" w:space="0" w:color="auto"/>
              <w:right w:val="single" w:sz="4" w:space="0" w:color="auto"/>
            </w:tcBorders>
            <w:shd w:val="clear" w:color="auto" w:fill="auto"/>
            <w:noWrap/>
            <w:vAlign w:val="bottom"/>
            <w:hideMark/>
          </w:tcPr>
          <w:p w14:paraId="19463932" w14:textId="77777777" w:rsidR="005C63F1" w:rsidRDefault="005C63F1">
            <w:pPr>
              <w:rPr>
                <w:rFonts w:ascii="Arial" w:hAnsi="Arial" w:cs="Arial"/>
                <w:color w:val="000000"/>
              </w:rPr>
            </w:pPr>
            <w:r>
              <w:rPr>
                <w:rFonts w:ascii="Arial" w:hAnsi="Arial" w:cs="Arial"/>
                <w:color w:val="000000"/>
              </w:rPr>
              <w:t>Cronbach’s Alpha &lt; 0.7</w:t>
            </w:r>
          </w:p>
        </w:tc>
      </w:tr>
      <w:tr w:rsidR="005C63F1" w14:paraId="45BC1BB3" w14:textId="77777777" w:rsidTr="005C63F1">
        <w:trPr>
          <w:trHeight w:val="310"/>
        </w:trPr>
        <w:tc>
          <w:tcPr>
            <w:tcW w:w="1204" w:type="dxa"/>
            <w:tcBorders>
              <w:top w:val="nil"/>
              <w:left w:val="single" w:sz="4" w:space="0" w:color="auto"/>
              <w:bottom w:val="single" w:sz="4" w:space="0" w:color="auto"/>
              <w:right w:val="single" w:sz="4" w:space="0" w:color="auto"/>
            </w:tcBorders>
            <w:shd w:val="clear" w:color="auto" w:fill="auto"/>
            <w:noWrap/>
            <w:vAlign w:val="bottom"/>
            <w:hideMark/>
          </w:tcPr>
          <w:p w14:paraId="28F30800" w14:textId="77777777" w:rsidR="005C63F1" w:rsidRDefault="005C63F1">
            <w:pPr>
              <w:jc w:val="center"/>
              <w:rPr>
                <w:rFonts w:ascii="Arial" w:hAnsi="Arial" w:cs="Arial"/>
                <w:color w:val="000000"/>
              </w:rPr>
            </w:pPr>
            <w:r>
              <w:rPr>
                <w:rFonts w:ascii="Arial" w:hAnsi="Arial" w:cs="Arial"/>
                <w:color w:val="000000"/>
              </w:rPr>
              <w:t>4</w:t>
            </w:r>
          </w:p>
        </w:tc>
        <w:tc>
          <w:tcPr>
            <w:tcW w:w="1851" w:type="dxa"/>
            <w:tcBorders>
              <w:top w:val="nil"/>
              <w:left w:val="nil"/>
              <w:bottom w:val="single" w:sz="4" w:space="0" w:color="auto"/>
              <w:right w:val="single" w:sz="4" w:space="0" w:color="auto"/>
            </w:tcBorders>
            <w:shd w:val="clear" w:color="auto" w:fill="auto"/>
            <w:noWrap/>
            <w:vAlign w:val="bottom"/>
            <w:hideMark/>
          </w:tcPr>
          <w:p w14:paraId="0E86B421" w14:textId="77777777" w:rsidR="005C63F1" w:rsidRDefault="005C63F1">
            <w:pPr>
              <w:rPr>
                <w:rFonts w:ascii="Arial" w:hAnsi="Arial" w:cs="Arial"/>
                <w:color w:val="000000"/>
              </w:rPr>
            </w:pPr>
            <w:r>
              <w:rPr>
                <w:rFonts w:ascii="Arial" w:hAnsi="Arial" w:cs="Arial"/>
                <w:color w:val="000000"/>
              </w:rPr>
              <w:t>Store Style</w:t>
            </w:r>
          </w:p>
        </w:tc>
        <w:tc>
          <w:tcPr>
            <w:tcW w:w="3600" w:type="dxa"/>
            <w:tcBorders>
              <w:top w:val="nil"/>
              <w:left w:val="nil"/>
              <w:bottom w:val="single" w:sz="4" w:space="0" w:color="auto"/>
              <w:right w:val="single" w:sz="4" w:space="0" w:color="auto"/>
            </w:tcBorders>
            <w:shd w:val="clear" w:color="auto" w:fill="auto"/>
            <w:vAlign w:val="bottom"/>
            <w:hideMark/>
          </w:tcPr>
          <w:p w14:paraId="60B91E71" w14:textId="77777777" w:rsidR="005C63F1" w:rsidRDefault="005C63F1">
            <w:pPr>
              <w:rPr>
                <w:rFonts w:ascii="Arial" w:hAnsi="Arial" w:cs="Arial"/>
                <w:color w:val="000000"/>
              </w:rPr>
            </w:pPr>
            <w:r>
              <w:rPr>
                <w:rFonts w:ascii="Arial" w:hAnsi="Arial" w:cs="Arial"/>
                <w:color w:val="000000"/>
              </w:rPr>
              <w:t>"Calm - Pushy"</w:t>
            </w:r>
          </w:p>
        </w:tc>
        <w:tc>
          <w:tcPr>
            <w:tcW w:w="1480" w:type="dxa"/>
            <w:tcBorders>
              <w:top w:val="nil"/>
              <w:left w:val="nil"/>
              <w:bottom w:val="single" w:sz="4" w:space="0" w:color="auto"/>
              <w:right w:val="single" w:sz="4" w:space="0" w:color="auto"/>
            </w:tcBorders>
            <w:shd w:val="clear" w:color="auto" w:fill="auto"/>
            <w:noWrap/>
            <w:vAlign w:val="bottom"/>
            <w:hideMark/>
          </w:tcPr>
          <w:p w14:paraId="38D1C7B1" w14:textId="77777777" w:rsidR="005C63F1" w:rsidRDefault="005C63F1">
            <w:pPr>
              <w:rPr>
                <w:rFonts w:ascii="Arial" w:hAnsi="Arial" w:cs="Arial"/>
                <w:color w:val="000000"/>
              </w:rPr>
            </w:pPr>
            <w:r>
              <w:rPr>
                <w:rFonts w:ascii="Arial" w:hAnsi="Arial" w:cs="Arial"/>
                <w:color w:val="000000"/>
              </w:rPr>
              <w:t>Deleted Item</w:t>
            </w:r>
          </w:p>
        </w:tc>
        <w:tc>
          <w:tcPr>
            <w:tcW w:w="1820" w:type="dxa"/>
            <w:tcBorders>
              <w:top w:val="nil"/>
              <w:left w:val="nil"/>
              <w:bottom w:val="single" w:sz="4" w:space="0" w:color="auto"/>
              <w:right w:val="single" w:sz="4" w:space="0" w:color="auto"/>
            </w:tcBorders>
            <w:shd w:val="clear" w:color="auto" w:fill="auto"/>
            <w:noWrap/>
            <w:vAlign w:val="bottom"/>
            <w:hideMark/>
          </w:tcPr>
          <w:p w14:paraId="62E6A7B1" w14:textId="77777777" w:rsidR="005C63F1" w:rsidRDefault="005C63F1">
            <w:pPr>
              <w:rPr>
                <w:rFonts w:ascii="Arial" w:hAnsi="Arial" w:cs="Arial"/>
                <w:color w:val="000000"/>
              </w:rPr>
            </w:pPr>
            <w:r>
              <w:rPr>
                <w:rFonts w:ascii="Arial" w:hAnsi="Arial" w:cs="Arial"/>
                <w:color w:val="000000"/>
              </w:rPr>
              <w:t>Cronbach’s Alpha &lt; 0.7</w:t>
            </w:r>
          </w:p>
        </w:tc>
      </w:tr>
      <w:tr w:rsidR="005C63F1" w14:paraId="7EDB40E5" w14:textId="77777777" w:rsidTr="005C63F1">
        <w:trPr>
          <w:trHeight w:val="620"/>
        </w:trPr>
        <w:tc>
          <w:tcPr>
            <w:tcW w:w="1204" w:type="dxa"/>
            <w:tcBorders>
              <w:top w:val="nil"/>
              <w:left w:val="single" w:sz="4" w:space="0" w:color="auto"/>
              <w:bottom w:val="single" w:sz="4" w:space="0" w:color="auto"/>
              <w:right w:val="single" w:sz="4" w:space="0" w:color="auto"/>
            </w:tcBorders>
            <w:shd w:val="clear" w:color="auto" w:fill="auto"/>
            <w:noWrap/>
            <w:vAlign w:val="bottom"/>
            <w:hideMark/>
          </w:tcPr>
          <w:p w14:paraId="5C7F792B" w14:textId="77777777" w:rsidR="005C63F1" w:rsidRDefault="005C63F1">
            <w:pPr>
              <w:jc w:val="center"/>
              <w:rPr>
                <w:rFonts w:ascii="Arial" w:hAnsi="Arial" w:cs="Arial"/>
                <w:color w:val="000000"/>
              </w:rPr>
            </w:pPr>
            <w:r>
              <w:rPr>
                <w:rFonts w:ascii="Arial" w:hAnsi="Arial" w:cs="Arial"/>
                <w:color w:val="000000"/>
              </w:rPr>
              <w:t>5</w:t>
            </w:r>
          </w:p>
        </w:tc>
        <w:tc>
          <w:tcPr>
            <w:tcW w:w="1851" w:type="dxa"/>
            <w:tcBorders>
              <w:top w:val="nil"/>
              <w:left w:val="nil"/>
              <w:bottom w:val="single" w:sz="4" w:space="0" w:color="auto"/>
              <w:right w:val="single" w:sz="4" w:space="0" w:color="auto"/>
            </w:tcBorders>
            <w:shd w:val="clear" w:color="auto" w:fill="auto"/>
            <w:noWrap/>
            <w:vAlign w:val="bottom"/>
            <w:hideMark/>
          </w:tcPr>
          <w:p w14:paraId="215849FA" w14:textId="77777777" w:rsidR="005C63F1" w:rsidRDefault="005C63F1">
            <w:pPr>
              <w:rPr>
                <w:rFonts w:ascii="Arial" w:hAnsi="Arial" w:cs="Arial"/>
                <w:color w:val="000000"/>
              </w:rPr>
            </w:pPr>
            <w:r>
              <w:rPr>
                <w:rFonts w:ascii="Arial" w:hAnsi="Arial" w:cs="Arial"/>
                <w:color w:val="000000"/>
              </w:rPr>
              <w:t>Store Familiarity</w:t>
            </w:r>
          </w:p>
        </w:tc>
        <w:tc>
          <w:tcPr>
            <w:tcW w:w="3600" w:type="dxa"/>
            <w:tcBorders>
              <w:top w:val="nil"/>
              <w:left w:val="nil"/>
              <w:bottom w:val="single" w:sz="4" w:space="0" w:color="auto"/>
              <w:right w:val="single" w:sz="4" w:space="0" w:color="auto"/>
            </w:tcBorders>
            <w:shd w:val="clear" w:color="auto" w:fill="auto"/>
            <w:vAlign w:val="bottom"/>
            <w:hideMark/>
          </w:tcPr>
          <w:p w14:paraId="531AD01D" w14:textId="77777777" w:rsidR="005C63F1" w:rsidRDefault="005C63F1">
            <w:pPr>
              <w:rPr>
                <w:rFonts w:ascii="Arial" w:hAnsi="Arial" w:cs="Arial"/>
                <w:color w:val="000000"/>
              </w:rPr>
            </w:pPr>
            <w:r>
              <w:rPr>
                <w:rFonts w:ascii="Arial" w:hAnsi="Arial" w:cs="Arial"/>
                <w:color w:val="000000"/>
              </w:rPr>
              <w:t>"Unpopular among friends - Popular among friends"</w:t>
            </w:r>
          </w:p>
        </w:tc>
        <w:tc>
          <w:tcPr>
            <w:tcW w:w="1480" w:type="dxa"/>
            <w:tcBorders>
              <w:top w:val="nil"/>
              <w:left w:val="nil"/>
              <w:bottom w:val="single" w:sz="4" w:space="0" w:color="auto"/>
              <w:right w:val="single" w:sz="4" w:space="0" w:color="auto"/>
            </w:tcBorders>
            <w:shd w:val="clear" w:color="auto" w:fill="auto"/>
            <w:noWrap/>
            <w:vAlign w:val="bottom"/>
            <w:hideMark/>
          </w:tcPr>
          <w:p w14:paraId="46AECFA3" w14:textId="77777777" w:rsidR="005C63F1" w:rsidRDefault="005C63F1">
            <w:pPr>
              <w:rPr>
                <w:rFonts w:ascii="Arial" w:hAnsi="Arial" w:cs="Arial"/>
                <w:color w:val="000000"/>
              </w:rPr>
            </w:pPr>
            <w:r>
              <w:rPr>
                <w:rFonts w:ascii="Arial" w:hAnsi="Arial" w:cs="Arial"/>
                <w:color w:val="000000"/>
              </w:rPr>
              <w:t>Deleted Item</w:t>
            </w:r>
          </w:p>
        </w:tc>
        <w:tc>
          <w:tcPr>
            <w:tcW w:w="1820" w:type="dxa"/>
            <w:tcBorders>
              <w:top w:val="nil"/>
              <w:left w:val="nil"/>
              <w:bottom w:val="single" w:sz="4" w:space="0" w:color="auto"/>
              <w:right w:val="single" w:sz="4" w:space="0" w:color="auto"/>
            </w:tcBorders>
            <w:shd w:val="clear" w:color="auto" w:fill="auto"/>
            <w:noWrap/>
            <w:vAlign w:val="bottom"/>
            <w:hideMark/>
          </w:tcPr>
          <w:p w14:paraId="3B6077A8" w14:textId="77777777" w:rsidR="005C63F1" w:rsidRDefault="005C63F1">
            <w:pPr>
              <w:rPr>
                <w:rFonts w:ascii="Arial" w:hAnsi="Arial" w:cs="Arial"/>
                <w:color w:val="000000"/>
              </w:rPr>
            </w:pPr>
            <w:r>
              <w:rPr>
                <w:rFonts w:ascii="Arial" w:hAnsi="Arial" w:cs="Arial"/>
                <w:color w:val="000000"/>
              </w:rPr>
              <w:t>Cronbach’s Alpha &lt; 0.7</w:t>
            </w:r>
          </w:p>
        </w:tc>
      </w:tr>
      <w:tr w:rsidR="005C63F1" w14:paraId="682FBC62" w14:textId="77777777" w:rsidTr="00427035">
        <w:trPr>
          <w:trHeight w:val="719"/>
        </w:trPr>
        <w:tc>
          <w:tcPr>
            <w:tcW w:w="1204" w:type="dxa"/>
            <w:tcBorders>
              <w:top w:val="nil"/>
              <w:left w:val="single" w:sz="4" w:space="0" w:color="auto"/>
              <w:bottom w:val="single" w:sz="4" w:space="0" w:color="auto"/>
              <w:right w:val="single" w:sz="4" w:space="0" w:color="auto"/>
            </w:tcBorders>
            <w:shd w:val="clear" w:color="auto" w:fill="auto"/>
            <w:noWrap/>
            <w:vAlign w:val="bottom"/>
            <w:hideMark/>
          </w:tcPr>
          <w:p w14:paraId="3C557B5E" w14:textId="77777777" w:rsidR="005C63F1" w:rsidRDefault="005C63F1">
            <w:pPr>
              <w:jc w:val="center"/>
              <w:rPr>
                <w:rFonts w:ascii="Arial" w:hAnsi="Arial" w:cs="Arial"/>
                <w:color w:val="000000"/>
              </w:rPr>
            </w:pPr>
            <w:r>
              <w:rPr>
                <w:rFonts w:ascii="Arial" w:hAnsi="Arial" w:cs="Arial"/>
                <w:color w:val="000000"/>
              </w:rPr>
              <w:t>6</w:t>
            </w:r>
          </w:p>
        </w:tc>
        <w:tc>
          <w:tcPr>
            <w:tcW w:w="1851" w:type="dxa"/>
            <w:tcBorders>
              <w:top w:val="nil"/>
              <w:left w:val="nil"/>
              <w:bottom w:val="single" w:sz="4" w:space="0" w:color="auto"/>
              <w:right w:val="single" w:sz="4" w:space="0" w:color="auto"/>
            </w:tcBorders>
            <w:shd w:val="clear" w:color="auto" w:fill="auto"/>
            <w:noWrap/>
            <w:vAlign w:val="bottom"/>
            <w:hideMark/>
          </w:tcPr>
          <w:p w14:paraId="366A8776" w14:textId="77777777" w:rsidR="005C63F1" w:rsidRDefault="005C63F1">
            <w:pPr>
              <w:rPr>
                <w:rFonts w:ascii="Arial" w:hAnsi="Arial" w:cs="Arial"/>
                <w:color w:val="000000"/>
              </w:rPr>
            </w:pPr>
            <w:r>
              <w:rPr>
                <w:rFonts w:ascii="Arial" w:hAnsi="Arial" w:cs="Arial"/>
                <w:color w:val="000000"/>
              </w:rPr>
              <w:t>Store Settlement</w:t>
            </w:r>
          </w:p>
        </w:tc>
        <w:tc>
          <w:tcPr>
            <w:tcW w:w="3600" w:type="dxa"/>
            <w:tcBorders>
              <w:top w:val="nil"/>
              <w:left w:val="nil"/>
              <w:bottom w:val="single" w:sz="4" w:space="0" w:color="auto"/>
              <w:right w:val="single" w:sz="4" w:space="0" w:color="auto"/>
            </w:tcBorders>
            <w:shd w:val="clear" w:color="auto" w:fill="auto"/>
            <w:vAlign w:val="bottom"/>
            <w:hideMark/>
          </w:tcPr>
          <w:p w14:paraId="2FDB8A31" w14:textId="77777777" w:rsidR="005C63F1" w:rsidRDefault="005C63F1">
            <w:pPr>
              <w:rPr>
                <w:rFonts w:ascii="Arial" w:hAnsi="Arial" w:cs="Arial"/>
                <w:color w:val="000000"/>
              </w:rPr>
            </w:pPr>
            <w:r>
              <w:rPr>
                <w:rFonts w:ascii="Arial" w:hAnsi="Arial" w:cs="Arial"/>
                <w:color w:val="000000"/>
              </w:rPr>
              <w:t>"Poor purchase record format - Good purchase record format"</w:t>
            </w:r>
          </w:p>
        </w:tc>
        <w:tc>
          <w:tcPr>
            <w:tcW w:w="1480" w:type="dxa"/>
            <w:tcBorders>
              <w:top w:val="nil"/>
              <w:left w:val="nil"/>
              <w:bottom w:val="single" w:sz="4" w:space="0" w:color="auto"/>
              <w:right w:val="single" w:sz="4" w:space="0" w:color="auto"/>
            </w:tcBorders>
            <w:shd w:val="clear" w:color="auto" w:fill="auto"/>
            <w:noWrap/>
            <w:vAlign w:val="bottom"/>
            <w:hideMark/>
          </w:tcPr>
          <w:p w14:paraId="145148DA" w14:textId="77777777" w:rsidR="005C63F1" w:rsidRDefault="005C63F1">
            <w:pPr>
              <w:rPr>
                <w:rFonts w:ascii="Arial" w:hAnsi="Arial" w:cs="Arial"/>
                <w:color w:val="000000"/>
              </w:rPr>
            </w:pPr>
            <w:r>
              <w:rPr>
                <w:rFonts w:ascii="Arial" w:hAnsi="Arial" w:cs="Arial"/>
                <w:color w:val="000000"/>
              </w:rPr>
              <w:t>Deleted Item</w:t>
            </w:r>
          </w:p>
        </w:tc>
        <w:tc>
          <w:tcPr>
            <w:tcW w:w="1820" w:type="dxa"/>
            <w:tcBorders>
              <w:top w:val="nil"/>
              <w:left w:val="nil"/>
              <w:bottom w:val="single" w:sz="4" w:space="0" w:color="auto"/>
              <w:right w:val="single" w:sz="4" w:space="0" w:color="auto"/>
            </w:tcBorders>
            <w:shd w:val="clear" w:color="auto" w:fill="auto"/>
            <w:noWrap/>
            <w:vAlign w:val="bottom"/>
            <w:hideMark/>
          </w:tcPr>
          <w:p w14:paraId="0D649EE0" w14:textId="77777777" w:rsidR="005C63F1" w:rsidRDefault="005C63F1">
            <w:pPr>
              <w:rPr>
                <w:rFonts w:ascii="Arial" w:hAnsi="Arial" w:cs="Arial"/>
                <w:color w:val="000000"/>
              </w:rPr>
            </w:pPr>
            <w:r>
              <w:rPr>
                <w:rFonts w:ascii="Arial" w:hAnsi="Arial" w:cs="Arial"/>
                <w:color w:val="000000"/>
              </w:rPr>
              <w:t>Cronbach’s Alpha &lt; 0.7</w:t>
            </w:r>
          </w:p>
        </w:tc>
      </w:tr>
    </w:tbl>
    <w:p w14:paraId="78D19B51" w14:textId="77777777" w:rsidR="0043603A" w:rsidRDefault="0043603A" w:rsidP="005F7DF9">
      <w:pPr>
        <w:pStyle w:val="BodyText"/>
        <w:tabs>
          <w:tab w:val="left" w:pos="180"/>
        </w:tabs>
        <w:kinsoku w:val="0"/>
        <w:overflowPunct w:val="0"/>
        <w:snapToGrid w:val="0"/>
        <w:spacing w:line="360" w:lineRule="auto"/>
        <w:ind w:right="201"/>
        <w:jc w:val="both"/>
        <w:rPr>
          <w:rFonts w:ascii="Arial" w:eastAsia="宋体" w:hAnsi="Arial" w:cs="Arial"/>
          <w:sz w:val="24"/>
          <w:szCs w:val="24"/>
          <w:lang w:eastAsia="zh-CN"/>
        </w:rPr>
      </w:pPr>
    </w:p>
    <w:p w14:paraId="38A57FF8" w14:textId="6434B84C" w:rsidR="004443BF" w:rsidRDefault="00E16C97" w:rsidP="005F7DF9">
      <w:pPr>
        <w:pStyle w:val="BodyText"/>
        <w:tabs>
          <w:tab w:val="left" w:pos="180"/>
        </w:tabs>
        <w:kinsoku w:val="0"/>
        <w:overflowPunct w:val="0"/>
        <w:snapToGrid w:val="0"/>
        <w:spacing w:line="360" w:lineRule="auto"/>
        <w:ind w:right="201"/>
        <w:jc w:val="both"/>
        <w:rPr>
          <w:rFonts w:ascii="Arial" w:hAnsi="Arial" w:cs="Arial"/>
          <w:sz w:val="24"/>
          <w:szCs w:val="24"/>
        </w:rPr>
      </w:pPr>
      <w:r w:rsidRPr="00E16C97">
        <w:rPr>
          <w:rFonts w:ascii="Arial" w:hAnsi="Arial" w:cs="Arial"/>
          <w:sz w:val="24"/>
          <w:szCs w:val="24"/>
        </w:rPr>
        <w:t xml:space="preserve">As a result, the Final Experiment Questionnaire was developed, which comprises seven factors </w:t>
      </w:r>
      <w:proofErr w:type="spellStart"/>
      <w:r w:rsidRPr="00E16C97">
        <w:rPr>
          <w:rFonts w:ascii="Arial" w:hAnsi="Arial" w:cs="Arial"/>
          <w:sz w:val="24"/>
          <w:szCs w:val="24"/>
        </w:rPr>
        <w:t>totaling</w:t>
      </w:r>
      <w:proofErr w:type="spellEnd"/>
      <w:r w:rsidRPr="00E16C97">
        <w:rPr>
          <w:rFonts w:ascii="Arial" w:hAnsi="Arial" w:cs="Arial"/>
          <w:sz w:val="24"/>
          <w:szCs w:val="24"/>
        </w:rPr>
        <w:t xml:space="preserve"> twenty-six items: online store usefulness (four items), enjoyment (three items), ease of use (four items), trustworthiness (four items), style (four items), familiarity (three items), and settlement (four items).  The Final Experiment Questionnaire includes a 4-item scale for measuring online purchase intentions, which the target participants are asked to complete.  To find the translated instrument, please see Appendix A.</w:t>
      </w:r>
    </w:p>
    <w:p w14:paraId="3D3DCC07" w14:textId="77777777" w:rsidR="00E16C97" w:rsidRPr="00A31E5D" w:rsidRDefault="00E16C97" w:rsidP="005F7DF9">
      <w:pPr>
        <w:pStyle w:val="BodyText"/>
        <w:tabs>
          <w:tab w:val="left" w:pos="180"/>
        </w:tabs>
        <w:kinsoku w:val="0"/>
        <w:overflowPunct w:val="0"/>
        <w:snapToGrid w:val="0"/>
        <w:spacing w:line="360" w:lineRule="auto"/>
        <w:ind w:right="201"/>
        <w:jc w:val="both"/>
        <w:rPr>
          <w:rFonts w:ascii="Arial" w:eastAsia="宋体" w:hAnsi="Arial" w:cs="Arial"/>
          <w:sz w:val="24"/>
          <w:szCs w:val="24"/>
          <w:lang w:eastAsia="zh-CN"/>
        </w:rPr>
      </w:pPr>
    </w:p>
    <w:p w14:paraId="743D5CD5" w14:textId="27B04825" w:rsidR="005E2D0F" w:rsidRPr="00A31E5D" w:rsidRDefault="0007776C" w:rsidP="005F7DF9">
      <w:pPr>
        <w:pStyle w:val="BodyText"/>
        <w:tabs>
          <w:tab w:val="left" w:pos="180"/>
        </w:tabs>
        <w:kinsoku w:val="0"/>
        <w:overflowPunct w:val="0"/>
        <w:snapToGrid w:val="0"/>
        <w:spacing w:line="360" w:lineRule="auto"/>
        <w:ind w:right="201"/>
        <w:jc w:val="both"/>
        <w:rPr>
          <w:rFonts w:ascii="Arial" w:hAnsi="Arial" w:cs="Arial"/>
          <w:sz w:val="24"/>
          <w:szCs w:val="24"/>
        </w:rPr>
      </w:pPr>
      <w:r w:rsidRPr="0007776C">
        <w:rPr>
          <w:rFonts w:ascii="Arial" w:hAnsi="Arial" w:cs="Arial"/>
          <w:sz w:val="24"/>
          <w:szCs w:val="24"/>
          <w:lang w:eastAsia="zh-TW"/>
        </w:rPr>
        <w:t xml:space="preserve">Step five of this study involved conducting the Final Experiment with a group of professionals consisting of thirty chief financial officers or chief executive officers from Hong Kong enterprises that were either publicly listed or privately held. </w:t>
      </w:r>
      <w:r w:rsidR="00FA1B43">
        <w:rPr>
          <w:rFonts w:ascii="Arial" w:hAnsi="Arial" w:cs="Arial" w:hint="eastAsia"/>
          <w:sz w:val="24"/>
          <w:szCs w:val="24"/>
          <w:lang w:eastAsia="zh-TW"/>
        </w:rPr>
        <w:t xml:space="preserve">CEO and CFO are usually </w:t>
      </w:r>
      <w:r w:rsidR="00563C69">
        <w:rPr>
          <w:rFonts w:ascii="Arial" w:hAnsi="Arial" w:cs="Arial" w:hint="eastAsia"/>
          <w:sz w:val="24"/>
          <w:szCs w:val="24"/>
          <w:lang w:eastAsia="zh-TW"/>
        </w:rPr>
        <w:t xml:space="preserve">highly educated with good </w:t>
      </w:r>
      <w:r w:rsidR="00532072">
        <w:rPr>
          <w:rFonts w:ascii="Arial" w:hAnsi="Arial" w:cs="Arial"/>
          <w:sz w:val="24"/>
          <w:szCs w:val="24"/>
          <w:lang w:eastAsia="zh-TW"/>
        </w:rPr>
        <w:t>knowledge</w:t>
      </w:r>
      <w:r w:rsidR="00532072">
        <w:rPr>
          <w:rFonts w:ascii="Arial" w:hAnsi="Arial" w:cs="Arial" w:hint="eastAsia"/>
          <w:sz w:val="24"/>
          <w:szCs w:val="24"/>
          <w:lang w:eastAsia="zh-TW"/>
        </w:rPr>
        <w:t xml:space="preserve"> and </w:t>
      </w:r>
      <w:r w:rsidR="00563C69">
        <w:rPr>
          <w:rFonts w:ascii="Arial" w:hAnsi="Arial" w:cs="Arial" w:hint="eastAsia"/>
          <w:sz w:val="24"/>
          <w:szCs w:val="24"/>
          <w:lang w:eastAsia="zh-TW"/>
        </w:rPr>
        <w:t xml:space="preserve">communication skill who </w:t>
      </w:r>
      <w:r w:rsidR="00F43B8B">
        <w:rPr>
          <w:rFonts w:ascii="Arial" w:hAnsi="Arial" w:cs="Arial" w:hint="eastAsia"/>
          <w:sz w:val="24"/>
          <w:szCs w:val="24"/>
          <w:lang w:eastAsia="zh-TW"/>
        </w:rPr>
        <w:t xml:space="preserve">can </w:t>
      </w:r>
      <w:r w:rsidR="003C3F82">
        <w:rPr>
          <w:rFonts w:ascii="Arial" w:hAnsi="Arial" w:cs="Arial" w:hint="eastAsia"/>
          <w:sz w:val="24"/>
          <w:szCs w:val="24"/>
          <w:lang w:eastAsia="zh-TW"/>
        </w:rPr>
        <w:t xml:space="preserve">easily </w:t>
      </w:r>
      <w:r w:rsidR="00FD1128">
        <w:rPr>
          <w:rFonts w:ascii="Arial" w:hAnsi="Arial" w:cs="Arial" w:hint="eastAsia"/>
          <w:sz w:val="24"/>
          <w:szCs w:val="24"/>
          <w:lang w:eastAsia="zh-TW"/>
        </w:rPr>
        <w:t>observe</w:t>
      </w:r>
      <w:r w:rsidR="00023C2F">
        <w:rPr>
          <w:rFonts w:ascii="Arial" w:hAnsi="Arial" w:cs="Arial" w:hint="eastAsia"/>
          <w:sz w:val="24"/>
          <w:szCs w:val="24"/>
          <w:lang w:eastAsia="zh-TW"/>
        </w:rPr>
        <w:t xml:space="preserve"> and understand</w:t>
      </w:r>
      <w:r w:rsidR="00FD1128">
        <w:rPr>
          <w:rFonts w:ascii="Arial" w:hAnsi="Arial" w:cs="Arial" w:hint="eastAsia"/>
          <w:sz w:val="24"/>
          <w:szCs w:val="24"/>
          <w:lang w:eastAsia="zh-TW"/>
        </w:rPr>
        <w:t xml:space="preserve"> the </w:t>
      </w:r>
      <w:r w:rsidR="00DF3DC3">
        <w:rPr>
          <w:rFonts w:ascii="Arial" w:hAnsi="Arial" w:cs="Arial"/>
          <w:sz w:val="24"/>
          <w:szCs w:val="24"/>
          <w:lang w:eastAsia="zh-TW"/>
        </w:rPr>
        <w:t>characteristics</w:t>
      </w:r>
      <w:r w:rsidR="00DF3DC3">
        <w:rPr>
          <w:rFonts w:ascii="Arial" w:hAnsi="Arial" w:cs="Arial" w:hint="eastAsia"/>
          <w:sz w:val="24"/>
          <w:szCs w:val="24"/>
          <w:lang w:eastAsia="zh-TW"/>
        </w:rPr>
        <w:t xml:space="preserve"> and </w:t>
      </w:r>
      <w:r w:rsidR="003A5D94">
        <w:rPr>
          <w:rFonts w:ascii="Arial" w:hAnsi="Arial" w:cs="Arial" w:hint="eastAsia"/>
          <w:sz w:val="24"/>
          <w:szCs w:val="24"/>
          <w:lang w:eastAsia="zh-TW"/>
        </w:rPr>
        <w:t xml:space="preserve">difference of a setting or an </w:t>
      </w:r>
      <w:r w:rsidR="00FD1128">
        <w:rPr>
          <w:rFonts w:ascii="Arial" w:hAnsi="Arial" w:cs="Arial" w:hint="eastAsia"/>
          <w:sz w:val="24"/>
          <w:szCs w:val="24"/>
          <w:lang w:eastAsia="zh-TW"/>
        </w:rPr>
        <w:t>environment</w:t>
      </w:r>
      <w:r w:rsidR="003A5D94">
        <w:rPr>
          <w:rFonts w:ascii="Arial" w:hAnsi="Arial" w:cs="Arial" w:hint="eastAsia"/>
          <w:sz w:val="24"/>
          <w:szCs w:val="24"/>
          <w:lang w:eastAsia="zh-TW"/>
        </w:rPr>
        <w:t>,</w:t>
      </w:r>
      <w:r w:rsidR="00FD1128">
        <w:rPr>
          <w:rFonts w:ascii="Arial" w:hAnsi="Arial" w:cs="Arial" w:hint="eastAsia"/>
          <w:sz w:val="24"/>
          <w:szCs w:val="24"/>
          <w:lang w:eastAsia="zh-TW"/>
        </w:rPr>
        <w:t xml:space="preserve"> and clearly and accurately </w:t>
      </w:r>
      <w:r w:rsidR="003C3F82">
        <w:rPr>
          <w:rFonts w:ascii="Arial" w:hAnsi="Arial" w:cs="Arial" w:hint="eastAsia"/>
          <w:sz w:val="24"/>
          <w:szCs w:val="24"/>
          <w:lang w:eastAsia="zh-TW"/>
        </w:rPr>
        <w:t xml:space="preserve">express their </w:t>
      </w:r>
      <w:r w:rsidR="00F43B8B">
        <w:rPr>
          <w:rFonts w:ascii="Arial" w:hAnsi="Arial" w:cs="Arial" w:hint="eastAsia"/>
          <w:sz w:val="24"/>
          <w:szCs w:val="24"/>
          <w:lang w:eastAsia="zh-TW"/>
        </w:rPr>
        <w:t xml:space="preserve">meaningful opinion. </w:t>
      </w:r>
      <w:r w:rsidR="000E54FA" w:rsidRPr="000E54FA">
        <w:rPr>
          <w:rFonts w:ascii="Arial" w:hAnsi="Arial" w:cs="Arial"/>
          <w:sz w:val="24"/>
          <w:szCs w:val="24"/>
        </w:rPr>
        <w:t xml:space="preserve">The poll consisted of seven elements and twenty-seven items; at the conclusion, professionals were asked to indicate their plans to purchase online (4 items) after studying the </w:t>
      </w:r>
      <w:proofErr w:type="spellStart"/>
      <w:r w:rsidR="000E54FA" w:rsidRPr="000E54FA">
        <w:rPr>
          <w:rFonts w:ascii="Arial" w:hAnsi="Arial" w:cs="Arial"/>
          <w:sz w:val="24"/>
          <w:szCs w:val="24"/>
        </w:rPr>
        <w:t>HKTVmall</w:t>
      </w:r>
      <w:proofErr w:type="spellEnd"/>
      <w:r w:rsidR="000E54FA" w:rsidRPr="000E54FA">
        <w:rPr>
          <w:rFonts w:ascii="Arial" w:hAnsi="Arial" w:cs="Arial"/>
          <w:sz w:val="24"/>
          <w:szCs w:val="24"/>
        </w:rPr>
        <w:t xml:space="preserve"> (1137.hk) website.</w:t>
      </w:r>
    </w:p>
    <w:p w14:paraId="0D75D04E" w14:textId="77777777" w:rsidR="004A6671" w:rsidRPr="00A31E5D" w:rsidRDefault="004A6671" w:rsidP="005F7DF9">
      <w:pPr>
        <w:pStyle w:val="BodyText"/>
        <w:tabs>
          <w:tab w:val="left" w:pos="180"/>
        </w:tabs>
        <w:kinsoku w:val="0"/>
        <w:overflowPunct w:val="0"/>
        <w:snapToGrid w:val="0"/>
        <w:spacing w:line="360" w:lineRule="auto"/>
        <w:ind w:right="201"/>
        <w:jc w:val="both"/>
        <w:rPr>
          <w:rFonts w:ascii="Arial" w:hAnsi="Arial" w:cs="Arial"/>
          <w:sz w:val="24"/>
          <w:szCs w:val="24"/>
        </w:rPr>
      </w:pPr>
    </w:p>
    <w:p w14:paraId="4ECB67C0" w14:textId="77777777" w:rsidR="005E2D0F" w:rsidRPr="00A31E5D" w:rsidRDefault="005E2D0F" w:rsidP="005F7DF9">
      <w:pPr>
        <w:pStyle w:val="ListParagraph"/>
        <w:widowControl w:val="0"/>
        <w:numPr>
          <w:ilvl w:val="0"/>
          <w:numId w:val="26"/>
        </w:numPr>
        <w:tabs>
          <w:tab w:val="left" w:pos="180"/>
          <w:tab w:val="left" w:pos="499"/>
        </w:tabs>
        <w:kinsoku w:val="0"/>
        <w:overflowPunct w:val="0"/>
        <w:autoSpaceDE w:val="0"/>
        <w:autoSpaceDN w:val="0"/>
        <w:adjustRightInd w:val="0"/>
        <w:snapToGrid w:val="0"/>
        <w:spacing w:before="1" w:line="360" w:lineRule="auto"/>
        <w:ind w:left="0" w:firstLine="0"/>
        <w:contextualSpacing w:val="0"/>
        <w:rPr>
          <w:rFonts w:ascii="Arial" w:hAnsi="Arial" w:cs="Arial"/>
          <w:sz w:val="24"/>
          <w:szCs w:val="24"/>
        </w:rPr>
      </w:pPr>
      <w:r w:rsidRPr="00A31E5D">
        <w:rPr>
          <w:rFonts w:ascii="Arial" w:hAnsi="Arial" w:cs="Arial"/>
          <w:sz w:val="24"/>
          <w:szCs w:val="24"/>
        </w:rPr>
        <w:lastRenderedPageBreak/>
        <w:t>Results</w:t>
      </w:r>
    </w:p>
    <w:p w14:paraId="6C580C63" w14:textId="77777777" w:rsidR="005E2D0F" w:rsidRPr="00A31E5D" w:rsidRDefault="005E2D0F" w:rsidP="005F7DF9">
      <w:pPr>
        <w:pStyle w:val="BodyText"/>
        <w:tabs>
          <w:tab w:val="left" w:pos="180"/>
        </w:tabs>
        <w:kinsoku w:val="0"/>
        <w:overflowPunct w:val="0"/>
        <w:snapToGrid w:val="0"/>
        <w:spacing w:before="8" w:line="360" w:lineRule="auto"/>
        <w:rPr>
          <w:rFonts w:ascii="Arial" w:hAnsi="Arial" w:cs="Arial"/>
          <w:sz w:val="24"/>
          <w:szCs w:val="24"/>
        </w:rPr>
      </w:pPr>
    </w:p>
    <w:p w14:paraId="1C6BD376" w14:textId="4D142193" w:rsidR="00E204DD" w:rsidRDefault="00354EFB" w:rsidP="005F7DF9">
      <w:pPr>
        <w:pStyle w:val="BodyText"/>
        <w:tabs>
          <w:tab w:val="left" w:pos="180"/>
        </w:tabs>
        <w:kinsoku w:val="0"/>
        <w:overflowPunct w:val="0"/>
        <w:snapToGrid w:val="0"/>
        <w:spacing w:line="360" w:lineRule="auto"/>
        <w:ind w:right="39"/>
        <w:jc w:val="both"/>
        <w:rPr>
          <w:rFonts w:ascii="Arial" w:hAnsi="Arial" w:cs="Arial"/>
          <w:sz w:val="24"/>
          <w:szCs w:val="24"/>
        </w:rPr>
      </w:pPr>
      <w:r w:rsidRPr="00354EFB">
        <w:rPr>
          <w:rFonts w:ascii="Arial" w:hAnsi="Arial" w:cs="Arial"/>
          <w:sz w:val="24"/>
          <w:szCs w:val="24"/>
        </w:rPr>
        <w:t>Fifteen males and fifteen females make up the thirty-person Final Experience sample for this research.  Although 26.6% and 6.6% of participants made online purchases on a monthly and daily basis, respectively, the majority of them (66.6%) are seasoned online shoppers who make online purchases at least once a week.  Due to scheduling constraints, we were unable to separate participants into age groups for the Final Experience.  Key characteristics of the Final Experient sample are displayed in Table-3 of this study.</w:t>
      </w:r>
    </w:p>
    <w:p w14:paraId="3CF979DF" w14:textId="77777777" w:rsidR="00354EFB" w:rsidRDefault="00354EFB" w:rsidP="005F7DF9">
      <w:pPr>
        <w:pStyle w:val="BodyText"/>
        <w:tabs>
          <w:tab w:val="left" w:pos="180"/>
        </w:tabs>
        <w:kinsoku w:val="0"/>
        <w:overflowPunct w:val="0"/>
        <w:snapToGrid w:val="0"/>
        <w:spacing w:line="360" w:lineRule="auto"/>
        <w:ind w:right="39"/>
        <w:jc w:val="both"/>
        <w:rPr>
          <w:rFonts w:ascii="Arial" w:hAnsi="Arial" w:cs="Arial"/>
          <w:spacing w:val="-7"/>
          <w:sz w:val="24"/>
          <w:szCs w:val="24"/>
        </w:rPr>
      </w:pPr>
    </w:p>
    <w:p w14:paraId="04CD6A87" w14:textId="58F635C8" w:rsidR="00554150" w:rsidRDefault="00554150" w:rsidP="005F7DF9">
      <w:pPr>
        <w:pStyle w:val="BodyText"/>
        <w:tabs>
          <w:tab w:val="left" w:pos="180"/>
        </w:tabs>
        <w:kinsoku w:val="0"/>
        <w:overflowPunct w:val="0"/>
        <w:snapToGrid w:val="0"/>
        <w:spacing w:line="360" w:lineRule="auto"/>
        <w:ind w:right="39"/>
        <w:jc w:val="both"/>
        <w:rPr>
          <w:rFonts w:ascii="Arial" w:hAnsi="Arial" w:cs="Arial"/>
          <w:spacing w:val="-7"/>
          <w:sz w:val="24"/>
          <w:szCs w:val="24"/>
        </w:rPr>
      </w:pPr>
      <w:r w:rsidRPr="00554150">
        <w:rPr>
          <w:rFonts w:ascii="Arial" w:hAnsi="Arial" w:cs="Arial"/>
          <w:noProof/>
          <w:spacing w:val="-7"/>
          <w:sz w:val="24"/>
          <w:szCs w:val="24"/>
        </w:rPr>
        <w:drawing>
          <wp:inline distT="0" distB="0" distL="0" distR="0" wp14:anchorId="787A0EFF" wp14:editId="2C421553">
            <wp:extent cx="5943600" cy="5911215"/>
            <wp:effectExtent l="0" t="0" r="0" b="0"/>
            <wp:docPr id="142224821"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4821" name="Picture 1" descr="A white sheet with black text&#10;&#10;Description automatically generated"/>
                    <pic:cNvPicPr/>
                  </pic:nvPicPr>
                  <pic:blipFill>
                    <a:blip r:embed="rId14"/>
                    <a:stretch>
                      <a:fillRect/>
                    </a:stretch>
                  </pic:blipFill>
                  <pic:spPr>
                    <a:xfrm>
                      <a:off x="0" y="0"/>
                      <a:ext cx="5943600" cy="5911215"/>
                    </a:xfrm>
                    <a:prstGeom prst="rect">
                      <a:avLst/>
                    </a:prstGeom>
                  </pic:spPr>
                </pic:pic>
              </a:graphicData>
            </a:graphic>
          </wp:inline>
        </w:drawing>
      </w:r>
    </w:p>
    <w:p w14:paraId="7FE8A6EB" w14:textId="77777777" w:rsidR="005D2409" w:rsidRPr="005D2409" w:rsidRDefault="005D2409" w:rsidP="005D2409">
      <w:pPr>
        <w:pStyle w:val="BodyText"/>
        <w:tabs>
          <w:tab w:val="left" w:pos="180"/>
        </w:tabs>
        <w:kinsoku w:val="0"/>
        <w:overflowPunct w:val="0"/>
        <w:snapToGrid w:val="0"/>
        <w:spacing w:line="360" w:lineRule="auto"/>
        <w:rPr>
          <w:rFonts w:ascii="Arial" w:hAnsi="Arial" w:cs="Arial"/>
          <w:sz w:val="24"/>
          <w:szCs w:val="24"/>
        </w:rPr>
      </w:pPr>
      <w:r w:rsidRPr="005D2409">
        <w:rPr>
          <w:rFonts w:ascii="Arial" w:hAnsi="Arial" w:cs="Arial"/>
          <w:sz w:val="24"/>
          <w:szCs w:val="24"/>
        </w:rPr>
        <w:lastRenderedPageBreak/>
        <w:t xml:space="preserve">The disparities in performance between the sexes were also examined in this research. Table 4 displays the data for the two categories first. Compared to males, ladies have higher mean scores, suggesting that men are less likely to make a purchase.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5"/>
        <w:gridCol w:w="673"/>
        <w:gridCol w:w="840"/>
        <w:gridCol w:w="951"/>
        <w:gridCol w:w="1104"/>
        <w:gridCol w:w="882"/>
        <w:gridCol w:w="1148"/>
        <w:gridCol w:w="1208"/>
      </w:tblGrid>
      <w:tr w:rsidR="004C269A" w:rsidRPr="00230F78" w14:paraId="10855198" w14:textId="77777777" w:rsidTr="007E4C94">
        <w:trPr>
          <w:tblCellSpacing w:w="15" w:type="dxa"/>
        </w:trPr>
        <w:tc>
          <w:tcPr>
            <w:tcW w:w="0" w:type="auto"/>
            <w:gridSpan w:val="8"/>
            <w:tcBorders>
              <w:top w:val="nil"/>
              <w:left w:val="nil"/>
              <w:bottom w:val="single" w:sz="4" w:space="0" w:color="333333"/>
              <w:right w:val="nil"/>
            </w:tcBorders>
            <w:tcMar>
              <w:top w:w="60" w:type="dxa"/>
              <w:left w:w="0" w:type="dxa"/>
              <w:bottom w:w="60" w:type="dxa"/>
              <w:right w:w="120" w:type="dxa"/>
            </w:tcMar>
            <w:vAlign w:val="bottom"/>
            <w:hideMark/>
          </w:tcPr>
          <w:p w14:paraId="7545C436" w14:textId="1BBF3DEA" w:rsidR="004C269A" w:rsidRPr="00230F78" w:rsidRDefault="004C269A" w:rsidP="007E4C94">
            <w:pPr>
              <w:pStyle w:val="BodyText"/>
              <w:tabs>
                <w:tab w:val="left" w:pos="180"/>
              </w:tabs>
              <w:kinsoku w:val="0"/>
              <w:overflowPunct w:val="0"/>
              <w:snapToGrid w:val="0"/>
              <w:spacing w:line="360" w:lineRule="auto"/>
              <w:rPr>
                <w:rFonts w:ascii="Arial" w:eastAsia="宋体" w:hAnsi="Arial" w:cs="Arial"/>
                <w:b/>
                <w:bCs/>
                <w:lang w:val="en-HK" w:eastAsia="zh-CN"/>
              </w:rPr>
            </w:pPr>
            <w:r>
              <w:rPr>
                <w:rFonts w:ascii="Arial" w:eastAsia="宋体" w:hAnsi="Arial" w:cs="Arial"/>
                <w:lang w:val="en-HK" w:eastAsia="zh-CN"/>
              </w:rPr>
              <w:t>Table-</w:t>
            </w:r>
            <w:r w:rsidR="00C37260">
              <w:rPr>
                <w:rFonts w:ascii="Arial" w:hAnsi="Arial" w:cs="Arial" w:hint="eastAsia"/>
                <w:lang w:val="en-HK" w:eastAsia="zh-TW"/>
              </w:rPr>
              <w:t>4</w:t>
            </w:r>
            <w:r>
              <w:rPr>
                <w:rFonts w:ascii="Arial" w:eastAsia="宋体" w:hAnsi="Arial" w:cs="Arial"/>
                <w:lang w:val="en-HK" w:eastAsia="zh-CN"/>
              </w:rPr>
              <w:t xml:space="preserve"> Statistics of Male and Female </w:t>
            </w:r>
          </w:p>
        </w:tc>
      </w:tr>
      <w:tr w:rsidR="004C269A" w:rsidRPr="00230F78" w14:paraId="0EDB8AD3" w14:textId="77777777" w:rsidTr="007E4C94">
        <w:trPr>
          <w:cantSplit/>
          <w:tblHeader/>
          <w:tblCellSpacing w:w="15" w:type="dxa"/>
        </w:trPr>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6597DF00"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 </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0E52F857"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N</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200DE651"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Mean</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50497A8E"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SD</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2DEF7E37"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Variance</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57C9DBA5"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Range</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75FC36B5"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Minimum</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67CBC1ED"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Maximum</w:t>
            </w:r>
          </w:p>
        </w:tc>
      </w:tr>
      <w:tr w:rsidR="004C269A" w:rsidRPr="00230F78" w14:paraId="5E9D30A6" w14:textId="77777777" w:rsidTr="007E4C94">
        <w:trPr>
          <w:cantSplit/>
          <w:tblCellSpacing w:w="15" w:type="dxa"/>
        </w:trPr>
        <w:tc>
          <w:tcPr>
            <w:tcW w:w="0" w:type="auto"/>
            <w:tcBorders>
              <w:top w:val="nil"/>
              <w:left w:val="nil"/>
              <w:bottom w:val="nil"/>
              <w:right w:val="nil"/>
            </w:tcBorders>
            <w:tcMar>
              <w:top w:w="120" w:type="dxa"/>
              <w:left w:w="120" w:type="dxa"/>
              <w:bottom w:w="60" w:type="dxa"/>
              <w:right w:w="120" w:type="dxa"/>
            </w:tcMar>
            <w:hideMark/>
          </w:tcPr>
          <w:p w14:paraId="17697F72"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Male</w:t>
            </w:r>
          </w:p>
        </w:tc>
        <w:tc>
          <w:tcPr>
            <w:tcW w:w="0" w:type="auto"/>
            <w:tcBorders>
              <w:top w:val="nil"/>
              <w:left w:val="nil"/>
              <w:bottom w:val="nil"/>
              <w:right w:val="nil"/>
            </w:tcBorders>
            <w:tcMar>
              <w:top w:w="120" w:type="dxa"/>
              <w:left w:w="120" w:type="dxa"/>
              <w:bottom w:w="30" w:type="dxa"/>
              <w:right w:w="300" w:type="dxa"/>
            </w:tcMar>
            <w:hideMark/>
          </w:tcPr>
          <w:p w14:paraId="454AF422"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15</w:t>
            </w:r>
          </w:p>
        </w:tc>
        <w:tc>
          <w:tcPr>
            <w:tcW w:w="0" w:type="auto"/>
            <w:tcBorders>
              <w:top w:val="nil"/>
              <w:left w:val="nil"/>
              <w:bottom w:val="nil"/>
              <w:right w:val="nil"/>
            </w:tcBorders>
            <w:tcMar>
              <w:top w:w="120" w:type="dxa"/>
              <w:left w:w="120" w:type="dxa"/>
              <w:bottom w:w="30" w:type="dxa"/>
              <w:right w:w="300" w:type="dxa"/>
            </w:tcMar>
            <w:hideMark/>
          </w:tcPr>
          <w:p w14:paraId="67848D46"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6.00</w:t>
            </w:r>
          </w:p>
        </w:tc>
        <w:tc>
          <w:tcPr>
            <w:tcW w:w="0" w:type="auto"/>
            <w:tcBorders>
              <w:top w:val="nil"/>
              <w:left w:val="nil"/>
              <w:bottom w:val="nil"/>
              <w:right w:val="nil"/>
            </w:tcBorders>
            <w:tcMar>
              <w:top w:w="120" w:type="dxa"/>
              <w:left w:w="120" w:type="dxa"/>
              <w:bottom w:w="30" w:type="dxa"/>
              <w:right w:w="300" w:type="dxa"/>
            </w:tcMar>
            <w:hideMark/>
          </w:tcPr>
          <w:p w14:paraId="632C96DC"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0.845</w:t>
            </w:r>
          </w:p>
        </w:tc>
        <w:tc>
          <w:tcPr>
            <w:tcW w:w="0" w:type="auto"/>
            <w:tcBorders>
              <w:top w:val="nil"/>
              <w:left w:val="nil"/>
              <w:bottom w:val="nil"/>
              <w:right w:val="nil"/>
            </w:tcBorders>
            <w:tcMar>
              <w:top w:w="120" w:type="dxa"/>
              <w:left w:w="120" w:type="dxa"/>
              <w:bottom w:w="30" w:type="dxa"/>
              <w:right w:w="300" w:type="dxa"/>
            </w:tcMar>
            <w:hideMark/>
          </w:tcPr>
          <w:p w14:paraId="40A46D5C"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0.714</w:t>
            </w:r>
          </w:p>
        </w:tc>
        <w:tc>
          <w:tcPr>
            <w:tcW w:w="0" w:type="auto"/>
            <w:tcBorders>
              <w:top w:val="nil"/>
              <w:left w:val="nil"/>
              <w:bottom w:val="nil"/>
              <w:right w:val="nil"/>
            </w:tcBorders>
            <w:tcMar>
              <w:top w:w="120" w:type="dxa"/>
              <w:left w:w="120" w:type="dxa"/>
              <w:bottom w:w="30" w:type="dxa"/>
              <w:right w:w="300" w:type="dxa"/>
            </w:tcMar>
            <w:hideMark/>
          </w:tcPr>
          <w:p w14:paraId="7F042A6D"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2</w:t>
            </w:r>
          </w:p>
        </w:tc>
        <w:tc>
          <w:tcPr>
            <w:tcW w:w="0" w:type="auto"/>
            <w:tcBorders>
              <w:top w:val="nil"/>
              <w:left w:val="nil"/>
              <w:bottom w:val="nil"/>
              <w:right w:val="nil"/>
            </w:tcBorders>
            <w:tcMar>
              <w:top w:w="120" w:type="dxa"/>
              <w:left w:w="120" w:type="dxa"/>
              <w:bottom w:w="30" w:type="dxa"/>
              <w:right w:w="300" w:type="dxa"/>
            </w:tcMar>
            <w:hideMark/>
          </w:tcPr>
          <w:p w14:paraId="5DDC86CA"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5</w:t>
            </w:r>
          </w:p>
        </w:tc>
        <w:tc>
          <w:tcPr>
            <w:tcW w:w="0" w:type="auto"/>
            <w:tcBorders>
              <w:top w:val="nil"/>
              <w:left w:val="nil"/>
              <w:bottom w:val="nil"/>
              <w:right w:val="nil"/>
            </w:tcBorders>
            <w:tcMar>
              <w:top w:w="120" w:type="dxa"/>
              <w:left w:w="120" w:type="dxa"/>
              <w:bottom w:w="30" w:type="dxa"/>
              <w:right w:w="300" w:type="dxa"/>
            </w:tcMar>
            <w:hideMark/>
          </w:tcPr>
          <w:p w14:paraId="702BE280"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7</w:t>
            </w:r>
          </w:p>
        </w:tc>
      </w:tr>
      <w:tr w:rsidR="004C269A" w:rsidRPr="00230F78" w14:paraId="38F01B8E" w14:textId="77777777" w:rsidTr="007E4C94">
        <w:trPr>
          <w:cantSplit/>
          <w:tblCellSpacing w:w="15" w:type="dxa"/>
        </w:trPr>
        <w:tc>
          <w:tcPr>
            <w:tcW w:w="0" w:type="auto"/>
            <w:tcBorders>
              <w:top w:val="nil"/>
              <w:left w:val="nil"/>
              <w:bottom w:val="single" w:sz="12" w:space="0" w:color="333333"/>
              <w:right w:val="nil"/>
            </w:tcBorders>
            <w:tcMar>
              <w:top w:w="60" w:type="dxa"/>
              <w:left w:w="120" w:type="dxa"/>
              <w:bottom w:w="120" w:type="dxa"/>
              <w:right w:w="120" w:type="dxa"/>
            </w:tcMar>
            <w:hideMark/>
          </w:tcPr>
          <w:p w14:paraId="4F603CBA"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Female</w:t>
            </w:r>
          </w:p>
        </w:tc>
        <w:tc>
          <w:tcPr>
            <w:tcW w:w="0" w:type="auto"/>
            <w:tcBorders>
              <w:top w:val="nil"/>
              <w:left w:val="nil"/>
              <w:bottom w:val="single" w:sz="12" w:space="0" w:color="333333"/>
              <w:right w:val="nil"/>
            </w:tcBorders>
            <w:tcMar>
              <w:top w:w="30" w:type="dxa"/>
              <w:left w:w="120" w:type="dxa"/>
              <w:bottom w:w="120" w:type="dxa"/>
              <w:right w:w="300" w:type="dxa"/>
            </w:tcMar>
            <w:hideMark/>
          </w:tcPr>
          <w:p w14:paraId="3A067F0B"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15</w:t>
            </w:r>
          </w:p>
        </w:tc>
        <w:tc>
          <w:tcPr>
            <w:tcW w:w="0" w:type="auto"/>
            <w:tcBorders>
              <w:top w:val="nil"/>
              <w:left w:val="nil"/>
              <w:bottom w:val="single" w:sz="12" w:space="0" w:color="333333"/>
              <w:right w:val="nil"/>
            </w:tcBorders>
            <w:tcMar>
              <w:top w:w="30" w:type="dxa"/>
              <w:left w:w="120" w:type="dxa"/>
              <w:bottom w:w="120" w:type="dxa"/>
              <w:right w:w="300" w:type="dxa"/>
            </w:tcMar>
            <w:hideMark/>
          </w:tcPr>
          <w:p w14:paraId="264489D0"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6.20</w:t>
            </w:r>
          </w:p>
        </w:tc>
        <w:tc>
          <w:tcPr>
            <w:tcW w:w="0" w:type="auto"/>
            <w:tcBorders>
              <w:top w:val="nil"/>
              <w:left w:val="nil"/>
              <w:bottom w:val="single" w:sz="12" w:space="0" w:color="333333"/>
              <w:right w:val="nil"/>
            </w:tcBorders>
            <w:tcMar>
              <w:top w:w="30" w:type="dxa"/>
              <w:left w:w="120" w:type="dxa"/>
              <w:bottom w:w="120" w:type="dxa"/>
              <w:right w:w="300" w:type="dxa"/>
            </w:tcMar>
            <w:hideMark/>
          </w:tcPr>
          <w:p w14:paraId="2E67A89C"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0.862</w:t>
            </w:r>
          </w:p>
        </w:tc>
        <w:tc>
          <w:tcPr>
            <w:tcW w:w="0" w:type="auto"/>
            <w:tcBorders>
              <w:top w:val="nil"/>
              <w:left w:val="nil"/>
              <w:bottom w:val="single" w:sz="12" w:space="0" w:color="333333"/>
              <w:right w:val="nil"/>
            </w:tcBorders>
            <w:tcMar>
              <w:top w:w="30" w:type="dxa"/>
              <w:left w:w="120" w:type="dxa"/>
              <w:bottom w:w="120" w:type="dxa"/>
              <w:right w:w="300" w:type="dxa"/>
            </w:tcMar>
            <w:hideMark/>
          </w:tcPr>
          <w:p w14:paraId="59BC3D6A"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0.743</w:t>
            </w:r>
          </w:p>
        </w:tc>
        <w:tc>
          <w:tcPr>
            <w:tcW w:w="0" w:type="auto"/>
            <w:tcBorders>
              <w:top w:val="nil"/>
              <w:left w:val="nil"/>
              <w:bottom w:val="single" w:sz="12" w:space="0" w:color="333333"/>
              <w:right w:val="nil"/>
            </w:tcBorders>
            <w:tcMar>
              <w:top w:w="30" w:type="dxa"/>
              <w:left w:w="120" w:type="dxa"/>
              <w:bottom w:w="120" w:type="dxa"/>
              <w:right w:w="300" w:type="dxa"/>
            </w:tcMar>
            <w:hideMark/>
          </w:tcPr>
          <w:p w14:paraId="258CF60F"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2</w:t>
            </w:r>
          </w:p>
        </w:tc>
        <w:tc>
          <w:tcPr>
            <w:tcW w:w="0" w:type="auto"/>
            <w:tcBorders>
              <w:top w:val="nil"/>
              <w:left w:val="nil"/>
              <w:bottom w:val="single" w:sz="12" w:space="0" w:color="333333"/>
              <w:right w:val="nil"/>
            </w:tcBorders>
            <w:tcMar>
              <w:top w:w="30" w:type="dxa"/>
              <w:left w:w="120" w:type="dxa"/>
              <w:bottom w:w="120" w:type="dxa"/>
              <w:right w:w="300" w:type="dxa"/>
            </w:tcMar>
            <w:hideMark/>
          </w:tcPr>
          <w:p w14:paraId="2BC85C2A"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5</w:t>
            </w:r>
          </w:p>
        </w:tc>
        <w:tc>
          <w:tcPr>
            <w:tcW w:w="0" w:type="auto"/>
            <w:tcBorders>
              <w:top w:val="nil"/>
              <w:left w:val="nil"/>
              <w:bottom w:val="single" w:sz="12" w:space="0" w:color="333333"/>
              <w:right w:val="nil"/>
            </w:tcBorders>
            <w:tcMar>
              <w:top w:w="30" w:type="dxa"/>
              <w:left w:w="120" w:type="dxa"/>
              <w:bottom w:w="120" w:type="dxa"/>
              <w:right w:w="300" w:type="dxa"/>
            </w:tcMar>
            <w:hideMark/>
          </w:tcPr>
          <w:p w14:paraId="4084925F" w14:textId="77777777" w:rsidR="004C269A" w:rsidRPr="00230F78" w:rsidRDefault="004C269A" w:rsidP="007E4C94">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7</w:t>
            </w:r>
          </w:p>
        </w:tc>
      </w:tr>
    </w:tbl>
    <w:p w14:paraId="6E5DF6A4" w14:textId="77777777" w:rsidR="004C269A" w:rsidRPr="00A31E5D" w:rsidRDefault="004C269A" w:rsidP="004C269A">
      <w:pPr>
        <w:pStyle w:val="BodyText"/>
        <w:tabs>
          <w:tab w:val="left" w:pos="180"/>
        </w:tabs>
        <w:kinsoku w:val="0"/>
        <w:overflowPunct w:val="0"/>
        <w:snapToGrid w:val="0"/>
        <w:spacing w:line="360" w:lineRule="auto"/>
        <w:rPr>
          <w:rFonts w:ascii="Arial" w:eastAsia="宋体" w:hAnsi="Arial" w:cs="Arial"/>
          <w:sz w:val="24"/>
          <w:szCs w:val="24"/>
          <w:lang w:val="en-HK" w:eastAsia="zh-CN"/>
        </w:rPr>
      </w:pPr>
      <w:r w:rsidRPr="00A31E5D">
        <w:rPr>
          <w:rFonts w:ascii="Arial" w:eastAsia="宋体" w:hAnsi="Arial" w:cs="Arial"/>
          <w:sz w:val="24"/>
          <w:szCs w:val="24"/>
          <w:lang w:val="en-HK" w:eastAsia="zh-CN"/>
        </w:rPr>
        <w:t> </w:t>
      </w:r>
    </w:p>
    <w:p w14:paraId="149CFBEA" w14:textId="5B345A39" w:rsidR="002F60FF" w:rsidRDefault="00D76FB3" w:rsidP="005F7DF9">
      <w:pPr>
        <w:pStyle w:val="BodyText"/>
        <w:tabs>
          <w:tab w:val="left" w:pos="180"/>
        </w:tabs>
        <w:kinsoku w:val="0"/>
        <w:overflowPunct w:val="0"/>
        <w:snapToGrid w:val="0"/>
        <w:spacing w:before="18" w:line="360" w:lineRule="auto"/>
        <w:ind w:right="39"/>
        <w:rPr>
          <w:rFonts w:ascii="Arial" w:hAnsi="Arial" w:cs="Arial"/>
          <w:sz w:val="24"/>
          <w:szCs w:val="24"/>
        </w:rPr>
      </w:pPr>
      <w:r w:rsidRPr="00D76FB3">
        <w:rPr>
          <w:rFonts w:ascii="Arial" w:hAnsi="Arial" w:cs="Arial"/>
          <w:sz w:val="24"/>
          <w:szCs w:val="24"/>
        </w:rPr>
        <w:t>The statistical results of the Final Experiment are displayed in Table 5. This includes the mean, standard deviation, range, minimum, and maximum scores for each item in the study.  The box plot and the quantile-quantile plot are displayed in tables 6-7.</w:t>
      </w:r>
    </w:p>
    <w:p w14:paraId="091D7596" w14:textId="77777777" w:rsidR="00D76FB3" w:rsidRDefault="00D76FB3" w:rsidP="005F7DF9">
      <w:pPr>
        <w:pStyle w:val="BodyText"/>
        <w:tabs>
          <w:tab w:val="left" w:pos="180"/>
        </w:tabs>
        <w:kinsoku w:val="0"/>
        <w:overflowPunct w:val="0"/>
        <w:snapToGrid w:val="0"/>
        <w:spacing w:before="18" w:line="360" w:lineRule="auto"/>
        <w:ind w:right="39"/>
        <w:rPr>
          <w:rFonts w:ascii="Arial" w:hAnsi="Arial" w:cs="Arial"/>
          <w:sz w:val="24"/>
          <w:szCs w:val="24"/>
        </w:rPr>
      </w:pPr>
    </w:p>
    <w:p w14:paraId="495340E0" w14:textId="1229CBEC" w:rsidR="00230F78" w:rsidRPr="0083463B" w:rsidRDefault="00230F78" w:rsidP="005F7DF9">
      <w:pPr>
        <w:pStyle w:val="BodyText"/>
        <w:tabs>
          <w:tab w:val="left" w:pos="180"/>
        </w:tabs>
        <w:kinsoku w:val="0"/>
        <w:overflowPunct w:val="0"/>
        <w:snapToGrid w:val="0"/>
        <w:spacing w:before="18" w:line="360" w:lineRule="auto"/>
        <w:ind w:right="39"/>
        <w:rPr>
          <w:rFonts w:ascii="Arial" w:hAnsi="Arial" w:cs="Arial"/>
        </w:rPr>
      </w:pPr>
      <w:r w:rsidRPr="0083463B">
        <w:rPr>
          <w:rFonts w:ascii="Arial" w:hAnsi="Arial" w:cs="Arial"/>
        </w:rPr>
        <w:t>Table-</w:t>
      </w:r>
      <w:r w:rsidR="00C72A9A">
        <w:rPr>
          <w:rFonts w:ascii="Arial" w:hAnsi="Arial" w:cs="Arial"/>
        </w:rPr>
        <w:t>5</w:t>
      </w:r>
      <w:r w:rsidRPr="0083463B">
        <w:rPr>
          <w:rFonts w:ascii="Arial" w:hAnsi="Arial" w:cs="Arial"/>
        </w:rPr>
        <w:t xml:space="preserve"> Items Statistics</w:t>
      </w:r>
    </w:p>
    <w:tbl>
      <w:tblPr>
        <w:tblW w:w="8649" w:type="dxa"/>
        <w:tblLook w:val="04A0" w:firstRow="1" w:lastRow="0" w:firstColumn="1" w:lastColumn="0" w:noHBand="0" w:noVBand="1"/>
      </w:tblPr>
      <w:tblGrid>
        <w:gridCol w:w="1928"/>
        <w:gridCol w:w="1037"/>
        <w:gridCol w:w="907"/>
        <w:gridCol w:w="1372"/>
        <w:gridCol w:w="1182"/>
        <w:gridCol w:w="1231"/>
        <w:gridCol w:w="992"/>
      </w:tblGrid>
      <w:tr w:rsidR="00951B8A" w:rsidRPr="00061E97" w14:paraId="023B72CB" w14:textId="77777777" w:rsidTr="008664FA">
        <w:trPr>
          <w:trHeight w:val="290"/>
        </w:trPr>
        <w:tc>
          <w:tcPr>
            <w:tcW w:w="1928" w:type="dxa"/>
            <w:tcBorders>
              <w:top w:val="single" w:sz="4" w:space="0" w:color="auto"/>
              <w:left w:val="single" w:sz="4" w:space="0" w:color="auto"/>
              <w:bottom w:val="single" w:sz="4" w:space="0" w:color="auto"/>
              <w:right w:val="single" w:sz="4" w:space="0" w:color="auto"/>
            </w:tcBorders>
            <w:shd w:val="clear" w:color="000000" w:fill="FFFFFF"/>
            <w:vAlign w:val="center"/>
          </w:tcPr>
          <w:p w14:paraId="240EB33F" w14:textId="48043994" w:rsidR="00951B8A" w:rsidRDefault="00BD0D53" w:rsidP="00951B8A">
            <w:pPr>
              <w:jc w:val="center"/>
              <w:rPr>
                <w:rFonts w:ascii="Arial" w:hAnsi="Arial" w:cs="Arial"/>
                <w:b/>
                <w:bCs/>
                <w:color w:val="212529"/>
                <w:sz w:val="22"/>
                <w:szCs w:val="22"/>
              </w:rPr>
            </w:pPr>
            <w:r>
              <w:rPr>
                <w:rFonts w:ascii="Arial" w:hAnsi="Arial" w:cs="Arial"/>
                <w:b/>
                <w:bCs/>
                <w:color w:val="212529"/>
                <w:sz w:val="22"/>
                <w:szCs w:val="22"/>
              </w:rPr>
              <w:t>Scale</w:t>
            </w:r>
          </w:p>
        </w:tc>
        <w:tc>
          <w:tcPr>
            <w:tcW w:w="1037" w:type="dxa"/>
            <w:tcBorders>
              <w:top w:val="single" w:sz="4" w:space="0" w:color="auto"/>
              <w:left w:val="nil"/>
              <w:bottom w:val="single" w:sz="4" w:space="0" w:color="auto"/>
              <w:right w:val="single" w:sz="4" w:space="0" w:color="auto"/>
            </w:tcBorders>
            <w:shd w:val="clear" w:color="000000" w:fill="FFFFFF"/>
            <w:vAlign w:val="center"/>
          </w:tcPr>
          <w:p w14:paraId="62FF3267" w14:textId="00B99388" w:rsidR="00951B8A" w:rsidRDefault="00951B8A" w:rsidP="00951B8A">
            <w:pPr>
              <w:jc w:val="center"/>
              <w:rPr>
                <w:rFonts w:ascii="Arial" w:hAnsi="Arial" w:cs="Arial"/>
                <w:b/>
                <w:bCs/>
                <w:color w:val="212529"/>
                <w:sz w:val="22"/>
                <w:szCs w:val="22"/>
              </w:rPr>
            </w:pPr>
            <w:r>
              <w:rPr>
                <w:rFonts w:ascii="Arial" w:hAnsi="Arial" w:cs="Arial"/>
                <w:b/>
                <w:bCs/>
                <w:color w:val="212529"/>
                <w:sz w:val="22"/>
                <w:szCs w:val="22"/>
              </w:rPr>
              <w:t>Item</w:t>
            </w:r>
          </w:p>
        </w:tc>
        <w:tc>
          <w:tcPr>
            <w:tcW w:w="907" w:type="dxa"/>
            <w:tcBorders>
              <w:top w:val="single" w:sz="4" w:space="0" w:color="auto"/>
              <w:left w:val="nil"/>
              <w:bottom w:val="single" w:sz="4" w:space="0" w:color="auto"/>
              <w:right w:val="single" w:sz="4" w:space="0" w:color="auto"/>
            </w:tcBorders>
            <w:shd w:val="clear" w:color="000000" w:fill="FFFFFF"/>
            <w:vAlign w:val="center"/>
          </w:tcPr>
          <w:p w14:paraId="733D944C" w14:textId="6A5D8997" w:rsidR="00951B8A" w:rsidRPr="00061E97" w:rsidRDefault="00951B8A" w:rsidP="00951B8A">
            <w:pPr>
              <w:jc w:val="center"/>
              <w:rPr>
                <w:rFonts w:ascii="Arial" w:hAnsi="Arial" w:cs="Arial"/>
                <w:b/>
                <w:bCs/>
                <w:color w:val="212529"/>
                <w:sz w:val="22"/>
                <w:szCs w:val="22"/>
              </w:rPr>
            </w:pPr>
            <w:r w:rsidRPr="00061E97">
              <w:rPr>
                <w:rFonts w:ascii="Arial" w:hAnsi="Arial" w:cs="Arial"/>
                <w:b/>
                <w:bCs/>
                <w:color w:val="212529"/>
                <w:sz w:val="22"/>
                <w:szCs w:val="22"/>
              </w:rPr>
              <w:t>Mean</w:t>
            </w:r>
          </w:p>
        </w:tc>
        <w:tc>
          <w:tcPr>
            <w:tcW w:w="1372" w:type="dxa"/>
            <w:tcBorders>
              <w:top w:val="single" w:sz="4" w:space="0" w:color="auto"/>
              <w:left w:val="nil"/>
              <w:bottom w:val="single" w:sz="4" w:space="0" w:color="auto"/>
              <w:right w:val="single" w:sz="4" w:space="0" w:color="auto"/>
            </w:tcBorders>
            <w:shd w:val="clear" w:color="000000" w:fill="FFFFFF"/>
            <w:vAlign w:val="center"/>
          </w:tcPr>
          <w:p w14:paraId="1C6F239E" w14:textId="58CFED2A" w:rsidR="00951B8A" w:rsidRPr="00061E97" w:rsidRDefault="00951B8A" w:rsidP="00951B8A">
            <w:pPr>
              <w:jc w:val="center"/>
              <w:rPr>
                <w:rFonts w:ascii="Arial" w:hAnsi="Arial" w:cs="Arial"/>
                <w:b/>
                <w:bCs/>
                <w:color w:val="212529"/>
                <w:sz w:val="22"/>
                <w:szCs w:val="22"/>
              </w:rPr>
            </w:pPr>
            <w:r w:rsidRPr="00061E97">
              <w:rPr>
                <w:rFonts w:ascii="Arial" w:hAnsi="Arial" w:cs="Arial"/>
                <w:b/>
                <w:bCs/>
                <w:color w:val="212529"/>
                <w:sz w:val="22"/>
                <w:szCs w:val="22"/>
              </w:rPr>
              <w:t>Std. Deviation</w:t>
            </w:r>
          </w:p>
        </w:tc>
        <w:tc>
          <w:tcPr>
            <w:tcW w:w="1182" w:type="dxa"/>
            <w:tcBorders>
              <w:top w:val="single" w:sz="4" w:space="0" w:color="auto"/>
              <w:left w:val="nil"/>
              <w:bottom w:val="single" w:sz="4" w:space="0" w:color="auto"/>
              <w:right w:val="single" w:sz="4" w:space="0" w:color="auto"/>
            </w:tcBorders>
            <w:shd w:val="clear" w:color="000000" w:fill="FFFFFF"/>
            <w:vAlign w:val="center"/>
          </w:tcPr>
          <w:p w14:paraId="6EB62F8D" w14:textId="3BCA515B" w:rsidR="00951B8A" w:rsidRPr="00061E97" w:rsidRDefault="00951B8A" w:rsidP="00951B8A">
            <w:pPr>
              <w:jc w:val="center"/>
              <w:rPr>
                <w:rFonts w:ascii="Arial" w:hAnsi="Arial" w:cs="Arial"/>
                <w:b/>
                <w:bCs/>
                <w:color w:val="212529"/>
                <w:sz w:val="22"/>
                <w:szCs w:val="22"/>
              </w:rPr>
            </w:pPr>
            <w:r w:rsidRPr="00061E97">
              <w:rPr>
                <w:rFonts w:ascii="Arial" w:hAnsi="Arial" w:cs="Arial"/>
                <w:b/>
                <w:bCs/>
                <w:color w:val="212529"/>
                <w:sz w:val="22"/>
                <w:szCs w:val="22"/>
              </w:rPr>
              <w:t>Minimum</w:t>
            </w:r>
          </w:p>
        </w:tc>
        <w:tc>
          <w:tcPr>
            <w:tcW w:w="1231" w:type="dxa"/>
            <w:tcBorders>
              <w:top w:val="single" w:sz="4" w:space="0" w:color="auto"/>
              <w:left w:val="nil"/>
              <w:bottom w:val="single" w:sz="4" w:space="0" w:color="auto"/>
              <w:right w:val="single" w:sz="4" w:space="0" w:color="auto"/>
            </w:tcBorders>
            <w:shd w:val="clear" w:color="000000" w:fill="FFFFFF"/>
            <w:vAlign w:val="center"/>
          </w:tcPr>
          <w:p w14:paraId="5E4B152E" w14:textId="5B9FD584" w:rsidR="00951B8A" w:rsidRPr="00061E97" w:rsidRDefault="00951B8A" w:rsidP="00951B8A">
            <w:pPr>
              <w:jc w:val="center"/>
              <w:rPr>
                <w:rFonts w:ascii="Arial" w:hAnsi="Arial" w:cs="Arial"/>
                <w:b/>
                <w:bCs/>
                <w:color w:val="212529"/>
                <w:sz w:val="22"/>
                <w:szCs w:val="22"/>
              </w:rPr>
            </w:pPr>
            <w:r w:rsidRPr="00061E97">
              <w:rPr>
                <w:rFonts w:ascii="Arial" w:hAnsi="Arial" w:cs="Arial"/>
                <w:b/>
                <w:bCs/>
                <w:color w:val="212529"/>
                <w:sz w:val="22"/>
                <w:szCs w:val="22"/>
              </w:rPr>
              <w:t>Maximum</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0178615A" w14:textId="1DCF1168" w:rsidR="00951B8A" w:rsidRPr="00061E97" w:rsidRDefault="00951B8A" w:rsidP="00951B8A">
            <w:pPr>
              <w:jc w:val="center"/>
              <w:rPr>
                <w:rFonts w:ascii="Arial" w:hAnsi="Arial" w:cs="Arial"/>
                <w:b/>
                <w:bCs/>
                <w:color w:val="212529"/>
                <w:sz w:val="22"/>
                <w:szCs w:val="22"/>
              </w:rPr>
            </w:pPr>
            <w:r w:rsidRPr="00061E97">
              <w:rPr>
                <w:rFonts w:ascii="Arial" w:hAnsi="Arial" w:cs="Arial"/>
                <w:b/>
                <w:bCs/>
                <w:color w:val="212529"/>
                <w:sz w:val="22"/>
                <w:szCs w:val="22"/>
              </w:rPr>
              <w:t>Range</w:t>
            </w:r>
          </w:p>
        </w:tc>
      </w:tr>
      <w:tr w:rsidR="00061E97" w:rsidRPr="00061E97" w14:paraId="2C55C285" w14:textId="77777777" w:rsidTr="00EA4F9B">
        <w:trPr>
          <w:trHeight w:val="290"/>
        </w:trPr>
        <w:tc>
          <w:tcPr>
            <w:tcW w:w="19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32CF8351" w14:textId="33D051D2" w:rsidR="00061E97" w:rsidRPr="00061E97" w:rsidRDefault="00091B6F" w:rsidP="00061E97">
            <w:pPr>
              <w:jc w:val="center"/>
              <w:rPr>
                <w:rFonts w:ascii="Arial" w:hAnsi="Arial" w:cs="Arial"/>
                <w:b/>
                <w:bCs/>
                <w:color w:val="212529"/>
                <w:sz w:val="22"/>
                <w:szCs w:val="22"/>
              </w:rPr>
            </w:pPr>
            <w:r>
              <w:rPr>
                <w:rFonts w:ascii="Arial" w:hAnsi="Arial" w:cs="Arial"/>
                <w:b/>
                <w:bCs/>
                <w:color w:val="212529"/>
                <w:sz w:val="22"/>
                <w:szCs w:val="22"/>
              </w:rPr>
              <w:t>Store Usefulness</w:t>
            </w:r>
          </w:p>
        </w:tc>
        <w:tc>
          <w:tcPr>
            <w:tcW w:w="1037" w:type="dxa"/>
            <w:tcBorders>
              <w:top w:val="nil"/>
              <w:left w:val="nil"/>
              <w:bottom w:val="single" w:sz="4" w:space="0" w:color="auto"/>
              <w:right w:val="single" w:sz="4" w:space="0" w:color="auto"/>
            </w:tcBorders>
            <w:shd w:val="clear" w:color="000000" w:fill="FFFFFF"/>
            <w:vAlign w:val="bottom"/>
            <w:hideMark/>
          </w:tcPr>
          <w:p w14:paraId="5DED847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1</w:t>
            </w:r>
          </w:p>
        </w:tc>
        <w:tc>
          <w:tcPr>
            <w:tcW w:w="907" w:type="dxa"/>
            <w:tcBorders>
              <w:top w:val="nil"/>
              <w:left w:val="nil"/>
              <w:bottom w:val="single" w:sz="4" w:space="0" w:color="auto"/>
              <w:right w:val="single" w:sz="4" w:space="0" w:color="auto"/>
            </w:tcBorders>
            <w:shd w:val="clear" w:color="000000" w:fill="FFFFFF"/>
            <w:hideMark/>
          </w:tcPr>
          <w:p w14:paraId="7BFF41A9"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6.07</w:t>
            </w:r>
          </w:p>
        </w:tc>
        <w:tc>
          <w:tcPr>
            <w:tcW w:w="1372" w:type="dxa"/>
            <w:tcBorders>
              <w:top w:val="nil"/>
              <w:left w:val="nil"/>
              <w:bottom w:val="single" w:sz="4" w:space="0" w:color="auto"/>
              <w:right w:val="single" w:sz="4" w:space="0" w:color="auto"/>
            </w:tcBorders>
            <w:shd w:val="clear" w:color="000000" w:fill="FFFFFF"/>
            <w:hideMark/>
          </w:tcPr>
          <w:p w14:paraId="0A86E357"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0.78</w:t>
            </w:r>
          </w:p>
        </w:tc>
        <w:tc>
          <w:tcPr>
            <w:tcW w:w="1182" w:type="dxa"/>
            <w:tcBorders>
              <w:top w:val="nil"/>
              <w:left w:val="nil"/>
              <w:bottom w:val="single" w:sz="4" w:space="0" w:color="auto"/>
              <w:right w:val="single" w:sz="4" w:space="0" w:color="auto"/>
            </w:tcBorders>
            <w:shd w:val="clear" w:color="000000" w:fill="FFFFFF"/>
            <w:hideMark/>
          </w:tcPr>
          <w:p w14:paraId="73CC264B"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w:t>
            </w:r>
          </w:p>
        </w:tc>
        <w:tc>
          <w:tcPr>
            <w:tcW w:w="1231" w:type="dxa"/>
            <w:tcBorders>
              <w:top w:val="nil"/>
              <w:left w:val="nil"/>
              <w:bottom w:val="single" w:sz="4" w:space="0" w:color="auto"/>
              <w:right w:val="single" w:sz="4" w:space="0" w:color="auto"/>
            </w:tcBorders>
            <w:shd w:val="clear" w:color="000000" w:fill="FFFFFF"/>
            <w:hideMark/>
          </w:tcPr>
          <w:p w14:paraId="79E5F318"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05ABD6A2"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r w:rsidR="00EA4F9B" w:rsidRPr="00061E97" w14:paraId="1E6EE8AA"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71142E99"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2E4C8BF5"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2</w:t>
            </w:r>
          </w:p>
        </w:tc>
        <w:tc>
          <w:tcPr>
            <w:tcW w:w="907" w:type="dxa"/>
            <w:tcBorders>
              <w:top w:val="nil"/>
              <w:left w:val="nil"/>
              <w:bottom w:val="single" w:sz="4" w:space="0" w:color="auto"/>
              <w:right w:val="single" w:sz="4" w:space="0" w:color="auto"/>
            </w:tcBorders>
            <w:shd w:val="clear" w:color="000000" w:fill="FFFFFF"/>
            <w:hideMark/>
          </w:tcPr>
          <w:p w14:paraId="49A210E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6.37</w:t>
            </w:r>
          </w:p>
        </w:tc>
        <w:tc>
          <w:tcPr>
            <w:tcW w:w="1372" w:type="dxa"/>
            <w:tcBorders>
              <w:top w:val="nil"/>
              <w:left w:val="nil"/>
              <w:bottom w:val="single" w:sz="4" w:space="0" w:color="auto"/>
              <w:right w:val="single" w:sz="4" w:space="0" w:color="auto"/>
            </w:tcBorders>
            <w:shd w:val="clear" w:color="000000" w:fill="FFFFFF"/>
            <w:hideMark/>
          </w:tcPr>
          <w:p w14:paraId="696EE15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0.76</w:t>
            </w:r>
          </w:p>
        </w:tc>
        <w:tc>
          <w:tcPr>
            <w:tcW w:w="1182" w:type="dxa"/>
            <w:tcBorders>
              <w:top w:val="nil"/>
              <w:left w:val="nil"/>
              <w:bottom w:val="single" w:sz="4" w:space="0" w:color="auto"/>
              <w:right w:val="single" w:sz="4" w:space="0" w:color="auto"/>
            </w:tcBorders>
            <w:shd w:val="clear" w:color="000000" w:fill="FFFFFF"/>
            <w:hideMark/>
          </w:tcPr>
          <w:p w14:paraId="5DC73FE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w:t>
            </w:r>
          </w:p>
        </w:tc>
        <w:tc>
          <w:tcPr>
            <w:tcW w:w="1231" w:type="dxa"/>
            <w:tcBorders>
              <w:top w:val="nil"/>
              <w:left w:val="nil"/>
              <w:bottom w:val="single" w:sz="4" w:space="0" w:color="auto"/>
              <w:right w:val="single" w:sz="4" w:space="0" w:color="auto"/>
            </w:tcBorders>
            <w:shd w:val="clear" w:color="000000" w:fill="FFFFFF"/>
            <w:hideMark/>
          </w:tcPr>
          <w:p w14:paraId="3FECADA8"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75CEED3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r w:rsidR="00EA4F9B" w:rsidRPr="00061E97" w14:paraId="12FDA314"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1FE09681"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05FA970D"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3</w:t>
            </w:r>
          </w:p>
        </w:tc>
        <w:tc>
          <w:tcPr>
            <w:tcW w:w="907" w:type="dxa"/>
            <w:tcBorders>
              <w:top w:val="nil"/>
              <w:left w:val="nil"/>
              <w:bottom w:val="single" w:sz="4" w:space="0" w:color="auto"/>
              <w:right w:val="single" w:sz="4" w:space="0" w:color="auto"/>
            </w:tcBorders>
            <w:shd w:val="clear" w:color="000000" w:fill="FFFFFF"/>
            <w:hideMark/>
          </w:tcPr>
          <w:p w14:paraId="79818C6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6.37</w:t>
            </w:r>
          </w:p>
        </w:tc>
        <w:tc>
          <w:tcPr>
            <w:tcW w:w="1372" w:type="dxa"/>
            <w:tcBorders>
              <w:top w:val="nil"/>
              <w:left w:val="nil"/>
              <w:bottom w:val="single" w:sz="4" w:space="0" w:color="auto"/>
              <w:right w:val="single" w:sz="4" w:space="0" w:color="auto"/>
            </w:tcBorders>
            <w:shd w:val="clear" w:color="000000" w:fill="FFFFFF"/>
            <w:hideMark/>
          </w:tcPr>
          <w:p w14:paraId="79F57FCC"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0.76</w:t>
            </w:r>
          </w:p>
        </w:tc>
        <w:tc>
          <w:tcPr>
            <w:tcW w:w="1182" w:type="dxa"/>
            <w:tcBorders>
              <w:top w:val="nil"/>
              <w:left w:val="nil"/>
              <w:bottom w:val="single" w:sz="4" w:space="0" w:color="auto"/>
              <w:right w:val="single" w:sz="4" w:space="0" w:color="auto"/>
            </w:tcBorders>
            <w:shd w:val="clear" w:color="000000" w:fill="FFFFFF"/>
            <w:hideMark/>
          </w:tcPr>
          <w:p w14:paraId="5A34B08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w:t>
            </w:r>
          </w:p>
        </w:tc>
        <w:tc>
          <w:tcPr>
            <w:tcW w:w="1231" w:type="dxa"/>
            <w:tcBorders>
              <w:top w:val="nil"/>
              <w:left w:val="nil"/>
              <w:bottom w:val="single" w:sz="4" w:space="0" w:color="auto"/>
              <w:right w:val="single" w:sz="4" w:space="0" w:color="auto"/>
            </w:tcBorders>
            <w:shd w:val="clear" w:color="000000" w:fill="FFFFFF"/>
            <w:hideMark/>
          </w:tcPr>
          <w:p w14:paraId="32649816"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582B5F8E"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r w:rsidR="00EA4F9B" w:rsidRPr="00061E97" w14:paraId="08A7FC9E"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2765FD99"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0EBEAD6D"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4</w:t>
            </w:r>
          </w:p>
        </w:tc>
        <w:tc>
          <w:tcPr>
            <w:tcW w:w="907" w:type="dxa"/>
            <w:tcBorders>
              <w:top w:val="nil"/>
              <w:left w:val="nil"/>
              <w:bottom w:val="single" w:sz="4" w:space="0" w:color="auto"/>
              <w:right w:val="single" w:sz="4" w:space="0" w:color="auto"/>
            </w:tcBorders>
            <w:shd w:val="clear" w:color="000000" w:fill="FFFFFF"/>
            <w:hideMark/>
          </w:tcPr>
          <w:p w14:paraId="440FF61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5.8</w:t>
            </w:r>
          </w:p>
        </w:tc>
        <w:tc>
          <w:tcPr>
            <w:tcW w:w="1372" w:type="dxa"/>
            <w:tcBorders>
              <w:top w:val="nil"/>
              <w:left w:val="nil"/>
              <w:bottom w:val="single" w:sz="4" w:space="0" w:color="auto"/>
              <w:right w:val="single" w:sz="4" w:space="0" w:color="auto"/>
            </w:tcBorders>
            <w:shd w:val="clear" w:color="000000" w:fill="FFFFFF"/>
            <w:hideMark/>
          </w:tcPr>
          <w:p w14:paraId="3360420C"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0.96</w:t>
            </w:r>
          </w:p>
        </w:tc>
        <w:tc>
          <w:tcPr>
            <w:tcW w:w="1182" w:type="dxa"/>
            <w:tcBorders>
              <w:top w:val="nil"/>
              <w:left w:val="nil"/>
              <w:bottom w:val="single" w:sz="4" w:space="0" w:color="auto"/>
              <w:right w:val="single" w:sz="4" w:space="0" w:color="auto"/>
            </w:tcBorders>
            <w:shd w:val="clear" w:color="000000" w:fill="FFFFFF"/>
            <w:hideMark/>
          </w:tcPr>
          <w:p w14:paraId="0ED2859A"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4</w:t>
            </w:r>
          </w:p>
        </w:tc>
        <w:tc>
          <w:tcPr>
            <w:tcW w:w="1231" w:type="dxa"/>
            <w:tcBorders>
              <w:top w:val="nil"/>
              <w:left w:val="nil"/>
              <w:bottom w:val="single" w:sz="4" w:space="0" w:color="auto"/>
              <w:right w:val="single" w:sz="4" w:space="0" w:color="auto"/>
            </w:tcBorders>
            <w:shd w:val="clear" w:color="000000" w:fill="FFFFFF"/>
            <w:hideMark/>
          </w:tcPr>
          <w:p w14:paraId="3D5C241C"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12E224BC"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3</w:t>
            </w:r>
          </w:p>
        </w:tc>
      </w:tr>
      <w:tr w:rsidR="00061E97" w:rsidRPr="00061E97" w14:paraId="0D4E604C" w14:textId="77777777" w:rsidTr="00EA4F9B">
        <w:trPr>
          <w:trHeight w:val="290"/>
        </w:trPr>
        <w:tc>
          <w:tcPr>
            <w:tcW w:w="19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2F92F558" w14:textId="082075A0" w:rsidR="00061E97" w:rsidRPr="00061E97" w:rsidRDefault="00091B6F" w:rsidP="00061E97">
            <w:pPr>
              <w:jc w:val="center"/>
              <w:rPr>
                <w:rFonts w:ascii="Arial" w:hAnsi="Arial" w:cs="Arial"/>
                <w:b/>
                <w:bCs/>
                <w:color w:val="212529"/>
                <w:sz w:val="22"/>
                <w:szCs w:val="22"/>
              </w:rPr>
            </w:pPr>
            <w:r>
              <w:rPr>
                <w:rFonts w:ascii="Arial" w:hAnsi="Arial" w:cs="Arial"/>
                <w:b/>
                <w:bCs/>
                <w:color w:val="212529"/>
                <w:sz w:val="22"/>
                <w:szCs w:val="22"/>
              </w:rPr>
              <w:t>Store Enjoyment</w:t>
            </w:r>
          </w:p>
        </w:tc>
        <w:tc>
          <w:tcPr>
            <w:tcW w:w="1037" w:type="dxa"/>
            <w:tcBorders>
              <w:top w:val="nil"/>
              <w:left w:val="nil"/>
              <w:bottom w:val="single" w:sz="4" w:space="0" w:color="auto"/>
              <w:right w:val="single" w:sz="4" w:space="0" w:color="auto"/>
            </w:tcBorders>
            <w:shd w:val="clear" w:color="000000" w:fill="FFFFFF"/>
            <w:vAlign w:val="bottom"/>
            <w:hideMark/>
          </w:tcPr>
          <w:p w14:paraId="33DAF06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5</w:t>
            </w:r>
          </w:p>
        </w:tc>
        <w:tc>
          <w:tcPr>
            <w:tcW w:w="907" w:type="dxa"/>
            <w:tcBorders>
              <w:top w:val="nil"/>
              <w:left w:val="nil"/>
              <w:bottom w:val="single" w:sz="4" w:space="0" w:color="auto"/>
              <w:right w:val="single" w:sz="4" w:space="0" w:color="auto"/>
            </w:tcBorders>
            <w:shd w:val="clear" w:color="000000" w:fill="FFFFFF"/>
            <w:hideMark/>
          </w:tcPr>
          <w:p w14:paraId="7146A66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6.2</w:t>
            </w:r>
          </w:p>
        </w:tc>
        <w:tc>
          <w:tcPr>
            <w:tcW w:w="1372" w:type="dxa"/>
            <w:tcBorders>
              <w:top w:val="nil"/>
              <w:left w:val="nil"/>
              <w:bottom w:val="single" w:sz="4" w:space="0" w:color="auto"/>
              <w:right w:val="single" w:sz="4" w:space="0" w:color="auto"/>
            </w:tcBorders>
            <w:shd w:val="clear" w:color="000000" w:fill="FFFFFF"/>
            <w:hideMark/>
          </w:tcPr>
          <w:p w14:paraId="3E6A42E3"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0.81</w:t>
            </w:r>
          </w:p>
        </w:tc>
        <w:tc>
          <w:tcPr>
            <w:tcW w:w="1182" w:type="dxa"/>
            <w:tcBorders>
              <w:top w:val="nil"/>
              <w:left w:val="nil"/>
              <w:bottom w:val="single" w:sz="4" w:space="0" w:color="auto"/>
              <w:right w:val="single" w:sz="4" w:space="0" w:color="auto"/>
            </w:tcBorders>
            <w:shd w:val="clear" w:color="000000" w:fill="FFFFFF"/>
            <w:hideMark/>
          </w:tcPr>
          <w:p w14:paraId="0D94E259"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w:t>
            </w:r>
          </w:p>
        </w:tc>
        <w:tc>
          <w:tcPr>
            <w:tcW w:w="1231" w:type="dxa"/>
            <w:tcBorders>
              <w:top w:val="nil"/>
              <w:left w:val="nil"/>
              <w:bottom w:val="single" w:sz="4" w:space="0" w:color="auto"/>
              <w:right w:val="single" w:sz="4" w:space="0" w:color="auto"/>
            </w:tcBorders>
            <w:shd w:val="clear" w:color="000000" w:fill="FFFFFF"/>
            <w:hideMark/>
          </w:tcPr>
          <w:p w14:paraId="23BC28AE"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04716578"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r w:rsidR="00EA4F9B" w:rsidRPr="00061E97" w14:paraId="5160C861"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12D103D3"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778C82AD"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6</w:t>
            </w:r>
          </w:p>
        </w:tc>
        <w:tc>
          <w:tcPr>
            <w:tcW w:w="907" w:type="dxa"/>
            <w:tcBorders>
              <w:top w:val="nil"/>
              <w:left w:val="nil"/>
              <w:bottom w:val="single" w:sz="4" w:space="0" w:color="auto"/>
              <w:right w:val="single" w:sz="4" w:space="0" w:color="auto"/>
            </w:tcBorders>
            <w:shd w:val="clear" w:color="000000" w:fill="FFFFFF"/>
            <w:hideMark/>
          </w:tcPr>
          <w:p w14:paraId="647E1C8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6.2</w:t>
            </w:r>
          </w:p>
        </w:tc>
        <w:tc>
          <w:tcPr>
            <w:tcW w:w="1372" w:type="dxa"/>
            <w:tcBorders>
              <w:top w:val="nil"/>
              <w:left w:val="nil"/>
              <w:bottom w:val="single" w:sz="4" w:space="0" w:color="auto"/>
              <w:right w:val="single" w:sz="4" w:space="0" w:color="auto"/>
            </w:tcBorders>
            <w:shd w:val="clear" w:color="000000" w:fill="FFFFFF"/>
            <w:hideMark/>
          </w:tcPr>
          <w:p w14:paraId="551A8193"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0.81</w:t>
            </w:r>
          </w:p>
        </w:tc>
        <w:tc>
          <w:tcPr>
            <w:tcW w:w="1182" w:type="dxa"/>
            <w:tcBorders>
              <w:top w:val="nil"/>
              <w:left w:val="nil"/>
              <w:bottom w:val="single" w:sz="4" w:space="0" w:color="auto"/>
              <w:right w:val="single" w:sz="4" w:space="0" w:color="auto"/>
            </w:tcBorders>
            <w:shd w:val="clear" w:color="000000" w:fill="FFFFFF"/>
            <w:hideMark/>
          </w:tcPr>
          <w:p w14:paraId="74E9C641"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w:t>
            </w:r>
          </w:p>
        </w:tc>
        <w:tc>
          <w:tcPr>
            <w:tcW w:w="1231" w:type="dxa"/>
            <w:tcBorders>
              <w:top w:val="nil"/>
              <w:left w:val="nil"/>
              <w:bottom w:val="single" w:sz="4" w:space="0" w:color="auto"/>
              <w:right w:val="single" w:sz="4" w:space="0" w:color="auto"/>
            </w:tcBorders>
            <w:shd w:val="clear" w:color="000000" w:fill="FFFFFF"/>
            <w:hideMark/>
          </w:tcPr>
          <w:p w14:paraId="4767B45B"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707EF3ED"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r w:rsidR="00EA4F9B" w:rsidRPr="00061E97" w14:paraId="1217558E"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08F3FFB1"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13A4E399"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7</w:t>
            </w:r>
          </w:p>
        </w:tc>
        <w:tc>
          <w:tcPr>
            <w:tcW w:w="907" w:type="dxa"/>
            <w:tcBorders>
              <w:top w:val="nil"/>
              <w:left w:val="nil"/>
              <w:bottom w:val="single" w:sz="4" w:space="0" w:color="auto"/>
              <w:right w:val="single" w:sz="4" w:space="0" w:color="auto"/>
            </w:tcBorders>
            <w:shd w:val="clear" w:color="000000" w:fill="FFFFFF"/>
            <w:hideMark/>
          </w:tcPr>
          <w:p w14:paraId="37BC2432"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6.2</w:t>
            </w:r>
          </w:p>
        </w:tc>
        <w:tc>
          <w:tcPr>
            <w:tcW w:w="1372" w:type="dxa"/>
            <w:tcBorders>
              <w:top w:val="nil"/>
              <w:left w:val="nil"/>
              <w:bottom w:val="single" w:sz="4" w:space="0" w:color="auto"/>
              <w:right w:val="single" w:sz="4" w:space="0" w:color="auto"/>
            </w:tcBorders>
            <w:shd w:val="clear" w:color="000000" w:fill="FFFFFF"/>
            <w:hideMark/>
          </w:tcPr>
          <w:p w14:paraId="47C5742C"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0.81</w:t>
            </w:r>
          </w:p>
        </w:tc>
        <w:tc>
          <w:tcPr>
            <w:tcW w:w="1182" w:type="dxa"/>
            <w:tcBorders>
              <w:top w:val="nil"/>
              <w:left w:val="nil"/>
              <w:bottom w:val="single" w:sz="4" w:space="0" w:color="auto"/>
              <w:right w:val="single" w:sz="4" w:space="0" w:color="auto"/>
            </w:tcBorders>
            <w:shd w:val="clear" w:color="000000" w:fill="FFFFFF"/>
            <w:hideMark/>
          </w:tcPr>
          <w:p w14:paraId="7D0685E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w:t>
            </w:r>
          </w:p>
        </w:tc>
        <w:tc>
          <w:tcPr>
            <w:tcW w:w="1231" w:type="dxa"/>
            <w:tcBorders>
              <w:top w:val="nil"/>
              <w:left w:val="nil"/>
              <w:bottom w:val="single" w:sz="4" w:space="0" w:color="auto"/>
              <w:right w:val="single" w:sz="4" w:space="0" w:color="auto"/>
            </w:tcBorders>
            <w:shd w:val="clear" w:color="000000" w:fill="FFFFFF"/>
            <w:hideMark/>
          </w:tcPr>
          <w:p w14:paraId="7E4D2CBD"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71BA45DE"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r w:rsidR="00061E97" w:rsidRPr="00061E97" w14:paraId="278DC842" w14:textId="77777777" w:rsidTr="00EA4F9B">
        <w:trPr>
          <w:trHeight w:val="290"/>
        </w:trPr>
        <w:tc>
          <w:tcPr>
            <w:tcW w:w="19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2439DE76" w14:textId="17EE72FF" w:rsidR="00061E97" w:rsidRPr="00061E97" w:rsidRDefault="008773F3" w:rsidP="00061E97">
            <w:pPr>
              <w:jc w:val="center"/>
              <w:rPr>
                <w:rFonts w:ascii="Arial" w:hAnsi="Arial" w:cs="Arial"/>
                <w:b/>
                <w:bCs/>
                <w:color w:val="212529"/>
                <w:sz w:val="22"/>
                <w:szCs w:val="22"/>
              </w:rPr>
            </w:pPr>
            <w:r>
              <w:rPr>
                <w:rFonts w:ascii="Arial" w:hAnsi="Arial" w:cs="Arial"/>
                <w:b/>
                <w:bCs/>
                <w:color w:val="212529"/>
                <w:sz w:val="22"/>
                <w:szCs w:val="22"/>
              </w:rPr>
              <w:t>Store Ease of Use</w:t>
            </w:r>
          </w:p>
        </w:tc>
        <w:tc>
          <w:tcPr>
            <w:tcW w:w="1037" w:type="dxa"/>
            <w:tcBorders>
              <w:top w:val="nil"/>
              <w:left w:val="nil"/>
              <w:bottom w:val="single" w:sz="4" w:space="0" w:color="auto"/>
              <w:right w:val="single" w:sz="4" w:space="0" w:color="auto"/>
            </w:tcBorders>
            <w:shd w:val="clear" w:color="000000" w:fill="FFFFFF"/>
            <w:vAlign w:val="bottom"/>
            <w:hideMark/>
          </w:tcPr>
          <w:p w14:paraId="5B181F58"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8</w:t>
            </w:r>
          </w:p>
        </w:tc>
        <w:tc>
          <w:tcPr>
            <w:tcW w:w="907" w:type="dxa"/>
            <w:tcBorders>
              <w:top w:val="nil"/>
              <w:left w:val="nil"/>
              <w:bottom w:val="single" w:sz="4" w:space="0" w:color="auto"/>
              <w:right w:val="single" w:sz="4" w:space="0" w:color="auto"/>
            </w:tcBorders>
            <w:shd w:val="clear" w:color="000000" w:fill="FFFFFF"/>
            <w:hideMark/>
          </w:tcPr>
          <w:p w14:paraId="477761F0"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5.33</w:t>
            </w:r>
          </w:p>
        </w:tc>
        <w:tc>
          <w:tcPr>
            <w:tcW w:w="1372" w:type="dxa"/>
            <w:tcBorders>
              <w:top w:val="nil"/>
              <w:left w:val="nil"/>
              <w:bottom w:val="single" w:sz="4" w:space="0" w:color="auto"/>
              <w:right w:val="single" w:sz="4" w:space="0" w:color="auto"/>
            </w:tcBorders>
            <w:shd w:val="clear" w:color="000000" w:fill="FFFFFF"/>
            <w:hideMark/>
          </w:tcPr>
          <w:p w14:paraId="49F50E67"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0.88</w:t>
            </w:r>
          </w:p>
        </w:tc>
        <w:tc>
          <w:tcPr>
            <w:tcW w:w="1182" w:type="dxa"/>
            <w:tcBorders>
              <w:top w:val="nil"/>
              <w:left w:val="nil"/>
              <w:bottom w:val="single" w:sz="4" w:space="0" w:color="auto"/>
              <w:right w:val="single" w:sz="4" w:space="0" w:color="auto"/>
            </w:tcBorders>
            <w:shd w:val="clear" w:color="000000" w:fill="FFFFFF"/>
            <w:hideMark/>
          </w:tcPr>
          <w:p w14:paraId="59365391"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4</w:t>
            </w:r>
          </w:p>
        </w:tc>
        <w:tc>
          <w:tcPr>
            <w:tcW w:w="1231" w:type="dxa"/>
            <w:tcBorders>
              <w:top w:val="nil"/>
              <w:left w:val="nil"/>
              <w:bottom w:val="single" w:sz="4" w:space="0" w:color="auto"/>
              <w:right w:val="single" w:sz="4" w:space="0" w:color="auto"/>
            </w:tcBorders>
            <w:shd w:val="clear" w:color="000000" w:fill="FFFFFF"/>
            <w:hideMark/>
          </w:tcPr>
          <w:p w14:paraId="1430CCD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2F2E8AC1"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3</w:t>
            </w:r>
          </w:p>
        </w:tc>
      </w:tr>
      <w:tr w:rsidR="00EA4F9B" w:rsidRPr="00061E97" w14:paraId="7853D065"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05486405"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4531D7B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9</w:t>
            </w:r>
          </w:p>
        </w:tc>
        <w:tc>
          <w:tcPr>
            <w:tcW w:w="907" w:type="dxa"/>
            <w:tcBorders>
              <w:top w:val="nil"/>
              <w:left w:val="nil"/>
              <w:bottom w:val="single" w:sz="4" w:space="0" w:color="auto"/>
              <w:right w:val="single" w:sz="4" w:space="0" w:color="auto"/>
            </w:tcBorders>
            <w:shd w:val="clear" w:color="000000" w:fill="FFFFFF"/>
            <w:hideMark/>
          </w:tcPr>
          <w:p w14:paraId="242CDD99"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5.33</w:t>
            </w:r>
          </w:p>
        </w:tc>
        <w:tc>
          <w:tcPr>
            <w:tcW w:w="1372" w:type="dxa"/>
            <w:tcBorders>
              <w:top w:val="nil"/>
              <w:left w:val="nil"/>
              <w:bottom w:val="single" w:sz="4" w:space="0" w:color="auto"/>
              <w:right w:val="single" w:sz="4" w:space="0" w:color="auto"/>
            </w:tcBorders>
            <w:shd w:val="clear" w:color="000000" w:fill="FFFFFF"/>
            <w:hideMark/>
          </w:tcPr>
          <w:p w14:paraId="683DFBD0"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0.88</w:t>
            </w:r>
          </w:p>
        </w:tc>
        <w:tc>
          <w:tcPr>
            <w:tcW w:w="1182" w:type="dxa"/>
            <w:tcBorders>
              <w:top w:val="nil"/>
              <w:left w:val="nil"/>
              <w:bottom w:val="single" w:sz="4" w:space="0" w:color="auto"/>
              <w:right w:val="single" w:sz="4" w:space="0" w:color="auto"/>
            </w:tcBorders>
            <w:shd w:val="clear" w:color="000000" w:fill="FFFFFF"/>
            <w:hideMark/>
          </w:tcPr>
          <w:p w14:paraId="2CF25479"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4</w:t>
            </w:r>
          </w:p>
        </w:tc>
        <w:tc>
          <w:tcPr>
            <w:tcW w:w="1231" w:type="dxa"/>
            <w:tcBorders>
              <w:top w:val="nil"/>
              <w:left w:val="nil"/>
              <w:bottom w:val="single" w:sz="4" w:space="0" w:color="auto"/>
              <w:right w:val="single" w:sz="4" w:space="0" w:color="auto"/>
            </w:tcBorders>
            <w:shd w:val="clear" w:color="000000" w:fill="FFFFFF"/>
            <w:hideMark/>
          </w:tcPr>
          <w:p w14:paraId="679F6DBC"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6A41C5F2"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3</w:t>
            </w:r>
          </w:p>
        </w:tc>
      </w:tr>
      <w:tr w:rsidR="00EA4F9B" w:rsidRPr="00061E97" w14:paraId="0F879F64"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426E99B8"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280BF865"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10</w:t>
            </w:r>
          </w:p>
        </w:tc>
        <w:tc>
          <w:tcPr>
            <w:tcW w:w="907" w:type="dxa"/>
            <w:tcBorders>
              <w:top w:val="nil"/>
              <w:left w:val="nil"/>
              <w:bottom w:val="single" w:sz="4" w:space="0" w:color="auto"/>
              <w:right w:val="single" w:sz="4" w:space="0" w:color="auto"/>
            </w:tcBorders>
            <w:shd w:val="clear" w:color="000000" w:fill="FFFFFF"/>
            <w:hideMark/>
          </w:tcPr>
          <w:p w14:paraId="6E44F848"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5.33</w:t>
            </w:r>
          </w:p>
        </w:tc>
        <w:tc>
          <w:tcPr>
            <w:tcW w:w="1372" w:type="dxa"/>
            <w:tcBorders>
              <w:top w:val="nil"/>
              <w:left w:val="nil"/>
              <w:bottom w:val="single" w:sz="4" w:space="0" w:color="auto"/>
              <w:right w:val="single" w:sz="4" w:space="0" w:color="auto"/>
            </w:tcBorders>
            <w:shd w:val="clear" w:color="000000" w:fill="FFFFFF"/>
            <w:hideMark/>
          </w:tcPr>
          <w:p w14:paraId="66F5C7D5"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0.92</w:t>
            </w:r>
          </w:p>
        </w:tc>
        <w:tc>
          <w:tcPr>
            <w:tcW w:w="1182" w:type="dxa"/>
            <w:tcBorders>
              <w:top w:val="nil"/>
              <w:left w:val="nil"/>
              <w:bottom w:val="single" w:sz="4" w:space="0" w:color="auto"/>
              <w:right w:val="single" w:sz="4" w:space="0" w:color="auto"/>
            </w:tcBorders>
            <w:shd w:val="clear" w:color="000000" w:fill="FFFFFF"/>
            <w:hideMark/>
          </w:tcPr>
          <w:p w14:paraId="7E0022F2"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4</w:t>
            </w:r>
          </w:p>
        </w:tc>
        <w:tc>
          <w:tcPr>
            <w:tcW w:w="1231" w:type="dxa"/>
            <w:tcBorders>
              <w:top w:val="nil"/>
              <w:left w:val="nil"/>
              <w:bottom w:val="single" w:sz="4" w:space="0" w:color="auto"/>
              <w:right w:val="single" w:sz="4" w:space="0" w:color="auto"/>
            </w:tcBorders>
            <w:shd w:val="clear" w:color="000000" w:fill="FFFFFF"/>
            <w:hideMark/>
          </w:tcPr>
          <w:p w14:paraId="6649A5A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32660982"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3</w:t>
            </w:r>
          </w:p>
        </w:tc>
      </w:tr>
      <w:tr w:rsidR="00EA4F9B" w:rsidRPr="00061E97" w14:paraId="759C8BA7"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60FA66AA"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01416F76"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11</w:t>
            </w:r>
          </w:p>
        </w:tc>
        <w:tc>
          <w:tcPr>
            <w:tcW w:w="907" w:type="dxa"/>
            <w:tcBorders>
              <w:top w:val="nil"/>
              <w:left w:val="nil"/>
              <w:bottom w:val="single" w:sz="4" w:space="0" w:color="auto"/>
              <w:right w:val="single" w:sz="4" w:space="0" w:color="auto"/>
            </w:tcBorders>
            <w:shd w:val="clear" w:color="000000" w:fill="FFFFFF"/>
            <w:hideMark/>
          </w:tcPr>
          <w:p w14:paraId="465DC45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5.5</w:t>
            </w:r>
          </w:p>
        </w:tc>
        <w:tc>
          <w:tcPr>
            <w:tcW w:w="1372" w:type="dxa"/>
            <w:tcBorders>
              <w:top w:val="nil"/>
              <w:left w:val="nil"/>
              <w:bottom w:val="single" w:sz="4" w:space="0" w:color="auto"/>
              <w:right w:val="single" w:sz="4" w:space="0" w:color="auto"/>
            </w:tcBorders>
            <w:shd w:val="clear" w:color="000000" w:fill="FFFFFF"/>
            <w:hideMark/>
          </w:tcPr>
          <w:p w14:paraId="1641A8C8"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0.86</w:t>
            </w:r>
          </w:p>
        </w:tc>
        <w:tc>
          <w:tcPr>
            <w:tcW w:w="1182" w:type="dxa"/>
            <w:tcBorders>
              <w:top w:val="nil"/>
              <w:left w:val="nil"/>
              <w:bottom w:val="single" w:sz="4" w:space="0" w:color="auto"/>
              <w:right w:val="single" w:sz="4" w:space="0" w:color="auto"/>
            </w:tcBorders>
            <w:shd w:val="clear" w:color="000000" w:fill="FFFFFF"/>
            <w:hideMark/>
          </w:tcPr>
          <w:p w14:paraId="6FF4AC90"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4</w:t>
            </w:r>
          </w:p>
        </w:tc>
        <w:tc>
          <w:tcPr>
            <w:tcW w:w="1231" w:type="dxa"/>
            <w:tcBorders>
              <w:top w:val="nil"/>
              <w:left w:val="nil"/>
              <w:bottom w:val="single" w:sz="4" w:space="0" w:color="auto"/>
              <w:right w:val="single" w:sz="4" w:space="0" w:color="auto"/>
            </w:tcBorders>
            <w:shd w:val="clear" w:color="000000" w:fill="FFFFFF"/>
            <w:hideMark/>
          </w:tcPr>
          <w:p w14:paraId="188CFB17"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73894EA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3</w:t>
            </w:r>
          </w:p>
        </w:tc>
      </w:tr>
      <w:tr w:rsidR="00061E97" w:rsidRPr="00061E97" w14:paraId="532259B8" w14:textId="77777777" w:rsidTr="00EA4F9B">
        <w:trPr>
          <w:trHeight w:val="290"/>
        </w:trPr>
        <w:tc>
          <w:tcPr>
            <w:tcW w:w="19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A67E15" w14:textId="780ACCC5" w:rsidR="00061E97" w:rsidRPr="00061E97" w:rsidRDefault="00F30994" w:rsidP="00061E97">
            <w:pPr>
              <w:jc w:val="center"/>
              <w:rPr>
                <w:rFonts w:ascii="Arial" w:hAnsi="Arial" w:cs="Arial"/>
                <w:b/>
                <w:bCs/>
                <w:color w:val="212529"/>
                <w:sz w:val="22"/>
                <w:szCs w:val="22"/>
              </w:rPr>
            </w:pPr>
            <w:r>
              <w:rPr>
                <w:rFonts w:ascii="Arial" w:hAnsi="Arial" w:cs="Arial"/>
                <w:b/>
                <w:bCs/>
                <w:color w:val="212529"/>
                <w:sz w:val="22"/>
                <w:szCs w:val="22"/>
              </w:rPr>
              <w:t>Store Trustworthiness</w:t>
            </w:r>
          </w:p>
        </w:tc>
        <w:tc>
          <w:tcPr>
            <w:tcW w:w="1037" w:type="dxa"/>
            <w:tcBorders>
              <w:top w:val="nil"/>
              <w:left w:val="nil"/>
              <w:bottom w:val="single" w:sz="4" w:space="0" w:color="auto"/>
              <w:right w:val="single" w:sz="4" w:space="0" w:color="auto"/>
            </w:tcBorders>
            <w:shd w:val="clear" w:color="000000" w:fill="FFFFFF"/>
            <w:vAlign w:val="bottom"/>
            <w:hideMark/>
          </w:tcPr>
          <w:p w14:paraId="3B3F9B36"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12</w:t>
            </w:r>
          </w:p>
        </w:tc>
        <w:tc>
          <w:tcPr>
            <w:tcW w:w="907" w:type="dxa"/>
            <w:tcBorders>
              <w:top w:val="nil"/>
              <w:left w:val="nil"/>
              <w:bottom w:val="single" w:sz="4" w:space="0" w:color="auto"/>
              <w:right w:val="single" w:sz="4" w:space="0" w:color="auto"/>
            </w:tcBorders>
            <w:shd w:val="clear" w:color="000000" w:fill="FFFFFF"/>
            <w:hideMark/>
          </w:tcPr>
          <w:p w14:paraId="12322735"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6.07</w:t>
            </w:r>
          </w:p>
        </w:tc>
        <w:tc>
          <w:tcPr>
            <w:tcW w:w="1372" w:type="dxa"/>
            <w:tcBorders>
              <w:top w:val="nil"/>
              <w:left w:val="nil"/>
              <w:bottom w:val="single" w:sz="4" w:space="0" w:color="auto"/>
              <w:right w:val="single" w:sz="4" w:space="0" w:color="auto"/>
            </w:tcBorders>
            <w:shd w:val="clear" w:color="000000" w:fill="FFFFFF"/>
            <w:hideMark/>
          </w:tcPr>
          <w:p w14:paraId="2916E5C3"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0.78</w:t>
            </w:r>
          </w:p>
        </w:tc>
        <w:tc>
          <w:tcPr>
            <w:tcW w:w="1182" w:type="dxa"/>
            <w:tcBorders>
              <w:top w:val="nil"/>
              <w:left w:val="nil"/>
              <w:bottom w:val="single" w:sz="4" w:space="0" w:color="auto"/>
              <w:right w:val="single" w:sz="4" w:space="0" w:color="auto"/>
            </w:tcBorders>
            <w:shd w:val="clear" w:color="000000" w:fill="FFFFFF"/>
            <w:hideMark/>
          </w:tcPr>
          <w:p w14:paraId="6E792495"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w:t>
            </w:r>
          </w:p>
        </w:tc>
        <w:tc>
          <w:tcPr>
            <w:tcW w:w="1231" w:type="dxa"/>
            <w:tcBorders>
              <w:top w:val="nil"/>
              <w:left w:val="nil"/>
              <w:bottom w:val="single" w:sz="4" w:space="0" w:color="auto"/>
              <w:right w:val="single" w:sz="4" w:space="0" w:color="auto"/>
            </w:tcBorders>
            <w:shd w:val="clear" w:color="000000" w:fill="FFFFFF"/>
            <w:hideMark/>
          </w:tcPr>
          <w:p w14:paraId="387D518E"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3AAE7DF1"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r w:rsidR="00EA4F9B" w:rsidRPr="00061E97" w14:paraId="5E75DF4E"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67D8D982"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051D3F20"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13</w:t>
            </w:r>
          </w:p>
        </w:tc>
        <w:tc>
          <w:tcPr>
            <w:tcW w:w="907" w:type="dxa"/>
            <w:tcBorders>
              <w:top w:val="nil"/>
              <w:left w:val="nil"/>
              <w:bottom w:val="single" w:sz="4" w:space="0" w:color="auto"/>
              <w:right w:val="single" w:sz="4" w:space="0" w:color="auto"/>
            </w:tcBorders>
            <w:shd w:val="clear" w:color="000000" w:fill="FFFFFF"/>
            <w:hideMark/>
          </w:tcPr>
          <w:p w14:paraId="4E0B5B82"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6.07</w:t>
            </w:r>
          </w:p>
        </w:tc>
        <w:tc>
          <w:tcPr>
            <w:tcW w:w="1372" w:type="dxa"/>
            <w:tcBorders>
              <w:top w:val="nil"/>
              <w:left w:val="nil"/>
              <w:bottom w:val="single" w:sz="4" w:space="0" w:color="auto"/>
              <w:right w:val="single" w:sz="4" w:space="0" w:color="auto"/>
            </w:tcBorders>
            <w:shd w:val="clear" w:color="000000" w:fill="FFFFFF"/>
            <w:hideMark/>
          </w:tcPr>
          <w:p w14:paraId="24C25C80"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0.78</w:t>
            </w:r>
          </w:p>
        </w:tc>
        <w:tc>
          <w:tcPr>
            <w:tcW w:w="1182" w:type="dxa"/>
            <w:tcBorders>
              <w:top w:val="nil"/>
              <w:left w:val="nil"/>
              <w:bottom w:val="single" w:sz="4" w:space="0" w:color="auto"/>
              <w:right w:val="single" w:sz="4" w:space="0" w:color="auto"/>
            </w:tcBorders>
            <w:shd w:val="clear" w:color="000000" w:fill="FFFFFF"/>
            <w:hideMark/>
          </w:tcPr>
          <w:p w14:paraId="4F635EE9"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w:t>
            </w:r>
          </w:p>
        </w:tc>
        <w:tc>
          <w:tcPr>
            <w:tcW w:w="1231" w:type="dxa"/>
            <w:tcBorders>
              <w:top w:val="nil"/>
              <w:left w:val="nil"/>
              <w:bottom w:val="single" w:sz="4" w:space="0" w:color="auto"/>
              <w:right w:val="single" w:sz="4" w:space="0" w:color="auto"/>
            </w:tcBorders>
            <w:shd w:val="clear" w:color="000000" w:fill="FFFFFF"/>
            <w:hideMark/>
          </w:tcPr>
          <w:p w14:paraId="323CE44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650DD373"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r w:rsidR="00EA4F9B" w:rsidRPr="00061E97" w14:paraId="78C5F097"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6B04AF31"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2DC1CE4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14</w:t>
            </w:r>
          </w:p>
        </w:tc>
        <w:tc>
          <w:tcPr>
            <w:tcW w:w="907" w:type="dxa"/>
            <w:tcBorders>
              <w:top w:val="nil"/>
              <w:left w:val="nil"/>
              <w:bottom w:val="single" w:sz="4" w:space="0" w:color="auto"/>
              <w:right w:val="single" w:sz="4" w:space="0" w:color="auto"/>
            </w:tcBorders>
            <w:shd w:val="clear" w:color="000000" w:fill="FFFFFF"/>
            <w:hideMark/>
          </w:tcPr>
          <w:p w14:paraId="7F146890"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6.07</w:t>
            </w:r>
          </w:p>
        </w:tc>
        <w:tc>
          <w:tcPr>
            <w:tcW w:w="1372" w:type="dxa"/>
            <w:tcBorders>
              <w:top w:val="nil"/>
              <w:left w:val="nil"/>
              <w:bottom w:val="single" w:sz="4" w:space="0" w:color="auto"/>
              <w:right w:val="single" w:sz="4" w:space="0" w:color="auto"/>
            </w:tcBorders>
            <w:shd w:val="clear" w:color="000000" w:fill="FFFFFF"/>
            <w:hideMark/>
          </w:tcPr>
          <w:p w14:paraId="4CFC6189"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0.78</w:t>
            </w:r>
          </w:p>
        </w:tc>
        <w:tc>
          <w:tcPr>
            <w:tcW w:w="1182" w:type="dxa"/>
            <w:tcBorders>
              <w:top w:val="nil"/>
              <w:left w:val="nil"/>
              <w:bottom w:val="single" w:sz="4" w:space="0" w:color="auto"/>
              <w:right w:val="single" w:sz="4" w:space="0" w:color="auto"/>
            </w:tcBorders>
            <w:shd w:val="clear" w:color="000000" w:fill="FFFFFF"/>
            <w:hideMark/>
          </w:tcPr>
          <w:p w14:paraId="09369D1D"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w:t>
            </w:r>
          </w:p>
        </w:tc>
        <w:tc>
          <w:tcPr>
            <w:tcW w:w="1231" w:type="dxa"/>
            <w:tcBorders>
              <w:top w:val="nil"/>
              <w:left w:val="nil"/>
              <w:bottom w:val="single" w:sz="4" w:space="0" w:color="auto"/>
              <w:right w:val="single" w:sz="4" w:space="0" w:color="auto"/>
            </w:tcBorders>
            <w:shd w:val="clear" w:color="000000" w:fill="FFFFFF"/>
            <w:hideMark/>
          </w:tcPr>
          <w:p w14:paraId="0F361AE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29B3FB8C"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r w:rsidR="00EA4F9B" w:rsidRPr="00061E97" w14:paraId="227BD994"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5CABBCAD"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4372215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15</w:t>
            </w:r>
          </w:p>
        </w:tc>
        <w:tc>
          <w:tcPr>
            <w:tcW w:w="907" w:type="dxa"/>
            <w:tcBorders>
              <w:top w:val="nil"/>
              <w:left w:val="nil"/>
              <w:bottom w:val="single" w:sz="4" w:space="0" w:color="auto"/>
              <w:right w:val="single" w:sz="4" w:space="0" w:color="auto"/>
            </w:tcBorders>
            <w:shd w:val="clear" w:color="000000" w:fill="FFFFFF"/>
            <w:hideMark/>
          </w:tcPr>
          <w:p w14:paraId="0C77224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6.1</w:t>
            </w:r>
          </w:p>
        </w:tc>
        <w:tc>
          <w:tcPr>
            <w:tcW w:w="1372" w:type="dxa"/>
            <w:tcBorders>
              <w:top w:val="nil"/>
              <w:left w:val="nil"/>
              <w:bottom w:val="single" w:sz="4" w:space="0" w:color="auto"/>
              <w:right w:val="single" w:sz="4" w:space="0" w:color="auto"/>
            </w:tcBorders>
            <w:shd w:val="clear" w:color="000000" w:fill="FFFFFF"/>
            <w:hideMark/>
          </w:tcPr>
          <w:p w14:paraId="516A3BA1"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0.76</w:t>
            </w:r>
          </w:p>
        </w:tc>
        <w:tc>
          <w:tcPr>
            <w:tcW w:w="1182" w:type="dxa"/>
            <w:tcBorders>
              <w:top w:val="nil"/>
              <w:left w:val="nil"/>
              <w:bottom w:val="single" w:sz="4" w:space="0" w:color="auto"/>
              <w:right w:val="single" w:sz="4" w:space="0" w:color="auto"/>
            </w:tcBorders>
            <w:shd w:val="clear" w:color="000000" w:fill="FFFFFF"/>
            <w:hideMark/>
          </w:tcPr>
          <w:p w14:paraId="737E80C7"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w:t>
            </w:r>
          </w:p>
        </w:tc>
        <w:tc>
          <w:tcPr>
            <w:tcW w:w="1231" w:type="dxa"/>
            <w:tcBorders>
              <w:top w:val="nil"/>
              <w:left w:val="nil"/>
              <w:bottom w:val="single" w:sz="4" w:space="0" w:color="auto"/>
              <w:right w:val="single" w:sz="4" w:space="0" w:color="auto"/>
            </w:tcBorders>
            <w:shd w:val="clear" w:color="000000" w:fill="FFFFFF"/>
            <w:hideMark/>
          </w:tcPr>
          <w:p w14:paraId="571F44B5"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659BBBAD"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r w:rsidR="00061E97" w:rsidRPr="00061E97" w14:paraId="1298F9B9" w14:textId="77777777" w:rsidTr="00EA4F9B">
        <w:trPr>
          <w:trHeight w:val="290"/>
        </w:trPr>
        <w:tc>
          <w:tcPr>
            <w:tcW w:w="19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456D4AB" w14:textId="3E9B92CD" w:rsidR="00061E97" w:rsidRPr="00061E97" w:rsidRDefault="000706D8" w:rsidP="00061E97">
            <w:pPr>
              <w:jc w:val="center"/>
              <w:rPr>
                <w:rFonts w:ascii="Arial" w:hAnsi="Arial" w:cs="Arial"/>
                <w:b/>
                <w:bCs/>
                <w:color w:val="212529"/>
                <w:sz w:val="22"/>
                <w:szCs w:val="22"/>
              </w:rPr>
            </w:pPr>
            <w:r>
              <w:rPr>
                <w:rFonts w:ascii="Arial" w:hAnsi="Arial" w:cs="Arial"/>
                <w:b/>
                <w:bCs/>
                <w:color w:val="212529"/>
                <w:sz w:val="22"/>
                <w:szCs w:val="22"/>
              </w:rPr>
              <w:t>Store Style</w:t>
            </w:r>
          </w:p>
        </w:tc>
        <w:tc>
          <w:tcPr>
            <w:tcW w:w="1037" w:type="dxa"/>
            <w:tcBorders>
              <w:top w:val="nil"/>
              <w:left w:val="nil"/>
              <w:bottom w:val="single" w:sz="4" w:space="0" w:color="auto"/>
              <w:right w:val="single" w:sz="4" w:space="0" w:color="auto"/>
            </w:tcBorders>
            <w:shd w:val="clear" w:color="000000" w:fill="FFFFFF"/>
            <w:vAlign w:val="bottom"/>
            <w:hideMark/>
          </w:tcPr>
          <w:p w14:paraId="122945B1"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16</w:t>
            </w:r>
          </w:p>
        </w:tc>
        <w:tc>
          <w:tcPr>
            <w:tcW w:w="907" w:type="dxa"/>
            <w:tcBorders>
              <w:top w:val="nil"/>
              <w:left w:val="nil"/>
              <w:bottom w:val="single" w:sz="4" w:space="0" w:color="auto"/>
              <w:right w:val="single" w:sz="4" w:space="0" w:color="auto"/>
            </w:tcBorders>
            <w:shd w:val="clear" w:color="000000" w:fill="FFFFFF"/>
            <w:hideMark/>
          </w:tcPr>
          <w:p w14:paraId="54635929"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5.83</w:t>
            </w:r>
          </w:p>
        </w:tc>
        <w:tc>
          <w:tcPr>
            <w:tcW w:w="1372" w:type="dxa"/>
            <w:tcBorders>
              <w:top w:val="nil"/>
              <w:left w:val="nil"/>
              <w:bottom w:val="single" w:sz="4" w:space="0" w:color="auto"/>
              <w:right w:val="single" w:sz="4" w:space="0" w:color="auto"/>
            </w:tcBorders>
            <w:shd w:val="clear" w:color="000000" w:fill="FFFFFF"/>
            <w:hideMark/>
          </w:tcPr>
          <w:p w14:paraId="02606D23"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0.99</w:t>
            </w:r>
          </w:p>
        </w:tc>
        <w:tc>
          <w:tcPr>
            <w:tcW w:w="1182" w:type="dxa"/>
            <w:tcBorders>
              <w:top w:val="nil"/>
              <w:left w:val="nil"/>
              <w:bottom w:val="single" w:sz="4" w:space="0" w:color="auto"/>
              <w:right w:val="single" w:sz="4" w:space="0" w:color="auto"/>
            </w:tcBorders>
            <w:shd w:val="clear" w:color="000000" w:fill="FFFFFF"/>
            <w:hideMark/>
          </w:tcPr>
          <w:p w14:paraId="48479921"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4</w:t>
            </w:r>
          </w:p>
        </w:tc>
        <w:tc>
          <w:tcPr>
            <w:tcW w:w="1231" w:type="dxa"/>
            <w:tcBorders>
              <w:top w:val="nil"/>
              <w:left w:val="nil"/>
              <w:bottom w:val="single" w:sz="4" w:space="0" w:color="auto"/>
              <w:right w:val="single" w:sz="4" w:space="0" w:color="auto"/>
            </w:tcBorders>
            <w:shd w:val="clear" w:color="000000" w:fill="FFFFFF"/>
            <w:hideMark/>
          </w:tcPr>
          <w:p w14:paraId="7DCA506B"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557C0A03"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3</w:t>
            </w:r>
          </w:p>
        </w:tc>
      </w:tr>
      <w:tr w:rsidR="00EA4F9B" w:rsidRPr="00061E97" w14:paraId="40D3FADD"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11B0DF83"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497B6BF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17</w:t>
            </w:r>
          </w:p>
        </w:tc>
        <w:tc>
          <w:tcPr>
            <w:tcW w:w="907" w:type="dxa"/>
            <w:tcBorders>
              <w:top w:val="nil"/>
              <w:left w:val="nil"/>
              <w:bottom w:val="single" w:sz="4" w:space="0" w:color="auto"/>
              <w:right w:val="single" w:sz="4" w:space="0" w:color="auto"/>
            </w:tcBorders>
            <w:shd w:val="clear" w:color="000000" w:fill="FFFFFF"/>
            <w:hideMark/>
          </w:tcPr>
          <w:p w14:paraId="1EEAF373"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5.83</w:t>
            </w:r>
          </w:p>
        </w:tc>
        <w:tc>
          <w:tcPr>
            <w:tcW w:w="1372" w:type="dxa"/>
            <w:tcBorders>
              <w:top w:val="nil"/>
              <w:left w:val="nil"/>
              <w:bottom w:val="single" w:sz="4" w:space="0" w:color="auto"/>
              <w:right w:val="single" w:sz="4" w:space="0" w:color="auto"/>
            </w:tcBorders>
            <w:shd w:val="clear" w:color="000000" w:fill="FFFFFF"/>
            <w:hideMark/>
          </w:tcPr>
          <w:p w14:paraId="368A462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0.99</w:t>
            </w:r>
          </w:p>
        </w:tc>
        <w:tc>
          <w:tcPr>
            <w:tcW w:w="1182" w:type="dxa"/>
            <w:tcBorders>
              <w:top w:val="nil"/>
              <w:left w:val="nil"/>
              <w:bottom w:val="single" w:sz="4" w:space="0" w:color="auto"/>
              <w:right w:val="single" w:sz="4" w:space="0" w:color="auto"/>
            </w:tcBorders>
            <w:shd w:val="clear" w:color="000000" w:fill="FFFFFF"/>
            <w:hideMark/>
          </w:tcPr>
          <w:p w14:paraId="71B191DE"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4</w:t>
            </w:r>
          </w:p>
        </w:tc>
        <w:tc>
          <w:tcPr>
            <w:tcW w:w="1231" w:type="dxa"/>
            <w:tcBorders>
              <w:top w:val="nil"/>
              <w:left w:val="nil"/>
              <w:bottom w:val="single" w:sz="4" w:space="0" w:color="auto"/>
              <w:right w:val="single" w:sz="4" w:space="0" w:color="auto"/>
            </w:tcBorders>
            <w:shd w:val="clear" w:color="000000" w:fill="FFFFFF"/>
            <w:hideMark/>
          </w:tcPr>
          <w:p w14:paraId="4435D3BB"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60087DEE"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3</w:t>
            </w:r>
          </w:p>
        </w:tc>
      </w:tr>
      <w:tr w:rsidR="00EA4F9B" w:rsidRPr="00061E97" w14:paraId="0FFF7343"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1F4BBD3D"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37A7958B"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18</w:t>
            </w:r>
          </w:p>
        </w:tc>
        <w:tc>
          <w:tcPr>
            <w:tcW w:w="907" w:type="dxa"/>
            <w:tcBorders>
              <w:top w:val="nil"/>
              <w:left w:val="nil"/>
              <w:bottom w:val="single" w:sz="4" w:space="0" w:color="auto"/>
              <w:right w:val="single" w:sz="4" w:space="0" w:color="auto"/>
            </w:tcBorders>
            <w:shd w:val="clear" w:color="000000" w:fill="FFFFFF"/>
            <w:hideMark/>
          </w:tcPr>
          <w:p w14:paraId="3320BACE"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6.07</w:t>
            </w:r>
          </w:p>
        </w:tc>
        <w:tc>
          <w:tcPr>
            <w:tcW w:w="1372" w:type="dxa"/>
            <w:tcBorders>
              <w:top w:val="nil"/>
              <w:left w:val="nil"/>
              <w:bottom w:val="single" w:sz="4" w:space="0" w:color="auto"/>
              <w:right w:val="single" w:sz="4" w:space="0" w:color="auto"/>
            </w:tcBorders>
            <w:shd w:val="clear" w:color="000000" w:fill="FFFFFF"/>
            <w:hideMark/>
          </w:tcPr>
          <w:p w14:paraId="09AB4B5A"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1.01</w:t>
            </w:r>
          </w:p>
        </w:tc>
        <w:tc>
          <w:tcPr>
            <w:tcW w:w="1182" w:type="dxa"/>
            <w:tcBorders>
              <w:top w:val="nil"/>
              <w:left w:val="nil"/>
              <w:bottom w:val="single" w:sz="4" w:space="0" w:color="auto"/>
              <w:right w:val="single" w:sz="4" w:space="0" w:color="auto"/>
            </w:tcBorders>
            <w:shd w:val="clear" w:color="000000" w:fill="FFFFFF"/>
            <w:hideMark/>
          </w:tcPr>
          <w:p w14:paraId="0B767F5C"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4</w:t>
            </w:r>
          </w:p>
        </w:tc>
        <w:tc>
          <w:tcPr>
            <w:tcW w:w="1231" w:type="dxa"/>
            <w:tcBorders>
              <w:top w:val="nil"/>
              <w:left w:val="nil"/>
              <w:bottom w:val="single" w:sz="4" w:space="0" w:color="auto"/>
              <w:right w:val="single" w:sz="4" w:space="0" w:color="auto"/>
            </w:tcBorders>
            <w:shd w:val="clear" w:color="000000" w:fill="FFFFFF"/>
            <w:hideMark/>
          </w:tcPr>
          <w:p w14:paraId="5C00A0B8"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1F22AACE"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3</w:t>
            </w:r>
          </w:p>
        </w:tc>
      </w:tr>
      <w:tr w:rsidR="00EA4F9B" w:rsidRPr="00061E97" w14:paraId="3A71053E"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55F57D52"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45D5A488"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19</w:t>
            </w:r>
          </w:p>
        </w:tc>
        <w:tc>
          <w:tcPr>
            <w:tcW w:w="907" w:type="dxa"/>
            <w:tcBorders>
              <w:top w:val="nil"/>
              <w:left w:val="nil"/>
              <w:bottom w:val="single" w:sz="4" w:space="0" w:color="auto"/>
              <w:right w:val="single" w:sz="4" w:space="0" w:color="auto"/>
            </w:tcBorders>
            <w:shd w:val="clear" w:color="000000" w:fill="FFFFFF"/>
            <w:hideMark/>
          </w:tcPr>
          <w:p w14:paraId="3015C4E8"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5.67</w:t>
            </w:r>
          </w:p>
        </w:tc>
        <w:tc>
          <w:tcPr>
            <w:tcW w:w="1372" w:type="dxa"/>
            <w:tcBorders>
              <w:top w:val="nil"/>
              <w:left w:val="nil"/>
              <w:bottom w:val="single" w:sz="4" w:space="0" w:color="auto"/>
              <w:right w:val="single" w:sz="4" w:space="0" w:color="auto"/>
            </w:tcBorders>
            <w:shd w:val="clear" w:color="000000" w:fill="FFFFFF"/>
            <w:hideMark/>
          </w:tcPr>
          <w:p w14:paraId="4E2FC768"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1.09</w:t>
            </w:r>
          </w:p>
        </w:tc>
        <w:tc>
          <w:tcPr>
            <w:tcW w:w="1182" w:type="dxa"/>
            <w:tcBorders>
              <w:top w:val="nil"/>
              <w:left w:val="nil"/>
              <w:bottom w:val="single" w:sz="4" w:space="0" w:color="auto"/>
              <w:right w:val="single" w:sz="4" w:space="0" w:color="auto"/>
            </w:tcBorders>
            <w:shd w:val="clear" w:color="000000" w:fill="FFFFFF"/>
            <w:hideMark/>
          </w:tcPr>
          <w:p w14:paraId="1A01B36E"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4</w:t>
            </w:r>
          </w:p>
        </w:tc>
        <w:tc>
          <w:tcPr>
            <w:tcW w:w="1231" w:type="dxa"/>
            <w:tcBorders>
              <w:top w:val="nil"/>
              <w:left w:val="nil"/>
              <w:bottom w:val="single" w:sz="4" w:space="0" w:color="auto"/>
              <w:right w:val="single" w:sz="4" w:space="0" w:color="auto"/>
            </w:tcBorders>
            <w:shd w:val="clear" w:color="000000" w:fill="FFFFFF"/>
            <w:hideMark/>
          </w:tcPr>
          <w:p w14:paraId="4E4D43D9"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0530C137"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3</w:t>
            </w:r>
          </w:p>
        </w:tc>
      </w:tr>
      <w:tr w:rsidR="00061E97" w:rsidRPr="00061E97" w14:paraId="10622AE0" w14:textId="77777777" w:rsidTr="00EA4F9B">
        <w:trPr>
          <w:trHeight w:val="290"/>
        </w:trPr>
        <w:tc>
          <w:tcPr>
            <w:tcW w:w="19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1CE2E016" w14:textId="77777777" w:rsidR="00061E97" w:rsidRPr="00061E97" w:rsidRDefault="00061E97" w:rsidP="00061E97">
            <w:pPr>
              <w:jc w:val="center"/>
              <w:rPr>
                <w:rFonts w:ascii="Arial" w:hAnsi="Arial" w:cs="Arial"/>
                <w:b/>
                <w:bCs/>
                <w:color w:val="212529"/>
                <w:sz w:val="22"/>
                <w:szCs w:val="22"/>
              </w:rPr>
            </w:pPr>
            <w:r w:rsidRPr="00061E97">
              <w:rPr>
                <w:rFonts w:ascii="Arial" w:hAnsi="Arial" w:cs="Arial"/>
                <w:b/>
                <w:bCs/>
                <w:color w:val="212529"/>
                <w:sz w:val="22"/>
                <w:szCs w:val="22"/>
              </w:rPr>
              <w:t>Store Familarity1</w:t>
            </w:r>
          </w:p>
        </w:tc>
        <w:tc>
          <w:tcPr>
            <w:tcW w:w="1037" w:type="dxa"/>
            <w:tcBorders>
              <w:top w:val="nil"/>
              <w:left w:val="nil"/>
              <w:bottom w:val="single" w:sz="4" w:space="0" w:color="auto"/>
              <w:right w:val="single" w:sz="4" w:space="0" w:color="auto"/>
            </w:tcBorders>
            <w:shd w:val="clear" w:color="000000" w:fill="FFFFFF"/>
            <w:vAlign w:val="bottom"/>
            <w:hideMark/>
          </w:tcPr>
          <w:p w14:paraId="46BB672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20</w:t>
            </w:r>
          </w:p>
        </w:tc>
        <w:tc>
          <w:tcPr>
            <w:tcW w:w="907" w:type="dxa"/>
            <w:tcBorders>
              <w:top w:val="nil"/>
              <w:left w:val="nil"/>
              <w:bottom w:val="single" w:sz="4" w:space="0" w:color="auto"/>
              <w:right w:val="single" w:sz="4" w:space="0" w:color="auto"/>
            </w:tcBorders>
            <w:shd w:val="clear" w:color="000000" w:fill="FFFFFF"/>
            <w:hideMark/>
          </w:tcPr>
          <w:p w14:paraId="1E7262F3"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6.2</w:t>
            </w:r>
          </w:p>
        </w:tc>
        <w:tc>
          <w:tcPr>
            <w:tcW w:w="1372" w:type="dxa"/>
            <w:tcBorders>
              <w:top w:val="nil"/>
              <w:left w:val="nil"/>
              <w:bottom w:val="single" w:sz="4" w:space="0" w:color="auto"/>
              <w:right w:val="single" w:sz="4" w:space="0" w:color="auto"/>
            </w:tcBorders>
            <w:shd w:val="clear" w:color="000000" w:fill="FFFFFF"/>
            <w:hideMark/>
          </w:tcPr>
          <w:p w14:paraId="254AB4D5"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0.81</w:t>
            </w:r>
          </w:p>
        </w:tc>
        <w:tc>
          <w:tcPr>
            <w:tcW w:w="1182" w:type="dxa"/>
            <w:tcBorders>
              <w:top w:val="nil"/>
              <w:left w:val="nil"/>
              <w:bottom w:val="single" w:sz="4" w:space="0" w:color="auto"/>
              <w:right w:val="single" w:sz="4" w:space="0" w:color="auto"/>
            </w:tcBorders>
            <w:shd w:val="clear" w:color="000000" w:fill="FFFFFF"/>
            <w:hideMark/>
          </w:tcPr>
          <w:p w14:paraId="3E081DD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w:t>
            </w:r>
          </w:p>
        </w:tc>
        <w:tc>
          <w:tcPr>
            <w:tcW w:w="1231" w:type="dxa"/>
            <w:tcBorders>
              <w:top w:val="nil"/>
              <w:left w:val="nil"/>
              <w:bottom w:val="single" w:sz="4" w:space="0" w:color="auto"/>
              <w:right w:val="single" w:sz="4" w:space="0" w:color="auto"/>
            </w:tcBorders>
            <w:shd w:val="clear" w:color="000000" w:fill="FFFFFF"/>
            <w:hideMark/>
          </w:tcPr>
          <w:p w14:paraId="586D2EAC"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6FA46276"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r w:rsidR="00EA4F9B" w:rsidRPr="00061E97" w14:paraId="52CF71FB"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21139D55"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08878413"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21</w:t>
            </w:r>
          </w:p>
        </w:tc>
        <w:tc>
          <w:tcPr>
            <w:tcW w:w="907" w:type="dxa"/>
            <w:tcBorders>
              <w:top w:val="nil"/>
              <w:left w:val="nil"/>
              <w:bottom w:val="single" w:sz="4" w:space="0" w:color="auto"/>
              <w:right w:val="single" w:sz="4" w:space="0" w:color="auto"/>
            </w:tcBorders>
            <w:shd w:val="clear" w:color="000000" w:fill="FFFFFF"/>
            <w:hideMark/>
          </w:tcPr>
          <w:p w14:paraId="51E2773C"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4.93</w:t>
            </w:r>
          </w:p>
        </w:tc>
        <w:tc>
          <w:tcPr>
            <w:tcW w:w="1372" w:type="dxa"/>
            <w:tcBorders>
              <w:top w:val="nil"/>
              <w:left w:val="nil"/>
              <w:bottom w:val="single" w:sz="4" w:space="0" w:color="auto"/>
              <w:right w:val="single" w:sz="4" w:space="0" w:color="auto"/>
            </w:tcBorders>
            <w:shd w:val="clear" w:color="000000" w:fill="FFFFFF"/>
            <w:hideMark/>
          </w:tcPr>
          <w:p w14:paraId="78052AA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0.78</w:t>
            </w:r>
          </w:p>
        </w:tc>
        <w:tc>
          <w:tcPr>
            <w:tcW w:w="1182" w:type="dxa"/>
            <w:tcBorders>
              <w:top w:val="nil"/>
              <w:left w:val="nil"/>
              <w:bottom w:val="single" w:sz="4" w:space="0" w:color="auto"/>
              <w:right w:val="single" w:sz="4" w:space="0" w:color="auto"/>
            </w:tcBorders>
            <w:shd w:val="clear" w:color="000000" w:fill="FFFFFF"/>
            <w:hideMark/>
          </w:tcPr>
          <w:p w14:paraId="79437F5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4</w:t>
            </w:r>
          </w:p>
        </w:tc>
        <w:tc>
          <w:tcPr>
            <w:tcW w:w="1231" w:type="dxa"/>
            <w:tcBorders>
              <w:top w:val="nil"/>
              <w:left w:val="nil"/>
              <w:bottom w:val="single" w:sz="4" w:space="0" w:color="auto"/>
              <w:right w:val="single" w:sz="4" w:space="0" w:color="auto"/>
            </w:tcBorders>
            <w:shd w:val="clear" w:color="000000" w:fill="FFFFFF"/>
            <w:hideMark/>
          </w:tcPr>
          <w:p w14:paraId="2D7A4CD5"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w:t>
            </w:r>
          </w:p>
        </w:tc>
        <w:tc>
          <w:tcPr>
            <w:tcW w:w="992" w:type="dxa"/>
            <w:tcBorders>
              <w:top w:val="nil"/>
              <w:left w:val="nil"/>
              <w:bottom w:val="single" w:sz="4" w:space="0" w:color="auto"/>
              <w:right w:val="single" w:sz="4" w:space="0" w:color="auto"/>
            </w:tcBorders>
            <w:shd w:val="clear" w:color="000000" w:fill="FFFFFF"/>
            <w:hideMark/>
          </w:tcPr>
          <w:p w14:paraId="47E261D1"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r w:rsidR="00EA4F9B" w:rsidRPr="00061E97" w14:paraId="66484831"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7B5488F7"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75176350"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22</w:t>
            </w:r>
          </w:p>
        </w:tc>
        <w:tc>
          <w:tcPr>
            <w:tcW w:w="907" w:type="dxa"/>
            <w:tcBorders>
              <w:top w:val="nil"/>
              <w:left w:val="nil"/>
              <w:bottom w:val="single" w:sz="4" w:space="0" w:color="auto"/>
              <w:right w:val="single" w:sz="4" w:space="0" w:color="auto"/>
            </w:tcBorders>
            <w:shd w:val="clear" w:color="000000" w:fill="FFFFFF"/>
            <w:hideMark/>
          </w:tcPr>
          <w:p w14:paraId="1D49F05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4.87</w:t>
            </w:r>
          </w:p>
        </w:tc>
        <w:tc>
          <w:tcPr>
            <w:tcW w:w="1372" w:type="dxa"/>
            <w:tcBorders>
              <w:top w:val="nil"/>
              <w:left w:val="nil"/>
              <w:bottom w:val="single" w:sz="4" w:space="0" w:color="auto"/>
              <w:right w:val="single" w:sz="4" w:space="0" w:color="auto"/>
            </w:tcBorders>
            <w:shd w:val="clear" w:color="000000" w:fill="FFFFFF"/>
            <w:hideMark/>
          </w:tcPr>
          <w:p w14:paraId="38972D2D"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0.73</w:t>
            </w:r>
          </w:p>
        </w:tc>
        <w:tc>
          <w:tcPr>
            <w:tcW w:w="1182" w:type="dxa"/>
            <w:tcBorders>
              <w:top w:val="nil"/>
              <w:left w:val="nil"/>
              <w:bottom w:val="single" w:sz="4" w:space="0" w:color="auto"/>
              <w:right w:val="single" w:sz="4" w:space="0" w:color="auto"/>
            </w:tcBorders>
            <w:shd w:val="clear" w:color="000000" w:fill="FFFFFF"/>
            <w:hideMark/>
          </w:tcPr>
          <w:p w14:paraId="1AACE7D3"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3</w:t>
            </w:r>
          </w:p>
        </w:tc>
        <w:tc>
          <w:tcPr>
            <w:tcW w:w="1231" w:type="dxa"/>
            <w:tcBorders>
              <w:top w:val="nil"/>
              <w:left w:val="nil"/>
              <w:bottom w:val="single" w:sz="4" w:space="0" w:color="auto"/>
              <w:right w:val="single" w:sz="4" w:space="0" w:color="auto"/>
            </w:tcBorders>
            <w:shd w:val="clear" w:color="000000" w:fill="FFFFFF"/>
            <w:hideMark/>
          </w:tcPr>
          <w:p w14:paraId="76464046"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w:t>
            </w:r>
          </w:p>
        </w:tc>
        <w:tc>
          <w:tcPr>
            <w:tcW w:w="992" w:type="dxa"/>
            <w:tcBorders>
              <w:top w:val="nil"/>
              <w:left w:val="nil"/>
              <w:bottom w:val="single" w:sz="4" w:space="0" w:color="auto"/>
              <w:right w:val="single" w:sz="4" w:space="0" w:color="auto"/>
            </w:tcBorders>
            <w:shd w:val="clear" w:color="000000" w:fill="FFFFFF"/>
            <w:hideMark/>
          </w:tcPr>
          <w:p w14:paraId="001CA73C"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3</w:t>
            </w:r>
          </w:p>
        </w:tc>
      </w:tr>
      <w:tr w:rsidR="00061E97" w:rsidRPr="00061E97" w14:paraId="7473AB30" w14:textId="77777777" w:rsidTr="00EA4F9B">
        <w:trPr>
          <w:trHeight w:val="290"/>
        </w:trPr>
        <w:tc>
          <w:tcPr>
            <w:tcW w:w="19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7E065DC2" w14:textId="585D3D67" w:rsidR="00061E97" w:rsidRPr="00061E97" w:rsidRDefault="000706D8" w:rsidP="00061E97">
            <w:pPr>
              <w:jc w:val="center"/>
              <w:rPr>
                <w:rFonts w:ascii="Arial" w:hAnsi="Arial" w:cs="Arial"/>
                <w:b/>
                <w:bCs/>
                <w:color w:val="212529"/>
                <w:sz w:val="22"/>
                <w:szCs w:val="22"/>
              </w:rPr>
            </w:pPr>
            <w:r>
              <w:rPr>
                <w:rFonts w:ascii="Arial" w:hAnsi="Arial" w:cs="Arial"/>
                <w:b/>
                <w:bCs/>
                <w:color w:val="212529"/>
                <w:sz w:val="22"/>
                <w:szCs w:val="22"/>
              </w:rPr>
              <w:t>Store Settlement</w:t>
            </w:r>
          </w:p>
        </w:tc>
        <w:tc>
          <w:tcPr>
            <w:tcW w:w="1037" w:type="dxa"/>
            <w:tcBorders>
              <w:top w:val="nil"/>
              <w:left w:val="nil"/>
              <w:bottom w:val="single" w:sz="4" w:space="0" w:color="auto"/>
              <w:right w:val="single" w:sz="4" w:space="0" w:color="auto"/>
            </w:tcBorders>
            <w:shd w:val="clear" w:color="000000" w:fill="FFFFFF"/>
            <w:vAlign w:val="bottom"/>
            <w:hideMark/>
          </w:tcPr>
          <w:p w14:paraId="5547E186"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23</w:t>
            </w:r>
          </w:p>
        </w:tc>
        <w:tc>
          <w:tcPr>
            <w:tcW w:w="907" w:type="dxa"/>
            <w:tcBorders>
              <w:top w:val="nil"/>
              <w:left w:val="nil"/>
              <w:bottom w:val="single" w:sz="4" w:space="0" w:color="auto"/>
              <w:right w:val="single" w:sz="4" w:space="0" w:color="auto"/>
            </w:tcBorders>
            <w:shd w:val="clear" w:color="000000" w:fill="FFFFFF"/>
            <w:hideMark/>
          </w:tcPr>
          <w:p w14:paraId="41A3A9D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5.77</w:t>
            </w:r>
          </w:p>
        </w:tc>
        <w:tc>
          <w:tcPr>
            <w:tcW w:w="1372" w:type="dxa"/>
            <w:tcBorders>
              <w:top w:val="nil"/>
              <w:left w:val="nil"/>
              <w:bottom w:val="single" w:sz="4" w:space="0" w:color="auto"/>
              <w:right w:val="single" w:sz="4" w:space="0" w:color="auto"/>
            </w:tcBorders>
            <w:shd w:val="clear" w:color="000000" w:fill="FFFFFF"/>
            <w:hideMark/>
          </w:tcPr>
          <w:p w14:paraId="3EB8A1D5"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1.01</w:t>
            </w:r>
          </w:p>
        </w:tc>
        <w:tc>
          <w:tcPr>
            <w:tcW w:w="1182" w:type="dxa"/>
            <w:tcBorders>
              <w:top w:val="nil"/>
              <w:left w:val="nil"/>
              <w:bottom w:val="single" w:sz="4" w:space="0" w:color="auto"/>
              <w:right w:val="single" w:sz="4" w:space="0" w:color="auto"/>
            </w:tcBorders>
            <w:shd w:val="clear" w:color="000000" w:fill="FFFFFF"/>
            <w:hideMark/>
          </w:tcPr>
          <w:p w14:paraId="4C254FB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3</w:t>
            </w:r>
          </w:p>
        </w:tc>
        <w:tc>
          <w:tcPr>
            <w:tcW w:w="1231" w:type="dxa"/>
            <w:tcBorders>
              <w:top w:val="nil"/>
              <w:left w:val="nil"/>
              <w:bottom w:val="single" w:sz="4" w:space="0" w:color="auto"/>
              <w:right w:val="single" w:sz="4" w:space="0" w:color="auto"/>
            </w:tcBorders>
            <w:shd w:val="clear" w:color="000000" w:fill="FFFFFF"/>
            <w:hideMark/>
          </w:tcPr>
          <w:p w14:paraId="4E6F98BD"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2A43572A"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4</w:t>
            </w:r>
          </w:p>
        </w:tc>
      </w:tr>
      <w:tr w:rsidR="00EA4F9B" w:rsidRPr="00061E97" w14:paraId="15BF4AEA"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147B54D7"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5A726E15"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24</w:t>
            </w:r>
          </w:p>
        </w:tc>
        <w:tc>
          <w:tcPr>
            <w:tcW w:w="907" w:type="dxa"/>
            <w:tcBorders>
              <w:top w:val="nil"/>
              <w:left w:val="nil"/>
              <w:bottom w:val="single" w:sz="4" w:space="0" w:color="auto"/>
              <w:right w:val="single" w:sz="4" w:space="0" w:color="auto"/>
            </w:tcBorders>
            <w:shd w:val="clear" w:color="000000" w:fill="FFFFFF"/>
            <w:hideMark/>
          </w:tcPr>
          <w:p w14:paraId="72F5FB62"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5.77</w:t>
            </w:r>
          </w:p>
        </w:tc>
        <w:tc>
          <w:tcPr>
            <w:tcW w:w="1372" w:type="dxa"/>
            <w:tcBorders>
              <w:top w:val="nil"/>
              <w:left w:val="nil"/>
              <w:bottom w:val="single" w:sz="4" w:space="0" w:color="auto"/>
              <w:right w:val="single" w:sz="4" w:space="0" w:color="auto"/>
            </w:tcBorders>
            <w:shd w:val="clear" w:color="000000" w:fill="FFFFFF"/>
            <w:hideMark/>
          </w:tcPr>
          <w:p w14:paraId="61B9E40C"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1.01</w:t>
            </w:r>
          </w:p>
        </w:tc>
        <w:tc>
          <w:tcPr>
            <w:tcW w:w="1182" w:type="dxa"/>
            <w:tcBorders>
              <w:top w:val="nil"/>
              <w:left w:val="nil"/>
              <w:bottom w:val="single" w:sz="4" w:space="0" w:color="auto"/>
              <w:right w:val="single" w:sz="4" w:space="0" w:color="auto"/>
            </w:tcBorders>
            <w:shd w:val="clear" w:color="000000" w:fill="FFFFFF"/>
            <w:hideMark/>
          </w:tcPr>
          <w:p w14:paraId="336E8D88"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3</w:t>
            </w:r>
          </w:p>
        </w:tc>
        <w:tc>
          <w:tcPr>
            <w:tcW w:w="1231" w:type="dxa"/>
            <w:tcBorders>
              <w:top w:val="nil"/>
              <w:left w:val="nil"/>
              <w:bottom w:val="single" w:sz="4" w:space="0" w:color="auto"/>
              <w:right w:val="single" w:sz="4" w:space="0" w:color="auto"/>
            </w:tcBorders>
            <w:shd w:val="clear" w:color="000000" w:fill="FFFFFF"/>
            <w:hideMark/>
          </w:tcPr>
          <w:p w14:paraId="333866D6"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15CDDDB6"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4</w:t>
            </w:r>
          </w:p>
        </w:tc>
      </w:tr>
      <w:tr w:rsidR="00EA4F9B" w:rsidRPr="00061E97" w14:paraId="1AA38994"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66A9A489"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1519F816"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25</w:t>
            </w:r>
          </w:p>
        </w:tc>
        <w:tc>
          <w:tcPr>
            <w:tcW w:w="907" w:type="dxa"/>
            <w:tcBorders>
              <w:top w:val="nil"/>
              <w:left w:val="nil"/>
              <w:bottom w:val="single" w:sz="4" w:space="0" w:color="auto"/>
              <w:right w:val="single" w:sz="4" w:space="0" w:color="auto"/>
            </w:tcBorders>
            <w:shd w:val="clear" w:color="000000" w:fill="FFFFFF"/>
            <w:hideMark/>
          </w:tcPr>
          <w:p w14:paraId="204F0F1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5.73</w:t>
            </w:r>
          </w:p>
        </w:tc>
        <w:tc>
          <w:tcPr>
            <w:tcW w:w="1372" w:type="dxa"/>
            <w:tcBorders>
              <w:top w:val="nil"/>
              <w:left w:val="nil"/>
              <w:bottom w:val="single" w:sz="4" w:space="0" w:color="auto"/>
              <w:right w:val="single" w:sz="4" w:space="0" w:color="auto"/>
            </w:tcBorders>
            <w:shd w:val="clear" w:color="000000" w:fill="FFFFFF"/>
            <w:hideMark/>
          </w:tcPr>
          <w:p w14:paraId="140236C1"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1.05</w:t>
            </w:r>
          </w:p>
        </w:tc>
        <w:tc>
          <w:tcPr>
            <w:tcW w:w="1182" w:type="dxa"/>
            <w:tcBorders>
              <w:top w:val="nil"/>
              <w:left w:val="nil"/>
              <w:bottom w:val="single" w:sz="4" w:space="0" w:color="auto"/>
              <w:right w:val="single" w:sz="4" w:space="0" w:color="auto"/>
            </w:tcBorders>
            <w:shd w:val="clear" w:color="000000" w:fill="FFFFFF"/>
            <w:hideMark/>
          </w:tcPr>
          <w:p w14:paraId="33FB3E57"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3</w:t>
            </w:r>
          </w:p>
        </w:tc>
        <w:tc>
          <w:tcPr>
            <w:tcW w:w="1231" w:type="dxa"/>
            <w:tcBorders>
              <w:top w:val="nil"/>
              <w:left w:val="nil"/>
              <w:bottom w:val="single" w:sz="4" w:space="0" w:color="auto"/>
              <w:right w:val="single" w:sz="4" w:space="0" w:color="auto"/>
            </w:tcBorders>
            <w:shd w:val="clear" w:color="000000" w:fill="FFFFFF"/>
            <w:hideMark/>
          </w:tcPr>
          <w:p w14:paraId="48935A3C"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57F98657"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4</w:t>
            </w:r>
          </w:p>
        </w:tc>
      </w:tr>
      <w:tr w:rsidR="00EA4F9B" w:rsidRPr="00061E97" w14:paraId="12292C5A"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0EE1C1AB"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05CF7ADE"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26</w:t>
            </w:r>
          </w:p>
        </w:tc>
        <w:tc>
          <w:tcPr>
            <w:tcW w:w="907" w:type="dxa"/>
            <w:tcBorders>
              <w:top w:val="nil"/>
              <w:left w:val="nil"/>
              <w:bottom w:val="single" w:sz="4" w:space="0" w:color="auto"/>
              <w:right w:val="single" w:sz="4" w:space="0" w:color="auto"/>
            </w:tcBorders>
            <w:shd w:val="clear" w:color="000000" w:fill="FFFFFF"/>
            <w:hideMark/>
          </w:tcPr>
          <w:p w14:paraId="03A93D8A"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6.2</w:t>
            </w:r>
          </w:p>
        </w:tc>
        <w:tc>
          <w:tcPr>
            <w:tcW w:w="1372" w:type="dxa"/>
            <w:tcBorders>
              <w:top w:val="nil"/>
              <w:left w:val="nil"/>
              <w:bottom w:val="single" w:sz="4" w:space="0" w:color="auto"/>
              <w:right w:val="single" w:sz="4" w:space="0" w:color="auto"/>
            </w:tcBorders>
            <w:shd w:val="clear" w:color="000000" w:fill="FFFFFF"/>
            <w:hideMark/>
          </w:tcPr>
          <w:p w14:paraId="0EAA9507"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0.81</w:t>
            </w:r>
          </w:p>
        </w:tc>
        <w:tc>
          <w:tcPr>
            <w:tcW w:w="1182" w:type="dxa"/>
            <w:tcBorders>
              <w:top w:val="nil"/>
              <w:left w:val="nil"/>
              <w:bottom w:val="single" w:sz="4" w:space="0" w:color="auto"/>
              <w:right w:val="single" w:sz="4" w:space="0" w:color="auto"/>
            </w:tcBorders>
            <w:shd w:val="clear" w:color="000000" w:fill="FFFFFF"/>
            <w:hideMark/>
          </w:tcPr>
          <w:p w14:paraId="4123E25E"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w:t>
            </w:r>
          </w:p>
        </w:tc>
        <w:tc>
          <w:tcPr>
            <w:tcW w:w="1231" w:type="dxa"/>
            <w:tcBorders>
              <w:top w:val="nil"/>
              <w:left w:val="nil"/>
              <w:bottom w:val="single" w:sz="4" w:space="0" w:color="auto"/>
              <w:right w:val="single" w:sz="4" w:space="0" w:color="auto"/>
            </w:tcBorders>
            <w:shd w:val="clear" w:color="000000" w:fill="FFFFFF"/>
            <w:hideMark/>
          </w:tcPr>
          <w:p w14:paraId="18B00C2A"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34CF5CD5"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r w:rsidR="00061E97" w:rsidRPr="00061E97" w14:paraId="505B9FC9" w14:textId="77777777" w:rsidTr="00EA4F9B">
        <w:trPr>
          <w:trHeight w:val="290"/>
        </w:trPr>
        <w:tc>
          <w:tcPr>
            <w:tcW w:w="19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50972B6C" w14:textId="6E3686C1" w:rsidR="00061E97" w:rsidRPr="00061E97" w:rsidRDefault="00864CB2" w:rsidP="00061E97">
            <w:pPr>
              <w:jc w:val="center"/>
              <w:rPr>
                <w:rFonts w:ascii="Arial" w:hAnsi="Arial" w:cs="Arial"/>
                <w:b/>
                <w:bCs/>
                <w:color w:val="212529"/>
                <w:sz w:val="22"/>
                <w:szCs w:val="22"/>
              </w:rPr>
            </w:pPr>
            <w:r>
              <w:rPr>
                <w:rFonts w:ascii="Arial" w:hAnsi="Arial" w:cs="Arial"/>
                <w:b/>
                <w:bCs/>
                <w:color w:val="212529"/>
                <w:sz w:val="22"/>
                <w:szCs w:val="22"/>
              </w:rPr>
              <w:t>Intentions</w:t>
            </w:r>
            <w:r w:rsidR="00061E97" w:rsidRPr="00061E97">
              <w:rPr>
                <w:rFonts w:ascii="Arial" w:hAnsi="Arial" w:cs="Arial"/>
                <w:b/>
                <w:bCs/>
                <w:color w:val="212529"/>
                <w:sz w:val="22"/>
                <w:szCs w:val="22"/>
              </w:rPr>
              <w:t xml:space="preserve"> to Buy</w:t>
            </w:r>
          </w:p>
        </w:tc>
        <w:tc>
          <w:tcPr>
            <w:tcW w:w="1037" w:type="dxa"/>
            <w:tcBorders>
              <w:top w:val="nil"/>
              <w:left w:val="nil"/>
              <w:bottom w:val="single" w:sz="4" w:space="0" w:color="auto"/>
              <w:right w:val="single" w:sz="4" w:space="0" w:color="auto"/>
            </w:tcBorders>
            <w:shd w:val="clear" w:color="000000" w:fill="FFFFFF"/>
            <w:vAlign w:val="bottom"/>
            <w:hideMark/>
          </w:tcPr>
          <w:p w14:paraId="5269A6F3"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27</w:t>
            </w:r>
          </w:p>
        </w:tc>
        <w:tc>
          <w:tcPr>
            <w:tcW w:w="907" w:type="dxa"/>
            <w:tcBorders>
              <w:top w:val="nil"/>
              <w:left w:val="nil"/>
              <w:bottom w:val="single" w:sz="4" w:space="0" w:color="auto"/>
              <w:right w:val="single" w:sz="4" w:space="0" w:color="auto"/>
            </w:tcBorders>
            <w:shd w:val="clear" w:color="000000" w:fill="FFFFFF"/>
            <w:hideMark/>
          </w:tcPr>
          <w:p w14:paraId="3A36948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6.2</w:t>
            </w:r>
          </w:p>
        </w:tc>
        <w:tc>
          <w:tcPr>
            <w:tcW w:w="1372" w:type="dxa"/>
            <w:tcBorders>
              <w:top w:val="nil"/>
              <w:left w:val="nil"/>
              <w:bottom w:val="single" w:sz="4" w:space="0" w:color="auto"/>
              <w:right w:val="single" w:sz="4" w:space="0" w:color="auto"/>
            </w:tcBorders>
            <w:shd w:val="clear" w:color="000000" w:fill="FFFFFF"/>
            <w:hideMark/>
          </w:tcPr>
          <w:p w14:paraId="5AEC566E"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0.81</w:t>
            </w:r>
          </w:p>
        </w:tc>
        <w:tc>
          <w:tcPr>
            <w:tcW w:w="1182" w:type="dxa"/>
            <w:tcBorders>
              <w:top w:val="nil"/>
              <w:left w:val="nil"/>
              <w:bottom w:val="single" w:sz="4" w:space="0" w:color="auto"/>
              <w:right w:val="single" w:sz="4" w:space="0" w:color="auto"/>
            </w:tcBorders>
            <w:shd w:val="clear" w:color="000000" w:fill="FFFFFF"/>
            <w:hideMark/>
          </w:tcPr>
          <w:p w14:paraId="37BCA8EE"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w:t>
            </w:r>
          </w:p>
        </w:tc>
        <w:tc>
          <w:tcPr>
            <w:tcW w:w="1231" w:type="dxa"/>
            <w:tcBorders>
              <w:top w:val="nil"/>
              <w:left w:val="nil"/>
              <w:bottom w:val="single" w:sz="4" w:space="0" w:color="auto"/>
              <w:right w:val="single" w:sz="4" w:space="0" w:color="auto"/>
            </w:tcBorders>
            <w:shd w:val="clear" w:color="000000" w:fill="FFFFFF"/>
            <w:hideMark/>
          </w:tcPr>
          <w:p w14:paraId="5BA98CAC"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12869700"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r w:rsidR="00EA4F9B" w:rsidRPr="00061E97" w14:paraId="0213AA74"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660DB21E"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36770968"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28</w:t>
            </w:r>
          </w:p>
        </w:tc>
        <w:tc>
          <w:tcPr>
            <w:tcW w:w="907" w:type="dxa"/>
            <w:tcBorders>
              <w:top w:val="nil"/>
              <w:left w:val="nil"/>
              <w:bottom w:val="single" w:sz="4" w:space="0" w:color="auto"/>
              <w:right w:val="single" w:sz="4" w:space="0" w:color="auto"/>
            </w:tcBorders>
            <w:shd w:val="clear" w:color="000000" w:fill="FFFFFF"/>
            <w:hideMark/>
          </w:tcPr>
          <w:p w14:paraId="0FB0B2D3"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6.37</w:t>
            </w:r>
          </w:p>
        </w:tc>
        <w:tc>
          <w:tcPr>
            <w:tcW w:w="1372" w:type="dxa"/>
            <w:tcBorders>
              <w:top w:val="nil"/>
              <w:left w:val="nil"/>
              <w:bottom w:val="single" w:sz="4" w:space="0" w:color="auto"/>
              <w:right w:val="single" w:sz="4" w:space="0" w:color="auto"/>
            </w:tcBorders>
            <w:shd w:val="clear" w:color="000000" w:fill="FFFFFF"/>
            <w:hideMark/>
          </w:tcPr>
          <w:p w14:paraId="08C90C8B"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0.76</w:t>
            </w:r>
          </w:p>
        </w:tc>
        <w:tc>
          <w:tcPr>
            <w:tcW w:w="1182" w:type="dxa"/>
            <w:tcBorders>
              <w:top w:val="nil"/>
              <w:left w:val="nil"/>
              <w:bottom w:val="single" w:sz="4" w:space="0" w:color="auto"/>
              <w:right w:val="single" w:sz="4" w:space="0" w:color="auto"/>
            </w:tcBorders>
            <w:shd w:val="clear" w:color="000000" w:fill="FFFFFF"/>
            <w:hideMark/>
          </w:tcPr>
          <w:p w14:paraId="23F2D357"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w:t>
            </w:r>
          </w:p>
        </w:tc>
        <w:tc>
          <w:tcPr>
            <w:tcW w:w="1231" w:type="dxa"/>
            <w:tcBorders>
              <w:top w:val="nil"/>
              <w:left w:val="nil"/>
              <w:bottom w:val="single" w:sz="4" w:space="0" w:color="auto"/>
              <w:right w:val="single" w:sz="4" w:space="0" w:color="auto"/>
            </w:tcBorders>
            <w:shd w:val="clear" w:color="000000" w:fill="FFFFFF"/>
            <w:hideMark/>
          </w:tcPr>
          <w:p w14:paraId="35A275D7"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348F8CA7"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r w:rsidR="00EA4F9B" w:rsidRPr="00061E97" w14:paraId="0DE1F4AF"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477ED811"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6833D94B"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29</w:t>
            </w:r>
          </w:p>
        </w:tc>
        <w:tc>
          <w:tcPr>
            <w:tcW w:w="907" w:type="dxa"/>
            <w:tcBorders>
              <w:top w:val="nil"/>
              <w:left w:val="nil"/>
              <w:bottom w:val="single" w:sz="4" w:space="0" w:color="auto"/>
              <w:right w:val="single" w:sz="4" w:space="0" w:color="auto"/>
            </w:tcBorders>
            <w:shd w:val="clear" w:color="000000" w:fill="FFFFFF"/>
            <w:hideMark/>
          </w:tcPr>
          <w:p w14:paraId="28241047"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6.07</w:t>
            </w:r>
          </w:p>
        </w:tc>
        <w:tc>
          <w:tcPr>
            <w:tcW w:w="1372" w:type="dxa"/>
            <w:tcBorders>
              <w:top w:val="nil"/>
              <w:left w:val="nil"/>
              <w:bottom w:val="single" w:sz="4" w:space="0" w:color="auto"/>
              <w:right w:val="single" w:sz="4" w:space="0" w:color="auto"/>
            </w:tcBorders>
            <w:shd w:val="clear" w:color="000000" w:fill="FFFFFF"/>
            <w:hideMark/>
          </w:tcPr>
          <w:p w14:paraId="0A913B3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0.78</w:t>
            </w:r>
          </w:p>
        </w:tc>
        <w:tc>
          <w:tcPr>
            <w:tcW w:w="1182" w:type="dxa"/>
            <w:tcBorders>
              <w:top w:val="nil"/>
              <w:left w:val="nil"/>
              <w:bottom w:val="single" w:sz="4" w:space="0" w:color="auto"/>
              <w:right w:val="single" w:sz="4" w:space="0" w:color="auto"/>
            </w:tcBorders>
            <w:shd w:val="clear" w:color="000000" w:fill="FFFFFF"/>
            <w:hideMark/>
          </w:tcPr>
          <w:p w14:paraId="0098F157"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w:t>
            </w:r>
          </w:p>
        </w:tc>
        <w:tc>
          <w:tcPr>
            <w:tcW w:w="1231" w:type="dxa"/>
            <w:tcBorders>
              <w:top w:val="nil"/>
              <w:left w:val="nil"/>
              <w:bottom w:val="single" w:sz="4" w:space="0" w:color="auto"/>
              <w:right w:val="single" w:sz="4" w:space="0" w:color="auto"/>
            </w:tcBorders>
            <w:shd w:val="clear" w:color="000000" w:fill="FFFFFF"/>
            <w:hideMark/>
          </w:tcPr>
          <w:p w14:paraId="066F59F8"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78DB3DE2"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r w:rsidR="00EA4F9B" w:rsidRPr="00061E97" w14:paraId="52CF0E91" w14:textId="77777777" w:rsidTr="00EA4F9B">
        <w:trPr>
          <w:trHeight w:val="290"/>
        </w:trPr>
        <w:tc>
          <w:tcPr>
            <w:tcW w:w="1928" w:type="dxa"/>
            <w:vMerge/>
            <w:tcBorders>
              <w:top w:val="nil"/>
              <w:left w:val="single" w:sz="4" w:space="0" w:color="auto"/>
              <w:bottom w:val="single" w:sz="4" w:space="0" w:color="auto"/>
              <w:right w:val="single" w:sz="4" w:space="0" w:color="auto"/>
            </w:tcBorders>
            <w:vAlign w:val="center"/>
            <w:hideMark/>
          </w:tcPr>
          <w:p w14:paraId="30748F41" w14:textId="77777777" w:rsidR="00061E97" w:rsidRPr="00061E97" w:rsidRDefault="00061E97" w:rsidP="00061E97">
            <w:pPr>
              <w:rPr>
                <w:rFonts w:ascii="Arial" w:hAnsi="Arial" w:cs="Arial"/>
                <w:b/>
                <w:bCs/>
                <w:color w:val="212529"/>
                <w:sz w:val="22"/>
                <w:szCs w:val="22"/>
              </w:rPr>
            </w:pPr>
          </w:p>
        </w:tc>
        <w:tc>
          <w:tcPr>
            <w:tcW w:w="1037" w:type="dxa"/>
            <w:tcBorders>
              <w:top w:val="nil"/>
              <w:left w:val="nil"/>
              <w:bottom w:val="single" w:sz="4" w:space="0" w:color="auto"/>
              <w:right w:val="single" w:sz="4" w:space="0" w:color="auto"/>
            </w:tcBorders>
            <w:shd w:val="clear" w:color="000000" w:fill="FFFFFF"/>
            <w:vAlign w:val="bottom"/>
            <w:hideMark/>
          </w:tcPr>
          <w:p w14:paraId="02A87481"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Item 30</w:t>
            </w:r>
          </w:p>
        </w:tc>
        <w:tc>
          <w:tcPr>
            <w:tcW w:w="907" w:type="dxa"/>
            <w:tcBorders>
              <w:top w:val="nil"/>
              <w:left w:val="nil"/>
              <w:bottom w:val="single" w:sz="4" w:space="0" w:color="auto"/>
              <w:right w:val="single" w:sz="4" w:space="0" w:color="auto"/>
            </w:tcBorders>
            <w:shd w:val="clear" w:color="000000" w:fill="FFFFFF"/>
            <w:hideMark/>
          </w:tcPr>
          <w:p w14:paraId="138A1BB5"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6.07</w:t>
            </w:r>
          </w:p>
        </w:tc>
        <w:tc>
          <w:tcPr>
            <w:tcW w:w="1372" w:type="dxa"/>
            <w:tcBorders>
              <w:top w:val="nil"/>
              <w:left w:val="nil"/>
              <w:bottom w:val="single" w:sz="4" w:space="0" w:color="auto"/>
              <w:right w:val="single" w:sz="4" w:space="0" w:color="auto"/>
            </w:tcBorders>
            <w:shd w:val="clear" w:color="000000" w:fill="FFFFFF"/>
            <w:hideMark/>
          </w:tcPr>
          <w:p w14:paraId="3455B3FE"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0.78</w:t>
            </w:r>
          </w:p>
        </w:tc>
        <w:tc>
          <w:tcPr>
            <w:tcW w:w="1182" w:type="dxa"/>
            <w:tcBorders>
              <w:top w:val="nil"/>
              <w:left w:val="nil"/>
              <w:bottom w:val="single" w:sz="4" w:space="0" w:color="auto"/>
              <w:right w:val="single" w:sz="4" w:space="0" w:color="auto"/>
            </w:tcBorders>
            <w:shd w:val="clear" w:color="000000" w:fill="FFFFFF"/>
            <w:hideMark/>
          </w:tcPr>
          <w:p w14:paraId="56E6DB75"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5</w:t>
            </w:r>
          </w:p>
        </w:tc>
        <w:tc>
          <w:tcPr>
            <w:tcW w:w="1231" w:type="dxa"/>
            <w:tcBorders>
              <w:top w:val="nil"/>
              <w:left w:val="nil"/>
              <w:bottom w:val="single" w:sz="4" w:space="0" w:color="auto"/>
              <w:right w:val="single" w:sz="4" w:space="0" w:color="auto"/>
            </w:tcBorders>
            <w:shd w:val="clear" w:color="000000" w:fill="FFFFFF"/>
            <w:hideMark/>
          </w:tcPr>
          <w:p w14:paraId="717DFC94"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7</w:t>
            </w:r>
          </w:p>
        </w:tc>
        <w:tc>
          <w:tcPr>
            <w:tcW w:w="992" w:type="dxa"/>
            <w:tcBorders>
              <w:top w:val="nil"/>
              <w:left w:val="nil"/>
              <w:bottom w:val="single" w:sz="4" w:space="0" w:color="auto"/>
              <w:right w:val="single" w:sz="4" w:space="0" w:color="auto"/>
            </w:tcBorders>
            <w:shd w:val="clear" w:color="000000" w:fill="FFFFFF"/>
            <w:hideMark/>
          </w:tcPr>
          <w:p w14:paraId="094FBB3F" w14:textId="77777777" w:rsidR="00061E97" w:rsidRPr="00061E97" w:rsidRDefault="00061E97" w:rsidP="00061E97">
            <w:pPr>
              <w:jc w:val="center"/>
              <w:rPr>
                <w:rFonts w:ascii="Arial" w:hAnsi="Arial" w:cs="Arial"/>
                <w:color w:val="212529"/>
                <w:sz w:val="22"/>
                <w:szCs w:val="22"/>
              </w:rPr>
            </w:pPr>
            <w:r w:rsidRPr="00061E97">
              <w:rPr>
                <w:rFonts w:ascii="Arial" w:hAnsi="Arial" w:cs="Arial"/>
                <w:color w:val="212529"/>
                <w:sz w:val="22"/>
                <w:szCs w:val="22"/>
              </w:rPr>
              <w:t>2</w:t>
            </w:r>
          </w:p>
        </w:tc>
      </w:tr>
    </w:tbl>
    <w:p w14:paraId="4E82ADE9" w14:textId="5D6AA1D4" w:rsidR="00C16535" w:rsidRDefault="00C16535" w:rsidP="005F7DF9">
      <w:pPr>
        <w:pStyle w:val="BodyText"/>
        <w:tabs>
          <w:tab w:val="left" w:pos="180"/>
        </w:tabs>
        <w:kinsoku w:val="0"/>
        <w:overflowPunct w:val="0"/>
        <w:snapToGrid w:val="0"/>
        <w:spacing w:line="360" w:lineRule="auto"/>
        <w:rPr>
          <w:rFonts w:ascii="Arial" w:hAnsi="Arial" w:cs="Arial"/>
          <w:sz w:val="24"/>
          <w:szCs w:val="24"/>
          <w:lang w:val="en-HK"/>
        </w:rPr>
      </w:pPr>
      <w:r w:rsidRPr="00A31E5D">
        <w:rPr>
          <w:rFonts w:ascii="Arial" w:hAnsi="Arial" w:cs="Arial"/>
          <w:sz w:val="24"/>
          <w:szCs w:val="24"/>
          <w:lang w:val="en-HK"/>
        </w:rPr>
        <w:t> </w:t>
      </w:r>
    </w:p>
    <w:p w14:paraId="1D311BED" w14:textId="77777777" w:rsidR="00C8559B" w:rsidRDefault="00C8559B" w:rsidP="005F7DF9">
      <w:pPr>
        <w:pStyle w:val="BodyText"/>
        <w:tabs>
          <w:tab w:val="left" w:pos="180"/>
        </w:tabs>
        <w:kinsoku w:val="0"/>
        <w:overflowPunct w:val="0"/>
        <w:snapToGrid w:val="0"/>
        <w:spacing w:line="360" w:lineRule="auto"/>
        <w:rPr>
          <w:rFonts w:ascii="Arial" w:hAnsi="Arial" w:cs="Arial"/>
          <w:sz w:val="24"/>
          <w:szCs w:val="24"/>
          <w:lang w:val="en-HK"/>
        </w:rPr>
      </w:pPr>
    </w:p>
    <w:p w14:paraId="66CED85A" w14:textId="33AEB789" w:rsidR="00A351E2" w:rsidRPr="00A31E5D" w:rsidRDefault="00A351E2" w:rsidP="00A351E2">
      <w:pPr>
        <w:pStyle w:val="BodyText"/>
        <w:tabs>
          <w:tab w:val="left" w:pos="180"/>
        </w:tabs>
        <w:kinsoku w:val="0"/>
        <w:overflowPunct w:val="0"/>
        <w:snapToGrid w:val="0"/>
        <w:spacing w:line="360" w:lineRule="auto"/>
        <w:ind w:right="39"/>
        <w:jc w:val="both"/>
        <w:rPr>
          <w:rFonts w:ascii="Arial" w:hAnsi="Arial" w:cs="Arial"/>
          <w:spacing w:val="-7"/>
          <w:sz w:val="24"/>
          <w:szCs w:val="24"/>
        </w:rPr>
      </w:pPr>
      <w:r w:rsidRPr="0083463B">
        <w:rPr>
          <w:rFonts w:ascii="Arial" w:hAnsi="Arial" w:cs="Arial"/>
        </w:rPr>
        <w:t>Table-</w:t>
      </w:r>
      <w:r w:rsidR="00C72A9A">
        <w:rPr>
          <w:rFonts w:ascii="Arial" w:hAnsi="Arial" w:cs="Arial"/>
        </w:rPr>
        <w:t>6</w:t>
      </w:r>
      <w:r w:rsidRPr="00A351E2">
        <w:rPr>
          <w:rFonts w:ascii="Arial" w:hAnsi="Arial" w:cs="Arial"/>
        </w:rPr>
        <w:t xml:space="preserve"> Box plot</w:t>
      </w:r>
    </w:p>
    <w:p w14:paraId="67C486BF" w14:textId="2CC79D31" w:rsidR="00A351E2" w:rsidRDefault="00A351E2" w:rsidP="00AC761C">
      <w:pPr>
        <w:pStyle w:val="BodyText"/>
        <w:tabs>
          <w:tab w:val="left" w:pos="180"/>
        </w:tabs>
        <w:kinsoku w:val="0"/>
        <w:overflowPunct w:val="0"/>
        <w:snapToGrid w:val="0"/>
        <w:spacing w:line="360" w:lineRule="auto"/>
        <w:rPr>
          <w:rFonts w:ascii="Arial" w:hAnsi="Arial" w:cs="Arial"/>
          <w:sz w:val="24"/>
          <w:szCs w:val="24"/>
        </w:rPr>
      </w:pPr>
      <w:r>
        <w:rPr>
          <w:rFonts w:ascii="Arial" w:hAnsi="Arial" w:cs="Arial"/>
          <w:noProof/>
          <w:sz w:val="24"/>
          <w:szCs w:val="24"/>
        </w:rPr>
        <w:drawing>
          <wp:inline distT="0" distB="0" distL="0" distR="0" wp14:anchorId="00E61D92" wp14:editId="02F75D9C">
            <wp:extent cx="5943600" cy="4121150"/>
            <wp:effectExtent l="19050" t="19050" r="19050" b="12700"/>
            <wp:docPr id="786682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682116" name="Picture 786682116"/>
                    <pic:cNvPicPr/>
                  </pic:nvPicPr>
                  <pic:blipFill>
                    <a:blip r:embed="rId15"/>
                    <a:stretch>
                      <a:fillRect/>
                    </a:stretch>
                  </pic:blipFill>
                  <pic:spPr>
                    <a:xfrm>
                      <a:off x="0" y="0"/>
                      <a:ext cx="5943600" cy="4121150"/>
                    </a:xfrm>
                    <a:prstGeom prst="rect">
                      <a:avLst/>
                    </a:prstGeom>
                    <a:ln>
                      <a:solidFill>
                        <a:schemeClr val="tx1"/>
                      </a:solidFill>
                    </a:ln>
                  </pic:spPr>
                </pic:pic>
              </a:graphicData>
            </a:graphic>
          </wp:inline>
        </w:drawing>
      </w:r>
    </w:p>
    <w:p w14:paraId="22B97842" w14:textId="77777777" w:rsidR="00A351E2" w:rsidRDefault="00A351E2" w:rsidP="00AC761C">
      <w:pPr>
        <w:pStyle w:val="BodyText"/>
        <w:tabs>
          <w:tab w:val="left" w:pos="180"/>
        </w:tabs>
        <w:kinsoku w:val="0"/>
        <w:overflowPunct w:val="0"/>
        <w:snapToGrid w:val="0"/>
        <w:spacing w:line="360" w:lineRule="auto"/>
        <w:rPr>
          <w:rFonts w:ascii="Arial" w:hAnsi="Arial" w:cs="Arial"/>
          <w:sz w:val="24"/>
          <w:szCs w:val="24"/>
        </w:rPr>
      </w:pPr>
    </w:p>
    <w:p w14:paraId="5D1ECAE1" w14:textId="77777777" w:rsidR="00A351E2" w:rsidRDefault="00A351E2" w:rsidP="00AC761C">
      <w:pPr>
        <w:pStyle w:val="BodyText"/>
        <w:tabs>
          <w:tab w:val="left" w:pos="180"/>
        </w:tabs>
        <w:kinsoku w:val="0"/>
        <w:overflowPunct w:val="0"/>
        <w:snapToGrid w:val="0"/>
        <w:spacing w:line="360" w:lineRule="auto"/>
        <w:rPr>
          <w:rFonts w:ascii="Arial" w:hAnsi="Arial" w:cs="Arial"/>
          <w:sz w:val="24"/>
          <w:szCs w:val="24"/>
        </w:rPr>
      </w:pPr>
    </w:p>
    <w:p w14:paraId="08B48722" w14:textId="04AB4195" w:rsidR="00A351E2" w:rsidRDefault="00A351E2" w:rsidP="00AC761C">
      <w:pPr>
        <w:pStyle w:val="BodyText"/>
        <w:tabs>
          <w:tab w:val="left" w:pos="180"/>
        </w:tabs>
        <w:kinsoku w:val="0"/>
        <w:overflowPunct w:val="0"/>
        <w:snapToGrid w:val="0"/>
        <w:spacing w:line="360" w:lineRule="auto"/>
        <w:rPr>
          <w:rFonts w:ascii="Arial" w:hAnsi="Arial" w:cs="Arial"/>
        </w:rPr>
      </w:pPr>
      <w:r w:rsidRPr="00A351E2">
        <w:rPr>
          <w:rFonts w:ascii="Arial" w:hAnsi="Arial" w:cs="Arial"/>
        </w:rPr>
        <w:t>Table-</w:t>
      </w:r>
      <w:r w:rsidR="00C72A9A">
        <w:rPr>
          <w:rFonts w:ascii="Arial" w:hAnsi="Arial" w:cs="Arial"/>
        </w:rPr>
        <w:t>7</w:t>
      </w:r>
      <w:r>
        <w:rPr>
          <w:rFonts w:ascii="Arial" w:hAnsi="Arial" w:cs="Arial"/>
        </w:rPr>
        <w:t xml:space="preserve"> Q</w:t>
      </w:r>
      <w:r w:rsidRPr="00A351E2">
        <w:rPr>
          <w:rFonts w:ascii="Arial" w:hAnsi="Arial" w:cs="Arial"/>
        </w:rPr>
        <w:t>uantile-Quantile Plot.</w:t>
      </w:r>
    </w:p>
    <w:p w14:paraId="73F07A47" w14:textId="78FD6129" w:rsidR="00A351E2" w:rsidRDefault="00A351E2" w:rsidP="00AC761C">
      <w:pPr>
        <w:pStyle w:val="BodyText"/>
        <w:tabs>
          <w:tab w:val="left" w:pos="180"/>
        </w:tabs>
        <w:kinsoku w:val="0"/>
        <w:overflowPunct w:val="0"/>
        <w:snapToGrid w:val="0"/>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2B854BD8" wp14:editId="307E31AD">
            <wp:extent cx="5943600" cy="4121150"/>
            <wp:effectExtent l="19050" t="19050" r="19050" b="12700"/>
            <wp:docPr id="1332386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386938" name="Picture 1332386938"/>
                    <pic:cNvPicPr/>
                  </pic:nvPicPr>
                  <pic:blipFill>
                    <a:blip r:embed="rId16"/>
                    <a:stretch>
                      <a:fillRect/>
                    </a:stretch>
                  </pic:blipFill>
                  <pic:spPr>
                    <a:xfrm>
                      <a:off x="0" y="0"/>
                      <a:ext cx="5943600" cy="4121150"/>
                    </a:xfrm>
                    <a:prstGeom prst="rect">
                      <a:avLst/>
                    </a:prstGeom>
                    <a:ln>
                      <a:solidFill>
                        <a:schemeClr val="tx1"/>
                      </a:solidFill>
                    </a:ln>
                  </pic:spPr>
                </pic:pic>
              </a:graphicData>
            </a:graphic>
          </wp:inline>
        </w:drawing>
      </w:r>
    </w:p>
    <w:p w14:paraId="03A0D29C" w14:textId="77777777" w:rsidR="00A351E2" w:rsidRDefault="00A351E2" w:rsidP="00AC761C">
      <w:pPr>
        <w:pStyle w:val="BodyText"/>
        <w:tabs>
          <w:tab w:val="left" w:pos="180"/>
        </w:tabs>
        <w:kinsoku w:val="0"/>
        <w:overflowPunct w:val="0"/>
        <w:snapToGrid w:val="0"/>
        <w:spacing w:line="360" w:lineRule="auto"/>
        <w:rPr>
          <w:rFonts w:ascii="Arial" w:hAnsi="Arial" w:cs="Arial"/>
          <w:sz w:val="24"/>
          <w:szCs w:val="24"/>
        </w:rPr>
      </w:pPr>
    </w:p>
    <w:p w14:paraId="45E7C647" w14:textId="06CE0992" w:rsidR="009552C6" w:rsidRDefault="004A5151" w:rsidP="00AC761C">
      <w:pPr>
        <w:pStyle w:val="BodyText"/>
        <w:tabs>
          <w:tab w:val="left" w:pos="180"/>
        </w:tabs>
        <w:kinsoku w:val="0"/>
        <w:overflowPunct w:val="0"/>
        <w:snapToGrid w:val="0"/>
        <w:spacing w:line="360" w:lineRule="auto"/>
        <w:rPr>
          <w:rFonts w:ascii="Arial" w:hAnsi="Arial" w:cs="Arial"/>
          <w:sz w:val="24"/>
          <w:szCs w:val="24"/>
        </w:rPr>
      </w:pPr>
      <w:r w:rsidRPr="004A5151">
        <w:rPr>
          <w:rFonts w:ascii="Arial" w:hAnsi="Arial" w:cs="Arial"/>
          <w:sz w:val="24"/>
          <w:szCs w:val="24"/>
        </w:rPr>
        <w:t>The next step was to assess the inter-question reliability using Cronbach's Alpha, as described in (George and Mallery, 2003).  Each question that makes up the set is known as an item on the scale.  Thus, Cronbach's alpha provides a way to evaluate a scale's reliability by looking at its internal consistency.  When the value is greater than 0.9, it is deemed important since it suggests that there are too many comparable features and the same thing is being produced.  Here is Table-8 from (George and Mallery, 2003) that can be used as a guide for interpreting Cronbach's alpha.  The results of Cronbach's Alpha for 7 factors are presented in Table-9, and the breakdown of those results is presented in Table-10.</w:t>
      </w:r>
    </w:p>
    <w:p w14:paraId="049CAA93" w14:textId="77777777" w:rsidR="004A5151" w:rsidRDefault="004A5151" w:rsidP="00AC761C">
      <w:pPr>
        <w:pStyle w:val="BodyText"/>
        <w:tabs>
          <w:tab w:val="left" w:pos="180"/>
        </w:tabs>
        <w:kinsoku w:val="0"/>
        <w:overflowPunct w:val="0"/>
        <w:snapToGrid w:val="0"/>
        <w:spacing w:line="360" w:lineRule="auto"/>
        <w:rPr>
          <w:rFonts w:ascii="Arial" w:hAnsi="Arial" w:cs="Arial"/>
          <w:sz w:val="24"/>
          <w:szCs w:val="24"/>
          <w:lang w:val="en-HK"/>
        </w:rPr>
      </w:pPr>
    </w:p>
    <w:p w14:paraId="2A0AB006" w14:textId="13FD29AC" w:rsidR="009552C6" w:rsidRPr="00D65EFD" w:rsidRDefault="009552C6" w:rsidP="00AC761C">
      <w:pPr>
        <w:pStyle w:val="BodyText"/>
        <w:tabs>
          <w:tab w:val="left" w:pos="180"/>
        </w:tabs>
        <w:kinsoku w:val="0"/>
        <w:overflowPunct w:val="0"/>
        <w:snapToGrid w:val="0"/>
        <w:spacing w:line="360" w:lineRule="auto"/>
        <w:rPr>
          <w:rFonts w:ascii="Arial" w:hAnsi="Arial" w:cs="Arial"/>
          <w:sz w:val="24"/>
          <w:szCs w:val="24"/>
          <w:lang w:val="en-HK"/>
        </w:rPr>
      </w:pPr>
      <w:r>
        <w:rPr>
          <w:rFonts w:ascii="Arial" w:hAnsi="Arial" w:cs="Arial"/>
          <w:sz w:val="24"/>
          <w:szCs w:val="24"/>
          <w:lang w:val="en-HK"/>
        </w:rPr>
        <w:t>Table-</w:t>
      </w:r>
      <w:r w:rsidR="00C72A9A">
        <w:rPr>
          <w:rFonts w:ascii="Arial" w:hAnsi="Arial" w:cs="Arial"/>
          <w:sz w:val="24"/>
          <w:szCs w:val="24"/>
          <w:lang w:val="en-HK"/>
        </w:rPr>
        <w:t>8</w:t>
      </w:r>
      <w:r>
        <w:rPr>
          <w:rFonts w:ascii="Arial" w:hAnsi="Arial" w:cs="Arial"/>
          <w:sz w:val="24"/>
          <w:szCs w:val="24"/>
          <w:lang w:val="en-HK"/>
        </w:rPr>
        <w:t xml:space="preserve"> R</w:t>
      </w:r>
      <w:r w:rsidRPr="00D65EFD">
        <w:rPr>
          <w:rFonts w:ascii="Arial" w:hAnsi="Arial" w:cs="Arial"/>
          <w:sz w:val="24"/>
          <w:szCs w:val="24"/>
          <w:lang w:val="en-HK"/>
        </w:rPr>
        <w:t xml:space="preserve">ule of </w:t>
      </w:r>
      <w:r>
        <w:rPr>
          <w:rFonts w:ascii="Arial" w:hAnsi="Arial" w:cs="Arial"/>
          <w:sz w:val="24"/>
          <w:szCs w:val="24"/>
          <w:lang w:val="en-HK"/>
        </w:rPr>
        <w:t>T</w:t>
      </w:r>
      <w:r w:rsidRPr="00D65EFD">
        <w:rPr>
          <w:rFonts w:ascii="Arial" w:hAnsi="Arial" w:cs="Arial"/>
          <w:sz w:val="24"/>
          <w:szCs w:val="24"/>
          <w:lang w:val="en-HK"/>
        </w:rPr>
        <w:t>humb</w:t>
      </w:r>
      <w:r>
        <w:rPr>
          <w:rFonts w:ascii="Arial" w:hAnsi="Arial" w:cs="Arial"/>
          <w:sz w:val="24"/>
          <w:szCs w:val="24"/>
          <w:lang w:val="en-HK"/>
        </w:rPr>
        <w:t xml:space="preserve"> of </w:t>
      </w:r>
      <w:r>
        <w:rPr>
          <w:rFonts w:ascii="Arial" w:hAnsi="Arial" w:cs="Arial"/>
          <w:sz w:val="24"/>
          <w:szCs w:val="24"/>
        </w:rPr>
        <w:t xml:space="preserve">the </w:t>
      </w:r>
      <w:r w:rsidRPr="004B1B02">
        <w:rPr>
          <w:rFonts w:ascii="Arial" w:hAnsi="Arial" w:cs="Arial"/>
          <w:sz w:val="24"/>
          <w:szCs w:val="24"/>
        </w:rPr>
        <w:t>Cronbach's Alpha</w:t>
      </w:r>
    </w:p>
    <w:tbl>
      <w:tblPr>
        <w:tblW w:w="4149" w:type="dxa"/>
        <w:tblLook w:val="04A0" w:firstRow="1" w:lastRow="0" w:firstColumn="1" w:lastColumn="0" w:noHBand="0" w:noVBand="1"/>
      </w:tblPr>
      <w:tblGrid>
        <w:gridCol w:w="2515"/>
        <w:gridCol w:w="1634"/>
      </w:tblGrid>
      <w:tr w:rsidR="00AC761C" w:rsidRPr="00666C89" w14:paraId="46206E15" w14:textId="77777777" w:rsidTr="00037593">
        <w:trPr>
          <w:trHeight w:val="290"/>
        </w:trPr>
        <w:tc>
          <w:tcPr>
            <w:tcW w:w="25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78CA5" w14:textId="48280887" w:rsidR="00AC761C" w:rsidRPr="00666C89" w:rsidRDefault="00037593" w:rsidP="00E571F9">
            <w:pPr>
              <w:jc w:val="center"/>
              <w:rPr>
                <w:rFonts w:ascii="Arial" w:hAnsi="Arial" w:cs="Arial"/>
                <w:b/>
                <w:bCs/>
                <w:color w:val="000000"/>
                <w:sz w:val="22"/>
                <w:szCs w:val="22"/>
              </w:rPr>
            </w:pPr>
            <w:r w:rsidRPr="00666C89">
              <w:rPr>
                <w:rFonts w:ascii="Arial" w:hAnsi="Arial" w:cs="Arial"/>
                <w:b/>
                <w:bCs/>
                <w:color w:val="000000"/>
                <w:sz w:val="22"/>
                <w:szCs w:val="22"/>
              </w:rPr>
              <w:t>Cronbach’s</w:t>
            </w:r>
            <w:r w:rsidR="00AC761C" w:rsidRPr="00666C89">
              <w:rPr>
                <w:rFonts w:ascii="Arial" w:hAnsi="Arial" w:cs="Arial"/>
                <w:b/>
                <w:bCs/>
                <w:color w:val="000000"/>
                <w:sz w:val="22"/>
                <w:szCs w:val="22"/>
              </w:rPr>
              <w:t xml:space="preserve"> Alpha</w:t>
            </w:r>
          </w:p>
        </w:tc>
        <w:tc>
          <w:tcPr>
            <w:tcW w:w="1634" w:type="dxa"/>
            <w:tcBorders>
              <w:top w:val="single" w:sz="4" w:space="0" w:color="auto"/>
              <w:left w:val="nil"/>
              <w:bottom w:val="single" w:sz="4" w:space="0" w:color="auto"/>
              <w:right w:val="single" w:sz="4" w:space="0" w:color="auto"/>
            </w:tcBorders>
            <w:shd w:val="clear" w:color="auto" w:fill="auto"/>
            <w:noWrap/>
            <w:vAlign w:val="bottom"/>
            <w:hideMark/>
          </w:tcPr>
          <w:p w14:paraId="31DB5389" w14:textId="77777777" w:rsidR="00AC761C" w:rsidRPr="00666C89" w:rsidRDefault="00AC761C" w:rsidP="00E571F9">
            <w:pPr>
              <w:rPr>
                <w:rFonts w:ascii="Arial" w:hAnsi="Arial" w:cs="Arial"/>
                <w:b/>
                <w:bCs/>
                <w:color w:val="000000"/>
                <w:sz w:val="22"/>
                <w:szCs w:val="22"/>
              </w:rPr>
            </w:pPr>
            <w:r w:rsidRPr="00666C89">
              <w:rPr>
                <w:rFonts w:ascii="Arial" w:hAnsi="Arial" w:cs="Arial"/>
                <w:b/>
                <w:bCs/>
                <w:color w:val="000000"/>
                <w:sz w:val="22"/>
                <w:szCs w:val="22"/>
              </w:rPr>
              <w:t>Interpretation</w:t>
            </w:r>
          </w:p>
        </w:tc>
      </w:tr>
      <w:tr w:rsidR="00AC761C" w:rsidRPr="00666C89" w14:paraId="7896DEDD" w14:textId="77777777" w:rsidTr="00037593">
        <w:trPr>
          <w:trHeight w:val="290"/>
        </w:trPr>
        <w:tc>
          <w:tcPr>
            <w:tcW w:w="2515" w:type="dxa"/>
            <w:tcBorders>
              <w:top w:val="nil"/>
              <w:left w:val="single" w:sz="4" w:space="0" w:color="auto"/>
              <w:bottom w:val="single" w:sz="4" w:space="0" w:color="auto"/>
              <w:right w:val="single" w:sz="4" w:space="0" w:color="auto"/>
            </w:tcBorders>
            <w:shd w:val="clear" w:color="auto" w:fill="auto"/>
            <w:noWrap/>
            <w:vAlign w:val="center"/>
            <w:hideMark/>
          </w:tcPr>
          <w:p w14:paraId="652C0820" w14:textId="77777777" w:rsidR="00AC761C" w:rsidRPr="00666C89" w:rsidRDefault="00AC761C" w:rsidP="00E571F9">
            <w:pPr>
              <w:jc w:val="center"/>
              <w:rPr>
                <w:rFonts w:ascii="Arial" w:hAnsi="Arial" w:cs="Arial"/>
                <w:color w:val="000000"/>
                <w:sz w:val="22"/>
                <w:szCs w:val="22"/>
              </w:rPr>
            </w:pPr>
            <w:r w:rsidRPr="00666C89">
              <w:rPr>
                <w:rFonts w:ascii="Arial" w:hAnsi="Arial" w:cs="Arial"/>
                <w:color w:val="000000"/>
                <w:sz w:val="22"/>
                <w:szCs w:val="22"/>
              </w:rPr>
              <w:t>&gt; 0.9</w:t>
            </w:r>
          </w:p>
        </w:tc>
        <w:tc>
          <w:tcPr>
            <w:tcW w:w="1634" w:type="dxa"/>
            <w:tcBorders>
              <w:top w:val="nil"/>
              <w:left w:val="nil"/>
              <w:bottom w:val="single" w:sz="4" w:space="0" w:color="auto"/>
              <w:right w:val="single" w:sz="4" w:space="0" w:color="auto"/>
            </w:tcBorders>
            <w:shd w:val="clear" w:color="auto" w:fill="auto"/>
            <w:noWrap/>
            <w:vAlign w:val="bottom"/>
            <w:hideMark/>
          </w:tcPr>
          <w:p w14:paraId="65408E10" w14:textId="77777777" w:rsidR="00AC761C" w:rsidRPr="00666C89" w:rsidRDefault="00AC761C" w:rsidP="00E571F9">
            <w:pPr>
              <w:rPr>
                <w:rFonts w:ascii="Arial" w:hAnsi="Arial" w:cs="Arial"/>
                <w:color w:val="000000"/>
                <w:sz w:val="22"/>
                <w:szCs w:val="22"/>
              </w:rPr>
            </w:pPr>
            <w:r w:rsidRPr="00666C89">
              <w:rPr>
                <w:rFonts w:ascii="Arial" w:hAnsi="Arial" w:cs="Arial"/>
                <w:color w:val="000000"/>
                <w:sz w:val="22"/>
                <w:szCs w:val="22"/>
              </w:rPr>
              <w:t>Excellent</w:t>
            </w:r>
          </w:p>
        </w:tc>
      </w:tr>
      <w:tr w:rsidR="00AC761C" w:rsidRPr="00666C89" w14:paraId="0A5C48AD" w14:textId="77777777" w:rsidTr="00037593">
        <w:trPr>
          <w:trHeight w:val="290"/>
        </w:trPr>
        <w:tc>
          <w:tcPr>
            <w:tcW w:w="2515" w:type="dxa"/>
            <w:tcBorders>
              <w:top w:val="nil"/>
              <w:left w:val="single" w:sz="4" w:space="0" w:color="auto"/>
              <w:bottom w:val="single" w:sz="4" w:space="0" w:color="auto"/>
              <w:right w:val="single" w:sz="4" w:space="0" w:color="auto"/>
            </w:tcBorders>
            <w:shd w:val="clear" w:color="auto" w:fill="auto"/>
            <w:noWrap/>
            <w:vAlign w:val="center"/>
            <w:hideMark/>
          </w:tcPr>
          <w:p w14:paraId="4EF0C96F" w14:textId="77777777" w:rsidR="00AC761C" w:rsidRPr="00666C89" w:rsidRDefault="00AC761C" w:rsidP="00E571F9">
            <w:pPr>
              <w:jc w:val="center"/>
              <w:rPr>
                <w:rFonts w:ascii="Arial" w:hAnsi="Arial" w:cs="Arial"/>
                <w:color w:val="000000"/>
                <w:sz w:val="22"/>
                <w:szCs w:val="22"/>
              </w:rPr>
            </w:pPr>
            <w:r w:rsidRPr="00666C89">
              <w:rPr>
                <w:rFonts w:ascii="Arial" w:hAnsi="Arial" w:cs="Arial"/>
                <w:color w:val="000000"/>
                <w:sz w:val="22"/>
                <w:szCs w:val="22"/>
              </w:rPr>
              <w:t>&gt; 0.8</w:t>
            </w:r>
          </w:p>
        </w:tc>
        <w:tc>
          <w:tcPr>
            <w:tcW w:w="1634" w:type="dxa"/>
            <w:tcBorders>
              <w:top w:val="nil"/>
              <w:left w:val="nil"/>
              <w:bottom w:val="single" w:sz="4" w:space="0" w:color="auto"/>
              <w:right w:val="single" w:sz="4" w:space="0" w:color="auto"/>
            </w:tcBorders>
            <w:shd w:val="clear" w:color="auto" w:fill="auto"/>
            <w:noWrap/>
            <w:vAlign w:val="bottom"/>
            <w:hideMark/>
          </w:tcPr>
          <w:p w14:paraId="066C78A0" w14:textId="77777777" w:rsidR="00AC761C" w:rsidRPr="00666C89" w:rsidRDefault="00AC761C" w:rsidP="00E571F9">
            <w:pPr>
              <w:rPr>
                <w:rFonts w:ascii="Arial" w:hAnsi="Arial" w:cs="Arial"/>
                <w:color w:val="000000"/>
                <w:sz w:val="22"/>
                <w:szCs w:val="22"/>
              </w:rPr>
            </w:pPr>
            <w:r w:rsidRPr="00666C89">
              <w:rPr>
                <w:rFonts w:ascii="Arial" w:hAnsi="Arial" w:cs="Arial"/>
                <w:color w:val="000000"/>
                <w:sz w:val="22"/>
                <w:szCs w:val="22"/>
              </w:rPr>
              <w:t>Good</w:t>
            </w:r>
          </w:p>
        </w:tc>
      </w:tr>
      <w:tr w:rsidR="00AC761C" w:rsidRPr="00666C89" w14:paraId="3D81BFEC" w14:textId="77777777" w:rsidTr="00037593">
        <w:trPr>
          <w:trHeight w:val="290"/>
        </w:trPr>
        <w:tc>
          <w:tcPr>
            <w:tcW w:w="2515" w:type="dxa"/>
            <w:tcBorders>
              <w:top w:val="nil"/>
              <w:left w:val="single" w:sz="4" w:space="0" w:color="auto"/>
              <w:bottom w:val="single" w:sz="4" w:space="0" w:color="auto"/>
              <w:right w:val="single" w:sz="4" w:space="0" w:color="auto"/>
            </w:tcBorders>
            <w:shd w:val="clear" w:color="auto" w:fill="auto"/>
            <w:noWrap/>
            <w:vAlign w:val="center"/>
            <w:hideMark/>
          </w:tcPr>
          <w:p w14:paraId="115CD151" w14:textId="77777777" w:rsidR="00AC761C" w:rsidRPr="00666C89" w:rsidRDefault="00AC761C" w:rsidP="00E571F9">
            <w:pPr>
              <w:jc w:val="center"/>
              <w:rPr>
                <w:rFonts w:ascii="Arial" w:hAnsi="Arial" w:cs="Arial"/>
                <w:color w:val="000000"/>
                <w:sz w:val="22"/>
                <w:szCs w:val="22"/>
              </w:rPr>
            </w:pPr>
            <w:r w:rsidRPr="00666C89">
              <w:rPr>
                <w:rFonts w:ascii="Arial" w:hAnsi="Arial" w:cs="Arial"/>
                <w:color w:val="000000"/>
                <w:sz w:val="22"/>
                <w:szCs w:val="22"/>
              </w:rPr>
              <w:t>&gt; 0.7</w:t>
            </w:r>
          </w:p>
        </w:tc>
        <w:tc>
          <w:tcPr>
            <w:tcW w:w="1634" w:type="dxa"/>
            <w:tcBorders>
              <w:top w:val="nil"/>
              <w:left w:val="nil"/>
              <w:bottom w:val="single" w:sz="4" w:space="0" w:color="auto"/>
              <w:right w:val="single" w:sz="4" w:space="0" w:color="auto"/>
            </w:tcBorders>
            <w:shd w:val="clear" w:color="auto" w:fill="auto"/>
            <w:noWrap/>
            <w:vAlign w:val="bottom"/>
            <w:hideMark/>
          </w:tcPr>
          <w:p w14:paraId="30D6DA4E" w14:textId="77777777" w:rsidR="00AC761C" w:rsidRPr="00666C89" w:rsidRDefault="00AC761C" w:rsidP="00E571F9">
            <w:pPr>
              <w:rPr>
                <w:rFonts w:ascii="Arial" w:hAnsi="Arial" w:cs="Arial"/>
                <w:color w:val="000000"/>
                <w:sz w:val="22"/>
                <w:szCs w:val="22"/>
              </w:rPr>
            </w:pPr>
            <w:r w:rsidRPr="00666C89">
              <w:rPr>
                <w:rFonts w:ascii="Arial" w:hAnsi="Arial" w:cs="Arial"/>
                <w:color w:val="000000"/>
                <w:sz w:val="22"/>
                <w:szCs w:val="22"/>
              </w:rPr>
              <w:t>Acceptable</w:t>
            </w:r>
          </w:p>
        </w:tc>
      </w:tr>
      <w:tr w:rsidR="00AC761C" w:rsidRPr="00666C89" w14:paraId="3EB7BA9E" w14:textId="77777777" w:rsidTr="00037593">
        <w:trPr>
          <w:trHeight w:val="290"/>
        </w:trPr>
        <w:tc>
          <w:tcPr>
            <w:tcW w:w="2515" w:type="dxa"/>
            <w:tcBorders>
              <w:top w:val="nil"/>
              <w:left w:val="single" w:sz="4" w:space="0" w:color="auto"/>
              <w:bottom w:val="single" w:sz="4" w:space="0" w:color="auto"/>
              <w:right w:val="single" w:sz="4" w:space="0" w:color="auto"/>
            </w:tcBorders>
            <w:shd w:val="clear" w:color="auto" w:fill="auto"/>
            <w:noWrap/>
            <w:vAlign w:val="center"/>
            <w:hideMark/>
          </w:tcPr>
          <w:p w14:paraId="35AC958E" w14:textId="77777777" w:rsidR="00AC761C" w:rsidRPr="00666C89" w:rsidRDefault="00AC761C" w:rsidP="00E571F9">
            <w:pPr>
              <w:jc w:val="center"/>
              <w:rPr>
                <w:rFonts w:ascii="Arial" w:hAnsi="Arial" w:cs="Arial"/>
                <w:color w:val="000000"/>
                <w:sz w:val="22"/>
                <w:szCs w:val="22"/>
              </w:rPr>
            </w:pPr>
            <w:r w:rsidRPr="00666C89">
              <w:rPr>
                <w:rFonts w:ascii="Arial" w:hAnsi="Arial" w:cs="Arial"/>
                <w:color w:val="000000"/>
                <w:sz w:val="22"/>
                <w:szCs w:val="22"/>
              </w:rPr>
              <w:t>&gt; 0.6</w:t>
            </w:r>
          </w:p>
        </w:tc>
        <w:tc>
          <w:tcPr>
            <w:tcW w:w="1634" w:type="dxa"/>
            <w:tcBorders>
              <w:top w:val="nil"/>
              <w:left w:val="nil"/>
              <w:bottom w:val="single" w:sz="4" w:space="0" w:color="auto"/>
              <w:right w:val="single" w:sz="4" w:space="0" w:color="auto"/>
            </w:tcBorders>
            <w:shd w:val="clear" w:color="auto" w:fill="auto"/>
            <w:noWrap/>
            <w:vAlign w:val="bottom"/>
            <w:hideMark/>
          </w:tcPr>
          <w:p w14:paraId="38F233BD" w14:textId="77777777" w:rsidR="00AC761C" w:rsidRPr="00666C89" w:rsidRDefault="00AC761C" w:rsidP="00E571F9">
            <w:pPr>
              <w:rPr>
                <w:rFonts w:ascii="Arial" w:hAnsi="Arial" w:cs="Arial"/>
                <w:color w:val="000000"/>
                <w:sz w:val="22"/>
                <w:szCs w:val="22"/>
              </w:rPr>
            </w:pPr>
            <w:r w:rsidRPr="00666C89">
              <w:rPr>
                <w:rFonts w:ascii="Arial" w:hAnsi="Arial" w:cs="Arial"/>
                <w:color w:val="000000"/>
                <w:sz w:val="22"/>
                <w:szCs w:val="22"/>
              </w:rPr>
              <w:t>Questionable</w:t>
            </w:r>
          </w:p>
        </w:tc>
      </w:tr>
      <w:tr w:rsidR="00AC761C" w:rsidRPr="00666C89" w14:paraId="3FD1805D" w14:textId="77777777" w:rsidTr="00037593">
        <w:trPr>
          <w:trHeight w:val="290"/>
        </w:trPr>
        <w:tc>
          <w:tcPr>
            <w:tcW w:w="2515" w:type="dxa"/>
            <w:tcBorders>
              <w:top w:val="nil"/>
              <w:left w:val="single" w:sz="4" w:space="0" w:color="auto"/>
              <w:bottom w:val="single" w:sz="4" w:space="0" w:color="auto"/>
              <w:right w:val="single" w:sz="4" w:space="0" w:color="auto"/>
            </w:tcBorders>
            <w:shd w:val="clear" w:color="auto" w:fill="auto"/>
            <w:noWrap/>
            <w:vAlign w:val="center"/>
            <w:hideMark/>
          </w:tcPr>
          <w:p w14:paraId="297F1AE3" w14:textId="77777777" w:rsidR="00AC761C" w:rsidRPr="00666C89" w:rsidRDefault="00AC761C" w:rsidP="00E571F9">
            <w:pPr>
              <w:jc w:val="center"/>
              <w:rPr>
                <w:rFonts w:ascii="Arial" w:hAnsi="Arial" w:cs="Arial"/>
                <w:color w:val="000000"/>
                <w:sz w:val="22"/>
                <w:szCs w:val="22"/>
              </w:rPr>
            </w:pPr>
            <w:r w:rsidRPr="00666C89">
              <w:rPr>
                <w:rFonts w:ascii="Arial" w:hAnsi="Arial" w:cs="Arial"/>
                <w:color w:val="000000"/>
                <w:sz w:val="22"/>
                <w:szCs w:val="22"/>
              </w:rPr>
              <w:t>&gt; 0.5</w:t>
            </w:r>
          </w:p>
        </w:tc>
        <w:tc>
          <w:tcPr>
            <w:tcW w:w="1634" w:type="dxa"/>
            <w:tcBorders>
              <w:top w:val="nil"/>
              <w:left w:val="nil"/>
              <w:bottom w:val="single" w:sz="4" w:space="0" w:color="auto"/>
              <w:right w:val="single" w:sz="4" w:space="0" w:color="auto"/>
            </w:tcBorders>
            <w:shd w:val="clear" w:color="auto" w:fill="auto"/>
            <w:noWrap/>
            <w:vAlign w:val="bottom"/>
            <w:hideMark/>
          </w:tcPr>
          <w:p w14:paraId="0C3747FE" w14:textId="77777777" w:rsidR="00AC761C" w:rsidRPr="00666C89" w:rsidRDefault="00AC761C" w:rsidP="00E571F9">
            <w:pPr>
              <w:rPr>
                <w:rFonts w:ascii="Arial" w:hAnsi="Arial" w:cs="Arial"/>
                <w:color w:val="000000"/>
                <w:sz w:val="22"/>
                <w:szCs w:val="22"/>
              </w:rPr>
            </w:pPr>
            <w:r w:rsidRPr="00666C89">
              <w:rPr>
                <w:rFonts w:ascii="Arial" w:hAnsi="Arial" w:cs="Arial"/>
                <w:color w:val="000000"/>
                <w:sz w:val="22"/>
                <w:szCs w:val="22"/>
              </w:rPr>
              <w:t>Poor</w:t>
            </w:r>
          </w:p>
        </w:tc>
      </w:tr>
      <w:tr w:rsidR="00AC761C" w:rsidRPr="00666C89" w14:paraId="7BCEDE6A" w14:textId="77777777" w:rsidTr="00037593">
        <w:trPr>
          <w:trHeight w:val="290"/>
        </w:trPr>
        <w:tc>
          <w:tcPr>
            <w:tcW w:w="2515" w:type="dxa"/>
            <w:tcBorders>
              <w:top w:val="nil"/>
              <w:left w:val="single" w:sz="4" w:space="0" w:color="auto"/>
              <w:bottom w:val="single" w:sz="4" w:space="0" w:color="auto"/>
              <w:right w:val="single" w:sz="4" w:space="0" w:color="auto"/>
            </w:tcBorders>
            <w:shd w:val="clear" w:color="auto" w:fill="auto"/>
            <w:noWrap/>
            <w:vAlign w:val="center"/>
            <w:hideMark/>
          </w:tcPr>
          <w:p w14:paraId="63364640" w14:textId="77777777" w:rsidR="00AC761C" w:rsidRPr="00666C89" w:rsidRDefault="00AC761C" w:rsidP="00E571F9">
            <w:pPr>
              <w:jc w:val="center"/>
              <w:rPr>
                <w:rFonts w:ascii="Arial" w:hAnsi="Arial" w:cs="Arial"/>
                <w:color w:val="000000"/>
                <w:sz w:val="22"/>
                <w:szCs w:val="22"/>
              </w:rPr>
            </w:pPr>
            <w:r w:rsidRPr="00666C89">
              <w:rPr>
                <w:rFonts w:ascii="Arial" w:hAnsi="Arial" w:cs="Arial"/>
                <w:color w:val="000000"/>
                <w:sz w:val="22"/>
                <w:szCs w:val="22"/>
              </w:rPr>
              <w:t>&lt; 0.5</w:t>
            </w:r>
          </w:p>
        </w:tc>
        <w:tc>
          <w:tcPr>
            <w:tcW w:w="1634" w:type="dxa"/>
            <w:tcBorders>
              <w:top w:val="nil"/>
              <w:left w:val="nil"/>
              <w:bottom w:val="single" w:sz="4" w:space="0" w:color="auto"/>
              <w:right w:val="single" w:sz="4" w:space="0" w:color="auto"/>
            </w:tcBorders>
            <w:shd w:val="clear" w:color="auto" w:fill="auto"/>
            <w:noWrap/>
            <w:vAlign w:val="bottom"/>
            <w:hideMark/>
          </w:tcPr>
          <w:p w14:paraId="3431F69E" w14:textId="77777777" w:rsidR="00AC761C" w:rsidRPr="00666C89" w:rsidRDefault="00AC761C" w:rsidP="00E571F9">
            <w:pPr>
              <w:rPr>
                <w:rFonts w:ascii="Arial" w:hAnsi="Arial" w:cs="Arial"/>
                <w:color w:val="000000"/>
                <w:sz w:val="22"/>
                <w:szCs w:val="22"/>
              </w:rPr>
            </w:pPr>
            <w:r w:rsidRPr="00666C89">
              <w:rPr>
                <w:rFonts w:ascii="Arial" w:hAnsi="Arial" w:cs="Arial"/>
                <w:color w:val="000000"/>
                <w:sz w:val="22"/>
                <w:szCs w:val="22"/>
              </w:rPr>
              <w:t>Unacceptable</w:t>
            </w:r>
          </w:p>
        </w:tc>
      </w:tr>
    </w:tbl>
    <w:p w14:paraId="1329E039" w14:textId="5D45DF62" w:rsidR="005246D1" w:rsidRDefault="005246D1" w:rsidP="001C17D8">
      <w:pPr>
        <w:pStyle w:val="BodyText"/>
        <w:tabs>
          <w:tab w:val="left" w:pos="180"/>
        </w:tabs>
        <w:kinsoku w:val="0"/>
        <w:overflowPunct w:val="0"/>
        <w:snapToGrid w:val="0"/>
        <w:spacing w:before="18" w:line="360" w:lineRule="auto"/>
        <w:ind w:right="39"/>
        <w:jc w:val="both"/>
        <w:rPr>
          <w:rFonts w:ascii="Arial" w:hAnsi="Arial" w:cs="Arial"/>
        </w:rPr>
      </w:pPr>
      <w:r w:rsidRPr="0083463B">
        <w:rPr>
          <w:rFonts w:ascii="Arial" w:hAnsi="Arial" w:cs="Arial"/>
        </w:rPr>
        <w:lastRenderedPageBreak/>
        <w:t>Table-</w:t>
      </w:r>
      <w:r w:rsidR="00C72A9A">
        <w:rPr>
          <w:rFonts w:ascii="Arial" w:hAnsi="Arial" w:cs="Arial"/>
        </w:rPr>
        <w:t>9</w:t>
      </w:r>
      <w:r w:rsidRPr="0083463B">
        <w:rPr>
          <w:rFonts w:ascii="Arial" w:hAnsi="Arial" w:cs="Arial"/>
        </w:rPr>
        <w:t xml:space="preserve"> </w:t>
      </w:r>
      <w:r w:rsidR="002D18A9">
        <w:rPr>
          <w:rFonts w:ascii="Arial" w:hAnsi="Arial" w:cs="Arial"/>
        </w:rPr>
        <w:t>Cronbach’s Alpha</w:t>
      </w:r>
      <w:r w:rsidRPr="0083463B">
        <w:rPr>
          <w:rFonts w:ascii="Arial" w:hAnsi="Arial" w:cs="Arial"/>
        </w:rPr>
        <w:t xml:space="preserve"> for 7 Factors</w:t>
      </w:r>
    </w:p>
    <w:tbl>
      <w:tblPr>
        <w:tblW w:w="4675" w:type="dxa"/>
        <w:tblLook w:val="04A0" w:firstRow="1" w:lastRow="0" w:firstColumn="1" w:lastColumn="0" w:noHBand="0" w:noVBand="1"/>
      </w:tblPr>
      <w:tblGrid>
        <w:gridCol w:w="2515"/>
        <w:gridCol w:w="2160"/>
      </w:tblGrid>
      <w:tr w:rsidR="00DF0364" w:rsidRPr="00DF0364" w14:paraId="662C390A" w14:textId="77777777" w:rsidTr="00037593">
        <w:trPr>
          <w:trHeight w:val="570"/>
        </w:trPr>
        <w:tc>
          <w:tcPr>
            <w:tcW w:w="251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7CD6A86" w14:textId="77777777" w:rsidR="00DF0364" w:rsidRPr="00DF0364" w:rsidRDefault="00DF0364" w:rsidP="00DF0364">
            <w:pPr>
              <w:jc w:val="center"/>
              <w:rPr>
                <w:rFonts w:ascii="Arial" w:hAnsi="Arial" w:cs="Arial"/>
                <w:b/>
                <w:bCs/>
                <w:color w:val="212529"/>
                <w:sz w:val="22"/>
                <w:szCs w:val="22"/>
              </w:rPr>
            </w:pPr>
            <w:r w:rsidRPr="00DF0364">
              <w:rPr>
                <w:rFonts w:ascii="Arial" w:hAnsi="Arial" w:cs="Arial"/>
                <w:b/>
                <w:bCs/>
                <w:color w:val="212529"/>
                <w:sz w:val="22"/>
                <w:szCs w:val="22"/>
              </w:rPr>
              <w:t>Cronbach's Alpha</w:t>
            </w:r>
          </w:p>
        </w:tc>
        <w:tc>
          <w:tcPr>
            <w:tcW w:w="2160" w:type="dxa"/>
            <w:tcBorders>
              <w:top w:val="single" w:sz="4" w:space="0" w:color="auto"/>
              <w:left w:val="nil"/>
              <w:bottom w:val="single" w:sz="4" w:space="0" w:color="auto"/>
              <w:right w:val="single" w:sz="4" w:space="0" w:color="auto"/>
            </w:tcBorders>
            <w:shd w:val="clear" w:color="000000" w:fill="FFFFFF"/>
            <w:vAlign w:val="bottom"/>
            <w:hideMark/>
          </w:tcPr>
          <w:p w14:paraId="5E7C6B46" w14:textId="2C4AA44B" w:rsidR="00DF0364" w:rsidRPr="00DF0364" w:rsidRDefault="00DF0364" w:rsidP="00DF0364">
            <w:pPr>
              <w:jc w:val="center"/>
              <w:rPr>
                <w:rFonts w:ascii="Arial" w:hAnsi="Arial" w:cs="Arial"/>
                <w:b/>
                <w:bCs/>
                <w:color w:val="212529"/>
                <w:sz w:val="22"/>
                <w:szCs w:val="22"/>
              </w:rPr>
            </w:pPr>
            <w:r w:rsidRPr="00DF0364">
              <w:rPr>
                <w:rFonts w:ascii="Arial" w:hAnsi="Arial" w:cs="Arial"/>
                <w:b/>
                <w:bCs/>
                <w:color w:val="212529"/>
                <w:sz w:val="22"/>
                <w:szCs w:val="22"/>
              </w:rPr>
              <w:t xml:space="preserve">Number of </w:t>
            </w:r>
            <w:r w:rsidR="00810155">
              <w:rPr>
                <w:rFonts w:ascii="Arial" w:hAnsi="Arial" w:cs="Arial"/>
                <w:b/>
                <w:bCs/>
                <w:color w:val="212529"/>
                <w:sz w:val="22"/>
                <w:szCs w:val="22"/>
              </w:rPr>
              <w:t>Factors</w:t>
            </w:r>
          </w:p>
        </w:tc>
      </w:tr>
      <w:tr w:rsidR="00DF0364" w:rsidRPr="00DF0364" w14:paraId="5056CA73" w14:textId="77777777" w:rsidTr="00037593">
        <w:trPr>
          <w:trHeight w:val="290"/>
        </w:trPr>
        <w:tc>
          <w:tcPr>
            <w:tcW w:w="2515" w:type="dxa"/>
            <w:tcBorders>
              <w:top w:val="nil"/>
              <w:left w:val="single" w:sz="4" w:space="0" w:color="auto"/>
              <w:bottom w:val="single" w:sz="4" w:space="0" w:color="auto"/>
              <w:right w:val="single" w:sz="4" w:space="0" w:color="auto"/>
            </w:tcBorders>
            <w:shd w:val="clear" w:color="000000" w:fill="FFFFFF"/>
            <w:hideMark/>
          </w:tcPr>
          <w:p w14:paraId="499521F4" w14:textId="77777777" w:rsidR="00DF0364" w:rsidRPr="00DF0364" w:rsidRDefault="00DF0364" w:rsidP="00DF0364">
            <w:pPr>
              <w:jc w:val="center"/>
              <w:rPr>
                <w:rFonts w:ascii="Arial" w:hAnsi="Arial" w:cs="Arial"/>
                <w:color w:val="212529"/>
                <w:sz w:val="22"/>
                <w:szCs w:val="22"/>
              </w:rPr>
            </w:pPr>
            <w:r w:rsidRPr="00DF0364">
              <w:rPr>
                <w:rFonts w:ascii="Arial" w:hAnsi="Arial" w:cs="Arial"/>
                <w:color w:val="212529"/>
                <w:sz w:val="22"/>
                <w:szCs w:val="22"/>
              </w:rPr>
              <w:t>0.95</w:t>
            </w:r>
          </w:p>
        </w:tc>
        <w:tc>
          <w:tcPr>
            <w:tcW w:w="2160" w:type="dxa"/>
            <w:tcBorders>
              <w:top w:val="nil"/>
              <w:left w:val="nil"/>
              <w:bottom w:val="single" w:sz="4" w:space="0" w:color="auto"/>
              <w:right w:val="single" w:sz="4" w:space="0" w:color="auto"/>
            </w:tcBorders>
            <w:shd w:val="clear" w:color="000000" w:fill="FFFFFF"/>
            <w:hideMark/>
          </w:tcPr>
          <w:p w14:paraId="79446800" w14:textId="0B1B6A6C" w:rsidR="00DF0364" w:rsidRPr="00DF0364" w:rsidRDefault="00B700C3" w:rsidP="00DF0364">
            <w:pPr>
              <w:jc w:val="center"/>
              <w:rPr>
                <w:rFonts w:ascii="Arial" w:hAnsi="Arial" w:cs="Arial"/>
                <w:color w:val="212529"/>
                <w:sz w:val="22"/>
                <w:szCs w:val="22"/>
              </w:rPr>
            </w:pPr>
            <w:r>
              <w:rPr>
                <w:rFonts w:ascii="Arial" w:hAnsi="Arial" w:cs="Arial"/>
                <w:color w:val="212529"/>
                <w:sz w:val="22"/>
                <w:szCs w:val="22"/>
              </w:rPr>
              <w:t>7</w:t>
            </w:r>
          </w:p>
        </w:tc>
      </w:tr>
    </w:tbl>
    <w:p w14:paraId="25E76027" w14:textId="77777777" w:rsidR="005246D1" w:rsidRDefault="005246D1" w:rsidP="001C17D8">
      <w:pPr>
        <w:pStyle w:val="BodyText"/>
        <w:tabs>
          <w:tab w:val="left" w:pos="180"/>
        </w:tabs>
        <w:kinsoku w:val="0"/>
        <w:overflowPunct w:val="0"/>
        <w:snapToGrid w:val="0"/>
        <w:spacing w:before="18" w:line="360" w:lineRule="auto"/>
        <w:ind w:right="39"/>
        <w:jc w:val="both"/>
        <w:rPr>
          <w:rFonts w:ascii="Arial" w:hAnsi="Arial" w:cs="Arial"/>
          <w:sz w:val="24"/>
          <w:szCs w:val="24"/>
        </w:rPr>
      </w:pPr>
    </w:p>
    <w:p w14:paraId="763B64A9" w14:textId="7638F841" w:rsidR="002A1BD5" w:rsidRDefault="00553769" w:rsidP="005F7DF9">
      <w:pPr>
        <w:pStyle w:val="BodyText"/>
        <w:tabs>
          <w:tab w:val="left" w:pos="180"/>
        </w:tabs>
        <w:kinsoku w:val="0"/>
        <w:overflowPunct w:val="0"/>
        <w:snapToGrid w:val="0"/>
        <w:spacing w:line="360" w:lineRule="auto"/>
        <w:rPr>
          <w:rFonts w:ascii="Arial" w:hAnsi="Arial" w:cs="Arial"/>
          <w:sz w:val="24"/>
          <w:szCs w:val="24"/>
        </w:rPr>
      </w:pPr>
      <w:r w:rsidRPr="00553769">
        <w:rPr>
          <w:rFonts w:ascii="Arial" w:hAnsi="Arial" w:cs="Arial"/>
          <w:sz w:val="24"/>
          <w:szCs w:val="24"/>
        </w:rPr>
        <w:t>This means that seven factors were used to determine the Cronbach's Alpha value.  As a general rule, Cronbach's Alpha tends to rise as the number of objects increases.  While things with a high Cronbach's Alpha tend to have good internal consistency, it doesn't prove they effectively measure the intended construct.  Simply said, it signifies that the products have consistent measurements.  Two important pieces of information regarding Cronbach's Alpha, a statistician's go-to for gauging an item set's reliability or internal consistency, are presented in this results table.  This reliability indicator has a Cronbach's Alpha of 0.95.  As Cronbach's Alpha can take on values between 0 and 1, this is an extremely high value.  If your set's reliability and consistency score is 0.95, then your set is excellent.  A Cronbach's Alpha of 0.7 or above is generally deemed adequate, whereas 0.8 or higher is deemed good, and 0.9 or higher is deemed great.  With a value of 0.95, the items measure the underlying construct fairly consistently, which is great.  This means that seven items were used to generate the Cronbach's Alpha value.  As a general rule, Cronbach's Alpha tends to rise as the number of objects increases.  While things with a high Cronbach's Alpha tend to have good internal consistency, it doesn't prove they effectively measure the intended construct.  Simply said, it signifies that the products have consistent measurements.</w:t>
      </w:r>
    </w:p>
    <w:p w14:paraId="785412DD" w14:textId="77777777" w:rsidR="00553769" w:rsidRPr="00A31E5D" w:rsidRDefault="00553769" w:rsidP="005F7DF9">
      <w:pPr>
        <w:pStyle w:val="BodyText"/>
        <w:tabs>
          <w:tab w:val="left" w:pos="180"/>
        </w:tabs>
        <w:kinsoku w:val="0"/>
        <w:overflowPunct w:val="0"/>
        <w:snapToGrid w:val="0"/>
        <w:spacing w:line="360" w:lineRule="auto"/>
        <w:rPr>
          <w:rFonts w:ascii="Arial" w:hAnsi="Arial" w:cs="Arial"/>
          <w:sz w:val="24"/>
          <w:szCs w:val="24"/>
          <w:lang w:val="en-HK"/>
        </w:rPr>
      </w:pPr>
    </w:p>
    <w:p w14:paraId="68F7F639" w14:textId="235455CC" w:rsidR="005E2D0F" w:rsidRPr="00A31E5D" w:rsidRDefault="0062439A" w:rsidP="0083463B">
      <w:pPr>
        <w:pStyle w:val="BodyText"/>
        <w:tabs>
          <w:tab w:val="left" w:pos="180"/>
        </w:tabs>
        <w:kinsoku w:val="0"/>
        <w:overflowPunct w:val="0"/>
        <w:snapToGrid w:val="0"/>
        <w:spacing w:before="18" w:line="360" w:lineRule="auto"/>
        <w:ind w:right="39"/>
        <w:rPr>
          <w:rFonts w:ascii="Arial" w:hAnsi="Arial" w:cs="Arial"/>
          <w:sz w:val="24"/>
          <w:szCs w:val="24"/>
        </w:rPr>
      </w:pPr>
      <w:r w:rsidRPr="00A31E5D">
        <w:rPr>
          <w:rFonts w:ascii="Arial" w:hAnsi="Arial" w:cs="Arial"/>
          <w:sz w:val="24"/>
          <w:szCs w:val="24"/>
          <w:lang w:val="en-HK"/>
        </w:rPr>
        <w:t> </w:t>
      </w:r>
      <w:r w:rsidR="005246D1" w:rsidRPr="0083463B">
        <w:rPr>
          <w:rFonts w:ascii="Arial" w:hAnsi="Arial" w:cs="Arial"/>
        </w:rPr>
        <w:t>Table-</w:t>
      </w:r>
      <w:r w:rsidR="00C72A9A">
        <w:rPr>
          <w:rFonts w:ascii="Arial" w:hAnsi="Arial" w:cs="Arial"/>
        </w:rPr>
        <w:t>10</w:t>
      </w:r>
      <w:r w:rsidR="005246D1" w:rsidRPr="0083463B">
        <w:rPr>
          <w:rFonts w:ascii="Arial" w:hAnsi="Arial" w:cs="Arial"/>
        </w:rPr>
        <w:t xml:space="preserve"> </w:t>
      </w:r>
      <w:r w:rsidR="003473F3">
        <w:rPr>
          <w:rFonts w:ascii="Arial" w:hAnsi="Arial" w:cs="Arial"/>
        </w:rPr>
        <w:t xml:space="preserve">Breakdown of </w:t>
      </w:r>
      <w:r w:rsidR="002D18A9">
        <w:rPr>
          <w:rFonts w:ascii="Arial" w:hAnsi="Arial" w:cs="Arial"/>
        </w:rPr>
        <w:t>Cronbach’s Alpha</w:t>
      </w:r>
      <w:r w:rsidR="005246D1" w:rsidRPr="0083463B">
        <w:rPr>
          <w:rFonts w:ascii="Arial" w:hAnsi="Arial" w:cs="Arial"/>
        </w:rPr>
        <w:t xml:space="preserve"> for 7 Factors</w:t>
      </w:r>
      <w:r w:rsidR="005E2D0F" w:rsidRPr="00A31E5D">
        <w:rPr>
          <w:rFonts w:ascii="Arial" w:hAnsi="Arial" w:cs="Arial"/>
          <w:sz w:val="24"/>
          <w:szCs w:val="24"/>
        </w:rPr>
        <w:t xml:space="preserve"> </w:t>
      </w:r>
    </w:p>
    <w:tbl>
      <w:tblPr>
        <w:tblW w:w="7195" w:type="dxa"/>
        <w:tblLook w:val="04A0" w:firstRow="1" w:lastRow="0" w:firstColumn="1" w:lastColumn="0" w:noHBand="0" w:noVBand="1"/>
      </w:tblPr>
      <w:tblGrid>
        <w:gridCol w:w="2605"/>
        <w:gridCol w:w="2340"/>
        <w:gridCol w:w="2250"/>
      </w:tblGrid>
      <w:tr w:rsidR="00EA4F9B" w:rsidRPr="00EA4F9B" w14:paraId="0CE67AB8" w14:textId="77777777" w:rsidTr="004D0E67">
        <w:trPr>
          <w:trHeight w:val="850"/>
        </w:trPr>
        <w:tc>
          <w:tcPr>
            <w:tcW w:w="260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68D81DF" w14:textId="77777777" w:rsidR="00EA4F9B" w:rsidRPr="00EA4F9B" w:rsidRDefault="00EA4F9B" w:rsidP="00EA4F9B">
            <w:pPr>
              <w:rPr>
                <w:rFonts w:ascii="Arial" w:hAnsi="Arial" w:cs="Arial"/>
                <w:color w:val="212529"/>
                <w:sz w:val="22"/>
                <w:szCs w:val="22"/>
              </w:rPr>
            </w:pPr>
            <w:r w:rsidRPr="00EA4F9B">
              <w:rPr>
                <w:rFonts w:ascii="Arial" w:hAnsi="Arial" w:cs="Arial"/>
                <w:color w:val="212529"/>
                <w:sz w:val="22"/>
                <w:szCs w:val="22"/>
              </w:rPr>
              <w:t> </w:t>
            </w:r>
          </w:p>
        </w:tc>
        <w:tc>
          <w:tcPr>
            <w:tcW w:w="2340" w:type="dxa"/>
            <w:tcBorders>
              <w:top w:val="single" w:sz="4" w:space="0" w:color="auto"/>
              <w:left w:val="nil"/>
              <w:bottom w:val="single" w:sz="4" w:space="0" w:color="auto"/>
              <w:right w:val="single" w:sz="4" w:space="0" w:color="auto"/>
            </w:tcBorders>
            <w:shd w:val="clear" w:color="000000" w:fill="FFFFFF"/>
            <w:vAlign w:val="bottom"/>
            <w:hideMark/>
          </w:tcPr>
          <w:p w14:paraId="6DBC15C9" w14:textId="7D23AEE2" w:rsidR="00EA4F9B" w:rsidRPr="00EA4F9B" w:rsidRDefault="00AB509F" w:rsidP="00EA4F9B">
            <w:pPr>
              <w:jc w:val="center"/>
              <w:rPr>
                <w:rFonts w:ascii="Arial" w:hAnsi="Arial" w:cs="Arial"/>
                <w:b/>
                <w:bCs/>
                <w:color w:val="212529"/>
                <w:sz w:val="22"/>
                <w:szCs w:val="22"/>
              </w:rPr>
            </w:pPr>
            <w:r w:rsidRPr="00EA4F9B">
              <w:rPr>
                <w:rFonts w:ascii="Arial" w:hAnsi="Arial" w:cs="Arial"/>
                <w:b/>
                <w:bCs/>
                <w:color w:val="212529"/>
                <w:sz w:val="22"/>
                <w:szCs w:val="22"/>
              </w:rPr>
              <w:t>Cronbach's Alpha</w:t>
            </w:r>
          </w:p>
        </w:tc>
        <w:tc>
          <w:tcPr>
            <w:tcW w:w="2250" w:type="dxa"/>
            <w:tcBorders>
              <w:top w:val="single" w:sz="4" w:space="0" w:color="auto"/>
              <w:left w:val="nil"/>
              <w:bottom w:val="single" w:sz="4" w:space="0" w:color="auto"/>
              <w:right w:val="single" w:sz="4" w:space="0" w:color="auto"/>
            </w:tcBorders>
            <w:shd w:val="clear" w:color="000000" w:fill="FFFFFF"/>
            <w:vAlign w:val="bottom"/>
            <w:hideMark/>
          </w:tcPr>
          <w:p w14:paraId="639CAEB0" w14:textId="77777777" w:rsidR="00EA4F9B" w:rsidRPr="00EA4F9B" w:rsidRDefault="00EA4F9B" w:rsidP="00EA4F9B">
            <w:pPr>
              <w:jc w:val="center"/>
              <w:rPr>
                <w:rFonts w:ascii="Arial" w:hAnsi="Arial" w:cs="Arial"/>
                <w:b/>
                <w:bCs/>
                <w:color w:val="212529"/>
                <w:sz w:val="22"/>
                <w:szCs w:val="22"/>
              </w:rPr>
            </w:pPr>
            <w:r w:rsidRPr="00EA4F9B">
              <w:rPr>
                <w:rFonts w:ascii="Arial" w:hAnsi="Arial" w:cs="Arial"/>
                <w:b/>
                <w:bCs/>
                <w:color w:val="212529"/>
                <w:sz w:val="22"/>
                <w:szCs w:val="22"/>
              </w:rPr>
              <w:t>Cronbach's Alpha if Item Deleted</w:t>
            </w:r>
          </w:p>
        </w:tc>
      </w:tr>
      <w:tr w:rsidR="00EA4F9B" w:rsidRPr="00EA4F9B" w14:paraId="2B898080" w14:textId="77777777" w:rsidTr="004D0E67">
        <w:trPr>
          <w:trHeight w:val="290"/>
        </w:trPr>
        <w:tc>
          <w:tcPr>
            <w:tcW w:w="2605" w:type="dxa"/>
            <w:tcBorders>
              <w:top w:val="nil"/>
              <w:left w:val="single" w:sz="4" w:space="0" w:color="auto"/>
              <w:bottom w:val="single" w:sz="4" w:space="0" w:color="auto"/>
              <w:right w:val="single" w:sz="4" w:space="0" w:color="auto"/>
            </w:tcBorders>
            <w:shd w:val="clear" w:color="000000" w:fill="FFFFFF"/>
            <w:hideMark/>
          </w:tcPr>
          <w:p w14:paraId="00FEA416" w14:textId="5CA66595" w:rsidR="00EA4F9B" w:rsidRPr="00EA4F9B" w:rsidRDefault="00091B6F" w:rsidP="00EA4F9B">
            <w:pPr>
              <w:rPr>
                <w:rFonts w:ascii="Arial" w:hAnsi="Arial" w:cs="Arial"/>
                <w:b/>
                <w:bCs/>
                <w:color w:val="212529"/>
                <w:sz w:val="22"/>
                <w:szCs w:val="22"/>
              </w:rPr>
            </w:pPr>
            <w:r>
              <w:rPr>
                <w:rFonts w:ascii="Arial" w:hAnsi="Arial" w:cs="Arial"/>
                <w:b/>
                <w:bCs/>
                <w:color w:val="212529"/>
                <w:sz w:val="22"/>
                <w:szCs w:val="22"/>
              </w:rPr>
              <w:t>Store Usefulness</w:t>
            </w:r>
          </w:p>
        </w:tc>
        <w:tc>
          <w:tcPr>
            <w:tcW w:w="2340" w:type="dxa"/>
            <w:tcBorders>
              <w:top w:val="nil"/>
              <w:left w:val="nil"/>
              <w:bottom w:val="single" w:sz="4" w:space="0" w:color="auto"/>
              <w:right w:val="single" w:sz="4" w:space="0" w:color="auto"/>
            </w:tcBorders>
            <w:shd w:val="clear" w:color="000000" w:fill="FFFFFF"/>
            <w:hideMark/>
          </w:tcPr>
          <w:p w14:paraId="43E99F28" w14:textId="77777777" w:rsidR="00EA4F9B" w:rsidRPr="00EA4F9B" w:rsidRDefault="00EA4F9B" w:rsidP="00EA4F9B">
            <w:pPr>
              <w:jc w:val="center"/>
              <w:rPr>
                <w:rFonts w:ascii="Arial" w:hAnsi="Arial" w:cs="Arial"/>
                <w:color w:val="212529"/>
                <w:sz w:val="22"/>
                <w:szCs w:val="22"/>
              </w:rPr>
            </w:pPr>
            <w:r w:rsidRPr="00EA4F9B">
              <w:rPr>
                <w:rFonts w:ascii="Arial" w:hAnsi="Arial" w:cs="Arial"/>
                <w:color w:val="212529"/>
                <w:sz w:val="22"/>
                <w:szCs w:val="22"/>
              </w:rPr>
              <w:t>0.8</w:t>
            </w:r>
          </w:p>
        </w:tc>
        <w:tc>
          <w:tcPr>
            <w:tcW w:w="2250" w:type="dxa"/>
            <w:tcBorders>
              <w:top w:val="nil"/>
              <w:left w:val="nil"/>
              <w:bottom w:val="single" w:sz="4" w:space="0" w:color="auto"/>
              <w:right w:val="single" w:sz="4" w:space="0" w:color="auto"/>
            </w:tcBorders>
            <w:shd w:val="clear" w:color="000000" w:fill="FFFFFF"/>
            <w:hideMark/>
          </w:tcPr>
          <w:p w14:paraId="748BA017" w14:textId="77777777" w:rsidR="00EA4F9B" w:rsidRPr="00EA4F9B" w:rsidRDefault="00EA4F9B" w:rsidP="00EA4F9B">
            <w:pPr>
              <w:jc w:val="center"/>
              <w:rPr>
                <w:rFonts w:ascii="Arial" w:hAnsi="Arial" w:cs="Arial"/>
                <w:color w:val="212529"/>
                <w:sz w:val="22"/>
                <w:szCs w:val="22"/>
              </w:rPr>
            </w:pPr>
            <w:r w:rsidRPr="00EA4F9B">
              <w:rPr>
                <w:rFonts w:ascii="Arial" w:hAnsi="Arial" w:cs="Arial"/>
                <w:color w:val="212529"/>
                <w:sz w:val="22"/>
                <w:szCs w:val="22"/>
              </w:rPr>
              <w:t>0.94</w:t>
            </w:r>
          </w:p>
        </w:tc>
      </w:tr>
      <w:tr w:rsidR="00EA4F9B" w:rsidRPr="00EA4F9B" w14:paraId="502A5EEC" w14:textId="77777777" w:rsidTr="004D0E67">
        <w:trPr>
          <w:trHeight w:val="290"/>
        </w:trPr>
        <w:tc>
          <w:tcPr>
            <w:tcW w:w="2605" w:type="dxa"/>
            <w:tcBorders>
              <w:top w:val="nil"/>
              <w:left w:val="single" w:sz="4" w:space="0" w:color="auto"/>
              <w:bottom w:val="single" w:sz="4" w:space="0" w:color="auto"/>
              <w:right w:val="single" w:sz="4" w:space="0" w:color="auto"/>
            </w:tcBorders>
            <w:shd w:val="clear" w:color="000000" w:fill="FFFFFF"/>
            <w:hideMark/>
          </w:tcPr>
          <w:p w14:paraId="551388F0" w14:textId="2ACA340D" w:rsidR="00EA4F9B" w:rsidRPr="00EA4F9B" w:rsidRDefault="00091B6F" w:rsidP="00EA4F9B">
            <w:pPr>
              <w:rPr>
                <w:rFonts w:ascii="Arial" w:hAnsi="Arial" w:cs="Arial"/>
                <w:b/>
                <w:bCs/>
                <w:color w:val="212529"/>
                <w:sz w:val="22"/>
                <w:szCs w:val="22"/>
              </w:rPr>
            </w:pPr>
            <w:r>
              <w:rPr>
                <w:rFonts w:ascii="Arial" w:hAnsi="Arial" w:cs="Arial"/>
                <w:b/>
                <w:bCs/>
                <w:color w:val="212529"/>
                <w:sz w:val="22"/>
                <w:szCs w:val="22"/>
              </w:rPr>
              <w:t>Store Enjoyment</w:t>
            </w:r>
          </w:p>
        </w:tc>
        <w:tc>
          <w:tcPr>
            <w:tcW w:w="2340" w:type="dxa"/>
            <w:tcBorders>
              <w:top w:val="nil"/>
              <w:left w:val="nil"/>
              <w:bottom w:val="single" w:sz="4" w:space="0" w:color="auto"/>
              <w:right w:val="single" w:sz="4" w:space="0" w:color="auto"/>
            </w:tcBorders>
            <w:shd w:val="clear" w:color="000000" w:fill="FFFFFF"/>
            <w:hideMark/>
          </w:tcPr>
          <w:p w14:paraId="6979423E" w14:textId="77777777" w:rsidR="00EA4F9B" w:rsidRPr="00EA4F9B" w:rsidRDefault="00EA4F9B" w:rsidP="00EA4F9B">
            <w:pPr>
              <w:jc w:val="center"/>
              <w:rPr>
                <w:rFonts w:ascii="Arial" w:hAnsi="Arial" w:cs="Arial"/>
                <w:color w:val="212529"/>
                <w:sz w:val="22"/>
                <w:szCs w:val="22"/>
              </w:rPr>
            </w:pPr>
            <w:r w:rsidRPr="00EA4F9B">
              <w:rPr>
                <w:rFonts w:ascii="Arial" w:hAnsi="Arial" w:cs="Arial"/>
                <w:color w:val="212529"/>
                <w:sz w:val="22"/>
                <w:szCs w:val="22"/>
              </w:rPr>
              <w:t>0.85</w:t>
            </w:r>
          </w:p>
        </w:tc>
        <w:tc>
          <w:tcPr>
            <w:tcW w:w="2250" w:type="dxa"/>
            <w:tcBorders>
              <w:top w:val="nil"/>
              <w:left w:val="nil"/>
              <w:bottom w:val="single" w:sz="4" w:space="0" w:color="auto"/>
              <w:right w:val="single" w:sz="4" w:space="0" w:color="auto"/>
            </w:tcBorders>
            <w:shd w:val="clear" w:color="000000" w:fill="FFFFFF"/>
            <w:hideMark/>
          </w:tcPr>
          <w:p w14:paraId="6BEF234E" w14:textId="77777777" w:rsidR="00EA4F9B" w:rsidRPr="00EA4F9B" w:rsidRDefault="00EA4F9B" w:rsidP="00EA4F9B">
            <w:pPr>
              <w:jc w:val="center"/>
              <w:rPr>
                <w:rFonts w:ascii="Arial" w:hAnsi="Arial" w:cs="Arial"/>
                <w:color w:val="212529"/>
                <w:sz w:val="22"/>
                <w:szCs w:val="22"/>
              </w:rPr>
            </w:pPr>
            <w:r w:rsidRPr="00EA4F9B">
              <w:rPr>
                <w:rFonts w:ascii="Arial" w:hAnsi="Arial" w:cs="Arial"/>
                <w:color w:val="212529"/>
                <w:sz w:val="22"/>
                <w:szCs w:val="22"/>
              </w:rPr>
              <w:t>0.93</w:t>
            </w:r>
          </w:p>
        </w:tc>
      </w:tr>
      <w:tr w:rsidR="00EA4F9B" w:rsidRPr="00EA4F9B" w14:paraId="4E9A9D00" w14:textId="77777777" w:rsidTr="004D0E67">
        <w:trPr>
          <w:trHeight w:val="290"/>
        </w:trPr>
        <w:tc>
          <w:tcPr>
            <w:tcW w:w="2605" w:type="dxa"/>
            <w:tcBorders>
              <w:top w:val="nil"/>
              <w:left w:val="single" w:sz="4" w:space="0" w:color="auto"/>
              <w:bottom w:val="single" w:sz="4" w:space="0" w:color="auto"/>
              <w:right w:val="single" w:sz="4" w:space="0" w:color="auto"/>
            </w:tcBorders>
            <w:shd w:val="clear" w:color="000000" w:fill="FFFFFF"/>
            <w:hideMark/>
          </w:tcPr>
          <w:p w14:paraId="048859AE" w14:textId="23A4E0BA" w:rsidR="00EA4F9B" w:rsidRPr="00EA4F9B" w:rsidRDefault="008773F3" w:rsidP="00EA4F9B">
            <w:pPr>
              <w:rPr>
                <w:rFonts w:ascii="Arial" w:hAnsi="Arial" w:cs="Arial"/>
                <w:b/>
                <w:bCs/>
                <w:color w:val="212529"/>
                <w:sz w:val="22"/>
                <w:szCs w:val="22"/>
              </w:rPr>
            </w:pPr>
            <w:r>
              <w:rPr>
                <w:rFonts w:ascii="Arial" w:hAnsi="Arial" w:cs="Arial"/>
                <w:b/>
                <w:bCs/>
                <w:color w:val="212529"/>
                <w:sz w:val="22"/>
                <w:szCs w:val="22"/>
              </w:rPr>
              <w:t>Store Ease of Use</w:t>
            </w:r>
          </w:p>
        </w:tc>
        <w:tc>
          <w:tcPr>
            <w:tcW w:w="2340" w:type="dxa"/>
            <w:tcBorders>
              <w:top w:val="nil"/>
              <w:left w:val="nil"/>
              <w:bottom w:val="single" w:sz="4" w:space="0" w:color="auto"/>
              <w:right w:val="single" w:sz="4" w:space="0" w:color="auto"/>
            </w:tcBorders>
            <w:shd w:val="clear" w:color="000000" w:fill="FFFFFF"/>
            <w:hideMark/>
          </w:tcPr>
          <w:p w14:paraId="7DE528CC" w14:textId="77777777" w:rsidR="00EA4F9B" w:rsidRPr="00EA4F9B" w:rsidRDefault="00EA4F9B" w:rsidP="00EA4F9B">
            <w:pPr>
              <w:jc w:val="center"/>
              <w:rPr>
                <w:rFonts w:ascii="Arial" w:hAnsi="Arial" w:cs="Arial"/>
                <w:color w:val="212529"/>
                <w:sz w:val="22"/>
                <w:szCs w:val="22"/>
              </w:rPr>
            </w:pPr>
            <w:r w:rsidRPr="00EA4F9B">
              <w:rPr>
                <w:rFonts w:ascii="Arial" w:hAnsi="Arial" w:cs="Arial"/>
                <w:color w:val="212529"/>
                <w:sz w:val="22"/>
                <w:szCs w:val="22"/>
              </w:rPr>
              <w:t>0.66</w:t>
            </w:r>
          </w:p>
        </w:tc>
        <w:tc>
          <w:tcPr>
            <w:tcW w:w="2250" w:type="dxa"/>
            <w:tcBorders>
              <w:top w:val="nil"/>
              <w:left w:val="nil"/>
              <w:bottom w:val="single" w:sz="4" w:space="0" w:color="auto"/>
              <w:right w:val="single" w:sz="4" w:space="0" w:color="auto"/>
            </w:tcBorders>
            <w:shd w:val="clear" w:color="000000" w:fill="FFFFFF"/>
            <w:hideMark/>
          </w:tcPr>
          <w:p w14:paraId="5B5B09FA" w14:textId="77777777" w:rsidR="00EA4F9B" w:rsidRPr="00EA4F9B" w:rsidRDefault="00EA4F9B" w:rsidP="00EA4F9B">
            <w:pPr>
              <w:jc w:val="center"/>
              <w:rPr>
                <w:rFonts w:ascii="Arial" w:hAnsi="Arial" w:cs="Arial"/>
                <w:color w:val="212529"/>
                <w:sz w:val="22"/>
                <w:szCs w:val="22"/>
              </w:rPr>
            </w:pPr>
            <w:r w:rsidRPr="00EA4F9B">
              <w:rPr>
                <w:rFonts w:ascii="Arial" w:hAnsi="Arial" w:cs="Arial"/>
                <w:color w:val="212529"/>
                <w:sz w:val="22"/>
                <w:szCs w:val="22"/>
              </w:rPr>
              <w:t>0.95</w:t>
            </w:r>
          </w:p>
        </w:tc>
      </w:tr>
      <w:tr w:rsidR="00EA4F9B" w:rsidRPr="00EA4F9B" w14:paraId="69F1EED4" w14:textId="77777777" w:rsidTr="004D0E67">
        <w:trPr>
          <w:trHeight w:val="290"/>
        </w:trPr>
        <w:tc>
          <w:tcPr>
            <w:tcW w:w="2605" w:type="dxa"/>
            <w:tcBorders>
              <w:top w:val="nil"/>
              <w:left w:val="single" w:sz="4" w:space="0" w:color="auto"/>
              <w:bottom w:val="single" w:sz="4" w:space="0" w:color="auto"/>
              <w:right w:val="single" w:sz="4" w:space="0" w:color="auto"/>
            </w:tcBorders>
            <w:shd w:val="clear" w:color="000000" w:fill="FFFFFF"/>
            <w:hideMark/>
          </w:tcPr>
          <w:p w14:paraId="1C85F965" w14:textId="3DC8A6A7" w:rsidR="00EA4F9B" w:rsidRPr="00EA4F9B" w:rsidRDefault="00F30994" w:rsidP="00EA4F9B">
            <w:pPr>
              <w:rPr>
                <w:rFonts w:ascii="Arial" w:hAnsi="Arial" w:cs="Arial"/>
                <w:b/>
                <w:bCs/>
                <w:color w:val="212529"/>
                <w:sz w:val="22"/>
                <w:szCs w:val="22"/>
              </w:rPr>
            </w:pPr>
            <w:r>
              <w:rPr>
                <w:rFonts w:ascii="Arial" w:hAnsi="Arial" w:cs="Arial"/>
                <w:b/>
                <w:bCs/>
                <w:color w:val="212529"/>
                <w:sz w:val="22"/>
                <w:szCs w:val="22"/>
              </w:rPr>
              <w:t>Store Trustworthiness</w:t>
            </w:r>
          </w:p>
        </w:tc>
        <w:tc>
          <w:tcPr>
            <w:tcW w:w="2340" w:type="dxa"/>
            <w:tcBorders>
              <w:top w:val="nil"/>
              <w:left w:val="nil"/>
              <w:bottom w:val="single" w:sz="4" w:space="0" w:color="auto"/>
              <w:right w:val="single" w:sz="4" w:space="0" w:color="auto"/>
            </w:tcBorders>
            <w:shd w:val="clear" w:color="000000" w:fill="FFFFFF"/>
            <w:hideMark/>
          </w:tcPr>
          <w:p w14:paraId="5ABD5CD9" w14:textId="77777777" w:rsidR="00EA4F9B" w:rsidRPr="00EA4F9B" w:rsidRDefault="00EA4F9B" w:rsidP="00EA4F9B">
            <w:pPr>
              <w:jc w:val="center"/>
              <w:rPr>
                <w:rFonts w:ascii="Arial" w:hAnsi="Arial" w:cs="Arial"/>
                <w:color w:val="212529"/>
                <w:sz w:val="22"/>
                <w:szCs w:val="22"/>
              </w:rPr>
            </w:pPr>
            <w:r w:rsidRPr="00EA4F9B">
              <w:rPr>
                <w:rFonts w:ascii="Arial" w:hAnsi="Arial" w:cs="Arial"/>
                <w:color w:val="212529"/>
                <w:sz w:val="22"/>
                <w:szCs w:val="22"/>
              </w:rPr>
              <w:t>0.92</w:t>
            </w:r>
          </w:p>
        </w:tc>
        <w:tc>
          <w:tcPr>
            <w:tcW w:w="2250" w:type="dxa"/>
            <w:tcBorders>
              <w:top w:val="nil"/>
              <w:left w:val="nil"/>
              <w:bottom w:val="single" w:sz="4" w:space="0" w:color="auto"/>
              <w:right w:val="single" w:sz="4" w:space="0" w:color="auto"/>
            </w:tcBorders>
            <w:shd w:val="clear" w:color="000000" w:fill="FFFFFF"/>
            <w:hideMark/>
          </w:tcPr>
          <w:p w14:paraId="2D9FE3C6" w14:textId="77777777" w:rsidR="00EA4F9B" w:rsidRPr="00EA4F9B" w:rsidRDefault="00EA4F9B" w:rsidP="00EA4F9B">
            <w:pPr>
              <w:jc w:val="center"/>
              <w:rPr>
                <w:rFonts w:ascii="Arial" w:hAnsi="Arial" w:cs="Arial"/>
                <w:color w:val="212529"/>
                <w:sz w:val="22"/>
                <w:szCs w:val="22"/>
              </w:rPr>
            </w:pPr>
            <w:r w:rsidRPr="00EA4F9B">
              <w:rPr>
                <w:rFonts w:ascii="Arial" w:hAnsi="Arial" w:cs="Arial"/>
                <w:color w:val="212529"/>
                <w:sz w:val="22"/>
                <w:szCs w:val="22"/>
              </w:rPr>
              <w:t>0.93</w:t>
            </w:r>
          </w:p>
        </w:tc>
      </w:tr>
      <w:tr w:rsidR="00EA4F9B" w:rsidRPr="00EA4F9B" w14:paraId="1DDA7F70" w14:textId="77777777" w:rsidTr="004D0E67">
        <w:trPr>
          <w:trHeight w:val="290"/>
        </w:trPr>
        <w:tc>
          <w:tcPr>
            <w:tcW w:w="2605" w:type="dxa"/>
            <w:tcBorders>
              <w:top w:val="nil"/>
              <w:left w:val="single" w:sz="4" w:space="0" w:color="auto"/>
              <w:bottom w:val="single" w:sz="4" w:space="0" w:color="auto"/>
              <w:right w:val="single" w:sz="4" w:space="0" w:color="auto"/>
            </w:tcBorders>
            <w:shd w:val="clear" w:color="000000" w:fill="FFFFFF"/>
            <w:hideMark/>
          </w:tcPr>
          <w:p w14:paraId="01643B4C" w14:textId="7BF899E7" w:rsidR="00EA4F9B" w:rsidRPr="00EA4F9B" w:rsidRDefault="00F30994" w:rsidP="00EA4F9B">
            <w:pPr>
              <w:rPr>
                <w:rFonts w:ascii="Arial" w:hAnsi="Arial" w:cs="Arial"/>
                <w:b/>
                <w:bCs/>
                <w:color w:val="212529"/>
                <w:sz w:val="22"/>
                <w:szCs w:val="22"/>
              </w:rPr>
            </w:pPr>
            <w:r>
              <w:rPr>
                <w:rFonts w:ascii="Arial" w:hAnsi="Arial" w:cs="Arial"/>
                <w:b/>
                <w:bCs/>
                <w:color w:val="212529"/>
                <w:sz w:val="22"/>
                <w:szCs w:val="22"/>
              </w:rPr>
              <w:t>Store Style</w:t>
            </w:r>
          </w:p>
        </w:tc>
        <w:tc>
          <w:tcPr>
            <w:tcW w:w="2340" w:type="dxa"/>
            <w:tcBorders>
              <w:top w:val="nil"/>
              <w:left w:val="nil"/>
              <w:bottom w:val="single" w:sz="4" w:space="0" w:color="auto"/>
              <w:right w:val="single" w:sz="4" w:space="0" w:color="auto"/>
            </w:tcBorders>
            <w:shd w:val="clear" w:color="000000" w:fill="FFFFFF"/>
            <w:hideMark/>
          </w:tcPr>
          <w:p w14:paraId="7D4384E2" w14:textId="77777777" w:rsidR="00EA4F9B" w:rsidRPr="00EA4F9B" w:rsidRDefault="00EA4F9B" w:rsidP="00EA4F9B">
            <w:pPr>
              <w:jc w:val="center"/>
              <w:rPr>
                <w:rFonts w:ascii="Arial" w:hAnsi="Arial" w:cs="Arial"/>
                <w:color w:val="212529"/>
                <w:sz w:val="22"/>
                <w:szCs w:val="22"/>
              </w:rPr>
            </w:pPr>
            <w:r w:rsidRPr="00EA4F9B">
              <w:rPr>
                <w:rFonts w:ascii="Arial" w:hAnsi="Arial" w:cs="Arial"/>
                <w:color w:val="212529"/>
                <w:sz w:val="22"/>
                <w:szCs w:val="22"/>
              </w:rPr>
              <w:t>0.77</w:t>
            </w:r>
          </w:p>
        </w:tc>
        <w:tc>
          <w:tcPr>
            <w:tcW w:w="2250" w:type="dxa"/>
            <w:tcBorders>
              <w:top w:val="nil"/>
              <w:left w:val="nil"/>
              <w:bottom w:val="single" w:sz="4" w:space="0" w:color="auto"/>
              <w:right w:val="single" w:sz="4" w:space="0" w:color="auto"/>
            </w:tcBorders>
            <w:shd w:val="clear" w:color="000000" w:fill="FFFFFF"/>
            <w:hideMark/>
          </w:tcPr>
          <w:p w14:paraId="224DCDBD" w14:textId="77777777" w:rsidR="00EA4F9B" w:rsidRPr="00EA4F9B" w:rsidRDefault="00EA4F9B" w:rsidP="00EA4F9B">
            <w:pPr>
              <w:jc w:val="center"/>
              <w:rPr>
                <w:rFonts w:ascii="Arial" w:hAnsi="Arial" w:cs="Arial"/>
                <w:color w:val="212529"/>
                <w:sz w:val="22"/>
                <w:szCs w:val="22"/>
              </w:rPr>
            </w:pPr>
            <w:r w:rsidRPr="00EA4F9B">
              <w:rPr>
                <w:rFonts w:ascii="Arial" w:hAnsi="Arial" w:cs="Arial"/>
                <w:color w:val="212529"/>
                <w:sz w:val="22"/>
                <w:szCs w:val="22"/>
              </w:rPr>
              <w:t>0.94</w:t>
            </w:r>
          </w:p>
        </w:tc>
      </w:tr>
      <w:tr w:rsidR="00EA4F9B" w:rsidRPr="00EA4F9B" w14:paraId="41408CC0" w14:textId="77777777" w:rsidTr="004D0E67">
        <w:trPr>
          <w:trHeight w:val="290"/>
        </w:trPr>
        <w:tc>
          <w:tcPr>
            <w:tcW w:w="2605" w:type="dxa"/>
            <w:tcBorders>
              <w:top w:val="nil"/>
              <w:left w:val="single" w:sz="4" w:space="0" w:color="auto"/>
              <w:bottom w:val="single" w:sz="4" w:space="0" w:color="auto"/>
              <w:right w:val="single" w:sz="4" w:space="0" w:color="auto"/>
            </w:tcBorders>
            <w:shd w:val="clear" w:color="000000" w:fill="FFFFFF"/>
            <w:hideMark/>
          </w:tcPr>
          <w:p w14:paraId="6257B2DE" w14:textId="64B0DC2C" w:rsidR="00EA4F9B" w:rsidRPr="00EA4F9B" w:rsidRDefault="000706D8" w:rsidP="00EA4F9B">
            <w:pPr>
              <w:rPr>
                <w:rFonts w:ascii="Arial" w:hAnsi="Arial" w:cs="Arial"/>
                <w:b/>
                <w:bCs/>
                <w:color w:val="212529"/>
                <w:sz w:val="22"/>
                <w:szCs w:val="22"/>
              </w:rPr>
            </w:pPr>
            <w:r>
              <w:rPr>
                <w:rFonts w:ascii="Arial" w:hAnsi="Arial" w:cs="Arial"/>
                <w:b/>
                <w:bCs/>
                <w:color w:val="212529"/>
                <w:sz w:val="22"/>
                <w:szCs w:val="22"/>
              </w:rPr>
              <w:t>Store Familiarity</w:t>
            </w:r>
          </w:p>
        </w:tc>
        <w:tc>
          <w:tcPr>
            <w:tcW w:w="2340" w:type="dxa"/>
            <w:tcBorders>
              <w:top w:val="nil"/>
              <w:left w:val="nil"/>
              <w:bottom w:val="single" w:sz="4" w:space="0" w:color="auto"/>
              <w:right w:val="single" w:sz="4" w:space="0" w:color="auto"/>
            </w:tcBorders>
            <w:shd w:val="clear" w:color="000000" w:fill="FFFFFF"/>
            <w:hideMark/>
          </w:tcPr>
          <w:p w14:paraId="5975DDEA" w14:textId="77777777" w:rsidR="00EA4F9B" w:rsidRPr="00EA4F9B" w:rsidRDefault="00EA4F9B" w:rsidP="00EA4F9B">
            <w:pPr>
              <w:jc w:val="center"/>
              <w:rPr>
                <w:rFonts w:ascii="Arial" w:hAnsi="Arial" w:cs="Arial"/>
                <w:color w:val="212529"/>
                <w:sz w:val="22"/>
                <w:szCs w:val="22"/>
              </w:rPr>
            </w:pPr>
            <w:r w:rsidRPr="00EA4F9B">
              <w:rPr>
                <w:rFonts w:ascii="Arial" w:hAnsi="Arial" w:cs="Arial"/>
                <w:color w:val="212529"/>
                <w:sz w:val="22"/>
                <w:szCs w:val="22"/>
              </w:rPr>
              <w:t>0.78</w:t>
            </w:r>
          </w:p>
        </w:tc>
        <w:tc>
          <w:tcPr>
            <w:tcW w:w="2250" w:type="dxa"/>
            <w:tcBorders>
              <w:top w:val="nil"/>
              <w:left w:val="nil"/>
              <w:bottom w:val="single" w:sz="4" w:space="0" w:color="auto"/>
              <w:right w:val="single" w:sz="4" w:space="0" w:color="auto"/>
            </w:tcBorders>
            <w:shd w:val="clear" w:color="000000" w:fill="FFFFFF"/>
            <w:hideMark/>
          </w:tcPr>
          <w:p w14:paraId="19CF5019" w14:textId="77777777" w:rsidR="00EA4F9B" w:rsidRPr="00EA4F9B" w:rsidRDefault="00EA4F9B" w:rsidP="00EA4F9B">
            <w:pPr>
              <w:jc w:val="center"/>
              <w:rPr>
                <w:rFonts w:ascii="Arial" w:hAnsi="Arial" w:cs="Arial"/>
                <w:color w:val="212529"/>
                <w:sz w:val="22"/>
                <w:szCs w:val="22"/>
              </w:rPr>
            </w:pPr>
            <w:r w:rsidRPr="00EA4F9B">
              <w:rPr>
                <w:rFonts w:ascii="Arial" w:hAnsi="Arial" w:cs="Arial"/>
                <w:color w:val="212529"/>
                <w:sz w:val="22"/>
                <w:szCs w:val="22"/>
              </w:rPr>
              <w:t>0.94</w:t>
            </w:r>
          </w:p>
        </w:tc>
      </w:tr>
      <w:tr w:rsidR="00EA4F9B" w:rsidRPr="00EA4F9B" w14:paraId="6158D8A0" w14:textId="77777777" w:rsidTr="004D0E67">
        <w:trPr>
          <w:trHeight w:val="290"/>
        </w:trPr>
        <w:tc>
          <w:tcPr>
            <w:tcW w:w="2605" w:type="dxa"/>
            <w:tcBorders>
              <w:top w:val="nil"/>
              <w:left w:val="single" w:sz="4" w:space="0" w:color="auto"/>
              <w:bottom w:val="single" w:sz="4" w:space="0" w:color="auto"/>
              <w:right w:val="single" w:sz="4" w:space="0" w:color="auto"/>
            </w:tcBorders>
            <w:shd w:val="clear" w:color="000000" w:fill="FFFFFF"/>
            <w:hideMark/>
          </w:tcPr>
          <w:p w14:paraId="64646808" w14:textId="2BDFDF61" w:rsidR="00EA4F9B" w:rsidRPr="00EA4F9B" w:rsidRDefault="000706D8" w:rsidP="00EA4F9B">
            <w:pPr>
              <w:rPr>
                <w:rFonts w:ascii="Arial" w:hAnsi="Arial" w:cs="Arial"/>
                <w:b/>
                <w:bCs/>
                <w:color w:val="212529"/>
                <w:sz w:val="22"/>
                <w:szCs w:val="22"/>
              </w:rPr>
            </w:pPr>
            <w:r>
              <w:rPr>
                <w:rFonts w:ascii="Arial" w:hAnsi="Arial" w:cs="Arial"/>
                <w:b/>
                <w:bCs/>
                <w:color w:val="212529"/>
                <w:sz w:val="22"/>
                <w:szCs w:val="22"/>
              </w:rPr>
              <w:t>Store Settlement</w:t>
            </w:r>
          </w:p>
        </w:tc>
        <w:tc>
          <w:tcPr>
            <w:tcW w:w="2340" w:type="dxa"/>
            <w:tcBorders>
              <w:top w:val="nil"/>
              <w:left w:val="nil"/>
              <w:bottom w:val="single" w:sz="4" w:space="0" w:color="auto"/>
              <w:right w:val="single" w:sz="4" w:space="0" w:color="auto"/>
            </w:tcBorders>
            <w:shd w:val="clear" w:color="000000" w:fill="FFFFFF"/>
            <w:hideMark/>
          </w:tcPr>
          <w:p w14:paraId="7AF7E347" w14:textId="77777777" w:rsidR="00EA4F9B" w:rsidRPr="00EA4F9B" w:rsidRDefault="00EA4F9B" w:rsidP="00EA4F9B">
            <w:pPr>
              <w:jc w:val="center"/>
              <w:rPr>
                <w:rFonts w:ascii="Arial" w:hAnsi="Arial" w:cs="Arial"/>
                <w:color w:val="212529"/>
                <w:sz w:val="22"/>
                <w:szCs w:val="22"/>
              </w:rPr>
            </w:pPr>
            <w:r w:rsidRPr="00EA4F9B">
              <w:rPr>
                <w:rFonts w:ascii="Arial" w:hAnsi="Arial" w:cs="Arial"/>
                <w:color w:val="212529"/>
                <w:sz w:val="22"/>
                <w:szCs w:val="22"/>
              </w:rPr>
              <w:t>0.75</w:t>
            </w:r>
          </w:p>
        </w:tc>
        <w:tc>
          <w:tcPr>
            <w:tcW w:w="2250" w:type="dxa"/>
            <w:tcBorders>
              <w:top w:val="nil"/>
              <w:left w:val="nil"/>
              <w:bottom w:val="single" w:sz="4" w:space="0" w:color="auto"/>
              <w:right w:val="single" w:sz="4" w:space="0" w:color="auto"/>
            </w:tcBorders>
            <w:shd w:val="clear" w:color="000000" w:fill="FFFFFF"/>
            <w:hideMark/>
          </w:tcPr>
          <w:p w14:paraId="12D71BF9" w14:textId="77777777" w:rsidR="00EA4F9B" w:rsidRPr="00EA4F9B" w:rsidRDefault="00EA4F9B" w:rsidP="00EA4F9B">
            <w:pPr>
              <w:jc w:val="center"/>
              <w:rPr>
                <w:rFonts w:ascii="Arial" w:hAnsi="Arial" w:cs="Arial"/>
                <w:color w:val="212529"/>
                <w:sz w:val="22"/>
                <w:szCs w:val="22"/>
              </w:rPr>
            </w:pPr>
            <w:r w:rsidRPr="00EA4F9B">
              <w:rPr>
                <w:rFonts w:ascii="Arial" w:hAnsi="Arial" w:cs="Arial"/>
                <w:color w:val="212529"/>
                <w:sz w:val="22"/>
                <w:szCs w:val="22"/>
              </w:rPr>
              <w:t>0.94</w:t>
            </w:r>
          </w:p>
        </w:tc>
      </w:tr>
      <w:tr w:rsidR="00EA4F9B" w:rsidRPr="00EA4F9B" w14:paraId="0BD69CDE" w14:textId="77777777" w:rsidTr="004D0E67">
        <w:trPr>
          <w:trHeight w:val="290"/>
        </w:trPr>
        <w:tc>
          <w:tcPr>
            <w:tcW w:w="2605" w:type="dxa"/>
            <w:tcBorders>
              <w:top w:val="nil"/>
              <w:left w:val="single" w:sz="4" w:space="0" w:color="auto"/>
              <w:bottom w:val="single" w:sz="4" w:space="0" w:color="auto"/>
              <w:right w:val="single" w:sz="4" w:space="0" w:color="auto"/>
            </w:tcBorders>
            <w:shd w:val="clear" w:color="000000" w:fill="FFFFFF"/>
            <w:hideMark/>
          </w:tcPr>
          <w:p w14:paraId="287B62AB" w14:textId="7D99847F" w:rsidR="00EA4F9B" w:rsidRPr="00EA4F9B" w:rsidRDefault="00864CB2" w:rsidP="00EA4F9B">
            <w:pPr>
              <w:rPr>
                <w:rFonts w:ascii="Arial" w:hAnsi="Arial" w:cs="Arial"/>
                <w:b/>
                <w:bCs/>
                <w:color w:val="212529"/>
                <w:sz w:val="22"/>
                <w:szCs w:val="22"/>
              </w:rPr>
            </w:pPr>
            <w:r>
              <w:rPr>
                <w:rFonts w:ascii="Arial" w:hAnsi="Arial" w:cs="Arial"/>
                <w:b/>
                <w:bCs/>
                <w:color w:val="212529"/>
                <w:sz w:val="22"/>
                <w:szCs w:val="22"/>
              </w:rPr>
              <w:t>Intentions</w:t>
            </w:r>
            <w:r w:rsidR="00EA4F9B" w:rsidRPr="00EA4F9B">
              <w:rPr>
                <w:rFonts w:ascii="Arial" w:hAnsi="Arial" w:cs="Arial"/>
                <w:b/>
                <w:bCs/>
                <w:color w:val="212529"/>
                <w:sz w:val="22"/>
                <w:szCs w:val="22"/>
              </w:rPr>
              <w:t xml:space="preserve"> to Buy</w:t>
            </w:r>
          </w:p>
        </w:tc>
        <w:tc>
          <w:tcPr>
            <w:tcW w:w="2340" w:type="dxa"/>
            <w:tcBorders>
              <w:top w:val="nil"/>
              <w:left w:val="nil"/>
              <w:bottom w:val="single" w:sz="4" w:space="0" w:color="auto"/>
              <w:right w:val="single" w:sz="4" w:space="0" w:color="auto"/>
            </w:tcBorders>
            <w:shd w:val="clear" w:color="000000" w:fill="FFFFFF"/>
            <w:hideMark/>
          </w:tcPr>
          <w:p w14:paraId="20850D38" w14:textId="77777777" w:rsidR="00EA4F9B" w:rsidRPr="00EA4F9B" w:rsidRDefault="00EA4F9B" w:rsidP="00EA4F9B">
            <w:pPr>
              <w:jc w:val="center"/>
              <w:rPr>
                <w:rFonts w:ascii="Arial" w:hAnsi="Arial" w:cs="Arial"/>
                <w:color w:val="212529"/>
                <w:sz w:val="22"/>
                <w:szCs w:val="22"/>
              </w:rPr>
            </w:pPr>
            <w:r w:rsidRPr="00EA4F9B">
              <w:rPr>
                <w:rFonts w:ascii="Arial" w:hAnsi="Arial" w:cs="Arial"/>
                <w:color w:val="212529"/>
                <w:sz w:val="22"/>
                <w:szCs w:val="22"/>
              </w:rPr>
              <w:t>0.95</w:t>
            </w:r>
          </w:p>
        </w:tc>
        <w:tc>
          <w:tcPr>
            <w:tcW w:w="2250" w:type="dxa"/>
            <w:tcBorders>
              <w:top w:val="nil"/>
              <w:left w:val="nil"/>
              <w:bottom w:val="single" w:sz="4" w:space="0" w:color="auto"/>
              <w:right w:val="single" w:sz="4" w:space="0" w:color="auto"/>
            </w:tcBorders>
            <w:shd w:val="clear" w:color="000000" w:fill="FFFFFF"/>
            <w:hideMark/>
          </w:tcPr>
          <w:p w14:paraId="2B58E1AE" w14:textId="77777777" w:rsidR="00EA4F9B" w:rsidRPr="00EA4F9B" w:rsidRDefault="00EA4F9B" w:rsidP="00EA4F9B">
            <w:pPr>
              <w:jc w:val="center"/>
              <w:rPr>
                <w:rFonts w:ascii="Arial" w:hAnsi="Arial" w:cs="Arial"/>
                <w:color w:val="212529"/>
                <w:sz w:val="22"/>
                <w:szCs w:val="22"/>
              </w:rPr>
            </w:pPr>
            <w:r w:rsidRPr="00EA4F9B">
              <w:rPr>
                <w:rFonts w:ascii="Arial" w:hAnsi="Arial" w:cs="Arial"/>
                <w:color w:val="212529"/>
                <w:sz w:val="22"/>
                <w:szCs w:val="22"/>
              </w:rPr>
              <w:t>0.93</w:t>
            </w:r>
          </w:p>
        </w:tc>
      </w:tr>
    </w:tbl>
    <w:p w14:paraId="7B74424C" w14:textId="3F45C4E2" w:rsidR="005E2D0F" w:rsidRDefault="005E2D0F" w:rsidP="005F7DF9">
      <w:pPr>
        <w:pStyle w:val="BodyText"/>
        <w:tabs>
          <w:tab w:val="left" w:pos="180"/>
        </w:tabs>
        <w:kinsoku w:val="0"/>
        <w:overflowPunct w:val="0"/>
        <w:snapToGrid w:val="0"/>
        <w:spacing w:before="18" w:line="360" w:lineRule="auto"/>
        <w:ind w:right="39"/>
        <w:jc w:val="both"/>
        <w:rPr>
          <w:rFonts w:ascii="Arial" w:hAnsi="Arial" w:cs="Arial"/>
          <w:sz w:val="24"/>
          <w:szCs w:val="24"/>
        </w:rPr>
      </w:pPr>
    </w:p>
    <w:p w14:paraId="0EE257E8" w14:textId="0A40AC8C" w:rsidR="001A3A32" w:rsidRDefault="005A7A8A" w:rsidP="00D83859">
      <w:pPr>
        <w:pStyle w:val="BodyText"/>
        <w:tabs>
          <w:tab w:val="left" w:pos="180"/>
        </w:tabs>
        <w:kinsoku w:val="0"/>
        <w:overflowPunct w:val="0"/>
        <w:snapToGrid w:val="0"/>
        <w:spacing w:before="18" w:line="360" w:lineRule="auto"/>
        <w:ind w:right="39"/>
        <w:jc w:val="both"/>
        <w:rPr>
          <w:rFonts w:ascii="Arial" w:hAnsi="Arial" w:cs="Arial"/>
          <w:sz w:val="24"/>
          <w:szCs w:val="24"/>
          <w:lang w:val="en-HK"/>
        </w:rPr>
      </w:pPr>
      <w:r w:rsidRPr="005A7A8A">
        <w:rPr>
          <w:rFonts w:ascii="Arial" w:hAnsi="Arial" w:cs="Arial"/>
          <w:sz w:val="24"/>
          <w:szCs w:val="24"/>
          <w:lang w:val="en-HK"/>
        </w:rPr>
        <w:lastRenderedPageBreak/>
        <w:t xml:space="preserve">Corrected item-total correlation and Cronbach's alpha when each item is excluded are what we care about when </w:t>
      </w:r>
      <w:r w:rsidR="00CB3337" w:rsidRPr="005A7A8A">
        <w:rPr>
          <w:rFonts w:ascii="Arial" w:hAnsi="Arial" w:cs="Arial"/>
          <w:sz w:val="24"/>
          <w:szCs w:val="24"/>
          <w:lang w:val="en-HK"/>
        </w:rPr>
        <w:t>analysing</w:t>
      </w:r>
      <w:r w:rsidRPr="005A7A8A">
        <w:rPr>
          <w:rFonts w:ascii="Arial" w:hAnsi="Arial" w:cs="Arial"/>
          <w:sz w:val="24"/>
          <w:szCs w:val="24"/>
          <w:lang w:val="en-HK"/>
        </w:rPr>
        <w:t xml:space="preserve"> Cronbach's alpha results.  It boils down to checking your scale's internal consistency and how each item affects it.  Here, a low correlation indicates that the item is not in such excellent agreement with the score of the other items, but a high correlation indicates that the item aligns well with the total score of the other items, contributing greatly to the scale's internal consistency. </w:t>
      </w:r>
      <w:r w:rsidR="003A7E31">
        <w:rPr>
          <w:rFonts w:ascii="Arial" w:hAnsi="Arial" w:cs="Arial"/>
          <w:sz w:val="24"/>
          <w:szCs w:val="24"/>
          <w:lang w:val="en-HK"/>
        </w:rPr>
        <w:t>Table</w:t>
      </w:r>
      <w:r w:rsidR="00D3420B">
        <w:rPr>
          <w:rFonts w:ascii="Arial" w:hAnsi="Arial" w:cs="Arial"/>
          <w:sz w:val="24"/>
          <w:szCs w:val="24"/>
          <w:lang w:val="en-HK"/>
        </w:rPr>
        <w:t xml:space="preserve">-7 show the breakdown of </w:t>
      </w:r>
      <w:r w:rsidR="002D18A9">
        <w:rPr>
          <w:rFonts w:ascii="Arial" w:hAnsi="Arial" w:cs="Arial"/>
          <w:sz w:val="24"/>
          <w:szCs w:val="24"/>
          <w:lang w:val="en-HK"/>
        </w:rPr>
        <w:t xml:space="preserve">Cronbach’s Alpha for the 7 factors. </w:t>
      </w:r>
      <w:r w:rsidR="001A3A32" w:rsidRPr="001A3A32">
        <w:rPr>
          <w:rFonts w:ascii="Arial" w:hAnsi="Arial" w:cs="Arial"/>
          <w:sz w:val="24"/>
          <w:szCs w:val="24"/>
          <w:lang w:val="en-HK"/>
        </w:rPr>
        <w:t xml:space="preserve">With 0.8 </w:t>
      </w:r>
      <w:r w:rsidR="00091B6F">
        <w:rPr>
          <w:rFonts w:ascii="Arial" w:hAnsi="Arial" w:cs="Arial"/>
          <w:sz w:val="24"/>
          <w:szCs w:val="24"/>
          <w:lang w:val="en-HK"/>
        </w:rPr>
        <w:t>Store Usefulness</w:t>
      </w:r>
      <w:r w:rsidR="001A3A32" w:rsidRPr="001A3A32">
        <w:rPr>
          <w:rFonts w:ascii="Arial" w:hAnsi="Arial" w:cs="Arial"/>
          <w:sz w:val="24"/>
          <w:szCs w:val="24"/>
          <w:lang w:val="en-HK"/>
        </w:rPr>
        <w:t xml:space="preserve"> has a very strong correlation.</w:t>
      </w:r>
      <w:r w:rsidR="00D83859">
        <w:rPr>
          <w:rFonts w:ascii="Arial" w:hAnsi="Arial" w:cs="Arial"/>
          <w:sz w:val="24"/>
          <w:szCs w:val="24"/>
          <w:lang w:val="en-HK"/>
        </w:rPr>
        <w:t xml:space="preserve"> </w:t>
      </w:r>
      <w:r w:rsidR="001A3A32" w:rsidRPr="001A3A32">
        <w:rPr>
          <w:rFonts w:ascii="Arial" w:hAnsi="Arial" w:cs="Arial"/>
          <w:sz w:val="24"/>
          <w:szCs w:val="24"/>
          <w:lang w:val="en-HK"/>
        </w:rPr>
        <w:t xml:space="preserve">With 0.85 </w:t>
      </w:r>
      <w:r w:rsidR="00091B6F">
        <w:rPr>
          <w:rFonts w:ascii="Arial" w:hAnsi="Arial" w:cs="Arial"/>
          <w:sz w:val="24"/>
          <w:szCs w:val="24"/>
          <w:lang w:val="en-HK"/>
        </w:rPr>
        <w:t>Store Enjoyment</w:t>
      </w:r>
      <w:r w:rsidR="001A3A32" w:rsidRPr="001A3A32">
        <w:rPr>
          <w:rFonts w:ascii="Arial" w:hAnsi="Arial" w:cs="Arial"/>
          <w:sz w:val="24"/>
          <w:szCs w:val="24"/>
          <w:lang w:val="en-HK"/>
        </w:rPr>
        <w:t xml:space="preserve"> has a very strong correlation.</w:t>
      </w:r>
      <w:r w:rsidR="00D83859">
        <w:rPr>
          <w:rFonts w:ascii="Arial" w:hAnsi="Arial" w:cs="Arial"/>
          <w:sz w:val="24"/>
          <w:szCs w:val="24"/>
          <w:lang w:val="en-HK"/>
        </w:rPr>
        <w:t xml:space="preserve"> </w:t>
      </w:r>
      <w:r w:rsidR="001A3A32" w:rsidRPr="001A3A32">
        <w:rPr>
          <w:rFonts w:ascii="Arial" w:hAnsi="Arial" w:cs="Arial"/>
          <w:sz w:val="24"/>
          <w:szCs w:val="24"/>
          <w:lang w:val="en-HK"/>
        </w:rPr>
        <w:t xml:space="preserve">With 0.66 </w:t>
      </w:r>
      <w:r w:rsidR="008773F3">
        <w:rPr>
          <w:rFonts w:ascii="Arial" w:hAnsi="Arial" w:cs="Arial"/>
          <w:sz w:val="24"/>
          <w:szCs w:val="24"/>
          <w:lang w:val="en-HK"/>
        </w:rPr>
        <w:t>Store Ease of Use</w:t>
      </w:r>
      <w:r w:rsidR="001A3A32" w:rsidRPr="001A3A32">
        <w:rPr>
          <w:rFonts w:ascii="Arial" w:hAnsi="Arial" w:cs="Arial"/>
          <w:sz w:val="24"/>
          <w:szCs w:val="24"/>
          <w:lang w:val="en-HK"/>
        </w:rPr>
        <w:t xml:space="preserve"> has a very strong correlation.</w:t>
      </w:r>
      <w:r w:rsidR="00D83859">
        <w:rPr>
          <w:rFonts w:ascii="Arial" w:hAnsi="Arial" w:cs="Arial"/>
          <w:sz w:val="24"/>
          <w:szCs w:val="24"/>
          <w:lang w:val="en-HK"/>
        </w:rPr>
        <w:t xml:space="preserve"> </w:t>
      </w:r>
      <w:r w:rsidR="001A3A32" w:rsidRPr="001A3A32">
        <w:rPr>
          <w:rFonts w:ascii="Arial" w:hAnsi="Arial" w:cs="Arial"/>
          <w:sz w:val="24"/>
          <w:szCs w:val="24"/>
          <w:lang w:val="en-HK"/>
        </w:rPr>
        <w:t xml:space="preserve">With 0.92 </w:t>
      </w:r>
      <w:r w:rsidR="00F30994">
        <w:rPr>
          <w:rFonts w:ascii="Arial" w:hAnsi="Arial" w:cs="Arial"/>
          <w:sz w:val="24"/>
          <w:szCs w:val="24"/>
          <w:lang w:val="en-HK"/>
        </w:rPr>
        <w:t>Store Trustworthiness</w:t>
      </w:r>
      <w:r w:rsidR="001A3A32" w:rsidRPr="001A3A32">
        <w:rPr>
          <w:rFonts w:ascii="Arial" w:hAnsi="Arial" w:cs="Arial"/>
          <w:sz w:val="24"/>
          <w:szCs w:val="24"/>
          <w:lang w:val="en-HK"/>
        </w:rPr>
        <w:t xml:space="preserve"> has a very strong correlation.</w:t>
      </w:r>
      <w:r w:rsidR="00D83859">
        <w:rPr>
          <w:rFonts w:ascii="Arial" w:hAnsi="Arial" w:cs="Arial"/>
          <w:sz w:val="24"/>
          <w:szCs w:val="24"/>
          <w:lang w:val="en-HK"/>
        </w:rPr>
        <w:t xml:space="preserve"> </w:t>
      </w:r>
      <w:r w:rsidR="001A3A32" w:rsidRPr="001A3A32">
        <w:rPr>
          <w:rFonts w:ascii="Arial" w:hAnsi="Arial" w:cs="Arial"/>
          <w:sz w:val="24"/>
          <w:szCs w:val="24"/>
          <w:lang w:val="en-HK"/>
        </w:rPr>
        <w:t xml:space="preserve">With 0.77 </w:t>
      </w:r>
      <w:r w:rsidR="00F30994">
        <w:rPr>
          <w:rFonts w:ascii="Arial" w:hAnsi="Arial" w:cs="Arial"/>
          <w:sz w:val="24"/>
          <w:szCs w:val="24"/>
          <w:lang w:val="en-HK"/>
        </w:rPr>
        <w:t>Store Style</w:t>
      </w:r>
      <w:r w:rsidR="001A3A32" w:rsidRPr="001A3A32">
        <w:rPr>
          <w:rFonts w:ascii="Arial" w:hAnsi="Arial" w:cs="Arial"/>
          <w:sz w:val="24"/>
          <w:szCs w:val="24"/>
          <w:lang w:val="en-HK"/>
        </w:rPr>
        <w:t xml:space="preserve"> has a very strong correlation.</w:t>
      </w:r>
      <w:r w:rsidR="00D83859">
        <w:rPr>
          <w:rFonts w:ascii="Arial" w:hAnsi="Arial" w:cs="Arial"/>
          <w:sz w:val="24"/>
          <w:szCs w:val="24"/>
          <w:lang w:val="en-HK"/>
        </w:rPr>
        <w:t xml:space="preserve"> </w:t>
      </w:r>
      <w:r w:rsidR="001A3A32" w:rsidRPr="001A3A32">
        <w:rPr>
          <w:rFonts w:ascii="Arial" w:hAnsi="Arial" w:cs="Arial"/>
          <w:sz w:val="24"/>
          <w:szCs w:val="24"/>
          <w:lang w:val="en-HK"/>
        </w:rPr>
        <w:t xml:space="preserve">With 0.78 </w:t>
      </w:r>
      <w:r w:rsidR="000706D8">
        <w:rPr>
          <w:rFonts w:ascii="Arial" w:hAnsi="Arial" w:cs="Arial"/>
          <w:sz w:val="24"/>
          <w:szCs w:val="24"/>
          <w:lang w:val="en-HK"/>
        </w:rPr>
        <w:t>Store Familiarity</w:t>
      </w:r>
      <w:r w:rsidR="001A3A32" w:rsidRPr="001A3A32">
        <w:rPr>
          <w:rFonts w:ascii="Arial" w:hAnsi="Arial" w:cs="Arial"/>
          <w:sz w:val="24"/>
          <w:szCs w:val="24"/>
          <w:lang w:val="en-HK"/>
        </w:rPr>
        <w:t xml:space="preserve"> has a very strong correlation.</w:t>
      </w:r>
      <w:r w:rsidR="00D83859">
        <w:rPr>
          <w:rFonts w:ascii="Arial" w:hAnsi="Arial" w:cs="Arial"/>
          <w:sz w:val="24"/>
          <w:szCs w:val="24"/>
          <w:lang w:val="en-HK"/>
        </w:rPr>
        <w:t xml:space="preserve"> </w:t>
      </w:r>
      <w:r w:rsidR="001A3A32" w:rsidRPr="001A3A32">
        <w:rPr>
          <w:rFonts w:ascii="Arial" w:hAnsi="Arial" w:cs="Arial"/>
          <w:sz w:val="24"/>
          <w:szCs w:val="24"/>
          <w:lang w:val="en-HK"/>
        </w:rPr>
        <w:t xml:space="preserve">With 0.75 </w:t>
      </w:r>
      <w:r w:rsidR="000706D8">
        <w:rPr>
          <w:rFonts w:ascii="Arial" w:hAnsi="Arial" w:cs="Arial"/>
          <w:sz w:val="24"/>
          <w:szCs w:val="24"/>
          <w:lang w:val="en-HK"/>
        </w:rPr>
        <w:t>Store Settlement</w:t>
      </w:r>
      <w:r w:rsidR="001A3A32" w:rsidRPr="001A3A32">
        <w:rPr>
          <w:rFonts w:ascii="Arial" w:hAnsi="Arial" w:cs="Arial"/>
          <w:sz w:val="24"/>
          <w:szCs w:val="24"/>
          <w:lang w:val="en-HK"/>
        </w:rPr>
        <w:t xml:space="preserve"> has a very strong correlation.</w:t>
      </w:r>
      <w:r w:rsidR="00D83859">
        <w:rPr>
          <w:rFonts w:ascii="Arial" w:hAnsi="Arial" w:cs="Arial"/>
          <w:sz w:val="24"/>
          <w:szCs w:val="24"/>
          <w:lang w:val="en-HK"/>
        </w:rPr>
        <w:t xml:space="preserve"> </w:t>
      </w:r>
      <w:r w:rsidR="001A3A32" w:rsidRPr="001A3A32">
        <w:rPr>
          <w:rFonts w:ascii="Arial" w:hAnsi="Arial" w:cs="Arial"/>
          <w:sz w:val="24"/>
          <w:szCs w:val="24"/>
          <w:lang w:val="en-HK"/>
        </w:rPr>
        <w:t xml:space="preserve">With 0.95 </w:t>
      </w:r>
      <w:r w:rsidR="00864CB2">
        <w:rPr>
          <w:rFonts w:ascii="Arial" w:hAnsi="Arial" w:cs="Arial"/>
          <w:sz w:val="24"/>
          <w:szCs w:val="24"/>
          <w:lang w:val="en-HK"/>
        </w:rPr>
        <w:t>Intentions</w:t>
      </w:r>
      <w:r w:rsidR="001A3A32" w:rsidRPr="001A3A32">
        <w:rPr>
          <w:rFonts w:ascii="Arial" w:hAnsi="Arial" w:cs="Arial"/>
          <w:sz w:val="24"/>
          <w:szCs w:val="24"/>
          <w:lang w:val="en-HK"/>
        </w:rPr>
        <w:t xml:space="preserve"> to Buy has a very strong correlation.</w:t>
      </w:r>
    </w:p>
    <w:p w14:paraId="5CFF776E" w14:textId="77777777" w:rsidR="00D83859" w:rsidRPr="001A3A32" w:rsidRDefault="00D83859" w:rsidP="00D83859">
      <w:pPr>
        <w:pStyle w:val="BodyText"/>
        <w:tabs>
          <w:tab w:val="left" w:pos="180"/>
        </w:tabs>
        <w:kinsoku w:val="0"/>
        <w:overflowPunct w:val="0"/>
        <w:snapToGrid w:val="0"/>
        <w:spacing w:before="18" w:line="360" w:lineRule="auto"/>
        <w:ind w:right="39"/>
        <w:jc w:val="both"/>
        <w:rPr>
          <w:rFonts w:ascii="Arial" w:hAnsi="Arial" w:cs="Arial"/>
          <w:sz w:val="24"/>
          <w:szCs w:val="24"/>
          <w:lang w:val="en-HK"/>
        </w:rPr>
      </w:pPr>
    </w:p>
    <w:p w14:paraId="0E409F16" w14:textId="0913E716" w:rsidR="001A3A32" w:rsidRDefault="00D56F25" w:rsidP="005F7DF9">
      <w:pPr>
        <w:pStyle w:val="BodyText"/>
        <w:tabs>
          <w:tab w:val="left" w:pos="180"/>
        </w:tabs>
        <w:kinsoku w:val="0"/>
        <w:overflowPunct w:val="0"/>
        <w:snapToGrid w:val="0"/>
        <w:spacing w:before="18" w:line="360" w:lineRule="auto"/>
        <w:ind w:right="39"/>
        <w:jc w:val="both"/>
        <w:rPr>
          <w:rFonts w:ascii="Arial" w:hAnsi="Arial" w:cs="Arial"/>
          <w:sz w:val="24"/>
          <w:szCs w:val="24"/>
          <w:lang w:val="en-HK"/>
        </w:rPr>
      </w:pPr>
      <w:r w:rsidRPr="00D56F25">
        <w:rPr>
          <w:rFonts w:ascii="Arial" w:hAnsi="Arial" w:cs="Arial"/>
          <w:sz w:val="24"/>
          <w:szCs w:val="24"/>
          <w:lang w:val="en-HK"/>
        </w:rPr>
        <w:t xml:space="preserve">Taking Store Usefulness off the scale reduces its Cronbach's Alpha, which means it doesn't provide anything useful and has a negative impact on the scale's internal consistency.  The fact that removing Store Enjoyment lowers the total Cronbach's Alpha indicates that it is not useful for the scale and has a detrimental impact on its internal consistency.  Store Ease of Use is an important component of the scale and adds </w:t>
      </w:r>
      <w:proofErr w:type="spellStart"/>
      <w:r w:rsidRPr="00D56F25">
        <w:rPr>
          <w:rFonts w:ascii="Arial" w:hAnsi="Arial" w:cs="Arial"/>
          <w:sz w:val="24"/>
          <w:szCs w:val="24"/>
          <w:lang w:val="en-HK"/>
        </w:rPr>
        <w:t>favorably</w:t>
      </w:r>
      <w:proofErr w:type="spellEnd"/>
      <w:r w:rsidRPr="00D56F25">
        <w:rPr>
          <w:rFonts w:ascii="Arial" w:hAnsi="Arial" w:cs="Arial"/>
          <w:sz w:val="24"/>
          <w:szCs w:val="24"/>
          <w:lang w:val="en-HK"/>
        </w:rPr>
        <w:t xml:space="preserve"> to its internal consistency; removing it raises the Cronbach's Alpha from the total scale, indicating this.  Taking Store Trustworthiness off the scale reduces its Cronbach's Alpha, which means it doesn't provide anything useful and hurts the scale's internal consistency.  The fact that removing Store Style reduces the total Cronbach's Alpha indicates that it is not useful for the scale and has a detrimental impact on its internal consistency.  Taking Store Familiarity off the scale reduces its Cronbach's Alpha, which means it doesn't provide anything useful and hurts the scale's internal consistency.  The fact that removing Store Settlement lowers the overall Cronbach's Alpha indicates that it is not useful for the scale and has a negative impact on its internal consistency.  By reducing the overall scale's Cronbach's Alpha, removing Intentions to Buy suggests that the item is not useful for the scale and badly impacts its internal consistency.</w:t>
      </w:r>
    </w:p>
    <w:p w14:paraId="40481A24" w14:textId="77777777" w:rsidR="00D56F25" w:rsidRPr="005246D1" w:rsidRDefault="00D56F25" w:rsidP="005F7DF9">
      <w:pPr>
        <w:pStyle w:val="BodyText"/>
        <w:tabs>
          <w:tab w:val="left" w:pos="180"/>
        </w:tabs>
        <w:kinsoku w:val="0"/>
        <w:overflowPunct w:val="0"/>
        <w:snapToGrid w:val="0"/>
        <w:spacing w:before="18" w:line="360" w:lineRule="auto"/>
        <w:ind w:right="39"/>
        <w:jc w:val="both"/>
        <w:rPr>
          <w:rFonts w:ascii="Arial" w:hAnsi="Arial" w:cs="Arial"/>
          <w:sz w:val="24"/>
          <w:szCs w:val="24"/>
          <w:lang w:val="en-HK"/>
        </w:rPr>
      </w:pPr>
    </w:p>
    <w:p w14:paraId="48FE358B" w14:textId="77777777" w:rsidR="00E82B30" w:rsidRDefault="00E82B30" w:rsidP="005F7DF9">
      <w:pPr>
        <w:pStyle w:val="BodyText"/>
        <w:tabs>
          <w:tab w:val="left" w:pos="180"/>
        </w:tabs>
        <w:kinsoku w:val="0"/>
        <w:overflowPunct w:val="0"/>
        <w:snapToGrid w:val="0"/>
        <w:spacing w:before="18" w:line="360" w:lineRule="auto"/>
        <w:ind w:right="39"/>
        <w:jc w:val="both"/>
        <w:rPr>
          <w:rFonts w:ascii="Arial" w:hAnsi="Arial" w:cs="Arial"/>
          <w:sz w:val="24"/>
          <w:szCs w:val="24"/>
        </w:rPr>
      </w:pPr>
      <w:r w:rsidRPr="00E82B30">
        <w:rPr>
          <w:rFonts w:ascii="Arial" w:hAnsi="Arial" w:cs="Arial"/>
          <w:sz w:val="24"/>
          <w:szCs w:val="24"/>
        </w:rPr>
        <w:t xml:space="preserve">Using an independent samples T-test, we examined the null hypothesis that no association exists between the seven criteria that online shoppers consider important and their propensity to make a purchase.  The T-test is administered with a 95% confidence </w:t>
      </w:r>
      <w:r w:rsidRPr="00E82B30">
        <w:rPr>
          <w:rFonts w:ascii="Arial" w:hAnsi="Arial" w:cs="Arial"/>
          <w:sz w:val="24"/>
          <w:szCs w:val="24"/>
        </w:rPr>
        <w:lastRenderedPageBreak/>
        <w:t>interval when the score of the intents to buy from this study reaches 6.2.  See the 7 Factors' T-Test results in Table-11.</w:t>
      </w:r>
    </w:p>
    <w:p w14:paraId="282229D0" w14:textId="77777777" w:rsidR="00E82B30" w:rsidRDefault="00E82B30" w:rsidP="005F7DF9">
      <w:pPr>
        <w:pStyle w:val="BodyText"/>
        <w:tabs>
          <w:tab w:val="left" w:pos="180"/>
        </w:tabs>
        <w:kinsoku w:val="0"/>
        <w:overflowPunct w:val="0"/>
        <w:snapToGrid w:val="0"/>
        <w:spacing w:before="18" w:line="360" w:lineRule="auto"/>
        <w:ind w:right="39"/>
        <w:jc w:val="both"/>
        <w:rPr>
          <w:rFonts w:ascii="Arial" w:hAnsi="Arial" w:cs="Arial"/>
        </w:rPr>
      </w:pPr>
    </w:p>
    <w:p w14:paraId="7EE8B165" w14:textId="7B95426C" w:rsidR="00F73FD4" w:rsidRPr="00A31E5D" w:rsidRDefault="00F64065" w:rsidP="005F7DF9">
      <w:pPr>
        <w:pStyle w:val="BodyText"/>
        <w:tabs>
          <w:tab w:val="left" w:pos="180"/>
        </w:tabs>
        <w:kinsoku w:val="0"/>
        <w:overflowPunct w:val="0"/>
        <w:snapToGrid w:val="0"/>
        <w:spacing w:before="18" w:line="360" w:lineRule="auto"/>
        <w:ind w:right="39"/>
        <w:jc w:val="both"/>
        <w:rPr>
          <w:rFonts w:ascii="Arial" w:hAnsi="Arial" w:cs="Arial"/>
          <w:sz w:val="24"/>
          <w:szCs w:val="24"/>
          <w:lang w:val="en-HK"/>
        </w:rPr>
      </w:pPr>
      <w:r w:rsidRPr="0083463B">
        <w:rPr>
          <w:rFonts w:ascii="Arial" w:hAnsi="Arial" w:cs="Arial"/>
        </w:rPr>
        <w:t>Table-</w:t>
      </w:r>
      <w:r w:rsidR="006E2ED6">
        <w:rPr>
          <w:rFonts w:ascii="Arial" w:hAnsi="Arial" w:cs="Arial"/>
        </w:rPr>
        <w:t>11</w:t>
      </w:r>
      <w:r w:rsidRPr="0083463B">
        <w:rPr>
          <w:rFonts w:ascii="Arial" w:hAnsi="Arial" w:cs="Arial"/>
        </w:rPr>
        <w:t xml:space="preserve"> </w:t>
      </w:r>
      <w:r w:rsidR="00532E36" w:rsidRPr="00532E36">
        <w:rPr>
          <w:rFonts w:ascii="Arial" w:hAnsi="Arial" w:cs="Arial"/>
        </w:rPr>
        <w:t xml:space="preserve">Independent T-test </w:t>
      </w:r>
      <w:r w:rsidRPr="0083463B">
        <w:rPr>
          <w:rFonts w:ascii="Arial" w:hAnsi="Arial" w:cs="Arial"/>
        </w:rPr>
        <w:t>for 7 Factors</w:t>
      </w:r>
    </w:p>
    <w:tbl>
      <w:tblPr>
        <w:tblW w:w="5680" w:type="dxa"/>
        <w:tblLook w:val="04A0" w:firstRow="1" w:lastRow="0" w:firstColumn="1" w:lastColumn="0" w:noHBand="0" w:noVBand="1"/>
      </w:tblPr>
      <w:tblGrid>
        <w:gridCol w:w="1928"/>
        <w:gridCol w:w="946"/>
        <w:gridCol w:w="937"/>
        <w:gridCol w:w="923"/>
        <w:gridCol w:w="946"/>
      </w:tblGrid>
      <w:tr w:rsidR="00646ACC" w14:paraId="629C26CE" w14:textId="77777777" w:rsidTr="00646ACC">
        <w:trPr>
          <w:trHeight w:val="290"/>
        </w:trPr>
        <w:tc>
          <w:tcPr>
            <w:tcW w:w="184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445E63A" w14:textId="77777777" w:rsidR="00646ACC" w:rsidRDefault="00646ACC">
            <w:pPr>
              <w:rPr>
                <w:rFonts w:ascii="Arial" w:hAnsi="Arial" w:cs="Arial"/>
                <w:color w:val="212529"/>
                <w:sz w:val="22"/>
                <w:szCs w:val="22"/>
              </w:rPr>
            </w:pPr>
            <w:r>
              <w:rPr>
                <w:rFonts w:ascii="Arial" w:hAnsi="Arial" w:cs="Arial"/>
                <w:color w:val="212529"/>
                <w:sz w:val="22"/>
                <w:szCs w:val="22"/>
              </w:rPr>
              <w:t> </w:t>
            </w:r>
          </w:p>
        </w:tc>
        <w:tc>
          <w:tcPr>
            <w:tcW w:w="960" w:type="dxa"/>
            <w:tcBorders>
              <w:top w:val="single" w:sz="4" w:space="0" w:color="auto"/>
              <w:left w:val="nil"/>
              <w:bottom w:val="single" w:sz="4" w:space="0" w:color="auto"/>
              <w:right w:val="single" w:sz="4" w:space="0" w:color="auto"/>
            </w:tcBorders>
            <w:shd w:val="clear" w:color="000000" w:fill="FFFFFF"/>
            <w:vAlign w:val="bottom"/>
            <w:hideMark/>
          </w:tcPr>
          <w:p w14:paraId="789E1130" w14:textId="77777777" w:rsidR="00646ACC" w:rsidRDefault="00646ACC">
            <w:pPr>
              <w:jc w:val="center"/>
              <w:rPr>
                <w:rFonts w:ascii="Arial" w:hAnsi="Arial" w:cs="Arial"/>
                <w:b/>
                <w:bCs/>
                <w:color w:val="212529"/>
                <w:sz w:val="22"/>
                <w:szCs w:val="22"/>
              </w:rPr>
            </w:pPr>
            <w:r>
              <w:rPr>
                <w:rFonts w:ascii="Arial" w:hAnsi="Arial" w:cs="Arial"/>
                <w:b/>
                <w:bCs/>
                <w:color w:val="212529"/>
                <w:sz w:val="22"/>
                <w:szCs w:val="22"/>
              </w:rPr>
              <w:t>Mean</w:t>
            </w:r>
          </w:p>
        </w:tc>
        <w:tc>
          <w:tcPr>
            <w:tcW w:w="960" w:type="dxa"/>
            <w:tcBorders>
              <w:top w:val="single" w:sz="4" w:space="0" w:color="auto"/>
              <w:left w:val="nil"/>
              <w:bottom w:val="single" w:sz="4" w:space="0" w:color="auto"/>
              <w:right w:val="single" w:sz="4" w:space="0" w:color="auto"/>
            </w:tcBorders>
            <w:shd w:val="clear" w:color="000000" w:fill="FFFFFF"/>
            <w:vAlign w:val="bottom"/>
            <w:hideMark/>
          </w:tcPr>
          <w:p w14:paraId="630661A3" w14:textId="77777777" w:rsidR="00646ACC" w:rsidRDefault="00646ACC">
            <w:pPr>
              <w:jc w:val="center"/>
              <w:rPr>
                <w:rFonts w:ascii="Arial" w:hAnsi="Arial" w:cs="Arial"/>
                <w:b/>
                <w:bCs/>
                <w:color w:val="212529"/>
                <w:sz w:val="22"/>
                <w:szCs w:val="22"/>
              </w:rPr>
            </w:pPr>
            <w:r>
              <w:rPr>
                <w:rFonts w:ascii="Arial" w:hAnsi="Arial" w:cs="Arial"/>
                <w:b/>
                <w:bCs/>
                <w:color w:val="212529"/>
                <w:sz w:val="22"/>
                <w:szCs w:val="22"/>
              </w:rPr>
              <w:t>t</w:t>
            </w:r>
          </w:p>
        </w:tc>
        <w:tc>
          <w:tcPr>
            <w:tcW w:w="960" w:type="dxa"/>
            <w:tcBorders>
              <w:top w:val="single" w:sz="4" w:space="0" w:color="auto"/>
              <w:left w:val="nil"/>
              <w:bottom w:val="single" w:sz="4" w:space="0" w:color="auto"/>
              <w:right w:val="single" w:sz="4" w:space="0" w:color="auto"/>
            </w:tcBorders>
            <w:shd w:val="clear" w:color="000000" w:fill="FFFFFF"/>
            <w:vAlign w:val="bottom"/>
            <w:hideMark/>
          </w:tcPr>
          <w:p w14:paraId="06DC8628" w14:textId="77777777" w:rsidR="00646ACC" w:rsidRDefault="00646ACC">
            <w:pPr>
              <w:jc w:val="center"/>
              <w:rPr>
                <w:rFonts w:ascii="Arial" w:hAnsi="Arial" w:cs="Arial"/>
                <w:b/>
                <w:bCs/>
                <w:color w:val="212529"/>
                <w:sz w:val="22"/>
                <w:szCs w:val="22"/>
              </w:rPr>
            </w:pPr>
            <w:proofErr w:type="spellStart"/>
            <w:r>
              <w:rPr>
                <w:rFonts w:ascii="Arial" w:hAnsi="Arial" w:cs="Arial"/>
                <w:b/>
                <w:bCs/>
                <w:color w:val="212529"/>
                <w:sz w:val="22"/>
                <w:szCs w:val="22"/>
              </w:rPr>
              <w:t>df</w:t>
            </w:r>
            <w:proofErr w:type="spellEnd"/>
          </w:p>
        </w:tc>
        <w:tc>
          <w:tcPr>
            <w:tcW w:w="960" w:type="dxa"/>
            <w:tcBorders>
              <w:top w:val="single" w:sz="4" w:space="0" w:color="auto"/>
              <w:left w:val="nil"/>
              <w:bottom w:val="single" w:sz="4" w:space="0" w:color="auto"/>
              <w:right w:val="single" w:sz="4" w:space="0" w:color="auto"/>
            </w:tcBorders>
            <w:shd w:val="clear" w:color="000000" w:fill="FFFFFF"/>
            <w:vAlign w:val="bottom"/>
            <w:hideMark/>
          </w:tcPr>
          <w:p w14:paraId="55135B23" w14:textId="77777777" w:rsidR="00646ACC" w:rsidRDefault="00646ACC">
            <w:pPr>
              <w:jc w:val="center"/>
              <w:rPr>
                <w:rFonts w:ascii="Arial" w:hAnsi="Arial" w:cs="Arial"/>
                <w:b/>
                <w:bCs/>
                <w:color w:val="212529"/>
                <w:sz w:val="22"/>
                <w:szCs w:val="22"/>
              </w:rPr>
            </w:pPr>
            <w:r>
              <w:rPr>
                <w:rFonts w:ascii="Arial" w:hAnsi="Arial" w:cs="Arial"/>
                <w:b/>
                <w:bCs/>
                <w:color w:val="212529"/>
                <w:sz w:val="22"/>
                <w:szCs w:val="22"/>
              </w:rPr>
              <w:t>p</w:t>
            </w:r>
          </w:p>
        </w:tc>
      </w:tr>
      <w:tr w:rsidR="00646ACC" w14:paraId="132CC392" w14:textId="77777777" w:rsidTr="00646ACC">
        <w:trPr>
          <w:trHeight w:val="300"/>
        </w:trPr>
        <w:tc>
          <w:tcPr>
            <w:tcW w:w="1840" w:type="dxa"/>
            <w:tcBorders>
              <w:top w:val="nil"/>
              <w:left w:val="single" w:sz="4" w:space="0" w:color="auto"/>
              <w:bottom w:val="single" w:sz="4" w:space="0" w:color="auto"/>
              <w:right w:val="single" w:sz="4" w:space="0" w:color="auto"/>
            </w:tcBorders>
            <w:shd w:val="clear" w:color="000000" w:fill="FFFFFF"/>
            <w:hideMark/>
          </w:tcPr>
          <w:p w14:paraId="1B89858E" w14:textId="77777777" w:rsidR="00646ACC" w:rsidRDefault="00646ACC">
            <w:pPr>
              <w:rPr>
                <w:rFonts w:ascii="Arial" w:hAnsi="Arial" w:cs="Arial"/>
                <w:b/>
                <w:bCs/>
                <w:color w:val="212529"/>
                <w:sz w:val="22"/>
                <w:szCs w:val="22"/>
              </w:rPr>
            </w:pPr>
            <w:r>
              <w:rPr>
                <w:rFonts w:ascii="Arial" w:hAnsi="Arial" w:cs="Arial"/>
                <w:b/>
                <w:bCs/>
                <w:color w:val="212529"/>
                <w:sz w:val="22"/>
                <w:szCs w:val="22"/>
              </w:rPr>
              <w:t>Usefulness</w:t>
            </w:r>
          </w:p>
        </w:tc>
        <w:tc>
          <w:tcPr>
            <w:tcW w:w="960" w:type="dxa"/>
            <w:tcBorders>
              <w:top w:val="nil"/>
              <w:left w:val="nil"/>
              <w:bottom w:val="single" w:sz="4" w:space="0" w:color="auto"/>
              <w:right w:val="single" w:sz="4" w:space="0" w:color="auto"/>
            </w:tcBorders>
            <w:shd w:val="clear" w:color="000000" w:fill="FFFFFF"/>
            <w:hideMark/>
          </w:tcPr>
          <w:p w14:paraId="05D54E77" w14:textId="77777777" w:rsidR="00646ACC" w:rsidRDefault="00646ACC">
            <w:pPr>
              <w:jc w:val="center"/>
              <w:rPr>
                <w:rFonts w:ascii="Arial" w:hAnsi="Arial" w:cs="Arial"/>
                <w:color w:val="212529"/>
                <w:sz w:val="22"/>
                <w:szCs w:val="22"/>
              </w:rPr>
            </w:pPr>
            <w:r>
              <w:rPr>
                <w:rFonts w:ascii="Arial" w:hAnsi="Arial" w:cs="Arial"/>
                <w:color w:val="212529"/>
                <w:sz w:val="22"/>
                <w:szCs w:val="22"/>
              </w:rPr>
              <w:t>6.15</w:t>
            </w:r>
          </w:p>
        </w:tc>
        <w:tc>
          <w:tcPr>
            <w:tcW w:w="960" w:type="dxa"/>
            <w:tcBorders>
              <w:top w:val="nil"/>
              <w:left w:val="nil"/>
              <w:bottom w:val="single" w:sz="4" w:space="0" w:color="auto"/>
              <w:right w:val="single" w:sz="4" w:space="0" w:color="auto"/>
            </w:tcBorders>
            <w:shd w:val="clear" w:color="000000" w:fill="FFFFFF"/>
            <w:hideMark/>
          </w:tcPr>
          <w:p w14:paraId="632FCF58" w14:textId="77777777" w:rsidR="00646ACC" w:rsidRDefault="00646ACC">
            <w:pPr>
              <w:jc w:val="center"/>
              <w:rPr>
                <w:rFonts w:ascii="Arial" w:hAnsi="Arial" w:cs="Arial"/>
                <w:color w:val="212529"/>
                <w:sz w:val="22"/>
                <w:szCs w:val="22"/>
              </w:rPr>
            </w:pPr>
            <w:r>
              <w:rPr>
                <w:rFonts w:ascii="Arial" w:hAnsi="Arial" w:cs="Arial"/>
                <w:color w:val="212529"/>
                <w:sz w:val="22"/>
                <w:szCs w:val="22"/>
              </w:rPr>
              <w:t>-0.4</w:t>
            </w:r>
          </w:p>
        </w:tc>
        <w:tc>
          <w:tcPr>
            <w:tcW w:w="960" w:type="dxa"/>
            <w:tcBorders>
              <w:top w:val="nil"/>
              <w:left w:val="nil"/>
              <w:bottom w:val="single" w:sz="4" w:space="0" w:color="auto"/>
              <w:right w:val="single" w:sz="4" w:space="0" w:color="auto"/>
            </w:tcBorders>
            <w:shd w:val="clear" w:color="000000" w:fill="FFFFFF"/>
            <w:hideMark/>
          </w:tcPr>
          <w:p w14:paraId="3C3251F0" w14:textId="77777777" w:rsidR="00646ACC" w:rsidRDefault="00646ACC">
            <w:pPr>
              <w:jc w:val="center"/>
              <w:rPr>
                <w:rFonts w:ascii="Arial" w:hAnsi="Arial" w:cs="Arial"/>
                <w:color w:val="212529"/>
                <w:sz w:val="22"/>
                <w:szCs w:val="22"/>
              </w:rPr>
            </w:pPr>
            <w:r>
              <w:rPr>
                <w:rFonts w:ascii="Arial" w:hAnsi="Arial" w:cs="Arial"/>
                <w:color w:val="212529"/>
                <w:sz w:val="22"/>
                <w:szCs w:val="22"/>
              </w:rPr>
              <w:t>29</w:t>
            </w:r>
          </w:p>
        </w:tc>
        <w:tc>
          <w:tcPr>
            <w:tcW w:w="960" w:type="dxa"/>
            <w:tcBorders>
              <w:top w:val="nil"/>
              <w:left w:val="nil"/>
              <w:bottom w:val="single" w:sz="4" w:space="0" w:color="auto"/>
              <w:right w:val="single" w:sz="4" w:space="0" w:color="auto"/>
            </w:tcBorders>
            <w:shd w:val="clear" w:color="000000" w:fill="FFFFFF"/>
            <w:hideMark/>
          </w:tcPr>
          <w:p w14:paraId="717E3E66" w14:textId="77777777" w:rsidR="00646ACC" w:rsidRDefault="00646ACC">
            <w:pPr>
              <w:jc w:val="center"/>
              <w:rPr>
                <w:rFonts w:ascii="Arial" w:hAnsi="Arial" w:cs="Arial"/>
                <w:color w:val="212529"/>
                <w:sz w:val="22"/>
                <w:szCs w:val="22"/>
              </w:rPr>
            </w:pPr>
            <w:r>
              <w:rPr>
                <w:rFonts w:ascii="Arial" w:hAnsi="Arial" w:cs="Arial"/>
                <w:color w:val="212529"/>
                <w:sz w:val="22"/>
                <w:szCs w:val="22"/>
              </w:rPr>
              <w:t>0.693</w:t>
            </w:r>
          </w:p>
        </w:tc>
      </w:tr>
      <w:tr w:rsidR="00646ACC" w14:paraId="00A41082" w14:textId="77777777" w:rsidTr="00646ACC">
        <w:trPr>
          <w:trHeight w:val="300"/>
        </w:trPr>
        <w:tc>
          <w:tcPr>
            <w:tcW w:w="1840" w:type="dxa"/>
            <w:tcBorders>
              <w:top w:val="nil"/>
              <w:left w:val="single" w:sz="4" w:space="0" w:color="auto"/>
              <w:bottom w:val="single" w:sz="4" w:space="0" w:color="auto"/>
              <w:right w:val="single" w:sz="4" w:space="0" w:color="auto"/>
            </w:tcBorders>
            <w:shd w:val="clear" w:color="000000" w:fill="FFFFFF"/>
            <w:hideMark/>
          </w:tcPr>
          <w:p w14:paraId="37577CE6" w14:textId="77777777" w:rsidR="00646ACC" w:rsidRDefault="00646ACC">
            <w:pPr>
              <w:rPr>
                <w:rFonts w:ascii="Arial" w:hAnsi="Arial" w:cs="Arial"/>
                <w:b/>
                <w:bCs/>
                <w:color w:val="212529"/>
                <w:sz w:val="22"/>
                <w:szCs w:val="22"/>
              </w:rPr>
            </w:pPr>
            <w:r>
              <w:rPr>
                <w:rFonts w:ascii="Arial" w:hAnsi="Arial" w:cs="Arial"/>
                <w:b/>
                <w:bCs/>
                <w:color w:val="212529"/>
                <w:sz w:val="22"/>
                <w:szCs w:val="22"/>
              </w:rPr>
              <w:t>Enjoyment</w:t>
            </w:r>
          </w:p>
        </w:tc>
        <w:tc>
          <w:tcPr>
            <w:tcW w:w="960" w:type="dxa"/>
            <w:tcBorders>
              <w:top w:val="nil"/>
              <w:left w:val="nil"/>
              <w:bottom w:val="single" w:sz="4" w:space="0" w:color="auto"/>
              <w:right w:val="single" w:sz="4" w:space="0" w:color="auto"/>
            </w:tcBorders>
            <w:shd w:val="clear" w:color="000000" w:fill="FFFFFF"/>
            <w:hideMark/>
          </w:tcPr>
          <w:p w14:paraId="325F5A9F" w14:textId="77777777" w:rsidR="00646ACC" w:rsidRDefault="00646ACC">
            <w:pPr>
              <w:jc w:val="center"/>
              <w:rPr>
                <w:rFonts w:ascii="Arial" w:hAnsi="Arial" w:cs="Arial"/>
                <w:color w:val="212529"/>
                <w:sz w:val="22"/>
                <w:szCs w:val="22"/>
              </w:rPr>
            </w:pPr>
            <w:r>
              <w:rPr>
                <w:rFonts w:ascii="Arial" w:hAnsi="Arial" w:cs="Arial"/>
                <w:color w:val="212529"/>
                <w:sz w:val="22"/>
                <w:szCs w:val="22"/>
              </w:rPr>
              <w:t>6.2</w:t>
            </w:r>
          </w:p>
        </w:tc>
        <w:tc>
          <w:tcPr>
            <w:tcW w:w="960" w:type="dxa"/>
            <w:tcBorders>
              <w:top w:val="nil"/>
              <w:left w:val="nil"/>
              <w:bottom w:val="single" w:sz="4" w:space="0" w:color="auto"/>
              <w:right w:val="single" w:sz="4" w:space="0" w:color="auto"/>
            </w:tcBorders>
            <w:shd w:val="clear" w:color="000000" w:fill="FFFFFF"/>
            <w:hideMark/>
          </w:tcPr>
          <w:p w14:paraId="0F246227" w14:textId="77777777" w:rsidR="00646ACC" w:rsidRDefault="00646ACC">
            <w:pPr>
              <w:jc w:val="center"/>
              <w:rPr>
                <w:rFonts w:ascii="Arial" w:hAnsi="Arial" w:cs="Arial"/>
                <w:color w:val="212529"/>
                <w:sz w:val="22"/>
                <w:szCs w:val="22"/>
              </w:rPr>
            </w:pPr>
            <w:r>
              <w:rPr>
                <w:rFonts w:ascii="Arial" w:hAnsi="Arial" w:cs="Arial"/>
                <w:color w:val="212529"/>
                <w:sz w:val="22"/>
                <w:szCs w:val="22"/>
              </w:rPr>
              <w:t>0</w:t>
            </w:r>
          </w:p>
        </w:tc>
        <w:tc>
          <w:tcPr>
            <w:tcW w:w="960" w:type="dxa"/>
            <w:tcBorders>
              <w:top w:val="nil"/>
              <w:left w:val="nil"/>
              <w:bottom w:val="single" w:sz="4" w:space="0" w:color="auto"/>
              <w:right w:val="single" w:sz="4" w:space="0" w:color="auto"/>
            </w:tcBorders>
            <w:shd w:val="clear" w:color="000000" w:fill="FFFFFF"/>
            <w:hideMark/>
          </w:tcPr>
          <w:p w14:paraId="01D62439" w14:textId="77777777" w:rsidR="00646ACC" w:rsidRDefault="00646ACC">
            <w:pPr>
              <w:jc w:val="center"/>
              <w:rPr>
                <w:rFonts w:ascii="Arial" w:hAnsi="Arial" w:cs="Arial"/>
                <w:color w:val="212529"/>
                <w:sz w:val="22"/>
                <w:szCs w:val="22"/>
              </w:rPr>
            </w:pPr>
            <w:r>
              <w:rPr>
                <w:rFonts w:ascii="Arial" w:hAnsi="Arial" w:cs="Arial"/>
                <w:color w:val="212529"/>
                <w:sz w:val="22"/>
                <w:szCs w:val="22"/>
              </w:rPr>
              <w:t>29</w:t>
            </w:r>
          </w:p>
        </w:tc>
        <w:tc>
          <w:tcPr>
            <w:tcW w:w="960" w:type="dxa"/>
            <w:tcBorders>
              <w:top w:val="nil"/>
              <w:left w:val="nil"/>
              <w:bottom w:val="single" w:sz="4" w:space="0" w:color="auto"/>
              <w:right w:val="single" w:sz="4" w:space="0" w:color="auto"/>
            </w:tcBorders>
            <w:shd w:val="clear" w:color="000000" w:fill="FFFFFF"/>
            <w:hideMark/>
          </w:tcPr>
          <w:p w14:paraId="0F385F13" w14:textId="77777777" w:rsidR="00646ACC" w:rsidRDefault="00646ACC">
            <w:pPr>
              <w:jc w:val="center"/>
              <w:rPr>
                <w:rFonts w:ascii="Arial" w:hAnsi="Arial" w:cs="Arial"/>
                <w:color w:val="212529"/>
                <w:sz w:val="22"/>
                <w:szCs w:val="22"/>
              </w:rPr>
            </w:pPr>
            <w:r>
              <w:rPr>
                <w:rFonts w:ascii="Arial" w:hAnsi="Arial" w:cs="Arial"/>
                <w:color w:val="212529"/>
                <w:sz w:val="22"/>
                <w:szCs w:val="22"/>
              </w:rPr>
              <w:t>1</w:t>
            </w:r>
          </w:p>
        </w:tc>
      </w:tr>
      <w:tr w:rsidR="00646ACC" w14:paraId="5DB4B97D" w14:textId="77777777" w:rsidTr="00646ACC">
        <w:trPr>
          <w:trHeight w:val="300"/>
        </w:trPr>
        <w:tc>
          <w:tcPr>
            <w:tcW w:w="1840" w:type="dxa"/>
            <w:tcBorders>
              <w:top w:val="nil"/>
              <w:left w:val="single" w:sz="4" w:space="0" w:color="auto"/>
              <w:bottom w:val="single" w:sz="4" w:space="0" w:color="auto"/>
              <w:right w:val="single" w:sz="4" w:space="0" w:color="auto"/>
            </w:tcBorders>
            <w:shd w:val="clear" w:color="000000" w:fill="FFFFFF"/>
            <w:hideMark/>
          </w:tcPr>
          <w:p w14:paraId="311A02F9" w14:textId="77777777" w:rsidR="00646ACC" w:rsidRDefault="00646ACC">
            <w:pPr>
              <w:rPr>
                <w:rFonts w:ascii="Arial" w:hAnsi="Arial" w:cs="Arial"/>
                <w:b/>
                <w:bCs/>
                <w:color w:val="212529"/>
                <w:sz w:val="22"/>
                <w:szCs w:val="22"/>
              </w:rPr>
            </w:pPr>
            <w:r>
              <w:rPr>
                <w:rFonts w:ascii="Arial" w:hAnsi="Arial" w:cs="Arial"/>
                <w:b/>
                <w:bCs/>
                <w:color w:val="212529"/>
                <w:sz w:val="22"/>
                <w:szCs w:val="22"/>
              </w:rPr>
              <w:t>Ease of use</w:t>
            </w:r>
          </w:p>
        </w:tc>
        <w:tc>
          <w:tcPr>
            <w:tcW w:w="960" w:type="dxa"/>
            <w:tcBorders>
              <w:top w:val="nil"/>
              <w:left w:val="nil"/>
              <w:bottom w:val="single" w:sz="4" w:space="0" w:color="auto"/>
              <w:right w:val="single" w:sz="4" w:space="0" w:color="auto"/>
            </w:tcBorders>
            <w:shd w:val="clear" w:color="000000" w:fill="FFFFFF"/>
            <w:hideMark/>
          </w:tcPr>
          <w:p w14:paraId="4DF0E9B1" w14:textId="77777777" w:rsidR="00646ACC" w:rsidRDefault="00646ACC">
            <w:pPr>
              <w:jc w:val="center"/>
              <w:rPr>
                <w:rFonts w:ascii="Arial" w:hAnsi="Arial" w:cs="Arial"/>
                <w:color w:val="212529"/>
                <w:sz w:val="22"/>
                <w:szCs w:val="22"/>
              </w:rPr>
            </w:pPr>
            <w:r>
              <w:rPr>
                <w:rFonts w:ascii="Arial" w:hAnsi="Arial" w:cs="Arial"/>
                <w:color w:val="212529"/>
                <w:sz w:val="22"/>
                <w:szCs w:val="22"/>
              </w:rPr>
              <w:t>5.38</w:t>
            </w:r>
          </w:p>
        </w:tc>
        <w:tc>
          <w:tcPr>
            <w:tcW w:w="960" w:type="dxa"/>
            <w:tcBorders>
              <w:top w:val="nil"/>
              <w:left w:val="nil"/>
              <w:bottom w:val="single" w:sz="4" w:space="0" w:color="auto"/>
              <w:right w:val="single" w:sz="4" w:space="0" w:color="auto"/>
            </w:tcBorders>
            <w:shd w:val="clear" w:color="000000" w:fill="FFFFFF"/>
            <w:hideMark/>
          </w:tcPr>
          <w:p w14:paraId="2E420B79" w14:textId="77777777" w:rsidR="00646ACC" w:rsidRDefault="00646ACC">
            <w:pPr>
              <w:jc w:val="center"/>
              <w:rPr>
                <w:rFonts w:ascii="Arial" w:hAnsi="Arial" w:cs="Arial"/>
                <w:color w:val="212529"/>
                <w:sz w:val="22"/>
                <w:szCs w:val="22"/>
              </w:rPr>
            </w:pPr>
            <w:r>
              <w:rPr>
                <w:rFonts w:ascii="Arial" w:hAnsi="Arial" w:cs="Arial"/>
                <w:color w:val="212529"/>
                <w:sz w:val="22"/>
                <w:szCs w:val="22"/>
              </w:rPr>
              <w:t>-5.24</w:t>
            </w:r>
          </w:p>
        </w:tc>
        <w:tc>
          <w:tcPr>
            <w:tcW w:w="960" w:type="dxa"/>
            <w:tcBorders>
              <w:top w:val="nil"/>
              <w:left w:val="nil"/>
              <w:bottom w:val="single" w:sz="4" w:space="0" w:color="auto"/>
              <w:right w:val="single" w:sz="4" w:space="0" w:color="auto"/>
            </w:tcBorders>
            <w:shd w:val="clear" w:color="000000" w:fill="FFFFFF"/>
            <w:hideMark/>
          </w:tcPr>
          <w:p w14:paraId="36BEECC9" w14:textId="77777777" w:rsidR="00646ACC" w:rsidRDefault="00646ACC">
            <w:pPr>
              <w:jc w:val="center"/>
              <w:rPr>
                <w:rFonts w:ascii="Arial" w:hAnsi="Arial" w:cs="Arial"/>
                <w:color w:val="212529"/>
                <w:sz w:val="22"/>
                <w:szCs w:val="22"/>
              </w:rPr>
            </w:pPr>
            <w:r>
              <w:rPr>
                <w:rFonts w:ascii="Arial" w:hAnsi="Arial" w:cs="Arial"/>
                <w:color w:val="212529"/>
                <w:sz w:val="22"/>
                <w:szCs w:val="22"/>
              </w:rPr>
              <w:t>29</w:t>
            </w:r>
          </w:p>
        </w:tc>
        <w:tc>
          <w:tcPr>
            <w:tcW w:w="960" w:type="dxa"/>
            <w:tcBorders>
              <w:top w:val="nil"/>
              <w:left w:val="nil"/>
              <w:bottom w:val="single" w:sz="4" w:space="0" w:color="auto"/>
              <w:right w:val="single" w:sz="4" w:space="0" w:color="auto"/>
            </w:tcBorders>
            <w:shd w:val="clear" w:color="000000" w:fill="FFFFFF"/>
            <w:hideMark/>
          </w:tcPr>
          <w:p w14:paraId="558EADF7" w14:textId="77777777" w:rsidR="00646ACC" w:rsidRDefault="00646ACC">
            <w:pPr>
              <w:jc w:val="center"/>
              <w:rPr>
                <w:rFonts w:ascii="Arial" w:hAnsi="Arial" w:cs="Arial"/>
                <w:color w:val="212529"/>
                <w:sz w:val="22"/>
                <w:szCs w:val="22"/>
              </w:rPr>
            </w:pPr>
            <w:r>
              <w:rPr>
                <w:rFonts w:ascii="Arial" w:hAnsi="Arial" w:cs="Arial"/>
                <w:color w:val="212529"/>
                <w:sz w:val="22"/>
                <w:szCs w:val="22"/>
              </w:rPr>
              <w:t>&lt;.001</w:t>
            </w:r>
          </w:p>
        </w:tc>
      </w:tr>
      <w:tr w:rsidR="00646ACC" w14:paraId="18D2C288" w14:textId="77777777" w:rsidTr="00646ACC">
        <w:trPr>
          <w:trHeight w:val="300"/>
        </w:trPr>
        <w:tc>
          <w:tcPr>
            <w:tcW w:w="1840" w:type="dxa"/>
            <w:tcBorders>
              <w:top w:val="nil"/>
              <w:left w:val="single" w:sz="4" w:space="0" w:color="auto"/>
              <w:bottom w:val="single" w:sz="4" w:space="0" w:color="auto"/>
              <w:right w:val="single" w:sz="4" w:space="0" w:color="auto"/>
            </w:tcBorders>
            <w:shd w:val="clear" w:color="000000" w:fill="FFFFFF"/>
            <w:hideMark/>
          </w:tcPr>
          <w:p w14:paraId="793CEBAA" w14:textId="77777777" w:rsidR="00646ACC" w:rsidRDefault="00646ACC">
            <w:pPr>
              <w:rPr>
                <w:rFonts w:ascii="Arial" w:hAnsi="Arial" w:cs="Arial"/>
                <w:b/>
                <w:bCs/>
                <w:color w:val="212529"/>
                <w:sz w:val="22"/>
                <w:szCs w:val="22"/>
              </w:rPr>
            </w:pPr>
            <w:r>
              <w:rPr>
                <w:rFonts w:ascii="Arial" w:hAnsi="Arial" w:cs="Arial"/>
                <w:b/>
                <w:bCs/>
                <w:color w:val="212529"/>
                <w:sz w:val="22"/>
                <w:szCs w:val="22"/>
              </w:rPr>
              <w:t>Trustworthiness</w:t>
            </w:r>
          </w:p>
        </w:tc>
        <w:tc>
          <w:tcPr>
            <w:tcW w:w="960" w:type="dxa"/>
            <w:tcBorders>
              <w:top w:val="nil"/>
              <w:left w:val="nil"/>
              <w:bottom w:val="single" w:sz="4" w:space="0" w:color="auto"/>
              <w:right w:val="single" w:sz="4" w:space="0" w:color="auto"/>
            </w:tcBorders>
            <w:shd w:val="clear" w:color="000000" w:fill="FFFFFF"/>
            <w:hideMark/>
          </w:tcPr>
          <w:p w14:paraId="3129D13E" w14:textId="77777777" w:rsidR="00646ACC" w:rsidRDefault="00646ACC">
            <w:pPr>
              <w:jc w:val="center"/>
              <w:rPr>
                <w:rFonts w:ascii="Arial" w:hAnsi="Arial" w:cs="Arial"/>
                <w:color w:val="212529"/>
                <w:sz w:val="22"/>
                <w:szCs w:val="22"/>
              </w:rPr>
            </w:pPr>
            <w:r>
              <w:rPr>
                <w:rFonts w:ascii="Arial" w:hAnsi="Arial" w:cs="Arial"/>
                <w:color w:val="212529"/>
                <w:sz w:val="22"/>
                <w:szCs w:val="22"/>
              </w:rPr>
              <w:t>6.08</w:t>
            </w:r>
          </w:p>
        </w:tc>
        <w:tc>
          <w:tcPr>
            <w:tcW w:w="960" w:type="dxa"/>
            <w:tcBorders>
              <w:top w:val="nil"/>
              <w:left w:val="nil"/>
              <w:bottom w:val="single" w:sz="4" w:space="0" w:color="auto"/>
              <w:right w:val="single" w:sz="4" w:space="0" w:color="auto"/>
            </w:tcBorders>
            <w:shd w:val="clear" w:color="000000" w:fill="FFFFFF"/>
            <w:hideMark/>
          </w:tcPr>
          <w:p w14:paraId="2C4D145C" w14:textId="77777777" w:rsidR="00646ACC" w:rsidRDefault="00646ACC">
            <w:pPr>
              <w:jc w:val="center"/>
              <w:rPr>
                <w:rFonts w:ascii="Arial" w:hAnsi="Arial" w:cs="Arial"/>
                <w:color w:val="212529"/>
                <w:sz w:val="22"/>
                <w:szCs w:val="22"/>
              </w:rPr>
            </w:pPr>
            <w:r>
              <w:rPr>
                <w:rFonts w:ascii="Arial" w:hAnsi="Arial" w:cs="Arial"/>
                <w:color w:val="212529"/>
                <w:sz w:val="22"/>
                <w:szCs w:val="22"/>
              </w:rPr>
              <w:t>-0.89</w:t>
            </w:r>
          </w:p>
        </w:tc>
        <w:tc>
          <w:tcPr>
            <w:tcW w:w="960" w:type="dxa"/>
            <w:tcBorders>
              <w:top w:val="nil"/>
              <w:left w:val="nil"/>
              <w:bottom w:val="single" w:sz="4" w:space="0" w:color="auto"/>
              <w:right w:val="single" w:sz="4" w:space="0" w:color="auto"/>
            </w:tcBorders>
            <w:shd w:val="clear" w:color="000000" w:fill="FFFFFF"/>
            <w:hideMark/>
          </w:tcPr>
          <w:p w14:paraId="2412E949" w14:textId="77777777" w:rsidR="00646ACC" w:rsidRDefault="00646ACC">
            <w:pPr>
              <w:jc w:val="center"/>
              <w:rPr>
                <w:rFonts w:ascii="Arial" w:hAnsi="Arial" w:cs="Arial"/>
                <w:color w:val="212529"/>
                <w:sz w:val="22"/>
                <w:szCs w:val="22"/>
              </w:rPr>
            </w:pPr>
            <w:r>
              <w:rPr>
                <w:rFonts w:ascii="Arial" w:hAnsi="Arial" w:cs="Arial"/>
                <w:color w:val="212529"/>
                <w:sz w:val="22"/>
                <w:szCs w:val="22"/>
              </w:rPr>
              <w:t>29</w:t>
            </w:r>
          </w:p>
        </w:tc>
        <w:tc>
          <w:tcPr>
            <w:tcW w:w="960" w:type="dxa"/>
            <w:tcBorders>
              <w:top w:val="nil"/>
              <w:left w:val="nil"/>
              <w:bottom w:val="single" w:sz="4" w:space="0" w:color="auto"/>
              <w:right w:val="single" w:sz="4" w:space="0" w:color="auto"/>
            </w:tcBorders>
            <w:shd w:val="clear" w:color="000000" w:fill="FFFFFF"/>
            <w:hideMark/>
          </w:tcPr>
          <w:p w14:paraId="048C6386" w14:textId="77777777" w:rsidR="00646ACC" w:rsidRDefault="00646ACC">
            <w:pPr>
              <w:jc w:val="center"/>
              <w:rPr>
                <w:rFonts w:ascii="Arial" w:hAnsi="Arial" w:cs="Arial"/>
                <w:color w:val="212529"/>
                <w:sz w:val="22"/>
                <w:szCs w:val="22"/>
              </w:rPr>
            </w:pPr>
            <w:r>
              <w:rPr>
                <w:rFonts w:ascii="Arial" w:hAnsi="Arial" w:cs="Arial"/>
                <w:color w:val="212529"/>
                <w:sz w:val="22"/>
                <w:szCs w:val="22"/>
              </w:rPr>
              <w:t>0.379</w:t>
            </w:r>
          </w:p>
        </w:tc>
      </w:tr>
      <w:tr w:rsidR="00646ACC" w14:paraId="2625FA1B" w14:textId="77777777" w:rsidTr="00646ACC">
        <w:trPr>
          <w:trHeight w:val="300"/>
        </w:trPr>
        <w:tc>
          <w:tcPr>
            <w:tcW w:w="1840" w:type="dxa"/>
            <w:tcBorders>
              <w:top w:val="nil"/>
              <w:left w:val="single" w:sz="4" w:space="0" w:color="auto"/>
              <w:bottom w:val="single" w:sz="4" w:space="0" w:color="auto"/>
              <w:right w:val="single" w:sz="4" w:space="0" w:color="auto"/>
            </w:tcBorders>
            <w:shd w:val="clear" w:color="000000" w:fill="FFFFFF"/>
            <w:hideMark/>
          </w:tcPr>
          <w:p w14:paraId="687D8D62" w14:textId="77777777" w:rsidR="00646ACC" w:rsidRDefault="00646ACC">
            <w:pPr>
              <w:rPr>
                <w:rFonts w:ascii="Arial" w:hAnsi="Arial" w:cs="Arial"/>
                <w:b/>
                <w:bCs/>
                <w:color w:val="212529"/>
                <w:sz w:val="22"/>
                <w:szCs w:val="22"/>
              </w:rPr>
            </w:pPr>
            <w:r>
              <w:rPr>
                <w:rFonts w:ascii="Arial" w:hAnsi="Arial" w:cs="Arial"/>
                <w:b/>
                <w:bCs/>
                <w:color w:val="212529"/>
                <w:sz w:val="22"/>
                <w:szCs w:val="22"/>
              </w:rPr>
              <w:t>Style</w:t>
            </w:r>
          </w:p>
        </w:tc>
        <w:tc>
          <w:tcPr>
            <w:tcW w:w="960" w:type="dxa"/>
            <w:tcBorders>
              <w:top w:val="nil"/>
              <w:left w:val="nil"/>
              <w:bottom w:val="single" w:sz="4" w:space="0" w:color="auto"/>
              <w:right w:val="single" w:sz="4" w:space="0" w:color="auto"/>
            </w:tcBorders>
            <w:shd w:val="clear" w:color="000000" w:fill="FFFFFF"/>
            <w:hideMark/>
          </w:tcPr>
          <w:p w14:paraId="33A5C85C" w14:textId="77777777" w:rsidR="00646ACC" w:rsidRDefault="00646ACC">
            <w:pPr>
              <w:jc w:val="center"/>
              <w:rPr>
                <w:rFonts w:ascii="Arial" w:hAnsi="Arial" w:cs="Arial"/>
                <w:color w:val="212529"/>
                <w:sz w:val="22"/>
                <w:szCs w:val="22"/>
              </w:rPr>
            </w:pPr>
            <w:r>
              <w:rPr>
                <w:rFonts w:ascii="Arial" w:hAnsi="Arial" w:cs="Arial"/>
                <w:color w:val="212529"/>
                <w:sz w:val="22"/>
                <w:szCs w:val="22"/>
              </w:rPr>
              <w:t>5.85</w:t>
            </w:r>
          </w:p>
        </w:tc>
        <w:tc>
          <w:tcPr>
            <w:tcW w:w="960" w:type="dxa"/>
            <w:tcBorders>
              <w:top w:val="nil"/>
              <w:left w:val="nil"/>
              <w:bottom w:val="single" w:sz="4" w:space="0" w:color="auto"/>
              <w:right w:val="single" w:sz="4" w:space="0" w:color="auto"/>
            </w:tcBorders>
            <w:shd w:val="clear" w:color="000000" w:fill="FFFFFF"/>
            <w:hideMark/>
          </w:tcPr>
          <w:p w14:paraId="7A045081" w14:textId="77777777" w:rsidR="00646ACC" w:rsidRDefault="00646ACC">
            <w:pPr>
              <w:jc w:val="center"/>
              <w:rPr>
                <w:rFonts w:ascii="Arial" w:hAnsi="Arial" w:cs="Arial"/>
                <w:color w:val="212529"/>
                <w:sz w:val="22"/>
                <w:szCs w:val="22"/>
              </w:rPr>
            </w:pPr>
            <w:r>
              <w:rPr>
                <w:rFonts w:ascii="Arial" w:hAnsi="Arial" w:cs="Arial"/>
                <w:color w:val="212529"/>
                <w:sz w:val="22"/>
                <w:szCs w:val="22"/>
              </w:rPr>
              <w:t>-2.45</w:t>
            </w:r>
          </w:p>
        </w:tc>
        <w:tc>
          <w:tcPr>
            <w:tcW w:w="960" w:type="dxa"/>
            <w:tcBorders>
              <w:top w:val="nil"/>
              <w:left w:val="nil"/>
              <w:bottom w:val="single" w:sz="4" w:space="0" w:color="auto"/>
              <w:right w:val="single" w:sz="4" w:space="0" w:color="auto"/>
            </w:tcBorders>
            <w:shd w:val="clear" w:color="000000" w:fill="FFFFFF"/>
            <w:hideMark/>
          </w:tcPr>
          <w:p w14:paraId="129151F6" w14:textId="77777777" w:rsidR="00646ACC" w:rsidRDefault="00646ACC">
            <w:pPr>
              <w:jc w:val="center"/>
              <w:rPr>
                <w:rFonts w:ascii="Arial" w:hAnsi="Arial" w:cs="Arial"/>
                <w:color w:val="212529"/>
                <w:sz w:val="22"/>
                <w:szCs w:val="22"/>
              </w:rPr>
            </w:pPr>
            <w:r>
              <w:rPr>
                <w:rFonts w:ascii="Arial" w:hAnsi="Arial" w:cs="Arial"/>
                <w:color w:val="212529"/>
                <w:sz w:val="22"/>
                <w:szCs w:val="22"/>
              </w:rPr>
              <w:t>29</w:t>
            </w:r>
          </w:p>
        </w:tc>
        <w:tc>
          <w:tcPr>
            <w:tcW w:w="960" w:type="dxa"/>
            <w:tcBorders>
              <w:top w:val="nil"/>
              <w:left w:val="nil"/>
              <w:bottom w:val="single" w:sz="4" w:space="0" w:color="auto"/>
              <w:right w:val="single" w:sz="4" w:space="0" w:color="auto"/>
            </w:tcBorders>
            <w:shd w:val="clear" w:color="000000" w:fill="FFFFFF"/>
            <w:hideMark/>
          </w:tcPr>
          <w:p w14:paraId="6C020FD3" w14:textId="77777777" w:rsidR="00646ACC" w:rsidRDefault="00646ACC">
            <w:pPr>
              <w:jc w:val="center"/>
              <w:rPr>
                <w:rFonts w:ascii="Arial" w:hAnsi="Arial" w:cs="Arial"/>
                <w:color w:val="212529"/>
                <w:sz w:val="22"/>
                <w:szCs w:val="22"/>
              </w:rPr>
            </w:pPr>
            <w:r>
              <w:rPr>
                <w:rFonts w:ascii="Arial" w:hAnsi="Arial" w:cs="Arial"/>
                <w:color w:val="212529"/>
                <w:sz w:val="22"/>
                <w:szCs w:val="22"/>
              </w:rPr>
              <w:t>0.021</w:t>
            </w:r>
          </w:p>
        </w:tc>
      </w:tr>
      <w:tr w:rsidR="00646ACC" w14:paraId="3534B560" w14:textId="77777777" w:rsidTr="00646ACC">
        <w:trPr>
          <w:trHeight w:val="300"/>
        </w:trPr>
        <w:tc>
          <w:tcPr>
            <w:tcW w:w="1840" w:type="dxa"/>
            <w:tcBorders>
              <w:top w:val="nil"/>
              <w:left w:val="single" w:sz="4" w:space="0" w:color="auto"/>
              <w:bottom w:val="single" w:sz="4" w:space="0" w:color="auto"/>
              <w:right w:val="single" w:sz="4" w:space="0" w:color="auto"/>
            </w:tcBorders>
            <w:shd w:val="clear" w:color="000000" w:fill="FFFFFF"/>
            <w:hideMark/>
          </w:tcPr>
          <w:p w14:paraId="19F89961" w14:textId="7C862962" w:rsidR="00646ACC" w:rsidRDefault="00532E36">
            <w:pPr>
              <w:rPr>
                <w:rFonts w:ascii="Arial" w:hAnsi="Arial" w:cs="Arial"/>
                <w:b/>
                <w:bCs/>
                <w:color w:val="212529"/>
                <w:sz w:val="22"/>
                <w:szCs w:val="22"/>
              </w:rPr>
            </w:pPr>
            <w:r>
              <w:rPr>
                <w:rFonts w:ascii="Arial" w:hAnsi="Arial" w:cs="Arial"/>
                <w:b/>
                <w:bCs/>
                <w:color w:val="212529"/>
                <w:sz w:val="22"/>
                <w:szCs w:val="22"/>
              </w:rPr>
              <w:t>Familiarity</w:t>
            </w:r>
          </w:p>
        </w:tc>
        <w:tc>
          <w:tcPr>
            <w:tcW w:w="960" w:type="dxa"/>
            <w:tcBorders>
              <w:top w:val="nil"/>
              <w:left w:val="nil"/>
              <w:bottom w:val="single" w:sz="4" w:space="0" w:color="auto"/>
              <w:right w:val="single" w:sz="4" w:space="0" w:color="auto"/>
            </w:tcBorders>
            <w:shd w:val="clear" w:color="000000" w:fill="FFFFFF"/>
            <w:hideMark/>
          </w:tcPr>
          <w:p w14:paraId="7120E139" w14:textId="77777777" w:rsidR="00646ACC" w:rsidRDefault="00646ACC">
            <w:pPr>
              <w:jc w:val="center"/>
              <w:rPr>
                <w:rFonts w:ascii="Arial" w:hAnsi="Arial" w:cs="Arial"/>
                <w:color w:val="212529"/>
                <w:sz w:val="22"/>
                <w:szCs w:val="22"/>
              </w:rPr>
            </w:pPr>
            <w:r>
              <w:rPr>
                <w:rFonts w:ascii="Arial" w:hAnsi="Arial" w:cs="Arial"/>
                <w:color w:val="212529"/>
                <w:sz w:val="22"/>
                <w:szCs w:val="22"/>
              </w:rPr>
              <w:t>5.33</w:t>
            </w:r>
          </w:p>
        </w:tc>
        <w:tc>
          <w:tcPr>
            <w:tcW w:w="960" w:type="dxa"/>
            <w:tcBorders>
              <w:top w:val="nil"/>
              <w:left w:val="nil"/>
              <w:bottom w:val="single" w:sz="4" w:space="0" w:color="auto"/>
              <w:right w:val="single" w:sz="4" w:space="0" w:color="auto"/>
            </w:tcBorders>
            <w:shd w:val="clear" w:color="000000" w:fill="FFFFFF"/>
            <w:hideMark/>
          </w:tcPr>
          <w:p w14:paraId="156D3063" w14:textId="77777777" w:rsidR="00646ACC" w:rsidRDefault="00646ACC">
            <w:pPr>
              <w:jc w:val="center"/>
              <w:rPr>
                <w:rFonts w:ascii="Arial" w:hAnsi="Arial" w:cs="Arial"/>
                <w:color w:val="212529"/>
                <w:sz w:val="22"/>
                <w:szCs w:val="22"/>
              </w:rPr>
            </w:pPr>
            <w:r>
              <w:rPr>
                <w:rFonts w:ascii="Arial" w:hAnsi="Arial" w:cs="Arial"/>
                <w:color w:val="212529"/>
                <w:sz w:val="22"/>
                <w:szCs w:val="22"/>
              </w:rPr>
              <w:t>-7.18</w:t>
            </w:r>
          </w:p>
        </w:tc>
        <w:tc>
          <w:tcPr>
            <w:tcW w:w="960" w:type="dxa"/>
            <w:tcBorders>
              <w:top w:val="nil"/>
              <w:left w:val="nil"/>
              <w:bottom w:val="single" w:sz="4" w:space="0" w:color="auto"/>
              <w:right w:val="single" w:sz="4" w:space="0" w:color="auto"/>
            </w:tcBorders>
            <w:shd w:val="clear" w:color="000000" w:fill="FFFFFF"/>
            <w:hideMark/>
          </w:tcPr>
          <w:p w14:paraId="18E5F001" w14:textId="77777777" w:rsidR="00646ACC" w:rsidRDefault="00646ACC">
            <w:pPr>
              <w:jc w:val="center"/>
              <w:rPr>
                <w:rFonts w:ascii="Arial" w:hAnsi="Arial" w:cs="Arial"/>
                <w:color w:val="212529"/>
                <w:sz w:val="22"/>
                <w:szCs w:val="22"/>
              </w:rPr>
            </w:pPr>
            <w:r>
              <w:rPr>
                <w:rFonts w:ascii="Arial" w:hAnsi="Arial" w:cs="Arial"/>
                <w:color w:val="212529"/>
                <w:sz w:val="22"/>
                <w:szCs w:val="22"/>
              </w:rPr>
              <w:t>29</w:t>
            </w:r>
          </w:p>
        </w:tc>
        <w:tc>
          <w:tcPr>
            <w:tcW w:w="960" w:type="dxa"/>
            <w:tcBorders>
              <w:top w:val="nil"/>
              <w:left w:val="nil"/>
              <w:bottom w:val="single" w:sz="4" w:space="0" w:color="auto"/>
              <w:right w:val="single" w:sz="4" w:space="0" w:color="auto"/>
            </w:tcBorders>
            <w:shd w:val="clear" w:color="000000" w:fill="FFFFFF"/>
            <w:hideMark/>
          </w:tcPr>
          <w:p w14:paraId="48350604" w14:textId="77777777" w:rsidR="00646ACC" w:rsidRDefault="00646ACC">
            <w:pPr>
              <w:jc w:val="center"/>
              <w:rPr>
                <w:rFonts w:ascii="Arial" w:hAnsi="Arial" w:cs="Arial"/>
                <w:color w:val="212529"/>
                <w:sz w:val="22"/>
                <w:szCs w:val="22"/>
              </w:rPr>
            </w:pPr>
            <w:r>
              <w:rPr>
                <w:rFonts w:ascii="Arial" w:hAnsi="Arial" w:cs="Arial"/>
                <w:color w:val="212529"/>
                <w:sz w:val="22"/>
                <w:szCs w:val="22"/>
              </w:rPr>
              <w:t>&lt;.001</w:t>
            </w:r>
          </w:p>
        </w:tc>
      </w:tr>
      <w:tr w:rsidR="00646ACC" w14:paraId="0AB3E1F8" w14:textId="77777777" w:rsidTr="00646ACC">
        <w:trPr>
          <w:trHeight w:val="300"/>
        </w:trPr>
        <w:tc>
          <w:tcPr>
            <w:tcW w:w="1840" w:type="dxa"/>
            <w:tcBorders>
              <w:top w:val="nil"/>
              <w:left w:val="single" w:sz="4" w:space="0" w:color="auto"/>
              <w:bottom w:val="single" w:sz="4" w:space="0" w:color="auto"/>
              <w:right w:val="single" w:sz="4" w:space="0" w:color="auto"/>
            </w:tcBorders>
            <w:shd w:val="clear" w:color="000000" w:fill="FFFFFF"/>
            <w:hideMark/>
          </w:tcPr>
          <w:p w14:paraId="421EE942" w14:textId="77777777" w:rsidR="00646ACC" w:rsidRDefault="00646ACC">
            <w:pPr>
              <w:rPr>
                <w:rFonts w:ascii="Arial" w:hAnsi="Arial" w:cs="Arial"/>
                <w:b/>
                <w:bCs/>
                <w:color w:val="212529"/>
                <w:sz w:val="22"/>
                <w:szCs w:val="22"/>
              </w:rPr>
            </w:pPr>
            <w:r>
              <w:rPr>
                <w:rFonts w:ascii="Arial" w:hAnsi="Arial" w:cs="Arial"/>
                <w:b/>
                <w:bCs/>
                <w:color w:val="212529"/>
                <w:sz w:val="22"/>
                <w:szCs w:val="22"/>
              </w:rPr>
              <w:t>Settlement</w:t>
            </w:r>
          </w:p>
        </w:tc>
        <w:tc>
          <w:tcPr>
            <w:tcW w:w="960" w:type="dxa"/>
            <w:tcBorders>
              <w:top w:val="nil"/>
              <w:left w:val="nil"/>
              <w:bottom w:val="single" w:sz="4" w:space="0" w:color="auto"/>
              <w:right w:val="single" w:sz="4" w:space="0" w:color="auto"/>
            </w:tcBorders>
            <w:shd w:val="clear" w:color="000000" w:fill="FFFFFF"/>
            <w:hideMark/>
          </w:tcPr>
          <w:p w14:paraId="36E76A76" w14:textId="77777777" w:rsidR="00646ACC" w:rsidRDefault="00646ACC">
            <w:pPr>
              <w:jc w:val="center"/>
              <w:rPr>
                <w:rFonts w:ascii="Arial" w:hAnsi="Arial" w:cs="Arial"/>
                <w:color w:val="212529"/>
                <w:sz w:val="22"/>
                <w:szCs w:val="22"/>
              </w:rPr>
            </w:pPr>
            <w:r>
              <w:rPr>
                <w:rFonts w:ascii="Arial" w:hAnsi="Arial" w:cs="Arial"/>
                <w:color w:val="212529"/>
                <w:sz w:val="22"/>
                <w:szCs w:val="22"/>
              </w:rPr>
              <w:t>5.87</w:t>
            </w:r>
          </w:p>
        </w:tc>
        <w:tc>
          <w:tcPr>
            <w:tcW w:w="960" w:type="dxa"/>
            <w:tcBorders>
              <w:top w:val="nil"/>
              <w:left w:val="nil"/>
              <w:bottom w:val="single" w:sz="4" w:space="0" w:color="auto"/>
              <w:right w:val="single" w:sz="4" w:space="0" w:color="auto"/>
            </w:tcBorders>
            <w:shd w:val="clear" w:color="000000" w:fill="FFFFFF"/>
            <w:hideMark/>
          </w:tcPr>
          <w:p w14:paraId="66EBF068" w14:textId="77777777" w:rsidR="00646ACC" w:rsidRDefault="00646ACC">
            <w:pPr>
              <w:jc w:val="center"/>
              <w:rPr>
                <w:rFonts w:ascii="Arial" w:hAnsi="Arial" w:cs="Arial"/>
                <w:color w:val="212529"/>
                <w:sz w:val="22"/>
                <w:szCs w:val="22"/>
              </w:rPr>
            </w:pPr>
            <w:r>
              <w:rPr>
                <w:rFonts w:ascii="Arial" w:hAnsi="Arial" w:cs="Arial"/>
                <w:color w:val="212529"/>
                <w:sz w:val="22"/>
                <w:szCs w:val="22"/>
              </w:rPr>
              <w:t>-2.14</w:t>
            </w:r>
          </w:p>
        </w:tc>
        <w:tc>
          <w:tcPr>
            <w:tcW w:w="960" w:type="dxa"/>
            <w:tcBorders>
              <w:top w:val="nil"/>
              <w:left w:val="nil"/>
              <w:bottom w:val="single" w:sz="4" w:space="0" w:color="auto"/>
              <w:right w:val="single" w:sz="4" w:space="0" w:color="auto"/>
            </w:tcBorders>
            <w:shd w:val="clear" w:color="000000" w:fill="FFFFFF"/>
            <w:hideMark/>
          </w:tcPr>
          <w:p w14:paraId="0472A0D3" w14:textId="77777777" w:rsidR="00646ACC" w:rsidRDefault="00646ACC">
            <w:pPr>
              <w:jc w:val="center"/>
              <w:rPr>
                <w:rFonts w:ascii="Arial" w:hAnsi="Arial" w:cs="Arial"/>
                <w:color w:val="212529"/>
                <w:sz w:val="22"/>
                <w:szCs w:val="22"/>
              </w:rPr>
            </w:pPr>
            <w:r>
              <w:rPr>
                <w:rFonts w:ascii="Arial" w:hAnsi="Arial" w:cs="Arial"/>
                <w:color w:val="212529"/>
                <w:sz w:val="22"/>
                <w:szCs w:val="22"/>
              </w:rPr>
              <w:t>29</w:t>
            </w:r>
          </w:p>
        </w:tc>
        <w:tc>
          <w:tcPr>
            <w:tcW w:w="960" w:type="dxa"/>
            <w:tcBorders>
              <w:top w:val="nil"/>
              <w:left w:val="nil"/>
              <w:bottom w:val="single" w:sz="4" w:space="0" w:color="auto"/>
              <w:right w:val="single" w:sz="4" w:space="0" w:color="auto"/>
            </w:tcBorders>
            <w:shd w:val="clear" w:color="000000" w:fill="FFFFFF"/>
            <w:hideMark/>
          </w:tcPr>
          <w:p w14:paraId="3C90665D" w14:textId="77777777" w:rsidR="00646ACC" w:rsidRDefault="00646ACC">
            <w:pPr>
              <w:jc w:val="center"/>
              <w:rPr>
                <w:rFonts w:ascii="Arial" w:hAnsi="Arial" w:cs="Arial"/>
                <w:color w:val="212529"/>
                <w:sz w:val="22"/>
                <w:szCs w:val="22"/>
              </w:rPr>
            </w:pPr>
            <w:r>
              <w:rPr>
                <w:rFonts w:ascii="Arial" w:hAnsi="Arial" w:cs="Arial"/>
                <w:color w:val="212529"/>
                <w:sz w:val="22"/>
                <w:szCs w:val="22"/>
              </w:rPr>
              <w:t>0.041</w:t>
            </w:r>
          </w:p>
        </w:tc>
      </w:tr>
    </w:tbl>
    <w:p w14:paraId="438B5B49" w14:textId="7F7279BA" w:rsidR="001F6A8F" w:rsidRDefault="001F6A8F" w:rsidP="001F6A8F">
      <w:pPr>
        <w:pStyle w:val="BodyText"/>
        <w:tabs>
          <w:tab w:val="left" w:pos="180"/>
        </w:tabs>
        <w:kinsoku w:val="0"/>
        <w:overflowPunct w:val="0"/>
        <w:snapToGrid w:val="0"/>
        <w:spacing w:before="18" w:line="360" w:lineRule="auto"/>
        <w:ind w:right="39"/>
        <w:jc w:val="both"/>
        <w:rPr>
          <w:rFonts w:ascii="Arial" w:hAnsi="Arial" w:cs="Arial"/>
          <w:sz w:val="24"/>
          <w:szCs w:val="24"/>
          <w:lang w:val="en-HK"/>
        </w:rPr>
      </w:pPr>
    </w:p>
    <w:p w14:paraId="0176FA65" w14:textId="5C680F4E" w:rsidR="0002089A" w:rsidRDefault="000B483E" w:rsidP="001F6A8F">
      <w:pPr>
        <w:pStyle w:val="BodyText"/>
        <w:tabs>
          <w:tab w:val="left" w:pos="180"/>
        </w:tabs>
        <w:kinsoku w:val="0"/>
        <w:overflowPunct w:val="0"/>
        <w:snapToGrid w:val="0"/>
        <w:spacing w:before="18" w:line="360" w:lineRule="auto"/>
        <w:ind w:right="39"/>
        <w:jc w:val="both"/>
        <w:rPr>
          <w:rFonts w:ascii="Arial" w:hAnsi="Arial" w:cs="Arial"/>
          <w:sz w:val="24"/>
          <w:szCs w:val="24"/>
          <w:lang w:val="en-HK"/>
        </w:rPr>
      </w:pPr>
      <w:r w:rsidRPr="000B483E">
        <w:rPr>
          <w:rFonts w:ascii="Arial" w:hAnsi="Arial" w:cs="Arial"/>
          <w:sz w:val="24"/>
          <w:szCs w:val="24"/>
          <w:lang w:val="en-HK"/>
        </w:rPr>
        <w:t>At the predetermined significance level of 0.05, we found p-values of.693, 1, and 0.379 for Store Usefulness, Store Enjoyment, and Store Trustworthiness, respectively.  For these reasons, we cannot conclude that the null hypothesis is false based on the t-test results.  When it comes to Store Style, Store Familiarity, Store Settlement, and Store Ease of Use, the p-values are lower than the predetermined significance level of 0.05.  Thus, the null hypothesis was rejected due to the significant T-test result for the given data.</w:t>
      </w:r>
    </w:p>
    <w:p w14:paraId="092C8151" w14:textId="77777777" w:rsidR="000B483E" w:rsidRDefault="000B483E" w:rsidP="001F6A8F">
      <w:pPr>
        <w:pStyle w:val="BodyText"/>
        <w:tabs>
          <w:tab w:val="left" w:pos="180"/>
        </w:tabs>
        <w:kinsoku w:val="0"/>
        <w:overflowPunct w:val="0"/>
        <w:snapToGrid w:val="0"/>
        <w:spacing w:before="18" w:line="360" w:lineRule="auto"/>
        <w:ind w:right="39"/>
        <w:jc w:val="both"/>
        <w:rPr>
          <w:rFonts w:ascii="Arial" w:hAnsi="Arial" w:cs="Arial"/>
          <w:sz w:val="24"/>
          <w:szCs w:val="24"/>
          <w:lang w:val="en-HK"/>
        </w:rPr>
      </w:pPr>
    </w:p>
    <w:p w14:paraId="4930197C" w14:textId="7B8746D7" w:rsidR="005E2D0F" w:rsidRPr="00A31E5D" w:rsidRDefault="005E2D0F" w:rsidP="005F7DF9">
      <w:pPr>
        <w:pStyle w:val="ListParagraph"/>
        <w:widowControl w:val="0"/>
        <w:numPr>
          <w:ilvl w:val="0"/>
          <w:numId w:val="26"/>
        </w:numPr>
        <w:tabs>
          <w:tab w:val="left" w:pos="180"/>
          <w:tab w:val="left" w:pos="498"/>
        </w:tabs>
        <w:kinsoku w:val="0"/>
        <w:overflowPunct w:val="0"/>
        <w:autoSpaceDE w:val="0"/>
        <w:autoSpaceDN w:val="0"/>
        <w:adjustRightInd w:val="0"/>
        <w:snapToGrid w:val="0"/>
        <w:spacing w:before="1" w:line="360" w:lineRule="auto"/>
        <w:ind w:left="0" w:firstLine="0"/>
        <w:contextualSpacing w:val="0"/>
        <w:rPr>
          <w:rFonts w:ascii="Arial" w:hAnsi="Arial" w:cs="Arial"/>
          <w:sz w:val="24"/>
          <w:szCs w:val="24"/>
        </w:rPr>
      </w:pPr>
      <w:r w:rsidRPr="00A31E5D">
        <w:rPr>
          <w:rFonts w:ascii="Arial" w:hAnsi="Arial" w:cs="Arial"/>
          <w:sz w:val="24"/>
          <w:szCs w:val="24"/>
        </w:rPr>
        <w:t>Discussion</w:t>
      </w:r>
      <w:r w:rsidR="00BE161C">
        <w:rPr>
          <w:rFonts w:ascii="Arial" w:hAnsi="Arial" w:cs="Arial"/>
          <w:sz w:val="24"/>
          <w:szCs w:val="24"/>
        </w:rPr>
        <w:t xml:space="preserve"> and</w:t>
      </w:r>
      <w:r w:rsidRPr="00A31E5D">
        <w:rPr>
          <w:rFonts w:ascii="Arial" w:hAnsi="Arial" w:cs="Arial"/>
          <w:sz w:val="24"/>
          <w:szCs w:val="24"/>
        </w:rPr>
        <w:t xml:space="preserve"> limitation </w:t>
      </w:r>
    </w:p>
    <w:p w14:paraId="554E85D5" w14:textId="77777777" w:rsidR="005E2D0F" w:rsidRPr="00A31E5D" w:rsidRDefault="005E2D0F" w:rsidP="005F7DF9">
      <w:pPr>
        <w:pStyle w:val="BodyText"/>
        <w:tabs>
          <w:tab w:val="left" w:pos="180"/>
        </w:tabs>
        <w:kinsoku w:val="0"/>
        <w:overflowPunct w:val="0"/>
        <w:snapToGrid w:val="0"/>
        <w:spacing w:before="8" w:line="360" w:lineRule="auto"/>
        <w:rPr>
          <w:rFonts w:ascii="Arial" w:hAnsi="Arial" w:cs="Arial"/>
          <w:sz w:val="24"/>
          <w:szCs w:val="24"/>
        </w:rPr>
      </w:pPr>
    </w:p>
    <w:p w14:paraId="7F29702E" w14:textId="77777777" w:rsidR="00A31E8B" w:rsidRPr="00A31E8B" w:rsidRDefault="00A31E8B" w:rsidP="00A31E8B">
      <w:pPr>
        <w:pStyle w:val="BodyText"/>
        <w:tabs>
          <w:tab w:val="left" w:pos="180"/>
        </w:tabs>
        <w:kinsoku w:val="0"/>
        <w:overflowPunct w:val="0"/>
        <w:snapToGrid w:val="0"/>
        <w:spacing w:line="360" w:lineRule="auto"/>
        <w:ind w:right="103"/>
        <w:jc w:val="both"/>
        <w:rPr>
          <w:rFonts w:ascii="Arial" w:hAnsi="Arial" w:cs="Arial"/>
          <w:spacing w:val="-8"/>
          <w:sz w:val="24"/>
          <w:szCs w:val="24"/>
        </w:rPr>
      </w:pPr>
      <w:r w:rsidRPr="00A31E8B">
        <w:rPr>
          <w:rFonts w:ascii="Arial" w:hAnsi="Arial" w:cs="Arial"/>
          <w:spacing w:val="-8"/>
          <w:sz w:val="24"/>
          <w:szCs w:val="24"/>
        </w:rPr>
        <w:t xml:space="preserve">Several new insights regarding the public's perception of internet shopping in Hong Kong have emerged from this survey. The original purpose of this research was to develop evaluations for seven key ideas related to the concept of online store image. The measures, which include a variety of items, have been through normal reliability tests. The results of this study establish a relationship between these variables and the </w:t>
      </w:r>
      <w:proofErr w:type="spellStart"/>
      <w:r w:rsidRPr="00A31E8B">
        <w:rPr>
          <w:rFonts w:ascii="Arial" w:hAnsi="Arial" w:cs="Arial"/>
          <w:spacing w:val="-8"/>
          <w:sz w:val="24"/>
          <w:szCs w:val="24"/>
        </w:rPr>
        <w:t>favorable</w:t>
      </w:r>
      <w:proofErr w:type="spellEnd"/>
      <w:r w:rsidRPr="00A31E8B">
        <w:rPr>
          <w:rFonts w:ascii="Arial" w:hAnsi="Arial" w:cs="Arial"/>
          <w:spacing w:val="-8"/>
          <w:sz w:val="24"/>
          <w:szCs w:val="24"/>
        </w:rPr>
        <w:t xml:space="preserve"> perception of online purchasing. The two store metrics with the greatest Cronbach's Alpha coefficients are store trustworthiness and store enjoyment. On the one hand, it improves and expands upon similar empirical research in the area. However, it did address a need, as there has been very little study on what factors affect Hong Kong residents' perceptions of online stores and their intents to shop there in the past several years.</w:t>
      </w:r>
    </w:p>
    <w:p w14:paraId="505C7243" w14:textId="77777777" w:rsidR="005E2D0F" w:rsidRPr="00A31E8B" w:rsidRDefault="005E2D0F" w:rsidP="005F7DF9">
      <w:pPr>
        <w:pStyle w:val="BodyText"/>
        <w:tabs>
          <w:tab w:val="left" w:pos="180"/>
        </w:tabs>
        <w:kinsoku w:val="0"/>
        <w:overflowPunct w:val="0"/>
        <w:snapToGrid w:val="0"/>
        <w:spacing w:line="360" w:lineRule="auto"/>
        <w:ind w:right="103"/>
        <w:jc w:val="both"/>
        <w:rPr>
          <w:rFonts w:ascii="Arial" w:hAnsi="Arial" w:cs="Arial"/>
          <w:spacing w:val="-8"/>
          <w:sz w:val="24"/>
          <w:szCs w:val="24"/>
          <w:lang w:val="en-HK"/>
        </w:rPr>
      </w:pPr>
    </w:p>
    <w:p w14:paraId="54C6C28C" w14:textId="796CFB75" w:rsidR="008148EE" w:rsidRPr="00F53843" w:rsidRDefault="007F456C" w:rsidP="008148EE">
      <w:pPr>
        <w:pStyle w:val="BodyText"/>
        <w:tabs>
          <w:tab w:val="left" w:pos="180"/>
        </w:tabs>
        <w:kinsoku w:val="0"/>
        <w:overflowPunct w:val="0"/>
        <w:snapToGrid w:val="0"/>
        <w:spacing w:line="360" w:lineRule="auto"/>
        <w:ind w:right="103"/>
        <w:jc w:val="both"/>
        <w:rPr>
          <w:rFonts w:ascii="Arial" w:eastAsia="宋体" w:hAnsi="Arial" w:cs="Arial"/>
          <w:spacing w:val="-8"/>
          <w:sz w:val="24"/>
          <w:szCs w:val="24"/>
          <w:lang w:val="en-US" w:eastAsia="zh-CN"/>
        </w:rPr>
      </w:pPr>
      <w:r w:rsidRPr="007F456C">
        <w:rPr>
          <w:rFonts w:ascii="Arial" w:hAnsi="Arial" w:cs="Arial"/>
          <w:spacing w:val="-8"/>
          <w:sz w:val="24"/>
          <w:szCs w:val="24"/>
        </w:rPr>
        <w:lastRenderedPageBreak/>
        <w:t xml:space="preserve">Nevertheless, the individuals' ages are a drawback of this research. We made a lot of efforts to reach out to younger generations, but they were unwilling to participate in our study. This study does not include many younger generations, and the majority of participants are older than 30. </w:t>
      </w:r>
      <w:r w:rsidR="00B4058A">
        <w:rPr>
          <w:rFonts w:ascii="Arial" w:hAnsi="Arial" w:cs="Arial"/>
          <w:spacing w:val="-8"/>
          <w:sz w:val="24"/>
          <w:szCs w:val="24"/>
        </w:rPr>
        <w:t>Al</w:t>
      </w:r>
      <w:r w:rsidR="00ED31DC">
        <w:rPr>
          <w:rFonts w:ascii="Arial" w:hAnsi="Arial" w:cs="Arial"/>
          <w:spacing w:val="-8"/>
          <w:sz w:val="24"/>
          <w:szCs w:val="24"/>
        </w:rPr>
        <w:t xml:space="preserve">though the purchasing power of youngsters may not be as </w:t>
      </w:r>
      <w:r w:rsidR="00C24493">
        <w:rPr>
          <w:rFonts w:ascii="Arial" w:hAnsi="Arial" w:cs="Arial"/>
          <w:spacing w:val="-8"/>
          <w:sz w:val="24"/>
          <w:szCs w:val="24"/>
        </w:rPr>
        <w:t>s</w:t>
      </w:r>
      <w:r w:rsidR="004A4C08">
        <w:rPr>
          <w:rFonts w:ascii="Arial" w:hAnsi="Arial" w:cs="Arial"/>
          <w:spacing w:val="-8"/>
          <w:sz w:val="24"/>
          <w:szCs w:val="24"/>
        </w:rPr>
        <w:t>olid</w:t>
      </w:r>
      <w:r w:rsidR="00C24493">
        <w:rPr>
          <w:rFonts w:ascii="Arial" w:hAnsi="Arial" w:cs="Arial"/>
          <w:spacing w:val="-8"/>
          <w:sz w:val="24"/>
          <w:szCs w:val="24"/>
        </w:rPr>
        <w:t xml:space="preserve"> as</w:t>
      </w:r>
      <w:r w:rsidR="004A4C08">
        <w:rPr>
          <w:rFonts w:ascii="Arial" w:hAnsi="Arial" w:cs="Arial"/>
          <w:spacing w:val="-8"/>
          <w:sz w:val="24"/>
          <w:szCs w:val="24"/>
        </w:rPr>
        <w:t xml:space="preserve"> that of</w:t>
      </w:r>
      <w:r w:rsidR="00C24493">
        <w:rPr>
          <w:rFonts w:ascii="Arial" w:hAnsi="Arial" w:cs="Arial"/>
          <w:spacing w:val="-8"/>
          <w:sz w:val="24"/>
          <w:szCs w:val="24"/>
        </w:rPr>
        <w:t xml:space="preserve"> adults, youngsters </w:t>
      </w:r>
      <w:r w:rsidR="006D7090">
        <w:rPr>
          <w:rFonts w:ascii="Arial" w:hAnsi="Arial" w:cs="Arial"/>
          <w:spacing w:val="-8"/>
          <w:sz w:val="24"/>
          <w:szCs w:val="24"/>
        </w:rPr>
        <w:t>is the</w:t>
      </w:r>
      <w:r w:rsidR="00C24493">
        <w:rPr>
          <w:rFonts w:ascii="Arial" w:hAnsi="Arial" w:cs="Arial"/>
          <w:spacing w:val="-8"/>
          <w:sz w:val="24"/>
          <w:szCs w:val="24"/>
        </w:rPr>
        <w:t xml:space="preserve"> next </w:t>
      </w:r>
      <w:r w:rsidR="006D7090">
        <w:rPr>
          <w:rFonts w:ascii="Arial" w:hAnsi="Arial" w:cs="Arial"/>
          <w:spacing w:val="-8"/>
          <w:sz w:val="24"/>
          <w:szCs w:val="24"/>
        </w:rPr>
        <w:t>generation who</w:t>
      </w:r>
      <w:r w:rsidR="001E3259">
        <w:rPr>
          <w:rFonts w:ascii="Arial" w:hAnsi="Arial" w:cs="Arial"/>
          <w:spacing w:val="-8"/>
          <w:sz w:val="24"/>
          <w:szCs w:val="24"/>
        </w:rPr>
        <w:t xml:space="preserve"> uphold the </w:t>
      </w:r>
      <w:r w:rsidR="004A4C08">
        <w:rPr>
          <w:rFonts w:ascii="Arial" w:hAnsi="Arial" w:cs="Arial"/>
          <w:spacing w:val="-8"/>
          <w:sz w:val="24"/>
          <w:szCs w:val="24"/>
        </w:rPr>
        <w:t>purchasing power</w:t>
      </w:r>
      <w:r w:rsidR="001E3259">
        <w:rPr>
          <w:rFonts w:ascii="Arial" w:hAnsi="Arial" w:cs="Arial"/>
          <w:spacing w:val="-8"/>
          <w:sz w:val="24"/>
          <w:szCs w:val="24"/>
        </w:rPr>
        <w:t xml:space="preserve">, whose current </w:t>
      </w:r>
      <w:r w:rsidR="00464E2C">
        <w:rPr>
          <w:rFonts w:ascii="Arial" w:hAnsi="Arial" w:cs="Arial"/>
          <w:spacing w:val="-8"/>
          <w:sz w:val="24"/>
          <w:szCs w:val="24"/>
        </w:rPr>
        <w:t>per</w:t>
      </w:r>
      <w:r w:rsidR="001E3259">
        <w:rPr>
          <w:rFonts w:ascii="Arial" w:hAnsi="Arial" w:cs="Arial"/>
          <w:spacing w:val="-8"/>
          <w:sz w:val="24"/>
          <w:szCs w:val="24"/>
        </w:rPr>
        <w:t>ception is our coming</w:t>
      </w:r>
      <w:r w:rsidR="00E84051">
        <w:rPr>
          <w:rFonts w:ascii="Arial" w:hAnsi="Arial" w:cs="Arial"/>
          <w:spacing w:val="-8"/>
          <w:sz w:val="24"/>
          <w:szCs w:val="24"/>
        </w:rPr>
        <w:t xml:space="preserve"> demand.</w:t>
      </w:r>
      <w:r w:rsidR="00464E2C">
        <w:rPr>
          <w:rFonts w:ascii="Arial" w:hAnsi="Arial" w:cs="Arial"/>
          <w:spacing w:val="-8"/>
          <w:sz w:val="24"/>
          <w:szCs w:val="24"/>
        </w:rPr>
        <w:t xml:space="preserve"> Another limitation is that here is </w:t>
      </w:r>
      <w:r w:rsidR="00F62A6B">
        <w:rPr>
          <w:rFonts w:ascii="Arial" w:hAnsi="Arial" w:cs="Arial"/>
          <w:spacing w:val="-8"/>
          <w:sz w:val="24"/>
          <w:szCs w:val="24"/>
        </w:rPr>
        <w:t xml:space="preserve">limited famous online store in Hong Kong. </w:t>
      </w:r>
      <w:r w:rsidR="00DF5CA8">
        <w:rPr>
          <w:rFonts w:ascii="Arial" w:hAnsi="Arial" w:cs="Arial"/>
          <w:spacing w:val="-8"/>
          <w:sz w:val="24"/>
          <w:szCs w:val="24"/>
        </w:rPr>
        <w:t>In this study, i</w:t>
      </w:r>
      <w:r w:rsidR="00DF5CA8">
        <w:rPr>
          <w:rFonts w:ascii="Arial" w:hAnsi="Arial" w:cs="Arial"/>
          <w:sz w:val="24"/>
          <w:szCs w:val="24"/>
        </w:rPr>
        <w:t>nterviewee</w:t>
      </w:r>
      <w:r w:rsidR="0022605B" w:rsidRPr="00A31E5D">
        <w:rPr>
          <w:rFonts w:ascii="Arial" w:hAnsi="Arial" w:cs="Arial"/>
          <w:sz w:val="24"/>
          <w:szCs w:val="24"/>
        </w:rPr>
        <w:t xml:space="preserve"> was required to study </w:t>
      </w:r>
      <w:r w:rsidR="00DF5CA8">
        <w:rPr>
          <w:rFonts w:ascii="Arial" w:hAnsi="Arial" w:cs="Arial"/>
          <w:sz w:val="24"/>
          <w:szCs w:val="24"/>
        </w:rPr>
        <w:t xml:space="preserve">only </w:t>
      </w:r>
      <w:r w:rsidR="0022605B" w:rsidRPr="00A31E5D">
        <w:rPr>
          <w:rFonts w:ascii="Arial" w:hAnsi="Arial" w:cs="Arial"/>
          <w:sz w:val="24"/>
          <w:szCs w:val="24"/>
        </w:rPr>
        <w:t xml:space="preserve">the website of </w:t>
      </w:r>
      <w:proofErr w:type="spellStart"/>
      <w:r w:rsidR="0022605B" w:rsidRPr="00A31E5D">
        <w:rPr>
          <w:rFonts w:ascii="Arial" w:hAnsi="Arial" w:cs="Arial"/>
          <w:sz w:val="24"/>
          <w:szCs w:val="24"/>
        </w:rPr>
        <w:t>HKTVmall</w:t>
      </w:r>
      <w:proofErr w:type="spellEnd"/>
      <w:r w:rsidR="0022605B" w:rsidRPr="00A31E5D">
        <w:rPr>
          <w:rFonts w:ascii="Arial" w:hAnsi="Arial" w:cs="Arial"/>
          <w:sz w:val="24"/>
          <w:szCs w:val="24"/>
        </w:rPr>
        <w:t xml:space="preserve"> (1137.hk) online store </w:t>
      </w:r>
      <w:r w:rsidR="00DF5CA8">
        <w:rPr>
          <w:rFonts w:ascii="Arial" w:hAnsi="Arial" w:cs="Arial"/>
          <w:sz w:val="24"/>
          <w:szCs w:val="24"/>
        </w:rPr>
        <w:t>before</w:t>
      </w:r>
      <w:r w:rsidR="0022605B" w:rsidRPr="00A31E5D">
        <w:rPr>
          <w:rFonts w:ascii="Arial" w:hAnsi="Arial" w:cs="Arial"/>
          <w:sz w:val="24"/>
          <w:szCs w:val="24"/>
        </w:rPr>
        <w:t xml:space="preserve"> fill</w:t>
      </w:r>
      <w:r w:rsidR="00DF5CA8">
        <w:rPr>
          <w:rFonts w:ascii="Arial" w:hAnsi="Arial" w:cs="Arial"/>
          <w:sz w:val="24"/>
          <w:szCs w:val="24"/>
        </w:rPr>
        <w:t>ing</w:t>
      </w:r>
      <w:r w:rsidR="0022605B" w:rsidRPr="00A31E5D">
        <w:rPr>
          <w:rFonts w:ascii="Arial" w:hAnsi="Arial" w:cs="Arial"/>
          <w:sz w:val="24"/>
          <w:szCs w:val="24"/>
        </w:rPr>
        <w:t xml:space="preserve"> out the survey</w:t>
      </w:r>
      <w:r w:rsidR="00CE096A">
        <w:rPr>
          <w:rFonts w:ascii="Arial" w:hAnsi="Arial" w:cs="Arial"/>
          <w:sz w:val="24"/>
          <w:szCs w:val="24"/>
        </w:rPr>
        <w:t>.</w:t>
      </w:r>
      <w:r w:rsidR="0022605B" w:rsidRPr="00A31E5D">
        <w:rPr>
          <w:rFonts w:ascii="Arial" w:hAnsi="Arial" w:cs="Arial"/>
          <w:sz w:val="24"/>
          <w:szCs w:val="24"/>
        </w:rPr>
        <w:t xml:space="preserve"> </w:t>
      </w:r>
      <w:r w:rsidR="003A75F5">
        <w:rPr>
          <w:rFonts w:ascii="Arial" w:hAnsi="Arial" w:cs="Arial"/>
          <w:spacing w:val="-8"/>
          <w:sz w:val="24"/>
          <w:szCs w:val="24"/>
        </w:rPr>
        <w:t xml:space="preserve">The </w:t>
      </w:r>
      <w:r w:rsidR="00CD2145">
        <w:rPr>
          <w:rFonts w:ascii="Arial" w:hAnsi="Arial" w:cs="Arial"/>
          <w:spacing w:val="-8"/>
          <w:sz w:val="24"/>
          <w:szCs w:val="24"/>
        </w:rPr>
        <w:t>findings of study would be more representative and fru</w:t>
      </w:r>
      <w:r w:rsidR="00EA229B">
        <w:rPr>
          <w:rFonts w:ascii="Arial" w:hAnsi="Arial" w:cs="Arial"/>
          <w:spacing w:val="-8"/>
          <w:sz w:val="24"/>
          <w:szCs w:val="24"/>
        </w:rPr>
        <w:t>itful if interviewee could</w:t>
      </w:r>
      <w:r w:rsidR="00CD2145">
        <w:rPr>
          <w:rFonts w:ascii="Arial" w:hAnsi="Arial" w:cs="Arial"/>
          <w:spacing w:val="-8"/>
          <w:sz w:val="24"/>
          <w:szCs w:val="24"/>
        </w:rPr>
        <w:t xml:space="preserve"> </w:t>
      </w:r>
      <w:r w:rsidR="00EA229B" w:rsidRPr="00A31E5D">
        <w:rPr>
          <w:rFonts w:ascii="Arial" w:hAnsi="Arial" w:cs="Arial"/>
          <w:sz w:val="24"/>
          <w:szCs w:val="24"/>
        </w:rPr>
        <w:t xml:space="preserve">study </w:t>
      </w:r>
      <w:r w:rsidR="00EA229B">
        <w:rPr>
          <w:rFonts w:ascii="Arial" w:hAnsi="Arial" w:cs="Arial"/>
          <w:sz w:val="24"/>
          <w:szCs w:val="24"/>
        </w:rPr>
        <w:t>mor</w:t>
      </w:r>
      <w:r w:rsidR="00A20467">
        <w:rPr>
          <w:rFonts w:ascii="Arial" w:hAnsi="Arial" w:cs="Arial"/>
          <w:sz w:val="24"/>
          <w:szCs w:val="24"/>
        </w:rPr>
        <w:t xml:space="preserve">e </w:t>
      </w:r>
      <w:r w:rsidR="00EA229B" w:rsidRPr="00A31E5D">
        <w:rPr>
          <w:rFonts w:ascii="Arial" w:hAnsi="Arial" w:cs="Arial"/>
          <w:sz w:val="24"/>
          <w:szCs w:val="24"/>
        </w:rPr>
        <w:t xml:space="preserve">website </w:t>
      </w:r>
      <w:r w:rsidR="00A20467">
        <w:rPr>
          <w:rFonts w:ascii="Arial" w:hAnsi="Arial" w:cs="Arial"/>
          <w:sz w:val="24"/>
          <w:szCs w:val="24"/>
        </w:rPr>
        <w:t xml:space="preserve">of </w:t>
      </w:r>
      <w:r w:rsidR="00EA229B" w:rsidRPr="00A31E5D">
        <w:rPr>
          <w:rFonts w:ascii="Arial" w:hAnsi="Arial" w:cs="Arial"/>
          <w:sz w:val="24"/>
          <w:szCs w:val="24"/>
        </w:rPr>
        <w:t xml:space="preserve">online store </w:t>
      </w:r>
      <w:r w:rsidR="00A20467">
        <w:rPr>
          <w:rFonts w:ascii="Arial" w:hAnsi="Arial" w:cs="Arial"/>
          <w:sz w:val="24"/>
          <w:szCs w:val="24"/>
        </w:rPr>
        <w:t xml:space="preserve">in Hong Kong before </w:t>
      </w:r>
      <w:r w:rsidR="00EA229B" w:rsidRPr="00A31E5D">
        <w:rPr>
          <w:rFonts w:ascii="Arial" w:hAnsi="Arial" w:cs="Arial"/>
          <w:sz w:val="24"/>
          <w:szCs w:val="24"/>
        </w:rPr>
        <w:t>fill</w:t>
      </w:r>
      <w:r w:rsidR="00A20467">
        <w:rPr>
          <w:rFonts w:ascii="Arial" w:hAnsi="Arial" w:cs="Arial"/>
          <w:sz w:val="24"/>
          <w:szCs w:val="24"/>
        </w:rPr>
        <w:t>ing</w:t>
      </w:r>
      <w:r w:rsidR="00EA229B" w:rsidRPr="00A31E5D">
        <w:rPr>
          <w:rFonts w:ascii="Arial" w:hAnsi="Arial" w:cs="Arial"/>
          <w:sz w:val="24"/>
          <w:szCs w:val="24"/>
        </w:rPr>
        <w:t xml:space="preserve"> out the survey</w:t>
      </w:r>
      <w:r w:rsidR="00A20467">
        <w:rPr>
          <w:rFonts w:ascii="Arial" w:hAnsi="Arial" w:cs="Arial"/>
          <w:sz w:val="24"/>
          <w:szCs w:val="24"/>
        </w:rPr>
        <w:t>.</w:t>
      </w:r>
      <w:r w:rsidR="007A5A70">
        <w:rPr>
          <w:rFonts w:ascii="Arial" w:hAnsi="Arial" w:cs="Arial"/>
          <w:sz w:val="24"/>
          <w:szCs w:val="24"/>
        </w:rPr>
        <w:t xml:space="preserve"> Final limitation is the </w:t>
      </w:r>
      <w:r w:rsidR="007A5A70" w:rsidRPr="008148EE">
        <w:rPr>
          <w:rFonts w:ascii="Arial" w:hAnsi="Arial" w:cs="Arial"/>
          <w:spacing w:val="-8"/>
          <w:sz w:val="24"/>
          <w:szCs w:val="24"/>
        </w:rPr>
        <w:t xml:space="preserve">types of </w:t>
      </w:r>
      <w:r w:rsidR="00C974DA">
        <w:rPr>
          <w:rFonts w:ascii="Arial" w:hAnsi="Arial" w:cs="Arial"/>
          <w:spacing w:val="-8"/>
          <w:sz w:val="24"/>
          <w:szCs w:val="24"/>
        </w:rPr>
        <w:t xml:space="preserve">products of </w:t>
      </w:r>
      <w:r w:rsidR="007A5A70" w:rsidRPr="008148EE">
        <w:rPr>
          <w:rFonts w:ascii="Arial" w:hAnsi="Arial" w:cs="Arial"/>
          <w:spacing w:val="-8"/>
          <w:sz w:val="24"/>
          <w:szCs w:val="24"/>
        </w:rPr>
        <w:t>online store</w:t>
      </w:r>
      <w:r w:rsidR="00C974DA">
        <w:rPr>
          <w:rFonts w:ascii="Arial" w:hAnsi="Arial" w:cs="Arial"/>
          <w:spacing w:val="-8"/>
          <w:sz w:val="24"/>
          <w:szCs w:val="24"/>
        </w:rPr>
        <w:t xml:space="preserve">. </w:t>
      </w:r>
      <w:r w:rsidR="00BF5660">
        <w:rPr>
          <w:rFonts w:ascii="Arial" w:hAnsi="Arial" w:cs="Arial"/>
          <w:spacing w:val="-8"/>
          <w:sz w:val="24"/>
          <w:szCs w:val="24"/>
        </w:rPr>
        <w:t xml:space="preserve">As here is limited famous online store in Hong Kong, </w:t>
      </w:r>
      <w:r w:rsidR="00C81F4C">
        <w:rPr>
          <w:rFonts w:ascii="Arial" w:hAnsi="Arial" w:cs="Arial"/>
          <w:spacing w:val="-8"/>
          <w:sz w:val="24"/>
          <w:szCs w:val="24"/>
        </w:rPr>
        <w:t xml:space="preserve">we </w:t>
      </w:r>
      <w:r w:rsidR="00623F80">
        <w:rPr>
          <w:rFonts w:ascii="Arial" w:hAnsi="Arial" w:cs="Arial"/>
          <w:spacing w:val="-8"/>
          <w:sz w:val="24"/>
          <w:szCs w:val="24"/>
        </w:rPr>
        <w:t>cannot</w:t>
      </w:r>
      <w:r w:rsidR="00C81F4C">
        <w:rPr>
          <w:rFonts w:ascii="Arial" w:hAnsi="Arial" w:cs="Arial"/>
          <w:spacing w:val="-8"/>
          <w:sz w:val="24"/>
          <w:szCs w:val="24"/>
        </w:rPr>
        <w:t xml:space="preserve"> divide </w:t>
      </w:r>
      <w:r w:rsidR="00623F80">
        <w:rPr>
          <w:rFonts w:ascii="Arial" w:hAnsi="Arial" w:cs="Arial"/>
          <w:spacing w:val="-8"/>
          <w:sz w:val="24"/>
          <w:szCs w:val="24"/>
        </w:rPr>
        <w:t xml:space="preserve">the </w:t>
      </w:r>
      <w:r w:rsidR="00D07B95">
        <w:rPr>
          <w:rFonts w:ascii="Arial" w:hAnsi="Arial" w:cs="Arial"/>
          <w:spacing w:val="-8"/>
          <w:sz w:val="24"/>
          <w:szCs w:val="24"/>
        </w:rPr>
        <w:t xml:space="preserve">online store into different category according to </w:t>
      </w:r>
      <w:r w:rsidR="0068187E">
        <w:rPr>
          <w:rFonts w:ascii="Arial" w:hAnsi="Arial" w:cs="Arial"/>
          <w:spacing w:val="-8"/>
          <w:sz w:val="24"/>
          <w:szCs w:val="24"/>
        </w:rPr>
        <w:t>the type</w:t>
      </w:r>
      <w:r w:rsidR="00545C77">
        <w:rPr>
          <w:rFonts w:ascii="Arial" w:hAnsi="Arial" w:cs="Arial"/>
          <w:spacing w:val="-8"/>
          <w:sz w:val="24"/>
          <w:szCs w:val="24"/>
        </w:rPr>
        <w:t>s</w:t>
      </w:r>
      <w:r w:rsidR="0068187E">
        <w:rPr>
          <w:rFonts w:ascii="Arial" w:hAnsi="Arial" w:cs="Arial"/>
          <w:spacing w:val="-8"/>
          <w:sz w:val="24"/>
          <w:szCs w:val="24"/>
        </w:rPr>
        <w:t xml:space="preserve"> of </w:t>
      </w:r>
      <w:r w:rsidR="00623F80">
        <w:rPr>
          <w:rFonts w:ascii="Arial" w:hAnsi="Arial" w:cs="Arial"/>
          <w:spacing w:val="-8"/>
          <w:sz w:val="24"/>
          <w:szCs w:val="24"/>
        </w:rPr>
        <w:t xml:space="preserve">its </w:t>
      </w:r>
      <w:r w:rsidR="0068187E">
        <w:rPr>
          <w:rFonts w:ascii="Arial" w:hAnsi="Arial" w:cs="Arial"/>
          <w:spacing w:val="-8"/>
          <w:sz w:val="24"/>
          <w:szCs w:val="24"/>
        </w:rPr>
        <w:t xml:space="preserve">selling </w:t>
      </w:r>
      <w:r w:rsidR="00D07B95">
        <w:rPr>
          <w:rFonts w:ascii="Arial" w:hAnsi="Arial" w:cs="Arial"/>
          <w:spacing w:val="-8"/>
          <w:sz w:val="24"/>
          <w:szCs w:val="24"/>
        </w:rPr>
        <w:t>product</w:t>
      </w:r>
      <w:r w:rsidR="00623F80">
        <w:rPr>
          <w:rFonts w:ascii="Arial" w:hAnsi="Arial" w:cs="Arial"/>
          <w:spacing w:val="-8"/>
          <w:sz w:val="24"/>
          <w:szCs w:val="24"/>
        </w:rPr>
        <w:t xml:space="preserve">. </w:t>
      </w:r>
      <w:r w:rsidR="00545C77">
        <w:rPr>
          <w:rFonts w:ascii="Arial" w:hAnsi="Arial" w:cs="Arial"/>
          <w:spacing w:val="-8"/>
          <w:sz w:val="24"/>
          <w:szCs w:val="24"/>
        </w:rPr>
        <w:t>T</w:t>
      </w:r>
      <w:r w:rsidR="00776958">
        <w:rPr>
          <w:rFonts w:ascii="Arial" w:hAnsi="Arial" w:cs="Arial"/>
          <w:spacing w:val="-8"/>
          <w:sz w:val="24"/>
          <w:szCs w:val="24"/>
        </w:rPr>
        <w:t>herefore, t</w:t>
      </w:r>
      <w:r w:rsidR="00545C77">
        <w:rPr>
          <w:rFonts w:ascii="Arial" w:hAnsi="Arial" w:cs="Arial"/>
          <w:spacing w:val="-8"/>
          <w:sz w:val="24"/>
          <w:szCs w:val="24"/>
        </w:rPr>
        <w:t xml:space="preserve">his study can only </w:t>
      </w:r>
      <w:r w:rsidR="00B06FDD">
        <w:rPr>
          <w:rFonts w:ascii="Arial" w:hAnsi="Arial" w:cs="Arial"/>
          <w:spacing w:val="-8"/>
          <w:sz w:val="24"/>
          <w:szCs w:val="24"/>
        </w:rPr>
        <w:t>base</w:t>
      </w:r>
      <w:r w:rsidR="00545C77">
        <w:rPr>
          <w:rFonts w:ascii="Arial" w:hAnsi="Arial" w:cs="Arial"/>
          <w:spacing w:val="-8"/>
          <w:sz w:val="24"/>
          <w:szCs w:val="24"/>
        </w:rPr>
        <w:t xml:space="preserve"> on an online store which is </w:t>
      </w:r>
      <w:r w:rsidR="003E092E">
        <w:rPr>
          <w:rFonts w:ascii="Arial" w:hAnsi="Arial" w:cs="Arial"/>
          <w:spacing w:val="-8"/>
          <w:sz w:val="24"/>
          <w:szCs w:val="24"/>
        </w:rPr>
        <w:t xml:space="preserve">currently </w:t>
      </w:r>
      <w:r w:rsidR="00545C77">
        <w:rPr>
          <w:rFonts w:ascii="Arial" w:hAnsi="Arial" w:cs="Arial"/>
          <w:spacing w:val="-8"/>
          <w:sz w:val="24"/>
          <w:szCs w:val="24"/>
        </w:rPr>
        <w:t>selling different kinds of products</w:t>
      </w:r>
      <w:r w:rsidR="00776958">
        <w:rPr>
          <w:rFonts w:ascii="Arial" w:hAnsi="Arial" w:cs="Arial"/>
          <w:spacing w:val="-8"/>
          <w:sz w:val="24"/>
          <w:szCs w:val="24"/>
        </w:rPr>
        <w:t>.</w:t>
      </w:r>
    </w:p>
    <w:p w14:paraId="3EB42F9E" w14:textId="77777777" w:rsidR="005E2D0F" w:rsidRDefault="005E2D0F" w:rsidP="005F7DF9">
      <w:pPr>
        <w:pStyle w:val="BodyText"/>
        <w:tabs>
          <w:tab w:val="left" w:pos="180"/>
        </w:tabs>
        <w:kinsoku w:val="0"/>
        <w:overflowPunct w:val="0"/>
        <w:snapToGrid w:val="0"/>
        <w:spacing w:before="5" w:line="360" w:lineRule="auto"/>
        <w:rPr>
          <w:rFonts w:ascii="Arial" w:hAnsi="Arial" w:cs="Arial"/>
          <w:sz w:val="24"/>
          <w:szCs w:val="24"/>
        </w:rPr>
      </w:pPr>
    </w:p>
    <w:p w14:paraId="21938DBA" w14:textId="7B441D28" w:rsidR="005E2D0F" w:rsidRPr="00A31E5D" w:rsidRDefault="005E2D0F" w:rsidP="005F7DF9">
      <w:pPr>
        <w:pStyle w:val="ListParagraph"/>
        <w:widowControl w:val="0"/>
        <w:numPr>
          <w:ilvl w:val="0"/>
          <w:numId w:val="26"/>
        </w:numPr>
        <w:tabs>
          <w:tab w:val="left" w:pos="180"/>
        </w:tabs>
        <w:kinsoku w:val="0"/>
        <w:overflowPunct w:val="0"/>
        <w:autoSpaceDE w:val="0"/>
        <w:autoSpaceDN w:val="0"/>
        <w:adjustRightInd w:val="0"/>
        <w:snapToGrid w:val="0"/>
        <w:spacing w:line="360" w:lineRule="auto"/>
        <w:ind w:left="0" w:firstLine="0"/>
        <w:contextualSpacing w:val="0"/>
        <w:rPr>
          <w:rFonts w:ascii="Arial" w:hAnsi="Arial" w:cs="Arial"/>
          <w:sz w:val="24"/>
          <w:szCs w:val="24"/>
        </w:rPr>
      </w:pPr>
      <w:r w:rsidRPr="00A31E5D">
        <w:rPr>
          <w:rFonts w:ascii="Arial" w:hAnsi="Arial" w:cs="Arial"/>
          <w:sz w:val="24"/>
          <w:szCs w:val="24"/>
        </w:rPr>
        <w:t xml:space="preserve">Conclusions </w:t>
      </w:r>
      <w:r w:rsidR="00BE161C" w:rsidRPr="00A31E5D">
        <w:rPr>
          <w:rFonts w:ascii="Arial" w:hAnsi="Arial" w:cs="Arial"/>
          <w:sz w:val="24"/>
          <w:szCs w:val="24"/>
        </w:rPr>
        <w:t>and</w:t>
      </w:r>
      <w:r w:rsidR="00BE161C" w:rsidRPr="00A31E5D">
        <w:rPr>
          <w:rFonts w:ascii="Arial" w:hAnsi="Arial" w:cs="Arial"/>
          <w:spacing w:val="21"/>
          <w:sz w:val="24"/>
          <w:szCs w:val="24"/>
        </w:rPr>
        <w:t xml:space="preserve"> </w:t>
      </w:r>
      <w:r w:rsidR="00BE161C" w:rsidRPr="00A31E5D">
        <w:rPr>
          <w:rFonts w:ascii="Arial" w:hAnsi="Arial" w:cs="Arial"/>
          <w:sz w:val="24"/>
          <w:szCs w:val="24"/>
        </w:rPr>
        <w:t>recommendations</w:t>
      </w:r>
    </w:p>
    <w:p w14:paraId="34B0DD6E" w14:textId="77777777" w:rsidR="005E2D0F" w:rsidRPr="00A31E5D" w:rsidRDefault="005E2D0F" w:rsidP="005F7DF9">
      <w:pPr>
        <w:pStyle w:val="BodyText"/>
        <w:tabs>
          <w:tab w:val="left" w:pos="180"/>
        </w:tabs>
        <w:kinsoku w:val="0"/>
        <w:overflowPunct w:val="0"/>
        <w:snapToGrid w:val="0"/>
        <w:spacing w:before="8" w:line="360" w:lineRule="auto"/>
        <w:rPr>
          <w:rFonts w:ascii="Arial" w:hAnsi="Arial" w:cs="Arial"/>
          <w:sz w:val="24"/>
          <w:szCs w:val="24"/>
        </w:rPr>
      </w:pPr>
    </w:p>
    <w:p w14:paraId="41455949" w14:textId="77777777" w:rsidR="00F151C8" w:rsidRPr="00F151C8" w:rsidRDefault="00F151C8" w:rsidP="00F151C8">
      <w:pPr>
        <w:pStyle w:val="BodyText"/>
        <w:tabs>
          <w:tab w:val="left" w:pos="180"/>
        </w:tabs>
        <w:kinsoku w:val="0"/>
        <w:overflowPunct w:val="0"/>
        <w:snapToGrid w:val="0"/>
        <w:spacing w:line="360" w:lineRule="auto"/>
        <w:ind w:right="200"/>
        <w:jc w:val="both"/>
        <w:rPr>
          <w:rFonts w:ascii="Arial" w:hAnsi="Arial" w:cs="Arial"/>
          <w:sz w:val="24"/>
          <w:szCs w:val="24"/>
        </w:rPr>
      </w:pPr>
      <w:r w:rsidRPr="00F151C8">
        <w:rPr>
          <w:rFonts w:ascii="Arial" w:hAnsi="Arial" w:cs="Arial"/>
          <w:sz w:val="24"/>
          <w:szCs w:val="24"/>
        </w:rPr>
        <w:t xml:space="preserve">The focus of this research was the perception of internet stores.  The literature on the topic of online store image was reviewed in this study.  A preliminary measurement tool was developed by combining this approach—which was suggested by Churchill (1979)—with a focus group trial run.  My Pilot Test made use of this in the end.  This study enhanced the tools by </w:t>
      </w:r>
      <w:proofErr w:type="spellStart"/>
      <w:r w:rsidRPr="00F151C8">
        <w:rPr>
          <w:rFonts w:ascii="Arial" w:hAnsi="Arial" w:cs="Arial"/>
          <w:sz w:val="24"/>
          <w:szCs w:val="24"/>
        </w:rPr>
        <w:t>analyzing</w:t>
      </w:r>
      <w:proofErr w:type="spellEnd"/>
      <w:r w:rsidRPr="00F151C8">
        <w:rPr>
          <w:rFonts w:ascii="Arial" w:hAnsi="Arial" w:cs="Arial"/>
          <w:sz w:val="24"/>
          <w:szCs w:val="24"/>
        </w:rPr>
        <w:t xml:space="preserve"> the data from the Pilot Test. After that, 7 Factors were identified, each containing 26 components, that contribute to the perception of online stores. </w:t>
      </w:r>
    </w:p>
    <w:p w14:paraId="1C7F22E2" w14:textId="77777777" w:rsidR="00F151C8" w:rsidRPr="00F151C8" w:rsidRDefault="00F151C8" w:rsidP="00F151C8">
      <w:pPr>
        <w:pStyle w:val="BodyText"/>
        <w:tabs>
          <w:tab w:val="left" w:pos="180"/>
        </w:tabs>
        <w:kinsoku w:val="0"/>
        <w:overflowPunct w:val="0"/>
        <w:snapToGrid w:val="0"/>
        <w:spacing w:line="360" w:lineRule="auto"/>
        <w:ind w:right="200"/>
        <w:jc w:val="both"/>
        <w:rPr>
          <w:rFonts w:ascii="Arial" w:hAnsi="Arial" w:cs="Arial"/>
          <w:sz w:val="24"/>
          <w:szCs w:val="24"/>
        </w:rPr>
      </w:pPr>
    </w:p>
    <w:p w14:paraId="10C9E063" w14:textId="5469F804" w:rsidR="00BE161C" w:rsidRDefault="00F151C8" w:rsidP="00F151C8">
      <w:pPr>
        <w:pStyle w:val="BodyText"/>
        <w:tabs>
          <w:tab w:val="left" w:pos="180"/>
        </w:tabs>
        <w:kinsoku w:val="0"/>
        <w:overflowPunct w:val="0"/>
        <w:snapToGrid w:val="0"/>
        <w:spacing w:line="360" w:lineRule="auto"/>
        <w:ind w:right="200"/>
        <w:jc w:val="both"/>
        <w:rPr>
          <w:rFonts w:ascii="Arial" w:hAnsi="Arial" w:cs="Arial"/>
          <w:sz w:val="24"/>
          <w:szCs w:val="24"/>
        </w:rPr>
      </w:pPr>
      <w:r w:rsidRPr="00F151C8">
        <w:rPr>
          <w:rFonts w:ascii="Arial" w:hAnsi="Arial" w:cs="Arial"/>
          <w:sz w:val="24"/>
          <w:szCs w:val="24"/>
        </w:rPr>
        <w:t>There are a minimum of two findings from this investigation.  To begin, contrary to the results of earlier studies, we find that the image of an online business has a minimal link with store ease of use and store settlement.  Two, the study confirms what Van der Heijden and Verhagen (2004) found, which is that shop trustworthiness is an important part of customers' perceptions of online stores, and it suggests that store enjoyment is a major element in customers' propensity to make a purchase.  Investing in making the store more noticeable and appealing is not likely to have a significant impact on the perception of online stores, according to this study.  Improving the Store Trustworthiness and Store Enjoyment of one's website is a win-win for online stores.  If the marketing budget needs to be prioritized, this study provides support for that.</w:t>
      </w:r>
    </w:p>
    <w:p w14:paraId="1E506D24" w14:textId="77777777" w:rsidR="006539DE" w:rsidRPr="00981BF9" w:rsidRDefault="006539DE" w:rsidP="00F151C8">
      <w:pPr>
        <w:pStyle w:val="BodyText"/>
        <w:tabs>
          <w:tab w:val="left" w:pos="180"/>
        </w:tabs>
        <w:kinsoku w:val="0"/>
        <w:overflowPunct w:val="0"/>
        <w:snapToGrid w:val="0"/>
        <w:spacing w:line="360" w:lineRule="auto"/>
        <w:ind w:right="200"/>
        <w:jc w:val="both"/>
        <w:rPr>
          <w:rFonts w:ascii="Arial" w:hAnsi="Arial" w:cs="Arial"/>
          <w:sz w:val="24"/>
          <w:szCs w:val="24"/>
        </w:rPr>
      </w:pPr>
    </w:p>
    <w:p w14:paraId="2A871E4C" w14:textId="3F4269A4" w:rsidR="00BE161C" w:rsidRPr="00A31E5D" w:rsidRDefault="006539DE" w:rsidP="00BE161C">
      <w:pPr>
        <w:pStyle w:val="BodyText"/>
        <w:tabs>
          <w:tab w:val="left" w:pos="180"/>
        </w:tabs>
        <w:kinsoku w:val="0"/>
        <w:overflowPunct w:val="0"/>
        <w:snapToGrid w:val="0"/>
        <w:spacing w:line="360" w:lineRule="auto"/>
        <w:ind w:right="103"/>
        <w:jc w:val="both"/>
        <w:rPr>
          <w:rFonts w:ascii="Arial" w:hAnsi="Arial" w:cs="Arial"/>
          <w:spacing w:val="-8"/>
          <w:sz w:val="24"/>
          <w:szCs w:val="24"/>
        </w:rPr>
      </w:pPr>
      <w:r w:rsidRPr="006539DE">
        <w:rPr>
          <w:rFonts w:ascii="Arial" w:hAnsi="Arial" w:cs="Arial"/>
          <w:sz w:val="24"/>
          <w:szCs w:val="24"/>
        </w:rPr>
        <w:t>Consumers' perceptions of physical and virtual stores have a direct impact on their propensity to shop online (Verhagen &amp; Van Dolen, 2009).  In addition, they confirmed that the offline store impressions were used as benchmarks for the internet stores.  However, the prospective interactions between online and offline store image components are not addressed in this work, which focuses solely on the structural relationships between online store image.  Many stores actually have both physical locations and an online presence.  Therefore, it would be wise for researchers to delve further into the interconnections between different facets of a store's offline and online images in the future.  However, here is the proposal that participants can be divided into different age groups in future studies.  Additional categories of online stores, such as those selling books, clothing, food, electronics, etc., could be the subject of future studies.  Investors and readers alike will be able to zero in on the best places to put their money to reach various types of online shoppers.</w:t>
      </w:r>
    </w:p>
    <w:p w14:paraId="732AB84B" w14:textId="77777777" w:rsidR="00B558F1" w:rsidRPr="00A31E5D" w:rsidRDefault="00B558F1" w:rsidP="005F7DF9">
      <w:pPr>
        <w:pStyle w:val="BodyText"/>
        <w:tabs>
          <w:tab w:val="left" w:pos="180"/>
        </w:tabs>
        <w:kinsoku w:val="0"/>
        <w:overflowPunct w:val="0"/>
        <w:snapToGrid w:val="0"/>
        <w:spacing w:line="360" w:lineRule="auto"/>
        <w:ind w:right="765"/>
        <w:rPr>
          <w:rFonts w:ascii="Arial" w:hAnsi="Arial" w:cs="Arial"/>
          <w:sz w:val="24"/>
          <w:szCs w:val="24"/>
        </w:rPr>
      </w:pPr>
    </w:p>
    <w:p w14:paraId="479C6E49" w14:textId="77777777" w:rsidR="00B558F1" w:rsidRPr="00A31E5D" w:rsidRDefault="00B558F1" w:rsidP="005F7DF9">
      <w:pPr>
        <w:pStyle w:val="BodyText"/>
        <w:tabs>
          <w:tab w:val="left" w:pos="180"/>
        </w:tabs>
        <w:kinsoku w:val="0"/>
        <w:overflowPunct w:val="0"/>
        <w:snapToGrid w:val="0"/>
        <w:spacing w:line="360" w:lineRule="auto"/>
        <w:ind w:right="765"/>
        <w:rPr>
          <w:rFonts w:ascii="Arial" w:hAnsi="Arial" w:cs="Arial"/>
          <w:sz w:val="24"/>
          <w:szCs w:val="24"/>
        </w:rPr>
      </w:pPr>
    </w:p>
    <w:p w14:paraId="41DD90F3" w14:textId="77777777" w:rsidR="00B558F1" w:rsidRDefault="00B558F1" w:rsidP="005F7DF9">
      <w:pPr>
        <w:pStyle w:val="BodyText"/>
        <w:tabs>
          <w:tab w:val="left" w:pos="180"/>
        </w:tabs>
        <w:kinsoku w:val="0"/>
        <w:overflowPunct w:val="0"/>
        <w:snapToGrid w:val="0"/>
        <w:spacing w:line="360" w:lineRule="auto"/>
        <w:ind w:right="765"/>
        <w:rPr>
          <w:rFonts w:ascii="Arial" w:hAnsi="Arial" w:cs="Arial"/>
          <w:sz w:val="24"/>
          <w:szCs w:val="24"/>
        </w:rPr>
      </w:pPr>
    </w:p>
    <w:p w14:paraId="187A6234" w14:textId="77777777" w:rsidR="0002089A" w:rsidRDefault="0002089A" w:rsidP="005F7DF9">
      <w:pPr>
        <w:pStyle w:val="BodyText"/>
        <w:tabs>
          <w:tab w:val="left" w:pos="180"/>
        </w:tabs>
        <w:kinsoku w:val="0"/>
        <w:overflowPunct w:val="0"/>
        <w:snapToGrid w:val="0"/>
        <w:spacing w:line="360" w:lineRule="auto"/>
        <w:ind w:right="765"/>
        <w:rPr>
          <w:rFonts w:ascii="Arial" w:hAnsi="Arial" w:cs="Arial"/>
          <w:sz w:val="24"/>
          <w:szCs w:val="24"/>
        </w:rPr>
      </w:pPr>
    </w:p>
    <w:p w14:paraId="3052160D" w14:textId="77777777" w:rsidR="0002089A" w:rsidRDefault="0002089A" w:rsidP="005F7DF9">
      <w:pPr>
        <w:pStyle w:val="BodyText"/>
        <w:tabs>
          <w:tab w:val="left" w:pos="180"/>
        </w:tabs>
        <w:kinsoku w:val="0"/>
        <w:overflowPunct w:val="0"/>
        <w:snapToGrid w:val="0"/>
        <w:spacing w:line="360" w:lineRule="auto"/>
        <w:ind w:right="765"/>
        <w:rPr>
          <w:rFonts w:ascii="Arial" w:hAnsi="Arial" w:cs="Arial"/>
          <w:sz w:val="24"/>
          <w:szCs w:val="24"/>
        </w:rPr>
      </w:pPr>
    </w:p>
    <w:p w14:paraId="126856EF" w14:textId="77777777" w:rsidR="0002089A" w:rsidRDefault="0002089A" w:rsidP="005F7DF9">
      <w:pPr>
        <w:pStyle w:val="BodyText"/>
        <w:tabs>
          <w:tab w:val="left" w:pos="180"/>
        </w:tabs>
        <w:kinsoku w:val="0"/>
        <w:overflowPunct w:val="0"/>
        <w:snapToGrid w:val="0"/>
        <w:spacing w:line="360" w:lineRule="auto"/>
        <w:ind w:right="765"/>
        <w:rPr>
          <w:rFonts w:ascii="Arial" w:hAnsi="Arial" w:cs="Arial"/>
          <w:sz w:val="24"/>
          <w:szCs w:val="24"/>
        </w:rPr>
      </w:pPr>
    </w:p>
    <w:p w14:paraId="549FF6CF" w14:textId="77777777" w:rsidR="0002089A" w:rsidRDefault="0002089A" w:rsidP="005F7DF9">
      <w:pPr>
        <w:pStyle w:val="BodyText"/>
        <w:tabs>
          <w:tab w:val="left" w:pos="180"/>
        </w:tabs>
        <w:kinsoku w:val="0"/>
        <w:overflowPunct w:val="0"/>
        <w:snapToGrid w:val="0"/>
        <w:spacing w:line="360" w:lineRule="auto"/>
        <w:ind w:right="765"/>
        <w:rPr>
          <w:rFonts w:ascii="Arial" w:hAnsi="Arial" w:cs="Arial"/>
          <w:sz w:val="24"/>
          <w:szCs w:val="24"/>
        </w:rPr>
      </w:pPr>
    </w:p>
    <w:p w14:paraId="1B8A38E3" w14:textId="77777777" w:rsidR="00DC71E9" w:rsidRDefault="00DC71E9" w:rsidP="005F7DF9">
      <w:pPr>
        <w:pStyle w:val="BodyText"/>
        <w:tabs>
          <w:tab w:val="left" w:pos="180"/>
        </w:tabs>
        <w:kinsoku w:val="0"/>
        <w:overflowPunct w:val="0"/>
        <w:snapToGrid w:val="0"/>
        <w:spacing w:line="360" w:lineRule="auto"/>
        <w:ind w:right="765"/>
        <w:rPr>
          <w:rFonts w:ascii="Arial" w:hAnsi="Arial" w:cs="Arial"/>
          <w:sz w:val="24"/>
          <w:szCs w:val="24"/>
        </w:rPr>
      </w:pPr>
    </w:p>
    <w:p w14:paraId="5FA6E5E6" w14:textId="77777777" w:rsidR="00DC71E9" w:rsidRDefault="00DC71E9" w:rsidP="005F7DF9">
      <w:pPr>
        <w:pStyle w:val="BodyText"/>
        <w:tabs>
          <w:tab w:val="left" w:pos="180"/>
        </w:tabs>
        <w:kinsoku w:val="0"/>
        <w:overflowPunct w:val="0"/>
        <w:snapToGrid w:val="0"/>
        <w:spacing w:line="360" w:lineRule="auto"/>
        <w:ind w:right="765"/>
        <w:rPr>
          <w:rFonts w:ascii="Arial" w:hAnsi="Arial" w:cs="Arial"/>
          <w:sz w:val="24"/>
          <w:szCs w:val="24"/>
        </w:rPr>
      </w:pPr>
    </w:p>
    <w:p w14:paraId="30166FB7" w14:textId="77777777" w:rsidR="00DC71E9" w:rsidRDefault="00DC71E9" w:rsidP="005F7DF9">
      <w:pPr>
        <w:pStyle w:val="BodyText"/>
        <w:tabs>
          <w:tab w:val="left" w:pos="180"/>
        </w:tabs>
        <w:kinsoku w:val="0"/>
        <w:overflowPunct w:val="0"/>
        <w:snapToGrid w:val="0"/>
        <w:spacing w:line="360" w:lineRule="auto"/>
        <w:ind w:right="765"/>
        <w:rPr>
          <w:rFonts w:ascii="Arial" w:hAnsi="Arial" w:cs="Arial"/>
          <w:sz w:val="24"/>
          <w:szCs w:val="24"/>
        </w:rPr>
      </w:pPr>
    </w:p>
    <w:p w14:paraId="12F9EFA2" w14:textId="77777777" w:rsidR="00DC71E9" w:rsidRDefault="00DC71E9" w:rsidP="005F7DF9">
      <w:pPr>
        <w:pStyle w:val="BodyText"/>
        <w:tabs>
          <w:tab w:val="left" w:pos="180"/>
        </w:tabs>
        <w:kinsoku w:val="0"/>
        <w:overflowPunct w:val="0"/>
        <w:snapToGrid w:val="0"/>
        <w:spacing w:line="360" w:lineRule="auto"/>
        <w:ind w:right="765"/>
        <w:rPr>
          <w:rFonts w:ascii="Arial" w:hAnsi="Arial" w:cs="Arial"/>
          <w:sz w:val="24"/>
          <w:szCs w:val="24"/>
        </w:rPr>
      </w:pPr>
    </w:p>
    <w:p w14:paraId="309EC956" w14:textId="77777777" w:rsidR="00DC71E9" w:rsidRDefault="00DC71E9" w:rsidP="005F7DF9">
      <w:pPr>
        <w:pStyle w:val="BodyText"/>
        <w:tabs>
          <w:tab w:val="left" w:pos="180"/>
        </w:tabs>
        <w:kinsoku w:val="0"/>
        <w:overflowPunct w:val="0"/>
        <w:snapToGrid w:val="0"/>
        <w:spacing w:line="360" w:lineRule="auto"/>
        <w:ind w:right="765"/>
        <w:rPr>
          <w:rFonts w:ascii="Arial" w:hAnsi="Arial" w:cs="Arial"/>
          <w:sz w:val="24"/>
          <w:szCs w:val="24"/>
        </w:rPr>
      </w:pPr>
    </w:p>
    <w:p w14:paraId="22212178" w14:textId="77777777" w:rsidR="00DC71E9" w:rsidRDefault="00DC71E9" w:rsidP="005F7DF9">
      <w:pPr>
        <w:pStyle w:val="BodyText"/>
        <w:tabs>
          <w:tab w:val="left" w:pos="180"/>
        </w:tabs>
        <w:kinsoku w:val="0"/>
        <w:overflowPunct w:val="0"/>
        <w:snapToGrid w:val="0"/>
        <w:spacing w:line="360" w:lineRule="auto"/>
        <w:ind w:right="765"/>
        <w:rPr>
          <w:rFonts w:ascii="Arial" w:hAnsi="Arial" w:cs="Arial"/>
          <w:sz w:val="24"/>
          <w:szCs w:val="24"/>
        </w:rPr>
      </w:pPr>
    </w:p>
    <w:p w14:paraId="110C5D48" w14:textId="77777777" w:rsidR="0002089A" w:rsidRPr="00A31E5D" w:rsidRDefault="0002089A" w:rsidP="005F7DF9">
      <w:pPr>
        <w:pStyle w:val="BodyText"/>
        <w:tabs>
          <w:tab w:val="left" w:pos="180"/>
        </w:tabs>
        <w:kinsoku w:val="0"/>
        <w:overflowPunct w:val="0"/>
        <w:snapToGrid w:val="0"/>
        <w:spacing w:line="360" w:lineRule="auto"/>
        <w:ind w:right="765"/>
        <w:rPr>
          <w:rFonts w:ascii="Arial" w:hAnsi="Arial" w:cs="Arial"/>
          <w:sz w:val="24"/>
          <w:szCs w:val="24"/>
        </w:rPr>
      </w:pPr>
    </w:p>
    <w:p w14:paraId="268D500C" w14:textId="08DCC8E1" w:rsidR="005E2D0F" w:rsidRPr="00A31E5D" w:rsidRDefault="00FF04F7" w:rsidP="005F7DF9">
      <w:pPr>
        <w:pStyle w:val="BodyText"/>
        <w:tabs>
          <w:tab w:val="left" w:pos="180"/>
        </w:tabs>
        <w:kinsoku w:val="0"/>
        <w:overflowPunct w:val="0"/>
        <w:snapToGrid w:val="0"/>
        <w:spacing w:line="360" w:lineRule="auto"/>
        <w:jc w:val="both"/>
        <w:rPr>
          <w:rFonts w:ascii="Arial" w:hAnsi="Arial" w:cs="Arial"/>
          <w:i/>
          <w:iCs/>
          <w:sz w:val="24"/>
          <w:szCs w:val="24"/>
        </w:rPr>
      </w:pPr>
      <w:r w:rsidRPr="00FF04F7">
        <w:rPr>
          <w:rFonts w:ascii="Arial" w:hAnsi="Arial" w:cs="Arial"/>
          <w:b/>
          <w:bCs/>
          <w:noProof/>
          <w:sz w:val="24"/>
          <w:szCs w:val="24"/>
        </w:rPr>
        <w:lastRenderedPageBreak/>
        <w:drawing>
          <wp:inline distT="0" distB="0" distL="0" distR="0" wp14:anchorId="19131BE9" wp14:editId="74D36E50">
            <wp:extent cx="5943600" cy="1039495"/>
            <wp:effectExtent l="0" t="0" r="0" b="8255"/>
            <wp:docPr id="9592501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25019" name="Picture 1" descr="A white background with black text&#10;&#10;Description automatically generated"/>
                    <pic:cNvPicPr/>
                  </pic:nvPicPr>
                  <pic:blipFill>
                    <a:blip r:embed="rId17"/>
                    <a:stretch>
                      <a:fillRect/>
                    </a:stretch>
                  </pic:blipFill>
                  <pic:spPr>
                    <a:xfrm>
                      <a:off x="0" y="0"/>
                      <a:ext cx="5943600" cy="1039495"/>
                    </a:xfrm>
                    <a:prstGeom prst="rect">
                      <a:avLst/>
                    </a:prstGeom>
                  </pic:spPr>
                </pic:pic>
              </a:graphicData>
            </a:graphic>
          </wp:inline>
        </w:drawing>
      </w:r>
    </w:p>
    <w:p w14:paraId="1880F022" w14:textId="77777777" w:rsidR="00FF04F7" w:rsidRDefault="00FF04F7" w:rsidP="005F7DF9">
      <w:pPr>
        <w:pStyle w:val="BodyText"/>
        <w:tabs>
          <w:tab w:val="left" w:pos="180"/>
        </w:tabs>
        <w:kinsoku w:val="0"/>
        <w:overflowPunct w:val="0"/>
        <w:snapToGrid w:val="0"/>
        <w:spacing w:before="128" w:line="360" w:lineRule="auto"/>
        <w:rPr>
          <w:rFonts w:ascii="Arial" w:hAnsi="Arial" w:cs="Arial"/>
          <w:i/>
          <w:iCs/>
          <w:sz w:val="24"/>
          <w:szCs w:val="24"/>
        </w:rPr>
      </w:pPr>
      <w:r w:rsidRPr="00FF04F7">
        <w:rPr>
          <w:rFonts w:ascii="Arial" w:hAnsi="Arial" w:cs="Arial"/>
          <w:i/>
          <w:iCs/>
          <w:noProof/>
          <w:sz w:val="24"/>
          <w:szCs w:val="24"/>
        </w:rPr>
        <w:drawing>
          <wp:inline distT="0" distB="0" distL="0" distR="0" wp14:anchorId="0FD303BE" wp14:editId="4294683B">
            <wp:extent cx="5943600" cy="6886575"/>
            <wp:effectExtent l="0" t="0" r="0" b="9525"/>
            <wp:docPr id="141708889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088892" name="Picture 1" descr="A screenshot of a computer screen&#10;&#10;Description automatically generated"/>
                    <pic:cNvPicPr/>
                  </pic:nvPicPr>
                  <pic:blipFill>
                    <a:blip r:embed="rId18"/>
                    <a:stretch>
                      <a:fillRect/>
                    </a:stretch>
                  </pic:blipFill>
                  <pic:spPr>
                    <a:xfrm>
                      <a:off x="0" y="0"/>
                      <a:ext cx="5943600" cy="6886575"/>
                    </a:xfrm>
                    <a:prstGeom prst="rect">
                      <a:avLst/>
                    </a:prstGeom>
                  </pic:spPr>
                </pic:pic>
              </a:graphicData>
            </a:graphic>
          </wp:inline>
        </w:drawing>
      </w:r>
      <w:r w:rsidRPr="00FF04F7">
        <w:rPr>
          <w:rFonts w:ascii="Arial" w:hAnsi="Arial" w:cs="Arial"/>
          <w:i/>
          <w:iCs/>
          <w:sz w:val="24"/>
          <w:szCs w:val="24"/>
        </w:rPr>
        <w:t xml:space="preserve"> </w:t>
      </w:r>
    </w:p>
    <w:p w14:paraId="1312271D" w14:textId="77777777" w:rsidR="00FF04F7" w:rsidRDefault="00FF04F7" w:rsidP="005F7DF9">
      <w:pPr>
        <w:pStyle w:val="BodyText"/>
        <w:tabs>
          <w:tab w:val="left" w:pos="180"/>
        </w:tabs>
        <w:kinsoku w:val="0"/>
        <w:overflowPunct w:val="0"/>
        <w:snapToGrid w:val="0"/>
        <w:spacing w:before="128" w:line="360" w:lineRule="auto"/>
        <w:rPr>
          <w:rFonts w:ascii="Arial" w:hAnsi="Arial" w:cs="Arial"/>
          <w:i/>
          <w:iCs/>
          <w:sz w:val="24"/>
          <w:szCs w:val="24"/>
        </w:rPr>
      </w:pPr>
    </w:p>
    <w:p w14:paraId="720C5482" w14:textId="77777777" w:rsidR="00FF04F7" w:rsidRDefault="00FF04F7" w:rsidP="005F7DF9">
      <w:pPr>
        <w:pStyle w:val="BodyText"/>
        <w:tabs>
          <w:tab w:val="left" w:pos="180"/>
        </w:tabs>
        <w:kinsoku w:val="0"/>
        <w:overflowPunct w:val="0"/>
        <w:snapToGrid w:val="0"/>
        <w:spacing w:before="128" w:line="360" w:lineRule="auto"/>
        <w:rPr>
          <w:rFonts w:ascii="Arial" w:hAnsi="Arial" w:cs="Arial"/>
          <w:i/>
          <w:iCs/>
          <w:sz w:val="24"/>
          <w:szCs w:val="24"/>
        </w:rPr>
      </w:pPr>
    </w:p>
    <w:p w14:paraId="17CFE84D" w14:textId="77777777" w:rsidR="00FF04F7" w:rsidRDefault="00FF04F7" w:rsidP="005F7DF9">
      <w:pPr>
        <w:pStyle w:val="BodyText"/>
        <w:tabs>
          <w:tab w:val="left" w:pos="180"/>
        </w:tabs>
        <w:kinsoku w:val="0"/>
        <w:overflowPunct w:val="0"/>
        <w:snapToGrid w:val="0"/>
        <w:spacing w:before="128" w:line="360" w:lineRule="auto"/>
        <w:rPr>
          <w:rFonts w:ascii="Arial" w:hAnsi="Arial" w:cs="Arial"/>
          <w:i/>
          <w:iCs/>
          <w:sz w:val="24"/>
          <w:szCs w:val="24"/>
        </w:rPr>
      </w:pPr>
    </w:p>
    <w:p w14:paraId="5739E47E" w14:textId="407ED8D5" w:rsidR="005E2D0F" w:rsidRPr="00A31E5D" w:rsidRDefault="00FF04F7" w:rsidP="005F7DF9">
      <w:pPr>
        <w:pStyle w:val="BodyText"/>
        <w:tabs>
          <w:tab w:val="left" w:pos="180"/>
        </w:tabs>
        <w:kinsoku w:val="0"/>
        <w:overflowPunct w:val="0"/>
        <w:snapToGrid w:val="0"/>
        <w:spacing w:before="7" w:line="360" w:lineRule="auto"/>
        <w:rPr>
          <w:rFonts w:ascii="Arial" w:hAnsi="Arial" w:cs="Arial"/>
          <w:sz w:val="24"/>
          <w:szCs w:val="24"/>
        </w:rPr>
      </w:pPr>
      <w:r w:rsidRPr="00FF04F7">
        <w:rPr>
          <w:rFonts w:ascii="Arial" w:hAnsi="Arial" w:cs="Arial"/>
          <w:i/>
          <w:iCs/>
          <w:noProof/>
          <w:sz w:val="24"/>
          <w:szCs w:val="24"/>
        </w:rPr>
        <w:lastRenderedPageBreak/>
        <w:drawing>
          <wp:inline distT="0" distB="0" distL="0" distR="0" wp14:anchorId="5D512730" wp14:editId="73D954AE">
            <wp:extent cx="5943600" cy="5636895"/>
            <wp:effectExtent l="0" t="0" r="0" b="1905"/>
            <wp:docPr id="11607178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717862" name="Picture 1" descr="A screenshot of a computer&#10;&#10;Description automatically generated"/>
                    <pic:cNvPicPr/>
                  </pic:nvPicPr>
                  <pic:blipFill>
                    <a:blip r:embed="rId19"/>
                    <a:stretch>
                      <a:fillRect/>
                    </a:stretch>
                  </pic:blipFill>
                  <pic:spPr>
                    <a:xfrm>
                      <a:off x="0" y="0"/>
                      <a:ext cx="5943600" cy="5636895"/>
                    </a:xfrm>
                    <a:prstGeom prst="rect">
                      <a:avLst/>
                    </a:prstGeom>
                  </pic:spPr>
                </pic:pic>
              </a:graphicData>
            </a:graphic>
          </wp:inline>
        </w:drawing>
      </w:r>
    </w:p>
    <w:p w14:paraId="62FF9A07" w14:textId="77777777" w:rsidR="005E2D0F" w:rsidRPr="00A31E5D" w:rsidRDefault="005E2D0F" w:rsidP="005F7DF9">
      <w:pPr>
        <w:pStyle w:val="BodyText"/>
        <w:tabs>
          <w:tab w:val="left" w:pos="180"/>
        </w:tabs>
        <w:kinsoku w:val="0"/>
        <w:overflowPunct w:val="0"/>
        <w:snapToGrid w:val="0"/>
        <w:spacing w:before="7" w:line="360" w:lineRule="auto"/>
        <w:rPr>
          <w:rFonts w:ascii="Arial" w:hAnsi="Arial" w:cs="Arial"/>
          <w:sz w:val="24"/>
          <w:szCs w:val="24"/>
        </w:rPr>
      </w:pPr>
    </w:p>
    <w:p w14:paraId="0CC22C6F" w14:textId="77777777" w:rsidR="00E801C5" w:rsidRPr="00A31E5D" w:rsidRDefault="00E801C5" w:rsidP="005F7DF9">
      <w:pPr>
        <w:pStyle w:val="BodyText"/>
        <w:tabs>
          <w:tab w:val="left" w:pos="180"/>
        </w:tabs>
        <w:kinsoku w:val="0"/>
        <w:overflowPunct w:val="0"/>
        <w:snapToGrid w:val="0"/>
        <w:spacing w:before="7" w:line="360" w:lineRule="auto"/>
        <w:rPr>
          <w:rFonts w:ascii="Arial" w:hAnsi="Arial" w:cs="Arial"/>
          <w:sz w:val="24"/>
          <w:szCs w:val="24"/>
        </w:rPr>
      </w:pPr>
    </w:p>
    <w:p w14:paraId="676956F9" w14:textId="77777777" w:rsidR="005C6A9C" w:rsidRPr="00A31E5D" w:rsidRDefault="005C6A9C" w:rsidP="005F7DF9">
      <w:pPr>
        <w:pStyle w:val="BodyText"/>
        <w:tabs>
          <w:tab w:val="left" w:pos="180"/>
        </w:tabs>
        <w:kinsoku w:val="0"/>
        <w:overflowPunct w:val="0"/>
        <w:snapToGrid w:val="0"/>
        <w:spacing w:before="7" w:line="360" w:lineRule="auto"/>
        <w:rPr>
          <w:rFonts w:ascii="Arial" w:hAnsi="Arial" w:cs="Arial"/>
          <w:sz w:val="24"/>
          <w:szCs w:val="24"/>
        </w:rPr>
      </w:pPr>
    </w:p>
    <w:p w14:paraId="0F30183E" w14:textId="77777777" w:rsidR="005C6A9C" w:rsidRPr="00A31E5D" w:rsidRDefault="005C6A9C" w:rsidP="005F7DF9">
      <w:pPr>
        <w:pStyle w:val="BodyText"/>
        <w:tabs>
          <w:tab w:val="left" w:pos="180"/>
        </w:tabs>
        <w:kinsoku w:val="0"/>
        <w:overflowPunct w:val="0"/>
        <w:snapToGrid w:val="0"/>
        <w:spacing w:before="7" w:line="360" w:lineRule="auto"/>
        <w:rPr>
          <w:rFonts w:ascii="Arial" w:hAnsi="Arial" w:cs="Arial"/>
          <w:sz w:val="24"/>
          <w:szCs w:val="24"/>
        </w:rPr>
      </w:pPr>
    </w:p>
    <w:p w14:paraId="0B10DCFF" w14:textId="77777777" w:rsidR="005C6A9C" w:rsidRPr="00A31E5D" w:rsidRDefault="005C6A9C" w:rsidP="005F7DF9">
      <w:pPr>
        <w:pStyle w:val="BodyText"/>
        <w:tabs>
          <w:tab w:val="left" w:pos="180"/>
        </w:tabs>
        <w:kinsoku w:val="0"/>
        <w:overflowPunct w:val="0"/>
        <w:snapToGrid w:val="0"/>
        <w:spacing w:before="7" w:line="360" w:lineRule="auto"/>
        <w:rPr>
          <w:rFonts w:ascii="Arial" w:hAnsi="Arial" w:cs="Arial"/>
          <w:sz w:val="24"/>
          <w:szCs w:val="24"/>
        </w:rPr>
      </w:pPr>
    </w:p>
    <w:p w14:paraId="524284B7" w14:textId="77777777" w:rsidR="005C6A9C" w:rsidRPr="00A31E5D" w:rsidRDefault="005C6A9C" w:rsidP="005F7DF9">
      <w:pPr>
        <w:pStyle w:val="BodyText"/>
        <w:tabs>
          <w:tab w:val="left" w:pos="180"/>
        </w:tabs>
        <w:kinsoku w:val="0"/>
        <w:overflowPunct w:val="0"/>
        <w:snapToGrid w:val="0"/>
        <w:spacing w:before="7" w:line="360" w:lineRule="auto"/>
        <w:rPr>
          <w:rFonts w:ascii="Arial" w:hAnsi="Arial" w:cs="Arial"/>
          <w:sz w:val="24"/>
          <w:szCs w:val="24"/>
        </w:rPr>
      </w:pPr>
    </w:p>
    <w:p w14:paraId="214D87A5" w14:textId="77777777" w:rsidR="005C6A9C" w:rsidRPr="00A31E5D" w:rsidRDefault="005C6A9C" w:rsidP="005F7DF9">
      <w:pPr>
        <w:pStyle w:val="BodyText"/>
        <w:tabs>
          <w:tab w:val="left" w:pos="180"/>
        </w:tabs>
        <w:kinsoku w:val="0"/>
        <w:overflowPunct w:val="0"/>
        <w:snapToGrid w:val="0"/>
        <w:spacing w:before="7" w:line="360" w:lineRule="auto"/>
        <w:rPr>
          <w:rFonts w:ascii="Arial" w:hAnsi="Arial" w:cs="Arial"/>
          <w:sz w:val="24"/>
          <w:szCs w:val="24"/>
        </w:rPr>
      </w:pPr>
    </w:p>
    <w:p w14:paraId="22508854" w14:textId="77777777" w:rsidR="005C6A9C" w:rsidRPr="00A31E5D" w:rsidRDefault="005C6A9C" w:rsidP="005F7DF9">
      <w:pPr>
        <w:pStyle w:val="BodyText"/>
        <w:tabs>
          <w:tab w:val="left" w:pos="180"/>
        </w:tabs>
        <w:kinsoku w:val="0"/>
        <w:overflowPunct w:val="0"/>
        <w:snapToGrid w:val="0"/>
        <w:spacing w:before="7" w:line="360" w:lineRule="auto"/>
        <w:rPr>
          <w:rFonts w:ascii="Arial" w:hAnsi="Arial" w:cs="Arial"/>
          <w:sz w:val="24"/>
          <w:szCs w:val="24"/>
        </w:rPr>
      </w:pPr>
    </w:p>
    <w:p w14:paraId="14BDEDB6" w14:textId="77777777" w:rsidR="005C6A9C" w:rsidRPr="00A31E5D" w:rsidRDefault="005C6A9C" w:rsidP="005F7DF9">
      <w:pPr>
        <w:pStyle w:val="BodyText"/>
        <w:tabs>
          <w:tab w:val="left" w:pos="180"/>
        </w:tabs>
        <w:kinsoku w:val="0"/>
        <w:overflowPunct w:val="0"/>
        <w:snapToGrid w:val="0"/>
        <w:spacing w:before="7" w:line="360" w:lineRule="auto"/>
        <w:rPr>
          <w:rFonts w:ascii="Arial" w:hAnsi="Arial" w:cs="Arial"/>
          <w:sz w:val="24"/>
          <w:szCs w:val="24"/>
        </w:rPr>
      </w:pPr>
    </w:p>
    <w:p w14:paraId="3DE7A9AC" w14:textId="77777777" w:rsidR="005C6A9C" w:rsidRPr="00A31E5D" w:rsidRDefault="005C6A9C" w:rsidP="005F7DF9">
      <w:pPr>
        <w:pStyle w:val="BodyText"/>
        <w:tabs>
          <w:tab w:val="left" w:pos="180"/>
        </w:tabs>
        <w:kinsoku w:val="0"/>
        <w:overflowPunct w:val="0"/>
        <w:snapToGrid w:val="0"/>
        <w:spacing w:before="7" w:line="360" w:lineRule="auto"/>
        <w:rPr>
          <w:rFonts w:ascii="Arial" w:hAnsi="Arial" w:cs="Arial"/>
          <w:sz w:val="24"/>
          <w:szCs w:val="24"/>
        </w:rPr>
      </w:pPr>
    </w:p>
    <w:p w14:paraId="02C4D9BC" w14:textId="77777777" w:rsidR="005E2D0F" w:rsidRPr="00A31E5D" w:rsidRDefault="005E2D0F" w:rsidP="005F7DF9">
      <w:pPr>
        <w:pStyle w:val="BodyText"/>
        <w:tabs>
          <w:tab w:val="left" w:pos="180"/>
        </w:tabs>
        <w:kinsoku w:val="0"/>
        <w:overflowPunct w:val="0"/>
        <w:snapToGrid w:val="0"/>
        <w:spacing w:line="360" w:lineRule="auto"/>
        <w:rPr>
          <w:rFonts w:ascii="Arial" w:hAnsi="Arial" w:cs="Arial"/>
          <w:b/>
          <w:bCs/>
          <w:sz w:val="24"/>
          <w:szCs w:val="24"/>
        </w:rPr>
      </w:pPr>
      <w:r w:rsidRPr="00A31E5D">
        <w:rPr>
          <w:rFonts w:ascii="Arial" w:hAnsi="Arial" w:cs="Arial"/>
          <w:b/>
          <w:bCs/>
          <w:sz w:val="24"/>
          <w:szCs w:val="24"/>
        </w:rPr>
        <w:lastRenderedPageBreak/>
        <w:t>References</w:t>
      </w:r>
    </w:p>
    <w:p w14:paraId="3C0F0B93" w14:textId="77777777" w:rsidR="00DE3539" w:rsidRPr="00DE3539" w:rsidRDefault="00A947DE" w:rsidP="00DE3539">
      <w:pPr>
        <w:pStyle w:val="Bibliography"/>
        <w:rPr>
          <w:sz w:val="24"/>
        </w:rPr>
      </w:pPr>
      <w:r>
        <w:fldChar w:fldCharType="begin"/>
      </w:r>
      <w:r w:rsidR="00DE3539">
        <w:instrText xml:space="preserve"> ADDIN ZOTERO_BIBL {"uncited":[],"omitted":[],"custom":[]} CSL_BIBLIOGRAPHY </w:instrText>
      </w:r>
      <w:r>
        <w:fldChar w:fldCharType="separate"/>
      </w:r>
      <w:r w:rsidR="00DE3539" w:rsidRPr="00DE3539">
        <w:rPr>
          <w:sz w:val="24"/>
        </w:rPr>
        <w:t xml:space="preserve">Baker, J., Grewal, D. and Parasuraman, A. (1994) ‘The Influence of Store Environment on Quality Inferences and Store Image’, </w:t>
      </w:r>
      <w:r w:rsidR="00DE3539" w:rsidRPr="00DE3539">
        <w:rPr>
          <w:i/>
          <w:iCs/>
          <w:sz w:val="24"/>
        </w:rPr>
        <w:t>Journal of the Academy of Marketing Science</w:t>
      </w:r>
      <w:r w:rsidR="00DE3539" w:rsidRPr="00DE3539">
        <w:rPr>
          <w:sz w:val="24"/>
        </w:rPr>
        <w:t>, 22(4), pp. 328–339. Available at: https://doi.org/10.1177/0092070394224002.</w:t>
      </w:r>
    </w:p>
    <w:p w14:paraId="283BED5B" w14:textId="77777777" w:rsidR="00DE3539" w:rsidRPr="00DE3539" w:rsidRDefault="00DE3539" w:rsidP="00DE3539">
      <w:pPr>
        <w:pStyle w:val="Bibliography"/>
        <w:rPr>
          <w:sz w:val="24"/>
        </w:rPr>
      </w:pPr>
      <w:r w:rsidRPr="00DE3539">
        <w:rPr>
          <w:sz w:val="24"/>
        </w:rPr>
        <w:t xml:space="preserve">Beatty, S.E. and Elizabeth Ferrell, M. (1998) ‘Impulse buying: Modeling its precursors’, </w:t>
      </w:r>
      <w:r w:rsidRPr="00DE3539">
        <w:rPr>
          <w:i/>
          <w:iCs/>
          <w:sz w:val="24"/>
        </w:rPr>
        <w:t>Journal of Retailing</w:t>
      </w:r>
      <w:r w:rsidRPr="00DE3539">
        <w:rPr>
          <w:sz w:val="24"/>
        </w:rPr>
        <w:t>, 74(2), pp. 169–191. Available at: https://doi.org/10.1016/S0022-4359(99)80092-X.</w:t>
      </w:r>
    </w:p>
    <w:p w14:paraId="1E0D8591" w14:textId="77777777" w:rsidR="00DE3539" w:rsidRPr="00DE3539" w:rsidRDefault="00DE3539" w:rsidP="00DE3539">
      <w:pPr>
        <w:pStyle w:val="Bibliography"/>
        <w:rPr>
          <w:sz w:val="24"/>
        </w:rPr>
      </w:pPr>
      <w:r w:rsidRPr="00DE3539">
        <w:rPr>
          <w:sz w:val="24"/>
        </w:rPr>
        <w:t xml:space="preserve">Bell, S.J. (1999) ‘Image and consumer attraction to intraurban retail areas: An environmental psychology approach’, </w:t>
      </w:r>
      <w:r w:rsidRPr="00DE3539">
        <w:rPr>
          <w:i/>
          <w:iCs/>
          <w:sz w:val="24"/>
        </w:rPr>
        <w:t>Journal of Retailing and Consumer Services</w:t>
      </w:r>
      <w:r w:rsidRPr="00DE3539">
        <w:rPr>
          <w:sz w:val="24"/>
        </w:rPr>
        <w:t>, 6(2), pp. 67–78. Available at: https://doi.org/10.1016/S0969-6989(98)00015-0.</w:t>
      </w:r>
    </w:p>
    <w:p w14:paraId="07C9C66C" w14:textId="77777777" w:rsidR="00DE3539" w:rsidRPr="00DE3539" w:rsidRDefault="00DE3539" w:rsidP="00DE3539">
      <w:pPr>
        <w:pStyle w:val="Bibliography"/>
        <w:rPr>
          <w:sz w:val="24"/>
        </w:rPr>
      </w:pPr>
      <w:r w:rsidRPr="00DE3539">
        <w:rPr>
          <w:sz w:val="24"/>
        </w:rPr>
        <w:t xml:space="preserve">Chau, P., Au, G. and Tam, K.Y. (2000) ‘Impact of Information Presentation Modes on Online Shopping: An Empirical Evaluation of a Broadband Interactive Shopping Service’, </w:t>
      </w:r>
      <w:r w:rsidRPr="00DE3539">
        <w:rPr>
          <w:i/>
          <w:iCs/>
          <w:sz w:val="24"/>
        </w:rPr>
        <w:t>Journal of Organizational Computing and Electronic Commerce</w:t>
      </w:r>
      <w:r w:rsidRPr="00DE3539">
        <w:rPr>
          <w:sz w:val="24"/>
        </w:rPr>
        <w:t>, 10(1), pp. 1–20.</w:t>
      </w:r>
    </w:p>
    <w:p w14:paraId="62CDE04B" w14:textId="77777777" w:rsidR="00DE3539" w:rsidRPr="00DE3539" w:rsidRDefault="00DE3539" w:rsidP="00DE3539">
      <w:pPr>
        <w:pStyle w:val="Bibliography"/>
        <w:rPr>
          <w:sz w:val="24"/>
        </w:rPr>
      </w:pPr>
      <w:r w:rsidRPr="00DE3539">
        <w:rPr>
          <w:sz w:val="24"/>
        </w:rPr>
        <w:t xml:space="preserve">Chen, M.-Y. and Teng, C.-I. (2013a) ‘A comprehensive model of the effects of online store image on purchase intention in an e-commerce environment’, </w:t>
      </w:r>
      <w:r w:rsidRPr="00DE3539">
        <w:rPr>
          <w:i/>
          <w:iCs/>
          <w:sz w:val="24"/>
        </w:rPr>
        <w:t>Electronic Commerce Research</w:t>
      </w:r>
      <w:r w:rsidRPr="00DE3539">
        <w:rPr>
          <w:sz w:val="24"/>
        </w:rPr>
        <w:t>, 13(1), pp. 1–23. Available at: https://doi.org/10.1007/s10660-013-9104-5.</w:t>
      </w:r>
    </w:p>
    <w:p w14:paraId="0F228CE4" w14:textId="77777777" w:rsidR="00DE3539" w:rsidRPr="00DE3539" w:rsidRDefault="00DE3539" w:rsidP="00DE3539">
      <w:pPr>
        <w:pStyle w:val="Bibliography"/>
        <w:rPr>
          <w:sz w:val="24"/>
        </w:rPr>
      </w:pPr>
      <w:r w:rsidRPr="00DE3539">
        <w:rPr>
          <w:sz w:val="24"/>
        </w:rPr>
        <w:t xml:space="preserve">Chen, M.-Y. and Teng, C.-I. (2013b) ‘A comprehensive model of the effects of online store image on purchase intention in an e-commerce environment’, </w:t>
      </w:r>
      <w:r w:rsidRPr="00DE3539">
        <w:rPr>
          <w:i/>
          <w:iCs/>
          <w:sz w:val="24"/>
        </w:rPr>
        <w:t>Electronic Commerce Research</w:t>
      </w:r>
      <w:r w:rsidRPr="00DE3539">
        <w:rPr>
          <w:sz w:val="24"/>
        </w:rPr>
        <w:t>, 13(1), pp. 1–23. Available at: https://doi.org/10.1007/s10660-013-9104-5.</w:t>
      </w:r>
    </w:p>
    <w:p w14:paraId="3B83D308" w14:textId="77777777" w:rsidR="00DE3539" w:rsidRPr="00DE3539" w:rsidRDefault="00DE3539" w:rsidP="00DE3539">
      <w:pPr>
        <w:pStyle w:val="Bibliography"/>
        <w:rPr>
          <w:sz w:val="24"/>
        </w:rPr>
      </w:pPr>
      <w:r w:rsidRPr="00DE3539">
        <w:rPr>
          <w:sz w:val="24"/>
        </w:rPr>
        <w:t xml:space="preserve">Cho, N. and Park, S. (2001) ‘Development of electronic commerce user‐consumer satisfaction index (ECUSI) for Internet shopping’, </w:t>
      </w:r>
      <w:r w:rsidRPr="00DE3539">
        <w:rPr>
          <w:i/>
          <w:iCs/>
          <w:sz w:val="24"/>
        </w:rPr>
        <w:t>Industrial Management &amp; Data Systems</w:t>
      </w:r>
      <w:r w:rsidRPr="00DE3539">
        <w:rPr>
          <w:sz w:val="24"/>
        </w:rPr>
        <w:t>, 101(8), pp. 400–406. Available at: https://doi.org/10.1108/EUM0000000006170.</w:t>
      </w:r>
    </w:p>
    <w:p w14:paraId="4B43A954" w14:textId="18891B2A" w:rsidR="00DE3539" w:rsidRPr="00DE3539" w:rsidRDefault="00DE3539" w:rsidP="00DE3539">
      <w:pPr>
        <w:pStyle w:val="Bibliography"/>
        <w:rPr>
          <w:sz w:val="24"/>
        </w:rPr>
      </w:pPr>
      <w:r w:rsidRPr="00DE3539">
        <w:rPr>
          <w:sz w:val="24"/>
        </w:rPr>
        <w:t xml:space="preserve">Churchill, G.A. (1979) ‘A Paradigm for Developing Better Measures of Marketing </w:t>
      </w:r>
      <w:r w:rsidR="00810155">
        <w:rPr>
          <w:sz w:val="24"/>
        </w:rPr>
        <w:t>Factors</w:t>
      </w:r>
      <w:r w:rsidRPr="00DE3539">
        <w:rPr>
          <w:sz w:val="24"/>
        </w:rPr>
        <w:t xml:space="preserve">’, </w:t>
      </w:r>
      <w:r w:rsidRPr="00DE3539">
        <w:rPr>
          <w:i/>
          <w:iCs/>
          <w:sz w:val="24"/>
        </w:rPr>
        <w:t>Journal of Marketing Research</w:t>
      </w:r>
      <w:r w:rsidRPr="00DE3539">
        <w:rPr>
          <w:sz w:val="24"/>
        </w:rPr>
        <w:t>, 16(1), p. 64. Available at: https://doi.org/10.2307/3150876.</w:t>
      </w:r>
    </w:p>
    <w:p w14:paraId="7DC3EA08" w14:textId="77777777" w:rsidR="00DE3539" w:rsidRPr="00DE3539" w:rsidRDefault="00DE3539" w:rsidP="00DE3539">
      <w:pPr>
        <w:pStyle w:val="Bibliography"/>
        <w:rPr>
          <w:sz w:val="24"/>
        </w:rPr>
      </w:pPr>
      <w:r w:rsidRPr="00DE3539">
        <w:rPr>
          <w:sz w:val="24"/>
        </w:rPr>
        <w:t xml:space="preserve">Culnan, M.J. and Armstrong, P.K. (1999) ‘Information Privacy Concerns, Procedural Fairness, and Impersonal Trust: An Empirical Investigation’, </w:t>
      </w:r>
      <w:r w:rsidRPr="00DE3539">
        <w:rPr>
          <w:i/>
          <w:iCs/>
          <w:sz w:val="24"/>
        </w:rPr>
        <w:t>Organization Science</w:t>
      </w:r>
      <w:r w:rsidRPr="00DE3539">
        <w:rPr>
          <w:sz w:val="24"/>
        </w:rPr>
        <w:t>, 10(1), pp. 104–115. Available at: https://doi.org/10.1287/orsc.10.1.104.</w:t>
      </w:r>
    </w:p>
    <w:p w14:paraId="5FF63209" w14:textId="77777777" w:rsidR="00DE3539" w:rsidRPr="00DE3539" w:rsidRDefault="00DE3539" w:rsidP="00DE3539">
      <w:pPr>
        <w:pStyle w:val="Bibliography"/>
        <w:rPr>
          <w:sz w:val="24"/>
        </w:rPr>
      </w:pPr>
      <w:r w:rsidRPr="00DE3539">
        <w:rPr>
          <w:sz w:val="24"/>
        </w:rPr>
        <w:t xml:space="preserve">Davis, F.D. (1989) ‘Perceived Usefulness, Perceived Ease of Use, and User Acceptance of Information Technology’, </w:t>
      </w:r>
      <w:r w:rsidRPr="00DE3539">
        <w:rPr>
          <w:i/>
          <w:iCs/>
          <w:sz w:val="24"/>
        </w:rPr>
        <w:t>MIS Quarterly</w:t>
      </w:r>
      <w:r w:rsidRPr="00DE3539">
        <w:rPr>
          <w:sz w:val="24"/>
        </w:rPr>
        <w:t>, 13(3), p. 319. Available at: https://doi.org/10.2307/249008.</w:t>
      </w:r>
    </w:p>
    <w:p w14:paraId="02EA6A4D" w14:textId="77777777" w:rsidR="00DE3539" w:rsidRPr="00DE3539" w:rsidRDefault="00DE3539" w:rsidP="00DE3539">
      <w:pPr>
        <w:pStyle w:val="Bibliography"/>
        <w:rPr>
          <w:sz w:val="24"/>
        </w:rPr>
      </w:pPr>
      <w:r w:rsidRPr="00DE3539">
        <w:rPr>
          <w:sz w:val="24"/>
        </w:rPr>
        <w:t xml:space="preserve">Dickson, J. and Albaum, G. (1977) ‘A Method for Developing Tailormade Semantic Differentials for Specific Marketing Content Areas’, </w:t>
      </w:r>
      <w:r w:rsidRPr="00DE3539">
        <w:rPr>
          <w:i/>
          <w:iCs/>
          <w:sz w:val="24"/>
        </w:rPr>
        <w:t>Journal of Marketing Research</w:t>
      </w:r>
      <w:r w:rsidRPr="00DE3539">
        <w:rPr>
          <w:sz w:val="24"/>
        </w:rPr>
        <w:t>, 14(1), pp. 87–91. Available at: https://doi.org/10.1177/002224377701400110.</w:t>
      </w:r>
    </w:p>
    <w:p w14:paraId="75FCB614" w14:textId="77777777" w:rsidR="00DE3539" w:rsidRPr="00DE3539" w:rsidRDefault="00DE3539" w:rsidP="00DE3539">
      <w:pPr>
        <w:pStyle w:val="Bibliography"/>
        <w:rPr>
          <w:sz w:val="24"/>
        </w:rPr>
      </w:pPr>
      <w:r w:rsidRPr="00DE3539">
        <w:rPr>
          <w:sz w:val="24"/>
        </w:rPr>
        <w:t xml:space="preserve">Dodds, W.B., Monroe, K.B. and Grewal, D. (1991) ‘Effects of Price, Brand, and Store Information on Buyers’ Product Evaluations’, </w:t>
      </w:r>
      <w:r w:rsidRPr="00DE3539">
        <w:rPr>
          <w:i/>
          <w:iCs/>
          <w:sz w:val="24"/>
        </w:rPr>
        <w:t>Journal of Marketing Research</w:t>
      </w:r>
      <w:r w:rsidRPr="00DE3539">
        <w:rPr>
          <w:sz w:val="24"/>
        </w:rPr>
        <w:t>, 28(3), p. 307. Available at: https://doi.org/10.2307/3172866.</w:t>
      </w:r>
    </w:p>
    <w:p w14:paraId="7AE2209D" w14:textId="77777777" w:rsidR="00DE3539" w:rsidRPr="00DE3539" w:rsidRDefault="00DE3539" w:rsidP="00DE3539">
      <w:pPr>
        <w:pStyle w:val="Bibliography"/>
        <w:rPr>
          <w:sz w:val="24"/>
        </w:rPr>
      </w:pPr>
      <w:r w:rsidRPr="00DE3539">
        <w:rPr>
          <w:sz w:val="24"/>
        </w:rPr>
        <w:t xml:space="preserve">Doney, P.M. and Cannon, J.P. (1997) ‘An Examination of the Nature of Trust in Buyer-Seller Relationships’, </w:t>
      </w:r>
      <w:r w:rsidRPr="00DE3539">
        <w:rPr>
          <w:i/>
          <w:iCs/>
          <w:sz w:val="24"/>
        </w:rPr>
        <w:t>Journal of Marketing</w:t>
      </w:r>
      <w:r w:rsidRPr="00DE3539">
        <w:rPr>
          <w:sz w:val="24"/>
        </w:rPr>
        <w:t>, 61(2), p. 35. Available at: https://doi.org/10.2307/1251829.</w:t>
      </w:r>
    </w:p>
    <w:p w14:paraId="500A27D6" w14:textId="77777777" w:rsidR="00DE3539" w:rsidRPr="00DE3539" w:rsidRDefault="00DE3539" w:rsidP="00DE3539">
      <w:pPr>
        <w:pStyle w:val="Bibliography"/>
        <w:rPr>
          <w:sz w:val="24"/>
        </w:rPr>
      </w:pPr>
      <w:r w:rsidRPr="00DE3539">
        <w:rPr>
          <w:sz w:val="24"/>
        </w:rPr>
        <w:t xml:space="preserve">Donovan, R. (1994) ‘Store atmosphere and purchasing behavior’, </w:t>
      </w:r>
      <w:r w:rsidRPr="00DE3539">
        <w:rPr>
          <w:i/>
          <w:iCs/>
          <w:sz w:val="24"/>
        </w:rPr>
        <w:t>Journal of Retailing</w:t>
      </w:r>
      <w:r w:rsidRPr="00DE3539">
        <w:rPr>
          <w:sz w:val="24"/>
        </w:rPr>
        <w:t>, 70(3), pp. 283–294. Available at: https://doi.org/10.1016/0022-4359(94)90037-X.</w:t>
      </w:r>
    </w:p>
    <w:p w14:paraId="30A71FE0" w14:textId="77777777" w:rsidR="00DE3539" w:rsidRPr="00DE3539" w:rsidRDefault="00DE3539" w:rsidP="00DE3539">
      <w:pPr>
        <w:pStyle w:val="Bibliography"/>
        <w:rPr>
          <w:sz w:val="24"/>
        </w:rPr>
      </w:pPr>
      <w:r w:rsidRPr="00DE3539">
        <w:rPr>
          <w:sz w:val="24"/>
        </w:rPr>
        <w:lastRenderedPageBreak/>
        <w:t xml:space="preserve">Fandos Herrera, C. and Flavián Blanco, C. (2011) ‘Consequences of consumer trust in PDO food products: the role of familiarity’, </w:t>
      </w:r>
      <w:r w:rsidRPr="00DE3539">
        <w:rPr>
          <w:i/>
          <w:iCs/>
          <w:sz w:val="24"/>
        </w:rPr>
        <w:t>Journal of Product &amp; Brand Management</w:t>
      </w:r>
      <w:r w:rsidRPr="00DE3539">
        <w:rPr>
          <w:sz w:val="24"/>
        </w:rPr>
        <w:t>, 20(4), pp. 282–296. Available at: https://doi.org/10.1108/10610421111148306.</w:t>
      </w:r>
    </w:p>
    <w:p w14:paraId="167E93C4" w14:textId="77777777" w:rsidR="00DE3539" w:rsidRPr="00DE3539" w:rsidRDefault="00DE3539" w:rsidP="00DE3539">
      <w:pPr>
        <w:pStyle w:val="Bibliography"/>
        <w:rPr>
          <w:sz w:val="24"/>
        </w:rPr>
      </w:pPr>
      <w:r w:rsidRPr="00DE3539">
        <w:rPr>
          <w:sz w:val="24"/>
        </w:rPr>
        <w:t xml:space="preserve">George, D. and Mallery, P. (2003) </w:t>
      </w:r>
      <w:r w:rsidRPr="00DE3539">
        <w:rPr>
          <w:i/>
          <w:iCs/>
          <w:sz w:val="24"/>
        </w:rPr>
        <w:t>SPSS for Windows step by step: a simple guide and reference, 11.0 update</w:t>
      </w:r>
      <w:r w:rsidRPr="00DE3539">
        <w:rPr>
          <w:sz w:val="24"/>
        </w:rPr>
        <w:t>. 4th ed. Boston: Allyn and Bacon.</w:t>
      </w:r>
    </w:p>
    <w:p w14:paraId="10F7934F" w14:textId="77777777" w:rsidR="00DE3539" w:rsidRPr="00DE3539" w:rsidRDefault="00DE3539" w:rsidP="00DE3539">
      <w:pPr>
        <w:pStyle w:val="Bibliography"/>
        <w:rPr>
          <w:sz w:val="24"/>
        </w:rPr>
      </w:pPr>
      <w:r w:rsidRPr="00DE3539">
        <w:rPr>
          <w:sz w:val="24"/>
        </w:rPr>
        <w:t xml:space="preserve">Grewal, D. </w:t>
      </w:r>
      <w:r w:rsidRPr="00DE3539">
        <w:rPr>
          <w:i/>
          <w:iCs/>
          <w:sz w:val="24"/>
        </w:rPr>
        <w:t>et al.</w:t>
      </w:r>
      <w:r w:rsidRPr="00DE3539">
        <w:rPr>
          <w:sz w:val="24"/>
        </w:rPr>
        <w:t xml:space="preserve"> (1998) ‘The effect of store name, brand name and price discounts on consumers’ evaluations and purchase intentions’, </w:t>
      </w:r>
      <w:r w:rsidRPr="00DE3539">
        <w:rPr>
          <w:i/>
          <w:iCs/>
          <w:sz w:val="24"/>
        </w:rPr>
        <w:t>Journal of Retailing</w:t>
      </w:r>
      <w:r w:rsidRPr="00DE3539">
        <w:rPr>
          <w:sz w:val="24"/>
        </w:rPr>
        <w:t>, 74(3), pp. 331–352. Available at: https://doi.org/10.1016/S0022-4359(99)80099-2.</w:t>
      </w:r>
    </w:p>
    <w:p w14:paraId="04DAEDA8" w14:textId="77777777" w:rsidR="00DE3539" w:rsidRPr="00DE3539" w:rsidRDefault="00DE3539" w:rsidP="00DE3539">
      <w:pPr>
        <w:pStyle w:val="Bibliography"/>
        <w:rPr>
          <w:sz w:val="24"/>
        </w:rPr>
      </w:pPr>
      <w:r w:rsidRPr="00DE3539">
        <w:rPr>
          <w:sz w:val="24"/>
        </w:rPr>
        <w:t xml:space="preserve">Ha, S. and Stoel, L. (2009) ‘Consumer e-shopping acceptance: Antecedents in a technology acceptance model’, </w:t>
      </w:r>
      <w:r w:rsidRPr="00DE3539">
        <w:rPr>
          <w:i/>
          <w:iCs/>
          <w:sz w:val="24"/>
        </w:rPr>
        <w:t>Journal of Business Research</w:t>
      </w:r>
      <w:r w:rsidRPr="00DE3539">
        <w:rPr>
          <w:sz w:val="24"/>
        </w:rPr>
        <w:t>, 62(5), pp. 565–571. Available at: https://doi.org/10.1016/j.jbusres.2008.06.016.</w:t>
      </w:r>
    </w:p>
    <w:p w14:paraId="5C6FB158" w14:textId="77777777" w:rsidR="00DE3539" w:rsidRPr="00DE3539" w:rsidRDefault="00DE3539" w:rsidP="00DE3539">
      <w:pPr>
        <w:pStyle w:val="Bibliography"/>
        <w:rPr>
          <w:sz w:val="24"/>
        </w:rPr>
      </w:pPr>
      <w:r w:rsidRPr="00DE3539">
        <w:rPr>
          <w:sz w:val="24"/>
        </w:rPr>
        <w:t xml:space="preserve">Hirschman, E.C., Greenberg, B. and Robertson, D.H. (1978) ‘The intermarket reliability of retail image research: an empirical examination’, </w:t>
      </w:r>
      <w:r w:rsidRPr="00DE3539">
        <w:rPr>
          <w:i/>
          <w:iCs/>
          <w:sz w:val="24"/>
        </w:rPr>
        <w:t>Journal of Retailing</w:t>
      </w:r>
      <w:r w:rsidRPr="00DE3539">
        <w:rPr>
          <w:sz w:val="24"/>
        </w:rPr>
        <w:t>, 54(1), pp. 3-12.</w:t>
      </w:r>
    </w:p>
    <w:p w14:paraId="43F35FF3" w14:textId="77777777" w:rsidR="00DE3539" w:rsidRPr="00DE3539" w:rsidRDefault="00DE3539" w:rsidP="00DE3539">
      <w:pPr>
        <w:pStyle w:val="Bibliography"/>
        <w:rPr>
          <w:sz w:val="24"/>
        </w:rPr>
      </w:pPr>
      <w:r w:rsidRPr="00DE3539">
        <w:rPr>
          <w:sz w:val="24"/>
        </w:rPr>
        <w:t xml:space="preserve">Hoffman, D.L., Novak, T.P. and Peralta, M. (1999) ‘Building consumer trust online’, </w:t>
      </w:r>
      <w:r w:rsidRPr="00DE3539">
        <w:rPr>
          <w:i/>
          <w:iCs/>
          <w:sz w:val="24"/>
        </w:rPr>
        <w:t>Communications of the ACM</w:t>
      </w:r>
      <w:r w:rsidRPr="00DE3539">
        <w:rPr>
          <w:sz w:val="24"/>
        </w:rPr>
        <w:t>, 42(4), pp. 80–85. Available at: https://doi.org/10.1145/299157.299175.</w:t>
      </w:r>
    </w:p>
    <w:p w14:paraId="6AB4C517" w14:textId="77777777" w:rsidR="00DE3539" w:rsidRPr="00DE3539" w:rsidRDefault="00DE3539" w:rsidP="00DE3539">
      <w:pPr>
        <w:pStyle w:val="Bibliography"/>
        <w:rPr>
          <w:sz w:val="24"/>
        </w:rPr>
      </w:pPr>
      <w:r w:rsidRPr="00DE3539">
        <w:rPr>
          <w:sz w:val="24"/>
        </w:rPr>
        <w:t xml:space="preserve">Houston, M.J. and Nevin, J.R. (1981) ‘RETAIL SHOPPING AREA IMAGE: STRUCTURE AND CONGRUENCY BETWEEN DOWNTOWN AREAS AND SHOPPING CENTERS.’, </w:t>
      </w:r>
      <w:r w:rsidRPr="00DE3539">
        <w:rPr>
          <w:i/>
          <w:iCs/>
          <w:sz w:val="24"/>
        </w:rPr>
        <w:t>Advances in Consumer Research</w:t>
      </w:r>
      <w:r w:rsidRPr="00DE3539">
        <w:rPr>
          <w:sz w:val="24"/>
        </w:rPr>
        <w:t>, 8(1), p. 667.</w:t>
      </w:r>
    </w:p>
    <w:p w14:paraId="33F9FF10" w14:textId="77777777" w:rsidR="00DE3539" w:rsidRPr="00DE3539" w:rsidRDefault="00DE3539" w:rsidP="00DE3539">
      <w:pPr>
        <w:pStyle w:val="Bibliography"/>
        <w:rPr>
          <w:sz w:val="24"/>
        </w:rPr>
      </w:pPr>
      <w:r w:rsidRPr="00DE3539">
        <w:rPr>
          <w:sz w:val="24"/>
        </w:rPr>
        <w:t xml:space="preserve">Huizingh, E.K.R.E. (2000) ‘The content and design of web sites: an empirical study’, </w:t>
      </w:r>
      <w:r w:rsidRPr="00DE3539">
        <w:rPr>
          <w:i/>
          <w:iCs/>
          <w:sz w:val="24"/>
        </w:rPr>
        <w:t>Information &amp; Management</w:t>
      </w:r>
      <w:r w:rsidRPr="00DE3539">
        <w:rPr>
          <w:sz w:val="24"/>
        </w:rPr>
        <w:t>, 37(3), pp. 123–134. Available at: https://doi.org/10.1016/S0378-7206(99)00044-0.</w:t>
      </w:r>
    </w:p>
    <w:p w14:paraId="18BADE62" w14:textId="77777777" w:rsidR="00DE3539" w:rsidRPr="00DE3539" w:rsidRDefault="00DE3539" w:rsidP="00DE3539">
      <w:pPr>
        <w:pStyle w:val="Bibliography"/>
        <w:rPr>
          <w:sz w:val="24"/>
        </w:rPr>
      </w:pPr>
      <w:r w:rsidRPr="00DE3539">
        <w:rPr>
          <w:sz w:val="24"/>
        </w:rPr>
        <w:t xml:space="preserve">Jarvenpaa, S.L., Tractinsky, N. and Vitale, M. (2000) ‘Consumer trust in an internet store’, </w:t>
      </w:r>
      <w:r w:rsidRPr="00DE3539">
        <w:rPr>
          <w:i/>
          <w:iCs/>
          <w:sz w:val="24"/>
        </w:rPr>
        <w:t>INFORMATION TECHNOLOGY AND MANAGEMENT</w:t>
      </w:r>
      <w:r w:rsidRPr="00DE3539">
        <w:rPr>
          <w:sz w:val="24"/>
        </w:rPr>
        <w:t>, 1(1/2), pp. 45–71. Available at: https://doi.org/10.1023/A:1019104520776.</w:t>
      </w:r>
    </w:p>
    <w:p w14:paraId="53F219B6" w14:textId="77777777" w:rsidR="00DE3539" w:rsidRPr="00DE3539" w:rsidRDefault="00DE3539" w:rsidP="00DE3539">
      <w:pPr>
        <w:pStyle w:val="Bibliography"/>
        <w:rPr>
          <w:sz w:val="24"/>
        </w:rPr>
      </w:pPr>
      <w:r w:rsidRPr="00DE3539">
        <w:rPr>
          <w:sz w:val="24"/>
        </w:rPr>
        <w:t xml:space="preserve">Kelly, R.F. and Stephenson, R. (1967) ‘The Semantic Differential: An Information Source for Designing Retail Patronage Appeals’, </w:t>
      </w:r>
      <w:r w:rsidRPr="00DE3539">
        <w:rPr>
          <w:i/>
          <w:iCs/>
          <w:sz w:val="24"/>
        </w:rPr>
        <w:t>Journal of Marketing</w:t>
      </w:r>
      <w:r w:rsidRPr="00DE3539">
        <w:rPr>
          <w:sz w:val="24"/>
        </w:rPr>
        <w:t>, 31(4), pp. 43–47. Available at: https://doi.org/10.1177/002224296703100409.</w:t>
      </w:r>
    </w:p>
    <w:p w14:paraId="09D1393B" w14:textId="77777777" w:rsidR="00DE3539" w:rsidRPr="00DE3539" w:rsidRDefault="00DE3539" w:rsidP="00DE3539">
      <w:pPr>
        <w:pStyle w:val="Bibliography"/>
        <w:rPr>
          <w:sz w:val="24"/>
        </w:rPr>
      </w:pPr>
      <w:r w:rsidRPr="00DE3539">
        <w:rPr>
          <w:sz w:val="24"/>
        </w:rPr>
        <w:t xml:space="preserve">Korgaonkar, P.K. and Bellenger, D.N. (1980) ‘Profiling the recreational shopper’, </w:t>
      </w:r>
      <w:r w:rsidRPr="00DE3539">
        <w:rPr>
          <w:i/>
          <w:iCs/>
          <w:sz w:val="24"/>
        </w:rPr>
        <w:t>Journal of retailing</w:t>
      </w:r>
      <w:r w:rsidRPr="00DE3539">
        <w:rPr>
          <w:sz w:val="24"/>
        </w:rPr>
        <w:t>, 56, pp. 77–91.</w:t>
      </w:r>
    </w:p>
    <w:p w14:paraId="3A8D454E" w14:textId="77777777" w:rsidR="00DE3539" w:rsidRPr="00DE3539" w:rsidRDefault="00DE3539" w:rsidP="00DE3539">
      <w:pPr>
        <w:pStyle w:val="Bibliography"/>
        <w:rPr>
          <w:sz w:val="24"/>
        </w:rPr>
      </w:pPr>
      <w:r w:rsidRPr="00DE3539">
        <w:rPr>
          <w:sz w:val="24"/>
        </w:rPr>
        <w:t xml:space="preserve">LE, H.B.H. </w:t>
      </w:r>
      <w:r w:rsidRPr="00DE3539">
        <w:rPr>
          <w:i/>
          <w:iCs/>
          <w:sz w:val="24"/>
        </w:rPr>
        <w:t>et al.</w:t>
      </w:r>
      <w:r w:rsidRPr="00DE3539">
        <w:rPr>
          <w:sz w:val="24"/>
        </w:rPr>
        <w:t xml:space="preserve"> (2020) ‘Factor Affecting Customers’ Decision to Use Mobile Banking Service: A Case of Thanh Hoa Province, Vietnam’, </w:t>
      </w:r>
      <w:r w:rsidRPr="00DE3539">
        <w:rPr>
          <w:i/>
          <w:iCs/>
          <w:sz w:val="24"/>
        </w:rPr>
        <w:t>The Journal of Asian Finance, Economics and Business</w:t>
      </w:r>
      <w:r w:rsidRPr="00DE3539">
        <w:rPr>
          <w:sz w:val="24"/>
        </w:rPr>
        <w:t>, 7(2), pp. 205–212. Available at: https://doi.org/10.13106/JAFEB.2020.VOL7.NO2.205.</w:t>
      </w:r>
    </w:p>
    <w:p w14:paraId="58A89601" w14:textId="77777777" w:rsidR="00DE3539" w:rsidRPr="00DE3539" w:rsidRDefault="00DE3539" w:rsidP="00DE3539">
      <w:pPr>
        <w:pStyle w:val="Bibliography"/>
        <w:rPr>
          <w:sz w:val="24"/>
        </w:rPr>
      </w:pPr>
      <w:r w:rsidRPr="00DE3539">
        <w:rPr>
          <w:sz w:val="24"/>
        </w:rPr>
        <w:t xml:space="preserve">Lederer, A.L. </w:t>
      </w:r>
      <w:r w:rsidRPr="00DE3539">
        <w:rPr>
          <w:i/>
          <w:iCs/>
          <w:sz w:val="24"/>
        </w:rPr>
        <w:t>et al.</w:t>
      </w:r>
      <w:r w:rsidRPr="00DE3539">
        <w:rPr>
          <w:sz w:val="24"/>
        </w:rPr>
        <w:t xml:space="preserve"> (2000) ‘The technology acceptance model and the World Wide Web’, </w:t>
      </w:r>
      <w:r w:rsidRPr="00DE3539">
        <w:rPr>
          <w:i/>
          <w:iCs/>
          <w:sz w:val="24"/>
        </w:rPr>
        <w:t>Decision Support Systems</w:t>
      </w:r>
      <w:r w:rsidRPr="00DE3539">
        <w:rPr>
          <w:sz w:val="24"/>
        </w:rPr>
        <w:t>, 29(3), pp. 269–282. Available at: https://doi.org/10.1016/S0167-9236(00)00076-2.</w:t>
      </w:r>
    </w:p>
    <w:p w14:paraId="568F87F1" w14:textId="77777777" w:rsidR="00DE3539" w:rsidRPr="00DE3539" w:rsidRDefault="00DE3539" w:rsidP="00DE3539">
      <w:pPr>
        <w:pStyle w:val="Bibliography"/>
        <w:rPr>
          <w:sz w:val="24"/>
        </w:rPr>
      </w:pPr>
      <w:r w:rsidRPr="00DE3539">
        <w:rPr>
          <w:sz w:val="24"/>
        </w:rPr>
        <w:t xml:space="preserve">Liao, Z. and Shi, X. (2009) ‘Consumer perceptions of internet‐based e‐retailing: an empirical research in Hong Kong’, </w:t>
      </w:r>
      <w:r w:rsidRPr="00DE3539">
        <w:rPr>
          <w:i/>
          <w:iCs/>
          <w:sz w:val="24"/>
        </w:rPr>
        <w:t>Journal of Services Marketing</w:t>
      </w:r>
      <w:r w:rsidRPr="00DE3539">
        <w:rPr>
          <w:sz w:val="24"/>
        </w:rPr>
        <w:t>, 23(1), pp. 24–30. Available at: https://doi.org/10.1108/08876040910933066.</w:t>
      </w:r>
    </w:p>
    <w:p w14:paraId="5B5F11C0" w14:textId="77777777" w:rsidR="00DE3539" w:rsidRPr="00DE3539" w:rsidRDefault="00DE3539" w:rsidP="00DE3539">
      <w:pPr>
        <w:pStyle w:val="Bibliography"/>
        <w:rPr>
          <w:sz w:val="24"/>
        </w:rPr>
      </w:pPr>
      <w:r w:rsidRPr="00DE3539">
        <w:rPr>
          <w:sz w:val="24"/>
        </w:rPr>
        <w:lastRenderedPageBreak/>
        <w:t xml:space="preserve">Lindquist, J.D. (1974) ‘Meaning of Image: Survey of Empirical and Hypothetical Evidence’, </w:t>
      </w:r>
      <w:r w:rsidRPr="00DE3539">
        <w:rPr>
          <w:i/>
          <w:iCs/>
          <w:sz w:val="24"/>
        </w:rPr>
        <w:t>Journal of Retailing</w:t>
      </w:r>
      <w:r w:rsidRPr="00DE3539">
        <w:rPr>
          <w:sz w:val="24"/>
        </w:rPr>
        <w:t>, 50(4), pp. 29–38.</w:t>
      </w:r>
    </w:p>
    <w:p w14:paraId="6938CD7C" w14:textId="77777777" w:rsidR="00DE3539" w:rsidRPr="00DE3539" w:rsidRDefault="00DE3539" w:rsidP="00DE3539">
      <w:pPr>
        <w:pStyle w:val="Bibliography"/>
        <w:rPr>
          <w:sz w:val="24"/>
        </w:rPr>
      </w:pPr>
      <w:r w:rsidRPr="00DE3539">
        <w:rPr>
          <w:sz w:val="24"/>
        </w:rPr>
        <w:t xml:space="preserve">Liu, C. and Arnett, K.P. (2000) ‘Exploring the factors associated with Web site success in the context of electronic commerce’, </w:t>
      </w:r>
      <w:r w:rsidRPr="00DE3539">
        <w:rPr>
          <w:i/>
          <w:iCs/>
          <w:sz w:val="24"/>
        </w:rPr>
        <w:t>Information &amp; Management</w:t>
      </w:r>
      <w:r w:rsidRPr="00DE3539">
        <w:rPr>
          <w:sz w:val="24"/>
        </w:rPr>
        <w:t>, 38(1), pp. 23–33. Available at: https://doi.org/10.1016/S0378-7206(00)00049-5.</w:t>
      </w:r>
    </w:p>
    <w:p w14:paraId="43300CFA" w14:textId="77777777" w:rsidR="00DE3539" w:rsidRPr="00DE3539" w:rsidRDefault="00DE3539" w:rsidP="00DE3539">
      <w:pPr>
        <w:pStyle w:val="Bibliography"/>
        <w:rPr>
          <w:sz w:val="24"/>
        </w:rPr>
      </w:pPr>
      <w:r w:rsidRPr="00DE3539">
        <w:rPr>
          <w:sz w:val="24"/>
        </w:rPr>
        <w:t xml:space="preserve">Luhmann, N. (2000) ‘Familiarity, Confidence, Trust: Problems and Alternatives’, </w:t>
      </w:r>
      <w:r w:rsidRPr="00DE3539">
        <w:rPr>
          <w:i/>
          <w:iCs/>
          <w:sz w:val="24"/>
        </w:rPr>
        <w:t>Department of Sociology, University of Oxford</w:t>
      </w:r>
      <w:r w:rsidRPr="00DE3539">
        <w:rPr>
          <w:sz w:val="24"/>
        </w:rPr>
        <w:t>, Chapter 6, pp. 94–107.</w:t>
      </w:r>
    </w:p>
    <w:p w14:paraId="256EA11F" w14:textId="77777777" w:rsidR="00DE3539" w:rsidRPr="00DE3539" w:rsidRDefault="00DE3539" w:rsidP="00DE3539">
      <w:pPr>
        <w:pStyle w:val="Bibliography"/>
        <w:rPr>
          <w:sz w:val="24"/>
        </w:rPr>
      </w:pPr>
      <w:r w:rsidRPr="00DE3539">
        <w:rPr>
          <w:sz w:val="24"/>
        </w:rPr>
        <w:t xml:space="preserve">Martineau, P. (1958) ‘The personality of the retail store’, </w:t>
      </w:r>
      <w:r w:rsidRPr="00DE3539">
        <w:rPr>
          <w:i/>
          <w:iCs/>
          <w:sz w:val="24"/>
        </w:rPr>
        <w:t>Harvard Business Review</w:t>
      </w:r>
      <w:r w:rsidRPr="00DE3539">
        <w:rPr>
          <w:sz w:val="24"/>
        </w:rPr>
        <w:t>, 36(1), pp. 47–55.</w:t>
      </w:r>
    </w:p>
    <w:p w14:paraId="2027F4FC" w14:textId="77777777" w:rsidR="00DE3539" w:rsidRPr="00DE3539" w:rsidRDefault="00DE3539" w:rsidP="00DE3539">
      <w:pPr>
        <w:pStyle w:val="Bibliography"/>
        <w:rPr>
          <w:sz w:val="24"/>
        </w:rPr>
      </w:pPr>
      <w:r w:rsidRPr="00DE3539">
        <w:rPr>
          <w:sz w:val="24"/>
        </w:rPr>
        <w:t xml:space="preserve">Mohan, G., Sivakumaran, B. and Sharma, P. (2013) ‘Impact of store environment on impulse buying behavior’, </w:t>
      </w:r>
      <w:r w:rsidRPr="00DE3539">
        <w:rPr>
          <w:i/>
          <w:iCs/>
          <w:sz w:val="24"/>
        </w:rPr>
        <w:t>European Journal of Marketing</w:t>
      </w:r>
      <w:r w:rsidRPr="00DE3539">
        <w:rPr>
          <w:sz w:val="24"/>
        </w:rPr>
        <w:t>, 47(10), pp. 1711–1732. Available at: https://doi.org/10.1108/EJM-03-2011-0110.</w:t>
      </w:r>
    </w:p>
    <w:p w14:paraId="37EE2F67" w14:textId="77777777" w:rsidR="00DE3539" w:rsidRPr="00DE3539" w:rsidRDefault="00DE3539" w:rsidP="00DE3539">
      <w:pPr>
        <w:pStyle w:val="Bibliography"/>
        <w:rPr>
          <w:sz w:val="24"/>
        </w:rPr>
      </w:pPr>
      <w:r w:rsidRPr="00DE3539">
        <w:rPr>
          <w:sz w:val="24"/>
        </w:rPr>
        <w:t xml:space="preserve">NGUYEN, O.T. (2020) ‘Factors Affecting the Intention to Use Digital Banking in Vietnam’, </w:t>
      </w:r>
      <w:r w:rsidRPr="00DE3539">
        <w:rPr>
          <w:i/>
          <w:iCs/>
          <w:sz w:val="24"/>
        </w:rPr>
        <w:t>The Journal of Asian Finance, Economics and Business</w:t>
      </w:r>
      <w:r w:rsidRPr="00DE3539">
        <w:rPr>
          <w:sz w:val="24"/>
        </w:rPr>
        <w:t>, 7(3), pp. 303–310. Available at: https://doi.org/10.13106/JAFEB.2020.VOL7.NO3.303.</w:t>
      </w:r>
    </w:p>
    <w:p w14:paraId="479D63AD" w14:textId="77777777" w:rsidR="00DE3539" w:rsidRPr="00DE3539" w:rsidRDefault="00DE3539" w:rsidP="00DE3539">
      <w:pPr>
        <w:pStyle w:val="Bibliography"/>
        <w:rPr>
          <w:sz w:val="24"/>
        </w:rPr>
      </w:pPr>
      <w:r w:rsidRPr="00DE3539">
        <w:rPr>
          <w:sz w:val="24"/>
        </w:rPr>
        <w:t xml:space="preserve">Poiesz, T.B.C. (1989) ‘The image concept: Its place in consumer psychology’, </w:t>
      </w:r>
      <w:r w:rsidRPr="00DE3539">
        <w:rPr>
          <w:i/>
          <w:iCs/>
          <w:sz w:val="24"/>
        </w:rPr>
        <w:t>Journal of Economic Psychology</w:t>
      </w:r>
      <w:r w:rsidRPr="00DE3539">
        <w:rPr>
          <w:sz w:val="24"/>
        </w:rPr>
        <w:t>, 10(4), pp. 457–472. Available at: https://doi.org/10.1016/0167-4870(89)90038-X.</w:t>
      </w:r>
    </w:p>
    <w:p w14:paraId="7C05B4D8" w14:textId="77777777" w:rsidR="00DE3539" w:rsidRPr="00DE3539" w:rsidRDefault="00DE3539" w:rsidP="00DE3539">
      <w:pPr>
        <w:pStyle w:val="Bibliography"/>
        <w:rPr>
          <w:sz w:val="24"/>
        </w:rPr>
      </w:pPr>
      <w:r w:rsidRPr="00DE3539">
        <w:rPr>
          <w:sz w:val="24"/>
        </w:rPr>
        <w:t xml:space="preserve">Ranganathan, C. and Grandon, E. (2002) ‘An Exploratory Examination of Factors Affecting Online Sales’, </w:t>
      </w:r>
      <w:r w:rsidRPr="00DE3539">
        <w:rPr>
          <w:i/>
          <w:iCs/>
          <w:sz w:val="24"/>
        </w:rPr>
        <w:t>Journal of Computer Information Systems</w:t>
      </w:r>
      <w:r w:rsidRPr="00DE3539">
        <w:rPr>
          <w:sz w:val="24"/>
        </w:rPr>
        <w:t>, 42(3), pp. 87–93. Available at: https://doi.org/10.1080/08874417.2002.11647507.</w:t>
      </w:r>
    </w:p>
    <w:p w14:paraId="01F7A9E0" w14:textId="77777777" w:rsidR="00DE3539" w:rsidRPr="00DE3539" w:rsidRDefault="00DE3539" w:rsidP="00DE3539">
      <w:pPr>
        <w:pStyle w:val="Bibliography"/>
        <w:rPr>
          <w:sz w:val="24"/>
        </w:rPr>
      </w:pPr>
      <w:r w:rsidRPr="00DE3539">
        <w:rPr>
          <w:sz w:val="24"/>
        </w:rPr>
        <w:t xml:space="preserve">Sarika, K. </w:t>
      </w:r>
      <w:r w:rsidRPr="00DE3539">
        <w:rPr>
          <w:i/>
          <w:iCs/>
          <w:sz w:val="24"/>
        </w:rPr>
        <w:t>et al.</w:t>
      </w:r>
      <w:r w:rsidRPr="00DE3539">
        <w:rPr>
          <w:sz w:val="24"/>
        </w:rPr>
        <w:t xml:space="preserve"> (2016) ‘A Study of Adoption Behavior for Online Shopping: An Extension of Tam Model’.</w:t>
      </w:r>
    </w:p>
    <w:p w14:paraId="153C9CF7" w14:textId="77777777" w:rsidR="00DE3539" w:rsidRPr="00DE3539" w:rsidRDefault="00DE3539" w:rsidP="00DE3539">
      <w:pPr>
        <w:pStyle w:val="Bibliography"/>
        <w:rPr>
          <w:sz w:val="24"/>
        </w:rPr>
      </w:pPr>
      <w:r w:rsidRPr="00DE3539">
        <w:rPr>
          <w:sz w:val="24"/>
        </w:rPr>
        <w:t xml:space="preserve">Shannon, R. and Mandhachitara, R. (2008) ‘Causal path modeling of grocery shopping in hypermarkets’, </w:t>
      </w:r>
      <w:r w:rsidRPr="00DE3539">
        <w:rPr>
          <w:i/>
          <w:iCs/>
          <w:sz w:val="24"/>
        </w:rPr>
        <w:t>Journal of Product &amp; Brand Management</w:t>
      </w:r>
      <w:r w:rsidRPr="00DE3539">
        <w:rPr>
          <w:sz w:val="24"/>
        </w:rPr>
        <w:t>, 17(5), pp. 327–340. Available at: https://doi.org/10.1108/10610420810896086.</w:t>
      </w:r>
    </w:p>
    <w:p w14:paraId="515E781D" w14:textId="77777777" w:rsidR="00DE3539" w:rsidRPr="00DE3539" w:rsidRDefault="00DE3539" w:rsidP="00DE3539">
      <w:pPr>
        <w:pStyle w:val="Bibliography"/>
        <w:rPr>
          <w:sz w:val="24"/>
        </w:rPr>
      </w:pPr>
      <w:r w:rsidRPr="00DE3539">
        <w:rPr>
          <w:sz w:val="24"/>
        </w:rPr>
        <w:t xml:space="preserve">Spence, M. (1973) ‘Job Market Signaling’, </w:t>
      </w:r>
      <w:r w:rsidRPr="00DE3539">
        <w:rPr>
          <w:i/>
          <w:iCs/>
          <w:sz w:val="24"/>
        </w:rPr>
        <w:t>The Quarterly Journal of Economics</w:t>
      </w:r>
      <w:r w:rsidRPr="00DE3539">
        <w:rPr>
          <w:sz w:val="24"/>
        </w:rPr>
        <w:t>, 87(3), p. 355. Available at: https://doi.org/10.2307/1882010.</w:t>
      </w:r>
    </w:p>
    <w:p w14:paraId="3032CCD9" w14:textId="77777777" w:rsidR="00DE3539" w:rsidRDefault="00DE3539" w:rsidP="00DE3539">
      <w:pPr>
        <w:pStyle w:val="Bibliography"/>
        <w:rPr>
          <w:sz w:val="24"/>
        </w:rPr>
      </w:pPr>
      <w:r w:rsidRPr="00DE3539">
        <w:rPr>
          <w:sz w:val="24"/>
        </w:rPr>
        <w:t xml:space="preserve">Sweeney, J.C., Soutar, G.N. and Johnson, L.W. (1999) ‘The role of perceived risk in the quality-value relationship: A study in a retail environment’, </w:t>
      </w:r>
      <w:r w:rsidRPr="00DE3539">
        <w:rPr>
          <w:i/>
          <w:iCs/>
          <w:sz w:val="24"/>
        </w:rPr>
        <w:t>Journal of Retailing</w:t>
      </w:r>
      <w:r w:rsidRPr="00DE3539">
        <w:rPr>
          <w:sz w:val="24"/>
        </w:rPr>
        <w:t>, 75(1), pp. 77–105. Available at: https://doi.org/10.1016/S0022-4359(99)80005-0.</w:t>
      </w:r>
    </w:p>
    <w:p w14:paraId="04C0F6F4" w14:textId="77777777" w:rsidR="00414E68" w:rsidRPr="00DE3539" w:rsidRDefault="00414E68" w:rsidP="00414E68">
      <w:pPr>
        <w:pStyle w:val="Bibliography"/>
        <w:rPr>
          <w:sz w:val="24"/>
        </w:rPr>
      </w:pPr>
      <w:r>
        <w:rPr>
          <w:rFonts w:hint="eastAsia"/>
          <w:sz w:val="24"/>
          <w:lang w:eastAsia="zh-TW"/>
        </w:rPr>
        <w:t>V</w:t>
      </w:r>
      <w:r w:rsidRPr="00DE3539">
        <w:rPr>
          <w:sz w:val="24"/>
        </w:rPr>
        <w:t xml:space="preserve">an der Heijden, H. and Verhagen, T. (2004) ‘Online store image: conceptual foundations and empirical measurement’, </w:t>
      </w:r>
      <w:r w:rsidRPr="00DE3539">
        <w:rPr>
          <w:i/>
          <w:iCs/>
          <w:sz w:val="24"/>
        </w:rPr>
        <w:t>University of Amsterdam</w:t>
      </w:r>
      <w:r w:rsidRPr="00DE3539">
        <w:rPr>
          <w:sz w:val="24"/>
        </w:rPr>
        <w:t>, 41(5), pp. 609–617.</w:t>
      </w:r>
    </w:p>
    <w:p w14:paraId="3B24904F" w14:textId="77777777" w:rsidR="00414E68" w:rsidRPr="00414E68" w:rsidRDefault="00414E68" w:rsidP="00414E68">
      <w:pPr>
        <w:rPr>
          <w:rFonts w:eastAsia="PMingLiU"/>
          <w:lang w:val="en-GB" w:eastAsia="zh-TW"/>
        </w:rPr>
      </w:pPr>
    </w:p>
    <w:p w14:paraId="27E97248" w14:textId="77777777" w:rsidR="00DE3539" w:rsidRPr="00DE3539" w:rsidRDefault="00DE3539" w:rsidP="00DE3539">
      <w:pPr>
        <w:pStyle w:val="Bibliography"/>
        <w:rPr>
          <w:sz w:val="24"/>
        </w:rPr>
      </w:pPr>
      <w:r w:rsidRPr="00DE3539">
        <w:rPr>
          <w:sz w:val="24"/>
        </w:rPr>
        <w:t xml:space="preserve">Van Der Heijden (2004) ‘User Acceptance of Hedonic Information Systems’, </w:t>
      </w:r>
      <w:r w:rsidRPr="00DE3539">
        <w:rPr>
          <w:i/>
          <w:iCs/>
          <w:sz w:val="24"/>
        </w:rPr>
        <w:t>MIS Quarterly</w:t>
      </w:r>
      <w:r w:rsidRPr="00DE3539">
        <w:rPr>
          <w:sz w:val="24"/>
        </w:rPr>
        <w:t>, 28(4), p. 695. Available at: https://doi.org/10.2307/25148660.</w:t>
      </w:r>
    </w:p>
    <w:p w14:paraId="41D1F8A4" w14:textId="77777777" w:rsidR="00DE3539" w:rsidRPr="00DE3539" w:rsidRDefault="00DE3539" w:rsidP="00DE3539">
      <w:pPr>
        <w:pStyle w:val="Bibliography"/>
        <w:rPr>
          <w:sz w:val="24"/>
        </w:rPr>
      </w:pPr>
      <w:r w:rsidRPr="00DE3539">
        <w:rPr>
          <w:sz w:val="24"/>
        </w:rPr>
        <w:t xml:space="preserve">Van Der Heijden, H., Verhagen, T. and Creemers, M. (2003) ‘Understanding online purchase intentions: contributions from technology and trust perspectives’, </w:t>
      </w:r>
      <w:r w:rsidRPr="00DE3539">
        <w:rPr>
          <w:i/>
          <w:iCs/>
          <w:sz w:val="24"/>
        </w:rPr>
        <w:t>European Journal of Information Systems</w:t>
      </w:r>
      <w:r w:rsidRPr="00DE3539">
        <w:rPr>
          <w:sz w:val="24"/>
        </w:rPr>
        <w:t>, 12(1), pp. 41–48. Available at: https://doi.org/10.1057/palgrave.ejis.3000445.</w:t>
      </w:r>
    </w:p>
    <w:p w14:paraId="2F3C862B" w14:textId="77777777" w:rsidR="00DE3539" w:rsidRPr="00DE3539" w:rsidRDefault="00DE3539" w:rsidP="00DE3539">
      <w:pPr>
        <w:pStyle w:val="Bibliography"/>
        <w:rPr>
          <w:sz w:val="24"/>
        </w:rPr>
      </w:pPr>
      <w:r w:rsidRPr="00DE3539">
        <w:rPr>
          <w:sz w:val="24"/>
        </w:rPr>
        <w:lastRenderedPageBreak/>
        <w:t xml:space="preserve">Verhagen, T. and Van Dolen, W. (2009) ‘Online purchase intentions: A multi-channel store image perspective’, </w:t>
      </w:r>
      <w:r w:rsidRPr="00DE3539">
        <w:rPr>
          <w:i/>
          <w:iCs/>
          <w:sz w:val="24"/>
        </w:rPr>
        <w:t>Information &amp; Management</w:t>
      </w:r>
      <w:r w:rsidRPr="00DE3539">
        <w:rPr>
          <w:sz w:val="24"/>
        </w:rPr>
        <w:t>, 46(2), pp. 77–82. Available at: https://doi.org/10.1016/j.im.2008.12.001.</w:t>
      </w:r>
    </w:p>
    <w:p w14:paraId="3FF3EA40" w14:textId="77777777" w:rsidR="00DE3539" w:rsidRPr="00DE3539" w:rsidRDefault="00DE3539" w:rsidP="00DE3539">
      <w:pPr>
        <w:pStyle w:val="Bibliography"/>
        <w:rPr>
          <w:sz w:val="24"/>
        </w:rPr>
      </w:pPr>
      <w:r w:rsidRPr="00DE3539">
        <w:rPr>
          <w:sz w:val="24"/>
        </w:rPr>
        <w:t xml:space="preserve">Zhang, J., Ghorbani, A.A. and Cohen, R. (2007) ‘A familiarity-based trust model for effective selection of sellers in multiagent e-commerce systems’, </w:t>
      </w:r>
      <w:r w:rsidRPr="00DE3539">
        <w:rPr>
          <w:i/>
          <w:iCs/>
          <w:sz w:val="24"/>
        </w:rPr>
        <w:t>International Journal of Information Security</w:t>
      </w:r>
      <w:r w:rsidRPr="00DE3539">
        <w:rPr>
          <w:sz w:val="24"/>
        </w:rPr>
        <w:t>, 6(5), pp. 333–344. Available at: https://doi.org/10.1007/s10207-007-0025-y.</w:t>
      </w:r>
    </w:p>
    <w:p w14:paraId="3E34957E" w14:textId="26C390B8" w:rsidR="00A947DE" w:rsidRDefault="00A947DE" w:rsidP="005C251A">
      <w:pPr>
        <w:widowControl w:val="0"/>
        <w:tabs>
          <w:tab w:val="left" w:pos="180"/>
          <w:tab w:val="left" w:pos="520"/>
        </w:tabs>
        <w:kinsoku w:val="0"/>
        <w:overflowPunct w:val="0"/>
        <w:autoSpaceDE w:val="0"/>
        <w:autoSpaceDN w:val="0"/>
        <w:adjustRightInd w:val="0"/>
        <w:spacing w:before="3" w:line="259" w:lineRule="auto"/>
        <w:ind w:right="39"/>
        <w:jc w:val="both"/>
        <w:rPr>
          <w:rFonts w:ascii="Arial" w:hAnsi="Arial" w:cs="Arial"/>
        </w:rPr>
      </w:pPr>
      <w:r>
        <w:rPr>
          <w:rFonts w:ascii="Arial" w:hAnsi="Arial" w:cs="Arial"/>
        </w:rPr>
        <w:fldChar w:fldCharType="end"/>
      </w:r>
    </w:p>
    <w:sectPr w:rsidR="00A947DE" w:rsidSect="000C595A">
      <w:footerReference w:type="default" r:id="rId20"/>
      <w:pgSz w:w="11894" w:h="16834"/>
      <w:pgMar w:top="1260" w:right="1274" w:bottom="720" w:left="1260" w:header="706" w:footer="533"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644B2" w14:textId="77777777" w:rsidR="00331A2F" w:rsidRDefault="00331A2F">
      <w:r>
        <w:separator/>
      </w:r>
    </w:p>
  </w:endnote>
  <w:endnote w:type="continuationSeparator" w:id="0">
    <w:p w14:paraId="762C09FB" w14:textId="77777777" w:rsidR="00331A2F" w:rsidRDefault="00331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732026"/>
      <w:docPartObj>
        <w:docPartGallery w:val="Page Numbers (Bottom of Page)"/>
        <w:docPartUnique/>
      </w:docPartObj>
    </w:sdtPr>
    <w:sdtEndPr>
      <w:rPr>
        <w:noProof/>
      </w:rPr>
    </w:sdtEndPr>
    <w:sdtContent>
      <w:p w14:paraId="3015F45E" w14:textId="0CDD82A3" w:rsidR="00B558F1" w:rsidRDefault="00B558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618725" w14:textId="77777777" w:rsidR="00B558F1" w:rsidRDefault="00B55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B89F8" w14:textId="77777777" w:rsidR="00331A2F" w:rsidRDefault="00331A2F">
      <w:r>
        <w:separator/>
      </w:r>
    </w:p>
  </w:footnote>
  <w:footnote w:type="continuationSeparator" w:id="0">
    <w:p w14:paraId="1C8A5C16" w14:textId="77777777" w:rsidR="00331A2F" w:rsidRDefault="00331A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402"/>
    <w:multiLevelType w:val="multilevel"/>
    <w:tmpl w:val="FFFFFFFF"/>
    <w:lvl w:ilvl="0">
      <w:start w:val="1"/>
      <w:numFmt w:val="decimal"/>
      <w:lvlText w:val="%1."/>
      <w:lvlJc w:val="left"/>
      <w:pPr>
        <w:ind w:left="399" w:hanging="250"/>
      </w:pPr>
      <w:rPr>
        <w:rFonts w:ascii="Georgia" w:hAnsi="Georgia" w:cs="Georgia"/>
        <w:b w:val="0"/>
        <w:bCs w:val="0"/>
        <w:w w:val="106"/>
        <w:sz w:val="20"/>
        <w:szCs w:val="20"/>
      </w:rPr>
    </w:lvl>
    <w:lvl w:ilvl="1">
      <w:start w:val="1"/>
      <w:numFmt w:val="decimal"/>
      <w:lvlText w:val="(%2)"/>
      <w:lvlJc w:val="left"/>
      <w:pPr>
        <w:ind w:left="247" w:hanging="330"/>
      </w:pPr>
      <w:rPr>
        <w:rFonts w:ascii="Times New Roman" w:hAnsi="Times New Roman" w:cs="Times New Roman"/>
        <w:b w:val="0"/>
        <w:bCs w:val="0"/>
        <w:w w:val="99"/>
        <w:sz w:val="20"/>
        <w:szCs w:val="20"/>
      </w:rPr>
    </w:lvl>
    <w:lvl w:ilvl="2">
      <w:numFmt w:val="bullet"/>
      <w:lvlText w:val="•"/>
      <w:lvlJc w:val="left"/>
      <w:pPr>
        <w:ind w:left="854" w:hanging="330"/>
      </w:pPr>
    </w:lvl>
    <w:lvl w:ilvl="3">
      <w:numFmt w:val="bullet"/>
      <w:lvlText w:val="•"/>
      <w:lvlJc w:val="left"/>
      <w:pPr>
        <w:ind w:left="1309" w:hanging="330"/>
      </w:pPr>
    </w:lvl>
    <w:lvl w:ilvl="4">
      <w:numFmt w:val="bullet"/>
      <w:lvlText w:val="•"/>
      <w:lvlJc w:val="left"/>
      <w:pPr>
        <w:ind w:left="1764" w:hanging="330"/>
      </w:pPr>
    </w:lvl>
    <w:lvl w:ilvl="5">
      <w:numFmt w:val="bullet"/>
      <w:lvlText w:val="•"/>
      <w:lvlJc w:val="left"/>
      <w:pPr>
        <w:ind w:left="2219" w:hanging="330"/>
      </w:pPr>
    </w:lvl>
    <w:lvl w:ilvl="6">
      <w:numFmt w:val="bullet"/>
      <w:lvlText w:val="•"/>
      <w:lvlJc w:val="left"/>
      <w:pPr>
        <w:ind w:left="2674" w:hanging="330"/>
      </w:pPr>
    </w:lvl>
    <w:lvl w:ilvl="7">
      <w:numFmt w:val="bullet"/>
      <w:lvlText w:val="•"/>
      <w:lvlJc w:val="left"/>
      <w:pPr>
        <w:ind w:left="3129" w:hanging="330"/>
      </w:pPr>
    </w:lvl>
    <w:lvl w:ilvl="8">
      <w:numFmt w:val="bullet"/>
      <w:lvlText w:val="•"/>
      <w:lvlJc w:val="left"/>
      <w:pPr>
        <w:ind w:left="3584" w:hanging="330"/>
      </w:pPr>
    </w:lvl>
  </w:abstractNum>
  <w:abstractNum w:abstractNumId="2" w15:restartNumberingAfterBreak="0">
    <w:nsid w:val="00000406"/>
    <w:multiLevelType w:val="multilevel"/>
    <w:tmpl w:val="FFFFFFFF"/>
    <w:lvl w:ilvl="0">
      <w:start w:val="1"/>
      <w:numFmt w:val="decimal"/>
      <w:lvlText w:val="%1."/>
      <w:lvlJc w:val="left"/>
      <w:pPr>
        <w:ind w:left="399" w:hanging="250"/>
      </w:pPr>
      <w:rPr>
        <w:rFonts w:ascii="Times New Roman" w:hAnsi="Times New Roman" w:cs="Times New Roman"/>
        <w:b w:val="0"/>
        <w:bCs w:val="0"/>
        <w:w w:val="99"/>
        <w:sz w:val="20"/>
        <w:szCs w:val="20"/>
      </w:rPr>
    </w:lvl>
    <w:lvl w:ilvl="1">
      <w:numFmt w:val="bullet"/>
      <w:lvlText w:val="•"/>
      <w:lvlJc w:val="left"/>
      <w:pPr>
        <w:ind w:left="825" w:hanging="250"/>
      </w:pPr>
    </w:lvl>
    <w:lvl w:ilvl="2">
      <w:numFmt w:val="bullet"/>
      <w:lvlText w:val="•"/>
      <w:lvlJc w:val="left"/>
      <w:pPr>
        <w:ind w:left="1251" w:hanging="250"/>
      </w:pPr>
    </w:lvl>
    <w:lvl w:ilvl="3">
      <w:numFmt w:val="bullet"/>
      <w:lvlText w:val="•"/>
      <w:lvlJc w:val="left"/>
      <w:pPr>
        <w:ind w:left="1677" w:hanging="250"/>
      </w:pPr>
    </w:lvl>
    <w:lvl w:ilvl="4">
      <w:numFmt w:val="bullet"/>
      <w:lvlText w:val="•"/>
      <w:lvlJc w:val="left"/>
      <w:pPr>
        <w:ind w:left="2102" w:hanging="250"/>
      </w:pPr>
    </w:lvl>
    <w:lvl w:ilvl="5">
      <w:numFmt w:val="bullet"/>
      <w:lvlText w:val="•"/>
      <w:lvlJc w:val="left"/>
      <w:pPr>
        <w:ind w:left="2528" w:hanging="250"/>
      </w:pPr>
    </w:lvl>
    <w:lvl w:ilvl="6">
      <w:numFmt w:val="bullet"/>
      <w:lvlText w:val="•"/>
      <w:lvlJc w:val="left"/>
      <w:pPr>
        <w:ind w:left="2954" w:hanging="250"/>
      </w:pPr>
    </w:lvl>
    <w:lvl w:ilvl="7">
      <w:numFmt w:val="bullet"/>
      <w:lvlText w:val="•"/>
      <w:lvlJc w:val="left"/>
      <w:pPr>
        <w:ind w:left="3380" w:hanging="250"/>
      </w:pPr>
    </w:lvl>
    <w:lvl w:ilvl="8">
      <w:numFmt w:val="bullet"/>
      <w:lvlText w:val="•"/>
      <w:lvlJc w:val="left"/>
      <w:pPr>
        <w:ind w:left="3805" w:hanging="250"/>
      </w:pPr>
    </w:lvl>
  </w:abstractNum>
  <w:abstractNum w:abstractNumId="3" w15:restartNumberingAfterBreak="0">
    <w:nsid w:val="0000040E"/>
    <w:multiLevelType w:val="multilevel"/>
    <w:tmpl w:val="FFFFFFFF"/>
    <w:lvl w:ilvl="0">
      <w:start w:val="1"/>
      <w:numFmt w:val="decimal"/>
      <w:lvlText w:val="%1."/>
      <w:lvlJc w:val="left"/>
      <w:pPr>
        <w:ind w:left="574" w:hanging="250"/>
      </w:pPr>
      <w:rPr>
        <w:rFonts w:ascii="Times New Roman" w:hAnsi="Times New Roman" w:cs="Times New Roman"/>
        <w:b w:val="0"/>
        <w:bCs w:val="0"/>
        <w:w w:val="99"/>
        <w:sz w:val="20"/>
        <w:szCs w:val="20"/>
      </w:rPr>
    </w:lvl>
    <w:lvl w:ilvl="1">
      <w:start w:val="1"/>
      <w:numFmt w:val="decimal"/>
      <w:lvlText w:val="[%2]"/>
      <w:lvlJc w:val="left"/>
      <w:pPr>
        <w:ind w:left="598" w:hanging="287"/>
      </w:pPr>
      <w:rPr>
        <w:rFonts w:ascii="Times New Roman" w:hAnsi="Times New Roman" w:cs="Times New Roman"/>
        <w:b w:val="0"/>
        <w:bCs w:val="0"/>
        <w:w w:val="99"/>
        <w:sz w:val="16"/>
        <w:szCs w:val="16"/>
      </w:rPr>
    </w:lvl>
    <w:lvl w:ilvl="2">
      <w:numFmt w:val="bullet"/>
      <w:lvlText w:val="•"/>
      <w:lvlJc w:val="left"/>
      <w:pPr>
        <w:ind w:left="1860" w:hanging="287"/>
      </w:pPr>
    </w:lvl>
    <w:lvl w:ilvl="3">
      <w:numFmt w:val="bullet"/>
      <w:lvlText w:val="•"/>
      <w:lvlJc w:val="left"/>
      <w:pPr>
        <w:ind w:left="2209" w:hanging="287"/>
      </w:pPr>
    </w:lvl>
    <w:lvl w:ilvl="4">
      <w:numFmt w:val="bullet"/>
      <w:lvlText w:val="•"/>
      <w:lvlJc w:val="left"/>
      <w:pPr>
        <w:ind w:left="2559" w:hanging="287"/>
      </w:pPr>
    </w:lvl>
    <w:lvl w:ilvl="5">
      <w:numFmt w:val="bullet"/>
      <w:lvlText w:val="•"/>
      <w:lvlJc w:val="left"/>
      <w:pPr>
        <w:ind w:left="2909" w:hanging="287"/>
      </w:pPr>
    </w:lvl>
    <w:lvl w:ilvl="6">
      <w:numFmt w:val="bullet"/>
      <w:lvlText w:val="•"/>
      <w:lvlJc w:val="left"/>
      <w:pPr>
        <w:ind w:left="3258" w:hanging="287"/>
      </w:pPr>
    </w:lvl>
    <w:lvl w:ilvl="7">
      <w:numFmt w:val="bullet"/>
      <w:lvlText w:val="•"/>
      <w:lvlJc w:val="left"/>
      <w:pPr>
        <w:ind w:left="3608" w:hanging="287"/>
      </w:pPr>
    </w:lvl>
    <w:lvl w:ilvl="8">
      <w:numFmt w:val="bullet"/>
      <w:lvlText w:val="•"/>
      <w:lvlJc w:val="left"/>
      <w:pPr>
        <w:ind w:left="3958" w:hanging="287"/>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B243CE"/>
    <w:multiLevelType w:val="multilevel"/>
    <w:tmpl w:val="ED2EB1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1A10A4"/>
    <w:multiLevelType w:val="hybridMultilevel"/>
    <w:tmpl w:val="A8901888"/>
    <w:lvl w:ilvl="0" w:tplc="7518BD66">
      <w:numFmt w:val="bullet"/>
      <w:lvlText w:val="•"/>
      <w:lvlJc w:val="left"/>
      <w:pPr>
        <w:ind w:left="720" w:hanging="360"/>
      </w:pPr>
      <w:rPr>
        <w:rFonts w:ascii="PMingLiU" w:eastAsia="PMingLiU" w:hAnsi="PMingLiU" w:cs="Arial" w:hint="eastAsia"/>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9" w15:restartNumberingAfterBreak="0">
    <w:nsid w:val="1E2765ED"/>
    <w:multiLevelType w:val="hybridMultilevel"/>
    <w:tmpl w:val="09F8D124"/>
    <w:lvl w:ilvl="0" w:tplc="F6629CB2">
      <w:start w:val="1"/>
      <w:numFmt w:val="bullet"/>
      <w:lvlText w:val="•"/>
      <w:lvlJc w:val="left"/>
      <w:pPr>
        <w:tabs>
          <w:tab w:val="num" w:pos="720"/>
        </w:tabs>
        <w:ind w:left="720" w:hanging="360"/>
      </w:pPr>
      <w:rPr>
        <w:rFonts w:ascii="Arial" w:hAnsi="Arial" w:hint="default"/>
      </w:rPr>
    </w:lvl>
    <w:lvl w:ilvl="1" w:tplc="E2D6CDF2">
      <w:start w:val="1"/>
      <w:numFmt w:val="bullet"/>
      <w:lvlText w:val="•"/>
      <w:lvlJc w:val="left"/>
      <w:pPr>
        <w:tabs>
          <w:tab w:val="num" w:pos="1440"/>
        </w:tabs>
        <w:ind w:left="1440" w:hanging="360"/>
      </w:pPr>
      <w:rPr>
        <w:rFonts w:ascii="Arial" w:hAnsi="Arial" w:hint="default"/>
      </w:rPr>
    </w:lvl>
    <w:lvl w:ilvl="2" w:tplc="78EA0F60" w:tentative="1">
      <w:start w:val="1"/>
      <w:numFmt w:val="bullet"/>
      <w:lvlText w:val="•"/>
      <w:lvlJc w:val="left"/>
      <w:pPr>
        <w:tabs>
          <w:tab w:val="num" w:pos="2160"/>
        </w:tabs>
        <w:ind w:left="2160" w:hanging="360"/>
      </w:pPr>
      <w:rPr>
        <w:rFonts w:ascii="Arial" w:hAnsi="Arial" w:hint="default"/>
      </w:rPr>
    </w:lvl>
    <w:lvl w:ilvl="3" w:tplc="1AD0E362" w:tentative="1">
      <w:start w:val="1"/>
      <w:numFmt w:val="bullet"/>
      <w:lvlText w:val="•"/>
      <w:lvlJc w:val="left"/>
      <w:pPr>
        <w:tabs>
          <w:tab w:val="num" w:pos="2880"/>
        </w:tabs>
        <w:ind w:left="2880" w:hanging="360"/>
      </w:pPr>
      <w:rPr>
        <w:rFonts w:ascii="Arial" w:hAnsi="Arial" w:hint="default"/>
      </w:rPr>
    </w:lvl>
    <w:lvl w:ilvl="4" w:tplc="EA2AFE54" w:tentative="1">
      <w:start w:val="1"/>
      <w:numFmt w:val="bullet"/>
      <w:lvlText w:val="•"/>
      <w:lvlJc w:val="left"/>
      <w:pPr>
        <w:tabs>
          <w:tab w:val="num" w:pos="3600"/>
        </w:tabs>
        <w:ind w:left="3600" w:hanging="360"/>
      </w:pPr>
      <w:rPr>
        <w:rFonts w:ascii="Arial" w:hAnsi="Arial" w:hint="default"/>
      </w:rPr>
    </w:lvl>
    <w:lvl w:ilvl="5" w:tplc="727C71C6" w:tentative="1">
      <w:start w:val="1"/>
      <w:numFmt w:val="bullet"/>
      <w:lvlText w:val="•"/>
      <w:lvlJc w:val="left"/>
      <w:pPr>
        <w:tabs>
          <w:tab w:val="num" w:pos="4320"/>
        </w:tabs>
        <w:ind w:left="4320" w:hanging="360"/>
      </w:pPr>
      <w:rPr>
        <w:rFonts w:ascii="Arial" w:hAnsi="Arial" w:hint="default"/>
      </w:rPr>
    </w:lvl>
    <w:lvl w:ilvl="6" w:tplc="1A0EE182" w:tentative="1">
      <w:start w:val="1"/>
      <w:numFmt w:val="bullet"/>
      <w:lvlText w:val="•"/>
      <w:lvlJc w:val="left"/>
      <w:pPr>
        <w:tabs>
          <w:tab w:val="num" w:pos="5040"/>
        </w:tabs>
        <w:ind w:left="5040" w:hanging="360"/>
      </w:pPr>
      <w:rPr>
        <w:rFonts w:ascii="Arial" w:hAnsi="Arial" w:hint="default"/>
      </w:rPr>
    </w:lvl>
    <w:lvl w:ilvl="7" w:tplc="B78E33FC" w:tentative="1">
      <w:start w:val="1"/>
      <w:numFmt w:val="bullet"/>
      <w:lvlText w:val="•"/>
      <w:lvlJc w:val="left"/>
      <w:pPr>
        <w:tabs>
          <w:tab w:val="num" w:pos="5760"/>
        </w:tabs>
        <w:ind w:left="5760" w:hanging="360"/>
      </w:pPr>
      <w:rPr>
        <w:rFonts w:ascii="Arial" w:hAnsi="Arial" w:hint="default"/>
      </w:rPr>
    </w:lvl>
    <w:lvl w:ilvl="8" w:tplc="9F50725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EC029D"/>
    <w:multiLevelType w:val="hybridMultilevel"/>
    <w:tmpl w:val="DCF68E14"/>
    <w:lvl w:ilvl="0" w:tplc="0A1C1B5E">
      <w:start w:val="1"/>
      <w:numFmt w:val="bullet"/>
      <w:lvlText w:val="•"/>
      <w:lvlJc w:val="left"/>
      <w:pPr>
        <w:tabs>
          <w:tab w:val="num" w:pos="720"/>
        </w:tabs>
        <w:ind w:left="720" w:hanging="360"/>
      </w:pPr>
      <w:rPr>
        <w:rFonts w:ascii="Arial" w:hAnsi="Arial" w:hint="default"/>
      </w:rPr>
    </w:lvl>
    <w:lvl w:ilvl="1" w:tplc="2F30B8CC" w:tentative="1">
      <w:start w:val="1"/>
      <w:numFmt w:val="bullet"/>
      <w:lvlText w:val="•"/>
      <w:lvlJc w:val="left"/>
      <w:pPr>
        <w:tabs>
          <w:tab w:val="num" w:pos="1440"/>
        </w:tabs>
        <w:ind w:left="1440" w:hanging="360"/>
      </w:pPr>
      <w:rPr>
        <w:rFonts w:ascii="Arial" w:hAnsi="Arial" w:hint="default"/>
      </w:rPr>
    </w:lvl>
    <w:lvl w:ilvl="2" w:tplc="D79C3AB4" w:tentative="1">
      <w:start w:val="1"/>
      <w:numFmt w:val="bullet"/>
      <w:lvlText w:val="•"/>
      <w:lvlJc w:val="left"/>
      <w:pPr>
        <w:tabs>
          <w:tab w:val="num" w:pos="2160"/>
        </w:tabs>
        <w:ind w:left="2160" w:hanging="360"/>
      </w:pPr>
      <w:rPr>
        <w:rFonts w:ascii="Arial" w:hAnsi="Arial" w:hint="default"/>
      </w:rPr>
    </w:lvl>
    <w:lvl w:ilvl="3" w:tplc="67D4A7CA" w:tentative="1">
      <w:start w:val="1"/>
      <w:numFmt w:val="bullet"/>
      <w:lvlText w:val="•"/>
      <w:lvlJc w:val="left"/>
      <w:pPr>
        <w:tabs>
          <w:tab w:val="num" w:pos="2880"/>
        </w:tabs>
        <w:ind w:left="2880" w:hanging="360"/>
      </w:pPr>
      <w:rPr>
        <w:rFonts w:ascii="Arial" w:hAnsi="Arial" w:hint="default"/>
      </w:rPr>
    </w:lvl>
    <w:lvl w:ilvl="4" w:tplc="80BC2E6C" w:tentative="1">
      <w:start w:val="1"/>
      <w:numFmt w:val="bullet"/>
      <w:lvlText w:val="•"/>
      <w:lvlJc w:val="left"/>
      <w:pPr>
        <w:tabs>
          <w:tab w:val="num" w:pos="3600"/>
        </w:tabs>
        <w:ind w:left="3600" w:hanging="360"/>
      </w:pPr>
      <w:rPr>
        <w:rFonts w:ascii="Arial" w:hAnsi="Arial" w:hint="default"/>
      </w:rPr>
    </w:lvl>
    <w:lvl w:ilvl="5" w:tplc="3E38706E" w:tentative="1">
      <w:start w:val="1"/>
      <w:numFmt w:val="bullet"/>
      <w:lvlText w:val="•"/>
      <w:lvlJc w:val="left"/>
      <w:pPr>
        <w:tabs>
          <w:tab w:val="num" w:pos="4320"/>
        </w:tabs>
        <w:ind w:left="4320" w:hanging="360"/>
      </w:pPr>
      <w:rPr>
        <w:rFonts w:ascii="Arial" w:hAnsi="Arial" w:hint="default"/>
      </w:rPr>
    </w:lvl>
    <w:lvl w:ilvl="6" w:tplc="C186CF5E" w:tentative="1">
      <w:start w:val="1"/>
      <w:numFmt w:val="bullet"/>
      <w:lvlText w:val="•"/>
      <w:lvlJc w:val="left"/>
      <w:pPr>
        <w:tabs>
          <w:tab w:val="num" w:pos="5040"/>
        </w:tabs>
        <w:ind w:left="5040" w:hanging="360"/>
      </w:pPr>
      <w:rPr>
        <w:rFonts w:ascii="Arial" w:hAnsi="Arial" w:hint="default"/>
      </w:rPr>
    </w:lvl>
    <w:lvl w:ilvl="7" w:tplc="D3503076" w:tentative="1">
      <w:start w:val="1"/>
      <w:numFmt w:val="bullet"/>
      <w:lvlText w:val="•"/>
      <w:lvlJc w:val="left"/>
      <w:pPr>
        <w:tabs>
          <w:tab w:val="num" w:pos="5760"/>
        </w:tabs>
        <w:ind w:left="5760" w:hanging="360"/>
      </w:pPr>
      <w:rPr>
        <w:rFonts w:ascii="Arial" w:hAnsi="Arial" w:hint="default"/>
      </w:rPr>
    </w:lvl>
    <w:lvl w:ilvl="8" w:tplc="786891A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EE83B5E"/>
    <w:multiLevelType w:val="multilevel"/>
    <w:tmpl w:val="2EE83B5E"/>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4062BC"/>
    <w:multiLevelType w:val="hybridMultilevel"/>
    <w:tmpl w:val="16F2890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0" w15:restartNumberingAfterBreak="0">
    <w:nsid w:val="3CD57165"/>
    <w:multiLevelType w:val="multilevel"/>
    <w:tmpl w:val="668372EC"/>
    <w:lvl w:ilvl="0">
      <w:start w:val="1"/>
      <w:numFmt w:val="bullet"/>
      <w:lvlText w:val=""/>
      <w:lvlJc w:val="left"/>
      <w:pPr>
        <w:ind w:left="360" w:hanging="360"/>
      </w:pPr>
      <w:rPr>
        <w:rFonts w:ascii="Wingdings" w:hAnsi="Wingding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6A0349"/>
    <w:multiLevelType w:val="multilevel"/>
    <w:tmpl w:val="4E6A034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4E80C4E"/>
    <w:multiLevelType w:val="hybridMultilevel"/>
    <w:tmpl w:val="656A2A8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4" w15:restartNumberingAfterBreak="0">
    <w:nsid w:val="5B6338F7"/>
    <w:multiLevelType w:val="hybridMultilevel"/>
    <w:tmpl w:val="2B3ACE46"/>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5" w15:restartNumberingAfterBreak="0">
    <w:nsid w:val="5E1D5902"/>
    <w:multiLevelType w:val="multilevel"/>
    <w:tmpl w:val="5E1D5902"/>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8372EC"/>
    <w:multiLevelType w:val="multilevel"/>
    <w:tmpl w:val="668372EC"/>
    <w:lvl w:ilvl="0">
      <w:start w:val="1"/>
      <w:numFmt w:val="bullet"/>
      <w:lvlText w:val=""/>
      <w:lvlJc w:val="left"/>
      <w:pPr>
        <w:ind w:left="1070" w:hanging="360"/>
      </w:pPr>
      <w:rPr>
        <w:rFonts w:ascii="Wingdings" w:hAnsi="Wingdings" w:hint="default"/>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66B48D9"/>
    <w:multiLevelType w:val="hybridMultilevel"/>
    <w:tmpl w:val="F0EE7C5A"/>
    <w:lvl w:ilvl="0" w:tplc="0A4ED3CC">
      <w:start w:val="1"/>
      <w:numFmt w:val="bullet"/>
      <w:lvlText w:val="•"/>
      <w:lvlJc w:val="left"/>
      <w:pPr>
        <w:tabs>
          <w:tab w:val="num" w:pos="720"/>
        </w:tabs>
        <w:ind w:left="720" w:hanging="360"/>
      </w:pPr>
      <w:rPr>
        <w:rFonts w:ascii="Arial" w:hAnsi="Arial" w:hint="default"/>
      </w:rPr>
    </w:lvl>
    <w:lvl w:ilvl="1" w:tplc="EF88FC4A" w:tentative="1">
      <w:start w:val="1"/>
      <w:numFmt w:val="bullet"/>
      <w:lvlText w:val="•"/>
      <w:lvlJc w:val="left"/>
      <w:pPr>
        <w:tabs>
          <w:tab w:val="num" w:pos="1440"/>
        </w:tabs>
        <w:ind w:left="1440" w:hanging="360"/>
      </w:pPr>
      <w:rPr>
        <w:rFonts w:ascii="Arial" w:hAnsi="Arial" w:hint="default"/>
      </w:rPr>
    </w:lvl>
    <w:lvl w:ilvl="2" w:tplc="2E2A5DA4" w:tentative="1">
      <w:start w:val="1"/>
      <w:numFmt w:val="bullet"/>
      <w:lvlText w:val="•"/>
      <w:lvlJc w:val="left"/>
      <w:pPr>
        <w:tabs>
          <w:tab w:val="num" w:pos="2160"/>
        </w:tabs>
        <w:ind w:left="2160" w:hanging="360"/>
      </w:pPr>
      <w:rPr>
        <w:rFonts w:ascii="Arial" w:hAnsi="Arial" w:hint="default"/>
      </w:rPr>
    </w:lvl>
    <w:lvl w:ilvl="3" w:tplc="F0A6C2D2" w:tentative="1">
      <w:start w:val="1"/>
      <w:numFmt w:val="bullet"/>
      <w:lvlText w:val="•"/>
      <w:lvlJc w:val="left"/>
      <w:pPr>
        <w:tabs>
          <w:tab w:val="num" w:pos="2880"/>
        </w:tabs>
        <w:ind w:left="2880" w:hanging="360"/>
      </w:pPr>
      <w:rPr>
        <w:rFonts w:ascii="Arial" w:hAnsi="Arial" w:hint="default"/>
      </w:rPr>
    </w:lvl>
    <w:lvl w:ilvl="4" w:tplc="A84C1594" w:tentative="1">
      <w:start w:val="1"/>
      <w:numFmt w:val="bullet"/>
      <w:lvlText w:val="•"/>
      <w:lvlJc w:val="left"/>
      <w:pPr>
        <w:tabs>
          <w:tab w:val="num" w:pos="3600"/>
        </w:tabs>
        <w:ind w:left="3600" w:hanging="360"/>
      </w:pPr>
      <w:rPr>
        <w:rFonts w:ascii="Arial" w:hAnsi="Arial" w:hint="default"/>
      </w:rPr>
    </w:lvl>
    <w:lvl w:ilvl="5" w:tplc="3F40D1F2" w:tentative="1">
      <w:start w:val="1"/>
      <w:numFmt w:val="bullet"/>
      <w:lvlText w:val="•"/>
      <w:lvlJc w:val="left"/>
      <w:pPr>
        <w:tabs>
          <w:tab w:val="num" w:pos="4320"/>
        </w:tabs>
        <w:ind w:left="4320" w:hanging="360"/>
      </w:pPr>
      <w:rPr>
        <w:rFonts w:ascii="Arial" w:hAnsi="Arial" w:hint="default"/>
      </w:rPr>
    </w:lvl>
    <w:lvl w:ilvl="6" w:tplc="B34619DA" w:tentative="1">
      <w:start w:val="1"/>
      <w:numFmt w:val="bullet"/>
      <w:lvlText w:val="•"/>
      <w:lvlJc w:val="left"/>
      <w:pPr>
        <w:tabs>
          <w:tab w:val="num" w:pos="5040"/>
        </w:tabs>
        <w:ind w:left="5040" w:hanging="360"/>
      </w:pPr>
      <w:rPr>
        <w:rFonts w:ascii="Arial" w:hAnsi="Arial" w:hint="default"/>
      </w:rPr>
    </w:lvl>
    <w:lvl w:ilvl="7" w:tplc="0BA6200C" w:tentative="1">
      <w:start w:val="1"/>
      <w:numFmt w:val="bullet"/>
      <w:lvlText w:val="•"/>
      <w:lvlJc w:val="left"/>
      <w:pPr>
        <w:tabs>
          <w:tab w:val="num" w:pos="5760"/>
        </w:tabs>
        <w:ind w:left="5760" w:hanging="360"/>
      </w:pPr>
      <w:rPr>
        <w:rFonts w:ascii="Arial" w:hAnsi="Arial" w:hint="default"/>
      </w:rPr>
    </w:lvl>
    <w:lvl w:ilvl="8" w:tplc="B3F8B6D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D271114"/>
    <w:multiLevelType w:val="multilevel"/>
    <w:tmpl w:val="7D271114"/>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16cid:durableId="928852169">
    <w:abstractNumId w:val="4"/>
  </w:num>
  <w:num w:numId="2" w16cid:durableId="1180196748">
    <w:abstractNumId w:val="17"/>
  </w:num>
  <w:num w:numId="3" w16cid:durableId="541285208">
    <w:abstractNumId w:val="30"/>
  </w:num>
  <w:num w:numId="4" w16cid:durableId="616135736">
    <w:abstractNumId w:val="21"/>
  </w:num>
  <w:num w:numId="5" w16cid:durableId="740324702">
    <w:abstractNumId w:val="15"/>
  </w:num>
  <w:num w:numId="6" w16cid:durableId="110324178">
    <w:abstractNumId w:val="29"/>
  </w:num>
  <w:num w:numId="7" w16cid:durableId="786051041">
    <w:abstractNumId w:val="6"/>
  </w:num>
  <w:num w:numId="8" w16cid:durableId="1956474313">
    <w:abstractNumId w:val="27"/>
  </w:num>
  <w:num w:numId="9" w16cid:durableId="2109959407">
    <w:abstractNumId w:val="18"/>
  </w:num>
  <w:num w:numId="10" w16cid:durableId="334848592">
    <w:abstractNumId w:val="10"/>
  </w:num>
  <w:num w:numId="11" w16cid:durableId="1777213410">
    <w:abstractNumId w:val="11"/>
  </w:num>
  <w:num w:numId="12" w16cid:durableId="809253613">
    <w:abstractNumId w:val="16"/>
  </w:num>
  <w:num w:numId="13" w16cid:durableId="1455564499">
    <w:abstractNumId w:val="26"/>
  </w:num>
  <w:num w:numId="14" w16cid:durableId="1201089531">
    <w:abstractNumId w:val="7"/>
  </w:num>
  <w:num w:numId="15" w16cid:durableId="2018462117">
    <w:abstractNumId w:val="0"/>
  </w:num>
  <w:num w:numId="16" w16cid:durableId="288317549">
    <w:abstractNumId w:val="13"/>
  </w:num>
  <w:num w:numId="17" w16cid:durableId="2013408168">
    <w:abstractNumId w:val="22"/>
  </w:num>
  <w:num w:numId="18" w16cid:durableId="1130710082">
    <w:abstractNumId w:val="28"/>
  </w:num>
  <w:num w:numId="19" w16cid:durableId="1409764328">
    <w:abstractNumId w:val="20"/>
  </w:num>
  <w:num w:numId="20" w16cid:durableId="1627195794">
    <w:abstractNumId w:val="23"/>
  </w:num>
  <w:num w:numId="21" w16cid:durableId="478502842">
    <w:abstractNumId w:val="8"/>
  </w:num>
  <w:num w:numId="22" w16cid:durableId="1911891841">
    <w:abstractNumId w:val="19"/>
  </w:num>
  <w:num w:numId="23" w16cid:durableId="1532763732">
    <w:abstractNumId w:val="25"/>
  </w:num>
  <w:num w:numId="24" w16cid:durableId="788548687">
    <w:abstractNumId w:val="14"/>
  </w:num>
  <w:num w:numId="25" w16cid:durableId="31064280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45652426">
    <w:abstractNumId w:val="1"/>
  </w:num>
  <w:num w:numId="27" w16cid:durableId="1269506992">
    <w:abstractNumId w:val="2"/>
  </w:num>
  <w:num w:numId="28" w16cid:durableId="682709488">
    <w:abstractNumId w:val="3"/>
  </w:num>
  <w:num w:numId="29" w16cid:durableId="814566316">
    <w:abstractNumId w:val="12"/>
  </w:num>
  <w:num w:numId="30" w16cid:durableId="390155687">
    <w:abstractNumId w:val="31"/>
  </w:num>
  <w:num w:numId="31" w16cid:durableId="593395615">
    <w:abstractNumId w:val="24"/>
  </w:num>
  <w:num w:numId="32" w16cid:durableId="1045787334">
    <w:abstractNumId w:val="9"/>
  </w:num>
  <w:num w:numId="33" w16cid:durableId="1873491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94B"/>
    <w:rsid w:val="0000208D"/>
    <w:rsid w:val="00002211"/>
    <w:rsid w:val="000023EE"/>
    <w:rsid w:val="00004B2B"/>
    <w:rsid w:val="00005CA8"/>
    <w:rsid w:val="00011656"/>
    <w:rsid w:val="00011666"/>
    <w:rsid w:val="0001189D"/>
    <w:rsid w:val="00011C22"/>
    <w:rsid w:val="0001257B"/>
    <w:rsid w:val="000141C6"/>
    <w:rsid w:val="0001649B"/>
    <w:rsid w:val="00016EA6"/>
    <w:rsid w:val="0002089A"/>
    <w:rsid w:val="00021B8D"/>
    <w:rsid w:val="00022419"/>
    <w:rsid w:val="0002312A"/>
    <w:rsid w:val="00023C2F"/>
    <w:rsid w:val="00025192"/>
    <w:rsid w:val="00026B02"/>
    <w:rsid w:val="00027F75"/>
    <w:rsid w:val="00030841"/>
    <w:rsid w:val="00032C43"/>
    <w:rsid w:val="00037593"/>
    <w:rsid w:val="000413E6"/>
    <w:rsid w:val="000443D1"/>
    <w:rsid w:val="0004522B"/>
    <w:rsid w:val="00050AF9"/>
    <w:rsid w:val="00051558"/>
    <w:rsid w:val="00051CA2"/>
    <w:rsid w:val="00051D2C"/>
    <w:rsid w:val="00055088"/>
    <w:rsid w:val="00055765"/>
    <w:rsid w:val="00055BD7"/>
    <w:rsid w:val="00061E97"/>
    <w:rsid w:val="00064F66"/>
    <w:rsid w:val="000706D8"/>
    <w:rsid w:val="00070912"/>
    <w:rsid w:val="00072F34"/>
    <w:rsid w:val="000730EC"/>
    <w:rsid w:val="00074DEC"/>
    <w:rsid w:val="000760F9"/>
    <w:rsid w:val="00076232"/>
    <w:rsid w:val="00076676"/>
    <w:rsid w:val="0007776C"/>
    <w:rsid w:val="000822E5"/>
    <w:rsid w:val="0008460D"/>
    <w:rsid w:val="00085AF4"/>
    <w:rsid w:val="00087C40"/>
    <w:rsid w:val="00090B41"/>
    <w:rsid w:val="00091B6F"/>
    <w:rsid w:val="00094DCB"/>
    <w:rsid w:val="000952E0"/>
    <w:rsid w:val="000959E1"/>
    <w:rsid w:val="000971FC"/>
    <w:rsid w:val="000A0744"/>
    <w:rsid w:val="000A2A3A"/>
    <w:rsid w:val="000A2D7F"/>
    <w:rsid w:val="000A492A"/>
    <w:rsid w:val="000A64E4"/>
    <w:rsid w:val="000A77C5"/>
    <w:rsid w:val="000B02A5"/>
    <w:rsid w:val="000B0C6A"/>
    <w:rsid w:val="000B16DE"/>
    <w:rsid w:val="000B1B3B"/>
    <w:rsid w:val="000B483E"/>
    <w:rsid w:val="000B48DD"/>
    <w:rsid w:val="000B63BD"/>
    <w:rsid w:val="000B6520"/>
    <w:rsid w:val="000B695C"/>
    <w:rsid w:val="000C1940"/>
    <w:rsid w:val="000C39F6"/>
    <w:rsid w:val="000C4F03"/>
    <w:rsid w:val="000C595A"/>
    <w:rsid w:val="000C660D"/>
    <w:rsid w:val="000D0DE4"/>
    <w:rsid w:val="000D23D0"/>
    <w:rsid w:val="000D253F"/>
    <w:rsid w:val="000D2F80"/>
    <w:rsid w:val="000D3227"/>
    <w:rsid w:val="000D7B1E"/>
    <w:rsid w:val="000E01E9"/>
    <w:rsid w:val="000E119D"/>
    <w:rsid w:val="000E1665"/>
    <w:rsid w:val="000E413A"/>
    <w:rsid w:val="000E4236"/>
    <w:rsid w:val="000E46AE"/>
    <w:rsid w:val="000E54FA"/>
    <w:rsid w:val="000E5AE8"/>
    <w:rsid w:val="000F0119"/>
    <w:rsid w:val="000F1275"/>
    <w:rsid w:val="000F3724"/>
    <w:rsid w:val="000F5AA3"/>
    <w:rsid w:val="000F7EC2"/>
    <w:rsid w:val="00100396"/>
    <w:rsid w:val="00100B5C"/>
    <w:rsid w:val="00102DFA"/>
    <w:rsid w:val="00103507"/>
    <w:rsid w:val="0011031F"/>
    <w:rsid w:val="001106E9"/>
    <w:rsid w:val="00111191"/>
    <w:rsid w:val="00112D8A"/>
    <w:rsid w:val="001131C3"/>
    <w:rsid w:val="00116F69"/>
    <w:rsid w:val="00123BBC"/>
    <w:rsid w:val="00124CA5"/>
    <w:rsid w:val="00132388"/>
    <w:rsid w:val="00133980"/>
    <w:rsid w:val="00134F77"/>
    <w:rsid w:val="00143D9E"/>
    <w:rsid w:val="00146717"/>
    <w:rsid w:val="00147ED7"/>
    <w:rsid w:val="00152B7D"/>
    <w:rsid w:val="00152E9D"/>
    <w:rsid w:val="001534F5"/>
    <w:rsid w:val="00154487"/>
    <w:rsid w:val="0015562E"/>
    <w:rsid w:val="0015665B"/>
    <w:rsid w:val="00157F35"/>
    <w:rsid w:val="001627AA"/>
    <w:rsid w:val="00170544"/>
    <w:rsid w:val="001715EC"/>
    <w:rsid w:val="00171AA7"/>
    <w:rsid w:val="0017512A"/>
    <w:rsid w:val="00175B2B"/>
    <w:rsid w:val="00175FD1"/>
    <w:rsid w:val="00177EF2"/>
    <w:rsid w:val="001826B0"/>
    <w:rsid w:val="00186CC5"/>
    <w:rsid w:val="00187540"/>
    <w:rsid w:val="00194C3F"/>
    <w:rsid w:val="00196958"/>
    <w:rsid w:val="00196D88"/>
    <w:rsid w:val="001A0F64"/>
    <w:rsid w:val="001A1369"/>
    <w:rsid w:val="001A1E39"/>
    <w:rsid w:val="001A24F3"/>
    <w:rsid w:val="001A3A32"/>
    <w:rsid w:val="001A66A7"/>
    <w:rsid w:val="001B1589"/>
    <w:rsid w:val="001B3CBE"/>
    <w:rsid w:val="001B405C"/>
    <w:rsid w:val="001B5F45"/>
    <w:rsid w:val="001C0619"/>
    <w:rsid w:val="001C17D8"/>
    <w:rsid w:val="001C332A"/>
    <w:rsid w:val="001C49A2"/>
    <w:rsid w:val="001C6754"/>
    <w:rsid w:val="001D0FCB"/>
    <w:rsid w:val="001D191C"/>
    <w:rsid w:val="001D1CEB"/>
    <w:rsid w:val="001D47C7"/>
    <w:rsid w:val="001D6610"/>
    <w:rsid w:val="001D6BE7"/>
    <w:rsid w:val="001E08B8"/>
    <w:rsid w:val="001E1050"/>
    <w:rsid w:val="001E1120"/>
    <w:rsid w:val="001E1E1F"/>
    <w:rsid w:val="001E2007"/>
    <w:rsid w:val="001E3259"/>
    <w:rsid w:val="001E43DD"/>
    <w:rsid w:val="001E4733"/>
    <w:rsid w:val="001E538F"/>
    <w:rsid w:val="001E57C1"/>
    <w:rsid w:val="001E74D5"/>
    <w:rsid w:val="001F07EF"/>
    <w:rsid w:val="001F50B6"/>
    <w:rsid w:val="001F6A8F"/>
    <w:rsid w:val="001F6D7A"/>
    <w:rsid w:val="00205DCE"/>
    <w:rsid w:val="002133CA"/>
    <w:rsid w:val="00217659"/>
    <w:rsid w:val="002179E2"/>
    <w:rsid w:val="002209B0"/>
    <w:rsid w:val="0022605B"/>
    <w:rsid w:val="0022746E"/>
    <w:rsid w:val="00227B80"/>
    <w:rsid w:val="00230F78"/>
    <w:rsid w:val="002313AE"/>
    <w:rsid w:val="00233F13"/>
    <w:rsid w:val="00235C1C"/>
    <w:rsid w:val="00235E78"/>
    <w:rsid w:val="00235F71"/>
    <w:rsid w:val="00237507"/>
    <w:rsid w:val="002406C0"/>
    <w:rsid w:val="002444CA"/>
    <w:rsid w:val="002444D6"/>
    <w:rsid w:val="002466CE"/>
    <w:rsid w:val="002470C3"/>
    <w:rsid w:val="00247ED4"/>
    <w:rsid w:val="00251995"/>
    <w:rsid w:val="00252B28"/>
    <w:rsid w:val="00256830"/>
    <w:rsid w:val="00257645"/>
    <w:rsid w:val="00260DE6"/>
    <w:rsid w:val="00260E08"/>
    <w:rsid w:val="00262501"/>
    <w:rsid w:val="0026311E"/>
    <w:rsid w:val="002639FF"/>
    <w:rsid w:val="002645EA"/>
    <w:rsid w:val="00266720"/>
    <w:rsid w:val="00266804"/>
    <w:rsid w:val="00267226"/>
    <w:rsid w:val="0027196F"/>
    <w:rsid w:val="00272354"/>
    <w:rsid w:val="002729EF"/>
    <w:rsid w:val="00273FEE"/>
    <w:rsid w:val="00276D64"/>
    <w:rsid w:val="0028204E"/>
    <w:rsid w:val="0028496B"/>
    <w:rsid w:val="00284CBD"/>
    <w:rsid w:val="0028505D"/>
    <w:rsid w:val="0028591B"/>
    <w:rsid w:val="0029135F"/>
    <w:rsid w:val="002913E0"/>
    <w:rsid w:val="00291841"/>
    <w:rsid w:val="00293049"/>
    <w:rsid w:val="00294166"/>
    <w:rsid w:val="002967C7"/>
    <w:rsid w:val="002A1BD5"/>
    <w:rsid w:val="002A3AD0"/>
    <w:rsid w:val="002A44BF"/>
    <w:rsid w:val="002A76F9"/>
    <w:rsid w:val="002A7B36"/>
    <w:rsid w:val="002A7E3F"/>
    <w:rsid w:val="002B0517"/>
    <w:rsid w:val="002B2CB6"/>
    <w:rsid w:val="002B2D52"/>
    <w:rsid w:val="002C023C"/>
    <w:rsid w:val="002C0F13"/>
    <w:rsid w:val="002C152B"/>
    <w:rsid w:val="002C349C"/>
    <w:rsid w:val="002C3936"/>
    <w:rsid w:val="002C3EB3"/>
    <w:rsid w:val="002C40DD"/>
    <w:rsid w:val="002C449B"/>
    <w:rsid w:val="002C6040"/>
    <w:rsid w:val="002C7421"/>
    <w:rsid w:val="002D03C6"/>
    <w:rsid w:val="002D0529"/>
    <w:rsid w:val="002D08DC"/>
    <w:rsid w:val="002D09ED"/>
    <w:rsid w:val="002D18A9"/>
    <w:rsid w:val="002D2D04"/>
    <w:rsid w:val="002D362B"/>
    <w:rsid w:val="002D388E"/>
    <w:rsid w:val="002D5624"/>
    <w:rsid w:val="002D5B3F"/>
    <w:rsid w:val="002D7F0D"/>
    <w:rsid w:val="002E034B"/>
    <w:rsid w:val="002E272E"/>
    <w:rsid w:val="002E288E"/>
    <w:rsid w:val="002E2C3B"/>
    <w:rsid w:val="002E43EC"/>
    <w:rsid w:val="002E5438"/>
    <w:rsid w:val="002E7AF4"/>
    <w:rsid w:val="002F230B"/>
    <w:rsid w:val="002F323D"/>
    <w:rsid w:val="002F5778"/>
    <w:rsid w:val="002F5C26"/>
    <w:rsid w:val="002F60FF"/>
    <w:rsid w:val="002F6ACF"/>
    <w:rsid w:val="00301C6D"/>
    <w:rsid w:val="00307FD2"/>
    <w:rsid w:val="00311AEA"/>
    <w:rsid w:val="003124C1"/>
    <w:rsid w:val="00312662"/>
    <w:rsid w:val="00315432"/>
    <w:rsid w:val="00317FE9"/>
    <w:rsid w:val="00320787"/>
    <w:rsid w:val="00321F7A"/>
    <w:rsid w:val="003223E0"/>
    <w:rsid w:val="003309C4"/>
    <w:rsid w:val="00331A2F"/>
    <w:rsid w:val="00331F9E"/>
    <w:rsid w:val="00332D7F"/>
    <w:rsid w:val="00335020"/>
    <w:rsid w:val="00335F97"/>
    <w:rsid w:val="00340728"/>
    <w:rsid w:val="0034113B"/>
    <w:rsid w:val="0034572B"/>
    <w:rsid w:val="00345E1C"/>
    <w:rsid w:val="003473F3"/>
    <w:rsid w:val="0035075A"/>
    <w:rsid w:val="00350E55"/>
    <w:rsid w:val="00351975"/>
    <w:rsid w:val="00352C4A"/>
    <w:rsid w:val="003545EF"/>
    <w:rsid w:val="00354937"/>
    <w:rsid w:val="00354EFB"/>
    <w:rsid w:val="003561FE"/>
    <w:rsid w:val="00362560"/>
    <w:rsid w:val="003649E3"/>
    <w:rsid w:val="003732FD"/>
    <w:rsid w:val="003753B2"/>
    <w:rsid w:val="00376559"/>
    <w:rsid w:val="003774D9"/>
    <w:rsid w:val="003816DC"/>
    <w:rsid w:val="00381863"/>
    <w:rsid w:val="00382BAA"/>
    <w:rsid w:val="00384D73"/>
    <w:rsid w:val="003916FA"/>
    <w:rsid w:val="00393EB6"/>
    <w:rsid w:val="00394FF2"/>
    <w:rsid w:val="00395187"/>
    <w:rsid w:val="00395657"/>
    <w:rsid w:val="00395FEE"/>
    <w:rsid w:val="003A39C2"/>
    <w:rsid w:val="003A3CE5"/>
    <w:rsid w:val="003A41E1"/>
    <w:rsid w:val="003A49BE"/>
    <w:rsid w:val="003A5B64"/>
    <w:rsid w:val="003A5D94"/>
    <w:rsid w:val="003A75F5"/>
    <w:rsid w:val="003A7E31"/>
    <w:rsid w:val="003B024E"/>
    <w:rsid w:val="003B299B"/>
    <w:rsid w:val="003B366F"/>
    <w:rsid w:val="003B3F9D"/>
    <w:rsid w:val="003B46FF"/>
    <w:rsid w:val="003B604D"/>
    <w:rsid w:val="003B6C95"/>
    <w:rsid w:val="003B7823"/>
    <w:rsid w:val="003B79DC"/>
    <w:rsid w:val="003C05FA"/>
    <w:rsid w:val="003C3F7C"/>
    <w:rsid w:val="003C3F82"/>
    <w:rsid w:val="003C5BDF"/>
    <w:rsid w:val="003C79CF"/>
    <w:rsid w:val="003D0A4F"/>
    <w:rsid w:val="003D2B61"/>
    <w:rsid w:val="003D51F3"/>
    <w:rsid w:val="003D6092"/>
    <w:rsid w:val="003D7888"/>
    <w:rsid w:val="003E092E"/>
    <w:rsid w:val="003E1479"/>
    <w:rsid w:val="003E52DA"/>
    <w:rsid w:val="003E5751"/>
    <w:rsid w:val="003E581D"/>
    <w:rsid w:val="003E6B14"/>
    <w:rsid w:val="003F06E6"/>
    <w:rsid w:val="003F09D0"/>
    <w:rsid w:val="003F12CF"/>
    <w:rsid w:val="003F1D5E"/>
    <w:rsid w:val="003F20CA"/>
    <w:rsid w:val="003F37A5"/>
    <w:rsid w:val="003F601E"/>
    <w:rsid w:val="003F6BD5"/>
    <w:rsid w:val="00401688"/>
    <w:rsid w:val="00403497"/>
    <w:rsid w:val="004043F4"/>
    <w:rsid w:val="004046A9"/>
    <w:rsid w:val="00404C50"/>
    <w:rsid w:val="004063C9"/>
    <w:rsid w:val="00406BC7"/>
    <w:rsid w:val="00406EF4"/>
    <w:rsid w:val="00410DD4"/>
    <w:rsid w:val="00411BBE"/>
    <w:rsid w:val="00412D35"/>
    <w:rsid w:val="004132ED"/>
    <w:rsid w:val="00414AFA"/>
    <w:rsid w:val="00414E68"/>
    <w:rsid w:val="00415CEE"/>
    <w:rsid w:val="004170E0"/>
    <w:rsid w:val="00422C5B"/>
    <w:rsid w:val="00423934"/>
    <w:rsid w:val="00426244"/>
    <w:rsid w:val="00427035"/>
    <w:rsid w:val="004278E0"/>
    <w:rsid w:val="00427D1D"/>
    <w:rsid w:val="004302C1"/>
    <w:rsid w:val="0043509E"/>
    <w:rsid w:val="0043603A"/>
    <w:rsid w:val="00436322"/>
    <w:rsid w:val="004370A9"/>
    <w:rsid w:val="004403B8"/>
    <w:rsid w:val="00441FA6"/>
    <w:rsid w:val="00442CFF"/>
    <w:rsid w:val="004440B1"/>
    <w:rsid w:val="004443BF"/>
    <w:rsid w:val="00445521"/>
    <w:rsid w:val="00447845"/>
    <w:rsid w:val="00447D5D"/>
    <w:rsid w:val="004503F9"/>
    <w:rsid w:val="004508C7"/>
    <w:rsid w:val="004520C3"/>
    <w:rsid w:val="00455411"/>
    <w:rsid w:val="00455AE9"/>
    <w:rsid w:val="0046358D"/>
    <w:rsid w:val="00464E2C"/>
    <w:rsid w:val="00465406"/>
    <w:rsid w:val="00465C46"/>
    <w:rsid w:val="0046652F"/>
    <w:rsid w:val="00466D7A"/>
    <w:rsid w:val="00466EC2"/>
    <w:rsid w:val="00467ABA"/>
    <w:rsid w:val="00470A38"/>
    <w:rsid w:val="00470C5B"/>
    <w:rsid w:val="0047222F"/>
    <w:rsid w:val="00472B6D"/>
    <w:rsid w:val="00472DD9"/>
    <w:rsid w:val="00475E00"/>
    <w:rsid w:val="004776EE"/>
    <w:rsid w:val="00483B61"/>
    <w:rsid w:val="00485CC3"/>
    <w:rsid w:val="00487167"/>
    <w:rsid w:val="004874DE"/>
    <w:rsid w:val="00491CEB"/>
    <w:rsid w:val="0049619C"/>
    <w:rsid w:val="004A4886"/>
    <w:rsid w:val="004A4C08"/>
    <w:rsid w:val="004A4F92"/>
    <w:rsid w:val="004A5025"/>
    <w:rsid w:val="004A5151"/>
    <w:rsid w:val="004A6671"/>
    <w:rsid w:val="004B1495"/>
    <w:rsid w:val="004B1AEE"/>
    <w:rsid w:val="004B1AF4"/>
    <w:rsid w:val="004B1B02"/>
    <w:rsid w:val="004B2200"/>
    <w:rsid w:val="004B3275"/>
    <w:rsid w:val="004B5334"/>
    <w:rsid w:val="004B6B08"/>
    <w:rsid w:val="004B6C14"/>
    <w:rsid w:val="004C0D9D"/>
    <w:rsid w:val="004C269A"/>
    <w:rsid w:val="004C2BC4"/>
    <w:rsid w:val="004C3579"/>
    <w:rsid w:val="004C44CB"/>
    <w:rsid w:val="004C4F19"/>
    <w:rsid w:val="004D0443"/>
    <w:rsid w:val="004D0E67"/>
    <w:rsid w:val="004D292C"/>
    <w:rsid w:val="004D3824"/>
    <w:rsid w:val="004D3C5C"/>
    <w:rsid w:val="004D4F97"/>
    <w:rsid w:val="004D5E9B"/>
    <w:rsid w:val="004D63D9"/>
    <w:rsid w:val="004D6435"/>
    <w:rsid w:val="004D6D9C"/>
    <w:rsid w:val="004D7479"/>
    <w:rsid w:val="004E3B8E"/>
    <w:rsid w:val="004E4AA6"/>
    <w:rsid w:val="004E5BF3"/>
    <w:rsid w:val="004E5CC7"/>
    <w:rsid w:val="004E6585"/>
    <w:rsid w:val="004E7198"/>
    <w:rsid w:val="004F01E5"/>
    <w:rsid w:val="004F340E"/>
    <w:rsid w:val="004F3581"/>
    <w:rsid w:val="004F740A"/>
    <w:rsid w:val="004F7C5B"/>
    <w:rsid w:val="005023BF"/>
    <w:rsid w:val="0050249F"/>
    <w:rsid w:val="005034B2"/>
    <w:rsid w:val="00506D75"/>
    <w:rsid w:val="0051012B"/>
    <w:rsid w:val="00511CE2"/>
    <w:rsid w:val="00512458"/>
    <w:rsid w:val="00512BE6"/>
    <w:rsid w:val="00514D77"/>
    <w:rsid w:val="0051759F"/>
    <w:rsid w:val="0051775E"/>
    <w:rsid w:val="005207E7"/>
    <w:rsid w:val="00523279"/>
    <w:rsid w:val="00524566"/>
    <w:rsid w:val="0052465A"/>
    <w:rsid w:val="005246D1"/>
    <w:rsid w:val="00525E80"/>
    <w:rsid w:val="00526EAA"/>
    <w:rsid w:val="005278C3"/>
    <w:rsid w:val="00530BEF"/>
    <w:rsid w:val="00532072"/>
    <w:rsid w:val="00532B3A"/>
    <w:rsid w:val="00532B92"/>
    <w:rsid w:val="00532E36"/>
    <w:rsid w:val="0053442D"/>
    <w:rsid w:val="00536453"/>
    <w:rsid w:val="0054477F"/>
    <w:rsid w:val="005457EC"/>
    <w:rsid w:val="00545C77"/>
    <w:rsid w:val="0054795B"/>
    <w:rsid w:val="00551DEB"/>
    <w:rsid w:val="00552351"/>
    <w:rsid w:val="00553769"/>
    <w:rsid w:val="00554150"/>
    <w:rsid w:val="00554A02"/>
    <w:rsid w:val="005552F3"/>
    <w:rsid w:val="00561C6F"/>
    <w:rsid w:val="00561F00"/>
    <w:rsid w:val="00562C4E"/>
    <w:rsid w:val="00562DEC"/>
    <w:rsid w:val="0056396C"/>
    <w:rsid w:val="00563C69"/>
    <w:rsid w:val="00564933"/>
    <w:rsid w:val="005664F1"/>
    <w:rsid w:val="00567581"/>
    <w:rsid w:val="00571329"/>
    <w:rsid w:val="00575650"/>
    <w:rsid w:val="00575D39"/>
    <w:rsid w:val="0057697F"/>
    <w:rsid w:val="00576AB4"/>
    <w:rsid w:val="005774B5"/>
    <w:rsid w:val="00577917"/>
    <w:rsid w:val="00582E5D"/>
    <w:rsid w:val="00586235"/>
    <w:rsid w:val="00590667"/>
    <w:rsid w:val="00591B9A"/>
    <w:rsid w:val="00592CEA"/>
    <w:rsid w:val="00593572"/>
    <w:rsid w:val="005969E2"/>
    <w:rsid w:val="00597E08"/>
    <w:rsid w:val="00597EE4"/>
    <w:rsid w:val="00597F28"/>
    <w:rsid w:val="005A1689"/>
    <w:rsid w:val="005A2930"/>
    <w:rsid w:val="005A369D"/>
    <w:rsid w:val="005A766B"/>
    <w:rsid w:val="005A7A8A"/>
    <w:rsid w:val="005B05D5"/>
    <w:rsid w:val="005B61CD"/>
    <w:rsid w:val="005C251A"/>
    <w:rsid w:val="005C27E3"/>
    <w:rsid w:val="005C344E"/>
    <w:rsid w:val="005C4BDE"/>
    <w:rsid w:val="005C55F0"/>
    <w:rsid w:val="005C5E72"/>
    <w:rsid w:val="005C63F1"/>
    <w:rsid w:val="005C6A9C"/>
    <w:rsid w:val="005D1D58"/>
    <w:rsid w:val="005D2409"/>
    <w:rsid w:val="005D432C"/>
    <w:rsid w:val="005E00B6"/>
    <w:rsid w:val="005E0477"/>
    <w:rsid w:val="005E19EB"/>
    <w:rsid w:val="005E285E"/>
    <w:rsid w:val="005E2D0F"/>
    <w:rsid w:val="005E5520"/>
    <w:rsid w:val="005E5F16"/>
    <w:rsid w:val="005E64CF"/>
    <w:rsid w:val="005E72F8"/>
    <w:rsid w:val="005F0579"/>
    <w:rsid w:val="005F2244"/>
    <w:rsid w:val="005F3A53"/>
    <w:rsid w:val="005F407F"/>
    <w:rsid w:val="005F41F0"/>
    <w:rsid w:val="005F4FFB"/>
    <w:rsid w:val="005F6072"/>
    <w:rsid w:val="005F6398"/>
    <w:rsid w:val="005F63B2"/>
    <w:rsid w:val="005F7DF9"/>
    <w:rsid w:val="00600056"/>
    <w:rsid w:val="00600D69"/>
    <w:rsid w:val="00604B49"/>
    <w:rsid w:val="00605CCF"/>
    <w:rsid w:val="006062A3"/>
    <w:rsid w:val="0061079E"/>
    <w:rsid w:val="00610E08"/>
    <w:rsid w:val="0061225A"/>
    <w:rsid w:val="00612DC8"/>
    <w:rsid w:val="00613A4A"/>
    <w:rsid w:val="006140BF"/>
    <w:rsid w:val="006161BE"/>
    <w:rsid w:val="00616635"/>
    <w:rsid w:val="00620787"/>
    <w:rsid w:val="006221E1"/>
    <w:rsid w:val="006226E0"/>
    <w:rsid w:val="00623F80"/>
    <w:rsid w:val="0062439A"/>
    <w:rsid w:val="00626E47"/>
    <w:rsid w:val="00631BC9"/>
    <w:rsid w:val="00632434"/>
    <w:rsid w:val="006337F5"/>
    <w:rsid w:val="0063478F"/>
    <w:rsid w:val="00640086"/>
    <w:rsid w:val="00641C87"/>
    <w:rsid w:val="006427AE"/>
    <w:rsid w:val="00643ED2"/>
    <w:rsid w:val="00644256"/>
    <w:rsid w:val="00646ACC"/>
    <w:rsid w:val="00650977"/>
    <w:rsid w:val="0065239D"/>
    <w:rsid w:val="006539DE"/>
    <w:rsid w:val="00655BA6"/>
    <w:rsid w:val="00657BEA"/>
    <w:rsid w:val="00661D6F"/>
    <w:rsid w:val="006628E9"/>
    <w:rsid w:val="00664B53"/>
    <w:rsid w:val="006658FD"/>
    <w:rsid w:val="00666717"/>
    <w:rsid w:val="00666C89"/>
    <w:rsid w:val="0066725E"/>
    <w:rsid w:val="00667F23"/>
    <w:rsid w:val="006716C7"/>
    <w:rsid w:val="00676241"/>
    <w:rsid w:val="00676C59"/>
    <w:rsid w:val="00677559"/>
    <w:rsid w:val="006777EF"/>
    <w:rsid w:val="00681208"/>
    <w:rsid w:val="0068187E"/>
    <w:rsid w:val="00681FA9"/>
    <w:rsid w:val="00685596"/>
    <w:rsid w:val="006904F8"/>
    <w:rsid w:val="00691EA9"/>
    <w:rsid w:val="006924CE"/>
    <w:rsid w:val="00692BA9"/>
    <w:rsid w:val="006934D4"/>
    <w:rsid w:val="0069745C"/>
    <w:rsid w:val="006A08ED"/>
    <w:rsid w:val="006A3061"/>
    <w:rsid w:val="006A6DC3"/>
    <w:rsid w:val="006A7DC1"/>
    <w:rsid w:val="006B05EC"/>
    <w:rsid w:val="006B13E5"/>
    <w:rsid w:val="006B180E"/>
    <w:rsid w:val="006B2B13"/>
    <w:rsid w:val="006B37D9"/>
    <w:rsid w:val="006B4506"/>
    <w:rsid w:val="006C1480"/>
    <w:rsid w:val="006C4D75"/>
    <w:rsid w:val="006C6B5B"/>
    <w:rsid w:val="006C6BD4"/>
    <w:rsid w:val="006C7DAF"/>
    <w:rsid w:val="006D2D41"/>
    <w:rsid w:val="006D3540"/>
    <w:rsid w:val="006D49ED"/>
    <w:rsid w:val="006D55CE"/>
    <w:rsid w:val="006D637A"/>
    <w:rsid w:val="006D6B5E"/>
    <w:rsid w:val="006D6F24"/>
    <w:rsid w:val="006D7090"/>
    <w:rsid w:val="006E02A9"/>
    <w:rsid w:val="006E2ED6"/>
    <w:rsid w:val="006E31CB"/>
    <w:rsid w:val="006E3E4E"/>
    <w:rsid w:val="006F0707"/>
    <w:rsid w:val="006F1715"/>
    <w:rsid w:val="006F3F05"/>
    <w:rsid w:val="006F45BF"/>
    <w:rsid w:val="006F60E0"/>
    <w:rsid w:val="00702F71"/>
    <w:rsid w:val="00703522"/>
    <w:rsid w:val="007076BE"/>
    <w:rsid w:val="00710FBE"/>
    <w:rsid w:val="007123C1"/>
    <w:rsid w:val="00713781"/>
    <w:rsid w:val="00713DD5"/>
    <w:rsid w:val="00717821"/>
    <w:rsid w:val="00721530"/>
    <w:rsid w:val="007234B1"/>
    <w:rsid w:val="007256E9"/>
    <w:rsid w:val="00725A98"/>
    <w:rsid w:val="00732258"/>
    <w:rsid w:val="00734222"/>
    <w:rsid w:val="00734CCF"/>
    <w:rsid w:val="00735F5A"/>
    <w:rsid w:val="007366DF"/>
    <w:rsid w:val="007439E1"/>
    <w:rsid w:val="00756166"/>
    <w:rsid w:val="00756ECF"/>
    <w:rsid w:val="00757839"/>
    <w:rsid w:val="007620B1"/>
    <w:rsid w:val="00770C81"/>
    <w:rsid w:val="00771167"/>
    <w:rsid w:val="00772511"/>
    <w:rsid w:val="00773B36"/>
    <w:rsid w:val="00773FE8"/>
    <w:rsid w:val="00775C3E"/>
    <w:rsid w:val="00776958"/>
    <w:rsid w:val="007814FA"/>
    <w:rsid w:val="007823C7"/>
    <w:rsid w:val="00782A85"/>
    <w:rsid w:val="007848C3"/>
    <w:rsid w:val="00790096"/>
    <w:rsid w:val="00791024"/>
    <w:rsid w:val="0079251F"/>
    <w:rsid w:val="00793233"/>
    <w:rsid w:val="00793F0A"/>
    <w:rsid w:val="0079492D"/>
    <w:rsid w:val="00794D72"/>
    <w:rsid w:val="007953AC"/>
    <w:rsid w:val="007955FC"/>
    <w:rsid w:val="007A0A5B"/>
    <w:rsid w:val="007A2657"/>
    <w:rsid w:val="007A5A70"/>
    <w:rsid w:val="007A5C17"/>
    <w:rsid w:val="007A60EC"/>
    <w:rsid w:val="007B0039"/>
    <w:rsid w:val="007B2D02"/>
    <w:rsid w:val="007B39F0"/>
    <w:rsid w:val="007B54F2"/>
    <w:rsid w:val="007B6A8E"/>
    <w:rsid w:val="007B75BC"/>
    <w:rsid w:val="007C4B95"/>
    <w:rsid w:val="007C6206"/>
    <w:rsid w:val="007C682C"/>
    <w:rsid w:val="007D2248"/>
    <w:rsid w:val="007D2385"/>
    <w:rsid w:val="007D46AC"/>
    <w:rsid w:val="007D49A3"/>
    <w:rsid w:val="007D4C06"/>
    <w:rsid w:val="007D54C9"/>
    <w:rsid w:val="007D57B2"/>
    <w:rsid w:val="007D751E"/>
    <w:rsid w:val="007E1899"/>
    <w:rsid w:val="007E1DE6"/>
    <w:rsid w:val="007E2C96"/>
    <w:rsid w:val="007E5021"/>
    <w:rsid w:val="007E5B0F"/>
    <w:rsid w:val="007E6F99"/>
    <w:rsid w:val="007F1728"/>
    <w:rsid w:val="007F214F"/>
    <w:rsid w:val="007F251F"/>
    <w:rsid w:val="007F456C"/>
    <w:rsid w:val="007F64B5"/>
    <w:rsid w:val="007F7E81"/>
    <w:rsid w:val="00800069"/>
    <w:rsid w:val="008042F0"/>
    <w:rsid w:val="00804CFF"/>
    <w:rsid w:val="00810155"/>
    <w:rsid w:val="008148EE"/>
    <w:rsid w:val="00815B9E"/>
    <w:rsid w:val="0081656E"/>
    <w:rsid w:val="008214C2"/>
    <w:rsid w:val="008310A0"/>
    <w:rsid w:val="00832913"/>
    <w:rsid w:val="00834131"/>
    <w:rsid w:val="0083463B"/>
    <w:rsid w:val="0083595E"/>
    <w:rsid w:val="00835D29"/>
    <w:rsid w:val="00836D63"/>
    <w:rsid w:val="00841530"/>
    <w:rsid w:val="00842E7F"/>
    <w:rsid w:val="008440FE"/>
    <w:rsid w:val="0084422A"/>
    <w:rsid w:val="008446B7"/>
    <w:rsid w:val="00846425"/>
    <w:rsid w:val="00850771"/>
    <w:rsid w:val="00852933"/>
    <w:rsid w:val="0085301B"/>
    <w:rsid w:val="00854850"/>
    <w:rsid w:val="008566E5"/>
    <w:rsid w:val="008566FE"/>
    <w:rsid w:val="00861924"/>
    <w:rsid w:val="00864CB2"/>
    <w:rsid w:val="00865B46"/>
    <w:rsid w:val="00865B9A"/>
    <w:rsid w:val="008664FA"/>
    <w:rsid w:val="0087242D"/>
    <w:rsid w:val="008762E5"/>
    <w:rsid w:val="00876776"/>
    <w:rsid w:val="008773F3"/>
    <w:rsid w:val="0087746A"/>
    <w:rsid w:val="00880BB0"/>
    <w:rsid w:val="00883072"/>
    <w:rsid w:val="00884CAF"/>
    <w:rsid w:val="008878CA"/>
    <w:rsid w:val="00890ADA"/>
    <w:rsid w:val="00891F7D"/>
    <w:rsid w:val="0089424D"/>
    <w:rsid w:val="0089540F"/>
    <w:rsid w:val="00896134"/>
    <w:rsid w:val="00897806"/>
    <w:rsid w:val="008A4D61"/>
    <w:rsid w:val="008A62BC"/>
    <w:rsid w:val="008A6EAE"/>
    <w:rsid w:val="008B43E7"/>
    <w:rsid w:val="008B4DC2"/>
    <w:rsid w:val="008C020A"/>
    <w:rsid w:val="008C12B4"/>
    <w:rsid w:val="008C1BCF"/>
    <w:rsid w:val="008C1C56"/>
    <w:rsid w:val="008C71E0"/>
    <w:rsid w:val="008D004B"/>
    <w:rsid w:val="008D19DE"/>
    <w:rsid w:val="008D1C89"/>
    <w:rsid w:val="008D3EB7"/>
    <w:rsid w:val="008D3F22"/>
    <w:rsid w:val="008D71D8"/>
    <w:rsid w:val="008D763F"/>
    <w:rsid w:val="008E06F1"/>
    <w:rsid w:val="008E0F19"/>
    <w:rsid w:val="008E170C"/>
    <w:rsid w:val="008E28D1"/>
    <w:rsid w:val="008E3351"/>
    <w:rsid w:val="008E36E1"/>
    <w:rsid w:val="008E443F"/>
    <w:rsid w:val="008E49C5"/>
    <w:rsid w:val="008E4B0A"/>
    <w:rsid w:val="008E60A0"/>
    <w:rsid w:val="008E6AE2"/>
    <w:rsid w:val="008E6D1F"/>
    <w:rsid w:val="008F036F"/>
    <w:rsid w:val="008F1308"/>
    <w:rsid w:val="008F4610"/>
    <w:rsid w:val="008F4F15"/>
    <w:rsid w:val="008F5116"/>
    <w:rsid w:val="008F6456"/>
    <w:rsid w:val="008F78C2"/>
    <w:rsid w:val="008F7E00"/>
    <w:rsid w:val="00903170"/>
    <w:rsid w:val="00904568"/>
    <w:rsid w:val="00904CCE"/>
    <w:rsid w:val="00904DEF"/>
    <w:rsid w:val="0090693F"/>
    <w:rsid w:val="00910051"/>
    <w:rsid w:val="00911394"/>
    <w:rsid w:val="009156BD"/>
    <w:rsid w:val="00915F8F"/>
    <w:rsid w:val="0092022A"/>
    <w:rsid w:val="00920357"/>
    <w:rsid w:val="00921EE1"/>
    <w:rsid w:val="00923EF2"/>
    <w:rsid w:val="00926D25"/>
    <w:rsid w:val="00926E9D"/>
    <w:rsid w:val="0093042F"/>
    <w:rsid w:val="00931043"/>
    <w:rsid w:val="009317D6"/>
    <w:rsid w:val="0093181D"/>
    <w:rsid w:val="00932C6E"/>
    <w:rsid w:val="00933F10"/>
    <w:rsid w:val="00933F85"/>
    <w:rsid w:val="0093489B"/>
    <w:rsid w:val="009354A0"/>
    <w:rsid w:val="009355A0"/>
    <w:rsid w:val="00937A56"/>
    <w:rsid w:val="009412F6"/>
    <w:rsid w:val="0094137E"/>
    <w:rsid w:val="00942D2D"/>
    <w:rsid w:val="009433C5"/>
    <w:rsid w:val="00943F63"/>
    <w:rsid w:val="0094467B"/>
    <w:rsid w:val="0094545B"/>
    <w:rsid w:val="00945810"/>
    <w:rsid w:val="00950286"/>
    <w:rsid w:val="00951B8A"/>
    <w:rsid w:val="00953D31"/>
    <w:rsid w:val="009552C6"/>
    <w:rsid w:val="00955685"/>
    <w:rsid w:val="00955BCB"/>
    <w:rsid w:val="00960A33"/>
    <w:rsid w:val="00961E90"/>
    <w:rsid w:val="00965881"/>
    <w:rsid w:val="0096659A"/>
    <w:rsid w:val="00966B23"/>
    <w:rsid w:val="00972382"/>
    <w:rsid w:val="0097588D"/>
    <w:rsid w:val="00975EA4"/>
    <w:rsid w:val="00981BF9"/>
    <w:rsid w:val="00982A58"/>
    <w:rsid w:val="0098605B"/>
    <w:rsid w:val="009871FF"/>
    <w:rsid w:val="00990799"/>
    <w:rsid w:val="009908AB"/>
    <w:rsid w:val="00992EEF"/>
    <w:rsid w:val="00995D51"/>
    <w:rsid w:val="009A0631"/>
    <w:rsid w:val="009A0C78"/>
    <w:rsid w:val="009A2674"/>
    <w:rsid w:val="009A58B0"/>
    <w:rsid w:val="009A75B7"/>
    <w:rsid w:val="009B10ED"/>
    <w:rsid w:val="009B2B91"/>
    <w:rsid w:val="009B2CA4"/>
    <w:rsid w:val="009B4BEF"/>
    <w:rsid w:val="009B5862"/>
    <w:rsid w:val="009B7577"/>
    <w:rsid w:val="009C1690"/>
    <w:rsid w:val="009C3DA8"/>
    <w:rsid w:val="009C5611"/>
    <w:rsid w:val="009D00B2"/>
    <w:rsid w:val="009D197A"/>
    <w:rsid w:val="009D37D7"/>
    <w:rsid w:val="009D3EA4"/>
    <w:rsid w:val="009D5313"/>
    <w:rsid w:val="009D649C"/>
    <w:rsid w:val="009E094F"/>
    <w:rsid w:val="009E2C57"/>
    <w:rsid w:val="009E43DB"/>
    <w:rsid w:val="009E4BC1"/>
    <w:rsid w:val="009E71F1"/>
    <w:rsid w:val="009F0E68"/>
    <w:rsid w:val="009F1784"/>
    <w:rsid w:val="009F1967"/>
    <w:rsid w:val="009F41ED"/>
    <w:rsid w:val="009F5CB2"/>
    <w:rsid w:val="009F73A5"/>
    <w:rsid w:val="009F7B66"/>
    <w:rsid w:val="00A03ADA"/>
    <w:rsid w:val="00A03BB8"/>
    <w:rsid w:val="00A0686D"/>
    <w:rsid w:val="00A12E45"/>
    <w:rsid w:val="00A132DD"/>
    <w:rsid w:val="00A16E4C"/>
    <w:rsid w:val="00A16EDE"/>
    <w:rsid w:val="00A20467"/>
    <w:rsid w:val="00A223E0"/>
    <w:rsid w:val="00A24828"/>
    <w:rsid w:val="00A265AC"/>
    <w:rsid w:val="00A27C1A"/>
    <w:rsid w:val="00A27CA1"/>
    <w:rsid w:val="00A307B4"/>
    <w:rsid w:val="00A31E5D"/>
    <w:rsid w:val="00A31E8B"/>
    <w:rsid w:val="00A32F3F"/>
    <w:rsid w:val="00A3505D"/>
    <w:rsid w:val="00A351E2"/>
    <w:rsid w:val="00A4036F"/>
    <w:rsid w:val="00A406E5"/>
    <w:rsid w:val="00A42116"/>
    <w:rsid w:val="00A42B9E"/>
    <w:rsid w:val="00A45086"/>
    <w:rsid w:val="00A45BE6"/>
    <w:rsid w:val="00A46335"/>
    <w:rsid w:val="00A4641C"/>
    <w:rsid w:val="00A53BB5"/>
    <w:rsid w:val="00A54924"/>
    <w:rsid w:val="00A55876"/>
    <w:rsid w:val="00A61373"/>
    <w:rsid w:val="00A64B63"/>
    <w:rsid w:val="00A64F54"/>
    <w:rsid w:val="00A67FB1"/>
    <w:rsid w:val="00A715B6"/>
    <w:rsid w:val="00A7249E"/>
    <w:rsid w:val="00A743DA"/>
    <w:rsid w:val="00A7517C"/>
    <w:rsid w:val="00A80467"/>
    <w:rsid w:val="00A80FD9"/>
    <w:rsid w:val="00A817F1"/>
    <w:rsid w:val="00A85BFE"/>
    <w:rsid w:val="00A9140E"/>
    <w:rsid w:val="00A947DE"/>
    <w:rsid w:val="00AA16E2"/>
    <w:rsid w:val="00AA280E"/>
    <w:rsid w:val="00AA32E4"/>
    <w:rsid w:val="00AA6731"/>
    <w:rsid w:val="00AA6B1B"/>
    <w:rsid w:val="00AA79E4"/>
    <w:rsid w:val="00AB12F6"/>
    <w:rsid w:val="00AB2286"/>
    <w:rsid w:val="00AB34AA"/>
    <w:rsid w:val="00AB419E"/>
    <w:rsid w:val="00AB509F"/>
    <w:rsid w:val="00AB6FE7"/>
    <w:rsid w:val="00AB7AD7"/>
    <w:rsid w:val="00AB7C4B"/>
    <w:rsid w:val="00AC100B"/>
    <w:rsid w:val="00AC4883"/>
    <w:rsid w:val="00AC5F32"/>
    <w:rsid w:val="00AC761C"/>
    <w:rsid w:val="00AC7753"/>
    <w:rsid w:val="00AD1004"/>
    <w:rsid w:val="00AD2430"/>
    <w:rsid w:val="00AD2680"/>
    <w:rsid w:val="00AE102E"/>
    <w:rsid w:val="00AE41A6"/>
    <w:rsid w:val="00AE41C3"/>
    <w:rsid w:val="00AF0E34"/>
    <w:rsid w:val="00AF1C17"/>
    <w:rsid w:val="00AF271D"/>
    <w:rsid w:val="00AF56C2"/>
    <w:rsid w:val="00AF5AAE"/>
    <w:rsid w:val="00AF6137"/>
    <w:rsid w:val="00B004E6"/>
    <w:rsid w:val="00B010AD"/>
    <w:rsid w:val="00B04FD6"/>
    <w:rsid w:val="00B05152"/>
    <w:rsid w:val="00B06FDD"/>
    <w:rsid w:val="00B0744D"/>
    <w:rsid w:val="00B07D16"/>
    <w:rsid w:val="00B10CF0"/>
    <w:rsid w:val="00B16369"/>
    <w:rsid w:val="00B20B1D"/>
    <w:rsid w:val="00B2151A"/>
    <w:rsid w:val="00B23C03"/>
    <w:rsid w:val="00B266B4"/>
    <w:rsid w:val="00B275B9"/>
    <w:rsid w:val="00B27BAE"/>
    <w:rsid w:val="00B27CD7"/>
    <w:rsid w:val="00B310EB"/>
    <w:rsid w:val="00B3555B"/>
    <w:rsid w:val="00B36BB0"/>
    <w:rsid w:val="00B4058A"/>
    <w:rsid w:val="00B41592"/>
    <w:rsid w:val="00B450C6"/>
    <w:rsid w:val="00B45D6A"/>
    <w:rsid w:val="00B46037"/>
    <w:rsid w:val="00B4653D"/>
    <w:rsid w:val="00B4678E"/>
    <w:rsid w:val="00B50EA8"/>
    <w:rsid w:val="00B52CA4"/>
    <w:rsid w:val="00B538F2"/>
    <w:rsid w:val="00B558F1"/>
    <w:rsid w:val="00B56D01"/>
    <w:rsid w:val="00B5701B"/>
    <w:rsid w:val="00B57D8D"/>
    <w:rsid w:val="00B60705"/>
    <w:rsid w:val="00B623FF"/>
    <w:rsid w:val="00B626DD"/>
    <w:rsid w:val="00B628E8"/>
    <w:rsid w:val="00B633E7"/>
    <w:rsid w:val="00B64082"/>
    <w:rsid w:val="00B64736"/>
    <w:rsid w:val="00B67B45"/>
    <w:rsid w:val="00B700C3"/>
    <w:rsid w:val="00B71C09"/>
    <w:rsid w:val="00B72325"/>
    <w:rsid w:val="00B72815"/>
    <w:rsid w:val="00B72EC6"/>
    <w:rsid w:val="00B763D8"/>
    <w:rsid w:val="00B80E88"/>
    <w:rsid w:val="00B81993"/>
    <w:rsid w:val="00B81AD3"/>
    <w:rsid w:val="00B82167"/>
    <w:rsid w:val="00B821FB"/>
    <w:rsid w:val="00B829D8"/>
    <w:rsid w:val="00B83440"/>
    <w:rsid w:val="00B83A1D"/>
    <w:rsid w:val="00B84B5B"/>
    <w:rsid w:val="00B859FC"/>
    <w:rsid w:val="00B85E3D"/>
    <w:rsid w:val="00B86446"/>
    <w:rsid w:val="00B86FB7"/>
    <w:rsid w:val="00B9341C"/>
    <w:rsid w:val="00B95F01"/>
    <w:rsid w:val="00B96CE0"/>
    <w:rsid w:val="00BA1176"/>
    <w:rsid w:val="00BA12D0"/>
    <w:rsid w:val="00BA1879"/>
    <w:rsid w:val="00BA1C01"/>
    <w:rsid w:val="00BA339C"/>
    <w:rsid w:val="00BA7A8F"/>
    <w:rsid w:val="00BB301D"/>
    <w:rsid w:val="00BB32CB"/>
    <w:rsid w:val="00BB43E8"/>
    <w:rsid w:val="00BB5021"/>
    <w:rsid w:val="00BB56F1"/>
    <w:rsid w:val="00BC012F"/>
    <w:rsid w:val="00BC0243"/>
    <w:rsid w:val="00BC088E"/>
    <w:rsid w:val="00BC230D"/>
    <w:rsid w:val="00BC26C1"/>
    <w:rsid w:val="00BC26E8"/>
    <w:rsid w:val="00BC2A27"/>
    <w:rsid w:val="00BC33FB"/>
    <w:rsid w:val="00BD0D53"/>
    <w:rsid w:val="00BD1B5F"/>
    <w:rsid w:val="00BD22C2"/>
    <w:rsid w:val="00BD2BAC"/>
    <w:rsid w:val="00BD6EE3"/>
    <w:rsid w:val="00BD765E"/>
    <w:rsid w:val="00BD772A"/>
    <w:rsid w:val="00BE0B01"/>
    <w:rsid w:val="00BE161C"/>
    <w:rsid w:val="00BE1FC0"/>
    <w:rsid w:val="00BE2496"/>
    <w:rsid w:val="00BE2A68"/>
    <w:rsid w:val="00BE349B"/>
    <w:rsid w:val="00BE3A91"/>
    <w:rsid w:val="00BE3ED7"/>
    <w:rsid w:val="00BE79C7"/>
    <w:rsid w:val="00BF059B"/>
    <w:rsid w:val="00BF10F7"/>
    <w:rsid w:val="00BF11E1"/>
    <w:rsid w:val="00BF138D"/>
    <w:rsid w:val="00BF3CB5"/>
    <w:rsid w:val="00BF4D1A"/>
    <w:rsid w:val="00BF5660"/>
    <w:rsid w:val="00BF58C7"/>
    <w:rsid w:val="00C0025E"/>
    <w:rsid w:val="00C008EC"/>
    <w:rsid w:val="00C01A3F"/>
    <w:rsid w:val="00C02BC8"/>
    <w:rsid w:val="00C03234"/>
    <w:rsid w:val="00C03938"/>
    <w:rsid w:val="00C03C48"/>
    <w:rsid w:val="00C059CD"/>
    <w:rsid w:val="00C0606D"/>
    <w:rsid w:val="00C073F1"/>
    <w:rsid w:val="00C103D8"/>
    <w:rsid w:val="00C11D4A"/>
    <w:rsid w:val="00C1285B"/>
    <w:rsid w:val="00C1361B"/>
    <w:rsid w:val="00C14E1F"/>
    <w:rsid w:val="00C150B6"/>
    <w:rsid w:val="00C16535"/>
    <w:rsid w:val="00C206AC"/>
    <w:rsid w:val="00C20826"/>
    <w:rsid w:val="00C22B45"/>
    <w:rsid w:val="00C24493"/>
    <w:rsid w:val="00C262DA"/>
    <w:rsid w:val="00C3091E"/>
    <w:rsid w:val="00C315AF"/>
    <w:rsid w:val="00C33EB7"/>
    <w:rsid w:val="00C36D9A"/>
    <w:rsid w:val="00C37260"/>
    <w:rsid w:val="00C4255B"/>
    <w:rsid w:val="00C44A72"/>
    <w:rsid w:val="00C45017"/>
    <w:rsid w:val="00C46BB1"/>
    <w:rsid w:val="00C50F28"/>
    <w:rsid w:val="00C51E0A"/>
    <w:rsid w:val="00C52455"/>
    <w:rsid w:val="00C53E0B"/>
    <w:rsid w:val="00C541CB"/>
    <w:rsid w:val="00C5463D"/>
    <w:rsid w:val="00C558E2"/>
    <w:rsid w:val="00C56693"/>
    <w:rsid w:val="00C61FC2"/>
    <w:rsid w:val="00C63B27"/>
    <w:rsid w:val="00C67BC8"/>
    <w:rsid w:val="00C705F9"/>
    <w:rsid w:val="00C70841"/>
    <w:rsid w:val="00C72A9A"/>
    <w:rsid w:val="00C72F11"/>
    <w:rsid w:val="00C748AC"/>
    <w:rsid w:val="00C75BD3"/>
    <w:rsid w:val="00C80F0F"/>
    <w:rsid w:val="00C81F4C"/>
    <w:rsid w:val="00C84AD4"/>
    <w:rsid w:val="00C8559B"/>
    <w:rsid w:val="00C8667A"/>
    <w:rsid w:val="00C87836"/>
    <w:rsid w:val="00C90DD1"/>
    <w:rsid w:val="00C917EC"/>
    <w:rsid w:val="00C92437"/>
    <w:rsid w:val="00C93AC4"/>
    <w:rsid w:val="00C93BCB"/>
    <w:rsid w:val="00C9523C"/>
    <w:rsid w:val="00C974DA"/>
    <w:rsid w:val="00CA331E"/>
    <w:rsid w:val="00CA40B9"/>
    <w:rsid w:val="00CA75C1"/>
    <w:rsid w:val="00CA7854"/>
    <w:rsid w:val="00CB3337"/>
    <w:rsid w:val="00CB5CB6"/>
    <w:rsid w:val="00CB7831"/>
    <w:rsid w:val="00CB7B7B"/>
    <w:rsid w:val="00CC0D4F"/>
    <w:rsid w:val="00CC1956"/>
    <w:rsid w:val="00CC241A"/>
    <w:rsid w:val="00CC2437"/>
    <w:rsid w:val="00CC5B50"/>
    <w:rsid w:val="00CD2145"/>
    <w:rsid w:val="00CD2582"/>
    <w:rsid w:val="00CD27E1"/>
    <w:rsid w:val="00CD2E8A"/>
    <w:rsid w:val="00CD3E77"/>
    <w:rsid w:val="00CD7222"/>
    <w:rsid w:val="00CD737C"/>
    <w:rsid w:val="00CD7DF9"/>
    <w:rsid w:val="00CE096A"/>
    <w:rsid w:val="00CE194B"/>
    <w:rsid w:val="00CE4035"/>
    <w:rsid w:val="00CE47E7"/>
    <w:rsid w:val="00CE65AB"/>
    <w:rsid w:val="00CE79DB"/>
    <w:rsid w:val="00CE7DDA"/>
    <w:rsid w:val="00CF086B"/>
    <w:rsid w:val="00CF2332"/>
    <w:rsid w:val="00CF4266"/>
    <w:rsid w:val="00CF62A2"/>
    <w:rsid w:val="00D03E33"/>
    <w:rsid w:val="00D05438"/>
    <w:rsid w:val="00D07B95"/>
    <w:rsid w:val="00D104A7"/>
    <w:rsid w:val="00D110C0"/>
    <w:rsid w:val="00D11E9B"/>
    <w:rsid w:val="00D144F4"/>
    <w:rsid w:val="00D15FFF"/>
    <w:rsid w:val="00D17CA4"/>
    <w:rsid w:val="00D22D9C"/>
    <w:rsid w:val="00D23843"/>
    <w:rsid w:val="00D23AF1"/>
    <w:rsid w:val="00D241F1"/>
    <w:rsid w:val="00D2482F"/>
    <w:rsid w:val="00D25450"/>
    <w:rsid w:val="00D2635B"/>
    <w:rsid w:val="00D26C17"/>
    <w:rsid w:val="00D26C47"/>
    <w:rsid w:val="00D27428"/>
    <w:rsid w:val="00D275CB"/>
    <w:rsid w:val="00D3059B"/>
    <w:rsid w:val="00D30A5A"/>
    <w:rsid w:val="00D30DFA"/>
    <w:rsid w:val="00D3420B"/>
    <w:rsid w:val="00D34CE3"/>
    <w:rsid w:val="00D35689"/>
    <w:rsid w:val="00D3766D"/>
    <w:rsid w:val="00D40B11"/>
    <w:rsid w:val="00D411D1"/>
    <w:rsid w:val="00D42506"/>
    <w:rsid w:val="00D425C1"/>
    <w:rsid w:val="00D4360B"/>
    <w:rsid w:val="00D463A5"/>
    <w:rsid w:val="00D4710D"/>
    <w:rsid w:val="00D47C76"/>
    <w:rsid w:val="00D47D25"/>
    <w:rsid w:val="00D5292D"/>
    <w:rsid w:val="00D53C13"/>
    <w:rsid w:val="00D54202"/>
    <w:rsid w:val="00D56F25"/>
    <w:rsid w:val="00D6086F"/>
    <w:rsid w:val="00D6215D"/>
    <w:rsid w:val="00D62ACD"/>
    <w:rsid w:val="00D65EFD"/>
    <w:rsid w:val="00D70607"/>
    <w:rsid w:val="00D707C2"/>
    <w:rsid w:val="00D71A83"/>
    <w:rsid w:val="00D740E5"/>
    <w:rsid w:val="00D74F9E"/>
    <w:rsid w:val="00D767AE"/>
    <w:rsid w:val="00D76FB3"/>
    <w:rsid w:val="00D83859"/>
    <w:rsid w:val="00D854C9"/>
    <w:rsid w:val="00D9013E"/>
    <w:rsid w:val="00D90DE1"/>
    <w:rsid w:val="00D951E0"/>
    <w:rsid w:val="00D9532E"/>
    <w:rsid w:val="00DA36EE"/>
    <w:rsid w:val="00DA5336"/>
    <w:rsid w:val="00DA59C4"/>
    <w:rsid w:val="00DB116D"/>
    <w:rsid w:val="00DB155C"/>
    <w:rsid w:val="00DB336D"/>
    <w:rsid w:val="00DB36CC"/>
    <w:rsid w:val="00DB444C"/>
    <w:rsid w:val="00DB7473"/>
    <w:rsid w:val="00DB7CB5"/>
    <w:rsid w:val="00DC5C22"/>
    <w:rsid w:val="00DC71E9"/>
    <w:rsid w:val="00DC7D78"/>
    <w:rsid w:val="00DD0285"/>
    <w:rsid w:val="00DD17CC"/>
    <w:rsid w:val="00DD3852"/>
    <w:rsid w:val="00DD59BB"/>
    <w:rsid w:val="00DD62A6"/>
    <w:rsid w:val="00DD6E37"/>
    <w:rsid w:val="00DE217A"/>
    <w:rsid w:val="00DE3539"/>
    <w:rsid w:val="00DE583F"/>
    <w:rsid w:val="00DE5A74"/>
    <w:rsid w:val="00DF0364"/>
    <w:rsid w:val="00DF0688"/>
    <w:rsid w:val="00DF06EE"/>
    <w:rsid w:val="00DF1E11"/>
    <w:rsid w:val="00DF3073"/>
    <w:rsid w:val="00DF321B"/>
    <w:rsid w:val="00DF3DC3"/>
    <w:rsid w:val="00DF4F2C"/>
    <w:rsid w:val="00DF57F5"/>
    <w:rsid w:val="00DF5CA8"/>
    <w:rsid w:val="00DF5E54"/>
    <w:rsid w:val="00E017C7"/>
    <w:rsid w:val="00E03355"/>
    <w:rsid w:val="00E05395"/>
    <w:rsid w:val="00E05B3A"/>
    <w:rsid w:val="00E05F7D"/>
    <w:rsid w:val="00E11DFE"/>
    <w:rsid w:val="00E13A38"/>
    <w:rsid w:val="00E14C83"/>
    <w:rsid w:val="00E16C97"/>
    <w:rsid w:val="00E201FF"/>
    <w:rsid w:val="00E204DD"/>
    <w:rsid w:val="00E2082F"/>
    <w:rsid w:val="00E212C1"/>
    <w:rsid w:val="00E21F52"/>
    <w:rsid w:val="00E230E0"/>
    <w:rsid w:val="00E24509"/>
    <w:rsid w:val="00E261E8"/>
    <w:rsid w:val="00E27A23"/>
    <w:rsid w:val="00E301BC"/>
    <w:rsid w:val="00E3118D"/>
    <w:rsid w:val="00E3421F"/>
    <w:rsid w:val="00E3465B"/>
    <w:rsid w:val="00E36361"/>
    <w:rsid w:val="00E40D1E"/>
    <w:rsid w:val="00E46F57"/>
    <w:rsid w:val="00E51AAC"/>
    <w:rsid w:val="00E522AA"/>
    <w:rsid w:val="00E54A95"/>
    <w:rsid w:val="00E566B4"/>
    <w:rsid w:val="00E61D43"/>
    <w:rsid w:val="00E623DE"/>
    <w:rsid w:val="00E66CC0"/>
    <w:rsid w:val="00E67B04"/>
    <w:rsid w:val="00E7099B"/>
    <w:rsid w:val="00E71815"/>
    <w:rsid w:val="00E718F8"/>
    <w:rsid w:val="00E728A9"/>
    <w:rsid w:val="00E7440A"/>
    <w:rsid w:val="00E75A10"/>
    <w:rsid w:val="00E801C5"/>
    <w:rsid w:val="00E8042D"/>
    <w:rsid w:val="00E807D9"/>
    <w:rsid w:val="00E80A3D"/>
    <w:rsid w:val="00E82B30"/>
    <w:rsid w:val="00E831B5"/>
    <w:rsid w:val="00E84051"/>
    <w:rsid w:val="00E8428A"/>
    <w:rsid w:val="00E90D32"/>
    <w:rsid w:val="00E9146F"/>
    <w:rsid w:val="00E93984"/>
    <w:rsid w:val="00E94E16"/>
    <w:rsid w:val="00E959BB"/>
    <w:rsid w:val="00EA0F4E"/>
    <w:rsid w:val="00EA1382"/>
    <w:rsid w:val="00EA229B"/>
    <w:rsid w:val="00EA295B"/>
    <w:rsid w:val="00EA3B9B"/>
    <w:rsid w:val="00EA4F9B"/>
    <w:rsid w:val="00EA6801"/>
    <w:rsid w:val="00EB15B0"/>
    <w:rsid w:val="00EB3A95"/>
    <w:rsid w:val="00EB4490"/>
    <w:rsid w:val="00EB4F96"/>
    <w:rsid w:val="00EB5B3B"/>
    <w:rsid w:val="00EC0BB4"/>
    <w:rsid w:val="00EC5272"/>
    <w:rsid w:val="00ED31DC"/>
    <w:rsid w:val="00ED494E"/>
    <w:rsid w:val="00ED7072"/>
    <w:rsid w:val="00ED7108"/>
    <w:rsid w:val="00EE14BE"/>
    <w:rsid w:val="00EE21EB"/>
    <w:rsid w:val="00EE3132"/>
    <w:rsid w:val="00EE3D9D"/>
    <w:rsid w:val="00EE6F25"/>
    <w:rsid w:val="00EE711A"/>
    <w:rsid w:val="00EF00E2"/>
    <w:rsid w:val="00EF4B31"/>
    <w:rsid w:val="00EF7AB7"/>
    <w:rsid w:val="00F01768"/>
    <w:rsid w:val="00F02126"/>
    <w:rsid w:val="00F027A9"/>
    <w:rsid w:val="00F03D85"/>
    <w:rsid w:val="00F04178"/>
    <w:rsid w:val="00F05989"/>
    <w:rsid w:val="00F071A2"/>
    <w:rsid w:val="00F07C8C"/>
    <w:rsid w:val="00F10071"/>
    <w:rsid w:val="00F11045"/>
    <w:rsid w:val="00F151C8"/>
    <w:rsid w:val="00F152FA"/>
    <w:rsid w:val="00F23692"/>
    <w:rsid w:val="00F249F1"/>
    <w:rsid w:val="00F25696"/>
    <w:rsid w:val="00F25B9D"/>
    <w:rsid w:val="00F2664E"/>
    <w:rsid w:val="00F269A2"/>
    <w:rsid w:val="00F30994"/>
    <w:rsid w:val="00F31163"/>
    <w:rsid w:val="00F31ABA"/>
    <w:rsid w:val="00F31C04"/>
    <w:rsid w:val="00F36E12"/>
    <w:rsid w:val="00F411C8"/>
    <w:rsid w:val="00F41EC3"/>
    <w:rsid w:val="00F43B8B"/>
    <w:rsid w:val="00F442A7"/>
    <w:rsid w:val="00F45764"/>
    <w:rsid w:val="00F47C34"/>
    <w:rsid w:val="00F53843"/>
    <w:rsid w:val="00F5407C"/>
    <w:rsid w:val="00F55292"/>
    <w:rsid w:val="00F579DD"/>
    <w:rsid w:val="00F57A89"/>
    <w:rsid w:val="00F61689"/>
    <w:rsid w:val="00F61A20"/>
    <w:rsid w:val="00F62A6B"/>
    <w:rsid w:val="00F62EFA"/>
    <w:rsid w:val="00F63DD9"/>
    <w:rsid w:val="00F64065"/>
    <w:rsid w:val="00F6444D"/>
    <w:rsid w:val="00F65A78"/>
    <w:rsid w:val="00F66528"/>
    <w:rsid w:val="00F67644"/>
    <w:rsid w:val="00F67834"/>
    <w:rsid w:val="00F70C21"/>
    <w:rsid w:val="00F70DBE"/>
    <w:rsid w:val="00F726DE"/>
    <w:rsid w:val="00F73FD4"/>
    <w:rsid w:val="00F7427D"/>
    <w:rsid w:val="00F756DF"/>
    <w:rsid w:val="00F766DE"/>
    <w:rsid w:val="00F76E58"/>
    <w:rsid w:val="00F807FC"/>
    <w:rsid w:val="00F81D89"/>
    <w:rsid w:val="00F8381F"/>
    <w:rsid w:val="00F847DC"/>
    <w:rsid w:val="00F85579"/>
    <w:rsid w:val="00F907FF"/>
    <w:rsid w:val="00F9493C"/>
    <w:rsid w:val="00F94B6E"/>
    <w:rsid w:val="00F96DF6"/>
    <w:rsid w:val="00FA04CD"/>
    <w:rsid w:val="00FA19B9"/>
    <w:rsid w:val="00FA1B43"/>
    <w:rsid w:val="00FA25B0"/>
    <w:rsid w:val="00FA25F5"/>
    <w:rsid w:val="00FA2810"/>
    <w:rsid w:val="00FA5308"/>
    <w:rsid w:val="00FA5578"/>
    <w:rsid w:val="00FA68F8"/>
    <w:rsid w:val="00FA7CF7"/>
    <w:rsid w:val="00FB05D5"/>
    <w:rsid w:val="00FB19FE"/>
    <w:rsid w:val="00FB1DC0"/>
    <w:rsid w:val="00FB39E9"/>
    <w:rsid w:val="00FB3B4E"/>
    <w:rsid w:val="00FB4521"/>
    <w:rsid w:val="00FB495C"/>
    <w:rsid w:val="00FB4F84"/>
    <w:rsid w:val="00FB5C65"/>
    <w:rsid w:val="00FB5CF8"/>
    <w:rsid w:val="00FC0528"/>
    <w:rsid w:val="00FC0C10"/>
    <w:rsid w:val="00FC5459"/>
    <w:rsid w:val="00FC7175"/>
    <w:rsid w:val="00FD1128"/>
    <w:rsid w:val="00FD513A"/>
    <w:rsid w:val="00FD599C"/>
    <w:rsid w:val="00FE0C9C"/>
    <w:rsid w:val="00FE204B"/>
    <w:rsid w:val="00FE5651"/>
    <w:rsid w:val="00FE61CF"/>
    <w:rsid w:val="00FE6C29"/>
    <w:rsid w:val="00FE711F"/>
    <w:rsid w:val="00FF04F7"/>
    <w:rsid w:val="00FF273B"/>
    <w:rsid w:val="00FF3C8C"/>
    <w:rsid w:val="00FF4E7E"/>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2AC77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C63F1"/>
    <w:rPr>
      <w:rFonts w:eastAsia="Times New Roman"/>
      <w:sz w:val="24"/>
      <w:szCs w:val="24"/>
      <w:lang w:val="en-HK" w:eastAsia="zh-CN"/>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rFonts w:eastAsia="PMingLiU"/>
      <w:b/>
      <w:sz w:val="36"/>
      <w:szCs w:val="20"/>
      <w:lang w:val="en-GB" w:eastAsia="en-GB"/>
    </w:rPr>
  </w:style>
  <w:style w:type="paragraph" w:styleId="Heading2">
    <w:name w:val="heading 2"/>
    <w:basedOn w:val="Normal"/>
    <w:next w:val="Normal"/>
    <w:qFormat/>
    <w:pPr>
      <w:keepNext/>
      <w:jc w:val="both"/>
      <w:outlineLvl w:val="1"/>
    </w:pPr>
    <w:rPr>
      <w:rFonts w:eastAsia="PMingLiU"/>
      <w:b/>
      <w:szCs w:val="20"/>
      <w:lang w:val="en-GB" w:eastAsia="en-GB"/>
    </w:rPr>
  </w:style>
  <w:style w:type="paragraph" w:styleId="Heading3">
    <w:name w:val="heading 3"/>
    <w:basedOn w:val="Normal"/>
    <w:next w:val="Normal"/>
    <w:qFormat/>
    <w:pPr>
      <w:keepNext/>
      <w:jc w:val="center"/>
      <w:outlineLvl w:val="2"/>
    </w:pPr>
    <w:rPr>
      <w:rFonts w:eastAsia="PMingLiU"/>
      <w:b/>
      <w:szCs w:val="20"/>
      <w:lang w:val="en-GB" w:eastAsia="en-GB"/>
    </w:rPr>
  </w:style>
  <w:style w:type="paragraph" w:styleId="Heading4">
    <w:name w:val="heading 4"/>
    <w:basedOn w:val="Normal"/>
    <w:next w:val="Normal"/>
    <w:qFormat/>
    <w:pPr>
      <w:keepNext/>
      <w:spacing w:before="120" w:after="120"/>
      <w:jc w:val="center"/>
      <w:outlineLvl w:val="3"/>
    </w:pPr>
    <w:rPr>
      <w:rFonts w:eastAsia="PMingLiU"/>
      <w:sz w:val="40"/>
      <w:szCs w:val="20"/>
      <w:lang w:val="en-GB" w:eastAsia="en-GB"/>
    </w:rPr>
  </w:style>
  <w:style w:type="paragraph" w:styleId="Heading5">
    <w:name w:val="heading 5"/>
    <w:basedOn w:val="Normal"/>
    <w:next w:val="Normal"/>
    <w:link w:val="Heading5Char"/>
    <w:semiHidden/>
    <w:unhideWhenUsed/>
    <w:qFormat/>
    <w:rsid w:val="00132388"/>
    <w:pPr>
      <w:keepNext/>
      <w:keepLines/>
      <w:spacing w:before="40"/>
      <w:outlineLvl w:val="4"/>
    </w:pPr>
    <w:rPr>
      <w:rFonts w:asciiTheme="majorHAnsi" w:eastAsiaTheme="majorEastAsia" w:hAnsiTheme="majorHAnsi" w:cstheme="majorBidi"/>
      <w:color w:val="365F91" w:themeColor="accent1" w:themeShade="BF"/>
      <w:sz w:val="20"/>
      <w:szCs w:val="20"/>
      <w:lang w:val="en-GB" w:eastAsia="en-GB"/>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eastAsia="PMingLiU" w:hAnsi="Arial" w:cs="Arial"/>
      <w:b/>
      <w:bCs/>
      <w:szCs w:val="20"/>
      <w:lang w:val="en-GB"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rFonts w:eastAsia="PMingLiU"/>
      <w:sz w:val="20"/>
      <w:szCs w:val="20"/>
      <w:lang w:val="en-GB" w:eastAsia="en-GB"/>
    </w:rPr>
  </w:style>
  <w:style w:type="paragraph" w:styleId="Footer">
    <w:name w:val="footer"/>
    <w:basedOn w:val="Normal"/>
    <w:link w:val="FooterChar"/>
    <w:uiPriority w:val="99"/>
    <w:pPr>
      <w:tabs>
        <w:tab w:val="center" w:pos="4153"/>
        <w:tab w:val="right" w:pos="8306"/>
      </w:tabs>
    </w:pPr>
    <w:rPr>
      <w:rFonts w:eastAsia="PMingLiU"/>
      <w:sz w:val="20"/>
      <w:szCs w:val="20"/>
      <w:lang w:val="en-GB" w:eastAsia="en-GB"/>
    </w:rPr>
  </w:style>
  <w:style w:type="paragraph" w:styleId="NormalWeb">
    <w:name w:val="Normal (Web)"/>
    <w:basedOn w:val="Normal"/>
    <w:uiPriority w:val="99"/>
    <w:rsid w:val="00362560"/>
    <w:pPr>
      <w:spacing w:before="100" w:after="100"/>
    </w:pPr>
    <w:rPr>
      <w:rFonts w:eastAsia="PMingLiU"/>
      <w:szCs w:val="20"/>
      <w:lang w:val="en-GB"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rFonts w:eastAsia="PMingLiU"/>
      <w:sz w:val="16"/>
      <w:szCs w:val="20"/>
      <w:lang w:val="en-GB" w:eastAsia="en-US"/>
    </w:rPr>
  </w:style>
  <w:style w:type="paragraph" w:customStyle="1" w:styleId="BodyText1">
    <w:name w:val="Body Text1"/>
    <w:basedOn w:val="Normal"/>
    <w:rsid w:val="001F07EF"/>
    <w:pPr>
      <w:tabs>
        <w:tab w:val="left" w:pos="720"/>
        <w:tab w:val="left" w:pos="1440"/>
      </w:tabs>
    </w:pPr>
    <w:rPr>
      <w:rFonts w:ascii="CG Times (WN)" w:eastAsia="PMingLiU" w:hAnsi="CG Times (WN)"/>
      <w:szCs w:val="20"/>
      <w:lang w:val="en-GB" w:eastAsia="en-US"/>
    </w:rPr>
  </w:style>
  <w:style w:type="paragraph" w:styleId="BalloonText">
    <w:name w:val="Balloon Text"/>
    <w:basedOn w:val="Normal"/>
    <w:link w:val="BalloonTextChar"/>
    <w:rsid w:val="00A55876"/>
    <w:rPr>
      <w:rFonts w:ascii="Tahoma" w:eastAsia="PMingLiU" w:hAnsi="Tahoma" w:cs="Tahoma"/>
      <w:sz w:val="16"/>
      <w:szCs w:val="16"/>
      <w:lang w:val="en-GB" w:eastAsia="en-GB"/>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eastAsia="PMingLiU"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rPr>
      <w:rFonts w:eastAsia="PMingLiU"/>
      <w:sz w:val="20"/>
      <w:szCs w:val="20"/>
      <w:lang w:val="en-GB" w:eastAsia="en-GB"/>
    </w:r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DE5A7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qFormat/>
    <w:rsid w:val="00DE5A74"/>
  </w:style>
  <w:style w:type="paragraph" w:styleId="BodyText">
    <w:name w:val="Body Text"/>
    <w:basedOn w:val="Normal"/>
    <w:link w:val="BodyTextChar"/>
    <w:unhideWhenUsed/>
    <w:rsid w:val="005E2D0F"/>
    <w:pPr>
      <w:spacing w:after="120"/>
    </w:pPr>
    <w:rPr>
      <w:rFonts w:eastAsia="PMingLiU"/>
      <w:sz w:val="20"/>
      <w:szCs w:val="20"/>
      <w:lang w:val="en-GB" w:eastAsia="en-GB"/>
    </w:rPr>
  </w:style>
  <w:style w:type="character" w:customStyle="1" w:styleId="BodyTextChar">
    <w:name w:val="Body Text Char"/>
    <w:basedOn w:val="DefaultParagraphFont"/>
    <w:link w:val="BodyText"/>
    <w:rsid w:val="005E2D0F"/>
    <w:rPr>
      <w:lang w:eastAsia="en-GB"/>
    </w:rPr>
  </w:style>
  <w:style w:type="paragraph" w:customStyle="1" w:styleId="TableParagraph">
    <w:name w:val="Table Paragraph"/>
    <w:basedOn w:val="Normal"/>
    <w:uiPriority w:val="1"/>
    <w:qFormat/>
    <w:rsid w:val="006427AE"/>
    <w:pPr>
      <w:widowControl w:val="0"/>
      <w:autoSpaceDE w:val="0"/>
      <w:autoSpaceDN w:val="0"/>
      <w:adjustRightInd w:val="0"/>
    </w:pPr>
    <w:rPr>
      <w:rFonts w:eastAsiaTheme="minorEastAsia"/>
      <w14:ligatures w14:val="standardContextual"/>
    </w:rPr>
  </w:style>
  <w:style w:type="paragraph" w:styleId="Bibliography">
    <w:name w:val="Bibliography"/>
    <w:basedOn w:val="Normal"/>
    <w:next w:val="Normal"/>
    <w:uiPriority w:val="37"/>
    <w:unhideWhenUsed/>
    <w:rsid w:val="00A947DE"/>
    <w:pPr>
      <w:spacing w:after="240"/>
    </w:pPr>
    <w:rPr>
      <w:rFonts w:eastAsia="PMingLiU"/>
      <w:sz w:val="20"/>
      <w:szCs w:val="20"/>
      <w:lang w:val="en-GB" w:eastAsia="en-GB"/>
    </w:rPr>
  </w:style>
  <w:style w:type="character" w:customStyle="1" w:styleId="Heading5Char">
    <w:name w:val="Heading 5 Char"/>
    <w:basedOn w:val="DefaultParagraphFont"/>
    <w:link w:val="Heading5"/>
    <w:semiHidden/>
    <w:rsid w:val="00132388"/>
    <w:rPr>
      <w:rFonts w:asciiTheme="majorHAnsi" w:eastAsiaTheme="majorEastAsia" w:hAnsiTheme="majorHAnsi" w:cstheme="majorBidi"/>
      <w:color w:val="365F91"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999">
      <w:bodyDiv w:val="1"/>
      <w:marLeft w:val="0"/>
      <w:marRight w:val="0"/>
      <w:marTop w:val="0"/>
      <w:marBottom w:val="0"/>
      <w:divBdr>
        <w:top w:val="none" w:sz="0" w:space="0" w:color="auto"/>
        <w:left w:val="none" w:sz="0" w:space="0" w:color="auto"/>
        <w:bottom w:val="none" w:sz="0" w:space="0" w:color="auto"/>
        <w:right w:val="none" w:sz="0" w:space="0" w:color="auto"/>
      </w:divBdr>
    </w:div>
    <w:div w:id="103035788">
      <w:bodyDiv w:val="1"/>
      <w:marLeft w:val="0"/>
      <w:marRight w:val="0"/>
      <w:marTop w:val="0"/>
      <w:marBottom w:val="0"/>
      <w:divBdr>
        <w:top w:val="none" w:sz="0" w:space="0" w:color="auto"/>
        <w:left w:val="none" w:sz="0" w:space="0" w:color="auto"/>
        <w:bottom w:val="none" w:sz="0" w:space="0" w:color="auto"/>
        <w:right w:val="none" w:sz="0" w:space="0" w:color="auto"/>
      </w:divBdr>
    </w:div>
    <w:div w:id="146017362">
      <w:bodyDiv w:val="1"/>
      <w:marLeft w:val="360"/>
      <w:marRight w:val="360"/>
      <w:marTop w:val="360"/>
      <w:marBottom w:val="360"/>
      <w:divBdr>
        <w:top w:val="none" w:sz="0" w:space="0" w:color="auto"/>
        <w:left w:val="none" w:sz="0" w:space="0" w:color="auto"/>
        <w:bottom w:val="none" w:sz="0" w:space="0" w:color="auto"/>
        <w:right w:val="none" w:sz="0" w:space="0" w:color="auto"/>
      </w:divBdr>
    </w:div>
    <w:div w:id="159390398">
      <w:bodyDiv w:val="1"/>
      <w:marLeft w:val="0"/>
      <w:marRight w:val="0"/>
      <w:marTop w:val="0"/>
      <w:marBottom w:val="0"/>
      <w:divBdr>
        <w:top w:val="none" w:sz="0" w:space="0" w:color="auto"/>
        <w:left w:val="none" w:sz="0" w:space="0" w:color="auto"/>
        <w:bottom w:val="none" w:sz="0" w:space="0" w:color="auto"/>
        <w:right w:val="none" w:sz="0" w:space="0" w:color="auto"/>
      </w:divBdr>
    </w:div>
    <w:div w:id="184757842">
      <w:bodyDiv w:val="1"/>
      <w:marLeft w:val="360"/>
      <w:marRight w:val="360"/>
      <w:marTop w:val="360"/>
      <w:marBottom w:val="360"/>
      <w:divBdr>
        <w:top w:val="none" w:sz="0" w:space="0" w:color="auto"/>
        <w:left w:val="none" w:sz="0" w:space="0" w:color="auto"/>
        <w:bottom w:val="none" w:sz="0" w:space="0" w:color="auto"/>
        <w:right w:val="none" w:sz="0" w:space="0" w:color="auto"/>
      </w:divBdr>
    </w:div>
    <w:div w:id="203837037">
      <w:bodyDiv w:val="1"/>
      <w:marLeft w:val="360"/>
      <w:marRight w:val="360"/>
      <w:marTop w:val="360"/>
      <w:marBottom w:val="360"/>
      <w:divBdr>
        <w:top w:val="none" w:sz="0" w:space="0" w:color="auto"/>
        <w:left w:val="none" w:sz="0" w:space="0" w:color="auto"/>
        <w:bottom w:val="none" w:sz="0" w:space="0" w:color="auto"/>
        <w:right w:val="none" w:sz="0" w:space="0" w:color="auto"/>
      </w:divBdr>
    </w:div>
    <w:div w:id="213546431">
      <w:bodyDiv w:val="1"/>
      <w:marLeft w:val="0"/>
      <w:marRight w:val="0"/>
      <w:marTop w:val="0"/>
      <w:marBottom w:val="0"/>
      <w:divBdr>
        <w:top w:val="none" w:sz="0" w:space="0" w:color="auto"/>
        <w:left w:val="none" w:sz="0" w:space="0" w:color="auto"/>
        <w:bottom w:val="none" w:sz="0" w:space="0" w:color="auto"/>
        <w:right w:val="none" w:sz="0" w:space="0" w:color="auto"/>
      </w:divBdr>
    </w:div>
    <w:div w:id="236328347">
      <w:bodyDiv w:val="1"/>
      <w:marLeft w:val="360"/>
      <w:marRight w:val="360"/>
      <w:marTop w:val="360"/>
      <w:marBottom w:val="360"/>
      <w:divBdr>
        <w:top w:val="none" w:sz="0" w:space="0" w:color="auto"/>
        <w:left w:val="none" w:sz="0" w:space="0" w:color="auto"/>
        <w:bottom w:val="none" w:sz="0" w:space="0" w:color="auto"/>
        <w:right w:val="none" w:sz="0" w:space="0" w:color="auto"/>
      </w:divBdr>
    </w:div>
    <w:div w:id="241910829">
      <w:bodyDiv w:val="1"/>
      <w:marLeft w:val="0"/>
      <w:marRight w:val="0"/>
      <w:marTop w:val="0"/>
      <w:marBottom w:val="0"/>
      <w:divBdr>
        <w:top w:val="none" w:sz="0" w:space="0" w:color="auto"/>
        <w:left w:val="none" w:sz="0" w:space="0" w:color="auto"/>
        <w:bottom w:val="none" w:sz="0" w:space="0" w:color="auto"/>
        <w:right w:val="none" w:sz="0" w:space="0" w:color="auto"/>
      </w:divBdr>
    </w:div>
    <w:div w:id="276303106">
      <w:bodyDiv w:val="1"/>
      <w:marLeft w:val="360"/>
      <w:marRight w:val="360"/>
      <w:marTop w:val="360"/>
      <w:marBottom w:val="360"/>
      <w:divBdr>
        <w:top w:val="none" w:sz="0" w:space="0" w:color="auto"/>
        <w:left w:val="none" w:sz="0" w:space="0" w:color="auto"/>
        <w:bottom w:val="none" w:sz="0" w:space="0" w:color="auto"/>
        <w:right w:val="none" w:sz="0" w:space="0" w:color="auto"/>
      </w:divBdr>
    </w:div>
    <w:div w:id="32559909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576813">
      <w:bodyDiv w:val="1"/>
      <w:marLeft w:val="0"/>
      <w:marRight w:val="0"/>
      <w:marTop w:val="0"/>
      <w:marBottom w:val="0"/>
      <w:divBdr>
        <w:top w:val="none" w:sz="0" w:space="0" w:color="auto"/>
        <w:left w:val="none" w:sz="0" w:space="0" w:color="auto"/>
        <w:bottom w:val="none" w:sz="0" w:space="0" w:color="auto"/>
        <w:right w:val="none" w:sz="0" w:space="0" w:color="auto"/>
      </w:divBdr>
      <w:divsChild>
        <w:div w:id="657344211">
          <w:marLeft w:val="432"/>
          <w:marRight w:val="0"/>
          <w:marTop w:val="360"/>
          <w:marBottom w:val="0"/>
          <w:divBdr>
            <w:top w:val="none" w:sz="0" w:space="0" w:color="auto"/>
            <w:left w:val="none" w:sz="0" w:space="0" w:color="auto"/>
            <w:bottom w:val="none" w:sz="0" w:space="0" w:color="auto"/>
            <w:right w:val="none" w:sz="0" w:space="0" w:color="auto"/>
          </w:divBdr>
        </w:div>
      </w:divsChild>
    </w:div>
    <w:div w:id="419332069">
      <w:bodyDiv w:val="1"/>
      <w:marLeft w:val="0"/>
      <w:marRight w:val="0"/>
      <w:marTop w:val="0"/>
      <w:marBottom w:val="0"/>
      <w:divBdr>
        <w:top w:val="none" w:sz="0" w:space="0" w:color="auto"/>
        <w:left w:val="none" w:sz="0" w:space="0" w:color="auto"/>
        <w:bottom w:val="none" w:sz="0" w:space="0" w:color="auto"/>
        <w:right w:val="none" w:sz="0" w:space="0" w:color="auto"/>
      </w:divBdr>
    </w:div>
    <w:div w:id="452291138">
      <w:bodyDiv w:val="1"/>
      <w:marLeft w:val="0"/>
      <w:marRight w:val="0"/>
      <w:marTop w:val="0"/>
      <w:marBottom w:val="0"/>
      <w:divBdr>
        <w:top w:val="none" w:sz="0" w:space="0" w:color="auto"/>
        <w:left w:val="none" w:sz="0" w:space="0" w:color="auto"/>
        <w:bottom w:val="none" w:sz="0" w:space="0" w:color="auto"/>
        <w:right w:val="none" w:sz="0" w:space="0" w:color="auto"/>
      </w:divBdr>
      <w:divsChild>
        <w:div w:id="1403941039">
          <w:marLeft w:val="792"/>
          <w:marRight w:val="0"/>
          <w:marTop w:val="120"/>
          <w:marBottom w:val="0"/>
          <w:divBdr>
            <w:top w:val="none" w:sz="0" w:space="0" w:color="auto"/>
            <w:left w:val="none" w:sz="0" w:space="0" w:color="auto"/>
            <w:bottom w:val="none" w:sz="0" w:space="0" w:color="auto"/>
            <w:right w:val="none" w:sz="0" w:space="0" w:color="auto"/>
          </w:divBdr>
        </w:div>
      </w:divsChild>
    </w:div>
    <w:div w:id="459035953">
      <w:bodyDiv w:val="1"/>
      <w:marLeft w:val="0"/>
      <w:marRight w:val="0"/>
      <w:marTop w:val="0"/>
      <w:marBottom w:val="0"/>
      <w:divBdr>
        <w:top w:val="none" w:sz="0" w:space="0" w:color="auto"/>
        <w:left w:val="none" w:sz="0" w:space="0" w:color="auto"/>
        <w:bottom w:val="none" w:sz="0" w:space="0" w:color="auto"/>
        <w:right w:val="none" w:sz="0" w:space="0" w:color="auto"/>
      </w:divBdr>
    </w:div>
    <w:div w:id="568080737">
      <w:bodyDiv w:val="1"/>
      <w:marLeft w:val="360"/>
      <w:marRight w:val="360"/>
      <w:marTop w:val="360"/>
      <w:marBottom w:val="360"/>
      <w:divBdr>
        <w:top w:val="none" w:sz="0" w:space="0" w:color="auto"/>
        <w:left w:val="none" w:sz="0" w:space="0" w:color="auto"/>
        <w:bottom w:val="none" w:sz="0" w:space="0" w:color="auto"/>
        <w:right w:val="none" w:sz="0" w:space="0" w:color="auto"/>
      </w:divBdr>
    </w:div>
    <w:div w:id="575631299">
      <w:bodyDiv w:val="1"/>
      <w:marLeft w:val="360"/>
      <w:marRight w:val="360"/>
      <w:marTop w:val="360"/>
      <w:marBottom w:val="360"/>
      <w:divBdr>
        <w:top w:val="none" w:sz="0" w:space="0" w:color="auto"/>
        <w:left w:val="none" w:sz="0" w:space="0" w:color="auto"/>
        <w:bottom w:val="none" w:sz="0" w:space="0" w:color="auto"/>
        <w:right w:val="none" w:sz="0" w:space="0" w:color="auto"/>
      </w:divBdr>
    </w:div>
    <w:div w:id="633289782">
      <w:bodyDiv w:val="1"/>
      <w:marLeft w:val="360"/>
      <w:marRight w:val="360"/>
      <w:marTop w:val="360"/>
      <w:marBottom w:val="360"/>
      <w:divBdr>
        <w:top w:val="none" w:sz="0" w:space="0" w:color="auto"/>
        <w:left w:val="none" w:sz="0" w:space="0" w:color="auto"/>
        <w:bottom w:val="none" w:sz="0" w:space="0" w:color="auto"/>
        <w:right w:val="none" w:sz="0" w:space="0" w:color="auto"/>
      </w:divBdr>
    </w:div>
    <w:div w:id="806897880">
      <w:bodyDiv w:val="1"/>
      <w:marLeft w:val="360"/>
      <w:marRight w:val="360"/>
      <w:marTop w:val="360"/>
      <w:marBottom w:val="360"/>
      <w:divBdr>
        <w:top w:val="none" w:sz="0" w:space="0" w:color="auto"/>
        <w:left w:val="none" w:sz="0" w:space="0" w:color="auto"/>
        <w:bottom w:val="none" w:sz="0" w:space="0" w:color="auto"/>
        <w:right w:val="none" w:sz="0" w:space="0" w:color="auto"/>
      </w:divBdr>
    </w:div>
    <w:div w:id="817694086">
      <w:bodyDiv w:val="1"/>
      <w:marLeft w:val="0"/>
      <w:marRight w:val="0"/>
      <w:marTop w:val="0"/>
      <w:marBottom w:val="0"/>
      <w:divBdr>
        <w:top w:val="none" w:sz="0" w:space="0" w:color="auto"/>
        <w:left w:val="none" w:sz="0" w:space="0" w:color="auto"/>
        <w:bottom w:val="none" w:sz="0" w:space="0" w:color="auto"/>
        <w:right w:val="none" w:sz="0" w:space="0" w:color="auto"/>
      </w:divBdr>
    </w:div>
    <w:div w:id="824860401">
      <w:bodyDiv w:val="1"/>
      <w:marLeft w:val="0"/>
      <w:marRight w:val="0"/>
      <w:marTop w:val="0"/>
      <w:marBottom w:val="0"/>
      <w:divBdr>
        <w:top w:val="none" w:sz="0" w:space="0" w:color="auto"/>
        <w:left w:val="none" w:sz="0" w:space="0" w:color="auto"/>
        <w:bottom w:val="none" w:sz="0" w:space="0" w:color="auto"/>
        <w:right w:val="none" w:sz="0" w:space="0" w:color="auto"/>
      </w:divBdr>
    </w:div>
    <w:div w:id="860581670">
      <w:bodyDiv w:val="1"/>
      <w:marLeft w:val="360"/>
      <w:marRight w:val="360"/>
      <w:marTop w:val="360"/>
      <w:marBottom w:val="360"/>
      <w:divBdr>
        <w:top w:val="none" w:sz="0" w:space="0" w:color="auto"/>
        <w:left w:val="none" w:sz="0" w:space="0" w:color="auto"/>
        <w:bottom w:val="none" w:sz="0" w:space="0" w:color="auto"/>
        <w:right w:val="none" w:sz="0" w:space="0" w:color="auto"/>
      </w:divBdr>
    </w:div>
    <w:div w:id="925959129">
      <w:bodyDiv w:val="1"/>
      <w:marLeft w:val="0"/>
      <w:marRight w:val="0"/>
      <w:marTop w:val="0"/>
      <w:marBottom w:val="0"/>
      <w:divBdr>
        <w:top w:val="none" w:sz="0" w:space="0" w:color="auto"/>
        <w:left w:val="none" w:sz="0" w:space="0" w:color="auto"/>
        <w:bottom w:val="none" w:sz="0" w:space="0" w:color="auto"/>
        <w:right w:val="none" w:sz="0" w:space="0" w:color="auto"/>
      </w:divBdr>
    </w:div>
    <w:div w:id="987130413">
      <w:bodyDiv w:val="1"/>
      <w:marLeft w:val="360"/>
      <w:marRight w:val="360"/>
      <w:marTop w:val="360"/>
      <w:marBottom w:val="360"/>
      <w:divBdr>
        <w:top w:val="none" w:sz="0" w:space="0" w:color="auto"/>
        <w:left w:val="none" w:sz="0" w:space="0" w:color="auto"/>
        <w:bottom w:val="none" w:sz="0" w:space="0" w:color="auto"/>
        <w:right w:val="none" w:sz="0" w:space="0" w:color="auto"/>
      </w:divBdr>
    </w:div>
    <w:div w:id="1143933281">
      <w:bodyDiv w:val="1"/>
      <w:marLeft w:val="0"/>
      <w:marRight w:val="0"/>
      <w:marTop w:val="0"/>
      <w:marBottom w:val="0"/>
      <w:divBdr>
        <w:top w:val="none" w:sz="0" w:space="0" w:color="auto"/>
        <w:left w:val="none" w:sz="0" w:space="0" w:color="auto"/>
        <w:bottom w:val="none" w:sz="0" w:space="0" w:color="auto"/>
        <w:right w:val="none" w:sz="0" w:space="0" w:color="auto"/>
      </w:divBdr>
    </w:div>
    <w:div w:id="1186098746">
      <w:bodyDiv w:val="1"/>
      <w:marLeft w:val="360"/>
      <w:marRight w:val="360"/>
      <w:marTop w:val="360"/>
      <w:marBottom w:val="360"/>
      <w:divBdr>
        <w:top w:val="none" w:sz="0" w:space="0" w:color="auto"/>
        <w:left w:val="none" w:sz="0" w:space="0" w:color="auto"/>
        <w:bottom w:val="none" w:sz="0" w:space="0" w:color="auto"/>
        <w:right w:val="none" w:sz="0" w:space="0" w:color="auto"/>
      </w:divBdr>
    </w:div>
    <w:div w:id="1189487444">
      <w:bodyDiv w:val="1"/>
      <w:marLeft w:val="360"/>
      <w:marRight w:val="360"/>
      <w:marTop w:val="360"/>
      <w:marBottom w:val="360"/>
      <w:divBdr>
        <w:top w:val="none" w:sz="0" w:space="0" w:color="auto"/>
        <w:left w:val="none" w:sz="0" w:space="0" w:color="auto"/>
        <w:bottom w:val="none" w:sz="0" w:space="0" w:color="auto"/>
        <w:right w:val="none" w:sz="0" w:space="0" w:color="auto"/>
      </w:divBdr>
    </w:div>
    <w:div w:id="1203395539">
      <w:bodyDiv w:val="1"/>
      <w:marLeft w:val="360"/>
      <w:marRight w:val="360"/>
      <w:marTop w:val="360"/>
      <w:marBottom w:val="360"/>
      <w:divBdr>
        <w:top w:val="none" w:sz="0" w:space="0" w:color="auto"/>
        <w:left w:val="none" w:sz="0" w:space="0" w:color="auto"/>
        <w:bottom w:val="none" w:sz="0" w:space="0" w:color="auto"/>
        <w:right w:val="none" w:sz="0" w:space="0" w:color="auto"/>
      </w:divBdr>
    </w:div>
    <w:div w:id="1257322540">
      <w:bodyDiv w:val="1"/>
      <w:marLeft w:val="0"/>
      <w:marRight w:val="0"/>
      <w:marTop w:val="0"/>
      <w:marBottom w:val="0"/>
      <w:divBdr>
        <w:top w:val="none" w:sz="0" w:space="0" w:color="auto"/>
        <w:left w:val="none" w:sz="0" w:space="0" w:color="auto"/>
        <w:bottom w:val="none" w:sz="0" w:space="0" w:color="auto"/>
        <w:right w:val="none" w:sz="0" w:space="0" w:color="auto"/>
      </w:divBdr>
    </w:div>
    <w:div w:id="1273130813">
      <w:bodyDiv w:val="1"/>
      <w:marLeft w:val="0"/>
      <w:marRight w:val="0"/>
      <w:marTop w:val="0"/>
      <w:marBottom w:val="0"/>
      <w:divBdr>
        <w:top w:val="none" w:sz="0" w:space="0" w:color="auto"/>
        <w:left w:val="none" w:sz="0" w:space="0" w:color="auto"/>
        <w:bottom w:val="none" w:sz="0" w:space="0" w:color="auto"/>
        <w:right w:val="none" w:sz="0" w:space="0" w:color="auto"/>
      </w:divBdr>
    </w:div>
    <w:div w:id="1280988141">
      <w:bodyDiv w:val="1"/>
      <w:marLeft w:val="360"/>
      <w:marRight w:val="360"/>
      <w:marTop w:val="360"/>
      <w:marBottom w:val="360"/>
      <w:divBdr>
        <w:top w:val="none" w:sz="0" w:space="0" w:color="auto"/>
        <w:left w:val="none" w:sz="0" w:space="0" w:color="auto"/>
        <w:bottom w:val="none" w:sz="0" w:space="0" w:color="auto"/>
        <w:right w:val="none" w:sz="0" w:space="0" w:color="auto"/>
      </w:divBdr>
    </w:div>
    <w:div w:id="1294092544">
      <w:bodyDiv w:val="1"/>
      <w:marLeft w:val="0"/>
      <w:marRight w:val="0"/>
      <w:marTop w:val="0"/>
      <w:marBottom w:val="0"/>
      <w:divBdr>
        <w:top w:val="none" w:sz="0" w:space="0" w:color="auto"/>
        <w:left w:val="none" w:sz="0" w:space="0" w:color="auto"/>
        <w:bottom w:val="none" w:sz="0" w:space="0" w:color="auto"/>
        <w:right w:val="none" w:sz="0" w:space="0" w:color="auto"/>
      </w:divBdr>
    </w:div>
    <w:div w:id="1298607773">
      <w:bodyDiv w:val="1"/>
      <w:marLeft w:val="360"/>
      <w:marRight w:val="360"/>
      <w:marTop w:val="360"/>
      <w:marBottom w:val="360"/>
      <w:divBdr>
        <w:top w:val="none" w:sz="0" w:space="0" w:color="auto"/>
        <w:left w:val="none" w:sz="0" w:space="0" w:color="auto"/>
        <w:bottom w:val="none" w:sz="0" w:space="0" w:color="auto"/>
        <w:right w:val="none" w:sz="0" w:space="0" w:color="auto"/>
      </w:divBdr>
    </w:div>
    <w:div w:id="1308705801">
      <w:bodyDiv w:val="1"/>
      <w:marLeft w:val="0"/>
      <w:marRight w:val="0"/>
      <w:marTop w:val="0"/>
      <w:marBottom w:val="0"/>
      <w:divBdr>
        <w:top w:val="none" w:sz="0" w:space="0" w:color="auto"/>
        <w:left w:val="none" w:sz="0" w:space="0" w:color="auto"/>
        <w:bottom w:val="none" w:sz="0" w:space="0" w:color="auto"/>
        <w:right w:val="none" w:sz="0" w:space="0" w:color="auto"/>
      </w:divBdr>
    </w:div>
    <w:div w:id="1317954844">
      <w:bodyDiv w:val="1"/>
      <w:marLeft w:val="0"/>
      <w:marRight w:val="0"/>
      <w:marTop w:val="0"/>
      <w:marBottom w:val="0"/>
      <w:divBdr>
        <w:top w:val="none" w:sz="0" w:space="0" w:color="auto"/>
        <w:left w:val="none" w:sz="0" w:space="0" w:color="auto"/>
        <w:bottom w:val="none" w:sz="0" w:space="0" w:color="auto"/>
        <w:right w:val="none" w:sz="0" w:space="0" w:color="auto"/>
      </w:divBdr>
    </w:div>
    <w:div w:id="1357073462">
      <w:bodyDiv w:val="1"/>
      <w:marLeft w:val="0"/>
      <w:marRight w:val="0"/>
      <w:marTop w:val="0"/>
      <w:marBottom w:val="0"/>
      <w:divBdr>
        <w:top w:val="none" w:sz="0" w:space="0" w:color="auto"/>
        <w:left w:val="none" w:sz="0" w:space="0" w:color="auto"/>
        <w:bottom w:val="none" w:sz="0" w:space="0" w:color="auto"/>
        <w:right w:val="none" w:sz="0" w:space="0" w:color="auto"/>
      </w:divBdr>
    </w:div>
    <w:div w:id="137665743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626500">
      <w:bodyDiv w:val="1"/>
      <w:marLeft w:val="360"/>
      <w:marRight w:val="360"/>
      <w:marTop w:val="360"/>
      <w:marBottom w:val="360"/>
      <w:divBdr>
        <w:top w:val="none" w:sz="0" w:space="0" w:color="auto"/>
        <w:left w:val="none" w:sz="0" w:space="0" w:color="auto"/>
        <w:bottom w:val="none" w:sz="0" w:space="0" w:color="auto"/>
        <w:right w:val="none" w:sz="0" w:space="0" w:color="auto"/>
      </w:divBdr>
    </w:div>
    <w:div w:id="1469787437">
      <w:bodyDiv w:val="1"/>
      <w:marLeft w:val="360"/>
      <w:marRight w:val="360"/>
      <w:marTop w:val="360"/>
      <w:marBottom w:val="360"/>
      <w:divBdr>
        <w:top w:val="none" w:sz="0" w:space="0" w:color="auto"/>
        <w:left w:val="none" w:sz="0" w:space="0" w:color="auto"/>
        <w:bottom w:val="none" w:sz="0" w:space="0" w:color="auto"/>
        <w:right w:val="none" w:sz="0" w:space="0" w:color="auto"/>
      </w:divBdr>
    </w:div>
    <w:div w:id="148963622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624122">
      <w:bodyDiv w:val="1"/>
      <w:marLeft w:val="0"/>
      <w:marRight w:val="0"/>
      <w:marTop w:val="0"/>
      <w:marBottom w:val="0"/>
      <w:divBdr>
        <w:top w:val="none" w:sz="0" w:space="0" w:color="auto"/>
        <w:left w:val="none" w:sz="0" w:space="0" w:color="auto"/>
        <w:bottom w:val="none" w:sz="0" w:space="0" w:color="auto"/>
        <w:right w:val="none" w:sz="0" w:space="0" w:color="auto"/>
      </w:divBdr>
    </w:div>
    <w:div w:id="1595898565">
      <w:bodyDiv w:val="1"/>
      <w:marLeft w:val="360"/>
      <w:marRight w:val="360"/>
      <w:marTop w:val="360"/>
      <w:marBottom w:val="360"/>
      <w:divBdr>
        <w:top w:val="none" w:sz="0" w:space="0" w:color="auto"/>
        <w:left w:val="none" w:sz="0" w:space="0" w:color="auto"/>
        <w:bottom w:val="none" w:sz="0" w:space="0" w:color="auto"/>
        <w:right w:val="none" w:sz="0" w:space="0" w:color="auto"/>
      </w:divBdr>
    </w:div>
    <w:div w:id="1615356833">
      <w:bodyDiv w:val="1"/>
      <w:marLeft w:val="0"/>
      <w:marRight w:val="0"/>
      <w:marTop w:val="0"/>
      <w:marBottom w:val="0"/>
      <w:divBdr>
        <w:top w:val="none" w:sz="0" w:space="0" w:color="auto"/>
        <w:left w:val="none" w:sz="0" w:space="0" w:color="auto"/>
        <w:bottom w:val="none" w:sz="0" w:space="0" w:color="auto"/>
        <w:right w:val="none" w:sz="0" w:space="0" w:color="auto"/>
      </w:divBdr>
    </w:div>
    <w:div w:id="1622766312">
      <w:bodyDiv w:val="1"/>
      <w:marLeft w:val="0"/>
      <w:marRight w:val="0"/>
      <w:marTop w:val="0"/>
      <w:marBottom w:val="0"/>
      <w:divBdr>
        <w:top w:val="none" w:sz="0" w:space="0" w:color="auto"/>
        <w:left w:val="none" w:sz="0" w:space="0" w:color="auto"/>
        <w:bottom w:val="none" w:sz="0" w:space="0" w:color="auto"/>
        <w:right w:val="none" w:sz="0" w:space="0" w:color="auto"/>
      </w:divBdr>
    </w:div>
    <w:div w:id="1628006899">
      <w:bodyDiv w:val="1"/>
      <w:marLeft w:val="360"/>
      <w:marRight w:val="360"/>
      <w:marTop w:val="360"/>
      <w:marBottom w:val="360"/>
      <w:divBdr>
        <w:top w:val="none" w:sz="0" w:space="0" w:color="auto"/>
        <w:left w:val="none" w:sz="0" w:space="0" w:color="auto"/>
        <w:bottom w:val="none" w:sz="0" w:space="0" w:color="auto"/>
        <w:right w:val="none" w:sz="0" w:space="0" w:color="auto"/>
      </w:divBdr>
    </w:div>
    <w:div w:id="1650205889">
      <w:bodyDiv w:val="1"/>
      <w:marLeft w:val="360"/>
      <w:marRight w:val="360"/>
      <w:marTop w:val="360"/>
      <w:marBottom w:val="360"/>
      <w:divBdr>
        <w:top w:val="none" w:sz="0" w:space="0" w:color="auto"/>
        <w:left w:val="none" w:sz="0" w:space="0" w:color="auto"/>
        <w:bottom w:val="none" w:sz="0" w:space="0" w:color="auto"/>
        <w:right w:val="none" w:sz="0" w:space="0" w:color="auto"/>
      </w:divBdr>
    </w:div>
    <w:div w:id="1699424305">
      <w:bodyDiv w:val="1"/>
      <w:marLeft w:val="0"/>
      <w:marRight w:val="0"/>
      <w:marTop w:val="0"/>
      <w:marBottom w:val="0"/>
      <w:divBdr>
        <w:top w:val="none" w:sz="0" w:space="0" w:color="auto"/>
        <w:left w:val="none" w:sz="0" w:space="0" w:color="auto"/>
        <w:bottom w:val="none" w:sz="0" w:space="0" w:color="auto"/>
        <w:right w:val="none" w:sz="0" w:space="0" w:color="auto"/>
      </w:divBdr>
    </w:div>
    <w:div w:id="1705330971">
      <w:bodyDiv w:val="1"/>
      <w:marLeft w:val="360"/>
      <w:marRight w:val="360"/>
      <w:marTop w:val="360"/>
      <w:marBottom w:val="360"/>
      <w:divBdr>
        <w:top w:val="none" w:sz="0" w:space="0" w:color="auto"/>
        <w:left w:val="none" w:sz="0" w:space="0" w:color="auto"/>
        <w:bottom w:val="none" w:sz="0" w:space="0" w:color="auto"/>
        <w:right w:val="none" w:sz="0" w:space="0" w:color="auto"/>
      </w:divBdr>
    </w:div>
    <w:div w:id="1739864452">
      <w:bodyDiv w:val="1"/>
      <w:marLeft w:val="360"/>
      <w:marRight w:val="360"/>
      <w:marTop w:val="360"/>
      <w:marBottom w:val="360"/>
      <w:divBdr>
        <w:top w:val="none" w:sz="0" w:space="0" w:color="auto"/>
        <w:left w:val="none" w:sz="0" w:space="0" w:color="auto"/>
        <w:bottom w:val="none" w:sz="0" w:space="0" w:color="auto"/>
        <w:right w:val="none" w:sz="0" w:space="0" w:color="auto"/>
      </w:divBdr>
    </w:div>
    <w:div w:id="1745253712">
      <w:bodyDiv w:val="1"/>
      <w:marLeft w:val="360"/>
      <w:marRight w:val="360"/>
      <w:marTop w:val="360"/>
      <w:marBottom w:val="360"/>
      <w:divBdr>
        <w:top w:val="none" w:sz="0" w:space="0" w:color="auto"/>
        <w:left w:val="none" w:sz="0" w:space="0" w:color="auto"/>
        <w:bottom w:val="none" w:sz="0" w:space="0" w:color="auto"/>
        <w:right w:val="none" w:sz="0" w:space="0" w:color="auto"/>
      </w:divBdr>
    </w:div>
    <w:div w:id="1756507954">
      <w:bodyDiv w:val="1"/>
      <w:marLeft w:val="360"/>
      <w:marRight w:val="360"/>
      <w:marTop w:val="360"/>
      <w:marBottom w:val="360"/>
      <w:divBdr>
        <w:top w:val="none" w:sz="0" w:space="0" w:color="auto"/>
        <w:left w:val="none" w:sz="0" w:space="0" w:color="auto"/>
        <w:bottom w:val="none" w:sz="0" w:space="0" w:color="auto"/>
        <w:right w:val="none" w:sz="0" w:space="0" w:color="auto"/>
      </w:divBdr>
    </w:div>
    <w:div w:id="1816750250">
      <w:bodyDiv w:val="1"/>
      <w:marLeft w:val="360"/>
      <w:marRight w:val="360"/>
      <w:marTop w:val="360"/>
      <w:marBottom w:val="360"/>
      <w:divBdr>
        <w:top w:val="none" w:sz="0" w:space="0" w:color="auto"/>
        <w:left w:val="none" w:sz="0" w:space="0" w:color="auto"/>
        <w:bottom w:val="none" w:sz="0" w:space="0" w:color="auto"/>
        <w:right w:val="none" w:sz="0" w:space="0" w:color="auto"/>
      </w:divBdr>
    </w:div>
    <w:div w:id="1824270807">
      <w:bodyDiv w:val="1"/>
      <w:marLeft w:val="0"/>
      <w:marRight w:val="0"/>
      <w:marTop w:val="0"/>
      <w:marBottom w:val="0"/>
      <w:divBdr>
        <w:top w:val="none" w:sz="0" w:space="0" w:color="auto"/>
        <w:left w:val="none" w:sz="0" w:space="0" w:color="auto"/>
        <w:bottom w:val="none" w:sz="0" w:space="0" w:color="auto"/>
        <w:right w:val="none" w:sz="0" w:space="0" w:color="auto"/>
      </w:divBdr>
    </w:div>
    <w:div w:id="1922904704">
      <w:bodyDiv w:val="1"/>
      <w:marLeft w:val="0"/>
      <w:marRight w:val="0"/>
      <w:marTop w:val="0"/>
      <w:marBottom w:val="0"/>
      <w:divBdr>
        <w:top w:val="none" w:sz="0" w:space="0" w:color="auto"/>
        <w:left w:val="none" w:sz="0" w:space="0" w:color="auto"/>
        <w:bottom w:val="none" w:sz="0" w:space="0" w:color="auto"/>
        <w:right w:val="none" w:sz="0" w:space="0" w:color="auto"/>
      </w:divBdr>
    </w:div>
    <w:div w:id="1958562495">
      <w:bodyDiv w:val="1"/>
      <w:marLeft w:val="0"/>
      <w:marRight w:val="0"/>
      <w:marTop w:val="0"/>
      <w:marBottom w:val="0"/>
      <w:divBdr>
        <w:top w:val="none" w:sz="0" w:space="0" w:color="auto"/>
        <w:left w:val="none" w:sz="0" w:space="0" w:color="auto"/>
        <w:bottom w:val="none" w:sz="0" w:space="0" w:color="auto"/>
        <w:right w:val="none" w:sz="0" w:space="0" w:color="auto"/>
      </w:divBdr>
    </w:div>
    <w:div w:id="2002806956">
      <w:bodyDiv w:val="1"/>
      <w:marLeft w:val="0"/>
      <w:marRight w:val="0"/>
      <w:marTop w:val="0"/>
      <w:marBottom w:val="0"/>
      <w:divBdr>
        <w:top w:val="none" w:sz="0" w:space="0" w:color="auto"/>
        <w:left w:val="none" w:sz="0" w:space="0" w:color="auto"/>
        <w:bottom w:val="none" w:sz="0" w:space="0" w:color="auto"/>
        <w:right w:val="none" w:sz="0" w:space="0" w:color="auto"/>
      </w:divBdr>
    </w:div>
    <w:div w:id="2006545756">
      <w:bodyDiv w:val="1"/>
      <w:marLeft w:val="0"/>
      <w:marRight w:val="0"/>
      <w:marTop w:val="0"/>
      <w:marBottom w:val="0"/>
      <w:divBdr>
        <w:top w:val="none" w:sz="0" w:space="0" w:color="auto"/>
        <w:left w:val="none" w:sz="0" w:space="0" w:color="auto"/>
        <w:bottom w:val="none" w:sz="0" w:space="0" w:color="auto"/>
        <w:right w:val="none" w:sz="0" w:space="0" w:color="auto"/>
      </w:divBdr>
    </w:div>
    <w:div w:id="2033921950">
      <w:bodyDiv w:val="1"/>
      <w:marLeft w:val="360"/>
      <w:marRight w:val="360"/>
      <w:marTop w:val="360"/>
      <w:marBottom w:val="360"/>
      <w:divBdr>
        <w:top w:val="none" w:sz="0" w:space="0" w:color="auto"/>
        <w:left w:val="none" w:sz="0" w:space="0" w:color="auto"/>
        <w:bottom w:val="none" w:sz="0" w:space="0" w:color="auto"/>
        <w:right w:val="none" w:sz="0" w:space="0" w:color="auto"/>
      </w:divBdr>
    </w:div>
    <w:div w:id="2060005857">
      <w:bodyDiv w:val="1"/>
      <w:marLeft w:val="0"/>
      <w:marRight w:val="0"/>
      <w:marTop w:val="0"/>
      <w:marBottom w:val="0"/>
      <w:divBdr>
        <w:top w:val="none" w:sz="0" w:space="0" w:color="auto"/>
        <w:left w:val="none" w:sz="0" w:space="0" w:color="auto"/>
        <w:bottom w:val="none" w:sz="0" w:space="0" w:color="auto"/>
        <w:right w:val="none" w:sz="0" w:space="0" w:color="auto"/>
      </w:divBdr>
      <w:divsChild>
        <w:div w:id="704906750">
          <w:marLeft w:val="432"/>
          <w:marRight w:val="0"/>
          <w:marTop w:val="360"/>
          <w:marBottom w:val="0"/>
          <w:divBdr>
            <w:top w:val="none" w:sz="0" w:space="0" w:color="auto"/>
            <w:left w:val="none" w:sz="0" w:space="0" w:color="auto"/>
            <w:bottom w:val="none" w:sz="0" w:space="0" w:color="auto"/>
            <w:right w:val="none" w:sz="0" w:space="0" w:color="auto"/>
          </w:divBdr>
        </w:div>
      </w:divsChild>
    </w:div>
    <w:div w:id="2084837898">
      <w:bodyDiv w:val="1"/>
      <w:marLeft w:val="360"/>
      <w:marRight w:val="360"/>
      <w:marTop w:val="360"/>
      <w:marBottom w:val="36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33CEC32F900A4D99BF5C767A7C7994" ma:contentTypeVersion="17" ma:contentTypeDescription="Create a new document." ma:contentTypeScope="" ma:versionID="779a8c695e7d4045b69aab93ee61b65d">
  <xsd:schema xmlns:xsd="http://www.w3.org/2001/XMLSchema" xmlns:xs="http://www.w3.org/2001/XMLSchema" xmlns:p="http://schemas.microsoft.com/office/2006/metadata/properties" xmlns:ns2="3fde1b07-2a80-4d84-8cbb-7161d4815bd1" xmlns:ns3="d6bc121f-ed2e-4615-91c3-82a6ff910a7d" targetNamespace="http://schemas.microsoft.com/office/2006/metadata/properties" ma:root="true" ma:fieldsID="1083614483ec2706d99e06c122ab6bdd" ns2:_="" ns3:_="">
    <xsd:import namespace="3fde1b07-2a80-4d84-8cbb-7161d4815bd1"/>
    <xsd:import namespace="d6bc121f-ed2e-4615-91c3-82a6ff910a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bc121f-ed2e-4615-91c3-82a6ff910a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ef5f76a-3bd1-48fd-88db-a82b0c63573b}" ma:internalName="TaxCatchAll" ma:showField="CatchAllData" ma:web="d6bc121f-ed2e-4615-91c3-82a6ff910a7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6bc121f-ed2e-4615-91c3-82a6ff910a7d" xsi:nil="true"/>
    <lcf76f155ced4ddcb4097134ff3c332f xmlns="3fde1b07-2a80-4d84-8cbb-7161d4815bd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132BE5-AFB5-466B-B7E4-41B1ECF83F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e1b07-2a80-4d84-8cbb-7161d4815bd1"/>
    <ds:schemaRef ds:uri="d6bc121f-ed2e-4615-91c3-82a6ff910a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F41E85-A74D-4F2A-939C-41E51E26A2F9}">
  <ds:schemaRefs>
    <ds:schemaRef ds:uri="http://schemas.microsoft.com/sharepoint/v3/contenttype/forms"/>
  </ds:schemaRefs>
</ds:datastoreItem>
</file>

<file path=customXml/itemProps3.xml><?xml version="1.0" encoding="utf-8"?>
<ds:datastoreItem xmlns:ds="http://schemas.openxmlformats.org/officeDocument/2006/customXml" ds:itemID="{69BD3671-6800-4032-BF2C-A9D1972CC513}">
  <ds:schemaRefs>
    <ds:schemaRef ds:uri="http://schemas.openxmlformats.org/officeDocument/2006/bibliography"/>
  </ds:schemaRefs>
</ds:datastoreItem>
</file>

<file path=customXml/itemProps4.xml><?xml version="1.0" encoding="utf-8"?>
<ds:datastoreItem xmlns:ds="http://schemas.openxmlformats.org/officeDocument/2006/customXml" ds:itemID="{98DAA8B2-5198-47AD-B239-6A330795E5D8}">
  <ds:schemaRefs>
    <ds:schemaRef ds:uri="http://schemas.microsoft.com/office/2006/metadata/properties"/>
    <ds:schemaRef ds:uri="http://schemas.microsoft.com/office/infopath/2007/PartnerControls"/>
    <ds:schemaRef ds:uri="d6bc121f-ed2e-4615-91c3-82a6ff910a7d"/>
    <ds:schemaRef ds:uri="3fde1b07-2a80-4d84-8cbb-7161d4815bd1"/>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26</Pages>
  <Words>6919</Words>
  <Characters>41086</Characters>
  <Application>Microsoft Office Word</Application>
  <DocSecurity>0</DocSecurity>
  <Lines>342</Lines>
  <Paragraphs>95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47910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Paul Hung</cp:lastModifiedBy>
  <cp:revision>1143</cp:revision>
  <cp:lastPrinted>2014-10-10T07:42:00Z</cp:lastPrinted>
  <dcterms:created xsi:type="dcterms:W3CDTF">2018-07-10T11:44:00Z</dcterms:created>
  <dcterms:modified xsi:type="dcterms:W3CDTF">2025-04-04T10:49:00Z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0x0101006433CEC32F900A4D99BF5C767A7C7994</vt:lpwstr>
  </property>
  <property fmtid="{D5CDD505-2E9C-101B-9397-08002B2CF9AE}" pid="6" name="ZOTERO_PREF_1">
    <vt:lpwstr>&lt;data data-version="3" zotero-version="7.0.13"&gt;&lt;session id="05FGkiDV"/&gt;&lt;style id="http://www.zotero.org/styles/harvard-cite-them-right" hasBibliography="1" bibliographyStyleHasBeenSet="1"/&gt;&lt;prefs&gt;&lt;pref name="fieldType" value="Field"/&gt;&lt;pref name="automatic</vt:lpwstr>
  </property>
  <property fmtid="{D5CDD505-2E9C-101B-9397-08002B2CF9AE}" pid="7" name="ZOTERO_PREF_2">
    <vt:lpwstr>JournalAbbreviations" value="true"/&gt;&lt;/prefs&gt;&lt;/data&gt;</vt:lpwstr>
  </property>
</Properties>
</file>