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2F7A0C" w14:textId="3ECFB1F4" w:rsidR="00584895" w:rsidRDefault="005E7D0B" w:rsidP="00E9751E">
      <w:pPr>
        <w:jc w:val="center"/>
      </w:pPr>
      <w:r>
        <w:t>S</w:t>
      </w:r>
      <w:r w:rsidR="00153300">
        <w:t>tu</w:t>
      </w:r>
      <w:r w:rsidR="00DC345A">
        <w:t xml:space="preserve">dent </w:t>
      </w:r>
      <w:r w:rsidR="005507DB">
        <w:t>Nam</w:t>
      </w:r>
      <w:r w:rsidR="00B94120">
        <w:t>e</w:t>
      </w:r>
      <w:r w:rsidR="00ED74DC">
        <w:t>:</w:t>
      </w:r>
      <w:r w:rsidR="009007FB">
        <w:t xml:space="preserve"> Micha. O. A. Morgan</w:t>
      </w:r>
    </w:p>
    <w:p w14:paraId="172082C7" w14:textId="2BD32D1E" w:rsidR="00DB2C6D" w:rsidRDefault="00457058" w:rsidP="00E9751E">
      <w:pPr>
        <w:jc w:val="center"/>
      </w:pPr>
      <w:r>
        <w:t>S</w:t>
      </w:r>
      <w:r w:rsidR="00D74535">
        <w:t>t</w:t>
      </w:r>
      <w:r w:rsidR="00A83BA8">
        <w:t>u</w:t>
      </w:r>
      <w:r w:rsidR="001F3167">
        <w:t>den</w:t>
      </w:r>
      <w:r w:rsidR="00F1052F">
        <w:t xml:space="preserve">t </w:t>
      </w:r>
      <w:r w:rsidR="004A2763">
        <w:t>I</w:t>
      </w:r>
      <w:r w:rsidR="00910FF9">
        <w:t>D</w:t>
      </w:r>
      <w:r w:rsidR="009007FB">
        <w:t>:2407864</w:t>
      </w:r>
    </w:p>
    <w:p w14:paraId="7FECEBD2" w14:textId="7A3637BF" w:rsidR="006B0C3A" w:rsidRDefault="001F432D" w:rsidP="00E9751E">
      <w:pPr>
        <w:jc w:val="center"/>
      </w:pPr>
      <w:r>
        <w:t>Le</w:t>
      </w:r>
      <w:r w:rsidR="00326D2D">
        <w:t>c</w:t>
      </w:r>
      <w:r w:rsidR="00D0473F">
        <w:t>tu</w:t>
      </w:r>
      <w:r w:rsidR="008D3030">
        <w:t>re</w:t>
      </w:r>
      <w:r w:rsidR="0031032B">
        <w:t>r</w:t>
      </w:r>
      <w:r w:rsidR="009007FB">
        <w:t>s</w:t>
      </w:r>
      <w:r w:rsidR="00564A8D">
        <w:t xml:space="preserve"> </w:t>
      </w:r>
      <w:r w:rsidR="009007FB">
        <w:t>Name: Mohamed-Ben-Farah</w:t>
      </w:r>
    </w:p>
    <w:p w14:paraId="49934E68" w14:textId="14D24180" w:rsidR="00045CE2" w:rsidRDefault="0028502E" w:rsidP="00E9751E">
      <w:pPr>
        <w:jc w:val="center"/>
      </w:pPr>
      <w:r>
        <w:t>Course</w:t>
      </w:r>
      <w:r w:rsidR="00090D68">
        <w:t>:  BSc in Applied Computing</w:t>
      </w:r>
    </w:p>
    <w:p w14:paraId="4F1236F1" w14:textId="6A5018A3" w:rsidR="00092B09" w:rsidRDefault="00327B73" w:rsidP="00E9751E">
      <w:pPr>
        <w:jc w:val="center"/>
      </w:pPr>
      <w:r>
        <w:t>Mod</w:t>
      </w:r>
      <w:r w:rsidR="00090D68">
        <w:t>u</w:t>
      </w:r>
      <w:r>
        <w:t>l</w:t>
      </w:r>
      <w:r w:rsidR="00090D68">
        <w:t>e</w:t>
      </w:r>
      <w:r>
        <w:t>:</w:t>
      </w:r>
      <w:r w:rsidR="009007FB">
        <w:t xml:space="preserve"> A</w:t>
      </w:r>
      <w:r w:rsidR="00090D68">
        <w:t>CC</w:t>
      </w:r>
      <w:r w:rsidR="009007FB">
        <w:t>A5034</w:t>
      </w:r>
    </w:p>
    <w:p w14:paraId="0E4FC310" w14:textId="497FD68B" w:rsidR="008D75F5" w:rsidRDefault="00276DEE" w:rsidP="00E9751E">
      <w:pPr>
        <w:jc w:val="center"/>
      </w:pPr>
      <w:r>
        <w:t>Date of Submission</w:t>
      </w:r>
      <w:r w:rsidR="0073170E">
        <w:t>:</w:t>
      </w:r>
    </w:p>
    <w:p w14:paraId="54FA666B" w14:textId="77777777" w:rsidR="00D610DF" w:rsidRDefault="00D610DF" w:rsidP="00E9751E">
      <w:pPr>
        <w:jc w:val="center"/>
      </w:pPr>
    </w:p>
    <w:p w14:paraId="27AEB710" w14:textId="77777777" w:rsidR="00D610DF" w:rsidRPr="003B44B9" w:rsidRDefault="00D610DF" w:rsidP="00D610DF">
      <w:pPr>
        <w:ind w:left="720"/>
        <w:jc w:val="center"/>
      </w:pPr>
      <w:r w:rsidRPr="003B44B9">
        <w:t>Compliance in a Fragmented World: Navigating GDPR</w:t>
      </w:r>
      <w:r>
        <w:t>, (</w:t>
      </w:r>
      <w:r w:rsidRPr="005A45F8">
        <w:t>General Data Protection Regulations</w:t>
      </w:r>
      <w:r>
        <w:t xml:space="preserve">) </w:t>
      </w:r>
      <w:r w:rsidRPr="003B44B9">
        <w:t>alongside new regulations like DORA (Digital Operational Resilience Act) and NIS2</w:t>
      </w:r>
      <w:r w:rsidRPr="004D0083">
        <w:t xml:space="preserve"> </w:t>
      </w:r>
      <w:r>
        <w:t>(</w:t>
      </w:r>
      <w:r w:rsidRPr="004D0083">
        <w:t>Network and Information Systems Directive 2</w:t>
      </w:r>
      <w:r>
        <w:t>)</w:t>
      </w:r>
      <w:r w:rsidRPr="003B44B9">
        <w:t xml:space="preserve"> for critical infrastructure.</w:t>
      </w:r>
    </w:p>
    <w:p w14:paraId="20B4B6F0" w14:textId="77777777" w:rsidR="00694B4C" w:rsidRDefault="00694B4C" w:rsidP="00E9751E">
      <w:pPr>
        <w:jc w:val="center"/>
      </w:pPr>
    </w:p>
    <w:p w14:paraId="2CC6CBDC" w14:textId="5F3C206C" w:rsidR="00CD48AE" w:rsidRDefault="00CD48AE" w:rsidP="00E9751E">
      <w:pPr>
        <w:jc w:val="center"/>
      </w:pPr>
      <w:r>
        <w:t>Task 1</w:t>
      </w:r>
    </w:p>
    <w:p w14:paraId="3863AEB8" w14:textId="77777777" w:rsidR="002E27B6" w:rsidRDefault="002E27B6" w:rsidP="00E0305C">
      <w:pPr>
        <w:spacing w:after="200" w:line="240" w:lineRule="auto"/>
        <w:ind w:firstLine="272"/>
        <w:jc w:val="both"/>
        <w:rPr>
          <w:rFonts w:ascii="Times New Roman" w:eastAsia="SimSun" w:hAnsi="Times New Roman" w:cs="Times New Roman"/>
          <w:b/>
          <w:bCs/>
          <w:i/>
          <w:iCs/>
          <w:kern w:val="0"/>
          <w:sz w:val="18"/>
          <w:szCs w:val="18"/>
          <w:lang w:val="en-US"/>
          <w14:ligatures w14:val="none"/>
        </w:rPr>
        <w:sectPr w:rsidR="002E27B6" w:rsidSect="002E27B6">
          <w:pgSz w:w="11906" w:h="16838"/>
          <w:pgMar w:top="1440" w:right="1440" w:bottom="1440" w:left="1440" w:header="708" w:footer="708" w:gutter="0"/>
          <w:cols w:space="708"/>
          <w:docGrid w:linePitch="360"/>
        </w:sectPr>
      </w:pPr>
    </w:p>
    <w:p w14:paraId="6375013F" w14:textId="648DEBC0" w:rsidR="00E0305C" w:rsidRPr="00B47AC4" w:rsidRDefault="00E0305C" w:rsidP="00B47AC4">
      <w:pPr>
        <w:spacing w:after="200" w:line="240" w:lineRule="auto"/>
        <w:ind w:firstLine="272"/>
        <w:jc w:val="both"/>
        <w:rPr>
          <w:rFonts w:ascii="Times New Roman" w:eastAsia="SimSun" w:hAnsi="Times New Roman" w:cs="Times New Roman"/>
          <w:kern w:val="0"/>
          <w:sz w:val="18"/>
          <w:szCs w:val="18"/>
          <w:lang w:val="en-US"/>
          <w14:ligatures w14:val="none"/>
        </w:rPr>
      </w:pPr>
      <w:r w:rsidRPr="00B47AC4">
        <w:rPr>
          <w:rFonts w:ascii="Times New Roman" w:eastAsia="SimSun" w:hAnsi="Times New Roman" w:cs="Times New Roman"/>
          <w:b/>
          <w:bCs/>
          <w:i/>
          <w:iCs/>
          <w:kern w:val="0"/>
          <w:sz w:val="18"/>
          <w:szCs w:val="18"/>
          <w:lang w:val="en-US"/>
          <w14:ligatures w14:val="none"/>
        </w:rPr>
        <w:t>Abstract</w:t>
      </w:r>
      <w:r w:rsidRPr="00B47AC4">
        <w:rPr>
          <w:rFonts w:ascii="Times New Roman" w:eastAsia="SimSun" w:hAnsi="Times New Roman" w:cs="Times New Roman"/>
          <w:kern w:val="0"/>
          <w:sz w:val="18"/>
          <w:szCs w:val="18"/>
          <w:lang w:val="en-US"/>
          <w14:ligatures w14:val="none"/>
        </w:rPr>
        <w:t xml:space="preserve">— To find out about protecting systems and networks from cyber-attacks, it is crucial to understand Just the rule and regulation and </w:t>
      </w:r>
      <w:r w:rsidR="00477EF7" w:rsidRPr="00B47AC4">
        <w:rPr>
          <w:rFonts w:ascii="Times New Roman" w:eastAsia="SimSun" w:hAnsi="Times New Roman" w:cs="Times New Roman"/>
          <w:kern w:val="0"/>
          <w:sz w:val="18"/>
          <w:szCs w:val="18"/>
          <w:lang w:val="en-US"/>
          <w14:ligatures w14:val="none"/>
        </w:rPr>
        <w:t>prove</w:t>
      </w:r>
      <w:r w:rsidRPr="00B47AC4">
        <w:rPr>
          <w:rFonts w:ascii="Times New Roman" w:eastAsia="SimSun" w:hAnsi="Times New Roman" w:cs="Times New Roman"/>
          <w:kern w:val="0"/>
          <w:sz w:val="18"/>
          <w:szCs w:val="18"/>
          <w:lang w:val="en-US"/>
          <w14:ligatures w14:val="none"/>
        </w:rPr>
        <w:t xml:space="preserve"> a clear standard,</w:t>
      </w:r>
      <w:r w:rsidR="003C112F">
        <w:rPr>
          <w:rFonts w:ascii="Times New Roman" w:eastAsia="SimSun" w:hAnsi="Times New Roman" w:cs="Times New Roman"/>
          <w:kern w:val="0"/>
          <w:sz w:val="18"/>
          <w:szCs w:val="18"/>
          <w:lang w:val="en-US"/>
          <w14:ligatures w14:val="none"/>
        </w:rPr>
        <w:t xml:space="preserve"> </w:t>
      </w:r>
      <w:r w:rsidR="00EC4870" w:rsidRPr="00B47AC4">
        <w:rPr>
          <w:rFonts w:ascii="Times New Roman" w:eastAsia="SimSun" w:hAnsi="Times New Roman" w:cs="Times New Roman"/>
          <w:kern w:val="0"/>
          <w:sz w:val="18"/>
          <w:szCs w:val="18"/>
          <w:lang w:val="en-US"/>
          <w14:ligatures w14:val="none"/>
        </w:rPr>
        <w:t>responsibilities, and</w:t>
      </w:r>
      <w:r w:rsidRPr="00B47AC4">
        <w:rPr>
          <w:rFonts w:ascii="Times New Roman" w:eastAsia="SimSun" w:hAnsi="Times New Roman" w:cs="Times New Roman"/>
          <w:kern w:val="0"/>
          <w:sz w:val="18"/>
          <w:szCs w:val="18"/>
          <w:lang w:val="en-US"/>
          <w14:ligatures w14:val="none"/>
        </w:rPr>
        <w:t xml:space="preserve"> the consequences for digital conduct. Through regulations of General Data Protection Regulations (GDPR, came into force on May 25</w:t>
      </w:r>
      <w:r w:rsidR="00477EF7" w:rsidRPr="00B47AC4">
        <w:rPr>
          <w:rFonts w:ascii="Times New Roman" w:eastAsia="SimSun" w:hAnsi="Times New Roman" w:cs="Times New Roman"/>
          <w:kern w:val="0"/>
          <w:sz w:val="18"/>
          <w:szCs w:val="18"/>
          <w:lang w:val="en-US"/>
          <w14:ligatures w14:val="none"/>
        </w:rPr>
        <w:t>, 2018</w:t>
      </w:r>
      <w:r w:rsidRPr="00B47AC4">
        <w:rPr>
          <w:rFonts w:ascii="Times New Roman" w:eastAsia="SimSun" w:hAnsi="Times New Roman" w:cs="Times New Roman"/>
          <w:kern w:val="0"/>
          <w:sz w:val="18"/>
          <w:szCs w:val="18"/>
          <w:lang w:val="en-US"/>
          <w14:ligatures w14:val="none"/>
        </w:rPr>
        <w:t xml:space="preserve">) and </w:t>
      </w:r>
      <w:r w:rsidR="0058506C">
        <w:rPr>
          <w:rFonts w:ascii="Times New Roman" w:eastAsia="SimSun" w:hAnsi="Times New Roman" w:cs="Times New Roman"/>
          <w:kern w:val="0"/>
          <w:sz w:val="18"/>
          <w:szCs w:val="18"/>
          <w:lang w:val="en-US"/>
          <w14:ligatures w14:val="none"/>
        </w:rPr>
        <w:t xml:space="preserve">the </w:t>
      </w:r>
      <w:r w:rsidR="009912D3">
        <w:rPr>
          <w:rFonts w:ascii="Times New Roman" w:eastAsia="SimSun" w:hAnsi="Times New Roman" w:cs="Times New Roman"/>
          <w:kern w:val="0"/>
          <w:sz w:val="18"/>
          <w:szCs w:val="18"/>
          <w:lang w:val="en-US"/>
          <w14:ligatures w14:val="none"/>
        </w:rPr>
        <w:t>(</w:t>
      </w:r>
      <w:r w:rsidRPr="00B47AC4">
        <w:rPr>
          <w:rFonts w:ascii="Times New Roman" w:eastAsia="SimSun" w:hAnsi="Times New Roman" w:cs="Times New Roman"/>
          <w:kern w:val="0"/>
          <w:sz w:val="18"/>
          <w:szCs w:val="18"/>
          <w:lang w:val="en-US"/>
          <w14:ligatures w14:val="none"/>
        </w:rPr>
        <w:t xml:space="preserve">Computer Fraud and abuse Act came into force on </w:t>
      </w:r>
      <w:r w:rsidR="00477EF7" w:rsidRPr="00B47AC4">
        <w:rPr>
          <w:rFonts w:ascii="Times New Roman" w:eastAsia="SimSun" w:hAnsi="Times New Roman" w:cs="Times New Roman"/>
          <w:kern w:val="0"/>
          <w:sz w:val="18"/>
          <w:szCs w:val="18"/>
          <w:lang w:val="en-US"/>
          <w14:ligatures w14:val="none"/>
        </w:rPr>
        <w:t>October</w:t>
      </w:r>
      <w:r w:rsidRPr="00B47AC4">
        <w:rPr>
          <w:rFonts w:ascii="Times New Roman" w:eastAsia="SimSun" w:hAnsi="Times New Roman" w:cs="Times New Roman"/>
          <w:kern w:val="0"/>
          <w:sz w:val="18"/>
          <w:szCs w:val="18"/>
          <w:lang w:val="en-US"/>
          <w14:ligatures w14:val="none"/>
        </w:rPr>
        <w:t xml:space="preserve"> 12,1984) governments define how data must be protected. The legal frameworks help the organization implement stronger cybersecurity solutions, risk management practices, and compliance programs to protect sensitive information.</w:t>
      </w:r>
    </w:p>
    <w:p w14:paraId="123082B8" w14:textId="77777777" w:rsidR="00780429" w:rsidRPr="00B47AC4" w:rsidRDefault="00780429" w:rsidP="00B47AC4">
      <w:pPr>
        <w:jc w:val="both"/>
        <w:rPr>
          <w:rFonts w:ascii="Times New Roman" w:eastAsia="SimSun" w:hAnsi="Times New Roman" w:cs="Times New Roman"/>
          <w:kern w:val="0"/>
          <w:sz w:val="18"/>
          <w:szCs w:val="18"/>
          <w:lang w:val="en-US"/>
          <w14:ligatures w14:val="none"/>
        </w:rPr>
      </w:pPr>
      <w:r w:rsidRPr="00B47AC4">
        <w:rPr>
          <w:rFonts w:ascii="Times New Roman" w:eastAsia="SimSun" w:hAnsi="Times New Roman" w:cs="Times New Roman"/>
          <w:b/>
          <w:bCs/>
          <w:kern w:val="0"/>
          <w:sz w:val="18"/>
          <w:szCs w:val="18"/>
          <w:lang w:val="en-US"/>
          <w14:ligatures w14:val="none"/>
        </w:rPr>
        <w:t>Keywords</w:t>
      </w:r>
      <w:r w:rsidRPr="00B47AC4">
        <w:rPr>
          <w:rFonts w:ascii="Times New Roman" w:eastAsia="SimSun" w:hAnsi="Times New Roman" w:cs="Times New Roman"/>
          <w:kern w:val="0"/>
          <w:sz w:val="18"/>
          <w:szCs w:val="18"/>
          <w:lang w:val="en-US"/>
          <w14:ligatures w14:val="none"/>
        </w:rPr>
        <w:t>— GDPR, DORA, NIS2, cybersecurity compliance, operational resilience, incident response, risk management.</w:t>
      </w:r>
    </w:p>
    <w:p w14:paraId="45CEA9A1" w14:textId="0E770E55" w:rsidR="00780429" w:rsidRPr="00225EC0" w:rsidRDefault="00780429" w:rsidP="00225EC0">
      <w:pPr>
        <w:rPr>
          <w:rFonts w:ascii="Times New Roman" w:hAnsi="Times New Roman" w:cs="Times New Roman"/>
          <w:sz w:val="24"/>
          <w:szCs w:val="24"/>
        </w:rPr>
      </w:pPr>
      <w:r w:rsidRPr="00225EC0">
        <w:rPr>
          <w:rFonts w:ascii="Times New Roman" w:hAnsi="Times New Roman" w:cs="Times New Roman"/>
          <w:sz w:val="24"/>
          <w:szCs w:val="24"/>
        </w:rPr>
        <w:t>I. INTRODUCTION</w:t>
      </w:r>
    </w:p>
    <w:p w14:paraId="6FE51194" w14:textId="7F29CCC2" w:rsidR="00780429" w:rsidRPr="00B47AC4" w:rsidRDefault="00780429" w:rsidP="00B47AC4">
      <w:pPr>
        <w:jc w:val="both"/>
        <w:rPr>
          <w:rFonts w:ascii="Times New Roman" w:hAnsi="Times New Roman" w:cs="Times New Roman"/>
        </w:rPr>
      </w:pPr>
      <w:r w:rsidRPr="00B47AC4">
        <w:rPr>
          <w:rFonts w:ascii="Times New Roman" w:hAnsi="Times New Roman" w:cs="Times New Roman"/>
        </w:rPr>
        <w:t>Digital technologies have become foundational to modern organizational operations, enabling new business models, global connectivity, and data-driven decision-making. At the same time, increased reliance on interconnected systems has amplified exposure to cyber incidents, including data breaches, ransomware attacks, and service disruptions</w:t>
      </w:r>
      <w:r w:rsidRPr="000B7833">
        <w:rPr>
          <w:rFonts w:ascii="Times New Roman" w:hAnsi="Times New Roman" w:cs="Times New Roman"/>
        </w:rPr>
        <w:t>.</w:t>
      </w:r>
      <w:r w:rsidRPr="00B47AC4">
        <w:rPr>
          <w:rFonts w:ascii="Times New Roman" w:hAnsi="Times New Roman" w:cs="Times New Roman"/>
        </w:rPr>
        <w:t xml:space="preserve"> Such incidents increasingly carry legal and regulatory consequences, extending</w:t>
      </w:r>
      <w:r w:rsidR="000B7833">
        <w:rPr>
          <w:rFonts w:ascii="Times New Roman" w:hAnsi="Times New Roman" w:cs="Times New Roman"/>
        </w:rPr>
        <w:t xml:space="preserve"> </w:t>
      </w:r>
      <w:r w:rsidRPr="00B47AC4">
        <w:rPr>
          <w:rFonts w:ascii="Times New Roman" w:hAnsi="Times New Roman" w:cs="Times New Roman"/>
        </w:rPr>
        <w:t>beyond technical failure to affect organizational reputation, financial stability, and public trust.</w:t>
      </w:r>
    </w:p>
    <w:p w14:paraId="54379721" w14:textId="2BEA51E2" w:rsidR="00780429" w:rsidRPr="00B47AC4" w:rsidRDefault="00780429" w:rsidP="00B47AC4">
      <w:pPr>
        <w:jc w:val="both"/>
        <w:rPr>
          <w:rFonts w:ascii="Times New Roman" w:hAnsi="Times New Roman" w:cs="Times New Roman"/>
        </w:rPr>
      </w:pPr>
      <w:r w:rsidRPr="00B47AC4">
        <w:rPr>
          <w:rFonts w:ascii="Times New Roman" w:hAnsi="Times New Roman" w:cs="Times New Roman"/>
        </w:rPr>
        <w:t xml:space="preserve">In response, governments and regulatory authorities have introduced comprehensive legal frameworks to protect personal data, ensure service continuity, and strengthen cybersecurity resilience. Within the European Union, the General Data Protection Regulation (GDPR) has become the cornerstone of data protection law, imposing strict obligations on organizations that process personal data [1]. More </w:t>
      </w:r>
      <w:r w:rsidRPr="00B47AC4">
        <w:rPr>
          <w:rFonts w:ascii="Times New Roman" w:hAnsi="Times New Roman" w:cs="Times New Roman"/>
        </w:rPr>
        <w:t>recently, the Digital Operational Resilience Act (DORA) and the Network and Information Systems Directive 2 (NIS2) have been introduced to address systemic cyber risks affecting financial institutions and operators of essential services [2], [3].</w:t>
      </w:r>
    </w:p>
    <w:p w14:paraId="2E674841" w14:textId="6215797D" w:rsidR="00016A16" w:rsidRPr="00B47AC4" w:rsidRDefault="00780429" w:rsidP="00B47AC4">
      <w:pPr>
        <w:jc w:val="both"/>
        <w:rPr>
          <w:rFonts w:ascii="Times New Roman" w:hAnsi="Times New Roman" w:cs="Times New Roman"/>
        </w:rPr>
      </w:pPr>
      <w:r w:rsidRPr="00B47AC4">
        <w:rPr>
          <w:rFonts w:ascii="Times New Roman" w:hAnsi="Times New Roman" w:cs="Times New Roman"/>
        </w:rPr>
        <w:t xml:space="preserve">Although each regulation targets distinct </w:t>
      </w:r>
      <w:r w:rsidR="2E87953C" w:rsidRPr="7D3398F0">
        <w:rPr>
          <w:rFonts w:ascii="Times New Roman" w:hAnsi="Times New Roman" w:cs="Times New Roman"/>
        </w:rPr>
        <w:t>aims</w:t>
      </w:r>
      <w:r w:rsidRPr="00B47AC4">
        <w:rPr>
          <w:rFonts w:ascii="Times New Roman" w:hAnsi="Times New Roman" w:cs="Times New Roman"/>
        </w:rPr>
        <w:t xml:space="preserve">, their overlapping requirements have created a fragmented compliance environment. Organizations </w:t>
      </w:r>
      <w:r w:rsidR="0CC8BEC0" w:rsidRPr="4BD869AD">
        <w:rPr>
          <w:rFonts w:ascii="Times New Roman" w:hAnsi="Times New Roman" w:cs="Times New Roman"/>
        </w:rPr>
        <w:t>working</w:t>
      </w:r>
      <w:r w:rsidRPr="00B47AC4">
        <w:rPr>
          <w:rFonts w:ascii="Times New Roman" w:hAnsi="Times New Roman" w:cs="Times New Roman"/>
        </w:rPr>
        <w:t xml:space="preserve"> across regulated sectors </w:t>
      </w:r>
      <w:r w:rsidR="68E25B81" w:rsidRPr="02F6E0E9">
        <w:rPr>
          <w:rFonts w:ascii="Times New Roman" w:hAnsi="Times New Roman" w:cs="Times New Roman"/>
        </w:rPr>
        <w:t>must</w:t>
      </w:r>
      <w:r w:rsidRPr="00B47AC4">
        <w:rPr>
          <w:rFonts w:ascii="Times New Roman" w:hAnsi="Times New Roman" w:cs="Times New Roman"/>
        </w:rPr>
        <w:t xml:space="preserve"> often </w:t>
      </w:r>
      <w:r w:rsidR="50EA2699" w:rsidRPr="2B7AF1B4">
        <w:rPr>
          <w:rFonts w:ascii="Times New Roman" w:hAnsi="Times New Roman" w:cs="Times New Roman"/>
        </w:rPr>
        <w:t>follow</w:t>
      </w:r>
      <w:r w:rsidRPr="00B47AC4">
        <w:rPr>
          <w:rFonts w:ascii="Times New Roman" w:hAnsi="Times New Roman" w:cs="Times New Roman"/>
        </w:rPr>
        <w:t xml:space="preserve"> all three frameworks simultaneously. This paper examines how organizations can navigate this complexity by integrating regulatory compliance with proactive cybersecurity practices that </w:t>
      </w:r>
      <w:r w:rsidR="6A1588AB" w:rsidRPr="76EAE73E">
        <w:rPr>
          <w:rFonts w:ascii="Times New Roman" w:hAnsi="Times New Roman" w:cs="Times New Roman"/>
        </w:rPr>
        <w:t>predict</w:t>
      </w:r>
      <w:r w:rsidRPr="00B47AC4">
        <w:rPr>
          <w:rFonts w:ascii="Times New Roman" w:hAnsi="Times New Roman" w:cs="Times New Roman"/>
        </w:rPr>
        <w:t>, protect against, detect, and respond to threats.</w:t>
      </w:r>
    </w:p>
    <w:p w14:paraId="25144F0C" w14:textId="77777777" w:rsidR="00D64EE9" w:rsidRPr="00B47AC4" w:rsidRDefault="00D64EE9" w:rsidP="00B47AC4">
      <w:pPr>
        <w:keepNext/>
        <w:jc w:val="both"/>
        <w:rPr>
          <w:rFonts w:ascii="Times New Roman" w:hAnsi="Times New Roman" w:cs="Times New Roman"/>
        </w:rPr>
      </w:pPr>
      <w:r w:rsidRPr="00B47AC4">
        <w:rPr>
          <w:rFonts w:ascii="Times New Roman" w:hAnsi="Times New Roman" w:cs="Times New Roman"/>
          <w:noProof/>
        </w:rPr>
        <w:lastRenderedPageBreak/>
        <w:drawing>
          <wp:inline distT="0" distB="0" distL="0" distR="0" wp14:anchorId="0B021D95" wp14:editId="5E816877">
            <wp:extent cx="3243185" cy="4584700"/>
            <wp:effectExtent l="0" t="0" r="0" b="6350"/>
            <wp:docPr id="1503269635" name="Picture 1">
              <a:extLst xmlns:a="http://schemas.openxmlformats.org/drawingml/2006/main">
                <a:ext uri="{FF2B5EF4-FFF2-40B4-BE49-F238E27FC236}">
                  <a16:creationId xmlns:a16="http://schemas.microsoft.com/office/drawing/2014/main" id="{C1885C25-11FF-480B-8377-38AACA54C5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269635" name=""/>
                    <pic:cNvPicPr/>
                  </pic:nvPicPr>
                  <pic:blipFill>
                    <a:blip r:embed="rId8"/>
                    <a:stretch>
                      <a:fillRect/>
                    </a:stretch>
                  </pic:blipFill>
                  <pic:spPr>
                    <a:xfrm>
                      <a:off x="0" y="0"/>
                      <a:ext cx="3304381" cy="4671209"/>
                    </a:xfrm>
                    <a:prstGeom prst="rect">
                      <a:avLst/>
                    </a:prstGeom>
                  </pic:spPr>
                </pic:pic>
              </a:graphicData>
            </a:graphic>
          </wp:inline>
        </w:drawing>
      </w:r>
    </w:p>
    <w:p w14:paraId="24C09433" w14:textId="6C3E17DA" w:rsidR="00D64EE9" w:rsidRPr="00B47AC4" w:rsidRDefault="00D64EE9" w:rsidP="00B47AC4">
      <w:pPr>
        <w:pStyle w:val="Caption"/>
        <w:jc w:val="both"/>
        <w:rPr>
          <w:rFonts w:ascii="Times New Roman" w:hAnsi="Times New Roman" w:cs="Times New Roman"/>
        </w:rPr>
      </w:pPr>
      <w:r w:rsidRPr="00B47AC4">
        <w:rPr>
          <w:rFonts w:ascii="Times New Roman" w:hAnsi="Times New Roman" w:cs="Times New Roman"/>
        </w:rPr>
        <w:t>Figure 1 Comparative Table: GDPR vs DORA vs NIS2 (Integrated Architecture View)</w:t>
      </w:r>
      <w:r w:rsidRPr="00B47AC4">
        <w:rPr>
          <w:rFonts w:ascii="Times New Roman" w:hAnsi="Times New Roman" w:cs="Times New Roman"/>
          <w:noProof/>
        </w:rPr>
        <w:t xml:space="preserve"> [1].</w:t>
      </w:r>
    </w:p>
    <w:p w14:paraId="1C0E9C9C" w14:textId="779AD07B" w:rsidR="00B47AC4" w:rsidRPr="00B8786F" w:rsidRDefault="00756047" w:rsidP="00B47AC4">
      <w:pPr>
        <w:spacing w:before="100" w:beforeAutospacing="1" w:after="100" w:afterAutospacing="1" w:line="240" w:lineRule="auto"/>
        <w:jc w:val="both"/>
        <w:outlineLvl w:val="1"/>
        <w:rPr>
          <w:rFonts w:ascii="Times New Roman" w:eastAsia="Times New Roman" w:hAnsi="Times New Roman" w:cs="Times New Roman"/>
          <w:kern w:val="0"/>
          <w:sz w:val="24"/>
          <w:szCs w:val="24"/>
          <w:lang w:eastAsia="en-GB"/>
          <w14:ligatures w14:val="none"/>
        </w:rPr>
      </w:pPr>
      <w:r w:rsidRPr="00B8786F">
        <w:rPr>
          <w:rFonts w:ascii="Times New Roman" w:eastAsia="Times New Roman" w:hAnsi="Times New Roman" w:cs="Times New Roman"/>
          <w:kern w:val="0"/>
          <w:sz w:val="24"/>
          <w:szCs w:val="24"/>
          <w:lang w:eastAsia="en-GB"/>
          <w14:ligatures w14:val="none"/>
        </w:rPr>
        <w:t>II. REGULATORY LANDSCAPE OVERVIEW</w:t>
      </w:r>
    </w:p>
    <w:p w14:paraId="182884C6" w14:textId="77777777" w:rsidR="00756047" w:rsidRPr="00225EC0" w:rsidRDefault="00756047" w:rsidP="00B47AC4">
      <w:pPr>
        <w:spacing w:before="100" w:beforeAutospacing="1" w:after="100" w:afterAutospacing="1" w:line="240" w:lineRule="auto"/>
        <w:jc w:val="both"/>
        <w:outlineLvl w:val="2"/>
        <w:rPr>
          <w:rFonts w:ascii="Times New Roman" w:eastAsia="Times New Roman" w:hAnsi="Times New Roman" w:cs="Times New Roman"/>
          <w:kern w:val="0"/>
          <w:sz w:val="24"/>
          <w:szCs w:val="24"/>
          <w:lang w:eastAsia="en-GB"/>
          <w14:ligatures w14:val="none"/>
        </w:rPr>
      </w:pPr>
      <w:r w:rsidRPr="00B8786F">
        <w:rPr>
          <w:rFonts w:ascii="Times New Roman" w:eastAsia="Times New Roman" w:hAnsi="Times New Roman" w:cs="Times New Roman"/>
          <w:kern w:val="0"/>
          <w:sz w:val="24"/>
          <w:szCs w:val="24"/>
          <w:lang w:eastAsia="en-GB"/>
          <w14:ligatures w14:val="none"/>
        </w:rPr>
        <w:t>A. General Data Protection Regulation (GDPR</w:t>
      </w:r>
      <w:r w:rsidRPr="00225EC0">
        <w:rPr>
          <w:rFonts w:ascii="Times New Roman" w:eastAsia="Times New Roman" w:hAnsi="Times New Roman" w:cs="Times New Roman"/>
          <w:kern w:val="0"/>
          <w:sz w:val="24"/>
          <w:szCs w:val="24"/>
          <w:lang w:eastAsia="en-GB"/>
          <w14:ligatures w14:val="none"/>
        </w:rPr>
        <w:t>)</w:t>
      </w:r>
    </w:p>
    <w:p w14:paraId="767FBEE4" w14:textId="7CA4E165" w:rsidR="00A3196C"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The General Data Protection Regulation (GDPR), which came into force in May 2018, </w:t>
      </w:r>
      <w:r w:rsidR="4C8A3D1C" w:rsidRPr="00B47AC4">
        <w:rPr>
          <w:rFonts w:ascii="Times New Roman" w:eastAsia="Times New Roman" w:hAnsi="Times New Roman" w:cs="Times New Roman"/>
          <w:kern w:val="0"/>
          <w:sz w:val="24"/>
          <w:szCs w:val="24"/>
          <w:lang w:eastAsia="en-GB"/>
          <w14:ligatures w14:val="none"/>
        </w:rPr>
        <w:t>stands for</w:t>
      </w:r>
      <w:r w:rsidRPr="00B47AC4">
        <w:rPr>
          <w:rFonts w:ascii="Times New Roman" w:eastAsia="Times New Roman" w:hAnsi="Times New Roman" w:cs="Times New Roman"/>
          <w:kern w:val="0"/>
          <w:sz w:val="24"/>
          <w:szCs w:val="24"/>
          <w:lang w:eastAsia="en-GB"/>
          <w14:ligatures w14:val="none"/>
        </w:rPr>
        <w:t xml:space="preserve"> one of the most comprehensive and influential data protection frameworks globally. Its primary purpose is to safeguard the personal data of individuals within the European Union and to give data subjects greater control over how their information is collected, processed, and shared [1]. A defining characteristic of the GDPR is its extraterritorial reach, meaning that it applies not only to organizations physically </w:t>
      </w:r>
      <w:r w:rsidR="7230DEDB" w:rsidRPr="00B47AC4">
        <w:rPr>
          <w:rFonts w:ascii="Times New Roman" w:eastAsia="Times New Roman" w:hAnsi="Times New Roman" w:cs="Times New Roman"/>
          <w:kern w:val="0"/>
          <w:sz w:val="24"/>
          <w:szCs w:val="24"/>
          <w:lang w:eastAsia="en-GB"/>
          <w14:ligatures w14:val="none"/>
        </w:rPr>
        <w:t>found</w:t>
      </w:r>
      <w:r w:rsidRPr="00B47AC4">
        <w:rPr>
          <w:rFonts w:ascii="Times New Roman" w:eastAsia="Times New Roman" w:hAnsi="Times New Roman" w:cs="Times New Roman"/>
          <w:kern w:val="0"/>
          <w:sz w:val="24"/>
          <w:szCs w:val="24"/>
          <w:lang w:eastAsia="en-GB"/>
          <w14:ligatures w14:val="none"/>
        </w:rPr>
        <w:t xml:space="preserve"> within the EU but also to any entity worldwide that processes the personal data of EU residents. This broad applicability has positioned the GDPR as a global standard for privacy regulation, influencing legislative developments in </w:t>
      </w:r>
      <w:r w:rsidR="4ED21F7C" w:rsidRPr="00B47AC4">
        <w:rPr>
          <w:rFonts w:ascii="Times New Roman" w:eastAsia="Times New Roman" w:hAnsi="Times New Roman" w:cs="Times New Roman"/>
          <w:kern w:val="0"/>
          <w:sz w:val="24"/>
          <w:szCs w:val="24"/>
          <w:lang w:eastAsia="en-GB"/>
          <w14:ligatures w14:val="none"/>
        </w:rPr>
        <w:t>many</w:t>
      </w:r>
      <w:r w:rsidR="00A3196C" w:rsidRPr="00B47AC4">
        <w:rPr>
          <w:rFonts w:ascii="Times New Roman" w:eastAsia="Times New Roman" w:hAnsi="Times New Roman" w:cs="Times New Roman"/>
          <w:kern w:val="0"/>
          <w:sz w:val="24"/>
          <w:szCs w:val="24"/>
          <w:lang w:eastAsia="en-GB"/>
          <w14:ligatures w14:val="none"/>
        </w:rPr>
        <w:t xml:space="preserve"> </w:t>
      </w:r>
      <w:r w:rsidR="29C6A318" w:rsidRPr="00B47AC4">
        <w:rPr>
          <w:rFonts w:ascii="Times New Roman" w:eastAsia="Times New Roman" w:hAnsi="Times New Roman" w:cs="Times New Roman"/>
          <w:kern w:val="0"/>
          <w:sz w:val="24"/>
          <w:szCs w:val="24"/>
          <w:lang w:eastAsia="en-GB"/>
          <w14:ligatures w14:val="none"/>
        </w:rPr>
        <w:t>authorities</w:t>
      </w:r>
      <w:r w:rsidR="0F5050E3" w:rsidRPr="00B47AC4">
        <w:rPr>
          <w:rFonts w:ascii="Times New Roman" w:eastAsia="Times New Roman" w:hAnsi="Times New Roman" w:cs="Times New Roman"/>
          <w:kern w:val="0"/>
          <w:sz w:val="24"/>
          <w:szCs w:val="24"/>
          <w:lang w:eastAsia="en-GB"/>
          <w14:ligatures w14:val="none"/>
        </w:rPr>
        <w:t>.</w:t>
      </w:r>
    </w:p>
    <w:p w14:paraId="25033EBC" w14:textId="7570E770"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At the core of the GDPR are several foundational principles that govern lawful data processing. These include lawfulness, fairness, and transparency, which require organizations to process data in a manner that is both legally justified and clearly communicated to individuals. The principles of purpose limitation and data minimization mandate that personal data be collected only for specific, explicit purposes and that only the minimum necessary data be processed. Additionally, the GDPR emphasizes accuracy, storage limitation, and integrity and confidentiality, ensuring that data is kept up to date, </w:t>
      </w:r>
      <w:r w:rsidR="51B1DF73" w:rsidRPr="00B47AC4">
        <w:rPr>
          <w:rFonts w:ascii="Times New Roman" w:eastAsia="Times New Roman" w:hAnsi="Times New Roman" w:cs="Times New Roman"/>
          <w:kern w:val="0"/>
          <w:sz w:val="24"/>
          <w:szCs w:val="24"/>
          <w:lang w:eastAsia="en-GB"/>
          <w14:ligatures w14:val="none"/>
        </w:rPr>
        <w:t>kept</w:t>
      </w:r>
      <w:r w:rsidRPr="00B47AC4">
        <w:rPr>
          <w:rFonts w:ascii="Times New Roman" w:eastAsia="Times New Roman" w:hAnsi="Times New Roman" w:cs="Times New Roman"/>
          <w:kern w:val="0"/>
          <w:sz w:val="24"/>
          <w:szCs w:val="24"/>
          <w:lang w:eastAsia="en-GB"/>
          <w14:ligatures w14:val="none"/>
        </w:rPr>
        <w:t xml:space="preserve"> only as long as necessary, and protected through </w:t>
      </w:r>
      <w:r w:rsidR="2DE8B747" w:rsidRPr="00B47AC4">
        <w:rPr>
          <w:rFonts w:ascii="Times New Roman" w:eastAsia="Times New Roman" w:hAnsi="Times New Roman" w:cs="Times New Roman"/>
          <w:kern w:val="0"/>
          <w:sz w:val="24"/>
          <w:szCs w:val="24"/>
          <w:lang w:eastAsia="en-GB"/>
          <w14:ligatures w14:val="none"/>
        </w:rPr>
        <w:t>proper</w:t>
      </w:r>
      <w:r w:rsidRPr="00B47AC4">
        <w:rPr>
          <w:rFonts w:ascii="Times New Roman" w:eastAsia="Times New Roman" w:hAnsi="Times New Roman" w:cs="Times New Roman"/>
          <w:kern w:val="0"/>
          <w:sz w:val="24"/>
          <w:szCs w:val="24"/>
          <w:lang w:eastAsia="en-GB"/>
          <w14:ligatures w14:val="none"/>
        </w:rPr>
        <w:t xml:space="preserve"> security measures. The overarching principle of accountability requires organizations to </w:t>
      </w:r>
      <w:r w:rsidR="0D73C2AF" w:rsidRPr="00B47AC4">
        <w:rPr>
          <w:rFonts w:ascii="Times New Roman" w:eastAsia="Times New Roman" w:hAnsi="Times New Roman" w:cs="Times New Roman"/>
          <w:kern w:val="0"/>
          <w:sz w:val="24"/>
          <w:szCs w:val="24"/>
          <w:lang w:eastAsia="en-GB"/>
          <w14:ligatures w14:val="none"/>
        </w:rPr>
        <w:t>prove</w:t>
      </w:r>
      <w:r w:rsidRPr="00B47AC4">
        <w:rPr>
          <w:rFonts w:ascii="Times New Roman" w:eastAsia="Times New Roman" w:hAnsi="Times New Roman" w:cs="Times New Roman"/>
          <w:kern w:val="0"/>
          <w:sz w:val="24"/>
          <w:szCs w:val="24"/>
          <w:lang w:eastAsia="en-GB"/>
          <w14:ligatures w14:val="none"/>
        </w:rPr>
        <w:t xml:space="preserve"> compliance through documented policies, governance structures, and ongoing risk assessments.</w:t>
      </w:r>
    </w:p>
    <w:p w14:paraId="088A7330" w14:textId="68DDCCE3"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To operationalize these principles, organizations must implement a range of technical and organizational measures, such as encryption, access controls, data protection impact assessments (DPIAs), and staff training programs. In certain circumstances, organizations </w:t>
      </w:r>
      <w:r w:rsidR="60800378" w:rsidRPr="00B47AC4">
        <w:rPr>
          <w:rFonts w:ascii="Times New Roman" w:eastAsia="Times New Roman" w:hAnsi="Times New Roman" w:cs="Times New Roman"/>
          <w:kern w:val="0"/>
          <w:sz w:val="24"/>
          <w:szCs w:val="24"/>
          <w:lang w:eastAsia="en-GB"/>
          <w14:ligatures w14:val="none"/>
        </w:rPr>
        <w:t>must also</w:t>
      </w:r>
      <w:r w:rsidRPr="00B47AC4">
        <w:rPr>
          <w:rFonts w:ascii="Times New Roman" w:eastAsia="Times New Roman" w:hAnsi="Times New Roman" w:cs="Times New Roman"/>
          <w:kern w:val="0"/>
          <w:sz w:val="24"/>
          <w:szCs w:val="24"/>
          <w:lang w:eastAsia="en-GB"/>
          <w14:ligatures w14:val="none"/>
        </w:rPr>
        <w:t xml:space="preserve"> appoint a Data Protection Officer (DPO) to oversee compliance activities and act as a point of contact for supervisory authorities.</w:t>
      </w:r>
    </w:p>
    <w:p w14:paraId="61BD4901" w14:textId="77777777" w:rsidR="005222D1"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One of the most stringent and operationally significant requirements of the GDPR is the obligation to notify supervisory authorities of personal data breaches within 72 hours of becoming aware of the incident [1].</w:t>
      </w:r>
    </w:p>
    <w:p w14:paraId="4271B774" w14:textId="6E843A4B"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This requirement underscores the regulation’s emphasis on transparency and rapid response. Organizations must assess the nature of the breach, determine the potential risks to individuals, and document the incident thoroughly</w:t>
      </w:r>
      <w:r w:rsidR="003A741A">
        <w:rPr>
          <w:rFonts w:ascii="Times New Roman" w:eastAsia="Times New Roman" w:hAnsi="Times New Roman" w:cs="Times New Roman"/>
          <w:kern w:val="0"/>
          <w:sz w:val="24"/>
          <w:szCs w:val="24"/>
          <w:lang w:eastAsia="en-GB"/>
          <w14:ligatures w14:val="none"/>
        </w:rPr>
        <w:t>,</w:t>
      </w:r>
      <w:r w:rsidR="00FB0E59" w:rsidRPr="00FB0E59">
        <w:rPr>
          <w:rFonts w:ascii="Times New Roman" w:eastAsia="Times New Roman" w:hAnsi="Times New Roman" w:cs="Times New Roman"/>
          <w:kern w:val="0"/>
          <w:sz w:val="24"/>
          <w:szCs w:val="24"/>
          <w:lang w:eastAsia="en-GB"/>
          <w14:ligatures w14:val="none"/>
        </w:rPr>
        <w:t xml:space="preserve"> </w:t>
      </w:r>
      <w:r w:rsidR="00D85B2F" w:rsidRPr="00D10FC5">
        <w:rPr>
          <w:rFonts w:ascii="Times New Roman" w:eastAsia="Times New Roman" w:hAnsi="Times New Roman" w:cs="Times New Roman"/>
          <w:kern w:val="0"/>
          <w:sz w:val="24"/>
          <w:szCs w:val="24"/>
          <w:lang w:eastAsia="en-GB"/>
          <w14:ligatures w14:val="none"/>
        </w:rPr>
        <w:t>when</w:t>
      </w:r>
      <w:r w:rsidR="00FB0E59" w:rsidRPr="00D10FC5">
        <w:rPr>
          <w:rFonts w:ascii="Times New Roman" w:eastAsia="Times New Roman" w:hAnsi="Times New Roman" w:cs="Times New Roman"/>
          <w:kern w:val="0"/>
          <w:sz w:val="24"/>
          <w:szCs w:val="24"/>
          <w:lang w:eastAsia="en-GB"/>
          <w14:ligatures w14:val="none"/>
        </w:rPr>
        <w:t xml:space="preserve"> cases</w:t>
      </w:r>
      <w:r w:rsidR="00FB0E59" w:rsidRPr="004C16E7">
        <w:rPr>
          <w:rFonts w:ascii="Times New Roman" w:eastAsia="Times New Roman" w:hAnsi="Times New Roman" w:cs="Times New Roman"/>
          <w:kern w:val="0"/>
          <w:sz w:val="24"/>
          <w:szCs w:val="24"/>
          <w:lang w:eastAsia="en-GB"/>
          <w14:ligatures w14:val="none"/>
        </w:rPr>
        <w:t xml:space="preserve"> breach</w:t>
      </w:r>
      <w:r w:rsidR="00216002" w:rsidRPr="004C16E7">
        <w:rPr>
          <w:rFonts w:ascii="Times New Roman" w:eastAsia="Times New Roman" w:hAnsi="Times New Roman" w:cs="Times New Roman"/>
          <w:kern w:val="0"/>
          <w:sz w:val="24"/>
          <w:szCs w:val="24"/>
          <w:lang w:eastAsia="en-GB"/>
          <w14:ligatures w14:val="none"/>
        </w:rPr>
        <w:t xml:space="preserve"> </w:t>
      </w:r>
      <w:r w:rsidR="00AB231C" w:rsidRPr="004C16E7">
        <w:rPr>
          <w:rFonts w:ascii="Times New Roman" w:eastAsia="Times New Roman" w:hAnsi="Times New Roman" w:cs="Times New Roman"/>
          <w:kern w:val="0"/>
          <w:sz w:val="24"/>
          <w:szCs w:val="24"/>
          <w:lang w:eastAsia="en-GB"/>
          <w14:ligatures w14:val="none"/>
        </w:rPr>
        <w:t>and</w:t>
      </w:r>
      <w:r w:rsidR="00633200" w:rsidRPr="004C16E7">
        <w:rPr>
          <w:rFonts w:ascii="Times New Roman" w:eastAsia="Times New Roman" w:hAnsi="Times New Roman" w:cs="Times New Roman"/>
          <w:kern w:val="0"/>
          <w:sz w:val="24"/>
          <w:szCs w:val="24"/>
          <w:lang w:eastAsia="en-GB"/>
          <w14:ligatures w14:val="none"/>
        </w:rPr>
        <w:t xml:space="preserve"> </w:t>
      </w:r>
      <w:r w:rsidR="009B1767" w:rsidRPr="004C16E7">
        <w:rPr>
          <w:rFonts w:ascii="Times New Roman" w:eastAsia="Times New Roman" w:hAnsi="Times New Roman" w:cs="Times New Roman"/>
          <w:kern w:val="0"/>
          <w:sz w:val="24"/>
          <w:szCs w:val="24"/>
          <w:lang w:eastAsia="en-GB"/>
          <w14:ligatures w14:val="none"/>
        </w:rPr>
        <w:t>pose</w:t>
      </w:r>
      <w:r w:rsidR="00FB0E59" w:rsidRPr="004C16E7">
        <w:rPr>
          <w:rFonts w:ascii="Times New Roman" w:eastAsia="Times New Roman" w:hAnsi="Times New Roman" w:cs="Times New Roman"/>
          <w:kern w:val="0"/>
          <w:sz w:val="24"/>
          <w:szCs w:val="24"/>
          <w:lang w:eastAsia="en-GB"/>
          <w14:ligatures w14:val="none"/>
        </w:rPr>
        <w:t xml:space="preserve"> a </w:t>
      </w:r>
      <w:r w:rsidR="00DB050B" w:rsidRPr="004C16E7">
        <w:rPr>
          <w:rFonts w:ascii="Times New Roman" w:eastAsia="Times New Roman" w:hAnsi="Times New Roman" w:cs="Times New Roman"/>
          <w:kern w:val="0"/>
          <w:sz w:val="24"/>
          <w:szCs w:val="24"/>
          <w:lang w:eastAsia="en-GB"/>
          <w14:ligatures w14:val="none"/>
        </w:rPr>
        <w:t>v</w:t>
      </w:r>
      <w:r w:rsidR="00801EC5" w:rsidRPr="004C16E7">
        <w:rPr>
          <w:rFonts w:ascii="Times New Roman" w:eastAsia="Times New Roman" w:hAnsi="Times New Roman" w:cs="Times New Roman"/>
          <w:kern w:val="0"/>
          <w:sz w:val="24"/>
          <w:szCs w:val="24"/>
          <w:lang w:eastAsia="en-GB"/>
          <w14:ligatures w14:val="none"/>
        </w:rPr>
        <w:t>er</w:t>
      </w:r>
      <w:r w:rsidR="00E038FA" w:rsidRPr="004C16E7">
        <w:rPr>
          <w:rFonts w:ascii="Times New Roman" w:eastAsia="Times New Roman" w:hAnsi="Times New Roman" w:cs="Times New Roman"/>
          <w:kern w:val="0"/>
          <w:sz w:val="24"/>
          <w:szCs w:val="24"/>
          <w:lang w:eastAsia="en-GB"/>
          <w14:ligatures w14:val="none"/>
        </w:rPr>
        <w:t>y</w:t>
      </w:r>
      <w:r w:rsidR="00731DFB" w:rsidRPr="004C16E7">
        <w:rPr>
          <w:rFonts w:ascii="Times New Roman" w:eastAsia="Times New Roman" w:hAnsi="Times New Roman" w:cs="Times New Roman"/>
          <w:kern w:val="0"/>
          <w:sz w:val="24"/>
          <w:szCs w:val="24"/>
          <w:lang w:eastAsia="en-GB"/>
          <w14:ligatures w14:val="none"/>
        </w:rPr>
        <w:t xml:space="preserve"> </w:t>
      </w:r>
      <w:r w:rsidR="00FB0E59" w:rsidRPr="004C16E7">
        <w:rPr>
          <w:rFonts w:ascii="Times New Roman" w:eastAsia="Times New Roman" w:hAnsi="Times New Roman" w:cs="Times New Roman"/>
          <w:kern w:val="0"/>
          <w:sz w:val="24"/>
          <w:szCs w:val="24"/>
          <w:lang w:eastAsia="en-GB"/>
          <w14:ligatures w14:val="none"/>
        </w:rPr>
        <w:t>high risk to individuals</w:t>
      </w:r>
      <w:r w:rsidR="00F515B2" w:rsidRPr="004C16E7">
        <w:rPr>
          <w:rFonts w:ascii="Times New Roman" w:eastAsia="Times New Roman" w:hAnsi="Times New Roman" w:cs="Times New Roman"/>
          <w:kern w:val="0"/>
          <w:sz w:val="24"/>
          <w:szCs w:val="24"/>
          <w:lang w:eastAsia="en-GB"/>
          <w14:ligatures w14:val="none"/>
        </w:rPr>
        <w:t xml:space="preserve"> a</w:t>
      </w:r>
      <w:r w:rsidR="00247786" w:rsidRPr="004C16E7">
        <w:rPr>
          <w:rFonts w:ascii="Times New Roman" w:eastAsia="Times New Roman" w:hAnsi="Times New Roman" w:cs="Times New Roman"/>
          <w:kern w:val="0"/>
          <w:sz w:val="24"/>
          <w:szCs w:val="24"/>
          <w:lang w:eastAsia="en-GB"/>
          <w14:ligatures w14:val="none"/>
        </w:rPr>
        <w:t>nd</w:t>
      </w:r>
      <w:r w:rsidR="008A0070" w:rsidRPr="004C16E7">
        <w:rPr>
          <w:rFonts w:ascii="Times New Roman" w:eastAsia="Times New Roman" w:hAnsi="Times New Roman" w:cs="Times New Roman"/>
          <w:kern w:val="0"/>
          <w:sz w:val="24"/>
          <w:szCs w:val="24"/>
          <w:lang w:eastAsia="en-GB"/>
          <w14:ligatures w14:val="none"/>
        </w:rPr>
        <w:t xml:space="preserve"> </w:t>
      </w:r>
      <w:r w:rsidR="00D74E62" w:rsidRPr="004C16E7">
        <w:rPr>
          <w:rFonts w:ascii="Times New Roman" w:eastAsia="Times New Roman" w:hAnsi="Times New Roman" w:cs="Times New Roman"/>
          <w:kern w:val="0"/>
          <w:sz w:val="24"/>
          <w:szCs w:val="24"/>
          <w:lang w:eastAsia="en-GB"/>
          <w14:ligatures w14:val="none"/>
        </w:rPr>
        <w:t>t</w:t>
      </w:r>
      <w:r w:rsidR="00D67187" w:rsidRPr="004C16E7">
        <w:rPr>
          <w:rFonts w:ascii="Times New Roman" w:eastAsia="Times New Roman" w:hAnsi="Times New Roman" w:cs="Times New Roman"/>
          <w:kern w:val="0"/>
          <w:sz w:val="24"/>
          <w:szCs w:val="24"/>
          <w:lang w:eastAsia="en-GB"/>
          <w14:ligatures w14:val="none"/>
        </w:rPr>
        <w:t>h</w:t>
      </w:r>
      <w:r w:rsidR="00B55E33" w:rsidRPr="004C16E7">
        <w:rPr>
          <w:rFonts w:ascii="Times New Roman" w:eastAsia="Times New Roman" w:hAnsi="Times New Roman" w:cs="Times New Roman"/>
          <w:kern w:val="0"/>
          <w:sz w:val="24"/>
          <w:szCs w:val="24"/>
          <w:lang w:eastAsia="en-GB"/>
          <w14:ligatures w14:val="none"/>
        </w:rPr>
        <w:t>e</w:t>
      </w:r>
      <w:r w:rsidR="00D1241E" w:rsidRPr="004C16E7">
        <w:rPr>
          <w:rFonts w:ascii="Times New Roman" w:eastAsia="Times New Roman" w:hAnsi="Times New Roman" w:cs="Times New Roman"/>
          <w:kern w:val="0"/>
          <w:sz w:val="24"/>
          <w:szCs w:val="24"/>
          <w:lang w:eastAsia="en-GB"/>
          <w14:ligatures w14:val="none"/>
        </w:rPr>
        <w:t>ir</w:t>
      </w:r>
      <w:r w:rsidR="00FB0E59" w:rsidRPr="004C16E7">
        <w:rPr>
          <w:rFonts w:ascii="Times New Roman" w:eastAsia="Times New Roman" w:hAnsi="Times New Roman" w:cs="Times New Roman"/>
          <w:kern w:val="0"/>
          <w:sz w:val="24"/>
          <w:szCs w:val="24"/>
          <w:lang w:eastAsia="en-GB"/>
          <w14:ligatures w14:val="none"/>
        </w:rPr>
        <w:t xml:space="preserve"> rights a</w:t>
      </w:r>
      <w:r w:rsidR="00696A00" w:rsidRPr="004C16E7">
        <w:rPr>
          <w:rFonts w:ascii="Times New Roman" w:eastAsia="Times New Roman" w:hAnsi="Times New Roman" w:cs="Times New Roman"/>
          <w:kern w:val="0"/>
          <w:sz w:val="24"/>
          <w:szCs w:val="24"/>
          <w:lang w:eastAsia="en-GB"/>
          <w14:ligatures w14:val="none"/>
        </w:rPr>
        <w:t>s</w:t>
      </w:r>
      <w:r w:rsidR="00C86319" w:rsidRPr="004C16E7">
        <w:rPr>
          <w:rFonts w:ascii="Times New Roman" w:eastAsia="Times New Roman" w:hAnsi="Times New Roman" w:cs="Times New Roman"/>
          <w:kern w:val="0"/>
          <w:sz w:val="24"/>
          <w:szCs w:val="24"/>
          <w:lang w:eastAsia="en-GB"/>
          <w14:ligatures w14:val="none"/>
        </w:rPr>
        <w:t xml:space="preserve"> </w:t>
      </w:r>
      <w:r w:rsidR="00B576E2" w:rsidRPr="004C16E7">
        <w:rPr>
          <w:rFonts w:ascii="Times New Roman" w:eastAsia="Times New Roman" w:hAnsi="Times New Roman" w:cs="Times New Roman"/>
          <w:kern w:val="0"/>
          <w:sz w:val="24"/>
          <w:szCs w:val="24"/>
          <w:lang w:eastAsia="en-GB"/>
          <w14:ligatures w14:val="none"/>
        </w:rPr>
        <w:t>w</w:t>
      </w:r>
      <w:r w:rsidR="00894136" w:rsidRPr="004C16E7">
        <w:rPr>
          <w:rFonts w:ascii="Times New Roman" w:eastAsia="Times New Roman" w:hAnsi="Times New Roman" w:cs="Times New Roman"/>
          <w:kern w:val="0"/>
          <w:sz w:val="24"/>
          <w:szCs w:val="24"/>
          <w:lang w:eastAsia="en-GB"/>
          <w14:ligatures w14:val="none"/>
        </w:rPr>
        <w:t>e</w:t>
      </w:r>
      <w:r w:rsidR="00541A47" w:rsidRPr="004C16E7">
        <w:rPr>
          <w:rFonts w:ascii="Times New Roman" w:eastAsia="Times New Roman" w:hAnsi="Times New Roman" w:cs="Times New Roman"/>
          <w:kern w:val="0"/>
          <w:sz w:val="24"/>
          <w:szCs w:val="24"/>
          <w:lang w:eastAsia="en-GB"/>
          <w14:ligatures w14:val="none"/>
        </w:rPr>
        <w:t>ll</w:t>
      </w:r>
      <w:r w:rsidR="007C3F5B" w:rsidRPr="004C16E7">
        <w:rPr>
          <w:rFonts w:ascii="Times New Roman" w:eastAsia="Times New Roman" w:hAnsi="Times New Roman" w:cs="Times New Roman"/>
          <w:kern w:val="0"/>
          <w:sz w:val="24"/>
          <w:szCs w:val="24"/>
          <w:lang w:eastAsia="en-GB"/>
          <w14:ligatures w14:val="none"/>
        </w:rPr>
        <w:t xml:space="preserve"> </w:t>
      </w:r>
      <w:r w:rsidR="00AF4F56" w:rsidRPr="004C16E7">
        <w:rPr>
          <w:rFonts w:ascii="Times New Roman" w:eastAsia="Times New Roman" w:hAnsi="Times New Roman" w:cs="Times New Roman"/>
          <w:kern w:val="0"/>
          <w:sz w:val="24"/>
          <w:szCs w:val="24"/>
          <w:lang w:eastAsia="en-GB"/>
          <w14:ligatures w14:val="none"/>
        </w:rPr>
        <w:t>as</w:t>
      </w:r>
      <w:r w:rsidR="00A44A12" w:rsidRPr="004C16E7">
        <w:rPr>
          <w:rFonts w:ascii="Times New Roman" w:eastAsia="Times New Roman" w:hAnsi="Times New Roman" w:cs="Times New Roman"/>
          <w:kern w:val="0"/>
          <w:sz w:val="24"/>
          <w:szCs w:val="24"/>
          <w:lang w:eastAsia="en-GB"/>
          <w14:ligatures w14:val="none"/>
        </w:rPr>
        <w:t xml:space="preserve"> </w:t>
      </w:r>
      <w:r w:rsidR="00B925EA" w:rsidRPr="004C16E7">
        <w:rPr>
          <w:rFonts w:ascii="Times New Roman" w:eastAsia="Times New Roman" w:hAnsi="Times New Roman" w:cs="Times New Roman"/>
          <w:kern w:val="0"/>
          <w:sz w:val="24"/>
          <w:szCs w:val="24"/>
          <w:lang w:eastAsia="en-GB"/>
          <w14:ligatures w14:val="none"/>
        </w:rPr>
        <w:t>one’s</w:t>
      </w:r>
      <w:r w:rsidR="00FB0E59" w:rsidRPr="004C16E7">
        <w:rPr>
          <w:rFonts w:ascii="Times New Roman" w:eastAsia="Times New Roman" w:hAnsi="Times New Roman" w:cs="Times New Roman"/>
          <w:kern w:val="0"/>
          <w:sz w:val="24"/>
          <w:szCs w:val="24"/>
          <w:lang w:eastAsia="en-GB"/>
          <w14:ligatures w14:val="none"/>
        </w:rPr>
        <w:t xml:space="preserve"> freedoms,</w:t>
      </w:r>
      <w:r w:rsidR="00372933" w:rsidRPr="004C16E7">
        <w:rPr>
          <w:rFonts w:ascii="Times New Roman" w:eastAsia="Times New Roman" w:hAnsi="Times New Roman" w:cs="Times New Roman"/>
          <w:kern w:val="0"/>
          <w:sz w:val="24"/>
          <w:szCs w:val="24"/>
          <w:lang w:eastAsia="en-GB"/>
          <w14:ligatures w14:val="none"/>
        </w:rPr>
        <w:t xml:space="preserve"> </w:t>
      </w:r>
      <w:r w:rsidR="00D51AA3" w:rsidRPr="004C16E7">
        <w:rPr>
          <w:rFonts w:ascii="Times New Roman" w:eastAsia="Times New Roman" w:hAnsi="Times New Roman" w:cs="Times New Roman"/>
          <w:kern w:val="0"/>
          <w:sz w:val="24"/>
          <w:szCs w:val="24"/>
          <w:lang w:eastAsia="en-GB"/>
          <w14:ligatures w14:val="none"/>
        </w:rPr>
        <w:t>whi</w:t>
      </w:r>
      <w:r w:rsidR="00581C9B" w:rsidRPr="004C16E7">
        <w:rPr>
          <w:rFonts w:ascii="Times New Roman" w:eastAsia="Times New Roman" w:hAnsi="Times New Roman" w:cs="Times New Roman"/>
          <w:kern w:val="0"/>
          <w:sz w:val="24"/>
          <w:szCs w:val="24"/>
          <w:lang w:eastAsia="en-GB"/>
          <w14:ligatures w14:val="none"/>
        </w:rPr>
        <w:t>ch</w:t>
      </w:r>
      <w:r w:rsidR="00FB0E59" w:rsidRPr="004C16E7">
        <w:rPr>
          <w:rFonts w:ascii="Times New Roman" w:eastAsia="Times New Roman" w:hAnsi="Times New Roman" w:cs="Times New Roman"/>
          <w:kern w:val="0"/>
          <w:sz w:val="24"/>
          <w:szCs w:val="24"/>
          <w:lang w:eastAsia="en-GB"/>
          <w14:ligatures w14:val="none"/>
        </w:rPr>
        <w:t xml:space="preserve"> </w:t>
      </w:r>
      <w:r w:rsidR="00665534" w:rsidRPr="004C16E7">
        <w:rPr>
          <w:rFonts w:ascii="Times New Roman" w:eastAsia="Times New Roman" w:hAnsi="Times New Roman" w:cs="Times New Roman"/>
          <w:kern w:val="0"/>
          <w:sz w:val="24"/>
          <w:szCs w:val="24"/>
          <w:lang w:eastAsia="en-GB"/>
          <w14:ligatures w14:val="none"/>
        </w:rPr>
        <w:t>wo</w:t>
      </w:r>
      <w:r w:rsidR="00A738E7" w:rsidRPr="004C16E7">
        <w:rPr>
          <w:rFonts w:ascii="Times New Roman" w:eastAsia="Times New Roman" w:hAnsi="Times New Roman" w:cs="Times New Roman"/>
          <w:kern w:val="0"/>
          <w:sz w:val="24"/>
          <w:szCs w:val="24"/>
          <w:lang w:eastAsia="en-GB"/>
          <w14:ligatures w14:val="none"/>
        </w:rPr>
        <w:t>ul</w:t>
      </w:r>
      <w:r w:rsidR="004A09BB" w:rsidRPr="004C16E7">
        <w:rPr>
          <w:rFonts w:ascii="Times New Roman" w:eastAsia="Times New Roman" w:hAnsi="Times New Roman" w:cs="Times New Roman"/>
          <w:kern w:val="0"/>
          <w:sz w:val="24"/>
          <w:szCs w:val="24"/>
          <w:lang w:eastAsia="en-GB"/>
          <w14:ligatures w14:val="none"/>
        </w:rPr>
        <w:t xml:space="preserve">d </w:t>
      </w:r>
      <w:r w:rsidR="00FB0E59" w:rsidRPr="004C16E7">
        <w:rPr>
          <w:rFonts w:ascii="Times New Roman" w:eastAsia="Times New Roman" w:hAnsi="Times New Roman" w:cs="Times New Roman"/>
          <w:kern w:val="0"/>
          <w:sz w:val="24"/>
          <w:szCs w:val="24"/>
          <w:lang w:eastAsia="en-GB"/>
          <w14:ligatures w14:val="none"/>
        </w:rPr>
        <w:t>affect</w:t>
      </w:r>
      <w:r w:rsidR="00EC3587" w:rsidRPr="004C16E7">
        <w:rPr>
          <w:rFonts w:ascii="Times New Roman" w:eastAsia="Times New Roman" w:hAnsi="Times New Roman" w:cs="Times New Roman"/>
          <w:kern w:val="0"/>
          <w:sz w:val="24"/>
          <w:szCs w:val="24"/>
          <w:lang w:eastAsia="en-GB"/>
          <w14:ligatures w14:val="none"/>
        </w:rPr>
        <w:t xml:space="preserve"> </w:t>
      </w:r>
      <w:r w:rsidR="00E53711" w:rsidRPr="004C16E7">
        <w:rPr>
          <w:rFonts w:ascii="Times New Roman" w:eastAsia="Times New Roman" w:hAnsi="Times New Roman" w:cs="Times New Roman"/>
          <w:kern w:val="0"/>
          <w:sz w:val="24"/>
          <w:szCs w:val="24"/>
          <w:lang w:eastAsia="en-GB"/>
          <w14:ligatures w14:val="none"/>
        </w:rPr>
        <w:t>one’s</w:t>
      </w:r>
      <w:r w:rsidR="00FB0E59" w:rsidRPr="004C16E7">
        <w:rPr>
          <w:rFonts w:ascii="Times New Roman" w:eastAsia="Times New Roman" w:hAnsi="Times New Roman" w:cs="Times New Roman"/>
          <w:kern w:val="0"/>
          <w:sz w:val="24"/>
          <w:szCs w:val="24"/>
          <w:lang w:eastAsia="en-GB"/>
          <w14:ligatures w14:val="none"/>
        </w:rPr>
        <w:t xml:space="preserve"> data </w:t>
      </w:r>
      <w:r w:rsidR="00794BE9" w:rsidRPr="004C16E7">
        <w:rPr>
          <w:rFonts w:ascii="Times New Roman" w:eastAsia="Times New Roman" w:hAnsi="Times New Roman" w:cs="Times New Roman"/>
          <w:kern w:val="0"/>
          <w:sz w:val="24"/>
          <w:szCs w:val="24"/>
          <w:lang w:eastAsia="en-GB"/>
          <w14:ligatures w14:val="none"/>
        </w:rPr>
        <w:t>th</w:t>
      </w:r>
      <w:r w:rsidR="00CE6E5D" w:rsidRPr="004C16E7">
        <w:rPr>
          <w:rFonts w:ascii="Times New Roman" w:eastAsia="Times New Roman" w:hAnsi="Times New Roman" w:cs="Times New Roman"/>
          <w:kern w:val="0"/>
          <w:sz w:val="24"/>
          <w:szCs w:val="24"/>
          <w:lang w:eastAsia="en-GB"/>
          <w14:ligatures w14:val="none"/>
        </w:rPr>
        <w:t xml:space="preserve">e </w:t>
      </w:r>
      <w:r w:rsidR="00FB0E59" w:rsidRPr="004C16E7">
        <w:rPr>
          <w:rFonts w:ascii="Times New Roman" w:eastAsia="Times New Roman" w:hAnsi="Times New Roman" w:cs="Times New Roman"/>
          <w:kern w:val="0"/>
          <w:sz w:val="24"/>
          <w:szCs w:val="24"/>
          <w:lang w:eastAsia="en-GB"/>
          <w14:ligatures w14:val="none"/>
        </w:rPr>
        <w:t>subjects must also be informed without undue delay. (“The Cybersecurity Risks Marketing Agencies Overlook - Lyon Tech”)</w:t>
      </w:r>
      <w:r w:rsidRPr="004C16E7">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 xml:space="preserve"> </w:t>
      </w:r>
    </w:p>
    <w:p w14:paraId="1F97ADC4" w14:textId="1C0E5154"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Failure to </w:t>
      </w:r>
      <w:r w:rsidR="28EA95EB" w:rsidRPr="00B47AC4">
        <w:rPr>
          <w:rFonts w:ascii="Times New Roman" w:eastAsia="Times New Roman" w:hAnsi="Times New Roman" w:cs="Times New Roman"/>
          <w:kern w:val="0"/>
          <w:sz w:val="24"/>
          <w:szCs w:val="24"/>
          <w:lang w:eastAsia="en-GB"/>
          <w14:ligatures w14:val="none"/>
        </w:rPr>
        <w:t>follow</w:t>
      </w:r>
      <w:r w:rsidRPr="00B47AC4">
        <w:rPr>
          <w:rFonts w:ascii="Times New Roman" w:eastAsia="Times New Roman" w:hAnsi="Times New Roman" w:cs="Times New Roman"/>
          <w:kern w:val="0"/>
          <w:sz w:val="24"/>
          <w:szCs w:val="24"/>
          <w:lang w:eastAsia="en-GB"/>
          <w14:ligatures w14:val="none"/>
        </w:rPr>
        <w:t xml:space="preserve"> GDPR obligations—including breach notification, data subject rights, or lawful processing requirements—can result in severe administrative penalties. The regulation authorizes fines of up to €20 million or 4% of an organization’s global annual turnover, whichever is higher [4]. These substantial penalties reflect the EU’s commitment to enforcing data protection standards and have led to high</w:t>
      </w:r>
      <w:r w:rsidR="2CB0E1DA"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profile</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enforcement actions across various industries.</w:t>
      </w:r>
    </w:p>
    <w:p w14:paraId="059F1725" w14:textId="77777777" w:rsidR="00E9751E" w:rsidRPr="00B47AC4" w:rsidRDefault="00E9751E" w:rsidP="00B47AC4">
      <w:pPr>
        <w:keepNext/>
        <w:spacing w:before="100" w:beforeAutospacing="1" w:after="100" w:afterAutospacing="1" w:line="240" w:lineRule="auto"/>
        <w:jc w:val="both"/>
        <w:rPr>
          <w:rFonts w:ascii="Times New Roman" w:hAnsi="Times New Roman" w:cs="Times New Roman"/>
        </w:rPr>
      </w:pPr>
      <w:r w:rsidRPr="00B47AC4">
        <w:rPr>
          <w:rFonts w:ascii="Times New Roman" w:eastAsia="Times New Roman" w:hAnsi="Times New Roman" w:cs="Times New Roman"/>
          <w:noProof/>
          <w:kern w:val="0"/>
          <w:sz w:val="24"/>
          <w:szCs w:val="24"/>
          <w:lang w:eastAsia="en-GB"/>
          <w14:ligatures w14:val="none"/>
        </w:rPr>
        <w:drawing>
          <wp:inline distT="0" distB="0" distL="0" distR="0" wp14:anchorId="2E0DD0DA" wp14:editId="2537F9DA">
            <wp:extent cx="2640965" cy="3568700"/>
            <wp:effectExtent l="0" t="0" r="6985" b="0"/>
            <wp:docPr id="1910398162" name="Picture 5">
              <a:extLst xmlns:a="http://schemas.openxmlformats.org/drawingml/2006/main">
                <a:ext uri="{FF2B5EF4-FFF2-40B4-BE49-F238E27FC236}">
                  <a16:creationId xmlns:a16="http://schemas.microsoft.com/office/drawing/2014/main" id="{A6CC50C5-ABC3-4EF5-A496-20A712959F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0965" cy="3568700"/>
                    </a:xfrm>
                    <a:prstGeom prst="rect">
                      <a:avLst/>
                    </a:prstGeom>
                    <a:noFill/>
                    <a:ln>
                      <a:noFill/>
                    </a:ln>
                  </pic:spPr>
                </pic:pic>
              </a:graphicData>
            </a:graphic>
          </wp:inline>
        </w:drawing>
      </w:r>
    </w:p>
    <w:p w14:paraId="6CF4C7BA" w14:textId="47EBC9DF" w:rsidR="00E9751E" w:rsidRPr="00B47AC4" w:rsidRDefault="00E9751E" w:rsidP="00B47AC4">
      <w:pPr>
        <w:pStyle w:val="Caption"/>
        <w:jc w:val="both"/>
        <w:rPr>
          <w:rFonts w:ascii="Times New Roman" w:hAnsi="Times New Roman" w:cs="Times New Roman"/>
        </w:rPr>
      </w:pPr>
      <w:r w:rsidRPr="00B47AC4">
        <w:rPr>
          <w:rFonts w:ascii="Times New Roman" w:hAnsi="Times New Roman" w:cs="Times New Roman"/>
        </w:rPr>
        <w:t>Figure 2 shows the GDPR things you need to know to follow the principals of data protection [2]</w:t>
      </w:r>
    </w:p>
    <w:p w14:paraId="427C83C5" w14:textId="542D30E7" w:rsidR="00016A16"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Overall, the GDPR has reshaped global expectations around privacy, security, and accountability. Its influence continues to grow as organizations worldwide adopt GDPR</w:t>
      </w:r>
      <w:r w:rsidR="55C30BF2"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 xml:space="preserve">aligned practices to meet regulatory expectations and </w:t>
      </w:r>
      <w:r w:rsidR="0EBAC482" w:rsidRPr="00B47AC4">
        <w:rPr>
          <w:rFonts w:ascii="Times New Roman" w:eastAsia="Times New Roman" w:hAnsi="Times New Roman" w:cs="Times New Roman"/>
          <w:kern w:val="0"/>
          <w:sz w:val="24"/>
          <w:szCs w:val="24"/>
          <w:lang w:eastAsia="en-GB"/>
          <w14:ligatures w14:val="none"/>
        </w:rPr>
        <w:t>support</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trust with consumers.</w:t>
      </w:r>
    </w:p>
    <w:p w14:paraId="3EC605F2" w14:textId="32C4C9BF" w:rsidR="00756047" w:rsidRPr="00B8786F" w:rsidRDefault="00756047" w:rsidP="00B47AC4">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B8786F">
        <w:rPr>
          <w:rFonts w:ascii="Times New Roman" w:eastAsia="Times New Roman" w:hAnsi="Times New Roman" w:cs="Times New Roman"/>
          <w:b/>
          <w:bCs/>
          <w:kern w:val="0"/>
          <w:sz w:val="24"/>
          <w:szCs w:val="24"/>
          <w:lang w:eastAsia="en-GB"/>
          <w14:ligatures w14:val="none"/>
        </w:rPr>
        <w:t>B. Digital Operational Resilience Act (DORA)</w:t>
      </w:r>
    </w:p>
    <w:p w14:paraId="4DDEE742" w14:textId="28FFD8DF"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The Digital Operational Resilience Act (DORA) </w:t>
      </w:r>
      <w:r w:rsidR="1B38AD73" w:rsidRPr="00B47AC4">
        <w:rPr>
          <w:rFonts w:ascii="Times New Roman" w:eastAsia="Times New Roman" w:hAnsi="Times New Roman" w:cs="Times New Roman"/>
          <w:kern w:val="0"/>
          <w:sz w:val="24"/>
          <w:szCs w:val="24"/>
          <w:lang w:eastAsia="en-GB"/>
          <w14:ligatures w14:val="none"/>
        </w:rPr>
        <w:t>stands for</w:t>
      </w:r>
      <w:r w:rsidRPr="00B47AC4">
        <w:rPr>
          <w:rFonts w:ascii="Times New Roman" w:eastAsia="Times New Roman" w:hAnsi="Times New Roman" w:cs="Times New Roman"/>
          <w:kern w:val="0"/>
          <w:sz w:val="24"/>
          <w:szCs w:val="24"/>
          <w:lang w:eastAsia="en-GB"/>
          <w14:ligatures w14:val="none"/>
        </w:rPr>
        <w:t xml:space="preserve"> a major regulatory milestone in the European Union’s effort to strengthen the stability and security of the financial sector. Unlike data</w:t>
      </w:r>
      <w:r w:rsidR="1069E64D" w:rsidRPr="00B47AC4">
        <w:rPr>
          <w:rFonts w:ascii="Times New Roman" w:eastAsia="Times New Roman" w:hAnsi="Times New Roman" w:cs="Times New Roman"/>
          <w:kern w:val="0"/>
          <w:sz w:val="24"/>
          <w:szCs w:val="24"/>
          <w:lang w:eastAsia="en-GB"/>
          <w14:ligatures w14:val="none"/>
        </w:rPr>
        <w:t xml:space="preserve"> </w:t>
      </w:r>
      <w:r w:rsidR="00F00EF3" w:rsidRPr="00B47AC4">
        <w:rPr>
          <w:rFonts w:ascii="Times New Roman" w:eastAsia="Times New Roman" w:hAnsi="Times New Roman" w:cs="Times New Roman"/>
          <w:kern w:val="0"/>
          <w:sz w:val="24"/>
          <w:szCs w:val="24"/>
          <w:lang w:eastAsia="en-GB"/>
          <w14:ligatures w14:val="none"/>
        </w:rPr>
        <w:t>protection</w:t>
      </w:r>
      <w:r w:rsidRPr="00B47AC4">
        <w:rPr>
          <w:rFonts w:ascii="Times New Roman" w:eastAsia="Times New Roman" w:hAnsi="Times New Roman" w:cs="Times New Roman"/>
          <w:kern w:val="0"/>
          <w:sz w:val="24"/>
          <w:szCs w:val="24"/>
          <w:lang w:eastAsia="en-GB"/>
          <w14:ligatures w14:val="none"/>
        </w:rPr>
        <w:noBreakHyphen/>
      </w:r>
      <w:r w:rsidR="00F00EF3" w:rsidRPr="00B47AC4">
        <w:rPr>
          <w:rFonts w:ascii="Times New Roman" w:eastAsia="Times New Roman" w:hAnsi="Times New Roman" w:cs="Times New Roman"/>
          <w:kern w:val="0"/>
          <w:sz w:val="24"/>
          <w:szCs w:val="24"/>
          <w:lang w:eastAsia="en-GB"/>
          <w14:ligatures w14:val="none"/>
        </w:rPr>
        <w:t xml:space="preserve"> focused</w:t>
      </w:r>
      <w:r w:rsidRPr="00B47AC4">
        <w:rPr>
          <w:rFonts w:ascii="Times New Roman" w:eastAsia="Times New Roman" w:hAnsi="Times New Roman" w:cs="Times New Roman"/>
          <w:kern w:val="0"/>
          <w:sz w:val="24"/>
          <w:szCs w:val="24"/>
          <w:lang w:eastAsia="en-GB"/>
          <w14:ligatures w14:val="none"/>
        </w:rPr>
        <w:t xml:space="preserve"> regulations such as the GDPR, DORA is specifically designed to ensure that financial entities can withstand, respond to, and recover from a wide range of information and communication technology (ICT) disruptions. Its scope covers banks, insurance companies, investment firms, credit institutions, payment service providers, and critical </w:t>
      </w:r>
      <w:r w:rsidR="4B55B331"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thi</w:t>
      </w:r>
      <w:r w:rsidRPr="00B47AC4">
        <w:rPr>
          <w:rFonts w:ascii="Times New Roman" w:eastAsia="Times New Roman" w:hAnsi="Times New Roman" w:cs="Times New Roman"/>
          <w:kern w:val="0"/>
          <w:sz w:val="24"/>
          <w:szCs w:val="24"/>
          <w:lang w:eastAsia="en-GB"/>
          <w14:ligatures w14:val="none"/>
        </w:rPr>
        <w:t>r</w:t>
      </w:r>
      <w:r w:rsidRPr="00B47AC4">
        <w:rPr>
          <w:rFonts w:ascii="Times New Roman" w:eastAsia="Times New Roman" w:hAnsi="Times New Roman" w:cs="Times New Roman"/>
          <w:kern w:val="0"/>
          <w:sz w:val="24"/>
          <w:szCs w:val="24"/>
          <w:lang w:eastAsia="en-GB"/>
          <w14:ligatures w14:val="none"/>
        </w:rPr>
        <w:t>d</w:t>
      </w:r>
      <w:r w:rsidR="2A04C361" w:rsidRPr="00B47AC4">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party</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ICT service providers, making it one of the most comprehensive operational resilience frameworks in the financial domain [2].</w:t>
      </w:r>
    </w:p>
    <w:p w14:paraId="74D66F41" w14:textId="06D23AE0" w:rsidR="00090617"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DORA mandates that financial entities </w:t>
      </w:r>
      <w:r w:rsidR="4A563718" w:rsidRPr="00B47AC4">
        <w:rPr>
          <w:rFonts w:ascii="Times New Roman" w:eastAsia="Times New Roman" w:hAnsi="Times New Roman" w:cs="Times New Roman"/>
          <w:kern w:val="0"/>
          <w:sz w:val="24"/>
          <w:szCs w:val="24"/>
          <w:lang w:eastAsia="en-GB"/>
          <w14:ligatures w14:val="none"/>
        </w:rPr>
        <w:t>prove</w:t>
      </w:r>
      <w:r w:rsidRPr="00B47AC4">
        <w:rPr>
          <w:rFonts w:ascii="Times New Roman" w:eastAsia="Times New Roman" w:hAnsi="Times New Roman" w:cs="Times New Roman"/>
          <w:kern w:val="0"/>
          <w:sz w:val="24"/>
          <w:szCs w:val="24"/>
          <w:lang w:eastAsia="en-GB"/>
          <w14:ligatures w14:val="none"/>
        </w:rPr>
        <w:t xml:space="preserve"> robust ICT risk management frameworks that integrate governance, risk identification, protection measures, detection capabilities, and recovery planning. These frameworks must be embedded into the organization’s overall risk management strategy and overseen by senior management, who are explicitly accountable for ICT resilience. This governance emphasis reflects the EU’s recognition that operational disruptions—whether caused by cyberattacks, system failures, or third</w:t>
      </w:r>
      <w:r w:rsidR="72DF3FAA" w:rsidRPr="00B47AC4">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party</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outages—pose systemic risks to financial stability.</w:t>
      </w:r>
    </w:p>
    <w:p w14:paraId="21244345" w14:textId="60C932E9" w:rsidR="00AA04B1" w:rsidRDefault="008D654D"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8D654D">
        <w:rPr>
          <w:rFonts w:ascii="Times New Roman" w:eastAsia="Times New Roman" w:hAnsi="Times New Roman" w:cs="Times New Roman"/>
          <w:kern w:val="0"/>
          <w:sz w:val="24"/>
          <w:szCs w:val="24"/>
          <w:lang w:eastAsia="en-GB"/>
          <w14:ligatures w14:val="none"/>
        </w:rPr>
        <w:t>The UK GDPR mirrors the EU GDPR but applies post-Brexit domestically; both protect personal data, though UK can diverge over time.</w:t>
      </w:r>
    </w:p>
    <w:p w14:paraId="63A02257" w14:textId="0F0E6A7C"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A </w:t>
      </w:r>
      <w:r w:rsidR="4359B3C2" w:rsidRPr="00B47AC4">
        <w:rPr>
          <w:rFonts w:ascii="Times New Roman" w:eastAsia="Times New Roman" w:hAnsi="Times New Roman" w:cs="Times New Roman"/>
          <w:kern w:val="0"/>
          <w:sz w:val="24"/>
          <w:szCs w:val="24"/>
          <w:lang w:eastAsia="en-GB"/>
          <w14:ligatures w14:val="none"/>
        </w:rPr>
        <w:t>vital</w:t>
      </w:r>
      <w:r w:rsidRPr="00B47AC4">
        <w:rPr>
          <w:rFonts w:ascii="Times New Roman" w:eastAsia="Times New Roman" w:hAnsi="Times New Roman" w:cs="Times New Roman"/>
          <w:kern w:val="0"/>
          <w:sz w:val="24"/>
          <w:szCs w:val="24"/>
          <w:lang w:eastAsia="en-GB"/>
          <w14:ligatures w14:val="none"/>
        </w:rPr>
        <w:t xml:space="preserve"> </w:t>
      </w:r>
      <w:r w:rsidR="4359B3C2" w:rsidRPr="00B47AC4">
        <w:rPr>
          <w:rFonts w:ascii="Times New Roman" w:eastAsia="Times New Roman" w:hAnsi="Times New Roman" w:cs="Times New Roman"/>
          <w:kern w:val="0"/>
          <w:sz w:val="24"/>
          <w:szCs w:val="24"/>
          <w:lang w:eastAsia="en-GB"/>
          <w14:ligatures w14:val="none"/>
        </w:rPr>
        <w:t>part</w:t>
      </w:r>
      <w:r w:rsidRPr="00B47AC4">
        <w:rPr>
          <w:rFonts w:ascii="Times New Roman" w:eastAsia="Times New Roman" w:hAnsi="Times New Roman" w:cs="Times New Roman"/>
          <w:kern w:val="0"/>
          <w:sz w:val="24"/>
          <w:szCs w:val="24"/>
          <w:lang w:eastAsia="en-GB"/>
          <w14:ligatures w14:val="none"/>
        </w:rPr>
        <w:t xml:space="preserve"> of DORA is its requirement for continuous resilience testing. Financial institutions must conduct regular assessments, including vulnerability analyses, </w:t>
      </w:r>
      <w:r w:rsidR="4FC4A8D7" w:rsidRPr="00B47AC4">
        <w:rPr>
          <w:rFonts w:ascii="Times New Roman" w:eastAsia="Times New Roman" w:hAnsi="Times New Roman" w:cs="Times New Roman"/>
          <w:kern w:val="0"/>
          <w:sz w:val="24"/>
          <w:szCs w:val="24"/>
          <w:lang w:eastAsia="en-GB"/>
          <w14:ligatures w14:val="none"/>
        </w:rPr>
        <w:t>scenario based</w:t>
      </w:r>
      <w:r w:rsidRPr="00B47AC4">
        <w:rPr>
          <w:rFonts w:ascii="Times New Roman" w:eastAsia="Times New Roman" w:hAnsi="Times New Roman" w:cs="Times New Roman"/>
          <w:kern w:val="0"/>
          <w:sz w:val="24"/>
          <w:szCs w:val="24"/>
          <w:lang w:eastAsia="en-GB"/>
          <w14:ligatures w14:val="none"/>
        </w:rPr>
        <w:t xml:space="preserve"> testing, and advanced </w:t>
      </w:r>
      <w:r w:rsidR="685A260F" w:rsidRPr="00B47AC4">
        <w:rPr>
          <w:rFonts w:ascii="Times New Roman" w:eastAsia="Times New Roman" w:hAnsi="Times New Roman" w:cs="Times New Roman"/>
          <w:kern w:val="0"/>
          <w:sz w:val="24"/>
          <w:szCs w:val="24"/>
          <w:lang w:eastAsia="en-GB"/>
          <w14:ligatures w14:val="none"/>
        </w:rPr>
        <w:noBreakHyphen/>
      </w:r>
      <w:r w:rsidR="6C0BE2D0" w:rsidRPr="00B47AC4">
        <w:rPr>
          <w:rFonts w:ascii="Times New Roman" w:eastAsia="Times New Roman" w:hAnsi="Times New Roman" w:cs="Times New Roman"/>
          <w:kern w:val="0"/>
          <w:sz w:val="24"/>
          <w:szCs w:val="24"/>
          <w:lang w:eastAsia="en-GB"/>
          <w14:ligatures w14:val="none"/>
        </w:rPr>
        <w:t>threat led</w:t>
      </w:r>
      <w:r w:rsidRPr="00B47AC4">
        <w:rPr>
          <w:rFonts w:ascii="Times New Roman" w:eastAsia="Times New Roman" w:hAnsi="Times New Roman" w:cs="Times New Roman"/>
          <w:kern w:val="0"/>
          <w:sz w:val="24"/>
          <w:szCs w:val="24"/>
          <w:lang w:eastAsia="en-GB"/>
          <w14:ligatures w14:val="none"/>
        </w:rPr>
        <w:t xml:space="preserve"> penetration testing (TLPT) for entities</w:t>
      </w:r>
      <w:r w:rsidRPr="00B47AC4">
        <w:rPr>
          <w:rFonts w:ascii="Times New Roman" w:eastAsia="Times New Roman" w:hAnsi="Times New Roman" w:cs="Times New Roman"/>
          <w:kern w:val="0"/>
          <w:sz w:val="24"/>
          <w:szCs w:val="24"/>
          <w:lang w:eastAsia="en-GB"/>
          <w14:ligatures w14:val="none"/>
        </w:rPr>
        <w:t xml:space="preserve"> </w:t>
      </w:r>
      <w:r w:rsidR="4429A335" w:rsidRPr="00B47AC4">
        <w:rPr>
          <w:rFonts w:ascii="Times New Roman" w:eastAsia="Times New Roman" w:hAnsi="Times New Roman" w:cs="Times New Roman"/>
          <w:kern w:val="0"/>
          <w:sz w:val="24"/>
          <w:szCs w:val="24"/>
          <w:lang w:eastAsia="en-GB"/>
          <w14:ligatures w14:val="none"/>
        </w:rPr>
        <w:t>believed</w:t>
      </w:r>
      <w:r w:rsidRPr="00B47AC4">
        <w:rPr>
          <w:rFonts w:ascii="Times New Roman" w:eastAsia="Times New Roman" w:hAnsi="Times New Roman" w:cs="Times New Roman"/>
          <w:kern w:val="0"/>
          <w:sz w:val="24"/>
          <w:szCs w:val="24"/>
          <w:lang w:eastAsia="en-GB"/>
          <w14:ligatures w14:val="none"/>
        </w:rPr>
        <w:t xml:space="preserve"> critical. These tests ensure that organizations can</w:t>
      </w:r>
      <w:r w:rsidRPr="00B47AC4">
        <w:rPr>
          <w:rFonts w:ascii="Times New Roman" w:eastAsia="Times New Roman" w:hAnsi="Times New Roman" w:cs="Times New Roman"/>
          <w:kern w:val="0"/>
          <w:sz w:val="24"/>
          <w:szCs w:val="24"/>
          <w:lang w:eastAsia="en-GB"/>
          <w14:ligatures w14:val="none"/>
        </w:rPr>
        <w:t xml:space="preserve"> </w:t>
      </w:r>
      <w:r w:rsidR="0BDDE469" w:rsidRPr="00B47AC4">
        <w:rPr>
          <w:rFonts w:ascii="Times New Roman" w:eastAsia="Times New Roman" w:hAnsi="Times New Roman" w:cs="Times New Roman"/>
          <w:kern w:val="0"/>
          <w:sz w:val="24"/>
          <w:szCs w:val="24"/>
          <w:lang w:eastAsia="en-GB"/>
          <w14:ligatures w14:val="none"/>
        </w:rPr>
        <w:t>name</w:t>
      </w:r>
      <w:r w:rsidRPr="00B47AC4">
        <w:rPr>
          <w:rFonts w:ascii="Times New Roman" w:eastAsia="Times New Roman" w:hAnsi="Times New Roman" w:cs="Times New Roman"/>
          <w:kern w:val="0"/>
          <w:sz w:val="24"/>
          <w:szCs w:val="24"/>
          <w:lang w:eastAsia="en-GB"/>
          <w14:ligatures w14:val="none"/>
        </w:rPr>
        <w:t xml:space="preserve"> weaknesses proactively and</w:t>
      </w:r>
      <w:r w:rsidRPr="00B47AC4">
        <w:rPr>
          <w:rFonts w:ascii="Times New Roman" w:eastAsia="Times New Roman" w:hAnsi="Times New Roman" w:cs="Times New Roman"/>
          <w:kern w:val="0"/>
          <w:sz w:val="24"/>
          <w:szCs w:val="24"/>
          <w:lang w:eastAsia="en-GB"/>
          <w14:ligatures w14:val="none"/>
        </w:rPr>
        <w:t xml:space="preserve"> </w:t>
      </w:r>
      <w:r w:rsidR="4329C444" w:rsidRPr="00B47AC4">
        <w:rPr>
          <w:rFonts w:ascii="Times New Roman" w:eastAsia="Times New Roman" w:hAnsi="Times New Roman" w:cs="Times New Roman"/>
          <w:kern w:val="0"/>
          <w:sz w:val="24"/>
          <w:szCs w:val="24"/>
          <w:lang w:eastAsia="en-GB"/>
          <w14:ligatures w14:val="none"/>
        </w:rPr>
        <w:t>confirm</w:t>
      </w:r>
      <w:r w:rsidRPr="00B47AC4">
        <w:rPr>
          <w:rFonts w:ascii="Times New Roman" w:eastAsia="Times New Roman" w:hAnsi="Times New Roman" w:cs="Times New Roman"/>
          <w:kern w:val="0"/>
          <w:sz w:val="24"/>
          <w:szCs w:val="24"/>
          <w:lang w:eastAsia="en-GB"/>
          <w14:ligatures w14:val="none"/>
        </w:rPr>
        <w:t xml:space="preserve"> their ability to</w:t>
      </w:r>
      <w:r w:rsidRPr="00B47AC4">
        <w:rPr>
          <w:rFonts w:ascii="Times New Roman" w:eastAsia="Times New Roman" w:hAnsi="Times New Roman" w:cs="Times New Roman"/>
          <w:kern w:val="0"/>
          <w:sz w:val="24"/>
          <w:szCs w:val="24"/>
          <w:lang w:eastAsia="en-GB"/>
          <w14:ligatures w14:val="none"/>
        </w:rPr>
        <w:t xml:space="preserve"> </w:t>
      </w:r>
      <w:r w:rsidR="1F57DF01" w:rsidRPr="00B47AC4">
        <w:rPr>
          <w:rFonts w:ascii="Times New Roman" w:eastAsia="Times New Roman" w:hAnsi="Times New Roman" w:cs="Times New Roman"/>
          <w:kern w:val="0"/>
          <w:sz w:val="24"/>
          <w:szCs w:val="24"/>
          <w:lang w:eastAsia="en-GB"/>
          <w14:ligatures w14:val="none"/>
        </w:rPr>
        <w:t>support</w:t>
      </w:r>
      <w:r w:rsidRPr="00B47AC4">
        <w:rPr>
          <w:rFonts w:ascii="Times New Roman" w:eastAsia="Times New Roman" w:hAnsi="Times New Roman" w:cs="Times New Roman"/>
          <w:kern w:val="0"/>
          <w:sz w:val="24"/>
          <w:szCs w:val="24"/>
          <w:lang w:eastAsia="en-GB"/>
          <w14:ligatures w14:val="none"/>
        </w:rPr>
        <w:t xml:space="preserve"> essential services during severe operational stress. The regulation also encourages </w:t>
      </w:r>
      <w:r w:rsidR="6D521580"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cross</w:t>
      </w:r>
      <w:r w:rsidR="6D521580"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border</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coordination and information sharing to strengthen collective resilience across the EU financial ecosystem.</w:t>
      </w:r>
    </w:p>
    <w:p w14:paraId="1152592C" w14:textId="768DA4CD"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Another defining feature of DORA is its standardized incident reporting framework. Financial entities must classify </w:t>
      </w:r>
      <w:r w:rsidR="2528A6EC" w:rsidRPr="00B47AC4">
        <w:rPr>
          <w:rFonts w:ascii="Times New Roman" w:eastAsia="Times New Roman" w:hAnsi="Times New Roman" w:cs="Times New Roman"/>
          <w:kern w:val="0"/>
          <w:sz w:val="24"/>
          <w:szCs w:val="24"/>
          <w:lang w:eastAsia="en-GB"/>
          <w14:ligatures w14:val="none"/>
        </w:rPr>
        <w:t>Corelated</w:t>
      </w:r>
      <w:r w:rsidRPr="00B47AC4">
        <w:rPr>
          <w:rFonts w:ascii="Times New Roman" w:eastAsia="Times New Roman" w:hAnsi="Times New Roman" w:cs="Times New Roman"/>
          <w:kern w:val="0"/>
          <w:sz w:val="24"/>
          <w:szCs w:val="24"/>
          <w:lang w:eastAsia="en-GB"/>
          <w14:ligatures w14:val="none"/>
        </w:rPr>
        <w:t xml:space="preserve"> incidents based on severity and report major incidents to competent authorities within prescribed timelines. This harmonized reporting structure aims to improve supervisory oversight, enable faster regulatory response, and enhance the EU’s ability to </w:t>
      </w:r>
      <w:r w:rsidR="1145C214" w:rsidRPr="00B47AC4">
        <w:rPr>
          <w:rFonts w:ascii="Times New Roman" w:eastAsia="Times New Roman" w:hAnsi="Times New Roman" w:cs="Times New Roman"/>
          <w:kern w:val="0"/>
          <w:sz w:val="24"/>
          <w:szCs w:val="24"/>
          <w:lang w:eastAsia="en-GB"/>
          <w14:ligatures w14:val="none"/>
        </w:rPr>
        <w:t>check</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systemic risks. The standardization also reduces fragmentation across member states, addressing long</w:t>
      </w:r>
      <w:r w:rsidRPr="00B47AC4">
        <w:rPr>
          <w:rFonts w:ascii="Times New Roman" w:eastAsia="Times New Roman" w:hAnsi="Times New Roman" w:cs="Times New Roman"/>
          <w:kern w:val="0"/>
          <w:sz w:val="24"/>
          <w:szCs w:val="24"/>
          <w:lang w:eastAsia="en-GB"/>
          <w14:ligatures w14:val="none"/>
        </w:rPr>
        <w:noBreakHyphen/>
        <w:t>standing inconsistencies in how financial institutions report cyber and operational incidents.</w:t>
      </w:r>
    </w:p>
    <w:p w14:paraId="67A473FF" w14:textId="5001EDE5" w:rsidR="00E9751E"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Perhaps the most distinctive aspect of DORA is its strong focus on </w:t>
      </w:r>
      <w:r w:rsidR="511CD0BB" w:rsidRPr="00B47AC4">
        <w:rPr>
          <w:rFonts w:ascii="Times New Roman" w:eastAsia="Times New Roman" w:hAnsi="Times New Roman" w:cs="Times New Roman"/>
          <w:kern w:val="0"/>
          <w:sz w:val="24"/>
          <w:szCs w:val="24"/>
          <w:lang w:eastAsia="en-GB"/>
          <w14:ligatures w14:val="none"/>
        </w:rPr>
        <w:t>third party</w:t>
      </w:r>
      <w:r w:rsidRPr="00B47AC4">
        <w:rPr>
          <w:rFonts w:ascii="Times New Roman" w:eastAsia="Times New Roman" w:hAnsi="Times New Roman" w:cs="Times New Roman"/>
          <w:kern w:val="0"/>
          <w:sz w:val="24"/>
          <w:szCs w:val="24"/>
          <w:lang w:eastAsia="en-GB"/>
          <w14:ligatures w14:val="none"/>
        </w:rPr>
        <w:t xml:space="preserve"> ICT risk, particularly in relation to cloud service providers and other external technology partners. The regulation recognizes that financial institutions increasingly rely on outsourced ICT services, which can create concentration risks and single points of failure. Under DORA, organizations must ensure that outsourcing arrangements do not compromise operational resilience and must </w:t>
      </w:r>
      <w:r w:rsidR="730E7A66" w:rsidRPr="00B47AC4">
        <w:rPr>
          <w:rFonts w:ascii="Times New Roman" w:eastAsia="Times New Roman" w:hAnsi="Times New Roman" w:cs="Times New Roman"/>
          <w:kern w:val="0"/>
          <w:sz w:val="24"/>
          <w:szCs w:val="24"/>
          <w:lang w:eastAsia="en-GB"/>
          <w14:ligatures w14:val="none"/>
        </w:rPr>
        <w:t>keep</w:t>
      </w:r>
      <w:r w:rsidRPr="00B47AC4">
        <w:rPr>
          <w:rFonts w:ascii="Times New Roman" w:eastAsia="Times New Roman" w:hAnsi="Times New Roman" w:cs="Times New Roman"/>
          <w:kern w:val="0"/>
          <w:sz w:val="24"/>
          <w:szCs w:val="24"/>
          <w:lang w:eastAsia="en-GB"/>
          <w14:ligatures w14:val="none"/>
        </w:rPr>
        <w:t xml:space="preserve"> detailed inventories of </w:t>
      </w:r>
      <w:r w:rsidR="685A260F" w:rsidRPr="00B47AC4">
        <w:rPr>
          <w:rFonts w:ascii="Times New Roman" w:eastAsia="Times New Roman" w:hAnsi="Times New Roman" w:cs="Times New Roman"/>
          <w:kern w:val="0"/>
          <w:sz w:val="24"/>
          <w:szCs w:val="24"/>
          <w:lang w:eastAsia="en-GB"/>
          <w14:ligatures w14:val="none"/>
        </w:rPr>
        <w:noBreakHyphen/>
      </w:r>
      <w:r w:rsidR="22814F29" w:rsidRPr="00B47AC4">
        <w:rPr>
          <w:rFonts w:ascii="Times New Roman" w:eastAsia="Times New Roman" w:hAnsi="Times New Roman" w:cs="Times New Roman"/>
          <w:kern w:val="0"/>
          <w:sz w:val="24"/>
          <w:szCs w:val="24"/>
          <w:lang w:eastAsia="en-GB"/>
          <w14:ligatures w14:val="none"/>
        </w:rPr>
        <w:t>thir</w:t>
      </w:r>
      <w:r w:rsidR="22814F29" w:rsidRPr="00B47AC4">
        <w:rPr>
          <w:rFonts w:ascii="Times New Roman" w:eastAsia="Times New Roman" w:hAnsi="Times New Roman" w:cs="Times New Roman"/>
          <w:kern w:val="0"/>
          <w:sz w:val="24"/>
          <w:szCs w:val="24"/>
          <w:lang w:eastAsia="en-GB"/>
          <w14:ligatures w14:val="none"/>
        </w:rPr>
        <w:t>d</w:t>
      </w:r>
      <w:r w:rsidR="450396EA" w:rsidRPr="00B47AC4">
        <w:rPr>
          <w:rFonts w:ascii="Times New Roman" w:eastAsia="Times New Roman" w:hAnsi="Times New Roman" w:cs="Times New Roman"/>
          <w:kern w:val="0"/>
          <w:sz w:val="24"/>
          <w:szCs w:val="24"/>
          <w:lang w:eastAsia="en-GB"/>
          <w14:ligatures w14:val="none"/>
        </w:rPr>
        <w:t>-</w:t>
      </w:r>
      <w:r w:rsidR="22814F29" w:rsidRPr="00B47AC4">
        <w:rPr>
          <w:rFonts w:ascii="Times New Roman" w:eastAsia="Times New Roman" w:hAnsi="Times New Roman" w:cs="Times New Roman"/>
          <w:kern w:val="0"/>
          <w:sz w:val="24"/>
          <w:szCs w:val="24"/>
          <w:lang w:eastAsia="en-GB"/>
          <w14:ligatures w14:val="none"/>
        </w:rPr>
        <w:t>party</w:t>
      </w:r>
      <w:r w:rsidRPr="00B47AC4">
        <w:rPr>
          <w:rFonts w:ascii="Times New Roman" w:eastAsia="Times New Roman" w:hAnsi="Times New Roman" w:cs="Times New Roman"/>
          <w:kern w:val="0"/>
          <w:sz w:val="24"/>
          <w:szCs w:val="24"/>
          <w:lang w:eastAsia="en-GB"/>
          <w14:ligatures w14:val="none"/>
        </w:rPr>
        <w:t xml:space="preserve"> dependencies [2]. Contracts with ICT providers must include clear provisions on service availability, data access, audit rights, incident reporting, and termination procedures. Additionally, critical </w:t>
      </w:r>
      <w:r w:rsidR="3BA3D356"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thi</w:t>
      </w:r>
      <w:r w:rsidRPr="00B47AC4">
        <w:rPr>
          <w:rFonts w:ascii="Times New Roman" w:eastAsia="Times New Roman" w:hAnsi="Times New Roman" w:cs="Times New Roman"/>
          <w:kern w:val="0"/>
          <w:sz w:val="24"/>
          <w:szCs w:val="24"/>
          <w:lang w:eastAsia="en-GB"/>
          <w14:ligatures w14:val="none"/>
        </w:rPr>
        <w:t>r</w:t>
      </w:r>
      <w:r w:rsidRPr="00B47AC4">
        <w:rPr>
          <w:rFonts w:ascii="Times New Roman" w:eastAsia="Times New Roman" w:hAnsi="Times New Roman" w:cs="Times New Roman"/>
          <w:kern w:val="0"/>
          <w:sz w:val="24"/>
          <w:szCs w:val="24"/>
          <w:lang w:eastAsia="en-GB"/>
          <w14:ligatures w14:val="none"/>
        </w:rPr>
        <w:t>d</w:t>
      </w:r>
      <w:r w:rsidR="695B9A1C" w:rsidRPr="00B47AC4">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party</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ICT service providers will be subject to direct oversight by EU supervisory authorities, marking a significant shift in regulatory expectations for the technology sector.</w:t>
      </w:r>
    </w:p>
    <w:p w14:paraId="2B02F18D" w14:textId="77777777" w:rsidR="00E9751E" w:rsidRPr="00B47AC4" w:rsidRDefault="00E9751E" w:rsidP="00B47AC4">
      <w:pPr>
        <w:keepNext/>
        <w:spacing w:before="100" w:beforeAutospacing="1" w:after="100" w:afterAutospacing="1" w:line="240" w:lineRule="auto"/>
        <w:jc w:val="both"/>
        <w:rPr>
          <w:rFonts w:ascii="Times New Roman" w:hAnsi="Times New Roman" w:cs="Times New Roman"/>
        </w:rPr>
      </w:pPr>
      <w:r w:rsidRPr="00B47AC4">
        <w:rPr>
          <w:rFonts w:ascii="Times New Roman" w:hAnsi="Times New Roman" w:cs="Times New Roman"/>
          <w:noProof/>
        </w:rPr>
        <w:drawing>
          <wp:inline distT="0" distB="0" distL="0" distR="0" wp14:anchorId="41E2BF9D" wp14:editId="32DDC78C">
            <wp:extent cx="2640965" cy="4469765"/>
            <wp:effectExtent l="0" t="0" r="6985" b="6985"/>
            <wp:docPr id="164928448" name="Picture 7">
              <a:extLst xmlns:a="http://schemas.openxmlformats.org/drawingml/2006/main">
                <a:ext uri="{FF2B5EF4-FFF2-40B4-BE49-F238E27FC236}">
                  <a16:creationId xmlns:a16="http://schemas.microsoft.com/office/drawing/2014/main" id="{ED4562AC-62C7-46DD-BF11-2C30905381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40965" cy="4469765"/>
                    </a:xfrm>
                    <a:prstGeom prst="rect">
                      <a:avLst/>
                    </a:prstGeom>
                    <a:noFill/>
                    <a:ln>
                      <a:noFill/>
                    </a:ln>
                  </pic:spPr>
                </pic:pic>
              </a:graphicData>
            </a:graphic>
          </wp:inline>
        </w:drawing>
      </w:r>
    </w:p>
    <w:p w14:paraId="68322AE5" w14:textId="5404004C" w:rsidR="00E9751E" w:rsidRDefault="00E9751E" w:rsidP="00B47AC4">
      <w:pPr>
        <w:spacing w:before="100" w:beforeAutospacing="1" w:after="100" w:afterAutospacing="1" w:line="240" w:lineRule="auto"/>
        <w:jc w:val="both"/>
        <w:rPr>
          <w:rFonts w:ascii="Times New Roman" w:hAnsi="Times New Roman" w:cs="Times New Roman"/>
        </w:rPr>
      </w:pPr>
      <w:r w:rsidRPr="00B47AC4">
        <w:rPr>
          <w:rFonts w:ascii="Times New Roman" w:hAnsi="Times New Roman" w:cs="Times New Roman"/>
        </w:rPr>
        <w:t>Figure</w:t>
      </w:r>
      <w:r w:rsidR="00B47AC4">
        <w:rPr>
          <w:rFonts w:ascii="Times New Roman" w:hAnsi="Times New Roman" w:cs="Times New Roman"/>
        </w:rPr>
        <w:t>:</w:t>
      </w:r>
      <w:r w:rsidRPr="00B47AC4">
        <w:rPr>
          <w:rFonts w:ascii="Times New Roman" w:hAnsi="Times New Roman" w:cs="Times New Roman"/>
        </w:rPr>
        <w:t xml:space="preserve"> 3 shows the DORA regulations</w:t>
      </w:r>
      <w:r w:rsidR="0019382F" w:rsidRPr="00B47AC4">
        <w:rPr>
          <w:rFonts w:ascii="Times New Roman" w:hAnsi="Times New Roman" w:cs="Times New Roman"/>
        </w:rPr>
        <w:t xml:space="preserve"> </w:t>
      </w:r>
      <w:r w:rsidRPr="00B47AC4">
        <w:rPr>
          <w:rFonts w:ascii="Times New Roman" w:hAnsi="Times New Roman" w:cs="Times New Roman"/>
        </w:rPr>
        <w:t>[3]</w:t>
      </w:r>
    </w:p>
    <w:p w14:paraId="4978ABDD" w14:textId="77777777" w:rsidR="00A4799D" w:rsidRPr="00A4799D" w:rsidRDefault="00A4799D" w:rsidP="00A4799D">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A4799D">
        <w:rPr>
          <w:rFonts w:ascii="Times New Roman" w:eastAsia="Times New Roman" w:hAnsi="Times New Roman" w:cs="Times New Roman"/>
          <w:kern w:val="0"/>
          <w:sz w:val="24"/>
          <w:szCs w:val="24"/>
          <w:lang w:eastAsia="en-GB"/>
          <w14:ligatures w14:val="none"/>
        </w:rPr>
        <w:t>Under the Digital Operational Resilience Act:</w:t>
      </w:r>
    </w:p>
    <w:p w14:paraId="356624E9" w14:textId="021415D1" w:rsidR="00A4799D" w:rsidRPr="00A4799D" w:rsidRDefault="00A4799D" w:rsidP="00A4799D">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A4799D">
        <w:rPr>
          <w:rFonts w:ascii="Times New Roman" w:eastAsia="Times New Roman" w:hAnsi="Times New Roman" w:cs="Times New Roman"/>
          <w:b/>
          <w:bCs/>
          <w:kern w:val="0"/>
          <w:sz w:val="24"/>
          <w:szCs w:val="24"/>
          <w:lang w:eastAsia="en-GB"/>
          <w14:ligatures w14:val="none"/>
        </w:rPr>
        <w:t>1. ICT Risk Management and Governance</w:t>
      </w:r>
      <w:r w:rsidRPr="00A4799D">
        <w:rPr>
          <w:rFonts w:ascii="Times New Roman" w:eastAsia="Times New Roman" w:hAnsi="Times New Roman" w:cs="Times New Roman"/>
          <w:kern w:val="0"/>
          <w:sz w:val="24"/>
          <w:szCs w:val="24"/>
          <w:lang w:eastAsia="en-GB"/>
          <w14:ligatures w14:val="none"/>
        </w:rPr>
        <w:br/>
        <w:t xml:space="preserve">ICT Risk Management and Governance under the Digital Operational Resilience Act requires firms to </w:t>
      </w:r>
      <w:r w:rsidR="2B93BD51" w:rsidRPr="00A4799D">
        <w:rPr>
          <w:rFonts w:ascii="Times New Roman" w:eastAsia="Times New Roman" w:hAnsi="Times New Roman" w:cs="Times New Roman"/>
          <w:kern w:val="0"/>
          <w:sz w:val="24"/>
          <w:szCs w:val="24"/>
          <w:lang w:eastAsia="en-GB"/>
          <w14:ligatures w14:val="none"/>
        </w:rPr>
        <w:t>name</w:t>
      </w:r>
      <w:r w:rsidRPr="00A4799D">
        <w:rPr>
          <w:rFonts w:ascii="Times New Roman" w:eastAsia="Times New Roman" w:hAnsi="Times New Roman" w:cs="Times New Roman"/>
          <w:kern w:val="0"/>
          <w:sz w:val="24"/>
          <w:szCs w:val="24"/>
          <w:lang w:eastAsia="en-GB"/>
          <w14:ligatures w14:val="none"/>
        </w:rPr>
        <w:t>, manage, and mitigate ICT risks, with clear governance, accountability, and continuous monitoring for resilience.</w:t>
      </w:r>
    </w:p>
    <w:p w14:paraId="2AA2E081" w14:textId="618222E2" w:rsidR="00A4799D" w:rsidRPr="00A4799D" w:rsidRDefault="00A4799D" w:rsidP="000363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0363E4">
        <w:rPr>
          <w:rFonts w:ascii="Times New Roman" w:eastAsia="Times New Roman" w:hAnsi="Times New Roman" w:cs="Times New Roman"/>
          <w:b/>
          <w:bCs/>
          <w:kern w:val="0"/>
          <w:lang w:eastAsia="en-GB"/>
          <w14:ligatures w14:val="none"/>
        </w:rPr>
        <w:t>2.</w:t>
      </w:r>
      <w:r w:rsidR="000363E4" w:rsidRPr="000363E4">
        <w:rPr>
          <w:rFonts w:ascii="Times New Roman" w:eastAsia="Times New Roman" w:hAnsi="Times New Roman" w:cs="Times New Roman"/>
          <w:b/>
          <w:bCs/>
          <w:kern w:val="0"/>
          <w:lang w:eastAsia="en-GB"/>
          <w14:ligatures w14:val="none"/>
        </w:rPr>
        <w:t xml:space="preserve"> </w:t>
      </w:r>
      <w:r w:rsidRPr="000363E4">
        <w:rPr>
          <w:rFonts w:ascii="Times New Roman" w:eastAsia="Times New Roman" w:hAnsi="Times New Roman" w:cs="Times New Roman"/>
          <w:b/>
          <w:bCs/>
          <w:kern w:val="0"/>
          <w:lang w:eastAsia="en-GB"/>
          <w14:ligatures w14:val="none"/>
        </w:rPr>
        <w:t>Management</w:t>
      </w:r>
      <w:r w:rsidR="000363E4" w:rsidRPr="000363E4">
        <w:rPr>
          <w:rFonts w:ascii="Times New Roman" w:eastAsia="Times New Roman" w:hAnsi="Times New Roman" w:cs="Times New Roman"/>
          <w:b/>
          <w:bCs/>
          <w:kern w:val="0"/>
          <w:lang w:eastAsia="en-GB"/>
          <w14:ligatures w14:val="none"/>
        </w:rPr>
        <w:t xml:space="preserve"> </w:t>
      </w:r>
      <w:r w:rsidRPr="000363E4">
        <w:rPr>
          <w:rFonts w:ascii="Times New Roman" w:eastAsia="Times New Roman" w:hAnsi="Times New Roman" w:cs="Times New Roman"/>
          <w:b/>
          <w:bCs/>
          <w:kern w:val="0"/>
          <w:lang w:eastAsia="en-GB"/>
          <w14:ligatures w14:val="none"/>
        </w:rPr>
        <w:t>Liability</w:t>
      </w:r>
      <w:r w:rsidRPr="00A4799D">
        <w:rPr>
          <w:rFonts w:ascii="Times New Roman" w:eastAsia="Times New Roman" w:hAnsi="Times New Roman" w:cs="Times New Roman"/>
          <w:kern w:val="0"/>
          <w:sz w:val="24"/>
          <w:szCs w:val="24"/>
          <w:lang w:eastAsia="en-GB"/>
          <w14:ligatures w14:val="none"/>
        </w:rPr>
        <w:br/>
        <w:t>Management Liability holds senior executives responsible for ensuring compliance with the Digital Operational Resilience Act, requiring oversight, risk awareness, and accountability for failures in ICT resilience, governance, and regulatory obligations.</w:t>
      </w:r>
    </w:p>
    <w:p w14:paraId="458B70E1" w14:textId="77777777" w:rsidR="00A4799D" w:rsidRPr="00A4799D" w:rsidRDefault="00A4799D" w:rsidP="000363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799D">
        <w:rPr>
          <w:rFonts w:ascii="Times New Roman" w:eastAsia="Times New Roman" w:hAnsi="Times New Roman" w:cs="Times New Roman"/>
          <w:b/>
          <w:bCs/>
          <w:kern w:val="0"/>
          <w:sz w:val="24"/>
          <w:szCs w:val="24"/>
          <w:lang w:eastAsia="en-GB"/>
          <w14:ligatures w14:val="none"/>
        </w:rPr>
        <w:t xml:space="preserve">3. </w:t>
      </w:r>
      <w:r w:rsidRPr="000363E4">
        <w:rPr>
          <w:rFonts w:ascii="Times New Roman" w:eastAsia="Times New Roman" w:hAnsi="Times New Roman" w:cs="Times New Roman"/>
          <w:b/>
          <w:bCs/>
          <w:kern w:val="0"/>
          <w:lang w:eastAsia="en-GB"/>
          <w14:ligatures w14:val="none"/>
        </w:rPr>
        <w:t>ICT-Related Incident Response and Reporting</w:t>
      </w:r>
      <w:r w:rsidRPr="00A4799D">
        <w:rPr>
          <w:rFonts w:ascii="Times New Roman" w:eastAsia="Times New Roman" w:hAnsi="Times New Roman" w:cs="Times New Roman"/>
          <w:kern w:val="0"/>
          <w:sz w:val="24"/>
          <w:szCs w:val="24"/>
          <w:lang w:eastAsia="en-GB"/>
          <w14:ligatures w14:val="none"/>
        </w:rPr>
        <w:br/>
        <w:t>ICT-Related Incident Response and Reporting mandates detection, classification, and reporting of ICT incidents, ensuring organizations respond effectively, limit impact, and notify regulators with standardized procedures to enhance transparency and resilience.</w:t>
      </w:r>
    </w:p>
    <w:p w14:paraId="1176548A" w14:textId="77777777" w:rsidR="00A4799D" w:rsidRPr="00A4799D" w:rsidRDefault="00A4799D" w:rsidP="000363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799D">
        <w:rPr>
          <w:rFonts w:ascii="Times New Roman" w:eastAsia="Times New Roman" w:hAnsi="Times New Roman" w:cs="Times New Roman"/>
          <w:b/>
          <w:bCs/>
          <w:kern w:val="0"/>
          <w:sz w:val="24"/>
          <w:szCs w:val="24"/>
          <w:lang w:eastAsia="en-GB"/>
          <w14:ligatures w14:val="none"/>
        </w:rPr>
        <w:t>4. Digital Operational Resilience Testing</w:t>
      </w:r>
      <w:r w:rsidRPr="00A4799D">
        <w:rPr>
          <w:rFonts w:ascii="Times New Roman" w:eastAsia="Times New Roman" w:hAnsi="Times New Roman" w:cs="Times New Roman"/>
          <w:kern w:val="0"/>
          <w:sz w:val="24"/>
          <w:szCs w:val="24"/>
          <w:lang w:eastAsia="en-GB"/>
          <w14:ligatures w14:val="none"/>
        </w:rPr>
        <w:br/>
        <w:t>Digital Operational Resilience Testing requires testing of systems, including advanced threat-led penetration testing, to evaluate preparedness, uncover vulnerabilities, and ensure financial entities can withstand, respond to, and recover from disruptions.</w:t>
      </w:r>
    </w:p>
    <w:p w14:paraId="0395DBB9" w14:textId="2DC43285" w:rsidR="00A4799D" w:rsidRPr="00A4799D" w:rsidRDefault="00A4799D" w:rsidP="000363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799D">
        <w:rPr>
          <w:rFonts w:ascii="Times New Roman" w:eastAsia="Times New Roman" w:hAnsi="Times New Roman" w:cs="Times New Roman"/>
          <w:b/>
          <w:bCs/>
          <w:kern w:val="0"/>
          <w:sz w:val="24"/>
          <w:szCs w:val="24"/>
          <w:lang w:eastAsia="en-GB"/>
          <w14:ligatures w14:val="none"/>
        </w:rPr>
        <w:t>5. Third-Party Risk Management</w:t>
      </w:r>
      <w:r w:rsidRPr="00A4799D">
        <w:rPr>
          <w:rFonts w:ascii="Times New Roman" w:eastAsia="Times New Roman" w:hAnsi="Times New Roman" w:cs="Times New Roman"/>
          <w:kern w:val="0"/>
          <w:sz w:val="24"/>
          <w:szCs w:val="24"/>
          <w:lang w:eastAsia="en-GB"/>
          <w14:ligatures w14:val="none"/>
        </w:rPr>
        <w:br/>
        <w:t xml:space="preserve">Third-Party Risk Management obliges firms to assess, </w:t>
      </w:r>
      <w:r w:rsidR="17A871E5" w:rsidRPr="00A4799D">
        <w:rPr>
          <w:rFonts w:ascii="Times New Roman" w:eastAsia="Times New Roman" w:hAnsi="Times New Roman" w:cs="Times New Roman"/>
          <w:kern w:val="0"/>
          <w:sz w:val="24"/>
          <w:szCs w:val="24"/>
          <w:lang w:eastAsia="en-GB"/>
          <w14:ligatures w14:val="none"/>
        </w:rPr>
        <w:t>check</w:t>
      </w:r>
      <w:r w:rsidRPr="00A4799D">
        <w:rPr>
          <w:rFonts w:ascii="Times New Roman" w:eastAsia="Times New Roman" w:hAnsi="Times New Roman" w:cs="Times New Roman"/>
          <w:kern w:val="0"/>
          <w:sz w:val="24"/>
          <w:szCs w:val="24"/>
          <w:lang w:eastAsia="en-GB"/>
          <w14:ligatures w14:val="none"/>
        </w:rPr>
        <w:t>, and manage risks from ICT providers, ensuring contractual safeguards, due diligence, and oversight to prevent vulnerabilities arising from outsourcing critical digital services.</w:t>
      </w:r>
    </w:p>
    <w:p w14:paraId="329D5997" w14:textId="03A776AA" w:rsidR="00A4799D" w:rsidRPr="00B47AC4" w:rsidRDefault="00A4799D" w:rsidP="000363E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4799D">
        <w:rPr>
          <w:rFonts w:ascii="Times New Roman" w:eastAsia="Times New Roman" w:hAnsi="Times New Roman" w:cs="Times New Roman"/>
          <w:b/>
          <w:bCs/>
          <w:kern w:val="0"/>
          <w:sz w:val="24"/>
          <w:szCs w:val="24"/>
          <w:lang w:eastAsia="en-GB"/>
          <w14:ligatures w14:val="none"/>
        </w:rPr>
        <w:t>6. Information-Sharing Agreements</w:t>
      </w:r>
      <w:r w:rsidRPr="00A4799D">
        <w:rPr>
          <w:rFonts w:ascii="Times New Roman" w:eastAsia="Times New Roman" w:hAnsi="Times New Roman" w:cs="Times New Roman"/>
          <w:kern w:val="0"/>
          <w:sz w:val="24"/>
          <w:szCs w:val="24"/>
          <w:lang w:eastAsia="en-GB"/>
          <w14:ligatures w14:val="none"/>
        </w:rPr>
        <w:br/>
        <w:t xml:space="preserve">Information-Sharing Agreements encourage organizations to share cyber threat intelligence and vulnerabilities with trusted parties, improving collective awareness, strengthening </w:t>
      </w:r>
      <w:r w:rsidR="00333742" w:rsidRPr="00A4799D">
        <w:rPr>
          <w:rFonts w:ascii="Times New Roman" w:eastAsia="Times New Roman" w:hAnsi="Times New Roman" w:cs="Times New Roman"/>
          <w:kern w:val="0"/>
          <w:sz w:val="24"/>
          <w:szCs w:val="24"/>
          <w:lang w:eastAsia="en-GB"/>
          <w14:ligatures w14:val="none"/>
        </w:rPr>
        <w:t>defences</w:t>
      </w:r>
      <w:r w:rsidRPr="00A4799D">
        <w:rPr>
          <w:rFonts w:ascii="Times New Roman" w:eastAsia="Times New Roman" w:hAnsi="Times New Roman" w:cs="Times New Roman"/>
          <w:kern w:val="0"/>
          <w:sz w:val="24"/>
          <w:szCs w:val="24"/>
          <w:lang w:eastAsia="en-GB"/>
          <w14:ligatures w14:val="none"/>
        </w:rPr>
        <w:t>, and supporting coordinated responses to ICT risks across the financial sector.</w:t>
      </w:r>
    </w:p>
    <w:p w14:paraId="112D4223" w14:textId="2E337C7F" w:rsidR="00780429"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Overall, DORA </w:t>
      </w:r>
      <w:r w:rsidR="3AD49881" w:rsidRPr="00B47AC4">
        <w:rPr>
          <w:rFonts w:ascii="Times New Roman" w:eastAsia="Times New Roman" w:hAnsi="Times New Roman" w:cs="Times New Roman"/>
          <w:kern w:val="0"/>
          <w:sz w:val="24"/>
          <w:szCs w:val="24"/>
          <w:lang w:eastAsia="en-GB"/>
          <w14:ligatures w14:val="none"/>
        </w:rPr>
        <w:t>sets up</w:t>
      </w:r>
      <w:r w:rsidRPr="00B47AC4">
        <w:rPr>
          <w:rFonts w:ascii="Times New Roman" w:eastAsia="Times New Roman" w:hAnsi="Times New Roman" w:cs="Times New Roman"/>
          <w:kern w:val="0"/>
          <w:sz w:val="24"/>
          <w:szCs w:val="24"/>
          <w:lang w:eastAsia="en-GB"/>
          <w14:ligatures w14:val="none"/>
        </w:rPr>
        <w:t xml:space="preserve"> a unified and stringent framework that elevates operational resilience to a regulatory priority on par with financial solvency and data protection. By addressing ICT risks holistically—across governance, testing, incident management, and third</w:t>
      </w:r>
      <w:r w:rsidR="07A03215" w:rsidRPr="00B47AC4">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party</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oversight—DORA aims to safeguard the continuity, reliability, and integrity of digital services that underpin the EU’s financial system.</w:t>
      </w:r>
    </w:p>
    <w:p w14:paraId="2864165A" w14:textId="77777777" w:rsidR="00756047" w:rsidRPr="00B84F89" w:rsidRDefault="00756047" w:rsidP="00B47AC4">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B84F89">
        <w:rPr>
          <w:rFonts w:ascii="Times New Roman" w:eastAsia="Times New Roman" w:hAnsi="Times New Roman" w:cs="Times New Roman"/>
          <w:b/>
          <w:bCs/>
          <w:kern w:val="0"/>
          <w:sz w:val="24"/>
          <w:szCs w:val="24"/>
          <w:lang w:eastAsia="en-GB"/>
          <w14:ligatures w14:val="none"/>
        </w:rPr>
        <w:t>C. Network and Information Systems Directive 2 (NIS2)</w:t>
      </w:r>
    </w:p>
    <w:p w14:paraId="22BA3A76" w14:textId="740BEF2D"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The Network and Information Systems Directive 2 (NIS2) </w:t>
      </w:r>
      <w:r w:rsidR="00477EF7" w:rsidRPr="00B47AC4">
        <w:rPr>
          <w:rFonts w:ascii="Times New Roman" w:eastAsia="Times New Roman" w:hAnsi="Times New Roman" w:cs="Times New Roman"/>
          <w:kern w:val="0"/>
          <w:sz w:val="24"/>
          <w:szCs w:val="24"/>
          <w:lang w:eastAsia="en-GB"/>
          <w14:ligatures w14:val="none"/>
        </w:rPr>
        <w:t>represent</w:t>
      </w:r>
      <w:r w:rsidRPr="00B47AC4">
        <w:rPr>
          <w:rFonts w:ascii="Times New Roman" w:eastAsia="Times New Roman" w:hAnsi="Times New Roman" w:cs="Times New Roman"/>
          <w:kern w:val="0"/>
          <w:sz w:val="24"/>
          <w:szCs w:val="24"/>
          <w:lang w:eastAsia="en-GB"/>
          <w14:ligatures w14:val="none"/>
        </w:rPr>
        <w:t xml:space="preserve"> a major overhaul of the EU’s cybersecurity regulatory framework, replacing the original NIS Directive and significantly expanding both its scope and its obligations. While the first NIS Directive focused on a narrower set of essential service providers, NIS2 broadens coverage to include a much wider range of essential and important entities, such as those </w:t>
      </w:r>
      <w:r w:rsidR="23CCF5B5" w:rsidRPr="00B47AC4">
        <w:rPr>
          <w:rFonts w:ascii="Times New Roman" w:eastAsia="Times New Roman" w:hAnsi="Times New Roman" w:cs="Times New Roman"/>
          <w:kern w:val="0"/>
          <w:sz w:val="24"/>
          <w:szCs w:val="24"/>
          <w:lang w:eastAsia="en-GB"/>
          <w14:ligatures w14:val="none"/>
        </w:rPr>
        <w:t>working</w:t>
      </w:r>
      <w:r w:rsidRPr="00B47AC4">
        <w:rPr>
          <w:rFonts w:ascii="Times New Roman" w:eastAsia="Times New Roman" w:hAnsi="Times New Roman" w:cs="Times New Roman"/>
          <w:kern w:val="0"/>
          <w:sz w:val="24"/>
          <w:szCs w:val="24"/>
          <w:lang w:eastAsia="en-GB"/>
          <w14:ligatures w14:val="none"/>
        </w:rPr>
        <w:t xml:space="preserve"> in energy, healthcare, transport, public administration, digital infrastructure, waste management, and manufacturing of critical products [3]. This expansion reflects the EU’s recognition that modern economies rely on interconnected digital systems across many sectors, and that disruptions in any of these areas can have cascading effects on public safety, economic stability, and national security.</w:t>
      </w:r>
    </w:p>
    <w:p w14:paraId="63ABC610" w14:textId="2D9437A9" w:rsidR="00A3196C"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NIS2 introduces more stringent cybersecurity risk management requirements, mandating that organizations adopt comprehensive measures to prevent, detect, and respond to cyber threats. These measures include policies for risk analysis, incident handling, business continuity, supply chain security, encryption, and secure authentication. The directive emphasizes a </w:t>
      </w:r>
      <w:r w:rsidR="2F3B5439" w:rsidRPr="00B47AC4">
        <w:rPr>
          <w:rFonts w:ascii="Times New Roman" w:eastAsia="Times New Roman" w:hAnsi="Times New Roman" w:cs="Times New Roman"/>
          <w:kern w:val="0"/>
          <w:sz w:val="24"/>
          <w:szCs w:val="24"/>
          <w:lang w:eastAsia="en-GB"/>
          <w14:ligatures w14:val="none"/>
        </w:rPr>
        <w:t>comprehensive</w:t>
      </w:r>
      <w:r w:rsidRPr="00B47AC4">
        <w:rPr>
          <w:rFonts w:ascii="Times New Roman" w:eastAsia="Times New Roman" w:hAnsi="Times New Roman" w:cs="Times New Roman"/>
          <w:kern w:val="0"/>
          <w:sz w:val="24"/>
          <w:szCs w:val="24"/>
          <w:lang w:eastAsia="en-GB"/>
          <w14:ligatures w14:val="none"/>
        </w:rPr>
        <w:t xml:space="preserve"> approach to cybersecurity, requiring organizations to integrate technical, operational, and organizational safeguards into their core governance structures. This shift aligns with the EU’s broader strategy to elevate cybersecurity from a technical function to a strategic priority.</w:t>
      </w:r>
    </w:p>
    <w:p w14:paraId="02091F7E" w14:textId="6CA52772"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A key enhancement under NIS2 is its focus on supply chain and third</w:t>
      </w:r>
      <w:r w:rsidR="08F7D5C4" w:rsidRPr="00B47AC4">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 xml:space="preserve">party risk management. Organizations must assess and mitigate cybersecurity risks associated with their suppliers and service providers, particularly those offering critical ICT services. This requirement acknowledges that many cyber incidents originate from vulnerabilities in </w:t>
      </w:r>
      <w:r w:rsidR="19F40283"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third</w:t>
      </w:r>
      <w:r w:rsidR="19F40283"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party systems, making supply chain oversight essential for overall resilience. NIS2 encourages organizations to adopt contractual safeguards, conduct due diligence, and</w:t>
      </w:r>
      <w:r w:rsidRPr="00B47AC4">
        <w:rPr>
          <w:rFonts w:ascii="Times New Roman" w:eastAsia="Times New Roman" w:hAnsi="Times New Roman" w:cs="Times New Roman"/>
          <w:kern w:val="0"/>
          <w:sz w:val="24"/>
          <w:szCs w:val="24"/>
          <w:lang w:eastAsia="en-GB"/>
          <w14:ligatures w14:val="none"/>
        </w:rPr>
        <w:t xml:space="preserve"> </w:t>
      </w:r>
      <w:r w:rsidR="6E626CB2" w:rsidRPr="00B47AC4">
        <w:rPr>
          <w:rFonts w:ascii="Times New Roman" w:eastAsia="Times New Roman" w:hAnsi="Times New Roman" w:cs="Times New Roman"/>
          <w:kern w:val="0"/>
          <w:sz w:val="24"/>
          <w:szCs w:val="24"/>
          <w:lang w:eastAsia="en-GB"/>
          <w14:ligatures w14:val="none"/>
        </w:rPr>
        <w:t>keep</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visibility into the cybersecurity posture of their partners.</w:t>
      </w:r>
    </w:p>
    <w:p w14:paraId="3309E3B7" w14:textId="0F11C76C"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NIS2 also strengthens incident reporting obligations, requiring entities to notify authorities of significant cybersecurity incidents within tight timelines. In many cases, organizations must </w:t>
      </w:r>
      <w:r w:rsidR="5E47780C" w:rsidRPr="00B47AC4">
        <w:rPr>
          <w:rFonts w:ascii="Times New Roman" w:eastAsia="Times New Roman" w:hAnsi="Times New Roman" w:cs="Times New Roman"/>
          <w:kern w:val="0"/>
          <w:sz w:val="24"/>
          <w:szCs w:val="24"/>
          <w:lang w:eastAsia="en-GB"/>
          <w14:ligatures w14:val="none"/>
        </w:rPr>
        <w:t>send</w:t>
      </w:r>
      <w:r w:rsidRPr="00B47AC4">
        <w:rPr>
          <w:rFonts w:ascii="Times New Roman" w:eastAsia="Times New Roman" w:hAnsi="Times New Roman" w:cs="Times New Roman"/>
          <w:kern w:val="0"/>
          <w:sz w:val="24"/>
          <w:szCs w:val="24"/>
          <w:lang w:eastAsia="en-GB"/>
          <w14:ligatures w14:val="none"/>
        </w:rPr>
        <w:t xml:space="preserve"> an early warning within 24 hours of detecting an incident, followed by a more detailed report within 72 hours. This accelerated reporting structure is designed to improve situational awareness across the EU, enabling faster regulatory response and better coordination during large</w:t>
      </w:r>
      <w:r w:rsidRPr="00B47AC4">
        <w:rPr>
          <w:rFonts w:ascii="Times New Roman" w:eastAsia="Times New Roman" w:hAnsi="Times New Roman" w:cs="Times New Roman"/>
          <w:kern w:val="0"/>
          <w:sz w:val="24"/>
          <w:szCs w:val="24"/>
          <w:lang w:eastAsia="en-GB"/>
          <w14:ligatures w14:val="none"/>
        </w:rPr>
        <w:noBreakHyphen/>
        <w:t>scale cyber events.</w:t>
      </w:r>
    </w:p>
    <w:p w14:paraId="1D71AD24" w14:textId="46EEA9A0"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One of the most transformative aspects of NIS2 is its introduction of executive accountability. Senior management is now explicitly responsible for approving cybersecurity risk management measures and overseeing their implementation [6]. Leaders may face personal liability for </w:t>
      </w:r>
      <w:r w:rsidR="685A260F" w:rsidRPr="00B47AC4">
        <w:rPr>
          <w:rFonts w:ascii="Times New Roman" w:eastAsia="Times New Roman" w:hAnsi="Times New Roman" w:cs="Times New Roman"/>
          <w:kern w:val="0"/>
          <w:sz w:val="24"/>
          <w:szCs w:val="24"/>
          <w:lang w:eastAsia="en-GB"/>
          <w14:ligatures w14:val="none"/>
        </w:rPr>
        <w:t>noncompliance</w:t>
      </w:r>
      <w:r w:rsidRPr="00B47AC4">
        <w:rPr>
          <w:rFonts w:ascii="Times New Roman" w:eastAsia="Times New Roman" w:hAnsi="Times New Roman" w:cs="Times New Roman"/>
          <w:kern w:val="0"/>
          <w:sz w:val="24"/>
          <w:szCs w:val="24"/>
          <w:lang w:eastAsia="en-GB"/>
          <w14:ligatures w14:val="none"/>
        </w:rPr>
        <w:t xml:space="preserve">, underscoring the directive’s intent to embed cybersecurity into </w:t>
      </w:r>
      <w:r w:rsidR="685A260F" w:rsidRPr="00B47AC4">
        <w:rPr>
          <w:rFonts w:ascii="Times New Roman" w:eastAsia="Times New Roman" w:hAnsi="Times New Roman" w:cs="Times New Roman"/>
          <w:kern w:val="0"/>
          <w:sz w:val="24"/>
          <w:szCs w:val="24"/>
          <w:lang w:eastAsia="en-GB"/>
          <w14:ligatures w14:val="none"/>
        </w:rPr>
        <w:noBreakHyphen/>
      </w:r>
      <w:r w:rsidR="73F42537" w:rsidRPr="00B47AC4">
        <w:rPr>
          <w:rFonts w:ascii="Times New Roman" w:eastAsia="Times New Roman" w:hAnsi="Times New Roman" w:cs="Times New Roman"/>
          <w:kern w:val="0"/>
          <w:sz w:val="24"/>
          <w:szCs w:val="24"/>
          <w:lang w:eastAsia="en-GB"/>
          <w14:ligatures w14:val="none"/>
        </w:rPr>
        <w:t>high level</w:t>
      </w:r>
      <w:r w:rsidR="685A260F" w:rsidRPr="00B47AC4">
        <w:rPr>
          <w:rFonts w:ascii="Times New Roman" w:eastAsia="Times New Roman" w:hAnsi="Times New Roman" w:cs="Times New Roman"/>
          <w:kern w:val="0"/>
          <w:sz w:val="24"/>
          <w:szCs w:val="24"/>
          <w:lang w:eastAsia="en-GB"/>
          <w14:ligatures w14:val="none"/>
        </w:rPr>
        <w:t xml:space="preserve"> </w:t>
      </w:r>
      <w:r w:rsidR="002B631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decision</w:t>
      </w:r>
      <w:r w:rsidR="002B631F"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making</w:t>
      </w:r>
      <w:r w:rsidR="685A260F" w:rsidRPr="00B47AC4">
        <w:rPr>
          <w:rFonts w:ascii="Times New Roman" w:eastAsia="Times New Roman" w:hAnsi="Times New Roman" w:cs="Times New Roman"/>
          <w:kern w:val="0"/>
          <w:sz w:val="24"/>
          <w:szCs w:val="24"/>
          <w:lang w:eastAsia="en-GB"/>
          <w14:ligatures w14:val="none"/>
        </w:rPr>
        <w:noBreakHyphen/>
        <w:t>.</w:t>
      </w:r>
      <w:r w:rsidRPr="00B47AC4">
        <w:rPr>
          <w:rFonts w:ascii="Times New Roman" w:eastAsia="Times New Roman" w:hAnsi="Times New Roman" w:cs="Times New Roman"/>
          <w:kern w:val="0"/>
          <w:sz w:val="24"/>
          <w:szCs w:val="24"/>
          <w:lang w:eastAsia="en-GB"/>
          <w14:ligatures w14:val="none"/>
        </w:rPr>
        <w:t xml:space="preserve"> This requirement aims to ensure that cybersecurity receives adequate resources, attention, and strategic alignment across organizations.</w:t>
      </w:r>
    </w:p>
    <w:p w14:paraId="7F0C2AAF" w14:textId="77777777" w:rsidR="00E9751E" w:rsidRPr="00B47AC4" w:rsidRDefault="00E9751E"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p>
    <w:p w14:paraId="10CE7449" w14:textId="14D9CADC" w:rsidR="00E9751E" w:rsidRPr="00B47AC4" w:rsidRDefault="00940334" w:rsidP="00B47AC4">
      <w:pPr>
        <w:keepNext/>
        <w:spacing w:before="100" w:beforeAutospacing="1" w:after="100" w:afterAutospacing="1" w:line="240" w:lineRule="auto"/>
        <w:jc w:val="both"/>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1658240" behindDoc="0" locked="0" layoutInCell="1" allowOverlap="1" wp14:anchorId="024809E1" wp14:editId="363636ED">
                <wp:simplePos x="0" y="0"/>
                <wp:positionH relativeFrom="column">
                  <wp:posOffset>4335047</wp:posOffset>
                </wp:positionH>
                <wp:positionV relativeFrom="paragraph">
                  <wp:posOffset>3206282</wp:posOffset>
                </wp:positionV>
                <wp:extent cx="110160" cy="1457280"/>
                <wp:effectExtent l="38100" t="38100" r="42545" b="48260"/>
                <wp:wrapNone/>
                <wp:docPr id="1608070512" name="Ink 6"/>
                <wp:cNvGraphicFramePr/>
                <a:graphic xmlns:a="http://schemas.openxmlformats.org/drawingml/2006/main">
                  <a:graphicData uri="http://schemas.microsoft.com/office/word/2010/wordprocessingInk">
                    <w14:contentPart bwMode="auto" r:id="rId11">
                      <w14:nvContentPartPr>
                        <w14:cNvContentPartPr/>
                      </w14:nvContentPartPr>
                      <w14:xfrm>
                        <a:off x="0" y="0"/>
                        <a:ext cx="110160" cy="1457280"/>
                      </w14:xfrm>
                    </w14:contentPart>
                  </a:graphicData>
                </a:graphic>
              </wp:anchor>
            </w:drawing>
          </mc:Choice>
          <mc:Fallback>
            <w:pict>
              <v:shapetype w14:anchorId="4B15D3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341pt;margin-top:252.1pt;width:9.35pt;height:115.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">
                <v:imagedata r:id="rId12" o:title=""/>
              </v:shape>
            </w:pict>
          </mc:Fallback>
        </mc:AlternateContent>
      </w:r>
      <w:r w:rsidR="00E9751E" w:rsidRPr="00B47AC4">
        <w:rPr>
          <w:rFonts w:ascii="Times New Roman" w:hAnsi="Times New Roman" w:cs="Times New Roman"/>
          <w:noProof/>
        </w:rPr>
        <w:drawing>
          <wp:inline distT="0" distB="0" distL="0" distR="0" wp14:anchorId="225029ED" wp14:editId="511B5D84">
            <wp:extent cx="3276600" cy="4495571"/>
            <wp:effectExtent l="0" t="0" r="0" b="635"/>
            <wp:docPr id="1139740076" name="Picture 9">
              <a:extLst xmlns:a="http://schemas.openxmlformats.org/drawingml/2006/main">
                <a:ext uri="{FF2B5EF4-FFF2-40B4-BE49-F238E27FC236}">
                  <a16:creationId xmlns:a16="http://schemas.microsoft.com/office/drawing/2014/main" id="{7C70D988-F28F-45B2-8C7D-0B2B22844A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98793" cy="4526021"/>
                    </a:xfrm>
                    <a:prstGeom prst="rect">
                      <a:avLst/>
                    </a:prstGeom>
                    <a:noFill/>
                    <a:ln>
                      <a:noFill/>
                    </a:ln>
                  </pic:spPr>
                </pic:pic>
              </a:graphicData>
            </a:graphic>
          </wp:inline>
        </w:drawing>
      </w:r>
    </w:p>
    <w:p w14:paraId="7C024B35" w14:textId="5D8C9C77" w:rsidR="00E9751E" w:rsidRDefault="00E9751E" w:rsidP="00B47AC4">
      <w:pPr>
        <w:pStyle w:val="Caption"/>
        <w:jc w:val="both"/>
        <w:rPr>
          <w:rFonts w:ascii="Times New Roman" w:hAnsi="Times New Roman" w:cs="Times New Roman"/>
        </w:rPr>
      </w:pPr>
      <w:r w:rsidRPr="00B47AC4">
        <w:rPr>
          <w:rFonts w:ascii="Times New Roman" w:hAnsi="Times New Roman" w:cs="Times New Roman"/>
        </w:rPr>
        <w:t>Figure 4 shows NIS2 protocols [4].</w:t>
      </w:r>
    </w:p>
    <w:p w14:paraId="11B167E7" w14:textId="7BD0A0CF" w:rsidR="0093121A" w:rsidRPr="0093121A" w:rsidRDefault="0093121A" w:rsidP="0093121A">
      <w:r>
        <w:t xml:space="preserve">Examples of when and why we would implement this </w:t>
      </w:r>
    </w:p>
    <w:p w14:paraId="351E23C4" w14:textId="6D9BF942" w:rsidR="003855D1" w:rsidRPr="003855D1" w:rsidRDefault="00421D34" w:rsidP="003855D1">
      <w:pPr>
        <w:rPr>
          <w:lang w:eastAsia="en-GB"/>
        </w:rPr>
      </w:pPr>
      <w:r w:rsidRPr="00421D34">
        <w:rPr>
          <w:lang w:eastAsia="en-GB"/>
        </w:rPr>
        <w:t>The NIS2 Directive is implemented in critical sectors like energy and healthcare to strengthen cybersecurity and resilience; for example, hospitals and power grids protecting essential services from cyber threats.</w:t>
      </w:r>
    </w:p>
    <w:p w14:paraId="2D0BF766" w14:textId="77777777"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NIS2 also enhances supervisory and enforcement mechanisms, granting authorities greater powers to conduct audits, issue binding instructions, and impose significant penalties for non</w:t>
      </w:r>
      <w:r w:rsidRPr="00B47AC4">
        <w:rPr>
          <w:rFonts w:ascii="Times New Roman" w:eastAsia="Times New Roman" w:hAnsi="Times New Roman" w:cs="Times New Roman"/>
          <w:kern w:val="0"/>
          <w:sz w:val="24"/>
          <w:szCs w:val="24"/>
          <w:lang w:eastAsia="en-GB"/>
          <w14:ligatures w14:val="none"/>
        </w:rPr>
        <w:noBreakHyphen/>
        <w:t>compliance. These enforcement tools are designed to create a consistent cybersecurity baseline across the EU and reduce fragmentation among member states.</w:t>
      </w:r>
    </w:p>
    <w:p w14:paraId="71309AD1" w14:textId="16606448" w:rsidR="00780429"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Overall, NIS2 </w:t>
      </w:r>
      <w:r w:rsidR="5691A7C6" w:rsidRPr="00B47AC4">
        <w:rPr>
          <w:rFonts w:ascii="Times New Roman" w:eastAsia="Times New Roman" w:hAnsi="Times New Roman" w:cs="Times New Roman"/>
          <w:kern w:val="0"/>
          <w:sz w:val="24"/>
          <w:szCs w:val="24"/>
          <w:lang w:eastAsia="en-GB"/>
          <w14:ligatures w14:val="none"/>
        </w:rPr>
        <w:t>stands for</w:t>
      </w:r>
      <w:r w:rsidRPr="00B47AC4">
        <w:rPr>
          <w:rFonts w:ascii="Times New Roman" w:eastAsia="Times New Roman" w:hAnsi="Times New Roman" w:cs="Times New Roman"/>
          <w:kern w:val="0"/>
          <w:sz w:val="24"/>
          <w:szCs w:val="24"/>
          <w:lang w:eastAsia="en-GB"/>
          <w14:ligatures w14:val="none"/>
        </w:rPr>
        <w:t xml:space="preserve"> a substantial strengthening of the EU’s cybersecurity posture. By expanding sectoral coverage, tightening risk management expectations, accelerating incident reporting, and elevating executive responsibility, the directive aims to create a more resilient and secure digital ecosystem across Europe. As organizations prepare for compliance, many are reassessing their governance structures, supply chain dependencies, and operational resilience strategies to meet the directive’s heightened expectations.</w:t>
      </w:r>
    </w:p>
    <w:p w14:paraId="35DC102E" w14:textId="4FDAD7A6" w:rsidR="00780429" w:rsidRPr="00B8786F" w:rsidRDefault="00780429" w:rsidP="00940334">
      <w:pPr>
        <w:rPr>
          <w:rFonts w:ascii="Times New Roman" w:hAnsi="Times New Roman" w:cs="Times New Roman"/>
          <w:b/>
          <w:bCs/>
          <w:sz w:val="24"/>
          <w:szCs w:val="24"/>
        </w:rPr>
      </w:pPr>
      <w:r w:rsidRPr="00B8786F">
        <w:rPr>
          <w:rFonts w:ascii="Times New Roman" w:hAnsi="Times New Roman" w:cs="Times New Roman"/>
          <w:b/>
          <w:bCs/>
          <w:sz w:val="24"/>
          <w:szCs w:val="24"/>
        </w:rPr>
        <w:t>III. CHALLENGES IN A FRAGMENTED REGULATORY ENVIRONMENT</w:t>
      </w:r>
    </w:p>
    <w:p w14:paraId="41125975" w14:textId="0FFD0FF5" w:rsidR="00780429" w:rsidRPr="00B47AC4" w:rsidRDefault="00780429" w:rsidP="00B47AC4">
      <w:pPr>
        <w:jc w:val="both"/>
        <w:rPr>
          <w:rFonts w:ascii="Times New Roman" w:hAnsi="Times New Roman" w:cs="Times New Roman"/>
        </w:rPr>
      </w:pPr>
      <w:r w:rsidRPr="00B47AC4">
        <w:rPr>
          <w:rFonts w:ascii="Times New Roman" w:hAnsi="Times New Roman" w:cs="Times New Roman"/>
        </w:rPr>
        <w:t xml:space="preserve">A central challenge in achieving multi-regulatory compliance lies in the misalignment of scope, terminology, and enforcement mechanisms across GDPR, DORA, and NIS2. While GDPR prioritizes the protection of personal data and individual rights, DORA and NIS2 focus on </w:t>
      </w:r>
      <w:r w:rsidR="0407ACD1" w:rsidRPr="7D25FF41">
        <w:rPr>
          <w:rFonts w:ascii="Times New Roman" w:hAnsi="Times New Roman" w:cs="Times New Roman"/>
        </w:rPr>
        <w:t>supporting</w:t>
      </w:r>
      <w:r w:rsidRPr="00B47AC4">
        <w:rPr>
          <w:rFonts w:ascii="Times New Roman" w:hAnsi="Times New Roman" w:cs="Times New Roman"/>
        </w:rPr>
        <w:t xml:space="preserve"> the resilience and continuity of essential digital services [2], [3] </w:t>
      </w:r>
    </w:p>
    <w:p w14:paraId="7C0FB256" w14:textId="198FD991" w:rsidR="00780429" w:rsidRPr="00B47AC4" w:rsidRDefault="00780429" w:rsidP="00B47AC4">
      <w:pPr>
        <w:jc w:val="both"/>
        <w:rPr>
          <w:rFonts w:ascii="Times New Roman" w:hAnsi="Times New Roman" w:cs="Times New Roman"/>
        </w:rPr>
      </w:pPr>
      <w:r w:rsidRPr="00B47AC4">
        <w:rPr>
          <w:rFonts w:ascii="Times New Roman" w:hAnsi="Times New Roman" w:cs="Times New Roman"/>
        </w:rPr>
        <w:t>Incident reporting obligations further illustrate this fragmentation. GDPR mandates breach notification within 72 hours, NIS2 often requires initial notification within 24 hours, and DORA applies impact-based thresholds [1]</w:t>
      </w:r>
      <w:r w:rsidR="008F0D9A" w:rsidRPr="00B47AC4">
        <w:rPr>
          <w:rFonts w:ascii="Times New Roman" w:hAnsi="Times New Roman" w:cs="Times New Roman"/>
        </w:rPr>
        <w:t>– [</w:t>
      </w:r>
      <w:r w:rsidRPr="00B47AC4">
        <w:rPr>
          <w:rFonts w:ascii="Times New Roman" w:hAnsi="Times New Roman" w:cs="Times New Roman"/>
        </w:rPr>
        <w:t>3]. Without harmonized internal processes, organizations risk missing regulatory deadlines or duplicating reporting efforts.</w:t>
      </w:r>
    </w:p>
    <w:p w14:paraId="15703D22" w14:textId="1D694308" w:rsidR="00780429" w:rsidRPr="00B47AC4" w:rsidRDefault="00780429" w:rsidP="00B47AC4">
      <w:pPr>
        <w:jc w:val="both"/>
        <w:rPr>
          <w:rFonts w:ascii="Times New Roman" w:hAnsi="Times New Roman" w:cs="Times New Roman"/>
        </w:rPr>
      </w:pPr>
      <w:r w:rsidRPr="00B47AC4">
        <w:rPr>
          <w:rFonts w:ascii="Times New Roman" w:hAnsi="Times New Roman" w:cs="Times New Roman"/>
        </w:rPr>
        <w:t xml:space="preserve">Resource constraints </w:t>
      </w:r>
      <w:r w:rsidR="319809D0" w:rsidRPr="0B879727">
        <w:rPr>
          <w:rFonts w:ascii="Times New Roman" w:hAnsi="Times New Roman" w:cs="Times New Roman"/>
        </w:rPr>
        <w:t>worsen</w:t>
      </w:r>
      <w:r w:rsidRPr="00B47AC4">
        <w:rPr>
          <w:rFonts w:ascii="Times New Roman" w:hAnsi="Times New Roman" w:cs="Times New Roman"/>
        </w:rPr>
        <w:t xml:space="preserve"> these challenges, particularly for small and medium-sized enterprises that may lack dedicated legal and cybersecurity </w:t>
      </w:r>
      <w:r w:rsidR="4BF129CF" w:rsidRPr="0B879727">
        <w:rPr>
          <w:rFonts w:ascii="Times New Roman" w:hAnsi="Times New Roman" w:cs="Times New Roman"/>
        </w:rPr>
        <w:t>ability</w:t>
      </w:r>
      <w:r w:rsidRPr="00B47AC4">
        <w:rPr>
          <w:rFonts w:ascii="Times New Roman" w:hAnsi="Times New Roman" w:cs="Times New Roman"/>
        </w:rPr>
        <w:t xml:space="preserve"> [7].</w:t>
      </w:r>
    </w:p>
    <w:p w14:paraId="4B4456CC" w14:textId="3E9A567C" w:rsidR="00780429" w:rsidRPr="00940334" w:rsidRDefault="00780429" w:rsidP="00940334">
      <w:pPr>
        <w:rPr>
          <w:rFonts w:ascii="Times New Roman" w:hAnsi="Times New Roman" w:cs="Times New Roman"/>
          <w:b/>
          <w:bCs/>
          <w:sz w:val="24"/>
          <w:szCs w:val="24"/>
        </w:rPr>
      </w:pPr>
      <w:r w:rsidRPr="00940334">
        <w:rPr>
          <w:rFonts w:ascii="Times New Roman" w:hAnsi="Times New Roman" w:cs="Times New Roman"/>
          <w:b/>
          <w:bCs/>
          <w:sz w:val="24"/>
          <w:szCs w:val="24"/>
        </w:rPr>
        <w:t>IV. COMPLIANCE AS CYBERSECURITY ENABLEMENT</w:t>
      </w:r>
    </w:p>
    <w:p w14:paraId="5010B7AD" w14:textId="3D1620B8" w:rsidR="00FB133A" w:rsidRPr="00B84F89" w:rsidRDefault="00FB133A" w:rsidP="00B47AC4">
      <w:pPr>
        <w:jc w:val="both"/>
        <w:rPr>
          <w:rFonts w:ascii="Times New Roman" w:hAnsi="Times New Roman" w:cs="Times New Roman"/>
        </w:rPr>
      </w:pPr>
      <w:r w:rsidRPr="00B84F89">
        <w:rPr>
          <w:rFonts w:ascii="Times New Roman" w:hAnsi="Times New Roman" w:cs="Times New Roman"/>
        </w:rPr>
        <w:t xml:space="preserve">Although regulatory compliance is often viewed as burdensome, frameworks like General Data Protection Regulation, NIS2 Directive, and Digital Operational Resilience Act closely reflect cybersecurity best practices [5]. Controls such as encryption, access management, continuous monitoring, and incident response are grounded in proven risk mitigation strategies. A risk-based approach enables organizations to align enterprise risk assessments with regulatory obligations, supporting GDPR Data Protection Impact Assessments, NIS2 risk management duties, and DORA ICT governance within a unified framework [5]. This reduces duplication, </w:t>
      </w:r>
      <w:r w:rsidR="610ED07B" w:rsidRPr="19D56E3B">
        <w:rPr>
          <w:rFonts w:ascii="Times New Roman" w:hAnsi="Times New Roman" w:cs="Times New Roman"/>
        </w:rPr>
        <w:t>perfects</w:t>
      </w:r>
      <w:r w:rsidRPr="00B84F89">
        <w:rPr>
          <w:rFonts w:ascii="Times New Roman" w:hAnsi="Times New Roman" w:cs="Times New Roman"/>
        </w:rPr>
        <w:t xml:space="preserve"> resources, and strengthens resilience.</w:t>
      </w:r>
    </w:p>
    <w:p w14:paraId="69B7B1A0" w14:textId="6096C949" w:rsidR="00780429" w:rsidRPr="00B47AC4" w:rsidRDefault="00780429" w:rsidP="00B47AC4">
      <w:pPr>
        <w:jc w:val="both"/>
        <w:rPr>
          <w:rFonts w:ascii="Times New Roman" w:hAnsi="Times New Roman" w:cs="Times New Roman"/>
          <w:b/>
          <w:bCs/>
        </w:rPr>
      </w:pPr>
      <w:r w:rsidRPr="00B47AC4">
        <w:rPr>
          <w:rFonts w:ascii="Times New Roman" w:hAnsi="Times New Roman" w:cs="Times New Roman"/>
          <w:b/>
          <w:bCs/>
        </w:rPr>
        <w:t>V. COMPLIANCE ARCHITECTURE FOR PROTECTION</w:t>
      </w:r>
    </w:p>
    <w:p w14:paraId="1EB5D61B" w14:textId="1E0E31F9" w:rsidR="00944F34" w:rsidRPr="00B47AC4" w:rsidRDefault="00780429" w:rsidP="00B47AC4">
      <w:pPr>
        <w:jc w:val="both"/>
        <w:rPr>
          <w:rFonts w:ascii="Times New Roman" w:hAnsi="Times New Roman" w:cs="Times New Roman"/>
        </w:rPr>
      </w:pPr>
      <w:r w:rsidRPr="00B47AC4">
        <w:rPr>
          <w:rFonts w:ascii="Times New Roman" w:hAnsi="Times New Roman" w:cs="Times New Roman"/>
        </w:rPr>
        <w:t>Effective compliance requires strong governance structures that ensure consistent policy implementation across organizational units. Centralized compliance oversight improves accountability and enables systematic monitoring of regulatory developments. Cross-functional collaboration between legal, IT, security, and executive leadership further enhances governance effectiveness [6]</w:t>
      </w:r>
    </w:p>
    <w:p w14:paraId="7D7D5E72" w14:textId="77777777" w:rsidR="00944F34" w:rsidRPr="00B47AC4" w:rsidRDefault="00944F34" w:rsidP="00B47AC4">
      <w:pPr>
        <w:jc w:val="both"/>
        <w:rPr>
          <w:rFonts w:ascii="Times New Roman" w:hAnsi="Times New Roman" w:cs="Times New Roman"/>
        </w:rPr>
      </w:pPr>
      <w:r w:rsidRPr="00B47AC4">
        <w:rPr>
          <w:rFonts w:ascii="Times New Roman" w:hAnsi="Times New Roman" w:cs="Times New Roman"/>
        </w:rPr>
        <w:t>Technical protection controls are critical components of compliance architecture. Encryption and pseudonymization reduce the impact of personal data breaches under GDPR while also supporting integrity and availability requirements under NIS2 and DORA [1], [3]. Identity and access management systems enforce least-privilege access, reducing attack surfaces and limiting the impact of compromised credentials [8].</w:t>
      </w:r>
    </w:p>
    <w:p w14:paraId="4D9D3EEA" w14:textId="77777777" w:rsidR="00944F34" w:rsidRPr="00B47AC4" w:rsidRDefault="00944F34" w:rsidP="00B47AC4">
      <w:pPr>
        <w:jc w:val="both"/>
        <w:rPr>
          <w:rFonts w:ascii="Times New Roman" w:hAnsi="Times New Roman" w:cs="Times New Roman"/>
        </w:rPr>
      </w:pPr>
    </w:p>
    <w:p w14:paraId="604B14FD" w14:textId="04B34D5B" w:rsidR="00944F34" w:rsidRPr="00B47AC4" w:rsidRDefault="00944F34" w:rsidP="00940334">
      <w:pPr>
        <w:jc w:val="both"/>
        <w:rPr>
          <w:rFonts w:ascii="Times New Roman" w:hAnsi="Times New Roman" w:cs="Times New Roman"/>
          <w:b/>
          <w:bCs/>
        </w:rPr>
      </w:pPr>
      <w:r w:rsidRPr="00B47AC4">
        <w:rPr>
          <w:rFonts w:ascii="Times New Roman" w:hAnsi="Times New Roman" w:cs="Times New Roman"/>
          <w:b/>
          <w:bCs/>
        </w:rPr>
        <w:t>VI. DETECTION</w:t>
      </w:r>
      <w:r w:rsidR="00940334">
        <w:rPr>
          <w:rFonts w:ascii="Times New Roman" w:hAnsi="Times New Roman" w:cs="Times New Roman"/>
          <w:b/>
          <w:bCs/>
        </w:rPr>
        <w:t xml:space="preserve"> </w:t>
      </w:r>
      <w:r w:rsidRPr="00B47AC4">
        <w:rPr>
          <w:rFonts w:ascii="Times New Roman" w:hAnsi="Times New Roman" w:cs="Times New Roman"/>
          <w:b/>
          <w:bCs/>
        </w:rPr>
        <w:t>REAL-TIME VISIBILITY</w:t>
      </w:r>
    </w:p>
    <w:p w14:paraId="7474F23B" w14:textId="6D36D84A" w:rsidR="00944F34" w:rsidRPr="00B47AC4" w:rsidRDefault="00944F34" w:rsidP="00B47AC4">
      <w:pPr>
        <w:jc w:val="both"/>
        <w:rPr>
          <w:rFonts w:ascii="Times New Roman" w:hAnsi="Times New Roman" w:cs="Times New Roman"/>
        </w:rPr>
      </w:pPr>
      <w:r w:rsidRPr="00B47AC4">
        <w:rPr>
          <w:rFonts w:ascii="Times New Roman" w:hAnsi="Times New Roman" w:cs="Times New Roman"/>
        </w:rPr>
        <w:t xml:space="preserve">Continuous monitoring is essential for </w:t>
      </w:r>
      <w:r w:rsidR="1D96713B" w:rsidRPr="22ABE9F8">
        <w:rPr>
          <w:rFonts w:ascii="Times New Roman" w:hAnsi="Times New Roman" w:cs="Times New Roman"/>
        </w:rPr>
        <w:t>prompt</w:t>
      </w:r>
      <w:r w:rsidRPr="00B47AC4">
        <w:rPr>
          <w:rFonts w:ascii="Times New Roman" w:hAnsi="Times New Roman" w:cs="Times New Roman"/>
        </w:rPr>
        <w:t xml:space="preserve"> threat detection and regulatory compliance. Security Information and Event Management (SIEM) systems provide centralized visibility by aggregating and </w:t>
      </w:r>
      <w:r w:rsidR="00014E3A" w:rsidRPr="00B47AC4">
        <w:rPr>
          <w:rFonts w:ascii="Times New Roman" w:hAnsi="Times New Roman" w:cs="Times New Roman"/>
        </w:rPr>
        <w:t>analysing</w:t>
      </w:r>
      <w:r w:rsidRPr="00B47AC4">
        <w:rPr>
          <w:rFonts w:ascii="Times New Roman" w:hAnsi="Times New Roman" w:cs="Times New Roman"/>
        </w:rPr>
        <w:t xml:space="preserve"> logs from across organizational systems [7]. These capabilities enable early identification of anomalous behaviour and support forensic investigations.</w:t>
      </w:r>
    </w:p>
    <w:p w14:paraId="69C1595F" w14:textId="1114E1DE" w:rsidR="00694B4C" w:rsidRPr="00B47AC4" w:rsidRDefault="00944F34" w:rsidP="00B47AC4">
      <w:pPr>
        <w:jc w:val="both"/>
        <w:rPr>
          <w:rFonts w:ascii="Times New Roman" w:hAnsi="Times New Roman" w:cs="Times New Roman"/>
        </w:rPr>
      </w:pPr>
      <w:r w:rsidRPr="00B47AC4">
        <w:rPr>
          <w:rFonts w:ascii="Times New Roman" w:hAnsi="Times New Roman" w:cs="Times New Roman"/>
        </w:rPr>
        <w:t>The integration of threat intelligence enhances detection capabilities by correlating internal security events with external threat indicators. This approach reduces dwell time and improves the organization’s ability to meet regulatory detection and reporting obligations [9].</w:t>
      </w:r>
    </w:p>
    <w:p w14:paraId="4EE605BE" w14:textId="398E8E6B" w:rsidR="00944F34" w:rsidRPr="00787512" w:rsidRDefault="00944F34" w:rsidP="00940334">
      <w:pPr>
        <w:rPr>
          <w:rFonts w:ascii="Times New Roman" w:hAnsi="Times New Roman" w:cs="Times New Roman"/>
          <w:b/>
          <w:bCs/>
          <w:sz w:val="24"/>
          <w:szCs w:val="24"/>
        </w:rPr>
      </w:pPr>
      <w:r w:rsidRPr="00787512">
        <w:rPr>
          <w:rFonts w:ascii="Times New Roman" w:hAnsi="Times New Roman" w:cs="Times New Roman"/>
          <w:b/>
          <w:bCs/>
          <w:sz w:val="24"/>
          <w:szCs w:val="24"/>
        </w:rPr>
        <w:t>VII. RESPONSE AND RECOVERY AUTOMATION</w:t>
      </w:r>
    </w:p>
    <w:p w14:paraId="1D176AE5" w14:textId="4E344519" w:rsidR="00944F34" w:rsidRPr="00B47AC4" w:rsidRDefault="00944F34" w:rsidP="00B47AC4">
      <w:pPr>
        <w:jc w:val="both"/>
        <w:rPr>
          <w:rFonts w:ascii="Times New Roman" w:hAnsi="Times New Roman" w:cs="Times New Roman"/>
        </w:rPr>
      </w:pPr>
      <w:r w:rsidRPr="00B47AC4">
        <w:rPr>
          <w:rFonts w:ascii="Times New Roman" w:hAnsi="Times New Roman" w:cs="Times New Roman"/>
        </w:rPr>
        <w:t xml:space="preserve">Automated response capabilities significantly improve an organization’s ability to </w:t>
      </w:r>
      <w:r w:rsidR="6753300F" w:rsidRPr="07358969">
        <w:rPr>
          <w:rFonts w:ascii="Times New Roman" w:hAnsi="Times New Roman" w:cs="Times New Roman"/>
        </w:rPr>
        <w:t>follow</w:t>
      </w:r>
      <w:r w:rsidRPr="00B47AC4">
        <w:rPr>
          <w:rFonts w:ascii="Times New Roman" w:hAnsi="Times New Roman" w:cs="Times New Roman"/>
        </w:rPr>
        <w:t xml:space="preserve"> regulatory requirements. Incident response playbooks aligned with GDPR, DORA, and NIS2 ensure consistent handling of incidents and clarify roles, responsibilities, and notification timelines [1]</w:t>
      </w:r>
      <w:r w:rsidR="008F0D9A" w:rsidRPr="00B47AC4">
        <w:rPr>
          <w:rFonts w:ascii="Times New Roman" w:hAnsi="Times New Roman" w:cs="Times New Roman"/>
        </w:rPr>
        <w:t>– [</w:t>
      </w:r>
      <w:r w:rsidRPr="00B47AC4">
        <w:rPr>
          <w:rFonts w:ascii="Times New Roman" w:hAnsi="Times New Roman" w:cs="Times New Roman"/>
        </w:rPr>
        <w:t>3].</w:t>
      </w:r>
    </w:p>
    <w:p w14:paraId="6A7D1032" w14:textId="74844340" w:rsidR="00944F34" w:rsidRPr="00B47AC4" w:rsidRDefault="00944F34" w:rsidP="00B47AC4">
      <w:pPr>
        <w:jc w:val="both"/>
        <w:rPr>
          <w:rFonts w:ascii="Times New Roman" w:hAnsi="Times New Roman" w:cs="Times New Roman"/>
        </w:rPr>
      </w:pPr>
      <w:r w:rsidRPr="00B47AC4">
        <w:rPr>
          <w:rFonts w:ascii="Times New Roman" w:hAnsi="Times New Roman" w:cs="Times New Roman"/>
        </w:rPr>
        <w:t>Security Orchestration, Automation, and Response (SOAR) platforms enable rapid containment, evidence collection, and regulatory notification. Automation reduces human error, accelerates response times, and strengthens recovery capabilities, supporting both compliance and operational resilience [9].</w:t>
      </w:r>
    </w:p>
    <w:p w14:paraId="479B17CE" w14:textId="1EC7DD5F" w:rsidR="00944F34" w:rsidRPr="00787512" w:rsidRDefault="00944F34" w:rsidP="00787512">
      <w:pPr>
        <w:rPr>
          <w:rFonts w:ascii="Times New Roman" w:hAnsi="Times New Roman" w:cs="Times New Roman"/>
          <w:b/>
          <w:bCs/>
          <w:sz w:val="24"/>
          <w:szCs w:val="24"/>
        </w:rPr>
      </w:pPr>
      <w:r w:rsidRPr="00787512">
        <w:rPr>
          <w:rFonts w:ascii="Times New Roman" w:hAnsi="Times New Roman" w:cs="Times New Roman"/>
          <w:b/>
          <w:bCs/>
          <w:sz w:val="24"/>
          <w:szCs w:val="24"/>
        </w:rPr>
        <w:t>VIII. HARMONISING COMPLIANCE ACROSS REGULATIONS</w:t>
      </w:r>
    </w:p>
    <w:p w14:paraId="581E9F28" w14:textId="367AABC5" w:rsidR="00944F34" w:rsidRPr="00B47AC4" w:rsidRDefault="00944F34" w:rsidP="00B47AC4">
      <w:pPr>
        <w:jc w:val="both"/>
        <w:rPr>
          <w:rFonts w:ascii="Times New Roman" w:hAnsi="Times New Roman" w:cs="Times New Roman"/>
        </w:rPr>
      </w:pPr>
      <w:r w:rsidRPr="00B47AC4">
        <w:rPr>
          <w:rFonts w:ascii="Times New Roman" w:hAnsi="Times New Roman" w:cs="Times New Roman"/>
        </w:rPr>
        <w:t xml:space="preserve">Organizations can reduce regulatory fragmentation by mapping compliance requirements to unified control frameworks such as ISO/IEC 27001 and the NIST Cybersecurity Framework [5], [7]. Control mapping matrices help </w:t>
      </w:r>
      <w:r w:rsidR="44ACB1BC" w:rsidRPr="65FCB179">
        <w:rPr>
          <w:rFonts w:ascii="Times New Roman" w:hAnsi="Times New Roman" w:cs="Times New Roman"/>
        </w:rPr>
        <w:t>show</w:t>
      </w:r>
      <w:r w:rsidRPr="00B47AC4">
        <w:rPr>
          <w:rFonts w:ascii="Times New Roman" w:hAnsi="Times New Roman" w:cs="Times New Roman"/>
        </w:rPr>
        <w:t xml:space="preserve"> overlapping requirements and enable organizations to prioritize controls that satisfy multiple regulations simultaneously.</w:t>
      </w:r>
    </w:p>
    <w:p w14:paraId="5D12B50C" w14:textId="23B92A99" w:rsidR="00944F34" w:rsidRPr="00B47AC4" w:rsidRDefault="00944F34" w:rsidP="00B47AC4">
      <w:pPr>
        <w:jc w:val="both"/>
        <w:rPr>
          <w:rFonts w:ascii="Times New Roman" w:hAnsi="Times New Roman" w:cs="Times New Roman"/>
        </w:rPr>
      </w:pPr>
      <w:r w:rsidRPr="00B47AC4">
        <w:rPr>
          <w:rFonts w:ascii="Times New Roman" w:hAnsi="Times New Roman" w:cs="Times New Roman"/>
        </w:rPr>
        <w:t>Training and awareness programs further strengthen compliance by embedding cybersecurity responsibilities into organizational culture, particularly at executive level under NIS2 accountability provisions [6].</w:t>
      </w:r>
    </w:p>
    <w:p w14:paraId="33E789C6" w14:textId="77777777" w:rsidR="00893543" w:rsidRPr="00B47AC4" w:rsidRDefault="00893543" w:rsidP="00B47AC4">
      <w:pPr>
        <w:jc w:val="both"/>
        <w:rPr>
          <w:rFonts w:ascii="Times New Roman" w:hAnsi="Times New Roman" w:cs="Times New Roman"/>
        </w:rPr>
      </w:pPr>
    </w:p>
    <w:p w14:paraId="68825012" w14:textId="4F0926FC" w:rsidR="00944F34" w:rsidRPr="00B47AC4" w:rsidRDefault="00944F34" w:rsidP="00B47AC4">
      <w:pPr>
        <w:jc w:val="both"/>
        <w:rPr>
          <w:rFonts w:ascii="Times New Roman" w:hAnsi="Times New Roman" w:cs="Times New Roman"/>
          <w:b/>
          <w:bCs/>
        </w:rPr>
      </w:pPr>
      <w:r w:rsidRPr="00B47AC4">
        <w:rPr>
          <w:rFonts w:ascii="Times New Roman" w:hAnsi="Times New Roman" w:cs="Times New Roman"/>
          <w:b/>
          <w:bCs/>
        </w:rPr>
        <w:t>IX. DISCUSSION</w:t>
      </w:r>
    </w:p>
    <w:p w14:paraId="32967F27" w14:textId="01A8CC32" w:rsidR="00944F34" w:rsidRPr="00B47AC4" w:rsidRDefault="00944F34" w:rsidP="00B47AC4">
      <w:pPr>
        <w:jc w:val="both"/>
        <w:rPr>
          <w:rFonts w:ascii="Times New Roman" w:hAnsi="Times New Roman" w:cs="Times New Roman"/>
        </w:rPr>
      </w:pPr>
      <w:r w:rsidRPr="00B47AC4">
        <w:rPr>
          <w:rFonts w:ascii="Times New Roman" w:hAnsi="Times New Roman" w:cs="Times New Roman"/>
        </w:rPr>
        <w:t>While regulatory fragmentation continues to present challenges, integrated compliance strategies significantly reduce complexity and enhance cybersecurity outcomes. However, variations in national implementation of NIS2 and evolving regulatory guidance remain sources of uncertainty. Standardization and automation therefore represent the most effective long-term mitigation strategies.</w:t>
      </w:r>
    </w:p>
    <w:p w14:paraId="3B99018F" w14:textId="77777777" w:rsidR="00756047" w:rsidRPr="00B47AC4" w:rsidRDefault="00756047" w:rsidP="00B47AC4">
      <w:pPr>
        <w:spacing w:before="100" w:beforeAutospacing="1" w:after="100" w:afterAutospacing="1" w:line="240" w:lineRule="auto"/>
        <w:jc w:val="both"/>
        <w:outlineLvl w:val="1"/>
        <w:rPr>
          <w:rFonts w:ascii="Times New Roman" w:eastAsia="Times New Roman" w:hAnsi="Times New Roman" w:cs="Times New Roman"/>
          <w:b/>
          <w:bCs/>
          <w:kern w:val="0"/>
          <w:lang w:eastAsia="en-GB"/>
          <w14:ligatures w14:val="none"/>
        </w:rPr>
      </w:pPr>
      <w:r w:rsidRPr="00B47AC4">
        <w:rPr>
          <w:rFonts w:ascii="Times New Roman" w:eastAsia="Times New Roman" w:hAnsi="Times New Roman" w:cs="Times New Roman"/>
          <w:b/>
          <w:bCs/>
          <w:kern w:val="0"/>
          <w:lang w:eastAsia="en-GB"/>
          <w14:ligatures w14:val="none"/>
        </w:rPr>
        <w:t>X. CONCLUSION</w:t>
      </w:r>
    </w:p>
    <w:p w14:paraId="77DD9A98" w14:textId="05BC4776"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Meeting the combined expectations of GDPR, DORA, and NIS2 requires organizations to adopt a unified, forward</w:t>
      </w:r>
      <w:r w:rsidR="11E5CDAE" w:rsidRPr="00B47AC4">
        <w:rPr>
          <w:rFonts w:ascii="Times New Roman" w:eastAsia="Times New Roman" w:hAnsi="Times New Roman" w:cs="Times New Roman"/>
          <w:kern w:val="0"/>
          <w:sz w:val="24"/>
          <w:szCs w:val="24"/>
          <w:lang w:eastAsia="en-GB"/>
          <w14:ligatures w14:val="none"/>
        </w:rPr>
        <w:t>-</w:t>
      </w:r>
      <w:r w:rsidRPr="00B47AC4">
        <w:rPr>
          <w:rFonts w:ascii="Times New Roman" w:eastAsia="Times New Roman" w:hAnsi="Times New Roman" w:cs="Times New Roman"/>
          <w:kern w:val="0"/>
          <w:sz w:val="24"/>
          <w:szCs w:val="24"/>
          <w:lang w:eastAsia="en-GB"/>
          <w14:ligatures w14:val="none"/>
        </w:rPr>
        <w:t>looking</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approach to cybersecurity and regulatory compliance. Each regulation targets a different dimension of digital risk—GDPR focuses on personal data protection, DORA on operational resilience in the financial sector, and NIS2 on strengthening cybersecurity across essential and important sectors. When viewed together, they form a comprehensive framework that pushes organizations to mature their governance, strengthen their technical capabilities, and embed resilience into everyday operations rather than treating compliance as a checklist exercise.</w:t>
      </w:r>
    </w:p>
    <w:p w14:paraId="0B80BCA6" w14:textId="3D18529C"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A central theme across all three regulations is the shift from reactive, incident</w:t>
      </w:r>
      <w:r w:rsidR="50F77E90"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 xml:space="preserve">driven responses to proactive risk management. Organizations are expected to </w:t>
      </w:r>
      <w:r w:rsidR="7E403DEA" w:rsidRPr="00B47AC4">
        <w:rPr>
          <w:rFonts w:ascii="Times New Roman" w:eastAsia="Times New Roman" w:hAnsi="Times New Roman" w:cs="Times New Roman"/>
          <w:kern w:val="0"/>
          <w:sz w:val="24"/>
          <w:szCs w:val="24"/>
          <w:lang w:eastAsia="en-GB"/>
          <w14:ligatures w14:val="none"/>
        </w:rPr>
        <w:t>predict</w:t>
      </w:r>
      <w:r w:rsidRPr="00B47AC4">
        <w:rPr>
          <w:rFonts w:ascii="Times New Roman" w:eastAsia="Times New Roman" w:hAnsi="Times New Roman" w:cs="Times New Roman"/>
          <w:kern w:val="0"/>
          <w:sz w:val="24"/>
          <w:szCs w:val="24"/>
          <w:lang w:eastAsia="en-GB"/>
          <w14:ligatures w14:val="none"/>
        </w:rPr>
        <w:t xml:space="preserve"> threats, understand their digital dependencies, and implement controls that reduce the likelihood and impact of disruptions. This includes </w:t>
      </w:r>
      <w:r w:rsidR="37AB62A3" w:rsidRPr="00B47AC4">
        <w:rPr>
          <w:rFonts w:ascii="Times New Roman" w:eastAsia="Times New Roman" w:hAnsi="Times New Roman" w:cs="Times New Roman"/>
          <w:kern w:val="0"/>
          <w:sz w:val="24"/>
          <w:szCs w:val="24"/>
          <w:lang w:eastAsia="en-GB"/>
          <w14:ligatures w14:val="none"/>
        </w:rPr>
        <w:t>proving</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clear governance structures, conducting regular risk assessments, and ensuring that senior leadership is directly accountable for cybersecurity and resilience outcomes. By elevating responsibility to the executive level, these regulations reinforce that digital risk is not merely an IT issue but a strategic business concern.</w:t>
      </w:r>
    </w:p>
    <w:p w14:paraId="64D1D07E" w14:textId="35083F7A"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 xml:space="preserve">Another shared requirement is the need for integrated technical and organizational controls. GDPR demands strong data protection measures, DORA requires robust ICT risk management and resilience testing, and NIS2 mandates comprehensive cybersecurity safeguards and supply chain oversight. When combined, these expectations encourage organizations to build layered defences that protect data, </w:t>
      </w:r>
      <w:r w:rsidR="0391207C" w:rsidRPr="00B47AC4">
        <w:rPr>
          <w:rFonts w:ascii="Times New Roman" w:eastAsia="Times New Roman" w:hAnsi="Times New Roman" w:cs="Times New Roman"/>
          <w:kern w:val="0"/>
          <w:sz w:val="24"/>
          <w:szCs w:val="24"/>
          <w:lang w:eastAsia="en-GB"/>
          <w14:ligatures w14:val="none"/>
        </w:rPr>
        <w:t>support</w:t>
      </w:r>
      <w:r w:rsidRPr="00B47AC4">
        <w:rPr>
          <w:rFonts w:ascii="Times New Roman" w:eastAsia="Times New Roman" w:hAnsi="Times New Roman" w:cs="Times New Roman"/>
          <w:kern w:val="0"/>
          <w:sz w:val="24"/>
          <w:szCs w:val="24"/>
          <w:lang w:eastAsia="en-GB"/>
          <w14:ligatures w14:val="none"/>
        </w:rPr>
        <w:t xml:space="preserve"> service continuity, and ensure the integrity of critical systems. Automation plays a key role here—automated monitoring, threat detection, incident response, and reporting capabilities help organizations meet strict regulatory timelines while reducing human error and improving response speed.</w:t>
      </w:r>
    </w:p>
    <w:p w14:paraId="603867B5" w14:textId="7DA7EE77"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Incident reporting obligations across the three regulations also highlight the importance of rapid detection and coordinated response. Whether it is GDPR’s 72</w:t>
      </w:r>
      <w:r w:rsidRPr="00B47AC4">
        <w:rPr>
          <w:rFonts w:ascii="Times New Roman" w:eastAsia="Times New Roman" w:hAnsi="Times New Roman" w:cs="Times New Roman"/>
          <w:kern w:val="0"/>
          <w:sz w:val="24"/>
          <w:szCs w:val="24"/>
          <w:lang w:eastAsia="en-GB"/>
          <w14:ligatures w14:val="none"/>
        </w:rPr>
        <w:noBreakHyphen/>
        <w:t xml:space="preserve">hour breach notification, DORA’s standardized reporting for ICT incidents, or NIS2’s </w:t>
      </w:r>
      <w:r w:rsidR="685A260F" w:rsidRPr="00B47AC4">
        <w:rPr>
          <w:rFonts w:ascii="Times New Roman" w:eastAsia="Times New Roman" w:hAnsi="Times New Roman" w:cs="Times New Roman"/>
          <w:kern w:val="0"/>
          <w:sz w:val="24"/>
          <w:szCs w:val="24"/>
          <w:lang w:eastAsia="en-GB"/>
          <w14:ligatures w14:val="none"/>
        </w:rPr>
        <w:t>24hour</w:t>
      </w:r>
      <w:r w:rsidRPr="00B47AC4">
        <w:rPr>
          <w:rFonts w:ascii="Times New Roman" w:eastAsia="Times New Roman" w:hAnsi="Times New Roman" w:cs="Times New Roman"/>
          <w:kern w:val="0"/>
          <w:sz w:val="24"/>
          <w:szCs w:val="24"/>
          <w:lang w:eastAsia="en-GB"/>
          <w14:ligatures w14:val="none"/>
        </w:rPr>
        <w:t xml:space="preserve"> early warning requirement, organizations must be able to</w:t>
      </w:r>
      <w:r w:rsidRPr="00B47AC4">
        <w:rPr>
          <w:rFonts w:ascii="Times New Roman" w:eastAsia="Times New Roman" w:hAnsi="Times New Roman" w:cs="Times New Roman"/>
          <w:kern w:val="0"/>
          <w:sz w:val="24"/>
          <w:szCs w:val="24"/>
          <w:lang w:eastAsia="en-GB"/>
          <w14:ligatures w14:val="none"/>
        </w:rPr>
        <w:t xml:space="preserve"> </w:t>
      </w:r>
      <w:r w:rsidR="1F362B6F" w:rsidRPr="00B47AC4">
        <w:rPr>
          <w:rFonts w:ascii="Times New Roman" w:eastAsia="Times New Roman" w:hAnsi="Times New Roman" w:cs="Times New Roman"/>
          <w:kern w:val="0"/>
          <w:sz w:val="24"/>
          <w:szCs w:val="24"/>
          <w:lang w:eastAsia="en-GB"/>
          <w14:ligatures w14:val="none"/>
        </w:rPr>
        <w:t>find</w:t>
      </w:r>
      <w:r w:rsidRPr="00B47AC4">
        <w:rPr>
          <w:rFonts w:ascii="Times New Roman" w:eastAsia="Times New Roman" w:hAnsi="Times New Roman" w:cs="Times New Roman"/>
          <w:kern w:val="0"/>
          <w:sz w:val="24"/>
          <w:szCs w:val="24"/>
          <w:lang w:eastAsia="en-GB"/>
          <w14:ligatures w14:val="none"/>
        </w:rPr>
        <w:t xml:space="preserve"> incidents quickly, assess their severity, and communicate effectively with regulators. </w:t>
      </w:r>
      <w:r w:rsidR="685A260F" w:rsidRPr="00B47AC4">
        <w:rPr>
          <w:rFonts w:ascii="Times New Roman" w:eastAsia="Times New Roman" w:hAnsi="Times New Roman" w:cs="Times New Roman"/>
          <w:kern w:val="0"/>
          <w:sz w:val="24"/>
          <w:szCs w:val="24"/>
          <w:lang w:eastAsia="en-GB"/>
          <w14:ligatures w14:val="none"/>
        </w:rPr>
        <w:t xml:space="preserve">This </w:t>
      </w:r>
      <w:r w:rsidR="7F62113D" w:rsidRPr="00B47AC4">
        <w:rPr>
          <w:rFonts w:ascii="Times New Roman" w:eastAsia="Times New Roman" w:hAnsi="Times New Roman" w:cs="Times New Roman"/>
          <w:kern w:val="0"/>
          <w:sz w:val="24"/>
          <w:szCs w:val="24"/>
          <w:lang w:eastAsia="en-GB"/>
          <w14:ligatures w14:val="none"/>
        </w:rPr>
        <w:t>causes</w:t>
      </w:r>
      <w:r w:rsidRPr="00B47AC4">
        <w:rPr>
          <w:rFonts w:ascii="Times New Roman" w:eastAsia="Times New Roman" w:hAnsi="Times New Roman" w:cs="Times New Roman"/>
          <w:kern w:val="0"/>
          <w:sz w:val="24"/>
          <w:szCs w:val="24"/>
          <w:lang w:eastAsia="en-GB"/>
          <w14:ligatures w14:val="none"/>
        </w:rPr>
        <w:t xml:space="preserve"> mature incident response plans, </w:t>
      </w:r>
      <w:r w:rsidR="4045D6ED"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cross</w:t>
      </w:r>
      <w:r w:rsidR="4045D6ED"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functional</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coordination, and continuous testing to ensure readiness.</w:t>
      </w:r>
    </w:p>
    <w:p w14:paraId="6EEF8735" w14:textId="705AEB5A" w:rsidR="00756047" w:rsidRPr="00B47AC4" w:rsidRDefault="00756047" w:rsidP="00B47AC4">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B47AC4">
        <w:rPr>
          <w:rFonts w:ascii="Times New Roman" w:eastAsia="Times New Roman" w:hAnsi="Times New Roman" w:cs="Times New Roman"/>
          <w:kern w:val="0"/>
          <w:sz w:val="24"/>
          <w:szCs w:val="24"/>
          <w:lang w:eastAsia="en-GB"/>
          <w14:ligatures w14:val="none"/>
        </w:rPr>
        <w:t>Ultimately, embedding compliance within a broader cybersecurity and resilience strategy transforms regulatory obligations into long</w:t>
      </w:r>
      <w:r w:rsidR="6954EF6F" w:rsidRPr="00B47AC4">
        <w:rPr>
          <w:rFonts w:ascii="Times New Roman" w:eastAsia="Times New Roman" w:hAnsi="Times New Roman" w:cs="Times New Roman"/>
          <w:kern w:val="0"/>
          <w:sz w:val="24"/>
          <w:szCs w:val="24"/>
          <w:lang w:eastAsia="en-GB"/>
          <w14:ligatures w14:val="none"/>
        </w:rPr>
        <w:t xml:space="preserve"> </w:t>
      </w:r>
      <w:r w:rsidRPr="00B47AC4">
        <w:rPr>
          <w:rFonts w:ascii="Times New Roman" w:eastAsia="Times New Roman" w:hAnsi="Times New Roman" w:cs="Times New Roman"/>
          <w:kern w:val="0"/>
          <w:sz w:val="24"/>
          <w:szCs w:val="24"/>
          <w:lang w:eastAsia="en-GB"/>
          <w14:ligatures w14:val="none"/>
        </w:rPr>
        <w:t>term</w:t>
      </w:r>
      <w:r w:rsidR="685A260F" w:rsidRPr="00B47AC4">
        <w:rPr>
          <w:rFonts w:ascii="Times New Roman" w:eastAsia="Times New Roman" w:hAnsi="Times New Roman" w:cs="Times New Roman"/>
          <w:kern w:val="0"/>
          <w:sz w:val="24"/>
          <w:szCs w:val="24"/>
          <w:lang w:eastAsia="en-GB"/>
          <w14:ligatures w14:val="none"/>
        </w:rPr>
        <w:noBreakHyphen/>
      </w:r>
      <w:r w:rsidRPr="00B47AC4">
        <w:rPr>
          <w:rFonts w:ascii="Times New Roman" w:eastAsia="Times New Roman" w:hAnsi="Times New Roman" w:cs="Times New Roman"/>
          <w:kern w:val="0"/>
          <w:sz w:val="24"/>
          <w:szCs w:val="24"/>
          <w:lang w:eastAsia="en-GB"/>
          <w14:ligatures w14:val="none"/>
        </w:rPr>
        <w:t xml:space="preserve"> organizational strengths. Rather than viewing GDPR, DORA, and NIS2 as isolated requirements, organizations that integrate their principles can build environments that are more secure, more resilient, and more trusted by customers, partners, and regulators. This integrated approach not only reduces regulatory risk but also enhances operational stability and strengthens the organization’s ability to adapt to an evolving threat landscape.</w:t>
      </w:r>
    </w:p>
    <w:p w14:paraId="6D0E9060" w14:textId="77777777" w:rsidR="00DD3512" w:rsidRPr="00B47AC4" w:rsidRDefault="00DD3512" w:rsidP="00B47AC4">
      <w:pPr>
        <w:jc w:val="both"/>
        <w:rPr>
          <w:rFonts w:ascii="Times New Roman" w:hAnsi="Times New Roman" w:cs="Times New Roman"/>
        </w:rPr>
      </w:pPr>
    </w:p>
    <w:p w14:paraId="62C59375" w14:textId="77777777" w:rsidR="00DD3512" w:rsidRPr="00B47AC4" w:rsidRDefault="00DD3512" w:rsidP="00B47AC4">
      <w:pPr>
        <w:jc w:val="both"/>
        <w:rPr>
          <w:rFonts w:ascii="Times New Roman" w:hAnsi="Times New Roman" w:cs="Times New Roman"/>
          <w:b/>
          <w:bCs/>
        </w:rPr>
      </w:pPr>
    </w:p>
    <w:p w14:paraId="50B6CE96" w14:textId="77777777" w:rsidR="00DD3512" w:rsidRPr="00B47AC4" w:rsidRDefault="00DD3512" w:rsidP="00B47AC4">
      <w:pPr>
        <w:jc w:val="both"/>
        <w:rPr>
          <w:rFonts w:ascii="Times New Roman" w:hAnsi="Times New Roman" w:cs="Times New Roman"/>
          <w:b/>
          <w:bCs/>
        </w:rPr>
      </w:pPr>
    </w:p>
    <w:p w14:paraId="10203D97" w14:textId="77777777" w:rsidR="00DD3512" w:rsidRPr="00B47AC4" w:rsidRDefault="00DD3512" w:rsidP="00B47AC4">
      <w:pPr>
        <w:jc w:val="both"/>
        <w:rPr>
          <w:rFonts w:ascii="Times New Roman" w:hAnsi="Times New Roman" w:cs="Times New Roman"/>
          <w:b/>
          <w:bCs/>
        </w:rPr>
      </w:pPr>
    </w:p>
    <w:p w14:paraId="3FE78F50" w14:textId="77777777" w:rsidR="00DD3512" w:rsidRPr="00B47AC4" w:rsidRDefault="00DD3512" w:rsidP="00B47AC4">
      <w:pPr>
        <w:jc w:val="both"/>
        <w:rPr>
          <w:rFonts w:ascii="Times New Roman" w:hAnsi="Times New Roman" w:cs="Times New Roman"/>
          <w:b/>
          <w:bCs/>
        </w:rPr>
        <w:sectPr w:rsidR="00DD3512" w:rsidRPr="00B47AC4" w:rsidSect="00E9751E">
          <w:type w:val="continuous"/>
          <w:pgSz w:w="11906" w:h="16838"/>
          <w:pgMar w:top="720" w:right="720" w:bottom="720" w:left="720" w:header="708" w:footer="708" w:gutter="0"/>
          <w:cols w:num="2" w:space="708"/>
          <w:docGrid w:linePitch="360"/>
        </w:sectPr>
      </w:pPr>
    </w:p>
    <w:p w14:paraId="16FDFD3D" w14:textId="49714AE9" w:rsidR="00A01B62" w:rsidRPr="00B47AC4" w:rsidRDefault="00A01B62" w:rsidP="009321DE">
      <w:pPr>
        <w:rPr>
          <w:rFonts w:ascii="Times New Roman" w:hAnsi="Times New Roman" w:cs="Times New Roman"/>
        </w:rPr>
      </w:pPr>
      <w:r w:rsidRPr="00B47AC4">
        <w:rPr>
          <w:rFonts w:ascii="Times New Roman" w:hAnsi="Times New Roman" w:cs="Times New Roman"/>
          <w:noProof/>
        </w:rPr>
        <w:drawing>
          <wp:inline distT="0" distB="0" distL="0" distR="0" wp14:anchorId="67D6D734" wp14:editId="12330B39">
            <wp:extent cx="3304309" cy="7369120"/>
            <wp:effectExtent l="0" t="0" r="0" b="3810"/>
            <wp:docPr id="783755709" name="Picture 1">
              <a:extLst xmlns:a="http://schemas.openxmlformats.org/drawingml/2006/main">
                <a:ext uri="{FF2B5EF4-FFF2-40B4-BE49-F238E27FC236}">
                  <a16:creationId xmlns:a16="http://schemas.microsoft.com/office/drawing/2014/main" id="{BC5E076B-BA8B-4BCC-B16D-C66A12EE15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55709" name=""/>
                    <pic:cNvPicPr/>
                  </pic:nvPicPr>
                  <pic:blipFill>
                    <a:blip r:embed="rId14"/>
                    <a:stretch>
                      <a:fillRect/>
                    </a:stretch>
                  </pic:blipFill>
                  <pic:spPr>
                    <a:xfrm>
                      <a:off x="0" y="0"/>
                      <a:ext cx="3353342" cy="7478471"/>
                    </a:xfrm>
                    <a:prstGeom prst="rect">
                      <a:avLst/>
                    </a:prstGeom>
                  </pic:spPr>
                </pic:pic>
              </a:graphicData>
            </a:graphic>
          </wp:inline>
        </w:drawing>
      </w:r>
    </w:p>
    <w:p w14:paraId="708E4C09" w14:textId="599DA45A" w:rsidR="00944F34" w:rsidRPr="008C103F" w:rsidRDefault="00944F34" w:rsidP="00B47AC4">
      <w:pPr>
        <w:pStyle w:val="Heading1"/>
        <w:jc w:val="both"/>
        <w:rPr>
          <w:rFonts w:ascii="Times New Roman" w:hAnsi="Times New Roman" w:cs="Times New Roman"/>
          <w:b/>
          <w:bCs/>
          <w:color w:val="auto"/>
          <w:sz w:val="24"/>
          <w:szCs w:val="24"/>
        </w:rPr>
      </w:pPr>
      <w:r w:rsidRPr="008C103F">
        <w:rPr>
          <w:rFonts w:ascii="Times New Roman" w:hAnsi="Times New Roman" w:cs="Times New Roman"/>
          <w:b/>
          <w:bCs/>
          <w:color w:val="auto"/>
          <w:sz w:val="24"/>
          <w:szCs w:val="24"/>
        </w:rPr>
        <w:t>REFERENCES</w:t>
      </w:r>
    </w:p>
    <w:p w14:paraId="31BFFBF2" w14:textId="11A3F293" w:rsidR="00944F34" w:rsidRPr="00B47AC4" w:rsidRDefault="00944F34" w:rsidP="00B47AC4">
      <w:pPr>
        <w:jc w:val="both"/>
        <w:rPr>
          <w:rFonts w:ascii="Times New Roman" w:hAnsi="Times New Roman" w:cs="Times New Roman"/>
        </w:rPr>
      </w:pPr>
      <w:r w:rsidRPr="00B47AC4">
        <w:rPr>
          <w:rFonts w:ascii="Times New Roman" w:hAnsi="Times New Roman" w:cs="Times New Roman"/>
        </w:rPr>
        <w:t>[1] European Union, “Regulation (EU) 2016/679 of the European Parliament and of the Council (General Data Protection Regulation),” Official Journal of the European Union, Apr. 2016.</w:t>
      </w:r>
    </w:p>
    <w:p w14:paraId="2D3153DF" w14:textId="77777777" w:rsidR="00944F34" w:rsidRPr="00B47AC4" w:rsidRDefault="00944F34" w:rsidP="00B47AC4">
      <w:pPr>
        <w:jc w:val="both"/>
        <w:rPr>
          <w:rFonts w:ascii="Times New Roman" w:hAnsi="Times New Roman" w:cs="Times New Roman"/>
        </w:rPr>
      </w:pPr>
      <w:r w:rsidRPr="00B47AC4">
        <w:rPr>
          <w:rFonts w:ascii="Times New Roman" w:hAnsi="Times New Roman" w:cs="Times New Roman"/>
        </w:rPr>
        <w:t>[2] European Union, “Regulation (EU) 2022/2554 of the European Parliament and of the Council on Digital Operational Resilience for the Financial Sector (DORA),” Official Journal of the European Union, Dec. 2022.</w:t>
      </w:r>
    </w:p>
    <w:p w14:paraId="3610603D" w14:textId="77777777" w:rsidR="00250FF5" w:rsidRDefault="00250FF5" w:rsidP="00B47AC4">
      <w:pPr>
        <w:jc w:val="both"/>
        <w:rPr>
          <w:rFonts w:ascii="Times New Roman" w:hAnsi="Times New Roman" w:cs="Times New Roman"/>
        </w:rPr>
      </w:pPr>
    </w:p>
    <w:p w14:paraId="5F11FC53" w14:textId="77777777" w:rsidR="00250FF5" w:rsidRDefault="00250FF5" w:rsidP="00B47AC4">
      <w:pPr>
        <w:jc w:val="both"/>
        <w:rPr>
          <w:rFonts w:ascii="Times New Roman" w:hAnsi="Times New Roman" w:cs="Times New Roman"/>
        </w:rPr>
      </w:pPr>
    </w:p>
    <w:p w14:paraId="447F46A2" w14:textId="2D48DB4E" w:rsidR="00944F34" w:rsidRPr="00B47AC4" w:rsidRDefault="00944F34" w:rsidP="00B47AC4">
      <w:pPr>
        <w:jc w:val="both"/>
        <w:rPr>
          <w:rFonts w:ascii="Times New Roman" w:hAnsi="Times New Roman" w:cs="Times New Roman"/>
        </w:rPr>
      </w:pPr>
      <w:r w:rsidRPr="00B47AC4">
        <w:rPr>
          <w:rFonts w:ascii="Times New Roman" w:hAnsi="Times New Roman" w:cs="Times New Roman"/>
        </w:rPr>
        <w:t>[3] European Union, “Directive (EU) 2022/2555 of the European Parliament and of the Council on Measures for a High Common Level of Cybersecurity across the Union (NIS2 Directive),” Official Journal of the European Union, Dec. 2022.</w:t>
      </w:r>
    </w:p>
    <w:p w14:paraId="61C58B51" w14:textId="77777777" w:rsidR="00944F34" w:rsidRPr="00B47AC4" w:rsidRDefault="00944F34" w:rsidP="00B47AC4">
      <w:pPr>
        <w:jc w:val="both"/>
        <w:rPr>
          <w:rFonts w:ascii="Times New Roman" w:hAnsi="Times New Roman" w:cs="Times New Roman"/>
        </w:rPr>
      </w:pPr>
      <w:r w:rsidRPr="00B47AC4">
        <w:rPr>
          <w:rFonts w:ascii="Times New Roman" w:hAnsi="Times New Roman" w:cs="Times New Roman"/>
        </w:rPr>
        <w:t>[4] C. Kuner, The GDPR: A Commentary, Oxford, U.K.: Oxford University Press, 2020.</w:t>
      </w:r>
    </w:p>
    <w:p w14:paraId="5B8576EC" w14:textId="7CF8A5C3" w:rsidR="00944F34" w:rsidRPr="00B47AC4" w:rsidRDefault="00944F34" w:rsidP="00B47AC4">
      <w:pPr>
        <w:jc w:val="both"/>
        <w:rPr>
          <w:rFonts w:ascii="Times New Roman" w:hAnsi="Times New Roman" w:cs="Times New Roman"/>
        </w:rPr>
      </w:pPr>
      <w:r w:rsidRPr="00B47AC4">
        <w:rPr>
          <w:rFonts w:ascii="Times New Roman" w:hAnsi="Times New Roman" w:cs="Times New Roman"/>
        </w:rPr>
        <w:t>[5] International Organization for Standardization, ISO/IEC 27001:2013—Information Security Management Systems—Requirements, Geneva, Switzerland, 2013.</w:t>
      </w:r>
    </w:p>
    <w:p w14:paraId="16BD0633" w14:textId="7A47394C" w:rsidR="00944F34" w:rsidRPr="00B47AC4" w:rsidRDefault="00944F34" w:rsidP="00B47AC4">
      <w:pPr>
        <w:jc w:val="both"/>
        <w:rPr>
          <w:rFonts w:ascii="Times New Roman" w:hAnsi="Times New Roman" w:cs="Times New Roman"/>
        </w:rPr>
      </w:pPr>
      <w:r w:rsidRPr="00B47AC4">
        <w:rPr>
          <w:rFonts w:ascii="Times New Roman" w:hAnsi="Times New Roman" w:cs="Times New Roman"/>
        </w:rPr>
        <w:t>[6] European Union Agency for Cybersecurity (ENISA), NIS2 Directive: Implementation and Enforcement Guidance, ENISA, Athens, Greece, 2023.</w:t>
      </w:r>
    </w:p>
    <w:p w14:paraId="58A9226A" w14:textId="196E0A94" w:rsidR="00944F34" w:rsidRPr="00B47AC4" w:rsidRDefault="00944F34" w:rsidP="00B47AC4">
      <w:pPr>
        <w:jc w:val="both"/>
        <w:rPr>
          <w:rFonts w:ascii="Times New Roman" w:hAnsi="Times New Roman" w:cs="Times New Roman"/>
        </w:rPr>
      </w:pPr>
      <w:r w:rsidRPr="00B47AC4">
        <w:rPr>
          <w:rFonts w:ascii="Times New Roman" w:hAnsi="Times New Roman" w:cs="Times New Roman"/>
        </w:rPr>
        <w:t xml:space="preserve">[7] M. </w:t>
      </w:r>
      <w:r w:rsidR="00014E3A" w:rsidRPr="00B47AC4">
        <w:rPr>
          <w:rFonts w:ascii="Times New Roman" w:hAnsi="Times New Roman" w:cs="Times New Roman"/>
        </w:rPr>
        <w:t>Sapucaya</w:t>
      </w:r>
      <w:r w:rsidRPr="00B47AC4">
        <w:rPr>
          <w:rFonts w:ascii="Times New Roman" w:hAnsi="Times New Roman" w:cs="Times New Roman"/>
        </w:rPr>
        <w:t xml:space="preserve"> and K. Scarfone, “Guide to Cyber Threat Information Sharing,” NIST Special Publication 800-150, National Institute of Standards and Technology, Gaithersburg, MD, USA, 2016.</w:t>
      </w:r>
    </w:p>
    <w:p w14:paraId="1141270B" w14:textId="2D988DE2" w:rsidR="00944F34" w:rsidRPr="00B47AC4" w:rsidRDefault="00944F34" w:rsidP="00B47AC4">
      <w:pPr>
        <w:jc w:val="both"/>
        <w:rPr>
          <w:rFonts w:ascii="Times New Roman" w:hAnsi="Times New Roman" w:cs="Times New Roman"/>
        </w:rPr>
      </w:pPr>
      <w:r w:rsidRPr="00B47AC4">
        <w:rPr>
          <w:rFonts w:ascii="Times New Roman" w:hAnsi="Times New Roman" w:cs="Times New Roman"/>
        </w:rPr>
        <w:t>[8] J. Kindervag, “Build Security into Your Network’s DNA: The Zero Trust Network Architecture,” Forrester Research, Cambridge, MA, USA, 2010.</w:t>
      </w:r>
    </w:p>
    <w:p w14:paraId="4EA37175" w14:textId="5087E0D5" w:rsidR="00944F34" w:rsidRPr="00B47AC4" w:rsidRDefault="00944F34" w:rsidP="00B47AC4">
      <w:pPr>
        <w:jc w:val="both"/>
        <w:rPr>
          <w:rFonts w:ascii="Times New Roman" w:hAnsi="Times New Roman" w:cs="Times New Roman"/>
        </w:rPr>
      </w:pPr>
      <w:r w:rsidRPr="00B47AC4">
        <w:rPr>
          <w:rFonts w:ascii="Times New Roman" w:hAnsi="Times New Roman" w:cs="Times New Roman"/>
        </w:rPr>
        <w:t>[9] T. Ross, “Integrating GDPR Compliance with Cybersecurity Strategy,” IEEE Security &amp; Privacy, vol. 18, no. 5, pp. 29–38, Sep.–Oct. 2020.</w:t>
      </w:r>
    </w:p>
    <w:p w14:paraId="0B6128AD" w14:textId="6F44752F" w:rsidR="00944F34" w:rsidRDefault="00944F34" w:rsidP="00B47AC4">
      <w:pPr>
        <w:jc w:val="both"/>
        <w:rPr>
          <w:rFonts w:ascii="Times New Roman" w:hAnsi="Times New Roman" w:cs="Times New Roman"/>
        </w:rPr>
      </w:pPr>
      <w:r w:rsidRPr="00B47AC4">
        <w:rPr>
          <w:rFonts w:ascii="Times New Roman" w:hAnsi="Times New Roman" w:cs="Times New Roman"/>
        </w:rPr>
        <w:t>[10] A. Cavoukian, Privacy by Design: The 7 Foundational Principles, Information and Privacy Commissioner of Ontario, Toronto, ON, Canada, 2011.</w:t>
      </w:r>
    </w:p>
    <w:p w14:paraId="3BD964EB" w14:textId="77777777" w:rsidR="00250FF5" w:rsidRPr="00B47AC4" w:rsidRDefault="00250FF5" w:rsidP="00B47AC4">
      <w:pPr>
        <w:jc w:val="both"/>
        <w:rPr>
          <w:rFonts w:ascii="Times New Roman" w:hAnsi="Times New Roman" w:cs="Times New Roman"/>
        </w:rPr>
      </w:pPr>
    </w:p>
    <w:p w14:paraId="028FF18A" w14:textId="3C94F6A8" w:rsidR="00E024DA" w:rsidRPr="008C103F" w:rsidRDefault="00D64EE9" w:rsidP="00B47AC4">
      <w:pPr>
        <w:pStyle w:val="Heading2"/>
        <w:jc w:val="both"/>
        <w:rPr>
          <w:rFonts w:ascii="Times New Roman" w:hAnsi="Times New Roman" w:cs="Times New Roman"/>
          <w:b/>
          <w:bCs/>
          <w:color w:val="auto"/>
          <w:sz w:val="24"/>
          <w:szCs w:val="24"/>
        </w:rPr>
      </w:pPr>
      <w:r w:rsidRPr="008C103F">
        <w:rPr>
          <w:rFonts w:ascii="Times New Roman" w:hAnsi="Times New Roman" w:cs="Times New Roman"/>
          <w:b/>
          <w:bCs/>
          <w:color w:val="auto"/>
          <w:sz w:val="24"/>
          <w:szCs w:val="24"/>
        </w:rPr>
        <w:t>Figure References</w:t>
      </w:r>
    </w:p>
    <w:p w14:paraId="0303FE5D" w14:textId="3B761751" w:rsidR="00D64EE9" w:rsidRPr="00B47AC4" w:rsidRDefault="00D64EE9" w:rsidP="00B47AC4">
      <w:pPr>
        <w:jc w:val="both"/>
        <w:rPr>
          <w:rFonts w:ascii="Times New Roman" w:hAnsi="Times New Roman" w:cs="Times New Roman"/>
        </w:rPr>
      </w:pPr>
      <w:r w:rsidRPr="00B47AC4">
        <w:rPr>
          <w:rFonts w:ascii="Times New Roman" w:hAnsi="Times New Roman" w:cs="Times New Roman"/>
          <w:b/>
          <w:bCs/>
        </w:rPr>
        <w:t>[1]</w:t>
      </w:r>
      <w:r w:rsidRPr="00B47AC4">
        <w:rPr>
          <w:rFonts w:ascii="Times New Roman" w:hAnsi="Times New Roman" w:cs="Times New Roman"/>
        </w:rPr>
        <w:t xml:space="preserve"> European Parliament and Council of the European Union, “Regulation (EU) 2016/679 of the European Parliament and of the Council of 27 April 2016 on the protection of natural persons with regard to the processing of personal data and on the free movement of such data (General Data Protection Regulation),” Official Journal of the European Union, L 119, pp. 1–88, May 2016. </w:t>
      </w:r>
    </w:p>
    <w:p w14:paraId="2DBA196A" w14:textId="42198EAD" w:rsidR="00D64EE9" w:rsidRPr="00B47AC4" w:rsidRDefault="00D64EE9" w:rsidP="00B47AC4">
      <w:pPr>
        <w:jc w:val="both"/>
        <w:rPr>
          <w:rFonts w:ascii="Times New Roman" w:hAnsi="Times New Roman" w:cs="Times New Roman"/>
        </w:rPr>
      </w:pPr>
      <w:r w:rsidRPr="00B47AC4">
        <w:rPr>
          <w:rFonts w:ascii="Times New Roman" w:hAnsi="Times New Roman" w:cs="Times New Roman"/>
        </w:rPr>
        <w:t xml:space="preserve">[2] CookieYes, “7 Principles of GDPR – Infographic,” </w:t>
      </w:r>
      <w:r w:rsidR="00D610DF" w:rsidRPr="00B47AC4">
        <w:rPr>
          <w:rFonts w:ascii="Times New Roman" w:hAnsi="Times New Roman" w:cs="Times New Roman"/>
        </w:rPr>
        <w:t>Cookie Yes</w:t>
      </w:r>
      <w:r w:rsidRPr="00B47AC4">
        <w:rPr>
          <w:rFonts w:ascii="Times New Roman" w:hAnsi="Times New Roman" w:cs="Times New Roman"/>
        </w:rPr>
        <w:t xml:space="preserve">, 2023. [Online]. Available: </w:t>
      </w:r>
      <w:hyperlink r:id="rId15" w:history="1">
        <w:r w:rsidRPr="00B47AC4">
          <w:rPr>
            <w:rStyle w:val="Hyperlink"/>
            <w:rFonts w:ascii="Times New Roman" w:hAnsi="Times New Roman" w:cs="Times New Roman"/>
          </w:rPr>
          <w:t>https://www.cookieyes.com/infographics/7-principles-of-gdpr/</w:t>
        </w:r>
      </w:hyperlink>
      <w:r w:rsidRPr="00B47AC4">
        <w:rPr>
          <w:rFonts w:ascii="Times New Roman" w:hAnsi="Times New Roman" w:cs="Times New Roman"/>
        </w:rPr>
        <w:t xml:space="preserve"> </w:t>
      </w:r>
    </w:p>
    <w:p w14:paraId="15B01467" w14:textId="364B4C51" w:rsidR="00D64EE9" w:rsidRPr="00B47AC4" w:rsidRDefault="00D64EE9" w:rsidP="00B47AC4">
      <w:pPr>
        <w:jc w:val="both"/>
        <w:rPr>
          <w:rFonts w:ascii="Times New Roman" w:hAnsi="Times New Roman" w:cs="Times New Roman"/>
        </w:rPr>
      </w:pPr>
      <w:r w:rsidRPr="00B47AC4">
        <w:rPr>
          <w:rFonts w:ascii="Times New Roman" w:hAnsi="Times New Roman" w:cs="Times New Roman"/>
        </w:rPr>
        <w:t xml:space="preserve">[3] Derisk Advisory, “Digital Operational Resilience Act (DORA): Six Core Pillars,” Derisk Advisory, 2024. [Online]. Available: </w:t>
      </w:r>
      <w:hyperlink r:id="rId16" w:history="1">
        <w:r w:rsidRPr="00B47AC4">
          <w:rPr>
            <w:rStyle w:val="Hyperlink"/>
            <w:rFonts w:ascii="Times New Roman" w:hAnsi="Times New Roman" w:cs="Times New Roman"/>
          </w:rPr>
          <w:t>https://www.derisk.lu/digital-operational-resilience-act/</w:t>
        </w:r>
      </w:hyperlink>
    </w:p>
    <w:p w14:paraId="3BCEACE0" w14:textId="77777777" w:rsidR="0001219C" w:rsidRDefault="0001219C" w:rsidP="00B47AC4">
      <w:pPr>
        <w:jc w:val="both"/>
        <w:rPr>
          <w:rFonts w:ascii="Times New Roman" w:hAnsi="Times New Roman" w:cs="Times New Roman"/>
        </w:rPr>
      </w:pPr>
    </w:p>
    <w:p w14:paraId="37AC4776" w14:textId="0B89AD6C" w:rsidR="00D64EE9" w:rsidRDefault="00A01B62" w:rsidP="00B47AC4">
      <w:pPr>
        <w:jc w:val="both"/>
        <w:rPr>
          <w:rFonts w:ascii="Times New Roman" w:hAnsi="Times New Roman" w:cs="Times New Roman"/>
        </w:rPr>
      </w:pPr>
      <w:r w:rsidRPr="00B47AC4">
        <w:rPr>
          <w:rFonts w:ascii="Times New Roman" w:hAnsi="Times New Roman" w:cs="Times New Roman"/>
        </w:rPr>
        <w:t xml:space="preserve">[4] Zero Networks, “How </w:t>
      </w:r>
      <w:r w:rsidR="1D93EB2B" w:rsidRPr="022C2E84">
        <w:rPr>
          <w:rFonts w:ascii="Times New Roman" w:hAnsi="Times New Roman" w:cs="Times New Roman"/>
        </w:rPr>
        <w:t>Micro segmentation</w:t>
      </w:r>
      <w:r w:rsidRPr="00B47AC4">
        <w:rPr>
          <w:rFonts w:ascii="Times New Roman" w:hAnsi="Times New Roman" w:cs="Times New Roman"/>
        </w:rPr>
        <w:t xml:space="preserve"> Powers NIS2 Compliance – Infographic,” Zero Networks Resource </w:t>
      </w:r>
      <w:r w:rsidR="53CC7E7F" w:rsidRPr="0CAEBBA5">
        <w:rPr>
          <w:rFonts w:ascii="Times New Roman" w:hAnsi="Times New Roman" w:cs="Times New Roman"/>
        </w:rPr>
        <w:t>Centre</w:t>
      </w:r>
      <w:r w:rsidRPr="00B47AC4">
        <w:rPr>
          <w:rFonts w:ascii="Times New Roman" w:hAnsi="Times New Roman" w:cs="Times New Roman"/>
        </w:rPr>
        <w:t xml:space="preserve">, 2024. [Online]. Available: </w:t>
      </w:r>
      <w:hyperlink r:id="rId17">
        <w:r w:rsidR="3A21473A" w:rsidRPr="022C2E84">
          <w:rPr>
            <w:rStyle w:val="Hyperlink"/>
            <w:rFonts w:ascii="Times New Roman" w:hAnsi="Times New Roman" w:cs="Times New Roman"/>
          </w:rPr>
          <w:t>https://zeronetworks.com/resource-center/infographics/how-microsegmentation-powers-nis2</w:t>
        </w:r>
      </w:hyperlink>
    </w:p>
    <w:p w14:paraId="2CD4D26E" w14:textId="77777777" w:rsidR="00736475" w:rsidRDefault="00736475" w:rsidP="00B47AC4">
      <w:pPr>
        <w:jc w:val="both"/>
        <w:rPr>
          <w:rFonts w:ascii="Times New Roman" w:hAnsi="Times New Roman" w:cs="Times New Roman"/>
        </w:rPr>
      </w:pPr>
    </w:p>
    <w:p w14:paraId="25F053AE" w14:textId="77777777" w:rsidR="00736475" w:rsidRDefault="00736475" w:rsidP="00736475">
      <w:pPr>
        <w:spacing w:after="200" w:line="360" w:lineRule="auto"/>
        <w:ind w:left="1440" w:hanging="360"/>
        <w:jc w:val="center"/>
        <w:rPr>
          <w:b/>
          <w:bCs/>
        </w:rPr>
        <w:sectPr w:rsidR="00736475" w:rsidSect="00E9751E">
          <w:type w:val="continuous"/>
          <w:pgSz w:w="11906" w:h="16838"/>
          <w:pgMar w:top="720" w:right="720" w:bottom="720" w:left="720" w:header="708" w:footer="708" w:gutter="0"/>
          <w:cols w:num="2" w:space="708"/>
          <w:docGrid w:linePitch="360"/>
        </w:sectPr>
      </w:pPr>
    </w:p>
    <w:p w14:paraId="3094858F" w14:textId="77777777" w:rsidR="006851D2" w:rsidRDefault="006851D2" w:rsidP="00736475">
      <w:pPr>
        <w:spacing w:after="200" w:line="360" w:lineRule="auto"/>
        <w:ind w:left="1440" w:hanging="360"/>
        <w:jc w:val="center"/>
        <w:rPr>
          <w:b/>
          <w:bCs/>
        </w:rPr>
      </w:pPr>
    </w:p>
    <w:p w14:paraId="0EF13D5B" w14:textId="77777777" w:rsidR="006851D2" w:rsidRDefault="006851D2" w:rsidP="00736475">
      <w:pPr>
        <w:spacing w:after="200" w:line="360" w:lineRule="auto"/>
        <w:ind w:left="1440" w:hanging="360"/>
        <w:jc w:val="center"/>
        <w:rPr>
          <w:b/>
          <w:bCs/>
        </w:rPr>
      </w:pPr>
    </w:p>
    <w:p w14:paraId="3777DEF5" w14:textId="77777777" w:rsidR="006851D2" w:rsidRDefault="006851D2" w:rsidP="00736475">
      <w:pPr>
        <w:spacing w:after="200" w:line="360" w:lineRule="auto"/>
        <w:ind w:left="1440" w:hanging="360"/>
        <w:jc w:val="center"/>
        <w:rPr>
          <w:b/>
          <w:bCs/>
        </w:rPr>
      </w:pPr>
    </w:p>
    <w:p w14:paraId="02AC2F83" w14:textId="77777777" w:rsidR="006851D2" w:rsidRDefault="006851D2" w:rsidP="00736475">
      <w:pPr>
        <w:spacing w:after="200" w:line="360" w:lineRule="auto"/>
        <w:ind w:left="1440" w:hanging="360"/>
        <w:jc w:val="center"/>
        <w:rPr>
          <w:b/>
          <w:bCs/>
        </w:rPr>
      </w:pPr>
    </w:p>
    <w:p w14:paraId="099B3983" w14:textId="77777777" w:rsidR="006851D2" w:rsidRDefault="006851D2" w:rsidP="00736475">
      <w:pPr>
        <w:spacing w:after="200" w:line="360" w:lineRule="auto"/>
        <w:ind w:left="1440" w:hanging="360"/>
        <w:jc w:val="center"/>
        <w:rPr>
          <w:b/>
          <w:bCs/>
        </w:rPr>
      </w:pPr>
    </w:p>
    <w:p w14:paraId="6CE56568" w14:textId="77777777" w:rsidR="006851D2" w:rsidRDefault="006851D2" w:rsidP="00736475">
      <w:pPr>
        <w:spacing w:after="200" w:line="360" w:lineRule="auto"/>
        <w:ind w:left="1440" w:hanging="360"/>
        <w:jc w:val="center"/>
        <w:rPr>
          <w:b/>
          <w:bCs/>
        </w:rPr>
      </w:pPr>
    </w:p>
    <w:p w14:paraId="671E3D5C" w14:textId="77777777" w:rsidR="006851D2" w:rsidRDefault="006851D2" w:rsidP="00736475">
      <w:pPr>
        <w:spacing w:after="200" w:line="360" w:lineRule="auto"/>
        <w:ind w:left="1440" w:hanging="360"/>
        <w:jc w:val="center"/>
        <w:rPr>
          <w:b/>
          <w:bCs/>
        </w:rPr>
      </w:pPr>
    </w:p>
    <w:p w14:paraId="3A29598C" w14:textId="77777777" w:rsidR="006851D2" w:rsidRDefault="006851D2" w:rsidP="00736475">
      <w:pPr>
        <w:spacing w:after="200" w:line="360" w:lineRule="auto"/>
        <w:ind w:left="1440" w:hanging="360"/>
        <w:jc w:val="center"/>
        <w:rPr>
          <w:b/>
          <w:bCs/>
        </w:rPr>
      </w:pPr>
    </w:p>
    <w:p w14:paraId="14ADE2D9" w14:textId="77777777" w:rsidR="006851D2" w:rsidRDefault="006851D2" w:rsidP="00736475">
      <w:pPr>
        <w:spacing w:after="200" w:line="360" w:lineRule="auto"/>
        <w:ind w:left="1440" w:hanging="360"/>
        <w:jc w:val="center"/>
        <w:rPr>
          <w:b/>
          <w:bCs/>
        </w:rPr>
      </w:pPr>
    </w:p>
    <w:p w14:paraId="6CE87ED7" w14:textId="77777777" w:rsidR="006851D2" w:rsidRDefault="006851D2" w:rsidP="00736475">
      <w:pPr>
        <w:spacing w:after="200" w:line="360" w:lineRule="auto"/>
        <w:ind w:left="1440" w:hanging="360"/>
        <w:jc w:val="center"/>
        <w:rPr>
          <w:b/>
          <w:bCs/>
        </w:rPr>
      </w:pPr>
    </w:p>
    <w:p w14:paraId="5913BDB5" w14:textId="77777777" w:rsidR="006851D2" w:rsidRDefault="006851D2" w:rsidP="00736475">
      <w:pPr>
        <w:spacing w:after="200" w:line="360" w:lineRule="auto"/>
        <w:ind w:left="1440" w:hanging="360"/>
        <w:jc w:val="center"/>
        <w:rPr>
          <w:b/>
          <w:bCs/>
        </w:rPr>
      </w:pPr>
    </w:p>
    <w:p w14:paraId="6CC45D1B" w14:textId="77777777" w:rsidR="006851D2" w:rsidRDefault="006851D2" w:rsidP="00736475">
      <w:pPr>
        <w:spacing w:after="200" w:line="360" w:lineRule="auto"/>
        <w:ind w:left="1440" w:hanging="360"/>
        <w:jc w:val="center"/>
        <w:rPr>
          <w:b/>
          <w:bCs/>
        </w:rPr>
      </w:pPr>
    </w:p>
    <w:p w14:paraId="36D768B3" w14:textId="77777777" w:rsidR="006851D2" w:rsidRDefault="006851D2" w:rsidP="00736475">
      <w:pPr>
        <w:spacing w:after="200" w:line="360" w:lineRule="auto"/>
        <w:ind w:left="1440" w:hanging="360"/>
        <w:jc w:val="center"/>
        <w:rPr>
          <w:b/>
          <w:bCs/>
        </w:rPr>
      </w:pPr>
    </w:p>
    <w:p w14:paraId="0C7549E6" w14:textId="77777777" w:rsidR="006851D2" w:rsidRDefault="006851D2" w:rsidP="00736475">
      <w:pPr>
        <w:spacing w:after="200" w:line="360" w:lineRule="auto"/>
        <w:ind w:left="1440" w:hanging="360"/>
        <w:jc w:val="center"/>
        <w:rPr>
          <w:b/>
          <w:bCs/>
        </w:rPr>
      </w:pPr>
    </w:p>
    <w:p w14:paraId="538AC930" w14:textId="77777777" w:rsidR="006851D2" w:rsidRDefault="006851D2" w:rsidP="00736475">
      <w:pPr>
        <w:spacing w:after="200" w:line="360" w:lineRule="auto"/>
        <w:ind w:left="1440" w:hanging="360"/>
        <w:jc w:val="center"/>
        <w:rPr>
          <w:b/>
          <w:bCs/>
        </w:rPr>
      </w:pPr>
    </w:p>
    <w:p w14:paraId="726ADDD3" w14:textId="77777777" w:rsidR="006851D2" w:rsidRDefault="006851D2" w:rsidP="00736475">
      <w:pPr>
        <w:spacing w:after="200" w:line="360" w:lineRule="auto"/>
        <w:ind w:left="1440" w:hanging="360"/>
        <w:jc w:val="center"/>
        <w:rPr>
          <w:b/>
          <w:bCs/>
        </w:rPr>
      </w:pPr>
    </w:p>
    <w:p w14:paraId="33D6FD1F" w14:textId="77777777" w:rsidR="006851D2" w:rsidRDefault="006851D2" w:rsidP="00736475">
      <w:pPr>
        <w:spacing w:after="200" w:line="360" w:lineRule="auto"/>
        <w:ind w:left="1440" w:hanging="360"/>
        <w:jc w:val="center"/>
        <w:rPr>
          <w:b/>
          <w:bCs/>
        </w:rPr>
      </w:pPr>
    </w:p>
    <w:p w14:paraId="392EDB5E" w14:textId="77777777" w:rsidR="006851D2" w:rsidRDefault="006851D2" w:rsidP="00736475">
      <w:pPr>
        <w:spacing w:after="200" w:line="360" w:lineRule="auto"/>
        <w:ind w:left="1440" w:hanging="360"/>
        <w:jc w:val="center"/>
        <w:rPr>
          <w:b/>
          <w:bCs/>
        </w:rPr>
      </w:pPr>
    </w:p>
    <w:p w14:paraId="4F60D6F1" w14:textId="2D996B34" w:rsidR="00AA241D" w:rsidRDefault="00AA241D" w:rsidP="26ADAE3F">
      <w:pPr>
        <w:spacing w:after="200" w:line="360" w:lineRule="auto"/>
        <w:ind w:left="1440" w:hanging="360"/>
        <w:jc w:val="center"/>
        <w:rPr>
          <w:b/>
          <w:bCs/>
        </w:rPr>
      </w:pPr>
    </w:p>
    <w:p w14:paraId="1FAFFD1C" w14:textId="77777777" w:rsidR="0082669E" w:rsidRDefault="0082669E" w:rsidP="00AA241D">
      <w:pPr>
        <w:spacing w:after="200" w:line="360" w:lineRule="auto"/>
        <w:rPr>
          <w:b/>
          <w:bCs/>
          <w:sz w:val="24"/>
          <w:szCs w:val="24"/>
        </w:rPr>
      </w:pPr>
    </w:p>
    <w:p w14:paraId="082B9AB7" w14:textId="77777777" w:rsidR="0082669E" w:rsidRDefault="0082669E" w:rsidP="00AA241D">
      <w:pPr>
        <w:spacing w:after="200" w:line="360" w:lineRule="auto"/>
        <w:rPr>
          <w:b/>
          <w:bCs/>
          <w:sz w:val="24"/>
          <w:szCs w:val="24"/>
        </w:rPr>
      </w:pPr>
    </w:p>
    <w:p w14:paraId="708B9BCF" w14:textId="77777777" w:rsidR="0082669E" w:rsidRDefault="0082669E" w:rsidP="00AA241D">
      <w:pPr>
        <w:spacing w:after="200" w:line="360" w:lineRule="auto"/>
        <w:rPr>
          <w:b/>
          <w:bCs/>
          <w:sz w:val="24"/>
          <w:szCs w:val="24"/>
        </w:rPr>
      </w:pPr>
    </w:p>
    <w:p w14:paraId="1409A604" w14:textId="77777777" w:rsidR="0082669E" w:rsidRDefault="0082669E" w:rsidP="00AA241D">
      <w:pPr>
        <w:spacing w:after="200" w:line="360" w:lineRule="auto"/>
        <w:rPr>
          <w:b/>
          <w:bCs/>
          <w:sz w:val="24"/>
          <w:szCs w:val="24"/>
        </w:rPr>
      </w:pPr>
    </w:p>
    <w:p w14:paraId="333F9685" w14:textId="36E5415F" w:rsidR="00736475" w:rsidRPr="00C46D75" w:rsidRDefault="00736475" w:rsidP="00AA241D">
      <w:pPr>
        <w:spacing w:after="200" w:line="360" w:lineRule="auto"/>
        <w:rPr>
          <w:b/>
          <w:bCs/>
          <w:sz w:val="24"/>
          <w:szCs w:val="24"/>
        </w:rPr>
      </w:pPr>
      <w:r w:rsidRPr="00C46D75">
        <w:rPr>
          <w:b/>
          <w:bCs/>
          <w:sz w:val="24"/>
          <w:szCs w:val="24"/>
        </w:rPr>
        <w:t>Task 2</w:t>
      </w:r>
    </w:p>
    <w:p w14:paraId="0826D8CC" w14:textId="77777777" w:rsidR="00E21BC0" w:rsidRPr="00C46D75" w:rsidRDefault="00E21BC0" w:rsidP="00C71F9E">
      <w:pPr>
        <w:pStyle w:val="ListParagraph"/>
        <w:spacing w:after="200" w:line="360" w:lineRule="auto"/>
        <w:ind w:left="1440"/>
        <w:jc w:val="both"/>
        <w:rPr>
          <w:rFonts w:cstheme="majorHAnsi"/>
          <w:sz w:val="24"/>
          <w:szCs w:val="24"/>
        </w:rPr>
      </w:pPr>
    </w:p>
    <w:p w14:paraId="6ADE431E" w14:textId="77777777" w:rsidR="00D30D2B" w:rsidRPr="00C46D75" w:rsidRDefault="00D30D2B" w:rsidP="00D30D2B">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C46D75">
        <w:rPr>
          <w:rFonts w:ascii="Times New Roman" w:eastAsia="Times New Roman" w:hAnsi="Times New Roman" w:cs="Times New Roman"/>
          <w:b/>
          <w:bCs/>
          <w:kern w:val="36"/>
          <w:sz w:val="24"/>
          <w:szCs w:val="24"/>
          <w:lang w:eastAsia="en-GB"/>
          <w14:ligatures w14:val="none"/>
        </w:rPr>
        <w:t>Designing a Zero Trust–Aligned Security Programme for MediTrust Analytics Ltd</w:t>
      </w:r>
    </w:p>
    <w:p w14:paraId="6BC1C5EA" w14:textId="77777777" w:rsidR="00D30D2B" w:rsidRPr="00C46D75" w:rsidRDefault="00D30D2B" w:rsidP="00D30D2B">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1. Introduction</w:t>
      </w:r>
    </w:p>
    <w:p w14:paraId="3F8E5407" w14:textId="03B07FA0" w:rsidR="00536B0B" w:rsidRPr="00C46D75" w:rsidRDefault="00536B0B" w:rsidP="00536B0B">
      <w:pPr>
        <w:pStyle w:val="NormalWeb"/>
      </w:pPr>
      <w:r w:rsidRPr="00C46D75">
        <w:t xml:space="preserve">MediTrust Analytics Ltd is a rapidly growing HealthTech organisation that develops AI-powered clinical decision support systems and cloud-based platforms used by hospitals and private healthcare providers. These platforms process </w:t>
      </w:r>
      <w:r w:rsidR="6948C554">
        <w:t>extremely</w:t>
      </w:r>
      <w:r w:rsidRPr="00C46D75">
        <w:t xml:space="preserve"> sensitive data, including electronic health records, diagnostic imaging, and real-time data from Internet of Things (IoT) patient monitoring devices. As the company expands into the European Union (EU), it must </w:t>
      </w:r>
      <w:r w:rsidR="392913C6">
        <w:t>follow</w:t>
      </w:r>
      <w:r w:rsidRPr="00C46D75">
        <w:t xml:space="preserve"> stringent regulatory frameworks such as the General Data Protection Regulation (GDPR) [1] and the Digital Operational Resilience Act (DORA) [2], as well as the Network and Information Security Directive 2 (NIS2)</w:t>
      </w:r>
      <w:r w:rsidR="00D24DEA">
        <w:t xml:space="preserve"> [9</w:t>
      </w:r>
      <w:r w:rsidR="00783323">
        <w:t>]</w:t>
      </w:r>
      <w:r w:rsidRPr="00C46D75">
        <w:t>.</w:t>
      </w:r>
    </w:p>
    <w:p w14:paraId="523A64B0" w14:textId="20453514" w:rsidR="00536B0B" w:rsidRPr="00C46D75" w:rsidRDefault="00536B0B" w:rsidP="00536B0B">
      <w:pPr>
        <w:pStyle w:val="NormalWeb"/>
      </w:pPr>
      <w:r w:rsidRPr="00C46D75">
        <w:t xml:space="preserve">The expansion introduces a range of cybersecurity challenges. MediTrust operates a hybrid workforce model, involving remote developers, clinical analysts, and third-party research collaborators. Additionally, its reliance on multi-cloud infrastructure increases exposure to risks such as misconfigurations, identity compromise, and insecure data flows. </w:t>
      </w:r>
      <w:r w:rsidR="00292BB4">
        <w:t>With</w:t>
      </w:r>
      <w:r w:rsidRPr="00C46D75">
        <w:t xml:space="preserve"> particular concern a</w:t>
      </w:r>
      <w:r w:rsidR="00292BB4">
        <w:t>nd</w:t>
      </w:r>
      <w:r w:rsidRPr="00C46D75">
        <w:t xml:space="preserve"> threats to </w:t>
      </w:r>
      <w:r w:rsidR="00292BB4">
        <w:t xml:space="preserve">the </w:t>
      </w:r>
      <w:r w:rsidRPr="00C46D75">
        <w:t xml:space="preserve">AI </w:t>
      </w:r>
      <w:r w:rsidR="009B34C9" w:rsidRPr="00C46D75">
        <w:t>train</w:t>
      </w:r>
      <w:r w:rsidR="009B34C9">
        <w:t>ing</w:t>
      </w:r>
      <w:r w:rsidRPr="00C46D75">
        <w:t xml:space="preserve"> data</w:t>
      </w:r>
      <w:r w:rsidR="009B34C9">
        <w:t>’s</w:t>
      </w:r>
      <w:r w:rsidRPr="00C46D75">
        <w:t xml:space="preserve"> integrity, unauthorised access to patient data, and vulnerabilities within the software supply chain. These risks are amplified by the organisation’s rapid growth and reliance on distributed systems.</w:t>
      </w:r>
    </w:p>
    <w:p w14:paraId="25358D1B" w14:textId="27AA861A" w:rsidR="00536B0B" w:rsidRPr="00C46D75" w:rsidRDefault="00536B0B" w:rsidP="00536B0B">
      <w:pPr>
        <w:pStyle w:val="NormalWeb"/>
      </w:pPr>
      <w:r w:rsidRPr="00C46D75">
        <w:t>To address these issues, this report proposes a Zero Trust</w:t>
      </w:r>
      <w:r w:rsidR="00292BB4">
        <w:t xml:space="preserve"> </w:t>
      </w:r>
      <w:r w:rsidRPr="00C46D75">
        <w:t>aligned security programme that is strategic, scalable, and compliant with EU regulations. The programme integrates governance, policies, risk management, and modern security technologies to ensure robust protection of sensitive assets and long-term operational resilience.</w:t>
      </w:r>
    </w:p>
    <w:p w14:paraId="5A055DCD" w14:textId="265BC36E" w:rsidR="00ED62C2" w:rsidRPr="00ED62C2" w:rsidRDefault="00ED62C2" w:rsidP="00D50F69">
      <w:pPr>
        <w:pStyle w:val="NormalWeb"/>
      </w:pPr>
    </w:p>
    <w:p w14:paraId="1AEC6B93" w14:textId="77777777" w:rsidR="00ED62C2" w:rsidRPr="00ED62C2" w:rsidRDefault="00ED62C2" w:rsidP="00ED62C2">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ED62C2">
        <w:rPr>
          <w:rFonts w:ascii="Times New Roman" w:eastAsia="Times New Roman" w:hAnsi="Times New Roman" w:cs="Times New Roman"/>
          <w:b/>
          <w:bCs/>
          <w:kern w:val="0"/>
          <w:sz w:val="24"/>
          <w:szCs w:val="24"/>
          <w:lang w:eastAsia="en-GB"/>
          <w14:ligatures w14:val="none"/>
        </w:rPr>
        <w:t>2. Zero Trust Strategic Approach</w:t>
      </w:r>
    </w:p>
    <w:p w14:paraId="6B90A840" w14:textId="290098B2" w:rsidR="00086579" w:rsidRPr="00C46D75" w:rsidRDefault="00086579" w:rsidP="00086579">
      <w:pPr>
        <w:pStyle w:val="NormalWeb"/>
      </w:pPr>
      <w:r w:rsidRPr="00C46D75">
        <w:t xml:space="preserve">The Zero Trust security model is based on the principle that no entity, whether internal or external to the organisation, should be trusted by default [3]. Instead, all access requests must be continuously verified based on identity, device posture, and contextual risk factors [4]. </w:t>
      </w:r>
      <w:r w:rsidR="7F7ABBE0">
        <w:t xml:space="preserve">This </w:t>
      </w:r>
      <w:r w:rsidR="2E1C3639">
        <w:t>stands for</w:t>
      </w:r>
      <w:r w:rsidRPr="00C46D75">
        <w:t xml:space="preserve"> a shift away from traditional perimeter-based security models, which are no longer sufficient in modern cloud-based and distributed environments.</w:t>
      </w:r>
    </w:p>
    <w:p w14:paraId="279384C8" w14:textId="77777777" w:rsidR="00086579" w:rsidRPr="00C46D75" w:rsidRDefault="00086579" w:rsidP="00086579">
      <w:pPr>
        <w:pStyle w:val="NormalWeb"/>
      </w:pPr>
      <w:r w:rsidRPr="00C46D75">
        <w:t>This approach is particularly suitable for MediTrust due to its distributed hybrid workforce, its reliance on multi-cloud infrastructure, the sensitivity of healthcare and AI data it processes, and its integration with third-party vendors and research partners. These characteristics significantly increase the attack surface and require a more adaptive and dynamic security model.</w:t>
      </w:r>
    </w:p>
    <w:p w14:paraId="6159A4ED" w14:textId="1E6136E8" w:rsidR="00086579" w:rsidRPr="00C46D75" w:rsidRDefault="00086579" w:rsidP="00086579">
      <w:pPr>
        <w:pStyle w:val="NormalWeb"/>
      </w:pPr>
      <w:r w:rsidRPr="00C46D75">
        <w:t xml:space="preserve">In practice, Zero Trust implementation involves continuous authentication and authorisation of users and devices, ensuring that only verified entities can access resources [3]. It also enforces least privilege access, meaning that users are granted only the minimum level of access </w:t>
      </w:r>
      <w:r w:rsidR="6DB0FD8C">
        <w:t>needed</w:t>
      </w:r>
      <w:r w:rsidRPr="00C46D75">
        <w:t xml:space="preserve"> to perform their roles. Furthermore, micro-segmentation is used to divide networks and systems into smaller, isolated segments, thereby limiting the potential spread of attacks [4]. The model also assumes that breaches are inevitable, encouraging proactive detection and response strategies supported by real-time monitoring and analytics.</w:t>
      </w:r>
    </w:p>
    <w:p w14:paraId="7E4C33F9" w14:textId="356DBD73" w:rsidR="008C103F" w:rsidRPr="00C46D75" w:rsidRDefault="00086579"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46D75">
        <w:t xml:space="preserve">To illustrate how this approach functions operationally, the following workflow </w:t>
      </w:r>
      <w:r w:rsidR="2F9579B7">
        <w:t>shows</w:t>
      </w:r>
      <w:r w:rsidRPr="00C46D75">
        <w:t xml:space="preserve"> how access requests are evaluated within MediTrust’s Zero Trust </w:t>
      </w:r>
      <w:r w:rsidR="008C103F" w:rsidRPr="00C46D75">
        <w:t>an</w:t>
      </w:r>
      <w:r w:rsidR="008C103F">
        <w:t xml:space="preserve"> evaluated within MediTrust’s Zero Trust environment.</w:t>
      </w:r>
    </w:p>
    <w:p w14:paraId="3CA3C2D8" w14:textId="77777777" w:rsidR="00AA241D" w:rsidRDefault="00AA241D" w:rsidP="001027CC">
      <w:pPr>
        <w:spacing w:before="100" w:beforeAutospacing="1" w:after="100" w:afterAutospacing="1" w:line="240" w:lineRule="auto"/>
        <w:rPr>
          <w:b/>
          <w:bCs/>
          <w:sz w:val="24"/>
          <w:szCs w:val="24"/>
          <w:highlight w:val="lightGray"/>
        </w:rPr>
      </w:pPr>
    </w:p>
    <w:p w14:paraId="60F6752C" w14:textId="5122BC6F" w:rsidR="001027CC" w:rsidRPr="00251E51" w:rsidRDefault="009D71C3" w:rsidP="001027CC">
      <w:pPr>
        <w:spacing w:before="100" w:beforeAutospacing="1" w:after="100" w:afterAutospacing="1" w:line="240" w:lineRule="auto"/>
        <w:rPr>
          <w:b/>
          <w:bCs/>
          <w:sz w:val="24"/>
          <w:szCs w:val="24"/>
          <w:highlight w:val="lightGray"/>
        </w:rPr>
      </w:pPr>
      <w:r w:rsidRPr="00251E51">
        <w:rPr>
          <w:b/>
          <w:bCs/>
          <w:sz w:val="24"/>
          <w:szCs w:val="24"/>
          <w:highlight w:val="lightGray"/>
        </w:rPr>
        <w:t>Image of flowchart</w:t>
      </w:r>
      <w:r w:rsidR="001027CC" w:rsidRPr="00251E51">
        <w:rPr>
          <w:b/>
          <w:bCs/>
          <w:sz w:val="24"/>
          <w:szCs w:val="24"/>
          <w:highlight w:val="lightGray"/>
        </w:rPr>
        <w:t xml:space="preserve"> </w:t>
      </w:r>
    </w:p>
    <w:p w14:paraId="014EE53A" w14:textId="5F5573A3" w:rsidR="00E45024" w:rsidRDefault="005B30BD" w:rsidP="001027CC">
      <w:pPr>
        <w:spacing w:before="100" w:beforeAutospacing="1" w:after="100" w:afterAutospacing="1" w:line="240" w:lineRule="auto"/>
        <w:rPr>
          <w:sz w:val="24"/>
          <w:szCs w:val="24"/>
          <w:highlight w:val="yellow"/>
        </w:rPr>
      </w:pPr>
      <w:r>
        <w:rPr>
          <w:noProof/>
          <w:sz w:val="24"/>
          <w:szCs w:val="24"/>
          <w:highlight w:val="yellow"/>
        </w:rPr>
        <w:drawing>
          <wp:inline distT="0" distB="0" distL="0" distR="0" wp14:anchorId="344B1F44" wp14:editId="560029EE">
            <wp:extent cx="6960235" cy="2997200"/>
            <wp:effectExtent l="0" t="0" r="0" b="0"/>
            <wp:docPr id="6550771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960235" cy="2997200"/>
                    </a:xfrm>
                    <a:prstGeom prst="rect">
                      <a:avLst/>
                    </a:prstGeom>
                    <a:noFill/>
                  </pic:spPr>
                </pic:pic>
              </a:graphicData>
            </a:graphic>
          </wp:inline>
        </w:drawing>
      </w:r>
    </w:p>
    <w:p w14:paraId="6AE555DE" w14:textId="171393F3" w:rsidR="008C103F" w:rsidRDefault="008C103F" w:rsidP="008C103F">
      <w:pPr>
        <w:spacing w:before="100" w:beforeAutospacing="1" w:after="100" w:afterAutospacing="1" w:line="240" w:lineRule="auto"/>
        <w:rPr>
          <w:sz w:val="24"/>
          <w:szCs w:val="24"/>
        </w:rPr>
      </w:pPr>
      <w:r w:rsidRPr="00C46D75">
        <w:rPr>
          <w:sz w:val="24"/>
          <w:szCs w:val="24"/>
        </w:rPr>
        <w:t xml:space="preserve">This workflow </w:t>
      </w:r>
      <w:r w:rsidR="3FBBE8D5" w:rsidRPr="5D494C98">
        <w:rPr>
          <w:sz w:val="24"/>
          <w:szCs w:val="24"/>
        </w:rPr>
        <w:t>shows</w:t>
      </w:r>
      <w:r w:rsidRPr="00C46D75">
        <w:rPr>
          <w:sz w:val="24"/>
          <w:szCs w:val="24"/>
        </w:rPr>
        <w:t xml:space="preserve"> that access is not a one-time decision but a continuous process. Each stage ensures that identity, device security, and contextual risk are evaluated before granting access, and that behaviour is continuously </w:t>
      </w:r>
      <w:r w:rsidR="755A9FFE" w:rsidRPr="3BB531B4">
        <w:rPr>
          <w:sz w:val="24"/>
          <w:szCs w:val="24"/>
        </w:rPr>
        <w:t>checked</w:t>
      </w:r>
      <w:r w:rsidRPr="00C46D75">
        <w:rPr>
          <w:sz w:val="24"/>
          <w:szCs w:val="24"/>
        </w:rPr>
        <w:t xml:space="preserve"> to detect anomalies.</w:t>
      </w:r>
    </w:p>
    <w:p w14:paraId="7102599C" w14:textId="77777777" w:rsidR="00AA241D" w:rsidRPr="00C46D75" w:rsidRDefault="00AA241D" w:rsidP="008C103F">
      <w:pPr>
        <w:spacing w:before="100" w:beforeAutospacing="1" w:after="100" w:afterAutospacing="1" w:line="240" w:lineRule="auto"/>
        <w:rPr>
          <w:sz w:val="24"/>
          <w:szCs w:val="24"/>
        </w:rPr>
      </w:pPr>
    </w:p>
    <w:p w14:paraId="7B1C07CD" w14:textId="77777777" w:rsidR="008C103F" w:rsidRPr="00C46D75" w:rsidRDefault="008C103F" w:rsidP="008C103F">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3. Organisational Structure</w:t>
      </w:r>
    </w:p>
    <w:p w14:paraId="7D6441E0" w14:textId="1DCC1C58"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A well-defined organisational structure is essential to support the implementation of a Zero Trust architecture within MediTrust. Effective governance frameworks emphasise the importance of clearly defined roles and responsibilities in managing cybersecurity risks and aligning security with business </w:t>
      </w:r>
      <w:r w:rsidR="50AE5681" w:rsidRPr="00C222E2">
        <w:rPr>
          <w:rFonts w:ascii="Times New Roman" w:eastAsia="Times New Roman" w:hAnsi="Times New Roman" w:cs="Times New Roman"/>
          <w:kern w:val="0"/>
          <w:sz w:val="24"/>
          <w:szCs w:val="24"/>
          <w:lang w:eastAsia="en-GB"/>
          <w14:ligatures w14:val="none"/>
        </w:rPr>
        <w:t>goals [5]</w:t>
      </w:r>
      <w:r w:rsidR="595480EA" w:rsidRPr="00C222E2">
        <w:rPr>
          <w:rFonts w:ascii="Times New Roman" w:eastAsia="Times New Roman" w:hAnsi="Times New Roman" w:cs="Times New Roman"/>
          <w:kern w:val="0"/>
          <w:sz w:val="24"/>
          <w:szCs w:val="24"/>
          <w:lang w:eastAsia="en-GB"/>
          <w14:ligatures w14:val="none"/>
        </w:rPr>
        <w:t>.</w:t>
      </w:r>
      <w:r w:rsidRPr="00C222E2">
        <w:rPr>
          <w:rFonts w:ascii="Times New Roman" w:eastAsia="Times New Roman" w:hAnsi="Times New Roman" w:cs="Times New Roman"/>
          <w:kern w:val="0"/>
          <w:sz w:val="24"/>
          <w:szCs w:val="24"/>
          <w:lang w:eastAsia="en-GB"/>
          <w14:ligatures w14:val="none"/>
        </w:rPr>
        <w:t xml:space="preserve"> At the strategic level, the Chief Information Security Officer (CISO) </w:t>
      </w:r>
      <w:r w:rsidR="0824DE84" w:rsidRPr="00C222E2">
        <w:rPr>
          <w:rFonts w:ascii="Times New Roman" w:eastAsia="Times New Roman" w:hAnsi="Times New Roman" w:cs="Times New Roman"/>
          <w:kern w:val="0"/>
          <w:sz w:val="24"/>
          <w:szCs w:val="24"/>
          <w:lang w:eastAsia="en-GB"/>
          <w14:ligatures w14:val="none"/>
        </w:rPr>
        <w:t>handles</w:t>
      </w:r>
      <w:r w:rsidRPr="00C222E2">
        <w:rPr>
          <w:rFonts w:ascii="Times New Roman" w:eastAsia="Times New Roman" w:hAnsi="Times New Roman" w:cs="Times New Roman"/>
          <w:kern w:val="0"/>
          <w:sz w:val="24"/>
          <w:szCs w:val="24"/>
          <w:lang w:eastAsia="en-GB"/>
          <w14:ligatures w14:val="none"/>
        </w:rPr>
        <w:t xml:space="preserve"> leading cybersecurity strategy, ensuring regulatory compliance, and reporting risks to senior management. This role provides oversight and ensures that security initiatives align with organisational goals.</w:t>
      </w:r>
    </w:p>
    <w:p w14:paraId="0A4018B4" w14:textId="176A60D1"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Supporting this, the Cloud Security Architect </w:t>
      </w:r>
      <w:r w:rsidR="3C9820BB" w:rsidRPr="00C222E2">
        <w:rPr>
          <w:rFonts w:ascii="Times New Roman" w:eastAsia="Times New Roman" w:hAnsi="Times New Roman" w:cs="Times New Roman"/>
          <w:kern w:val="0"/>
          <w:sz w:val="24"/>
          <w:szCs w:val="24"/>
          <w:lang w:eastAsia="en-GB"/>
          <w14:ligatures w14:val="none"/>
        </w:rPr>
        <w:t>handles</w:t>
      </w:r>
      <w:r w:rsidRPr="00C222E2">
        <w:rPr>
          <w:rFonts w:ascii="Times New Roman" w:eastAsia="Times New Roman" w:hAnsi="Times New Roman" w:cs="Times New Roman"/>
          <w:kern w:val="0"/>
          <w:sz w:val="24"/>
          <w:szCs w:val="24"/>
          <w:lang w:eastAsia="en-GB"/>
          <w14:ligatures w14:val="none"/>
        </w:rPr>
        <w:t xml:space="preserve"> designing secure multi-cloud environments and implementing Zero Trust principles such as identity-based access control and network segmentation. The DevSecOps Lead plays a critical role in embedding security into the software development lifecycle, ensuring that applications and AI systems are developed securely from the outset [6]. This includes integrating security testing tools and managing software supply chain risks.</w:t>
      </w:r>
    </w:p>
    <w:p w14:paraId="58005B46" w14:textId="70D5FDC5"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In addition, the Security Operations team </w:t>
      </w:r>
      <w:r w:rsidR="1396720B" w:rsidRPr="00C222E2">
        <w:rPr>
          <w:rFonts w:ascii="Times New Roman" w:eastAsia="Times New Roman" w:hAnsi="Times New Roman" w:cs="Times New Roman"/>
          <w:kern w:val="0"/>
          <w:sz w:val="24"/>
          <w:szCs w:val="24"/>
          <w:lang w:eastAsia="en-GB"/>
          <w14:ligatures w14:val="none"/>
        </w:rPr>
        <w:t>handles</w:t>
      </w:r>
      <w:r w:rsidRPr="00C222E2">
        <w:rPr>
          <w:rFonts w:ascii="Times New Roman" w:eastAsia="Times New Roman" w:hAnsi="Times New Roman" w:cs="Times New Roman"/>
          <w:kern w:val="0"/>
          <w:sz w:val="24"/>
          <w:szCs w:val="24"/>
          <w:lang w:eastAsia="en-GB"/>
          <w14:ligatures w14:val="none"/>
        </w:rPr>
        <w:t xml:space="preserve"> continuous monitoring, threat detection, and incident response, while the Governance, Risk, and Compliance (GRC) team ensures adherence to regulatory requirements. The Data Protection Officer (DPO) oversees GDPR compliance, and the Third-Party Risk Manager manages vendor-related risks. Together, this structure ensures accountability, improves communication, and supports a proactive and resilient cybersecurity posture.</w:t>
      </w:r>
    </w:p>
    <w:p w14:paraId="20BA7AE0" w14:textId="77777777" w:rsidR="008C103F" w:rsidRDefault="008C103F" w:rsidP="008C103F">
      <w:pPr>
        <w:spacing w:after="0" w:line="240" w:lineRule="auto"/>
        <w:rPr>
          <w:rFonts w:ascii="Times New Roman" w:eastAsia="Times New Roman" w:hAnsi="Times New Roman" w:cs="Times New Roman"/>
          <w:kern w:val="0"/>
          <w:sz w:val="24"/>
          <w:szCs w:val="24"/>
          <w:lang w:eastAsia="en-GB"/>
          <w14:ligatures w14:val="none"/>
        </w:rPr>
      </w:pPr>
    </w:p>
    <w:p w14:paraId="074C96EA"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619ABF6B"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215BE14A"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6456F3EA"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60C34F12"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5A4C3CE0"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51B8C21E" w14:textId="77777777" w:rsidR="00AA241D" w:rsidRPr="00C222E2"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2D08B32D" w14:textId="77777777" w:rsidR="008C103F" w:rsidRPr="00C222E2" w:rsidRDefault="008C103F" w:rsidP="008C103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C222E2">
        <w:rPr>
          <w:rFonts w:ascii="Times New Roman" w:eastAsia="Times New Roman" w:hAnsi="Times New Roman" w:cs="Times New Roman"/>
          <w:b/>
          <w:bCs/>
          <w:kern w:val="36"/>
          <w:sz w:val="24"/>
          <w:szCs w:val="24"/>
          <w:lang w:eastAsia="en-GB"/>
          <w14:ligatures w14:val="none"/>
        </w:rPr>
        <w:t>4. Policies and Procedures</w:t>
      </w:r>
    </w:p>
    <w:p w14:paraId="41CE89FB" w14:textId="1B2C8112"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Policies and procedures are fundamental to translating security strategy into consistent operational practices across MediTrust. International standards provide guidance on </w:t>
      </w:r>
      <w:r w:rsidR="17C535A6" w:rsidRPr="00C222E2">
        <w:rPr>
          <w:rFonts w:ascii="Times New Roman" w:eastAsia="Times New Roman" w:hAnsi="Times New Roman" w:cs="Times New Roman"/>
          <w:kern w:val="0"/>
          <w:sz w:val="24"/>
          <w:szCs w:val="24"/>
          <w:lang w:eastAsia="en-GB"/>
          <w14:ligatures w14:val="none"/>
        </w:rPr>
        <w:t>proving</w:t>
      </w:r>
      <w:r w:rsidRPr="00C222E2">
        <w:rPr>
          <w:rFonts w:ascii="Times New Roman" w:eastAsia="Times New Roman" w:hAnsi="Times New Roman" w:cs="Times New Roman"/>
          <w:kern w:val="0"/>
          <w:sz w:val="24"/>
          <w:szCs w:val="24"/>
          <w:lang w:eastAsia="en-GB"/>
          <w14:ligatures w14:val="none"/>
        </w:rPr>
        <w:t xml:space="preserve"> effective information security controls and ensuring that policies are aligned with organisational </w:t>
      </w:r>
      <w:r w:rsidR="19204315" w:rsidRPr="00C222E2">
        <w:rPr>
          <w:rFonts w:ascii="Times New Roman" w:eastAsia="Times New Roman" w:hAnsi="Times New Roman" w:cs="Times New Roman"/>
          <w:kern w:val="0"/>
          <w:sz w:val="24"/>
          <w:szCs w:val="24"/>
          <w:lang w:eastAsia="en-GB"/>
          <w14:ligatures w14:val="none"/>
        </w:rPr>
        <w:t>goals [7]</w:t>
      </w:r>
      <w:r w:rsidR="595480EA" w:rsidRPr="00C222E2">
        <w:rPr>
          <w:rFonts w:ascii="Times New Roman" w:eastAsia="Times New Roman" w:hAnsi="Times New Roman" w:cs="Times New Roman"/>
          <w:kern w:val="0"/>
          <w:sz w:val="24"/>
          <w:szCs w:val="24"/>
          <w:lang w:eastAsia="en-GB"/>
          <w14:ligatures w14:val="none"/>
        </w:rPr>
        <w:t>.</w:t>
      </w:r>
      <w:r w:rsidRPr="00C222E2">
        <w:rPr>
          <w:rFonts w:ascii="Times New Roman" w:eastAsia="Times New Roman" w:hAnsi="Times New Roman" w:cs="Times New Roman"/>
          <w:kern w:val="0"/>
          <w:sz w:val="24"/>
          <w:szCs w:val="24"/>
          <w:lang w:eastAsia="en-GB"/>
          <w14:ligatures w14:val="none"/>
        </w:rPr>
        <w:t xml:space="preserve"> In this context, MediTrust must implement policies that address key risk areas, including AI usage, cloud services, and hybrid working environments.</w:t>
      </w:r>
    </w:p>
    <w:p w14:paraId="2B904AB6" w14:textId="098531C3"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The AI Usage Policy ensures that artificial intelligence systems are developed and deployed securely. This includes validating training datasets, </w:t>
      </w:r>
      <w:r w:rsidR="1B287FEE" w:rsidRPr="00C222E2">
        <w:rPr>
          <w:rFonts w:ascii="Times New Roman" w:eastAsia="Times New Roman" w:hAnsi="Times New Roman" w:cs="Times New Roman"/>
          <w:kern w:val="0"/>
          <w:sz w:val="24"/>
          <w:szCs w:val="24"/>
          <w:lang w:eastAsia="en-GB"/>
          <w14:ligatures w14:val="none"/>
        </w:rPr>
        <w:t>keeping</w:t>
      </w:r>
      <w:r w:rsidRPr="00C222E2">
        <w:rPr>
          <w:rFonts w:ascii="Times New Roman" w:eastAsia="Times New Roman" w:hAnsi="Times New Roman" w:cs="Times New Roman"/>
          <w:kern w:val="0"/>
          <w:sz w:val="24"/>
          <w:szCs w:val="24"/>
          <w:lang w:eastAsia="en-GB"/>
          <w14:ligatures w14:val="none"/>
        </w:rPr>
        <w:t xml:space="preserve"> data provenance, and enforcing strict access controls to prevent unauthorised use. Secure storage and encryption of AI models are also </w:t>
      </w:r>
      <w:r w:rsidR="1B0E1A1E" w:rsidRPr="00C222E2">
        <w:rPr>
          <w:rFonts w:ascii="Times New Roman" w:eastAsia="Times New Roman" w:hAnsi="Times New Roman" w:cs="Times New Roman"/>
          <w:kern w:val="0"/>
          <w:sz w:val="24"/>
          <w:szCs w:val="24"/>
          <w:lang w:eastAsia="en-GB"/>
          <w14:ligatures w14:val="none"/>
        </w:rPr>
        <w:t>needed</w:t>
      </w:r>
      <w:r w:rsidRPr="00C222E2">
        <w:rPr>
          <w:rFonts w:ascii="Times New Roman" w:eastAsia="Times New Roman" w:hAnsi="Times New Roman" w:cs="Times New Roman"/>
          <w:kern w:val="0"/>
          <w:sz w:val="24"/>
          <w:szCs w:val="24"/>
          <w:lang w:eastAsia="en-GB"/>
          <w14:ligatures w14:val="none"/>
        </w:rPr>
        <w:t xml:space="preserve"> to protect sensitive information. Additionally, restrictions on the use of external AI tools help prevent data leakage and ensure compliance with data protection regulations.</w:t>
      </w:r>
    </w:p>
    <w:p w14:paraId="3CE892A8" w14:textId="4A4784A1" w:rsidR="0093121A" w:rsidRDefault="008C103F" w:rsidP="00784F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The Secure SaaS Configuration Policy focuses on reducing risks associated with cloud-based applications. It requires the use of strong authentication mechanisms, role-based access controls, and continuous monitoring to detect misconfigurations. Vendor security assessments are also essential before adopting new services. The BYOD Policy addresses risks associated with remote work by enforcing device compliance, conditional access, and data protection measures. These policies collectively ensure consistent security practices and reduce the likelihood of security breaches [8].</w:t>
      </w:r>
    </w:p>
    <w:p w14:paraId="1069D0BE" w14:textId="77777777" w:rsidR="00784F7D" w:rsidRPr="00C222E2" w:rsidRDefault="00784F7D" w:rsidP="00784F7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6427F76" w14:textId="77777777" w:rsidR="008C103F" w:rsidRPr="00C222E2" w:rsidRDefault="008C103F" w:rsidP="008C103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C222E2">
        <w:rPr>
          <w:rFonts w:ascii="Times New Roman" w:eastAsia="Times New Roman" w:hAnsi="Times New Roman" w:cs="Times New Roman"/>
          <w:b/>
          <w:bCs/>
          <w:kern w:val="36"/>
          <w:sz w:val="24"/>
          <w:szCs w:val="24"/>
          <w:lang w:eastAsia="en-GB"/>
          <w14:ligatures w14:val="none"/>
        </w:rPr>
        <w:t>5. Compliance with DORA and NIS2</w:t>
      </w:r>
    </w:p>
    <w:p w14:paraId="60209DEB" w14:textId="77777777"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Compliance with DORA and NIS2 is critical for MediTrust’s expansion into the European Union, as both frameworks impose strict cybersecurity and operational resilience requirements. The Digital Operational Resilience Act focuses on strengthening organisations’ ability to withstand ICT-related disruptions by requiring comprehensive risk management, incident reporting, and resilience testing [2]. MediTrust can meet these requirements by implementing continuous monitoring systems, conducting regular penetration testing, and developing structured incident response procedures that enable rapid detection and containment of threats.</w:t>
      </w:r>
    </w:p>
    <w:p w14:paraId="5E572838" w14:textId="1A0C4D1B"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In addition to DORA, the NIS2 Directive introduces broader obligations, particularly in relation to incident reporting, supply chain security, and business continuity planning. Organisations must report significant incidents within strict </w:t>
      </w:r>
      <w:r w:rsidR="3D4B343E" w:rsidRPr="00C222E2">
        <w:rPr>
          <w:rFonts w:ascii="Times New Roman" w:eastAsia="Times New Roman" w:hAnsi="Times New Roman" w:cs="Times New Roman"/>
          <w:kern w:val="0"/>
          <w:sz w:val="24"/>
          <w:szCs w:val="24"/>
          <w:lang w:eastAsia="en-GB"/>
          <w14:ligatures w14:val="none"/>
        </w:rPr>
        <w:t>periods</w:t>
      </w:r>
      <w:r w:rsidRPr="00C222E2">
        <w:rPr>
          <w:rFonts w:ascii="Times New Roman" w:eastAsia="Times New Roman" w:hAnsi="Times New Roman" w:cs="Times New Roman"/>
          <w:kern w:val="0"/>
          <w:sz w:val="24"/>
          <w:szCs w:val="24"/>
          <w:lang w:eastAsia="en-GB"/>
          <w14:ligatures w14:val="none"/>
        </w:rPr>
        <w:t xml:space="preserve">, typically within 24 to 72 hours, which requires efficient detection and escalation mechanisms [9]. To achieve this, MediTrust should implement automated threat detection systems, </w:t>
      </w:r>
      <w:r w:rsidR="44918D06" w:rsidRPr="00C222E2">
        <w:rPr>
          <w:rFonts w:ascii="Times New Roman" w:eastAsia="Times New Roman" w:hAnsi="Times New Roman" w:cs="Times New Roman"/>
          <w:kern w:val="0"/>
          <w:sz w:val="24"/>
          <w:szCs w:val="24"/>
          <w:lang w:eastAsia="en-GB"/>
          <w14:ligatures w14:val="none"/>
        </w:rPr>
        <w:t>support</w:t>
      </w:r>
      <w:r w:rsidRPr="00C222E2">
        <w:rPr>
          <w:rFonts w:ascii="Times New Roman" w:eastAsia="Times New Roman" w:hAnsi="Times New Roman" w:cs="Times New Roman"/>
          <w:kern w:val="0"/>
          <w:sz w:val="24"/>
          <w:szCs w:val="24"/>
          <w:lang w:eastAsia="en-GB"/>
          <w14:ligatures w14:val="none"/>
        </w:rPr>
        <w:t xml:space="preserve"> detailed logs for forensic analysis, and </w:t>
      </w:r>
      <w:r w:rsidR="664E308A" w:rsidRPr="00C222E2">
        <w:rPr>
          <w:rFonts w:ascii="Times New Roman" w:eastAsia="Times New Roman" w:hAnsi="Times New Roman" w:cs="Times New Roman"/>
          <w:kern w:val="0"/>
          <w:sz w:val="24"/>
          <w:szCs w:val="24"/>
          <w:lang w:eastAsia="en-GB"/>
          <w14:ligatures w14:val="none"/>
        </w:rPr>
        <w:t>prove</w:t>
      </w:r>
      <w:r w:rsidRPr="00C222E2">
        <w:rPr>
          <w:rFonts w:ascii="Times New Roman" w:eastAsia="Times New Roman" w:hAnsi="Times New Roman" w:cs="Times New Roman"/>
          <w:kern w:val="0"/>
          <w:sz w:val="24"/>
          <w:szCs w:val="24"/>
          <w:lang w:eastAsia="en-GB"/>
          <w14:ligatures w14:val="none"/>
        </w:rPr>
        <w:t xml:space="preserve"> clear reporting workflows.</w:t>
      </w:r>
    </w:p>
    <w:p w14:paraId="604B58D3" w14:textId="46BA412F" w:rsidR="008C103F" w:rsidRDefault="008C103F" w:rsidP="00AA24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Furthermore, strengthening supply chain security through vendor risk assessments and continuous monitoring is essential to reduce exposure to third-party risks. These measures not only ensure regulatory compliance but also enhance MediTrust’s ability to respond effectively to cybersecurity incidents and </w:t>
      </w:r>
      <w:r w:rsidR="500BF3C8" w:rsidRPr="00C222E2">
        <w:rPr>
          <w:rFonts w:ascii="Times New Roman" w:eastAsia="Times New Roman" w:hAnsi="Times New Roman" w:cs="Times New Roman"/>
          <w:kern w:val="0"/>
          <w:sz w:val="24"/>
          <w:szCs w:val="24"/>
          <w:lang w:eastAsia="en-GB"/>
          <w14:ligatures w14:val="none"/>
        </w:rPr>
        <w:t>support</w:t>
      </w:r>
      <w:r w:rsidRPr="00C222E2">
        <w:rPr>
          <w:rFonts w:ascii="Times New Roman" w:eastAsia="Times New Roman" w:hAnsi="Times New Roman" w:cs="Times New Roman"/>
          <w:kern w:val="0"/>
          <w:sz w:val="24"/>
          <w:szCs w:val="24"/>
          <w:lang w:eastAsia="en-GB"/>
          <w14:ligatures w14:val="none"/>
        </w:rPr>
        <w:t xml:space="preserve"> operational stability in a highly regulated environment [10].</w:t>
      </w:r>
    </w:p>
    <w:p w14:paraId="46331854" w14:textId="77777777" w:rsidR="00784F7D" w:rsidRPr="00C222E2" w:rsidRDefault="00784F7D" w:rsidP="00AA24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59B8492" w14:textId="77777777" w:rsidR="008C103F" w:rsidRPr="00C222E2" w:rsidRDefault="008C103F" w:rsidP="008C103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C222E2">
        <w:rPr>
          <w:rFonts w:ascii="Times New Roman" w:eastAsia="Times New Roman" w:hAnsi="Times New Roman" w:cs="Times New Roman"/>
          <w:b/>
          <w:bCs/>
          <w:kern w:val="36"/>
          <w:sz w:val="24"/>
          <w:szCs w:val="24"/>
          <w:lang w:eastAsia="en-GB"/>
          <w14:ligatures w14:val="none"/>
        </w:rPr>
        <w:t>6. Governance and Strategy</w:t>
      </w:r>
    </w:p>
    <w:p w14:paraId="7A39C0C8" w14:textId="6AB028B1"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The proposed security programme aligns with the NIST Cybersecurity Framework, which provides a comprehensive and flexible approach to managing cybersecurity risks within modern organisations [11]. This framework is particularly suitable for MediTrust as it supports both regulatory compliance and strategic business growth. It is structured around six core functions: Govern, </w:t>
      </w:r>
      <w:r w:rsidR="6414A774" w:rsidRPr="00C222E2">
        <w:rPr>
          <w:rFonts w:ascii="Times New Roman" w:eastAsia="Times New Roman" w:hAnsi="Times New Roman" w:cs="Times New Roman"/>
          <w:kern w:val="0"/>
          <w:sz w:val="24"/>
          <w:szCs w:val="24"/>
          <w:lang w:eastAsia="en-GB"/>
          <w14:ligatures w14:val="none"/>
        </w:rPr>
        <w:t>Show</w:t>
      </w:r>
      <w:r w:rsidRPr="00C222E2">
        <w:rPr>
          <w:rFonts w:ascii="Times New Roman" w:eastAsia="Times New Roman" w:hAnsi="Times New Roman" w:cs="Times New Roman"/>
          <w:kern w:val="0"/>
          <w:sz w:val="24"/>
          <w:szCs w:val="24"/>
          <w:lang w:eastAsia="en-GB"/>
          <w14:ligatures w14:val="none"/>
        </w:rPr>
        <w:t>, Protect, Detect, Respond, and Recover, each contributing to a holistic security posture.</w:t>
      </w:r>
    </w:p>
    <w:p w14:paraId="14A5C081" w14:textId="4397FEBF" w:rsidR="008C103F" w:rsidRPr="00C222E2"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The Govern function </w:t>
      </w:r>
      <w:r w:rsidR="26A12C26" w:rsidRPr="00C222E2">
        <w:rPr>
          <w:rFonts w:ascii="Times New Roman" w:eastAsia="Times New Roman" w:hAnsi="Times New Roman" w:cs="Times New Roman"/>
          <w:kern w:val="0"/>
          <w:sz w:val="24"/>
          <w:szCs w:val="24"/>
          <w:lang w:eastAsia="en-GB"/>
          <w14:ligatures w14:val="none"/>
        </w:rPr>
        <w:t>proves</w:t>
      </w:r>
      <w:r w:rsidRPr="00C222E2">
        <w:rPr>
          <w:rFonts w:ascii="Times New Roman" w:eastAsia="Times New Roman" w:hAnsi="Times New Roman" w:cs="Times New Roman"/>
          <w:kern w:val="0"/>
          <w:sz w:val="24"/>
          <w:szCs w:val="24"/>
          <w:lang w:eastAsia="en-GB"/>
          <w14:ligatures w14:val="none"/>
        </w:rPr>
        <w:t xml:space="preserve"> policies, roles, and oversight mechanisms, ensuring that cybersecurity is embedded within organisational strategy and decision-making processes. The Identify function focuses on understanding assets, systems, and associated risks, particularly those related to sensitive healthcare data and AI-driven systems. The Protect function involves implementing safeguards such as access controls, encryption, and secure configurations to prevent unauthorised access.</w:t>
      </w:r>
    </w:p>
    <w:p w14:paraId="35D6D47A" w14:textId="5035CDE3" w:rsidR="008C103F"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222E2">
        <w:rPr>
          <w:rFonts w:ascii="Times New Roman" w:eastAsia="Times New Roman" w:hAnsi="Times New Roman" w:cs="Times New Roman"/>
          <w:kern w:val="0"/>
          <w:sz w:val="24"/>
          <w:szCs w:val="24"/>
          <w:lang w:eastAsia="en-GB"/>
          <w14:ligatures w14:val="none"/>
        </w:rPr>
        <w:t xml:space="preserve">The Detect function enables continuous monitoring through advanced analytics and threat intelligence, allowing early identification of potential security incidents. The Respond function defines structured procedures for incident management, ensuring </w:t>
      </w:r>
      <w:r w:rsidR="5B28D6BF" w:rsidRPr="00C222E2">
        <w:rPr>
          <w:rFonts w:ascii="Times New Roman" w:eastAsia="Times New Roman" w:hAnsi="Times New Roman" w:cs="Times New Roman"/>
          <w:kern w:val="0"/>
          <w:sz w:val="24"/>
          <w:szCs w:val="24"/>
          <w:lang w:eastAsia="en-GB"/>
          <w14:ligatures w14:val="none"/>
        </w:rPr>
        <w:t>prompt</w:t>
      </w:r>
      <w:r w:rsidRPr="00C222E2">
        <w:rPr>
          <w:rFonts w:ascii="Times New Roman" w:eastAsia="Times New Roman" w:hAnsi="Times New Roman" w:cs="Times New Roman"/>
          <w:kern w:val="0"/>
          <w:sz w:val="24"/>
          <w:szCs w:val="24"/>
          <w:lang w:eastAsia="en-GB"/>
          <w14:ligatures w14:val="none"/>
        </w:rPr>
        <w:t xml:space="preserve"> and effective mitigation [12]. Finally, the Recover function ensures that systems and services can be restored efficiently following disruptions. By adopting this framework, MediTrust can align its cybersecurity strategy with business </w:t>
      </w:r>
      <w:r w:rsidR="6FFC1EA5" w:rsidRPr="00C222E2">
        <w:rPr>
          <w:rFonts w:ascii="Times New Roman" w:eastAsia="Times New Roman" w:hAnsi="Times New Roman" w:cs="Times New Roman"/>
          <w:kern w:val="0"/>
          <w:sz w:val="24"/>
          <w:szCs w:val="24"/>
          <w:lang w:eastAsia="en-GB"/>
          <w14:ligatures w14:val="none"/>
        </w:rPr>
        <w:t>aims</w:t>
      </w:r>
      <w:r w:rsidRPr="00C222E2">
        <w:rPr>
          <w:rFonts w:ascii="Times New Roman" w:eastAsia="Times New Roman" w:hAnsi="Times New Roman" w:cs="Times New Roman"/>
          <w:kern w:val="0"/>
          <w:sz w:val="24"/>
          <w:szCs w:val="24"/>
          <w:lang w:eastAsia="en-GB"/>
          <w14:ligatures w14:val="none"/>
        </w:rPr>
        <w:t xml:space="preserve">, including regulatory compliance, operational resilience, and </w:t>
      </w:r>
      <w:r w:rsidR="30EAE2F7" w:rsidRPr="00C222E2">
        <w:rPr>
          <w:rFonts w:ascii="Times New Roman" w:eastAsia="Times New Roman" w:hAnsi="Times New Roman" w:cs="Times New Roman"/>
          <w:kern w:val="0"/>
          <w:sz w:val="24"/>
          <w:szCs w:val="24"/>
          <w:lang w:eastAsia="en-GB"/>
          <w14:ligatures w14:val="none"/>
        </w:rPr>
        <w:t>keeping</w:t>
      </w:r>
      <w:r w:rsidRPr="00C222E2">
        <w:rPr>
          <w:rFonts w:ascii="Times New Roman" w:eastAsia="Times New Roman" w:hAnsi="Times New Roman" w:cs="Times New Roman"/>
          <w:kern w:val="0"/>
          <w:sz w:val="24"/>
          <w:szCs w:val="24"/>
          <w:lang w:eastAsia="en-GB"/>
          <w14:ligatures w14:val="none"/>
        </w:rPr>
        <w:t xml:space="preserve"> trust among stakeholders.</w:t>
      </w:r>
    </w:p>
    <w:p w14:paraId="794C7709" w14:textId="77777777" w:rsidR="00784F7D" w:rsidRPr="00C222E2" w:rsidRDefault="00784F7D"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1D81679" w14:textId="77777777" w:rsidR="008C103F" w:rsidRPr="00DD7ADA" w:rsidRDefault="008C103F" w:rsidP="008C103F">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DD7ADA">
        <w:rPr>
          <w:rFonts w:ascii="Times New Roman" w:eastAsia="Times New Roman" w:hAnsi="Times New Roman" w:cs="Times New Roman"/>
          <w:b/>
          <w:bCs/>
          <w:kern w:val="0"/>
          <w:sz w:val="24"/>
          <w:szCs w:val="24"/>
          <w:lang w:eastAsia="en-GB"/>
          <w14:ligatures w14:val="none"/>
        </w:rPr>
        <w:t>7. Risk Management</w:t>
      </w:r>
    </w:p>
    <w:p w14:paraId="79E2DE25" w14:textId="77777777" w:rsidR="008C103F" w:rsidRPr="00DD7ADA"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D7ADA">
        <w:rPr>
          <w:rFonts w:ascii="Times New Roman" w:eastAsia="Times New Roman" w:hAnsi="Times New Roman" w:cs="Times New Roman"/>
          <w:kern w:val="0"/>
          <w:sz w:val="24"/>
          <w:szCs w:val="24"/>
          <w:lang w:eastAsia="en-GB"/>
          <w14:ligatures w14:val="none"/>
        </w:rPr>
        <w:t>MediTrust faces several critical cybersecurity risks, including software supply chain vulnerabilities, AI-related threats, and cloud misconfigurations. Industry reports highlight the growing prevalence of supply chain attacks and their impact on organisations [13], [14].</w:t>
      </w:r>
    </w:p>
    <w:p w14:paraId="0F712881" w14:textId="77777777" w:rsidR="008C103F"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To better understand these risks and their impact, Table 2 provides a structured overview of key threats and their potential consequences.</w:t>
      </w:r>
    </w:p>
    <w:p w14:paraId="7E4199AD" w14:textId="77777777" w:rsidR="0093121A" w:rsidRPr="00C46D75" w:rsidRDefault="0093121A"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32BA878" w14:textId="77777777" w:rsidR="008C103F" w:rsidRPr="00C46D75" w:rsidRDefault="008C103F" w:rsidP="008C103F">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Table 2: Key Cybersecurity Risks and Impacts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61"/>
        <w:gridCol w:w="4406"/>
        <w:gridCol w:w="3689"/>
      </w:tblGrid>
      <w:tr w:rsidR="00CD538D" w:rsidRPr="00C46D75" w14:paraId="761983D6" w14:textId="77777777" w:rsidTr="00E80A0B">
        <w:trPr>
          <w:tblHeader/>
          <w:tblCellSpacing w:w="15" w:type="dxa"/>
        </w:trPr>
        <w:tc>
          <w:tcPr>
            <w:tcW w:w="0" w:type="auto"/>
            <w:vAlign w:val="center"/>
            <w:hideMark/>
          </w:tcPr>
          <w:p w14:paraId="3CEAC1A3"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Risk Category</w:t>
            </w:r>
          </w:p>
        </w:tc>
        <w:tc>
          <w:tcPr>
            <w:tcW w:w="0" w:type="auto"/>
            <w:vAlign w:val="center"/>
            <w:hideMark/>
          </w:tcPr>
          <w:p w14:paraId="15134CFB"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Description</w:t>
            </w:r>
          </w:p>
        </w:tc>
        <w:tc>
          <w:tcPr>
            <w:tcW w:w="0" w:type="auto"/>
            <w:vAlign w:val="center"/>
            <w:hideMark/>
          </w:tcPr>
          <w:p w14:paraId="207CFD98"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Potential Impact</w:t>
            </w:r>
          </w:p>
        </w:tc>
      </w:tr>
      <w:tr w:rsidR="00CD538D" w:rsidRPr="00C46D75" w14:paraId="4B3AA45C" w14:textId="77777777" w:rsidTr="00E80A0B">
        <w:trPr>
          <w:tblCellSpacing w:w="15" w:type="dxa"/>
        </w:trPr>
        <w:tc>
          <w:tcPr>
            <w:tcW w:w="0" w:type="auto"/>
            <w:vAlign w:val="center"/>
            <w:hideMark/>
          </w:tcPr>
          <w:p w14:paraId="4BE39DDB"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Software Supply Chain</w:t>
            </w:r>
          </w:p>
        </w:tc>
        <w:tc>
          <w:tcPr>
            <w:tcW w:w="0" w:type="auto"/>
            <w:vAlign w:val="center"/>
            <w:hideMark/>
          </w:tcPr>
          <w:p w14:paraId="762BB0CC"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Vulnerable or malicious third-party components</w:t>
            </w:r>
          </w:p>
        </w:tc>
        <w:tc>
          <w:tcPr>
            <w:tcW w:w="0" w:type="auto"/>
            <w:vAlign w:val="center"/>
            <w:hideMark/>
          </w:tcPr>
          <w:p w14:paraId="052A84F0"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System compromise, data breaches</w:t>
            </w:r>
          </w:p>
        </w:tc>
      </w:tr>
      <w:tr w:rsidR="00CD538D" w:rsidRPr="00C46D75" w14:paraId="33062D88" w14:textId="77777777" w:rsidTr="00E80A0B">
        <w:trPr>
          <w:tblCellSpacing w:w="15" w:type="dxa"/>
        </w:trPr>
        <w:tc>
          <w:tcPr>
            <w:tcW w:w="0" w:type="auto"/>
            <w:vAlign w:val="center"/>
            <w:hideMark/>
          </w:tcPr>
          <w:p w14:paraId="23C0279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AI Security Risks</w:t>
            </w:r>
          </w:p>
        </w:tc>
        <w:tc>
          <w:tcPr>
            <w:tcW w:w="0" w:type="auto"/>
            <w:vAlign w:val="center"/>
            <w:hideMark/>
          </w:tcPr>
          <w:p w14:paraId="1DBC120B"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Data poisoning, model manipulation</w:t>
            </w:r>
          </w:p>
        </w:tc>
        <w:tc>
          <w:tcPr>
            <w:tcW w:w="0" w:type="auto"/>
            <w:vAlign w:val="center"/>
            <w:hideMark/>
          </w:tcPr>
          <w:p w14:paraId="530CF454"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Incorrect clinical decisions, loss of trust</w:t>
            </w:r>
          </w:p>
        </w:tc>
      </w:tr>
      <w:tr w:rsidR="00CD538D" w:rsidRPr="00C46D75" w14:paraId="2E7635FA" w14:textId="77777777" w:rsidTr="00E80A0B">
        <w:trPr>
          <w:tblCellSpacing w:w="15" w:type="dxa"/>
        </w:trPr>
        <w:tc>
          <w:tcPr>
            <w:tcW w:w="0" w:type="auto"/>
            <w:vAlign w:val="center"/>
            <w:hideMark/>
          </w:tcPr>
          <w:p w14:paraId="0F0D8D48"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Cloud Misconfiguration</w:t>
            </w:r>
          </w:p>
        </w:tc>
        <w:tc>
          <w:tcPr>
            <w:tcW w:w="0" w:type="auto"/>
            <w:vAlign w:val="center"/>
            <w:hideMark/>
          </w:tcPr>
          <w:p w14:paraId="15F1B297"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Public exposure of storage or services</w:t>
            </w:r>
          </w:p>
        </w:tc>
        <w:tc>
          <w:tcPr>
            <w:tcW w:w="0" w:type="auto"/>
            <w:vAlign w:val="center"/>
            <w:hideMark/>
          </w:tcPr>
          <w:p w14:paraId="745CFD81"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Data leakage, compliance violations</w:t>
            </w:r>
          </w:p>
        </w:tc>
      </w:tr>
      <w:tr w:rsidR="00CD538D" w:rsidRPr="00C46D75" w14:paraId="3BE745EE" w14:textId="77777777" w:rsidTr="00E80A0B">
        <w:trPr>
          <w:tblCellSpacing w:w="15" w:type="dxa"/>
        </w:trPr>
        <w:tc>
          <w:tcPr>
            <w:tcW w:w="0" w:type="auto"/>
            <w:vAlign w:val="center"/>
            <w:hideMark/>
          </w:tcPr>
          <w:p w14:paraId="080171E5"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Identity &amp; Access Risks</w:t>
            </w:r>
          </w:p>
        </w:tc>
        <w:tc>
          <w:tcPr>
            <w:tcW w:w="0" w:type="auto"/>
            <w:vAlign w:val="center"/>
            <w:hideMark/>
          </w:tcPr>
          <w:p w14:paraId="3A7B08E7"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Weak authentication or excessive permissions</w:t>
            </w:r>
          </w:p>
        </w:tc>
        <w:tc>
          <w:tcPr>
            <w:tcW w:w="0" w:type="auto"/>
            <w:vAlign w:val="center"/>
            <w:hideMark/>
          </w:tcPr>
          <w:p w14:paraId="1D114DED"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Unauthorised access, lateral movement</w:t>
            </w:r>
          </w:p>
        </w:tc>
      </w:tr>
      <w:tr w:rsidR="00CD538D" w:rsidRPr="00C46D75" w14:paraId="118DDFF4" w14:textId="77777777" w:rsidTr="00E80A0B">
        <w:trPr>
          <w:tblCellSpacing w:w="15" w:type="dxa"/>
        </w:trPr>
        <w:tc>
          <w:tcPr>
            <w:tcW w:w="0" w:type="auto"/>
            <w:vAlign w:val="center"/>
            <w:hideMark/>
          </w:tcPr>
          <w:p w14:paraId="32728438"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Third-Party Risks</w:t>
            </w:r>
          </w:p>
        </w:tc>
        <w:tc>
          <w:tcPr>
            <w:tcW w:w="0" w:type="auto"/>
            <w:vAlign w:val="center"/>
            <w:hideMark/>
          </w:tcPr>
          <w:p w14:paraId="6E471A21"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Compromised vendors or partners</w:t>
            </w:r>
          </w:p>
        </w:tc>
        <w:tc>
          <w:tcPr>
            <w:tcW w:w="0" w:type="auto"/>
            <w:vAlign w:val="center"/>
            <w:hideMark/>
          </w:tcPr>
          <w:p w14:paraId="38C25043"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Indirect system compromise</w:t>
            </w:r>
          </w:p>
        </w:tc>
      </w:tr>
    </w:tbl>
    <w:p w14:paraId="0AD53D4E" w14:textId="33C4BE34" w:rsidR="008C103F" w:rsidRPr="00C46D75"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 xml:space="preserve">Following the identification of these risks, MediTrust should implement Software Composition Analysis (SCA) tools to </w:t>
      </w:r>
      <w:r w:rsidR="1635870D" w:rsidRPr="00C46D75">
        <w:rPr>
          <w:rFonts w:ascii="Times New Roman" w:eastAsia="Times New Roman" w:hAnsi="Times New Roman" w:cs="Times New Roman"/>
          <w:kern w:val="0"/>
          <w:sz w:val="24"/>
          <w:szCs w:val="24"/>
          <w:lang w:eastAsia="en-GB"/>
          <w14:ligatures w14:val="none"/>
        </w:rPr>
        <w:t>show</w:t>
      </w:r>
      <w:r w:rsidRPr="00C46D75">
        <w:rPr>
          <w:rFonts w:ascii="Times New Roman" w:eastAsia="Times New Roman" w:hAnsi="Times New Roman" w:cs="Times New Roman"/>
          <w:kern w:val="0"/>
          <w:sz w:val="24"/>
          <w:szCs w:val="24"/>
          <w:lang w:eastAsia="en-GB"/>
          <w14:ligatures w14:val="none"/>
        </w:rPr>
        <w:t xml:space="preserve"> and manage vulnerabilities within software dependencies, ensuring that only trusted and verified components are used. Secure coding practices, combined with code signing and integrity verification, can further strengthen software security. Cloud Security Posture Management (CSPM) tools should be deployed to continuously </w:t>
      </w:r>
      <w:r w:rsidR="74C08DBC" w:rsidRPr="00C46D75">
        <w:rPr>
          <w:rFonts w:ascii="Times New Roman" w:eastAsia="Times New Roman" w:hAnsi="Times New Roman" w:cs="Times New Roman"/>
          <w:kern w:val="0"/>
          <w:sz w:val="24"/>
          <w:szCs w:val="24"/>
          <w:lang w:eastAsia="en-GB"/>
          <w14:ligatures w14:val="none"/>
        </w:rPr>
        <w:t>watch</w:t>
      </w:r>
      <w:r w:rsidRPr="00C46D75">
        <w:rPr>
          <w:rFonts w:ascii="Times New Roman" w:eastAsia="Times New Roman" w:hAnsi="Times New Roman" w:cs="Times New Roman"/>
          <w:kern w:val="0"/>
          <w:sz w:val="24"/>
          <w:szCs w:val="24"/>
          <w:lang w:eastAsia="en-GB"/>
          <w14:ligatures w14:val="none"/>
        </w:rPr>
        <w:t xml:space="preserve"> cloud environments, detect misconfigurations, and enforce compliance with security policies. Additionally, the enforcement of least privilege access controls across all systems ensures that users and services have only the minimum permissions </w:t>
      </w:r>
      <w:r w:rsidR="7196F66E" w:rsidRPr="00C46D75">
        <w:rPr>
          <w:rFonts w:ascii="Times New Roman" w:eastAsia="Times New Roman" w:hAnsi="Times New Roman" w:cs="Times New Roman"/>
          <w:kern w:val="0"/>
          <w:sz w:val="24"/>
          <w:szCs w:val="24"/>
          <w:lang w:eastAsia="en-GB"/>
          <w14:ligatures w14:val="none"/>
        </w:rPr>
        <w:t>needed</w:t>
      </w:r>
      <w:r w:rsidRPr="00C46D75">
        <w:rPr>
          <w:rFonts w:ascii="Times New Roman" w:eastAsia="Times New Roman" w:hAnsi="Times New Roman" w:cs="Times New Roman"/>
          <w:kern w:val="0"/>
          <w:sz w:val="24"/>
          <w:szCs w:val="24"/>
          <w:lang w:eastAsia="en-GB"/>
          <w14:ligatures w14:val="none"/>
        </w:rPr>
        <w:t>, thereby reducing the potential impact of compromised accounts and limiting lateral movement within the network.</w:t>
      </w:r>
    </w:p>
    <w:p w14:paraId="319D8C83" w14:textId="77777777" w:rsidR="008C103F" w:rsidRDefault="008C103F" w:rsidP="008C103F">
      <w:pPr>
        <w:spacing w:after="0" w:line="240" w:lineRule="auto"/>
        <w:rPr>
          <w:rFonts w:ascii="Times New Roman" w:eastAsia="Times New Roman" w:hAnsi="Times New Roman" w:cs="Times New Roman"/>
          <w:kern w:val="0"/>
          <w:sz w:val="24"/>
          <w:szCs w:val="24"/>
          <w:lang w:eastAsia="en-GB"/>
          <w14:ligatures w14:val="none"/>
        </w:rPr>
      </w:pPr>
    </w:p>
    <w:p w14:paraId="6FCC108C"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5D5F1CD7"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163E77CA"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3BD32A50" w14:textId="77777777" w:rsidR="00AA241D"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58E69AA8" w14:textId="77777777" w:rsidR="00AA241D" w:rsidRPr="00C46D75" w:rsidRDefault="00AA241D" w:rsidP="008C103F">
      <w:pPr>
        <w:spacing w:after="0" w:line="240" w:lineRule="auto"/>
        <w:rPr>
          <w:rFonts w:ascii="Times New Roman" w:eastAsia="Times New Roman" w:hAnsi="Times New Roman" w:cs="Times New Roman"/>
          <w:kern w:val="0"/>
          <w:sz w:val="24"/>
          <w:szCs w:val="24"/>
          <w:lang w:eastAsia="en-GB"/>
          <w14:ligatures w14:val="none"/>
        </w:rPr>
      </w:pPr>
    </w:p>
    <w:p w14:paraId="042459C1" w14:textId="77777777" w:rsidR="008C103F" w:rsidRPr="00C46D75" w:rsidRDefault="008C103F" w:rsidP="008C103F">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8. Contingency Planning: Ransomware Scenario</w:t>
      </w:r>
    </w:p>
    <w:p w14:paraId="019404A1" w14:textId="161826F6" w:rsidR="008C103F" w:rsidRPr="006F386E"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386E">
        <w:rPr>
          <w:rFonts w:ascii="Times New Roman" w:eastAsia="Times New Roman" w:hAnsi="Times New Roman" w:cs="Times New Roman"/>
          <w:kern w:val="0"/>
          <w:sz w:val="24"/>
          <w:szCs w:val="24"/>
          <w:lang w:eastAsia="en-GB"/>
          <w14:ligatures w14:val="none"/>
        </w:rPr>
        <w:t xml:space="preserve">Ransomware attacks </w:t>
      </w:r>
      <w:r w:rsidR="4B821124" w:rsidRPr="006F386E">
        <w:rPr>
          <w:rFonts w:ascii="Times New Roman" w:eastAsia="Times New Roman" w:hAnsi="Times New Roman" w:cs="Times New Roman"/>
          <w:kern w:val="0"/>
          <w:sz w:val="24"/>
          <w:szCs w:val="24"/>
          <w:lang w:eastAsia="en-GB"/>
          <w14:ligatures w14:val="none"/>
        </w:rPr>
        <w:t>stand for</w:t>
      </w:r>
      <w:r w:rsidRPr="006F386E">
        <w:rPr>
          <w:rFonts w:ascii="Times New Roman" w:eastAsia="Times New Roman" w:hAnsi="Times New Roman" w:cs="Times New Roman"/>
          <w:kern w:val="0"/>
          <w:sz w:val="24"/>
          <w:szCs w:val="24"/>
          <w:lang w:eastAsia="en-GB"/>
          <w14:ligatures w14:val="none"/>
        </w:rPr>
        <w:t xml:space="preserve"> a major threat to organisations, particularly those handling critical and sensitive data, as they can lead to operational disruption, </w:t>
      </w:r>
      <w:r w:rsidR="4ED9BAC1" w:rsidRPr="006F386E">
        <w:rPr>
          <w:rFonts w:ascii="Times New Roman" w:eastAsia="Times New Roman" w:hAnsi="Times New Roman" w:cs="Times New Roman"/>
          <w:kern w:val="0"/>
          <w:sz w:val="24"/>
          <w:szCs w:val="24"/>
          <w:lang w:eastAsia="en-GB"/>
          <w14:ligatures w14:val="none"/>
        </w:rPr>
        <w:t>monetary</w:t>
      </w:r>
      <w:r w:rsidRPr="006F386E">
        <w:rPr>
          <w:rFonts w:ascii="Times New Roman" w:eastAsia="Times New Roman" w:hAnsi="Times New Roman" w:cs="Times New Roman"/>
          <w:kern w:val="0"/>
          <w:sz w:val="24"/>
          <w:szCs w:val="24"/>
          <w:lang w:eastAsia="en-GB"/>
          <w14:ligatures w14:val="none"/>
        </w:rPr>
        <w:t xml:space="preserve"> loss, and reputational damage [15]. In the context of MediTrust, where AI training datasets and clinical systems are essential for service delivery, such an attack could significantly </w:t>
      </w:r>
      <w:r w:rsidR="4CE68EDB" w:rsidRPr="006F386E">
        <w:rPr>
          <w:rFonts w:ascii="Times New Roman" w:eastAsia="Times New Roman" w:hAnsi="Times New Roman" w:cs="Times New Roman"/>
          <w:kern w:val="0"/>
          <w:sz w:val="24"/>
          <w:szCs w:val="24"/>
          <w:lang w:eastAsia="en-GB"/>
          <w14:ligatures w14:val="none"/>
        </w:rPr>
        <w:t>affect</w:t>
      </w:r>
      <w:r w:rsidRPr="006F386E">
        <w:rPr>
          <w:rFonts w:ascii="Times New Roman" w:eastAsia="Times New Roman" w:hAnsi="Times New Roman" w:cs="Times New Roman"/>
          <w:kern w:val="0"/>
          <w:sz w:val="24"/>
          <w:szCs w:val="24"/>
          <w:lang w:eastAsia="en-GB"/>
          <w14:ligatures w14:val="none"/>
        </w:rPr>
        <w:t xml:space="preserve"> patient care and business continuity. In such a scenario, immediate containment actions are </w:t>
      </w:r>
      <w:r w:rsidR="49503A20" w:rsidRPr="006F386E">
        <w:rPr>
          <w:rFonts w:ascii="Times New Roman" w:eastAsia="Times New Roman" w:hAnsi="Times New Roman" w:cs="Times New Roman"/>
          <w:kern w:val="0"/>
          <w:sz w:val="24"/>
          <w:szCs w:val="24"/>
          <w:lang w:eastAsia="en-GB"/>
          <w14:ligatures w14:val="none"/>
        </w:rPr>
        <w:t>needed</w:t>
      </w:r>
      <w:r w:rsidRPr="006F386E">
        <w:rPr>
          <w:rFonts w:ascii="Times New Roman" w:eastAsia="Times New Roman" w:hAnsi="Times New Roman" w:cs="Times New Roman"/>
          <w:kern w:val="0"/>
          <w:sz w:val="24"/>
          <w:szCs w:val="24"/>
          <w:lang w:eastAsia="en-GB"/>
          <w14:ligatures w14:val="none"/>
        </w:rPr>
        <w:t>, including isolating affected systems through network segmentation, revoking compromised credentials, and activating incident response procedures to prevent further spread of the attack [16]. Rapid identification of the attack source is also necessary to minimise damage and support recovery efforts.</w:t>
      </w:r>
    </w:p>
    <w:p w14:paraId="4F851357" w14:textId="7BF3AF10" w:rsidR="00757F23" w:rsidRDefault="008C103F" w:rsidP="00AA24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386E">
        <w:rPr>
          <w:rFonts w:ascii="Times New Roman" w:eastAsia="Times New Roman" w:hAnsi="Times New Roman" w:cs="Times New Roman"/>
          <w:kern w:val="0"/>
          <w:sz w:val="24"/>
          <w:szCs w:val="24"/>
          <w:lang w:eastAsia="en-GB"/>
          <w14:ligatures w14:val="none"/>
        </w:rPr>
        <w:t xml:space="preserve">Recovery efforts should focus on restoring data from secure, immutable backups that are stored offline to prevent compromise. Before systems are restored to operational use, thorough integrity checks must be conducted to ensure that no malicious code </w:t>
      </w:r>
      <w:r w:rsidR="4E159784" w:rsidRPr="006F386E">
        <w:rPr>
          <w:rFonts w:ascii="Times New Roman" w:eastAsia="Times New Roman" w:hAnsi="Times New Roman" w:cs="Times New Roman"/>
          <w:kern w:val="0"/>
          <w:sz w:val="24"/>
          <w:szCs w:val="24"/>
          <w:lang w:eastAsia="en-GB"/>
          <w14:ligatures w14:val="none"/>
        </w:rPr>
        <w:t>is still</w:t>
      </w:r>
      <w:r w:rsidR="595480EA" w:rsidRPr="006F386E">
        <w:rPr>
          <w:rFonts w:ascii="Times New Roman" w:eastAsia="Times New Roman" w:hAnsi="Times New Roman" w:cs="Times New Roman"/>
          <w:kern w:val="0"/>
          <w:sz w:val="24"/>
          <w:szCs w:val="24"/>
          <w:lang w:eastAsia="en-GB"/>
          <w14:ligatures w14:val="none"/>
        </w:rPr>
        <w:t>.</w:t>
      </w:r>
      <w:r w:rsidRPr="006F386E">
        <w:rPr>
          <w:rFonts w:ascii="Times New Roman" w:eastAsia="Times New Roman" w:hAnsi="Times New Roman" w:cs="Times New Roman"/>
          <w:kern w:val="0"/>
          <w:sz w:val="24"/>
          <w:szCs w:val="24"/>
          <w:lang w:eastAsia="en-GB"/>
          <w14:ligatures w14:val="none"/>
        </w:rPr>
        <w:t xml:space="preserve"> Cloud failover mechanisms should be utilised to </w:t>
      </w:r>
      <w:r w:rsidR="2109F078" w:rsidRPr="006F386E">
        <w:rPr>
          <w:rFonts w:ascii="Times New Roman" w:eastAsia="Times New Roman" w:hAnsi="Times New Roman" w:cs="Times New Roman"/>
          <w:kern w:val="0"/>
          <w:sz w:val="24"/>
          <w:szCs w:val="24"/>
          <w:lang w:eastAsia="en-GB"/>
          <w14:ligatures w14:val="none"/>
        </w:rPr>
        <w:t>support</w:t>
      </w:r>
      <w:r w:rsidRPr="006F386E">
        <w:rPr>
          <w:rFonts w:ascii="Times New Roman" w:eastAsia="Times New Roman" w:hAnsi="Times New Roman" w:cs="Times New Roman"/>
          <w:kern w:val="0"/>
          <w:sz w:val="24"/>
          <w:szCs w:val="24"/>
          <w:lang w:eastAsia="en-GB"/>
          <w14:ligatures w14:val="none"/>
        </w:rPr>
        <w:t xml:space="preserve"> service availability during recovery, allowing critical operations to continue with minimal disruption. Following the incident, a detailed post-incident analysis should be performed to </w:t>
      </w:r>
      <w:r w:rsidR="2D10A5D7" w:rsidRPr="006F386E">
        <w:rPr>
          <w:rFonts w:ascii="Times New Roman" w:eastAsia="Times New Roman" w:hAnsi="Times New Roman" w:cs="Times New Roman"/>
          <w:kern w:val="0"/>
          <w:sz w:val="24"/>
          <w:szCs w:val="24"/>
          <w:lang w:eastAsia="en-GB"/>
          <w14:ligatures w14:val="none"/>
        </w:rPr>
        <w:t>show</w:t>
      </w:r>
      <w:r w:rsidRPr="006F386E">
        <w:rPr>
          <w:rFonts w:ascii="Times New Roman" w:eastAsia="Times New Roman" w:hAnsi="Times New Roman" w:cs="Times New Roman"/>
          <w:kern w:val="0"/>
          <w:sz w:val="24"/>
          <w:szCs w:val="24"/>
          <w:lang w:eastAsia="en-GB"/>
          <w14:ligatures w14:val="none"/>
        </w:rPr>
        <w:t xml:space="preserve"> root causes and improve future response strategies. Additionally, MediTrust must fulfil regulatory reporting obligations under relevant frameworks, ensuring transparency while strengthening resilience against future ransomware attacks</w:t>
      </w:r>
      <w:r w:rsidRPr="00C46D75">
        <w:rPr>
          <w:rFonts w:ascii="Times New Roman" w:eastAsia="Times New Roman" w:hAnsi="Times New Roman" w:cs="Times New Roman"/>
          <w:kern w:val="0"/>
          <w:sz w:val="24"/>
          <w:szCs w:val="24"/>
          <w:lang w:eastAsia="en-GB"/>
          <w14:ligatures w14:val="none"/>
        </w:rPr>
        <w:t>.</w:t>
      </w:r>
    </w:p>
    <w:p w14:paraId="0BF0E661" w14:textId="77777777" w:rsidR="00784F7D" w:rsidRPr="00AA241D" w:rsidRDefault="00784F7D" w:rsidP="00AA24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671171" w14:textId="77777777" w:rsidR="008C103F" w:rsidRPr="006F386E" w:rsidRDefault="008C103F" w:rsidP="008C103F">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6F386E">
        <w:rPr>
          <w:rFonts w:ascii="Times New Roman" w:eastAsia="Times New Roman" w:hAnsi="Times New Roman" w:cs="Times New Roman"/>
          <w:b/>
          <w:bCs/>
          <w:kern w:val="0"/>
          <w:sz w:val="24"/>
          <w:szCs w:val="24"/>
          <w:lang w:eastAsia="en-GB"/>
          <w14:ligatures w14:val="none"/>
        </w:rPr>
        <w:t>9. Protection Mechanisms</w:t>
      </w:r>
    </w:p>
    <w:p w14:paraId="04150421" w14:textId="5FAF56CD" w:rsidR="008C103F" w:rsidRPr="006F386E"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386E">
        <w:rPr>
          <w:rFonts w:ascii="Times New Roman" w:eastAsia="Times New Roman" w:hAnsi="Times New Roman" w:cs="Times New Roman"/>
          <w:kern w:val="0"/>
          <w:sz w:val="24"/>
          <w:szCs w:val="24"/>
          <w:lang w:eastAsia="en-GB"/>
          <w14:ligatures w14:val="none"/>
        </w:rPr>
        <w:t xml:space="preserve">Modern security technologies are essential for effectively implementing a Zero Trust architecture within MediTrust’s environment. Identity security should be strengthened through the adoption of phishing-resistant multi-factor authentication, such as FIDO2-based solutions, combined with identity federation to enable secure and seamless access across multiple cloud platforms [17]. These controls significantly reduce the risk of credential compromise, which </w:t>
      </w:r>
      <w:r w:rsidR="1DAB3C1A" w:rsidRPr="006F386E">
        <w:rPr>
          <w:rFonts w:ascii="Times New Roman" w:eastAsia="Times New Roman" w:hAnsi="Times New Roman" w:cs="Times New Roman"/>
          <w:kern w:val="0"/>
          <w:sz w:val="24"/>
          <w:szCs w:val="24"/>
          <w:lang w:eastAsia="en-GB"/>
          <w14:ligatures w14:val="none"/>
        </w:rPr>
        <w:t>is still</w:t>
      </w:r>
      <w:r w:rsidRPr="006F386E">
        <w:rPr>
          <w:rFonts w:ascii="Times New Roman" w:eastAsia="Times New Roman" w:hAnsi="Times New Roman" w:cs="Times New Roman"/>
          <w:kern w:val="0"/>
          <w:sz w:val="24"/>
          <w:szCs w:val="24"/>
          <w:lang w:eastAsia="en-GB"/>
          <w14:ligatures w14:val="none"/>
        </w:rPr>
        <w:t xml:space="preserve"> one of the most common attack vectors in cyber incidents.</w:t>
      </w:r>
    </w:p>
    <w:p w14:paraId="354C24EE" w14:textId="643F406B" w:rsidR="008C103F" w:rsidRPr="006F386E"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386E">
        <w:rPr>
          <w:rFonts w:ascii="Times New Roman" w:eastAsia="Times New Roman" w:hAnsi="Times New Roman" w:cs="Times New Roman"/>
          <w:kern w:val="0"/>
          <w:sz w:val="24"/>
          <w:szCs w:val="24"/>
          <w:lang w:eastAsia="en-GB"/>
          <w14:ligatures w14:val="none"/>
        </w:rPr>
        <w:t xml:space="preserve">Endpoint protection should be enhanced through the deployment of Endpoint Detection and Response (EDR) or Extended Detection and Response (XDR) solutions, which provide real-time threat detection, behavioural analysis, and automated response capabilities [18]. These tools are particularly important in a hybrid working environment, where devices may </w:t>
      </w:r>
      <w:r w:rsidR="3A177491" w:rsidRPr="006F386E">
        <w:rPr>
          <w:rFonts w:ascii="Times New Roman" w:eastAsia="Times New Roman" w:hAnsi="Times New Roman" w:cs="Times New Roman"/>
          <w:kern w:val="0"/>
          <w:sz w:val="24"/>
          <w:szCs w:val="24"/>
          <w:lang w:eastAsia="en-GB"/>
          <w14:ligatures w14:val="none"/>
        </w:rPr>
        <w:t>use</w:t>
      </w:r>
      <w:r w:rsidRPr="006F386E">
        <w:rPr>
          <w:rFonts w:ascii="Times New Roman" w:eastAsia="Times New Roman" w:hAnsi="Times New Roman" w:cs="Times New Roman"/>
          <w:kern w:val="0"/>
          <w:sz w:val="24"/>
          <w:szCs w:val="24"/>
          <w:lang w:eastAsia="en-GB"/>
          <w14:ligatures w14:val="none"/>
        </w:rPr>
        <w:t xml:space="preserve"> outside traditional network boundaries.</w:t>
      </w:r>
    </w:p>
    <w:p w14:paraId="4531881E" w14:textId="1926380D" w:rsidR="008C103F" w:rsidRPr="006F386E" w:rsidRDefault="008C103F" w:rsidP="008C103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386E">
        <w:rPr>
          <w:rFonts w:ascii="Times New Roman" w:eastAsia="Times New Roman" w:hAnsi="Times New Roman" w:cs="Times New Roman"/>
          <w:kern w:val="0"/>
          <w:sz w:val="24"/>
          <w:szCs w:val="24"/>
          <w:lang w:eastAsia="en-GB"/>
          <w14:ligatures w14:val="none"/>
        </w:rPr>
        <w:t xml:space="preserve">In addition, cloud environments should be secured using Cloud Security Posture Management (CSPM) tools to </w:t>
      </w:r>
      <w:r w:rsidR="1BF4FB02" w:rsidRPr="006F386E">
        <w:rPr>
          <w:rFonts w:ascii="Times New Roman" w:eastAsia="Times New Roman" w:hAnsi="Times New Roman" w:cs="Times New Roman"/>
          <w:kern w:val="0"/>
          <w:sz w:val="24"/>
          <w:szCs w:val="24"/>
          <w:lang w:eastAsia="en-GB"/>
          <w14:ligatures w14:val="none"/>
        </w:rPr>
        <w:t>show</w:t>
      </w:r>
      <w:r w:rsidRPr="006F386E">
        <w:rPr>
          <w:rFonts w:ascii="Times New Roman" w:eastAsia="Times New Roman" w:hAnsi="Times New Roman" w:cs="Times New Roman"/>
          <w:kern w:val="0"/>
          <w:sz w:val="24"/>
          <w:szCs w:val="24"/>
          <w:lang w:eastAsia="en-GB"/>
          <w14:ligatures w14:val="none"/>
        </w:rPr>
        <w:t xml:space="preserve"> misconfigurations and enforce compliance with security policies. Security Information and Event Management (SIEM) systems should be implemented to provide centralised monitoring, log analysis, and threat detection. DevSecOps practices should incorporate security testing tools throughout the development lifecycle, ensuring that vulnerabilities are </w:t>
      </w:r>
      <w:r w:rsidR="19771695" w:rsidRPr="006F386E">
        <w:rPr>
          <w:rFonts w:ascii="Times New Roman" w:eastAsia="Times New Roman" w:hAnsi="Times New Roman" w:cs="Times New Roman"/>
          <w:kern w:val="0"/>
          <w:sz w:val="24"/>
          <w:szCs w:val="24"/>
          <w:lang w:eastAsia="en-GB"/>
          <w14:ligatures w14:val="none"/>
        </w:rPr>
        <w:t>shown</w:t>
      </w:r>
      <w:r w:rsidRPr="006F386E">
        <w:rPr>
          <w:rFonts w:ascii="Times New Roman" w:eastAsia="Times New Roman" w:hAnsi="Times New Roman" w:cs="Times New Roman"/>
          <w:kern w:val="0"/>
          <w:sz w:val="24"/>
          <w:szCs w:val="24"/>
          <w:lang w:eastAsia="en-GB"/>
          <w14:ligatures w14:val="none"/>
        </w:rPr>
        <w:t xml:space="preserve"> early. Furthermore, data protection must be reinforced through strong encryption and Data Loss Prevention (DLP) mechanisms, ensuring that sensitive healthcare data always </w:t>
      </w:r>
      <w:r w:rsidR="064162CD" w:rsidRPr="006F386E">
        <w:rPr>
          <w:rFonts w:ascii="Times New Roman" w:eastAsia="Times New Roman" w:hAnsi="Times New Roman" w:cs="Times New Roman"/>
          <w:kern w:val="0"/>
          <w:sz w:val="24"/>
          <w:szCs w:val="24"/>
          <w:lang w:eastAsia="en-GB"/>
          <w14:ligatures w14:val="none"/>
        </w:rPr>
        <w:t>is still</w:t>
      </w:r>
      <w:r w:rsidRPr="006F386E">
        <w:rPr>
          <w:rFonts w:ascii="Times New Roman" w:eastAsia="Times New Roman" w:hAnsi="Times New Roman" w:cs="Times New Roman"/>
          <w:kern w:val="0"/>
          <w:sz w:val="24"/>
          <w:szCs w:val="24"/>
          <w:lang w:eastAsia="en-GB"/>
          <w14:ligatures w14:val="none"/>
        </w:rPr>
        <w:t xml:space="preserve"> secure</w:t>
      </w:r>
      <w:r>
        <w:rPr>
          <w:rFonts w:ascii="Times New Roman" w:eastAsia="Times New Roman" w:hAnsi="Times New Roman" w:cs="Times New Roman"/>
          <w:kern w:val="0"/>
          <w:sz w:val="24"/>
          <w:szCs w:val="24"/>
          <w:lang w:eastAsia="en-GB"/>
          <w14:ligatures w14:val="none"/>
        </w:rPr>
        <w:t>.</w:t>
      </w:r>
    </w:p>
    <w:p w14:paraId="183FAF95" w14:textId="77777777" w:rsidR="008C103F" w:rsidRPr="00C46D75" w:rsidRDefault="008C103F" w:rsidP="008C103F">
      <w:pPr>
        <w:spacing w:after="0" w:line="240" w:lineRule="auto"/>
        <w:rPr>
          <w:rFonts w:ascii="Times New Roman" w:eastAsia="Times New Roman" w:hAnsi="Times New Roman" w:cs="Times New Roman"/>
          <w:kern w:val="0"/>
          <w:sz w:val="24"/>
          <w:szCs w:val="24"/>
          <w:lang w:eastAsia="en-GB"/>
          <w14:ligatures w14:val="none"/>
        </w:rPr>
      </w:pPr>
    </w:p>
    <w:p w14:paraId="5E3FA1F2" w14:textId="77777777" w:rsidR="008C103F" w:rsidRPr="00C46D75" w:rsidRDefault="008C103F" w:rsidP="008C103F">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10. Integrated Security Programme Summary</w:t>
      </w:r>
    </w:p>
    <w:p w14:paraId="57A951E7" w14:textId="1CA18D1F" w:rsidR="00432D24" w:rsidRPr="00AA241D" w:rsidRDefault="008C103F" w:rsidP="008C103F">
      <w:pPr>
        <w:rPr>
          <w:sz w:val="24"/>
          <w:szCs w:val="24"/>
        </w:rPr>
      </w:pPr>
      <w:r w:rsidRPr="00C46D75">
        <w:rPr>
          <w:sz w:val="24"/>
          <w:szCs w:val="24"/>
        </w:rPr>
        <w:t xml:space="preserve">The proposed security programme aligns with industry best practices for cloud and enterprise security [19], [20]. It integrates key elements of Zero Trust architecture, regulatory compliance, risk management, and modern security technologies into a unified and scalable framework. By combining governance structures, clearly defined policies, and advanced protection mechanisms, MediTrust can ensure consistent security across its multi-cloud environment and hybrid workforce. The programme also emphasises continuous monitoring, proactive threat detection, and rapid incident response, which are essential for </w:t>
      </w:r>
      <w:r w:rsidR="534F15A9" w:rsidRPr="342CBA7E">
        <w:rPr>
          <w:sz w:val="24"/>
          <w:szCs w:val="24"/>
        </w:rPr>
        <w:t>supporting</w:t>
      </w:r>
      <w:r w:rsidRPr="00C46D75">
        <w:rPr>
          <w:sz w:val="24"/>
          <w:szCs w:val="24"/>
        </w:rPr>
        <w:t xml:space="preserve"> operational resilience. Ultimately, this integrated approach enhances data protection, supports regulatory obligations, and strengthens trust with healthcare partners and patients.</w:t>
      </w:r>
    </w:p>
    <w:p w14:paraId="6282E8DB" w14:textId="77777777" w:rsidR="008C103F" w:rsidRPr="00C46D75" w:rsidRDefault="008C103F" w:rsidP="008C103F">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Table 1: Summary of Zero Trust Security Programme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53"/>
        <w:gridCol w:w="3768"/>
        <w:gridCol w:w="1845"/>
        <w:gridCol w:w="2790"/>
      </w:tblGrid>
      <w:tr w:rsidR="006D704F" w:rsidRPr="00C46D75" w14:paraId="125DE3AA" w14:textId="77777777" w:rsidTr="00E80A0B">
        <w:trPr>
          <w:tblHeader/>
          <w:tblCellSpacing w:w="15" w:type="dxa"/>
        </w:trPr>
        <w:tc>
          <w:tcPr>
            <w:tcW w:w="0" w:type="auto"/>
            <w:vAlign w:val="center"/>
            <w:hideMark/>
          </w:tcPr>
          <w:p w14:paraId="532C0C7F"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Area</w:t>
            </w:r>
          </w:p>
        </w:tc>
        <w:tc>
          <w:tcPr>
            <w:tcW w:w="0" w:type="auto"/>
            <w:vAlign w:val="center"/>
            <w:hideMark/>
          </w:tcPr>
          <w:p w14:paraId="5BE85667"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Implementation</w:t>
            </w:r>
          </w:p>
        </w:tc>
        <w:tc>
          <w:tcPr>
            <w:tcW w:w="0" w:type="auto"/>
            <w:vAlign w:val="center"/>
            <w:hideMark/>
          </w:tcPr>
          <w:p w14:paraId="7B478754"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Technologies Used</w:t>
            </w:r>
          </w:p>
        </w:tc>
        <w:tc>
          <w:tcPr>
            <w:tcW w:w="0" w:type="auto"/>
            <w:vAlign w:val="center"/>
            <w:hideMark/>
          </w:tcPr>
          <w:p w14:paraId="021FA086" w14:textId="77777777" w:rsidR="008C103F" w:rsidRPr="00C46D75" w:rsidRDefault="008C103F" w:rsidP="00E80A0B">
            <w:pPr>
              <w:spacing w:after="0" w:line="240" w:lineRule="auto"/>
              <w:jc w:val="center"/>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Security Benefit</w:t>
            </w:r>
          </w:p>
        </w:tc>
      </w:tr>
      <w:tr w:rsidR="006D704F" w:rsidRPr="00C46D75" w14:paraId="4485C1E6" w14:textId="77777777" w:rsidTr="00E80A0B">
        <w:trPr>
          <w:tblCellSpacing w:w="15" w:type="dxa"/>
        </w:trPr>
        <w:tc>
          <w:tcPr>
            <w:tcW w:w="0" w:type="auto"/>
            <w:vAlign w:val="center"/>
            <w:hideMark/>
          </w:tcPr>
          <w:p w14:paraId="36F39FF7"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Organisation Structure</w:t>
            </w:r>
          </w:p>
        </w:tc>
        <w:tc>
          <w:tcPr>
            <w:tcW w:w="0" w:type="auto"/>
            <w:vAlign w:val="center"/>
            <w:hideMark/>
          </w:tcPr>
          <w:p w14:paraId="3B4CA1D8"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Defined roles (CISO, Architect, DevSecOps)</w:t>
            </w:r>
          </w:p>
        </w:tc>
        <w:tc>
          <w:tcPr>
            <w:tcW w:w="0" w:type="auto"/>
            <w:vAlign w:val="center"/>
            <w:hideMark/>
          </w:tcPr>
          <w:p w14:paraId="05E9B084"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Governance model</w:t>
            </w:r>
          </w:p>
        </w:tc>
        <w:tc>
          <w:tcPr>
            <w:tcW w:w="0" w:type="auto"/>
            <w:vAlign w:val="center"/>
            <w:hideMark/>
          </w:tcPr>
          <w:p w14:paraId="712571A5"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Clear accountability</w:t>
            </w:r>
          </w:p>
        </w:tc>
      </w:tr>
      <w:tr w:rsidR="006D704F" w:rsidRPr="00C46D75" w14:paraId="06450A2E" w14:textId="77777777" w:rsidTr="00E80A0B">
        <w:trPr>
          <w:tblCellSpacing w:w="15" w:type="dxa"/>
        </w:trPr>
        <w:tc>
          <w:tcPr>
            <w:tcW w:w="0" w:type="auto"/>
            <w:vAlign w:val="center"/>
            <w:hideMark/>
          </w:tcPr>
          <w:p w14:paraId="5A6C713D"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AI Security</w:t>
            </w:r>
          </w:p>
        </w:tc>
        <w:tc>
          <w:tcPr>
            <w:tcW w:w="0" w:type="auto"/>
            <w:vAlign w:val="center"/>
            <w:hideMark/>
          </w:tcPr>
          <w:p w14:paraId="0D412574"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Data validation, model testing</w:t>
            </w:r>
          </w:p>
        </w:tc>
        <w:tc>
          <w:tcPr>
            <w:tcW w:w="0" w:type="auto"/>
            <w:vAlign w:val="center"/>
            <w:hideMark/>
          </w:tcPr>
          <w:p w14:paraId="17468306"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Secure AI pipelines</w:t>
            </w:r>
          </w:p>
        </w:tc>
        <w:tc>
          <w:tcPr>
            <w:tcW w:w="0" w:type="auto"/>
            <w:vAlign w:val="center"/>
            <w:hideMark/>
          </w:tcPr>
          <w:p w14:paraId="071D3348"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Prevents poisoning attacks</w:t>
            </w:r>
          </w:p>
        </w:tc>
      </w:tr>
      <w:tr w:rsidR="006D704F" w:rsidRPr="00C46D75" w14:paraId="10538E10" w14:textId="77777777" w:rsidTr="00E80A0B">
        <w:trPr>
          <w:tblCellSpacing w:w="15" w:type="dxa"/>
        </w:trPr>
        <w:tc>
          <w:tcPr>
            <w:tcW w:w="0" w:type="auto"/>
            <w:vAlign w:val="center"/>
            <w:hideMark/>
          </w:tcPr>
          <w:p w14:paraId="21A442F5"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SaaS Security</w:t>
            </w:r>
          </w:p>
        </w:tc>
        <w:tc>
          <w:tcPr>
            <w:tcW w:w="0" w:type="auto"/>
            <w:vAlign w:val="center"/>
            <w:hideMark/>
          </w:tcPr>
          <w:p w14:paraId="35A965FB"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SSO, MFA, RBAC</w:t>
            </w:r>
          </w:p>
        </w:tc>
        <w:tc>
          <w:tcPr>
            <w:tcW w:w="0" w:type="auto"/>
            <w:vAlign w:val="center"/>
            <w:hideMark/>
          </w:tcPr>
          <w:p w14:paraId="3EBA11C5"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SSPM tools</w:t>
            </w:r>
          </w:p>
        </w:tc>
        <w:tc>
          <w:tcPr>
            <w:tcW w:w="0" w:type="auto"/>
            <w:vAlign w:val="center"/>
            <w:hideMark/>
          </w:tcPr>
          <w:p w14:paraId="03488644"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Reduces misconfiguration risks</w:t>
            </w:r>
          </w:p>
        </w:tc>
      </w:tr>
      <w:tr w:rsidR="006D704F" w:rsidRPr="00C46D75" w14:paraId="382A49E1" w14:textId="77777777" w:rsidTr="00E80A0B">
        <w:trPr>
          <w:tblCellSpacing w:w="15" w:type="dxa"/>
        </w:trPr>
        <w:tc>
          <w:tcPr>
            <w:tcW w:w="0" w:type="auto"/>
            <w:vAlign w:val="center"/>
            <w:hideMark/>
          </w:tcPr>
          <w:p w14:paraId="707DA77F"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BYOD Security</w:t>
            </w:r>
          </w:p>
        </w:tc>
        <w:tc>
          <w:tcPr>
            <w:tcW w:w="0" w:type="auto"/>
            <w:vAlign w:val="center"/>
            <w:hideMark/>
          </w:tcPr>
          <w:p w14:paraId="1F8FA003"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Device compliance, remote wipe</w:t>
            </w:r>
          </w:p>
        </w:tc>
        <w:tc>
          <w:tcPr>
            <w:tcW w:w="0" w:type="auto"/>
            <w:vAlign w:val="center"/>
            <w:hideMark/>
          </w:tcPr>
          <w:p w14:paraId="63FA43B7"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MDM, EDR</w:t>
            </w:r>
          </w:p>
        </w:tc>
        <w:tc>
          <w:tcPr>
            <w:tcW w:w="0" w:type="auto"/>
            <w:vAlign w:val="center"/>
            <w:hideMark/>
          </w:tcPr>
          <w:p w14:paraId="1304BF44"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Secures hybrid workforce</w:t>
            </w:r>
          </w:p>
        </w:tc>
      </w:tr>
      <w:tr w:rsidR="006D704F" w:rsidRPr="00C46D75" w14:paraId="266B0B39" w14:textId="77777777" w:rsidTr="00E80A0B">
        <w:trPr>
          <w:tblCellSpacing w:w="15" w:type="dxa"/>
        </w:trPr>
        <w:tc>
          <w:tcPr>
            <w:tcW w:w="0" w:type="auto"/>
            <w:vAlign w:val="center"/>
            <w:hideMark/>
          </w:tcPr>
          <w:p w14:paraId="4960FCB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DORA Compliance</w:t>
            </w:r>
          </w:p>
        </w:tc>
        <w:tc>
          <w:tcPr>
            <w:tcW w:w="0" w:type="auto"/>
            <w:vAlign w:val="center"/>
            <w:hideMark/>
          </w:tcPr>
          <w:p w14:paraId="28CC4A0E"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Resilience testing, monitoring</w:t>
            </w:r>
          </w:p>
        </w:tc>
        <w:tc>
          <w:tcPr>
            <w:tcW w:w="0" w:type="auto"/>
            <w:vAlign w:val="center"/>
            <w:hideMark/>
          </w:tcPr>
          <w:p w14:paraId="4041D6CC"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SIEM, testing tools</w:t>
            </w:r>
          </w:p>
        </w:tc>
        <w:tc>
          <w:tcPr>
            <w:tcW w:w="0" w:type="auto"/>
            <w:vAlign w:val="center"/>
            <w:hideMark/>
          </w:tcPr>
          <w:p w14:paraId="38DA368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Ensures operational resilience</w:t>
            </w:r>
          </w:p>
        </w:tc>
      </w:tr>
      <w:tr w:rsidR="006D704F" w:rsidRPr="00C46D75" w14:paraId="3013AAED" w14:textId="77777777" w:rsidTr="00E80A0B">
        <w:trPr>
          <w:tblCellSpacing w:w="15" w:type="dxa"/>
        </w:trPr>
        <w:tc>
          <w:tcPr>
            <w:tcW w:w="0" w:type="auto"/>
            <w:vAlign w:val="center"/>
            <w:hideMark/>
          </w:tcPr>
          <w:p w14:paraId="739A614C"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NIS2 Compliance</w:t>
            </w:r>
          </w:p>
        </w:tc>
        <w:tc>
          <w:tcPr>
            <w:tcW w:w="0" w:type="auto"/>
            <w:vAlign w:val="center"/>
            <w:hideMark/>
          </w:tcPr>
          <w:p w14:paraId="0493876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Incident reporting, supply chain controls</w:t>
            </w:r>
          </w:p>
        </w:tc>
        <w:tc>
          <w:tcPr>
            <w:tcW w:w="0" w:type="auto"/>
            <w:vAlign w:val="center"/>
            <w:hideMark/>
          </w:tcPr>
          <w:p w14:paraId="2ABEA914"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IR frameworks</w:t>
            </w:r>
          </w:p>
        </w:tc>
        <w:tc>
          <w:tcPr>
            <w:tcW w:w="0" w:type="auto"/>
            <w:vAlign w:val="center"/>
            <w:hideMark/>
          </w:tcPr>
          <w:p w14:paraId="6F692740"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Meets legal obligations</w:t>
            </w:r>
          </w:p>
        </w:tc>
      </w:tr>
      <w:tr w:rsidR="006D704F" w:rsidRPr="00C46D75" w14:paraId="3A7EF124" w14:textId="77777777" w:rsidTr="00E80A0B">
        <w:trPr>
          <w:tblCellSpacing w:w="15" w:type="dxa"/>
        </w:trPr>
        <w:tc>
          <w:tcPr>
            <w:tcW w:w="0" w:type="auto"/>
            <w:vAlign w:val="center"/>
            <w:hideMark/>
          </w:tcPr>
          <w:p w14:paraId="7D91167E"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Governance</w:t>
            </w:r>
          </w:p>
        </w:tc>
        <w:tc>
          <w:tcPr>
            <w:tcW w:w="0" w:type="auto"/>
            <w:vAlign w:val="center"/>
            <w:hideMark/>
          </w:tcPr>
          <w:p w14:paraId="4218DC28"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Risk-based framework</w:t>
            </w:r>
          </w:p>
        </w:tc>
        <w:tc>
          <w:tcPr>
            <w:tcW w:w="0" w:type="auto"/>
            <w:vAlign w:val="center"/>
            <w:hideMark/>
          </w:tcPr>
          <w:p w14:paraId="4EC2B216"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CSF 2.0</w:t>
            </w:r>
          </w:p>
        </w:tc>
        <w:tc>
          <w:tcPr>
            <w:tcW w:w="0" w:type="auto"/>
            <w:vAlign w:val="center"/>
            <w:hideMark/>
          </w:tcPr>
          <w:p w14:paraId="1E36E1BE"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Aligns with business goals</w:t>
            </w:r>
          </w:p>
        </w:tc>
      </w:tr>
      <w:tr w:rsidR="006D704F" w:rsidRPr="00C46D75" w14:paraId="4612C8F6" w14:textId="77777777" w:rsidTr="00E80A0B">
        <w:trPr>
          <w:tblCellSpacing w:w="15" w:type="dxa"/>
        </w:trPr>
        <w:tc>
          <w:tcPr>
            <w:tcW w:w="0" w:type="auto"/>
            <w:vAlign w:val="center"/>
            <w:hideMark/>
          </w:tcPr>
          <w:p w14:paraId="32F5D7FB"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Risk Management</w:t>
            </w:r>
          </w:p>
        </w:tc>
        <w:tc>
          <w:tcPr>
            <w:tcW w:w="0" w:type="auto"/>
            <w:vAlign w:val="center"/>
            <w:hideMark/>
          </w:tcPr>
          <w:p w14:paraId="1C6B9339"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Supply chain and cloud monitoring</w:t>
            </w:r>
          </w:p>
        </w:tc>
        <w:tc>
          <w:tcPr>
            <w:tcW w:w="0" w:type="auto"/>
            <w:vAlign w:val="center"/>
            <w:hideMark/>
          </w:tcPr>
          <w:p w14:paraId="65FBBFC8"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SCA, CSPM</w:t>
            </w:r>
          </w:p>
        </w:tc>
        <w:tc>
          <w:tcPr>
            <w:tcW w:w="0" w:type="auto"/>
            <w:vAlign w:val="center"/>
            <w:hideMark/>
          </w:tcPr>
          <w:p w14:paraId="05F93FD7"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Reduces attack surface</w:t>
            </w:r>
          </w:p>
        </w:tc>
      </w:tr>
      <w:tr w:rsidR="006D704F" w:rsidRPr="00C46D75" w14:paraId="14CDE6D6" w14:textId="77777777" w:rsidTr="00E80A0B">
        <w:trPr>
          <w:tblCellSpacing w:w="15" w:type="dxa"/>
        </w:trPr>
        <w:tc>
          <w:tcPr>
            <w:tcW w:w="0" w:type="auto"/>
            <w:vAlign w:val="center"/>
            <w:hideMark/>
          </w:tcPr>
          <w:p w14:paraId="59B46580"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Disaster Recovery</w:t>
            </w:r>
          </w:p>
        </w:tc>
        <w:tc>
          <w:tcPr>
            <w:tcW w:w="0" w:type="auto"/>
            <w:vAlign w:val="center"/>
            <w:hideMark/>
          </w:tcPr>
          <w:p w14:paraId="78A6BB0F"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Backup and failover systems</w:t>
            </w:r>
          </w:p>
        </w:tc>
        <w:tc>
          <w:tcPr>
            <w:tcW w:w="0" w:type="auto"/>
            <w:vAlign w:val="center"/>
            <w:hideMark/>
          </w:tcPr>
          <w:p w14:paraId="2F632D4E"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Immutable backups</w:t>
            </w:r>
          </w:p>
        </w:tc>
        <w:tc>
          <w:tcPr>
            <w:tcW w:w="0" w:type="auto"/>
            <w:vAlign w:val="center"/>
            <w:hideMark/>
          </w:tcPr>
          <w:p w14:paraId="0ACDD0BF"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Ensures business continuity</w:t>
            </w:r>
          </w:p>
        </w:tc>
      </w:tr>
      <w:tr w:rsidR="006D704F" w:rsidRPr="00C46D75" w14:paraId="1EF321A5" w14:textId="77777777" w:rsidTr="00E80A0B">
        <w:trPr>
          <w:tblCellSpacing w:w="15" w:type="dxa"/>
        </w:trPr>
        <w:tc>
          <w:tcPr>
            <w:tcW w:w="0" w:type="auto"/>
            <w:vAlign w:val="center"/>
            <w:hideMark/>
          </w:tcPr>
          <w:p w14:paraId="3A1D631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Protection Controls</w:t>
            </w:r>
          </w:p>
        </w:tc>
        <w:tc>
          <w:tcPr>
            <w:tcW w:w="0" w:type="auto"/>
            <w:vAlign w:val="center"/>
            <w:hideMark/>
          </w:tcPr>
          <w:p w14:paraId="146FC19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MFA, SIEM, EDR, encryption</w:t>
            </w:r>
          </w:p>
        </w:tc>
        <w:tc>
          <w:tcPr>
            <w:tcW w:w="0" w:type="auto"/>
            <w:vAlign w:val="center"/>
            <w:hideMark/>
          </w:tcPr>
          <w:p w14:paraId="1E62ECAA"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XDR, UEBA</w:t>
            </w:r>
          </w:p>
        </w:tc>
        <w:tc>
          <w:tcPr>
            <w:tcW w:w="0" w:type="auto"/>
            <w:vAlign w:val="center"/>
            <w:hideMark/>
          </w:tcPr>
          <w:p w14:paraId="541E06AE" w14:textId="77777777" w:rsidR="008C103F" w:rsidRPr="00C46D75" w:rsidRDefault="008C103F" w:rsidP="00E80A0B">
            <w:pPr>
              <w:spacing w:after="0" w:line="240" w:lineRule="auto"/>
              <w:rPr>
                <w:rFonts w:ascii="Times New Roman" w:eastAsia="Times New Roman" w:hAnsi="Times New Roman" w:cs="Times New Roman"/>
                <w:kern w:val="0"/>
                <w:sz w:val="24"/>
                <w:szCs w:val="24"/>
                <w:lang w:eastAsia="en-GB"/>
                <w14:ligatures w14:val="none"/>
              </w:rPr>
            </w:pPr>
            <w:r w:rsidRPr="00C46D75">
              <w:rPr>
                <w:rFonts w:ascii="Times New Roman" w:eastAsia="Times New Roman" w:hAnsi="Times New Roman" w:cs="Times New Roman"/>
                <w:kern w:val="0"/>
                <w:sz w:val="24"/>
                <w:szCs w:val="24"/>
                <w:lang w:eastAsia="en-GB"/>
                <w14:ligatures w14:val="none"/>
              </w:rPr>
              <w:t>Provides layered defence</w:t>
            </w:r>
          </w:p>
        </w:tc>
      </w:tr>
    </w:tbl>
    <w:p w14:paraId="68017CC5" w14:textId="77777777" w:rsidR="008C103F" w:rsidRDefault="008C103F" w:rsidP="008C103F">
      <w:pPr>
        <w:spacing w:after="0" w:line="240" w:lineRule="auto"/>
        <w:rPr>
          <w:rFonts w:ascii="Times New Roman" w:eastAsia="Times New Roman" w:hAnsi="Times New Roman" w:cs="Times New Roman"/>
          <w:kern w:val="0"/>
          <w:sz w:val="24"/>
          <w:szCs w:val="24"/>
          <w:lang w:eastAsia="en-GB"/>
          <w14:ligatures w14:val="none"/>
        </w:rPr>
      </w:pPr>
    </w:p>
    <w:p w14:paraId="1C1C87BB" w14:textId="77777777" w:rsidR="008C103F" w:rsidRPr="00C46D75" w:rsidRDefault="008C103F" w:rsidP="008C103F">
      <w:pPr>
        <w:spacing w:after="0" w:line="240" w:lineRule="auto"/>
        <w:rPr>
          <w:rFonts w:ascii="Times New Roman" w:eastAsia="Times New Roman" w:hAnsi="Times New Roman" w:cs="Times New Roman"/>
          <w:kern w:val="0"/>
          <w:sz w:val="24"/>
          <w:szCs w:val="24"/>
          <w:lang w:eastAsia="en-GB"/>
          <w14:ligatures w14:val="none"/>
        </w:rPr>
      </w:pPr>
    </w:p>
    <w:p w14:paraId="0D8FD592" w14:textId="77777777" w:rsidR="008C103F" w:rsidRPr="00C46D75" w:rsidRDefault="008C103F" w:rsidP="008C103F">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46D75">
        <w:rPr>
          <w:rFonts w:ascii="Times New Roman" w:eastAsia="Times New Roman" w:hAnsi="Times New Roman" w:cs="Times New Roman"/>
          <w:b/>
          <w:bCs/>
          <w:kern w:val="0"/>
          <w:sz w:val="24"/>
          <w:szCs w:val="24"/>
          <w:lang w:eastAsia="en-GB"/>
          <w14:ligatures w14:val="none"/>
        </w:rPr>
        <w:t>11. Conclusion</w:t>
      </w:r>
    </w:p>
    <w:p w14:paraId="62010433" w14:textId="77777777" w:rsidR="008C103F" w:rsidRDefault="008C103F" w:rsidP="008C103F">
      <w:pPr>
        <w:pStyle w:val="NormalWeb"/>
      </w:pPr>
      <w:r>
        <w:t>In conclusion, MediTrust Analytics Ltd must adopt a comprehensive and forward-looking security strategy to address the challenges associated with its expansion into the EU. The proposed Zero Trust–aligned security programme provides a robust framework that integrates governance, compliance, risk management, and advanced security technologies. This approach ensures that security is embedded across all layers of the organisation, rather than treated as a standalone function.</w:t>
      </w:r>
    </w:p>
    <w:p w14:paraId="5C0B0147" w14:textId="16699F16" w:rsidR="008C103F" w:rsidRDefault="008C103F" w:rsidP="008C103F">
      <w:pPr>
        <w:pStyle w:val="NormalWeb"/>
      </w:pPr>
      <w:r>
        <w:t xml:space="preserve">By implementing this programme, MediTrust can protect sensitive healthcare data, </w:t>
      </w:r>
      <w:r w:rsidR="586432D0">
        <w:t>follow</w:t>
      </w:r>
      <w:r>
        <w:t xml:space="preserve"> regulatory requirements, and ensure operational resilience. The integration of structured processes, as illustrated in Figure 1, and the </w:t>
      </w:r>
      <w:r w:rsidR="0F2CAF6C">
        <w:t>merged</w:t>
      </w:r>
      <w:r>
        <w:t xml:space="preserve"> overview in Table 1, </w:t>
      </w:r>
      <w:r w:rsidR="455EB4A7">
        <w:t>proves</w:t>
      </w:r>
      <w:r>
        <w:t xml:space="preserve"> a strategic and practical approach to cybersecurity. Furthermore, the adoption of continuous monitoring, identity-based access controls, and proactive risk management enables the organisation to respond effectively to evolving cyber threats.</w:t>
      </w:r>
    </w:p>
    <w:p w14:paraId="2D3CD816" w14:textId="77777777" w:rsidR="008C103F" w:rsidRDefault="008C103F" w:rsidP="008C103F">
      <w:pPr>
        <w:pStyle w:val="NormalWeb"/>
      </w:pPr>
      <w:r>
        <w:t>Aligning security initiatives with recognised frameworks and regulatory requirements enhances organisational accountability and supports long-term sustainability. As cyber threats continue to grow in complexity, MediTrust must remain adaptable and continuously improve its security posture. Ultimately, this approach strengthens trust among patients, healthcare providers, and regulators, positioning MediTrust for sustainable growth and innovation in the highly regulated and competitive EU healthcare market.</w:t>
      </w:r>
    </w:p>
    <w:p w14:paraId="123A8EEC" w14:textId="77777777" w:rsidR="008C103F" w:rsidRDefault="008C103F" w:rsidP="008C103F">
      <w:pPr>
        <w:pStyle w:val="NormalWeb"/>
      </w:pPr>
    </w:p>
    <w:p w14:paraId="4707B807" w14:textId="77777777" w:rsidR="00AA241D" w:rsidRDefault="00AA241D" w:rsidP="008C103F">
      <w:pPr>
        <w:pStyle w:val="NormalWeb"/>
      </w:pPr>
    </w:p>
    <w:p w14:paraId="404A5ABB" w14:textId="77777777" w:rsidR="00AA241D" w:rsidRDefault="00AA241D" w:rsidP="008C103F">
      <w:pPr>
        <w:pStyle w:val="NormalWeb"/>
      </w:pPr>
    </w:p>
    <w:p w14:paraId="0C74E730" w14:textId="77777777" w:rsidR="00AA241D" w:rsidRPr="00C46D75" w:rsidRDefault="00AA241D" w:rsidP="008C103F">
      <w:pPr>
        <w:pStyle w:val="NormalWeb"/>
      </w:pPr>
    </w:p>
    <w:p w14:paraId="63FA6826" w14:textId="61EC99D2" w:rsidR="00EB72F1" w:rsidRPr="00C46D75" w:rsidRDefault="00626C60" w:rsidP="00AA241D">
      <w:pPr>
        <w:pStyle w:val="NormalWeb"/>
        <w:rPr>
          <w:b/>
          <w:bCs/>
        </w:rPr>
      </w:pPr>
      <w:r w:rsidRPr="00C46D75">
        <w:rPr>
          <w:b/>
          <w:bCs/>
        </w:rPr>
        <w:t>References</w:t>
      </w:r>
    </w:p>
    <w:p w14:paraId="5330F8D4" w14:textId="6D4750FA"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 European Union, </w:t>
      </w:r>
      <w:r w:rsidRPr="00EB72F1">
        <w:rPr>
          <w:rFonts w:ascii="Times New Roman" w:eastAsia="Times New Roman" w:hAnsi="Times New Roman" w:cs="Times New Roman"/>
          <w:i/>
          <w:iCs/>
          <w:kern w:val="0"/>
          <w:sz w:val="24"/>
          <w:szCs w:val="24"/>
          <w:lang w:eastAsia="en-GB"/>
          <w14:ligatures w14:val="none"/>
        </w:rPr>
        <w:t>General Data Protection Regulation (GDPR)</w:t>
      </w:r>
      <w:r w:rsidRPr="00EB72F1">
        <w:rPr>
          <w:rFonts w:ascii="Times New Roman" w:eastAsia="Times New Roman" w:hAnsi="Times New Roman" w:cs="Times New Roman"/>
          <w:kern w:val="0"/>
          <w:sz w:val="24"/>
          <w:szCs w:val="24"/>
          <w:lang w:eastAsia="en-GB"/>
          <w14:ligatures w14:val="none"/>
        </w:rPr>
        <w:t>, Regulation (EU) 2016/679, 2016.</w:t>
      </w:r>
    </w:p>
    <w:p w14:paraId="18C6B6C9"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[2] European Commission, </w:t>
      </w:r>
      <w:r w:rsidRPr="00EB72F1">
        <w:rPr>
          <w:rFonts w:ascii="Times New Roman" w:eastAsia="Times New Roman" w:hAnsi="Times New Roman" w:cs="Times New Roman"/>
          <w:i/>
          <w:iCs/>
          <w:kern w:val="0"/>
          <w:sz w:val="24"/>
          <w:szCs w:val="24"/>
          <w:lang w:eastAsia="en-GB"/>
          <w14:ligatures w14:val="none"/>
        </w:rPr>
        <w:t>The Digital Operational Resilience Act (DORA)</w:t>
      </w:r>
      <w:r w:rsidRPr="00EB72F1">
        <w:rPr>
          <w:rFonts w:ascii="Times New Roman" w:eastAsia="Times New Roman" w:hAnsi="Times New Roman" w:cs="Times New Roman"/>
          <w:kern w:val="0"/>
          <w:sz w:val="24"/>
          <w:szCs w:val="24"/>
          <w:lang w:eastAsia="en-GB"/>
          <w14:ligatures w14:val="none"/>
        </w:rPr>
        <w:t>, 2022.</w:t>
      </w:r>
    </w:p>
    <w:p w14:paraId="468F921C"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[3] National Institute of Standards and Technology, </w:t>
      </w:r>
      <w:r w:rsidRPr="00EB72F1">
        <w:rPr>
          <w:rFonts w:ascii="Times New Roman" w:eastAsia="Times New Roman" w:hAnsi="Times New Roman" w:cs="Times New Roman"/>
          <w:i/>
          <w:iCs/>
          <w:kern w:val="0"/>
          <w:sz w:val="24"/>
          <w:szCs w:val="24"/>
          <w:lang w:eastAsia="en-GB"/>
          <w14:ligatures w14:val="none"/>
        </w:rPr>
        <w:t>Zero Trust Architecture</w:t>
      </w:r>
      <w:r w:rsidRPr="00EB72F1">
        <w:rPr>
          <w:rFonts w:ascii="Times New Roman" w:eastAsia="Times New Roman" w:hAnsi="Times New Roman" w:cs="Times New Roman"/>
          <w:kern w:val="0"/>
          <w:sz w:val="24"/>
          <w:szCs w:val="24"/>
          <w:lang w:eastAsia="en-GB"/>
          <w14:ligatures w14:val="none"/>
        </w:rPr>
        <w:t>, NIST SP 800-207, 2020.</w:t>
      </w:r>
    </w:p>
    <w:p w14:paraId="0CE50B60"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[4] Microsoft, </w:t>
      </w:r>
      <w:r w:rsidRPr="00EB72F1">
        <w:rPr>
          <w:rFonts w:ascii="Times New Roman" w:eastAsia="Times New Roman" w:hAnsi="Times New Roman" w:cs="Times New Roman"/>
          <w:i/>
          <w:iCs/>
          <w:kern w:val="0"/>
          <w:sz w:val="24"/>
          <w:szCs w:val="24"/>
          <w:lang w:eastAsia="en-GB"/>
          <w14:ligatures w14:val="none"/>
        </w:rPr>
        <w:t>Zero Trust Security Model</w:t>
      </w:r>
      <w:r w:rsidRPr="00EB72F1">
        <w:rPr>
          <w:rFonts w:ascii="Times New Roman" w:eastAsia="Times New Roman" w:hAnsi="Times New Roman" w:cs="Times New Roman"/>
          <w:kern w:val="0"/>
          <w:sz w:val="24"/>
          <w:szCs w:val="24"/>
          <w:lang w:eastAsia="en-GB"/>
          <w14:ligatures w14:val="none"/>
        </w:rPr>
        <w:t>, Microsoft Security Documentation, 2023.</w:t>
      </w:r>
    </w:p>
    <w:p w14:paraId="03FD84DF"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[5] ISACA, </w:t>
      </w:r>
      <w:r w:rsidRPr="00EB72F1">
        <w:rPr>
          <w:rFonts w:ascii="Times New Roman" w:eastAsia="Times New Roman" w:hAnsi="Times New Roman" w:cs="Times New Roman"/>
          <w:i/>
          <w:iCs/>
          <w:kern w:val="0"/>
          <w:sz w:val="24"/>
          <w:szCs w:val="24"/>
          <w:lang w:eastAsia="en-GB"/>
          <w14:ligatures w14:val="none"/>
        </w:rPr>
        <w:t>COBIT 2019 Framework: Governance and Management Objectives</w:t>
      </w:r>
      <w:r w:rsidRPr="00EB72F1">
        <w:rPr>
          <w:rFonts w:ascii="Times New Roman" w:eastAsia="Times New Roman" w:hAnsi="Times New Roman" w:cs="Times New Roman"/>
          <w:kern w:val="0"/>
          <w:sz w:val="24"/>
          <w:szCs w:val="24"/>
          <w:lang w:eastAsia="en-GB"/>
          <w14:ligatures w14:val="none"/>
        </w:rPr>
        <w:t>, 2019.</w:t>
      </w:r>
    </w:p>
    <w:p w14:paraId="2FDF05C0"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[6] ISC2, </w:t>
      </w:r>
      <w:r w:rsidRPr="00EB72F1">
        <w:rPr>
          <w:rFonts w:ascii="Times New Roman" w:eastAsia="Times New Roman" w:hAnsi="Times New Roman" w:cs="Times New Roman"/>
          <w:i/>
          <w:iCs/>
          <w:kern w:val="0"/>
          <w:sz w:val="24"/>
          <w:szCs w:val="24"/>
          <w:lang w:eastAsia="en-GB"/>
          <w14:ligatures w14:val="none"/>
        </w:rPr>
        <w:t>Certified Information Systems Security Professional (CISSP) Common Body of Knowledge</w:t>
      </w:r>
      <w:r w:rsidRPr="00EB72F1">
        <w:rPr>
          <w:rFonts w:ascii="Times New Roman" w:eastAsia="Times New Roman" w:hAnsi="Times New Roman" w:cs="Times New Roman"/>
          <w:kern w:val="0"/>
          <w:sz w:val="24"/>
          <w:szCs w:val="24"/>
          <w:lang w:eastAsia="en-GB"/>
          <w14:ligatures w14:val="none"/>
        </w:rPr>
        <w:t>, 2021.</w:t>
      </w:r>
    </w:p>
    <w:p w14:paraId="7453FD92"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[7] ISO, </w:t>
      </w:r>
      <w:r w:rsidRPr="00EB72F1">
        <w:rPr>
          <w:rFonts w:ascii="Times New Roman" w:eastAsia="Times New Roman" w:hAnsi="Times New Roman" w:cs="Times New Roman"/>
          <w:i/>
          <w:iCs/>
          <w:kern w:val="0"/>
          <w:sz w:val="24"/>
          <w:szCs w:val="24"/>
          <w:lang w:eastAsia="en-GB"/>
          <w14:ligatures w14:val="none"/>
        </w:rPr>
        <w:t>ISO/IEC 27001: Information Security Management Systems</w:t>
      </w:r>
      <w:r w:rsidRPr="00EB72F1">
        <w:rPr>
          <w:rFonts w:ascii="Times New Roman" w:eastAsia="Times New Roman" w:hAnsi="Times New Roman" w:cs="Times New Roman"/>
          <w:kern w:val="0"/>
          <w:sz w:val="24"/>
          <w:szCs w:val="24"/>
          <w:lang w:eastAsia="en-GB"/>
          <w14:ligatures w14:val="none"/>
        </w:rPr>
        <w:t>, 2022.</w:t>
      </w:r>
    </w:p>
    <w:p w14:paraId="5533AD05"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[8] ISO, </w:t>
      </w:r>
      <w:r w:rsidRPr="00EB72F1">
        <w:rPr>
          <w:rFonts w:ascii="Times New Roman" w:eastAsia="Times New Roman" w:hAnsi="Times New Roman" w:cs="Times New Roman"/>
          <w:i/>
          <w:iCs/>
          <w:kern w:val="0"/>
          <w:sz w:val="24"/>
          <w:szCs w:val="24"/>
          <w:lang w:eastAsia="en-GB"/>
          <w14:ligatures w14:val="none"/>
        </w:rPr>
        <w:t>ISO/IEC 27002: Code of Practice for Information Security Controls</w:t>
      </w:r>
      <w:r w:rsidRPr="00EB72F1">
        <w:rPr>
          <w:rFonts w:ascii="Times New Roman" w:eastAsia="Times New Roman" w:hAnsi="Times New Roman" w:cs="Times New Roman"/>
          <w:kern w:val="0"/>
          <w:sz w:val="24"/>
          <w:szCs w:val="24"/>
          <w:lang w:eastAsia="en-GB"/>
          <w14:ligatures w14:val="none"/>
        </w:rPr>
        <w:t>, 2022.</w:t>
      </w:r>
    </w:p>
    <w:p w14:paraId="774ED99F"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[9] European Union, </w:t>
      </w:r>
      <w:r w:rsidRPr="00EB72F1">
        <w:rPr>
          <w:rFonts w:ascii="Times New Roman" w:eastAsia="Times New Roman" w:hAnsi="Times New Roman" w:cs="Times New Roman"/>
          <w:i/>
          <w:iCs/>
          <w:kern w:val="0"/>
          <w:sz w:val="24"/>
          <w:szCs w:val="24"/>
          <w:lang w:eastAsia="en-GB"/>
          <w14:ligatures w14:val="none"/>
        </w:rPr>
        <w:t>Directive (EU) 2022/2555 (NIS2 Directive)</w:t>
      </w:r>
      <w:r w:rsidRPr="00EB72F1">
        <w:rPr>
          <w:rFonts w:ascii="Times New Roman" w:eastAsia="Times New Roman" w:hAnsi="Times New Roman" w:cs="Times New Roman"/>
          <w:kern w:val="0"/>
          <w:sz w:val="24"/>
          <w:szCs w:val="24"/>
          <w:lang w:eastAsia="en-GB"/>
          <w14:ligatures w14:val="none"/>
        </w:rPr>
        <w:t>, 2022.</w:t>
      </w:r>
    </w:p>
    <w:p w14:paraId="26FF939D"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[10] European Banking Authority, </w:t>
      </w:r>
      <w:r w:rsidRPr="00EB72F1">
        <w:rPr>
          <w:rFonts w:ascii="Times New Roman" w:eastAsia="Times New Roman" w:hAnsi="Times New Roman" w:cs="Times New Roman"/>
          <w:i/>
          <w:iCs/>
          <w:kern w:val="0"/>
          <w:sz w:val="24"/>
          <w:szCs w:val="24"/>
          <w:lang w:eastAsia="en-GB"/>
          <w14:ligatures w14:val="none"/>
        </w:rPr>
        <w:t>Guidelines on ICT and Security Risk Management</w:t>
      </w:r>
      <w:r w:rsidRPr="00EB72F1">
        <w:rPr>
          <w:rFonts w:ascii="Times New Roman" w:eastAsia="Times New Roman" w:hAnsi="Times New Roman" w:cs="Times New Roman"/>
          <w:kern w:val="0"/>
          <w:sz w:val="24"/>
          <w:szCs w:val="24"/>
          <w:lang w:eastAsia="en-GB"/>
          <w14:ligatures w14:val="none"/>
        </w:rPr>
        <w:t>, 2019.</w:t>
      </w:r>
    </w:p>
    <w:p w14:paraId="5D590A6A"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[11] National Institute of Standards and Technology, </w:t>
      </w:r>
      <w:r w:rsidRPr="00EB72F1">
        <w:rPr>
          <w:rFonts w:ascii="Times New Roman" w:eastAsia="Times New Roman" w:hAnsi="Times New Roman" w:cs="Times New Roman"/>
          <w:i/>
          <w:iCs/>
          <w:kern w:val="0"/>
          <w:sz w:val="24"/>
          <w:szCs w:val="24"/>
          <w:lang w:eastAsia="en-GB"/>
          <w14:ligatures w14:val="none"/>
        </w:rPr>
        <w:t>NIST Cybersecurity Framework (CSF 2.0)</w:t>
      </w:r>
      <w:r w:rsidRPr="00EB72F1">
        <w:rPr>
          <w:rFonts w:ascii="Times New Roman" w:eastAsia="Times New Roman" w:hAnsi="Times New Roman" w:cs="Times New Roman"/>
          <w:kern w:val="0"/>
          <w:sz w:val="24"/>
          <w:szCs w:val="24"/>
          <w:lang w:eastAsia="en-GB"/>
          <w14:ligatures w14:val="none"/>
        </w:rPr>
        <w:t>, 2024.</w:t>
      </w:r>
    </w:p>
    <w:p w14:paraId="3BF17D98"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[12] ISACA, </w:t>
      </w:r>
      <w:r w:rsidRPr="00EB72F1">
        <w:rPr>
          <w:rFonts w:ascii="Times New Roman" w:eastAsia="Times New Roman" w:hAnsi="Times New Roman" w:cs="Times New Roman"/>
          <w:i/>
          <w:iCs/>
          <w:kern w:val="0"/>
          <w:sz w:val="24"/>
          <w:szCs w:val="24"/>
          <w:lang w:eastAsia="en-GB"/>
          <w14:ligatures w14:val="none"/>
        </w:rPr>
        <w:t>Risk IT Framework</w:t>
      </w:r>
      <w:r w:rsidRPr="00EB72F1">
        <w:rPr>
          <w:rFonts w:ascii="Times New Roman" w:eastAsia="Times New Roman" w:hAnsi="Times New Roman" w:cs="Times New Roman"/>
          <w:kern w:val="0"/>
          <w:sz w:val="24"/>
          <w:szCs w:val="24"/>
          <w:lang w:eastAsia="en-GB"/>
          <w14:ligatures w14:val="none"/>
        </w:rPr>
        <w:t>, 2019.</w:t>
      </w:r>
    </w:p>
    <w:p w14:paraId="62433FE4"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[13] OWASP, </w:t>
      </w:r>
      <w:r w:rsidRPr="00EB72F1">
        <w:rPr>
          <w:rFonts w:ascii="Times New Roman" w:eastAsia="Times New Roman" w:hAnsi="Times New Roman" w:cs="Times New Roman"/>
          <w:i/>
          <w:iCs/>
          <w:kern w:val="0"/>
          <w:sz w:val="24"/>
          <w:szCs w:val="24"/>
          <w:lang w:eastAsia="en-GB"/>
          <w14:ligatures w14:val="none"/>
        </w:rPr>
        <w:t>OWASP Top 10: Risks for Software Supply Chain</w:t>
      </w:r>
      <w:r w:rsidRPr="00EB72F1">
        <w:rPr>
          <w:rFonts w:ascii="Times New Roman" w:eastAsia="Times New Roman" w:hAnsi="Times New Roman" w:cs="Times New Roman"/>
          <w:kern w:val="0"/>
          <w:sz w:val="24"/>
          <w:szCs w:val="24"/>
          <w:lang w:eastAsia="en-GB"/>
          <w14:ligatures w14:val="none"/>
        </w:rPr>
        <w:t>, 2023.</w:t>
      </w:r>
    </w:p>
    <w:p w14:paraId="48F6F53B"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[14] ENISA, </w:t>
      </w:r>
      <w:r w:rsidRPr="00EB72F1">
        <w:rPr>
          <w:rFonts w:ascii="Times New Roman" w:eastAsia="Times New Roman" w:hAnsi="Times New Roman" w:cs="Times New Roman"/>
          <w:i/>
          <w:iCs/>
          <w:kern w:val="0"/>
          <w:sz w:val="24"/>
          <w:szCs w:val="24"/>
          <w:lang w:eastAsia="en-GB"/>
          <w14:ligatures w14:val="none"/>
        </w:rPr>
        <w:t>Threat Landscape for Supply Chain Attacks</w:t>
      </w:r>
      <w:r w:rsidRPr="00EB72F1">
        <w:rPr>
          <w:rFonts w:ascii="Times New Roman" w:eastAsia="Times New Roman" w:hAnsi="Times New Roman" w:cs="Times New Roman"/>
          <w:kern w:val="0"/>
          <w:sz w:val="24"/>
          <w:szCs w:val="24"/>
          <w:lang w:eastAsia="en-GB"/>
          <w14:ligatures w14:val="none"/>
        </w:rPr>
        <w:t>, 2023.</w:t>
      </w:r>
    </w:p>
    <w:p w14:paraId="72E30EA3"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[15] National Institute of Standards and Technology, </w:t>
      </w:r>
      <w:r w:rsidRPr="00EB72F1">
        <w:rPr>
          <w:rFonts w:ascii="Times New Roman" w:eastAsia="Times New Roman" w:hAnsi="Times New Roman" w:cs="Times New Roman"/>
          <w:i/>
          <w:iCs/>
          <w:kern w:val="0"/>
          <w:sz w:val="24"/>
          <w:szCs w:val="24"/>
          <w:lang w:eastAsia="en-GB"/>
          <w14:ligatures w14:val="none"/>
        </w:rPr>
        <w:t>Contingency Planning Guide for Federal Information Systems</w:t>
      </w:r>
      <w:r w:rsidRPr="00EB72F1">
        <w:rPr>
          <w:rFonts w:ascii="Times New Roman" w:eastAsia="Times New Roman" w:hAnsi="Times New Roman" w:cs="Times New Roman"/>
          <w:kern w:val="0"/>
          <w:sz w:val="24"/>
          <w:szCs w:val="24"/>
          <w:lang w:eastAsia="en-GB"/>
          <w14:ligatures w14:val="none"/>
        </w:rPr>
        <w:t>, SP 800-34 Rev.1, 2010.</w:t>
      </w:r>
    </w:p>
    <w:p w14:paraId="0BB58418"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[16] ENISA, </w:t>
      </w:r>
      <w:r w:rsidRPr="00EB72F1">
        <w:rPr>
          <w:rFonts w:ascii="Times New Roman" w:eastAsia="Times New Roman" w:hAnsi="Times New Roman" w:cs="Times New Roman"/>
          <w:i/>
          <w:iCs/>
          <w:kern w:val="0"/>
          <w:sz w:val="24"/>
          <w:szCs w:val="24"/>
          <w:lang w:eastAsia="en-GB"/>
          <w14:ligatures w14:val="none"/>
        </w:rPr>
        <w:t>Good Practices for Incident Management</w:t>
      </w:r>
      <w:r w:rsidRPr="00EB72F1">
        <w:rPr>
          <w:rFonts w:ascii="Times New Roman" w:eastAsia="Times New Roman" w:hAnsi="Times New Roman" w:cs="Times New Roman"/>
          <w:kern w:val="0"/>
          <w:sz w:val="24"/>
          <w:szCs w:val="24"/>
          <w:lang w:eastAsia="en-GB"/>
          <w14:ligatures w14:val="none"/>
        </w:rPr>
        <w:t>, 2022.</w:t>
      </w:r>
    </w:p>
    <w:p w14:paraId="52443684"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[17] National Institute of Standards and Technology, </w:t>
      </w:r>
      <w:r w:rsidRPr="00EB72F1">
        <w:rPr>
          <w:rFonts w:ascii="Times New Roman" w:eastAsia="Times New Roman" w:hAnsi="Times New Roman" w:cs="Times New Roman"/>
          <w:i/>
          <w:iCs/>
          <w:kern w:val="0"/>
          <w:sz w:val="24"/>
          <w:szCs w:val="24"/>
          <w:lang w:eastAsia="en-GB"/>
          <w14:ligatures w14:val="none"/>
        </w:rPr>
        <w:t>Digital Identity Guidelines</w:t>
      </w:r>
      <w:r w:rsidRPr="00EB72F1">
        <w:rPr>
          <w:rFonts w:ascii="Times New Roman" w:eastAsia="Times New Roman" w:hAnsi="Times New Roman" w:cs="Times New Roman"/>
          <w:kern w:val="0"/>
          <w:sz w:val="24"/>
          <w:szCs w:val="24"/>
          <w:lang w:eastAsia="en-GB"/>
          <w14:ligatures w14:val="none"/>
        </w:rPr>
        <w:t>, SP 800-63, 2020.</w:t>
      </w:r>
    </w:p>
    <w:p w14:paraId="1DEC3860"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[18] Gartner, </w:t>
      </w:r>
      <w:r w:rsidRPr="00EB72F1">
        <w:rPr>
          <w:rFonts w:ascii="Times New Roman" w:eastAsia="Times New Roman" w:hAnsi="Times New Roman" w:cs="Times New Roman"/>
          <w:i/>
          <w:iCs/>
          <w:kern w:val="0"/>
          <w:sz w:val="24"/>
          <w:szCs w:val="24"/>
          <w:lang w:eastAsia="en-GB"/>
          <w14:ligatures w14:val="none"/>
        </w:rPr>
        <w:t>Market Guide for Extended Detection and Response (XDR)</w:t>
      </w:r>
      <w:r w:rsidRPr="00EB72F1">
        <w:rPr>
          <w:rFonts w:ascii="Times New Roman" w:eastAsia="Times New Roman" w:hAnsi="Times New Roman" w:cs="Times New Roman"/>
          <w:kern w:val="0"/>
          <w:sz w:val="24"/>
          <w:szCs w:val="24"/>
          <w:lang w:eastAsia="en-GB"/>
          <w14:ligatures w14:val="none"/>
        </w:rPr>
        <w:t>, 2023.</w:t>
      </w:r>
    </w:p>
    <w:p w14:paraId="4F6F0E7E"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[19] Cloud Security Alliance, </w:t>
      </w:r>
      <w:r w:rsidRPr="00EB72F1">
        <w:rPr>
          <w:rFonts w:ascii="Times New Roman" w:eastAsia="Times New Roman" w:hAnsi="Times New Roman" w:cs="Times New Roman"/>
          <w:i/>
          <w:iCs/>
          <w:kern w:val="0"/>
          <w:sz w:val="24"/>
          <w:szCs w:val="24"/>
          <w:lang w:eastAsia="en-GB"/>
          <w14:ligatures w14:val="none"/>
        </w:rPr>
        <w:t>Security Guidance for Critical Areas of Focus in Cloud Computing</w:t>
      </w:r>
      <w:r w:rsidRPr="00EB72F1">
        <w:rPr>
          <w:rFonts w:ascii="Times New Roman" w:eastAsia="Times New Roman" w:hAnsi="Times New Roman" w:cs="Times New Roman"/>
          <w:kern w:val="0"/>
          <w:sz w:val="24"/>
          <w:szCs w:val="24"/>
          <w:lang w:eastAsia="en-GB"/>
          <w14:ligatures w14:val="none"/>
        </w:rPr>
        <w:t>, 2022.</w:t>
      </w:r>
    </w:p>
    <w:p w14:paraId="728BC6E5" w14:textId="77777777" w:rsidR="00EB72F1" w:rsidRPr="00EB72F1" w:rsidRDefault="00EB72F1" w:rsidP="00EB72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B72F1">
        <w:rPr>
          <w:rFonts w:ascii="Times New Roman" w:eastAsia="Times New Roman" w:hAnsi="Times New Roman" w:cs="Times New Roman"/>
          <w:kern w:val="0"/>
          <w:sz w:val="24"/>
          <w:szCs w:val="24"/>
          <w:lang w:eastAsia="en-GB"/>
          <w14:ligatures w14:val="none"/>
        </w:rPr>
        <w:t xml:space="preserve">[20] World Economic Forum, </w:t>
      </w:r>
      <w:r w:rsidRPr="00EB72F1">
        <w:rPr>
          <w:rFonts w:ascii="Times New Roman" w:eastAsia="Times New Roman" w:hAnsi="Times New Roman" w:cs="Times New Roman"/>
          <w:i/>
          <w:iCs/>
          <w:kern w:val="0"/>
          <w:sz w:val="24"/>
          <w:szCs w:val="24"/>
          <w:lang w:eastAsia="en-GB"/>
          <w14:ligatures w14:val="none"/>
        </w:rPr>
        <w:t>Global Cybersecurity Outlook</w:t>
      </w:r>
      <w:r w:rsidRPr="00EB72F1">
        <w:rPr>
          <w:rFonts w:ascii="Times New Roman" w:eastAsia="Times New Roman" w:hAnsi="Times New Roman" w:cs="Times New Roman"/>
          <w:kern w:val="0"/>
          <w:sz w:val="24"/>
          <w:szCs w:val="24"/>
          <w:lang w:eastAsia="en-GB"/>
          <w14:ligatures w14:val="none"/>
        </w:rPr>
        <w:t>, 2024.</w:t>
      </w:r>
    </w:p>
    <w:p w14:paraId="2185C0C1" w14:textId="77777777" w:rsidR="00FC7475" w:rsidRPr="00AB5467" w:rsidRDefault="00FC7475" w:rsidP="001F00BE">
      <w:pPr>
        <w:pStyle w:val="NormalWeb"/>
      </w:pPr>
    </w:p>
    <w:p w14:paraId="453C5EF2" w14:textId="77777777" w:rsidR="00E21BC0" w:rsidRDefault="00E21BC0" w:rsidP="006F1E9E">
      <w:pPr>
        <w:spacing w:after="200" w:line="360" w:lineRule="auto"/>
        <w:jc w:val="both"/>
        <w:rPr>
          <w:rFonts w:cstheme="majorHAnsi"/>
          <w:sz w:val="24"/>
          <w:szCs w:val="24"/>
        </w:rPr>
      </w:pPr>
    </w:p>
    <w:p w14:paraId="5612752C" w14:textId="77777777" w:rsidR="00E21BC0" w:rsidRDefault="00E21BC0" w:rsidP="00C71F9E">
      <w:pPr>
        <w:pStyle w:val="ListParagraph"/>
        <w:spacing w:after="200" w:line="360" w:lineRule="auto"/>
        <w:ind w:left="1440"/>
        <w:jc w:val="both"/>
        <w:rPr>
          <w:rFonts w:cstheme="majorHAnsi"/>
          <w:sz w:val="24"/>
          <w:szCs w:val="24"/>
        </w:rPr>
      </w:pPr>
    </w:p>
    <w:p w14:paraId="000EFA32" w14:textId="605A24CE" w:rsidR="00E024DA" w:rsidRPr="00B47AC4" w:rsidRDefault="00E024DA" w:rsidP="00B47AC4">
      <w:pPr>
        <w:jc w:val="both"/>
        <w:rPr>
          <w:rFonts w:ascii="Times New Roman" w:hAnsi="Times New Roman" w:cs="Times New Roman"/>
        </w:rPr>
      </w:pPr>
    </w:p>
    <w:p w14:paraId="35A36A79" w14:textId="77777777" w:rsidR="00944F34" w:rsidRPr="00B47AC4" w:rsidRDefault="00944F34" w:rsidP="00B47AC4">
      <w:pPr>
        <w:jc w:val="both"/>
        <w:rPr>
          <w:rFonts w:ascii="Times New Roman" w:hAnsi="Times New Roman" w:cs="Times New Roman"/>
        </w:rPr>
      </w:pPr>
    </w:p>
    <w:p w14:paraId="147EEFC5" w14:textId="77777777" w:rsidR="00944F34" w:rsidRPr="00B47AC4" w:rsidRDefault="00944F34" w:rsidP="00B47AC4">
      <w:pPr>
        <w:jc w:val="both"/>
        <w:rPr>
          <w:rFonts w:ascii="Times New Roman" w:hAnsi="Times New Roman" w:cs="Times New Roman"/>
        </w:rPr>
      </w:pPr>
    </w:p>
    <w:p w14:paraId="3A3BBE26" w14:textId="77777777" w:rsidR="00780429" w:rsidRPr="00B47AC4" w:rsidRDefault="00780429" w:rsidP="00B47AC4">
      <w:pPr>
        <w:jc w:val="both"/>
        <w:rPr>
          <w:rFonts w:ascii="Times New Roman" w:hAnsi="Times New Roman" w:cs="Times New Roman"/>
        </w:rPr>
      </w:pPr>
    </w:p>
    <w:p w14:paraId="61946135" w14:textId="77777777" w:rsidR="00780429" w:rsidRPr="00B47AC4" w:rsidRDefault="00780429" w:rsidP="00B47AC4">
      <w:pPr>
        <w:jc w:val="both"/>
        <w:rPr>
          <w:rFonts w:ascii="Times New Roman" w:hAnsi="Times New Roman" w:cs="Times New Roman"/>
        </w:rPr>
      </w:pPr>
    </w:p>
    <w:p w14:paraId="10EB863D" w14:textId="5C85DD50" w:rsidR="00780429" w:rsidRPr="00B47AC4" w:rsidRDefault="00780429" w:rsidP="00B47AC4">
      <w:pPr>
        <w:jc w:val="both"/>
        <w:rPr>
          <w:rFonts w:ascii="Times New Roman" w:hAnsi="Times New Roman" w:cs="Times New Roman"/>
        </w:rPr>
      </w:pPr>
    </w:p>
    <w:sectPr w:rsidR="00780429" w:rsidRPr="00B47AC4" w:rsidSect="00736475">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6E12A" w14:textId="77777777" w:rsidR="00112D54" w:rsidRDefault="00112D54" w:rsidP="00A01B62">
      <w:pPr>
        <w:spacing w:after="0" w:line="240" w:lineRule="auto"/>
      </w:pPr>
      <w:r>
        <w:separator/>
      </w:r>
    </w:p>
  </w:endnote>
  <w:endnote w:type="continuationSeparator" w:id="0">
    <w:p w14:paraId="3D024B58" w14:textId="77777777" w:rsidR="00112D54" w:rsidRDefault="00112D54" w:rsidP="00A01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8C0A7" w14:textId="77777777" w:rsidR="00112D54" w:rsidRDefault="00112D54" w:rsidP="00A01B62">
      <w:pPr>
        <w:spacing w:after="0" w:line="240" w:lineRule="auto"/>
      </w:pPr>
      <w:r>
        <w:separator/>
      </w:r>
    </w:p>
  </w:footnote>
  <w:footnote w:type="continuationSeparator" w:id="0">
    <w:p w14:paraId="4519752D" w14:textId="77777777" w:rsidR="00112D54" w:rsidRDefault="00112D54" w:rsidP="00A01B6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DnNSNFOmb5V9H" int2:id="4NxDJIyB">
      <int2:state int2:value="Rejected" int2:type="spell"/>
    </int2:textHash>
    <int2:textHash int2:hashCode="p9XGf2kFE0dhrT" int2:id="5Jmj0VtU">
      <int2:state int2:value="Rejected" int2:type="spell"/>
    </int2:textHash>
    <int2:textHash int2:hashCode="ICw+BXMPHZPt92" int2:id="BDYGJWnc">
      <int2:state int2:value="Rejected" int2:type="spell"/>
    </int2:textHash>
    <int2:textHash int2:hashCode="IHtBgH4VB4rK8+" int2:id="KVesOmxF">
      <int2:state int2:value="Rejected" int2:type="spell"/>
    </int2:textHash>
    <int2:textHash int2:hashCode="sG+Xm8Gqd2eNpu" int2:id="tOVpGt38">
      <int2:state int2:value="Rejected" int2:type="spell"/>
    </int2:textHash>
    <int2:entireDocument int2:id="4izjKgoT">
      <int2:extLst>
        <oel:ext uri="E302BA01-7950-474C-9AD3-286E660C40A8">
          <int2:similaritySummary int2:version="1" int2:runId="1775465968095" int2:tilesCheckedInThisRun="227" int2:totalNumOfTiles="227" int2:similarityAnnotationCount="0" int2:numWords="6115"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732F7A0C-3ECFB1F4 172082C7-2BD32D1E 7FECEBD2-7A3637BF 49934E68-14D24180 4F1236F1-6A5018A3 0E4FC310-497FD68B 54FA666B-77777777 27AEB710-77777777 20B4B6F0-77777777 2CC6CBDC-5F3C206C 3863AEB8-77777777 6375013F-219E66A7 123082B8-77777777 45CEA9A1-0E770E55 6FE51194-7F29CCC2 54379721-2BEA51E2 2E674841-6215797D 25144F0C-77777777 24C09433-6C3E17DA 113D2555-77777777 1C0E9C9C-779AD07B 182884C6-77777777 767FBEE4-7CA4E165 25033EBC-7570E770 088A7330-68DDCCE3 4271B774-77199A98 1F97ADC4-1C0E5154 059F1725-77777777 6CF4C7BA-47EBC9DF 427C83C5-542D30E7 3EC605F2-32C4C9BF 4DDEE742-33466C76 74D66F41-06D23AE0 21244345-60C932E9 63A02257-410D0E29 1152592C-768DA4CD 67A473FF-5001EDE5 2B02F18D-77777777 68322AE5-5404004C 4978ABDD-77777777 356624E9-021415D1 2AA2E081-618222E2 458B70E1-77777777 1176548A-77777777 0395DBB9-2DC43285 329D5997-03A776AA 112D4223-2E337C7F 2864165A-77777777 22BA3A76-740BEF2D 63ABC610-2D9437A9 02091F7E-6CA52772 3309E3B7-0F11C76C 1D71AD24-46EEA9A0 7F0C2AAF-77777777 10CE7449-14D9CADC 7C024B35-5D8C9C77 11B167E7-7BD0A0CF 351E23C4-6D9BF942 2D0BF766-77777777 71309AD1-16606448 35DC102E-4FDAD7A6 41125975-0FFD0FF5 7C0FB256-198FD991 15703D22-1D694308 4B4456CC-3E9A567C 5010B7AD-3D1620B8 69B7B1A0-6096C949 1EB5D61B-1E0E31F9 7D7D5E72-77777777 4D9D3EEA-77777777 604B14FD-04B34D5B 7474F23B-6D36D84A 69C1595F-1114E1DE 4EE605BE-398E8E6B 1D176AE5-4E344519 6A7D1032-74844340 479B17CE-1EC7DD5F 581E9F28-367AABC5 5D12B50C-23B92A99 68825012-4F0926FC 32967F27-01A8CC32 3B99018F-77777777 77DD9A98-05BC4776 0B80BCA6-3D18529C 64D1D07E-35083F7A 603867B5-7DA7EE77 6EEF8735-705AEB5A 6D0E9060-77777777 62C59375-77777777 50B6CE96-77777777 10203D97-77777777 3FE78F50-77777777 16FDFD3D-50E8AE89 708E4C09-599DA45A 31BFFBF2-11A3F293 2D3153DF-77777777 447F46A2-0FB6FE52 61C58B51-77777777 5B8576EC-7CF8A5C3 16BD0633-7A47394C 58A9226A-196E0A94 1141270B-2D988DE2 4EA37175-5087E0D5 0B6128AD-6F44752F 028FF18A-3C94F6A8 0303FE5D-3B761751 2DBA196A-42198EAD 15B01467-364B4C51 37AC4776-47972A5A 2CD4D26E-77777777 25F053AE-77777777 3094858F-77777777 0EF13D5B-77777777 3777DEF5-77777777 02AC2F83-77777777 099B3983-77777777 6CE56568-77777777 671E3D5C-77777777 3A29598C-77777777 14ADE2D9-77777777 6CE87ED7-77777777 5913BDB5-77777777 6CC45D1B-77777777 36D768B3-77777777 0C7549E6-77777777 538AC930-77777777 726ADDD3-77777777 33D6FD1F-77777777 392EDB5E-77777777 5533A9FD-77777777 25B6015D-77777777 250C5450-77777777 79F9C328-77777777 66ACA375-77777777 29ABF2F3-77777777 7FEE7247-77777777 333F9685-449414CA 0826D8CC-77777777 6ADE431E-77777777 6BC1C5EA-77777777 3F8E5407-03B07FA0 523A64B0-20453514 25358D1B-27AA861A 5A055DCD-265BC36E 1AEC6B93-77777777 6B90A840-290098B2 279384C8-77777777 6159A4ED-1E6136E8 7E4C33F9-356DBD73 4C72CB12-77777777 6AE555DE-171393F3 7B1C07CD-77777777 7D6441E0-1DCC1C58 0A4018B4-176A60D1 58005B46-70D5FDC5 20BA7AE0-77777777 2D08B32D-77777777 41CE89FB-1B2C8112 2B904AB6-098531C3 598EEA81-77777777 5AC72E27-77777777 73DD153A-77777777 06C53436-77777777 3CE892A8-77777777 26427F76-77777777 60209DEB-77777777 5E572838-1A0C4D1B 50AEE31B-695F3440 604B58D3-77777777 459B8492-77777777 7A39C0C8-6AB028B1 14A5C081-4397FEBF 35D6D47A-5035CDE3 21D81679-77777777 79E2DE25-77777777 0F712881-77777777 7E4199AD-77777777 032BA878-77777777 3CEAC1A3-77777777 15134CFB-77777777 207CFD98-77777777 4BE39DDB-77777777 762BB0CC-77777777 052A84F0-77777777 23C0279A-77777777 1DBC120B-77777777 530CF454-77777777 0F0D8D48-77777777 15F1B297-77777777 745CFD81-77777777 080171E5-77777777 3A7B08E7-77777777 1D114DED-77777777 32728438-77777777 6E471A21-77777777 38C25043-77777777 0AD53D4E-33C4BE34 319D8C83-77777777 042459C1-77777777 019404A1-161826F6 26823ADA-66A02A59 6D189708-77777777 5335D002-77777777 21CE07D2-77777777 683B66BA-77777777 50968A13-77777777 22E1DFC5-77777777 5B548EA9-0EDD372F 63671171-77777777 04150421-5FAF56CD 354C24EE-643F406B 4531881E-1926380D 183FAF95-77777777 5E3FA1F2-77777777 4A34B14E-6CA8F9E8 44CD788C-77777777 3964F141-77777777 306A1925-77777777 26FA96B2-77777777 5B819EAC-77777777 22C4D360-77777777 04911FD5-77777777 772F4342-77777777 4D61EA5F-77777777 1C4DB58F-77777777 2A2FBFB8-77777777 57A951E7-77777777 6282E8DB-77777777 532C0C7F-77777777 5BE85667-77777777 7B478754-77777777 021FA086-77777777 36F39FF7-77777777 3B4CA1D8-77777777 05E9B084-77777777 712571A5-77777777 5A6C713D-77777777 0D412574-77777777 17468306-77777777 071D3348-77777777 21A442F5-77777777 35A965FB-77777777 3EBA11C5-77777777 03488644-77777777 707DA77F-77777777 1F8FA003-77777777 63FA43B7-77777777 1304BF44-77777777 4960FCBA-77777777 28CC4A0E-77777777 4041D6CC-77777777 38DA368A-77777777 739A614C-77777777 0493876A-77777777 2ABEA914-77777777 6F692740-77777777 7D91167E-77777777 4218DC28-77777777 4EC2B216-77777777 1E36E1BE-77777777 32F5D7FB-77777777 1C6B9339-77777777 65FBBFC8-77777777 05F93FD7-77777777 59B46580-77777777 78A6BB0F-77777777 2F632D4E-77777777 0ACDD0BF-77777777 3A1D631A-77777777 146FC19A-77777777 1E62ECAA-77777777 541E06AE-77777777 705E8803-77777777 7594C975-77777777 68017CC5-77777777 1C1C87BB-77777777 0D8FD592-77777777 62010433-77777777 5C0B0147-16699F16 2D3CD816-77777777 123A8EEC-77777777 471901BF-6B89BFC9 11859C94-2389F36C 6ECDEE99-77777777 63FA6826-0FD263D2 5330F8D4-6D4750FA 18C6B6C9-77777777 468F921C-77777777 0CE50B60-77777777 03FD84DF-77777777 2FDF05C0-77777777 7453FD92-77777777 5533AD05-77777777 774ED99F-77777777 26FF939D-77777777 5D590A6A-77777777 3BF17D98-77777777 62433FE4-77777777 48F6F53B-77777777 72E30EA3-77777777 0BB58418-77777777 52443684-77777777 1DEC3860-77777777 4F6F0E7E-77777777 728BC6E5-77777777 2185C0C1-77777777 6557DA66-77777777 1FEBEDDE-7E10CB65 61B348CD-77777777 3C78B5BE-77777777 3DF20066-77777777 6D7E47FC-77777777 2CAAE0B6-77777777 453C5EF2-77777777 5612752C-77777777 55AA65C3-77777777 21EEA1F7-77777777 000EFA32-605A24CE 35A36A79-77777777 147EEFC5-77777777 3A3BBE26-77777777 61946135-77777777 10EB863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00BAB"/>
    <w:multiLevelType w:val="multilevel"/>
    <w:tmpl w:val="AF06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F7262"/>
    <w:multiLevelType w:val="multilevel"/>
    <w:tmpl w:val="BD2A8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57BF5"/>
    <w:multiLevelType w:val="multilevel"/>
    <w:tmpl w:val="619E8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6E638C6"/>
    <w:multiLevelType w:val="multilevel"/>
    <w:tmpl w:val="651A1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6D0A66"/>
    <w:multiLevelType w:val="multilevel"/>
    <w:tmpl w:val="4FD8A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BE2DDD"/>
    <w:multiLevelType w:val="multilevel"/>
    <w:tmpl w:val="43963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362F0F"/>
    <w:multiLevelType w:val="multilevel"/>
    <w:tmpl w:val="28DA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B31AF9"/>
    <w:multiLevelType w:val="hybridMultilevel"/>
    <w:tmpl w:val="C1F2D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9C7220"/>
    <w:multiLevelType w:val="multilevel"/>
    <w:tmpl w:val="2C30A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FA24F1"/>
    <w:multiLevelType w:val="multilevel"/>
    <w:tmpl w:val="B1AC8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066C53"/>
    <w:multiLevelType w:val="multilevel"/>
    <w:tmpl w:val="D6A6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AB661B"/>
    <w:multiLevelType w:val="multilevel"/>
    <w:tmpl w:val="DB90E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B347E2"/>
    <w:multiLevelType w:val="multilevel"/>
    <w:tmpl w:val="E342E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7A2F73"/>
    <w:multiLevelType w:val="multilevel"/>
    <w:tmpl w:val="0346D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6853652">
    <w:abstractNumId w:val="11"/>
  </w:num>
  <w:num w:numId="2" w16cid:durableId="1075855605">
    <w:abstractNumId w:val="5"/>
  </w:num>
  <w:num w:numId="3" w16cid:durableId="1185636221">
    <w:abstractNumId w:val="3"/>
  </w:num>
  <w:num w:numId="4" w16cid:durableId="1362122780">
    <w:abstractNumId w:val="0"/>
  </w:num>
  <w:num w:numId="5" w16cid:durableId="1675524414">
    <w:abstractNumId w:val="6"/>
  </w:num>
  <w:num w:numId="6" w16cid:durableId="1771315381">
    <w:abstractNumId w:val="10"/>
  </w:num>
  <w:num w:numId="7" w16cid:durableId="1824271776">
    <w:abstractNumId w:val="4"/>
  </w:num>
  <w:num w:numId="8" w16cid:durableId="1891915804">
    <w:abstractNumId w:val="9"/>
  </w:num>
  <w:num w:numId="9" w16cid:durableId="1986086034">
    <w:abstractNumId w:val="2"/>
  </w:num>
  <w:num w:numId="10" w16cid:durableId="2020085426">
    <w:abstractNumId w:val="14"/>
  </w:num>
  <w:num w:numId="11" w16cid:durableId="2090420313">
    <w:abstractNumId w:val="7"/>
  </w:num>
  <w:num w:numId="12" w16cid:durableId="39325517">
    <w:abstractNumId w:val="8"/>
  </w:num>
  <w:num w:numId="13" w16cid:durableId="611471534">
    <w:abstractNumId w:val="12"/>
  </w:num>
  <w:num w:numId="14" w16cid:durableId="639187811">
    <w:abstractNumId w:val="13"/>
  </w:num>
  <w:num w:numId="15" w16cid:durableId="7685431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29"/>
    <w:rsid w:val="00003CA7"/>
    <w:rsid w:val="00005DEF"/>
    <w:rsid w:val="000060CC"/>
    <w:rsid w:val="0001219C"/>
    <w:rsid w:val="00014E3A"/>
    <w:rsid w:val="00015719"/>
    <w:rsid w:val="00016A16"/>
    <w:rsid w:val="00021E57"/>
    <w:rsid w:val="00025D7B"/>
    <w:rsid w:val="00030DC0"/>
    <w:rsid w:val="00032C17"/>
    <w:rsid w:val="000363E4"/>
    <w:rsid w:val="000413AA"/>
    <w:rsid w:val="00041C0D"/>
    <w:rsid w:val="00042D17"/>
    <w:rsid w:val="00045CE2"/>
    <w:rsid w:val="00050527"/>
    <w:rsid w:val="000519A9"/>
    <w:rsid w:val="00051DA8"/>
    <w:rsid w:val="00052EEE"/>
    <w:rsid w:val="000577B9"/>
    <w:rsid w:val="0006278D"/>
    <w:rsid w:val="00062A13"/>
    <w:rsid w:val="000673C2"/>
    <w:rsid w:val="0006791D"/>
    <w:rsid w:val="00070AC1"/>
    <w:rsid w:val="00073568"/>
    <w:rsid w:val="00074825"/>
    <w:rsid w:val="000761FB"/>
    <w:rsid w:val="00076BE3"/>
    <w:rsid w:val="00076D5A"/>
    <w:rsid w:val="000773CF"/>
    <w:rsid w:val="00077451"/>
    <w:rsid w:val="000847F2"/>
    <w:rsid w:val="00086579"/>
    <w:rsid w:val="00090617"/>
    <w:rsid w:val="00090D68"/>
    <w:rsid w:val="00092B09"/>
    <w:rsid w:val="00093117"/>
    <w:rsid w:val="000952CD"/>
    <w:rsid w:val="00096BB1"/>
    <w:rsid w:val="000A18B2"/>
    <w:rsid w:val="000A1B9E"/>
    <w:rsid w:val="000A34CC"/>
    <w:rsid w:val="000A35A5"/>
    <w:rsid w:val="000A3F39"/>
    <w:rsid w:val="000A4189"/>
    <w:rsid w:val="000A70B8"/>
    <w:rsid w:val="000B6A85"/>
    <w:rsid w:val="000B7833"/>
    <w:rsid w:val="000B7A37"/>
    <w:rsid w:val="000C07E8"/>
    <w:rsid w:val="000C4DF3"/>
    <w:rsid w:val="000C774F"/>
    <w:rsid w:val="000D09BC"/>
    <w:rsid w:val="000D1315"/>
    <w:rsid w:val="000D2254"/>
    <w:rsid w:val="000D7C55"/>
    <w:rsid w:val="000E1350"/>
    <w:rsid w:val="000E65A0"/>
    <w:rsid w:val="000E68AC"/>
    <w:rsid w:val="000F19E1"/>
    <w:rsid w:val="000F1D89"/>
    <w:rsid w:val="000F2B9F"/>
    <w:rsid w:val="000F6B32"/>
    <w:rsid w:val="001027CC"/>
    <w:rsid w:val="00106561"/>
    <w:rsid w:val="00106613"/>
    <w:rsid w:val="00112D54"/>
    <w:rsid w:val="00120F4C"/>
    <w:rsid w:val="00121ACE"/>
    <w:rsid w:val="00135963"/>
    <w:rsid w:val="001371F4"/>
    <w:rsid w:val="00140850"/>
    <w:rsid w:val="00150331"/>
    <w:rsid w:val="00150B8C"/>
    <w:rsid w:val="00150FC6"/>
    <w:rsid w:val="00151BF7"/>
    <w:rsid w:val="00153127"/>
    <w:rsid w:val="00153300"/>
    <w:rsid w:val="00153E4C"/>
    <w:rsid w:val="0015504B"/>
    <w:rsid w:val="00155248"/>
    <w:rsid w:val="00155FA6"/>
    <w:rsid w:val="001572C4"/>
    <w:rsid w:val="001639F6"/>
    <w:rsid w:val="00172D34"/>
    <w:rsid w:val="00175591"/>
    <w:rsid w:val="0017780F"/>
    <w:rsid w:val="00177F39"/>
    <w:rsid w:val="00180FDB"/>
    <w:rsid w:val="0018379F"/>
    <w:rsid w:val="00183B5B"/>
    <w:rsid w:val="001857C7"/>
    <w:rsid w:val="00186001"/>
    <w:rsid w:val="00186EB6"/>
    <w:rsid w:val="00191C5B"/>
    <w:rsid w:val="00191F03"/>
    <w:rsid w:val="0019382F"/>
    <w:rsid w:val="00195BC7"/>
    <w:rsid w:val="00196553"/>
    <w:rsid w:val="001A31B7"/>
    <w:rsid w:val="001A6557"/>
    <w:rsid w:val="001B16BE"/>
    <w:rsid w:val="001B6084"/>
    <w:rsid w:val="001C31E6"/>
    <w:rsid w:val="001D2B2F"/>
    <w:rsid w:val="001D2DCD"/>
    <w:rsid w:val="001D60C2"/>
    <w:rsid w:val="001E0110"/>
    <w:rsid w:val="001E1309"/>
    <w:rsid w:val="001E5AB4"/>
    <w:rsid w:val="001E6F74"/>
    <w:rsid w:val="001F00BE"/>
    <w:rsid w:val="001F3167"/>
    <w:rsid w:val="001F432D"/>
    <w:rsid w:val="001F52FA"/>
    <w:rsid w:val="001F54E1"/>
    <w:rsid w:val="001F6D42"/>
    <w:rsid w:val="00200B9C"/>
    <w:rsid w:val="002101C9"/>
    <w:rsid w:val="00212381"/>
    <w:rsid w:val="00216002"/>
    <w:rsid w:val="00217FE6"/>
    <w:rsid w:val="00220310"/>
    <w:rsid w:val="00220392"/>
    <w:rsid w:val="00221275"/>
    <w:rsid w:val="00221970"/>
    <w:rsid w:val="00225A5A"/>
    <w:rsid w:val="00225EC0"/>
    <w:rsid w:val="002324BF"/>
    <w:rsid w:val="002333E0"/>
    <w:rsid w:val="0023511F"/>
    <w:rsid w:val="00241269"/>
    <w:rsid w:val="002460D9"/>
    <w:rsid w:val="0024665A"/>
    <w:rsid w:val="00247602"/>
    <w:rsid w:val="00247786"/>
    <w:rsid w:val="00250FF5"/>
    <w:rsid w:val="00251E51"/>
    <w:rsid w:val="0026006F"/>
    <w:rsid w:val="0026771A"/>
    <w:rsid w:val="00267C45"/>
    <w:rsid w:val="00270291"/>
    <w:rsid w:val="00273BC9"/>
    <w:rsid w:val="00275B1C"/>
    <w:rsid w:val="00276DEE"/>
    <w:rsid w:val="002805A3"/>
    <w:rsid w:val="0028502E"/>
    <w:rsid w:val="00292BB4"/>
    <w:rsid w:val="002A22AA"/>
    <w:rsid w:val="002A3608"/>
    <w:rsid w:val="002A7D3D"/>
    <w:rsid w:val="002B631F"/>
    <w:rsid w:val="002B9A3F"/>
    <w:rsid w:val="002C7D98"/>
    <w:rsid w:val="002D2D81"/>
    <w:rsid w:val="002D614D"/>
    <w:rsid w:val="002D7016"/>
    <w:rsid w:val="002D723B"/>
    <w:rsid w:val="002D777F"/>
    <w:rsid w:val="002D7A18"/>
    <w:rsid w:val="002E05AB"/>
    <w:rsid w:val="002E27B6"/>
    <w:rsid w:val="002E4C92"/>
    <w:rsid w:val="002E6385"/>
    <w:rsid w:val="002F01C7"/>
    <w:rsid w:val="002F4761"/>
    <w:rsid w:val="002F6B2F"/>
    <w:rsid w:val="002F78B2"/>
    <w:rsid w:val="003079BB"/>
    <w:rsid w:val="00307B0F"/>
    <w:rsid w:val="0031032B"/>
    <w:rsid w:val="0031309F"/>
    <w:rsid w:val="00316829"/>
    <w:rsid w:val="00326971"/>
    <w:rsid w:val="00326D2D"/>
    <w:rsid w:val="00327B73"/>
    <w:rsid w:val="00327F7D"/>
    <w:rsid w:val="00330180"/>
    <w:rsid w:val="00332D80"/>
    <w:rsid w:val="00333742"/>
    <w:rsid w:val="00336225"/>
    <w:rsid w:val="00341E2F"/>
    <w:rsid w:val="00352753"/>
    <w:rsid w:val="003565BF"/>
    <w:rsid w:val="0035704C"/>
    <w:rsid w:val="0036219D"/>
    <w:rsid w:val="0036230F"/>
    <w:rsid w:val="00363724"/>
    <w:rsid w:val="003658F6"/>
    <w:rsid w:val="00370858"/>
    <w:rsid w:val="00372933"/>
    <w:rsid w:val="00380D78"/>
    <w:rsid w:val="00382398"/>
    <w:rsid w:val="00383DA2"/>
    <w:rsid w:val="00385061"/>
    <w:rsid w:val="003855D1"/>
    <w:rsid w:val="0039546A"/>
    <w:rsid w:val="00397077"/>
    <w:rsid w:val="003A1D47"/>
    <w:rsid w:val="003A741A"/>
    <w:rsid w:val="003B0A99"/>
    <w:rsid w:val="003B3BE5"/>
    <w:rsid w:val="003B415E"/>
    <w:rsid w:val="003B44B9"/>
    <w:rsid w:val="003B4B83"/>
    <w:rsid w:val="003B794F"/>
    <w:rsid w:val="003C06AE"/>
    <w:rsid w:val="003C112F"/>
    <w:rsid w:val="003C2AEA"/>
    <w:rsid w:val="003C4C34"/>
    <w:rsid w:val="003D000C"/>
    <w:rsid w:val="003D0370"/>
    <w:rsid w:val="003D1C0C"/>
    <w:rsid w:val="003D2A92"/>
    <w:rsid w:val="003E13BF"/>
    <w:rsid w:val="003E4840"/>
    <w:rsid w:val="003F1429"/>
    <w:rsid w:val="003F345C"/>
    <w:rsid w:val="003F4F05"/>
    <w:rsid w:val="004006C7"/>
    <w:rsid w:val="00401F57"/>
    <w:rsid w:val="00403204"/>
    <w:rsid w:val="004051DA"/>
    <w:rsid w:val="00406D3F"/>
    <w:rsid w:val="004075DF"/>
    <w:rsid w:val="0040760D"/>
    <w:rsid w:val="00411D50"/>
    <w:rsid w:val="004122F3"/>
    <w:rsid w:val="00415D79"/>
    <w:rsid w:val="004179DE"/>
    <w:rsid w:val="00421D34"/>
    <w:rsid w:val="00423F9B"/>
    <w:rsid w:val="004279D2"/>
    <w:rsid w:val="00430114"/>
    <w:rsid w:val="00432D24"/>
    <w:rsid w:val="0043317D"/>
    <w:rsid w:val="00435193"/>
    <w:rsid w:val="00437977"/>
    <w:rsid w:val="00441100"/>
    <w:rsid w:val="00444A90"/>
    <w:rsid w:val="00455782"/>
    <w:rsid w:val="00456C20"/>
    <w:rsid w:val="00457058"/>
    <w:rsid w:val="00461299"/>
    <w:rsid w:val="00466959"/>
    <w:rsid w:val="00471BBB"/>
    <w:rsid w:val="004767A4"/>
    <w:rsid w:val="00477EF7"/>
    <w:rsid w:val="00484FA1"/>
    <w:rsid w:val="00487456"/>
    <w:rsid w:val="004917D4"/>
    <w:rsid w:val="00491D7B"/>
    <w:rsid w:val="004928D3"/>
    <w:rsid w:val="004A09BB"/>
    <w:rsid w:val="004A2763"/>
    <w:rsid w:val="004A2C19"/>
    <w:rsid w:val="004A4E75"/>
    <w:rsid w:val="004A4FB2"/>
    <w:rsid w:val="004A67B4"/>
    <w:rsid w:val="004A6E61"/>
    <w:rsid w:val="004B5896"/>
    <w:rsid w:val="004C16E7"/>
    <w:rsid w:val="004C29EC"/>
    <w:rsid w:val="004D0083"/>
    <w:rsid w:val="004D3D52"/>
    <w:rsid w:val="004D6C3C"/>
    <w:rsid w:val="004D7963"/>
    <w:rsid w:val="004E00F6"/>
    <w:rsid w:val="004E018E"/>
    <w:rsid w:val="004E5621"/>
    <w:rsid w:val="004E57BF"/>
    <w:rsid w:val="004E5B21"/>
    <w:rsid w:val="004E6D8F"/>
    <w:rsid w:val="004F1D54"/>
    <w:rsid w:val="004F1F37"/>
    <w:rsid w:val="004F696E"/>
    <w:rsid w:val="00510248"/>
    <w:rsid w:val="0051519B"/>
    <w:rsid w:val="00520EB1"/>
    <w:rsid w:val="0052155F"/>
    <w:rsid w:val="005222D1"/>
    <w:rsid w:val="00527E9C"/>
    <w:rsid w:val="00534AE7"/>
    <w:rsid w:val="005354C6"/>
    <w:rsid w:val="00535F5B"/>
    <w:rsid w:val="005361EC"/>
    <w:rsid w:val="00536B0B"/>
    <w:rsid w:val="00541A47"/>
    <w:rsid w:val="00541AF1"/>
    <w:rsid w:val="00542108"/>
    <w:rsid w:val="00546305"/>
    <w:rsid w:val="0054654F"/>
    <w:rsid w:val="005507DB"/>
    <w:rsid w:val="0055130C"/>
    <w:rsid w:val="005518FE"/>
    <w:rsid w:val="00557AE6"/>
    <w:rsid w:val="00564A8D"/>
    <w:rsid w:val="00565389"/>
    <w:rsid w:val="0056FA11"/>
    <w:rsid w:val="005736BE"/>
    <w:rsid w:val="00576B8F"/>
    <w:rsid w:val="00581C9B"/>
    <w:rsid w:val="00583853"/>
    <w:rsid w:val="00583DF7"/>
    <w:rsid w:val="00584895"/>
    <w:rsid w:val="0058506C"/>
    <w:rsid w:val="00587C7C"/>
    <w:rsid w:val="00590665"/>
    <w:rsid w:val="00592313"/>
    <w:rsid w:val="005957AA"/>
    <w:rsid w:val="0059603B"/>
    <w:rsid w:val="00596BD3"/>
    <w:rsid w:val="005970D2"/>
    <w:rsid w:val="005A34EF"/>
    <w:rsid w:val="005A44F2"/>
    <w:rsid w:val="005A45F8"/>
    <w:rsid w:val="005B055A"/>
    <w:rsid w:val="005B2B67"/>
    <w:rsid w:val="005B30BD"/>
    <w:rsid w:val="005C3B6E"/>
    <w:rsid w:val="005D1938"/>
    <w:rsid w:val="005E06E5"/>
    <w:rsid w:val="005E1A94"/>
    <w:rsid w:val="005E2E7B"/>
    <w:rsid w:val="005E70D4"/>
    <w:rsid w:val="005E72BF"/>
    <w:rsid w:val="005E7D0B"/>
    <w:rsid w:val="005F4ED4"/>
    <w:rsid w:val="005F711C"/>
    <w:rsid w:val="00602306"/>
    <w:rsid w:val="0060340C"/>
    <w:rsid w:val="0060781B"/>
    <w:rsid w:val="0061072E"/>
    <w:rsid w:val="0061227F"/>
    <w:rsid w:val="00613873"/>
    <w:rsid w:val="0061394B"/>
    <w:rsid w:val="00624880"/>
    <w:rsid w:val="00624C60"/>
    <w:rsid w:val="006253E7"/>
    <w:rsid w:val="00625D07"/>
    <w:rsid w:val="00626C60"/>
    <w:rsid w:val="00627F29"/>
    <w:rsid w:val="0063137B"/>
    <w:rsid w:val="00631B1D"/>
    <w:rsid w:val="00633200"/>
    <w:rsid w:val="0063530A"/>
    <w:rsid w:val="006355CD"/>
    <w:rsid w:val="00636848"/>
    <w:rsid w:val="00640599"/>
    <w:rsid w:val="00642D98"/>
    <w:rsid w:val="00656221"/>
    <w:rsid w:val="00662BEF"/>
    <w:rsid w:val="0066386B"/>
    <w:rsid w:val="00665209"/>
    <w:rsid w:val="00665534"/>
    <w:rsid w:val="00666C75"/>
    <w:rsid w:val="006679DF"/>
    <w:rsid w:val="0067374B"/>
    <w:rsid w:val="006851D2"/>
    <w:rsid w:val="00685EA4"/>
    <w:rsid w:val="006868F9"/>
    <w:rsid w:val="00691494"/>
    <w:rsid w:val="00691F11"/>
    <w:rsid w:val="00694B4C"/>
    <w:rsid w:val="00695235"/>
    <w:rsid w:val="0069564F"/>
    <w:rsid w:val="00696A00"/>
    <w:rsid w:val="006A2376"/>
    <w:rsid w:val="006A5B4E"/>
    <w:rsid w:val="006B0C3A"/>
    <w:rsid w:val="006B1D71"/>
    <w:rsid w:val="006B6B25"/>
    <w:rsid w:val="006C367A"/>
    <w:rsid w:val="006C3B3D"/>
    <w:rsid w:val="006C64F9"/>
    <w:rsid w:val="006D14F3"/>
    <w:rsid w:val="006D24A3"/>
    <w:rsid w:val="006D3DC5"/>
    <w:rsid w:val="006D704F"/>
    <w:rsid w:val="006E1810"/>
    <w:rsid w:val="006E3997"/>
    <w:rsid w:val="006E3B8C"/>
    <w:rsid w:val="006F1E9E"/>
    <w:rsid w:val="006F386E"/>
    <w:rsid w:val="0070318E"/>
    <w:rsid w:val="007133E0"/>
    <w:rsid w:val="00715551"/>
    <w:rsid w:val="00717993"/>
    <w:rsid w:val="00724805"/>
    <w:rsid w:val="0073170E"/>
    <w:rsid w:val="00731DFB"/>
    <w:rsid w:val="00735A9E"/>
    <w:rsid w:val="00736475"/>
    <w:rsid w:val="0073693E"/>
    <w:rsid w:val="00736F88"/>
    <w:rsid w:val="0073730C"/>
    <w:rsid w:val="00741BD8"/>
    <w:rsid w:val="00742AFE"/>
    <w:rsid w:val="00742B07"/>
    <w:rsid w:val="00747816"/>
    <w:rsid w:val="00754005"/>
    <w:rsid w:val="0075478A"/>
    <w:rsid w:val="00756047"/>
    <w:rsid w:val="00757F23"/>
    <w:rsid w:val="00763087"/>
    <w:rsid w:val="00764DD4"/>
    <w:rsid w:val="00773788"/>
    <w:rsid w:val="00774F5C"/>
    <w:rsid w:val="00780429"/>
    <w:rsid w:val="00780765"/>
    <w:rsid w:val="007822EC"/>
    <w:rsid w:val="00783323"/>
    <w:rsid w:val="007844E5"/>
    <w:rsid w:val="007845DC"/>
    <w:rsid w:val="00784E8B"/>
    <w:rsid w:val="00784F7D"/>
    <w:rsid w:val="00785463"/>
    <w:rsid w:val="007857F3"/>
    <w:rsid w:val="00787512"/>
    <w:rsid w:val="00794BE9"/>
    <w:rsid w:val="007A3AD4"/>
    <w:rsid w:val="007B037E"/>
    <w:rsid w:val="007C062B"/>
    <w:rsid w:val="007C175A"/>
    <w:rsid w:val="007C29CC"/>
    <w:rsid w:val="007C3F5B"/>
    <w:rsid w:val="007C520F"/>
    <w:rsid w:val="007C6654"/>
    <w:rsid w:val="007D12A5"/>
    <w:rsid w:val="007D54D6"/>
    <w:rsid w:val="007E1F1F"/>
    <w:rsid w:val="007E28B8"/>
    <w:rsid w:val="007E28BD"/>
    <w:rsid w:val="007E30F1"/>
    <w:rsid w:val="007F30F0"/>
    <w:rsid w:val="007F36A9"/>
    <w:rsid w:val="007F470F"/>
    <w:rsid w:val="007F538F"/>
    <w:rsid w:val="007F6D68"/>
    <w:rsid w:val="007F7D9C"/>
    <w:rsid w:val="00801739"/>
    <w:rsid w:val="00801EC5"/>
    <w:rsid w:val="008026DC"/>
    <w:rsid w:val="00803376"/>
    <w:rsid w:val="008053F2"/>
    <w:rsid w:val="00806203"/>
    <w:rsid w:val="00806F76"/>
    <w:rsid w:val="008078B8"/>
    <w:rsid w:val="00810D80"/>
    <w:rsid w:val="00811B23"/>
    <w:rsid w:val="00812CB2"/>
    <w:rsid w:val="008201C8"/>
    <w:rsid w:val="008254B0"/>
    <w:rsid w:val="0082669E"/>
    <w:rsid w:val="00827023"/>
    <w:rsid w:val="00837445"/>
    <w:rsid w:val="00841C73"/>
    <w:rsid w:val="00845C2A"/>
    <w:rsid w:val="008547BB"/>
    <w:rsid w:val="00855A36"/>
    <w:rsid w:val="008567A8"/>
    <w:rsid w:val="00857D50"/>
    <w:rsid w:val="0086324D"/>
    <w:rsid w:val="008633B6"/>
    <w:rsid w:val="00867B34"/>
    <w:rsid w:val="008726FE"/>
    <w:rsid w:val="00875743"/>
    <w:rsid w:val="0087614A"/>
    <w:rsid w:val="00880493"/>
    <w:rsid w:val="0088130B"/>
    <w:rsid w:val="008862ED"/>
    <w:rsid w:val="008864C1"/>
    <w:rsid w:val="00890CA3"/>
    <w:rsid w:val="00893543"/>
    <w:rsid w:val="00894136"/>
    <w:rsid w:val="00894189"/>
    <w:rsid w:val="0089447C"/>
    <w:rsid w:val="008956B1"/>
    <w:rsid w:val="00896F5B"/>
    <w:rsid w:val="008A0070"/>
    <w:rsid w:val="008A06CF"/>
    <w:rsid w:val="008A483E"/>
    <w:rsid w:val="008A73F6"/>
    <w:rsid w:val="008B3F2D"/>
    <w:rsid w:val="008C06CF"/>
    <w:rsid w:val="008C103F"/>
    <w:rsid w:val="008C2F13"/>
    <w:rsid w:val="008C39B2"/>
    <w:rsid w:val="008D2DD5"/>
    <w:rsid w:val="008D3030"/>
    <w:rsid w:val="008D654D"/>
    <w:rsid w:val="008D75F5"/>
    <w:rsid w:val="008E37D2"/>
    <w:rsid w:val="008E6EC3"/>
    <w:rsid w:val="008E764E"/>
    <w:rsid w:val="008F026F"/>
    <w:rsid w:val="008F0D9A"/>
    <w:rsid w:val="008F0E77"/>
    <w:rsid w:val="008F301C"/>
    <w:rsid w:val="009007FB"/>
    <w:rsid w:val="00901E62"/>
    <w:rsid w:val="00903A09"/>
    <w:rsid w:val="00907AA7"/>
    <w:rsid w:val="00910FF9"/>
    <w:rsid w:val="00911E8A"/>
    <w:rsid w:val="0091342F"/>
    <w:rsid w:val="009165E7"/>
    <w:rsid w:val="00922E98"/>
    <w:rsid w:val="00927332"/>
    <w:rsid w:val="0093121A"/>
    <w:rsid w:val="009321DE"/>
    <w:rsid w:val="00933670"/>
    <w:rsid w:val="0093384B"/>
    <w:rsid w:val="009379D3"/>
    <w:rsid w:val="00940334"/>
    <w:rsid w:val="00944F34"/>
    <w:rsid w:val="009455D3"/>
    <w:rsid w:val="00946883"/>
    <w:rsid w:val="00947B26"/>
    <w:rsid w:val="00947F32"/>
    <w:rsid w:val="00952AAF"/>
    <w:rsid w:val="009533E5"/>
    <w:rsid w:val="00953856"/>
    <w:rsid w:val="009548C3"/>
    <w:rsid w:val="0095524D"/>
    <w:rsid w:val="009569C4"/>
    <w:rsid w:val="009602C8"/>
    <w:rsid w:val="00962DE4"/>
    <w:rsid w:val="00967B6A"/>
    <w:rsid w:val="00967BD7"/>
    <w:rsid w:val="00967D44"/>
    <w:rsid w:val="00973D45"/>
    <w:rsid w:val="009774B5"/>
    <w:rsid w:val="009831A7"/>
    <w:rsid w:val="00987F38"/>
    <w:rsid w:val="00990406"/>
    <w:rsid w:val="009912D3"/>
    <w:rsid w:val="00993EC9"/>
    <w:rsid w:val="00996152"/>
    <w:rsid w:val="009A0B07"/>
    <w:rsid w:val="009B1767"/>
    <w:rsid w:val="009B34C9"/>
    <w:rsid w:val="009C1CF8"/>
    <w:rsid w:val="009C2244"/>
    <w:rsid w:val="009C5BF1"/>
    <w:rsid w:val="009C600C"/>
    <w:rsid w:val="009C75E5"/>
    <w:rsid w:val="009D276C"/>
    <w:rsid w:val="009D40E8"/>
    <w:rsid w:val="009D41D9"/>
    <w:rsid w:val="009D464B"/>
    <w:rsid w:val="009D71C3"/>
    <w:rsid w:val="009E5019"/>
    <w:rsid w:val="009F2486"/>
    <w:rsid w:val="00A006F6"/>
    <w:rsid w:val="00A01B62"/>
    <w:rsid w:val="00A03D16"/>
    <w:rsid w:val="00A05032"/>
    <w:rsid w:val="00A06FB5"/>
    <w:rsid w:val="00A15430"/>
    <w:rsid w:val="00A213A8"/>
    <w:rsid w:val="00A21A83"/>
    <w:rsid w:val="00A23122"/>
    <w:rsid w:val="00A3196C"/>
    <w:rsid w:val="00A319AF"/>
    <w:rsid w:val="00A32779"/>
    <w:rsid w:val="00A32D11"/>
    <w:rsid w:val="00A332CA"/>
    <w:rsid w:val="00A33471"/>
    <w:rsid w:val="00A338B0"/>
    <w:rsid w:val="00A35EB3"/>
    <w:rsid w:val="00A407BD"/>
    <w:rsid w:val="00A422AB"/>
    <w:rsid w:val="00A4327A"/>
    <w:rsid w:val="00A44A12"/>
    <w:rsid w:val="00A46359"/>
    <w:rsid w:val="00A4799D"/>
    <w:rsid w:val="00A50319"/>
    <w:rsid w:val="00A54C8D"/>
    <w:rsid w:val="00A55F24"/>
    <w:rsid w:val="00A56CEB"/>
    <w:rsid w:val="00A57702"/>
    <w:rsid w:val="00A61699"/>
    <w:rsid w:val="00A63070"/>
    <w:rsid w:val="00A738E7"/>
    <w:rsid w:val="00A76716"/>
    <w:rsid w:val="00A82C2A"/>
    <w:rsid w:val="00A83BA8"/>
    <w:rsid w:val="00A85EAB"/>
    <w:rsid w:val="00A909B1"/>
    <w:rsid w:val="00A954FF"/>
    <w:rsid w:val="00AA04B1"/>
    <w:rsid w:val="00AA0FBA"/>
    <w:rsid w:val="00AA2398"/>
    <w:rsid w:val="00AA241D"/>
    <w:rsid w:val="00AA292B"/>
    <w:rsid w:val="00AA7332"/>
    <w:rsid w:val="00AB01B5"/>
    <w:rsid w:val="00AB0D17"/>
    <w:rsid w:val="00AB231C"/>
    <w:rsid w:val="00AB446F"/>
    <w:rsid w:val="00AB46B4"/>
    <w:rsid w:val="00AB5467"/>
    <w:rsid w:val="00AC1557"/>
    <w:rsid w:val="00AC3ACE"/>
    <w:rsid w:val="00AC54BF"/>
    <w:rsid w:val="00AC5815"/>
    <w:rsid w:val="00AC66F1"/>
    <w:rsid w:val="00AD0481"/>
    <w:rsid w:val="00AE32BF"/>
    <w:rsid w:val="00AE46AE"/>
    <w:rsid w:val="00AF172E"/>
    <w:rsid w:val="00AF1F3A"/>
    <w:rsid w:val="00AF3244"/>
    <w:rsid w:val="00AF4F56"/>
    <w:rsid w:val="00B0443C"/>
    <w:rsid w:val="00B0477D"/>
    <w:rsid w:val="00B05590"/>
    <w:rsid w:val="00B07FE1"/>
    <w:rsid w:val="00B10302"/>
    <w:rsid w:val="00B11873"/>
    <w:rsid w:val="00B1580A"/>
    <w:rsid w:val="00B21E5A"/>
    <w:rsid w:val="00B22453"/>
    <w:rsid w:val="00B22460"/>
    <w:rsid w:val="00B22D8D"/>
    <w:rsid w:val="00B22E31"/>
    <w:rsid w:val="00B255DB"/>
    <w:rsid w:val="00B2699D"/>
    <w:rsid w:val="00B334F0"/>
    <w:rsid w:val="00B34CE1"/>
    <w:rsid w:val="00B40A40"/>
    <w:rsid w:val="00B43860"/>
    <w:rsid w:val="00B442A7"/>
    <w:rsid w:val="00B4762A"/>
    <w:rsid w:val="00B47843"/>
    <w:rsid w:val="00B47AC4"/>
    <w:rsid w:val="00B508EE"/>
    <w:rsid w:val="00B53351"/>
    <w:rsid w:val="00B5587D"/>
    <w:rsid w:val="00B55E33"/>
    <w:rsid w:val="00B55F11"/>
    <w:rsid w:val="00B576E2"/>
    <w:rsid w:val="00B617B0"/>
    <w:rsid w:val="00B61FBB"/>
    <w:rsid w:val="00B6306A"/>
    <w:rsid w:val="00B63759"/>
    <w:rsid w:val="00B6389A"/>
    <w:rsid w:val="00B639D4"/>
    <w:rsid w:val="00B76091"/>
    <w:rsid w:val="00B8046B"/>
    <w:rsid w:val="00B8191D"/>
    <w:rsid w:val="00B81D8F"/>
    <w:rsid w:val="00B8426B"/>
    <w:rsid w:val="00B84F89"/>
    <w:rsid w:val="00B850A0"/>
    <w:rsid w:val="00B86F4C"/>
    <w:rsid w:val="00B8786F"/>
    <w:rsid w:val="00B925EA"/>
    <w:rsid w:val="00B94120"/>
    <w:rsid w:val="00BA007D"/>
    <w:rsid w:val="00BA5DEE"/>
    <w:rsid w:val="00BB0614"/>
    <w:rsid w:val="00BB1F9E"/>
    <w:rsid w:val="00BB66F1"/>
    <w:rsid w:val="00BB7A73"/>
    <w:rsid w:val="00BC5D21"/>
    <w:rsid w:val="00BC7A7F"/>
    <w:rsid w:val="00BD148D"/>
    <w:rsid w:val="00BD245D"/>
    <w:rsid w:val="00BD3DD5"/>
    <w:rsid w:val="00BE0D56"/>
    <w:rsid w:val="00BE6EC8"/>
    <w:rsid w:val="00BE6FA0"/>
    <w:rsid w:val="00BF0172"/>
    <w:rsid w:val="00BF7D96"/>
    <w:rsid w:val="00C05508"/>
    <w:rsid w:val="00C0591D"/>
    <w:rsid w:val="00C11301"/>
    <w:rsid w:val="00C152CC"/>
    <w:rsid w:val="00C1631F"/>
    <w:rsid w:val="00C222E2"/>
    <w:rsid w:val="00C26C0E"/>
    <w:rsid w:val="00C34301"/>
    <w:rsid w:val="00C43BEF"/>
    <w:rsid w:val="00C44640"/>
    <w:rsid w:val="00C45828"/>
    <w:rsid w:val="00C45C6B"/>
    <w:rsid w:val="00C46C54"/>
    <w:rsid w:val="00C46D75"/>
    <w:rsid w:val="00C47315"/>
    <w:rsid w:val="00C5260F"/>
    <w:rsid w:val="00C52687"/>
    <w:rsid w:val="00C574CF"/>
    <w:rsid w:val="00C610A0"/>
    <w:rsid w:val="00C6185E"/>
    <w:rsid w:val="00C63F19"/>
    <w:rsid w:val="00C646DB"/>
    <w:rsid w:val="00C6493E"/>
    <w:rsid w:val="00C706F4"/>
    <w:rsid w:val="00C71F9E"/>
    <w:rsid w:val="00C73620"/>
    <w:rsid w:val="00C77426"/>
    <w:rsid w:val="00C84BCC"/>
    <w:rsid w:val="00C85B21"/>
    <w:rsid w:val="00C86319"/>
    <w:rsid w:val="00C86436"/>
    <w:rsid w:val="00C873D3"/>
    <w:rsid w:val="00C954CE"/>
    <w:rsid w:val="00C97AF1"/>
    <w:rsid w:val="00CA7F85"/>
    <w:rsid w:val="00CB02DB"/>
    <w:rsid w:val="00CB085F"/>
    <w:rsid w:val="00CB67B5"/>
    <w:rsid w:val="00CC47B8"/>
    <w:rsid w:val="00CC4CCF"/>
    <w:rsid w:val="00CD2871"/>
    <w:rsid w:val="00CD48AE"/>
    <w:rsid w:val="00CD538D"/>
    <w:rsid w:val="00CD68EE"/>
    <w:rsid w:val="00CD7243"/>
    <w:rsid w:val="00CE09A7"/>
    <w:rsid w:val="00CE0C9C"/>
    <w:rsid w:val="00CE1644"/>
    <w:rsid w:val="00CE1D6A"/>
    <w:rsid w:val="00CE436A"/>
    <w:rsid w:val="00CE611D"/>
    <w:rsid w:val="00CE6E5D"/>
    <w:rsid w:val="00CE7E5F"/>
    <w:rsid w:val="00CF0760"/>
    <w:rsid w:val="00CF0EF4"/>
    <w:rsid w:val="00CF1F26"/>
    <w:rsid w:val="00CF5F9E"/>
    <w:rsid w:val="00CF63DD"/>
    <w:rsid w:val="00D02DD0"/>
    <w:rsid w:val="00D037D9"/>
    <w:rsid w:val="00D0473F"/>
    <w:rsid w:val="00D06D77"/>
    <w:rsid w:val="00D10FC5"/>
    <w:rsid w:val="00D1241E"/>
    <w:rsid w:val="00D1363F"/>
    <w:rsid w:val="00D15220"/>
    <w:rsid w:val="00D15AAA"/>
    <w:rsid w:val="00D211D0"/>
    <w:rsid w:val="00D21387"/>
    <w:rsid w:val="00D21932"/>
    <w:rsid w:val="00D24DEA"/>
    <w:rsid w:val="00D2755D"/>
    <w:rsid w:val="00D304F3"/>
    <w:rsid w:val="00D30D2B"/>
    <w:rsid w:val="00D40C8B"/>
    <w:rsid w:val="00D43DD5"/>
    <w:rsid w:val="00D44457"/>
    <w:rsid w:val="00D45709"/>
    <w:rsid w:val="00D50F69"/>
    <w:rsid w:val="00D51284"/>
    <w:rsid w:val="00D51AA3"/>
    <w:rsid w:val="00D568C1"/>
    <w:rsid w:val="00D56F2A"/>
    <w:rsid w:val="00D57BFE"/>
    <w:rsid w:val="00D610DF"/>
    <w:rsid w:val="00D6295E"/>
    <w:rsid w:val="00D63F74"/>
    <w:rsid w:val="00D6423B"/>
    <w:rsid w:val="00D64DB5"/>
    <w:rsid w:val="00D64EE9"/>
    <w:rsid w:val="00D66E12"/>
    <w:rsid w:val="00D67187"/>
    <w:rsid w:val="00D71D4D"/>
    <w:rsid w:val="00D74535"/>
    <w:rsid w:val="00D74E62"/>
    <w:rsid w:val="00D76993"/>
    <w:rsid w:val="00D83915"/>
    <w:rsid w:val="00D85B2F"/>
    <w:rsid w:val="00D85C8D"/>
    <w:rsid w:val="00D92C20"/>
    <w:rsid w:val="00D930BC"/>
    <w:rsid w:val="00D959F6"/>
    <w:rsid w:val="00D972B4"/>
    <w:rsid w:val="00DA5C4D"/>
    <w:rsid w:val="00DA72B9"/>
    <w:rsid w:val="00DB050B"/>
    <w:rsid w:val="00DB0720"/>
    <w:rsid w:val="00DB2359"/>
    <w:rsid w:val="00DB2C6D"/>
    <w:rsid w:val="00DB4ACB"/>
    <w:rsid w:val="00DC1BBA"/>
    <w:rsid w:val="00DC345A"/>
    <w:rsid w:val="00DC39DC"/>
    <w:rsid w:val="00DC3BCF"/>
    <w:rsid w:val="00DD170B"/>
    <w:rsid w:val="00DD3512"/>
    <w:rsid w:val="00DD4435"/>
    <w:rsid w:val="00DD7ADA"/>
    <w:rsid w:val="00DE65A3"/>
    <w:rsid w:val="00DE769F"/>
    <w:rsid w:val="00DE7C83"/>
    <w:rsid w:val="00DF1521"/>
    <w:rsid w:val="00DF1F19"/>
    <w:rsid w:val="00DF2602"/>
    <w:rsid w:val="00E004B5"/>
    <w:rsid w:val="00E0207C"/>
    <w:rsid w:val="00E024DA"/>
    <w:rsid w:val="00E0305C"/>
    <w:rsid w:val="00E038FA"/>
    <w:rsid w:val="00E15210"/>
    <w:rsid w:val="00E15AEC"/>
    <w:rsid w:val="00E16A54"/>
    <w:rsid w:val="00E20807"/>
    <w:rsid w:val="00E21BC0"/>
    <w:rsid w:val="00E227AD"/>
    <w:rsid w:val="00E22AEF"/>
    <w:rsid w:val="00E239F1"/>
    <w:rsid w:val="00E23D2A"/>
    <w:rsid w:val="00E24AF8"/>
    <w:rsid w:val="00E24B87"/>
    <w:rsid w:val="00E25277"/>
    <w:rsid w:val="00E26499"/>
    <w:rsid w:val="00E275E5"/>
    <w:rsid w:val="00E3428E"/>
    <w:rsid w:val="00E35BE5"/>
    <w:rsid w:val="00E403FB"/>
    <w:rsid w:val="00E43633"/>
    <w:rsid w:val="00E43F59"/>
    <w:rsid w:val="00E45024"/>
    <w:rsid w:val="00E50ACD"/>
    <w:rsid w:val="00E53711"/>
    <w:rsid w:val="00E54185"/>
    <w:rsid w:val="00E54DC3"/>
    <w:rsid w:val="00E55630"/>
    <w:rsid w:val="00E628BE"/>
    <w:rsid w:val="00E648A8"/>
    <w:rsid w:val="00E72EB4"/>
    <w:rsid w:val="00E771B0"/>
    <w:rsid w:val="00E85797"/>
    <w:rsid w:val="00E90B38"/>
    <w:rsid w:val="00E92466"/>
    <w:rsid w:val="00E92757"/>
    <w:rsid w:val="00E9751E"/>
    <w:rsid w:val="00EA110F"/>
    <w:rsid w:val="00EA11DA"/>
    <w:rsid w:val="00EA2060"/>
    <w:rsid w:val="00EA488A"/>
    <w:rsid w:val="00EA5695"/>
    <w:rsid w:val="00EB5AFD"/>
    <w:rsid w:val="00EB72F1"/>
    <w:rsid w:val="00EC3587"/>
    <w:rsid w:val="00EC4870"/>
    <w:rsid w:val="00EC5496"/>
    <w:rsid w:val="00EC5D09"/>
    <w:rsid w:val="00EC644F"/>
    <w:rsid w:val="00ED034F"/>
    <w:rsid w:val="00ED0505"/>
    <w:rsid w:val="00ED0B6A"/>
    <w:rsid w:val="00ED1868"/>
    <w:rsid w:val="00ED30C2"/>
    <w:rsid w:val="00ED62C2"/>
    <w:rsid w:val="00ED74DC"/>
    <w:rsid w:val="00EE0BC0"/>
    <w:rsid w:val="00EE0DF4"/>
    <w:rsid w:val="00EE2CE3"/>
    <w:rsid w:val="00EE3443"/>
    <w:rsid w:val="00EE4C1E"/>
    <w:rsid w:val="00EE6462"/>
    <w:rsid w:val="00EE6D02"/>
    <w:rsid w:val="00EE7039"/>
    <w:rsid w:val="00EF0E44"/>
    <w:rsid w:val="00EF456C"/>
    <w:rsid w:val="00EF472B"/>
    <w:rsid w:val="00EF48AA"/>
    <w:rsid w:val="00EF73C8"/>
    <w:rsid w:val="00F00830"/>
    <w:rsid w:val="00F00EF3"/>
    <w:rsid w:val="00F01A58"/>
    <w:rsid w:val="00F04336"/>
    <w:rsid w:val="00F0567F"/>
    <w:rsid w:val="00F056A7"/>
    <w:rsid w:val="00F1052F"/>
    <w:rsid w:val="00F200AD"/>
    <w:rsid w:val="00F21623"/>
    <w:rsid w:val="00F21BF3"/>
    <w:rsid w:val="00F22D34"/>
    <w:rsid w:val="00F25871"/>
    <w:rsid w:val="00F30D14"/>
    <w:rsid w:val="00F3279E"/>
    <w:rsid w:val="00F361BF"/>
    <w:rsid w:val="00F36E60"/>
    <w:rsid w:val="00F43EB0"/>
    <w:rsid w:val="00F44176"/>
    <w:rsid w:val="00F44D27"/>
    <w:rsid w:val="00F46D4D"/>
    <w:rsid w:val="00F47091"/>
    <w:rsid w:val="00F515B2"/>
    <w:rsid w:val="00F52FD0"/>
    <w:rsid w:val="00F53B87"/>
    <w:rsid w:val="00F541A2"/>
    <w:rsid w:val="00F621F4"/>
    <w:rsid w:val="00F62CA6"/>
    <w:rsid w:val="00F6553F"/>
    <w:rsid w:val="00F713A6"/>
    <w:rsid w:val="00F77B65"/>
    <w:rsid w:val="00F80041"/>
    <w:rsid w:val="00F90902"/>
    <w:rsid w:val="00F91C1E"/>
    <w:rsid w:val="00F96FBA"/>
    <w:rsid w:val="00F97690"/>
    <w:rsid w:val="00FA0D9E"/>
    <w:rsid w:val="00FA148F"/>
    <w:rsid w:val="00FA4512"/>
    <w:rsid w:val="00FA4A2B"/>
    <w:rsid w:val="00FA634B"/>
    <w:rsid w:val="00FA6812"/>
    <w:rsid w:val="00FB0E59"/>
    <w:rsid w:val="00FB133A"/>
    <w:rsid w:val="00FB2B78"/>
    <w:rsid w:val="00FB565B"/>
    <w:rsid w:val="00FB73CA"/>
    <w:rsid w:val="00FB774F"/>
    <w:rsid w:val="00FC1F96"/>
    <w:rsid w:val="00FC3A82"/>
    <w:rsid w:val="00FC4B5C"/>
    <w:rsid w:val="00FC58B7"/>
    <w:rsid w:val="00FC5D04"/>
    <w:rsid w:val="00FC7475"/>
    <w:rsid w:val="00FD2B8C"/>
    <w:rsid w:val="00FD49DA"/>
    <w:rsid w:val="00FE0D9A"/>
    <w:rsid w:val="00FF1BA2"/>
    <w:rsid w:val="00FF1E5B"/>
    <w:rsid w:val="00FF2255"/>
    <w:rsid w:val="00FF436E"/>
    <w:rsid w:val="00FF43CB"/>
    <w:rsid w:val="00FF534A"/>
    <w:rsid w:val="00FF5A5A"/>
    <w:rsid w:val="022C2E84"/>
    <w:rsid w:val="02F6E0E9"/>
    <w:rsid w:val="03638EAD"/>
    <w:rsid w:val="0391207C"/>
    <w:rsid w:val="0407ACD1"/>
    <w:rsid w:val="040EF2DA"/>
    <w:rsid w:val="05A5D92D"/>
    <w:rsid w:val="064162CD"/>
    <w:rsid w:val="0668A048"/>
    <w:rsid w:val="07358969"/>
    <w:rsid w:val="07A03215"/>
    <w:rsid w:val="07AD5274"/>
    <w:rsid w:val="07B3AB22"/>
    <w:rsid w:val="0824DE84"/>
    <w:rsid w:val="086B1508"/>
    <w:rsid w:val="08F7D5C4"/>
    <w:rsid w:val="09B39C66"/>
    <w:rsid w:val="09C6100E"/>
    <w:rsid w:val="09EE18D2"/>
    <w:rsid w:val="0A6D49D0"/>
    <w:rsid w:val="0A7291FE"/>
    <w:rsid w:val="0B435ED7"/>
    <w:rsid w:val="0B879727"/>
    <w:rsid w:val="0BDDE469"/>
    <w:rsid w:val="0CAEBBA5"/>
    <w:rsid w:val="0CC8BEC0"/>
    <w:rsid w:val="0D73C2AF"/>
    <w:rsid w:val="0DA5355F"/>
    <w:rsid w:val="0E44D476"/>
    <w:rsid w:val="0EBAC482"/>
    <w:rsid w:val="0EC3C150"/>
    <w:rsid w:val="0F2CAF6C"/>
    <w:rsid w:val="0F5050E3"/>
    <w:rsid w:val="1069E64D"/>
    <w:rsid w:val="10DF79A1"/>
    <w:rsid w:val="11055B04"/>
    <w:rsid w:val="11317512"/>
    <w:rsid w:val="1145C214"/>
    <w:rsid w:val="11E5CDAE"/>
    <w:rsid w:val="1396720B"/>
    <w:rsid w:val="145E3FEF"/>
    <w:rsid w:val="148F1B02"/>
    <w:rsid w:val="14C5EC38"/>
    <w:rsid w:val="1635870D"/>
    <w:rsid w:val="17A871E5"/>
    <w:rsid w:val="17C535A6"/>
    <w:rsid w:val="19007DA2"/>
    <w:rsid w:val="19204315"/>
    <w:rsid w:val="19771695"/>
    <w:rsid w:val="19B5CA7C"/>
    <w:rsid w:val="19D56E3B"/>
    <w:rsid w:val="19F40283"/>
    <w:rsid w:val="1A69100D"/>
    <w:rsid w:val="1A94F477"/>
    <w:rsid w:val="1A9EE5A5"/>
    <w:rsid w:val="1AA1EC47"/>
    <w:rsid w:val="1B0E1A1E"/>
    <w:rsid w:val="1B287FEE"/>
    <w:rsid w:val="1B38AD73"/>
    <w:rsid w:val="1B8EEE99"/>
    <w:rsid w:val="1BA1DD90"/>
    <w:rsid w:val="1BF4FB02"/>
    <w:rsid w:val="1D3E95CB"/>
    <w:rsid w:val="1D93EB2B"/>
    <w:rsid w:val="1D96713B"/>
    <w:rsid w:val="1DAB3C1A"/>
    <w:rsid w:val="1EB1A03A"/>
    <w:rsid w:val="1F362B6F"/>
    <w:rsid w:val="1F57DF01"/>
    <w:rsid w:val="1FC9943B"/>
    <w:rsid w:val="1FF33965"/>
    <w:rsid w:val="20B6E99B"/>
    <w:rsid w:val="2109F078"/>
    <w:rsid w:val="22814F29"/>
    <w:rsid w:val="22ABE9F8"/>
    <w:rsid w:val="232BAE3D"/>
    <w:rsid w:val="235DA470"/>
    <w:rsid w:val="23CCF5B5"/>
    <w:rsid w:val="24192504"/>
    <w:rsid w:val="2528A6EC"/>
    <w:rsid w:val="26A12C26"/>
    <w:rsid w:val="26ADAE3F"/>
    <w:rsid w:val="28D6DEFC"/>
    <w:rsid w:val="28EA95EB"/>
    <w:rsid w:val="29C6A318"/>
    <w:rsid w:val="2A04C361"/>
    <w:rsid w:val="2B7AF1B4"/>
    <w:rsid w:val="2B93BD51"/>
    <w:rsid w:val="2BD32A12"/>
    <w:rsid w:val="2C2D8CAA"/>
    <w:rsid w:val="2C9AAD77"/>
    <w:rsid w:val="2CB0E1DA"/>
    <w:rsid w:val="2D10A5D7"/>
    <w:rsid w:val="2DE8B747"/>
    <w:rsid w:val="2E1C3639"/>
    <w:rsid w:val="2E87953C"/>
    <w:rsid w:val="2F3B5439"/>
    <w:rsid w:val="2F9579B7"/>
    <w:rsid w:val="303EA09B"/>
    <w:rsid w:val="3060A80D"/>
    <w:rsid w:val="306160BD"/>
    <w:rsid w:val="30B3EDCC"/>
    <w:rsid w:val="30EAE2F7"/>
    <w:rsid w:val="319809D0"/>
    <w:rsid w:val="3294AC57"/>
    <w:rsid w:val="32CA31DF"/>
    <w:rsid w:val="337C19DA"/>
    <w:rsid w:val="341F935C"/>
    <w:rsid w:val="342CBA7E"/>
    <w:rsid w:val="346F8EA9"/>
    <w:rsid w:val="3537C8AF"/>
    <w:rsid w:val="3685A831"/>
    <w:rsid w:val="37AB62A3"/>
    <w:rsid w:val="38AD23F4"/>
    <w:rsid w:val="392913C6"/>
    <w:rsid w:val="39BDE884"/>
    <w:rsid w:val="39C2E918"/>
    <w:rsid w:val="3A177491"/>
    <w:rsid w:val="3A21473A"/>
    <w:rsid w:val="3AD49881"/>
    <w:rsid w:val="3BA3D356"/>
    <w:rsid w:val="3BB531B4"/>
    <w:rsid w:val="3C411025"/>
    <w:rsid w:val="3C9820BB"/>
    <w:rsid w:val="3CE43B04"/>
    <w:rsid w:val="3D1284F7"/>
    <w:rsid w:val="3D4B343E"/>
    <w:rsid w:val="3E41B4B4"/>
    <w:rsid w:val="3E9E3F41"/>
    <w:rsid w:val="3F4EBB9A"/>
    <w:rsid w:val="3FBBE8D5"/>
    <w:rsid w:val="4045D6ED"/>
    <w:rsid w:val="40759C5E"/>
    <w:rsid w:val="4314A77E"/>
    <w:rsid w:val="4329C444"/>
    <w:rsid w:val="4359B3C2"/>
    <w:rsid w:val="4429A335"/>
    <w:rsid w:val="44918D06"/>
    <w:rsid w:val="44ACB1BC"/>
    <w:rsid w:val="450396EA"/>
    <w:rsid w:val="455EB4A7"/>
    <w:rsid w:val="4589B0E3"/>
    <w:rsid w:val="46FED786"/>
    <w:rsid w:val="47C849C6"/>
    <w:rsid w:val="49503A20"/>
    <w:rsid w:val="4A563718"/>
    <w:rsid w:val="4B55B331"/>
    <w:rsid w:val="4B821124"/>
    <w:rsid w:val="4BD869AD"/>
    <w:rsid w:val="4BF129CF"/>
    <w:rsid w:val="4C8A3D1C"/>
    <w:rsid w:val="4CE68EDB"/>
    <w:rsid w:val="4DE6F27B"/>
    <w:rsid w:val="4E159784"/>
    <w:rsid w:val="4E7CA757"/>
    <w:rsid w:val="4ED21F7C"/>
    <w:rsid w:val="4ED4D4DF"/>
    <w:rsid w:val="4ED9BAC1"/>
    <w:rsid w:val="4F2902A5"/>
    <w:rsid w:val="4F9BCAA3"/>
    <w:rsid w:val="4FC4A8D7"/>
    <w:rsid w:val="500BF3C8"/>
    <w:rsid w:val="50593752"/>
    <w:rsid w:val="50AE5681"/>
    <w:rsid w:val="50EA2699"/>
    <w:rsid w:val="50F77E90"/>
    <w:rsid w:val="511CD0BB"/>
    <w:rsid w:val="516D5BE0"/>
    <w:rsid w:val="51B1DF73"/>
    <w:rsid w:val="52B7F513"/>
    <w:rsid w:val="534F15A9"/>
    <w:rsid w:val="53CC7E7F"/>
    <w:rsid w:val="55660E90"/>
    <w:rsid w:val="55C30BF2"/>
    <w:rsid w:val="5691A7C6"/>
    <w:rsid w:val="56D4FA55"/>
    <w:rsid w:val="586432D0"/>
    <w:rsid w:val="595480EA"/>
    <w:rsid w:val="5B28D6BF"/>
    <w:rsid w:val="5D2B5B56"/>
    <w:rsid w:val="5D494C98"/>
    <w:rsid w:val="5D4C11AA"/>
    <w:rsid w:val="5DFB70E6"/>
    <w:rsid w:val="5E47780C"/>
    <w:rsid w:val="5E8DF9BB"/>
    <w:rsid w:val="5F669D44"/>
    <w:rsid w:val="60800378"/>
    <w:rsid w:val="60F01078"/>
    <w:rsid w:val="610772F1"/>
    <w:rsid w:val="610ED07B"/>
    <w:rsid w:val="6157CE6B"/>
    <w:rsid w:val="63339A89"/>
    <w:rsid w:val="63AC7A3F"/>
    <w:rsid w:val="6414A774"/>
    <w:rsid w:val="65FCB179"/>
    <w:rsid w:val="664E308A"/>
    <w:rsid w:val="667A9D47"/>
    <w:rsid w:val="6753300F"/>
    <w:rsid w:val="685A260F"/>
    <w:rsid w:val="68E25B81"/>
    <w:rsid w:val="6948C554"/>
    <w:rsid w:val="6954EF6F"/>
    <w:rsid w:val="695B9A1C"/>
    <w:rsid w:val="6A1588AB"/>
    <w:rsid w:val="6C0BE2D0"/>
    <w:rsid w:val="6D521580"/>
    <w:rsid w:val="6D61BAB6"/>
    <w:rsid w:val="6D64879F"/>
    <w:rsid w:val="6DB0FD8C"/>
    <w:rsid w:val="6DE53691"/>
    <w:rsid w:val="6E626CB2"/>
    <w:rsid w:val="6FE19D1E"/>
    <w:rsid w:val="6FFC1EA5"/>
    <w:rsid w:val="70189FB0"/>
    <w:rsid w:val="702AB973"/>
    <w:rsid w:val="703749BB"/>
    <w:rsid w:val="7196F66E"/>
    <w:rsid w:val="7230DEDB"/>
    <w:rsid w:val="72DF3FAA"/>
    <w:rsid w:val="730E7A66"/>
    <w:rsid w:val="73F42537"/>
    <w:rsid w:val="7414BC1B"/>
    <w:rsid w:val="7490930C"/>
    <w:rsid w:val="74C08DBC"/>
    <w:rsid w:val="755A9FFE"/>
    <w:rsid w:val="76EAE73E"/>
    <w:rsid w:val="785A407D"/>
    <w:rsid w:val="7AD4A716"/>
    <w:rsid w:val="7B5E687B"/>
    <w:rsid w:val="7B780F4E"/>
    <w:rsid w:val="7D19C89D"/>
    <w:rsid w:val="7D25FF41"/>
    <w:rsid w:val="7D331BE2"/>
    <w:rsid w:val="7D3398F0"/>
    <w:rsid w:val="7D8AABAD"/>
    <w:rsid w:val="7DAACC46"/>
    <w:rsid w:val="7E11E2BB"/>
    <w:rsid w:val="7E403DEA"/>
    <w:rsid w:val="7F4C60A6"/>
    <w:rsid w:val="7F62113D"/>
    <w:rsid w:val="7F7ABBE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742780"/>
  <w15:chartTrackingRefBased/>
  <w15:docId w15:val="{0A0B11D2-B2CC-4317-9451-772A4920A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4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804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04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04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04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04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04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04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04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4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804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04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04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04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04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04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04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0429"/>
    <w:rPr>
      <w:rFonts w:eastAsiaTheme="majorEastAsia" w:cstheme="majorBidi"/>
      <w:color w:val="272727" w:themeColor="text1" w:themeTint="D8"/>
    </w:rPr>
  </w:style>
  <w:style w:type="paragraph" w:styleId="Title">
    <w:name w:val="Title"/>
    <w:basedOn w:val="Normal"/>
    <w:next w:val="Normal"/>
    <w:link w:val="TitleChar"/>
    <w:uiPriority w:val="10"/>
    <w:qFormat/>
    <w:rsid w:val="007804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4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04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04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0429"/>
    <w:pPr>
      <w:spacing w:before="160"/>
      <w:jc w:val="center"/>
    </w:pPr>
    <w:rPr>
      <w:i/>
      <w:iCs/>
      <w:color w:val="404040" w:themeColor="text1" w:themeTint="BF"/>
    </w:rPr>
  </w:style>
  <w:style w:type="character" w:customStyle="1" w:styleId="QuoteChar">
    <w:name w:val="Quote Char"/>
    <w:basedOn w:val="DefaultParagraphFont"/>
    <w:link w:val="Quote"/>
    <w:uiPriority w:val="29"/>
    <w:rsid w:val="00780429"/>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780429"/>
    <w:pPr>
      <w:ind w:left="720"/>
      <w:contextualSpacing/>
    </w:pPr>
  </w:style>
  <w:style w:type="character" w:styleId="IntenseEmphasis">
    <w:name w:val="Intense Emphasis"/>
    <w:basedOn w:val="DefaultParagraphFont"/>
    <w:uiPriority w:val="21"/>
    <w:qFormat/>
    <w:rsid w:val="00780429"/>
    <w:rPr>
      <w:i/>
      <w:iCs/>
      <w:color w:val="2F5496" w:themeColor="accent1" w:themeShade="BF"/>
    </w:rPr>
  </w:style>
  <w:style w:type="paragraph" w:styleId="IntenseQuote">
    <w:name w:val="Intense Quote"/>
    <w:basedOn w:val="Normal"/>
    <w:next w:val="Normal"/>
    <w:link w:val="IntenseQuoteChar"/>
    <w:uiPriority w:val="30"/>
    <w:qFormat/>
    <w:rsid w:val="007804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0429"/>
    <w:rPr>
      <w:i/>
      <w:iCs/>
      <w:color w:val="2F5496" w:themeColor="accent1" w:themeShade="BF"/>
    </w:rPr>
  </w:style>
  <w:style w:type="character" w:styleId="IntenseReference">
    <w:name w:val="Intense Reference"/>
    <w:basedOn w:val="DefaultParagraphFont"/>
    <w:uiPriority w:val="32"/>
    <w:qFormat/>
    <w:rsid w:val="00780429"/>
    <w:rPr>
      <w:b/>
      <w:bCs/>
      <w:smallCaps/>
      <w:color w:val="2F5496" w:themeColor="accent1" w:themeShade="BF"/>
      <w:spacing w:val="5"/>
    </w:rPr>
  </w:style>
  <w:style w:type="paragraph" w:styleId="Caption">
    <w:name w:val="caption"/>
    <w:basedOn w:val="Normal"/>
    <w:next w:val="Normal"/>
    <w:uiPriority w:val="35"/>
    <w:unhideWhenUsed/>
    <w:qFormat/>
    <w:rsid w:val="00D64EE9"/>
    <w:pPr>
      <w:spacing w:after="200" w:line="240" w:lineRule="auto"/>
    </w:pPr>
    <w:rPr>
      <w:i/>
      <w:iCs/>
      <w:color w:val="44546A" w:themeColor="text2"/>
      <w:sz w:val="18"/>
      <w:szCs w:val="18"/>
    </w:rPr>
  </w:style>
  <w:style w:type="character" w:styleId="Hyperlink">
    <w:name w:val="Hyperlink"/>
    <w:basedOn w:val="DefaultParagraphFont"/>
    <w:uiPriority w:val="99"/>
    <w:unhideWhenUsed/>
    <w:rsid w:val="00D64EE9"/>
    <w:rPr>
      <w:color w:val="0563C1" w:themeColor="hyperlink"/>
      <w:u w:val="single"/>
    </w:rPr>
  </w:style>
  <w:style w:type="character" w:styleId="UnresolvedMention">
    <w:name w:val="Unresolved Mention"/>
    <w:basedOn w:val="DefaultParagraphFont"/>
    <w:uiPriority w:val="99"/>
    <w:semiHidden/>
    <w:unhideWhenUsed/>
    <w:rsid w:val="00D64EE9"/>
    <w:rPr>
      <w:color w:val="605E5C"/>
      <w:shd w:val="clear" w:color="auto" w:fill="E1DFDD"/>
    </w:rPr>
  </w:style>
  <w:style w:type="paragraph" w:styleId="Header">
    <w:name w:val="header"/>
    <w:basedOn w:val="Normal"/>
    <w:link w:val="HeaderChar"/>
    <w:uiPriority w:val="99"/>
    <w:unhideWhenUsed/>
    <w:rsid w:val="00A01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B62"/>
  </w:style>
  <w:style w:type="paragraph" w:styleId="Footer">
    <w:name w:val="footer"/>
    <w:basedOn w:val="Normal"/>
    <w:link w:val="FooterChar"/>
    <w:uiPriority w:val="99"/>
    <w:unhideWhenUsed/>
    <w:rsid w:val="00A01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B62"/>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36475"/>
  </w:style>
  <w:style w:type="paragraph" w:styleId="NormalWeb">
    <w:name w:val="Normal (Web)"/>
    <w:basedOn w:val="Normal"/>
    <w:uiPriority w:val="99"/>
    <w:unhideWhenUsed/>
    <w:rsid w:val="001F00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normal">
    <w:name w:val="whitespace-normal"/>
    <w:basedOn w:val="DefaultParagraphFont"/>
    <w:rsid w:val="00A63070"/>
  </w:style>
  <w:style w:type="character" w:styleId="FollowedHyperlink">
    <w:name w:val="FollowedHyperlink"/>
    <w:basedOn w:val="DefaultParagraphFont"/>
    <w:uiPriority w:val="99"/>
    <w:semiHidden/>
    <w:unhideWhenUsed/>
    <w:rsid w:val="00FB77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zeronetworks.com/resource-center/infographics/how-microsegmentation-powers-nis2" TargetMode="External"/><Relationship Id="rId2" Type="http://schemas.openxmlformats.org/officeDocument/2006/relationships/numbering" Target="numbering.xml"/><Relationship Id="rId16" Type="http://schemas.openxmlformats.org/officeDocument/2006/relationships/hyperlink" Target="https://www.derisk.lu/digital-operational-resilience-ac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hyperlink" Target="https://www.cookieyes.com/infographics/7-principles-of-gdpr/"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6T06:02:16.195"/>
    </inkml:context>
    <inkml:brush xml:id="br0">
      <inkml:brushProperty name="width" value="0.025" units="cm"/>
      <inkml:brushProperty name="height" value="0.025" units="cm"/>
    </inkml:brush>
  </inkml:definitions>
  <inkml:trace contextRef="#ctx0" brushRef="#br0">87 4012 3281,'-3'4'726,"2"-3"-595,0 0-1,0 1 1,0-1-1,0 0 1,0 1-1,1-1 1,-1 1-1,0-1 1,1 1-1,-1 0 1,1-1-1,-1 1 1,1-1-1,0 1 1,-1 0-1,1-1 1,0 1-1,1 3 1,2-22 1614,-6 0-1748,3 15 11,0-1 0,0 1 0,-1-1 0,1 1 0,-1-1 0,0 1-1,0-1 1,-1-2 0,1 3 22,-1-1 0,1 1 0,1-1 0,-1 1 0,0-1 0,0 0 1,1 1-1,0-1 0,0 0 0,-1 0 0,2-3 0,3-39 33,0 14 118,0-197 1870,0 58-1727,1 65-280,-3 46-18,-2-85 25,-6 39-34,-8-64 15,-4-28 14,-5-42 229,17 191-5,2 1 0,3-54 1,-2-46 3,-4 42-266,5 0 1,5 1-1,18-122 0,-8 30-65,4 47-12,16-113 63,34-29 110,-32 150-12,-11 14-88,-19 86-73,3 0 0,1 0 0,18-48 0,-17 57 56,-9 26 13,1 1 0,0-1 0,0 1 0,0-1 0,5-9 0,7-12 38,-14 26-34,1 0 1,-1-1-1,0 1 1,0 0-1,1 0 1,-1-1-1,0 1 1,0 0-1,0 0 1,0-1-1,-1 1 1,1 0-1,0 0 1,0 0-1,-1-1 1,1 1 0,-1 0-1,1 0 1,-2-2-1,2 3-3,0 0 1,0-1-1,-1 1 1,1 0-1,0 0 1,0-1-1,0 1 0,0 0 1,-1 0-1,1-1 1,0 1-1,0 0 1,0 0-1,0-1 0,0 1 1,0 0-1,0 0 1,0-1-1,0 1 1,0 0-1,0-1 0,0 1 1,0 0-1,0 0 1,0-1-1,0 1 1,0 0-1,0 0 0,0-1 1,0 1-1,0 0 1,1 0-1,-1-1 1,0 1-1,0 0 0,0 0 1,0-1-1,1 1 1,-1 0-1,0 0 1,0 0-1,0-1 0,1 1 1,-1 0-1,0 0 1,0 0-1,1 0 1,4-6 30,-21-18-119,-1 0-4777,13 16 1079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072EC4-E509-4049-9527-C80B2F01B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6163</Words>
  <Characters>41047</Characters>
  <Application>Microsoft Office Word</Application>
  <DocSecurity>0</DocSecurity>
  <Lines>977</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46950</CharactersWithSpaces>
  <SharedDoc>false</SharedDoc>
  <HLinks>
    <vt:vector size="72" baseType="variant">
      <vt:variant>
        <vt:i4>8126516</vt:i4>
      </vt:variant>
      <vt:variant>
        <vt:i4>6</vt:i4>
      </vt:variant>
      <vt:variant>
        <vt:i4>0</vt:i4>
      </vt:variant>
      <vt:variant>
        <vt:i4>5</vt:i4>
      </vt:variant>
      <vt:variant>
        <vt:lpwstr>https://zeronetworks.com/resource-center/infographics/how-microsegmentation-powers-nis2</vt:lpwstr>
      </vt:variant>
      <vt:variant>
        <vt:lpwstr/>
      </vt:variant>
      <vt:variant>
        <vt:i4>917568</vt:i4>
      </vt:variant>
      <vt:variant>
        <vt:i4>3</vt:i4>
      </vt:variant>
      <vt:variant>
        <vt:i4>0</vt:i4>
      </vt:variant>
      <vt:variant>
        <vt:i4>5</vt:i4>
      </vt:variant>
      <vt:variant>
        <vt:lpwstr>https://www.derisk.lu/digital-operational-resilience-act/</vt:lpwstr>
      </vt:variant>
      <vt:variant>
        <vt:lpwstr/>
      </vt:variant>
      <vt:variant>
        <vt:i4>1048607</vt:i4>
      </vt:variant>
      <vt:variant>
        <vt:i4>0</vt:i4>
      </vt:variant>
      <vt:variant>
        <vt:i4>0</vt:i4>
      </vt:variant>
      <vt:variant>
        <vt:i4>5</vt:i4>
      </vt:variant>
      <vt:variant>
        <vt:lpwstr>https://www.cookieyes.com/infographics/7-principles-of-gdpr/</vt:lpwstr>
      </vt:variant>
      <vt:variant>
        <vt:lpwstr/>
      </vt:variant>
      <vt:variant>
        <vt:i4>8126516</vt:i4>
      </vt:variant>
      <vt:variant>
        <vt:i4>6</vt:i4>
      </vt:variant>
      <vt:variant>
        <vt:i4>0</vt:i4>
      </vt:variant>
      <vt:variant>
        <vt:i4>5</vt:i4>
      </vt:variant>
      <vt:variant>
        <vt:lpwstr>https://zeronetworks.com/resource-center/infographics/how-microsegmentation-powers-nis2</vt:lpwstr>
      </vt:variant>
      <vt:variant>
        <vt:lpwstr/>
      </vt:variant>
      <vt:variant>
        <vt:i4>917568</vt:i4>
      </vt:variant>
      <vt:variant>
        <vt:i4>3</vt:i4>
      </vt:variant>
      <vt:variant>
        <vt:i4>0</vt:i4>
      </vt:variant>
      <vt:variant>
        <vt:i4>5</vt:i4>
      </vt:variant>
      <vt:variant>
        <vt:lpwstr>https://www.derisk.lu/digital-operational-resilience-act/</vt:lpwstr>
      </vt:variant>
      <vt:variant>
        <vt:lpwstr/>
      </vt:variant>
      <vt:variant>
        <vt:i4>1048607</vt:i4>
      </vt:variant>
      <vt:variant>
        <vt:i4>0</vt:i4>
      </vt:variant>
      <vt:variant>
        <vt:i4>0</vt:i4>
      </vt:variant>
      <vt:variant>
        <vt:i4>5</vt:i4>
      </vt:variant>
      <vt:variant>
        <vt:lpwstr>https://www.cookieyes.com/infographics/7-principles-of-gdpr/</vt:lpwstr>
      </vt:variant>
      <vt:variant>
        <vt:lpwstr/>
      </vt:variant>
      <vt:variant>
        <vt:i4>8126516</vt:i4>
      </vt:variant>
      <vt:variant>
        <vt:i4>6</vt:i4>
      </vt:variant>
      <vt:variant>
        <vt:i4>0</vt:i4>
      </vt:variant>
      <vt:variant>
        <vt:i4>5</vt:i4>
      </vt:variant>
      <vt:variant>
        <vt:lpwstr>https://zeronetworks.com/resource-center/infographics/how-microsegmentation-powers-nis2</vt:lpwstr>
      </vt:variant>
      <vt:variant>
        <vt:lpwstr/>
      </vt:variant>
      <vt:variant>
        <vt:i4>917568</vt:i4>
      </vt:variant>
      <vt:variant>
        <vt:i4>3</vt:i4>
      </vt:variant>
      <vt:variant>
        <vt:i4>0</vt:i4>
      </vt:variant>
      <vt:variant>
        <vt:i4>5</vt:i4>
      </vt:variant>
      <vt:variant>
        <vt:lpwstr>https://www.derisk.lu/digital-operational-resilience-act/</vt:lpwstr>
      </vt:variant>
      <vt:variant>
        <vt:lpwstr/>
      </vt:variant>
      <vt:variant>
        <vt:i4>1048607</vt:i4>
      </vt:variant>
      <vt:variant>
        <vt:i4>0</vt:i4>
      </vt:variant>
      <vt:variant>
        <vt:i4>0</vt:i4>
      </vt:variant>
      <vt:variant>
        <vt:i4>5</vt:i4>
      </vt:variant>
      <vt:variant>
        <vt:lpwstr>https://www.cookieyes.com/infographics/7-principles-of-gdpr/</vt:lpwstr>
      </vt:variant>
      <vt:variant>
        <vt:lpwstr/>
      </vt:variant>
      <vt:variant>
        <vt:i4>8126516</vt:i4>
      </vt:variant>
      <vt:variant>
        <vt:i4>6</vt:i4>
      </vt:variant>
      <vt:variant>
        <vt:i4>0</vt:i4>
      </vt:variant>
      <vt:variant>
        <vt:i4>5</vt:i4>
      </vt:variant>
      <vt:variant>
        <vt:lpwstr>https://zeronetworks.com/resource-center/infographics/how-microsegmentation-powers-nis2</vt:lpwstr>
      </vt:variant>
      <vt:variant>
        <vt:lpwstr/>
      </vt:variant>
      <vt:variant>
        <vt:i4>917568</vt:i4>
      </vt:variant>
      <vt:variant>
        <vt:i4>3</vt:i4>
      </vt:variant>
      <vt:variant>
        <vt:i4>0</vt:i4>
      </vt:variant>
      <vt:variant>
        <vt:i4>5</vt:i4>
      </vt:variant>
      <vt:variant>
        <vt:lpwstr>https://www.derisk.lu/digital-operational-resilience-act/</vt:lpwstr>
      </vt:variant>
      <vt:variant>
        <vt:lpwstr/>
      </vt:variant>
      <vt:variant>
        <vt:i4>1048607</vt:i4>
      </vt:variant>
      <vt:variant>
        <vt:i4>0</vt:i4>
      </vt:variant>
      <vt:variant>
        <vt:i4>0</vt:i4>
      </vt:variant>
      <vt:variant>
        <vt:i4>5</vt:i4>
      </vt:variant>
      <vt:variant>
        <vt:lpwstr>https://www.cookieyes.com/infographics/7-principles-of-gdpr/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 Morgan (2407864)</dc:creator>
  <cp:keywords/>
  <dc:description/>
  <cp:lastModifiedBy>Micha Morgan (2407864)</cp:lastModifiedBy>
  <cp:revision>2</cp:revision>
  <dcterms:created xsi:type="dcterms:W3CDTF">2026-04-08T10:28:00Z</dcterms:created>
  <dcterms:modified xsi:type="dcterms:W3CDTF">2026-04-08T10:28:00Z</dcterms:modified>
</cp:coreProperties>
</file>