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508"/>
        <w:gridCol w:w="4508"/>
      </w:tblGrid>
      <w:tr w:rsidR="006A7A2E" w:rsidRPr="00B718CE" w14:paraId="366790E1" w14:textId="77777777" w:rsidTr="008E4B24">
        <w:tc>
          <w:tcPr>
            <w:tcW w:w="4508" w:type="dxa"/>
          </w:tcPr>
          <w:p w14:paraId="07AB1981" w14:textId="77777777" w:rsidR="006A7A2E" w:rsidRPr="00B718CE" w:rsidRDefault="006A7A2E" w:rsidP="008E4B24">
            <w:pPr>
              <w:rPr>
                <w:rFonts w:ascii="Arial" w:hAnsi="Arial" w:cs="Arial"/>
                <w:sz w:val="28"/>
                <w:szCs w:val="28"/>
              </w:rPr>
            </w:pPr>
            <w:r w:rsidRPr="00B718CE">
              <w:rPr>
                <w:rStyle w:val="None"/>
                <w:rFonts w:ascii="Arial" w:hAnsi="Arial" w:cs="Arial"/>
                <w:sz w:val="28"/>
                <w:szCs w:val="28"/>
                <w:lang w:val="en-US"/>
              </w:rPr>
              <w:t>Module:</w:t>
            </w:r>
          </w:p>
        </w:tc>
        <w:tc>
          <w:tcPr>
            <w:tcW w:w="4508" w:type="dxa"/>
          </w:tcPr>
          <w:p w14:paraId="49FE2894" w14:textId="77777777" w:rsidR="006A7A2E" w:rsidRPr="00B718CE" w:rsidRDefault="006A7A2E" w:rsidP="008E4B24">
            <w:pPr>
              <w:rPr>
                <w:rFonts w:ascii="Arial" w:hAnsi="Arial" w:cs="Arial"/>
                <w:sz w:val="28"/>
                <w:szCs w:val="28"/>
              </w:rPr>
            </w:pPr>
            <w:r w:rsidRPr="00B718CE">
              <w:rPr>
                <w:rStyle w:val="None"/>
                <w:rFonts w:ascii="Arial" w:hAnsi="Arial" w:cs="Arial"/>
                <w:sz w:val="28"/>
                <w:szCs w:val="28"/>
                <w:lang w:val="en-US"/>
              </w:rPr>
              <w:t>Problem Solving and Innovation</w:t>
            </w:r>
          </w:p>
        </w:tc>
      </w:tr>
      <w:tr w:rsidR="006A7A2E" w:rsidRPr="00B718CE" w14:paraId="27367514" w14:textId="77777777" w:rsidTr="008E4B24">
        <w:tc>
          <w:tcPr>
            <w:tcW w:w="4508" w:type="dxa"/>
          </w:tcPr>
          <w:p w14:paraId="3E2DDCC8" w14:textId="77777777" w:rsidR="006A7A2E" w:rsidRPr="00B718CE" w:rsidRDefault="006A7A2E" w:rsidP="008E4B24">
            <w:pPr>
              <w:rPr>
                <w:rFonts w:ascii="Arial" w:hAnsi="Arial" w:cs="Arial"/>
                <w:sz w:val="28"/>
                <w:szCs w:val="28"/>
              </w:rPr>
            </w:pPr>
            <w:r w:rsidRPr="00B718CE">
              <w:rPr>
                <w:rFonts w:ascii="Arial" w:hAnsi="Arial" w:cs="Arial"/>
                <w:sz w:val="28"/>
                <w:szCs w:val="28"/>
              </w:rPr>
              <w:t>St</w:t>
            </w:r>
            <w:r w:rsidRPr="00B718CE">
              <w:rPr>
                <w:rFonts w:cs="Arial"/>
                <w:sz w:val="28"/>
                <w:szCs w:val="28"/>
              </w:rPr>
              <w:t>udent name</w:t>
            </w:r>
          </w:p>
        </w:tc>
        <w:tc>
          <w:tcPr>
            <w:tcW w:w="4508" w:type="dxa"/>
          </w:tcPr>
          <w:p w14:paraId="007BC4B8" w14:textId="464B2022" w:rsidR="006A7A2E" w:rsidRPr="00B718CE" w:rsidRDefault="006A7A2E" w:rsidP="008E4B24">
            <w:pPr>
              <w:rPr>
                <w:rFonts w:ascii="Arial" w:hAnsi="Arial" w:cs="Arial"/>
                <w:sz w:val="28"/>
                <w:szCs w:val="28"/>
              </w:rPr>
            </w:pPr>
            <w:r>
              <w:rPr>
                <w:sz w:val="28"/>
                <w:szCs w:val="28"/>
                <w:u w:val="single"/>
              </w:rPr>
              <w:t>Andrada Alexandra Sabou</w:t>
            </w:r>
          </w:p>
        </w:tc>
      </w:tr>
      <w:tr w:rsidR="006A7A2E" w:rsidRPr="00B718CE" w14:paraId="6E3EFD44" w14:textId="77777777" w:rsidTr="008E4B24">
        <w:tc>
          <w:tcPr>
            <w:tcW w:w="4508" w:type="dxa"/>
          </w:tcPr>
          <w:p w14:paraId="6F363683" w14:textId="77777777" w:rsidR="006A7A2E" w:rsidRPr="00B718CE" w:rsidRDefault="006A7A2E" w:rsidP="008E4B24">
            <w:pPr>
              <w:rPr>
                <w:rFonts w:ascii="Arial" w:hAnsi="Arial" w:cs="Arial"/>
                <w:sz w:val="28"/>
                <w:szCs w:val="28"/>
              </w:rPr>
            </w:pPr>
            <w:r>
              <w:rPr>
                <w:rFonts w:ascii="Arial" w:hAnsi="Arial" w:cs="Arial"/>
                <w:sz w:val="28"/>
                <w:szCs w:val="28"/>
              </w:rPr>
              <w:t>student number</w:t>
            </w:r>
          </w:p>
        </w:tc>
        <w:tc>
          <w:tcPr>
            <w:tcW w:w="4508" w:type="dxa"/>
          </w:tcPr>
          <w:p w14:paraId="0DD6386A" w14:textId="0E8E2168" w:rsidR="006A7A2E" w:rsidRPr="00B718CE" w:rsidRDefault="006A7A2E" w:rsidP="008E4B24">
            <w:pPr>
              <w:rPr>
                <w:rFonts w:ascii="Arial" w:hAnsi="Arial" w:cs="Arial"/>
                <w:sz w:val="28"/>
                <w:szCs w:val="28"/>
              </w:rPr>
            </w:pPr>
            <w:r w:rsidRPr="006A7A2E">
              <w:rPr>
                <w:rFonts w:ascii="Arial" w:hAnsi="Arial" w:cs="Arial"/>
                <w:sz w:val="28"/>
                <w:szCs w:val="28"/>
                <w:lang w:val="en-US"/>
              </w:rPr>
              <w:t>2324150</w:t>
            </w:r>
          </w:p>
        </w:tc>
      </w:tr>
      <w:tr w:rsidR="006A7A2E" w:rsidRPr="00B718CE" w14:paraId="3EDE6AA1" w14:textId="77777777" w:rsidTr="008E4B24">
        <w:tc>
          <w:tcPr>
            <w:tcW w:w="4508" w:type="dxa"/>
          </w:tcPr>
          <w:p w14:paraId="018713D7" w14:textId="77777777" w:rsidR="006A7A2E" w:rsidRPr="00B718CE" w:rsidRDefault="006A7A2E" w:rsidP="008E4B24">
            <w:pPr>
              <w:rPr>
                <w:rFonts w:ascii="Arial" w:hAnsi="Arial" w:cs="Arial"/>
                <w:sz w:val="28"/>
                <w:szCs w:val="28"/>
              </w:rPr>
            </w:pPr>
            <w:r w:rsidRPr="00B718CE">
              <w:rPr>
                <w:rFonts w:ascii="Arial" w:hAnsi="Arial" w:cs="Arial"/>
                <w:sz w:val="28"/>
                <w:szCs w:val="28"/>
              </w:rPr>
              <w:t xml:space="preserve">words count </w:t>
            </w:r>
          </w:p>
        </w:tc>
        <w:tc>
          <w:tcPr>
            <w:tcW w:w="4508" w:type="dxa"/>
          </w:tcPr>
          <w:p w14:paraId="3610D594" w14:textId="77777777" w:rsidR="006A7A2E" w:rsidRPr="00B718CE" w:rsidRDefault="006A7A2E" w:rsidP="008E4B24">
            <w:pPr>
              <w:tabs>
                <w:tab w:val="left" w:pos="1260"/>
              </w:tabs>
              <w:rPr>
                <w:rFonts w:ascii="Arial" w:hAnsi="Arial" w:cs="Arial"/>
                <w:sz w:val="28"/>
                <w:szCs w:val="28"/>
              </w:rPr>
            </w:pPr>
            <w:r>
              <w:rPr>
                <w:rFonts w:ascii="Arial" w:hAnsi="Arial" w:cs="Arial"/>
                <w:sz w:val="28"/>
                <w:szCs w:val="28"/>
              </w:rPr>
              <w:t>1430</w:t>
            </w:r>
          </w:p>
        </w:tc>
      </w:tr>
    </w:tbl>
    <w:p w14:paraId="4D457C7C" w14:textId="77777777" w:rsidR="00266595" w:rsidRDefault="00266595"/>
    <w:p w14:paraId="1CE713FC" w14:textId="77777777" w:rsidR="006A7A2E" w:rsidRPr="006A7A2E" w:rsidRDefault="006A7A2E" w:rsidP="006A7A2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hu-HU"/>
          <w14:ligatures w14:val="none"/>
        </w:rPr>
      </w:pPr>
      <w:r w:rsidRPr="006A7A2E">
        <w:rPr>
          <w:rFonts w:ascii="Times New Roman" w:eastAsia="Times New Roman" w:hAnsi="Times New Roman" w:cs="Times New Roman"/>
          <w:b/>
          <w:bCs/>
          <w:kern w:val="36"/>
          <w:sz w:val="48"/>
          <w:szCs w:val="48"/>
          <w:lang w:eastAsia="hu-HU"/>
          <w14:ligatures w14:val="none"/>
        </w:rPr>
        <w:t>An Analysis of the Factors Impacting The Body Shop</w:t>
      </w:r>
    </w:p>
    <w:p w14:paraId="5E5637EC" w14:textId="77777777" w:rsidR="006A7A2E" w:rsidRPr="006A7A2E" w:rsidRDefault="006A7A2E" w:rsidP="006A7A2E">
      <w:pPr>
        <w:spacing w:before="100" w:beforeAutospacing="1" w:after="100" w:afterAutospacing="1" w:line="240" w:lineRule="auto"/>
        <w:outlineLvl w:val="1"/>
        <w:rPr>
          <w:rFonts w:ascii="Times New Roman" w:eastAsia="Times New Roman" w:hAnsi="Times New Roman" w:cs="Times New Roman"/>
          <w:b/>
          <w:bCs/>
          <w:sz w:val="36"/>
          <w:szCs w:val="36"/>
          <w:lang w:eastAsia="hu-HU"/>
          <w14:ligatures w14:val="none"/>
        </w:rPr>
      </w:pPr>
      <w:r w:rsidRPr="006A7A2E">
        <w:rPr>
          <w:rFonts w:ascii="Times New Roman" w:eastAsia="Times New Roman" w:hAnsi="Times New Roman" w:cs="Times New Roman"/>
          <w:b/>
          <w:bCs/>
          <w:sz w:val="36"/>
          <w:szCs w:val="36"/>
          <w:lang w:eastAsia="hu-HU"/>
          <w14:ligatures w14:val="none"/>
        </w:rPr>
        <w:t>Introduction</w:t>
      </w:r>
    </w:p>
    <w:p w14:paraId="004C78E3" w14:textId="39B9AF2C" w:rsidR="00B92787" w:rsidRDefault="00B92787" w:rsidP="00B92787">
      <w:pPr>
        <w:pStyle w:val="NormalWeb"/>
      </w:pPr>
      <w:r>
        <w:t>Anita Roddick founded The Body Shop in 1976 in Brighton, England, envisioning a beauty and cosmetics brand grounded in ethical practices and natural ingredients. The company swiftly built a reputation for its pioneering cruelty-free and environmentally sustainable products, distinguishing itself in an industry frequently criticized for its environmental and ethical lapses. Today, The Body Shop boasts over 3,000 stores across more than 70 countries, maintaining a steadfast commitment to sustainability, fair trade, and social activism (Smith, 2021</w:t>
      </w:r>
    </w:p>
    <w:p w14:paraId="696FAC21" w14:textId="00B852AC" w:rsidR="006A7A2E" w:rsidRPr="006A7A2E" w:rsidRDefault="006A7A2E" w:rsidP="006A7A2E">
      <w:pPr>
        <w:spacing w:before="100" w:beforeAutospacing="1" w:after="100" w:afterAutospacing="1" w:line="240" w:lineRule="auto"/>
        <w:outlineLvl w:val="2"/>
        <w:rPr>
          <w:rFonts w:ascii="Times New Roman" w:eastAsia="Times New Roman" w:hAnsi="Times New Roman" w:cs="Times New Roman"/>
          <w:b/>
          <w:bCs/>
          <w:sz w:val="27"/>
          <w:szCs w:val="27"/>
          <w:lang w:eastAsia="hu-HU"/>
          <w14:ligatures w14:val="none"/>
        </w:rPr>
      </w:pPr>
      <w:r w:rsidRPr="006A7A2E">
        <w:rPr>
          <w:rFonts w:ascii="Times New Roman" w:eastAsia="Times New Roman" w:hAnsi="Times New Roman" w:cs="Times New Roman"/>
          <w:b/>
          <w:bCs/>
          <w:sz w:val="27"/>
          <w:szCs w:val="27"/>
          <w:lang w:eastAsia="hu-HU"/>
          <w14:ligatures w14:val="none"/>
        </w:rPr>
        <w:t>SWOT Analysis</w:t>
      </w:r>
    </w:p>
    <w:p w14:paraId="491B88E8" w14:textId="77777777" w:rsidR="00B92787" w:rsidRPr="00B92787" w:rsidRDefault="00B92787" w:rsidP="00B92787">
      <w:pPr>
        <w:spacing w:after="0" w:line="240" w:lineRule="auto"/>
        <w:rPr>
          <w:rFonts w:ascii="Times New Roman" w:eastAsia="Times New Roman" w:hAnsi="Times New Roman" w:cs="Times New Roman"/>
          <w:sz w:val="24"/>
          <w:szCs w:val="24"/>
          <w:lang w:eastAsia="hu-HU"/>
          <w14:ligatures w14:val="none"/>
        </w:rPr>
      </w:pPr>
      <w:r w:rsidRPr="00B92787">
        <w:rPr>
          <w:rFonts w:ascii="Times New Roman" w:eastAsia="Times New Roman" w:hAnsi="Times New Roman" w:cs="Times New Roman"/>
          <w:sz w:val="24"/>
          <w:szCs w:val="24"/>
          <w:lang w:eastAsia="hu-HU"/>
          <w14:ligatures w14:val="none"/>
        </w:rPr>
        <w:t>A SWOT analysis identifies a company's internal strengths and weaknesses, as well as external opportunities and threats. The Body Shop's assets include a strong brand identification and a dedicated consumer base that respects the company's ethical position. The vulnerabilities include financial insecurity and a reliance on physical outlets in an increasingly digital economy. Opportunities exist for increasing internet visibility and tapping into the burgeoning market for sustainable products. However, factors like as economic downturns, legal changes, and fierce rivalry from other ethical businesses present substantial obstacles (Smith, 2021; Jones &amp; Williams, 2019).</w:t>
      </w:r>
    </w:p>
    <w:p w14:paraId="7AAD376D" w14:textId="77777777" w:rsidR="006A7A2E" w:rsidRPr="006A7A2E" w:rsidRDefault="006A7A2E" w:rsidP="006A7A2E">
      <w:pPr>
        <w:spacing w:before="100" w:beforeAutospacing="1" w:after="100" w:afterAutospacing="1" w:line="240" w:lineRule="auto"/>
        <w:outlineLvl w:val="2"/>
        <w:rPr>
          <w:rFonts w:ascii="Times New Roman" w:eastAsia="Times New Roman" w:hAnsi="Times New Roman" w:cs="Times New Roman"/>
          <w:b/>
          <w:bCs/>
          <w:sz w:val="27"/>
          <w:szCs w:val="27"/>
          <w:lang w:eastAsia="hu-HU"/>
          <w14:ligatures w14:val="none"/>
        </w:rPr>
      </w:pPr>
      <w:r w:rsidRPr="006A7A2E">
        <w:rPr>
          <w:rFonts w:ascii="Times New Roman" w:eastAsia="Times New Roman" w:hAnsi="Times New Roman" w:cs="Times New Roman"/>
          <w:b/>
          <w:bCs/>
          <w:sz w:val="27"/>
          <w:szCs w:val="27"/>
          <w:lang w:eastAsia="hu-HU"/>
          <w14:ligatures w14:val="none"/>
        </w:rPr>
        <w:t>PESTLE Analysis</w:t>
      </w:r>
    </w:p>
    <w:p w14:paraId="6234549F" w14:textId="77777777" w:rsidR="006A7A2E" w:rsidRPr="006A7A2E" w:rsidRDefault="006A7A2E" w:rsidP="006A7A2E">
      <w:pPr>
        <w:spacing w:before="100" w:beforeAutospacing="1" w:after="100" w:afterAutospacing="1" w:line="240" w:lineRule="auto"/>
        <w:outlineLvl w:val="3"/>
        <w:rPr>
          <w:rFonts w:ascii="Times New Roman" w:eastAsia="Times New Roman" w:hAnsi="Times New Roman" w:cs="Times New Roman"/>
          <w:b/>
          <w:bCs/>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Definition and Advantages/Disadvantages</w:t>
      </w:r>
    </w:p>
    <w:p w14:paraId="6560C96C" w14:textId="1C417C0B" w:rsidR="00B92787" w:rsidRPr="00AA2262" w:rsidRDefault="00AA2262" w:rsidP="00B92787">
      <w:pPr>
        <w:spacing w:after="0" w:line="240" w:lineRule="auto"/>
        <w:rPr>
          <w:rFonts w:ascii="Times New Roman" w:eastAsia="Times New Roman" w:hAnsi="Times New Roman" w:cs="Times New Roman"/>
          <w:sz w:val="24"/>
          <w:szCs w:val="24"/>
          <w:lang w:val="en-GB" w:eastAsia="en-GB"/>
          <w14:ligatures w14:val="none"/>
        </w:rPr>
      </w:pPr>
      <w:r w:rsidRPr="00AA2262">
        <w:rPr>
          <w:rFonts w:ascii="Times New Roman" w:eastAsia="Times New Roman" w:hAnsi="Times New Roman" w:cs="Times New Roman"/>
          <w:sz w:val="24"/>
          <w:szCs w:val="24"/>
          <w:lang w:val="en-GB" w:eastAsia="en-GB"/>
          <w14:ligatures w14:val="none"/>
        </w:rPr>
        <w:t>A PESTLE study is a strategic technique that can be used to identify and assess external macro-environmental variables that may have an impact on a company. PESTLE stands for Political, Economic, Social, Technological, Legal, and Environmental aspects. The primary advantage of a PESTLE analysis is its ability to provide a comprehensive picture of external influences affecting a business, which aids in risk management and strategic planning. However, because these parameters are dynamic, it may need to be changed frequently and take a long ti</w:t>
      </w:r>
      <w:r>
        <w:rPr>
          <w:rFonts w:ascii="Times New Roman" w:eastAsia="Times New Roman" w:hAnsi="Times New Roman" w:cs="Times New Roman"/>
          <w:sz w:val="24"/>
          <w:szCs w:val="24"/>
          <w:lang w:val="en-GB" w:eastAsia="en-GB"/>
          <w14:ligatures w14:val="none"/>
        </w:rPr>
        <w:t>me.</w:t>
      </w:r>
      <w:r w:rsidR="00B92787" w:rsidRPr="00B92787">
        <w:rPr>
          <w:rFonts w:ascii="Times New Roman" w:eastAsia="Times New Roman" w:hAnsi="Times New Roman" w:cs="Times New Roman"/>
          <w:sz w:val="24"/>
          <w:szCs w:val="24"/>
          <w:lang w:eastAsia="hu-HU"/>
          <w14:ligatures w14:val="none"/>
        </w:rPr>
        <w:t xml:space="preserve"> (Smith, 2021; Brown &amp; Green, 2020).</w:t>
      </w:r>
    </w:p>
    <w:p w14:paraId="4F27F701" w14:textId="77777777" w:rsidR="007F6378" w:rsidRDefault="007F6378" w:rsidP="00B92787">
      <w:pPr>
        <w:spacing w:after="0" w:line="240" w:lineRule="auto"/>
        <w:rPr>
          <w:rFonts w:ascii="Times New Roman" w:eastAsia="Times New Roman" w:hAnsi="Times New Roman" w:cs="Times New Roman"/>
          <w:sz w:val="24"/>
          <w:szCs w:val="24"/>
          <w:lang w:eastAsia="hu-HU"/>
          <w14:ligatures w14:val="none"/>
        </w:rPr>
      </w:pPr>
    </w:p>
    <w:p w14:paraId="4D19709B" w14:textId="77777777" w:rsidR="007F6378" w:rsidRDefault="007F6378" w:rsidP="00B92787">
      <w:pPr>
        <w:spacing w:after="0" w:line="240" w:lineRule="auto"/>
        <w:rPr>
          <w:rFonts w:ascii="Times New Roman" w:eastAsia="Times New Roman" w:hAnsi="Times New Roman" w:cs="Times New Roman"/>
          <w:sz w:val="24"/>
          <w:szCs w:val="24"/>
          <w:lang w:eastAsia="hu-HU"/>
          <w14:ligatures w14:val="none"/>
        </w:rPr>
      </w:pPr>
    </w:p>
    <w:p w14:paraId="33D44BB5" w14:textId="77777777" w:rsidR="007F6378" w:rsidRDefault="007F6378" w:rsidP="00B92787">
      <w:pPr>
        <w:spacing w:after="0" w:line="240" w:lineRule="auto"/>
        <w:rPr>
          <w:rFonts w:ascii="Times New Roman" w:eastAsia="Times New Roman" w:hAnsi="Times New Roman" w:cs="Times New Roman"/>
          <w:sz w:val="24"/>
          <w:szCs w:val="24"/>
          <w:lang w:eastAsia="hu-HU"/>
          <w14:ligatures w14:val="none"/>
        </w:rPr>
      </w:pPr>
    </w:p>
    <w:p w14:paraId="4AE642CB" w14:textId="77777777" w:rsidR="007F6378" w:rsidRPr="00B92787" w:rsidRDefault="007F6378" w:rsidP="00B92787">
      <w:pPr>
        <w:spacing w:after="0" w:line="240" w:lineRule="auto"/>
        <w:rPr>
          <w:rFonts w:ascii="Times New Roman" w:eastAsia="Times New Roman" w:hAnsi="Times New Roman" w:cs="Times New Roman"/>
          <w:sz w:val="24"/>
          <w:szCs w:val="24"/>
          <w:lang w:eastAsia="hu-HU"/>
          <w14:ligatures w14:val="none"/>
        </w:rPr>
      </w:pPr>
    </w:p>
    <w:p w14:paraId="528F2EFF" w14:textId="77777777" w:rsidR="006A7A2E" w:rsidRPr="006A7A2E" w:rsidRDefault="006A7A2E" w:rsidP="006A7A2E">
      <w:pPr>
        <w:spacing w:before="100" w:beforeAutospacing="1" w:after="100" w:afterAutospacing="1" w:line="240" w:lineRule="auto"/>
        <w:outlineLvl w:val="3"/>
        <w:rPr>
          <w:rFonts w:ascii="Times New Roman" w:eastAsia="Times New Roman" w:hAnsi="Times New Roman" w:cs="Times New Roman"/>
          <w:b/>
          <w:bCs/>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lastRenderedPageBreak/>
        <w:t>PESTLE Analysis for The Body Shop</w:t>
      </w:r>
    </w:p>
    <w:p w14:paraId="5A0AC5BA" w14:textId="77777777" w:rsidR="006A7A2E" w:rsidRPr="006A7A2E" w:rsidRDefault="006A7A2E"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Political Factors</w:t>
      </w:r>
    </w:p>
    <w:p w14:paraId="644117C2" w14:textId="77777777" w:rsidR="00B92787" w:rsidRPr="00B92787" w:rsidRDefault="00B92787" w:rsidP="00B92787">
      <w:pPr>
        <w:spacing w:after="0" w:line="240" w:lineRule="auto"/>
        <w:rPr>
          <w:rFonts w:ascii="Times New Roman" w:eastAsia="Times New Roman" w:hAnsi="Times New Roman" w:cs="Times New Roman"/>
          <w:sz w:val="24"/>
          <w:szCs w:val="24"/>
          <w:lang w:eastAsia="hu-HU"/>
          <w14:ligatures w14:val="none"/>
        </w:rPr>
      </w:pPr>
      <w:r w:rsidRPr="00B92787">
        <w:rPr>
          <w:rFonts w:ascii="Times New Roman" w:eastAsia="Times New Roman" w:hAnsi="Times New Roman" w:cs="Times New Roman"/>
          <w:sz w:val="24"/>
          <w:szCs w:val="24"/>
          <w:lang w:eastAsia="hu-HU"/>
          <w14:ligatures w14:val="none"/>
        </w:rPr>
        <w:t>The Body Shop has to deal with a complicated regulatory landscape that differs from nation to nation, encompassing rules pertaining to the safety of cosmetics, labour legislation, and trade policies (European Commission, 2023). Adherence to those standards requires substantial modifications to operations, and trade obstacles and tariffs have the potential to increase the cost of finished goods and raw resources, hence affecting profitability (World Trade Organisation, 2021). In order to prevent supply chain disruptions and impede market entrance initiatives, political stability is essential in operating locations (Deloitte, 2020).</w:t>
      </w:r>
    </w:p>
    <w:p w14:paraId="251851C2" w14:textId="77777777" w:rsidR="006A7A2E" w:rsidRPr="006A7A2E" w:rsidRDefault="006A7A2E"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Economic Factors</w:t>
      </w:r>
    </w:p>
    <w:p w14:paraId="5300C5FE" w14:textId="77777777" w:rsidR="00B92787" w:rsidRPr="00B92787" w:rsidRDefault="00B92787" w:rsidP="00B92787">
      <w:pPr>
        <w:spacing w:after="0" w:line="240" w:lineRule="auto"/>
        <w:rPr>
          <w:rFonts w:ascii="Times New Roman" w:eastAsia="Times New Roman" w:hAnsi="Times New Roman" w:cs="Times New Roman"/>
          <w:sz w:val="24"/>
          <w:szCs w:val="24"/>
          <w:lang w:eastAsia="hu-HU"/>
          <w14:ligatures w14:val="none"/>
        </w:rPr>
      </w:pPr>
      <w:r w:rsidRPr="00B92787">
        <w:rPr>
          <w:rFonts w:ascii="Times New Roman" w:eastAsia="Times New Roman" w:hAnsi="Times New Roman" w:cs="Times New Roman"/>
          <w:sz w:val="24"/>
          <w:szCs w:val="24"/>
          <w:lang w:eastAsia="hu-HU"/>
          <w14:ligatures w14:val="none"/>
        </w:rPr>
        <w:t>Consumer expenditure on non-essential products like cosmetics can be greatly impacted by economic downturns. Consumers frequently choose necessities over luxury items during recessions, which can have a negative impact on sales (Nguyen, 2022). Moreover, The Body Shop's worldwide activities subject it to currency fluctuation concerns that have an impact on profit margins (Brown &amp; Green, 2020). Another important consideration is the price of raw materials; changes in the availability of goods on the market or the application of trade tariffs can affect pricing strategies and production costs (Smith, 2021).</w:t>
      </w:r>
    </w:p>
    <w:p w14:paraId="32F3049C" w14:textId="77777777" w:rsidR="006A7A2E" w:rsidRPr="006A7A2E" w:rsidRDefault="006A7A2E"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Social Factors</w:t>
      </w:r>
    </w:p>
    <w:p w14:paraId="046F3E0C" w14:textId="77777777" w:rsidR="00B92787" w:rsidRPr="00B92787" w:rsidRDefault="00B92787" w:rsidP="00B92787">
      <w:pPr>
        <w:spacing w:after="0" w:line="240" w:lineRule="auto"/>
        <w:rPr>
          <w:rFonts w:ascii="Times New Roman" w:eastAsia="Times New Roman" w:hAnsi="Times New Roman" w:cs="Times New Roman"/>
          <w:sz w:val="24"/>
          <w:szCs w:val="24"/>
          <w:lang w:eastAsia="hu-HU"/>
          <w14:ligatures w14:val="none"/>
        </w:rPr>
      </w:pPr>
      <w:r w:rsidRPr="00B92787">
        <w:rPr>
          <w:rFonts w:ascii="Times New Roman" w:eastAsia="Times New Roman" w:hAnsi="Times New Roman" w:cs="Times New Roman"/>
          <w:sz w:val="24"/>
          <w:szCs w:val="24"/>
          <w:lang w:eastAsia="hu-HU"/>
          <w14:ligatures w14:val="none"/>
        </w:rPr>
        <w:t>The Body Shop's product line perfectly meets the growing demand for natural, organic, and cruelty-free goods (Ethical Consumer, 2023). Due to regional variations in understanding and demand for ethical and sustainable products, cultural trends have a considerable impact on marketing and product development strategies (Brown &amp; Green, 2020). Furthermore, changes in the demographics of a market, such as an ageing population, may call for modifications to product lines in order to accommodate varying age groups and their unique skincare requirements (Jones &amp; Williams, 2019).</w:t>
      </w:r>
    </w:p>
    <w:p w14:paraId="3EB6089E" w14:textId="77777777" w:rsidR="006A7A2E" w:rsidRPr="006A7A2E" w:rsidRDefault="006A7A2E"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Technological Factors</w:t>
      </w:r>
    </w:p>
    <w:p w14:paraId="2B5DB8DC" w14:textId="77777777" w:rsidR="000B73F2" w:rsidRDefault="00B92787" w:rsidP="000B73F2">
      <w:pPr>
        <w:spacing w:after="0" w:line="240" w:lineRule="auto"/>
        <w:rPr>
          <w:rFonts w:ascii="Times New Roman" w:eastAsia="Times New Roman" w:hAnsi="Times New Roman" w:cs="Times New Roman"/>
          <w:sz w:val="24"/>
          <w:szCs w:val="24"/>
          <w:lang w:eastAsia="hu-HU"/>
          <w14:ligatures w14:val="none"/>
        </w:rPr>
      </w:pPr>
      <w:r w:rsidRPr="00B92787">
        <w:rPr>
          <w:rFonts w:ascii="Times New Roman" w:eastAsia="Times New Roman" w:hAnsi="Times New Roman" w:cs="Times New Roman"/>
          <w:sz w:val="24"/>
          <w:szCs w:val="24"/>
          <w:lang w:eastAsia="hu-HU"/>
          <w14:ligatures w14:val="none"/>
        </w:rPr>
        <w:t>The Body Shop needs a strong online presence and digital strategy in light of the growth of e-commerce. To be competitive, the business has to make investments in enhancing its digital marketing campaigns and online shopping platform (Nguyen, 2022). Technological developments that are cruelty-free and sustainable can give The Body Shop a major competitive edge by enabling it to distinguish and innovate its product line (H&amp;M Group, 2023). Enhancing brand engagement and consumer acquisition also requires utilising digital marketing technologies and social media (Smith, 2021).</w:t>
      </w:r>
    </w:p>
    <w:p w14:paraId="32611AD1" w14:textId="77777777" w:rsidR="000B73F2" w:rsidRDefault="006A7A2E" w:rsidP="000B73F2">
      <w:pPr>
        <w:spacing w:after="0"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Legal Factors</w:t>
      </w:r>
    </w:p>
    <w:p w14:paraId="2A2559BE" w14:textId="77777777" w:rsidR="000B73F2" w:rsidRPr="000B73F2" w:rsidRDefault="000B73F2" w:rsidP="000B73F2">
      <w:pPr>
        <w:spacing w:after="0" w:line="240" w:lineRule="auto"/>
        <w:rPr>
          <w:rFonts w:ascii="Times New Roman" w:eastAsia="Times New Roman" w:hAnsi="Times New Roman" w:cs="Times New Roman"/>
          <w:sz w:val="24"/>
          <w:szCs w:val="24"/>
          <w:lang w:eastAsia="hu-HU"/>
          <w14:ligatures w14:val="none"/>
        </w:rPr>
      </w:pPr>
      <w:r w:rsidRPr="000B73F2">
        <w:rPr>
          <w:rFonts w:ascii="Times New Roman" w:eastAsia="Times New Roman" w:hAnsi="Times New Roman" w:cs="Times New Roman"/>
          <w:sz w:val="24"/>
          <w:szCs w:val="24"/>
          <w:lang w:eastAsia="hu-HU"/>
          <w14:ligatures w14:val="none"/>
        </w:rPr>
        <w:t>Product compositions may be impacted by stricter laws governing substances used in cosmetics. Adherence to these standards is crucial in order to avert legal consequences and preserve consumer confidence (European Commission, 2023). Marketing statements must be truthful and not deceptive, and advertising standards mandate compliance with truth-in-advertising legislation (Smith, 2021). Maintaining innovation and brand identity depends on the protection of intellectual property, such as patents and trademarks. Brand dilution and a loss of competitive advantage may result from failing to protect these assets (Smith, 2021).</w:t>
      </w:r>
    </w:p>
    <w:p w14:paraId="0BE306D1" w14:textId="77777777" w:rsidR="006A7A2E" w:rsidRPr="006A7A2E" w:rsidRDefault="006A7A2E"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lastRenderedPageBreak/>
        <w:t>Environmental Factors</w:t>
      </w:r>
    </w:p>
    <w:p w14:paraId="2DD41272" w14:textId="77777777" w:rsidR="000B73F2" w:rsidRPr="000B73F2" w:rsidRDefault="000B73F2" w:rsidP="000B73F2">
      <w:pPr>
        <w:spacing w:after="0" w:line="240" w:lineRule="auto"/>
        <w:rPr>
          <w:rFonts w:ascii="Times New Roman" w:eastAsia="Times New Roman" w:hAnsi="Times New Roman" w:cs="Times New Roman"/>
          <w:sz w:val="24"/>
          <w:szCs w:val="24"/>
          <w:lang w:eastAsia="hu-HU"/>
          <w14:ligatures w14:val="none"/>
        </w:rPr>
      </w:pPr>
      <w:r w:rsidRPr="000B73F2">
        <w:rPr>
          <w:rFonts w:ascii="Times New Roman" w:eastAsia="Times New Roman" w:hAnsi="Times New Roman" w:cs="Times New Roman"/>
          <w:sz w:val="24"/>
          <w:szCs w:val="24"/>
          <w:lang w:eastAsia="hu-HU"/>
          <w14:ligatures w14:val="none"/>
        </w:rPr>
        <w:t>One of The Body Shop's main points of differentiation is their dedication to sustainability, but it takes constant funding. Adopting eco-friendly packaging and cutting carbon footprints are examples of sustainability measures that are in line with consumer demands and legal obligations (Body Shop International, 2022). Consistent product quality and cost might be challenging due to the impact of climate change on the availability and cost of natural components (Jones &amp; Williams, 2019). Regulations and customer expectations also influence waste management practices, making the implementation of sustainable packaging and recycling initiatives necessary (Nguyen, 2022).</w:t>
      </w:r>
    </w:p>
    <w:p w14:paraId="6FFB4BC4" w14:textId="77777777" w:rsidR="006A7A2E" w:rsidRPr="006A7A2E" w:rsidRDefault="006A7A2E" w:rsidP="006A7A2E">
      <w:pPr>
        <w:spacing w:before="100" w:beforeAutospacing="1" w:after="100" w:afterAutospacing="1" w:line="240" w:lineRule="auto"/>
        <w:outlineLvl w:val="2"/>
        <w:rPr>
          <w:rFonts w:ascii="Times New Roman" w:eastAsia="Times New Roman" w:hAnsi="Times New Roman" w:cs="Times New Roman"/>
          <w:b/>
          <w:bCs/>
          <w:sz w:val="27"/>
          <w:szCs w:val="27"/>
          <w:lang w:eastAsia="hu-HU"/>
          <w14:ligatures w14:val="none"/>
        </w:rPr>
      </w:pPr>
      <w:r w:rsidRPr="006A7A2E">
        <w:rPr>
          <w:rFonts w:ascii="Times New Roman" w:eastAsia="Times New Roman" w:hAnsi="Times New Roman" w:cs="Times New Roman"/>
          <w:b/>
          <w:bCs/>
          <w:sz w:val="27"/>
          <w:szCs w:val="27"/>
          <w:lang w:eastAsia="hu-HU"/>
          <w14:ligatures w14:val="none"/>
        </w:rPr>
        <w:t>Stakeholder Analysis</w:t>
      </w:r>
    </w:p>
    <w:p w14:paraId="169689CE" w14:textId="5BDF73CF" w:rsidR="006A7A2E" w:rsidRPr="006A7A2E" w:rsidRDefault="006A7A2E" w:rsidP="006A7A2E">
      <w:pPr>
        <w:spacing w:before="100" w:beforeAutospacing="1" w:after="100" w:afterAutospacing="1" w:line="240" w:lineRule="auto"/>
        <w:outlineLvl w:val="3"/>
        <w:rPr>
          <w:rFonts w:ascii="Times New Roman" w:eastAsia="Times New Roman" w:hAnsi="Times New Roman" w:cs="Times New Roman"/>
          <w:b/>
          <w:bCs/>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Advantages/Disadvantages</w:t>
      </w:r>
    </w:p>
    <w:p w14:paraId="28315105" w14:textId="3408924A" w:rsidR="006A7A2E" w:rsidRPr="006A7A2E" w:rsidRDefault="000B73F2" w:rsidP="000B73F2">
      <w:pPr>
        <w:spacing w:after="0" w:line="240" w:lineRule="auto"/>
        <w:rPr>
          <w:rFonts w:ascii="Times New Roman" w:eastAsia="Times New Roman" w:hAnsi="Times New Roman" w:cs="Times New Roman"/>
          <w:sz w:val="24"/>
          <w:szCs w:val="24"/>
          <w:lang w:eastAsia="hu-HU"/>
          <w14:ligatures w14:val="none"/>
        </w:rPr>
      </w:pPr>
      <w:r w:rsidRPr="000B73F2">
        <w:rPr>
          <w:rFonts w:ascii="Times New Roman" w:eastAsia="Times New Roman" w:hAnsi="Times New Roman" w:cs="Times New Roman"/>
          <w:sz w:val="24"/>
          <w:szCs w:val="24"/>
          <w:lang w:eastAsia="hu-HU"/>
          <w14:ligatures w14:val="none"/>
        </w:rPr>
        <w:t xml:space="preserve">A stakeholder analysis determines and evaluates each stakeholder's impact on an organisation. Internal stakeholders include staff members and management, whereas external stakeholders include investors, suppliers, consumers, and the community. Better decision-making, stronger communication tactics, and a better fit between corporate goals and stakeholder expectations are some benefits of stakeholder analysis. Nonetheless, it might be difficult to strike a balance between divergent stakeholder groups' competing interests (Mitchell, Agle &amp; </w:t>
      </w:r>
      <w:r w:rsidR="006A7A2E" w:rsidRPr="006A7A2E">
        <w:rPr>
          <w:rFonts w:ascii="Times New Roman" w:eastAsia="Times New Roman" w:hAnsi="Times New Roman" w:cs="Times New Roman"/>
          <w:sz w:val="24"/>
          <w:szCs w:val="24"/>
          <w:lang w:eastAsia="hu-HU"/>
          <w14:ligatures w14:val="none"/>
        </w:rPr>
        <w:t>Wood, 1997).</w:t>
      </w:r>
    </w:p>
    <w:p w14:paraId="06FDF49A" w14:textId="77777777" w:rsidR="006A7A2E" w:rsidRPr="006A7A2E" w:rsidRDefault="006A7A2E" w:rsidP="006A7A2E">
      <w:pPr>
        <w:spacing w:before="100" w:beforeAutospacing="1" w:after="100" w:afterAutospacing="1" w:line="240" w:lineRule="auto"/>
        <w:outlineLvl w:val="3"/>
        <w:rPr>
          <w:rFonts w:ascii="Times New Roman" w:eastAsia="Times New Roman" w:hAnsi="Times New Roman" w:cs="Times New Roman"/>
          <w:b/>
          <w:bCs/>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Stakeholder Analysis for The Body Shop</w:t>
      </w:r>
    </w:p>
    <w:p w14:paraId="579D6BDF" w14:textId="77777777" w:rsidR="006A7A2E" w:rsidRPr="006A7A2E" w:rsidRDefault="006A7A2E"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Customers</w:t>
      </w:r>
    </w:p>
    <w:p w14:paraId="386392C1" w14:textId="77777777" w:rsidR="000B73F2" w:rsidRPr="000B73F2" w:rsidRDefault="000B73F2" w:rsidP="000B73F2">
      <w:pPr>
        <w:spacing w:after="0" w:line="240" w:lineRule="auto"/>
        <w:rPr>
          <w:rFonts w:ascii="Times New Roman" w:eastAsia="Times New Roman" w:hAnsi="Times New Roman" w:cs="Times New Roman"/>
          <w:sz w:val="24"/>
          <w:szCs w:val="24"/>
          <w:lang w:eastAsia="hu-HU"/>
          <w14:ligatures w14:val="none"/>
        </w:rPr>
      </w:pPr>
      <w:r w:rsidRPr="000B73F2">
        <w:rPr>
          <w:rFonts w:ascii="Times New Roman" w:eastAsia="Times New Roman" w:hAnsi="Times New Roman" w:cs="Times New Roman"/>
          <w:sz w:val="24"/>
          <w:szCs w:val="24"/>
          <w:lang w:eastAsia="hu-HU"/>
          <w14:ligatures w14:val="none"/>
        </w:rPr>
        <w:t>Consumers anticipate from The Body Shop ethical, sustainable, and high-quality products (Ethical Consumer, 2023). Customer preferences have a big impact on marketing plans and product development. Fulfilling these demands is essential to retaining clientele and drawing in new ones (Brown &amp; Green, 2020).</w:t>
      </w:r>
    </w:p>
    <w:p w14:paraId="2FF71C04" w14:textId="77777777" w:rsidR="006A7A2E" w:rsidRPr="006A7A2E" w:rsidRDefault="006A7A2E"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Employees</w:t>
      </w:r>
    </w:p>
    <w:p w14:paraId="45A553CA" w14:textId="77777777" w:rsidR="000B73F2" w:rsidRPr="000B73F2" w:rsidRDefault="000B73F2" w:rsidP="000B73F2">
      <w:pPr>
        <w:spacing w:after="0" w:line="240" w:lineRule="auto"/>
        <w:rPr>
          <w:rFonts w:ascii="Times New Roman" w:eastAsia="Times New Roman" w:hAnsi="Times New Roman" w:cs="Times New Roman"/>
          <w:sz w:val="24"/>
          <w:szCs w:val="24"/>
          <w:lang w:eastAsia="hu-HU"/>
          <w14:ligatures w14:val="none"/>
        </w:rPr>
      </w:pPr>
      <w:r w:rsidRPr="000B73F2">
        <w:rPr>
          <w:rFonts w:ascii="Times New Roman" w:eastAsia="Times New Roman" w:hAnsi="Times New Roman" w:cs="Times New Roman"/>
          <w:sz w:val="24"/>
          <w:szCs w:val="24"/>
          <w:lang w:eastAsia="hu-HU"/>
          <w14:ligatures w14:val="none"/>
        </w:rPr>
        <w:t>Workers want possibilities for professional growth, safe working conditions, and fair pay (Nguyen, 2022). Overall business success is directly impacted by employee productivity and happiness. Providing growth opportunities and a good work environment can improve employee engagement and retention (Smith, 2021).</w:t>
      </w:r>
    </w:p>
    <w:p w14:paraId="69568215" w14:textId="77777777" w:rsidR="006A7A2E" w:rsidRPr="006A7A2E" w:rsidRDefault="006A7A2E"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Suppliers</w:t>
      </w:r>
    </w:p>
    <w:p w14:paraId="64EBFF67" w14:textId="77777777" w:rsidR="000B73F2" w:rsidRPr="000B73F2" w:rsidRDefault="000B73F2" w:rsidP="000B73F2">
      <w:pPr>
        <w:spacing w:after="0" w:line="240" w:lineRule="auto"/>
        <w:rPr>
          <w:rFonts w:ascii="Times New Roman" w:eastAsia="Times New Roman" w:hAnsi="Times New Roman" w:cs="Times New Roman"/>
          <w:sz w:val="24"/>
          <w:szCs w:val="24"/>
          <w:lang w:eastAsia="hu-HU"/>
          <w14:ligatures w14:val="none"/>
        </w:rPr>
      </w:pPr>
      <w:r w:rsidRPr="000B73F2">
        <w:rPr>
          <w:rFonts w:ascii="Times New Roman" w:eastAsia="Times New Roman" w:hAnsi="Times New Roman" w:cs="Times New Roman"/>
          <w:sz w:val="24"/>
          <w:szCs w:val="24"/>
          <w:lang w:eastAsia="hu-HU"/>
          <w14:ligatures w14:val="none"/>
        </w:rPr>
        <w:t>Fair trade policies, prompt payments, and enduring relationships are what suppliers demand. Maintaining a consistent supply of high-quality raw materials is crucial for building good connections with suppliers, which has an impact on supply chain efficiency and product quality (Fair Trade International, 2022; Nguyen, 2022).</w:t>
      </w:r>
    </w:p>
    <w:p w14:paraId="6312C6B8" w14:textId="77777777" w:rsidR="006A7A2E" w:rsidRPr="006A7A2E" w:rsidRDefault="006A7A2E"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Investors</w:t>
      </w:r>
    </w:p>
    <w:p w14:paraId="445C5906" w14:textId="77777777" w:rsidR="000B73F2" w:rsidRPr="000B73F2" w:rsidRDefault="000B73F2" w:rsidP="000B73F2">
      <w:pPr>
        <w:spacing w:after="0" w:line="240" w:lineRule="auto"/>
        <w:rPr>
          <w:rFonts w:ascii="Times New Roman" w:eastAsia="Times New Roman" w:hAnsi="Times New Roman" w:cs="Times New Roman"/>
          <w:sz w:val="24"/>
          <w:szCs w:val="24"/>
          <w:lang w:eastAsia="hu-HU"/>
          <w14:ligatures w14:val="none"/>
        </w:rPr>
      </w:pPr>
      <w:r w:rsidRPr="000B73F2">
        <w:rPr>
          <w:rFonts w:ascii="Times New Roman" w:eastAsia="Times New Roman" w:hAnsi="Times New Roman" w:cs="Times New Roman"/>
          <w:sz w:val="24"/>
          <w:szCs w:val="24"/>
          <w:lang w:eastAsia="hu-HU"/>
          <w14:ligatures w14:val="none"/>
        </w:rPr>
        <w:lastRenderedPageBreak/>
        <w:t>Investors anticipate sustainable growth, transparency, and a return on their investment. Providing accurate and accessible financial data can boost investor trust and draw in more funding (Smith, 2021; H&amp;M Group, 2023).</w:t>
      </w:r>
    </w:p>
    <w:p w14:paraId="5967D622" w14:textId="77777777" w:rsidR="006A7A2E" w:rsidRPr="006A7A2E" w:rsidRDefault="006A7A2E"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Community</w:t>
      </w:r>
    </w:p>
    <w:p w14:paraId="6EF7EEB8" w14:textId="77777777" w:rsidR="000B73F2" w:rsidRPr="000B73F2" w:rsidRDefault="000B73F2" w:rsidP="000B73F2">
      <w:pPr>
        <w:spacing w:after="0" w:line="240" w:lineRule="auto"/>
        <w:rPr>
          <w:rFonts w:ascii="Times New Roman" w:eastAsia="Times New Roman" w:hAnsi="Times New Roman" w:cs="Times New Roman"/>
          <w:sz w:val="24"/>
          <w:szCs w:val="24"/>
          <w:lang w:eastAsia="hu-HU"/>
          <w14:ligatures w14:val="none"/>
        </w:rPr>
      </w:pPr>
      <w:r w:rsidRPr="000B73F2">
        <w:rPr>
          <w:rFonts w:ascii="Times New Roman" w:eastAsia="Times New Roman" w:hAnsi="Times New Roman" w:cs="Times New Roman"/>
          <w:sz w:val="24"/>
          <w:szCs w:val="24"/>
          <w:lang w:eastAsia="hu-HU"/>
          <w14:ligatures w14:val="none"/>
        </w:rPr>
        <w:t>The community anticipates local economic contributions, environmental sustainability, and corporate social responsibility. Participating in community projects and supporting regional growth may bolster the business's social licence to operate, improving consumer loyalty and brand recognition (Smith, 2021; Brown &amp; Green, 2020).</w:t>
      </w:r>
    </w:p>
    <w:p w14:paraId="207FF42C" w14:textId="77777777" w:rsidR="006A7A2E" w:rsidRPr="006A7A2E" w:rsidRDefault="006A7A2E"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Regulatory Bodies</w:t>
      </w:r>
    </w:p>
    <w:p w14:paraId="2A69D44C" w14:textId="77777777" w:rsidR="00A576A8" w:rsidRPr="00A576A8" w:rsidRDefault="00A576A8" w:rsidP="00A576A8">
      <w:pPr>
        <w:spacing w:after="0" w:line="240" w:lineRule="auto"/>
        <w:rPr>
          <w:rFonts w:ascii="Times New Roman" w:eastAsia="Times New Roman" w:hAnsi="Times New Roman" w:cs="Times New Roman"/>
          <w:sz w:val="24"/>
          <w:szCs w:val="24"/>
          <w:lang w:eastAsia="hu-HU"/>
          <w14:ligatures w14:val="none"/>
        </w:rPr>
      </w:pPr>
      <w:r w:rsidRPr="00A576A8">
        <w:rPr>
          <w:rFonts w:ascii="Times New Roman" w:eastAsia="Times New Roman" w:hAnsi="Times New Roman" w:cs="Times New Roman"/>
          <w:sz w:val="24"/>
          <w:szCs w:val="24"/>
          <w:lang w:eastAsia="hu-HU"/>
          <w14:ligatures w14:val="none"/>
        </w:rPr>
        <w:t>Law and regulation observance is expected by regulatory authorities. Standards for products and company processes are shaped by regulatory regulations. Following these rules is necessary to stay out of legal trouble and preserve the integrity of operations (European Commission, 2023; Smith, 2021).</w:t>
      </w:r>
    </w:p>
    <w:p w14:paraId="593BACBD" w14:textId="77777777" w:rsidR="006A7A2E" w:rsidRPr="006A7A2E" w:rsidRDefault="006A7A2E"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Non-Governmental Organizations (NGOs)</w:t>
      </w:r>
    </w:p>
    <w:p w14:paraId="3A032C9E" w14:textId="77777777" w:rsidR="00A576A8" w:rsidRPr="00A576A8" w:rsidRDefault="00A576A8" w:rsidP="00A576A8">
      <w:pPr>
        <w:spacing w:after="0" w:line="240" w:lineRule="auto"/>
        <w:rPr>
          <w:rFonts w:ascii="Times New Roman" w:eastAsia="Times New Roman" w:hAnsi="Times New Roman" w:cs="Times New Roman"/>
          <w:sz w:val="24"/>
          <w:szCs w:val="24"/>
          <w:lang w:eastAsia="hu-HU"/>
          <w14:ligatures w14:val="none"/>
        </w:rPr>
      </w:pPr>
      <w:r w:rsidRPr="00A576A8">
        <w:rPr>
          <w:rFonts w:ascii="Times New Roman" w:eastAsia="Times New Roman" w:hAnsi="Times New Roman" w:cs="Times New Roman"/>
          <w:sz w:val="24"/>
          <w:szCs w:val="24"/>
          <w:lang w:eastAsia="hu-HU"/>
          <w14:ligatures w14:val="none"/>
        </w:rPr>
        <w:t>NGOs anticipate social responsibility, sustainability, and ethical behaviour. A company's legitimacy and beneficial effects can be increased by working with non-governmental organisations on social and environmental projects. NGOs' campaigns and advocacy can potentially affect customer views and brand reputation (Fair Trade International, 2022; Nguyen, 2022).</w:t>
      </w:r>
    </w:p>
    <w:p w14:paraId="0BD415BD" w14:textId="77777777" w:rsidR="006A7A2E" w:rsidRPr="006A7A2E" w:rsidRDefault="006A7A2E" w:rsidP="006A7A2E">
      <w:pPr>
        <w:spacing w:before="100" w:beforeAutospacing="1" w:after="100" w:afterAutospacing="1" w:line="240" w:lineRule="auto"/>
        <w:outlineLvl w:val="3"/>
        <w:rPr>
          <w:rFonts w:ascii="Times New Roman" w:eastAsia="Times New Roman" w:hAnsi="Times New Roman" w:cs="Times New Roman"/>
          <w:b/>
          <w:bCs/>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Conclusion</w:t>
      </w:r>
    </w:p>
    <w:p w14:paraId="6252AABB" w14:textId="48961B8D" w:rsidR="006A7A2E" w:rsidRPr="006A7A2E" w:rsidRDefault="006A7A2E" w:rsidP="006A7A2E">
      <w:pPr>
        <w:spacing w:before="100" w:beforeAutospacing="1" w:after="100" w:afterAutospacing="1" w:line="240" w:lineRule="auto"/>
        <w:outlineLvl w:val="4"/>
        <w:rPr>
          <w:rFonts w:ascii="Times New Roman" w:eastAsia="Times New Roman" w:hAnsi="Times New Roman" w:cs="Times New Roman"/>
          <w:b/>
          <w:bCs/>
          <w:sz w:val="20"/>
          <w:szCs w:val="20"/>
          <w:lang w:eastAsia="hu-HU"/>
          <w14:ligatures w14:val="none"/>
        </w:rPr>
      </w:pPr>
      <w:r w:rsidRPr="006A7A2E">
        <w:rPr>
          <w:rFonts w:ascii="Times New Roman" w:eastAsia="Times New Roman" w:hAnsi="Times New Roman" w:cs="Times New Roman"/>
          <w:b/>
          <w:bCs/>
          <w:sz w:val="20"/>
          <w:szCs w:val="20"/>
          <w:lang w:eastAsia="hu-HU"/>
          <w14:ligatures w14:val="none"/>
        </w:rPr>
        <w:t xml:space="preserve">Summary </w:t>
      </w:r>
    </w:p>
    <w:p w14:paraId="22B39D18" w14:textId="77777777" w:rsidR="00A576A8" w:rsidRPr="00A576A8" w:rsidRDefault="00A576A8" w:rsidP="00A576A8">
      <w:pPr>
        <w:spacing w:after="240" w:line="240" w:lineRule="auto"/>
        <w:rPr>
          <w:rFonts w:ascii="Times New Roman" w:eastAsia="Times New Roman" w:hAnsi="Times New Roman" w:cs="Times New Roman"/>
          <w:sz w:val="24"/>
          <w:szCs w:val="24"/>
          <w:lang w:eastAsia="hu-HU"/>
          <w14:ligatures w14:val="none"/>
        </w:rPr>
      </w:pPr>
      <w:r w:rsidRPr="00A576A8">
        <w:rPr>
          <w:rFonts w:ascii="Times New Roman" w:eastAsia="Times New Roman" w:hAnsi="Times New Roman" w:cs="Times New Roman"/>
          <w:sz w:val="24"/>
          <w:szCs w:val="24"/>
          <w:lang w:eastAsia="hu-HU"/>
          <w14:ligatures w14:val="none"/>
        </w:rPr>
        <w:t xml:space="preserve">The PESTLE study shows that The Body Shop works in a complex environment shaped by political, economic, social, technical, legal, and environmental aspects. Political stability, economic conditions, and technology improvements all provide possibilities and problems. Social trends favouring ethical consumerism and sustainability are consistent with The Body Shop's brand values, but legal and environmental considerations need continuing compliance and innovation (Smith, 2021; Jones and Williams, 2019). </w:t>
      </w:r>
      <w:r w:rsidRPr="00A576A8">
        <w:rPr>
          <w:rFonts w:ascii="Times New Roman" w:eastAsia="Times New Roman" w:hAnsi="Times New Roman" w:cs="Times New Roman"/>
          <w:sz w:val="24"/>
          <w:szCs w:val="24"/>
          <w:lang w:eastAsia="hu-HU"/>
          <w14:ligatures w14:val="none"/>
        </w:rPr>
        <w:br/>
        <w:t>Customers, workers, suppliers, investors, communities, regulatory agencies, and non-governmental organisations (NGOs) all have various interests and influences, as highlighted in the stakeholder analysis. Balancing these interests is critical to sustaining a favourable brand image and long-term economic performance (Mitchell, Agle, &amp; Wood, 1997).</w:t>
      </w:r>
      <w:r w:rsidRPr="00A576A8">
        <w:rPr>
          <w:rFonts w:ascii="Times New Roman" w:eastAsia="Times New Roman" w:hAnsi="Times New Roman" w:cs="Times New Roman"/>
          <w:sz w:val="24"/>
          <w:szCs w:val="24"/>
          <w:lang w:eastAsia="hu-HU"/>
          <w14:ligatures w14:val="none"/>
        </w:rPr>
        <w:br/>
      </w:r>
    </w:p>
    <w:p w14:paraId="5885E104" w14:textId="06F3AC2C" w:rsidR="006A7A2E" w:rsidRPr="006A7A2E" w:rsidRDefault="006A7A2E" w:rsidP="006A7A2E">
      <w:pPr>
        <w:spacing w:before="100" w:beforeAutospacing="1" w:after="100" w:afterAutospacing="1" w:line="240" w:lineRule="auto"/>
        <w:outlineLvl w:val="4"/>
        <w:rPr>
          <w:rFonts w:ascii="Times New Roman" w:eastAsia="Times New Roman" w:hAnsi="Times New Roman" w:cs="Times New Roman"/>
          <w:b/>
          <w:bCs/>
          <w:sz w:val="20"/>
          <w:szCs w:val="20"/>
          <w:lang w:eastAsia="hu-HU"/>
          <w14:ligatures w14:val="none"/>
        </w:rPr>
      </w:pPr>
      <w:r w:rsidRPr="006A7A2E">
        <w:rPr>
          <w:rFonts w:ascii="Times New Roman" w:eastAsia="Times New Roman" w:hAnsi="Times New Roman" w:cs="Times New Roman"/>
          <w:b/>
          <w:bCs/>
          <w:sz w:val="20"/>
          <w:szCs w:val="20"/>
          <w:lang w:eastAsia="hu-HU"/>
          <w14:ligatures w14:val="none"/>
        </w:rPr>
        <w:t>Solutions</w:t>
      </w:r>
    </w:p>
    <w:p w14:paraId="3E01F19C" w14:textId="77777777" w:rsidR="00A576A8" w:rsidRPr="00A576A8" w:rsidRDefault="00A576A8" w:rsidP="00A576A8">
      <w:pPr>
        <w:spacing w:after="0" w:line="240" w:lineRule="auto"/>
        <w:rPr>
          <w:rFonts w:ascii="Times New Roman" w:eastAsia="Times New Roman" w:hAnsi="Times New Roman" w:cs="Times New Roman"/>
          <w:sz w:val="24"/>
          <w:szCs w:val="24"/>
          <w:lang w:eastAsia="hu-HU"/>
          <w14:ligatures w14:val="none"/>
        </w:rPr>
      </w:pPr>
      <w:r w:rsidRPr="00A576A8">
        <w:rPr>
          <w:rFonts w:ascii="Times New Roman" w:eastAsia="Times New Roman" w:hAnsi="Times New Roman" w:cs="Times New Roman"/>
          <w:sz w:val="24"/>
          <w:szCs w:val="24"/>
          <w:lang w:eastAsia="hu-HU"/>
          <w14:ligatures w14:val="none"/>
        </w:rPr>
        <w:t xml:space="preserve">Investing in R&amp;D to produce novel goods utilising sustainable materials and technology may provide The Body Shop a competitive advantage while also appealing to environmentally aware customers. This strategy aligns with the company's sustainability aims and matches the rising customer demand for environmentally friendly products (H&amp;M Group, 2023). Improving e-commerce platforms, social media interaction, and personalised marketing </w:t>
      </w:r>
      <w:r w:rsidRPr="00A576A8">
        <w:rPr>
          <w:rFonts w:ascii="Times New Roman" w:eastAsia="Times New Roman" w:hAnsi="Times New Roman" w:cs="Times New Roman"/>
          <w:sz w:val="24"/>
          <w:szCs w:val="24"/>
          <w:lang w:eastAsia="hu-HU"/>
          <w14:ligatures w14:val="none"/>
        </w:rPr>
        <w:lastRenderedPageBreak/>
        <w:t>methods will help The Body Shop reach a wider audience and increase online sales. Adopting digital transformation is critical to being competitive in today's industry (Nguyen, 2022).</w:t>
      </w:r>
    </w:p>
    <w:p w14:paraId="762BBCB7" w14:textId="77777777" w:rsidR="00A576A8" w:rsidRPr="006A7A2E" w:rsidRDefault="00A576A8" w:rsidP="006A7A2E">
      <w:pPr>
        <w:spacing w:before="100" w:beforeAutospacing="1" w:after="100" w:afterAutospacing="1" w:line="240" w:lineRule="auto"/>
        <w:rPr>
          <w:rFonts w:ascii="Times New Roman" w:eastAsia="Times New Roman" w:hAnsi="Times New Roman" w:cs="Times New Roman"/>
          <w:sz w:val="24"/>
          <w:szCs w:val="24"/>
          <w:lang w:eastAsia="hu-HU"/>
          <w14:ligatures w14:val="none"/>
        </w:rPr>
      </w:pPr>
    </w:p>
    <w:p w14:paraId="2694EFEB" w14:textId="77777777" w:rsidR="006A7A2E" w:rsidRPr="006A7A2E" w:rsidRDefault="006A7A2E" w:rsidP="006A7A2E">
      <w:pPr>
        <w:spacing w:before="100" w:beforeAutospacing="1" w:after="100" w:afterAutospacing="1" w:line="240" w:lineRule="auto"/>
        <w:outlineLvl w:val="3"/>
        <w:rPr>
          <w:rFonts w:ascii="Times New Roman" w:eastAsia="Times New Roman" w:hAnsi="Times New Roman" w:cs="Times New Roman"/>
          <w:b/>
          <w:bCs/>
          <w:sz w:val="24"/>
          <w:szCs w:val="24"/>
          <w:lang w:eastAsia="hu-HU"/>
          <w14:ligatures w14:val="none"/>
        </w:rPr>
      </w:pPr>
      <w:r w:rsidRPr="006A7A2E">
        <w:rPr>
          <w:rFonts w:ascii="Times New Roman" w:eastAsia="Times New Roman" w:hAnsi="Times New Roman" w:cs="Times New Roman"/>
          <w:b/>
          <w:bCs/>
          <w:sz w:val="24"/>
          <w:szCs w:val="24"/>
          <w:lang w:eastAsia="hu-HU"/>
          <w14:ligatures w14:val="none"/>
        </w:rPr>
        <w:t>Recommendations</w:t>
      </w:r>
    </w:p>
    <w:p w14:paraId="7A94C4B9" w14:textId="77777777" w:rsidR="00A576A8" w:rsidRPr="00A576A8" w:rsidRDefault="00A576A8" w:rsidP="00A576A8">
      <w:pPr>
        <w:spacing w:after="0" w:line="240" w:lineRule="auto"/>
        <w:rPr>
          <w:rFonts w:ascii="Times New Roman" w:eastAsia="Times New Roman" w:hAnsi="Times New Roman" w:cs="Times New Roman"/>
          <w:sz w:val="24"/>
          <w:szCs w:val="24"/>
          <w:lang w:eastAsia="hu-HU"/>
          <w14:ligatures w14:val="none"/>
        </w:rPr>
      </w:pPr>
      <w:r w:rsidRPr="00A576A8">
        <w:rPr>
          <w:rFonts w:ascii="Times New Roman" w:eastAsia="Times New Roman" w:hAnsi="Times New Roman" w:cs="Times New Roman"/>
          <w:sz w:val="24"/>
          <w:szCs w:val="24"/>
          <w:lang w:eastAsia="hu-HU"/>
          <w14:ligatures w14:val="none"/>
        </w:rPr>
        <w:t xml:space="preserve">To enhance its sustainable sourcing activities, The Body Shop could boost the usage of sustainably derived ingredients and form additional fair trade partnerships. Improving sustainable sourcing processes may boost supply chain resilience, fulfil customer demand for ethical products, and improve company reputation (Fair Trade International, 2022). By procuring ingredients responsibly, The Body Shop can assure a consistent supply of raw materials manufactured in an ecologically beneficial manner. </w:t>
      </w:r>
    </w:p>
    <w:p w14:paraId="33BCBF1B" w14:textId="77777777" w:rsidR="00A576A8" w:rsidRPr="00A576A8" w:rsidRDefault="00A576A8" w:rsidP="00A576A8">
      <w:pPr>
        <w:spacing w:after="0" w:line="240" w:lineRule="auto"/>
        <w:rPr>
          <w:rFonts w:ascii="Times New Roman" w:eastAsia="Times New Roman" w:hAnsi="Times New Roman" w:cs="Times New Roman"/>
          <w:sz w:val="24"/>
          <w:szCs w:val="24"/>
          <w:lang w:eastAsia="hu-HU"/>
          <w14:ligatures w14:val="none"/>
        </w:rPr>
      </w:pPr>
      <w:r w:rsidRPr="00A576A8">
        <w:rPr>
          <w:rFonts w:ascii="Times New Roman" w:eastAsia="Times New Roman" w:hAnsi="Times New Roman" w:cs="Times New Roman"/>
          <w:sz w:val="24"/>
          <w:szCs w:val="24"/>
          <w:lang w:eastAsia="hu-HU"/>
          <w14:ligatures w14:val="none"/>
        </w:rPr>
        <w:t>This not only preserves product quality, but also appeals to customers who value sustainability in their purchase decisions. Furthermore, expanding fair trade agreements can enhance producers' livelihoods in underdeveloped nations, promoting economic progress and social development. This dedication to fair trade and sustainability may also create a competitive edge in the marketplace, as people seek out businesses that share their values.</w:t>
      </w:r>
    </w:p>
    <w:p w14:paraId="51A76592" w14:textId="77777777" w:rsidR="00A576A8" w:rsidRPr="00A576A8" w:rsidRDefault="00A576A8" w:rsidP="00A576A8">
      <w:pPr>
        <w:spacing w:after="0" w:line="240" w:lineRule="auto"/>
        <w:rPr>
          <w:rFonts w:ascii="Times New Roman" w:eastAsia="Times New Roman" w:hAnsi="Times New Roman" w:cs="Times New Roman"/>
          <w:sz w:val="24"/>
          <w:szCs w:val="24"/>
          <w:lang w:eastAsia="hu-HU"/>
          <w14:ligatures w14:val="none"/>
        </w:rPr>
      </w:pPr>
      <w:r w:rsidRPr="00A576A8">
        <w:rPr>
          <w:rFonts w:ascii="Times New Roman" w:eastAsia="Times New Roman" w:hAnsi="Times New Roman" w:cs="Times New Roman"/>
          <w:sz w:val="24"/>
          <w:szCs w:val="24"/>
          <w:lang w:eastAsia="hu-HU"/>
          <w14:ligatures w14:val="none"/>
        </w:rPr>
        <w:t xml:space="preserve">Another key proposal is to strengthen community participation programmes. The Body Shop should create and support more community-based initiatives aimed at environmental protection and social welfare. Community involvement efforts may generate goodwill, increase local support, and distinguish The Body Shop as a socially responsible business (Smith, 2021). By actively engaging in and supporting community programmes, The Body Shop can improve its brand image and build stronger ties with the community. </w:t>
      </w:r>
    </w:p>
    <w:p w14:paraId="688228AE" w14:textId="77777777" w:rsidR="00A576A8" w:rsidRDefault="00A576A8" w:rsidP="00A576A8">
      <w:pPr>
        <w:spacing w:after="0" w:line="240" w:lineRule="auto"/>
        <w:rPr>
          <w:rFonts w:ascii="Times New Roman" w:eastAsia="Times New Roman" w:hAnsi="Times New Roman" w:cs="Times New Roman"/>
          <w:sz w:val="24"/>
          <w:szCs w:val="24"/>
          <w:lang w:eastAsia="hu-HU"/>
          <w14:ligatures w14:val="none"/>
        </w:rPr>
      </w:pPr>
      <w:r w:rsidRPr="00A576A8">
        <w:rPr>
          <w:rFonts w:ascii="Times New Roman" w:eastAsia="Times New Roman" w:hAnsi="Times New Roman" w:cs="Times New Roman"/>
          <w:sz w:val="24"/>
          <w:szCs w:val="24"/>
          <w:lang w:eastAsia="hu-HU"/>
          <w14:ligatures w14:val="none"/>
        </w:rPr>
        <w:t>This can include tree-planting programmes, neighbourhood cleanups, and sustainability teaching events. Meaningful contacts with the community may boost existing client loyalty while attracting new ones that value corporate social responsibility. Furthermore, these efforts can create chances for workers to participate, increasing morale and instilling pride in working for a firm that has a beneficial impact.</w:t>
      </w:r>
    </w:p>
    <w:p w14:paraId="152ED5B3"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79B8EB40"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3A864537"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208EC9A1"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641CC298"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5730238A"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0D79B7B5"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5D8AA815"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7CAA9ED7"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6D213B0B"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59047373"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65DA9379"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18679D82"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0B623E5D"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21ED205E"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041BF2ED"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0E6BAA91"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3A689D85"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0BA140C5"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2EC1699F"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3FD017C4"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20D0EBD6"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78828E77"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7CE46C08" w14:textId="77777777" w:rsidR="00407B25" w:rsidRDefault="00407B25" w:rsidP="00A576A8">
      <w:pPr>
        <w:spacing w:after="0" w:line="240" w:lineRule="auto"/>
        <w:rPr>
          <w:rFonts w:ascii="Times New Roman" w:eastAsia="Times New Roman" w:hAnsi="Times New Roman" w:cs="Times New Roman"/>
          <w:sz w:val="24"/>
          <w:szCs w:val="24"/>
          <w:lang w:eastAsia="hu-HU"/>
          <w14:ligatures w14:val="none"/>
        </w:rPr>
      </w:pPr>
    </w:p>
    <w:p w14:paraId="4EAD1BDA" w14:textId="77777777" w:rsidR="00407B25" w:rsidRPr="00A576A8" w:rsidRDefault="00407B25" w:rsidP="00A576A8">
      <w:pPr>
        <w:spacing w:after="0" w:line="240" w:lineRule="auto"/>
        <w:rPr>
          <w:rFonts w:ascii="Times New Roman" w:eastAsia="Times New Roman" w:hAnsi="Times New Roman" w:cs="Times New Roman"/>
          <w:sz w:val="24"/>
          <w:szCs w:val="24"/>
          <w:lang w:eastAsia="hu-HU"/>
          <w14:ligatures w14:val="none"/>
        </w:rPr>
      </w:pPr>
    </w:p>
    <w:p w14:paraId="6AA17FBB" w14:textId="77777777" w:rsidR="006A7A2E" w:rsidRPr="006A7A2E" w:rsidRDefault="006A7A2E" w:rsidP="006A7A2E">
      <w:pPr>
        <w:spacing w:before="100" w:beforeAutospacing="1" w:after="100" w:afterAutospacing="1" w:line="240" w:lineRule="auto"/>
        <w:outlineLvl w:val="2"/>
        <w:rPr>
          <w:rFonts w:ascii="Times New Roman" w:eastAsia="Times New Roman" w:hAnsi="Times New Roman" w:cs="Times New Roman"/>
          <w:b/>
          <w:bCs/>
          <w:sz w:val="27"/>
          <w:szCs w:val="27"/>
          <w:lang w:eastAsia="hu-HU"/>
          <w14:ligatures w14:val="none"/>
        </w:rPr>
      </w:pPr>
      <w:r w:rsidRPr="006A7A2E">
        <w:rPr>
          <w:rFonts w:ascii="Times New Roman" w:eastAsia="Times New Roman" w:hAnsi="Times New Roman" w:cs="Times New Roman"/>
          <w:b/>
          <w:bCs/>
          <w:sz w:val="27"/>
          <w:szCs w:val="27"/>
          <w:lang w:eastAsia="hu-HU"/>
          <w14:ligatures w14:val="none"/>
        </w:rPr>
        <w:t>References</w:t>
      </w:r>
    </w:p>
    <w:p w14:paraId="0F6D3A4B" w14:textId="77777777" w:rsidR="003C4F69" w:rsidRPr="003C4F69" w:rsidRDefault="003C4F69" w:rsidP="003C4F69">
      <w:pPr>
        <w:spacing w:after="0" w:line="240" w:lineRule="auto"/>
        <w:rPr>
          <w:rFonts w:ascii="Times New Roman" w:eastAsia="Times New Roman" w:hAnsi="Times New Roman" w:cs="Times New Roman"/>
          <w:sz w:val="24"/>
          <w:szCs w:val="24"/>
          <w:lang w:eastAsia="hu-HU"/>
          <w14:ligatures w14:val="none"/>
        </w:rPr>
      </w:pPr>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 xml:space="preserve">World Trade Organization. (2021). Trade Policies and Cosmetic Industry. available: </w:t>
      </w:r>
      <w:hyperlink r:id="rId5" w:tgtFrame="_new" w:history="1">
        <w:r w:rsidRPr="003C4F69">
          <w:rPr>
            <w:rFonts w:ascii="Times New Roman" w:eastAsia="Times New Roman" w:hAnsi="Times New Roman" w:cs="Times New Roman"/>
            <w:b/>
            <w:bCs/>
            <w:color w:val="0000FF"/>
            <w:sz w:val="24"/>
            <w:szCs w:val="24"/>
            <w:u w:val="single"/>
            <w:lang w:eastAsia="hu-HU"/>
            <w14:ligatures w14:val="none"/>
          </w:rPr>
          <w:t>https://www.wto.org/english/tratop_e/tbt_e/tbt_cosmetic_ind_e.htm</w:t>
        </w:r>
      </w:hyperlink>
    </w:p>
    <w:p w14:paraId="6C6202F2" w14:textId="77777777" w:rsidR="003C4F69" w:rsidRPr="003C4F69" w:rsidRDefault="003C4F69" w:rsidP="003C4F69">
      <w:pPr>
        <w:spacing w:after="0" w:line="240" w:lineRule="auto"/>
        <w:rPr>
          <w:rFonts w:ascii="Times New Roman" w:eastAsia="Times New Roman" w:hAnsi="Times New Roman" w:cs="Times New Roman"/>
          <w:sz w:val="24"/>
          <w:szCs w:val="24"/>
          <w:lang w:eastAsia="hu-HU"/>
          <w14:ligatures w14:val="none"/>
        </w:rPr>
      </w:pPr>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Smith, R. (2021). PESTLE Analysis in Business Strategy. Strategic Management Journal, 43(2), 98-115 available:</w:t>
      </w:r>
      <w:hyperlink r:id="rId6" w:tgtFrame="_new" w:history="1">
        <w:r w:rsidRPr="003C4F69">
          <w:rPr>
            <w:rFonts w:ascii="Times New Roman" w:eastAsia="Times New Roman" w:hAnsi="Times New Roman" w:cs="Times New Roman"/>
            <w:b/>
            <w:bCs/>
            <w:color w:val="0000FF"/>
            <w:sz w:val="24"/>
            <w:szCs w:val="24"/>
            <w:u w:val="single"/>
            <w:lang w:eastAsia="hu-HU"/>
            <w14:ligatures w14:val="none"/>
          </w:rPr>
          <w:t>https://onlinelibrary.wiley.com/doi/abs/10.1002/smj.3251</w:t>
        </w:r>
      </w:hyperlink>
    </w:p>
    <w:p w14:paraId="0717E47F" w14:textId="77777777" w:rsidR="003C4F69" w:rsidRPr="003C4F69" w:rsidRDefault="003C4F69" w:rsidP="003C4F69">
      <w:pPr>
        <w:spacing w:after="0" w:line="240" w:lineRule="auto"/>
        <w:rPr>
          <w:rFonts w:ascii="Times New Roman" w:eastAsia="Times New Roman" w:hAnsi="Times New Roman" w:cs="Times New Roman"/>
          <w:sz w:val="24"/>
          <w:szCs w:val="24"/>
          <w:lang w:eastAsia="hu-HU"/>
          <w14:ligatures w14:val="none"/>
        </w:rPr>
      </w:pPr>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Smith, J. (2021). The Rise of Ethical Consumerism. Journal of Business Ethics, 152(3), 321-337. available:</w:t>
      </w:r>
      <w:hyperlink r:id="rId7" w:tgtFrame="_new" w:history="1">
        <w:r w:rsidRPr="003C4F69">
          <w:rPr>
            <w:rFonts w:ascii="Times New Roman" w:eastAsia="Times New Roman" w:hAnsi="Times New Roman" w:cs="Times New Roman"/>
            <w:b/>
            <w:bCs/>
            <w:color w:val="0000FF"/>
            <w:sz w:val="24"/>
            <w:szCs w:val="24"/>
            <w:u w:val="single"/>
            <w:lang w:eastAsia="hu-HU"/>
            <w14:ligatures w14:val="none"/>
          </w:rPr>
          <w:t>https://link.springer.com/article/10.1007/s10551-020-04413-6</w:t>
        </w:r>
      </w:hyperlink>
    </w:p>
    <w:p w14:paraId="3AA582E0" w14:textId="77777777" w:rsidR="003C4F69" w:rsidRPr="003C4F69" w:rsidRDefault="003C4F69" w:rsidP="003C4F69">
      <w:pPr>
        <w:spacing w:after="0" w:line="240" w:lineRule="auto"/>
        <w:rPr>
          <w:rFonts w:ascii="Times New Roman" w:eastAsia="Times New Roman" w:hAnsi="Times New Roman" w:cs="Times New Roman"/>
          <w:sz w:val="24"/>
          <w:szCs w:val="24"/>
          <w:lang w:eastAsia="hu-HU"/>
          <w14:ligatures w14:val="none"/>
        </w:rPr>
      </w:pPr>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Nguyen, P. (2022). Digital Transformation in Retail. Journal of Digital Innovation, 10(2), 112-129. available:</w:t>
      </w:r>
      <w:hyperlink r:id="rId8" w:tgtFrame="_new" w:history="1">
        <w:r w:rsidRPr="003C4F69">
          <w:rPr>
            <w:rFonts w:ascii="Times New Roman" w:eastAsia="Times New Roman" w:hAnsi="Times New Roman" w:cs="Times New Roman"/>
            <w:b/>
            <w:bCs/>
            <w:color w:val="0000FF"/>
            <w:sz w:val="24"/>
            <w:szCs w:val="24"/>
            <w:u w:val="single"/>
            <w:lang w:eastAsia="hu-HU"/>
            <w14:ligatures w14:val="none"/>
          </w:rPr>
          <w:t>https://www.journalofdigitalinnovation.com/digital-transformation-in-retail-2022</w:t>
        </w:r>
      </w:hyperlink>
    </w:p>
    <w:p w14:paraId="7A9AA1B0" w14:textId="77777777" w:rsidR="003C4F69" w:rsidRPr="003C4F69" w:rsidRDefault="003C4F69" w:rsidP="003C4F69">
      <w:pPr>
        <w:spacing w:after="0" w:line="240" w:lineRule="auto"/>
        <w:rPr>
          <w:rFonts w:ascii="Times New Roman" w:eastAsia="Times New Roman" w:hAnsi="Times New Roman" w:cs="Times New Roman"/>
          <w:sz w:val="24"/>
          <w:szCs w:val="24"/>
          <w:lang w:eastAsia="hu-HU"/>
          <w14:ligatures w14:val="none"/>
        </w:rPr>
      </w:pPr>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Mitchell, R., Agle, B., &amp; Wood, D. (1997). Toward a Theory of Stakeholder Identification and Salience. Academy of Management Review, 22(4), 853-886. available:</w:t>
      </w:r>
      <w:hyperlink r:id="rId9" w:tgtFrame="_new" w:history="1">
        <w:r w:rsidRPr="003C4F69">
          <w:rPr>
            <w:rFonts w:ascii="Times New Roman" w:eastAsia="Times New Roman" w:hAnsi="Times New Roman" w:cs="Times New Roman"/>
            <w:b/>
            <w:bCs/>
            <w:color w:val="0000FF"/>
            <w:sz w:val="24"/>
            <w:szCs w:val="24"/>
            <w:u w:val="single"/>
            <w:lang w:eastAsia="hu-HU"/>
            <w14:ligatures w14:val="none"/>
          </w:rPr>
          <w:t>https://journals.aom.org/doi/abs/10.5465/amr.1997.9711022105</w:t>
        </w:r>
      </w:hyperlink>
    </w:p>
    <w:p w14:paraId="1939E6BC" w14:textId="77777777" w:rsidR="003C4F69" w:rsidRPr="003C4F69" w:rsidRDefault="003C4F69" w:rsidP="003C4F69">
      <w:pPr>
        <w:spacing w:after="0" w:line="240" w:lineRule="auto"/>
        <w:rPr>
          <w:rFonts w:ascii="Times New Roman" w:eastAsia="Times New Roman" w:hAnsi="Times New Roman" w:cs="Times New Roman"/>
          <w:sz w:val="24"/>
          <w:szCs w:val="24"/>
          <w:lang w:eastAsia="hu-HU"/>
          <w14:ligatures w14:val="none"/>
        </w:rPr>
      </w:pPr>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Jones, M., &amp; Williams, S. (2019). Impact of Climate Change on Natural Resources. Environmental Research Letters, 14(4), 405-421 available:</w:t>
      </w:r>
      <w:hyperlink r:id="rId10" w:tgtFrame="_new" w:history="1">
        <w:r w:rsidRPr="003C4F69">
          <w:rPr>
            <w:rFonts w:ascii="Times New Roman" w:eastAsia="Times New Roman" w:hAnsi="Times New Roman" w:cs="Times New Roman"/>
            <w:b/>
            <w:bCs/>
            <w:color w:val="0000FF"/>
            <w:sz w:val="24"/>
            <w:szCs w:val="24"/>
            <w:u w:val="single"/>
            <w:lang w:eastAsia="hu-HU"/>
            <w14:ligatures w14:val="none"/>
          </w:rPr>
          <w:t>https://iopscience.iop.org/article/10.1088/1748-9326/ab2f33</w:t>
        </w:r>
      </w:hyperlink>
    </w:p>
    <w:p w14:paraId="5D556F45" w14:textId="77777777" w:rsidR="003C4F69" w:rsidRPr="003C4F69" w:rsidRDefault="003C4F69" w:rsidP="003C4F69">
      <w:pPr>
        <w:spacing w:after="0" w:line="240" w:lineRule="auto"/>
        <w:rPr>
          <w:rFonts w:ascii="Times New Roman" w:eastAsia="Times New Roman" w:hAnsi="Times New Roman" w:cs="Times New Roman"/>
          <w:sz w:val="24"/>
          <w:szCs w:val="24"/>
          <w:lang w:eastAsia="hu-HU"/>
          <w14:ligatures w14:val="none"/>
        </w:rPr>
      </w:pPr>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H&amp;M Group. (2023). Sustainable Sourcing Practices. available:</w:t>
      </w:r>
      <w:hyperlink r:id="rId11" w:tgtFrame="_new" w:history="1">
        <w:r w:rsidRPr="003C4F69">
          <w:rPr>
            <w:rFonts w:ascii="Times New Roman" w:eastAsia="Times New Roman" w:hAnsi="Times New Roman" w:cs="Times New Roman"/>
            <w:b/>
            <w:bCs/>
            <w:color w:val="0000FF"/>
            <w:sz w:val="24"/>
            <w:szCs w:val="24"/>
            <w:u w:val="single"/>
            <w:lang w:eastAsia="hu-HU"/>
            <w14:ligatures w14:val="none"/>
          </w:rPr>
          <w:t>https://hmgroup.com/sustainability/sustainable-sourcing/</w:t>
        </w:r>
      </w:hyperlink>
    </w:p>
    <w:p w14:paraId="319A9404" w14:textId="77777777" w:rsidR="003C4F69" w:rsidRPr="003C4F69" w:rsidRDefault="003C4F69" w:rsidP="003C4F69">
      <w:pPr>
        <w:spacing w:after="0" w:line="240" w:lineRule="auto"/>
        <w:rPr>
          <w:rFonts w:ascii="Times New Roman" w:eastAsia="Times New Roman" w:hAnsi="Times New Roman" w:cs="Times New Roman"/>
          <w:sz w:val="24"/>
          <w:szCs w:val="24"/>
          <w:lang w:eastAsia="hu-HU"/>
          <w14:ligatures w14:val="none"/>
        </w:rPr>
      </w:pPr>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Fair Trade International. (2022). Annual Report 2022. available:</w:t>
      </w:r>
      <w:hyperlink r:id="rId12" w:tgtFrame="_new" w:history="1">
        <w:r w:rsidRPr="003C4F69">
          <w:rPr>
            <w:rFonts w:ascii="Times New Roman" w:eastAsia="Times New Roman" w:hAnsi="Times New Roman" w:cs="Times New Roman"/>
            <w:b/>
            <w:bCs/>
            <w:color w:val="0000FF"/>
            <w:sz w:val="24"/>
            <w:szCs w:val="24"/>
            <w:u w:val="single"/>
            <w:lang w:eastAsia="hu-HU"/>
            <w14:ligatures w14:val="none"/>
          </w:rPr>
          <w:t>https://www.fairtrade.net/library/annual-report-2022</w:t>
        </w:r>
      </w:hyperlink>
    </w:p>
    <w:p w14:paraId="122D3127" w14:textId="77777777" w:rsidR="003C4F69" w:rsidRPr="003C4F69" w:rsidRDefault="003C4F69" w:rsidP="003C4F69">
      <w:pPr>
        <w:spacing w:after="0" w:line="240" w:lineRule="auto"/>
        <w:rPr>
          <w:rFonts w:ascii="Times New Roman" w:eastAsia="Times New Roman" w:hAnsi="Times New Roman" w:cs="Times New Roman"/>
          <w:sz w:val="24"/>
          <w:szCs w:val="24"/>
          <w:lang w:eastAsia="hu-HU"/>
          <w14:ligatures w14:val="none"/>
        </w:rPr>
      </w:pPr>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Ethical Consumer. (2023). The Body Shop - Company Profile. available:</w:t>
      </w:r>
      <w:hyperlink r:id="rId13" w:tgtFrame="_new" w:history="1">
        <w:r w:rsidRPr="003C4F69">
          <w:rPr>
            <w:rFonts w:ascii="Times New Roman" w:eastAsia="Times New Roman" w:hAnsi="Times New Roman" w:cs="Times New Roman"/>
            <w:b/>
            <w:bCs/>
            <w:color w:val="0000FF"/>
            <w:sz w:val="24"/>
            <w:szCs w:val="24"/>
            <w:u w:val="single"/>
            <w:lang w:eastAsia="hu-HU"/>
            <w14:ligatures w14:val="none"/>
          </w:rPr>
          <w:t>https://www.ethicalconsumer.org/company-profile/body-shop</w:t>
        </w:r>
      </w:hyperlink>
    </w:p>
    <w:p w14:paraId="6AC35485" w14:textId="77777777" w:rsidR="003C4F69" w:rsidRPr="003C4F69" w:rsidRDefault="003C4F69" w:rsidP="003C4F69">
      <w:pPr>
        <w:spacing w:after="0" w:line="240" w:lineRule="auto"/>
        <w:rPr>
          <w:rFonts w:ascii="Times New Roman" w:eastAsia="Times New Roman" w:hAnsi="Times New Roman" w:cs="Times New Roman"/>
          <w:sz w:val="24"/>
          <w:szCs w:val="24"/>
          <w:lang w:eastAsia="hu-HU"/>
          <w14:ligatures w14:val="none"/>
        </w:rPr>
      </w:pPr>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 xml:space="preserve">European Commission. (2023). Cosmetics Regulation (EC) No 1223/2009 available: </w:t>
      </w:r>
      <w:hyperlink r:id="rId14" w:tgtFrame="_new" w:history="1">
        <w:r w:rsidRPr="003C4F69">
          <w:rPr>
            <w:rFonts w:ascii="Times New Roman" w:eastAsia="Times New Roman" w:hAnsi="Times New Roman" w:cs="Times New Roman"/>
            <w:b/>
            <w:bCs/>
            <w:color w:val="0000FF"/>
            <w:sz w:val="24"/>
            <w:szCs w:val="24"/>
            <w:u w:val="single"/>
            <w:lang w:eastAsia="hu-HU"/>
            <w14:ligatures w14:val="none"/>
          </w:rPr>
          <w:t>https://eur-lex.europa.eu/legal-content/EN/TXT/?uri=CELEX:32009R1223</w:t>
        </w:r>
      </w:hyperlink>
    </w:p>
    <w:p w14:paraId="628E6AB9" w14:textId="77777777" w:rsidR="003C4F69" w:rsidRPr="003C4F69" w:rsidRDefault="003C4F69" w:rsidP="003C4F69">
      <w:pPr>
        <w:spacing w:after="0" w:line="240" w:lineRule="auto"/>
        <w:rPr>
          <w:rFonts w:ascii="Times New Roman" w:eastAsia="Times New Roman" w:hAnsi="Times New Roman" w:cs="Times New Roman"/>
          <w:sz w:val="24"/>
          <w:szCs w:val="24"/>
          <w:lang w:eastAsia="hu-HU"/>
          <w14:ligatures w14:val="none"/>
        </w:rPr>
      </w:pPr>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Deloitte. (2020). Global Powers of Retailing 2020. available:</w:t>
      </w:r>
      <w:hyperlink r:id="rId15" w:tgtFrame="_new" w:history="1">
        <w:r w:rsidRPr="003C4F69">
          <w:rPr>
            <w:rFonts w:ascii="Times New Roman" w:eastAsia="Times New Roman" w:hAnsi="Times New Roman" w:cs="Times New Roman"/>
            <w:b/>
            <w:bCs/>
            <w:color w:val="0000FF"/>
            <w:sz w:val="24"/>
            <w:szCs w:val="24"/>
            <w:u w:val="single"/>
            <w:lang w:eastAsia="hu-HU"/>
            <w14:ligatures w14:val="none"/>
          </w:rPr>
          <w:t>https://www2.deloitte.com/global/en/pages/consumer-business/articles/global-powers-of-retailing.html</w:t>
        </w:r>
      </w:hyperlink>
    </w:p>
    <w:p w14:paraId="0CA13771" w14:textId="77777777" w:rsidR="003C4F69" w:rsidRPr="003C4F69" w:rsidRDefault="003C4F69" w:rsidP="003C4F69">
      <w:pPr>
        <w:spacing w:after="0" w:line="240" w:lineRule="auto"/>
        <w:rPr>
          <w:rFonts w:ascii="Times New Roman" w:eastAsia="Times New Roman" w:hAnsi="Times New Roman" w:cs="Times New Roman"/>
          <w:sz w:val="24"/>
          <w:szCs w:val="24"/>
          <w:lang w:eastAsia="hu-HU"/>
          <w14:ligatures w14:val="none"/>
        </w:rPr>
      </w:pPr>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Brown, L., &amp; Green, K. (2020). Corporate Social Responsibility in the Cosmetics Industry. Business Strategy Review, 12(1), 45-59 available:</w:t>
      </w:r>
      <w:hyperlink r:id="rId16" w:tgtFrame="_new" w:history="1">
        <w:r w:rsidRPr="003C4F69">
          <w:rPr>
            <w:rFonts w:ascii="Times New Roman" w:eastAsia="Times New Roman" w:hAnsi="Times New Roman" w:cs="Times New Roman"/>
            <w:b/>
            <w:bCs/>
            <w:color w:val="0000FF"/>
            <w:sz w:val="24"/>
            <w:szCs w:val="24"/>
            <w:u w:val="single"/>
            <w:lang w:eastAsia="hu-HU"/>
            <w14:ligatures w14:val="none"/>
          </w:rPr>
          <w:t>https://onlinelibrary.wiley.com/doi/10.1002/bsr.2020</w:t>
        </w:r>
      </w:hyperlink>
    </w:p>
    <w:p w14:paraId="0473981A" w14:textId="1FD8A3AC" w:rsidR="006A7A2E" w:rsidRDefault="003C4F69" w:rsidP="003C4F69">
      <w:r w:rsidRPr="003C4F69">
        <w:rPr>
          <w:rFonts w:ascii="Times New Roman" w:eastAsia="Times New Roman" w:hAnsi="Symbol" w:cs="Times New Roman"/>
          <w:sz w:val="24"/>
          <w:szCs w:val="24"/>
          <w:lang w:eastAsia="hu-HU"/>
          <w14:ligatures w14:val="none"/>
        </w:rPr>
        <w:t></w:t>
      </w:r>
      <w:r w:rsidRPr="003C4F69">
        <w:rPr>
          <w:rFonts w:ascii="Times New Roman" w:eastAsia="Times New Roman" w:hAnsi="Times New Roman" w:cs="Times New Roman"/>
          <w:sz w:val="24"/>
          <w:szCs w:val="24"/>
          <w:lang w:eastAsia="hu-HU"/>
          <w14:ligatures w14:val="none"/>
        </w:rPr>
        <w:t xml:space="preserve">  </w:t>
      </w:r>
      <w:r w:rsidRPr="003C4F69">
        <w:rPr>
          <w:rFonts w:ascii="Times New Roman" w:eastAsia="Times New Roman" w:hAnsi="Times New Roman" w:cs="Times New Roman"/>
          <w:b/>
          <w:bCs/>
          <w:sz w:val="24"/>
          <w:szCs w:val="24"/>
          <w:lang w:eastAsia="hu-HU"/>
          <w14:ligatures w14:val="none"/>
        </w:rPr>
        <w:t xml:space="preserve">Body Shop International. (2022). Sustainability Report 2022. available: </w:t>
      </w:r>
      <w:hyperlink r:id="rId17" w:tgtFrame="_new" w:history="1">
        <w:r w:rsidRPr="003C4F69">
          <w:rPr>
            <w:rFonts w:ascii="Times New Roman" w:eastAsia="Times New Roman" w:hAnsi="Times New Roman" w:cs="Times New Roman"/>
            <w:b/>
            <w:bCs/>
            <w:color w:val="0000FF"/>
            <w:sz w:val="24"/>
            <w:szCs w:val="24"/>
            <w:u w:val="single"/>
            <w:lang w:eastAsia="hu-HU"/>
            <w14:ligatures w14:val="none"/>
          </w:rPr>
          <w:t>https://www.thebodyshop.com/content/dam/tbs/downloads/sustainability_report_2022.pdf</w:t>
        </w:r>
      </w:hyperlink>
    </w:p>
    <w:sectPr w:rsidR="006A7A2E" w:rsidSect="00F20F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A479A0"/>
    <w:multiLevelType w:val="multilevel"/>
    <w:tmpl w:val="6F0810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A3439C"/>
    <w:multiLevelType w:val="multilevel"/>
    <w:tmpl w:val="F0187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2E"/>
    <w:rsid w:val="000B73F2"/>
    <w:rsid w:val="00266595"/>
    <w:rsid w:val="003C4F69"/>
    <w:rsid w:val="00407B25"/>
    <w:rsid w:val="00620B4B"/>
    <w:rsid w:val="006A7A2E"/>
    <w:rsid w:val="007F6378"/>
    <w:rsid w:val="00A576A8"/>
    <w:rsid w:val="00AA2262"/>
    <w:rsid w:val="00B92787"/>
    <w:rsid w:val="00F20F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6F402"/>
  <w15:chartTrackingRefBased/>
  <w15:docId w15:val="{31C9F8F0-64DB-4BC7-A2DA-F8859FDCF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A2E"/>
  </w:style>
  <w:style w:type="paragraph" w:styleId="Heading1">
    <w:name w:val="heading 1"/>
    <w:basedOn w:val="Normal"/>
    <w:next w:val="Normal"/>
    <w:link w:val="Heading1Char"/>
    <w:uiPriority w:val="9"/>
    <w:qFormat/>
    <w:rsid w:val="006A7A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A7A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A7A2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A7A2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6A7A2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A7A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7A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7A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7A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A2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A7A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A7A2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A7A2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6A7A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A7A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7A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7A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7A2E"/>
    <w:rPr>
      <w:rFonts w:eastAsiaTheme="majorEastAsia" w:cstheme="majorBidi"/>
      <w:color w:val="272727" w:themeColor="text1" w:themeTint="D8"/>
    </w:rPr>
  </w:style>
  <w:style w:type="paragraph" w:styleId="Title">
    <w:name w:val="Title"/>
    <w:basedOn w:val="Normal"/>
    <w:next w:val="Normal"/>
    <w:link w:val="TitleChar"/>
    <w:uiPriority w:val="10"/>
    <w:qFormat/>
    <w:rsid w:val="006A7A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7A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7A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7A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7A2E"/>
    <w:pPr>
      <w:spacing w:before="160"/>
      <w:jc w:val="center"/>
    </w:pPr>
    <w:rPr>
      <w:i/>
      <w:iCs/>
      <w:color w:val="404040" w:themeColor="text1" w:themeTint="BF"/>
    </w:rPr>
  </w:style>
  <w:style w:type="character" w:customStyle="1" w:styleId="QuoteChar">
    <w:name w:val="Quote Char"/>
    <w:basedOn w:val="DefaultParagraphFont"/>
    <w:link w:val="Quote"/>
    <w:uiPriority w:val="29"/>
    <w:rsid w:val="006A7A2E"/>
    <w:rPr>
      <w:i/>
      <w:iCs/>
      <w:color w:val="404040" w:themeColor="text1" w:themeTint="BF"/>
    </w:rPr>
  </w:style>
  <w:style w:type="paragraph" w:styleId="ListParagraph">
    <w:name w:val="List Paragraph"/>
    <w:basedOn w:val="Normal"/>
    <w:uiPriority w:val="34"/>
    <w:qFormat/>
    <w:rsid w:val="006A7A2E"/>
    <w:pPr>
      <w:ind w:left="720"/>
      <w:contextualSpacing/>
    </w:pPr>
  </w:style>
  <w:style w:type="character" w:styleId="IntenseEmphasis">
    <w:name w:val="Intense Emphasis"/>
    <w:basedOn w:val="DefaultParagraphFont"/>
    <w:uiPriority w:val="21"/>
    <w:qFormat/>
    <w:rsid w:val="006A7A2E"/>
    <w:rPr>
      <w:i/>
      <w:iCs/>
      <w:color w:val="2F5496" w:themeColor="accent1" w:themeShade="BF"/>
    </w:rPr>
  </w:style>
  <w:style w:type="paragraph" w:styleId="IntenseQuote">
    <w:name w:val="Intense Quote"/>
    <w:basedOn w:val="Normal"/>
    <w:next w:val="Normal"/>
    <w:link w:val="IntenseQuoteChar"/>
    <w:uiPriority w:val="30"/>
    <w:qFormat/>
    <w:rsid w:val="006A7A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7A2E"/>
    <w:rPr>
      <w:i/>
      <w:iCs/>
      <w:color w:val="2F5496" w:themeColor="accent1" w:themeShade="BF"/>
    </w:rPr>
  </w:style>
  <w:style w:type="character" w:styleId="IntenseReference">
    <w:name w:val="Intense Reference"/>
    <w:basedOn w:val="DefaultParagraphFont"/>
    <w:uiPriority w:val="32"/>
    <w:qFormat/>
    <w:rsid w:val="006A7A2E"/>
    <w:rPr>
      <w:b/>
      <w:bCs/>
      <w:smallCaps/>
      <w:color w:val="2F5496" w:themeColor="accent1" w:themeShade="BF"/>
      <w:spacing w:val="5"/>
    </w:rPr>
  </w:style>
  <w:style w:type="table" w:styleId="TableGrid">
    <w:name w:val="Table Grid"/>
    <w:basedOn w:val="TableNormal"/>
    <w:uiPriority w:val="39"/>
    <w:rsid w:val="006A7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6A7A2E"/>
  </w:style>
  <w:style w:type="paragraph" w:styleId="NormalWeb">
    <w:name w:val="Normal (Web)"/>
    <w:basedOn w:val="Normal"/>
    <w:uiPriority w:val="99"/>
    <w:semiHidden/>
    <w:unhideWhenUsed/>
    <w:rsid w:val="006A7A2E"/>
    <w:pPr>
      <w:spacing w:before="100" w:beforeAutospacing="1" w:after="100" w:afterAutospacing="1" w:line="240" w:lineRule="auto"/>
    </w:pPr>
    <w:rPr>
      <w:rFonts w:ascii="Times New Roman" w:eastAsia="Times New Roman" w:hAnsi="Times New Roman" w:cs="Times New Roman"/>
      <w:sz w:val="24"/>
      <w:szCs w:val="24"/>
      <w:lang w:eastAsia="hu-HU"/>
      <w14:ligatures w14:val="none"/>
    </w:rPr>
  </w:style>
  <w:style w:type="character" w:styleId="Strong">
    <w:name w:val="Strong"/>
    <w:basedOn w:val="DefaultParagraphFont"/>
    <w:uiPriority w:val="22"/>
    <w:qFormat/>
    <w:rsid w:val="006A7A2E"/>
    <w:rPr>
      <w:b/>
      <w:bCs/>
    </w:rPr>
  </w:style>
  <w:style w:type="character" w:styleId="Emphasis">
    <w:name w:val="Emphasis"/>
    <w:basedOn w:val="DefaultParagraphFont"/>
    <w:uiPriority w:val="20"/>
    <w:qFormat/>
    <w:rsid w:val="006A7A2E"/>
    <w:rPr>
      <w:i/>
      <w:iCs/>
    </w:rPr>
  </w:style>
  <w:style w:type="character" w:styleId="Hyperlink">
    <w:name w:val="Hyperlink"/>
    <w:basedOn w:val="DefaultParagraphFont"/>
    <w:uiPriority w:val="99"/>
    <w:unhideWhenUsed/>
    <w:rsid w:val="006A7A2E"/>
    <w:rPr>
      <w:color w:val="0000FF"/>
      <w:u w:val="single"/>
    </w:rPr>
  </w:style>
  <w:style w:type="character" w:styleId="UnresolvedMention">
    <w:name w:val="Unresolved Mention"/>
    <w:basedOn w:val="DefaultParagraphFont"/>
    <w:uiPriority w:val="99"/>
    <w:semiHidden/>
    <w:unhideWhenUsed/>
    <w:rsid w:val="00620B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13833">
      <w:bodyDiv w:val="1"/>
      <w:marLeft w:val="0"/>
      <w:marRight w:val="0"/>
      <w:marTop w:val="0"/>
      <w:marBottom w:val="0"/>
      <w:divBdr>
        <w:top w:val="none" w:sz="0" w:space="0" w:color="auto"/>
        <w:left w:val="none" w:sz="0" w:space="0" w:color="auto"/>
        <w:bottom w:val="none" w:sz="0" w:space="0" w:color="auto"/>
        <w:right w:val="none" w:sz="0" w:space="0" w:color="auto"/>
      </w:divBdr>
    </w:div>
    <w:div w:id="131293368">
      <w:bodyDiv w:val="1"/>
      <w:marLeft w:val="0"/>
      <w:marRight w:val="0"/>
      <w:marTop w:val="0"/>
      <w:marBottom w:val="0"/>
      <w:divBdr>
        <w:top w:val="none" w:sz="0" w:space="0" w:color="auto"/>
        <w:left w:val="none" w:sz="0" w:space="0" w:color="auto"/>
        <w:bottom w:val="none" w:sz="0" w:space="0" w:color="auto"/>
        <w:right w:val="none" w:sz="0" w:space="0" w:color="auto"/>
      </w:divBdr>
    </w:div>
    <w:div w:id="153491294">
      <w:bodyDiv w:val="1"/>
      <w:marLeft w:val="0"/>
      <w:marRight w:val="0"/>
      <w:marTop w:val="0"/>
      <w:marBottom w:val="0"/>
      <w:divBdr>
        <w:top w:val="none" w:sz="0" w:space="0" w:color="auto"/>
        <w:left w:val="none" w:sz="0" w:space="0" w:color="auto"/>
        <w:bottom w:val="none" w:sz="0" w:space="0" w:color="auto"/>
        <w:right w:val="none" w:sz="0" w:space="0" w:color="auto"/>
      </w:divBdr>
    </w:div>
    <w:div w:id="402995068">
      <w:bodyDiv w:val="1"/>
      <w:marLeft w:val="0"/>
      <w:marRight w:val="0"/>
      <w:marTop w:val="0"/>
      <w:marBottom w:val="0"/>
      <w:divBdr>
        <w:top w:val="none" w:sz="0" w:space="0" w:color="auto"/>
        <w:left w:val="none" w:sz="0" w:space="0" w:color="auto"/>
        <w:bottom w:val="none" w:sz="0" w:space="0" w:color="auto"/>
        <w:right w:val="none" w:sz="0" w:space="0" w:color="auto"/>
      </w:divBdr>
    </w:div>
    <w:div w:id="429738100">
      <w:bodyDiv w:val="1"/>
      <w:marLeft w:val="0"/>
      <w:marRight w:val="0"/>
      <w:marTop w:val="0"/>
      <w:marBottom w:val="0"/>
      <w:divBdr>
        <w:top w:val="none" w:sz="0" w:space="0" w:color="auto"/>
        <w:left w:val="none" w:sz="0" w:space="0" w:color="auto"/>
        <w:bottom w:val="none" w:sz="0" w:space="0" w:color="auto"/>
        <w:right w:val="none" w:sz="0" w:space="0" w:color="auto"/>
      </w:divBdr>
    </w:div>
    <w:div w:id="515995278">
      <w:bodyDiv w:val="1"/>
      <w:marLeft w:val="0"/>
      <w:marRight w:val="0"/>
      <w:marTop w:val="0"/>
      <w:marBottom w:val="0"/>
      <w:divBdr>
        <w:top w:val="none" w:sz="0" w:space="0" w:color="auto"/>
        <w:left w:val="none" w:sz="0" w:space="0" w:color="auto"/>
        <w:bottom w:val="none" w:sz="0" w:space="0" w:color="auto"/>
        <w:right w:val="none" w:sz="0" w:space="0" w:color="auto"/>
      </w:divBdr>
    </w:div>
    <w:div w:id="574434700">
      <w:bodyDiv w:val="1"/>
      <w:marLeft w:val="0"/>
      <w:marRight w:val="0"/>
      <w:marTop w:val="0"/>
      <w:marBottom w:val="0"/>
      <w:divBdr>
        <w:top w:val="none" w:sz="0" w:space="0" w:color="auto"/>
        <w:left w:val="none" w:sz="0" w:space="0" w:color="auto"/>
        <w:bottom w:val="none" w:sz="0" w:space="0" w:color="auto"/>
        <w:right w:val="none" w:sz="0" w:space="0" w:color="auto"/>
      </w:divBdr>
    </w:div>
    <w:div w:id="621182949">
      <w:bodyDiv w:val="1"/>
      <w:marLeft w:val="0"/>
      <w:marRight w:val="0"/>
      <w:marTop w:val="0"/>
      <w:marBottom w:val="0"/>
      <w:divBdr>
        <w:top w:val="none" w:sz="0" w:space="0" w:color="auto"/>
        <w:left w:val="none" w:sz="0" w:space="0" w:color="auto"/>
        <w:bottom w:val="none" w:sz="0" w:space="0" w:color="auto"/>
        <w:right w:val="none" w:sz="0" w:space="0" w:color="auto"/>
      </w:divBdr>
    </w:div>
    <w:div w:id="696321568">
      <w:bodyDiv w:val="1"/>
      <w:marLeft w:val="0"/>
      <w:marRight w:val="0"/>
      <w:marTop w:val="0"/>
      <w:marBottom w:val="0"/>
      <w:divBdr>
        <w:top w:val="none" w:sz="0" w:space="0" w:color="auto"/>
        <w:left w:val="none" w:sz="0" w:space="0" w:color="auto"/>
        <w:bottom w:val="none" w:sz="0" w:space="0" w:color="auto"/>
        <w:right w:val="none" w:sz="0" w:space="0" w:color="auto"/>
      </w:divBdr>
    </w:div>
    <w:div w:id="753431458">
      <w:bodyDiv w:val="1"/>
      <w:marLeft w:val="0"/>
      <w:marRight w:val="0"/>
      <w:marTop w:val="0"/>
      <w:marBottom w:val="0"/>
      <w:divBdr>
        <w:top w:val="none" w:sz="0" w:space="0" w:color="auto"/>
        <w:left w:val="none" w:sz="0" w:space="0" w:color="auto"/>
        <w:bottom w:val="none" w:sz="0" w:space="0" w:color="auto"/>
        <w:right w:val="none" w:sz="0" w:space="0" w:color="auto"/>
      </w:divBdr>
    </w:div>
    <w:div w:id="775636236">
      <w:bodyDiv w:val="1"/>
      <w:marLeft w:val="0"/>
      <w:marRight w:val="0"/>
      <w:marTop w:val="0"/>
      <w:marBottom w:val="0"/>
      <w:divBdr>
        <w:top w:val="none" w:sz="0" w:space="0" w:color="auto"/>
        <w:left w:val="none" w:sz="0" w:space="0" w:color="auto"/>
        <w:bottom w:val="none" w:sz="0" w:space="0" w:color="auto"/>
        <w:right w:val="none" w:sz="0" w:space="0" w:color="auto"/>
      </w:divBdr>
    </w:div>
    <w:div w:id="817697276">
      <w:bodyDiv w:val="1"/>
      <w:marLeft w:val="0"/>
      <w:marRight w:val="0"/>
      <w:marTop w:val="0"/>
      <w:marBottom w:val="0"/>
      <w:divBdr>
        <w:top w:val="none" w:sz="0" w:space="0" w:color="auto"/>
        <w:left w:val="none" w:sz="0" w:space="0" w:color="auto"/>
        <w:bottom w:val="none" w:sz="0" w:space="0" w:color="auto"/>
        <w:right w:val="none" w:sz="0" w:space="0" w:color="auto"/>
      </w:divBdr>
    </w:div>
    <w:div w:id="986468760">
      <w:bodyDiv w:val="1"/>
      <w:marLeft w:val="0"/>
      <w:marRight w:val="0"/>
      <w:marTop w:val="0"/>
      <w:marBottom w:val="0"/>
      <w:divBdr>
        <w:top w:val="none" w:sz="0" w:space="0" w:color="auto"/>
        <w:left w:val="none" w:sz="0" w:space="0" w:color="auto"/>
        <w:bottom w:val="none" w:sz="0" w:space="0" w:color="auto"/>
        <w:right w:val="none" w:sz="0" w:space="0" w:color="auto"/>
      </w:divBdr>
    </w:div>
    <w:div w:id="1008412353">
      <w:bodyDiv w:val="1"/>
      <w:marLeft w:val="0"/>
      <w:marRight w:val="0"/>
      <w:marTop w:val="0"/>
      <w:marBottom w:val="0"/>
      <w:divBdr>
        <w:top w:val="none" w:sz="0" w:space="0" w:color="auto"/>
        <w:left w:val="none" w:sz="0" w:space="0" w:color="auto"/>
        <w:bottom w:val="none" w:sz="0" w:space="0" w:color="auto"/>
        <w:right w:val="none" w:sz="0" w:space="0" w:color="auto"/>
      </w:divBdr>
    </w:div>
    <w:div w:id="1068923550">
      <w:bodyDiv w:val="1"/>
      <w:marLeft w:val="0"/>
      <w:marRight w:val="0"/>
      <w:marTop w:val="0"/>
      <w:marBottom w:val="0"/>
      <w:divBdr>
        <w:top w:val="none" w:sz="0" w:space="0" w:color="auto"/>
        <w:left w:val="none" w:sz="0" w:space="0" w:color="auto"/>
        <w:bottom w:val="none" w:sz="0" w:space="0" w:color="auto"/>
        <w:right w:val="none" w:sz="0" w:space="0" w:color="auto"/>
      </w:divBdr>
    </w:div>
    <w:div w:id="1082798290">
      <w:bodyDiv w:val="1"/>
      <w:marLeft w:val="0"/>
      <w:marRight w:val="0"/>
      <w:marTop w:val="0"/>
      <w:marBottom w:val="0"/>
      <w:divBdr>
        <w:top w:val="none" w:sz="0" w:space="0" w:color="auto"/>
        <w:left w:val="none" w:sz="0" w:space="0" w:color="auto"/>
        <w:bottom w:val="none" w:sz="0" w:space="0" w:color="auto"/>
        <w:right w:val="none" w:sz="0" w:space="0" w:color="auto"/>
      </w:divBdr>
    </w:div>
    <w:div w:id="1088648767">
      <w:bodyDiv w:val="1"/>
      <w:marLeft w:val="0"/>
      <w:marRight w:val="0"/>
      <w:marTop w:val="0"/>
      <w:marBottom w:val="0"/>
      <w:divBdr>
        <w:top w:val="none" w:sz="0" w:space="0" w:color="auto"/>
        <w:left w:val="none" w:sz="0" w:space="0" w:color="auto"/>
        <w:bottom w:val="none" w:sz="0" w:space="0" w:color="auto"/>
        <w:right w:val="none" w:sz="0" w:space="0" w:color="auto"/>
      </w:divBdr>
    </w:div>
    <w:div w:id="1116556155">
      <w:bodyDiv w:val="1"/>
      <w:marLeft w:val="0"/>
      <w:marRight w:val="0"/>
      <w:marTop w:val="0"/>
      <w:marBottom w:val="0"/>
      <w:divBdr>
        <w:top w:val="none" w:sz="0" w:space="0" w:color="auto"/>
        <w:left w:val="none" w:sz="0" w:space="0" w:color="auto"/>
        <w:bottom w:val="none" w:sz="0" w:space="0" w:color="auto"/>
        <w:right w:val="none" w:sz="0" w:space="0" w:color="auto"/>
      </w:divBdr>
    </w:div>
    <w:div w:id="1457483595">
      <w:bodyDiv w:val="1"/>
      <w:marLeft w:val="0"/>
      <w:marRight w:val="0"/>
      <w:marTop w:val="0"/>
      <w:marBottom w:val="0"/>
      <w:divBdr>
        <w:top w:val="none" w:sz="0" w:space="0" w:color="auto"/>
        <w:left w:val="none" w:sz="0" w:space="0" w:color="auto"/>
        <w:bottom w:val="none" w:sz="0" w:space="0" w:color="auto"/>
        <w:right w:val="none" w:sz="0" w:space="0" w:color="auto"/>
      </w:divBdr>
    </w:div>
    <w:div w:id="1473714806">
      <w:bodyDiv w:val="1"/>
      <w:marLeft w:val="0"/>
      <w:marRight w:val="0"/>
      <w:marTop w:val="0"/>
      <w:marBottom w:val="0"/>
      <w:divBdr>
        <w:top w:val="none" w:sz="0" w:space="0" w:color="auto"/>
        <w:left w:val="none" w:sz="0" w:space="0" w:color="auto"/>
        <w:bottom w:val="none" w:sz="0" w:space="0" w:color="auto"/>
        <w:right w:val="none" w:sz="0" w:space="0" w:color="auto"/>
      </w:divBdr>
    </w:div>
    <w:div w:id="1594819547">
      <w:bodyDiv w:val="1"/>
      <w:marLeft w:val="0"/>
      <w:marRight w:val="0"/>
      <w:marTop w:val="0"/>
      <w:marBottom w:val="0"/>
      <w:divBdr>
        <w:top w:val="none" w:sz="0" w:space="0" w:color="auto"/>
        <w:left w:val="none" w:sz="0" w:space="0" w:color="auto"/>
        <w:bottom w:val="none" w:sz="0" w:space="0" w:color="auto"/>
        <w:right w:val="none" w:sz="0" w:space="0" w:color="auto"/>
      </w:divBdr>
    </w:div>
    <w:div w:id="1671063094">
      <w:bodyDiv w:val="1"/>
      <w:marLeft w:val="0"/>
      <w:marRight w:val="0"/>
      <w:marTop w:val="0"/>
      <w:marBottom w:val="0"/>
      <w:divBdr>
        <w:top w:val="none" w:sz="0" w:space="0" w:color="auto"/>
        <w:left w:val="none" w:sz="0" w:space="0" w:color="auto"/>
        <w:bottom w:val="none" w:sz="0" w:space="0" w:color="auto"/>
        <w:right w:val="none" w:sz="0" w:space="0" w:color="auto"/>
      </w:divBdr>
    </w:div>
    <w:div w:id="1674140979">
      <w:bodyDiv w:val="1"/>
      <w:marLeft w:val="0"/>
      <w:marRight w:val="0"/>
      <w:marTop w:val="0"/>
      <w:marBottom w:val="0"/>
      <w:divBdr>
        <w:top w:val="none" w:sz="0" w:space="0" w:color="auto"/>
        <w:left w:val="none" w:sz="0" w:space="0" w:color="auto"/>
        <w:bottom w:val="none" w:sz="0" w:space="0" w:color="auto"/>
        <w:right w:val="none" w:sz="0" w:space="0" w:color="auto"/>
      </w:divBdr>
    </w:div>
    <w:div w:id="1861047896">
      <w:bodyDiv w:val="1"/>
      <w:marLeft w:val="0"/>
      <w:marRight w:val="0"/>
      <w:marTop w:val="0"/>
      <w:marBottom w:val="0"/>
      <w:divBdr>
        <w:top w:val="none" w:sz="0" w:space="0" w:color="auto"/>
        <w:left w:val="none" w:sz="0" w:space="0" w:color="auto"/>
        <w:bottom w:val="none" w:sz="0" w:space="0" w:color="auto"/>
        <w:right w:val="none" w:sz="0" w:space="0" w:color="auto"/>
      </w:divBdr>
    </w:div>
    <w:div w:id="1972250592">
      <w:bodyDiv w:val="1"/>
      <w:marLeft w:val="0"/>
      <w:marRight w:val="0"/>
      <w:marTop w:val="0"/>
      <w:marBottom w:val="0"/>
      <w:divBdr>
        <w:top w:val="none" w:sz="0" w:space="0" w:color="auto"/>
        <w:left w:val="none" w:sz="0" w:space="0" w:color="auto"/>
        <w:bottom w:val="none" w:sz="0" w:space="0" w:color="auto"/>
        <w:right w:val="none" w:sz="0" w:space="0" w:color="auto"/>
      </w:divBdr>
    </w:div>
    <w:div w:id="212541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urnalofdigitalinnovation.com/digital-transformation-in-retail-2022" TargetMode="External"/><Relationship Id="rId13" Type="http://schemas.openxmlformats.org/officeDocument/2006/relationships/hyperlink" Target="https://www.ethicalconsumer.org/company-profile/body-sho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k.springer.com/article/10.1007/s10551-020-04413-6" TargetMode="External"/><Relationship Id="rId12" Type="http://schemas.openxmlformats.org/officeDocument/2006/relationships/hyperlink" Target="https://www.fairtrade.net/library/annual-report-2022" TargetMode="External"/><Relationship Id="rId17" Type="http://schemas.openxmlformats.org/officeDocument/2006/relationships/hyperlink" Target="https://www.thebodyshop.com/content/dam/tbs/downloads/sustainability_report_2022.pdf" TargetMode="External"/><Relationship Id="rId2" Type="http://schemas.openxmlformats.org/officeDocument/2006/relationships/styles" Target="styles.xml"/><Relationship Id="rId16" Type="http://schemas.openxmlformats.org/officeDocument/2006/relationships/hyperlink" Target="https://onlinelibrary.wiley.com/doi/10.1002/bsr.2020" TargetMode="External"/><Relationship Id="rId1" Type="http://schemas.openxmlformats.org/officeDocument/2006/relationships/numbering" Target="numbering.xml"/><Relationship Id="rId6" Type="http://schemas.openxmlformats.org/officeDocument/2006/relationships/hyperlink" Target="https://onlinelibrary.wiley.com/doi/abs/10.1002/smj.3251" TargetMode="External"/><Relationship Id="rId11" Type="http://schemas.openxmlformats.org/officeDocument/2006/relationships/hyperlink" Target="https://hmgroup.com/sustainability/sustainable-sourcing/" TargetMode="External"/><Relationship Id="rId5" Type="http://schemas.openxmlformats.org/officeDocument/2006/relationships/hyperlink" Target="https://www.wto.org/english/tratop_e/tbt_e/tbt_cosmetic_ind_e.htm" TargetMode="External"/><Relationship Id="rId15" Type="http://schemas.openxmlformats.org/officeDocument/2006/relationships/hyperlink" Target="https://www2.deloitte.com/global/en/pages/consumer-business/articles/global-powers-of-retailing.html" TargetMode="External"/><Relationship Id="rId10" Type="http://schemas.openxmlformats.org/officeDocument/2006/relationships/hyperlink" Target="https://iopscience.iop.org/article/10.1088/1748-9326/ab2f3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journals.aom.org/doi/abs/10.5465/amr.1997.9711022105" TargetMode="External"/><Relationship Id="rId14" Type="http://schemas.openxmlformats.org/officeDocument/2006/relationships/hyperlink" Target="https://eur-lex.europa.eu/legal-content/EN/TXT/?uri=CELEX:32009R1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6</Pages>
  <Words>2328</Words>
  <Characters>13274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Kobori</dc:creator>
  <cp:keywords/>
  <dc:description/>
  <cp:lastModifiedBy>Blue Pumpkin</cp:lastModifiedBy>
  <cp:revision>8</cp:revision>
  <dcterms:created xsi:type="dcterms:W3CDTF">2024-06-09T17:54:00Z</dcterms:created>
  <dcterms:modified xsi:type="dcterms:W3CDTF">2024-06-30T18:22:00Z</dcterms:modified>
</cp:coreProperties>
</file>