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60"/>
        <w:jc w:val="center"/>
      </w:pPr>
      <w:r>
        <w:rPr>
          <w:b/>
          <w:bCs/>
          <w:color w:val="1F3864"/>
          <w:sz w:val="36"/>
          <w:szCs w:val="36"/>
        </w:rPr>
        <w:t xml:space="preserve">Hyatt Hotels Corporation (NYSE: H)</w:t>
      </w:r>
    </w:p>
    <w:p>
      <w:pPr>
        <w:spacing w:after="40"/>
        <w:jc w:val="center"/>
      </w:pPr>
      <w:r>
        <w:rPr>
          <w:b/>
          <w:bCs/>
          <w:sz w:val="26"/>
          <w:szCs w:val="26"/>
        </w:rPr>
        <w:t xml:space="preserve">Competitive Financial Ratio Comparison — Fiscal Year 2024</w:t>
      </w:r>
    </w:p>
    <w:p>
      <w:pPr>
        <w:spacing w:after="300"/>
        <w:jc w:val="center"/>
      </w:pPr>
      <w:r>
        <w:rPr>
          <w:i/>
          <w:iCs/>
          <w:color w:val="595959"/>
          <w:sz w:val="20"/>
          <w:szCs w:val="20"/>
        </w:rPr>
        <w:t xml:space="preserve">Prepared from company FY2024 10-K / annual report filings for Hyatt, Marriott, Hilton and IHG</w:t>
      </w:r>
    </w:p>
    <w:p>
      <w:pPr>
        <w:pStyle w:val="Heading1"/>
        <w:spacing w:after="150" w:before="300"/>
      </w:pPr>
      <w:r>
        <w:t xml:space="preserve">1. Introduction</w:t>
      </w:r>
    </w:p>
    <w:p>
      <w:pPr>
        <w:spacing w:after="160" w:line="276"/>
      </w:pPr>
      <w:r>
        <w:rPr>
          <w:sz w:val="22"/>
          <w:szCs w:val="22"/>
        </w:rPr>
        <w:t xml:space="preserve">This report compares the fiscal year 2024 financial ratios of Hyatt Hotels Corporation (NYSE: H) against three direct competitors in the global branded-hotel industry: Marriott International (NYSE: MAR), Hilton Worldwide Holdings (NYSE: HLT), and InterContinental Hotels Group (LSE/NYSE: IHG). All four companies operate largely “asset-light”, fee-based franchise and management models, making them appropriate direct competitors for benchmarking purposes. A subscription-based industry database (GlobalData) was not accessible in this environment; the peer figures below are instead drawn from each company’s own FY2024 10-K/annual report and FY2024 earnings releases, which are the primary source documents GlobalData and similar aggregators use to build their own comparisons.</w:t>
      </w:r>
    </w:p>
    <w:p>
      <w:pPr>
        <w:spacing w:after="160" w:line="276"/>
      </w:pPr>
      <w:r>
        <w:rPr>
          <w:sz w:val="22"/>
          <w:szCs w:val="22"/>
        </w:rPr>
        <w:t xml:space="preserve">Ratios are grouped into four categories — liquidity, profitability, leverage, and efficiency — followed by a summary table, a discussion of Hyatt’s relative strengths and weaknesses, and a set of caveats that should be kept in mind when reading the comparison.</w:t>
      </w:r>
    </w:p>
    <w:p>
      <w:pPr>
        <w:pStyle w:val="Heading1"/>
        <w:spacing w:after="150" w:before="300"/>
      </w:pPr>
      <w:r>
        <w:t xml:space="preserve">2. Summary Ratio Table</w:t>
      </w:r>
    </w:p>
    <w:tbl>
      <w:tblPr>
        <w:tblW w:type="dxa" w:w="9350"/>
        <w:tblBorders>
          <w:top w:val="single" w:color="BFBFBF" w:sz="4"/>
          <w:left w:val="single" w:color="BFBFBF" w:sz="4"/>
          <w:bottom w:val="single" w:color="BFBFBF" w:sz="4"/>
          <w:right w:val="single" w:color="BFBFBF" w:sz="4"/>
          <w:insideH w:val="single" w:color="D9D9D9" w:sz="2"/>
          <w:insideV w:val="single" w:color="D9D9D9" w:sz="2"/>
        </w:tblBorders>
      </w:tblPr>
      <w:tblGrid>
        <w:gridCol w:w="2400"/>
        <w:gridCol w:w="1300"/>
        <w:gridCol w:w="1500"/>
        <w:gridCol w:w="1300"/>
        <w:gridCol w:w="1300"/>
        <w:gridCol w:w="1550"/>
      </w:tblGrid>
      <w:tr>
        <w:trPr>
          <w:tblHeader/>
        </w:trPr>
        <w:tc>
          <w:tcPr>
            <w:tcW w:type="dxa" w:w="2400"/>
            <w:shd w:fill="1F3864" w:val="clear"/>
            <w:tcMar>
              <w:top w:type="dxa" w:w="80"/>
              <w:left w:type="dxa" w:w="100"/>
              <w:bottom w:type="dxa" w:w="80"/>
              <w:right w:type="dxa" w:w="100"/>
            </w:tcMar>
            <w:vAlign w:val="center"/>
          </w:tcPr>
          <w:p>
            <w:pPr>
              <w:jc w:val="left"/>
            </w:pPr>
            <w:r>
              <w:rPr>
                <w:b/>
                <w:bCs/>
                <w:color w:val="FFFFFF"/>
                <w:sz w:val="20"/>
                <w:szCs w:val="20"/>
              </w:rPr>
              <w:t xml:space="preserve">Ratio</w:t>
            </w:r>
          </w:p>
        </w:tc>
        <w:tc>
          <w:tcPr>
            <w:tcW w:type="dxa" w:w="1300"/>
            <w:shd w:fill="1F3864" w:val="clear"/>
            <w:tcMar>
              <w:top w:type="dxa" w:w="80"/>
              <w:left w:type="dxa" w:w="100"/>
              <w:bottom w:type="dxa" w:w="80"/>
              <w:right w:type="dxa" w:w="100"/>
            </w:tcMar>
            <w:vAlign w:val="center"/>
          </w:tcPr>
          <w:p>
            <w:pPr>
              <w:jc w:val="center"/>
            </w:pPr>
            <w:r>
              <w:rPr>
                <w:b/>
                <w:bCs/>
                <w:color w:val="FFFFFF"/>
                <w:sz w:val="20"/>
                <w:szCs w:val="20"/>
              </w:rPr>
              <w:t xml:space="preserve">Hyatt (H)</w:t>
            </w:r>
          </w:p>
        </w:tc>
        <w:tc>
          <w:tcPr>
            <w:tcW w:type="dxa" w:w="1500"/>
            <w:shd w:fill="1F3864" w:val="clear"/>
            <w:tcMar>
              <w:top w:type="dxa" w:w="80"/>
              <w:left w:type="dxa" w:w="100"/>
              <w:bottom w:type="dxa" w:w="80"/>
              <w:right w:type="dxa" w:w="100"/>
            </w:tcMar>
            <w:vAlign w:val="center"/>
          </w:tcPr>
          <w:p>
            <w:pPr>
              <w:jc w:val="center"/>
            </w:pPr>
            <w:r>
              <w:rPr>
                <w:b/>
                <w:bCs/>
                <w:color w:val="FFFFFF"/>
                <w:sz w:val="20"/>
                <w:szCs w:val="20"/>
              </w:rPr>
              <w:t xml:space="preserve">Marriott (MAR)</w:t>
            </w:r>
          </w:p>
        </w:tc>
        <w:tc>
          <w:tcPr>
            <w:tcW w:type="dxa" w:w="1300"/>
            <w:shd w:fill="1F3864" w:val="clear"/>
            <w:tcMar>
              <w:top w:type="dxa" w:w="80"/>
              <w:left w:type="dxa" w:w="100"/>
              <w:bottom w:type="dxa" w:w="80"/>
              <w:right w:type="dxa" w:w="100"/>
            </w:tcMar>
            <w:vAlign w:val="center"/>
          </w:tcPr>
          <w:p>
            <w:pPr>
              <w:jc w:val="center"/>
            </w:pPr>
            <w:r>
              <w:rPr>
                <w:b/>
                <w:bCs/>
                <w:color w:val="FFFFFF"/>
                <w:sz w:val="20"/>
                <w:szCs w:val="20"/>
              </w:rPr>
              <w:t xml:space="preserve">Hilton (HLT)</w:t>
            </w:r>
          </w:p>
        </w:tc>
        <w:tc>
          <w:tcPr>
            <w:tcW w:type="dxa" w:w="1300"/>
            <w:shd w:fill="1F3864" w:val="clear"/>
            <w:tcMar>
              <w:top w:type="dxa" w:w="80"/>
              <w:left w:type="dxa" w:w="100"/>
              <w:bottom w:type="dxa" w:w="80"/>
              <w:right w:type="dxa" w:w="100"/>
            </w:tcMar>
            <w:vAlign w:val="center"/>
          </w:tcPr>
          <w:p>
            <w:pPr>
              <w:jc w:val="center"/>
            </w:pPr>
            <w:r>
              <w:rPr>
                <w:b/>
                <w:bCs/>
                <w:color w:val="FFFFFF"/>
                <w:sz w:val="20"/>
                <w:szCs w:val="20"/>
              </w:rPr>
              <w:t xml:space="preserve">IHG</w:t>
            </w:r>
          </w:p>
        </w:tc>
        <w:tc>
          <w:tcPr>
            <w:tcW w:type="dxa" w:w="1550"/>
            <w:shd w:fill="1F3864" w:val="clear"/>
            <w:tcMar>
              <w:top w:type="dxa" w:w="80"/>
              <w:left w:type="dxa" w:w="100"/>
              <w:bottom w:type="dxa" w:w="80"/>
              <w:right w:type="dxa" w:w="100"/>
            </w:tcMar>
            <w:vAlign w:val="center"/>
          </w:tcPr>
          <w:p>
            <w:pPr>
              <w:jc w:val="center"/>
            </w:pPr>
            <w:r>
              <w:rPr>
                <w:b/>
                <w:bCs/>
                <w:color w:val="FFFFFF"/>
                <w:sz w:val="20"/>
                <w:szCs w:val="20"/>
              </w:rPr>
              <w:t xml:space="preserve">Peer Avg (3)</w:t>
            </w:r>
          </w:p>
        </w:tc>
      </w:tr>
      <w:tr>
        <w:tc>
          <w:tcPr>
            <w:tcW w:type="dxa" w:w="2400"/>
            <w:tcMar>
              <w:top w:type="dxa" w:w="80"/>
              <w:left w:type="dxa" w:w="100"/>
              <w:bottom w:type="dxa" w:w="80"/>
              <w:right w:type="dxa" w:w="100"/>
            </w:tcMar>
            <w:vAlign w:val="center"/>
          </w:tcPr>
          <w:p>
            <w:pPr>
              <w:jc w:val="left"/>
            </w:pPr>
            <w:r>
              <w:rPr>
                <w:b/>
                <w:bCs/>
                <w:color w:val="000000"/>
                <w:sz w:val="20"/>
                <w:szCs w:val="20"/>
              </w:rPr>
              <w:t xml:space="preserve">Current Ratio</w:t>
            </w:r>
          </w:p>
        </w:tc>
        <w:tc>
          <w:tcPr>
            <w:tcW w:type="dxa" w:w="1300"/>
            <w:shd w:fill="DCE6F1" w:val="clear"/>
            <w:tcMar>
              <w:top w:type="dxa" w:w="80"/>
              <w:left w:type="dxa" w:w="100"/>
              <w:bottom w:type="dxa" w:w="80"/>
              <w:right w:type="dxa" w:w="100"/>
            </w:tcMar>
            <w:vAlign w:val="center"/>
          </w:tcPr>
          <w:p>
            <w:pPr>
              <w:jc w:val="center"/>
            </w:pPr>
            <w:r>
              <w:rPr>
                <w:b/>
                <w:bCs/>
                <w:color w:val="000000"/>
                <w:sz w:val="20"/>
                <w:szCs w:val="20"/>
              </w:rPr>
              <w:t xml:space="preserve">0.83x</w:t>
            </w:r>
          </w:p>
        </w:tc>
        <w:tc>
          <w:tcPr>
            <w:tcW w:type="dxa" w:w="1500"/>
            <w:tcMar>
              <w:top w:type="dxa" w:w="80"/>
              <w:left w:type="dxa" w:w="100"/>
              <w:bottom w:type="dxa" w:w="80"/>
              <w:right w:type="dxa" w:w="100"/>
            </w:tcMar>
            <w:vAlign w:val="center"/>
          </w:tcPr>
          <w:p>
            <w:pPr>
              <w:jc w:val="center"/>
            </w:pPr>
            <w:r>
              <w:rPr>
                <w:b w:val="false"/>
                <w:bCs w:val="false"/>
                <w:color w:val="000000"/>
                <w:sz w:val="20"/>
                <w:szCs w:val="20"/>
              </w:rPr>
              <w:t xml:space="preserve">0.40x</w:t>
            </w:r>
          </w:p>
        </w:tc>
        <w:tc>
          <w:tcPr>
            <w:tcW w:type="dxa" w:w="1300"/>
            <w:tcMar>
              <w:top w:type="dxa" w:w="80"/>
              <w:left w:type="dxa" w:w="100"/>
              <w:bottom w:type="dxa" w:w="80"/>
              <w:right w:type="dxa" w:w="100"/>
            </w:tcMar>
            <w:vAlign w:val="center"/>
          </w:tcPr>
          <w:p>
            <w:pPr>
              <w:jc w:val="center"/>
            </w:pPr>
            <w:r>
              <w:rPr>
                <w:b w:val="false"/>
                <w:bCs w:val="false"/>
                <w:color w:val="000000"/>
                <w:sz w:val="20"/>
                <w:szCs w:val="20"/>
              </w:rPr>
              <w:t xml:space="preserve">0.70x</w:t>
            </w:r>
          </w:p>
        </w:tc>
        <w:tc>
          <w:tcPr>
            <w:tcW w:type="dxa" w:w="1300"/>
            <w:tcMar>
              <w:top w:type="dxa" w:w="80"/>
              <w:left w:type="dxa" w:w="100"/>
              <w:bottom w:type="dxa" w:w="80"/>
              <w:right w:type="dxa" w:w="100"/>
            </w:tcMar>
            <w:vAlign w:val="center"/>
          </w:tcPr>
          <w:p>
            <w:pPr>
              <w:jc w:val="center"/>
            </w:pPr>
            <w:r>
              <w:rPr>
                <w:b w:val="false"/>
                <w:bCs w:val="false"/>
                <w:color w:val="000000"/>
                <w:sz w:val="20"/>
                <w:szCs w:val="20"/>
              </w:rPr>
              <w:t xml:space="preserve">0.97x</w:t>
            </w:r>
          </w:p>
        </w:tc>
        <w:tc>
          <w:tcPr>
            <w:tcW w:type="dxa" w:w="1550"/>
            <w:shd w:fill="FFF2CC" w:val="clear"/>
            <w:tcMar>
              <w:top w:type="dxa" w:w="80"/>
              <w:left w:type="dxa" w:w="100"/>
              <w:bottom w:type="dxa" w:w="80"/>
              <w:right w:type="dxa" w:w="100"/>
            </w:tcMar>
            <w:vAlign w:val="center"/>
          </w:tcPr>
          <w:p>
            <w:pPr>
              <w:jc w:val="center"/>
            </w:pPr>
            <w:r>
              <w:rPr>
                <w:b w:val="false"/>
                <w:bCs w:val="false"/>
                <w:color w:val="000000"/>
                <w:sz w:val="20"/>
                <w:szCs w:val="20"/>
              </w:rPr>
              <w:t xml:space="preserve">0.69x</w:t>
            </w:r>
          </w:p>
        </w:tc>
      </w:tr>
      <w:tr>
        <w:tc>
          <w:tcPr>
            <w:tcW w:type="dxa" w:w="2400"/>
            <w:shd w:fill="F2F2F2" w:val="clear"/>
            <w:tcMar>
              <w:top w:type="dxa" w:w="80"/>
              <w:left w:type="dxa" w:w="100"/>
              <w:bottom w:type="dxa" w:w="80"/>
              <w:right w:type="dxa" w:w="100"/>
            </w:tcMar>
            <w:vAlign w:val="center"/>
          </w:tcPr>
          <w:p>
            <w:pPr>
              <w:jc w:val="left"/>
            </w:pPr>
            <w:r>
              <w:rPr>
                <w:b/>
                <w:bCs/>
                <w:color w:val="000000"/>
                <w:sz w:val="20"/>
                <w:szCs w:val="20"/>
              </w:rPr>
              <w:t xml:space="preserve">Quick Ratio</w:t>
            </w:r>
          </w:p>
        </w:tc>
        <w:tc>
          <w:tcPr>
            <w:tcW w:type="dxa" w:w="1300"/>
            <w:shd w:fill="DCE6F1" w:val="clear"/>
            <w:tcMar>
              <w:top w:type="dxa" w:w="80"/>
              <w:left w:type="dxa" w:w="100"/>
              <w:bottom w:type="dxa" w:w="80"/>
              <w:right w:type="dxa" w:w="100"/>
            </w:tcMar>
            <w:vAlign w:val="center"/>
          </w:tcPr>
          <w:p>
            <w:pPr>
              <w:jc w:val="center"/>
            </w:pPr>
            <w:r>
              <w:rPr>
                <w:b/>
                <w:bCs/>
                <w:color w:val="000000"/>
                <w:sz w:val="20"/>
                <w:szCs w:val="20"/>
              </w:rPr>
              <w:t xml:space="preserve">0.83x</w:t>
            </w:r>
          </w:p>
        </w:tc>
        <w:tc>
          <w:tcPr>
            <w:tcW w:type="dxa" w:w="15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0.40x</w:t>
            </w:r>
          </w:p>
        </w:tc>
        <w:tc>
          <w:tcPr>
            <w:tcW w:type="dxa" w:w="13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0.70x</w:t>
            </w:r>
          </w:p>
        </w:tc>
        <w:tc>
          <w:tcPr>
            <w:tcW w:type="dxa" w:w="13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0.97x</w:t>
            </w:r>
          </w:p>
        </w:tc>
        <w:tc>
          <w:tcPr>
            <w:tcW w:type="dxa" w:w="1550"/>
            <w:shd w:fill="FFF2CC" w:val="clear"/>
            <w:tcMar>
              <w:top w:type="dxa" w:w="80"/>
              <w:left w:type="dxa" w:w="100"/>
              <w:bottom w:type="dxa" w:w="80"/>
              <w:right w:type="dxa" w:w="100"/>
            </w:tcMar>
            <w:vAlign w:val="center"/>
          </w:tcPr>
          <w:p>
            <w:pPr>
              <w:jc w:val="center"/>
            </w:pPr>
            <w:r>
              <w:rPr>
                <w:b w:val="false"/>
                <w:bCs w:val="false"/>
                <w:color w:val="000000"/>
                <w:sz w:val="20"/>
                <w:szCs w:val="20"/>
              </w:rPr>
              <w:t xml:space="preserve">0.69x</w:t>
            </w:r>
          </w:p>
        </w:tc>
      </w:tr>
      <w:tr>
        <w:tc>
          <w:tcPr>
            <w:tcW w:type="dxa" w:w="2400"/>
            <w:tcMar>
              <w:top w:type="dxa" w:w="80"/>
              <w:left w:type="dxa" w:w="100"/>
              <w:bottom w:type="dxa" w:w="80"/>
              <w:right w:type="dxa" w:w="100"/>
            </w:tcMar>
            <w:vAlign w:val="center"/>
          </w:tcPr>
          <w:p>
            <w:pPr>
              <w:jc w:val="left"/>
            </w:pPr>
            <w:r>
              <w:rPr>
                <w:b/>
                <w:bCs/>
                <w:color w:val="000000"/>
                <w:sz w:val="20"/>
                <w:szCs w:val="20"/>
              </w:rPr>
              <w:t xml:space="preserve">Net Profit Margin</w:t>
            </w:r>
          </w:p>
        </w:tc>
        <w:tc>
          <w:tcPr>
            <w:tcW w:type="dxa" w:w="1300"/>
            <w:shd w:fill="DCE6F1" w:val="clear"/>
            <w:tcMar>
              <w:top w:type="dxa" w:w="80"/>
              <w:left w:type="dxa" w:w="100"/>
              <w:bottom w:type="dxa" w:w="80"/>
              <w:right w:type="dxa" w:w="100"/>
            </w:tcMar>
            <w:vAlign w:val="center"/>
          </w:tcPr>
          <w:p>
            <w:pPr>
              <w:jc w:val="center"/>
            </w:pPr>
            <w:r>
              <w:rPr>
                <w:b/>
                <w:bCs/>
                <w:color w:val="000000"/>
                <w:sz w:val="20"/>
                <w:szCs w:val="20"/>
              </w:rPr>
              <w:t xml:space="preserve">19.5%</w:t>
            </w:r>
          </w:p>
        </w:tc>
        <w:tc>
          <w:tcPr>
            <w:tcW w:type="dxa" w:w="1500"/>
            <w:tcMar>
              <w:top w:type="dxa" w:w="80"/>
              <w:left w:type="dxa" w:w="100"/>
              <w:bottom w:type="dxa" w:w="80"/>
              <w:right w:type="dxa" w:w="100"/>
            </w:tcMar>
            <w:vAlign w:val="center"/>
          </w:tcPr>
          <w:p>
            <w:pPr>
              <w:jc w:val="center"/>
            </w:pPr>
            <w:r>
              <w:rPr>
                <w:b w:val="false"/>
                <w:bCs w:val="false"/>
                <w:color w:val="000000"/>
                <w:sz w:val="20"/>
                <w:szCs w:val="20"/>
              </w:rPr>
              <w:t xml:space="preserve">9.5%</w:t>
            </w:r>
          </w:p>
        </w:tc>
        <w:tc>
          <w:tcPr>
            <w:tcW w:type="dxa" w:w="1300"/>
            <w:tcMar>
              <w:top w:type="dxa" w:w="80"/>
              <w:left w:type="dxa" w:w="100"/>
              <w:bottom w:type="dxa" w:w="80"/>
              <w:right w:type="dxa" w:w="100"/>
            </w:tcMar>
            <w:vAlign w:val="center"/>
          </w:tcPr>
          <w:p>
            <w:pPr>
              <w:jc w:val="center"/>
            </w:pPr>
            <w:r>
              <w:rPr>
                <w:b w:val="false"/>
                <w:bCs w:val="false"/>
                <w:color w:val="000000"/>
                <w:sz w:val="20"/>
                <w:szCs w:val="20"/>
              </w:rPr>
              <w:t xml:space="preserve">13.8%</w:t>
            </w:r>
          </w:p>
        </w:tc>
        <w:tc>
          <w:tcPr>
            <w:tcW w:type="dxa" w:w="1300"/>
            <w:tcMar>
              <w:top w:type="dxa" w:w="80"/>
              <w:left w:type="dxa" w:w="100"/>
              <w:bottom w:type="dxa" w:w="80"/>
              <w:right w:type="dxa" w:w="100"/>
            </w:tcMar>
            <w:vAlign w:val="center"/>
          </w:tcPr>
          <w:p>
            <w:pPr>
              <w:jc w:val="center"/>
            </w:pPr>
            <w:r>
              <w:rPr>
                <w:b w:val="false"/>
                <w:bCs w:val="false"/>
                <w:color w:val="000000"/>
                <w:sz w:val="20"/>
                <w:szCs w:val="20"/>
              </w:rPr>
              <w:t xml:space="preserve">12.8%</w:t>
            </w:r>
          </w:p>
        </w:tc>
        <w:tc>
          <w:tcPr>
            <w:tcW w:type="dxa" w:w="1550"/>
            <w:shd w:fill="FFF2CC" w:val="clear"/>
            <w:tcMar>
              <w:top w:type="dxa" w:w="80"/>
              <w:left w:type="dxa" w:w="100"/>
              <w:bottom w:type="dxa" w:w="80"/>
              <w:right w:type="dxa" w:w="100"/>
            </w:tcMar>
            <w:vAlign w:val="center"/>
          </w:tcPr>
          <w:p>
            <w:pPr>
              <w:jc w:val="center"/>
            </w:pPr>
            <w:r>
              <w:rPr>
                <w:b w:val="false"/>
                <w:bCs w:val="false"/>
                <w:color w:val="000000"/>
                <w:sz w:val="20"/>
                <w:szCs w:val="20"/>
              </w:rPr>
              <w:t xml:space="preserve">12.0%</w:t>
            </w:r>
          </w:p>
        </w:tc>
      </w:tr>
      <w:tr>
        <w:tc>
          <w:tcPr>
            <w:tcW w:type="dxa" w:w="2400"/>
            <w:shd w:fill="F2F2F2" w:val="clear"/>
            <w:tcMar>
              <w:top w:type="dxa" w:w="80"/>
              <w:left w:type="dxa" w:w="100"/>
              <w:bottom w:type="dxa" w:w="80"/>
              <w:right w:type="dxa" w:w="100"/>
            </w:tcMar>
            <w:vAlign w:val="center"/>
          </w:tcPr>
          <w:p>
            <w:pPr>
              <w:jc w:val="left"/>
            </w:pPr>
            <w:r>
              <w:rPr>
                <w:b/>
                <w:bCs/>
                <w:color w:val="000000"/>
                <w:sz w:val="20"/>
                <w:szCs w:val="20"/>
              </w:rPr>
              <w:t xml:space="preserve">Return on Assets (ROA)</w:t>
            </w:r>
          </w:p>
        </w:tc>
        <w:tc>
          <w:tcPr>
            <w:tcW w:type="dxa" w:w="1300"/>
            <w:shd w:fill="DCE6F1" w:val="clear"/>
            <w:tcMar>
              <w:top w:type="dxa" w:w="80"/>
              <w:left w:type="dxa" w:w="100"/>
              <w:bottom w:type="dxa" w:w="80"/>
              <w:right w:type="dxa" w:w="100"/>
            </w:tcMar>
            <w:vAlign w:val="center"/>
          </w:tcPr>
          <w:p>
            <w:pPr>
              <w:jc w:val="center"/>
            </w:pPr>
            <w:r>
              <w:rPr>
                <w:b/>
                <w:bCs/>
                <w:color w:val="000000"/>
                <w:sz w:val="20"/>
                <w:szCs w:val="20"/>
              </w:rPr>
              <w:t xml:space="preserve">9.7%</w:t>
            </w:r>
          </w:p>
        </w:tc>
        <w:tc>
          <w:tcPr>
            <w:tcW w:type="dxa" w:w="15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9.1%</w:t>
            </w:r>
          </w:p>
        </w:tc>
        <w:tc>
          <w:tcPr>
            <w:tcW w:type="dxa" w:w="13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9.3%</w:t>
            </w:r>
          </w:p>
        </w:tc>
        <w:tc>
          <w:tcPr>
            <w:tcW w:type="dxa" w:w="13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13.2%</w:t>
            </w:r>
          </w:p>
        </w:tc>
        <w:tc>
          <w:tcPr>
            <w:tcW w:type="dxa" w:w="1550"/>
            <w:shd w:fill="FFF2CC" w:val="clear"/>
            <w:tcMar>
              <w:top w:type="dxa" w:w="80"/>
              <w:left w:type="dxa" w:w="100"/>
              <w:bottom w:type="dxa" w:w="80"/>
              <w:right w:type="dxa" w:w="100"/>
            </w:tcMar>
            <w:vAlign w:val="center"/>
          </w:tcPr>
          <w:p>
            <w:pPr>
              <w:jc w:val="center"/>
            </w:pPr>
            <w:r>
              <w:rPr>
                <w:b w:val="false"/>
                <w:bCs w:val="false"/>
                <w:color w:val="000000"/>
                <w:sz w:val="20"/>
                <w:szCs w:val="20"/>
              </w:rPr>
              <w:t xml:space="preserve">10.5%</w:t>
            </w:r>
          </w:p>
        </w:tc>
      </w:tr>
      <w:tr>
        <w:tc>
          <w:tcPr>
            <w:tcW w:type="dxa" w:w="2400"/>
            <w:tcMar>
              <w:top w:type="dxa" w:w="80"/>
              <w:left w:type="dxa" w:w="100"/>
              <w:bottom w:type="dxa" w:w="80"/>
              <w:right w:type="dxa" w:w="100"/>
            </w:tcMar>
            <w:vAlign w:val="center"/>
          </w:tcPr>
          <w:p>
            <w:pPr>
              <w:jc w:val="left"/>
            </w:pPr>
            <w:r>
              <w:rPr>
                <w:b/>
                <w:bCs/>
                <w:color w:val="000000"/>
                <w:sz w:val="20"/>
                <w:szCs w:val="20"/>
              </w:rPr>
              <w:t xml:space="preserve">Return on Equity (ROE)</w:t>
            </w:r>
          </w:p>
        </w:tc>
        <w:tc>
          <w:tcPr>
            <w:tcW w:type="dxa" w:w="1300"/>
            <w:shd w:fill="DCE6F1" w:val="clear"/>
            <w:tcMar>
              <w:top w:type="dxa" w:w="80"/>
              <w:left w:type="dxa" w:w="100"/>
              <w:bottom w:type="dxa" w:w="80"/>
              <w:right w:type="dxa" w:w="100"/>
            </w:tcMar>
            <w:vAlign w:val="center"/>
          </w:tcPr>
          <w:p>
            <w:pPr>
              <w:jc w:val="center"/>
            </w:pPr>
            <w:r>
              <w:rPr>
                <w:b/>
                <w:bCs/>
                <w:color w:val="000000"/>
                <w:sz w:val="20"/>
                <w:szCs w:val="20"/>
              </w:rPr>
              <w:t xml:space="preserve">36.5%</w:t>
            </w:r>
          </w:p>
        </w:tc>
        <w:tc>
          <w:tcPr>
            <w:tcW w:type="dxa" w:w="1500"/>
            <w:tcMar>
              <w:top w:type="dxa" w:w="80"/>
              <w:left w:type="dxa" w:w="100"/>
              <w:bottom w:type="dxa" w:w="80"/>
              <w:right w:type="dxa" w:w="100"/>
            </w:tcMar>
            <w:vAlign w:val="center"/>
          </w:tcPr>
          <w:p>
            <w:pPr>
              <w:jc w:val="center"/>
            </w:pPr>
            <w:r>
              <w:rPr>
                <w:b w:val="false"/>
                <w:bCs w:val="false"/>
                <w:color w:val="000000"/>
                <w:sz w:val="20"/>
                <w:szCs w:val="20"/>
              </w:rPr>
              <w:t xml:space="preserve">N/M (neg. equity)</w:t>
            </w:r>
          </w:p>
        </w:tc>
        <w:tc>
          <w:tcPr>
            <w:tcW w:type="dxa" w:w="1300"/>
            <w:tcMar>
              <w:top w:type="dxa" w:w="80"/>
              <w:left w:type="dxa" w:w="100"/>
              <w:bottom w:type="dxa" w:w="80"/>
              <w:right w:type="dxa" w:w="100"/>
            </w:tcMar>
            <w:vAlign w:val="center"/>
          </w:tcPr>
          <w:p>
            <w:pPr>
              <w:jc w:val="center"/>
            </w:pPr>
            <w:r>
              <w:rPr>
                <w:b w:val="false"/>
                <w:bCs w:val="false"/>
                <w:color w:val="000000"/>
                <w:sz w:val="20"/>
                <w:szCs w:val="20"/>
              </w:rPr>
              <w:t xml:space="preserve">N/M (neg. equity)</w:t>
            </w:r>
          </w:p>
        </w:tc>
        <w:tc>
          <w:tcPr>
            <w:tcW w:type="dxa" w:w="1300"/>
            <w:tcMar>
              <w:top w:type="dxa" w:w="80"/>
              <w:left w:type="dxa" w:w="100"/>
              <w:bottom w:type="dxa" w:w="80"/>
              <w:right w:type="dxa" w:w="100"/>
            </w:tcMar>
            <w:vAlign w:val="center"/>
          </w:tcPr>
          <w:p>
            <w:pPr>
              <w:jc w:val="center"/>
            </w:pPr>
            <w:r>
              <w:rPr>
                <w:b w:val="false"/>
                <w:bCs w:val="false"/>
                <w:color w:val="000000"/>
                <w:sz w:val="20"/>
                <w:szCs w:val="20"/>
              </w:rPr>
              <w:t xml:space="preserve">N/M (neg. equity)</w:t>
            </w:r>
          </w:p>
        </w:tc>
        <w:tc>
          <w:tcPr>
            <w:tcW w:type="dxa" w:w="1550"/>
            <w:shd w:fill="FFF2CC" w:val="clear"/>
            <w:tcMar>
              <w:top w:type="dxa" w:w="80"/>
              <w:left w:type="dxa" w:w="100"/>
              <w:bottom w:type="dxa" w:w="80"/>
              <w:right w:type="dxa" w:w="100"/>
            </w:tcMar>
            <w:vAlign w:val="center"/>
          </w:tcPr>
          <w:p>
            <w:pPr>
              <w:jc w:val="center"/>
            </w:pPr>
            <w:r>
              <w:rPr>
                <w:b w:val="false"/>
                <w:bCs w:val="false"/>
                <w:color w:val="000000"/>
                <w:sz w:val="20"/>
                <w:szCs w:val="20"/>
              </w:rPr>
              <w:t xml:space="preserve">N/M</w:t>
            </w:r>
          </w:p>
        </w:tc>
      </w:tr>
      <w:tr>
        <w:tc>
          <w:tcPr>
            <w:tcW w:type="dxa" w:w="2400"/>
            <w:shd w:fill="F2F2F2" w:val="clear"/>
            <w:tcMar>
              <w:top w:type="dxa" w:w="80"/>
              <w:left w:type="dxa" w:w="100"/>
              <w:bottom w:type="dxa" w:w="80"/>
              <w:right w:type="dxa" w:w="100"/>
            </w:tcMar>
            <w:vAlign w:val="center"/>
          </w:tcPr>
          <w:p>
            <w:pPr>
              <w:jc w:val="left"/>
            </w:pPr>
            <w:r>
              <w:rPr>
                <w:b/>
                <w:bCs/>
                <w:color w:val="000000"/>
                <w:sz w:val="20"/>
                <w:szCs w:val="20"/>
              </w:rPr>
              <w:t xml:space="preserve">Asset Turnover</w:t>
            </w:r>
          </w:p>
        </w:tc>
        <w:tc>
          <w:tcPr>
            <w:tcW w:type="dxa" w:w="1300"/>
            <w:shd w:fill="DCE6F1" w:val="clear"/>
            <w:tcMar>
              <w:top w:type="dxa" w:w="80"/>
              <w:left w:type="dxa" w:w="100"/>
              <w:bottom w:type="dxa" w:w="80"/>
              <w:right w:type="dxa" w:w="100"/>
            </w:tcMar>
            <w:vAlign w:val="center"/>
          </w:tcPr>
          <w:p>
            <w:pPr>
              <w:jc w:val="center"/>
            </w:pPr>
            <w:r>
              <w:rPr>
                <w:b/>
                <w:bCs/>
                <w:color w:val="000000"/>
                <w:sz w:val="20"/>
                <w:szCs w:val="20"/>
              </w:rPr>
              <w:t xml:space="preserve">0.50x</w:t>
            </w:r>
          </w:p>
        </w:tc>
        <w:tc>
          <w:tcPr>
            <w:tcW w:type="dxa" w:w="15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0.96x</w:t>
            </w:r>
          </w:p>
        </w:tc>
        <w:tc>
          <w:tcPr>
            <w:tcW w:type="dxa" w:w="13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0.68x</w:t>
            </w:r>
          </w:p>
        </w:tc>
        <w:tc>
          <w:tcPr>
            <w:tcW w:type="dxa" w:w="13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1.04x</w:t>
            </w:r>
          </w:p>
        </w:tc>
        <w:tc>
          <w:tcPr>
            <w:tcW w:type="dxa" w:w="1550"/>
            <w:shd w:fill="FFF2CC" w:val="clear"/>
            <w:tcMar>
              <w:top w:type="dxa" w:w="80"/>
              <w:left w:type="dxa" w:w="100"/>
              <w:bottom w:type="dxa" w:w="80"/>
              <w:right w:type="dxa" w:w="100"/>
            </w:tcMar>
            <w:vAlign w:val="center"/>
          </w:tcPr>
          <w:p>
            <w:pPr>
              <w:jc w:val="center"/>
            </w:pPr>
            <w:r>
              <w:rPr>
                <w:b w:val="false"/>
                <w:bCs w:val="false"/>
                <w:color w:val="000000"/>
                <w:sz w:val="20"/>
                <w:szCs w:val="20"/>
              </w:rPr>
              <w:t xml:space="preserve">0.89x</w:t>
            </w:r>
          </w:p>
        </w:tc>
      </w:tr>
      <w:tr>
        <w:tc>
          <w:tcPr>
            <w:tcW w:type="dxa" w:w="2400"/>
            <w:tcMar>
              <w:top w:type="dxa" w:w="80"/>
              <w:left w:type="dxa" w:w="100"/>
              <w:bottom w:type="dxa" w:w="80"/>
              <w:right w:type="dxa" w:w="100"/>
            </w:tcMar>
            <w:vAlign w:val="center"/>
          </w:tcPr>
          <w:p>
            <w:pPr>
              <w:jc w:val="left"/>
            </w:pPr>
            <w:r>
              <w:rPr>
                <w:b/>
                <w:bCs/>
                <w:color w:val="000000"/>
                <w:sz w:val="20"/>
                <w:szCs w:val="20"/>
              </w:rPr>
              <w:t xml:space="preserve">Liabilities / Equity</w:t>
            </w:r>
          </w:p>
        </w:tc>
        <w:tc>
          <w:tcPr>
            <w:tcW w:type="dxa" w:w="1300"/>
            <w:shd w:fill="DCE6F1" w:val="clear"/>
            <w:tcMar>
              <w:top w:type="dxa" w:w="80"/>
              <w:left w:type="dxa" w:w="100"/>
              <w:bottom w:type="dxa" w:w="80"/>
              <w:right w:type="dxa" w:w="100"/>
            </w:tcMar>
            <w:vAlign w:val="center"/>
          </w:tcPr>
          <w:p>
            <w:pPr>
              <w:jc w:val="center"/>
            </w:pPr>
            <w:r>
              <w:rPr>
                <w:b/>
                <w:bCs/>
                <w:color w:val="000000"/>
                <w:sz w:val="20"/>
                <w:szCs w:val="20"/>
              </w:rPr>
              <w:t xml:space="preserve">2.48x</w:t>
            </w:r>
          </w:p>
        </w:tc>
        <w:tc>
          <w:tcPr>
            <w:tcW w:type="dxa" w:w="1500"/>
            <w:tcMar>
              <w:top w:type="dxa" w:w="80"/>
              <w:left w:type="dxa" w:w="100"/>
              <w:bottom w:type="dxa" w:w="80"/>
              <w:right w:type="dxa" w:w="100"/>
            </w:tcMar>
            <w:vAlign w:val="center"/>
          </w:tcPr>
          <w:p>
            <w:pPr>
              <w:jc w:val="center"/>
            </w:pPr>
            <w:r>
              <w:rPr>
                <w:b w:val="false"/>
                <w:bCs w:val="false"/>
                <w:color w:val="000000"/>
                <w:sz w:val="20"/>
                <w:szCs w:val="20"/>
              </w:rPr>
              <w:t xml:space="preserve">N/M (neg. equity)</w:t>
            </w:r>
          </w:p>
        </w:tc>
        <w:tc>
          <w:tcPr>
            <w:tcW w:type="dxa" w:w="1300"/>
            <w:tcMar>
              <w:top w:type="dxa" w:w="80"/>
              <w:left w:type="dxa" w:w="100"/>
              <w:bottom w:type="dxa" w:w="80"/>
              <w:right w:type="dxa" w:w="100"/>
            </w:tcMar>
            <w:vAlign w:val="center"/>
          </w:tcPr>
          <w:p>
            <w:pPr>
              <w:jc w:val="center"/>
            </w:pPr>
            <w:r>
              <w:rPr>
                <w:b w:val="false"/>
                <w:bCs w:val="false"/>
                <w:color w:val="000000"/>
                <w:sz w:val="20"/>
                <w:szCs w:val="20"/>
              </w:rPr>
              <w:t xml:space="preserve">N/M (neg. equity)</w:t>
            </w:r>
          </w:p>
        </w:tc>
        <w:tc>
          <w:tcPr>
            <w:tcW w:type="dxa" w:w="1300"/>
            <w:tcMar>
              <w:top w:type="dxa" w:w="80"/>
              <w:left w:type="dxa" w:w="100"/>
              <w:bottom w:type="dxa" w:w="80"/>
              <w:right w:type="dxa" w:w="100"/>
            </w:tcMar>
            <w:vAlign w:val="center"/>
          </w:tcPr>
          <w:p>
            <w:pPr>
              <w:jc w:val="center"/>
            </w:pPr>
            <w:r>
              <w:rPr>
                <w:b w:val="false"/>
                <w:bCs w:val="false"/>
                <w:color w:val="000000"/>
                <w:sz w:val="20"/>
                <w:szCs w:val="20"/>
              </w:rPr>
              <w:t xml:space="preserve">N/M (neg. equity)</w:t>
            </w:r>
          </w:p>
        </w:tc>
        <w:tc>
          <w:tcPr>
            <w:tcW w:type="dxa" w:w="1550"/>
            <w:shd w:fill="FFF2CC" w:val="clear"/>
            <w:tcMar>
              <w:top w:type="dxa" w:w="80"/>
              <w:left w:type="dxa" w:w="100"/>
              <w:bottom w:type="dxa" w:w="80"/>
              <w:right w:type="dxa" w:w="100"/>
            </w:tcMar>
            <w:vAlign w:val="center"/>
          </w:tcPr>
          <w:p>
            <w:pPr>
              <w:jc w:val="center"/>
            </w:pPr>
            <w:r>
              <w:rPr>
                <w:b w:val="false"/>
                <w:bCs w:val="false"/>
                <w:color w:val="000000"/>
                <w:sz w:val="20"/>
                <w:szCs w:val="20"/>
              </w:rPr>
              <w:t xml:space="preserve">N/M</w:t>
            </w:r>
          </w:p>
        </w:tc>
      </w:tr>
      <w:tr>
        <w:tc>
          <w:tcPr>
            <w:tcW w:type="dxa" w:w="2400"/>
            <w:shd w:fill="F2F2F2" w:val="clear"/>
            <w:tcMar>
              <w:top w:type="dxa" w:w="80"/>
              <w:left w:type="dxa" w:w="100"/>
              <w:bottom w:type="dxa" w:w="80"/>
              <w:right w:type="dxa" w:w="100"/>
            </w:tcMar>
            <w:vAlign w:val="center"/>
          </w:tcPr>
          <w:p>
            <w:pPr>
              <w:jc w:val="left"/>
            </w:pPr>
            <w:r>
              <w:rPr>
                <w:b/>
                <w:bCs/>
                <w:color w:val="000000"/>
                <w:sz w:val="20"/>
                <w:szCs w:val="20"/>
              </w:rPr>
              <w:t xml:space="preserve">Liabilities / Assets</w:t>
            </w:r>
          </w:p>
        </w:tc>
        <w:tc>
          <w:tcPr>
            <w:tcW w:type="dxa" w:w="1300"/>
            <w:shd w:fill="DCE6F1" w:val="clear"/>
            <w:tcMar>
              <w:top w:type="dxa" w:w="80"/>
              <w:left w:type="dxa" w:w="100"/>
              <w:bottom w:type="dxa" w:w="80"/>
              <w:right w:type="dxa" w:w="100"/>
            </w:tcMar>
            <w:vAlign w:val="center"/>
          </w:tcPr>
          <w:p>
            <w:pPr>
              <w:jc w:val="center"/>
            </w:pPr>
            <w:r>
              <w:rPr>
                <w:b/>
                <w:bCs/>
                <w:color w:val="000000"/>
                <w:sz w:val="20"/>
                <w:szCs w:val="20"/>
              </w:rPr>
              <w:t xml:space="preserve">71.3%</w:t>
            </w:r>
          </w:p>
        </w:tc>
        <w:tc>
          <w:tcPr>
            <w:tcW w:type="dxa" w:w="15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111.4%</w:t>
            </w:r>
          </w:p>
        </w:tc>
        <w:tc>
          <w:tcPr>
            <w:tcW w:type="dxa" w:w="13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122.3%</w:t>
            </w:r>
          </w:p>
        </w:tc>
        <w:tc>
          <w:tcPr>
            <w:tcW w:type="dxa" w:w="1300"/>
            <w:shd w:fill="F2F2F2" w:val="clear"/>
            <w:tcMar>
              <w:top w:type="dxa" w:w="80"/>
              <w:left w:type="dxa" w:w="100"/>
              <w:bottom w:type="dxa" w:w="80"/>
              <w:right w:type="dxa" w:w="100"/>
            </w:tcMar>
            <w:vAlign w:val="center"/>
          </w:tcPr>
          <w:p>
            <w:pPr>
              <w:jc w:val="center"/>
            </w:pPr>
            <w:r>
              <w:rPr>
                <w:b w:val="false"/>
                <w:bCs w:val="false"/>
                <w:color w:val="000000"/>
                <w:sz w:val="20"/>
                <w:szCs w:val="20"/>
              </w:rPr>
              <w:t xml:space="preserve">148.6%</w:t>
            </w:r>
          </w:p>
        </w:tc>
        <w:tc>
          <w:tcPr>
            <w:tcW w:type="dxa" w:w="1550"/>
            <w:shd w:fill="FFF2CC" w:val="clear"/>
            <w:tcMar>
              <w:top w:type="dxa" w:w="80"/>
              <w:left w:type="dxa" w:w="100"/>
              <w:bottom w:type="dxa" w:w="80"/>
              <w:right w:type="dxa" w:w="100"/>
            </w:tcMar>
            <w:vAlign w:val="center"/>
          </w:tcPr>
          <w:p>
            <w:pPr>
              <w:jc w:val="center"/>
            </w:pPr>
            <w:r>
              <w:rPr>
                <w:b w:val="false"/>
                <w:bCs w:val="false"/>
                <w:color w:val="000000"/>
                <w:sz w:val="20"/>
                <w:szCs w:val="20"/>
              </w:rPr>
              <w:t xml:space="preserve">127.5%</w:t>
            </w:r>
          </w:p>
        </w:tc>
      </w:tr>
    </w:tbl>
    <w:p>
      <w:pPr>
        <w:spacing w:after="240" w:before="120"/>
      </w:pPr>
      <w:r>
        <w:rPr>
          <w:i/>
          <w:iCs/>
          <w:color w:val="595959"/>
          <w:sz w:val="18"/>
          <w:szCs w:val="18"/>
        </w:rPr>
        <w:t xml:space="preserve">Peer Avg (3) is a simple, unweighted average of Marriott, Hilton and IHG. “N/M” = not meaningful, used where negative shareholders’ equity makes the ratio uninterpretable in the conventional sense (see Section 3.3 and caveats).</w:t>
      </w:r>
    </w:p>
    <w:p>
      <w:pPr>
        <w:pStyle w:val="Heading1"/>
        <w:spacing w:after="150" w:before="300"/>
      </w:pPr>
      <w:r>
        <w:t xml:space="preserve">3. Ratio-by-Ratio Comparison</w:t>
      </w:r>
    </w:p>
    <w:p>
      <w:pPr>
        <w:pStyle w:val="Heading2"/>
        <w:spacing w:after="120" w:before="240"/>
      </w:pPr>
      <w:r>
        <w:t xml:space="preserve">3.1 Liquidity</w:t>
      </w:r>
    </w:p>
    <w:p>
      <w:pPr>
        <w:spacing w:after="160" w:line="276"/>
      </w:pPr>
      <w:r>
        <w:rPr>
          <w:sz w:val="22"/>
          <w:szCs w:val="22"/>
        </w:rPr>
        <w:t xml:space="preserve">Hyatt’s current ratio of 0.83x sits comfortably above Marriott’s 0.40x and modestly above Hilton’s 0.70x, though it trails IHG’s 0.97x, the only one of the four with current assets close to fully covering current liabilities. Because none of the four companies carries meaningful inventory, the quick ratio is effectively identical to the current ratio in every case. None of the four operates at a 1.0x-or-above current ratio consistently, which is typical for asset-light hotel franchisors: a large share of “current liabilities” is deferred and contract liabilities tied to loyalty-program points and franchise/management fee arrangements rather than short-term debt that must be repaid in cash. On a relative basis, Hyatt’s short-term liquidity position is mid-pack — clearly stronger than Marriott’s, roughly in line with Hilton’s, and somewhat weaker than IHG’s.</w:t>
      </w:r>
    </w:p>
    <w:p>
      <w:pPr>
        <w:pStyle w:val="Heading2"/>
        <w:spacing w:after="120" w:before="240"/>
      </w:pPr>
      <w:r>
        <w:t xml:space="preserve">3.2 Profitability</w:t>
      </w:r>
    </w:p>
    <w:p>
      <w:pPr>
        <w:spacing w:after="160" w:line="276"/>
      </w:pPr>
      <w:r>
        <w:rPr>
          <w:sz w:val="22"/>
          <w:szCs w:val="22"/>
        </w:rPr>
        <w:t xml:space="preserve">Hyatt reported the highest net profit margin of the group at 19.5%, well above the peer average of roughly 12.0% (Marriott 9.5%, Hilton 13.8%, IHG 12.8%). This is driven substantially by a one-off $1,245 million gain on sales of real estate recognized in 2024 as Hyatt continued to sell owned hotels under its asset-light strategy; excluding that gain, pre-tax income would fall from $1,563 million to roughly $318 million, which would put underlying profitability much closer to — or below — peer levels. Return on assets (ROA) is more balanced: Hyatt’s 9.7% is close to Marriott’s 9.1% and Hilton’s 9.3%, while IHG leads the group at 13.2%, reflecting its smaller, more heavily franchised asset base. Return on equity (ROE) cannot be fairly compared on a like-for-like basis: Hyatt is the only company with positive shareholders’ equity, giving it a real, interpretable ROE of 36.5%, whereas Marriott, Hilton and IHG all show negative equity, making their computed ROE figures (mathematically large negative or positive numbers) not meaningful as performance indicators.</w:t>
      </w:r>
    </w:p>
    <w:p>
      <w:pPr>
        <w:pStyle w:val="Heading2"/>
        <w:spacing w:after="120" w:before="240"/>
      </w:pPr>
      <w:r>
        <w:t xml:space="preserve">3.3 Leverage &amp; Solvency</w:t>
      </w:r>
    </w:p>
    <w:p>
      <w:pPr>
        <w:spacing w:after="160" w:line="276"/>
      </w:pPr>
      <w:r>
        <w:rPr>
          <w:sz w:val="22"/>
          <w:szCs w:val="22"/>
        </w:rPr>
        <w:t xml:space="preserve">Hyatt is the only one of the four companies with positive total equity ($3.8 billion), a direct result of a materially more conservative approach to share buybacks relative to peers. Marriott, Hilton and IHG have each spent several years repurchasing shares and paying dividends in excess of retained earnings, pushing book equity negative (−$2.99 billion, −$3.69 billion and −$2.31 billion respectively). This makes conventional solvency ratios such as debt/liabilities-to-equity not meaningful for the three peers — mathematically the ratio can be computed, but a negative denominator produces a number that does not indicate lower risk. Hyatt’s debt-to-equity of 2.48x is therefore the only genuinely interpretable figure in the group. A cleaner cross-company leverage comparison is liabilities-to-assets: here Hyatt is the least levered at 71.3% of assets, versus 111.4% for Marriott, 122.3% for Hilton and 148.6% for IHG (ratios above 100% are only possible because of negative equity). On this basis, Hyatt carries meaningfully less balance-sheet risk than any of its three direct competitors.</w:t>
      </w:r>
    </w:p>
    <w:p>
      <w:pPr>
        <w:pStyle w:val="Heading2"/>
        <w:spacing w:after="120" w:before="240"/>
      </w:pPr>
      <w:r>
        <w:t xml:space="preserve">3.4 Efficiency</w:t>
      </w:r>
    </w:p>
    <w:p>
      <w:pPr>
        <w:spacing w:after="160" w:line="276"/>
      </w:pPr>
      <w:r>
        <w:rPr>
          <w:sz w:val="22"/>
          <w:szCs w:val="22"/>
        </w:rPr>
        <w:t xml:space="preserve">Asset turnover is Hyatt’s clearest relative weakness: at 0.50x, it is the lowest of the four, versus 0.96x for Marriott, 0.68x for Hilton and 1.04x for IHG. Hyatt still owns more real estate and carries a larger base of goodwill and intangible assets (partly reflecting its 2021–2022 acquisitions of Apple Leisure Group and other portfolio additions) relative to the revenue those assets generate, compared with more fully “asset-light” peers such as IHG and Marriott, which have franchised or sold off the large majority of their owned real estate. This means Hyatt’s balance sheet has to work harder to produce each dollar of revenue than its competitors’ balance sheets do.</w:t>
      </w:r>
    </w:p>
    <w:p>
      <w:pPr>
        <w:pStyle w:val="Heading1"/>
        <w:spacing w:after="150" w:before="300"/>
      </w:pPr>
      <w:r>
        <w:t xml:space="preserve">4. Strengths and Weaknesses Summary</w:t>
      </w:r>
    </w:p>
    <w:p>
      <w:pPr>
        <w:pStyle w:val="Heading2"/>
        <w:spacing w:after="120" w:before="240"/>
      </w:pPr>
      <w:r>
        <w:t xml:space="preserve">4.1 Strengths</w:t>
      </w:r>
    </w:p>
    <w:p>
      <w:pPr>
        <w:pStyle w:val="ListParagraph"/>
        <w:numPr>
          <w:ilvl w:val="0"/>
          <w:numId w:val="1"/>
        </w:numPr>
        <w:spacing w:after="100" w:line="276"/>
      </w:pPr>
      <w:r>
        <w:rPr>
          <w:sz w:val="22"/>
          <w:szCs w:val="22"/>
        </w:rPr>
        <w:t xml:space="preserve">Positive shareholders’ equity ($3.8bn) — the only company in the peer set not carrying negative book equity, implying materially lower balance-sheet risk.</w:t>
      </w:r>
    </w:p>
    <w:p>
      <w:pPr>
        <w:pStyle w:val="ListParagraph"/>
        <w:numPr>
          <w:ilvl w:val="0"/>
          <w:numId w:val="1"/>
        </w:numPr>
        <w:spacing w:after="100" w:line="276"/>
      </w:pPr>
      <w:r>
        <w:rPr>
          <w:sz w:val="22"/>
          <w:szCs w:val="22"/>
        </w:rPr>
        <w:t xml:space="preserve">Lowest overall leverage on a liabilities-to-assets basis (71.3% vs. 111–149% for peers).</w:t>
      </w:r>
    </w:p>
    <w:p>
      <w:pPr>
        <w:pStyle w:val="ListParagraph"/>
        <w:numPr>
          <w:ilvl w:val="0"/>
          <w:numId w:val="1"/>
        </w:numPr>
        <w:spacing w:after="100" w:line="276"/>
      </w:pPr>
      <w:r>
        <w:rPr>
          <w:sz w:val="22"/>
          <w:szCs w:val="22"/>
        </w:rPr>
        <w:t xml:space="preserve">Highest headline net margin (19.5%) and a real, calculable ROE (36.5%), unlike peers whose ROE is distorted by negative equity.</w:t>
      </w:r>
    </w:p>
    <w:p>
      <w:pPr>
        <w:pStyle w:val="ListParagraph"/>
        <w:numPr>
          <w:ilvl w:val="0"/>
          <w:numId w:val="1"/>
        </w:numPr>
        <w:spacing w:after="100" w:line="276"/>
      </w:pPr>
      <w:r>
        <w:rPr>
          <w:sz w:val="22"/>
          <w:szCs w:val="22"/>
        </w:rPr>
        <w:t xml:space="preserve">Current ratio (0.83x) stronger than Marriott’s and broadly in line with Hilton’s, indicating comparatively healthier short-term liquidity.</w:t>
      </w:r>
    </w:p>
    <w:p>
      <w:pPr>
        <w:pStyle w:val="Heading2"/>
        <w:spacing w:after="120" w:before="240"/>
      </w:pPr>
      <w:r>
        <w:t xml:space="preserve">4.2 Weaknesses</w:t>
      </w:r>
    </w:p>
    <w:p>
      <w:pPr>
        <w:pStyle w:val="ListParagraph"/>
        <w:numPr>
          <w:ilvl w:val="0"/>
          <w:numId w:val="1"/>
        </w:numPr>
        <w:spacing w:after="100" w:line="276"/>
      </w:pPr>
      <w:r>
        <w:rPr>
          <w:sz w:val="22"/>
          <w:szCs w:val="22"/>
        </w:rPr>
        <w:t xml:space="preserve">Lowest asset turnover in the group (0.50x) — a heavier, less “asset-light” balance sheet than Marriott, Hilton or IHG relative to revenue generated.</w:t>
      </w:r>
    </w:p>
    <w:p>
      <w:pPr>
        <w:pStyle w:val="ListParagraph"/>
        <w:numPr>
          <w:ilvl w:val="0"/>
          <w:numId w:val="1"/>
        </w:numPr>
        <w:spacing w:after="100" w:line="276"/>
      </w:pPr>
      <w:r>
        <w:rPr>
          <w:sz w:val="22"/>
          <w:szCs w:val="22"/>
        </w:rPr>
        <w:t xml:space="preserve">Reported profitability is flattered by a one-off $1,245m real-estate gain; underlying, gain-adjusted profitability would likely be below the peer average rather than above it.</w:t>
      </w:r>
    </w:p>
    <w:p>
      <w:pPr>
        <w:pStyle w:val="ListParagraph"/>
        <w:numPr>
          <w:ilvl w:val="0"/>
          <w:numId w:val="1"/>
        </w:numPr>
        <w:spacing w:after="100" w:line="276"/>
      </w:pPr>
      <w:r>
        <w:rPr>
          <w:sz w:val="22"/>
          <w:szCs w:val="22"/>
        </w:rPr>
        <w:t xml:space="preserve">Current ratio, while better than peers except IHG, is still below 1.0x, so current liabilities exceed current assets.</w:t>
      </w:r>
    </w:p>
    <w:p>
      <w:pPr>
        <w:pStyle w:val="ListParagraph"/>
        <w:numPr>
          <w:ilvl w:val="0"/>
          <w:numId w:val="1"/>
        </w:numPr>
        <w:spacing w:after="100" w:line="276"/>
      </w:pPr>
      <w:r>
        <w:rPr>
          <w:sz w:val="22"/>
          <w:szCs w:val="22"/>
        </w:rPr>
        <w:t xml:space="preserve">Smallest scale by revenue ($6.6bn vs. Marriott’s $25.1bn, Hilton’s $11.2bn and even IHG’s $4.9bn is closer), which may limit negotiating leverage with hotel owners, OTAs and technology vendors relative to larger peers.</w:t>
      </w:r>
    </w:p>
    <w:p>
      <w:pPr>
        <w:pStyle w:val="Heading1"/>
        <w:spacing w:after="150" w:before="300"/>
      </w:pPr>
      <w:r>
        <w:t xml:space="preserve">5. Caveats &amp; Notes on Comparability</w:t>
      </w:r>
    </w:p>
    <w:p>
      <w:pPr>
        <w:pStyle w:val="ListParagraph"/>
        <w:numPr>
          <w:ilvl w:val="0"/>
          <w:numId w:val="1"/>
        </w:numPr>
        <w:spacing w:after="100" w:line="276"/>
      </w:pPr>
      <w:r>
        <w:rPr>
          <w:sz w:val="22"/>
          <w:szCs w:val="22"/>
        </w:rPr>
        <w:t xml:space="preserve">GlobalData was not accessible in this environment (subscription/institutional login required); figures instead come directly from each company’s FY2024 10-K/annual report and FY2024 earnings release, sourced via SEC EDGAR and company investor-relations pages.</w:t>
      </w:r>
    </w:p>
    <w:p>
      <w:pPr>
        <w:pStyle w:val="ListParagraph"/>
        <w:numPr>
          <w:ilvl w:val="0"/>
          <w:numId w:val="1"/>
        </w:numPr>
        <w:spacing w:after="100" w:line="276"/>
      </w:pPr>
      <w:r>
        <w:rPr>
          <w:sz w:val="22"/>
          <w:szCs w:val="22"/>
        </w:rPr>
        <w:t xml:space="preserve">“Peer Avg (3)” is a simple, unweighted average of Marriott, Hilton and IHG and does not adjust for the very different scale of the three companies.</w:t>
      </w:r>
    </w:p>
    <w:p>
      <w:pPr>
        <w:pStyle w:val="ListParagraph"/>
        <w:numPr>
          <w:ilvl w:val="0"/>
          <w:numId w:val="1"/>
        </w:numPr>
        <w:spacing w:after="100" w:line="276"/>
      </w:pPr>
      <w:r>
        <w:rPr>
          <w:sz w:val="22"/>
          <w:szCs w:val="22"/>
        </w:rPr>
        <w:t xml:space="preserve">ROE and debt/liabilities-to-equity are flagged N/M for Marriott, Hilton and IHG because negative shareholders’ equity makes these ratios mathematically defined but not economically meaningful as performance or risk signals.</w:t>
      </w:r>
    </w:p>
    <w:p>
      <w:pPr>
        <w:pStyle w:val="ListParagraph"/>
        <w:numPr>
          <w:ilvl w:val="0"/>
          <w:numId w:val="1"/>
        </w:numPr>
        <w:spacing w:after="100" w:line="276"/>
      </w:pPr>
      <w:r>
        <w:rPr>
          <w:sz w:val="22"/>
          <w:szCs w:val="22"/>
        </w:rPr>
        <w:t xml:space="preserve">Hyatt’s 2024 net income and margin are materially affected by a $1,245m non-recurring gain on real estate sales; readers comparing profitability trends year-over-year should adjust for this item.</w:t>
      </w:r>
    </w:p>
    <w:p>
      <w:pPr>
        <w:pStyle w:val="ListParagraph"/>
        <w:numPr>
          <w:ilvl w:val="0"/>
          <w:numId w:val="1"/>
        </w:numPr>
        <w:spacing w:after="100" w:line="276"/>
      </w:pPr>
      <w:r>
        <w:rPr>
          <w:sz w:val="22"/>
          <w:szCs w:val="22"/>
        </w:rPr>
        <w:t xml:space="preserve">IHG reports in USD in its consolidated statements despite being UK-domiciled; no further currency adjustment was applied.</w:t>
      </w:r>
    </w:p>
    <w:p>
      <w:pPr>
        <w:pStyle w:val="Heading1"/>
        <w:spacing w:after="150" w:before="300"/>
      </w:pPr>
      <w:r>
        <w:t xml:space="preserve">6. Sources</w:t>
      </w:r>
    </w:p>
    <w:p>
      <w:pPr>
        <w:pStyle w:val="ListParagraph"/>
        <w:numPr>
          <w:ilvl w:val="0"/>
          <w:numId w:val="1"/>
        </w:numPr>
        <w:spacing w:after="100" w:line="276"/>
      </w:pPr>
      <w:r>
        <w:rPr>
          <w:sz w:val="22"/>
          <w:szCs w:val="22"/>
        </w:rPr>
        <w:t xml:space="preserve">Hyatt Hotels Corporation, Form 10-K for fiscal year ended December 31, 2024 (as provided).</w:t>
      </w:r>
    </w:p>
    <w:p>
      <w:pPr>
        <w:pStyle w:val="ListParagraph"/>
        <w:numPr>
          <w:ilvl w:val="0"/>
          <w:numId w:val="1"/>
        </w:numPr>
        <w:spacing w:after="100" w:line="276"/>
      </w:pPr>
      <w:r>
        <w:rPr>
          <w:sz w:val="22"/>
          <w:szCs w:val="22"/>
        </w:rPr>
        <w:t xml:space="preserve">Marriott International, Inc., Form 10-K and Q4/FY2024 earnings release, filed February 2025 (SEC EDGAR).</w:t>
      </w:r>
    </w:p>
    <w:p>
      <w:pPr>
        <w:pStyle w:val="ListParagraph"/>
        <w:numPr>
          <w:ilvl w:val="0"/>
          <w:numId w:val="1"/>
        </w:numPr>
        <w:spacing w:after="100" w:line="276"/>
      </w:pPr>
      <w:r>
        <w:rPr>
          <w:sz w:val="22"/>
          <w:szCs w:val="22"/>
        </w:rPr>
        <w:t xml:space="preserve">Hilton Worldwide Holdings Inc., Form 10-K/Annual Report to Shareholders (ARS) for fiscal year 2024 and Q4/FY2024 earnings release (SEC EDGAR).</w:t>
      </w:r>
    </w:p>
    <w:p>
      <w:pPr>
        <w:pStyle w:val="ListParagraph"/>
        <w:numPr>
          <w:ilvl w:val="0"/>
          <w:numId w:val="1"/>
        </w:numPr>
        <w:spacing w:after="100" w:line="276"/>
      </w:pPr>
      <w:r>
        <w:rPr>
          <w:sz w:val="22"/>
          <w:szCs w:val="22"/>
        </w:rPr>
        <w:t xml:space="preserve">InterContinental Hotels Group PLC, Full-Year 2024 Results announcement and FY2024 Annual Report; supplementary balance-sheet figures via Yahoo Finance.</w:t>
      </w:r>
    </w:p>
    <w:sectPr>
      <w:pgSz w:w="12240" w:h="15840" w:orient="portrait"/>
      <w:pgMar w:top="1080" w:right="1080" w:bottom="1080" w:left="108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pBdr>
        <w:bottom w:val="single" w:color="1F3864" w:sz="6" w:space="4"/>
      </w:pBdr>
      <w:spacing w:after="150" w:before="300"/>
    </w:pPr>
    <w:rPr>
      <w:rFonts w:ascii="Arial" w:cs="Arial" w:eastAsia="Arial" w:hAnsi="Arial"/>
      <w:b/>
      <w:bCs/>
      <w:color w:val="1F3864"/>
      <w:sz w:val="28"/>
      <w:szCs w:val="28"/>
    </w:rPr>
  </w:style>
  <w:style w:type="paragraph" w:styleId="Heading2">
    <w:name w:val="Heading 2"/>
    <w:basedOn w:val="Normal"/>
    <w:next w:val="Normal"/>
    <w:qFormat/>
    <w:pPr>
      <w:spacing w:after="120" w:before="240"/>
    </w:pPr>
    <w:rPr>
      <w:rFonts w:ascii="Arial" w:cs="Arial" w:eastAsia="Arial" w:hAnsi="Arial"/>
      <w:b/>
      <w:bCs/>
      <w:color w:val="1F3864"/>
      <w:sz w:val="24"/>
      <w:szCs w:val="24"/>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2026-08-07T10:15:23.300Z</dcterms:created>
  <dcterms:modified xsi:type="dcterms:W3CDTF">2026-08-07T10:15:23.315Z</dcterms:modified>
</cp:coreProperties>
</file>

<file path=docProps/custom.xml><?xml version="1.0" encoding="utf-8"?>
<Properties xmlns="http://schemas.openxmlformats.org/officeDocument/2006/custom-properties" xmlns:vt="http://schemas.openxmlformats.org/officeDocument/2006/docPropsVTypes"/>
</file>