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0536B5" w:rsidP="00230F35">
      <w:pPr>
        <w:pStyle w:val="NormalWeb"/>
        <w:spacing w:before="0" w:beforeAutospacing="0" w:after="0" w:afterAutospacing="0"/>
        <w:ind w:left="-180" w:right="-334"/>
      </w:pPr>
      <w:r>
        <w:rPr>
          <w:noProof/>
        </w:rPr>
        <w:drawing>
          <wp:inline distT="0" distB="0" distL="0" distR="0">
            <wp:extent cx="1908175" cy="636270"/>
            <wp:effectExtent l="19050" t="19050" r="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Ttulo3"/>
        <w:jc w:val="center"/>
        <w:rPr>
          <w:lang w:val="cy-GB"/>
        </w:rPr>
      </w:pPr>
      <w:r>
        <w:rPr>
          <w:lang w:val="cy-GB"/>
        </w:rPr>
        <w:t>THIS SHEET MUST BE THE FIRST PAGE OF THE ASSIGNMENT YOU ARE SUBMITTING  (DO NOT SEND AS A SEPARATE FILE)</w:t>
      </w:r>
    </w:p>
    <w:p w:rsidR="00230F35" w:rsidRDefault="00230F35" w:rsidP="002E67C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3"/>
        <w:gridCol w:w="423"/>
        <w:gridCol w:w="1513"/>
        <w:gridCol w:w="285"/>
        <w:gridCol w:w="1792"/>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rsidR="00FA2A4C" w:rsidRPr="00230F35" w:rsidRDefault="009A7E8F" w:rsidP="009C69F3">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SARA SUCENA</w:t>
            </w:r>
          </w:p>
        </w:tc>
      </w:tr>
      <w:tr w:rsidR="00CE3B79" w:rsidRPr="00230F35" w:rsidTr="00A745B6">
        <w:trPr>
          <w:trHeight w:val="849"/>
        </w:trPr>
        <w:tc>
          <w:tcPr>
            <w:tcW w:w="4788" w:type="dxa"/>
          </w:tcPr>
          <w:p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9A7E8F">
              <w:rPr>
                <w:rFonts w:ascii="Arial" w:hAnsi="Arial" w:cs="Arial"/>
                <w:sz w:val="22"/>
                <w:szCs w:val="22"/>
              </w:rPr>
              <w:t xml:space="preserve"> </w:t>
            </w:r>
            <w:r w:rsidR="009A7E8F" w:rsidRPr="009A7E8F">
              <w:rPr>
                <w:rFonts w:ascii="Arial" w:hAnsi="Arial" w:cs="Arial"/>
                <w:sz w:val="22"/>
                <w:szCs w:val="22"/>
              </w:rPr>
              <w:t>HPCA7001</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9A7E8F">
              <w:t xml:space="preserve"> </w:t>
            </w:r>
            <w:r w:rsidR="009A7E8F" w:rsidRPr="009A7E8F">
              <w:rPr>
                <w:rFonts w:ascii="Arial" w:hAnsi="Arial" w:cs="Arial"/>
                <w:sz w:val="22"/>
                <w:szCs w:val="22"/>
              </w:rPr>
              <w:t>Foundations in Cultural Astrology and Astronomy</w:t>
            </w: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EF3668" w:rsidRDefault="00EF3668" w:rsidP="002F467C">
            <w:pPr>
              <w:pStyle w:val="NormalWeb"/>
              <w:spacing w:before="0" w:beforeAutospacing="0" w:after="0" w:afterAutospacing="0"/>
              <w:ind w:right="34"/>
              <w:rPr>
                <w:rFonts w:ascii="Arial" w:hAnsi="Arial" w:cs="Arial"/>
                <w:sz w:val="22"/>
                <w:szCs w:val="22"/>
              </w:rPr>
            </w:pPr>
          </w:p>
          <w:p w:rsidR="009A7E8F" w:rsidRPr="00230F35" w:rsidRDefault="009A7E8F" w:rsidP="00EF3668">
            <w:pPr>
              <w:pStyle w:val="NormalWeb"/>
              <w:spacing w:before="0" w:beforeAutospacing="0" w:after="0" w:afterAutospacing="0"/>
              <w:ind w:right="34"/>
              <w:jc w:val="center"/>
              <w:rPr>
                <w:rFonts w:ascii="Arial" w:hAnsi="Arial" w:cs="Arial"/>
                <w:sz w:val="22"/>
                <w:szCs w:val="22"/>
              </w:rPr>
            </w:pPr>
            <w:r w:rsidRPr="009A7E8F">
              <w:rPr>
                <w:rFonts w:ascii="Arial" w:hAnsi="Arial" w:cs="Arial"/>
                <w:sz w:val="22"/>
                <w:szCs w:val="22"/>
              </w:rPr>
              <w:t>1917253</w:t>
            </w:r>
          </w:p>
        </w:tc>
        <w:tc>
          <w:tcPr>
            <w:tcW w:w="1802" w:type="dxa"/>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9C69F3">
            <w:pPr>
              <w:pStyle w:val="NormalWeb"/>
              <w:spacing w:before="0" w:beforeAutospacing="0" w:after="0" w:afterAutospacing="0"/>
              <w:ind w:right="34"/>
              <w:jc w:val="center"/>
              <w:rPr>
                <w:rFonts w:ascii="Arial" w:hAnsi="Arial" w:cs="Arial"/>
                <w:sz w:val="22"/>
                <w:szCs w:val="22"/>
              </w:rPr>
            </w:pPr>
            <w:r w:rsidRPr="00230F35">
              <w:rPr>
                <w:rFonts w:ascii="Arial" w:hAnsi="Arial" w:cs="Arial"/>
                <w:sz w:val="22"/>
                <w:szCs w:val="22"/>
              </w:rPr>
              <w:t>No</w:t>
            </w:r>
          </w:p>
        </w:tc>
      </w:tr>
      <w:tr w:rsidR="00CE3B79" w:rsidRPr="009A7E8F" w:rsidTr="00A745B6">
        <w:trPr>
          <w:trHeight w:val="1139"/>
        </w:trPr>
        <w:tc>
          <w:tcPr>
            <w:tcW w:w="8856" w:type="dxa"/>
            <w:gridSpan w:val="5"/>
          </w:tcPr>
          <w:p w:rsidR="00CE3B79" w:rsidRPr="009A7E8F" w:rsidRDefault="00F75EB5" w:rsidP="002F467C">
            <w:pPr>
              <w:pStyle w:val="NormalWeb"/>
              <w:spacing w:before="0" w:beforeAutospacing="0" w:after="0" w:afterAutospacing="0"/>
              <w:ind w:right="34"/>
              <w:rPr>
                <w:rFonts w:ascii="Arial" w:hAnsi="Arial" w:cs="Arial"/>
                <w:sz w:val="22"/>
                <w:szCs w:val="22"/>
                <w:lang w:val="fr-FR"/>
              </w:rPr>
            </w:pPr>
            <w:r w:rsidRPr="009A7E8F">
              <w:rPr>
                <w:rFonts w:ascii="Arial" w:hAnsi="Arial" w:cs="Arial"/>
                <w:sz w:val="22"/>
                <w:szCs w:val="22"/>
                <w:lang w:val="fr-FR"/>
              </w:rPr>
              <w:t xml:space="preserve">Module </w:t>
            </w:r>
            <w:proofErr w:type="spellStart"/>
            <w:proofErr w:type="gramStart"/>
            <w:r w:rsidRPr="009A7E8F">
              <w:rPr>
                <w:rFonts w:ascii="Arial" w:hAnsi="Arial" w:cs="Arial"/>
                <w:sz w:val="22"/>
                <w:szCs w:val="22"/>
                <w:lang w:val="fr-FR"/>
              </w:rPr>
              <w:t>tutor</w:t>
            </w:r>
            <w:proofErr w:type="spellEnd"/>
            <w:r w:rsidRPr="009A7E8F">
              <w:rPr>
                <w:rFonts w:ascii="Arial" w:hAnsi="Arial" w:cs="Arial"/>
                <w:sz w:val="22"/>
                <w:szCs w:val="22"/>
                <w:lang w:val="fr-FR"/>
              </w:rPr>
              <w:t>:</w:t>
            </w:r>
            <w:proofErr w:type="gramEnd"/>
          </w:p>
          <w:p w:rsidR="00D67BF8" w:rsidRPr="009A7E8F" w:rsidRDefault="009A7E8F" w:rsidP="009C69F3">
            <w:pPr>
              <w:pStyle w:val="NormalWeb"/>
              <w:spacing w:before="0" w:beforeAutospacing="0" w:after="0" w:afterAutospacing="0"/>
              <w:ind w:right="34"/>
              <w:jc w:val="center"/>
              <w:rPr>
                <w:rFonts w:ascii="Arial" w:hAnsi="Arial" w:cs="Arial"/>
                <w:sz w:val="22"/>
                <w:szCs w:val="22"/>
                <w:lang w:val="fr-FR"/>
              </w:rPr>
            </w:pPr>
            <w:r w:rsidRPr="009A7E8F">
              <w:rPr>
                <w:rFonts w:ascii="Arial" w:hAnsi="Arial" w:cs="Arial"/>
                <w:sz w:val="22"/>
                <w:szCs w:val="22"/>
                <w:lang w:val="fr-FR"/>
              </w:rPr>
              <w:t>NI</w:t>
            </w:r>
            <w:r>
              <w:rPr>
                <w:rFonts w:ascii="Arial" w:hAnsi="Arial" w:cs="Arial"/>
                <w:sz w:val="22"/>
                <w:szCs w:val="22"/>
                <w:lang w:val="fr-FR"/>
              </w:rPr>
              <w:t>CHOLAS CAMPION</w:t>
            </w:r>
          </w:p>
          <w:p w:rsidR="00230F35" w:rsidRPr="009A7E8F" w:rsidRDefault="00230F35" w:rsidP="002F467C">
            <w:pPr>
              <w:pStyle w:val="NormalWeb"/>
              <w:spacing w:before="0" w:beforeAutospacing="0" w:after="0" w:afterAutospacing="0"/>
              <w:ind w:right="34"/>
              <w:rPr>
                <w:rFonts w:ascii="Arial" w:hAnsi="Arial" w:cs="Arial"/>
                <w:sz w:val="22"/>
                <w:szCs w:val="22"/>
                <w:lang w:val="fr-FR"/>
              </w:rPr>
            </w:pPr>
          </w:p>
          <w:p w:rsidR="00D67BF8" w:rsidRPr="009A7E8F" w:rsidRDefault="00B42501" w:rsidP="002F467C">
            <w:pPr>
              <w:pStyle w:val="NormalWeb"/>
              <w:spacing w:before="0" w:beforeAutospacing="0" w:after="0" w:afterAutospacing="0"/>
              <w:ind w:right="34"/>
              <w:rPr>
                <w:rFonts w:ascii="Arial" w:hAnsi="Arial" w:cs="Arial"/>
                <w:sz w:val="22"/>
                <w:szCs w:val="22"/>
              </w:rPr>
            </w:pPr>
            <w:r w:rsidRPr="009A7E8F">
              <w:rPr>
                <w:rFonts w:ascii="Arial" w:hAnsi="Arial" w:cs="Arial"/>
                <w:sz w:val="22"/>
                <w:szCs w:val="22"/>
              </w:rPr>
              <w:t>Assignment due date:</w:t>
            </w:r>
            <w:r w:rsidR="009A7E8F" w:rsidRPr="009A7E8F">
              <w:rPr>
                <w:rFonts w:ascii="Arial" w:hAnsi="Arial" w:cs="Arial"/>
                <w:sz w:val="22"/>
                <w:szCs w:val="22"/>
              </w:rPr>
              <w:t xml:space="preserve"> 5th A</w:t>
            </w:r>
            <w:r w:rsidR="009A7E8F">
              <w:rPr>
                <w:rFonts w:ascii="Arial" w:hAnsi="Arial" w:cs="Arial"/>
                <w:sz w:val="22"/>
                <w:szCs w:val="22"/>
              </w:rPr>
              <w:t>ugust 2020</w:t>
            </w:r>
          </w:p>
        </w:tc>
      </w:tr>
      <w:tr w:rsidR="00230F35" w:rsidRPr="00230F35" w:rsidTr="00A745B6">
        <w:trPr>
          <w:trHeight w:val="978"/>
        </w:trPr>
        <w:tc>
          <w:tcPr>
            <w:tcW w:w="8856" w:type="dxa"/>
            <w:gridSpan w:val="5"/>
            <w:tcBorders>
              <w:bottom w:val="single" w:sz="4" w:space="0" w:color="000000"/>
            </w:tcBorders>
          </w:tcPr>
          <w:p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rsidR="00F75EB5" w:rsidRDefault="00F75EB5" w:rsidP="00F75EB5">
            <w:pPr>
              <w:rPr>
                <w:rFonts w:ascii="Arial" w:hAnsi="Arial" w:cs="Arial"/>
                <w:sz w:val="22"/>
                <w:szCs w:val="22"/>
              </w:rPr>
            </w:pPr>
          </w:p>
          <w:p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9A7E8F" w:rsidRPr="009C69F3">
              <w:rPr>
                <w:rFonts w:ascii="Arial" w:hAnsi="Arial" w:cs="Arial"/>
                <w:b/>
                <w:bCs/>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9A7E8F" w:rsidRPr="009A7E8F">
              <w:rPr>
                <w:rFonts w:ascii="Calibri" w:hAnsi="Calibri" w:cs="Tahoma"/>
                <w:b/>
                <w:sz w:val="28"/>
                <w:szCs w:val="28"/>
              </w:rPr>
              <w:t>X</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Default="00A745B6" w:rsidP="00A745B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7"/>
              <w:gridCol w:w="1643"/>
            </w:tblGrid>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CC0D35" w:rsidP="009C1A08">
                  <w:pPr>
                    <w:rPr>
                      <w:rFonts w:ascii="Arial" w:hAnsi="Arial"/>
                      <w:sz w:val="20"/>
                      <w:szCs w:val="20"/>
                    </w:rPr>
                  </w:pPr>
                  <w:r>
                    <w:rPr>
                      <w:rFonts w:ascii="Arial" w:hAnsi="Arial"/>
                      <w:sz w:val="20"/>
                      <w:szCs w:val="20"/>
                    </w:rPr>
                    <w:t>WILL BE GIVEN ON TURNITIN</w:t>
                  </w: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B462B1" w:rsidRDefault="00B462B1" w:rsidP="002F467C">
            <w:pPr>
              <w:pStyle w:val="NormalWeb"/>
              <w:spacing w:before="0" w:beforeAutospacing="0" w:after="0" w:afterAutospacing="0"/>
              <w:rPr>
                <w:rFonts w:ascii="Arial" w:hAnsi="Arial" w:cs="Arial"/>
                <w:b/>
                <w:sz w:val="22"/>
                <w:szCs w:val="22"/>
              </w:rPr>
            </w:pPr>
          </w:p>
          <w:p w:rsidR="00F75EB5" w:rsidRDefault="00CC0D35" w:rsidP="002F467C">
            <w:pPr>
              <w:pStyle w:val="NormalWeb"/>
              <w:spacing w:before="0" w:beforeAutospacing="0" w:after="0" w:afterAutospacing="0"/>
              <w:rPr>
                <w:rFonts w:ascii="Arial" w:hAnsi="Arial" w:cs="Arial"/>
                <w:b/>
                <w:sz w:val="22"/>
                <w:szCs w:val="22"/>
              </w:rPr>
            </w:pPr>
            <w:r>
              <w:rPr>
                <w:rFonts w:ascii="Arial" w:hAnsi="Arial" w:cs="Arial"/>
                <w:b/>
                <w:sz w:val="22"/>
                <w:szCs w:val="22"/>
              </w:rPr>
              <w:t xml:space="preserve">PLEASE NOTE: ALL COMMENTS </w:t>
            </w:r>
            <w:r w:rsidR="00EE66C1">
              <w:rPr>
                <w:rFonts w:ascii="Arial" w:hAnsi="Arial" w:cs="Arial"/>
                <w:b/>
                <w:sz w:val="22"/>
                <w:szCs w:val="22"/>
              </w:rPr>
              <w:t>WIL BE POSTED ON</w:t>
            </w:r>
            <w:r>
              <w:rPr>
                <w:rFonts w:ascii="Arial" w:hAnsi="Arial" w:cs="Arial"/>
                <w:b/>
                <w:sz w:val="22"/>
                <w:szCs w:val="22"/>
              </w:rPr>
              <w:t xml:space="preserve"> TURNITIN</w:t>
            </w:r>
          </w:p>
          <w:p w:rsidR="00F75EB5" w:rsidRDefault="00F75EB5"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rsidTr="009C1A08">
        <w:trPr>
          <w:trHeight w:val="720"/>
        </w:trPr>
        <w:tc>
          <w:tcPr>
            <w:tcW w:w="8856" w:type="dxa"/>
            <w:gridSpan w:val="5"/>
          </w:tcPr>
          <w:p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rsidR="00963B31" w:rsidRPr="006367FD" w:rsidRDefault="00963B31" w:rsidP="00230F35">
            <w:pPr>
              <w:rPr>
                <w:rFonts w:ascii="Arial" w:hAnsi="Arial" w:cs="Arial"/>
                <w:b/>
                <w:sz w:val="22"/>
                <w:szCs w:val="22"/>
              </w:rPr>
            </w:pPr>
          </w:p>
          <w:p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rsidR="000F1DE6" w:rsidRDefault="000F1DE6" w:rsidP="00230F35">
            <w:pPr>
              <w:rPr>
                <w:rFonts w:ascii="Arial" w:hAnsi="Arial" w:cs="Arial"/>
                <w:b/>
                <w:sz w:val="22"/>
                <w:szCs w:val="22"/>
              </w:rPr>
            </w:pPr>
          </w:p>
          <w:p w:rsidR="000F1DE6" w:rsidRDefault="000F1DE6" w:rsidP="00230F35">
            <w:pPr>
              <w:rPr>
                <w:rFonts w:ascii="Arial" w:hAnsi="Arial" w:cs="Arial"/>
                <w:b/>
                <w:sz w:val="22"/>
                <w:szCs w:val="22"/>
              </w:rPr>
            </w:pPr>
          </w:p>
          <w:p w:rsidR="00D00BDC" w:rsidRDefault="00D00BDC" w:rsidP="00230F35">
            <w:pPr>
              <w:rPr>
                <w:rFonts w:ascii="Arial" w:hAnsi="Arial" w:cs="Arial"/>
                <w:b/>
                <w:sz w:val="22"/>
                <w:szCs w:val="22"/>
              </w:rPr>
            </w:pPr>
          </w:p>
          <w:p w:rsidR="00D00BDC" w:rsidRDefault="00D00BDC" w:rsidP="00230F35">
            <w:pPr>
              <w:rPr>
                <w:rFonts w:ascii="Arial" w:hAnsi="Arial" w:cs="Arial"/>
                <w:b/>
                <w:sz w:val="22"/>
                <w:szCs w:val="22"/>
              </w:rPr>
            </w:pPr>
          </w:p>
          <w:p w:rsidR="00D00BDC" w:rsidRDefault="00D00BDC" w:rsidP="00230F35">
            <w:pPr>
              <w:rPr>
                <w:rFonts w:ascii="Arial" w:hAnsi="Arial" w:cs="Arial"/>
                <w:b/>
                <w:sz w:val="22"/>
                <w:szCs w:val="22"/>
              </w:rPr>
            </w:pPr>
          </w:p>
          <w:p w:rsidR="000F1DE6" w:rsidRDefault="000F1DE6" w:rsidP="00230F35">
            <w:pPr>
              <w:rPr>
                <w:rFonts w:ascii="Arial" w:hAnsi="Arial" w:cs="Arial"/>
                <w:b/>
                <w:sz w:val="22"/>
                <w:szCs w:val="22"/>
              </w:rPr>
            </w:pPr>
          </w:p>
          <w:p w:rsidR="00963B31" w:rsidRDefault="00963B31" w:rsidP="00230F35">
            <w:pPr>
              <w:rPr>
                <w:rFonts w:ascii="Arial" w:hAnsi="Arial" w:cs="Arial"/>
                <w:b/>
                <w:sz w:val="22"/>
                <w:szCs w:val="22"/>
              </w:rPr>
            </w:pPr>
          </w:p>
          <w:p w:rsidR="00963B31" w:rsidRPr="00B34964" w:rsidRDefault="00963B31" w:rsidP="00230F35">
            <w:pPr>
              <w:rPr>
                <w:rFonts w:ascii="Arial" w:hAnsi="Arial" w:cs="Arial"/>
                <w:b/>
                <w:sz w:val="22"/>
                <w:szCs w:val="22"/>
              </w:rPr>
            </w:pP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Default="00230F35" w:rsidP="002F467C">
            <w:pPr>
              <w:pStyle w:val="NormalWeb"/>
              <w:spacing w:before="0" w:beforeAutospacing="0" w:after="0" w:afterAutospacing="0"/>
              <w:ind w:right="-334"/>
              <w:rPr>
                <w:rFonts w:ascii="Arial" w:hAnsi="Arial" w:cs="Arial"/>
                <w:bCs/>
                <w:sz w:val="22"/>
                <w:szCs w:val="22"/>
              </w:rPr>
            </w:pPr>
          </w:p>
          <w:p w:rsidR="00D00BDC" w:rsidRDefault="00D00BDC" w:rsidP="002F467C">
            <w:pPr>
              <w:pStyle w:val="NormalWeb"/>
              <w:spacing w:before="0" w:beforeAutospacing="0" w:after="0" w:afterAutospacing="0"/>
              <w:ind w:right="-334"/>
              <w:rPr>
                <w:rFonts w:ascii="Arial" w:hAnsi="Arial" w:cs="Arial"/>
                <w:bCs/>
                <w:sz w:val="22"/>
                <w:szCs w:val="22"/>
              </w:rPr>
            </w:pPr>
          </w:p>
          <w:p w:rsidR="00D00BDC" w:rsidRDefault="00D00BDC" w:rsidP="002F467C">
            <w:pPr>
              <w:pStyle w:val="NormalWeb"/>
              <w:spacing w:before="0" w:beforeAutospacing="0" w:after="0" w:afterAutospacing="0"/>
              <w:ind w:right="-334"/>
              <w:rPr>
                <w:rFonts w:ascii="Arial" w:hAnsi="Arial" w:cs="Arial"/>
                <w:bCs/>
                <w:sz w:val="22"/>
                <w:szCs w:val="22"/>
              </w:rPr>
            </w:pPr>
          </w:p>
          <w:p w:rsidR="00D00BDC" w:rsidRDefault="00D00BDC" w:rsidP="002F467C">
            <w:pPr>
              <w:pStyle w:val="NormalWeb"/>
              <w:spacing w:before="0" w:beforeAutospacing="0" w:after="0" w:afterAutospacing="0"/>
              <w:ind w:right="-334"/>
              <w:rPr>
                <w:rFonts w:ascii="Arial" w:hAnsi="Arial" w:cs="Arial"/>
                <w:bCs/>
                <w:sz w:val="22"/>
                <w:szCs w:val="22"/>
              </w:rPr>
            </w:pPr>
          </w:p>
          <w:p w:rsidR="00D00BDC" w:rsidRPr="00230F35" w:rsidRDefault="00D00BDC"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bookmarkStart w:id="5" w:name="_GoBack"/>
      <w:bookmarkEnd w:id="5"/>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AB41D3" w:rsidRDefault="00AB41D3" w:rsidP="00FA07E9">
      <w:pPr>
        <w:pStyle w:val="NormalWeb"/>
        <w:spacing w:before="0" w:beforeAutospacing="0" w:after="0" w:afterAutospacing="0"/>
        <w:ind w:right="-334"/>
        <w:rPr>
          <w:rFonts w:ascii="Trebuchet MS" w:hAnsi="Trebuchet MS" w:cs="Tahoma"/>
          <w:bCs/>
          <w:sz w:val="24"/>
          <w:szCs w:val="24"/>
        </w:rPr>
      </w:pPr>
    </w:p>
    <w:p w:rsidR="00FC14C8" w:rsidRDefault="00FC14C8" w:rsidP="00FA07E9">
      <w:pPr>
        <w:pStyle w:val="NormalWeb"/>
        <w:spacing w:before="0" w:beforeAutospacing="0" w:after="0" w:afterAutospacing="0"/>
        <w:ind w:right="-334"/>
        <w:rPr>
          <w:rFonts w:ascii="Trebuchet MS" w:hAnsi="Trebuchet MS" w:cs="Tahoma"/>
          <w:bCs/>
          <w:sz w:val="24"/>
          <w:szCs w:val="24"/>
        </w:rPr>
        <w:sectPr w:rsidR="00FC14C8" w:rsidSect="00BF29A8">
          <w:footerReference w:type="default" r:id="rId9"/>
          <w:pgSz w:w="12240" w:h="15840"/>
          <w:pgMar w:top="567" w:right="1797" w:bottom="567" w:left="1797" w:header="567" w:footer="720" w:gutter="0"/>
          <w:pgNumType w:start="1"/>
          <w:cols w:space="720"/>
          <w:titlePg/>
          <w:docGrid w:linePitch="326"/>
        </w:sectPr>
      </w:pPr>
    </w:p>
    <w:p w:rsidR="00AB41D3" w:rsidRPr="00FC14C8" w:rsidRDefault="00AB41D3" w:rsidP="00AB41D3">
      <w:pPr>
        <w:jc w:val="both"/>
        <w:rPr>
          <w:rStyle w:val="fontstyle01"/>
          <w:rFonts w:ascii="Garamond" w:hAnsi="Garamond"/>
          <w:b/>
          <w:bCs/>
          <w:sz w:val="24"/>
          <w:szCs w:val="24"/>
        </w:rPr>
      </w:pPr>
      <w:r w:rsidRPr="00FC14C8">
        <w:rPr>
          <w:rStyle w:val="fontstyle01"/>
          <w:rFonts w:ascii="Garamond" w:hAnsi="Garamond"/>
          <w:b/>
          <w:bCs/>
          <w:sz w:val="24"/>
          <w:szCs w:val="24"/>
        </w:rPr>
        <w:lastRenderedPageBreak/>
        <w:t>B. ‘The stars incline; they do not compel.’ Discuss this statement in relation to the theory and practice of astrology, using the work of two astrologers</w:t>
      </w:r>
    </w:p>
    <w:p w:rsidR="00AB41D3" w:rsidRDefault="00AB41D3" w:rsidP="00AB41D3">
      <w:pPr>
        <w:jc w:val="center"/>
        <w:rPr>
          <w:rFonts w:ascii="Garamond" w:hAnsi="Garamond"/>
          <w:b/>
          <w:bCs/>
          <w:sz w:val="28"/>
          <w:szCs w:val="28"/>
        </w:rPr>
      </w:pPr>
    </w:p>
    <w:p w:rsidR="00AB41D3" w:rsidRDefault="00AB41D3" w:rsidP="00AB41D3">
      <w:pPr>
        <w:jc w:val="center"/>
        <w:rPr>
          <w:rFonts w:ascii="Garamond" w:hAnsi="Garamond"/>
          <w:b/>
          <w:bCs/>
          <w:sz w:val="28"/>
          <w:szCs w:val="28"/>
        </w:rPr>
      </w:pPr>
    </w:p>
    <w:p w:rsidR="00AB41D3" w:rsidRDefault="00AB41D3" w:rsidP="00AB41D3">
      <w:pPr>
        <w:jc w:val="center"/>
        <w:rPr>
          <w:rFonts w:ascii="Garamond" w:hAnsi="Garamond"/>
          <w:b/>
          <w:bCs/>
          <w:sz w:val="28"/>
          <w:szCs w:val="28"/>
        </w:rPr>
      </w:pPr>
      <w:r w:rsidRPr="00CE68B3">
        <w:rPr>
          <w:rFonts w:ascii="Garamond" w:hAnsi="Garamond"/>
          <w:b/>
          <w:bCs/>
          <w:sz w:val="28"/>
          <w:szCs w:val="28"/>
        </w:rPr>
        <w:t>Sara Sucena – HPCA700</w:t>
      </w:r>
      <w:r>
        <w:rPr>
          <w:rFonts w:ascii="Garamond" w:hAnsi="Garamond"/>
          <w:b/>
          <w:bCs/>
          <w:sz w:val="28"/>
          <w:szCs w:val="28"/>
        </w:rPr>
        <w:t>1</w:t>
      </w:r>
      <w:r w:rsidRPr="00CE68B3">
        <w:rPr>
          <w:rFonts w:ascii="Garamond" w:hAnsi="Garamond"/>
          <w:b/>
          <w:bCs/>
          <w:sz w:val="28"/>
          <w:szCs w:val="28"/>
        </w:rPr>
        <w:t xml:space="preserve"> – Assignment </w:t>
      </w:r>
      <w:r>
        <w:rPr>
          <w:rFonts w:ascii="Garamond" w:hAnsi="Garamond"/>
          <w:b/>
          <w:bCs/>
          <w:sz w:val="28"/>
          <w:szCs w:val="28"/>
        </w:rPr>
        <w:t>2</w:t>
      </w:r>
      <w:r>
        <w:rPr>
          <w:rFonts w:ascii="Garamond" w:hAnsi="Garamond"/>
          <w:b/>
          <w:bCs/>
          <w:sz w:val="28"/>
          <w:szCs w:val="28"/>
        </w:rPr>
        <w:t xml:space="preserve"> (Rework)</w:t>
      </w:r>
    </w:p>
    <w:p w:rsidR="00AB41D3" w:rsidRDefault="00AB41D3" w:rsidP="00AB41D3">
      <w:pPr>
        <w:rPr>
          <w:rStyle w:val="fontstyle21"/>
          <w:rFonts w:ascii="Swis721 LtEx BT" w:hAnsi="Swis721 LtEx BT"/>
          <w:sz w:val="20"/>
          <w:szCs w:val="20"/>
        </w:rPr>
      </w:pPr>
    </w:p>
    <w:p w:rsidR="00AB41D3" w:rsidRPr="004436CF" w:rsidRDefault="00AB41D3" w:rsidP="00AA2470">
      <w:pPr>
        <w:spacing w:after="120"/>
        <w:jc w:val="both"/>
        <w:rPr>
          <w:rStyle w:val="fontstyle21"/>
          <w:rFonts w:ascii="Garamond" w:hAnsi="Garamond"/>
          <w:sz w:val="21"/>
          <w:szCs w:val="21"/>
        </w:rPr>
      </w:pPr>
      <w:r w:rsidRPr="004436CF">
        <w:rPr>
          <w:rStyle w:val="fontstyle21"/>
          <w:rFonts w:ascii="Garamond" w:hAnsi="Garamond"/>
          <w:sz w:val="21"/>
          <w:szCs w:val="21"/>
        </w:rPr>
        <w:t xml:space="preserve">This essay critically discusses the expression ‘The stars incline; they do not compel’ in the work of two modern astrologers: the French, André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(1921-2019), and the Portuguese, Maria </w:t>
      </w:r>
      <w:proofErr w:type="spellStart"/>
      <w:r w:rsidRPr="004436CF">
        <w:rPr>
          <w:rStyle w:val="fontstyle21"/>
          <w:rFonts w:ascii="Garamond" w:hAnsi="Garamond"/>
          <w:sz w:val="21"/>
          <w:szCs w:val="21"/>
        </w:rPr>
        <w:t>Flávia</w:t>
      </w:r>
      <w:proofErr w:type="spellEnd"/>
      <w:r w:rsidRPr="004436CF">
        <w:rPr>
          <w:rStyle w:val="fontstyle21"/>
          <w:rFonts w:ascii="Garamond" w:hAnsi="Garamond"/>
          <w:sz w:val="21"/>
          <w:szCs w:val="21"/>
        </w:rPr>
        <w:t xml:space="preserve"> de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(1935-2019). In studying their notions of fate within the framework of those of Plato, Aristotle and the Stoics, one first aim is to identify those Classic influences in the astrologers' view; the second is to comparatively and contrastingly use them to unpack – through their practice – the idea that </w:t>
      </w:r>
      <w:r w:rsidRPr="004436CF">
        <w:rPr>
          <w:rStyle w:val="fontstyle21"/>
          <w:rFonts w:ascii="Garamond" w:hAnsi="Garamond"/>
          <w:i/>
          <w:iCs/>
          <w:sz w:val="21"/>
          <w:szCs w:val="21"/>
        </w:rPr>
        <w:t>stars do not force people to do things, although they influence their behaviour</w:t>
      </w:r>
      <w:r w:rsidRPr="004436CF">
        <w:rPr>
          <w:rStyle w:val="fontstyle21"/>
          <w:rFonts w:ascii="Garamond" w:hAnsi="Garamond"/>
          <w:sz w:val="21"/>
          <w:szCs w:val="21"/>
        </w:rPr>
        <w:t>. As primary sources, I will use both their writings and written/oral interviews.</w:t>
      </w:r>
    </w:p>
    <w:p w:rsidR="00AB41D3" w:rsidRPr="004436CF" w:rsidRDefault="00AB41D3" w:rsidP="00AA2470">
      <w:pPr>
        <w:spacing w:after="120"/>
        <w:jc w:val="both"/>
        <w:rPr>
          <w:rStyle w:val="fontstyle21"/>
          <w:rFonts w:ascii="Garamond" w:hAnsi="Garamond"/>
          <w:sz w:val="21"/>
          <w:szCs w:val="21"/>
        </w:rPr>
      </w:pPr>
    </w:p>
    <w:p w:rsidR="00AB41D3" w:rsidRPr="004436CF" w:rsidRDefault="00AB41D3" w:rsidP="00AA2470">
      <w:pPr>
        <w:spacing w:after="120"/>
        <w:contextualSpacing/>
        <w:jc w:val="both"/>
        <w:rPr>
          <w:rStyle w:val="fontstyle01"/>
          <w:rFonts w:ascii="Garamond" w:hAnsi="Garamond"/>
          <w:b/>
          <w:bCs/>
        </w:rPr>
      </w:pPr>
      <w:r w:rsidRPr="004436CF">
        <w:rPr>
          <w:rStyle w:val="fontstyle01"/>
          <w:rFonts w:ascii="Garamond" w:hAnsi="Garamond"/>
          <w:b/>
          <w:bCs/>
        </w:rPr>
        <w:t>The Classics. Fate and the Soul</w:t>
      </w:r>
    </w:p>
    <w:p w:rsidR="00AB41D3" w:rsidRPr="004436CF" w:rsidRDefault="00AB41D3" w:rsidP="00AA2470">
      <w:pPr>
        <w:spacing w:after="120"/>
        <w:contextualSpacing/>
        <w:jc w:val="both"/>
        <w:rPr>
          <w:rStyle w:val="fontstyle01"/>
          <w:rFonts w:ascii="Garamond" w:hAnsi="Garamond"/>
          <w:sz w:val="21"/>
          <w:szCs w:val="21"/>
        </w:rPr>
      </w:pPr>
      <w:r w:rsidRPr="004436CF">
        <w:rPr>
          <w:rStyle w:val="fontstyle21"/>
          <w:rFonts w:ascii="Garamond" w:hAnsi="Garamond"/>
          <w:sz w:val="21"/>
          <w:szCs w:val="21"/>
        </w:rPr>
        <w:t>Fate has different expressions in the Classics. Yet</w:t>
      </w:r>
      <w:r w:rsidRPr="004436CF">
        <w:rPr>
          <w:rStyle w:val="fontstyle01"/>
          <w:rFonts w:ascii="Garamond" w:hAnsi="Garamond"/>
          <w:sz w:val="21"/>
          <w:szCs w:val="21"/>
        </w:rPr>
        <w:t>, despite their different cosmologies, Plato, Aristotle and the Stoics set a key role for the human soul in the individual’s fate.</w:t>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 xml:space="preserve">In the Timaeus, </w:t>
      </w:r>
      <w:r w:rsidRPr="004436CF">
        <w:rPr>
          <w:rFonts w:ascii="Garamond" w:hAnsi="Garamond"/>
          <w:b/>
          <w:bCs/>
          <w:sz w:val="21"/>
          <w:szCs w:val="21"/>
        </w:rPr>
        <w:t xml:space="preserve">Plato </w:t>
      </w:r>
      <w:r w:rsidRPr="004436CF">
        <w:rPr>
          <w:rFonts w:ascii="Garamond" w:hAnsi="Garamond"/>
          <w:sz w:val="21"/>
          <w:szCs w:val="21"/>
        </w:rPr>
        <w:t>explains ‘how it [the Universe] was created’ and the role of the soul within it.</w:t>
      </w:r>
      <w:r w:rsidRPr="004436CF">
        <w:rPr>
          <w:rStyle w:val="Refdenotaderodap"/>
          <w:rFonts w:ascii="Garamond" w:hAnsi="Garamond"/>
          <w:sz w:val="21"/>
          <w:szCs w:val="21"/>
        </w:rPr>
        <w:footnoteReference w:id="1"/>
      </w:r>
      <w:r w:rsidRPr="004436CF">
        <w:rPr>
          <w:rFonts w:ascii="Garamond" w:hAnsi="Garamond"/>
          <w:sz w:val="21"/>
          <w:szCs w:val="21"/>
        </w:rPr>
        <w:t xml:space="preserve"> His ‘”two world” metaphysics’ opposes </w:t>
      </w:r>
      <w:r w:rsidRPr="004436CF">
        <w:rPr>
          <w:rFonts w:ascii="Garamond" w:hAnsi="Garamond"/>
          <w:i/>
          <w:iCs/>
          <w:sz w:val="21"/>
          <w:szCs w:val="21"/>
        </w:rPr>
        <w:t>Being</w:t>
      </w:r>
      <w:r w:rsidRPr="004436CF">
        <w:rPr>
          <w:rFonts w:ascii="Garamond" w:hAnsi="Garamond"/>
          <w:sz w:val="21"/>
          <w:szCs w:val="21"/>
        </w:rPr>
        <w:t xml:space="preserve"> and </w:t>
      </w:r>
      <w:r w:rsidRPr="004436CF">
        <w:rPr>
          <w:rFonts w:ascii="Garamond" w:hAnsi="Garamond"/>
          <w:i/>
          <w:iCs/>
          <w:sz w:val="21"/>
          <w:szCs w:val="21"/>
        </w:rPr>
        <w:t>Becoming</w:t>
      </w:r>
      <w:r w:rsidRPr="004436CF">
        <w:rPr>
          <w:rFonts w:ascii="Garamond" w:hAnsi="Garamond"/>
          <w:sz w:val="21"/>
          <w:szCs w:val="21"/>
        </w:rPr>
        <w:t>, the former as the transcendent, the ‘changeless, eternal, self-existent, apprehensible by thought only’; and the latter as the immanent, the ‘ever-changing, never truly existent and the object of irrational sensation’.</w:t>
      </w:r>
      <w:r w:rsidRPr="004436CF">
        <w:rPr>
          <w:rStyle w:val="Refdenotaderodap"/>
          <w:rFonts w:ascii="Garamond" w:hAnsi="Garamond"/>
          <w:sz w:val="21"/>
          <w:szCs w:val="21"/>
        </w:rPr>
        <w:footnoteReference w:id="2"/>
      </w:r>
      <w:r w:rsidRPr="004436CF">
        <w:rPr>
          <w:rFonts w:ascii="Garamond" w:hAnsi="Garamond"/>
          <w:sz w:val="21"/>
          <w:szCs w:val="21"/>
        </w:rPr>
        <w:t xml:space="preserve"> </w:t>
      </w:r>
      <w:r w:rsidRPr="004436CF">
        <w:rPr>
          <w:rFonts w:ascii="Garamond" w:hAnsi="Garamond"/>
          <w:i/>
          <w:iCs/>
          <w:sz w:val="21"/>
          <w:szCs w:val="21"/>
        </w:rPr>
        <w:t>Being</w:t>
      </w:r>
      <w:r w:rsidRPr="004436CF">
        <w:rPr>
          <w:rFonts w:ascii="Garamond" w:hAnsi="Garamond"/>
          <w:sz w:val="21"/>
          <w:szCs w:val="21"/>
        </w:rPr>
        <w:t xml:space="preserve"> stands for everything that is divine and </w:t>
      </w:r>
      <w:r w:rsidRPr="004436CF">
        <w:rPr>
          <w:rFonts w:ascii="Garamond" w:hAnsi="Garamond"/>
          <w:i/>
          <w:iCs/>
          <w:sz w:val="21"/>
          <w:szCs w:val="21"/>
        </w:rPr>
        <w:t>Becoming</w:t>
      </w:r>
      <w:r w:rsidRPr="004436CF">
        <w:rPr>
          <w:rFonts w:ascii="Garamond" w:hAnsi="Garamond"/>
          <w:sz w:val="21"/>
          <w:szCs w:val="21"/>
        </w:rPr>
        <w:t xml:space="preserve"> for everything that ‘is visible and tangible and possessed of a body’.</w:t>
      </w:r>
      <w:r w:rsidRPr="004436CF">
        <w:rPr>
          <w:rStyle w:val="Refdenotaderodap"/>
          <w:rFonts w:ascii="Garamond" w:hAnsi="Garamond"/>
          <w:sz w:val="21"/>
          <w:szCs w:val="21"/>
        </w:rPr>
        <w:footnoteReference w:id="3"/>
      </w:r>
      <w:r w:rsidRPr="004436CF">
        <w:rPr>
          <w:rFonts w:ascii="Garamond" w:hAnsi="Garamond"/>
          <w:sz w:val="21"/>
          <w:szCs w:val="21"/>
        </w:rPr>
        <w:t xml:space="preserve"> Both dimensions are present in the process of the Cosmos’ creation, given that the ‘visible universe’ holds transcendence in itself, being the outcome of a demiurgical intention that ‘brought it into order out of disorder’ and ‘endowed [it] with soul and reason’.</w:t>
      </w:r>
      <w:r w:rsidRPr="004436CF">
        <w:rPr>
          <w:rStyle w:val="Refdenotaderodap"/>
          <w:rFonts w:ascii="Garamond" w:hAnsi="Garamond"/>
          <w:sz w:val="21"/>
          <w:szCs w:val="21"/>
        </w:rPr>
        <w:footnoteReference w:id="4"/>
      </w:r>
      <w:r w:rsidRPr="004436CF">
        <w:rPr>
          <w:rFonts w:ascii="Garamond" w:hAnsi="Garamond"/>
          <w:sz w:val="21"/>
          <w:szCs w:val="21"/>
        </w:rPr>
        <w:t xml:space="preserve"> Through this process he also created Time, ‘a movable image of Eternity (…) according to number’ that operates through ‘the sun and moon and five other stars’.</w:t>
      </w:r>
      <w:r w:rsidRPr="004436CF">
        <w:rPr>
          <w:rStyle w:val="Refdenotaderodap"/>
          <w:rFonts w:ascii="Garamond" w:hAnsi="Garamond"/>
          <w:sz w:val="21"/>
          <w:szCs w:val="21"/>
        </w:rPr>
        <w:footnoteReference w:id="5"/>
      </w:r>
      <w:r w:rsidRPr="004436CF">
        <w:rPr>
          <w:rFonts w:ascii="Garamond" w:hAnsi="Garamond"/>
          <w:sz w:val="21"/>
          <w:szCs w:val="21"/>
        </w:rPr>
        <w:t xml:space="preserve"> To these seven planets, through their orbits’ interrelation, both in-between them and the Earth, was confided ‘the determining and preserving of the numbers of Time’.</w:t>
      </w:r>
      <w:r w:rsidRPr="004436CF">
        <w:rPr>
          <w:rStyle w:val="Refdenotaderodap"/>
          <w:rFonts w:ascii="Garamond" w:hAnsi="Garamond"/>
          <w:sz w:val="21"/>
          <w:szCs w:val="21"/>
        </w:rPr>
        <w:footnoteReference w:id="6"/>
      </w:r>
      <w:r w:rsidRPr="004436CF">
        <w:rPr>
          <w:rFonts w:ascii="Garamond" w:hAnsi="Garamond"/>
          <w:sz w:val="21"/>
          <w:szCs w:val="21"/>
        </w:rPr>
        <w:t xml:space="preserve"> Plato designs thus the planets as the measuring instruments’ of Time.</w:t>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 xml:space="preserve">Every work of the Demiurge is divine, therefore infusing the created </w:t>
      </w:r>
      <w:r w:rsidRPr="004436CF">
        <w:rPr>
          <w:rFonts w:ascii="Garamond" w:hAnsi="Garamond"/>
          <w:i/>
          <w:iCs/>
          <w:sz w:val="21"/>
          <w:szCs w:val="21"/>
        </w:rPr>
        <w:t>objects</w:t>
      </w:r>
      <w:r w:rsidRPr="004436CF">
        <w:rPr>
          <w:rFonts w:ascii="Garamond" w:hAnsi="Garamond"/>
          <w:sz w:val="21"/>
          <w:szCs w:val="21"/>
        </w:rPr>
        <w:t xml:space="preserve"> with His qualities of eternity and perfection. Within the Universe’s creation process, both the world-soul and the human-soul are His creation and hence divine. However, and despite sharing the three components – the Same, the Other and Being – mixed ‘in somewhat the same manner’, the world-soul and the human-soul are distinct ‘in degree of purity’, the latter of a lower standard.</w:t>
      </w:r>
      <w:r w:rsidRPr="004436CF">
        <w:rPr>
          <w:rStyle w:val="Refdenotaderodap"/>
          <w:rFonts w:ascii="Garamond" w:hAnsi="Garamond"/>
          <w:sz w:val="21"/>
          <w:szCs w:val="21"/>
        </w:rPr>
        <w:footnoteReference w:id="7"/>
      </w:r>
      <w:r w:rsidRPr="004436CF">
        <w:rPr>
          <w:rFonts w:ascii="Garamond" w:hAnsi="Garamond"/>
          <w:sz w:val="21"/>
          <w:szCs w:val="21"/>
        </w:rPr>
        <w:t xml:space="preserve"> This less pure whole was then divided ‘into souls equal in number to the stars, and each’ one of them ‘assigned to a star’; but previously these souls were taken in a chariot to be acquainted with ‘the nature of the Universe, and declared unto them the laws of destiny’.</w:t>
      </w:r>
      <w:r w:rsidRPr="004436CF">
        <w:rPr>
          <w:rStyle w:val="Refdenotaderodap"/>
          <w:rFonts w:ascii="Garamond" w:hAnsi="Garamond"/>
          <w:sz w:val="21"/>
          <w:szCs w:val="21"/>
        </w:rPr>
        <w:footnoteReference w:id="8"/>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In both the Timaeus and the Republic Plato describes the journey of souls in between reincarnations.</w:t>
      </w:r>
      <w:r w:rsidRPr="004436CF">
        <w:rPr>
          <w:rStyle w:val="Refdenotaderodap"/>
          <w:rFonts w:ascii="Garamond" w:hAnsi="Garamond"/>
          <w:sz w:val="21"/>
          <w:szCs w:val="21"/>
        </w:rPr>
        <w:footnoteReference w:id="9"/>
      </w:r>
      <w:r w:rsidRPr="004436CF">
        <w:rPr>
          <w:rFonts w:ascii="Garamond" w:hAnsi="Garamond"/>
          <w:sz w:val="21"/>
          <w:szCs w:val="21"/>
        </w:rPr>
        <w:t xml:space="preserve"> After the body’s death, the soul is subjected to judgement where she faces her more/less successful control of Reason over earthly pleasures throughout the terminating incarnation.</w:t>
      </w:r>
      <w:r w:rsidRPr="004436CF">
        <w:rPr>
          <w:rStyle w:val="Refdenotaderodap"/>
          <w:rFonts w:ascii="Garamond" w:hAnsi="Garamond"/>
          <w:sz w:val="21"/>
          <w:szCs w:val="21"/>
        </w:rPr>
        <w:footnoteReference w:id="10"/>
      </w:r>
      <w:r w:rsidRPr="004436CF">
        <w:rPr>
          <w:rFonts w:ascii="Garamond" w:hAnsi="Garamond"/>
          <w:sz w:val="21"/>
          <w:szCs w:val="21"/>
        </w:rPr>
        <w:t xml:space="preserve"> The soul’s ultimate reward is to escape human reincarnation, which will happen when proven her ability to master emotions by living justly, instead of being mastered by them: ‘he that has lived his appointed time well shall return again to his abode in his native star, and shall gain a life that is blessed and congenial.’</w:t>
      </w:r>
      <w:r w:rsidRPr="004436CF">
        <w:rPr>
          <w:rStyle w:val="Refdenotaderodap"/>
          <w:rFonts w:ascii="Garamond" w:hAnsi="Garamond"/>
          <w:sz w:val="21"/>
          <w:szCs w:val="21"/>
        </w:rPr>
        <w:footnoteReference w:id="11"/>
      </w:r>
      <w:r w:rsidRPr="004436CF">
        <w:rPr>
          <w:rFonts w:ascii="Garamond" w:hAnsi="Garamond"/>
          <w:sz w:val="21"/>
          <w:szCs w:val="21"/>
        </w:rPr>
        <w:t xml:space="preserve"> Hitherto, due to the virtues of the previous life, souls experience heavenly rewards or earthly punishments.</w:t>
      </w:r>
      <w:r w:rsidRPr="004436CF">
        <w:rPr>
          <w:rStyle w:val="Refdenotaderodap"/>
          <w:rFonts w:ascii="Garamond" w:hAnsi="Garamond"/>
          <w:sz w:val="21"/>
          <w:szCs w:val="21"/>
        </w:rPr>
        <w:footnoteReference w:id="12"/>
      </w:r>
      <w:r w:rsidRPr="004436CF">
        <w:rPr>
          <w:rFonts w:ascii="Garamond" w:hAnsi="Garamond"/>
          <w:sz w:val="21"/>
          <w:szCs w:val="21"/>
        </w:rPr>
        <w:t xml:space="preserve"> Fully accountable for their choices, for which ‘god is not to be blamed’, souls choose the settings for the next incarnation among ‘all kinds; for there were the lives of all animals as well as all sorts of human beings’.</w:t>
      </w:r>
      <w:r w:rsidRPr="004436CF">
        <w:rPr>
          <w:rStyle w:val="Refdenotaderodap"/>
          <w:rFonts w:ascii="Garamond" w:hAnsi="Garamond"/>
          <w:sz w:val="21"/>
          <w:szCs w:val="21"/>
        </w:rPr>
        <w:footnoteReference w:id="13"/>
      </w:r>
    </w:p>
    <w:p w:rsidR="00AB41D3" w:rsidRPr="004436CF" w:rsidRDefault="00AB41D3" w:rsidP="00AA2470">
      <w:pPr>
        <w:spacing w:after="120"/>
        <w:contextualSpacing/>
        <w:jc w:val="both"/>
        <w:rPr>
          <w:rStyle w:val="fontstyle01"/>
          <w:rFonts w:ascii="Garamond" w:hAnsi="Garamond"/>
          <w:sz w:val="21"/>
          <w:szCs w:val="21"/>
        </w:rPr>
      </w:pPr>
      <w:r w:rsidRPr="004436CF">
        <w:rPr>
          <w:rFonts w:ascii="Garamond" w:hAnsi="Garamond"/>
          <w:sz w:val="21"/>
          <w:szCs w:val="21"/>
        </w:rPr>
        <w:t>For Plato, thus, fate is not previously assigned but is a soul’s choice. Despite subject to some extent on luck (the lots thrown ‘out among them all’), the happiness of the earthly existence is not determined by chance.</w:t>
      </w:r>
      <w:r w:rsidRPr="004436CF">
        <w:rPr>
          <w:rStyle w:val="Refdenotaderodap"/>
          <w:rFonts w:ascii="Garamond" w:hAnsi="Garamond"/>
          <w:sz w:val="21"/>
          <w:szCs w:val="21"/>
        </w:rPr>
        <w:footnoteReference w:id="14"/>
      </w:r>
      <w:r w:rsidRPr="004436CF">
        <w:rPr>
          <w:rFonts w:ascii="Garamond" w:hAnsi="Garamond"/>
          <w:sz w:val="21"/>
          <w:szCs w:val="21"/>
        </w:rPr>
        <w:t xml:space="preserve"> </w:t>
      </w:r>
      <w:r w:rsidRPr="004436CF">
        <w:rPr>
          <w:rFonts w:ascii="Garamond" w:hAnsi="Garamond"/>
          <w:sz w:val="21"/>
          <w:szCs w:val="21"/>
        </w:rPr>
        <w:lastRenderedPageBreak/>
        <w:t>Potential learning from consecutive incarnation cycles seems to be of higher importance when taking options for a new life, as ‘the majority of choices were made through familiarity with their previous existence’.</w:t>
      </w:r>
      <w:r w:rsidRPr="004436CF">
        <w:rPr>
          <w:rStyle w:val="Refdenotaderodap"/>
          <w:rFonts w:ascii="Garamond" w:hAnsi="Garamond"/>
          <w:sz w:val="21"/>
          <w:szCs w:val="21"/>
        </w:rPr>
        <w:footnoteReference w:id="15"/>
      </w:r>
      <w:r w:rsidRPr="004436CF">
        <w:rPr>
          <w:rFonts w:ascii="Garamond" w:hAnsi="Garamond"/>
          <w:sz w:val="21"/>
          <w:szCs w:val="21"/>
        </w:rPr>
        <w:t xml:space="preserve"> However, what a better or worse life depends upon is the soul's conduct towards becoming more just (or unjust), this being ‘</w:t>
      </w:r>
      <w:r w:rsidRPr="004436CF">
        <w:rPr>
          <w:rStyle w:val="fontstyle01"/>
          <w:rFonts w:ascii="Garamond" w:hAnsi="Garamond"/>
          <w:sz w:val="21"/>
          <w:szCs w:val="21"/>
        </w:rPr>
        <w:t>the supreme choice in life and death’</w:t>
      </w:r>
      <w:r w:rsidRPr="004436CF">
        <w:rPr>
          <w:rFonts w:ascii="Garamond" w:hAnsi="Garamond"/>
          <w:sz w:val="21"/>
          <w:szCs w:val="21"/>
        </w:rPr>
        <w:t>.</w:t>
      </w:r>
      <w:r w:rsidRPr="004436CF">
        <w:rPr>
          <w:rStyle w:val="Refdenotaderodap"/>
          <w:rFonts w:ascii="Garamond" w:hAnsi="Garamond"/>
          <w:sz w:val="21"/>
          <w:szCs w:val="21"/>
        </w:rPr>
        <w:footnoteReference w:id="16"/>
      </w:r>
      <w:r w:rsidRPr="004436CF">
        <w:rPr>
          <w:rFonts w:ascii="Garamond" w:hAnsi="Garamond"/>
          <w:sz w:val="21"/>
          <w:szCs w:val="21"/>
        </w:rPr>
        <w:t xml:space="preserve"> A happy life is attainable for every individual as long as ‘</w:t>
      </w:r>
      <w:r w:rsidRPr="004436CF">
        <w:rPr>
          <w:rStyle w:val="fontstyle01"/>
          <w:rFonts w:ascii="Garamond" w:hAnsi="Garamond"/>
          <w:sz w:val="21"/>
          <w:szCs w:val="21"/>
        </w:rPr>
        <w:t xml:space="preserve">he chooses intelligently and lives strictly’, regularly practises ‘sound philosophy’ </w:t>
      </w:r>
      <w:r w:rsidRPr="004436CF">
        <w:rPr>
          <w:rFonts w:ascii="Garamond" w:hAnsi="Garamond"/>
          <w:sz w:val="21"/>
          <w:szCs w:val="21"/>
        </w:rPr>
        <w:t>and ‘</w:t>
      </w:r>
      <w:r w:rsidRPr="004436CF">
        <w:rPr>
          <w:rStyle w:val="fontstyle01"/>
          <w:rFonts w:ascii="Garamond" w:hAnsi="Garamond"/>
          <w:sz w:val="21"/>
          <w:szCs w:val="21"/>
        </w:rPr>
        <w:t>grow[s] into the most god-fearing of living creatures’.</w:t>
      </w:r>
      <w:r w:rsidRPr="004436CF">
        <w:rPr>
          <w:rStyle w:val="Refdenotaderodap"/>
          <w:rFonts w:ascii="Garamond" w:hAnsi="Garamond" w:cs="Helvetica"/>
          <w:sz w:val="21"/>
          <w:szCs w:val="21"/>
        </w:rPr>
        <w:footnoteReference w:id="17"/>
      </w:r>
    </w:p>
    <w:p w:rsidR="00AB41D3" w:rsidRPr="004436CF" w:rsidRDefault="00AB41D3" w:rsidP="00AA2470">
      <w:pPr>
        <w:spacing w:after="120"/>
        <w:contextualSpacing/>
        <w:jc w:val="both"/>
        <w:rPr>
          <w:rStyle w:val="fontstyle01"/>
          <w:rFonts w:ascii="Garamond" w:hAnsi="Garamond" w:cstheme="minorBidi"/>
          <w:sz w:val="21"/>
          <w:szCs w:val="21"/>
        </w:rPr>
      </w:pPr>
    </w:p>
    <w:p w:rsidR="00AB41D3" w:rsidRPr="004436CF" w:rsidRDefault="00AB41D3" w:rsidP="00AA2470">
      <w:pPr>
        <w:spacing w:after="120"/>
        <w:contextualSpacing/>
        <w:jc w:val="both"/>
        <w:rPr>
          <w:rFonts w:ascii="Garamond" w:hAnsi="Garamond"/>
          <w:sz w:val="21"/>
          <w:szCs w:val="21"/>
        </w:rPr>
      </w:pPr>
      <w:r w:rsidRPr="004436CF">
        <w:rPr>
          <w:rFonts w:ascii="Garamond" w:hAnsi="Garamond"/>
          <w:b/>
          <w:bCs/>
          <w:sz w:val="21"/>
          <w:szCs w:val="21"/>
        </w:rPr>
        <w:t>Aristotle</w:t>
      </w:r>
      <w:r w:rsidRPr="004436CF">
        <w:rPr>
          <w:rFonts w:ascii="Garamond" w:hAnsi="Garamond"/>
          <w:sz w:val="21"/>
          <w:szCs w:val="21"/>
        </w:rPr>
        <w:t xml:space="preserve"> does not believe in the soul’s reincarnation. Within his monist cosmology, which rejects transcendence in the physical world, the soul is perishable along with the body.</w:t>
      </w:r>
      <w:r w:rsidRPr="004436CF">
        <w:rPr>
          <w:rStyle w:val="Refdenotaderodap"/>
          <w:rFonts w:ascii="Garamond" w:hAnsi="Garamond"/>
          <w:sz w:val="21"/>
          <w:szCs w:val="21"/>
        </w:rPr>
        <w:footnoteReference w:id="18"/>
      </w:r>
      <w:r w:rsidRPr="004436CF">
        <w:rPr>
          <w:rFonts w:ascii="Garamond" w:hAnsi="Garamond"/>
          <w:sz w:val="21"/>
          <w:szCs w:val="21"/>
        </w:rPr>
        <w:t xml:space="preserve"> Nevertheless, it seems to assume a role involving a certain notion of fate. As ‘a single entity’ that animates and identifies the body, permeating it, ‘[t]he soul is the cause and first principle of the living body’.</w:t>
      </w:r>
      <w:r w:rsidRPr="004436CF">
        <w:rPr>
          <w:rStyle w:val="Refdenotaderodap"/>
          <w:rFonts w:ascii="Garamond" w:hAnsi="Garamond"/>
          <w:sz w:val="21"/>
          <w:szCs w:val="21"/>
        </w:rPr>
        <w:footnoteReference w:id="19"/>
      </w:r>
      <w:r w:rsidRPr="004436CF">
        <w:rPr>
          <w:rFonts w:ascii="Garamond" w:hAnsi="Garamond"/>
          <w:sz w:val="21"/>
          <w:szCs w:val="21"/>
        </w:rPr>
        <w:t xml:space="preserve"> Among the diverse senses embedded in ‘the words cause and first principle’, which Aristotle explains, the most relevant to the topic discussed here is the idea of the soul as</w:t>
      </w:r>
    </w:p>
    <w:p w:rsidR="00AB41D3" w:rsidRPr="004436CF" w:rsidRDefault="00AB41D3" w:rsidP="00AA2470">
      <w:pPr>
        <w:spacing w:after="120"/>
        <w:ind w:left="397"/>
        <w:contextualSpacing/>
        <w:jc w:val="both"/>
        <w:rPr>
          <w:rFonts w:ascii="Garamond" w:hAnsi="Garamond"/>
          <w:sz w:val="21"/>
          <w:szCs w:val="21"/>
        </w:rPr>
      </w:pPr>
      <w:r w:rsidRPr="004436CF">
        <w:rPr>
          <w:rFonts w:ascii="Garamond" w:hAnsi="Garamond"/>
          <w:sz w:val="21"/>
          <w:szCs w:val="21"/>
        </w:rPr>
        <w:t xml:space="preserve">the cause in the final sense. For just as mind acts with some purpose in view, so too does nature, and this purpose is its end. In living </w:t>
      </w:r>
      <w:proofErr w:type="gramStart"/>
      <w:r w:rsidRPr="004436CF">
        <w:rPr>
          <w:rFonts w:ascii="Garamond" w:hAnsi="Garamond"/>
          <w:sz w:val="21"/>
          <w:szCs w:val="21"/>
        </w:rPr>
        <w:t>creatures</w:t>
      </w:r>
      <w:proofErr w:type="gramEnd"/>
      <w:r w:rsidRPr="004436CF">
        <w:rPr>
          <w:rFonts w:ascii="Garamond" w:hAnsi="Garamond"/>
          <w:sz w:val="21"/>
          <w:szCs w:val="21"/>
        </w:rPr>
        <w:t xml:space="preserve"> the soul supplies such a purpose, and this is in accordance with nature, for all natural bodies are instruments of the soul;’</w:t>
      </w:r>
      <w:r w:rsidRPr="004436CF">
        <w:rPr>
          <w:rStyle w:val="Refdenotaderodap"/>
          <w:rFonts w:ascii="Garamond" w:hAnsi="Garamond"/>
          <w:sz w:val="21"/>
          <w:szCs w:val="21"/>
        </w:rPr>
        <w:footnoteReference w:id="20"/>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 xml:space="preserve">To the ‘living creatures’, thus, the notion of ‘purpose’ as an </w:t>
      </w:r>
      <w:r w:rsidRPr="004436CF">
        <w:rPr>
          <w:rFonts w:ascii="Garamond" w:hAnsi="Garamond"/>
          <w:i/>
          <w:iCs/>
          <w:sz w:val="21"/>
          <w:szCs w:val="21"/>
        </w:rPr>
        <w:t>a-posteriori</w:t>
      </w:r>
      <w:r w:rsidRPr="004436CF">
        <w:rPr>
          <w:rFonts w:ascii="Garamond" w:hAnsi="Garamond"/>
          <w:sz w:val="21"/>
          <w:szCs w:val="21"/>
        </w:rPr>
        <w:t xml:space="preserve"> that guides an </w:t>
      </w:r>
      <w:r w:rsidRPr="004436CF">
        <w:rPr>
          <w:rFonts w:ascii="Garamond" w:hAnsi="Garamond"/>
          <w:i/>
          <w:iCs/>
          <w:sz w:val="21"/>
          <w:szCs w:val="21"/>
        </w:rPr>
        <w:t>a-priori</w:t>
      </w:r>
      <w:r w:rsidRPr="004436CF">
        <w:rPr>
          <w:rFonts w:ascii="Garamond" w:hAnsi="Garamond"/>
          <w:sz w:val="21"/>
          <w:szCs w:val="21"/>
        </w:rPr>
        <w:t>, but where the latter has a determinant impact on the former, is central to Aristotle’s teleological worldview, and needs to be set within his ‘distinction between four kinds of cause’.</w:t>
      </w:r>
      <w:r w:rsidRPr="004436CF">
        <w:rPr>
          <w:rStyle w:val="Refdenotaderodap"/>
          <w:rFonts w:ascii="Garamond" w:hAnsi="Garamond"/>
          <w:sz w:val="21"/>
          <w:szCs w:val="21"/>
        </w:rPr>
        <w:footnoteReference w:id="21"/>
      </w:r>
      <w:r w:rsidRPr="004436CF">
        <w:rPr>
          <w:rFonts w:ascii="Garamond" w:hAnsi="Garamond"/>
          <w:sz w:val="21"/>
          <w:szCs w:val="21"/>
        </w:rPr>
        <w:t xml:space="preserve"> Referring to them as ‘causal determinants’ – material, formal, efficient, final –, Aristotle illustrates their interrelation by making use of a ‘crafts analogy’, namely through the sculptor’s artistic process of yielding a bronze statue.</w:t>
      </w:r>
      <w:r w:rsidRPr="004436CF">
        <w:rPr>
          <w:rStyle w:val="Refdenotaderodap"/>
          <w:rFonts w:ascii="Garamond" w:hAnsi="Garamond"/>
          <w:sz w:val="21"/>
          <w:szCs w:val="21"/>
        </w:rPr>
        <w:footnoteReference w:id="22"/>
      </w:r>
      <w:r w:rsidRPr="004436CF">
        <w:rPr>
          <w:rFonts w:ascii="Garamond" w:hAnsi="Garamond"/>
          <w:sz w:val="21"/>
          <w:szCs w:val="21"/>
        </w:rPr>
        <w:t xml:space="preserve"> In it, the sculptor is the </w:t>
      </w:r>
      <w:r w:rsidRPr="004436CF">
        <w:rPr>
          <w:rFonts w:ascii="Garamond" w:hAnsi="Garamond"/>
          <w:i/>
          <w:iCs/>
          <w:sz w:val="21"/>
          <w:szCs w:val="21"/>
        </w:rPr>
        <w:t>efficient</w:t>
      </w:r>
      <w:r w:rsidRPr="004436CF">
        <w:rPr>
          <w:rFonts w:ascii="Garamond" w:hAnsi="Garamond"/>
          <w:sz w:val="21"/>
          <w:szCs w:val="21"/>
        </w:rPr>
        <w:t xml:space="preserve"> (or </w:t>
      </w:r>
      <w:r w:rsidRPr="004436CF">
        <w:rPr>
          <w:rFonts w:ascii="Garamond" w:hAnsi="Garamond"/>
          <w:i/>
          <w:iCs/>
          <w:sz w:val="21"/>
          <w:szCs w:val="21"/>
        </w:rPr>
        <w:t>moving</w:t>
      </w:r>
      <w:r w:rsidRPr="004436CF">
        <w:rPr>
          <w:rFonts w:ascii="Garamond" w:hAnsi="Garamond"/>
          <w:sz w:val="21"/>
          <w:szCs w:val="21"/>
        </w:rPr>
        <w:t xml:space="preserve">) cause that will act upon the </w:t>
      </w:r>
      <w:r w:rsidRPr="004436CF">
        <w:rPr>
          <w:rFonts w:ascii="Garamond" w:hAnsi="Garamond"/>
          <w:i/>
          <w:iCs/>
          <w:sz w:val="21"/>
          <w:szCs w:val="21"/>
        </w:rPr>
        <w:t>material</w:t>
      </w:r>
      <w:r w:rsidRPr="004436CF">
        <w:rPr>
          <w:rFonts w:ascii="Garamond" w:hAnsi="Garamond"/>
          <w:sz w:val="21"/>
          <w:szCs w:val="21"/>
        </w:rPr>
        <w:t xml:space="preserve"> subject shaping it into </w:t>
      </w:r>
      <w:r w:rsidRPr="004436CF">
        <w:rPr>
          <w:rFonts w:ascii="Garamond" w:hAnsi="Garamond"/>
          <w:i/>
          <w:iCs/>
          <w:sz w:val="21"/>
          <w:szCs w:val="21"/>
        </w:rPr>
        <w:t>form</w:t>
      </w:r>
      <w:r w:rsidRPr="004436CF">
        <w:rPr>
          <w:rFonts w:ascii="Garamond" w:hAnsi="Garamond"/>
          <w:sz w:val="21"/>
          <w:szCs w:val="21"/>
        </w:rPr>
        <w:t xml:space="preserve"> (</w:t>
      </w:r>
      <w:r w:rsidRPr="004436CF">
        <w:rPr>
          <w:rFonts w:ascii="Garamond" w:hAnsi="Garamond"/>
          <w:i/>
          <w:iCs/>
          <w:sz w:val="21"/>
          <w:szCs w:val="21"/>
        </w:rPr>
        <w:t>formal</w:t>
      </w:r>
      <w:r w:rsidRPr="004436CF">
        <w:rPr>
          <w:rFonts w:ascii="Garamond" w:hAnsi="Garamond"/>
          <w:sz w:val="21"/>
          <w:szCs w:val="21"/>
        </w:rPr>
        <w:t>) in accordance with an aim (</w:t>
      </w:r>
      <w:r w:rsidRPr="004436CF">
        <w:rPr>
          <w:rFonts w:ascii="Garamond" w:hAnsi="Garamond"/>
          <w:i/>
          <w:iCs/>
          <w:sz w:val="21"/>
          <w:szCs w:val="21"/>
        </w:rPr>
        <w:t>purpose</w:t>
      </w:r>
      <w:r w:rsidRPr="004436CF">
        <w:rPr>
          <w:rFonts w:ascii="Garamond" w:hAnsi="Garamond"/>
          <w:sz w:val="21"/>
          <w:szCs w:val="21"/>
        </w:rPr>
        <w:t>).</w:t>
      </w:r>
      <w:r w:rsidRPr="004436CF">
        <w:rPr>
          <w:rStyle w:val="Refdenotaderodap"/>
          <w:rFonts w:ascii="Garamond" w:hAnsi="Garamond"/>
          <w:sz w:val="21"/>
          <w:szCs w:val="21"/>
        </w:rPr>
        <w:footnoteReference w:id="23"/>
      </w:r>
      <w:r w:rsidRPr="004436CF">
        <w:rPr>
          <w:rFonts w:ascii="Garamond" w:hAnsi="Garamond"/>
          <w:sz w:val="21"/>
          <w:szCs w:val="21"/>
        </w:rPr>
        <w:t xml:space="preserve"> Expanding upon the quote above, David Sedley highlights the key role played by the sculptor as the decisive ‘moving’ (or </w:t>
      </w:r>
      <w:r w:rsidRPr="004436CF">
        <w:rPr>
          <w:rFonts w:ascii="Garamond" w:hAnsi="Garamond"/>
          <w:i/>
          <w:iCs/>
          <w:sz w:val="21"/>
          <w:szCs w:val="21"/>
        </w:rPr>
        <w:t>efficient</w:t>
      </w:r>
      <w:r w:rsidRPr="004436CF">
        <w:rPr>
          <w:rFonts w:ascii="Garamond" w:hAnsi="Garamond"/>
          <w:sz w:val="21"/>
          <w:szCs w:val="21"/>
        </w:rPr>
        <w:t>) cause, being ‘the craft itself, identifiable with the ultimate form of the product resident all along in the craftsman’s soul’.</w:t>
      </w:r>
      <w:r w:rsidRPr="004436CF">
        <w:rPr>
          <w:rStyle w:val="Refdenotaderodap"/>
          <w:rFonts w:ascii="Garamond" w:hAnsi="Garamond"/>
          <w:sz w:val="21"/>
          <w:szCs w:val="21"/>
        </w:rPr>
        <w:footnoteReference w:id="24"/>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Subjacent to this, a core concept to Aristoteles’s teleology is that of ‘nature’, which he defines as ‘the principle and cause of motion and rest to those things’.</w:t>
      </w:r>
      <w:r w:rsidRPr="004436CF">
        <w:rPr>
          <w:rStyle w:val="Refdenotaderodap"/>
          <w:rFonts w:ascii="Garamond" w:hAnsi="Garamond"/>
          <w:sz w:val="21"/>
          <w:szCs w:val="21"/>
        </w:rPr>
        <w:footnoteReference w:id="25"/>
      </w:r>
      <w:r w:rsidRPr="004436CF">
        <w:rPr>
          <w:rFonts w:ascii="Garamond" w:hAnsi="Garamond"/>
          <w:sz w:val="21"/>
          <w:szCs w:val="21"/>
        </w:rPr>
        <w:t xml:space="preserve"> These things are all those composed of the four constitutive elements of the universe – earth, water, air, fire –, amongst which are the human beings.</w:t>
      </w:r>
      <w:r w:rsidRPr="004436CF">
        <w:rPr>
          <w:rStyle w:val="Refdenotaderodap"/>
          <w:rFonts w:ascii="Garamond" w:hAnsi="Garamond"/>
          <w:sz w:val="21"/>
          <w:szCs w:val="21"/>
        </w:rPr>
        <w:footnoteReference w:id="26"/>
      </w:r>
      <w:r w:rsidRPr="004436CF">
        <w:rPr>
          <w:rFonts w:ascii="Garamond" w:hAnsi="Garamond"/>
          <w:sz w:val="21"/>
          <w:szCs w:val="21"/>
        </w:rPr>
        <w:t xml:space="preserve"> According to their composition ‘things’ have a ‘proper place’ (determined by their ‘nature’), being intimately moved by it, as Aristotle asserts: ‘the trends of the physical elements (fire, earth, and the rest) show not only that locality or position is a reality but also that it exerts an active influence’.</w:t>
      </w:r>
      <w:r w:rsidRPr="004436CF">
        <w:rPr>
          <w:rStyle w:val="Refdenotaderodap"/>
          <w:rFonts w:ascii="Garamond" w:hAnsi="Garamond"/>
          <w:sz w:val="21"/>
          <w:szCs w:val="21"/>
        </w:rPr>
        <w:footnoteReference w:id="27"/>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In this framework, both the notions of ‘purpose’ and of ‘active influence’ gain consistency when placed within the above mentioned ‘crafts analogy’, even if ‘[</w:t>
      </w:r>
      <w:proofErr w:type="spellStart"/>
      <w:r w:rsidRPr="004436CF">
        <w:rPr>
          <w:rFonts w:ascii="Garamond" w:hAnsi="Garamond"/>
          <w:sz w:val="21"/>
          <w:szCs w:val="21"/>
        </w:rPr>
        <w:t>i</w:t>
      </w:r>
      <w:proofErr w:type="spellEnd"/>
      <w:r w:rsidRPr="004436CF">
        <w:rPr>
          <w:rFonts w:ascii="Garamond" w:hAnsi="Garamond"/>
          <w:sz w:val="21"/>
          <w:szCs w:val="21"/>
        </w:rPr>
        <w:t>]n nature’, as Sedley points out, ‘the four causes are much trickier to disentangle from each other’.</w:t>
      </w:r>
      <w:r w:rsidRPr="004436CF">
        <w:rPr>
          <w:rStyle w:val="Refdenotaderodap"/>
          <w:rFonts w:ascii="Garamond" w:hAnsi="Garamond"/>
          <w:sz w:val="21"/>
          <w:szCs w:val="21"/>
        </w:rPr>
        <w:footnoteReference w:id="28"/>
      </w:r>
      <w:r w:rsidRPr="004436CF">
        <w:rPr>
          <w:rFonts w:ascii="Garamond" w:hAnsi="Garamond"/>
          <w:sz w:val="21"/>
          <w:szCs w:val="21"/>
        </w:rPr>
        <w:t xml:space="preserve"> A heavenly body, ‘governed by a distinct intelligence’, admits no ‘possible threat to its single-minded progression (…) for potential obstacles are impossible up there’.</w:t>
      </w:r>
      <w:r w:rsidRPr="004436CF">
        <w:rPr>
          <w:rStyle w:val="Refdenotaderodap"/>
          <w:rFonts w:ascii="Garamond" w:hAnsi="Garamond"/>
          <w:sz w:val="21"/>
          <w:szCs w:val="21"/>
        </w:rPr>
        <w:footnoteReference w:id="29"/>
      </w:r>
      <w:r w:rsidRPr="004436CF">
        <w:rPr>
          <w:rFonts w:ascii="Garamond" w:hAnsi="Garamond"/>
          <w:sz w:val="21"/>
          <w:szCs w:val="21"/>
        </w:rPr>
        <w:t xml:space="preserve"> Differently, events on Earth ‘unfold in an environment of potential obstacles’, and so the achievement of a certain purpose may come about through different ways.</w:t>
      </w:r>
      <w:r w:rsidRPr="004436CF">
        <w:rPr>
          <w:rStyle w:val="Refdenotaderodap"/>
          <w:rFonts w:ascii="Garamond" w:hAnsi="Garamond"/>
          <w:sz w:val="21"/>
          <w:szCs w:val="21"/>
        </w:rPr>
        <w:footnoteReference w:id="30"/>
      </w:r>
      <w:r w:rsidRPr="004436CF">
        <w:rPr>
          <w:rFonts w:ascii="Garamond" w:hAnsi="Garamond"/>
          <w:sz w:val="21"/>
          <w:szCs w:val="21"/>
        </w:rPr>
        <w:t xml:space="preserve"> Human beings and correlated ‘sublunary events’ are thus subject to a certain indeterminacy.</w:t>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 xml:space="preserve">Taking into account both the role of the ‘craftsman’s soul’, and that the soul is the ‘body’s form and essence’, driven by the notion of its ‘proper place’, then the individual’s soul may act as the ‘internal moving cause’ </w:t>
      </w:r>
      <w:r w:rsidRPr="004436CF">
        <w:rPr>
          <w:rFonts w:ascii="Garamond" w:hAnsi="Garamond"/>
          <w:sz w:val="21"/>
          <w:szCs w:val="21"/>
        </w:rPr>
        <w:lastRenderedPageBreak/>
        <w:t>towards ‘the end or purpose, for the sake of which the process is initiated’.</w:t>
      </w:r>
      <w:r w:rsidRPr="004436CF">
        <w:rPr>
          <w:rStyle w:val="Refdenotaderodap"/>
          <w:rFonts w:ascii="Garamond" w:hAnsi="Garamond"/>
          <w:sz w:val="21"/>
          <w:szCs w:val="21"/>
        </w:rPr>
        <w:footnoteReference w:id="31"/>
      </w:r>
      <w:r w:rsidRPr="004436CF">
        <w:rPr>
          <w:rFonts w:ascii="Garamond" w:hAnsi="Garamond"/>
          <w:sz w:val="21"/>
          <w:szCs w:val="21"/>
        </w:rPr>
        <w:t xml:space="preserve"> Man, as performing accordingly to his soul, would have therefore a chief role in his fate.</w:t>
      </w:r>
    </w:p>
    <w:p w:rsidR="00AB41D3" w:rsidRPr="004436CF" w:rsidRDefault="00AB41D3" w:rsidP="00AA2470">
      <w:pPr>
        <w:spacing w:after="120"/>
        <w:contextualSpacing/>
        <w:jc w:val="both"/>
        <w:rPr>
          <w:rFonts w:ascii="Garamond" w:hAnsi="Garamond"/>
          <w:sz w:val="21"/>
          <w:szCs w:val="21"/>
        </w:rPr>
      </w:pP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The</w:t>
      </w:r>
      <w:r w:rsidRPr="004436CF">
        <w:rPr>
          <w:rFonts w:ascii="Garamond" w:hAnsi="Garamond"/>
          <w:b/>
          <w:bCs/>
          <w:sz w:val="21"/>
          <w:szCs w:val="21"/>
        </w:rPr>
        <w:t xml:space="preserve"> Stoics’ </w:t>
      </w:r>
      <w:r w:rsidRPr="004436CF">
        <w:rPr>
          <w:rFonts w:ascii="Garamond" w:hAnsi="Garamond"/>
          <w:sz w:val="21"/>
          <w:szCs w:val="21"/>
        </w:rPr>
        <w:t xml:space="preserve">world is </w:t>
      </w:r>
      <w:proofErr w:type="spellStart"/>
      <w:r w:rsidRPr="004436CF">
        <w:rPr>
          <w:rFonts w:ascii="Garamond" w:hAnsi="Garamond"/>
          <w:sz w:val="21"/>
          <w:szCs w:val="21"/>
        </w:rPr>
        <w:t>effectivelly</w:t>
      </w:r>
      <w:proofErr w:type="spellEnd"/>
      <w:r w:rsidRPr="004436CF">
        <w:rPr>
          <w:rFonts w:ascii="Garamond" w:hAnsi="Garamond"/>
          <w:sz w:val="21"/>
          <w:szCs w:val="21"/>
        </w:rPr>
        <w:t xml:space="preserve"> immanent and holds no physical place for the transcendent. Like Aristotle, the Stoics endorse a monist cosmology that does not accommodate reincarnation. For them, ‘[f]ate is defined as an endless chain of causation, whereby things are, or as the reason or formula by which the world goes on’, i.e. the world’s mechanics are essentially explained by a causal relationship.</w:t>
      </w:r>
      <w:r w:rsidRPr="004436CF">
        <w:rPr>
          <w:rStyle w:val="Refdenotaderodap"/>
          <w:rFonts w:ascii="Garamond" w:hAnsi="Garamond"/>
          <w:sz w:val="21"/>
          <w:szCs w:val="21"/>
        </w:rPr>
        <w:footnoteReference w:id="32"/>
      </w:r>
      <w:r w:rsidRPr="004436CF">
        <w:rPr>
          <w:rFonts w:ascii="Garamond" w:hAnsi="Garamond"/>
          <w:sz w:val="21"/>
          <w:szCs w:val="21"/>
        </w:rPr>
        <w:t xml:space="preserve"> Susanne </w:t>
      </w:r>
      <w:proofErr w:type="spellStart"/>
      <w:r w:rsidRPr="004436CF">
        <w:rPr>
          <w:rFonts w:ascii="Garamond" w:hAnsi="Garamond"/>
          <w:sz w:val="21"/>
          <w:szCs w:val="21"/>
        </w:rPr>
        <w:t>Bobzien</w:t>
      </w:r>
      <w:proofErr w:type="spellEnd"/>
      <w:r w:rsidRPr="004436CF">
        <w:rPr>
          <w:rFonts w:ascii="Garamond" w:hAnsi="Garamond"/>
          <w:sz w:val="21"/>
          <w:szCs w:val="21"/>
        </w:rPr>
        <w:t xml:space="preserve"> defines it this way:</w:t>
      </w:r>
    </w:p>
    <w:p w:rsidR="00AB41D3" w:rsidRPr="004436CF" w:rsidRDefault="00AB41D3" w:rsidP="00AA2470">
      <w:pPr>
        <w:spacing w:after="120"/>
        <w:ind w:left="397"/>
        <w:contextualSpacing/>
        <w:jc w:val="both"/>
        <w:rPr>
          <w:rFonts w:ascii="Garamond" w:hAnsi="Garamond"/>
          <w:sz w:val="21"/>
          <w:szCs w:val="21"/>
        </w:rPr>
      </w:pPr>
      <w:r w:rsidRPr="004436CF">
        <w:rPr>
          <w:rFonts w:ascii="Garamond" w:hAnsi="Garamond"/>
          <w:sz w:val="21"/>
          <w:szCs w:val="21"/>
        </w:rPr>
        <w:t>When the interaction between bodies is described as causation, it is described as the relation between one or more bodies [thus, corporeal] as causes and the incorporeal effect as obtaining at another body.</w:t>
      </w:r>
      <w:r w:rsidRPr="004436CF">
        <w:rPr>
          <w:rStyle w:val="Refdenotaderodap"/>
          <w:rFonts w:ascii="Garamond" w:hAnsi="Garamond"/>
          <w:sz w:val="21"/>
          <w:szCs w:val="21"/>
        </w:rPr>
        <w:footnoteReference w:id="33"/>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With regard to the framing of the human beings in this causal system, to which they (like everything in the physical world) are submitted, a special participation occurs. As one of the two parts ‘concerned with causation’, the soul is the entity that allows and sustains it, as I will briefly try to explain below.</w:t>
      </w:r>
      <w:r w:rsidRPr="004436CF">
        <w:rPr>
          <w:rStyle w:val="Refdenotaderodap"/>
          <w:rFonts w:ascii="Garamond" w:hAnsi="Garamond"/>
          <w:sz w:val="21"/>
          <w:szCs w:val="21"/>
        </w:rPr>
        <w:t xml:space="preserve"> </w:t>
      </w:r>
      <w:r w:rsidRPr="004436CF">
        <w:rPr>
          <w:rStyle w:val="Refdenotaderodap"/>
          <w:rFonts w:ascii="Garamond" w:hAnsi="Garamond"/>
          <w:sz w:val="21"/>
          <w:szCs w:val="21"/>
        </w:rPr>
        <w:footnoteReference w:id="34"/>
      </w:r>
      <w:r w:rsidRPr="004436CF">
        <w:rPr>
          <w:rFonts w:ascii="Garamond" w:hAnsi="Garamond"/>
          <w:sz w:val="21"/>
          <w:szCs w:val="21"/>
        </w:rPr>
        <w:t xml:space="preserve">  Yet, beforehand, the way the Stoics’ cosmology envisages the soul needs to be referred. Conceptualised as a set of eight parts, it is ‘a warm breath’ that animates and enables movement, and thus an exclusive attribute of both the animals (either rational or irrational) and the world.</w:t>
      </w:r>
      <w:r w:rsidRPr="004436CF">
        <w:rPr>
          <w:rStyle w:val="Refdenotaderodap"/>
          <w:rFonts w:ascii="Garamond" w:hAnsi="Garamond"/>
          <w:sz w:val="21"/>
          <w:szCs w:val="21"/>
        </w:rPr>
        <w:footnoteReference w:id="35"/>
      </w:r>
      <w:r w:rsidRPr="004436CF">
        <w:rPr>
          <w:rFonts w:ascii="Garamond" w:hAnsi="Garamond"/>
          <w:sz w:val="21"/>
          <w:szCs w:val="21"/>
        </w:rPr>
        <w:t xml:space="preserve"> However, only living beings of the ‘highest order’ - the human beings and the world – share that unique eighth part which is ‘that of reasoning’.</w:t>
      </w:r>
      <w:r w:rsidRPr="004436CF">
        <w:rPr>
          <w:rStyle w:val="Refdenotaderodap"/>
          <w:rFonts w:ascii="Garamond" w:hAnsi="Garamond"/>
          <w:sz w:val="21"/>
          <w:szCs w:val="21"/>
        </w:rPr>
        <w:footnoteReference w:id="36"/>
      </w:r>
      <w:r w:rsidRPr="004436CF">
        <w:rPr>
          <w:rFonts w:ascii="Garamond" w:hAnsi="Garamond"/>
          <w:sz w:val="21"/>
          <w:szCs w:val="21"/>
        </w:rPr>
        <w:t xml:space="preserve"> It is then through ‘reason’ that man gets to say something within the chain of causation that determines his fate, as I understand it from Josiah Gould’s discussion on the stoic conception of fate.</w:t>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 xml:space="preserve">The </w:t>
      </w:r>
      <w:proofErr w:type="spellStart"/>
      <w:r w:rsidRPr="004436CF">
        <w:rPr>
          <w:rFonts w:ascii="Garamond" w:hAnsi="Garamond"/>
          <w:sz w:val="21"/>
          <w:szCs w:val="21"/>
        </w:rPr>
        <w:t>Chrysippus</w:t>
      </w:r>
      <w:proofErr w:type="spellEnd"/>
      <w:r w:rsidRPr="004436CF">
        <w:rPr>
          <w:rFonts w:ascii="Garamond" w:hAnsi="Garamond"/>
          <w:sz w:val="21"/>
          <w:szCs w:val="21"/>
        </w:rPr>
        <w:t>’ quote, below, is Gould’s major starting point to illustrate the determinism involved in the proposition ‘</w:t>
      </w:r>
      <w:r w:rsidRPr="004436CF">
        <w:rPr>
          <w:rFonts w:ascii="Garamond" w:hAnsi="Garamond"/>
          <w:i/>
          <w:iCs/>
          <w:sz w:val="21"/>
          <w:szCs w:val="21"/>
        </w:rPr>
        <w:t>cannot happen otherwise than</w:t>
      </w:r>
      <w:r w:rsidRPr="004436CF">
        <w:rPr>
          <w:rFonts w:ascii="Garamond" w:hAnsi="Garamond"/>
          <w:sz w:val="21"/>
          <w:szCs w:val="21"/>
        </w:rPr>
        <w:t>…’</w:t>
      </w:r>
    </w:p>
    <w:p w:rsidR="00AB41D3" w:rsidRPr="004436CF" w:rsidRDefault="00AB41D3" w:rsidP="00AA2470">
      <w:pPr>
        <w:spacing w:after="120"/>
        <w:ind w:left="397"/>
        <w:contextualSpacing/>
        <w:jc w:val="both"/>
        <w:rPr>
          <w:rFonts w:ascii="Garamond" w:hAnsi="Garamond"/>
          <w:sz w:val="21"/>
          <w:szCs w:val="21"/>
        </w:rPr>
      </w:pPr>
      <w:r w:rsidRPr="004436CF">
        <w:rPr>
          <w:rFonts w:ascii="Garamond" w:hAnsi="Garamond"/>
          <w:sz w:val="21"/>
          <w:szCs w:val="21"/>
        </w:rPr>
        <w:t xml:space="preserve">No individual, not even the least of them, can come to be otherwise than in accordance with common nature and in accordance with the </w:t>
      </w:r>
      <w:r w:rsidRPr="004436CF">
        <w:rPr>
          <w:rFonts w:ascii="Garamond" w:hAnsi="Garamond"/>
          <w:i/>
          <w:iCs/>
          <w:sz w:val="21"/>
          <w:szCs w:val="21"/>
        </w:rPr>
        <w:t>logos</w:t>
      </w:r>
      <w:r w:rsidRPr="004436CF">
        <w:rPr>
          <w:rFonts w:ascii="Garamond" w:hAnsi="Garamond"/>
          <w:sz w:val="21"/>
          <w:szCs w:val="21"/>
        </w:rPr>
        <w:t xml:space="preserve"> of common nature.</w:t>
      </w:r>
      <w:r w:rsidRPr="004436CF">
        <w:rPr>
          <w:rStyle w:val="Refdenotaderodap"/>
          <w:rFonts w:ascii="Garamond" w:hAnsi="Garamond"/>
          <w:sz w:val="21"/>
          <w:szCs w:val="21"/>
        </w:rPr>
        <w:footnoteReference w:id="37"/>
      </w:r>
    </w:p>
    <w:p w:rsidR="00AB41D3" w:rsidRPr="004436CF" w:rsidRDefault="00AB41D3" w:rsidP="00AA2470">
      <w:pPr>
        <w:spacing w:after="120"/>
        <w:contextualSpacing/>
        <w:jc w:val="both"/>
        <w:rPr>
          <w:rFonts w:ascii="Garamond" w:hAnsi="Garamond"/>
          <w:sz w:val="21"/>
          <w:szCs w:val="21"/>
        </w:rPr>
      </w:pPr>
      <w:r w:rsidRPr="004436CF">
        <w:rPr>
          <w:rFonts w:ascii="Garamond" w:hAnsi="Garamond"/>
          <w:sz w:val="21"/>
          <w:szCs w:val="21"/>
        </w:rPr>
        <w:t>It allows him to bring forth that determinism did not prevented Stoics from ‘assuming that responsible decision-making is itself an element in the deterministic system of fate’ and ‘that some things are “in our power”’ as the result of ‘effective choices after deliberating’.</w:t>
      </w:r>
      <w:r w:rsidRPr="004436CF">
        <w:rPr>
          <w:rStyle w:val="Refdenotaderodap"/>
          <w:rFonts w:ascii="Garamond" w:hAnsi="Garamond"/>
          <w:sz w:val="21"/>
          <w:szCs w:val="21"/>
        </w:rPr>
        <w:footnoteReference w:id="38"/>
      </w:r>
      <w:r w:rsidRPr="004436CF">
        <w:rPr>
          <w:rFonts w:ascii="Garamond" w:hAnsi="Garamond"/>
          <w:sz w:val="21"/>
          <w:szCs w:val="21"/>
        </w:rPr>
        <w:t xml:space="preserve"> Despite the apparent contradiction, which the author widely debates, I want to keep hold of both the idea of being free or unimpeded to deliberate contained in the ‘</w:t>
      </w:r>
      <w:r w:rsidRPr="004436CF">
        <w:rPr>
          <w:rFonts w:ascii="Garamond" w:hAnsi="Garamond"/>
          <w:i/>
          <w:iCs/>
          <w:sz w:val="21"/>
          <w:szCs w:val="21"/>
        </w:rPr>
        <w:t>logos’</w:t>
      </w:r>
      <w:r w:rsidRPr="004436CF">
        <w:rPr>
          <w:rFonts w:ascii="Garamond" w:hAnsi="Garamond"/>
          <w:sz w:val="21"/>
          <w:szCs w:val="21"/>
        </w:rPr>
        <w:t>, and that fate is a causal chain that works down all the various parts of nature, one of which is ‘the impulses of animals’ (human beings included).</w:t>
      </w:r>
      <w:r w:rsidRPr="004436CF">
        <w:rPr>
          <w:rStyle w:val="Refdenotaderodap"/>
          <w:rFonts w:ascii="Garamond" w:hAnsi="Garamond"/>
          <w:sz w:val="21"/>
          <w:szCs w:val="21"/>
        </w:rPr>
        <w:footnoteReference w:id="39"/>
      </w:r>
    </w:p>
    <w:p w:rsidR="00AB41D3" w:rsidRDefault="00AB41D3" w:rsidP="00AA2470">
      <w:pPr>
        <w:spacing w:after="120"/>
        <w:contextualSpacing/>
        <w:jc w:val="both"/>
        <w:rPr>
          <w:rFonts w:ascii="Garamond" w:hAnsi="Garamond"/>
          <w:sz w:val="21"/>
          <w:szCs w:val="21"/>
        </w:rPr>
      </w:pPr>
      <w:r w:rsidRPr="004436CF">
        <w:rPr>
          <w:rFonts w:ascii="Garamond" w:hAnsi="Garamond"/>
          <w:sz w:val="21"/>
          <w:szCs w:val="21"/>
        </w:rPr>
        <w:t>Operating through reason (</w:t>
      </w:r>
      <w:r w:rsidRPr="004436CF">
        <w:rPr>
          <w:rFonts w:ascii="Garamond" w:hAnsi="Garamond"/>
          <w:i/>
          <w:iCs/>
          <w:sz w:val="21"/>
          <w:szCs w:val="21"/>
        </w:rPr>
        <w:t>logos</w:t>
      </w:r>
      <w:r w:rsidRPr="004436CF">
        <w:rPr>
          <w:rFonts w:ascii="Garamond" w:hAnsi="Garamond"/>
          <w:sz w:val="21"/>
          <w:szCs w:val="21"/>
        </w:rPr>
        <w:t>), human agency is thus expectedly subjected to ‘virtue’ – ‘the perfection of anything in general’ – being both informed and conditioned by it as ‘that what is good and what is best provide the starting points for his deliberation’.</w:t>
      </w:r>
      <w:r w:rsidRPr="004436CF">
        <w:rPr>
          <w:rStyle w:val="Refdenotaderodap"/>
          <w:rFonts w:ascii="Garamond" w:hAnsi="Garamond"/>
          <w:sz w:val="21"/>
          <w:szCs w:val="21"/>
        </w:rPr>
        <w:footnoteReference w:id="40"/>
      </w:r>
      <w:r w:rsidRPr="004436CF">
        <w:rPr>
          <w:rFonts w:ascii="Garamond" w:hAnsi="Garamond"/>
          <w:sz w:val="21"/>
          <w:szCs w:val="21"/>
        </w:rPr>
        <w:t xml:space="preserve"> Per his ability to judge good and act accordingly, the individual is jointly responsible for the correct functioning of the world. Virtue is key and ‘can be taught’, allowing human beings to progress – ‘bad men becoming good’ – and thus to interfere and change their fate, even if only among the things of the world that admit his participation.</w:t>
      </w:r>
      <w:r w:rsidRPr="004436CF">
        <w:rPr>
          <w:rStyle w:val="Refdenotaderodap"/>
          <w:rFonts w:ascii="Garamond" w:hAnsi="Garamond"/>
          <w:sz w:val="21"/>
          <w:szCs w:val="21"/>
        </w:rPr>
        <w:footnoteReference w:id="41"/>
      </w:r>
      <w:r w:rsidRPr="004436CF">
        <w:rPr>
          <w:rFonts w:ascii="Garamond" w:hAnsi="Garamond"/>
          <w:sz w:val="21"/>
          <w:szCs w:val="21"/>
        </w:rPr>
        <w:t xml:space="preserve"> In any case, this partaking always exists because ultimately the individual can accept or fight his fate, i.e. willingly accepting and moving along with his fate, or resist it and ‘be dragged’, as when a parallel is made to ‘the chariot with the dog tied on behind’.</w:t>
      </w:r>
      <w:r w:rsidRPr="004436CF">
        <w:rPr>
          <w:rStyle w:val="Refdenotaderodap"/>
          <w:rFonts w:ascii="Garamond" w:hAnsi="Garamond"/>
          <w:sz w:val="21"/>
          <w:szCs w:val="21"/>
        </w:rPr>
        <w:footnoteReference w:id="42"/>
      </w:r>
      <w:r w:rsidRPr="004436CF">
        <w:rPr>
          <w:rFonts w:ascii="Garamond" w:hAnsi="Garamond"/>
          <w:sz w:val="21"/>
          <w:szCs w:val="21"/>
        </w:rPr>
        <w:t xml:space="preserve"> ‘Nothing can oppose fate’, but through ‘</w:t>
      </w:r>
      <w:r w:rsidRPr="004436CF">
        <w:rPr>
          <w:rFonts w:ascii="Garamond" w:hAnsi="Garamond"/>
          <w:i/>
          <w:iCs/>
          <w:sz w:val="21"/>
          <w:szCs w:val="21"/>
        </w:rPr>
        <w:t>logos’</w:t>
      </w:r>
      <w:r w:rsidRPr="004436CF">
        <w:rPr>
          <w:rFonts w:ascii="Garamond" w:hAnsi="Garamond"/>
          <w:sz w:val="21"/>
          <w:szCs w:val="21"/>
        </w:rPr>
        <w:t xml:space="preserve"> man is ‘unimpeded’ to be more or less at peace with himself.</w:t>
      </w:r>
      <w:r w:rsidRPr="004436CF">
        <w:rPr>
          <w:rStyle w:val="Refdenotaderodap"/>
          <w:rFonts w:ascii="Garamond" w:hAnsi="Garamond"/>
          <w:sz w:val="21"/>
          <w:szCs w:val="21"/>
        </w:rPr>
        <w:footnoteReference w:id="43"/>
      </w:r>
    </w:p>
    <w:p w:rsidR="00AB41D3" w:rsidRPr="004436CF" w:rsidRDefault="00AB41D3" w:rsidP="00AA2470">
      <w:pPr>
        <w:spacing w:after="120"/>
        <w:contextualSpacing/>
        <w:jc w:val="both"/>
        <w:rPr>
          <w:rFonts w:ascii="Garamond" w:hAnsi="Garamond"/>
          <w:sz w:val="21"/>
          <w:szCs w:val="21"/>
        </w:rPr>
      </w:pPr>
    </w:p>
    <w:p w:rsidR="00AB41D3" w:rsidRPr="004436CF" w:rsidRDefault="00AB41D3" w:rsidP="00AA2470">
      <w:pPr>
        <w:spacing w:after="120"/>
        <w:contextualSpacing/>
        <w:jc w:val="both"/>
        <w:rPr>
          <w:rFonts w:ascii="Garamond" w:hAnsi="Garamond"/>
          <w:b/>
          <w:bCs/>
        </w:rPr>
      </w:pPr>
      <w:r w:rsidRPr="004436CF">
        <w:rPr>
          <w:rFonts w:ascii="Garamond" w:hAnsi="Garamond"/>
          <w:b/>
          <w:bCs/>
        </w:rPr>
        <w:t>The astrologers</w:t>
      </w:r>
    </w:p>
    <w:p w:rsidR="00AB41D3" w:rsidRPr="004436CF" w:rsidRDefault="00AB41D3" w:rsidP="00AA2470">
      <w:pPr>
        <w:spacing w:after="120"/>
        <w:contextualSpacing/>
        <w:jc w:val="both"/>
        <w:rPr>
          <w:rStyle w:val="fontstyle01"/>
          <w:rFonts w:ascii="Garamond" w:hAnsi="Garamond"/>
          <w:sz w:val="21"/>
          <w:szCs w:val="21"/>
        </w:rPr>
      </w:pPr>
      <w:r w:rsidRPr="004436CF">
        <w:rPr>
          <w:rStyle w:val="fontstyle21"/>
          <w:rFonts w:ascii="Garamond" w:hAnsi="Garamond"/>
          <w:sz w:val="21"/>
          <w:szCs w:val="21"/>
        </w:rPr>
        <w:t xml:space="preserve">André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and Maria </w:t>
      </w:r>
      <w:proofErr w:type="spellStart"/>
      <w:r w:rsidRPr="004436CF">
        <w:rPr>
          <w:rStyle w:val="fontstyle21"/>
          <w:rFonts w:ascii="Garamond" w:hAnsi="Garamond"/>
          <w:sz w:val="21"/>
          <w:szCs w:val="21"/>
        </w:rPr>
        <w:t>Flávia</w:t>
      </w:r>
      <w:proofErr w:type="spellEnd"/>
      <w:r w:rsidRPr="004436CF">
        <w:rPr>
          <w:rStyle w:val="fontstyle21"/>
          <w:rFonts w:ascii="Garamond" w:hAnsi="Garamond"/>
          <w:sz w:val="21"/>
          <w:szCs w:val="21"/>
        </w:rPr>
        <w:t xml:space="preserve"> de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are well-known astrologers in their respective countries, with a large practice experience within distinct branches of astrology,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mostly in mundane, and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in transpersonal astrology. Within the specificity of each practice, these astrologers position themselves differently towards fate, namely with regard to both the initial statement </w:t>
      </w:r>
      <w:bookmarkStart w:id="6" w:name="_Hlk46158778"/>
      <w:r w:rsidRPr="004436CF">
        <w:rPr>
          <w:rStyle w:val="fontstyle21"/>
          <w:rFonts w:ascii="Garamond" w:hAnsi="Garamond"/>
          <w:sz w:val="21"/>
          <w:szCs w:val="21"/>
        </w:rPr>
        <w:t>‘</w:t>
      </w:r>
      <w:r w:rsidRPr="004436CF">
        <w:rPr>
          <w:rStyle w:val="fontstyle01"/>
          <w:rFonts w:ascii="Garamond" w:hAnsi="Garamond"/>
          <w:sz w:val="21"/>
          <w:szCs w:val="21"/>
        </w:rPr>
        <w:t xml:space="preserve">The stars incline; they do not compel’, </w:t>
      </w:r>
      <w:bookmarkEnd w:id="6"/>
      <w:r w:rsidRPr="004436CF">
        <w:rPr>
          <w:rStyle w:val="fontstyle01"/>
          <w:rFonts w:ascii="Garamond" w:hAnsi="Garamond"/>
          <w:sz w:val="21"/>
          <w:szCs w:val="21"/>
        </w:rPr>
        <w:t>and how each one of them accommodates the Classic views of fate, synthesised above, within their own.</w:t>
      </w:r>
    </w:p>
    <w:p w:rsidR="00AB41D3" w:rsidRPr="004436CF" w:rsidRDefault="00AB41D3" w:rsidP="00AA2470">
      <w:pPr>
        <w:spacing w:after="120"/>
        <w:contextualSpacing/>
        <w:jc w:val="both"/>
        <w:rPr>
          <w:rFonts w:ascii="Garamond" w:hAnsi="Garamond"/>
          <w:sz w:val="21"/>
          <w:szCs w:val="21"/>
        </w:rPr>
      </w:pPr>
      <w:bookmarkStart w:id="7" w:name="_Hlk46515684"/>
      <w:r w:rsidRPr="004436CF">
        <w:rPr>
          <w:rFonts w:ascii="Garamond" w:hAnsi="Garamond"/>
          <w:b/>
          <w:bCs/>
          <w:sz w:val="21"/>
          <w:szCs w:val="21"/>
        </w:rPr>
        <w:lastRenderedPageBreak/>
        <w:t>BARBAULT</w:t>
      </w:r>
      <w:r w:rsidRPr="004436CF">
        <w:rPr>
          <w:rFonts w:ascii="Garamond" w:hAnsi="Garamond"/>
          <w:sz w:val="21"/>
          <w:szCs w:val="21"/>
        </w:rPr>
        <w:t xml:space="preserve">’s way of seeing the role of the stars and its ability to constrain human beings is essentially indebted to Aristotle. Despite the influence of Stoic determinism appearing to apply at some point, </w:t>
      </w:r>
      <w:proofErr w:type="spellStart"/>
      <w:r w:rsidRPr="004436CF">
        <w:rPr>
          <w:rFonts w:ascii="Garamond" w:hAnsi="Garamond"/>
          <w:sz w:val="21"/>
          <w:szCs w:val="21"/>
        </w:rPr>
        <w:t>Barbault</w:t>
      </w:r>
      <w:proofErr w:type="spellEnd"/>
      <w:r w:rsidRPr="004436CF">
        <w:rPr>
          <w:rFonts w:ascii="Garamond" w:hAnsi="Garamond"/>
          <w:sz w:val="21"/>
          <w:szCs w:val="21"/>
        </w:rPr>
        <w:t xml:space="preserve"> himself denies it.</w:t>
      </w:r>
    </w:p>
    <w:p w:rsidR="00AB41D3" w:rsidRPr="004436CF" w:rsidRDefault="00AB41D3" w:rsidP="00AA2470">
      <w:pPr>
        <w:spacing w:after="120"/>
        <w:contextualSpacing/>
        <w:jc w:val="both"/>
        <w:rPr>
          <w:rStyle w:val="fontstyle21"/>
          <w:rFonts w:ascii="Garamond" w:hAnsi="Garamond"/>
          <w:sz w:val="21"/>
          <w:szCs w:val="21"/>
        </w:rPr>
      </w:pPr>
      <w:r w:rsidRPr="004436CF">
        <w:rPr>
          <w:rFonts w:ascii="Garamond" w:hAnsi="Garamond"/>
          <w:sz w:val="21"/>
          <w:szCs w:val="21"/>
        </w:rPr>
        <w:t xml:space="preserve">Like Aristotle, </w:t>
      </w:r>
      <w:proofErr w:type="spellStart"/>
      <w:r w:rsidRPr="004436CF">
        <w:rPr>
          <w:rFonts w:ascii="Garamond" w:hAnsi="Garamond"/>
          <w:sz w:val="21"/>
          <w:szCs w:val="21"/>
        </w:rPr>
        <w:t>Barbault</w:t>
      </w:r>
      <w:proofErr w:type="spellEnd"/>
      <w:r w:rsidRPr="004436CF">
        <w:rPr>
          <w:rFonts w:ascii="Garamond" w:hAnsi="Garamond"/>
          <w:sz w:val="21"/>
          <w:szCs w:val="21"/>
        </w:rPr>
        <w:t xml:space="preserve"> removes transcendence from his world’s formulation, with </w:t>
      </w:r>
      <w:r w:rsidRPr="004436CF">
        <w:rPr>
          <w:rStyle w:val="fontstyle21"/>
          <w:rFonts w:ascii="Garamond" w:hAnsi="Garamond"/>
          <w:sz w:val="21"/>
          <w:szCs w:val="21"/>
        </w:rPr>
        <w:t xml:space="preserve">its ‘birth’ determined by a precise astronomical fact </w:t>
      </w:r>
      <w:r w:rsidRPr="004436CF">
        <w:rPr>
          <w:rFonts w:ascii="Garamond" w:hAnsi="Garamond"/>
          <w:sz w:val="21"/>
          <w:szCs w:val="21"/>
        </w:rPr>
        <w:t>‘the Great Year, the conjunction’, as it ‘</w:t>
      </w:r>
      <w:r w:rsidRPr="004436CF">
        <w:rPr>
          <w:rStyle w:val="fontstyle21"/>
          <w:rFonts w:ascii="Garamond" w:hAnsi="Garamond"/>
          <w:sz w:val="21"/>
          <w:szCs w:val="21"/>
        </w:rPr>
        <w:t>could only have occurred when all celestial bodies of the solar system were gathered’.</w:t>
      </w:r>
      <w:r w:rsidRPr="004436CF">
        <w:rPr>
          <w:rStyle w:val="Refdenotaderodap"/>
          <w:rFonts w:ascii="Garamond" w:hAnsi="Garamond"/>
          <w:sz w:val="21"/>
          <w:szCs w:val="21"/>
        </w:rPr>
        <w:footnoteReference w:id="44"/>
      </w:r>
      <w:r w:rsidRPr="004436CF">
        <w:rPr>
          <w:rStyle w:val="fontstyle21"/>
          <w:rFonts w:ascii="Garamond" w:hAnsi="Garamond"/>
          <w:sz w:val="21"/>
          <w:szCs w:val="21"/>
        </w:rPr>
        <w:t xml:space="preserve"> This pragmatic idea is central to </w:t>
      </w:r>
      <w:proofErr w:type="spellStart"/>
      <w:r w:rsidRPr="004436CF">
        <w:rPr>
          <w:rFonts w:ascii="Garamond" w:hAnsi="Garamond"/>
          <w:sz w:val="21"/>
          <w:szCs w:val="21"/>
        </w:rPr>
        <w:t>Barbault’s</w:t>
      </w:r>
      <w:proofErr w:type="spellEnd"/>
      <w:r w:rsidRPr="004436CF">
        <w:rPr>
          <w:rFonts w:ascii="Garamond" w:hAnsi="Garamond"/>
          <w:sz w:val="21"/>
          <w:szCs w:val="21"/>
        </w:rPr>
        <w:t xml:space="preserve"> </w:t>
      </w:r>
      <w:r w:rsidRPr="004436CF">
        <w:rPr>
          <w:rStyle w:val="fontstyle21"/>
          <w:rFonts w:ascii="Garamond" w:hAnsi="Garamond"/>
          <w:sz w:val="21"/>
          <w:szCs w:val="21"/>
        </w:rPr>
        <w:t>practice as he believes that planetary cycles are key-related to what happens on Earth. To him, ‘the universe refers man to his own image’ with Astrology being one of the primordial tools for inquiring the world, evolving as ‘a linguistic manifestation of this unity’, as a ‘code’ that is ultimately ‘a system coming from the human soul and addressing itself’,</w:t>
      </w:r>
      <w:r w:rsidRPr="004436CF">
        <w:rPr>
          <w:rStyle w:val="Refdenotaderodap"/>
          <w:rFonts w:ascii="Garamond" w:hAnsi="Garamond"/>
          <w:sz w:val="21"/>
          <w:szCs w:val="21"/>
        </w:rPr>
        <w:t xml:space="preserve"> </w:t>
      </w:r>
      <w:r w:rsidRPr="004436CF">
        <w:rPr>
          <w:rStyle w:val="fontstyle21"/>
          <w:rFonts w:ascii="Garamond" w:hAnsi="Garamond"/>
          <w:sz w:val="21"/>
          <w:szCs w:val="21"/>
        </w:rPr>
        <w:t>i.e. a non-conscious potential of awareness displayed by the stars and withhold in the horoscope.</w:t>
      </w:r>
      <w:r w:rsidRPr="004436CF">
        <w:rPr>
          <w:rStyle w:val="Refdenotaderodap"/>
          <w:rFonts w:ascii="Garamond" w:hAnsi="Garamond"/>
          <w:sz w:val="21"/>
          <w:szCs w:val="21"/>
        </w:rPr>
        <w:footnoteReference w:id="45"/>
      </w:r>
    </w:p>
    <w:p w:rsidR="00AB41D3" w:rsidRPr="004436CF" w:rsidRDefault="00AB41D3" w:rsidP="00AA2470">
      <w:pPr>
        <w:spacing w:after="120"/>
        <w:contextualSpacing/>
        <w:jc w:val="both"/>
        <w:rPr>
          <w:rStyle w:val="fontstyle21"/>
          <w:rFonts w:ascii="Garamond" w:hAnsi="Garamond"/>
          <w:sz w:val="21"/>
          <w:szCs w:val="21"/>
        </w:rPr>
      </w:pPr>
      <w:r w:rsidRPr="004436CF">
        <w:rPr>
          <w:rFonts w:ascii="Garamond" w:hAnsi="Garamond"/>
          <w:sz w:val="21"/>
          <w:szCs w:val="21"/>
        </w:rPr>
        <w:t xml:space="preserve">Seemingly sharing Aristotle’s understanding of diverse Nature(s), </w:t>
      </w:r>
      <w:proofErr w:type="spellStart"/>
      <w:r w:rsidRPr="004436CF">
        <w:rPr>
          <w:rFonts w:ascii="Garamond" w:hAnsi="Garamond"/>
          <w:sz w:val="21"/>
          <w:szCs w:val="21"/>
        </w:rPr>
        <w:t>Barbault</w:t>
      </w:r>
      <w:proofErr w:type="spellEnd"/>
      <w:r w:rsidRPr="004436CF">
        <w:rPr>
          <w:rFonts w:ascii="Garamond" w:hAnsi="Garamond"/>
          <w:sz w:val="21"/>
          <w:szCs w:val="21"/>
        </w:rPr>
        <w:t xml:space="preserve"> distinguishes between celestial and human natures assigning each one of them corresponding mechanics</w:t>
      </w:r>
      <w:r w:rsidRPr="004436CF">
        <w:rPr>
          <w:rStyle w:val="fontstyle21"/>
          <w:rFonts w:ascii="Garamond" w:hAnsi="Garamond"/>
          <w:sz w:val="21"/>
          <w:szCs w:val="21"/>
        </w:rPr>
        <w:t>. Although interrelated, the former works under the ‘wonderful precision’ of a clock hence admitting anticipation and prediction; the latter, dependent on the individual's psyche, is therefore unpredictable.</w:t>
      </w:r>
      <w:r w:rsidRPr="004436CF">
        <w:rPr>
          <w:rStyle w:val="Refdenotaderodap"/>
          <w:rFonts w:ascii="Garamond" w:hAnsi="Garamond"/>
          <w:sz w:val="21"/>
          <w:szCs w:val="21"/>
        </w:rPr>
        <w:footnoteReference w:id="46"/>
      </w:r>
      <w:r w:rsidRPr="004436CF">
        <w:rPr>
          <w:rStyle w:val="fontstyle21"/>
          <w:rFonts w:ascii="Garamond" w:hAnsi="Garamond"/>
          <w:sz w:val="21"/>
          <w:szCs w:val="21"/>
        </w:rPr>
        <w:t xml:space="preserve"> Involving distinct levels of complexity, the personal and world horoscopes encompass different degrees of certainty and so the individual’s and the World’s fate are diversely </w:t>
      </w:r>
      <w:r w:rsidRPr="004436CF">
        <w:rPr>
          <w:rStyle w:val="fontstyle21"/>
          <w:rFonts w:ascii="Garamond" w:hAnsi="Garamond"/>
          <w:i/>
          <w:iCs/>
          <w:sz w:val="21"/>
          <w:szCs w:val="21"/>
        </w:rPr>
        <w:t>dictated</w:t>
      </w:r>
      <w:r w:rsidRPr="004436CF">
        <w:rPr>
          <w:rStyle w:val="fontstyle21"/>
          <w:rFonts w:ascii="Garamond" w:hAnsi="Garamond"/>
          <w:sz w:val="21"/>
          <w:szCs w:val="21"/>
        </w:rPr>
        <w:t xml:space="preserve"> by the stars.</w:t>
      </w:r>
      <w:r w:rsidRPr="004436CF">
        <w:rPr>
          <w:rStyle w:val="Refdenotaderodap"/>
          <w:rFonts w:ascii="Garamond" w:hAnsi="Garamond"/>
          <w:sz w:val="21"/>
          <w:szCs w:val="21"/>
        </w:rPr>
        <w:footnoteReference w:id="47"/>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If under this framework, the astrologer might be set as the equivalent to the sculptor in the Aristotelian crafts analogy, </w:t>
      </w:r>
      <w:proofErr w:type="spellStart"/>
      <w:r w:rsidRPr="004436CF">
        <w:rPr>
          <w:rStyle w:val="fontstyle21"/>
          <w:rFonts w:ascii="Garamond" w:hAnsi="Garamond"/>
          <w:sz w:val="21"/>
          <w:szCs w:val="21"/>
        </w:rPr>
        <w:t>Barbault’s</w:t>
      </w:r>
      <w:proofErr w:type="spellEnd"/>
      <w:r w:rsidRPr="004436CF">
        <w:rPr>
          <w:rStyle w:val="fontstyle21"/>
          <w:rFonts w:ascii="Garamond" w:hAnsi="Garamond"/>
          <w:sz w:val="21"/>
          <w:szCs w:val="21"/>
        </w:rPr>
        <w:t xml:space="preserve"> theory fits interestingly. Both in personal and mundane astrology, the astrologer (i.e. </w:t>
      </w:r>
      <w:r w:rsidRPr="004436CF">
        <w:rPr>
          <w:rStyle w:val="fontstyle21"/>
          <w:rFonts w:ascii="Garamond" w:hAnsi="Garamond"/>
          <w:i/>
          <w:iCs/>
          <w:sz w:val="21"/>
          <w:szCs w:val="21"/>
        </w:rPr>
        <w:t>his soul</w:t>
      </w:r>
      <w:r w:rsidRPr="004436CF">
        <w:rPr>
          <w:rStyle w:val="fontstyle21"/>
          <w:rFonts w:ascii="Garamond" w:hAnsi="Garamond"/>
          <w:sz w:val="21"/>
          <w:szCs w:val="21"/>
        </w:rPr>
        <w:t xml:space="preserve">) – the </w:t>
      </w:r>
      <w:r w:rsidRPr="004436CF">
        <w:rPr>
          <w:rStyle w:val="fontstyle21"/>
          <w:rFonts w:ascii="Garamond" w:hAnsi="Garamond"/>
          <w:i/>
          <w:iCs/>
          <w:sz w:val="21"/>
          <w:szCs w:val="21"/>
        </w:rPr>
        <w:t>efficient cause</w:t>
      </w:r>
      <w:r w:rsidRPr="004436CF">
        <w:rPr>
          <w:rStyle w:val="fontstyle21"/>
          <w:rFonts w:ascii="Garamond" w:hAnsi="Garamond"/>
          <w:sz w:val="21"/>
          <w:szCs w:val="21"/>
        </w:rPr>
        <w:t xml:space="preserve"> – is held responsible for the horoscope’s interpretation (i.e. </w:t>
      </w:r>
      <w:r w:rsidRPr="004436CF">
        <w:rPr>
          <w:rStyle w:val="fontstyle21"/>
          <w:rFonts w:ascii="Garamond" w:hAnsi="Garamond"/>
          <w:i/>
          <w:iCs/>
          <w:sz w:val="21"/>
          <w:szCs w:val="21"/>
        </w:rPr>
        <w:t>the projection of the ultimate purpose</w:t>
      </w:r>
      <w:r w:rsidRPr="004436CF">
        <w:rPr>
          <w:rStyle w:val="fontstyle21"/>
          <w:rFonts w:ascii="Garamond" w:hAnsi="Garamond"/>
          <w:sz w:val="21"/>
          <w:szCs w:val="21"/>
        </w:rPr>
        <w:t>), developing distinct roles within each one of them, with his principles/personality/knowledge interacting differently. Within the personal birth chart as ‘it is no longer astrology that comes into play, but the astrologer’, his private side becomes more relevant and thus, entering the intricacies of psychology, personal horoscopes are essentially guidance, holding ‘no inevitable future, but ‘the picture of our inner world and Its possible becoming’.</w:t>
      </w:r>
      <w:r w:rsidRPr="004436CF">
        <w:rPr>
          <w:rStyle w:val="Refdenotaderodap"/>
          <w:rFonts w:ascii="Garamond" w:hAnsi="Garamond"/>
          <w:sz w:val="21"/>
          <w:szCs w:val="21"/>
        </w:rPr>
        <w:footnoteReference w:id="48"/>
      </w:r>
      <w:r w:rsidRPr="004436CF">
        <w:rPr>
          <w:rStyle w:val="fontstyle21"/>
          <w:rFonts w:ascii="Garamond" w:hAnsi="Garamond"/>
          <w:sz w:val="21"/>
          <w:szCs w:val="21"/>
        </w:rPr>
        <w:t xml:space="preserve"> As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himself states: [t]he presumptuous and primitive fatalism of a decadent astrology born (…) of the stoics (…) has prescribed.’</w:t>
      </w:r>
      <w:r w:rsidRPr="004436CF">
        <w:rPr>
          <w:rStyle w:val="Refdenotaderodap"/>
          <w:rFonts w:ascii="Garamond" w:hAnsi="Garamond"/>
          <w:sz w:val="21"/>
          <w:szCs w:val="21"/>
        </w:rPr>
        <w:footnoteReference w:id="49"/>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A whole different matter is Mundane Astrology, which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sees of no use unless it is predictive, trusting that the </w:t>
      </w:r>
      <w:r w:rsidRPr="004436CF">
        <w:rPr>
          <w:rFonts w:ascii="Garamond" w:hAnsi="Garamond"/>
          <w:sz w:val="21"/>
          <w:szCs w:val="21"/>
        </w:rPr>
        <w:t>‘planetary cycles preside over the destiny of the world’.</w:t>
      </w:r>
      <w:r w:rsidRPr="004436CF">
        <w:rPr>
          <w:rStyle w:val="Refdenotaderodap"/>
          <w:rFonts w:ascii="Garamond" w:hAnsi="Garamond"/>
          <w:sz w:val="21"/>
          <w:szCs w:val="21"/>
        </w:rPr>
        <w:footnoteReference w:id="50"/>
      </w:r>
      <w:r w:rsidRPr="004436CF">
        <w:rPr>
          <w:rFonts w:ascii="Garamond" w:hAnsi="Garamond"/>
          <w:sz w:val="21"/>
          <w:szCs w:val="21"/>
        </w:rPr>
        <w:t xml:space="preserve"> The precision of those movements, encapsulated within a ‘Cyclic Index’, frame </w:t>
      </w:r>
      <w:r w:rsidRPr="004436CF">
        <w:rPr>
          <w:rStyle w:val="fontstyle21"/>
          <w:rFonts w:ascii="Garamond" w:hAnsi="Garamond"/>
          <w:sz w:val="21"/>
          <w:szCs w:val="21"/>
        </w:rPr>
        <w:t xml:space="preserve">his </w:t>
      </w:r>
      <w:r w:rsidRPr="004436CF">
        <w:rPr>
          <w:rFonts w:ascii="Garamond" w:hAnsi="Garamond"/>
          <w:sz w:val="21"/>
          <w:szCs w:val="21"/>
        </w:rPr>
        <w:t>astrological theory within a comparative approach that correlates past worldly events – therefore, History – with planets and their revolutions, ‘from whence our hold on the future is distilled’.</w:t>
      </w:r>
      <w:r w:rsidRPr="004436CF">
        <w:rPr>
          <w:rStyle w:val="Refdenotaderodap"/>
          <w:rFonts w:ascii="Garamond" w:hAnsi="Garamond"/>
          <w:sz w:val="21"/>
          <w:szCs w:val="21"/>
        </w:rPr>
        <w:footnoteReference w:id="51"/>
      </w:r>
      <w:r w:rsidRPr="004436CF">
        <w:rPr>
          <w:rFonts w:ascii="Garamond" w:hAnsi="Garamond"/>
          <w:sz w:val="21"/>
          <w:szCs w:val="21"/>
        </w:rPr>
        <w:t xml:space="preserve"> Because past/present/future are continuous and subjected to a linear evolution, correlations are possible; and because of it they withstand </w:t>
      </w:r>
      <w:r w:rsidRPr="004436CF">
        <w:rPr>
          <w:rStyle w:val="fontstyle01"/>
          <w:rFonts w:ascii="Garamond" w:hAnsi="Garamond"/>
          <w:sz w:val="21"/>
          <w:szCs w:val="21"/>
        </w:rPr>
        <w:t>‘repetition’ and ‘</w:t>
      </w:r>
      <w:r w:rsidRPr="004436CF">
        <w:rPr>
          <w:rFonts w:ascii="Garamond" w:hAnsi="Garamond"/>
          <w:sz w:val="21"/>
          <w:szCs w:val="21"/>
        </w:rPr>
        <w:t>the possibility of retesting’, allowing for deductive reasonings</w:t>
      </w:r>
      <w:r w:rsidRPr="004436CF">
        <w:rPr>
          <w:rStyle w:val="fontstyle21"/>
          <w:rFonts w:ascii="Garamond" w:hAnsi="Garamond"/>
          <w:sz w:val="21"/>
          <w:szCs w:val="21"/>
        </w:rPr>
        <w:t xml:space="preserve"> such as </w:t>
      </w:r>
      <w:r w:rsidRPr="004436CF">
        <w:rPr>
          <w:rStyle w:val="fontstyle01"/>
          <w:rFonts w:ascii="Garamond" w:hAnsi="Garamond"/>
          <w:sz w:val="21"/>
          <w:szCs w:val="21"/>
        </w:rPr>
        <w:t>‘Let A be the astral fact and B the social fact:…’.</w:t>
      </w:r>
      <w:r w:rsidRPr="004436CF">
        <w:rPr>
          <w:rStyle w:val="Refdenotaderodap"/>
          <w:rFonts w:ascii="Garamond" w:hAnsi="Garamond" w:cs="Helvetica"/>
          <w:sz w:val="21"/>
          <w:szCs w:val="21"/>
        </w:rPr>
        <w:footnoteReference w:id="52"/>
      </w:r>
      <w:r w:rsidRPr="004436CF">
        <w:rPr>
          <w:rStyle w:val="fontstyle01"/>
          <w:rFonts w:ascii="Garamond" w:hAnsi="Garamond"/>
          <w:sz w:val="21"/>
          <w:szCs w:val="21"/>
        </w:rPr>
        <w:t xml:space="preserve"> </w:t>
      </w:r>
      <w:r w:rsidRPr="004436CF">
        <w:rPr>
          <w:rStyle w:val="fontstyle21"/>
          <w:rFonts w:ascii="Garamond" w:hAnsi="Garamond"/>
          <w:sz w:val="21"/>
          <w:szCs w:val="21"/>
        </w:rPr>
        <w:t xml:space="preserve">Despite recalling Stoic syllogisms, those are removed from stoic determinism.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w:t>
      </w:r>
      <w:r w:rsidRPr="004436CF">
        <w:rPr>
          <w:rStyle w:val="fontstyle01"/>
          <w:rFonts w:ascii="Garamond" w:hAnsi="Garamond"/>
          <w:sz w:val="21"/>
          <w:szCs w:val="21"/>
        </w:rPr>
        <w:t>aims instead at ‘</w:t>
      </w:r>
      <w:r w:rsidRPr="004436CF">
        <w:rPr>
          <w:rStyle w:val="fontstyle21"/>
          <w:rFonts w:ascii="Garamond" w:hAnsi="Garamond"/>
          <w:sz w:val="21"/>
          <w:szCs w:val="21"/>
        </w:rPr>
        <w:t>broadening the notion of (…) natural determinism’, resembling his predictions to</w:t>
      </w:r>
      <w:r w:rsidRPr="004436CF">
        <w:rPr>
          <w:rStyle w:val="fontstyle01"/>
          <w:rFonts w:ascii="Garamond" w:hAnsi="Garamond"/>
          <w:sz w:val="21"/>
          <w:szCs w:val="21"/>
        </w:rPr>
        <w:t xml:space="preserve"> the seasons of the year: ‘[a]</w:t>
      </w:r>
      <w:proofErr w:type="spellStart"/>
      <w:r w:rsidRPr="004436CF">
        <w:rPr>
          <w:rStyle w:val="fontstyle01"/>
          <w:rFonts w:ascii="Garamond" w:hAnsi="Garamond"/>
          <w:sz w:val="21"/>
          <w:szCs w:val="21"/>
        </w:rPr>
        <w:t>ll</w:t>
      </w:r>
      <w:proofErr w:type="spellEnd"/>
      <w:r w:rsidRPr="004436CF">
        <w:rPr>
          <w:rStyle w:val="fontstyle01"/>
          <w:rFonts w:ascii="Garamond" w:hAnsi="Garamond"/>
          <w:sz w:val="21"/>
          <w:szCs w:val="21"/>
        </w:rPr>
        <w:t xml:space="preserve"> that the stars seem to do in this story is to contribute to </w:t>
      </w:r>
      <w:r w:rsidRPr="004436CF">
        <w:rPr>
          <w:rStyle w:val="fontstyle01"/>
          <w:rFonts w:ascii="Garamond" w:hAnsi="Garamond"/>
          <w:i/>
          <w:iCs/>
          <w:sz w:val="21"/>
          <w:szCs w:val="21"/>
        </w:rPr>
        <w:t>order in time</w:t>
      </w:r>
      <w:r w:rsidRPr="004436CF">
        <w:rPr>
          <w:rStyle w:val="fontstyle01"/>
          <w:rFonts w:ascii="Garamond" w:hAnsi="Garamond"/>
          <w:sz w:val="21"/>
          <w:szCs w:val="21"/>
        </w:rPr>
        <w:t xml:space="preserve"> the general manifestations of men’.</w:t>
      </w:r>
      <w:r w:rsidRPr="004436CF">
        <w:rPr>
          <w:rStyle w:val="Refdenotaderodap"/>
          <w:rFonts w:ascii="Garamond" w:hAnsi="Garamond" w:cs="Helvetica"/>
          <w:sz w:val="21"/>
          <w:szCs w:val="21"/>
        </w:rPr>
        <w:footnoteReference w:id="53"/>
      </w:r>
      <w:bookmarkEnd w:id="7"/>
    </w:p>
    <w:p w:rsidR="00AB41D3" w:rsidRPr="004436CF" w:rsidRDefault="00AB41D3" w:rsidP="00AA2470">
      <w:pPr>
        <w:spacing w:after="120"/>
        <w:contextualSpacing/>
        <w:jc w:val="both"/>
        <w:rPr>
          <w:rStyle w:val="fontstyle21"/>
          <w:rFonts w:ascii="Garamond" w:hAnsi="Garamond"/>
          <w:sz w:val="21"/>
          <w:szCs w:val="21"/>
        </w:rPr>
      </w:pP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b/>
          <w:bCs/>
          <w:sz w:val="21"/>
          <w:szCs w:val="21"/>
        </w:rPr>
        <w:t>MONSARAZ</w:t>
      </w:r>
      <w:r w:rsidRPr="004436CF">
        <w:rPr>
          <w:rStyle w:val="fontstyle21"/>
          <w:rFonts w:ascii="Garamond" w:hAnsi="Garamond"/>
          <w:sz w:val="21"/>
          <w:szCs w:val="21"/>
        </w:rPr>
        <w:t xml:space="preserve"> provides her own comment on the opening posit over an interview: ‘The </w:t>
      </w:r>
      <w:r w:rsidRPr="004436CF">
        <w:rPr>
          <w:rStyle w:val="fontstyle21"/>
          <w:rFonts w:ascii="Garamond" w:hAnsi="Garamond"/>
          <w:b/>
          <w:bCs/>
          <w:sz w:val="21"/>
          <w:szCs w:val="21"/>
        </w:rPr>
        <w:t>Stars</w:t>
      </w:r>
      <w:r w:rsidRPr="004436CF">
        <w:rPr>
          <w:rStyle w:val="fontstyle21"/>
          <w:rFonts w:ascii="Garamond" w:hAnsi="Garamond"/>
          <w:sz w:val="21"/>
          <w:szCs w:val="21"/>
        </w:rPr>
        <w:t xml:space="preserve"> give us the </w:t>
      </w:r>
      <w:r w:rsidRPr="004436CF">
        <w:rPr>
          <w:rStyle w:val="fontstyle21"/>
          <w:rFonts w:ascii="Garamond" w:hAnsi="Garamond"/>
          <w:b/>
          <w:bCs/>
          <w:sz w:val="21"/>
          <w:szCs w:val="21"/>
        </w:rPr>
        <w:t>Time</w:t>
      </w:r>
      <w:r w:rsidRPr="004436CF">
        <w:rPr>
          <w:rStyle w:val="fontstyle21"/>
          <w:rFonts w:ascii="Garamond" w:hAnsi="Garamond"/>
          <w:sz w:val="21"/>
          <w:szCs w:val="21"/>
        </w:rPr>
        <w:t xml:space="preserve"> of </w:t>
      </w:r>
      <w:r w:rsidRPr="004436CF">
        <w:rPr>
          <w:rStyle w:val="fontstyle21"/>
          <w:rFonts w:ascii="Garamond" w:hAnsi="Garamond"/>
          <w:b/>
          <w:bCs/>
          <w:sz w:val="21"/>
          <w:szCs w:val="21"/>
        </w:rPr>
        <w:t>situations</w:t>
      </w:r>
      <w:r w:rsidRPr="004436CF">
        <w:rPr>
          <w:rStyle w:val="fontstyle21"/>
          <w:rFonts w:ascii="Garamond" w:hAnsi="Garamond"/>
          <w:sz w:val="21"/>
          <w:szCs w:val="21"/>
        </w:rPr>
        <w:t xml:space="preserve">, /but they </w:t>
      </w:r>
      <w:r w:rsidRPr="004436CF">
        <w:rPr>
          <w:rStyle w:val="fontstyle21"/>
          <w:rFonts w:ascii="Garamond" w:hAnsi="Garamond"/>
          <w:b/>
          <w:bCs/>
          <w:sz w:val="21"/>
          <w:szCs w:val="21"/>
        </w:rPr>
        <w:t>do not force</w:t>
      </w:r>
      <w:r w:rsidRPr="004436CF">
        <w:rPr>
          <w:rStyle w:val="fontstyle21"/>
          <w:rFonts w:ascii="Garamond" w:hAnsi="Garamond"/>
          <w:sz w:val="21"/>
          <w:szCs w:val="21"/>
        </w:rPr>
        <w:t xml:space="preserve"> us to </w:t>
      </w:r>
      <w:r w:rsidRPr="004436CF">
        <w:rPr>
          <w:rStyle w:val="fontstyle21"/>
          <w:rFonts w:ascii="Garamond" w:hAnsi="Garamond"/>
          <w:b/>
          <w:bCs/>
          <w:sz w:val="21"/>
          <w:szCs w:val="21"/>
        </w:rPr>
        <w:t>resolve</w:t>
      </w:r>
      <w:r w:rsidRPr="004436CF">
        <w:rPr>
          <w:rStyle w:val="fontstyle21"/>
          <w:rFonts w:ascii="Garamond" w:hAnsi="Garamond"/>
          <w:sz w:val="21"/>
          <w:szCs w:val="21"/>
        </w:rPr>
        <w:t xml:space="preserve"> </w:t>
      </w:r>
      <w:r w:rsidRPr="004436CF">
        <w:rPr>
          <w:rStyle w:val="fontstyle21"/>
          <w:rFonts w:ascii="Garamond" w:hAnsi="Garamond"/>
          <w:b/>
          <w:bCs/>
          <w:sz w:val="21"/>
          <w:szCs w:val="21"/>
        </w:rPr>
        <w:t>them</w:t>
      </w:r>
      <w:r w:rsidRPr="004436CF">
        <w:rPr>
          <w:rStyle w:val="fontstyle21"/>
          <w:rFonts w:ascii="Garamond" w:hAnsi="Garamond"/>
          <w:sz w:val="21"/>
          <w:szCs w:val="21"/>
        </w:rPr>
        <w:t xml:space="preserve"> in their own way. /They </w:t>
      </w:r>
      <w:r w:rsidRPr="004436CF">
        <w:rPr>
          <w:rStyle w:val="fontstyle21"/>
          <w:rFonts w:ascii="Garamond" w:hAnsi="Garamond"/>
          <w:b/>
          <w:bCs/>
          <w:sz w:val="21"/>
          <w:szCs w:val="21"/>
        </w:rPr>
        <w:t>do not</w:t>
      </w:r>
      <w:r w:rsidRPr="004436CF">
        <w:rPr>
          <w:rStyle w:val="fontstyle21"/>
          <w:rFonts w:ascii="Garamond" w:hAnsi="Garamond"/>
          <w:sz w:val="21"/>
          <w:szCs w:val="21"/>
        </w:rPr>
        <w:t xml:space="preserve"> </w:t>
      </w:r>
      <w:r w:rsidRPr="004436CF">
        <w:rPr>
          <w:rStyle w:val="fontstyle21"/>
          <w:rFonts w:ascii="Garamond" w:hAnsi="Garamond"/>
          <w:b/>
          <w:bCs/>
          <w:sz w:val="21"/>
          <w:szCs w:val="21"/>
        </w:rPr>
        <w:t>interfere</w:t>
      </w:r>
      <w:r w:rsidRPr="004436CF">
        <w:rPr>
          <w:rStyle w:val="fontstyle21"/>
          <w:rFonts w:ascii="Garamond" w:hAnsi="Garamond"/>
          <w:sz w:val="21"/>
          <w:szCs w:val="21"/>
        </w:rPr>
        <w:t xml:space="preserve"> with our </w:t>
      </w:r>
      <w:r w:rsidRPr="004436CF">
        <w:rPr>
          <w:rStyle w:val="fontstyle21"/>
          <w:rFonts w:ascii="Garamond" w:hAnsi="Garamond"/>
          <w:b/>
          <w:bCs/>
          <w:sz w:val="21"/>
          <w:szCs w:val="21"/>
        </w:rPr>
        <w:t>free will’</w:t>
      </w:r>
      <w:r w:rsidRPr="004436CF">
        <w:rPr>
          <w:rStyle w:val="fontstyle21"/>
          <w:rFonts w:ascii="Garamond" w:hAnsi="Garamond"/>
          <w:sz w:val="21"/>
          <w:szCs w:val="21"/>
        </w:rPr>
        <w:t>.</w:t>
      </w:r>
      <w:r w:rsidRPr="004436CF">
        <w:rPr>
          <w:rStyle w:val="Refdenotaderodap"/>
          <w:rFonts w:ascii="Garamond" w:hAnsi="Garamond"/>
          <w:sz w:val="21"/>
          <w:szCs w:val="21"/>
        </w:rPr>
        <w:footnoteReference w:id="54"/>
      </w:r>
      <w:r w:rsidRPr="004436CF">
        <w:rPr>
          <w:rStyle w:val="fontstyle21"/>
          <w:rFonts w:ascii="Garamond" w:hAnsi="Garamond"/>
          <w:sz w:val="21"/>
          <w:szCs w:val="21"/>
        </w:rPr>
        <w:t xml:space="preserve"> Denying the stars’ constraining attribute over people’s free will, she withdraws the Stoic’s determinism from her view. However, at certain moments, paradoxical statements will bring it to mind. Still, </w:t>
      </w:r>
      <w:proofErr w:type="spellStart"/>
      <w:r w:rsidRPr="004436CF">
        <w:rPr>
          <w:rStyle w:val="fontstyle21"/>
          <w:rFonts w:ascii="Garamond" w:hAnsi="Garamond"/>
          <w:sz w:val="21"/>
          <w:szCs w:val="21"/>
        </w:rPr>
        <w:lastRenderedPageBreak/>
        <w:t>Monsaraz’s</w:t>
      </w:r>
      <w:proofErr w:type="spellEnd"/>
      <w:r w:rsidRPr="004436CF">
        <w:rPr>
          <w:rStyle w:val="fontstyle21"/>
          <w:rFonts w:ascii="Garamond" w:hAnsi="Garamond"/>
          <w:sz w:val="21"/>
          <w:szCs w:val="21"/>
        </w:rPr>
        <w:t xml:space="preserve"> cosmology, as I perceive it, is mainly and essentially indebted to Plato's, as she shares his belief in both the existence of the transcendent within the world and the central role of the soul’s reincarnation within each one’s destiny. Nonetheless, Aristotle is also a fundamental contributor as she seems to embed his notion of maximum potential contained in the </w:t>
      </w:r>
      <w:r w:rsidRPr="004436CF">
        <w:rPr>
          <w:rStyle w:val="fontstyle21"/>
          <w:rFonts w:ascii="Garamond" w:hAnsi="Garamond"/>
          <w:i/>
          <w:iCs/>
          <w:sz w:val="21"/>
          <w:szCs w:val="21"/>
        </w:rPr>
        <w:t>final cause</w:t>
      </w:r>
      <w:r w:rsidRPr="004436CF">
        <w:rPr>
          <w:rStyle w:val="fontstyle21"/>
          <w:rFonts w:ascii="Garamond" w:hAnsi="Garamond"/>
          <w:sz w:val="21"/>
          <w:szCs w:val="21"/>
        </w:rPr>
        <w:t>, as projected by the sculptor’s soul, in the personal birth chart.</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Like Plato,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believes in the ‘</w:t>
      </w:r>
      <w:r w:rsidRPr="004436CF">
        <w:rPr>
          <w:rStyle w:val="fontstyle21"/>
          <w:rFonts w:ascii="Garamond" w:hAnsi="Garamond"/>
          <w:b/>
          <w:bCs/>
          <w:sz w:val="21"/>
          <w:szCs w:val="21"/>
        </w:rPr>
        <w:t>Occult</w:t>
      </w:r>
      <w:r w:rsidRPr="004436CF">
        <w:rPr>
          <w:rStyle w:val="fontstyle21"/>
          <w:rFonts w:ascii="Garamond" w:hAnsi="Garamond"/>
          <w:sz w:val="21"/>
          <w:szCs w:val="21"/>
        </w:rPr>
        <w:t xml:space="preserve"> and </w:t>
      </w:r>
      <w:r w:rsidRPr="004436CF">
        <w:rPr>
          <w:rStyle w:val="fontstyle21"/>
          <w:rFonts w:ascii="Garamond" w:hAnsi="Garamond"/>
          <w:b/>
          <w:bCs/>
          <w:sz w:val="21"/>
          <w:szCs w:val="21"/>
        </w:rPr>
        <w:t>Transcendent</w:t>
      </w:r>
      <w:r w:rsidRPr="004436CF">
        <w:rPr>
          <w:rStyle w:val="fontstyle21"/>
          <w:rFonts w:ascii="Garamond" w:hAnsi="Garamond"/>
          <w:sz w:val="21"/>
          <w:szCs w:val="21"/>
        </w:rPr>
        <w:t xml:space="preserve"> </w:t>
      </w:r>
      <w:r w:rsidRPr="004436CF">
        <w:rPr>
          <w:rStyle w:val="fontstyle21"/>
          <w:rFonts w:ascii="Garamond" w:hAnsi="Garamond"/>
          <w:b/>
          <w:bCs/>
          <w:sz w:val="21"/>
          <w:szCs w:val="21"/>
        </w:rPr>
        <w:t>dimension’</w:t>
      </w:r>
      <w:r w:rsidRPr="004436CF">
        <w:rPr>
          <w:rStyle w:val="fontstyle21"/>
          <w:rFonts w:ascii="Garamond" w:hAnsi="Garamond"/>
          <w:sz w:val="21"/>
          <w:szCs w:val="21"/>
        </w:rPr>
        <w:t xml:space="preserve"> of the Universe, where the human soul represents the divine existing in each of us, a split-outcome from the partition of a previous Whole/One.</w:t>
      </w:r>
      <w:r w:rsidRPr="004436CF">
        <w:rPr>
          <w:rStyle w:val="Refdenotaderodap"/>
          <w:rFonts w:ascii="Garamond" w:hAnsi="Garamond"/>
          <w:sz w:val="21"/>
          <w:szCs w:val="21"/>
        </w:rPr>
        <w:footnoteReference w:id="55"/>
      </w:r>
      <w:r w:rsidRPr="004436CF">
        <w:rPr>
          <w:rStyle w:val="fontstyle21"/>
          <w:rFonts w:ascii="Garamond" w:hAnsi="Garamond"/>
          <w:sz w:val="21"/>
          <w:szCs w:val="21"/>
        </w:rPr>
        <w:t xml:space="preserve"> It is the soul’s ‘</w:t>
      </w:r>
      <w:r w:rsidRPr="004436CF">
        <w:rPr>
          <w:rStyle w:val="fontstyle21"/>
          <w:rFonts w:ascii="Garamond" w:hAnsi="Garamond"/>
          <w:b/>
          <w:bCs/>
          <w:sz w:val="21"/>
          <w:szCs w:val="21"/>
        </w:rPr>
        <w:t>memory</w:t>
      </w:r>
      <w:r w:rsidRPr="004436CF">
        <w:rPr>
          <w:rStyle w:val="fontstyle21"/>
          <w:rFonts w:ascii="Garamond" w:hAnsi="Garamond"/>
          <w:sz w:val="21"/>
          <w:szCs w:val="21"/>
        </w:rPr>
        <w:t xml:space="preserve"> of the lost </w:t>
      </w:r>
      <w:r w:rsidRPr="004436CF">
        <w:rPr>
          <w:rStyle w:val="fontstyle21"/>
          <w:rFonts w:ascii="Garamond" w:hAnsi="Garamond"/>
          <w:b/>
          <w:bCs/>
          <w:sz w:val="21"/>
          <w:szCs w:val="21"/>
        </w:rPr>
        <w:t xml:space="preserve">Unity’ </w:t>
      </w:r>
      <w:r w:rsidRPr="004436CF">
        <w:rPr>
          <w:rStyle w:val="fontstyle21"/>
          <w:rFonts w:ascii="Garamond" w:hAnsi="Garamond"/>
          <w:sz w:val="21"/>
          <w:szCs w:val="21"/>
        </w:rPr>
        <w:t xml:space="preserve">that triggers in us,  lifecycle after lifecycle, the will to undertake the path within ‘the </w:t>
      </w:r>
      <w:r w:rsidRPr="004436CF">
        <w:rPr>
          <w:rStyle w:val="fontstyle21"/>
          <w:rFonts w:ascii="Garamond" w:hAnsi="Garamond"/>
          <w:b/>
          <w:bCs/>
          <w:sz w:val="21"/>
          <w:szCs w:val="21"/>
        </w:rPr>
        <w:t>Great Cosmic Project</w:t>
      </w:r>
      <w:r w:rsidRPr="004436CF">
        <w:rPr>
          <w:rStyle w:val="fontstyle21"/>
          <w:rFonts w:ascii="Garamond" w:hAnsi="Garamond"/>
          <w:sz w:val="21"/>
          <w:szCs w:val="21"/>
        </w:rPr>
        <w:t xml:space="preserve"> of the </w:t>
      </w:r>
      <w:r w:rsidRPr="004436CF">
        <w:rPr>
          <w:rStyle w:val="fontstyle21"/>
          <w:rFonts w:ascii="Garamond" w:hAnsi="Garamond"/>
          <w:b/>
          <w:bCs/>
          <w:sz w:val="21"/>
          <w:szCs w:val="21"/>
        </w:rPr>
        <w:t>Union-of-the-Souls</w:t>
      </w:r>
      <w:r w:rsidRPr="004436CF">
        <w:rPr>
          <w:rStyle w:val="fontstyle21"/>
          <w:rFonts w:ascii="Garamond" w:hAnsi="Garamond"/>
          <w:sz w:val="21"/>
          <w:szCs w:val="21"/>
        </w:rPr>
        <w:t xml:space="preserve"> within the </w:t>
      </w:r>
      <w:r w:rsidRPr="004436CF">
        <w:rPr>
          <w:rStyle w:val="fontstyle21"/>
          <w:rFonts w:ascii="Garamond" w:hAnsi="Garamond"/>
          <w:b/>
          <w:bCs/>
          <w:sz w:val="21"/>
          <w:szCs w:val="21"/>
        </w:rPr>
        <w:t>Light-of-Conscience</w:t>
      </w:r>
      <w:r w:rsidRPr="004436CF">
        <w:rPr>
          <w:rStyle w:val="fontstyle21"/>
          <w:rFonts w:ascii="Garamond" w:hAnsi="Garamond"/>
          <w:sz w:val="21"/>
          <w:szCs w:val="21"/>
        </w:rPr>
        <w:t>’.</w:t>
      </w:r>
      <w:r w:rsidRPr="004436CF">
        <w:rPr>
          <w:rStyle w:val="Refdenotaderodap"/>
          <w:rFonts w:ascii="Garamond" w:hAnsi="Garamond"/>
          <w:sz w:val="21"/>
          <w:szCs w:val="21"/>
        </w:rPr>
        <w:footnoteReference w:id="56"/>
      </w:r>
      <w:r w:rsidRPr="004436CF">
        <w:rPr>
          <w:rStyle w:val="fontstyle21"/>
          <w:rFonts w:ascii="Garamond" w:hAnsi="Garamond"/>
          <w:sz w:val="21"/>
          <w:szCs w:val="21"/>
        </w:rPr>
        <w:t xml:space="preserve">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deems this memory to be unconscious to the individual and the successive reincarnations are expected to progress him towards that awakening, each time a ‘Magical Journey’ announced by the Heaven and disclosed to each one of us throughout our birth chart.</w:t>
      </w:r>
      <w:r w:rsidRPr="004436CF">
        <w:rPr>
          <w:rStyle w:val="Refdenotaderodap"/>
          <w:rFonts w:ascii="Garamond" w:hAnsi="Garamond"/>
          <w:sz w:val="21"/>
          <w:szCs w:val="21"/>
        </w:rPr>
        <w:footnoteReference w:id="57"/>
      </w:r>
      <w:r w:rsidRPr="004436CF">
        <w:rPr>
          <w:rStyle w:val="fontstyle21"/>
          <w:rFonts w:ascii="Garamond" w:hAnsi="Garamond"/>
          <w:sz w:val="21"/>
          <w:szCs w:val="21"/>
        </w:rPr>
        <w:t xml:space="preserve"> To her, </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01"/>
          <w:rFonts w:ascii="Garamond" w:hAnsi="Garamond"/>
          <w:b/>
          <w:bCs/>
          <w:sz w:val="21"/>
          <w:szCs w:val="21"/>
        </w:rPr>
        <w:t>Astrology</w:t>
      </w:r>
      <w:r w:rsidRPr="004436CF">
        <w:rPr>
          <w:rStyle w:val="fontstyle01"/>
          <w:rFonts w:ascii="Garamond" w:hAnsi="Garamond"/>
          <w:sz w:val="21"/>
          <w:szCs w:val="21"/>
        </w:rPr>
        <w:t xml:space="preserve"> is</w:t>
      </w:r>
      <w:r w:rsidRPr="004436CF">
        <w:rPr>
          <w:rStyle w:val="fontstyle21"/>
          <w:rFonts w:ascii="Garamond" w:hAnsi="Garamond"/>
          <w:sz w:val="21"/>
          <w:szCs w:val="21"/>
        </w:rPr>
        <w:t xml:space="preserve"> the </w:t>
      </w:r>
      <w:r w:rsidRPr="004436CF">
        <w:rPr>
          <w:rStyle w:val="fontstyle21"/>
          <w:rFonts w:ascii="Garamond" w:hAnsi="Garamond"/>
          <w:b/>
          <w:bCs/>
          <w:sz w:val="21"/>
          <w:szCs w:val="21"/>
        </w:rPr>
        <w:t>'writing of God'</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The way </w:t>
      </w:r>
      <w:r w:rsidRPr="004436CF">
        <w:rPr>
          <w:rStyle w:val="fontstyle21"/>
          <w:rFonts w:ascii="Garamond" w:hAnsi="Garamond"/>
          <w:b/>
          <w:bCs/>
          <w:sz w:val="21"/>
          <w:szCs w:val="21"/>
        </w:rPr>
        <w:t>‘He of whom nothing can be said’</w:t>
      </w:r>
      <w:r w:rsidRPr="004436CF">
        <w:rPr>
          <w:rStyle w:val="fontstyle21"/>
          <w:rFonts w:ascii="Garamond" w:hAnsi="Garamond"/>
          <w:sz w:val="21"/>
          <w:szCs w:val="21"/>
        </w:rPr>
        <w:t xml:space="preserve">, </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b/>
          <w:bCs/>
          <w:sz w:val="21"/>
          <w:szCs w:val="21"/>
        </w:rPr>
        <w:t>reveals</w:t>
      </w:r>
      <w:r w:rsidRPr="004436CF">
        <w:rPr>
          <w:rStyle w:val="fontstyle21"/>
          <w:rFonts w:ascii="Garamond" w:hAnsi="Garamond"/>
          <w:sz w:val="21"/>
          <w:szCs w:val="21"/>
        </w:rPr>
        <w:t xml:space="preserve"> through </w:t>
      </w:r>
      <w:r w:rsidRPr="004436CF">
        <w:rPr>
          <w:rStyle w:val="fontstyle21"/>
          <w:rFonts w:ascii="Garamond" w:hAnsi="Garamond"/>
          <w:b/>
          <w:bCs/>
          <w:sz w:val="21"/>
          <w:szCs w:val="21"/>
        </w:rPr>
        <w:t>Symbols</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the purpose and the </w:t>
      </w:r>
      <w:r w:rsidRPr="004436CF">
        <w:rPr>
          <w:rStyle w:val="fontstyle21"/>
          <w:rFonts w:ascii="Garamond" w:hAnsi="Garamond"/>
          <w:b/>
          <w:bCs/>
          <w:sz w:val="21"/>
          <w:szCs w:val="21"/>
        </w:rPr>
        <w:t xml:space="preserve">Intelligent Intention </w:t>
      </w:r>
      <w:r w:rsidRPr="004436CF">
        <w:rPr>
          <w:rStyle w:val="fontstyle21"/>
          <w:rFonts w:ascii="Garamond" w:hAnsi="Garamond"/>
          <w:sz w:val="21"/>
          <w:szCs w:val="21"/>
        </w:rPr>
        <w:t>of</w:t>
      </w:r>
      <w:r w:rsidRPr="004436CF">
        <w:rPr>
          <w:rStyle w:val="fontstyle21"/>
          <w:rFonts w:ascii="Garamond" w:hAnsi="Garamond"/>
          <w:b/>
          <w:bCs/>
          <w:sz w:val="21"/>
          <w:szCs w:val="21"/>
        </w:rPr>
        <w:t xml:space="preserve"> Creation</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to the </w:t>
      </w:r>
      <w:r w:rsidRPr="004436CF">
        <w:rPr>
          <w:rStyle w:val="fontstyle21"/>
          <w:rFonts w:ascii="Garamond" w:hAnsi="Garamond"/>
          <w:b/>
          <w:bCs/>
          <w:sz w:val="21"/>
          <w:szCs w:val="21"/>
        </w:rPr>
        <w:t>Beings</w:t>
      </w:r>
      <w:r w:rsidRPr="004436CF">
        <w:rPr>
          <w:rStyle w:val="fontstyle21"/>
          <w:rFonts w:ascii="Garamond" w:hAnsi="Garamond"/>
          <w:sz w:val="21"/>
          <w:szCs w:val="21"/>
        </w:rPr>
        <w:t xml:space="preserve"> by </w:t>
      </w:r>
      <w:r w:rsidRPr="004436CF">
        <w:rPr>
          <w:rStyle w:val="fontstyle21"/>
          <w:rFonts w:ascii="Garamond" w:hAnsi="Garamond"/>
          <w:b/>
          <w:bCs/>
          <w:sz w:val="21"/>
          <w:szCs w:val="21"/>
        </w:rPr>
        <w:t>Himself created</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b/>
          <w:bCs/>
          <w:sz w:val="21"/>
          <w:szCs w:val="21"/>
        </w:rPr>
        <w:t>…</w:t>
      </w:r>
      <w:r w:rsidRPr="004436CF">
        <w:rPr>
          <w:rStyle w:val="fontstyle21"/>
          <w:rFonts w:ascii="Garamond" w:hAnsi="Garamond"/>
          <w:sz w:val="21"/>
          <w:szCs w:val="21"/>
        </w:rPr>
        <w:t xml:space="preserve">a </w:t>
      </w:r>
      <w:r w:rsidRPr="004436CF">
        <w:rPr>
          <w:rStyle w:val="fontstyle21"/>
          <w:rFonts w:ascii="Garamond" w:hAnsi="Garamond"/>
          <w:b/>
          <w:bCs/>
          <w:sz w:val="21"/>
          <w:szCs w:val="21"/>
        </w:rPr>
        <w:t>Symbolic, Sacred language</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revealing a </w:t>
      </w:r>
      <w:r w:rsidRPr="004436CF">
        <w:rPr>
          <w:rStyle w:val="fontstyle21"/>
          <w:rFonts w:ascii="Garamond" w:hAnsi="Garamond"/>
          <w:b/>
          <w:bCs/>
          <w:sz w:val="21"/>
          <w:szCs w:val="21"/>
        </w:rPr>
        <w:t>Greater Order</w:t>
      </w:r>
      <w:r w:rsidRPr="004436CF">
        <w:rPr>
          <w:rStyle w:val="fontstyle21"/>
          <w:rFonts w:ascii="Garamond" w:hAnsi="Garamond"/>
          <w:sz w:val="21"/>
          <w:szCs w:val="21"/>
        </w:rPr>
        <w:t>.</w:t>
      </w:r>
      <w:r w:rsidRPr="004436CF">
        <w:rPr>
          <w:rStyle w:val="Refdenotaderodap"/>
          <w:rFonts w:ascii="Garamond" w:hAnsi="Garamond"/>
          <w:sz w:val="21"/>
          <w:szCs w:val="21"/>
        </w:rPr>
        <w:footnoteReference w:id="58"/>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Hence, to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the Horoscope is a tool by which the Sacred reveals himself to each individual in a personal ‘</w:t>
      </w:r>
      <w:r w:rsidRPr="004436CF">
        <w:rPr>
          <w:rStyle w:val="fontstyle21"/>
          <w:rFonts w:ascii="Garamond" w:hAnsi="Garamond"/>
          <w:b/>
          <w:bCs/>
          <w:sz w:val="21"/>
          <w:szCs w:val="21"/>
        </w:rPr>
        <w:t>Cosmic project</w:t>
      </w:r>
      <w:r w:rsidRPr="004436CF">
        <w:rPr>
          <w:rStyle w:val="fontstyle21"/>
          <w:rFonts w:ascii="Garamond" w:hAnsi="Garamond"/>
          <w:sz w:val="21"/>
          <w:szCs w:val="21"/>
        </w:rPr>
        <w:t xml:space="preserve">, a </w:t>
      </w:r>
      <w:r w:rsidRPr="004436CF">
        <w:rPr>
          <w:rStyle w:val="fontstyle21"/>
          <w:rFonts w:ascii="Garamond" w:hAnsi="Garamond"/>
          <w:b/>
          <w:bCs/>
          <w:sz w:val="21"/>
          <w:szCs w:val="21"/>
        </w:rPr>
        <w:t>Life</w:t>
      </w:r>
      <w:r w:rsidRPr="004436CF">
        <w:rPr>
          <w:rStyle w:val="fontstyle21"/>
          <w:rFonts w:ascii="Garamond" w:hAnsi="Garamond"/>
          <w:sz w:val="21"/>
          <w:szCs w:val="21"/>
        </w:rPr>
        <w:t xml:space="preserve"> program’, that places each one’s existence within the </w:t>
      </w:r>
      <w:r w:rsidRPr="004436CF">
        <w:rPr>
          <w:rStyle w:val="fontstyle21"/>
          <w:rFonts w:ascii="Garamond" w:hAnsi="Garamond"/>
          <w:i/>
          <w:iCs/>
          <w:sz w:val="21"/>
          <w:szCs w:val="21"/>
        </w:rPr>
        <w:t>Great Cosmic Project</w:t>
      </w:r>
      <w:r w:rsidRPr="004436CF">
        <w:rPr>
          <w:rStyle w:val="fontstyle21"/>
          <w:rFonts w:ascii="Garamond" w:hAnsi="Garamond"/>
          <w:sz w:val="21"/>
          <w:szCs w:val="21"/>
        </w:rPr>
        <w:t>. Viewed as twofold, it urges the transpersonal evolution process, one incarnation at a time, while also pushing the individual into a personal evolution, over the course of a lifetime.</w:t>
      </w:r>
      <w:r w:rsidRPr="004436CF">
        <w:rPr>
          <w:rStyle w:val="Refdenotaderodap"/>
          <w:rFonts w:ascii="Garamond" w:hAnsi="Garamond"/>
          <w:sz w:val="21"/>
          <w:szCs w:val="21"/>
        </w:rPr>
        <w:footnoteReference w:id="59"/>
      </w:r>
      <w:r w:rsidRPr="004436CF">
        <w:rPr>
          <w:rStyle w:val="fontstyle21"/>
          <w:rFonts w:ascii="Garamond" w:hAnsi="Garamond"/>
          <w:sz w:val="21"/>
          <w:szCs w:val="21"/>
        </w:rPr>
        <w:t xml:space="preserve"> The horoscope, thus, ‘is not a </w:t>
      </w:r>
      <w:r w:rsidRPr="004436CF">
        <w:rPr>
          <w:rStyle w:val="fontstyle21"/>
          <w:rFonts w:ascii="Garamond" w:hAnsi="Garamond"/>
          <w:b/>
          <w:bCs/>
          <w:sz w:val="21"/>
          <w:szCs w:val="21"/>
        </w:rPr>
        <w:t>static proposal</w:t>
      </w:r>
      <w:r w:rsidRPr="004436CF">
        <w:rPr>
          <w:rStyle w:val="fontstyle21"/>
          <w:rFonts w:ascii="Garamond" w:hAnsi="Garamond"/>
          <w:sz w:val="21"/>
          <w:szCs w:val="21"/>
        </w:rPr>
        <w:t xml:space="preserve">, but/ an </w:t>
      </w:r>
      <w:r w:rsidRPr="004436CF">
        <w:rPr>
          <w:rStyle w:val="fontstyle21"/>
          <w:rFonts w:ascii="Garamond" w:hAnsi="Garamond"/>
          <w:b/>
          <w:bCs/>
          <w:sz w:val="21"/>
          <w:szCs w:val="21"/>
        </w:rPr>
        <w:t>energy matrix</w:t>
      </w:r>
      <w:r w:rsidRPr="004436CF">
        <w:rPr>
          <w:rStyle w:val="fontstyle21"/>
          <w:rFonts w:ascii="Garamond" w:hAnsi="Garamond"/>
          <w:sz w:val="21"/>
          <w:szCs w:val="21"/>
        </w:rPr>
        <w:t xml:space="preserve"> that is in </w:t>
      </w:r>
      <w:r w:rsidRPr="004436CF">
        <w:rPr>
          <w:rStyle w:val="fontstyle21"/>
          <w:rFonts w:ascii="Garamond" w:hAnsi="Garamond"/>
          <w:b/>
          <w:bCs/>
          <w:sz w:val="21"/>
          <w:szCs w:val="21"/>
        </w:rPr>
        <w:t>constant mutation</w:t>
      </w:r>
      <w:r w:rsidRPr="004436CF">
        <w:rPr>
          <w:rStyle w:val="fontstyle21"/>
          <w:rFonts w:ascii="Garamond" w:hAnsi="Garamond"/>
          <w:sz w:val="21"/>
          <w:szCs w:val="21"/>
        </w:rPr>
        <w:t>’.</w:t>
      </w:r>
      <w:r w:rsidRPr="004436CF">
        <w:rPr>
          <w:rStyle w:val="Refdenotaderodap"/>
          <w:rFonts w:ascii="Garamond" w:hAnsi="Garamond"/>
          <w:sz w:val="21"/>
          <w:szCs w:val="21"/>
        </w:rPr>
        <w:footnoteReference w:id="60"/>
      </w:r>
      <w:r w:rsidRPr="004436CF">
        <w:rPr>
          <w:rStyle w:val="fontstyle21"/>
          <w:rFonts w:ascii="Garamond" w:hAnsi="Garamond"/>
          <w:sz w:val="21"/>
          <w:szCs w:val="21"/>
        </w:rPr>
        <w:t xml:space="preserve"> By way of the symbols that ‘awake/ the </w:t>
      </w:r>
      <w:r w:rsidRPr="004436CF">
        <w:rPr>
          <w:rStyle w:val="fontstyle21"/>
          <w:rFonts w:ascii="Garamond" w:hAnsi="Garamond"/>
          <w:b/>
          <w:bCs/>
          <w:sz w:val="21"/>
          <w:szCs w:val="21"/>
        </w:rPr>
        <w:t>archetypal memories</w:t>
      </w:r>
      <w:r w:rsidRPr="004436CF">
        <w:rPr>
          <w:rStyle w:val="fontstyle21"/>
          <w:rFonts w:ascii="Garamond" w:hAnsi="Garamond"/>
          <w:sz w:val="21"/>
          <w:szCs w:val="21"/>
        </w:rPr>
        <w:t xml:space="preserve"> of our </w:t>
      </w:r>
      <w:r w:rsidRPr="004436CF">
        <w:rPr>
          <w:rStyle w:val="fontstyle21"/>
          <w:rFonts w:ascii="Garamond" w:hAnsi="Garamond"/>
          <w:b/>
          <w:bCs/>
          <w:sz w:val="21"/>
          <w:szCs w:val="21"/>
        </w:rPr>
        <w:t>Soul</w:t>
      </w:r>
      <w:r w:rsidRPr="004436CF">
        <w:rPr>
          <w:rStyle w:val="fontstyle21"/>
          <w:rFonts w:ascii="Garamond" w:hAnsi="Garamond"/>
          <w:sz w:val="21"/>
          <w:szCs w:val="21"/>
        </w:rPr>
        <w:t>’, the individual’s potential is disclosed as his soul remembers her ‘</w:t>
      </w:r>
      <w:r w:rsidRPr="004436CF">
        <w:rPr>
          <w:rStyle w:val="fontstyle21"/>
          <w:rFonts w:ascii="Garamond" w:hAnsi="Garamond"/>
          <w:b/>
          <w:bCs/>
          <w:sz w:val="21"/>
          <w:szCs w:val="21"/>
        </w:rPr>
        <w:t>Dharmic project</w:t>
      </w:r>
      <w:r w:rsidRPr="004436CF">
        <w:rPr>
          <w:rStyle w:val="fontstyle21"/>
          <w:rFonts w:ascii="Garamond" w:hAnsi="Garamond"/>
          <w:sz w:val="21"/>
          <w:szCs w:val="21"/>
        </w:rPr>
        <w:t xml:space="preserve"> that is (...)/ an </w:t>
      </w:r>
      <w:r w:rsidRPr="004436CF">
        <w:rPr>
          <w:rStyle w:val="fontstyle21"/>
          <w:rFonts w:ascii="Garamond" w:hAnsi="Garamond"/>
          <w:b/>
          <w:bCs/>
          <w:sz w:val="21"/>
          <w:szCs w:val="21"/>
        </w:rPr>
        <w:t>individualized response</w:t>
      </w:r>
      <w:r w:rsidRPr="004436CF">
        <w:rPr>
          <w:rStyle w:val="fontstyle21"/>
          <w:rFonts w:ascii="Garamond" w:hAnsi="Garamond"/>
          <w:sz w:val="21"/>
          <w:szCs w:val="21"/>
        </w:rPr>
        <w:t xml:space="preserve">/ to her [the person’s] </w:t>
      </w:r>
      <w:r w:rsidRPr="004436CF">
        <w:rPr>
          <w:rStyle w:val="fontstyle21"/>
          <w:rFonts w:ascii="Garamond" w:hAnsi="Garamond"/>
          <w:b/>
          <w:bCs/>
          <w:sz w:val="21"/>
          <w:szCs w:val="21"/>
        </w:rPr>
        <w:t>Divine</w:t>
      </w:r>
      <w:r w:rsidRPr="004436CF">
        <w:rPr>
          <w:rStyle w:val="fontstyle21"/>
          <w:rFonts w:ascii="Garamond" w:hAnsi="Garamond"/>
          <w:sz w:val="21"/>
          <w:szCs w:val="21"/>
        </w:rPr>
        <w:t xml:space="preserve"> </w:t>
      </w:r>
      <w:r w:rsidRPr="004436CF">
        <w:rPr>
          <w:rStyle w:val="fontstyle21"/>
          <w:rFonts w:ascii="Garamond" w:hAnsi="Garamond"/>
          <w:b/>
          <w:bCs/>
          <w:sz w:val="21"/>
          <w:szCs w:val="21"/>
        </w:rPr>
        <w:t>dimension</w:t>
      </w:r>
      <w:r w:rsidRPr="004436CF">
        <w:rPr>
          <w:rStyle w:val="fontstyle21"/>
          <w:rFonts w:ascii="Garamond" w:hAnsi="Garamond"/>
          <w:sz w:val="21"/>
          <w:szCs w:val="21"/>
        </w:rPr>
        <w:t>.’</w:t>
      </w:r>
      <w:r w:rsidRPr="004436CF">
        <w:rPr>
          <w:rStyle w:val="Refdenotaderodap"/>
          <w:rFonts w:ascii="Garamond" w:hAnsi="Garamond"/>
          <w:sz w:val="21"/>
          <w:szCs w:val="21"/>
        </w:rPr>
        <w:footnoteReference w:id="61"/>
      </w:r>
      <w:r w:rsidRPr="004436CF">
        <w:rPr>
          <w:rStyle w:val="fontstyle21"/>
          <w:rFonts w:ascii="Garamond" w:hAnsi="Garamond"/>
          <w:sz w:val="21"/>
          <w:szCs w:val="21"/>
        </w:rPr>
        <w:t xml:space="preserve"> </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Evolution, however, does not happen ‘when we want to’.</w:t>
      </w:r>
      <w:r w:rsidRPr="004436CF">
        <w:rPr>
          <w:rStyle w:val="Refdenotaderodap"/>
          <w:rFonts w:ascii="Garamond" w:hAnsi="Garamond"/>
          <w:sz w:val="21"/>
          <w:szCs w:val="21"/>
        </w:rPr>
        <w:footnoteReference w:id="62"/>
      </w:r>
      <w:r w:rsidRPr="004436CF">
        <w:rPr>
          <w:rStyle w:val="fontstyle21"/>
          <w:rFonts w:ascii="Garamond" w:hAnsi="Garamond"/>
          <w:sz w:val="21"/>
          <w:szCs w:val="21"/>
        </w:rPr>
        <w:t xml:space="preserve"> Progressions ‘tell us the </w:t>
      </w:r>
      <w:r w:rsidRPr="004436CF">
        <w:rPr>
          <w:rStyle w:val="fontstyle21"/>
          <w:rFonts w:ascii="Garamond" w:hAnsi="Garamond"/>
          <w:b/>
          <w:bCs/>
          <w:sz w:val="21"/>
          <w:szCs w:val="21"/>
        </w:rPr>
        <w:t>program</w:t>
      </w:r>
      <w:r w:rsidRPr="004436CF">
        <w:rPr>
          <w:rStyle w:val="fontstyle21"/>
          <w:rFonts w:ascii="Garamond" w:hAnsi="Garamond"/>
          <w:sz w:val="21"/>
          <w:szCs w:val="21"/>
        </w:rPr>
        <w:t xml:space="preserve"> to be </w:t>
      </w:r>
      <w:r w:rsidRPr="004436CF">
        <w:rPr>
          <w:rStyle w:val="fontstyle21"/>
          <w:rFonts w:ascii="Garamond" w:hAnsi="Garamond"/>
          <w:b/>
          <w:bCs/>
          <w:sz w:val="21"/>
          <w:szCs w:val="21"/>
        </w:rPr>
        <w:t>fulfilled’</w:t>
      </w:r>
      <w:r w:rsidRPr="004436CF">
        <w:rPr>
          <w:rStyle w:val="fontstyle21"/>
          <w:rFonts w:ascii="Garamond" w:hAnsi="Garamond"/>
          <w:sz w:val="21"/>
          <w:szCs w:val="21"/>
        </w:rPr>
        <w:t xml:space="preserve"> and set its time, the ‘</w:t>
      </w:r>
      <w:r w:rsidRPr="004436CF">
        <w:rPr>
          <w:rStyle w:val="fontstyle21"/>
          <w:rFonts w:ascii="Garamond" w:hAnsi="Garamond"/>
          <w:b/>
          <w:bCs/>
          <w:sz w:val="21"/>
          <w:szCs w:val="21"/>
        </w:rPr>
        <w:t>right Time</w:t>
      </w:r>
      <w:r w:rsidRPr="004436CF">
        <w:rPr>
          <w:rStyle w:val="fontstyle21"/>
          <w:rFonts w:ascii="Garamond" w:hAnsi="Garamond"/>
          <w:sz w:val="21"/>
          <w:szCs w:val="21"/>
        </w:rPr>
        <w:t>’: ‘they really are a “</w:t>
      </w:r>
      <w:r w:rsidRPr="004436CF">
        <w:rPr>
          <w:rStyle w:val="fontstyle21"/>
          <w:rFonts w:ascii="Garamond" w:hAnsi="Garamond"/>
          <w:b/>
          <w:bCs/>
          <w:i/>
          <w:iCs/>
          <w:sz w:val="21"/>
          <w:szCs w:val="21"/>
        </w:rPr>
        <w:t xml:space="preserve">Cosmic </w:t>
      </w:r>
      <w:proofErr w:type="gramStart"/>
      <w:r w:rsidRPr="004436CF">
        <w:rPr>
          <w:rStyle w:val="fontstyle21"/>
          <w:rFonts w:ascii="Garamond" w:hAnsi="Garamond"/>
          <w:b/>
          <w:bCs/>
          <w:i/>
          <w:iCs/>
          <w:sz w:val="21"/>
          <w:szCs w:val="21"/>
        </w:rPr>
        <w:t>Clock</w:t>
      </w:r>
      <w:r w:rsidRPr="004436CF">
        <w:rPr>
          <w:rStyle w:val="fontstyle21"/>
          <w:rFonts w:ascii="Garamond" w:hAnsi="Garamond"/>
          <w:sz w:val="21"/>
          <w:szCs w:val="21"/>
        </w:rPr>
        <w:t>”…</w:t>
      </w:r>
      <w:proofErr w:type="gramEnd"/>
      <w:r w:rsidRPr="004436CF">
        <w:rPr>
          <w:rStyle w:val="fontstyle21"/>
          <w:rFonts w:ascii="Garamond" w:hAnsi="Garamond"/>
          <w:sz w:val="21"/>
          <w:szCs w:val="21"/>
        </w:rPr>
        <w:t>’</w:t>
      </w:r>
      <w:r w:rsidRPr="004436CF">
        <w:rPr>
          <w:rStyle w:val="Refdenotaderodap"/>
          <w:rFonts w:ascii="Garamond" w:hAnsi="Garamond"/>
          <w:sz w:val="21"/>
          <w:szCs w:val="21"/>
        </w:rPr>
        <w:footnoteReference w:id="63"/>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w:t>
      </w:r>
      <w:r w:rsidRPr="004436CF">
        <w:rPr>
          <w:rStyle w:val="fontstyle21"/>
          <w:rFonts w:ascii="Garamond" w:hAnsi="Garamond"/>
          <w:b/>
          <w:bCs/>
          <w:sz w:val="21"/>
          <w:szCs w:val="21"/>
        </w:rPr>
        <w:t>accurate</w:t>
      </w:r>
      <w:r w:rsidRPr="004436CF">
        <w:rPr>
          <w:rStyle w:val="fontstyle21"/>
          <w:rFonts w:ascii="Garamond" w:hAnsi="Garamond"/>
          <w:sz w:val="21"/>
          <w:szCs w:val="21"/>
        </w:rPr>
        <w:t xml:space="preserve"> and </w:t>
      </w:r>
      <w:r w:rsidRPr="004436CF">
        <w:rPr>
          <w:rStyle w:val="fontstyle21"/>
          <w:rFonts w:ascii="Garamond" w:hAnsi="Garamond"/>
          <w:b/>
          <w:bCs/>
          <w:sz w:val="21"/>
          <w:szCs w:val="21"/>
        </w:rPr>
        <w:t>rigorous</w:t>
      </w:r>
      <w:r w:rsidRPr="004436CF">
        <w:rPr>
          <w:rStyle w:val="fontstyle21"/>
          <w:rFonts w:ascii="Garamond" w:hAnsi="Garamond"/>
          <w:sz w:val="21"/>
          <w:szCs w:val="21"/>
        </w:rPr>
        <w:t xml:space="preserve"> </w:t>
      </w:r>
      <w:r w:rsidRPr="004436CF">
        <w:rPr>
          <w:rStyle w:val="fontstyle21"/>
          <w:rFonts w:ascii="Garamond" w:hAnsi="Garamond"/>
          <w:b/>
          <w:bCs/>
          <w:sz w:val="21"/>
          <w:szCs w:val="21"/>
        </w:rPr>
        <w:t>clock</w:t>
      </w:r>
      <w:r w:rsidRPr="004436CF">
        <w:rPr>
          <w:rStyle w:val="fontstyle21"/>
          <w:rFonts w:ascii="Garamond" w:hAnsi="Garamond"/>
          <w:sz w:val="21"/>
          <w:szCs w:val="21"/>
        </w:rPr>
        <w:t xml:space="preserve">, </w:t>
      </w:r>
      <w:r w:rsidRPr="004436CF">
        <w:rPr>
          <w:rStyle w:val="fontstyle21"/>
          <w:rFonts w:ascii="Garamond" w:hAnsi="Garamond"/>
          <w:b/>
          <w:bCs/>
          <w:sz w:val="21"/>
          <w:szCs w:val="21"/>
        </w:rPr>
        <w:t>not</w:t>
      </w:r>
      <w:r w:rsidRPr="004436CF">
        <w:rPr>
          <w:rStyle w:val="fontstyle21"/>
          <w:rFonts w:ascii="Garamond" w:hAnsi="Garamond"/>
          <w:sz w:val="21"/>
          <w:szCs w:val="21"/>
        </w:rPr>
        <w:t xml:space="preserve"> </w:t>
      </w:r>
      <w:r w:rsidRPr="004436CF">
        <w:rPr>
          <w:rStyle w:val="fontstyle21"/>
          <w:rFonts w:ascii="Garamond" w:hAnsi="Garamond"/>
          <w:b/>
          <w:bCs/>
          <w:sz w:val="21"/>
          <w:szCs w:val="21"/>
        </w:rPr>
        <w:t>programmed</w:t>
      </w:r>
      <w:r w:rsidRPr="004436CF">
        <w:rPr>
          <w:rStyle w:val="fontstyle21"/>
          <w:rFonts w:ascii="Garamond" w:hAnsi="Garamond"/>
          <w:sz w:val="21"/>
          <w:szCs w:val="21"/>
        </w:rPr>
        <w:t xml:space="preserve"> by </w:t>
      </w:r>
      <w:r w:rsidRPr="004436CF">
        <w:rPr>
          <w:rStyle w:val="fontstyle21"/>
          <w:rFonts w:ascii="Garamond" w:hAnsi="Garamond"/>
          <w:b/>
          <w:bCs/>
          <w:sz w:val="21"/>
          <w:szCs w:val="21"/>
        </w:rPr>
        <w:t>us</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and that we are </w:t>
      </w:r>
      <w:r w:rsidRPr="004436CF">
        <w:rPr>
          <w:rStyle w:val="fontstyle21"/>
          <w:rFonts w:ascii="Garamond" w:hAnsi="Garamond"/>
          <w:b/>
          <w:bCs/>
          <w:sz w:val="21"/>
          <w:szCs w:val="21"/>
        </w:rPr>
        <w:t>not</w:t>
      </w:r>
      <w:r w:rsidRPr="004436CF">
        <w:rPr>
          <w:rStyle w:val="fontstyle21"/>
          <w:rFonts w:ascii="Garamond" w:hAnsi="Garamond"/>
          <w:sz w:val="21"/>
          <w:szCs w:val="21"/>
        </w:rPr>
        <w:t xml:space="preserve"> able </w:t>
      </w:r>
      <w:r w:rsidRPr="004436CF">
        <w:rPr>
          <w:rStyle w:val="fontstyle21"/>
          <w:rFonts w:ascii="Garamond" w:hAnsi="Garamond"/>
          <w:b/>
          <w:bCs/>
          <w:sz w:val="21"/>
          <w:szCs w:val="21"/>
        </w:rPr>
        <w:t>to control</w:t>
      </w:r>
      <w:r w:rsidRPr="004436CF">
        <w:rPr>
          <w:rStyle w:val="fontstyle21"/>
          <w:rFonts w:ascii="Garamond" w:hAnsi="Garamond"/>
          <w:sz w:val="21"/>
          <w:szCs w:val="21"/>
        </w:rPr>
        <w:t>.</w:t>
      </w:r>
      <w:r w:rsidRPr="004436CF">
        <w:rPr>
          <w:rStyle w:val="Refdenotaderodap"/>
          <w:rFonts w:ascii="Garamond" w:hAnsi="Garamond"/>
          <w:sz w:val="21"/>
          <w:szCs w:val="21"/>
        </w:rPr>
        <w:footnoteReference w:id="64"/>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As to the matter of determinism implied in Progressions,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supplies an answer:</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They </w:t>
      </w:r>
      <w:r w:rsidRPr="004436CF">
        <w:rPr>
          <w:rStyle w:val="fontstyle21"/>
          <w:rFonts w:ascii="Garamond" w:hAnsi="Garamond"/>
          <w:b/>
          <w:bCs/>
          <w:sz w:val="21"/>
          <w:szCs w:val="21"/>
        </w:rPr>
        <w:t>carry</w:t>
      </w:r>
      <w:r w:rsidRPr="004436CF">
        <w:rPr>
          <w:rStyle w:val="fontstyle21"/>
          <w:rFonts w:ascii="Garamond" w:hAnsi="Garamond"/>
          <w:sz w:val="21"/>
          <w:szCs w:val="21"/>
        </w:rPr>
        <w:t xml:space="preserve"> the </w:t>
      </w:r>
      <w:r w:rsidRPr="004436CF">
        <w:rPr>
          <w:rStyle w:val="fontstyle21"/>
          <w:rFonts w:ascii="Garamond" w:hAnsi="Garamond"/>
          <w:b/>
          <w:bCs/>
          <w:sz w:val="21"/>
          <w:szCs w:val="21"/>
        </w:rPr>
        <w:t>rigor</w:t>
      </w:r>
      <w:r w:rsidRPr="004436CF">
        <w:rPr>
          <w:rStyle w:val="fontstyle21"/>
          <w:rFonts w:ascii="Garamond" w:hAnsi="Garamond"/>
          <w:sz w:val="21"/>
          <w:szCs w:val="21"/>
        </w:rPr>
        <w:t xml:space="preserve"> of a </w:t>
      </w:r>
      <w:r w:rsidRPr="004436CF">
        <w:rPr>
          <w:rStyle w:val="fontstyle21"/>
          <w:rFonts w:ascii="Garamond" w:hAnsi="Garamond"/>
          <w:b/>
          <w:bCs/>
          <w:sz w:val="21"/>
          <w:szCs w:val="21"/>
        </w:rPr>
        <w:t>Larger Order</w:t>
      </w:r>
      <w:r w:rsidRPr="004436CF">
        <w:rPr>
          <w:rStyle w:val="fontstyle21"/>
          <w:rFonts w:ascii="Garamond" w:hAnsi="Garamond"/>
          <w:sz w:val="21"/>
          <w:szCs w:val="21"/>
        </w:rPr>
        <w:t xml:space="preserve">. </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They do not contain </w:t>
      </w:r>
      <w:r w:rsidRPr="004436CF">
        <w:rPr>
          <w:rStyle w:val="fontstyle21"/>
          <w:rFonts w:ascii="Garamond" w:hAnsi="Garamond"/>
          <w:b/>
          <w:bCs/>
          <w:sz w:val="21"/>
          <w:szCs w:val="21"/>
        </w:rPr>
        <w:t>determinism</w:t>
      </w:r>
      <w:r w:rsidRPr="004436CF">
        <w:rPr>
          <w:rStyle w:val="fontstyle21"/>
          <w:rFonts w:ascii="Garamond" w:hAnsi="Garamond"/>
          <w:sz w:val="21"/>
          <w:szCs w:val="21"/>
        </w:rPr>
        <w:t xml:space="preserve"> </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insofar as </w:t>
      </w:r>
      <w:r w:rsidRPr="004436CF">
        <w:rPr>
          <w:rStyle w:val="fontstyle21"/>
          <w:rFonts w:ascii="Garamond" w:hAnsi="Garamond"/>
          <w:b/>
          <w:bCs/>
          <w:sz w:val="21"/>
          <w:szCs w:val="21"/>
        </w:rPr>
        <w:t>there is</w:t>
      </w:r>
      <w:r w:rsidRPr="004436CF">
        <w:rPr>
          <w:rStyle w:val="fontstyle21"/>
          <w:rFonts w:ascii="Garamond" w:hAnsi="Garamond"/>
          <w:sz w:val="21"/>
          <w:szCs w:val="21"/>
        </w:rPr>
        <w:t xml:space="preserve"> a </w:t>
      </w:r>
      <w:r w:rsidRPr="004436CF">
        <w:rPr>
          <w:rStyle w:val="fontstyle21"/>
          <w:rFonts w:ascii="Garamond" w:hAnsi="Garamond"/>
          <w:b/>
          <w:bCs/>
          <w:sz w:val="21"/>
          <w:szCs w:val="21"/>
        </w:rPr>
        <w:t>margin of free will</w:t>
      </w:r>
      <w:r w:rsidRPr="004436CF">
        <w:rPr>
          <w:rStyle w:val="fontstyle21"/>
          <w:rFonts w:ascii="Garamond" w:hAnsi="Garamond"/>
          <w:sz w:val="21"/>
          <w:szCs w:val="21"/>
        </w:rPr>
        <w:t>,</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although that </w:t>
      </w:r>
      <w:r w:rsidRPr="004436CF">
        <w:rPr>
          <w:rStyle w:val="fontstyle21"/>
          <w:rFonts w:ascii="Garamond" w:hAnsi="Garamond"/>
          <w:b/>
          <w:bCs/>
          <w:sz w:val="21"/>
          <w:szCs w:val="21"/>
        </w:rPr>
        <w:t>margin</w:t>
      </w:r>
      <w:r w:rsidRPr="004436CF">
        <w:rPr>
          <w:rStyle w:val="fontstyle21"/>
          <w:rFonts w:ascii="Garamond" w:hAnsi="Garamond"/>
          <w:sz w:val="21"/>
          <w:szCs w:val="21"/>
        </w:rPr>
        <w:t xml:space="preserve"> is always </w:t>
      </w:r>
      <w:r w:rsidRPr="004436CF">
        <w:rPr>
          <w:rStyle w:val="fontstyle21"/>
          <w:rFonts w:ascii="Garamond" w:hAnsi="Garamond"/>
          <w:b/>
          <w:bCs/>
          <w:sz w:val="21"/>
          <w:szCs w:val="21"/>
        </w:rPr>
        <w:t>more relative</w:t>
      </w:r>
    </w:p>
    <w:p w:rsidR="00AB41D3" w:rsidRPr="004436CF" w:rsidRDefault="00AB41D3" w:rsidP="00AA2470">
      <w:pPr>
        <w:spacing w:after="120"/>
        <w:ind w:left="567"/>
        <w:contextualSpacing/>
        <w:jc w:val="both"/>
        <w:rPr>
          <w:rStyle w:val="fontstyle21"/>
          <w:rFonts w:ascii="Garamond" w:hAnsi="Garamond"/>
          <w:sz w:val="21"/>
          <w:szCs w:val="21"/>
        </w:rPr>
      </w:pPr>
      <w:r w:rsidRPr="004436CF">
        <w:rPr>
          <w:rStyle w:val="fontstyle21"/>
          <w:rFonts w:ascii="Garamond" w:hAnsi="Garamond"/>
          <w:sz w:val="21"/>
          <w:szCs w:val="21"/>
        </w:rPr>
        <w:t xml:space="preserve">than we </w:t>
      </w:r>
      <w:r w:rsidRPr="004436CF">
        <w:rPr>
          <w:rStyle w:val="fontstyle21"/>
          <w:rFonts w:ascii="Garamond" w:hAnsi="Garamond"/>
          <w:b/>
          <w:bCs/>
          <w:sz w:val="21"/>
          <w:szCs w:val="21"/>
        </w:rPr>
        <w:t>imagine</w:t>
      </w:r>
      <w:r w:rsidRPr="004436CF">
        <w:rPr>
          <w:rStyle w:val="fontstyle21"/>
          <w:rFonts w:ascii="Garamond" w:hAnsi="Garamond"/>
          <w:sz w:val="21"/>
          <w:szCs w:val="21"/>
        </w:rPr>
        <w:t>.</w:t>
      </w:r>
      <w:r w:rsidRPr="004436CF">
        <w:rPr>
          <w:rStyle w:val="Refdenotaderodap"/>
          <w:rFonts w:ascii="Garamond" w:hAnsi="Garamond"/>
          <w:sz w:val="21"/>
          <w:szCs w:val="21"/>
        </w:rPr>
        <w:footnoteReference w:id="65"/>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According to her, people are never totally free as being born conditioned by certain life circumstances, dependent on relentlessness ‘</w:t>
      </w:r>
      <w:r w:rsidRPr="004436CF">
        <w:rPr>
          <w:rStyle w:val="fontstyle21"/>
          <w:rFonts w:ascii="Garamond" w:hAnsi="Garamond"/>
          <w:b/>
          <w:bCs/>
          <w:sz w:val="21"/>
          <w:szCs w:val="21"/>
        </w:rPr>
        <w:t>karmic impositions</w:t>
      </w:r>
      <w:r w:rsidRPr="004436CF">
        <w:rPr>
          <w:rStyle w:val="fontstyle21"/>
          <w:rFonts w:ascii="Garamond" w:hAnsi="Garamond"/>
          <w:sz w:val="21"/>
          <w:szCs w:val="21"/>
        </w:rPr>
        <w:t xml:space="preserve">’ – which are ‘the </w:t>
      </w:r>
      <w:r w:rsidRPr="004436CF">
        <w:rPr>
          <w:rStyle w:val="fontstyle21"/>
          <w:rFonts w:ascii="Garamond" w:hAnsi="Garamond"/>
          <w:b/>
          <w:bCs/>
          <w:sz w:val="21"/>
          <w:szCs w:val="21"/>
        </w:rPr>
        <w:t>Law</w:t>
      </w:r>
      <w:r w:rsidRPr="004436CF">
        <w:rPr>
          <w:rStyle w:val="fontstyle21"/>
          <w:rFonts w:ascii="Garamond" w:hAnsi="Garamond"/>
          <w:sz w:val="21"/>
          <w:szCs w:val="21"/>
        </w:rPr>
        <w:t>’ – and reveal themselves in the birth chart through squares and oppositions.</w:t>
      </w:r>
      <w:r w:rsidRPr="004436CF">
        <w:rPr>
          <w:rStyle w:val="Refdenotaderodap"/>
          <w:rFonts w:ascii="Garamond" w:hAnsi="Garamond"/>
          <w:sz w:val="21"/>
          <w:szCs w:val="21"/>
        </w:rPr>
        <w:footnoteReference w:id="66"/>
      </w:r>
      <w:r w:rsidRPr="004436CF">
        <w:rPr>
          <w:rStyle w:val="fontstyle21"/>
          <w:rFonts w:ascii="Garamond" w:hAnsi="Garamond"/>
          <w:sz w:val="21"/>
          <w:szCs w:val="21"/>
        </w:rPr>
        <w:t xml:space="preserve"> However, even if ‘these </w:t>
      </w:r>
      <w:r w:rsidRPr="004436CF">
        <w:rPr>
          <w:rStyle w:val="fontstyle21"/>
          <w:rFonts w:ascii="Garamond" w:hAnsi="Garamond"/>
          <w:b/>
          <w:bCs/>
          <w:sz w:val="21"/>
          <w:szCs w:val="21"/>
        </w:rPr>
        <w:t>astrological aspects</w:t>
      </w:r>
      <w:r w:rsidRPr="004436CF">
        <w:rPr>
          <w:rStyle w:val="fontstyle21"/>
          <w:rFonts w:ascii="Garamond" w:hAnsi="Garamond"/>
          <w:sz w:val="21"/>
          <w:szCs w:val="21"/>
        </w:rPr>
        <w:t xml:space="preserve">, to which one is </w:t>
      </w:r>
      <w:r w:rsidRPr="004436CF">
        <w:rPr>
          <w:rStyle w:val="fontstyle21"/>
          <w:rFonts w:ascii="Garamond" w:hAnsi="Garamond"/>
          <w:b/>
          <w:bCs/>
          <w:sz w:val="21"/>
          <w:szCs w:val="21"/>
        </w:rPr>
        <w:t>subject</w:t>
      </w:r>
      <w:r w:rsidRPr="004436CF">
        <w:rPr>
          <w:rStyle w:val="fontstyle21"/>
          <w:rFonts w:ascii="Garamond" w:hAnsi="Garamond"/>
          <w:sz w:val="21"/>
          <w:szCs w:val="21"/>
        </w:rPr>
        <w:t xml:space="preserve"> by </w:t>
      </w:r>
      <w:r w:rsidRPr="004436CF">
        <w:rPr>
          <w:rStyle w:val="fontstyle21"/>
          <w:rFonts w:ascii="Garamond" w:hAnsi="Garamond"/>
          <w:b/>
          <w:bCs/>
          <w:sz w:val="21"/>
          <w:szCs w:val="21"/>
        </w:rPr>
        <w:t>birth</w:t>
      </w:r>
      <w:r w:rsidRPr="004436CF">
        <w:rPr>
          <w:rStyle w:val="fontstyle21"/>
          <w:rFonts w:ascii="Garamond" w:hAnsi="Garamond"/>
          <w:sz w:val="21"/>
          <w:szCs w:val="21"/>
        </w:rPr>
        <w:t>’, can be said to be anti-freedom it is possible to say ‘</w:t>
      </w:r>
      <w:r w:rsidRPr="004436CF">
        <w:rPr>
          <w:rStyle w:val="fontstyle21"/>
          <w:rFonts w:ascii="Garamond" w:hAnsi="Garamond"/>
          <w:b/>
          <w:bCs/>
          <w:sz w:val="21"/>
          <w:szCs w:val="21"/>
        </w:rPr>
        <w:t>yes</w:t>
      </w:r>
      <w:r w:rsidRPr="004436CF">
        <w:rPr>
          <w:rStyle w:val="fontstyle21"/>
          <w:rFonts w:ascii="Garamond" w:hAnsi="Garamond"/>
          <w:sz w:val="21"/>
          <w:szCs w:val="21"/>
        </w:rPr>
        <w:t xml:space="preserve"> or </w:t>
      </w:r>
      <w:r w:rsidRPr="004436CF">
        <w:rPr>
          <w:rStyle w:val="fontstyle21"/>
          <w:rFonts w:ascii="Garamond" w:hAnsi="Garamond"/>
          <w:b/>
          <w:bCs/>
          <w:sz w:val="21"/>
          <w:szCs w:val="21"/>
        </w:rPr>
        <w:t>no</w:t>
      </w:r>
      <w:r w:rsidRPr="004436CF">
        <w:rPr>
          <w:rStyle w:val="fontstyle21"/>
          <w:rFonts w:ascii="Garamond" w:hAnsi="Garamond"/>
          <w:sz w:val="21"/>
          <w:szCs w:val="21"/>
        </w:rPr>
        <w:t xml:space="preserve">’ to them, i.e. to one’s </w:t>
      </w:r>
      <w:r w:rsidRPr="004436CF">
        <w:rPr>
          <w:rStyle w:val="fontstyle21"/>
          <w:rFonts w:ascii="Garamond" w:hAnsi="Garamond"/>
          <w:sz w:val="21"/>
          <w:szCs w:val="21"/>
        </w:rPr>
        <w:lastRenderedPageBreak/>
        <w:t>Evolution.</w:t>
      </w:r>
      <w:r w:rsidRPr="004436CF">
        <w:rPr>
          <w:rStyle w:val="Refdenotaderodap"/>
          <w:rFonts w:ascii="Garamond" w:hAnsi="Garamond"/>
          <w:sz w:val="21"/>
          <w:szCs w:val="21"/>
        </w:rPr>
        <w:footnoteReference w:id="67"/>
      </w:r>
      <w:r w:rsidRPr="004436CF">
        <w:rPr>
          <w:rStyle w:val="fontstyle21"/>
          <w:rFonts w:ascii="Garamond" w:hAnsi="Garamond"/>
          <w:sz w:val="21"/>
          <w:szCs w:val="21"/>
        </w:rPr>
        <w:t xml:space="preserve"> To listen or not to the ‘</w:t>
      </w:r>
      <w:r w:rsidRPr="004436CF">
        <w:rPr>
          <w:rStyle w:val="fontstyle21"/>
          <w:rFonts w:ascii="Garamond" w:hAnsi="Garamond"/>
          <w:b/>
          <w:bCs/>
          <w:sz w:val="21"/>
          <w:szCs w:val="21"/>
        </w:rPr>
        <w:t>voice</w:t>
      </w:r>
      <w:r w:rsidRPr="004436CF">
        <w:rPr>
          <w:rStyle w:val="fontstyle21"/>
          <w:rFonts w:ascii="Garamond" w:hAnsi="Garamond"/>
          <w:sz w:val="21"/>
          <w:szCs w:val="21"/>
        </w:rPr>
        <w:t xml:space="preserve"> of the </w:t>
      </w:r>
      <w:r w:rsidRPr="004436CF">
        <w:rPr>
          <w:rStyle w:val="fontstyle21"/>
          <w:rFonts w:ascii="Garamond" w:hAnsi="Garamond"/>
          <w:b/>
          <w:bCs/>
          <w:sz w:val="21"/>
          <w:szCs w:val="21"/>
        </w:rPr>
        <w:t>Soul</w:t>
      </w:r>
      <w:r w:rsidRPr="004436CF">
        <w:rPr>
          <w:rStyle w:val="fontstyle21"/>
          <w:rFonts w:ascii="Garamond" w:hAnsi="Garamond"/>
          <w:sz w:val="21"/>
          <w:szCs w:val="21"/>
        </w:rPr>
        <w:t>’ is an option that still speaks to a certain freedom.</w:t>
      </w:r>
      <w:r w:rsidRPr="004436CF">
        <w:rPr>
          <w:rStyle w:val="Refdenotaderodap"/>
          <w:rFonts w:ascii="Garamond" w:hAnsi="Garamond"/>
          <w:sz w:val="21"/>
          <w:szCs w:val="21"/>
        </w:rPr>
        <w:footnoteReference w:id="68"/>
      </w:r>
      <w:r w:rsidRPr="004436CF">
        <w:rPr>
          <w:rStyle w:val="fontstyle21"/>
          <w:rFonts w:ascii="Garamond" w:hAnsi="Garamond"/>
          <w:sz w:val="21"/>
          <w:szCs w:val="21"/>
        </w:rPr>
        <w:t xml:space="preserve"> However, a day will come ‘when we are no longer able to choose’ as moved by an ‘inner </w:t>
      </w:r>
      <w:r w:rsidRPr="004436CF">
        <w:rPr>
          <w:rStyle w:val="fontstyle21"/>
          <w:rFonts w:ascii="Garamond" w:hAnsi="Garamond"/>
          <w:b/>
          <w:bCs/>
          <w:sz w:val="21"/>
          <w:szCs w:val="21"/>
        </w:rPr>
        <w:t>evidence’</w:t>
      </w:r>
      <w:r w:rsidRPr="004436CF">
        <w:rPr>
          <w:rStyle w:val="fontstyle21"/>
          <w:rFonts w:ascii="Garamond" w:hAnsi="Garamond"/>
          <w:sz w:val="21"/>
          <w:szCs w:val="21"/>
        </w:rPr>
        <w:t xml:space="preserve"> that forces us into a certain path.</w:t>
      </w:r>
      <w:r w:rsidRPr="004436CF">
        <w:rPr>
          <w:rStyle w:val="Refdenotaderodap"/>
          <w:rFonts w:ascii="Garamond" w:hAnsi="Garamond"/>
          <w:sz w:val="21"/>
          <w:szCs w:val="21"/>
        </w:rPr>
        <w:footnoteReference w:id="69"/>
      </w:r>
      <w:r w:rsidRPr="004436CF">
        <w:rPr>
          <w:rStyle w:val="fontstyle21"/>
          <w:rFonts w:ascii="Garamond" w:hAnsi="Garamond"/>
          <w:sz w:val="21"/>
          <w:szCs w:val="21"/>
        </w:rPr>
        <w:t xml:space="preserve"> In effect, this force is a voluntary surrender to ‘the </w:t>
      </w:r>
      <w:r w:rsidRPr="004436CF">
        <w:rPr>
          <w:rStyle w:val="fontstyle21"/>
          <w:rFonts w:ascii="Garamond" w:hAnsi="Garamond"/>
          <w:b/>
          <w:bCs/>
          <w:sz w:val="21"/>
          <w:szCs w:val="21"/>
        </w:rPr>
        <w:t>Order</w:t>
      </w:r>
      <w:r w:rsidRPr="004436CF">
        <w:rPr>
          <w:rStyle w:val="fontstyle21"/>
          <w:rFonts w:ascii="Garamond" w:hAnsi="Garamond"/>
          <w:sz w:val="21"/>
          <w:szCs w:val="21"/>
        </w:rPr>
        <w:t xml:space="preserve"> of the </w:t>
      </w:r>
      <w:r w:rsidRPr="004436CF">
        <w:rPr>
          <w:rStyle w:val="fontstyle21"/>
          <w:rFonts w:ascii="Garamond" w:hAnsi="Garamond"/>
          <w:b/>
          <w:bCs/>
          <w:sz w:val="21"/>
          <w:szCs w:val="21"/>
        </w:rPr>
        <w:t>Universe’</w:t>
      </w:r>
      <w:r w:rsidRPr="004436CF">
        <w:rPr>
          <w:rStyle w:val="fontstyle21"/>
          <w:rFonts w:ascii="Garamond" w:hAnsi="Garamond"/>
          <w:sz w:val="21"/>
          <w:szCs w:val="21"/>
        </w:rPr>
        <w:t xml:space="preserve"> resulting from the awareness of its existence.</w:t>
      </w:r>
      <w:r w:rsidRPr="004436CF">
        <w:rPr>
          <w:rStyle w:val="Refdenotaderodap"/>
          <w:rFonts w:ascii="Garamond" w:hAnsi="Garamond"/>
          <w:sz w:val="21"/>
          <w:szCs w:val="21"/>
        </w:rPr>
        <w:footnoteReference w:id="70"/>
      </w:r>
      <w:r w:rsidRPr="004436CF">
        <w:rPr>
          <w:rStyle w:val="fontstyle21"/>
          <w:rFonts w:ascii="Garamond" w:hAnsi="Garamond"/>
          <w:sz w:val="21"/>
          <w:szCs w:val="21"/>
        </w:rPr>
        <w:t xml:space="preserve"> From that moment on, ‘it can </w:t>
      </w:r>
      <w:r w:rsidRPr="004436CF">
        <w:rPr>
          <w:rStyle w:val="fontstyle21"/>
          <w:rFonts w:ascii="Garamond" w:hAnsi="Garamond"/>
          <w:b/>
          <w:bCs/>
          <w:sz w:val="21"/>
          <w:szCs w:val="21"/>
        </w:rPr>
        <w:t>be said</w:t>
      </w:r>
      <w:r w:rsidRPr="004436CF">
        <w:rPr>
          <w:rStyle w:val="fontstyle21"/>
          <w:rFonts w:ascii="Garamond" w:hAnsi="Garamond"/>
          <w:sz w:val="21"/>
          <w:szCs w:val="21"/>
        </w:rPr>
        <w:t xml:space="preserve">/ that </w:t>
      </w:r>
      <w:r w:rsidRPr="004436CF">
        <w:rPr>
          <w:rStyle w:val="fontstyle21"/>
          <w:rFonts w:ascii="Garamond" w:hAnsi="Garamond"/>
          <w:b/>
          <w:bCs/>
          <w:sz w:val="21"/>
          <w:szCs w:val="21"/>
        </w:rPr>
        <w:t>free will no</w:t>
      </w:r>
      <w:r w:rsidRPr="004436CF">
        <w:rPr>
          <w:rStyle w:val="fontstyle21"/>
          <w:rFonts w:ascii="Garamond" w:hAnsi="Garamond"/>
          <w:sz w:val="21"/>
          <w:szCs w:val="21"/>
        </w:rPr>
        <w:t xml:space="preserve"> longer </w:t>
      </w:r>
      <w:r w:rsidRPr="004436CF">
        <w:rPr>
          <w:rStyle w:val="fontstyle21"/>
          <w:rFonts w:ascii="Garamond" w:hAnsi="Garamond"/>
          <w:b/>
          <w:bCs/>
          <w:sz w:val="21"/>
          <w:szCs w:val="21"/>
        </w:rPr>
        <w:t>exists’</w:t>
      </w:r>
      <w:r w:rsidRPr="004436CF">
        <w:rPr>
          <w:rStyle w:val="fontstyle21"/>
          <w:rFonts w:ascii="Garamond" w:hAnsi="Garamond"/>
          <w:sz w:val="21"/>
          <w:szCs w:val="21"/>
        </w:rPr>
        <w:t>.</w:t>
      </w:r>
      <w:r w:rsidRPr="004436CF">
        <w:rPr>
          <w:rStyle w:val="Refdenotaderodap"/>
          <w:rFonts w:ascii="Garamond" w:hAnsi="Garamond"/>
          <w:sz w:val="21"/>
          <w:szCs w:val="21"/>
        </w:rPr>
        <w:footnoteReference w:id="71"/>
      </w:r>
      <w:r w:rsidRPr="004436CF">
        <w:rPr>
          <w:rStyle w:val="fontstyle21"/>
          <w:rFonts w:ascii="Garamond" w:hAnsi="Garamond"/>
          <w:sz w:val="21"/>
          <w:szCs w:val="21"/>
        </w:rPr>
        <w:t xml:space="preserve"> Hitherto, ‘</w:t>
      </w:r>
      <w:r w:rsidRPr="004436CF">
        <w:rPr>
          <w:rStyle w:val="fontstyle21"/>
          <w:rFonts w:ascii="Garamond" w:hAnsi="Garamond"/>
          <w:b/>
          <w:bCs/>
          <w:sz w:val="21"/>
          <w:szCs w:val="21"/>
        </w:rPr>
        <w:t>free will</w:t>
      </w:r>
      <w:r w:rsidRPr="004436CF">
        <w:rPr>
          <w:rStyle w:val="fontstyle21"/>
          <w:rFonts w:ascii="Garamond" w:hAnsi="Garamond"/>
          <w:sz w:val="21"/>
          <w:szCs w:val="21"/>
        </w:rPr>
        <w:t xml:space="preserve"> exists </w:t>
      </w:r>
      <w:r w:rsidRPr="004436CF">
        <w:rPr>
          <w:rStyle w:val="fontstyle21"/>
          <w:rFonts w:ascii="Garamond" w:hAnsi="Garamond"/>
          <w:b/>
          <w:bCs/>
          <w:sz w:val="21"/>
          <w:szCs w:val="21"/>
        </w:rPr>
        <w:t>relatively’</w:t>
      </w:r>
      <w:r w:rsidRPr="004436CF">
        <w:rPr>
          <w:rStyle w:val="fontstyle21"/>
          <w:rFonts w:ascii="Garamond" w:hAnsi="Garamond"/>
          <w:sz w:val="21"/>
          <w:szCs w:val="21"/>
        </w:rPr>
        <w:t>.</w:t>
      </w:r>
      <w:r w:rsidRPr="004436CF">
        <w:rPr>
          <w:rStyle w:val="Refdenotaderodap"/>
          <w:rFonts w:ascii="Garamond" w:hAnsi="Garamond"/>
          <w:sz w:val="21"/>
          <w:szCs w:val="21"/>
        </w:rPr>
        <w:footnoteReference w:id="72"/>
      </w:r>
    </w:p>
    <w:p w:rsidR="00AB41D3" w:rsidRPr="004436CF" w:rsidRDefault="00AB41D3" w:rsidP="00AA2470">
      <w:pPr>
        <w:spacing w:after="120"/>
        <w:contextualSpacing/>
        <w:jc w:val="both"/>
        <w:rPr>
          <w:rStyle w:val="fontstyle21"/>
          <w:rFonts w:ascii="Garamond" w:hAnsi="Garamond"/>
          <w:sz w:val="21"/>
          <w:szCs w:val="21"/>
        </w:rPr>
      </w:pPr>
    </w:p>
    <w:p w:rsidR="00AB41D3" w:rsidRPr="004436CF" w:rsidRDefault="00AB41D3" w:rsidP="00AA2470">
      <w:pPr>
        <w:spacing w:after="120"/>
        <w:contextualSpacing/>
        <w:jc w:val="both"/>
        <w:rPr>
          <w:rStyle w:val="fontstyle21"/>
          <w:rFonts w:ascii="Garamond" w:hAnsi="Garamond"/>
        </w:rPr>
      </w:pPr>
      <w:r w:rsidRPr="004436CF">
        <w:rPr>
          <w:rStyle w:val="fontstyle21"/>
          <w:rFonts w:ascii="Garamond" w:hAnsi="Garamond"/>
          <w:b/>
          <w:bCs/>
        </w:rPr>
        <w:t>Concluding remarks</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André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and Maria </w:t>
      </w:r>
      <w:proofErr w:type="spellStart"/>
      <w:r w:rsidRPr="004436CF">
        <w:rPr>
          <w:rStyle w:val="fontstyle21"/>
          <w:rFonts w:ascii="Garamond" w:hAnsi="Garamond"/>
          <w:sz w:val="21"/>
          <w:szCs w:val="21"/>
        </w:rPr>
        <w:t>Flávia</w:t>
      </w:r>
      <w:proofErr w:type="spellEnd"/>
      <w:r w:rsidRPr="004436CF">
        <w:rPr>
          <w:rStyle w:val="fontstyle21"/>
          <w:rFonts w:ascii="Garamond" w:hAnsi="Garamond"/>
          <w:sz w:val="21"/>
          <w:szCs w:val="21"/>
        </w:rPr>
        <w:t xml:space="preserve"> de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align with distinct branches of astrology, the former to mundane and the latter to transpersonal astrology. They do not embody, though, such different stances regarding the assertion ‘The stars incline; they do not compel’, i.e. </w:t>
      </w:r>
      <w:r w:rsidRPr="004436CF">
        <w:rPr>
          <w:rStyle w:val="fontstyle21"/>
          <w:rFonts w:ascii="Garamond" w:hAnsi="Garamond"/>
          <w:i/>
          <w:iCs/>
          <w:sz w:val="21"/>
          <w:szCs w:val="21"/>
        </w:rPr>
        <w:t>the stars do not force people to do things, although they influence their behaviour</w:t>
      </w:r>
      <w:r w:rsidRPr="004436CF">
        <w:rPr>
          <w:rStyle w:val="fontstyle21"/>
          <w:rFonts w:ascii="Garamond" w:hAnsi="Garamond"/>
          <w:sz w:val="21"/>
          <w:szCs w:val="21"/>
        </w:rPr>
        <w:t>.</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Each in their own way rejects a stars’ higher power that submits Man, removing his free will, a condition that recalls Stoic’s determinism. Both, however, share the Platonic view of the planets as Time instruments, through their interrelated movements setting the time for things to happen on Earth, simultaneously influencing the world events, for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and the individual’s personal dynamics, for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Nonetheless, the way they fit the planetary cycles within their personal cosmology and use it in their practice is distinct.</w:t>
      </w:r>
    </w:p>
    <w:p w:rsidR="00AB41D3" w:rsidRPr="004436CF" w:rsidRDefault="00AB41D3" w:rsidP="00AA2470">
      <w:pPr>
        <w:spacing w:after="120"/>
        <w:contextualSpacing/>
        <w:jc w:val="both"/>
        <w:rPr>
          <w:rStyle w:val="fontstyle21"/>
          <w:rFonts w:ascii="Garamond" w:hAnsi="Garamond"/>
          <w:sz w:val="21"/>
          <w:szCs w:val="21"/>
        </w:rPr>
      </w:pP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like Aristotle, privileges the physical, tangible aspects of the Universe and his astrology incorporates this pragmatism. The power of the stars, in which he believes, needs proof and thus he frames his practice, as much as possible, in a scientific methodology. Logical propositions help him discuss the planetary cycles in relation to world events and he makes no reference to a world’s soul. Diversely,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embeds the power of the stars within a view of the Universe where, like Plato, immanence and transcendence fundamentally interact. The soul, inhabiting the individual as his divine spark, is the element of that connection between Earth and Heaven, as between past-present-future.</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The star-planets operating within the order of the Universe condense in the Horoscope, which for both astrologers is the basis of their practice. It reflects the Cosmos and microcosms – Society/Individual – interrelating and withholds their higher Purpose on Earth. However, the representation of the interrelationship between the 'accurate' celestial mechanics and that of Society/Individual, through the symbolic and synthetic language of astrology, is diversely explored. For </w:t>
      </w:r>
      <w:proofErr w:type="spellStart"/>
      <w:r w:rsidRPr="004436CF">
        <w:rPr>
          <w:rStyle w:val="fontstyle21"/>
          <w:rFonts w:ascii="Garamond" w:hAnsi="Garamond"/>
          <w:sz w:val="21"/>
          <w:szCs w:val="21"/>
        </w:rPr>
        <w:t>Barbault</w:t>
      </w:r>
      <w:proofErr w:type="spellEnd"/>
      <w:r w:rsidRPr="004436CF">
        <w:rPr>
          <w:rStyle w:val="fontstyle21"/>
          <w:rFonts w:ascii="Garamond" w:hAnsi="Garamond"/>
          <w:sz w:val="21"/>
          <w:szCs w:val="21"/>
        </w:rPr>
        <w:t xml:space="preserve">, it is essentially </w:t>
      </w:r>
      <w:proofErr w:type="gramStart"/>
      <w:r w:rsidRPr="004436CF">
        <w:rPr>
          <w:rStyle w:val="fontstyle21"/>
          <w:rFonts w:ascii="Garamond" w:hAnsi="Garamond"/>
          <w:sz w:val="21"/>
          <w:szCs w:val="21"/>
        </w:rPr>
        <w:t>graphs</w:t>
      </w:r>
      <w:proofErr w:type="gramEnd"/>
      <w:r w:rsidRPr="004436CF">
        <w:rPr>
          <w:rStyle w:val="fontstyle21"/>
          <w:rFonts w:ascii="Garamond" w:hAnsi="Garamond"/>
          <w:sz w:val="21"/>
          <w:szCs w:val="21"/>
        </w:rPr>
        <w:t xml:space="preserve"> and tables that synthetize the correlations between the planetary </w:t>
      </w:r>
      <w:r w:rsidRPr="004436CF">
        <w:rPr>
          <w:rStyle w:val="fontstyle21"/>
          <w:rFonts w:ascii="Garamond" w:hAnsi="Garamond"/>
          <w:i/>
          <w:iCs/>
          <w:sz w:val="21"/>
          <w:szCs w:val="21"/>
        </w:rPr>
        <w:t>Cyclic Index</w:t>
      </w:r>
      <w:r w:rsidRPr="004436CF">
        <w:rPr>
          <w:rStyle w:val="fontstyle21"/>
          <w:rFonts w:ascii="Garamond" w:hAnsi="Garamond"/>
          <w:sz w:val="21"/>
          <w:szCs w:val="21"/>
        </w:rPr>
        <w:t xml:space="preserve"> and historical events. The notion of a continuous linear time and the (relative) repetition of History informs and allows </w:t>
      </w:r>
      <w:r w:rsidRPr="004436CF">
        <w:rPr>
          <w:rStyle w:val="fontstyle21"/>
          <w:rFonts w:ascii="Garamond" w:hAnsi="Garamond"/>
          <w:b/>
          <w:bCs/>
          <w:sz w:val="21"/>
          <w:szCs w:val="21"/>
        </w:rPr>
        <w:t>prediction</w:t>
      </w:r>
      <w:r w:rsidRPr="004436CF">
        <w:rPr>
          <w:rStyle w:val="fontstyle21"/>
          <w:rFonts w:ascii="Garamond" w:hAnsi="Garamond"/>
          <w:sz w:val="21"/>
          <w:szCs w:val="21"/>
        </w:rPr>
        <w:t xml:space="preserve">. For </w:t>
      </w:r>
      <w:proofErr w:type="spellStart"/>
      <w:r w:rsidRPr="004436CF">
        <w:rPr>
          <w:rStyle w:val="fontstyle21"/>
          <w:rFonts w:ascii="Garamond" w:hAnsi="Garamond"/>
          <w:sz w:val="21"/>
          <w:szCs w:val="21"/>
        </w:rPr>
        <w:t>Monsaraz</w:t>
      </w:r>
      <w:proofErr w:type="spellEnd"/>
      <w:r w:rsidRPr="004436CF">
        <w:rPr>
          <w:rStyle w:val="fontstyle21"/>
          <w:rFonts w:ascii="Garamond" w:hAnsi="Garamond"/>
          <w:sz w:val="21"/>
          <w:szCs w:val="21"/>
        </w:rPr>
        <w:t xml:space="preserve">, the personal birth chart is the tool that informs and allows the individual's </w:t>
      </w:r>
      <w:r w:rsidRPr="004436CF">
        <w:rPr>
          <w:rStyle w:val="fontstyle21"/>
          <w:rFonts w:ascii="Garamond" w:hAnsi="Garamond"/>
          <w:b/>
          <w:bCs/>
          <w:sz w:val="21"/>
          <w:szCs w:val="21"/>
        </w:rPr>
        <w:t>guidance</w:t>
      </w:r>
      <w:r w:rsidRPr="004436CF">
        <w:rPr>
          <w:rStyle w:val="fontstyle21"/>
          <w:rFonts w:ascii="Garamond" w:hAnsi="Garamond"/>
          <w:sz w:val="21"/>
          <w:szCs w:val="21"/>
        </w:rPr>
        <w:t xml:space="preserve"> in each reincarnation, a twofold representation that places his progress within both the </w:t>
      </w:r>
      <w:r w:rsidRPr="004436CF">
        <w:rPr>
          <w:rStyle w:val="fontstyle21"/>
          <w:rFonts w:ascii="Garamond" w:hAnsi="Garamond"/>
          <w:i/>
          <w:iCs/>
          <w:sz w:val="21"/>
          <w:szCs w:val="21"/>
        </w:rPr>
        <w:t>Great Cosmic Project</w:t>
      </w:r>
      <w:r w:rsidRPr="004436CF">
        <w:rPr>
          <w:rStyle w:val="fontstyle21"/>
          <w:rFonts w:ascii="Garamond" w:hAnsi="Garamond"/>
          <w:sz w:val="21"/>
          <w:szCs w:val="21"/>
        </w:rPr>
        <w:t xml:space="preserve"> and his personal evolution over the current lifetime, his Dharma.</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Like Aristotle, both astrologers believe in a potential Purpose ahead. In </w:t>
      </w:r>
      <w:proofErr w:type="spellStart"/>
      <w:r w:rsidRPr="004436CF">
        <w:rPr>
          <w:rStyle w:val="fontstyle21"/>
          <w:rFonts w:ascii="Garamond" w:hAnsi="Garamond"/>
          <w:sz w:val="21"/>
          <w:szCs w:val="21"/>
        </w:rPr>
        <w:t>Barbault's</w:t>
      </w:r>
      <w:proofErr w:type="spellEnd"/>
      <w:r w:rsidRPr="004436CF">
        <w:rPr>
          <w:rStyle w:val="fontstyle21"/>
          <w:rFonts w:ascii="Garamond" w:hAnsi="Garamond"/>
          <w:sz w:val="21"/>
          <w:szCs w:val="21"/>
        </w:rPr>
        <w:t xml:space="preserve"> mundane astrology, the world’s fate is like the seasons of the year, it exists and shows the overall </w:t>
      </w:r>
      <w:r w:rsidRPr="004436CF">
        <w:rPr>
          <w:rStyle w:val="fontstyle21"/>
          <w:rFonts w:ascii="Garamond" w:hAnsi="Garamond"/>
          <w:i/>
          <w:iCs/>
          <w:sz w:val="21"/>
          <w:szCs w:val="21"/>
        </w:rPr>
        <w:t>climate</w:t>
      </w:r>
      <w:r w:rsidRPr="004436CF">
        <w:rPr>
          <w:rStyle w:val="fontstyle21"/>
          <w:rFonts w:ascii="Garamond" w:hAnsi="Garamond"/>
          <w:sz w:val="21"/>
          <w:szCs w:val="21"/>
        </w:rPr>
        <w:t xml:space="preserve"> of world events helping society prepare for what will come in advance; but the precise manifestations are not predetermined, nor how to act before them. In </w:t>
      </w:r>
      <w:proofErr w:type="spellStart"/>
      <w:r w:rsidRPr="004436CF">
        <w:rPr>
          <w:rStyle w:val="fontstyle21"/>
          <w:rFonts w:ascii="Garamond" w:hAnsi="Garamond"/>
          <w:sz w:val="21"/>
          <w:szCs w:val="21"/>
        </w:rPr>
        <w:t>Monsaraz's</w:t>
      </w:r>
      <w:proofErr w:type="spellEnd"/>
      <w:r w:rsidRPr="004436CF">
        <w:rPr>
          <w:rStyle w:val="fontstyle21"/>
          <w:rFonts w:ascii="Garamond" w:hAnsi="Garamond"/>
          <w:sz w:val="21"/>
          <w:szCs w:val="21"/>
        </w:rPr>
        <w:t xml:space="preserve"> transpersonal astrology, the individual is born with a Life program, but he can choose not to listen ‘the voice of the Soul’ displaying his (relative) free will; however, as he progresses his conscience over a ‘Greater Order’, he voluntarily surrenders to it and hitherto ‘free will no longer exists’.</w:t>
      </w:r>
    </w:p>
    <w:p w:rsidR="00AB41D3" w:rsidRPr="004436CF" w:rsidRDefault="00AB41D3" w:rsidP="00AA2470">
      <w:pPr>
        <w:spacing w:after="120"/>
        <w:contextualSpacing/>
        <w:jc w:val="both"/>
        <w:rPr>
          <w:rStyle w:val="fontstyle21"/>
          <w:rFonts w:ascii="Garamond" w:hAnsi="Garamond"/>
          <w:sz w:val="21"/>
          <w:szCs w:val="21"/>
        </w:rPr>
      </w:pPr>
      <w:r w:rsidRPr="004436CF">
        <w:rPr>
          <w:rStyle w:val="fontstyle21"/>
          <w:rFonts w:ascii="Garamond" w:hAnsi="Garamond"/>
          <w:sz w:val="21"/>
          <w:szCs w:val="21"/>
        </w:rPr>
        <w:t xml:space="preserve">The above leads me to conclude: indeed, the stars do not force people to do things, but if people are wise, they will </w:t>
      </w:r>
      <w:r w:rsidRPr="004436CF">
        <w:rPr>
          <w:rStyle w:val="fontstyle21"/>
          <w:rFonts w:ascii="Garamond" w:hAnsi="Garamond"/>
          <w:i/>
          <w:sz w:val="21"/>
          <w:szCs w:val="21"/>
        </w:rPr>
        <w:t>willingly</w:t>
      </w:r>
      <w:r w:rsidRPr="004436CF">
        <w:rPr>
          <w:rStyle w:val="fontstyle21"/>
          <w:rFonts w:ascii="Garamond" w:hAnsi="Garamond"/>
          <w:sz w:val="21"/>
          <w:szCs w:val="21"/>
        </w:rPr>
        <w:t xml:space="preserve"> let the stars influence their behaviour.</w:t>
      </w:r>
    </w:p>
    <w:p w:rsidR="00AB41D3" w:rsidRPr="004436CF" w:rsidRDefault="00AB41D3" w:rsidP="00FC14C8">
      <w:pPr>
        <w:jc w:val="both"/>
        <w:rPr>
          <w:rStyle w:val="fontstyle21"/>
          <w:rFonts w:ascii="Garamond" w:hAnsi="Garamond"/>
          <w:sz w:val="21"/>
          <w:szCs w:val="21"/>
        </w:rPr>
      </w:pPr>
    </w:p>
    <w:p w:rsidR="00AB41D3" w:rsidRDefault="00AB41D3" w:rsidP="00FC14C8">
      <w:pPr>
        <w:jc w:val="both"/>
        <w:rPr>
          <w:rStyle w:val="fontstyle21"/>
          <w:rFonts w:ascii="Garamond" w:hAnsi="Garamond"/>
          <w:sz w:val="21"/>
          <w:szCs w:val="21"/>
        </w:rPr>
      </w:pPr>
    </w:p>
    <w:p w:rsidR="00AB41D3" w:rsidRDefault="00AB41D3" w:rsidP="00FC14C8">
      <w:pPr>
        <w:jc w:val="both"/>
        <w:rPr>
          <w:rStyle w:val="fontstyle21"/>
          <w:rFonts w:ascii="Garamond" w:hAnsi="Garamond"/>
          <w:sz w:val="21"/>
          <w:szCs w:val="21"/>
        </w:rPr>
      </w:pPr>
    </w:p>
    <w:p w:rsidR="00AB41D3" w:rsidRDefault="00AB41D3" w:rsidP="00FC14C8">
      <w:pPr>
        <w:jc w:val="both"/>
        <w:rPr>
          <w:rStyle w:val="fontstyle21"/>
          <w:rFonts w:ascii="Garamond" w:hAnsi="Garamond"/>
          <w:sz w:val="21"/>
          <w:szCs w:val="21"/>
        </w:rPr>
      </w:pPr>
    </w:p>
    <w:p w:rsidR="00AB41D3" w:rsidRDefault="00AB41D3" w:rsidP="00AB41D3">
      <w:pPr>
        <w:jc w:val="both"/>
        <w:rPr>
          <w:rStyle w:val="fontstyle21"/>
          <w:rFonts w:ascii="Garamond" w:hAnsi="Garamond"/>
          <w:sz w:val="21"/>
          <w:szCs w:val="21"/>
        </w:rPr>
      </w:pPr>
    </w:p>
    <w:p w:rsidR="00AA2470" w:rsidRDefault="00AA2470" w:rsidP="00AB41D3">
      <w:pPr>
        <w:jc w:val="both"/>
        <w:rPr>
          <w:rStyle w:val="fontstyle21"/>
          <w:rFonts w:ascii="Garamond" w:hAnsi="Garamond"/>
          <w:sz w:val="21"/>
          <w:szCs w:val="21"/>
        </w:rPr>
      </w:pPr>
    </w:p>
    <w:p w:rsidR="00FC14C8" w:rsidRDefault="00FC14C8" w:rsidP="00AB41D3">
      <w:pPr>
        <w:jc w:val="both"/>
        <w:rPr>
          <w:rStyle w:val="fontstyle21"/>
          <w:rFonts w:ascii="Garamond" w:hAnsi="Garamond"/>
          <w:sz w:val="21"/>
          <w:szCs w:val="21"/>
        </w:rPr>
      </w:pPr>
    </w:p>
    <w:p w:rsidR="00AA2470" w:rsidRDefault="00AA2470" w:rsidP="00AB41D3">
      <w:pPr>
        <w:jc w:val="both"/>
        <w:rPr>
          <w:rStyle w:val="fontstyle21"/>
          <w:rFonts w:ascii="Garamond" w:hAnsi="Garamond"/>
          <w:sz w:val="21"/>
          <w:szCs w:val="21"/>
        </w:rPr>
      </w:pPr>
    </w:p>
    <w:p w:rsidR="00AA2470" w:rsidRDefault="00AA2470" w:rsidP="00AB41D3">
      <w:pPr>
        <w:jc w:val="both"/>
        <w:rPr>
          <w:rStyle w:val="fontstyle21"/>
          <w:rFonts w:ascii="Garamond" w:hAnsi="Garamond"/>
          <w:sz w:val="21"/>
          <w:szCs w:val="21"/>
        </w:rPr>
      </w:pPr>
    </w:p>
    <w:p w:rsidR="00AB41D3" w:rsidRPr="004436CF" w:rsidRDefault="00AB41D3" w:rsidP="00AB41D3">
      <w:pPr>
        <w:jc w:val="both"/>
        <w:rPr>
          <w:rStyle w:val="fontstyle21"/>
          <w:rFonts w:ascii="Garamond" w:hAnsi="Garamond"/>
          <w:sz w:val="21"/>
          <w:szCs w:val="21"/>
        </w:rPr>
      </w:pPr>
    </w:p>
    <w:p w:rsidR="00AB41D3" w:rsidRDefault="00AB41D3" w:rsidP="00AB41D3">
      <w:pPr>
        <w:spacing w:after="120"/>
        <w:jc w:val="both"/>
        <w:rPr>
          <w:rFonts w:ascii="Garamond" w:hAnsi="Garamond"/>
          <w:b/>
          <w:bCs/>
        </w:rPr>
      </w:pPr>
      <w:r w:rsidRPr="004436CF">
        <w:rPr>
          <w:rFonts w:ascii="Garamond" w:hAnsi="Garamond"/>
          <w:b/>
          <w:bCs/>
        </w:rPr>
        <w:lastRenderedPageBreak/>
        <w:t>References</w:t>
      </w:r>
    </w:p>
    <w:p w:rsidR="00AB41D3" w:rsidRPr="004436CF" w:rsidRDefault="00AB41D3" w:rsidP="00AB41D3">
      <w:pPr>
        <w:spacing w:after="120"/>
        <w:jc w:val="both"/>
        <w:rPr>
          <w:rFonts w:ascii="Garamond" w:hAnsi="Garamond"/>
          <w:sz w:val="21"/>
          <w:szCs w:val="21"/>
        </w:rPr>
      </w:pPr>
      <w:bookmarkStart w:id="8" w:name="_Hlk47348756"/>
      <w:bookmarkStart w:id="9" w:name="_Hlk47293896"/>
      <w:r w:rsidRPr="004436CF">
        <w:rPr>
          <w:rFonts w:ascii="Garamond" w:hAnsi="Garamond" w:cstheme="minorHAnsi"/>
          <w:sz w:val="21"/>
          <w:szCs w:val="21"/>
          <w:shd w:val="clear" w:color="auto" w:fill="FFFFFF"/>
        </w:rPr>
        <w:t xml:space="preserve">Aristotle, </w:t>
      </w:r>
      <w:r w:rsidRPr="004436CF">
        <w:rPr>
          <w:rFonts w:ascii="Garamond" w:hAnsi="Garamond" w:cstheme="minorHAnsi"/>
          <w:i/>
          <w:iCs/>
          <w:sz w:val="21"/>
          <w:szCs w:val="21"/>
          <w:shd w:val="clear" w:color="auto" w:fill="FFFFFF"/>
        </w:rPr>
        <w:t>On the Soul</w:t>
      </w:r>
      <w:r w:rsidRPr="004436CF">
        <w:rPr>
          <w:rFonts w:ascii="Garamond" w:hAnsi="Garamond" w:cstheme="minorHAnsi"/>
          <w:sz w:val="21"/>
          <w:szCs w:val="21"/>
          <w:shd w:val="clear" w:color="auto" w:fill="FFFFFF"/>
        </w:rPr>
        <w:t xml:space="preserve">, trans. by W. S. </w:t>
      </w:r>
      <w:proofErr w:type="spellStart"/>
      <w:r w:rsidRPr="004436CF">
        <w:rPr>
          <w:rFonts w:ascii="Garamond" w:hAnsi="Garamond" w:cstheme="minorHAnsi"/>
          <w:sz w:val="21"/>
          <w:szCs w:val="21"/>
          <w:shd w:val="clear" w:color="auto" w:fill="FFFFFF"/>
        </w:rPr>
        <w:t>Hett</w:t>
      </w:r>
      <w:proofErr w:type="spellEnd"/>
      <w:r w:rsidRPr="004436CF">
        <w:rPr>
          <w:rFonts w:ascii="Garamond" w:hAnsi="Garamond" w:cstheme="minorHAnsi"/>
          <w:sz w:val="21"/>
          <w:szCs w:val="21"/>
          <w:shd w:val="clear" w:color="auto" w:fill="FFFFFF"/>
        </w:rPr>
        <w:t>, in Loeb Classical Library (Cambridge, MA: Harvard University Press, 1957), Book II</w:t>
      </w:r>
    </w:p>
    <w:p w:rsidR="00AB41D3" w:rsidRPr="004436CF" w:rsidRDefault="00AB41D3" w:rsidP="00AB41D3">
      <w:pPr>
        <w:spacing w:after="120"/>
        <w:jc w:val="both"/>
        <w:rPr>
          <w:rFonts w:ascii="Garamond" w:hAnsi="Garamond" w:cstheme="minorHAnsi"/>
          <w:sz w:val="21"/>
          <w:szCs w:val="21"/>
          <w:shd w:val="clear" w:color="auto" w:fill="FFFFFF"/>
        </w:rPr>
      </w:pPr>
      <w:bookmarkStart w:id="10" w:name="_Hlk47348958"/>
      <w:bookmarkEnd w:id="8"/>
      <w:r w:rsidRPr="004436CF">
        <w:rPr>
          <w:rFonts w:ascii="Garamond" w:hAnsi="Garamond" w:cstheme="minorHAnsi"/>
          <w:sz w:val="21"/>
          <w:szCs w:val="21"/>
          <w:shd w:val="clear" w:color="auto" w:fill="FFFFFF"/>
        </w:rPr>
        <w:t xml:space="preserve">Aristotle, </w:t>
      </w:r>
      <w:r w:rsidRPr="004436CF">
        <w:rPr>
          <w:rFonts w:ascii="Garamond" w:hAnsi="Garamond" w:cstheme="minorHAnsi"/>
          <w:i/>
          <w:iCs/>
          <w:sz w:val="21"/>
          <w:szCs w:val="21"/>
          <w:shd w:val="clear" w:color="auto" w:fill="FFFFFF"/>
        </w:rPr>
        <w:t>Physics</w:t>
      </w:r>
      <w:r w:rsidRPr="004436CF">
        <w:rPr>
          <w:rFonts w:ascii="Garamond" w:hAnsi="Garamond" w:cstheme="minorHAnsi"/>
          <w:sz w:val="21"/>
          <w:szCs w:val="21"/>
          <w:shd w:val="clear" w:color="auto" w:fill="FFFFFF"/>
        </w:rPr>
        <w:t>, trans. by</w:t>
      </w:r>
      <w:r w:rsidRPr="004436CF">
        <w:rPr>
          <w:rFonts w:ascii="Garamond" w:hAnsi="Garamond"/>
          <w:sz w:val="21"/>
          <w:szCs w:val="21"/>
        </w:rPr>
        <w:t xml:space="preserve"> P. H. </w:t>
      </w:r>
      <w:proofErr w:type="spellStart"/>
      <w:r w:rsidRPr="004436CF">
        <w:rPr>
          <w:rFonts w:ascii="Garamond" w:hAnsi="Garamond"/>
          <w:sz w:val="21"/>
          <w:szCs w:val="21"/>
        </w:rPr>
        <w:t>Wicksteed</w:t>
      </w:r>
      <w:proofErr w:type="spellEnd"/>
      <w:r w:rsidRPr="004436CF">
        <w:rPr>
          <w:rFonts w:ascii="Garamond" w:hAnsi="Garamond"/>
          <w:sz w:val="21"/>
          <w:szCs w:val="21"/>
        </w:rPr>
        <w:t xml:space="preserve"> and F. M. Cornford, </w:t>
      </w:r>
      <w:r w:rsidRPr="004436CF">
        <w:rPr>
          <w:rFonts w:ascii="Garamond" w:hAnsi="Garamond" w:cstheme="minorHAnsi"/>
          <w:sz w:val="21"/>
          <w:szCs w:val="21"/>
          <w:shd w:val="clear" w:color="auto" w:fill="FFFFFF"/>
        </w:rPr>
        <w:t>in Loeb Classical Library (Cambridge, MA: Harvard University Press, 1957), Book II</w:t>
      </w:r>
    </w:p>
    <w:p w:rsidR="00AB41D3" w:rsidRPr="004436CF" w:rsidRDefault="00AB41D3" w:rsidP="00AB41D3">
      <w:pPr>
        <w:spacing w:after="120"/>
        <w:jc w:val="both"/>
        <w:rPr>
          <w:rFonts w:ascii="Garamond" w:hAnsi="Garamond"/>
          <w:sz w:val="21"/>
          <w:szCs w:val="21"/>
        </w:rPr>
      </w:pPr>
      <w:bookmarkStart w:id="11" w:name="_Hlk47349371"/>
      <w:bookmarkEnd w:id="10"/>
      <w:r w:rsidRPr="004436CF">
        <w:rPr>
          <w:rFonts w:ascii="Garamond" w:hAnsi="Garamond"/>
          <w:sz w:val="21"/>
          <w:szCs w:val="21"/>
        </w:rPr>
        <w:t xml:space="preserve">Aristotle, Physics, trans. by P. H. </w:t>
      </w:r>
      <w:proofErr w:type="spellStart"/>
      <w:r w:rsidRPr="004436CF">
        <w:rPr>
          <w:rFonts w:ascii="Garamond" w:hAnsi="Garamond"/>
          <w:sz w:val="21"/>
          <w:szCs w:val="21"/>
        </w:rPr>
        <w:t>Wicksteed</w:t>
      </w:r>
      <w:proofErr w:type="spellEnd"/>
      <w:r w:rsidRPr="004436CF">
        <w:rPr>
          <w:rFonts w:ascii="Garamond" w:hAnsi="Garamond"/>
          <w:sz w:val="21"/>
          <w:szCs w:val="21"/>
        </w:rPr>
        <w:t xml:space="preserve"> and F. M. Cornford, in Loeb Classical Library (Cambridge, MA: Harvard University Press, 1957), Book IV</w:t>
      </w:r>
    </w:p>
    <w:p w:rsidR="00AB41D3" w:rsidRPr="004436CF" w:rsidRDefault="00AB41D3" w:rsidP="00AB41D3">
      <w:pPr>
        <w:pStyle w:val="Textodenotaderodap"/>
        <w:spacing w:after="120"/>
        <w:jc w:val="both"/>
        <w:rPr>
          <w:rFonts w:ascii="Garamond" w:hAnsi="Garamond"/>
          <w:sz w:val="21"/>
          <w:szCs w:val="21"/>
          <w:lang w:val="en-GB"/>
        </w:rPr>
      </w:pPr>
      <w:bookmarkStart w:id="12" w:name="_Hlk47350721"/>
      <w:bookmarkEnd w:id="11"/>
      <w:proofErr w:type="spellStart"/>
      <w:r w:rsidRPr="004436CF">
        <w:rPr>
          <w:rFonts w:ascii="Garamond" w:hAnsi="Garamond"/>
          <w:sz w:val="21"/>
          <w:szCs w:val="21"/>
          <w:lang w:val="en-GB"/>
        </w:rPr>
        <w:t>Barbault</w:t>
      </w:r>
      <w:proofErr w:type="spellEnd"/>
      <w:r w:rsidRPr="004436CF">
        <w:rPr>
          <w:rFonts w:ascii="Garamond" w:hAnsi="Garamond"/>
          <w:sz w:val="21"/>
          <w:szCs w:val="21"/>
          <w:lang w:val="en-GB"/>
        </w:rPr>
        <w:t xml:space="preserve">, André, </w:t>
      </w:r>
      <w:proofErr w:type="spellStart"/>
      <w:r w:rsidRPr="004436CF">
        <w:rPr>
          <w:rFonts w:ascii="Garamond" w:hAnsi="Garamond"/>
          <w:i/>
          <w:iCs/>
          <w:sz w:val="21"/>
          <w:szCs w:val="21"/>
          <w:lang w:val="en-GB"/>
        </w:rPr>
        <w:t>Defensa</w:t>
      </w:r>
      <w:proofErr w:type="spellEnd"/>
      <w:r w:rsidRPr="004436CF">
        <w:rPr>
          <w:rFonts w:ascii="Garamond" w:hAnsi="Garamond"/>
          <w:i/>
          <w:iCs/>
          <w:sz w:val="21"/>
          <w:szCs w:val="21"/>
          <w:lang w:val="en-GB"/>
        </w:rPr>
        <w:t xml:space="preserve"> e </w:t>
      </w:r>
      <w:proofErr w:type="spellStart"/>
      <w:r w:rsidRPr="004436CF">
        <w:rPr>
          <w:rFonts w:ascii="Garamond" w:hAnsi="Garamond"/>
          <w:i/>
          <w:iCs/>
          <w:sz w:val="21"/>
          <w:szCs w:val="21"/>
          <w:lang w:val="en-GB"/>
        </w:rPr>
        <w:t>Ilustración</w:t>
      </w:r>
      <w:proofErr w:type="spellEnd"/>
      <w:r w:rsidRPr="004436CF">
        <w:rPr>
          <w:rFonts w:ascii="Garamond" w:hAnsi="Garamond"/>
          <w:i/>
          <w:iCs/>
          <w:sz w:val="21"/>
          <w:szCs w:val="21"/>
          <w:lang w:val="en-GB"/>
        </w:rPr>
        <w:t xml:space="preserve"> de la </w:t>
      </w:r>
      <w:proofErr w:type="spellStart"/>
      <w:r w:rsidRPr="004436CF">
        <w:rPr>
          <w:rFonts w:ascii="Garamond" w:hAnsi="Garamond"/>
          <w:i/>
          <w:iCs/>
          <w:sz w:val="21"/>
          <w:szCs w:val="21"/>
          <w:lang w:val="en-GB"/>
        </w:rPr>
        <w:t>Astrologia</w:t>
      </w:r>
      <w:bookmarkEnd w:id="9"/>
      <w:proofErr w:type="spellEnd"/>
      <w:r w:rsidRPr="004436CF">
        <w:rPr>
          <w:rFonts w:ascii="Garamond" w:hAnsi="Garamond"/>
          <w:sz w:val="21"/>
          <w:szCs w:val="21"/>
          <w:lang w:val="en-GB"/>
        </w:rPr>
        <w:t>, trans. by A.B.F. (Barcelona: editorial Iberia, 1958)</w:t>
      </w:r>
    </w:p>
    <w:bookmarkEnd w:id="12"/>
    <w:p w:rsidR="00AB41D3" w:rsidRPr="004436CF" w:rsidRDefault="00AB41D3" w:rsidP="00AB41D3">
      <w:pPr>
        <w:pStyle w:val="Textodenotaderodap"/>
        <w:spacing w:after="120"/>
        <w:jc w:val="both"/>
        <w:rPr>
          <w:rFonts w:ascii="Garamond" w:hAnsi="Garamond"/>
          <w:sz w:val="21"/>
          <w:szCs w:val="21"/>
          <w:lang w:val="en-GB"/>
        </w:rPr>
      </w:pPr>
      <w:proofErr w:type="spellStart"/>
      <w:r w:rsidRPr="004436CF">
        <w:rPr>
          <w:rFonts w:ascii="Garamond" w:hAnsi="Garamond"/>
          <w:sz w:val="21"/>
          <w:szCs w:val="21"/>
          <w:lang w:val="en-GB"/>
        </w:rPr>
        <w:t>Barbault</w:t>
      </w:r>
      <w:proofErr w:type="spellEnd"/>
      <w:r w:rsidRPr="004436CF">
        <w:rPr>
          <w:rFonts w:ascii="Garamond" w:hAnsi="Garamond"/>
          <w:sz w:val="21"/>
          <w:szCs w:val="21"/>
          <w:lang w:val="en-GB"/>
        </w:rPr>
        <w:t xml:space="preserve">, André, </w:t>
      </w:r>
      <w:bookmarkStart w:id="13" w:name="_Hlk47350628"/>
      <w:r w:rsidRPr="004436CF">
        <w:rPr>
          <w:rFonts w:ascii="Garamond" w:hAnsi="Garamond"/>
          <w:sz w:val="21"/>
          <w:szCs w:val="21"/>
          <w:lang w:val="en-GB"/>
        </w:rPr>
        <w:t>‘</w:t>
      </w:r>
      <w:proofErr w:type="spellStart"/>
      <w:r w:rsidRPr="004436CF">
        <w:rPr>
          <w:rFonts w:ascii="Garamond" w:hAnsi="Garamond"/>
          <w:sz w:val="21"/>
          <w:szCs w:val="21"/>
          <w:lang w:val="en-GB"/>
        </w:rPr>
        <w:t>L'auto-créativité</w:t>
      </w:r>
      <w:proofErr w:type="spellEnd"/>
      <w:r w:rsidRPr="004436CF">
        <w:rPr>
          <w:rFonts w:ascii="Garamond" w:hAnsi="Garamond"/>
          <w:sz w:val="21"/>
          <w:szCs w:val="21"/>
          <w:lang w:val="en-GB"/>
        </w:rPr>
        <w:t xml:space="preserve"> des </w:t>
      </w:r>
      <w:proofErr w:type="spellStart"/>
      <w:r w:rsidRPr="004436CF">
        <w:rPr>
          <w:rFonts w:ascii="Garamond" w:hAnsi="Garamond"/>
          <w:sz w:val="21"/>
          <w:szCs w:val="21"/>
          <w:lang w:val="en-GB"/>
        </w:rPr>
        <w:t>astrologues</w:t>
      </w:r>
      <w:proofErr w:type="spellEnd"/>
      <w:r w:rsidRPr="004436CF">
        <w:rPr>
          <w:rFonts w:ascii="Garamond" w:hAnsi="Garamond"/>
          <w:sz w:val="21"/>
          <w:szCs w:val="21"/>
          <w:lang w:val="en-GB"/>
        </w:rPr>
        <w:t xml:space="preserve">’, </w:t>
      </w:r>
      <w:proofErr w:type="spellStart"/>
      <w:r w:rsidRPr="004436CF">
        <w:rPr>
          <w:rFonts w:ascii="Garamond" w:hAnsi="Garamond"/>
          <w:i/>
          <w:iCs/>
          <w:sz w:val="21"/>
          <w:szCs w:val="21"/>
          <w:lang w:val="en-GB"/>
        </w:rPr>
        <w:t>Congrès</w:t>
      </w:r>
      <w:proofErr w:type="spellEnd"/>
      <w:r w:rsidRPr="004436CF">
        <w:rPr>
          <w:rFonts w:ascii="Garamond" w:hAnsi="Garamond"/>
          <w:i/>
          <w:iCs/>
          <w:sz w:val="21"/>
          <w:szCs w:val="21"/>
          <w:lang w:val="en-GB"/>
        </w:rPr>
        <w:t xml:space="preserve"> </w:t>
      </w:r>
      <w:proofErr w:type="spellStart"/>
      <w:r w:rsidRPr="004436CF">
        <w:rPr>
          <w:rFonts w:ascii="Garamond" w:hAnsi="Garamond"/>
          <w:i/>
          <w:iCs/>
          <w:sz w:val="21"/>
          <w:szCs w:val="21"/>
          <w:lang w:val="en-GB"/>
        </w:rPr>
        <w:t>d’astrologie</w:t>
      </w:r>
      <w:proofErr w:type="spellEnd"/>
      <w:r w:rsidRPr="004436CF">
        <w:rPr>
          <w:rFonts w:ascii="Garamond" w:hAnsi="Garamond"/>
          <w:i/>
          <w:iCs/>
          <w:sz w:val="21"/>
          <w:szCs w:val="21"/>
          <w:lang w:val="en-GB"/>
        </w:rPr>
        <w:t xml:space="preserve"> Sep Hermès</w:t>
      </w:r>
      <w:r w:rsidRPr="004436CF">
        <w:rPr>
          <w:rFonts w:ascii="Garamond" w:hAnsi="Garamond"/>
          <w:sz w:val="21"/>
          <w:szCs w:val="21"/>
          <w:lang w:val="en-GB"/>
        </w:rPr>
        <w:t>, (9 April 2005) &lt;</w:t>
      </w:r>
      <w:hyperlink r:id="rId10" w:history="1">
        <w:r w:rsidRPr="004436CF">
          <w:rPr>
            <w:rStyle w:val="Hiperligao"/>
            <w:rFonts w:ascii="Garamond" w:hAnsi="Garamond"/>
            <w:sz w:val="21"/>
            <w:szCs w:val="21"/>
            <w:lang w:val="en-GB"/>
          </w:rPr>
          <w:t>http://www.andrebarbault.com/DOC/311.pdf</w:t>
        </w:r>
      </w:hyperlink>
      <w:r w:rsidRPr="004436CF">
        <w:rPr>
          <w:rFonts w:ascii="Garamond" w:hAnsi="Garamond"/>
          <w:sz w:val="21"/>
          <w:szCs w:val="21"/>
          <w:lang w:val="en-GB"/>
        </w:rPr>
        <w:t>&gt;, [accessed 22 March 2020]</w:t>
      </w:r>
      <w:bookmarkEnd w:id="13"/>
    </w:p>
    <w:p w:rsidR="00AB41D3" w:rsidRPr="004436CF" w:rsidRDefault="00AB41D3" w:rsidP="00AB41D3">
      <w:pPr>
        <w:pStyle w:val="Textodenotaderodap"/>
        <w:spacing w:after="120"/>
        <w:jc w:val="both"/>
        <w:rPr>
          <w:rFonts w:ascii="Garamond" w:hAnsi="Garamond"/>
          <w:sz w:val="21"/>
          <w:szCs w:val="21"/>
          <w:lang w:val="es-ES"/>
        </w:rPr>
      </w:pPr>
      <w:bookmarkStart w:id="14" w:name="_Hlk47294348"/>
      <w:bookmarkStart w:id="15" w:name="_Hlk47350832"/>
      <w:proofErr w:type="spellStart"/>
      <w:r w:rsidRPr="004436CF">
        <w:rPr>
          <w:rFonts w:ascii="Garamond" w:hAnsi="Garamond"/>
          <w:sz w:val="21"/>
          <w:szCs w:val="21"/>
          <w:lang w:val="es-ES"/>
        </w:rPr>
        <w:t>Barbault</w:t>
      </w:r>
      <w:proofErr w:type="spellEnd"/>
      <w:r w:rsidRPr="004436CF">
        <w:rPr>
          <w:rFonts w:ascii="Garamond" w:hAnsi="Garamond"/>
          <w:sz w:val="21"/>
          <w:szCs w:val="21"/>
          <w:lang w:val="es-ES"/>
        </w:rPr>
        <w:t xml:space="preserve">, André, </w:t>
      </w:r>
      <w:r w:rsidRPr="004436CF">
        <w:rPr>
          <w:rFonts w:ascii="Garamond" w:hAnsi="Garamond"/>
          <w:i/>
          <w:iCs/>
          <w:sz w:val="21"/>
          <w:szCs w:val="21"/>
          <w:lang w:val="es-ES"/>
        </w:rPr>
        <w:t>El Pronóstico Experimental en Astrología</w:t>
      </w:r>
      <w:bookmarkEnd w:id="14"/>
      <w:r w:rsidRPr="004436CF">
        <w:rPr>
          <w:rFonts w:ascii="Garamond" w:hAnsi="Garamond"/>
          <w:sz w:val="21"/>
          <w:szCs w:val="21"/>
          <w:lang w:val="es-ES"/>
        </w:rPr>
        <w:t xml:space="preserve">, trans. </w:t>
      </w:r>
      <w:proofErr w:type="spellStart"/>
      <w:r w:rsidRPr="004436CF">
        <w:rPr>
          <w:rFonts w:ascii="Garamond" w:hAnsi="Garamond"/>
          <w:sz w:val="21"/>
          <w:szCs w:val="21"/>
          <w:lang w:val="es-ES"/>
        </w:rPr>
        <w:t>by</w:t>
      </w:r>
      <w:proofErr w:type="spellEnd"/>
      <w:r w:rsidRPr="004436CF">
        <w:rPr>
          <w:rFonts w:ascii="Garamond" w:hAnsi="Garamond"/>
          <w:sz w:val="21"/>
          <w:szCs w:val="21"/>
          <w:lang w:val="es-ES"/>
        </w:rPr>
        <w:t xml:space="preserve"> Guiomar Eguillor (</w:t>
      </w:r>
      <w:proofErr w:type="spellStart"/>
      <w:r w:rsidRPr="004436CF">
        <w:rPr>
          <w:rFonts w:ascii="Garamond" w:hAnsi="Garamond"/>
          <w:sz w:val="21"/>
          <w:szCs w:val="21"/>
          <w:lang w:val="es-ES"/>
        </w:rPr>
        <w:t>Spain</w:t>
      </w:r>
      <w:proofErr w:type="spellEnd"/>
      <w:r w:rsidRPr="004436CF">
        <w:rPr>
          <w:rFonts w:ascii="Garamond" w:hAnsi="Garamond"/>
          <w:sz w:val="21"/>
          <w:szCs w:val="21"/>
          <w:lang w:val="es-ES"/>
        </w:rPr>
        <w:t xml:space="preserve">: </w:t>
      </w:r>
      <w:proofErr w:type="spellStart"/>
      <w:r w:rsidRPr="004436CF">
        <w:rPr>
          <w:rFonts w:ascii="Garamond" w:hAnsi="Garamond"/>
          <w:sz w:val="21"/>
          <w:szCs w:val="21"/>
          <w:lang w:val="es-ES"/>
        </w:rPr>
        <w:t>Vision</w:t>
      </w:r>
      <w:proofErr w:type="spellEnd"/>
      <w:r w:rsidRPr="004436CF">
        <w:rPr>
          <w:rFonts w:ascii="Garamond" w:hAnsi="Garamond"/>
          <w:sz w:val="21"/>
          <w:szCs w:val="21"/>
          <w:lang w:val="es-ES"/>
        </w:rPr>
        <w:t xml:space="preserve"> Libros, 1981 [1973])</w:t>
      </w:r>
      <w:bookmarkEnd w:id="15"/>
    </w:p>
    <w:p w:rsidR="00AB41D3" w:rsidRPr="004436CF" w:rsidRDefault="00AB41D3" w:rsidP="00AB41D3">
      <w:pPr>
        <w:pStyle w:val="Textodenotaderodap"/>
        <w:spacing w:after="120"/>
        <w:jc w:val="both"/>
        <w:rPr>
          <w:rFonts w:ascii="Garamond" w:hAnsi="Garamond"/>
          <w:sz w:val="21"/>
          <w:szCs w:val="21"/>
          <w:lang w:val="en-GB"/>
        </w:rPr>
      </w:pPr>
      <w:bookmarkStart w:id="16" w:name="_Hlk47351245"/>
      <w:proofErr w:type="spellStart"/>
      <w:r w:rsidRPr="004436CF">
        <w:rPr>
          <w:rFonts w:ascii="Garamond" w:hAnsi="Garamond"/>
          <w:sz w:val="21"/>
          <w:szCs w:val="21"/>
          <w:lang w:val="en-GB"/>
        </w:rPr>
        <w:t>Barbault</w:t>
      </w:r>
      <w:proofErr w:type="spellEnd"/>
      <w:r w:rsidRPr="004436CF">
        <w:rPr>
          <w:rFonts w:ascii="Garamond" w:hAnsi="Garamond"/>
          <w:sz w:val="21"/>
          <w:szCs w:val="21"/>
          <w:lang w:val="en-GB"/>
        </w:rPr>
        <w:t xml:space="preserve">, André, </w:t>
      </w:r>
      <w:r w:rsidRPr="004436CF">
        <w:rPr>
          <w:rFonts w:ascii="Garamond" w:hAnsi="Garamond"/>
          <w:i/>
          <w:iCs/>
          <w:sz w:val="21"/>
          <w:szCs w:val="21"/>
          <w:lang w:val="en-GB"/>
        </w:rPr>
        <w:t>Planetary Cycles. Mundane Astrology</w:t>
      </w:r>
      <w:r w:rsidRPr="004436CF">
        <w:rPr>
          <w:rFonts w:ascii="Garamond" w:hAnsi="Garamond"/>
          <w:sz w:val="21"/>
          <w:szCs w:val="21"/>
          <w:lang w:val="en-GB"/>
        </w:rPr>
        <w:t>, trans. by. Kate Johnston (London: Astrological Association, 2016)</w:t>
      </w:r>
      <w:bookmarkEnd w:id="16"/>
    </w:p>
    <w:p w:rsidR="00AB41D3" w:rsidRPr="004436CF" w:rsidRDefault="00AB41D3" w:rsidP="00AB41D3">
      <w:pPr>
        <w:pStyle w:val="Textodenotaderodap"/>
        <w:spacing w:after="120"/>
        <w:jc w:val="both"/>
        <w:rPr>
          <w:rFonts w:ascii="Garamond" w:hAnsi="Garamond"/>
          <w:sz w:val="21"/>
          <w:szCs w:val="21"/>
          <w:lang w:val="en-GB"/>
        </w:rPr>
      </w:pPr>
      <w:bookmarkStart w:id="17" w:name="_Hlk47351138"/>
      <w:proofErr w:type="spellStart"/>
      <w:r w:rsidRPr="004436CF">
        <w:rPr>
          <w:rFonts w:ascii="Garamond" w:hAnsi="Garamond"/>
          <w:sz w:val="21"/>
          <w:szCs w:val="21"/>
          <w:lang w:val="en-GB"/>
        </w:rPr>
        <w:t>Barillà</w:t>
      </w:r>
      <w:proofErr w:type="spellEnd"/>
      <w:r w:rsidRPr="004436CF">
        <w:rPr>
          <w:rFonts w:ascii="Garamond" w:hAnsi="Garamond"/>
          <w:sz w:val="21"/>
          <w:szCs w:val="21"/>
          <w:lang w:val="en-GB"/>
        </w:rPr>
        <w:t xml:space="preserve">, Enzo and Damiano, Giorgio, </w:t>
      </w:r>
      <w:proofErr w:type="spellStart"/>
      <w:r w:rsidRPr="004436CF">
        <w:rPr>
          <w:rFonts w:ascii="Garamond" w:hAnsi="Garamond"/>
          <w:sz w:val="21"/>
          <w:szCs w:val="21"/>
          <w:lang w:val="en-GB"/>
        </w:rPr>
        <w:t>Intervista</w:t>
      </w:r>
      <w:proofErr w:type="spellEnd"/>
      <w:r w:rsidRPr="004436CF">
        <w:rPr>
          <w:rFonts w:ascii="Garamond" w:hAnsi="Garamond"/>
          <w:sz w:val="21"/>
          <w:szCs w:val="21"/>
          <w:lang w:val="en-GB"/>
        </w:rPr>
        <w:t xml:space="preserve"> ad André </w:t>
      </w:r>
      <w:proofErr w:type="spellStart"/>
      <w:r w:rsidRPr="004436CF">
        <w:rPr>
          <w:rFonts w:ascii="Garamond" w:hAnsi="Garamond"/>
          <w:sz w:val="21"/>
          <w:szCs w:val="21"/>
          <w:lang w:val="en-GB"/>
        </w:rPr>
        <w:t>Barbault</w:t>
      </w:r>
      <w:proofErr w:type="spellEnd"/>
      <w:r w:rsidRPr="004436CF">
        <w:rPr>
          <w:rFonts w:ascii="Garamond" w:hAnsi="Garamond"/>
          <w:sz w:val="21"/>
          <w:szCs w:val="21"/>
          <w:lang w:val="en-GB"/>
        </w:rPr>
        <w:t xml:space="preserve">, </w:t>
      </w:r>
      <w:r w:rsidRPr="004436CF">
        <w:rPr>
          <w:rFonts w:ascii="Garamond" w:hAnsi="Garamond"/>
          <w:i/>
          <w:iCs/>
          <w:sz w:val="21"/>
          <w:szCs w:val="21"/>
          <w:lang w:val="en-GB"/>
        </w:rPr>
        <w:t>CONVIVIO ASTROLOGICO</w:t>
      </w:r>
      <w:r w:rsidRPr="004436CF">
        <w:rPr>
          <w:rFonts w:ascii="Garamond" w:hAnsi="Garamond"/>
          <w:sz w:val="21"/>
          <w:szCs w:val="21"/>
          <w:lang w:val="en-GB"/>
        </w:rPr>
        <w:t>, &lt;</w:t>
      </w:r>
      <w:hyperlink r:id="rId11" w:history="1">
        <w:r w:rsidRPr="004436CF">
          <w:rPr>
            <w:rStyle w:val="Hiperligao"/>
            <w:rFonts w:ascii="Garamond" w:hAnsi="Garamond"/>
            <w:sz w:val="21"/>
            <w:szCs w:val="21"/>
            <w:lang w:val="en-GB"/>
          </w:rPr>
          <w:t>http://www.convivioastrologico.it/articoli_vari/barbault_intervista.htm</w:t>
        </w:r>
      </w:hyperlink>
      <w:r w:rsidRPr="004436CF">
        <w:rPr>
          <w:rFonts w:ascii="Garamond" w:hAnsi="Garamond"/>
          <w:sz w:val="21"/>
          <w:szCs w:val="21"/>
          <w:lang w:val="en-GB"/>
        </w:rPr>
        <w:t>&gt;, [accessed 21.July 2020]</w:t>
      </w:r>
    </w:p>
    <w:p w:rsidR="00AB41D3" w:rsidRPr="004436CF" w:rsidRDefault="00AB41D3" w:rsidP="00AB41D3">
      <w:pPr>
        <w:pStyle w:val="Textodenotaderodap"/>
        <w:spacing w:after="120"/>
        <w:jc w:val="both"/>
        <w:rPr>
          <w:rFonts w:ascii="Garamond" w:hAnsi="Garamond"/>
          <w:sz w:val="21"/>
          <w:szCs w:val="21"/>
          <w:lang w:val="en-GB"/>
        </w:rPr>
      </w:pPr>
      <w:bookmarkStart w:id="18" w:name="_Hlk47350469"/>
      <w:bookmarkEnd w:id="17"/>
      <w:r w:rsidRPr="004436CF">
        <w:rPr>
          <w:rFonts w:ascii="Garamond" w:hAnsi="Garamond" w:cs="Arial"/>
          <w:sz w:val="21"/>
          <w:szCs w:val="21"/>
          <w:lang w:val="en-GB"/>
        </w:rPr>
        <w:t xml:space="preserve">Bell, Lynn, </w:t>
      </w:r>
      <w:r w:rsidRPr="004436CF">
        <w:rPr>
          <w:rFonts w:ascii="Garamond" w:hAnsi="Garamond" w:cs="Arial"/>
          <w:i/>
          <w:iCs/>
          <w:sz w:val="21"/>
          <w:szCs w:val="21"/>
          <w:lang w:val="en-GB"/>
        </w:rPr>
        <w:t xml:space="preserve">André </w:t>
      </w:r>
      <w:proofErr w:type="spellStart"/>
      <w:r w:rsidRPr="004436CF">
        <w:rPr>
          <w:rFonts w:ascii="Garamond" w:hAnsi="Garamond" w:cs="Arial"/>
          <w:i/>
          <w:iCs/>
          <w:sz w:val="21"/>
          <w:szCs w:val="21"/>
          <w:lang w:val="en-GB"/>
        </w:rPr>
        <w:t>Barbault</w:t>
      </w:r>
      <w:proofErr w:type="spellEnd"/>
      <w:r w:rsidRPr="004436CF">
        <w:rPr>
          <w:rFonts w:ascii="Garamond" w:hAnsi="Garamond" w:cs="Arial"/>
          <w:i/>
          <w:iCs/>
          <w:sz w:val="21"/>
          <w:szCs w:val="21"/>
          <w:lang w:val="en-GB"/>
        </w:rPr>
        <w:t xml:space="preserve"> in Conversation with Lynn Bell</w:t>
      </w:r>
      <w:r w:rsidRPr="004436CF">
        <w:rPr>
          <w:rFonts w:ascii="Garamond" w:hAnsi="Garamond" w:cs="Arial"/>
          <w:sz w:val="21"/>
          <w:szCs w:val="21"/>
          <w:lang w:val="en-GB"/>
        </w:rPr>
        <w:t>, &lt;</w:t>
      </w:r>
      <w:hyperlink r:id="rId12" w:history="1">
        <w:r w:rsidRPr="004436CF">
          <w:rPr>
            <w:rStyle w:val="Hiperligao"/>
            <w:rFonts w:ascii="Garamond" w:hAnsi="Garamond"/>
            <w:sz w:val="21"/>
            <w:szCs w:val="21"/>
            <w:lang w:val="en-GB"/>
          </w:rPr>
          <w:t>https://www.youtube.com/watch?v=VgVYt7IQjJs</w:t>
        </w:r>
      </w:hyperlink>
      <w:r w:rsidRPr="004436CF">
        <w:rPr>
          <w:rFonts w:ascii="Garamond" w:hAnsi="Garamond"/>
          <w:sz w:val="21"/>
          <w:szCs w:val="21"/>
          <w:lang w:val="en-GB"/>
        </w:rPr>
        <w:t>&gt;, [accessed 20 March 2020]</w:t>
      </w:r>
    </w:p>
    <w:p w:rsidR="00AB41D3" w:rsidRPr="004436CF" w:rsidRDefault="00AB41D3" w:rsidP="00AB41D3">
      <w:pPr>
        <w:spacing w:after="120"/>
        <w:jc w:val="both"/>
        <w:rPr>
          <w:rFonts w:ascii="Garamond" w:hAnsi="Garamond" w:cs="Arial"/>
          <w:sz w:val="21"/>
          <w:szCs w:val="21"/>
          <w:shd w:val="clear" w:color="auto" w:fill="FFFFFF"/>
          <w:lang w:val="fr-FR"/>
        </w:rPr>
      </w:pPr>
      <w:bookmarkStart w:id="19" w:name="_Hlk47349802"/>
      <w:bookmarkEnd w:id="18"/>
      <w:proofErr w:type="spellStart"/>
      <w:r w:rsidRPr="004436CF">
        <w:rPr>
          <w:rFonts w:ascii="Garamond" w:hAnsi="Garamond" w:cs="Arial"/>
          <w:sz w:val="21"/>
          <w:szCs w:val="21"/>
          <w:shd w:val="clear" w:color="auto" w:fill="FFFFFF"/>
          <w:lang w:val="fr-FR"/>
        </w:rPr>
        <w:t>Bobzien</w:t>
      </w:r>
      <w:proofErr w:type="spellEnd"/>
      <w:r w:rsidRPr="004436CF">
        <w:rPr>
          <w:rFonts w:ascii="Garamond" w:hAnsi="Garamond" w:cs="Arial"/>
          <w:sz w:val="21"/>
          <w:szCs w:val="21"/>
          <w:shd w:val="clear" w:color="auto" w:fill="FFFFFF"/>
          <w:lang w:val="fr-FR"/>
        </w:rPr>
        <w:t>, Susanne, ‘</w:t>
      </w:r>
      <w:proofErr w:type="spellStart"/>
      <w:r w:rsidRPr="004436CF">
        <w:rPr>
          <w:rFonts w:ascii="Garamond" w:hAnsi="Garamond" w:cs="Arial"/>
          <w:sz w:val="21"/>
          <w:szCs w:val="21"/>
          <w:shd w:val="clear" w:color="auto" w:fill="FFFFFF"/>
          <w:lang w:val="fr-FR"/>
        </w:rPr>
        <w:t>Early</w:t>
      </w:r>
      <w:proofErr w:type="spellEnd"/>
      <w:r w:rsidRPr="004436CF">
        <w:rPr>
          <w:rFonts w:ascii="Garamond" w:hAnsi="Garamond" w:cs="Arial"/>
          <w:sz w:val="21"/>
          <w:szCs w:val="21"/>
          <w:shd w:val="clear" w:color="auto" w:fill="FFFFFF"/>
          <w:lang w:val="fr-FR"/>
        </w:rPr>
        <w:t xml:space="preserve"> </w:t>
      </w:r>
      <w:proofErr w:type="spellStart"/>
      <w:r w:rsidRPr="004436CF">
        <w:rPr>
          <w:rFonts w:ascii="Garamond" w:hAnsi="Garamond" w:cs="Arial"/>
          <w:sz w:val="21"/>
          <w:szCs w:val="21"/>
          <w:shd w:val="clear" w:color="auto" w:fill="FFFFFF"/>
          <w:lang w:val="fr-FR"/>
        </w:rPr>
        <w:t>Stoic</w:t>
      </w:r>
      <w:proofErr w:type="spellEnd"/>
      <w:r w:rsidRPr="004436CF">
        <w:rPr>
          <w:rFonts w:ascii="Garamond" w:hAnsi="Garamond" w:cs="Arial"/>
          <w:sz w:val="21"/>
          <w:szCs w:val="21"/>
          <w:shd w:val="clear" w:color="auto" w:fill="FFFFFF"/>
          <w:lang w:val="fr-FR"/>
        </w:rPr>
        <w:t xml:space="preserve"> </w:t>
      </w:r>
      <w:proofErr w:type="spellStart"/>
      <w:r w:rsidRPr="004436CF">
        <w:rPr>
          <w:rFonts w:ascii="Garamond" w:hAnsi="Garamond" w:cs="Arial"/>
          <w:sz w:val="21"/>
          <w:szCs w:val="21"/>
          <w:shd w:val="clear" w:color="auto" w:fill="FFFFFF"/>
          <w:lang w:val="fr-FR"/>
        </w:rPr>
        <w:t>Determinism</w:t>
      </w:r>
      <w:proofErr w:type="spellEnd"/>
      <w:r w:rsidRPr="004436CF">
        <w:rPr>
          <w:rFonts w:ascii="Garamond" w:hAnsi="Garamond" w:cs="Arial"/>
          <w:sz w:val="21"/>
          <w:szCs w:val="21"/>
          <w:shd w:val="clear" w:color="auto" w:fill="FFFFFF"/>
          <w:lang w:val="fr-FR"/>
        </w:rPr>
        <w:t xml:space="preserve">’, </w:t>
      </w:r>
      <w:r w:rsidRPr="004436CF">
        <w:rPr>
          <w:rFonts w:ascii="Garamond" w:hAnsi="Garamond" w:cs="Arial"/>
          <w:i/>
          <w:iCs/>
          <w:sz w:val="21"/>
          <w:szCs w:val="21"/>
          <w:shd w:val="clear" w:color="auto" w:fill="FFFFFF"/>
          <w:lang w:val="fr-FR"/>
        </w:rPr>
        <w:t>Revue de Métaphysique et de Morale</w:t>
      </w:r>
      <w:r w:rsidRPr="004436CF">
        <w:rPr>
          <w:rFonts w:ascii="Garamond" w:hAnsi="Garamond" w:cs="Arial"/>
          <w:sz w:val="21"/>
          <w:szCs w:val="21"/>
          <w:shd w:val="clear" w:color="auto" w:fill="FFFFFF"/>
          <w:lang w:val="fr-FR"/>
        </w:rPr>
        <w:t>, no. 4 (2005), pp. 489-516</w:t>
      </w:r>
    </w:p>
    <w:p w:rsidR="00AB41D3" w:rsidRPr="004436CF" w:rsidRDefault="00AB41D3" w:rsidP="00AB41D3">
      <w:pPr>
        <w:spacing w:after="120"/>
        <w:jc w:val="both"/>
        <w:rPr>
          <w:rFonts w:ascii="Garamond" w:hAnsi="Garamond" w:cstheme="minorHAnsi"/>
          <w:sz w:val="21"/>
          <w:szCs w:val="21"/>
          <w:shd w:val="clear" w:color="auto" w:fill="FFFFFF"/>
        </w:rPr>
      </w:pPr>
      <w:bookmarkStart w:id="20" w:name="_Hlk47349424"/>
      <w:bookmarkEnd w:id="19"/>
      <w:proofErr w:type="spellStart"/>
      <w:r w:rsidRPr="004436CF">
        <w:rPr>
          <w:rFonts w:ascii="Garamond" w:hAnsi="Garamond" w:cstheme="minorHAnsi"/>
          <w:sz w:val="21"/>
          <w:szCs w:val="21"/>
          <w:shd w:val="clear" w:color="auto" w:fill="FFFFFF"/>
        </w:rPr>
        <w:t>Broadie</w:t>
      </w:r>
      <w:proofErr w:type="spellEnd"/>
      <w:r w:rsidRPr="004436CF">
        <w:rPr>
          <w:rFonts w:ascii="Garamond" w:hAnsi="Garamond" w:cstheme="minorHAnsi"/>
          <w:sz w:val="21"/>
          <w:szCs w:val="21"/>
          <w:shd w:val="clear" w:color="auto" w:fill="FFFFFF"/>
        </w:rPr>
        <w:t xml:space="preserve">, Sarah. ‘From Necessity to Fate: A Fallacy?’ </w:t>
      </w:r>
      <w:r w:rsidRPr="004436CF">
        <w:rPr>
          <w:rFonts w:ascii="Garamond" w:hAnsi="Garamond" w:cstheme="minorHAnsi"/>
          <w:i/>
          <w:iCs/>
          <w:sz w:val="21"/>
          <w:szCs w:val="21"/>
          <w:shd w:val="clear" w:color="auto" w:fill="FFFFFF"/>
        </w:rPr>
        <w:t xml:space="preserve">The Journal of Ethics </w:t>
      </w:r>
      <w:r w:rsidRPr="004436CF">
        <w:rPr>
          <w:rFonts w:ascii="Garamond" w:hAnsi="Garamond" w:cstheme="minorHAnsi"/>
          <w:sz w:val="21"/>
          <w:szCs w:val="21"/>
          <w:shd w:val="clear" w:color="auto" w:fill="FFFFFF"/>
        </w:rPr>
        <w:t>5, no. 1 (2001), 21-37</w:t>
      </w:r>
    </w:p>
    <w:p w:rsidR="00AB41D3" w:rsidRPr="004436CF" w:rsidRDefault="00AB41D3" w:rsidP="00AB41D3">
      <w:pPr>
        <w:pStyle w:val="Textodenotaderodap"/>
        <w:spacing w:after="120"/>
        <w:jc w:val="both"/>
        <w:rPr>
          <w:rFonts w:ascii="Garamond" w:hAnsi="Garamond"/>
          <w:sz w:val="21"/>
          <w:szCs w:val="21"/>
          <w:lang w:val="en-GB"/>
        </w:rPr>
      </w:pPr>
      <w:bookmarkStart w:id="21" w:name="_Hlk47349761"/>
      <w:bookmarkEnd w:id="20"/>
      <w:r w:rsidRPr="004436CF">
        <w:rPr>
          <w:rFonts w:ascii="Garamond" w:hAnsi="Garamond"/>
          <w:sz w:val="21"/>
          <w:szCs w:val="21"/>
          <w:lang w:val="en-GB"/>
        </w:rPr>
        <w:t xml:space="preserve">Diogenes Laertius, </w:t>
      </w:r>
      <w:r w:rsidRPr="004436CF">
        <w:rPr>
          <w:rFonts w:ascii="Garamond" w:hAnsi="Garamond"/>
          <w:i/>
          <w:iCs/>
          <w:sz w:val="21"/>
          <w:szCs w:val="21"/>
          <w:lang w:val="en-GB"/>
        </w:rPr>
        <w:t>Lives of Eminent Philosophers: Zeno</w:t>
      </w:r>
      <w:r w:rsidRPr="004436CF">
        <w:rPr>
          <w:rFonts w:ascii="Garamond" w:hAnsi="Garamond"/>
          <w:sz w:val="21"/>
          <w:szCs w:val="21"/>
          <w:lang w:val="en-GB"/>
        </w:rPr>
        <w:t>, trans. by R. D. Hicks, in Loeb Classical Library (Cambridge, MA: Harvard University Press, 1925), Book VII</w:t>
      </w:r>
    </w:p>
    <w:p w:rsidR="00AB41D3" w:rsidRPr="004436CF" w:rsidRDefault="00AB41D3" w:rsidP="00AB41D3">
      <w:pPr>
        <w:pStyle w:val="Textodenotaderodap"/>
        <w:spacing w:after="120"/>
        <w:jc w:val="both"/>
        <w:rPr>
          <w:rFonts w:ascii="Garamond" w:hAnsi="Garamond"/>
          <w:sz w:val="21"/>
          <w:szCs w:val="21"/>
          <w:lang w:val="en-GB"/>
        </w:rPr>
      </w:pPr>
      <w:bookmarkStart w:id="22" w:name="_Hlk47348810"/>
      <w:bookmarkEnd w:id="21"/>
      <w:proofErr w:type="spellStart"/>
      <w:r w:rsidRPr="004436CF">
        <w:rPr>
          <w:rFonts w:ascii="Garamond" w:hAnsi="Garamond"/>
          <w:sz w:val="21"/>
          <w:szCs w:val="21"/>
          <w:lang w:val="en-GB"/>
        </w:rPr>
        <w:t>Finamore</w:t>
      </w:r>
      <w:proofErr w:type="spellEnd"/>
      <w:r w:rsidRPr="004436CF">
        <w:rPr>
          <w:rFonts w:ascii="Garamond" w:hAnsi="Garamond"/>
          <w:sz w:val="21"/>
          <w:szCs w:val="21"/>
          <w:lang w:val="en-GB"/>
        </w:rPr>
        <w:t>, John F., ‘Aristotle’s Criticisms of Plato’s Tripartite Soul’,</w:t>
      </w:r>
      <w:r w:rsidRPr="004436CF">
        <w:rPr>
          <w:rStyle w:val="fontstyle01"/>
          <w:rFonts w:ascii="Garamond" w:hAnsi="Garamond"/>
          <w:sz w:val="21"/>
          <w:szCs w:val="21"/>
          <w:lang w:val="en-GB"/>
        </w:rPr>
        <w:t xml:space="preserve"> </w:t>
      </w:r>
      <w:r w:rsidRPr="004436CF">
        <w:rPr>
          <w:rFonts w:ascii="Garamond" w:hAnsi="Garamond"/>
          <w:i/>
          <w:iCs/>
          <w:sz w:val="21"/>
          <w:szCs w:val="21"/>
          <w:lang w:val="en-GB"/>
        </w:rPr>
        <w:t>Bulletin of the Institute of Classical Studies,</w:t>
      </w:r>
      <w:r w:rsidRPr="004436CF">
        <w:rPr>
          <w:rFonts w:ascii="Garamond" w:hAnsi="Garamond"/>
          <w:sz w:val="21"/>
          <w:szCs w:val="21"/>
          <w:lang w:val="en-GB"/>
        </w:rPr>
        <w:t xml:space="preserve"> Supplement, no. 117, ANCIENT APPROACHES TO PLATO'S "REPUBLIC" (2013), pp. 3-13</w:t>
      </w:r>
    </w:p>
    <w:p w:rsidR="00AB41D3" w:rsidRPr="004436CF" w:rsidRDefault="00AB41D3" w:rsidP="00AB41D3">
      <w:pPr>
        <w:spacing w:after="120"/>
        <w:jc w:val="both"/>
        <w:rPr>
          <w:rFonts w:ascii="Garamond" w:hAnsi="Garamond" w:cstheme="minorHAnsi"/>
          <w:sz w:val="21"/>
          <w:szCs w:val="21"/>
          <w:shd w:val="clear" w:color="auto" w:fill="FFFFFF"/>
        </w:rPr>
      </w:pPr>
      <w:bookmarkStart w:id="23" w:name="_Hlk47349989"/>
      <w:bookmarkEnd w:id="22"/>
      <w:r w:rsidRPr="004436CF">
        <w:rPr>
          <w:rFonts w:ascii="Garamond" w:hAnsi="Garamond" w:cs="Arial"/>
          <w:sz w:val="21"/>
          <w:szCs w:val="21"/>
          <w:shd w:val="clear" w:color="auto" w:fill="FFFFFF"/>
        </w:rPr>
        <w:t xml:space="preserve">Gould, Josiah B., ‘The Stoic Conception of Fate’, </w:t>
      </w:r>
      <w:r w:rsidRPr="004436CF">
        <w:rPr>
          <w:rFonts w:ascii="Garamond" w:hAnsi="Garamond" w:cs="Arial"/>
          <w:i/>
          <w:iCs/>
          <w:sz w:val="21"/>
          <w:szCs w:val="21"/>
          <w:shd w:val="clear" w:color="auto" w:fill="FFFFFF"/>
        </w:rPr>
        <w:t>Journal of the History of Ideas</w:t>
      </w:r>
      <w:r w:rsidRPr="004436CF">
        <w:rPr>
          <w:rFonts w:ascii="Garamond" w:hAnsi="Garamond" w:cs="Arial"/>
          <w:sz w:val="21"/>
          <w:szCs w:val="21"/>
          <w:shd w:val="clear" w:color="auto" w:fill="FFFFFF"/>
        </w:rPr>
        <w:t>, vol. 35, no. 1 (1974), pp. 17-32</w:t>
      </w:r>
    </w:p>
    <w:p w:rsidR="00AB41D3" w:rsidRPr="004436CF" w:rsidRDefault="00AB41D3" w:rsidP="00AB41D3">
      <w:pPr>
        <w:pStyle w:val="Textodenotaderodap"/>
        <w:spacing w:after="120"/>
        <w:jc w:val="both"/>
        <w:rPr>
          <w:rFonts w:ascii="Garamond" w:hAnsi="Garamond"/>
          <w:sz w:val="21"/>
          <w:szCs w:val="21"/>
        </w:rPr>
      </w:pPr>
      <w:bookmarkStart w:id="24" w:name="_Hlk47351779"/>
      <w:bookmarkEnd w:id="23"/>
      <w:r w:rsidRPr="004436CF">
        <w:rPr>
          <w:rFonts w:ascii="Garamond" w:hAnsi="Garamond"/>
          <w:sz w:val="21"/>
          <w:szCs w:val="21"/>
        </w:rPr>
        <w:t xml:space="preserve">Monsaraz, Maria Flávia de, </w:t>
      </w:r>
      <w:r w:rsidRPr="004436CF">
        <w:rPr>
          <w:rFonts w:ascii="Garamond" w:hAnsi="Garamond"/>
          <w:i/>
          <w:iCs/>
          <w:sz w:val="21"/>
          <w:szCs w:val="21"/>
        </w:rPr>
        <w:t>11 entrevistas e um poema de sempre</w:t>
      </w:r>
      <w:r w:rsidRPr="004436CF">
        <w:rPr>
          <w:rFonts w:ascii="Garamond" w:hAnsi="Garamond"/>
          <w:sz w:val="21"/>
          <w:szCs w:val="21"/>
        </w:rPr>
        <w:t xml:space="preserve"> (</w:t>
      </w:r>
      <w:proofErr w:type="spellStart"/>
      <w:r w:rsidRPr="004436CF">
        <w:rPr>
          <w:rFonts w:ascii="Garamond" w:hAnsi="Garamond"/>
          <w:sz w:val="21"/>
          <w:szCs w:val="21"/>
        </w:rPr>
        <w:t>author’s</w:t>
      </w:r>
      <w:proofErr w:type="spellEnd"/>
      <w:r w:rsidRPr="004436CF">
        <w:rPr>
          <w:rFonts w:ascii="Garamond" w:hAnsi="Garamond"/>
          <w:sz w:val="21"/>
          <w:szCs w:val="21"/>
        </w:rPr>
        <w:t xml:space="preserve"> </w:t>
      </w:r>
      <w:proofErr w:type="spellStart"/>
      <w:r w:rsidRPr="004436CF">
        <w:rPr>
          <w:rFonts w:ascii="Garamond" w:hAnsi="Garamond"/>
          <w:sz w:val="21"/>
          <w:szCs w:val="21"/>
        </w:rPr>
        <w:t>edition</w:t>
      </w:r>
      <w:proofErr w:type="spellEnd"/>
      <w:r w:rsidRPr="004436CF">
        <w:rPr>
          <w:rFonts w:ascii="Garamond" w:hAnsi="Garamond"/>
          <w:sz w:val="21"/>
          <w:szCs w:val="21"/>
        </w:rPr>
        <w:t>, 2010)</w:t>
      </w:r>
      <w:bookmarkEnd w:id="24"/>
    </w:p>
    <w:p w:rsidR="00AB41D3" w:rsidRPr="004436CF" w:rsidRDefault="00AB41D3" w:rsidP="00AB41D3">
      <w:pPr>
        <w:pStyle w:val="Textodenotaderodap"/>
        <w:spacing w:after="120"/>
        <w:jc w:val="both"/>
        <w:rPr>
          <w:rFonts w:ascii="Garamond" w:hAnsi="Garamond"/>
          <w:sz w:val="21"/>
          <w:szCs w:val="21"/>
        </w:rPr>
      </w:pPr>
      <w:bookmarkStart w:id="25" w:name="_Hlk47352210"/>
      <w:r w:rsidRPr="004436CF">
        <w:rPr>
          <w:rFonts w:ascii="Garamond" w:hAnsi="Garamond"/>
          <w:sz w:val="21"/>
          <w:szCs w:val="21"/>
        </w:rPr>
        <w:t xml:space="preserve">Monsaraz, Maria Flávia </w:t>
      </w:r>
      <w:proofErr w:type="gramStart"/>
      <w:r w:rsidRPr="004436CF">
        <w:rPr>
          <w:rFonts w:ascii="Garamond" w:hAnsi="Garamond"/>
          <w:sz w:val="21"/>
          <w:szCs w:val="21"/>
        </w:rPr>
        <w:t xml:space="preserve">de, </w:t>
      </w:r>
      <w:r w:rsidRPr="004436CF">
        <w:rPr>
          <w:rFonts w:ascii="Garamond" w:hAnsi="Garamond"/>
          <w:i/>
          <w:iCs/>
          <w:sz w:val="21"/>
          <w:szCs w:val="21"/>
        </w:rPr>
        <w:t>Cosmos</w:t>
      </w:r>
      <w:proofErr w:type="gramEnd"/>
      <w:r w:rsidRPr="004436CF">
        <w:rPr>
          <w:rFonts w:ascii="Garamond" w:hAnsi="Garamond"/>
          <w:i/>
          <w:iCs/>
          <w:sz w:val="21"/>
          <w:szCs w:val="21"/>
        </w:rPr>
        <w:t xml:space="preserve"> Ordem Matriz</w:t>
      </w:r>
      <w:r w:rsidRPr="004436CF">
        <w:rPr>
          <w:rFonts w:ascii="Garamond" w:hAnsi="Garamond"/>
          <w:sz w:val="21"/>
          <w:szCs w:val="21"/>
        </w:rPr>
        <w:t xml:space="preserve"> (</w:t>
      </w:r>
      <w:proofErr w:type="spellStart"/>
      <w:r w:rsidRPr="004436CF">
        <w:rPr>
          <w:rFonts w:ascii="Garamond" w:hAnsi="Garamond"/>
          <w:sz w:val="21"/>
          <w:szCs w:val="21"/>
        </w:rPr>
        <w:t>author’s</w:t>
      </w:r>
      <w:proofErr w:type="spellEnd"/>
      <w:r w:rsidRPr="004436CF">
        <w:rPr>
          <w:rFonts w:ascii="Garamond" w:hAnsi="Garamond"/>
          <w:sz w:val="21"/>
          <w:szCs w:val="21"/>
        </w:rPr>
        <w:t xml:space="preserve"> </w:t>
      </w:r>
      <w:proofErr w:type="spellStart"/>
      <w:r w:rsidRPr="004436CF">
        <w:rPr>
          <w:rFonts w:ascii="Garamond" w:hAnsi="Garamond"/>
          <w:sz w:val="21"/>
          <w:szCs w:val="21"/>
        </w:rPr>
        <w:t>edition</w:t>
      </w:r>
      <w:proofErr w:type="spellEnd"/>
      <w:r w:rsidRPr="004436CF">
        <w:rPr>
          <w:rFonts w:ascii="Garamond" w:hAnsi="Garamond"/>
          <w:sz w:val="21"/>
          <w:szCs w:val="21"/>
        </w:rPr>
        <w:t>, 2013 [2000])</w:t>
      </w:r>
    </w:p>
    <w:p w:rsidR="00AB41D3" w:rsidRPr="004436CF" w:rsidRDefault="00AB41D3" w:rsidP="00AB41D3">
      <w:pPr>
        <w:pStyle w:val="Textodenotaderodap"/>
        <w:spacing w:after="120"/>
        <w:jc w:val="both"/>
        <w:rPr>
          <w:rFonts w:ascii="Garamond" w:hAnsi="Garamond"/>
          <w:sz w:val="21"/>
          <w:szCs w:val="21"/>
        </w:rPr>
      </w:pPr>
      <w:bookmarkStart w:id="26" w:name="_Hlk47351860"/>
      <w:bookmarkEnd w:id="25"/>
      <w:r w:rsidRPr="004436CF">
        <w:rPr>
          <w:rFonts w:ascii="Garamond" w:hAnsi="Garamond"/>
          <w:sz w:val="21"/>
          <w:szCs w:val="21"/>
        </w:rPr>
        <w:t xml:space="preserve">Monsaraz, Maria Flávia </w:t>
      </w:r>
      <w:proofErr w:type="gramStart"/>
      <w:r w:rsidRPr="004436CF">
        <w:rPr>
          <w:rFonts w:ascii="Garamond" w:hAnsi="Garamond"/>
          <w:sz w:val="21"/>
          <w:szCs w:val="21"/>
        </w:rPr>
        <w:t xml:space="preserve">de, </w:t>
      </w:r>
      <w:bookmarkStart w:id="27" w:name="_Hlk47295377"/>
      <w:r w:rsidRPr="004436CF">
        <w:rPr>
          <w:rFonts w:ascii="Garamond" w:hAnsi="Garamond"/>
          <w:i/>
          <w:iCs/>
          <w:sz w:val="21"/>
          <w:szCs w:val="21"/>
        </w:rPr>
        <w:t>Iniciação</w:t>
      </w:r>
      <w:proofErr w:type="gramEnd"/>
      <w:r w:rsidRPr="004436CF">
        <w:rPr>
          <w:rFonts w:ascii="Garamond" w:hAnsi="Garamond"/>
          <w:i/>
          <w:iCs/>
          <w:sz w:val="21"/>
          <w:szCs w:val="21"/>
        </w:rPr>
        <w:t xml:space="preserve"> à Astrologia</w:t>
      </w:r>
      <w:bookmarkEnd w:id="27"/>
      <w:r w:rsidRPr="004436CF">
        <w:rPr>
          <w:rFonts w:ascii="Garamond" w:hAnsi="Garamond"/>
          <w:i/>
          <w:iCs/>
          <w:sz w:val="21"/>
          <w:szCs w:val="21"/>
        </w:rPr>
        <w:t xml:space="preserve">, à Ordem do Universo e ao Sentido da Vida. Da Dessacralização dos Tempos à Viragem dos Tempos </w:t>
      </w:r>
      <w:r w:rsidRPr="004436CF">
        <w:rPr>
          <w:rFonts w:ascii="Garamond" w:hAnsi="Garamond"/>
          <w:sz w:val="21"/>
          <w:szCs w:val="21"/>
        </w:rPr>
        <w:t>(</w:t>
      </w:r>
      <w:proofErr w:type="spellStart"/>
      <w:r w:rsidRPr="004436CF">
        <w:rPr>
          <w:rFonts w:ascii="Garamond" w:hAnsi="Garamond"/>
          <w:sz w:val="21"/>
          <w:szCs w:val="21"/>
        </w:rPr>
        <w:t>author’s</w:t>
      </w:r>
      <w:proofErr w:type="spellEnd"/>
      <w:r w:rsidRPr="004436CF">
        <w:rPr>
          <w:rFonts w:ascii="Garamond" w:hAnsi="Garamond"/>
          <w:sz w:val="21"/>
          <w:szCs w:val="21"/>
        </w:rPr>
        <w:t xml:space="preserve"> </w:t>
      </w:r>
      <w:proofErr w:type="spellStart"/>
      <w:r w:rsidRPr="004436CF">
        <w:rPr>
          <w:rFonts w:ascii="Garamond" w:hAnsi="Garamond"/>
          <w:sz w:val="21"/>
          <w:szCs w:val="21"/>
        </w:rPr>
        <w:t>edition</w:t>
      </w:r>
      <w:proofErr w:type="spellEnd"/>
      <w:r w:rsidRPr="004436CF">
        <w:rPr>
          <w:rFonts w:ascii="Garamond" w:hAnsi="Garamond"/>
          <w:sz w:val="21"/>
          <w:szCs w:val="21"/>
        </w:rPr>
        <w:t>, 2017)</w:t>
      </w:r>
    </w:p>
    <w:p w:rsidR="00AB41D3" w:rsidRPr="004436CF" w:rsidRDefault="00AB41D3" w:rsidP="00AB41D3">
      <w:pPr>
        <w:pStyle w:val="Textodenotaderodap"/>
        <w:spacing w:after="120"/>
        <w:jc w:val="both"/>
        <w:rPr>
          <w:rFonts w:ascii="Garamond" w:hAnsi="Garamond"/>
          <w:sz w:val="21"/>
          <w:szCs w:val="21"/>
          <w:lang w:val="en-GB"/>
        </w:rPr>
      </w:pPr>
      <w:bookmarkStart w:id="28" w:name="_Hlk47348113"/>
      <w:bookmarkEnd w:id="26"/>
      <w:r w:rsidRPr="004436CF">
        <w:rPr>
          <w:rFonts w:ascii="Garamond" w:hAnsi="Garamond" w:cstheme="minorHAnsi"/>
          <w:sz w:val="21"/>
          <w:szCs w:val="21"/>
          <w:shd w:val="clear" w:color="auto" w:fill="FFFFFF"/>
          <w:lang w:val="en-GB"/>
        </w:rPr>
        <w:t xml:space="preserve">R.G.B, Introduction to the </w:t>
      </w:r>
      <w:r w:rsidRPr="004436CF">
        <w:rPr>
          <w:rFonts w:ascii="Garamond" w:hAnsi="Garamond" w:cstheme="minorHAnsi"/>
          <w:i/>
          <w:iCs/>
          <w:sz w:val="21"/>
          <w:szCs w:val="21"/>
          <w:shd w:val="clear" w:color="auto" w:fill="FFFFFF"/>
          <w:lang w:val="en-GB"/>
        </w:rPr>
        <w:t>Timaeus</w:t>
      </w:r>
      <w:r w:rsidRPr="004436CF">
        <w:rPr>
          <w:rFonts w:ascii="Garamond" w:hAnsi="Garamond" w:cstheme="minorHAnsi"/>
          <w:sz w:val="21"/>
          <w:szCs w:val="21"/>
          <w:shd w:val="clear" w:color="auto" w:fill="FFFFFF"/>
          <w:lang w:val="en-GB"/>
        </w:rPr>
        <w:t>, by Plato, in Loeb Classical Library (Cambridge, MA: Harvard University Press, 1929), pp. 3-15</w:t>
      </w:r>
      <w:bookmarkEnd w:id="28"/>
      <w:r w:rsidRPr="004436CF">
        <w:rPr>
          <w:rFonts w:ascii="Garamond" w:hAnsi="Garamond" w:cstheme="minorHAnsi"/>
          <w:i/>
          <w:iCs/>
          <w:sz w:val="21"/>
          <w:szCs w:val="21"/>
          <w:shd w:val="clear" w:color="auto" w:fill="FFFFFF"/>
          <w:lang w:val="en-GB"/>
        </w:rPr>
        <w:t xml:space="preserve"> </w:t>
      </w:r>
    </w:p>
    <w:p w:rsidR="00AB41D3" w:rsidRPr="004436CF" w:rsidRDefault="00AB41D3" w:rsidP="00AB41D3">
      <w:pPr>
        <w:spacing w:after="120"/>
        <w:jc w:val="both"/>
        <w:rPr>
          <w:rFonts w:ascii="Garamond" w:hAnsi="Garamond" w:cstheme="minorHAnsi"/>
          <w:sz w:val="21"/>
          <w:szCs w:val="21"/>
          <w:shd w:val="clear" w:color="auto" w:fill="FFFFFF"/>
        </w:rPr>
      </w:pPr>
      <w:bookmarkStart w:id="29" w:name="_Hlk47347534"/>
      <w:r w:rsidRPr="004436CF">
        <w:rPr>
          <w:rFonts w:ascii="Garamond" w:hAnsi="Garamond" w:cstheme="minorHAnsi"/>
          <w:sz w:val="21"/>
          <w:szCs w:val="21"/>
          <w:shd w:val="clear" w:color="auto" w:fill="FFFFFF"/>
        </w:rPr>
        <w:t xml:space="preserve">Plato, </w:t>
      </w:r>
      <w:r w:rsidRPr="004436CF">
        <w:rPr>
          <w:rFonts w:ascii="Garamond" w:hAnsi="Garamond" w:cstheme="minorHAnsi"/>
          <w:i/>
          <w:iCs/>
          <w:sz w:val="21"/>
          <w:szCs w:val="21"/>
          <w:shd w:val="clear" w:color="auto" w:fill="FFFFFF"/>
        </w:rPr>
        <w:t>Timaeus</w:t>
      </w:r>
      <w:r w:rsidRPr="004436CF">
        <w:rPr>
          <w:rFonts w:ascii="Garamond" w:hAnsi="Garamond" w:cstheme="minorHAnsi"/>
          <w:sz w:val="21"/>
          <w:szCs w:val="21"/>
          <w:shd w:val="clear" w:color="auto" w:fill="FFFFFF"/>
        </w:rPr>
        <w:t>, trans. by R.G.B., in Loeb Classical Library (Cambridge, MA: Harvard University Press, 1929)</w:t>
      </w:r>
    </w:p>
    <w:p w:rsidR="00AB41D3" w:rsidRPr="004436CF" w:rsidRDefault="00AB41D3" w:rsidP="00AB41D3">
      <w:pPr>
        <w:spacing w:after="120"/>
        <w:jc w:val="both"/>
        <w:rPr>
          <w:rFonts w:ascii="Garamond" w:hAnsi="Garamond"/>
          <w:sz w:val="21"/>
          <w:szCs w:val="21"/>
        </w:rPr>
      </w:pPr>
      <w:bookmarkStart w:id="30" w:name="_Hlk47348324"/>
      <w:bookmarkEnd w:id="29"/>
      <w:r w:rsidRPr="004436CF">
        <w:rPr>
          <w:rFonts w:ascii="Garamond" w:hAnsi="Garamond" w:cstheme="minorHAnsi"/>
          <w:sz w:val="21"/>
          <w:szCs w:val="21"/>
          <w:shd w:val="clear" w:color="auto" w:fill="FFFFFF"/>
        </w:rPr>
        <w:t xml:space="preserve">Plato, </w:t>
      </w:r>
      <w:r w:rsidRPr="004436CF">
        <w:rPr>
          <w:rFonts w:ascii="Garamond" w:hAnsi="Garamond" w:cstheme="minorHAnsi"/>
          <w:i/>
          <w:iCs/>
          <w:sz w:val="21"/>
          <w:szCs w:val="21"/>
          <w:shd w:val="clear" w:color="auto" w:fill="FFFFFF"/>
        </w:rPr>
        <w:t>Republic</w:t>
      </w:r>
      <w:r w:rsidRPr="004436CF">
        <w:rPr>
          <w:rFonts w:ascii="Garamond" w:hAnsi="Garamond" w:cstheme="minorHAnsi"/>
          <w:sz w:val="21"/>
          <w:szCs w:val="21"/>
          <w:shd w:val="clear" w:color="auto" w:fill="FFFFFF"/>
        </w:rPr>
        <w:t xml:space="preserve">, in Loeb Classical Library (Cambridge, MA: Harvard University Press, 2013), Book X, </w:t>
      </w:r>
      <w:r w:rsidRPr="004436CF">
        <w:rPr>
          <w:rFonts w:ascii="Garamond" w:hAnsi="Garamond"/>
          <w:sz w:val="21"/>
          <w:szCs w:val="21"/>
        </w:rPr>
        <w:t>614b-621b, pp. 462-87</w:t>
      </w:r>
      <w:bookmarkEnd w:id="30"/>
    </w:p>
    <w:p w:rsidR="00AB41D3" w:rsidRPr="004436CF" w:rsidRDefault="00AB41D3" w:rsidP="00AB41D3">
      <w:pPr>
        <w:spacing w:after="120"/>
        <w:jc w:val="both"/>
        <w:rPr>
          <w:rFonts w:ascii="Garamond" w:hAnsi="Garamond" w:cs="Arial"/>
          <w:sz w:val="21"/>
          <w:szCs w:val="21"/>
          <w:shd w:val="clear" w:color="auto" w:fill="FFFFFF"/>
        </w:rPr>
      </w:pPr>
      <w:proofErr w:type="spellStart"/>
      <w:r w:rsidRPr="004436CF">
        <w:rPr>
          <w:rFonts w:ascii="Garamond" w:hAnsi="Garamond" w:cs="Arial"/>
          <w:sz w:val="21"/>
          <w:szCs w:val="21"/>
          <w:shd w:val="clear" w:color="auto" w:fill="FFFFFF"/>
        </w:rPr>
        <w:t>Scade</w:t>
      </w:r>
      <w:proofErr w:type="spellEnd"/>
      <w:r w:rsidRPr="004436CF">
        <w:rPr>
          <w:rFonts w:ascii="Garamond" w:hAnsi="Garamond" w:cs="Arial"/>
          <w:sz w:val="21"/>
          <w:szCs w:val="21"/>
          <w:shd w:val="clear" w:color="auto" w:fill="FFFFFF"/>
        </w:rPr>
        <w:t xml:space="preserve">, Paul, ‘Stoic Cosmological Limits and Their Platonic Background’, </w:t>
      </w:r>
      <w:r w:rsidRPr="004436CF">
        <w:rPr>
          <w:rFonts w:ascii="Garamond" w:hAnsi="Garamond" w:cs="Arial"/>
          <w:i/>
          <w:iCs/>
          <w:sz w:val="21"/>
          <w:szCs w:val="21"/>
          <w:shd w:val="clear" w:color="auto" w:fill="FFFFFF"/>
        </w:rPr>
        <w:t>Bulletin of the Institute of Classical Studies, Supplement</w:t>
      </w:r>
      <w:r w:rsidRPr="004436CF">
        <w:rPr>
          <w:rFonts w:ascii="Garamond" w:hAnsi="Garamond" w:cs="Arial"/>
          <w:sz w:val="21"/>
          <w:szCs w:val="21"/>
          <w:shd w:val="clear" w:color="auto" w:fill="FFFFFF"/>
        </w:rPr>
        <w:t>, no. 107 (2010), pp. 143-83</w:t>
      </w:r>
    </w:p>
    <w:p w:rsidR="00AB41D3" w:rsidRPr="004436CF" w:rsidRDefault="00AB41D3" w:rsidP="00AB41D3">
      <w:pPr>
        <w:spacing w:after="120"/>
        <w:jc w:val="both"/>
        <w:rPr>
          <w:rFonts w:ascii="Garamond" w:hAnsi="Garamond" w:cs="Arial"/>
          <w:sz w:val="21"/>
          <w:szCs w:val="21"/>
          <w:shd w:val="clear" w:color="auto" w:fill="FFFFFF"/>
        </w:rPr>
      </w:pPr>
      <w:bookmarkStart w:id="31" w:name="_Hlk47348872"/>
      <w:r w:rsidRPr="004436CF">
        <w:rPr>
          <w:rFonts w:ascii="Garamond" w:hAnsi="Garamond" w:cstheme="minorHAnsi"/>
          <w:sz w:val="21"/>
          <w:szCs w:val="21"/>
          <w:shd w:val="clear" w:color="auto" w:fill="FFFFFF"/>
        </w:rPr>
        <w:t>Sedley,</w:t>
      </w:r>
      <w:r w:rsidRPr="004436CF">
        <w:rPr>
          <w:rFonts w:ascii="Garamond" w:hAnsi="Garamond" w:cs="Arial"/>
          <w:sz w:val="21"/>
          <w:szCs w:val="21"/>
          <w:shd w:val="clear" w:color="auto" w:fill="FFFFFF"/>
        </w:rPr>
        <w:t xml:space="preserve"> </w:t>
      </w:r>
      <w:r w:rsidRPr="004436CF">
        <w:rPr>
          <w:rFonts w:ascii="Garamond" w:hAnsi="Garamond" w:cstheme="minorHAnsi"/>
          <w:sz w:val="21"/>
          <w:szCs w:val="21"/>
          <w:shd w:val="clear" w:color="auto" w:fill="FFFFFF"/>
        </w:rPr>
        <w:t>David</w:t>
      </w:r>
      <w:r w:rsidRPr="004436CF">
        <w:rPr>
          <w:rFonts w:ascii="Garamond" w:hAnsi="Garamond" w:cs="Arial"/>
          <w:sz w:val="21"/>
          <w:szCs w:val="21"/>
          <w:shd w:val="clear" w:color="auto" w:fill="FFFFFF"/>
        </w:rPr>
        <w:t xml:space="preserve">. ‘Aristotle’, in </w:t>
      </w:r>
      <w:r w:rsidRPr="004436CF">
        <w:rPr>
          <w:rFonts w:ascii="Garamond" w:hAnsi="Garamond" w:cs="Arial"/>
          <w:i/>
          <w:iCs/>
          <w:sz w:val="21"/>
          <w:szCs w:val="21"/>
          <w:shd w:val="clear" w:color="auto" w:fill="FFFFFF"/>
        </w:rPr>
        <w:t>Creationism and Its Critics in Antiquity</w:t>
      </w:r>
      <w:r w:rsidRPr="004436CF">
        <w:rPr>
          <w:rFonts w:ascii="Garamond" w:hAnsi="Garamond" w:cs="Arial"/>
          <w:sz w:val="21"/>
          <w:szCs w:val="21"/>
          <w:shd w:val="clear" w:color="auto" w:fill="FFFFFF"/>
        </w:rPr>
        <w:t xml:space="preserve"> (California: University of California Press, 2007), pp. 167-204</w:t>
      </w:r>
      <w:bookmarkEnd w:id="31"/>
    </w:p>
    <w:p w:rsidR="00AB41D3" w:rsidRPr="00FC14C8" w:rsidRDefault="00AB41D3" w:rsidP="00FC14C8">
      <w:pPr>
        <w:spacing w:after="120"/>
        <w:jc w:val="both"/>
        <w:rPr>
          <w:rFonts w:ascii="Garamond" w:hAnsi="Garamond" w:cs="Arial"/>
          <w:sz w:val="21"/>
          <w:szCs w:val="21"/>
          <w:shd w:val="clear" w:color="auto" w:fill="FFFFFF"/>
        </w:rPr>
      </w:pPr>
      <w:bookmarkStart w:id="32" w:name="_Hlk47347606"/>
      <w:r w:rsidRPr="004436CF">
        <w:rPr>
          <w:rFonts w:ascii="Garamond" w:hAnsi="Garamond" w:cstheme="minorHAnsi"/>
          <w:sz w:val="21"/>
          <w:szCs w:val="21"/>
          <w:shd w:val="clear" w:color="auto" w:fill="FFFFFF"/>
        </w:rPr>
        <w:t>Sedley,</w:t>
      </w:r>
      <w:r w:rsidRPr="004436CF">
        <w:rPr>
          <w:rFonts w:ascii="Garamond" w:hAnsi="Garamond" w:cs="Arial"/>
          <w:sz w:val="21"/>
          <w:szCs w:val="21"/>
          <w:shd w:val="clear" w:color="auto" w:fill="FFFFFF"/>
        </w:rPr>
        <w:t xml:space="preserve"> </w:t>
      </w:r>
      <w:r w:rsidRPr="004436CF">
        <w:rPr>
          <w:rFonts w:ascii="Garamond" w:hAnsi="Garamond" w:cstheme="minorHAnsi"/>
          <w:sz w:val="21"/>
          <w:szCs w:val="21"/>
          <w:shd w:val="clear" w:color="auto" w:fill="FFFFFF"/>
        </w:rPr>
        <w:t>David</w:t>
      </w:r>
      <w:r w:rsidRPr="004436CF">
        <w:rPr>
          <w:rFonts w:ascii="Garamond" w:hAnsi="Garamond" w:cs="Arial"/>
          <w:sz w:val="21"/>
          <w:szCs w:val="21"/>
          <w:shd w:val="clear" w:color="auto" w:fill="FFFFFF"/>
        </w:rPr>
        <w:t xml:space="preserve">. ‘Plato’, in </w:t>
      </w:r>
      <w:r w:rsidRPr="004436CF">
        <w:rPr>
          <w:rFonts w:ascii="Garamond" w:hAnsi="Garamond" w:cs="Arial"/>
          <w:i/>
          <w:iCs/>
          <w:sz w:val="21"/>
          <w:szCs w:val="21"/>
          <w:shd w:val="clear" w:color="auto" w:fill="FFFFFF"/>
        </w:rPr>
        <w:t>Creationism and Its Critics in Antiquity</w:t>
      </w:r>
      <w:r w:rsidRPr="004436CF">
        <w:rPr>
          <w:rFonts w:ascii="Garamond" w:hAnsi="Garamond" w:cs="Arial"/>
          <w:sz w:val="21"/>
          <w:szCs w:val="21"/>
          <w:shd w:val="clear" w:color="auto" w:fill="FFFFFF"/>
        </w:rPr>
        <w:t xml:space="preserve"> (California: University of California Press, 2007), pp. 93-132</w:t>
      </w:r>
      <w:bookmarkEnd w:id="32"/>
    </w:p>
    <w:sectPr w:rsidR="00AB41D3" w:rsidRPr="00FC14C8" w:rsidSect="00FC14C8">
      <w:pgSz w:w="12240" w:h="15840"/>
      <w:pgMar w:top="567" w:right="1701" w:bottom="567" w:left="1701"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603E" w:rsidRDefault="00B8603E" w:rsidP="00AD5D5A">
      <w:r>
        <w:separator/>
      </w:r>
    </w:p>
  </w:endnote>
  <w:endnote w:type="continuationSeparator" w:id="0">
    <w:p w:rsidR="00B8603E" w:rsidRDefault="00B8603E"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wis721 LtEx BT">
    <w:panose1 w:val="020B0505020202020204"/>
    <w:charset w:val="00"/>
    <w:family w:val="swiss"/>
    <w:pitch w:val="variable"/>
    <w:sig w:usb0="00000087" w:usb1="00000000" w:usb2="00000000" w:usb3="00000000" w:csb0="0000001B"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Garamond" w:hAnsi="Garamond"/>
        <w:sz w:val="20"/>
        <w:szCs w:val="20"/>
      </w:rPr>
      <w:id w:val="1336806223"/>
      <w:docPartObj>
        <w:docPartGallery w:val="Page Numbers (Bottom of Page)"/>
        <w:docPartUnique/>
      </w:docPartObj>
    </w:sdtPr>
    <w:sdtEndPr>
      <w:rPr>
        <w:b/>
        <w:bCs/>
      </w:rPr>
    </w:sdtEndPr>
    <w:sdtContent>
      <w:sdt>
        <w:sdtPr>
          <w:rPr>
            <w:rFonts w:ascii="Garamond" w:hAnsi="Garamond"/>
            <w:sz w:val="20"/>
            <w:szCs w:val="20"/>
          </w:rPr>
          <w:id w:val="-1769616900"/>
          <w:docPartObj>
            <w:docPartGallery w:val="Page Numbers (Top of Page)"/>
            <w:docPartUnique/>
          </w:docPartObj>
        </w:sdtPr>
        <w:sdtEndPr>
          <w:rPr>
            <w:b/>
            <w:bCs/>
          </w:rPr>
        </w:sdtEndPr>
        <w:sdtContent>
          <w:p w:rsidR="00BF29A8" w:rsidRPr="00BF29A8" w:rsidRDefault="00BF29A8" w:rsidP="00BF29A8">
            <w:pPr>
              <w:pStyle w:val="Rodap"/>
              <w:spacing w:before="360"/>
              <w:jc w:val="center"/>
              <w:rPr>
                <w:rFonts w:ascii="Garamond" w:hAnsi="Garamond"/>
                <w:b/>
                <w:bCs/>
                <w:sz w:val="20"/>
                <w:szCs w:val="20"/>
              </w:rPr>
            </w:pPr>
            <w:r w:rsidRPr="00BF29A8">
              <w:rPr>
                <w:rFonts w:ascii="Garamond" w:hAnsi="Garamond"/>
                <w:b/>
                <w:bCs/>
                <w:sz w:val="20"/>
                <w:szCs w:val="20"/>
              </w:rPr>
              <w:t>Sara Sucena 1917253</w:t>
            </w:r>
            <w:r>
              <w:rPr>
                <w:rFonts w:ascii="Garamond" w:hAnsi="Garamond"/>
                <w:b/>
                <w:bCs/>
                <w:sz w:val="20"/>
                <w:szCs w:val="20"/>
                <w:lang w:val="pt-PT"/>
              </w:rPr>
              <w:t>____________</w:t>
            </w:r>
            <w:r w:rsidRPr="00BF29A8">
              <w:rPr>
                <w:rFonts w:ascii="Garamond" w:hAnsi="Garamond"/>
                <w:b/>
                <w:bCs/>
                <w:sz w:val="20"/>
                <w:szCs w:val="20"/>
              </w:rPr>
              <w:fldChar w:fldCharType="begin"/>
            </w:r>
            <w:r w:rsidRPr="00BF29A8">
              <w:rPr>
                <w:rFonts w:ascii="Garamond" w:hAnsi="Garamond"/>
                <w:b/>
                <w:bCs/>
                <w:sz w:val="20"/>
                <w:szCs w:val="20"/>
              </w:rPr>
              <w:instrText>PAGE</w:instrText>
            </w:r>
            <w:r w:rsidRPr="00BF29A8">
              <w:rPr>
                <w:rFonts w:ascii="Garamond" w:hAnsi="Garamond"/>
                <w:b/>
                <w:bCs/>
                <w:sz w:val="20"/>
                <w:szCs w:val="20"/>
              </w:rPr>
              <w:fldChar w:fldCharType="separate"/>
            </w:r>
            <w:r w:rsidRPr="00BF29A8">
              <w:rPr>
                <w:rFonts w:ascii="Garamond" w:hAnsi="Garamond"/>
                <w:b/>
                <w:bCs/>
                <w:sz w:val="20"/>
                <w:szCs w:val="20"/>
                <w:lang w:val="pt-PT"/>
              </w:rPr>
              <w:t>2</w:t>
            </w:r>
            <w:r w:rsidRPr="00BF29A8">
              <w:rPr>
                <w:rFonts w:ascii="Garamond" w:hAnsi="Garamond"/>
                <w:b/>
                <w:bCs/>
                <w:sz w:val="20"/>
                <w:szCs w:val="20"/>
              </w:rPr>
              <w:fldChar w:fldCharType="end"/>
            </w:r>
            <w:r w:rsidRPr="00BF29A8">
              <w:rPr>
                <w:rFonts w:ascii="Garamond" w:hAnsi="Garamond"/>
                <w:b/>
                <w:bCs/>
                <w:sz w:val="20"/>
                <w:szCs w:val="20"/>
                <w:lang w:val="pt-PT"/>
              </w:rPr>
              <w:t>/</w:t>
            </w:r>
            <w:r w:rsidRPr="00BF29A8">
              <w:rPr>
                <w:rFonts w:ascii="Garamond" w:hAnsi="Garamond"/>
                <w:b/>
                <w:bCs/>
                <w:sz w:val="20"/>
                <w:szCs w:val="20"/>
              </w:rPr>
              <w:fldChar w:fldCharType="begin"/>
            </w:r>
            <w:r w:rsidRPr="00BF29A8">
              <w:rPr>
                <w:rFonts w:ascii="Garamond" w:hAnsi="Garamond"/>
                <w:b/>
                <w:bCs/>
                <w:sz w:val="20"/>
                <w:szCs w:val="20"/>
              </w:rPr>
              <w:instrText>NUMPAGES</w:instrText>
            </w:r>
            <w:r w:rsidRPr="00BF29A8">
              <w:rPr>
                <w:rFonts w:ascii="Garamond" w:hAnsi="Garamond"/>
                <w:b/>
                <w:bCs/>
                <w:sz w:val="20"/>
                <w:szCs w:val="20"/>
              </w:rPr>
              <w:fldChar w:fldCharType="separate"/>
            </w:r>
            <w:r w:rsidRPr="00BF29A8">
              <w:rPr>
                <w:rFonts w:ascii="Garamond" w:hAnsi="Garamond"/>
                <w:b/>
                <w:bCs/>
                <w:sz w:val="20"/>
                <w:szCs w:val="20"/>
                <w:lang w:val="pt-PT"/>
              </w:rPr>
              <w:t>2</w:t>
            </w:r>
            <w:r w:rsidRPr="00BF29A8">
              <w:rPr>
                <w:rFonts w:ascii="Garamond" w:hAnsi="Garamond"/>
                <w:b/>
                <w:bCs/>
                <w:sz w:val="20"/>
                <w:szCs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603E" w:rsidRDefault="00B8603E" w:rsidP="00AD5D5A">
      <w:r>
        <w:separator/>
      </w:r>
    </w:p>
  </w:footnote>
  <w:footnote w:type="continuationSeparator" w:id="0">
    <w:p w:rsidR="00B8603E" w:rsidRDefault="00B8603E" w:rsidP="00AD5D5A">
      <w:r>
        <w:continuationSeparator/>
      </w:r>
    </w:p>
  </w:footnote>
  <w:footnote w:id="1">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Timaeus</w:t>
      </w:r>
      <w:r w:rsidRPr="004436CF">
        <w:rPr>
          <w:rFonts w:ascii="Garamond" w:hAnsi="Garamond"/>
          <w:sz w:val="17"/>
          <w:szCs w:val="17"/>
          <w:lang w:val="en-GB"/>
        </w:rPr>
        <w:t>, trans. by R.G.B., in Loeb Classical Library (Cambridge, MA: Harvard University Press, 1929), 27b.</w:t>
      </w:r>
    </w:p>
  </w:footnote>
  <w:footnote w:id="2">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David Sedley, ‘Plato’, in </w:t>
      </w:r>
      <w:r w:rsidRPr="004436CF">
        <w:rPr>
          <w:rFonts w:ascii="Garamond" w:hAnsi="Garamond"/>
          <w:i/>
          <w:iCs/>
          <w:sz w:val="17"/>
          <w:szCs w:val="17"/>
          <w:lang w:val="en-GB"/>
        </w:rPr>
        <w:t>Creationism and Its Critics in Antiquity</w:t>
      </w:r>
      <w:r w:rsidRPr="004436CF">
        <w:rPr>
          <w:rFonts w:ascii="Garamond" w:hAnsi="Garamond"/>
          <w:sz w:val="17"/>
          <w:szCs w:val="17"/>
          <w:lang w:val="en-GB"/>
        </w:rPr>
        <w:t xml:space="preserve"> (California: University of California Press, 2007), p. 97; R.G.B, Introduction to the </w:t>
      </w:r>
      <w:r w:rsidRPr="004436CF">
        <w:rPr>
          <w:rFonts w:ascii="Garamond" w:hAnsi="Garamond"/>
          <w:i/>
          <w:iCs/>
          <w:sz w:val="17"/>
          <w:szCs w:val="17"/>
          <w:lang w:val="en-GB"/>
        </w:rPr>
        <w:t>Timaeus</w:t>
      </w:r>
      <w:r w:rsidRPr="004436CF">
        <w:rPr>
          <w:rFonts w:ascii="Garamond" w:hAnsi="Garamond"/>
          <w:sz w:val="17"/>
          <w:szCs w:val="17"/>
          <w:lang w:val="en-GB"/>
        </w:rPr>
        <w:t>, by Plato, in Loeb Classical Library (Cambridge, MA: Harvard University Press, 1929), p. 6.</w:t>
      </w:r>
    </w:p>
  </w:footnote>
  <w:footnote w:id="3">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w:t>
      </w:r>
      <w:proofErr w:type="spellStart"/>
      <w:r w:rsidRPr="004436CF">
        <w:rPr>
          <w:rFonts w:ascii="Garamond" w:hAnsi="Garamond"/>
          <w:sz w:val="17"/>
          <w:szCs w:val="17"/>
        </w:rPr>
        <w:t>Plato</w:t>
      </w:r>
      <w:proofErr w:type="spellEnd"/>
      <w:r w:rsidRPr="004436CF">
        <w:rPr>
          <w:rFonts w:ascii="Garamond" w:hAnsi="Garamond"/>
          <w:sz w:val="17"/>
          <w:szCs w:val="17"/>
        </w:rPr>
        <w:t xml:space="preserve">, </w:t>
      </w:r>
      <w:proofErr w:type="spellStart"/>
      <w:r w:rsidRPr="004436CF">
        <w:rPr>
          <w:rFonts w:ascii="Garamond" w:hAnsi="Garamond"/>
          <w:i/>
          <w:iCs/>
          <w:sz w:val="17"/>
          <w:szCs w:val="17"/>
        </w:rPr>
        <w:t>Timaeus</w:t>
      </w:r>
      <w:proofErr w:type="spellEnd"/>
      <w:r w:rsidRPr="004436CF">
        <w:rPr>
          <w:rFonts w:ascii="Garamond" w:hAnsi="Garamond"/>
          <w:sz w:val="17"/>
          <w:szCs w:val="17"/>
        </w:rPr>
        <w:t>, 28b.</w:t>
      </w:r>
    </w:p>
  </w:footnote>
  <w:footnote w:id="4">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w:t>
      </w:r>
      <w:proofErr w:type="spellStart"/>
      <w:r w:rsidRPr="004436CF">
        <w:rPr>
          <w:rFonts w:ascii="Garamond" w:hAnsi="Garamond"/>
          <w:sz w:val="17"/>
          <w:szCs w:val="17"/>
        </w:rPr>
        <w:t>Plato</w:t>
      </w:r>
      <w:proofErr w:type="spellEnd"/>
      <w:r w:rsidRPr="004436CF">
        <w:rPr>
          <w:rFonts w:ascii="Garamond" w:hAnsi="Garamond"/>
          <w:sz w:val="17"/>
          <w:szCs w:val="17"/>
        </w:rPr>
        <w:t xml:space="preserve">, </w:t>
      </w:r>
      <w:proofErr w:type="spellStart"/>
      <w:r w:rsidRPr="004436CF">
        <w:rPr>
          <w:rFonts w:ascii="Garamond" w:hAnsi="Garamond"/>
          <w:i/>
          <w:iCs/>
          <w:sz w:val="17"/>
          <w:szCs w:val="17"/>
        </w:rPr>
        <w:t>Timaeus</w:t>
      </w:r>
      <w:proofErr w:type="spellEnd"/>
      <w:r w:rsidRPr="004436CF">
        <w:rPr>
          <w:rFonts w:ascii="Garamond" w:hAnsi="Garamond"/>
          <w:sz w:val="17"/>
          <w:szCs w:val="17"/>
        </w:rPr>
        <w:t>, 29e-30c.</w:t>
      </w:r>
    </w:p>
  </w:footnote>
  <w:footnote w:id="5">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w:t>
      </w:r>
      <w:proofErr w:type="spellStart"/>
      <w:r w:rsidRPr="004436CF">
        <w:rPr>
          <w:rFonts w:ascii="Garamond" w:hAnsi="Garamond"/>
          <w:sz w:val="17"/>
          <w:szCs w:val="17"/>
        </w:rPr>
        <w:t>Plato</w:t>
      </w:r>
      <w:proofErr w:type="spellEnd"/>
      <w:r w:rsidRPr="004436CF">
        <w:rPr>
          <w:rFonts w:ascii="Garamond" w:hAnsi="Garamond"/>
          <w:sz w:val="17"/>
          <w:szCs w:val="17"/>
        </w:rPr>
        <w:t xml:space="preserve">, </w:t>
      </w:r>
      <w:proofErr w:type="spellStart"/>
      <w:r w:rsidRPr="004436CF">
        <w:rPr>
          <w:rFonts w:ascii="Garamond" w:hAnsi="Garamond"/>
          <w:i/>
          <w:iCs/>
          <w:sz w:val="17"/>
          <w:szCs w:val="17"/>
        </w:rPr>
        <w:t>Timaeus</w:t>
      </w:r>
      <w:proofErr w:type="spellEnd"/>
      <w:r w:rsidRPr="004436CF">
        <w:rPr>
          <w:rFonts w:ascii="Garamond" w:hAnsi="Garamond"/>
          <w:sz w:val="17"/>
          <w:szCs w:val="17"/>
        </w:rPr>
        <w:t>, 37d, 38c.</w:t>
      </w:r>
    </w:p>
  </w:footnote>
  <w:footnote w:id="6">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w:t>
      </w:r>
      <w:proofErr w:type="spellStart"/>
      <w:r w:rsidRPr="004436CF">
        <w:rPr>
          <w:rFonts w:ascii="Garamond" w:hAnsi="Garamond"/>
          <w:sz w:val="17"/>
          <w:szCs w:val="17"/>
        </w:rPr>
        <w:t>Plato</w:t>
      </w:r>
      <w:proofErr w:type="spellEnd"/>
      <w:r w:rsidRPr="004436CF">
        <w:rPr>
          <w:rFonts w:ascii="Garamond" w:hAnsi="Garamond"/>
          <w:sz w:val="17"/>
          <w:szCs w:val="17"/>
        </w:rPr>
        <w:t xml:space="preserve">, </w:t>
      </w:r>
      <w:proofErr w:type="spellStart"/>
      <w:r w:rsidRPr="004436CF">
        <w:rPr>
          <w:rFonts w:ascii="Garamond" w:hAnsi="Garamond"/>
          <w:i/>
          <w:iCs/>
          <w:sz w:val="17"/>
          <w:szCs w:val="17"/>
        </w:rPr>
        <w:t>Timaeus</w:t>
      </w:r>
      <w:proofErr w:type="spellEnd"/>
      <w:r w:rsidRPr="004436CF">
        <w:rPr>
          <w:rFonts w:ascii="Garamond" w:hAnsi="Garamond"/>
          <w:sz w:val="17"/>
          <w:szCs w:val="17"/>
        </w:rPr>
        <w:t>, 38c.</w:t>
      </w:r>
    </w:p>
  </w:footnote>
  <w:footnote w:id="7">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Timaeus</w:t>
      </w:r>
      <w:r w:rsidRPr="004436CF">
        <w:rPr>
          <w:rFonts w:ascii="Garamond" w:hAnsi="Garamond"/>
          <w:sz w:val="17"/>
          <w:szCs w:val="17"/>
          <w:lang w:val="en-GB"/>
        </w:rPr>
        <w:t>, 35b, 41d.</w:t>
      </w:r>
    </w:p>
  </w:footnote>
  <w:footnote w:id="8">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Timaeus</w:t>
      </w:r>
      <w:r w:rsidRPr="004436CF">
        <w:rPr>
          <w:rFonts w:ascii="Garamond" w:hAnsi="Garamond"/>
          <w:sz w:val="17"/>
          <w:szCs w:val="17"/>
          <w:lang w:val="en-GB"/>
        </w:rPr>
        <w:t>, 41e.</w:t>
      </w:r>
    </w:p>
  </w:footnote>
  <w:footnote w:id="9">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xml:space="preserve">, in Loeb Classical Library (Cambridge, MA: Harvard University Press, 2013), Book X, 614b-621b; Plato, </w:t>
      </w:r>
      <w:r w:rsidRPr="004436CF">
        <w:rPr>
          <w:rFonts w:ascii="Garamond" w:hAnsi="Garamond"/>
          <w:i/>
          <w:iCs/>
          <w:sz w:val="17"/>
          <w:szCs w:val="17"/>
          <w:lang w:val="en-GB"/>
        </w:rPr>
        <w:t>Timaeus</w:t>
      </w:r>
      <w:r w:rsidRPr="004436CF">
        <w:rPr>
          <w:rFonts w:ascii="Garamond" w:hAnsi="Garamond"/>
          <w:sz w:val="17"/>
          <w:szCs w:val="17"/>
          <w:lang w:val="en-GB"/>
        </w:rPr>
        <w:t xml:space="preserve">, 41e, 42, 44. </w:t>
      </w:r>
    </w:p>
  </w:footnote>
  <w:footnote w:id="10">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xml:space="preserve">, 614b-616b; Plato, </w:t>
      </w:r>
      <w:r w:rsidRPr="004436CF">
        <w:rPr>
          <w:rFonts w:ascii="Garamond" w:hAnsi="Garamond"/>
          <w:i/>
          <w:iCs/>
          <w:sz w:val="17"/>
          <w:szCs w:val="17"/>
          <w:lang w:val="en-GB"/>
        </w:rPr>
        <w:t>Timaeus</w:t>
      </w:r>
      <w:r w:rsidRPr="004436CF">
        <w:rPr>
          <w:rFonts w:ascii="Garamond" w:hAnsi="Garamond"/>
          <w:sz w:val="17"/>
          <w:szCs w:val="17"/>
          <w:lang w:val="en-GB"/>
        </w:rPr>
        <w:t>, 42d.</w:t>
      </w:r>
    </w:p>
  </w:footnote>
  <w:footnote w:id="11">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Sedley, </w:t>
      </w:r>
      <w:r w:rsidRPr="004436CF">
        <w:rPr>
          <w:rFonts w:ascii="Garamond" w:hAnsi="Garamond"/>
          <w:i/>
          <w:iCs/>
          <w:sz w:val="17"/>
          <w:szCs w:val="17"/>
          <w:lang w:val="en-GB"/>
        </w:rPr>
        <w:t>Plato</w:t>
      </w:r>
      <w:r w:rsidRPr="004436CF">
        <w:rPr>
          <w:rFonts w:ascii="Garamond" w:hAnsi="Garamond"/>
          <w:sz w:val="17"/>
          <w:szCs w:val="17"/>
          <w:lang w:val="en-GB"/>
        </w:rPr>
        <w:t xml:space="preserve">, p.95; Plato, </w:t>
      </w:r>
      <w:r w:rsidRPr="004436CF">
        <w:rPr>
          <w:rFonts w:ascii="Garamond" w:hAnsi="Garamond"/>
          <w:i/>
          <w:iCs/>
          <w:sz w:val="17"/>
          <w:szCs w:val="17"/>
          <w:lang w:val="en-GB"/>
        </w:rPr>
        <w:t>Timaeus</w:t>
      </w:r>
      <w:r w:rsidRPr="004436CF">
        <w:rPr>
          <w:rFonts w:ascii="Garamond" w:hAnsi="Garamond"/>
          <w:sz w:val="17"/>
          <w:szCs w:val="17"/>
          <w:lang w:val="en-GB"/>
        </w:rPr>
        <w:t>, 42b.</w:t>
      </w:r>
    </w:p>
  </w:footnote>
  <w:footnote w:id="12">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615-616b, 617d-e.</w:t>
      </w:r>
    </w:p>
  </w:footnote>
  <w:footnote w:id="13">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617e, 618a.</w:t>
      </w:r>
    </w:p>
  </w:footnote>
  <w:footnote w:id="14">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617e, 618a.</w:t>
      </w:r>
    </w:p>
  </w:footnote>
  <w:footnote w:id="15">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618d, 619b-620c.</w:t>
      </w:r>
    </w:p>
  </w:footnote>
  <w:footnote w:id="16">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618d-e.</w:t>
      </w:r>
    </w:p>
  </w:footnote>
  <w:footnote w:id="17">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Plato, </w:t>
      </w:r>
      <w:r w:rsidRPr="004436CF">
        <w:rPr>
          <w:rFonts w:ascii="Garamond" w:hAnsi="Garamond"/>
          <w:i/>
          <w:iCs/>
          <w:sz w:val="17"/>
          <w:szCs w:val="17"/>
          <w:lang w:val="en-GB"/>
        </w:rPr>
        <w:t>Republic</w:t>
      </w:r>
      <w:r w:rsidRPr="004436CF">
        <w:rPr>
          <w:rFonts w:ascii="Garamond" w:hAnsi="Garamond"/>
          <w:sz w:val="17"/>
          <w:szCs w:val="17"/>
          <w:lang w:val="en-GB"/>
        </w:rPr>
        <w:t xml:space="preserve">, </w:t>
      </w:r>
      <w:r w:rsidRPr="004436CF">
        <w:rPr>
          <w:rStyle w:val="fontstyle01"/>
          <w:rFonts w:ascii="Garamond" w:hAnsi="Garamond"/>
          <w:sz w:val="17"/>
          <w:szCs w:val="17"/>
          <w:lang w:val="en-GB"/>
        </w:rPr>
        <w:t xml:space="preserve">619b, </w:t>
      </w:r>
      <w:r w:rsidRPr="004436CF">
        <w:rPr>
          <w:rFonts w:ascii="Garamond" w:hAnsi="Garamond"/>
          <w:sz w:val="17"/>
          <w:szCs w:val="17"/>
          <w:lang w:val="en-GB"/>
        </w:rPr>
        <w:t xml:space="preserve">(619d-e; Plato, </w:t>
      </w:r>
      <w:r w:rsidRPr="004436CF">
        <w:rPr>
          <w:rFonts w:ascii="Garamond" w:hAnsi="Garamond"/>
          <w:i/>
          <w:iCs/>
          <w:sz w:val="17"/>
          <w:szCs w:val="17"/>
          <w:lang w:val="en-GB"/>
        </w:rPr>
        <w:t>Timaeus</w:t>
      </w:r>
      <w:r w:rsidRPr="004436CF">
        <w:rPr>
          <w:rFonts w:ascii="Garamond" w:hAnsi="Garamond"/>
          <w:sz w:val="17"/>
          <w:szCs w:val="17"/>
          <w:lang w:val="en-GB"/>
        </w:rPr>
        <w:t xml:space="preserve">, </w:t>
      </w:r>
      <w:r w:rsidRPr="004436CF">
        <w:rPr>
          <w:rStyle w:val="fontstyle01"/>
          <w:rFonts w:ascii="Garamond" w:hAnsi="Garamond"/>
          <w:sz w:val="17"/>
          <w:szCs w:val="17"/>
          <w:lang w:val="en-GB"/>
        </w:rPr>
        <w:t>41e.</w:t>
      </w:r>
    </w:p>
  </w:footnote>
  <w:footnote w:id="18">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Aristotle, </w:t>
      </w:r>
      <w:r w:rsidRPr="004436CF">
        <w:rPr>
          <w:rFonts w:ascii="Garamond" w:hAnsi="Garamond" w:cstheme="minorHAnsi"/>
          <w:i/>
          <w:iCs/>
          <w:sz w:val="17"/>
          <w:szCs w:val="17"/>
          <w:lang w:val="en-GB"/>
        </w:rPr>
        <w:t>On the Soul</w:t>
      </w:r>
      <w:r w:rsidRPr="004436CF">
        <w:rPr>
          <w:rFonts w:ascii="Garamond" w:hAnsi="Garamond" w:cstheme="minorHAnsi"/>
          <w:sz w:val="17"/>
          <w:szCs w:val="17"/>
          <w:lang w:val="en-GB"/>
        </w:rPr>
        <w:t xml:space="preserve">, trans. by W. S. </w:t>
      </w:r>
      <w:proofErr w:type="spellStart"/>
      <w:r w:rsidRPr="004436CF">
        <w:rPr>
          <w:rFonts w:ascii="Garamond" w:hAnsi="Garamond" w:cstheme="minorHAnsi"/>
          <w:sz w:val="17"/>
          <w:szCs w:val="17"/>
          <w:lang w:val="en-GB"/>
        </w:rPr>
        <w:t>Hett</w:t>
      </w:r>
      <w:proofErr w:type="spellEnd"/>
      <w:r w:rsidRPr="004436CF">
        <w:rPr>
          <w:rFonts w:ascii="Garamond" w:hAnsi="Garamond" w:cstheme="minorHAnsi"/>
          <w:sz w:val="17"/>
          <w:szCs w:val="17"/>
          <w:lang w:val="en-GB"/>
        </w:rPr>
        <w:t>, in Loeb Classical Library (Cambridge, MA: Harvard University Press, 1957), Book II, 413b.</w:t>
      </w:r>
    </w:p>
  </w:footnote>
  <w:footnote w:id="19">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John F. </w:t>
      </w:r>
      <w:proofErr w:type="spellStart"/>
      <w:r w:rsidRPr="004436CF">
        <w:rPr>
          <w:rFonts w:ascii="Garamond" w:hAnsi="Garamond" w:cstheme="minorHAnsi"/>
          <w:sz w:val="17"/>
          <w:szCs w:val="17"/>
          <w:lang w:val="en-GB"/>
        </w:rPr>
        <w:t>Finamore</w:t>
      </w:r>
      <w:proofErr w:type="spellEnd"/>
      <w:r w:rsidRPr="004436CF">
        <w:rPr>
          <w:rFonts w:ascii="Garamond" w:hAnsi="Garamond" w:cstheme="minorHAnsi"/>
          <w:sz w:val="17"/>
          <w:szCs w:val="17"/>
          <w:lang w:val="en-GB"/>
        </w:rPr>
        <w:t xml:space="preserve">, ‘Aristotle’s Criticisms of Plato’s Tripartite Soul’, </w:t>
      </w:r>
      <w:r w:rsidRPr="004436CF">
        <w:rPr>
          <w:rFonts w:ascii="Garamond" w:hAnsi="Garamond" w:cstheme="minorHAnsi"/>
          <w:i/>
          <w:iCs/>
          <w:sz w:val="17"/>
          <w:szCs w:val="17"/>
          <w:lang w:val="en-GB"/>
        </w:rPr>
        <w:t>Bulletin of the Institute of Classical Studies</w:t>
      </w:r>
      <w:r w:rsidRPr="004436CF">
        <w:rPr>
          <w:rFonts w:ascii="Garamond" w:hAnsi="Garamond" w:cstheme="minorHAnsi"/>
          <w:sz w:val="17"/>
          <w:szCs w:val="17"/>
          <w:lang w:val="en-GB"/>
        </w:rPr>
        <w:t xml:space="preserve">, Supplement, no. 117, ANCIENT APPROACHES TO PLATO'S "REPUBLIC" (2013), p.3; Aristotle, </w:t>
      </w:r>
      <w:r w:rsidRPr="004436CF">
        <w:rPr>
          <w:rFonts w:ascii="Garamond" w:hAnsi="Garamond" w:cstheme="minorHAnsi"/>
          <w:i/>
          <w:iCs/>
          <w:sz w:val="17"/>
          <w:szCs w:val="17"/>
          <w:lang w:val="en-GB"/>
        </w:rPr>
        <w:t>On the Soul</w:t>
      </w:r>
      <w:r w:rsidRPr="004436CF">
        <w:rPr>
          <w:rFonts w:ascii="Garamond" w:hAnsi="Garamond" w:cstheme="minorHAnsi"/>
          <w:sz w:val="17"/>
          <w:szCs w:val="17"/>
          <w:lang w:val="en-GB"/>
        </w:rPr>
        <w:t>, 415b.</w:t>
      </w:r>
    </w:p>
  </w:footnote>
  <w:footnote w:id="20">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Aristotle, </w:t>
      </w:r>
      <w:r w:rsidRPr="004436CF">
        <w:rPr>
          <w:rFonts w:ascii="Garamond" w:hAnsi="Garamond" w:cstheme="minorHAnsi"/>
          <w:i/>
          <w:iCs/>
          <w:sz w:val="17"/>
          <w:szCs w:val="17"/>
          <w:lang w:val="en-GB"/>
        </w:rPr>
        <w:t>On the Soul</w:t>
      </w:r>
      <w:r w:rsidRPr="004436CF">
        <w:rPr>
          <w:rFonts w:ascii="Garamond" w:hAnsi="Garamond" w:cstheme="minorHAnsi"/>
          <w:sz w:val="17"/>
          <w:szCs w:val="17"/>
          <w:lang w:val="en-GB"/>
        </w:rPr>
        <w:t>, 415b.</w:t>
      </w:r>
    </w:p>
  </w:footnote>
  <w:footnote w:id="21">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David Sedley, ‘Aristotle’, in </w:t>
      </w:r>
      <w:r w:rsidRPr="004436CF">
        <w:rPr>
          <w:rFonts w:ascii="Garamond" w:hAnsi="Garamond" w:cstheme="minorHAnsi"/>
          <w:i/>
          <w:iCs/>
          <w:sz w:val="17"/>
          <w:szCs w:val="17"/>
          <w:lang w:val="en-GB"/>
        </w:rPr>
        <w:t>Creationism and Its Critics in Antiquity</w:t>
      </w:r>
      <w:r w:rsidRPr="004436CF">
        <w:rPr>
          <w:rFonts w:ascii="Garamond" w:hAnsi="Garamond" w:cstheme="minorHAnsi"/>
          <w:sz w:val="17"/>
          <w:szCs w:val="17"/>
          <w:lang w:val="en-GB"/>
        </w:rPr>
        <w:t xml:space="preserve"> (California: University of California Press, 2007), p. 174.</w:t>
      </w:r>
    </w:p>
  </w:footnote>
  <w:footnote w:id="22">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Aristotle, </w:t>
      </w:r>
      <w:r w:rsidRPr="004436CF">
        <w:rPr>
          <w:rFonts w:ascii="Garamond" w:hAnsi="Garamond" w:cstheme="minorHAnsi"/>
          <w:i/>
          <w:iCs/>
          <w:sz w:val="17"/>
          <w:szCs w:val="17"/>
          <w:lang w:val="en-GB"/>
        </w:rPr>
        <w:t>Physics</w:t>
      </w:r>
      <w:r w:rsidRPr="004436CF">
        <w:rPr>
          <w:rFonts w:ascii="Garamond" w:hAnsi="Garamond" w:cstheme="minorHAnsi"/>
          <w:sz w:val="17"/>
          <w:szCs w:val="17"/>
          <w:lang w:val="en-GB"/>
        </w:rPr>
        <w:t xml:space="preserve">, trans. by P. H. </w:t>
      </w:r>
      <w:proofErr w:type="spellStart"/>
      <w:r w:rsidRPr="004436CF">
        <w:rPr>
          <w:rFonts w:ascii="Garamond" w:hAnsi="Garamond" w:cstheme="minorHAnsi"/>
          <w:sz w:val="17"/>
          <w:szCs w:val="17"/>
          <w:lang w:val="en-GB"/>
        </w:rPr>
        <w:t>Wicksteed</w:t>
      </w:r>
      <w:proofErr w:type="spellEnd"/>
      <w:r w:rsidRPr="004436CF">
        <w:rPr>
          <w:rFonts w:ascii="Garamond" w:hAnsi="Garamond" w:cstheme="minorHAnsi"/>
          <w:sz w:val="17"/>
          <w:szCs w:val="17"/>
          <w:lang w:val="en-GB"/>
        </w:rPr>
        <w:t xml:space="preserve"> and F. M. Cornford, in Loeb Classical Library (Cambridge, MA: Harvard University Press, 1957), Book II, 194b.</w:t>
      </w:r>
    </w:p>
  </w:footnote>
  <w:footnote w:id="23">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Sedley, </w:t>
      </w:r>
      <w:r w:rsidRPr="004436CF">
        <w:rPr>
          <w:rFonts w:ascii="Garamond" w:hAnsi="Garamond" w:cstheme="minorHAnsi"/>
          <w:i/>
          <w:iCs/>
          <w:sz w:val="17"/>
          <w:szCs w:val="17"/>
          <w:lang w:val="en-GB"/>
        </w:rPr>
        <w:t>Aristotle</w:t>
      </w:r>
      <w:r w:rsidRPr="004436CF">
        <w:rPr>
          <w:rFonts w:ascii="Garamond" w:hAnsi="Garamond" w:cstheme="minorHAnsi"/>
          <w:sz w:val="17"/>
          <w:szCs w:val="17"/>
          <w:lang w:val="en-GB"/>
        </w:rPr>
        <w:t xml:space="preserve">, p.174; Aristotle, </w:t>
      </w:r>
      <w:r w:rsidRPr="004436CF">
        <w:rPr>
          <w:rFonts w:ascii="Garamond" w:hAnsi="Garamond" w:cstheme="minorHAnsi"/>
          <w:i/>
          <w:iCs/>
          <w:sz w:val="17"/>
          <w:szCs w:val="17"/>
          <w:lang w:val="en-GB"/>
        </w:rPr>
        <w:t>Physics</w:t>
      </w:r>
      <w:r w:rsidRPr="004436CF">
        <w:rPr>
          <w:rFonts w:ascii="Garamond" w:hAnsi="Garamond" w:cstheme="minorHAnsi"/>
          <w:sz w:val="17"/>
          <w:szCs w:val="17"/>
          <w:lang w:val="en-GB"/>
        </w:rPr>
        <w:t>, Book II, 194b.</w:t>
      </w:r>
    </w:p>
  </w:footnote>
  <w:footnote w:id="24">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Sedley, </w:t>
      </w:r>
      <w:r w:rsidRPr="004436CF">
        <w:rPr>
          <w:rFonts w:ascii="Garamond" w:hAnsi="Garamond" w:cstheme="minorHAnsi"/>
          <w:i/>
          <w:iCs/>
          <w:sz w:val="17"/>
          <w:szCs w:val="17"/>
          <w:lang w:val="en-GB"/>
        </w:rPr>
        <w:t>Aristotle</w:t>
      </w:r>
      <w:r w:rsidRPr="004436CF">
        <w:rPr>
          <w:rFonts w:ascii="Garamond" w:hAnsi="Garamond" w:cstheme="minorHAnsi"/>
          <w:sz w:val="17"/>
          <w:szCs w:val="17"/>
          <w:lang w:val="en-GB"/>
        </w:rPr>
        <w:t>, p. 180.</w:t>
      </w:r>
    </w:p>
  </w:footnote>
  <w:footnote w:id="25">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Aristotle, </w:t>
      </w:r>
      <w:r w:rsidRPr="004436CF">
        <w:rPr>
          <w:rFonts w:ascii="Garamond" w:hAnsi="Garamond" w:cstheme="minorHAnsi"/>
          <w:i/>
          <w:iCs/>
          <w:sz w:val="17"/>
          <w:szCs w:val="17"/>
          <w:lang w:val="en-GB"/>
        </w:rPr>
        <w:t>Physics</w:t>
      </w:r>
      <w:r w:rsidRPr="004436CF">
        <w:rPr>
          <w:rFonts w:ascii="Garamond" w:hAnsi="Garamond" w:cstheme="minorHAnsi"/>
          <w:sz w:val="17"/>
          <w:szCs w:val="17"/>
          <w:lang w:val="en-GB"/>
        </w:rPr>
        <w:t>, Book II, 192b.</w:t>
      </w:r>
    </w:p>
  </w:footnote>
  <w:footnote w:id="26">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Aristotle, </w:t>
      </w:r>
      <w:r w:rsidRPr="004436CF">
        <w:rPr>
          <w:rFonts w:ascii="Garamond" w:hAnsi="Garamond" w:cstheme="minorHAnsi"/>
          <w:i/>
          <w:iCs/>
          <w:sz w:val="17"/>
          <w:szCs w:val="17"/>
          <w:lang w:val="en-GB"/>
        </w:rPr>
        <w:t>Physics</w:t>
      </w:r>
      <w:r w:rsidRPr="004436CF">
        <w:rPr>
          <w:rFonts w:ascii="Garamond" w:hAnsi="Garamond" w:cstheme="minorHAnsi"/>
          <w:sz w:val="17"/>
          <w:szCs w:val="17"/>
          <w:lang w:val="en-GB"/>
        </w:rPr>
        <w:t>, Book II, Introduction, p.103.</w:t>
      </w:r>
    </w:p>
  </w:footnote>
  <w:footnote w:id="27">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Aristotle, </w:t>
      </w:r>
      <w:r w:rsidRPr="004436CF">
        <w:rPr>
          <w:rFonts w:ascii="Garamond" w:hAnsi="Garamond" w:cstheme="minorHAnsi"/>
          <w:i/>
          <w:iCs/>
          <w:sz w:val="17"/>
          <w:szCs w:val="17"/>
          <w:lang w:val="en-GB"/>
        </w:rPr>
        <w:t>Physics</w:t>
      </w:r>
      <w:r w:rsidRPr="004436CF">
        <w:rPr>
          <w:rFonts w:ascii="Garamond" w:hAnsi="Garamond" w:cstheme="minorHAnsi"/>
          <w:sz w:val="17"/>
          <w:szCs w:val="17"/>
          <w:lang w:val="en-GB"/>
        </w:rPr>
        <w:t xml:space="preserve">, trans. by P. H. </w:t>
      </w:r>
      <w:proofErr w:type="spellStart"/>
      <w:r w:rsidRPr="004436CF">
        <w:rPr>
          <w:rFonts w:ascii="Garamond" w:hAnsi="Garamond" w:cstheme="minorHAnsi"/>
          <w:sz w:val="17"/>
          <w:szCs w:val="17"/>
          <w:lang w:val="en-GB"/>
        </w:rPr>
        <w:t>Wicksteed</w:t>
      </w:r>
      <w:proofErr w:type="spellEnd"/>
      <w:r w:rsidRPr="004436CF">
        <w:rPr>
          <w:rFonts w:ascii="Garamond" w:hAnsi="Garamond" w:cstheme="minorHAnsi"/>
          <w:sz w:val="17"/>
          <w:szCs w:val="17"/>
          <w:lang w:val="en-GB"/>
        </w:rPr>
        <w:t xml:space="preserve"> and F. M. Cornford, in Loeb Classical Library (Cambridge, MA: Harvard University Press, 1957), Book IV, 208b.</w:t>
      </w:r>
    </w:p>
  </w:footnote>
  <w:footnote w:id="28">
    <w:p w:rsidR="00AB41D3" w:rsidRPr="004436CF" w:rsidRDefault="00AB41D3" w:rsidP="00AB41D3">
      <w:pPr>
        <w:pStyle w:val="Textodenotaderodap"/>
        <w:rPr>
          <w:rFonts w:ascii="Garamond" w:hAnsi="Garamond" w:cstheme="minorHAnsi"/>
          <w:sz w:val="17"/>
          <w:szCs w:val="17"/>
          <w:lang w:val="en-GB"/>
        </w:rPr>
      </w:pPr>
      <w:r w:rsidRPr="004436CF">
        <w:rPr>
          <w:rStyle w:val="Refdenotaderodap"/>
          <w:rFonts w:ascii="Garamond" w:hAnsi="Garamond" w:cstheme="minorHAnsi"/>
          <w:sz w:val="17"/>
          <w:szCs w:val="17"/>
        </w:rPr>
        <w:footnoteRef/>
      </w:r>
      <w:r w:rsidRPr="004436CF">
        <w:rPr>
          <w:rFonts w:ascii="Garamond" w:hAnsi="Garamond" w:cstheme="minorHAnsi"/>
          <w:sz w:val="17"/>
          <w:szCs w:val="17"/>
          <w:lang w:val="en-GB"/>
        </w:rPr>
        <w:t xml:space="preserve"> Sedley, </w:t>
      </w:r>
      <w:r w:rsidRPr="004436CF">
        <w:rPr>
          <w:rFonts w:ascii="Garamond" w:hAnsi="Garamond" w:cstheme="minorHAnsi"/>
          <w:i/>
          <w:iCs/>
          <w:sz w:val="17"/>
          <w:szCs w:val="17"/>
          <w:lang w:val="en-GB"/>
        </w:rPr>
        <w:t>Aristotle</w:t>
      </w:r>
      <w:r w:rsidRPr="004436CF">
        <w:rPr>
          <w:rFonts w:ascii="Garamond" w:hAnsi="Garamond" w:cstheme="minorHAnsi"/>
          <w:sz w:val="17"/>
          <w:szCs w:val="17"/>
          <w:lang w:val="en-GB"/>
        </w:rPr>
        <w:t>, p. 174.</w:t>
      </w:r>
    </w:p>
  </w:footnote>
  <w:footnote w:id="29">
    <w:p w:rsidR="00AB41D3" w:rsidRPr="004436CF" w:rsidRDefault="00AB41D3" w:rsidP="00AB41D3">
      <w:pPr>
        <w:jc w:val="both"/>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w:t>
      </w:r>
      <w:r w:rsidRPr="004436CF">
        <w:rPr>
          <w:rFonts w:ascii="Garamond" w:hAnsi="Garamond" w:cstheme="minorHAnsi"/>
          <w:sz w:val="17"/>
          <w:szCs w:val="17"/>
          <w:shd w:val="clear" w:color="auto" w:fill="FFFFFF"/>
        </w:rPr>
        <w:t xml:space="preserve">Sarah </w:t>
      </w:r>
      <w:proofErr w:type="spellStart"/>
      <w:r w:rsidRPr="004436CF">
        <w:rPr>
          <w:rFonts w:ascii="Garamond" w:hAnsi="Garamond" w:cstheme="minorHAnsi"/>
          <w:sz w:val="17"/>
          <w:szCs w:val="17"/>
          <w:shd w:val="clear" w:color="auto" w:fill="FFFFFF"/>
        </w:rPr>
        <w:t>Broadie</w:t>
      </w:r>
      <w:proofErr w:type="spellEnd"/>
      <w:r w:rsidRPr="004436CF">
        <w:rPr>
          <w:rFonts w:ascii="Garamond" w:hAnsi="Garamond" w:cstheme="minorHAnsi"/>
          <w:sz w:val="17"/>
          <w:szCs w:val="17"/>
          <w:shd w:val="clear" w:color="auto" w:fill="FFFFFF"/>
        </w:rPr>
        <w:t xml:space="preserve">, ‘From Necessity to Fate: A Fallacy?’ </w:t>
      </w:r>
      <w:r w:rsidRPr="004436CF">
        <w:rPr>
          <w:rFonts w:ascii="Garamond" w:hAnsi="Garamond" w:cstheme="minorHAnsi"/>
          <w:i/>
          <w:iCs/>
          <w:sz w:val="17"/>
          <w:szCs w:val="17"/>
          <w:shd w:val="clear" w:color="auto" w:fill="FFFFFF"/>
        </w:rPr>
        <w:t xml:space="preserve">The Journal of Ethics </w:t>
      </w:r>
      <w:r w:rsidRPr="004436CF">
        <w:rPr>
          <w:rFonts w:ascii="Garamond" w:hAnsi="Garamond" w:cstheme="minorHAnsi"/>
          <w:sz w:val="17"/>
          <w:szCs w:val="17"/>
          <w:shd w:val="clear" w:color="auto" w:fill="FFFFFF"/>
        </w:rPr>
        <w:t>5, no. 1 (2001), p.</w:t>
      </w:r>
      <w:r w:rsidRPr="004436CF">
        <w:rPr>
          <w:rFonts w:ascii="Garamond" w:hAnsi="Garamond"/>
          <w:sz w:val="17"/>
          <w:szCs w:val="17"/>
        </w:rPr>
        <w:t xml:space="preserve"> 35.</w:t>
      </w:r>
    </w:p>
  </w:footnote>
  <w:footnote w:id="30">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w:t>
      </w:r>
      <w:proofErr w:type="spellStart"/>
      <w:r w:rsidRPr="004436CF">
        <w:rPr>
          <w:rFonts w:ascii="Garamond" w:hAnsi="Garamond"/>
          <w:sz w:val="17"/>
          <w:szCs w:val="17"/>
          <w:lang w:val="en-GB"/>
        </w:rPr>
        <w:t>Broadie</w:t>
      </w:r>
      <w:proofErr w:type="spellEnd"/>
      <w:r w:rsidRPr="004436CF">
        <w:rPr>
          <w:rFonts w:ascii="Garamond" w:hAnsi="Garamond"/>
          <w:sz w:val="17"/>
          <w:szCs w:val="17"/>
          <w:lang w:val="en-GB"/>
        </w:rPr>
        <w:t xml:space="preserve">, </w:t>
      </w:r>
      <w:r w:rsidRPr="004436CF">
        <w:rPr>
          <w:rFonts w:ascii="Garamond" w:hAnsi="Garamond" w:cstheme="minorHAnsi"/>
          <w:i/>
          <w:iCs/>
          <w:sz w:val="17"/>
          <w:szCs w:val="17"/>
          <w:shd w:val="clear" w:color="auto" w:fill="FFFFFF"/>
          <w:lang w:val="en-GB"/>
        </w:rPr>
        <w:t>From Necessity to Fate</w:t>
      </w:r>
      <w:r w:rsidRPr="004436CF">
        <w:rPr>
          <w:rFonts w:ascii="Garamond" w:hAnsi="Garamond"/>
          <w:sz w:val="17"/>
          <w:szCs w:val="17"/>
          <w:lang w:val="en-GB"/>
        </w:rPr>
        <w:t>, p. 36.</w:t>
      </w:r>
    </w:p>
  </w:footnote>
  <w:footnote w:id="31">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w:t>
      </w:r>
      <w:proofErr w:type="spellStart"/>
      <w:r w:rsidRPr="004436CF">
        <w:rPr>
          <w:rFonts w:ascii="Garamond" w:hAnsi="Garamond" w:cstheme="minorHAnsi"/>
          <w:sz w:val="17"/>
          <w:szCs w:val="17"/>
          <w:lang w:val="en-GB"/>
        </w:rPr>
        <w:t>Finamore</w:t>
      </w:r>
      <w:proofErr w:type="spellEnd"/>
      <w:r w:rsidRPr="004436CF">
        <w:rPr>
          <w:rFonts w:ascii="Garamond" w:hAnsi="Garamond" w:cstheme="minorHAnsi"/>
          <w:sz w:val="17"/>
          <w:szCs w:val="17"/>
          <w:lang w:val="en-GB"/>
        </w:rPr>
        <w:t xml:space="preserve">, </w:t>
      </w:r>
      <w:r w:rsidRPr="004436CF">
        <w:rPr>
          <w:rFonts w:ascii="Garamond" w:hAnsi="Garamond" w:cstheme="minorHAnsi"/>
          <w:i/>
          <w:iCs/>
          <w:sz w:val="17"/>
          <w:szCs w:val="17"/>
          <w:lang w:val="en-GB"/>
        </w:rPr>
        <w:t>Aristotle’s Criticisms</w:t>
      </w:r>
      <w:r w:rsidRPr="004436CF">
        <w:rPr>
          <w:rFonts w:ascii="Garamond" w:hAnsi="Garamond" w:cstheme="minorHAnsi"/>
          <w:sz w:val="17"/>
          <w:szCs w:val="17"/>
          <w:lang w:val="en-GB"/>
        </w:rPr>
        <w:t>, p. 7;</w:t>
      </w:r>
      <w:r w:rsidRPr="004436CF">
        <w:rPr>
          <w:rFonts w:ascii="Garamond" w:hAnsi="Garamond"/>
          <w:sz w:val="17"/>
          <w:szCs w:val="17"/>
          <w:lang w:val="en-GB"/>
        </w:rPr>
        <w:t xml:space="preserve"> </w:t>
      </w:r>
      <w:r w:rsidRPr="004436CF">
        <w:rPr>
          <w:rFonts w:ascii="Garamond" w:hAnsi="Garamond" w:cstheme="minorHAnsi"/>
          <w:sz w:val="17"/>
          <w:szCs w:val="17"/>
          <w:lang w:val="en-GB"/>
        </w:rPr>
        <w:t xml:space="preserve">Sedley, </w:t>
      </w:r>
      <w:r w:rsidRPr="004436CF">
        <w:rPr>
          <w:rFonts w:ascii="Garamond" w:hAnsi="Garamond" w:cstheme="minorHAnsi"/>
          <w:i/>
          <w:iCs/>
          <w:sz w:val="17"/>
          <w:szCs w:val="17"/>
          <w:lang w:val="en-GB"/>
        </w:rPr>
        <w:t>Aristotle</w:t>
      </w:r>
      <w:r w:rsidRPr="004436CF">
        <w:rPr>
          <w:rFonts w:ascii="Garamond" w:hAnsi="Garamond" w:cstheme="minorHAnsi"/>
          <w:sz w:val="17"/>
          <w:szCs w:val="17"/>
          <w:lang w:val="en-GB"/>
        </w:rPr>
        <w:t>, p</w:t>
      </w:r>
      <w:r w:rsidRPr="004436CF">
        <w:rPr>
          <w:rFonts w:ascii="Garamond" w:hAnsi="Garamond"/>
          <w:sz w:val="17"/>
          <w:szCs w:val="17"/>
          <w:lang w:val="en-GB"/>
        </w:rPr>
        <w:t xml:space="preserve">. 177; Aristotle, </w:t>
      </w:r>
      <w:r w:rsidRPr="004436CF">
        <w:rPr>
          <w:rFonts w:ascii="Garamond" w:hAnsi="Garamond"/>
          <w:i/>
          <w:iCs/>
          <w:sz w:val="17"/>
          <w:szCs w:val="17"/>
          <w:lang w:val="en-GB"/>
        </w:rPr>
        <w:t>Physics</w:t>
      </w:r>
      <w:r w:rsidRPr="004436CF">
        <w:rPr>
          <w:rFonts w:ascii="Garamond" w:hAnsi="Garamond"/>
          <w:sz w:val="17"/>
          <w:szCs w:val="17"/>
          <w:lang w:val="en-GB"/>
        </w:rPr>
        <w:t>, Book II, 194b.</w:t>
      </w:r>
    </w:p>
  </w:footnote>
  <w:footnote w:id="32">
    <w:p w:rsidR="00AB41D3" w:rsidRPr="004436CF" w:rsidRDefault="00AB41D3" w:rsidP="00AB41D3">
      <w:pPr>
        <w:pStyle w:val="Textodenotaderodap"/>
        <w:rPr>
          <w:rFonts w:ascii="Garamond" w:hAnsi="Garamond"/>
          <w:sz w:val="17"/>
          <w:szCs w:val="17"/>
          <w:lang w:val="de-DE"/>
        </w:rPr>
      </w:pPr>
      <w:r w:rsidRPr="004436CF">
        <w:rPr>
          <w:rStyle w:val="Refdenotaderodap"/>
          <w:rFonts w:ascii="Garamond" w:hAnsi="Garamond"/>
          <w:sz w:val="17"/>
          <w:szCs w:val="17"/>
        </w:rPr>
        <w:footnoteRef/>
      </w:r>
      <w:r w:rsidRPr="004436CF">
        <w:rPr>
          <w:rFonts w:ascii="Garamond" w:hAnsi="Garamond"/>
          <w:sz w:val="17"/>
          <w:szCs w:val="17"/>
          <w:lang w:val="de-DE"/>
        </w:rPr>
        <w:t xml:space="preserve"> </w:t>
      </w:r>
      <w:r w:rsidRPr="004436CF">
        <w:rPr>
          <w:rFonts w:ascii="Garamond" w:hAnsi="Garamond"/>
          <w:sz w:val="17"/>
          <w:szCs w:val="17"/>
          <w:lang w:val="de-DE"/>
        </w:rPr>
        <w:t xml:space="preserve">Diogenes Laertius, </w:t>
      </w:r>
      <w:r w:rsidRPr="004436CF">
        <w:rPr>
          <w:rFonts w:ascii="Garamond" w:hAnsi="Garamond"/>
          <w:i/>
          <w:iCs/>
          <w:sz w:val="17"/>
          <w:szCs w:val="17"/>
          <w:lang w:val="de-DE"/>
        </w:rPr>
        <w:t>Lives of Eminent Philosophers: Zeno</w:t>
      </w:r>
      <w:r w:rsidRPr="004436CF">
        <w:rPr>
          <w:rFonts w:ascii="Garamond" w:hAnsi="Garamond"/>
          <w:sz w:val="17"/>
          <w:szCs w:val="17"/>
          <w:lang w:val="de-DE"/>
        </w:rPr>
        <w:t>, trans. by R. D. Hicks, in Loeb Classical Library (Cambridge, MA: Harvard University Press, 1925), Book VII, 149.</w:t>
      </w:r>
    </w:p>
  </w:footnote>
  <w:footnote w:id="33">
    <w:p w:rsidR="00AB41D3" w:rsidRPr="004436CF" w:rsidRDefault="00AB41D3" w:rsidP="00AB41D3">
      <w:pPr>
        <w:pStyle w:val="Textodenotaderodap"/>
        <w:rPr>
          <w:rFonts w:ascii="Garamond" w:hAnsi="Garamond"/>
          <w:sz w:val="17"/>
          <w:szCs w:val="17"/>
          <w:lang w:val="de-DE"/>
        </w:rPr>
      </w:pPr>
      <w:r w:rsidRPr="004436CF">
        <w:rPr>
          <w:rStyle w:val="Refdenotaderodap"/>
          <w:rFonts w:ascii="Garamond" w:hAnsi="Garamond"/>
          <w:sz w:val="17"/>
          <w:szCs w:val="17"/>
        </w:rPr>
        <w:footnoteRef/>
      </w:r>
      <w:r w:rsidRPr="004436CF">
        <w:rPr>
          <w:rFonts w:ascii="Garamond" w:hAnsi="Garamond"/>
          <w:sz w:val="17"/>
          <w:szCs w:val="17"/>
          <w:lang w:val="de-DE"/>
        </w:rPr>
        <w:t xml:space="preserve"> </w:t>
      </w:r>
      <w:r w:rsidRPr="004436CF">
        <w:rPr>
          <w:rFonts w:ascii="Garamond" w:hAnsi="Garamond"/>
          <w:sz w:val="17"/>
          <w:szCs w:val="17"/>
          <w:lang w:val="de-DE"/>
        </w:rPr>
        <w:t xml:space="preserve">Susanne </w:t>
      </w:r>
      <w:r w:rsidRPr="004436CF">
        <w:rPr>
          <w:rFonts w:ascii="Garamond" w:hAnsi="Garamond"/>
          <w:sz w:val="17"/>
          <w:szCs w:val="17"/>
          <w:lang w:val="de-DE"/>
        </w:rPr>
        <w:t xml:space="preserve">Bobzien , ‘Early Stoic Determinism’, </w:t>
      </w:r>
      <w:r w:rsidRPr="004436CF">
        <w:rPr>
          <w:rFonts w:ascii="Garamond" w:hAnsi="Garamond"/>
          <w:i/>
          <w:iCs/>
          <w:sz w:val="17"/>
          <w:szCs w:val="17"/>
          <w:lang w:val="de-DE"/>
        </w:rPr>
        <w:t>Revue de Métaphysique et de Morale</w:t>
      </w:r>
      <w:r w:rsidRPr="004436CF">
        <w:rPr>
          <w:rFonts w:ascii="Garamond" w:hAnsi="Garamond"/>
          <w:sz w:val="17"/>
          <w:szCs w:val="17"/>
          <w:lang w:val="de-DE"/>
        </w:rPr>
        <w:t>, no. 4 (2005), p. 492.</w:t>
      </w:r>
    </w:p>
  </w:footnote>
  <w:footnote w:id="34">
    <w:p w:rsidR="00AB41D3" w:rsidRPr="004436CF" w:rsidRDefault="00AB41D3" w:rsidP="00AB41D3">
      <w:pPr>
        <w:pStyle w:val="Textodenotaderodap"/>
        <w:rPr>
          <w:rFonts w:ascii="Garamond" w:hAnsi="Garamond"/>
          <w:sz w:val="17"/>
          <w:szCs w:val="17"/>
          <w:lang w:val="de-DE"/>
        </w:rPr>
      </w:pPr>
      <w:r w:rsidRPr="004436CF">
        <w:rPr>
          <w:rStyle w:val="Refdenotaderodap"/>
          <w:rFonts w:ascii="Garamond" w:hAnsi="Garamond"/>
          <w:sz w:val="17"/>
          <w:szCs w:val="17"/>
        </w:rPr>
        <w:footnoteRef/>
      </w:r>
      <w:r w:rsidRPr="004436CF">
        <w:rPr>
          <w:rFonts w:ascii="Garamond" w:hAnsi="Garamond"/>
          <w:sz w:val="17"/>
          <w:szCs w:val="17"/>
          <w:lang w:val="de-DE"/>
        </w:rPr>
        <w:t xml:space="preserve"> </w:t>
      </w:r>
      <w:r w:rsidRPr="004436CF">
        <w:rPr>
          <w:rFonts w:ascii="Garamond" w:hAnsi="Garamond"/>
          <w:sz w:val="17"/>
          <w:szCs w:val="17"/>
          <w:lang w:val="de-DE"/>
        </w:rPr>
        <w:t xml:space="preserve">Diogenes </w:t>
      </w:r>
      <w:r w:rsidRPr="004436CF">
        <w:rPr>
          <w:rFonts w:ascii="Garamond" w:hAnsi="Garamond"/>
          <w:sz w:val="17"/>
          <w:szCs w:val="17"/>
          <w:lang w:val="de-DE"/>
        </w:rPr>
        <w:t xml:space="preserve">Laertius, </w:t>
      </w:r>
      <w:r w:rsidRPr="004436CF">
        <w:rPr>
          <w:rFonts w:ascii="Garamond" w:hAnsi="Garamond"/>
          <w:i/>
          <w:iCs/>
          <w:sz w:val="17"/>
          <w:szCs w:val="17"/>
          <w:lang w:val="de-DE"/>
        </w:rPr>
        <w:t>Lives of Eminent Philosophers</w:t>
      </w:r>
      <w:r w:rsidRPr="004436CF">
        <w:rPr>
          <w:rFonts w:ascii="Garamond" w:hAnsi="Garamond"/>
          <w:sz w:val="17"/>
          <w:szCs w:val="17"/>
          <w:lang w:val="de-DE"/>
        </w:rPr>
        <w:t>, 133.</w:t>
      </w:r>
    </w:p>
  </w:footnote>
  <w:footnote w:id="35">
    <w:p w:rsidR="00AB41D3" w:rsidRPr="004436CF" w:rsidRDefault="00AB41D3" w:rsidP="00AB41D3">
      <w:pPr>
        <w:pStyle w:val="Textodenotaderodap"/>
        <w:rPr>
          <w:rFonts w:ascii="Garamond" w:hAnsi="Garamond"/>
          <w:sz w:val="17"/>
          <w:szCs w:val="17"/>
          <w:lang w:val="de-DE"/>
        </w:rPr>
      </w:pPr>
      <w:r w:rsidRPr="004436CF">
        <w:rPr>
          <w:rStyle w:val="Refdenotaderodap"/>
          <w:rFonts w:ascii="Garamond" w:hAnsi="Garamond"/>
          <w:sz w:val="17"/>
          <w:szCs w:val="17"/>
        </w:rPr>
        <w:footnoteRef/>
      </w:r>
      <w:r w:rsidRPr="004436CF">
        <w:rPr>
          <w:rFonts w:ascii="Garamond" w:hAnsi="Garamond"/>
          <w:sz w:val="17"/>
          <w:szCs w:val="17"/>
          <w:lang w:val="de-DE"/>
        </w:rPr>
        <w:t xml:space="preserve"> </w:t>
      </w:r>
      <w:r w:rsidRPr="004436CF">
        <w:rPr>
          <w:rFonts w:ascii="Garamond" w:hAnsi="Garamond"/>
          <w:sz w:val="17"/>
          <w:szCs w:val="17"/>
          <w:lang w:val="de-DE"/>
        </w:rPr>
        <w:t xml:space="preserve">Diogenes </w:t>
      </w:r>
      <w:r w:rsidRPr="004436CF">
        <w:rPr>
          <w:rFonts w:ascii="Garamond" w:hAnsi="Garamond"/>
          <w:sz w:val="17"/>
          <w:szCs w:val="17"/>
          <w:lang w:val="de-DE"/>
        </w:rPr>
        <w:t xml:space="preserve">Laertius, </w:t>
      </w:r>
      <w:r w:rsidRPr="004436CF">
        <w:rPr>
          <w:rFonts w:ascii="Garamond" w:hAnsi="Garamond"/>
          <w:i/>
          <w:iCs/>
          <w:sz w:val="17"/>
          <w:szCs w:val="17"/>
          <w:lang w:val="de-DE"/>
        </w:rPr>
        <w:t>Lives of Eminent Philosophers</w:t>
      </w:r>
      <w:r w:rsidRPr="004436CF">
        <w:rPr>
          <w:rFonts w:ascii="Garamond" w:hAnsi="Garamond"/>
          <w:sz w:val="17"/>
          <w:szCs w:val="17"/>
          <w:lang w:val="de-DE"/>
        </w:rPr>
        <w:t>, 110, 156, 157.</w:t>
      </w:r>
    </w:p>
  </w:footnote>
  <w:footnote w:id="36">
    <w:p w:rsidR="00AB41D3" w:rsidRPr="004436CF" w:rsidRDefault="00AB41D3" w:rsidP="00AB41D3">
      <w:pPr>
        <w:pStyle w:val="Textodenotaderodap"/>
        <w:rPr>
          <w:rFonts w:ascii="Garamond" w:hAnsi="Garamond"/>
          <w:sz w:val="17"/>
          <w:szCs w:val="17"/>
          <w:lang w:val="de-DE"/>
        </w:rPr>
      </w:pPr>
      <w:r w:rsidRPr="004436CF">
        <w:rPr>
          <w:rStyle w:val="Refdenotaderodap"/>
          <w:rFonts w:ascii="Garamond" w:hAnsi="Garamond"/>
          <w:sz w:val="17"/>
          <w:szCs w:val="17"/>
        </w:rPr>
        <w:footnoteRef/>
      </w:r>
      <w:r w:rsidRPr="004436CF">
        <w:rPr>
          <w:rFonts w:ascii="Garamond" w:hAnsi="Garamond"/>
          <w:sz w:val="17"/>
          <w:szCs w:val="17"/>
          <w:lang w:val="de-DE"/>
        </w:rPr>
        <w:t xml:space="preserve"> </w:t>
      </w:r>
      <w:r w:rsidRPr="004436CF">
        <w:rPr>
          <w:rFonts w:ascii="Garamond" w:hAnsi="Garamond"/>
          <w:sz w:val="17"/>
          <w:szCs w:val="17"/>
          <w:lang w:val="de-DE"/>
        </w:rPr>
        <w:t xml:space="preserve">Diogenes </w:t>
      </w:r>
      <w:r w:rsidRPr="004436CF">
        <w:rPr>
          <w:rFonts w:ascii="Garamond" w:hAnsi="Garamond"/>
          <w:sz w:val="17"/>
          <w:szCs w:val="17"/>
          <w:lang w:val="de-DE"/>
        </w:rPr>
        <w:t xml:space="preserve">Laertius, </w:t>
      </w:r>
      <w:r w:rsidRPr="004436CF">
        <w:rPr>
          <w:rFonts w:ascii="Garamond" w:hAnsi="Garamond"/>
          <w:i/>
          <w:iCs/>
          <w:sz w:val="17"/>
          <w:szCs w:val="17"/>
          <w:lang w:val="de-DE"/>
        </w:rPr>
        <w:t>Lives of Eminent Philosophers</w:t>
      </w:r>
      <w:r w:rsidRPr="004436CF">
        <w:rPr>
          <w:rFonts w:ascii="Garamond" w:hAnsi="Garamond"/>
          <w:sz w:val="17"/>
          <w:szCs w:val="17"/>
          <w:lang w:val="de-DE"/>
        </w:rPr>
        <w:t>, 138-9, 143, 157.</w:t>
      </w:r>
    </w:p>
  </w:footnote>
  <w:footnote w:id="37">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w:t>
      </w:r>
      <w:proofErr w:type="spellStart"/>
      <w:r w:rsidRPr="004436CF">
        <w:rPr>
          <w:rFonts w:ascii="Garamond" w:hAnsi="Garamond"/>
          <w:sz w:val="17"/>
          <w:szCs w:val="17"/>
          <w:lang w:val="en-GB"/>
        </w:rPr>
        <w:t>Chrysippus</w:t>
      </w:r>
      <w:proofErr w:type="spellEnd"/>
      <w:r w:rsidRPr="004436CF">
        <w:rPr>
          <w:rFonts w:ascii="Garamond" w:hAnsi="Garamond"/>
          <w:sz w:val="17"/>
          <w:szCs w:val="17"/>
          <w:lang w:val="en-GB"/>
        </w:rPr>
        <w:t xml:space="preserve">, On Nature, cit. in Plutarch, cit. in Josiah B. Gould, ‘The Stoic Conception of Fate’, </w:t>
      </w:r>
      <w:r w:rsidRPr="004436CF">
        <w:rPr>
          <w:rFonts w:ascii="Garamond" w:hAnsi="Garamond"/>
          <w:i/>
          <w:iCs/>
          <w:sz w:val="17"/>
          <w:szCs w:val="17"/>
          <w:lang w:val="en-GB"/>
        </w:rPr>
        <w:t>Journal of the History of Ideas</w:t>
      </w:r>
      <w:r w:rsidRPr="004436CF">
        <w:rPr>
          <w:rFonts w:ascii="Garamond" w:hAnsi="Garamond"/>
          <w:sz w:val="17"/>
          <w:szCs w:val="17"/>
          <w:lang w:val="en-GB"/>
        </w:rPr>
        <w:t>, vol. 35, no. 1 (1974), p. 17.</w:t>
      </w:r>
    </w:p>
  </w:footnote>
  <w:footnote w:id="38">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Gould, </w:t>
      </w:r>
      <w:r w:rsidRPr="004436CF">
        <w:rPr>
          <w:rFonts w:ascii="Garamond" w:hAnsi="Garamond"/>
          <w:i/>
          <w:iCs/>
          <w:sz w:val="17"/>
          <w:szCs w:val="17"/>
          <w:lang w:val="en-GB"/>
        </w:rPr>
        <w:t>The Stoic Conception of Fate</w:t>
      </w:r>
      <w:r w:rsidRPr="004436CF">
        <w:rPr>
          <w:rFonts w:ascii="Garamond" w:hAnsi="Garamond"/>
          <w:sz w:val="17"/>
          <w:szCs w:val="17"/>
          <w:lang w:val="en-GB"/>
        </w:rPr>
        <w:t>, p. 21.</w:t>
      </w:r>
    </w:p>
  </w:footnote>
  <w:footnote w:id="39">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Gould, </w:t>
      </w:r>
      <w:r w:rsidRPr="004436CF">
        <w:rPr>
          <w:rFonts w:ascii="Garamond" w:hAnsi="Garamond"/>
          <w:i/>
          <w:iCs/>
          <w:sz w:val="17"/>
          <w:szCs w:val="17"/>
          <w:lang w:val="en-GB"/>
        </w:rPr>
        <w:t>The Stoic Conception of Fate</w:t>
      </w:r>
      <w:r w:rsidRPr="004436CF">
        <w:rPr>
          <w:rFonts w:ascii="Garamond" w:hAnsi="Garamond"/>
          <w:sz w:val="17"/>
          <w:szCs w:val="17"/>
          <w:lang w:val="en-GB"/>
        </w:rPr>
        <w:t>, p. 21, 22, 31.</w:t>
      </w:r>
    </w:p>
  </w:footnote>
  <w:footnote w:id="40">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w:t>
      </w:r>
      <w:r w:rsidRPr="004436CF">
        <w:rPr>
          <w:rFonts w:ascii="Garamond" w:hAnsi="Garamond"/>
          <w:sz w:val="17"/>
          <w:szCs w:val="17"/>
          <w:lang w:val="de-DE"/>
        </w:rPr>
        <w:t xml:space="preserve">Diogenes Laertius, </w:t>
      </w:r>
      <w:r w:rsidRPr="004436CF">
        <w:rPr>
          <w:rFonts w:ascii="Garamond" w:hAnsi="Garamond"/>
          <w:i/>
          <w:iCs/>
          <w:sz w:val="17"/>
          <w:szCs w:val="17"/>
          <w:lang w:val="de-DE"/>
        </w:rPr>
        <w:t>Lives of Eminent Philosophers</w:t>
      </w:r>
      <w:r w:rsidRPr="004436CF">
        <w:rPr>
          <w:rFonts w:ascii="Garamond" w:hAnsi="Garamond"/>
          <w:sz w:val="17"/>
          <w:szCs w:val="17"/>
          <w:lang w:val="de-DE"/>
        </w:rPr>
        <w:t xml:space="preserve">, </w:t>
      </w:r>
      <w:r w:rsidRPr="004436CF">
        <w:rPr>
          <w:rFonts w:ascii="Garamond" w:hAnsi="Garamond"/>
          <w:sz w:val="17"/>
          <w:szCs w:val="17"/>
          <w:lang w:val="en-GB"/>
        </w:rPr>
        <w:t xml:space="preserve">90; Gould, </w:t>
      </w:r>
      <w:r w:rsidRPr="004436CF">
        <w:rPr>
          <w:rFonts w:ascii="Garamond" w:hAnsi="Garamond"/>
          <w:i/>
          <w:iCs/>
          <w:sz w:val="17"/>
          <w:szCs w:val="17"/>
          <w:lang w:val="en-GB"/>
        </w:rPr>
        <w:t>The Stoic Conception of Fate</w:t>
      </w:r>
      <w:r w:rsidRPr="004436CF">
        <w:rPr>
          <w:rFonts w:ascii="Garamond" w:hAnsi="Garamond"/>
          <w:sz w:val="17"/>
          <w:szCs w:val="17"/>
          <w:lang w:val="en-GB"/>
        </w:rPr>
        <w:t>, p. 26.</w:t>
      </w:r>
    </w:p>
  </w:footnote>
  <w:footnote w:id="41">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Gould, </w:t>
      </w:r>
      <w:r w:rsidRPr="004436CF">
        <w:rPr>
          <w:rFonts w:ascii="Garamond" w:hAnsi="Garamond"/>
          <w:i/>
          <w:iCs/>
          <w:sz w:val="17"/>
          <w:szCs w:val="17"/>
          <w:lang w:val="en-GB"/>
        </w:rPr>
        <w:t>The Stoic Conception of Fate</w:t>
      </w:r>
      <w:r w:rsidRPr="004436CF">
        <w:rPr>
          <w:rFonts w:ascii="Garamond" w:hAnsi="Garamond"/>
          <w:sz w:val="17"/>
          <w:szCs w:val="17"/>
          <w:lang w:val="en-GB"/>
        </w:rPr>
        <w:t xml:space="preserve">, p. 26-31; </w:t>
      </w:r>
      <w:r w:rsidRPr="004436CF">
        <w:rPr>
          <w:rFonts w:ascii="Garamond" w:hAnsi="Garamond"/>
          <w:sz w:val="17"/>
          <w:szCs w:val="17"/>
          <w:lang w:val="de-DE"/>
        </w:rPr>
        <w:t xml:space="preserve">Diogenes Laertius, </w:t>
      </w:r>
      <w:r w:rsidRPr="004436CF">
        <w:rPr>
          <w:rFonts w:ascii="Garamond" w:hAnsi="Garamond"/>
          <w:i/>
          <w:iCs/>
          <w:sz w:val="17"/>
          <w:szCs w:val="17"/>
          <w:lang w:val="de-DE"/>
        </w:rPr>
        <w:t>Lives of Eminent Philosophers</w:t>
      </w:r>
      <w:r w:rsidRPr="004436CF">
        <w:rPr>
          <w:rFonts w:ascii="Garamond" w:hAnsi="Garamond"/>
          <w:sz w:val="17"/>
          <w:szCs w:val="17"/>
          <w:lang w:val="de-DE"/>
        </w:rPr>
        <w:t xml:space="preserve">, </w:t>
      </w:r>
      <w:r w:rsidRPr="004436CF">
        <w:rPr>
          <w:rFonts w:ascii="Garamond" w:hAnsi="Garamond"/>
          <w:sz w:val="17"/>
          <w:szCs w:val="17"/>
          <w:lang w:val="en-GB"/>
        </w:rPr>
        <w:t>91.</w:t>
      </w:r>
    </w:p>
  </w:footnote>
  <w:footnote w:id="42">
    <w:p w:rsidR="00AB41D3" w:rsidRPr="004436CF" w:rsidRDefault="00AB41D3" w:rsidP="00AB41D3">
      <w:pPr>
        <w:pStyle w:val="Textodenotaderodap"/>
        <w:rPr>
          <w:rFonts w:ascii="Garamond" w:hAnsi="Garamond"/>
          <w:sz w:val="17"/>
          <w:szCs w:val="17"/>
          <w:lang w:val="en-US"/>
        </w:rPr>
      </w:pPr>
      <w:r w:rsidRPr="004436CF">
        <w:rPr>
          <w:rStyle w:val="Refdenotaderodap"/>
          <w:rFonts w:ascii="Garamond" w:hAnsi="Garamond"/>
          <w:sz w:val="17"/>
          <w:szCs w:val="17"/>
        </w:rPr>
        <w:footnoteRef/>
      </w:r>
      <w:r w:rsidRPr="004436CF">
        <w:rPr>
          <w:rFonts w:ascii="Garamond" w:hAnsi="Garamond"/>
          <w:sz w:val="17"/>
          <w:szCs w:val="17"/>
          <w:lang w:val="en-US"/>
        </w:rPr>
        <w:t xml:space="preserve"> </w:t>
      </w:r>
      <w:r w:rsidRPr="004436CF">
        <w:rPr>
          <w:rFonts w:ascii="Garamond" w:hAnsi="Garamond"/>
          <w:sz w:val="17"/>
          <w:szCs w:val="17"/>
          <w:lang w:val="en-GB"/>
        </w:rPr>
        <w:t xml:space="preserve">Gould, </w:t>
      </w:r>
      <w:r w:rsidRPr="004436CF">
        <w:rPr>
          <w:rFonts w:ascii="Garamond" w:hAnsi="Garamond"/>
          <w:i/>
          <w:iCs/>
          <w:sz w:val="17"/>
          <w:szCs w:val="17"/>
          <w:lang w:val="en-GB"/>
        </w:rPr>
        <w:t>The Stoic Conception of Fate</w:t>
      </w:r>
      <w:r w:rsidRPr="004436CF">
        <w:rPr>
          <w:rFonts w:ascii="Garamond" w:hAnsi="Garamond"/>
          <w:sz w:val="17"/>
          <w:szCs w:val="17"/>
          <w:lang w:val="en-GB"/>
        </w:rPr>
        <w:t>, p. 31.</w:t>
      </w:r>
    </w:p>
  </w:footnote>
  <w:footnote w:id="43">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Gould, </w:t>
      </w:r>
      <w:r w:rsidRPr="004436CF">
        <w:rPr>
          <w:rFonts w:ascii="Garamond" w:hAnsi="Garamond"/>
          <w:i/>
          <w:iCs/>
          <w:sz w:val="17"/>
          <w:szCs w:val="17"/>
          <w:lang w:val="en-GB"/>
        </w:rPr>
        <w:t>The Stoic Conception of Fate</w:t>
      </w:r>
      <w:r w:rsidRPr="004436CF">
        <w:rPr>
          <w:rFonts w:ascii="Garamond" w:hAnsi="Garamond"/>
          <w:sz w:val="17"/>
          <w:szCs w:val="17"/>
          <w:lang w:val="en-GB"/>
        </w:rPr>
        <w:t>, p. 31.</w:t>
      </w:r>
    </w:p>
  </w:footnote>
  <w:footnote w:id="44">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w:t>
      </w:r>
      <w:r w:rsidRPr="004436CF">
        <w:rPr>
          <w:rFonts w:ascii="Garamond" w:hAnsi="Garamond" w:cs="Arial"/>
          <w:sz w:val="17"/>
          <w:szCs w:val="17"/>
          <w:lang w:val="en-GB"/>
        </w:rPr>
        <w:t xml:space="preserve">Bell, Lynn, </w:t>
      </w:r>
      <w:r w:rsidRPr="004436CF">
        <w:rPr>
          <w:rFonts w:ascii="Garamond" w:hAnsi="Garamond" w:cs="Arial"/>
          <w:i/>
          <w:iCs/>
          <w:sz w:val="17"/>
          <w:szCs w:val="17"/>
          <w:lang w:val="en-GB"/>
        </w:rPr>
        <w:t xml:space="preserve">André </w:t>
      </w:r>
      <w:proofErr w:type="spellStart"/>
      <w:r w:rsidRPr="004436CF">
        <w:rPr>
          <w:rFonts w:ascii="Garamond" w:hAnsi="Garamond" w:cs="Arial"/>
          <w:i/>
          <w:iCs/>
          <w:sz w:val="17"/>
          <w:szCs w:val="17"/>
          <w:lang w:val="en-GB"/>
        </w:rPr>
        <w:t>Barbault</w:t>
      </w:r>
      <w:proofErr w:type="spellEnd"/>
      <w:r w:rsidRPr="004436CF">
        <w:rPr>
          <w:rFonts w:ascii="Garamond" w:hAnsi="Garamond" w:cs="Arial"/>
          <w:i/>
          <w:iCs/>
          <w:sz w:val="17"/>
          <w:szCs w:val="17"/>
          <w:lang w:val="en-GB"/>
        </w:rPr>
        <w:t xml:space="preserve"> in Conversation with Lynn Bell</w:t>
      </w:r>
      <w:r w:rsidRPr="004436CF">
        <w:rPr>
          <w:rFonts w:ascii="Garamond" w:hAnsi="Garamond" w:cs="Arial"/>
          <w:sz w:val="17"/>
          <w:szCs w:val="17"/>
          <w:lang w:val="en-GB"/>
        </w:rPr>
        <w:t>, &lt;https://www.youtube.com/watch?v=VgVYt7IQjJs&gt;, [accessed 20 March 2020].</w:t>
      </w:r>
    </w:p>
  </w:footnote>
  <w:footnote w:id="45">
    <w:p w:rsidR="00AB41D3" w:rsidRPr="004436CF" w:rsidRDefault="00AB41D3" w:rsidP="00AB41D3">
      <w:pPr>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André </w:t>
      </w:r>
      <w:proofErr w:type="spellStart"/>
      <w:r w:rsidRPr="004436CF">
        <w:rPr>
          <w:rFonts w:ascii="Garamond" w:hAnsi="Garamond"/>
          <w:sz w:val="17"/>
          <w:szCs w:val="17"/>
        </w:rPr>
        <w:t>Barbault</w:t>
      </w:r>
      <w:proofErr w:type="spellEnd"/>
      <w:r w:rsidRPr="004436CF">
        <w:rPr>
          <w:rFonts w:ascii="Garamond" w:hAnsi="Garamond"/>
          <w:sz w:val="17"/>
          <w:szCs w:val="17"/>
        </w:rPr>
        <w:t>, ‘</w:t>
      </w:r>
      <w:proofErr w:type="spellStart"/>
      <w:r w:rsidRPr="004436CF">
        <w:rPr>
          <w:rFonts w:ascii="Garamond" w:hAnsi="Garamond"/>
          <w:sz w:val="17"/>
          <w:szCs w:val="17"/>
        </w:rPr>
        <w:t>L'auto-créativité</w:t>
      </w:r>
      <w:proofErr w:type="spellEnd"/>
      <w:r w:rsidRPr="004436CF">
        <w:rPr>
          <w:rFonts w:ascii="Garamond" w:hAnsi="Garamond"/>
          <w:sz w:val="17"/>
          <w:szCs w:val="17"/>
        </w:rPr>
        <w:t xml:space="preserve"> des </w:t>
      </w:r>
      <w:proofErr w:type="spellStart"/>
      <w:r w:rsidRPr="004436CF">
        <w:rPr>
          <w:rFonts w:ascii="Garamond" w:hAnsi="Garamond"/>
          <w:sz w:val="17"/>
          <w:szCs w:val="17"/>
        </w:rPr>
        <w:t>astrologues</w:t>
      </w:r>
      <w:proofErr w:type="spellEnd"/>
      <w:r w:rsidRPr="004436CF">
        <w:rPr>
          <w:rFonts w:ascii="Garamond" w:hAnsi="Garamond"/>
          <w:sz w:val="17"/>
          <w:szCs w:val="17"/>
        </w:rPr>
        <w:t xml:space="preserve">’, </w:t>
      </w:r>
      <w:proofErr w:type="spellStart"/>
      <w:r w:rsidRPr="004436CF">
        <w:rPr>
          <w:rFonts w:ascii="Garamond" w:hAnsi="Garamond"/>
          <w:i/>
          <w:iCs/>
          <w:sz w:val="17"/>
          <w:szCs w:val="17"/>
        </w:rPr>
        <w:t>Congrès</w:t>
      </w:r>
      <w:proofErr w:type="spellEnd"/>
      <w:r w:rsidRPr="004436CF">
        <w:rPr>
          <w:rFonts w:ascii="Garamond" w:hAnsi="Garamond"/>
          <w:i/>
          <w:iCs/>
          <w:sz w:val="17"/>
          <w:szCs w:val="17"/>
        </w:rPr>
        <w:t xml:space="preserve"> </w:t>
      </w:r>
      <w:proofErr w:type="spellStart"/>
      <w:r w:rsidRPr="004436CF">
        <w:rPr>
          <w:rFonts w:ascii="Garamond" w:hAnsi="Garamond"/>
          <w:i/>
          <w:iCs/>
          <w:sz w:val="17"/>
          <w:szCs w:val="17"/>
        </w:rPr>
        <w:t>d’astrologie</w:t>
      </w:r>
      <w:proofErr w:type="spellEnd"/>
      <w:r w:rsidRPr="004436CF">
        <w:rPr>
          <w:rFonts w:ascii="Garamond" w:hAnsi="Garamond"/>
          <w:i/>
          <w:iCs/>
          <w:sz w:val="17"/>
          <w:szCs w:val="17"/>
        </w:rPr>
        <w:t xml:space="preserve"> Sep Hermès</w:t>
      </w:r>
      <w:r w:rsidRPr="004436CF">
        <w:rPr>
          <w:rFonts w:ascii="Garamond" w:hAnsi="Garamond"/>
          <w:sz w:val="17"/>
          <w:szCs w:val="17"/>
        </w:rPr>
        <w:t xml:space="preserve">, (9 April 2005) &lt;http://www.andrebarbault.com/DOC/311.pdf&gt;, [accessed 22 March 2020], p.1; André </w:t>
      </w:r>
      <w:proofErr w:type="spellStart"/>
      <w:r w:rsidRPr="004436CF">
        <w:rPr>
          <w:rFonts w:ascii="Garamond" w:hAnsi="Garamond"/>
          <w:sz w:val="17"/>
          <w:szCs w:val="17"/>
        </w:rPr>
        <w:t>Barbault</w:t>
      </w:r>
      <w:proofErr w:type="spellEnd"/>
      <w:r w:rsidRPr="004436CF">
        <w:rPr>
          <w:rFonts w:ascii="Garamond" w:hAnsi="Garamond"/>
          <w:sz w:val="17"/>
          <w:szCs w:val="17"/>
        </w:rPr>
        <w:t xml:space="preserve">, </w:t>
      </w:r>
      <w:proofErr w:type="spellStart"/>
      <w:r w:rsidRPr="004436CF">
        <w:rPr>
          <w:rFonts w:ascii="Garamond" w:hAnsi="Garamond"/>
          <w:i/>
          <w:iCs/>
          <w:sz w:val="17"/>
          <w:szCs w:val="17"/>
        </w:rPr>
        <w:t>Defensa</w:t>
      </w:r>
      <w:proofErr w:type="spellEnd"/>
      <w:r w:rsidRPr="004436CF">
        <w:rPr>
          <w:rFonts w:ascii="Garamond" w:hAnsi="Garamond"/>
          <w:i/>
          <w:iCs/>
          <w:sz w:val="17"/>
          <w:szCs w:val="17"/>
        </w:rPr>
        <w:t xml:space="preserve"> e </w:t>
      </w:r>
      <w:proofErr w:type="spellStart"/>
      <w:r w:rsidRPr="004436CF">
        <w:rPr>
          <w:rFonts w:ascii="Garamond" w:hAnsi="Garamond"/>
          <w:i/>
          <w:iCs/>
          <w:sz w:val="17"/>
          <w:szCs w:val="17"/>
        </w:rPr>
        <w:t>Ilustración</w:t>
      </w:r>
      <w:proofErr w:type="spellEnd"/>
      <w:r w:rsidRPr="004436CF">
        <w:rPr>
          <w:rFonts w:ascii="Garamond" w:hAnsi="Garamond"/>
          <w:i/>
          <w:iCs/>
          <w:sz w:val="17"/>
          <w:szCs w:val="17"/>
        </w:rPr>
        <w:t xml:space="preserve"> de la </w:t>
      </w:r>
      <w:proofErr w:type="spellStart"/>
      <w:r w:rsidRPr="004436CF">
        <w:rPr>
          <w:rFonts w:ascii="Garamond" w:hAnsi="Garamond"/>
          <w:i/>
          <w:iCs/>
          <w:sz w:val="17"/>
          <w:szCs w:val="17"/>
        </w:rPr>
        <w:t>Astrologia</w:t>
      </w:r>
      <w:proofErr w:type="spellEnd"/>
      <w:r w:rsidRPr="004436CF">
        <w:rPr>
          <w:rFonts w:ascii="Garamond" w:hAnsi="Garamond"/>
          <w:sz w:val="17"/>
          <w:szCs w:val="17"/>
        </w:rPr>
        <w:t xml:space="preserve">, trans. by A.B.F. (Barcelona: editorial Iberia, 1958), </w:t>
      </w:r>
      <w:r w:rsidRPr="004436CF">
        <w:rPr>
          <w:rStyle w:val="fontstyle21"/>
          <w:rFonts w:ascii="Garamond" w:hAnsi="Garamond"/>
          <w:sz w:val="17"/>
          <w:szCs w:val="17"/>
        </w:rPr>
        <w:t>Ch. IX.</w:t>
      </w:r>
    </w:p>
  </w:footnote>
  <w:footnote w:id="46">
    <w:p w:rsidR="00AB41D3" w:rsidRPr="004436CF" w:rsidRDefault="00AB41D3" w:rsidP="00AB41D3">
      <w:pPr>
        <w:pStyle w:val="Textodenotaderodap"/>
        <w:rPr>
          <w:rFonts w:ascii="Garamond" w:hAnsi="Garamond"/>
          <w:sz w:val="17"/>
          <w:szCs w:val="17"/>
          <w:lang w:val="es-ES"/>
        </w:rPr>
      </w:pPr>
      <w:r w:rsidRPr="004436CF">
        <w:rPr>
          <w:rStyle w:val="Refdenotaderodap"/>
          <w:rFonts w:ascii="Garamond" w:hAnsi="Garamond"/>
          <w:sz w:val="17"/>
          <w:szCs w:val="17"/>
        </w:rPr>
        <w:footnoteRef/>
      </w:r>
      <w:r w:rsidRPr="004436CF">
        <w:rPr>
          <w:rStyle w:val="fontstyle21"/>
          <w:rFonts w:ascii="Garamond" w:hAnsi="Garamond"/>
          <w:sz w:val="17"/>
          <w:szCs w:val="17"/>
          <w:lang w:val="es-ES"/>
        </w:rPr>
        <w:t xml:space="preserve"> </w:t>
      </w:r>
      <w:r w:rsidRPr="004436CF">
        <w:rPr>
          <w:rFonts w:ascii="Garamond" w:hAnsi="Garamond"/>
          <w:sz w:val="17"/>
          <w:szCs w:val="17"/>
          <w:lang w:val="es-ES"/>
        </w:rPr>
        <w:t xml:space="preserve">André </w:t>
      </w:r>
      <w:proofErr w:type="spellStart"/>
      <w:r w:rsidRPr="004436CF">
        <w:rPr>
          <w:rFonts w:ascii="Garamond" w:hAnsi="Garamond"/>
          <w:sz w:val="17"/>
          <w:szCs w:val="17"/>
          <w:lang w:val="es-ES"/>
        </w:rPr>
        <w:t>Barbault</w:t>
      </w:r>
      <w:proofErr w:type="spellEnd"/>
      <w:r w:rsidRPr="004436CF">
        <w:rPr>
          <w:rStyle w:val="fontstyle21"/>
          <w:rFonts w:ascii="Garamond" w:hAnsi="Garamond"/>
          <w:sz w:val="17"/>
          <w:szCs w:val="17"/>
          <w:lang w:val="es-ES"/>
        </w:rPr>
        <w:t xml:space="preserve">, </w:t>
      </w:r>
      <w:r w:rsidRPr="004436CF">
        <w:rPr>
          <w:rStyle w:val="fontstyle21"/>
          <w:rFonts w:ascii="Garamond" w:hAnsi="Garamond"/>
          <w:i/>
          <w:iCs/>
          <w:sz w:val="17"/>
          <w:szCs w:val="17"/>
          <w:lang w:val="es-ES"/>
        </w:rPr>
        <w:t>El Pronóstico Experimental en Astrología</w:t>
      </w:r>
      <w:r w:rsidRPr="004436CF">
        <w:rPr>
          <w:rStyle w:val="fontstyle21"/>
          <w:rFonts w:ascii="Garamond" w:hAnsi="Garamond"/>
          <w:sz w:val="17"/>
          <w:szCs w:val="17"/>
          <w:lang w:val="es-ES"/>
        </w:rPr>
        <w:t xml:space="preserve">, trans. </w:t>
      </w:r>
      <w:proofErr w:type="spellStart"/>
      <w:r w:rsidRPr="004436CF">
        <w:rPr>
          <w:rStyle w:val="fontstyle21"/>
          <w:rFonts w:ascii="Garamond" w:hAnsi="Garamond"/>
          <w:sz w:val="17"/>
          <w:szCs w:val="17"/>
          <w:lang w:val="es-ES"/>
        </w:rPr>
        <w:t>by</w:t>
      </w:r>
      <w:proofErr w:type="spellEnd"/>
      <w:r w:rsidRPr="004436CF">
        <w:rPr>
          <w:rStyle w:val="fontstyle21"/>
          <w:rFonts w:ascii="Garamond" w:hAnsi="Garamond"/>
          <w:sz w:val="17"/>
          <w:szCs w:val="17"/>
          <w:lang w:val="es-ES"/>
        </w:rPr>
        <w:t xml:space="preserve"> Guiomar Eguillor (</w:t>
      </w:r>
      <w:proofErr w:type="spellStart"/>
      <w:r w:rsidRPr="004436CF">
        <w:rPr>
          <w:rStyle w:val="fontstyle21"/>
          <w:rFonts w:ascii="Garamond" w:hAnsi="Garamond"/>
          <w:sz w:val="17"/>
          <w:szCs w:val="17"/>
          <w:lang w:val="es-ES"/>
        </w:rPr>
        <w:t>Spain</w:t>
      </w:r>
      <w:proofErr w:type="spellEnd"/>
      <w:r w:rsidRPr="004436CF">
        <w:rPr>
          <w:rStyle w:val="fontstyle21"/>
          <w:rFonts w:ascii="Garamond" w:hAnsi="Garamond"/>
          <w:sz w:val="17"/>
          <w:szCs w:val="17"/>
          <w:lang w:val="es-ES"/>
        </w:rPr>
        <w:t xml:space="preserve">: </w:t>
      </w:r>
      <w:proofErr w:type="spellStart"/>
      <w:r w:rsidRPr="004436CF">
        <w:rPr>
          <w:rStyle w:val="fontstyle21"/>
          <w:rFonts w:ascii="Garamond" w:hAnsi="Garamond"/>
          <w:sz w:val="17"/>
          <w:szCs w:val="17"/>
          <w:lang w:val="es-ES"/>
        </w:rPr>
        <w:t>Vision</w:t>
      </w:r>
      <w:proofErr w:type="spellEnd"/>
      <w:r w:rsidRPr="004436CF">
        <w:rPr>
          <w:rStyle w:val="fontstyle21"/>
          <w:rFonts w:ascii="Garamond" w:hAnsi="Garamond"/>
          <w:sz w:val="17"/>
          <w:szCs w:val="17"/>
          <w:lang w:val="es-ES"/>
        </w:rPr>
        <w:t xml:space="preserve"> Libros, 1981 [1973]), p. 27; </w:t>
      </w:r>
      <w:proofErr w:type="spellStart"/>
      <w:r w:rsidRPr="004436CF">
        <w:rPr>
          <w:rFonts w:ascii="Garamond" w:hAnsi="Garamond"/>
          <w:sz w:val="17"/>
          <w:szCs w:val="17"/>
          <w:lang w:val="es-ES"/>
        </w:rPr>
        <w:t>Barbault</w:t>
      </w:r>
      <w:proofErr w:type="spellEnd"/>
      <w:r w:rsidRPr="004436CF">
        <w:rPr>
          <w:rFonts w:ascii="Garamond" w:hAnsi="Garamond"/>
          <w:sz w:val="17"/>
          <w:szCs w:val="17"/>
          <w:lang w:val="es-ES"/>
        </w:rPr>
        <w:t xml:space="preserve">, </w:t>
      </w:r>
      <w:r w:rsidRPr="004436CF">
        <w:rPr>
          <w:rFonts w:ascii="Garamond" w:hAnsi="Garamond"/>
          <w:i/>
          <w:iCs/>
          <w:sz w:val="17"/>
          <w:szCs w:val="17"/>
          <w:lang w:val="es-ES"/>
        </w:rPr>
        <w:t xml:space="preserve">Defensa e Ilustración de la </w:t>
      </w:r>
      <w:proofErr w:type="spellStart"/>
      <w:r w:rsidRPr="004436CF">
        <w:rPr>
          <w:rFonts w:ascii="Garamond" w:hAnsi="Garamond"/>
          <w:i/>
          <w:iCs/>
          <w:sz w:val="17"/>
          <w:szCs w:val="17"/>
          <w:lang w:val="es-ES"/>
        </w:rPr>
        <w:t>Astrologia</w:t>
      </w:r>
      <w:proofErr w:type="spellEnd"/>
      <w:r w:rsidRPr="004436CF">
        <w:rPr>
          <w:rStyle w:val="fontstyle21"/>
          <w:rFonts w:ascii="Garamond" w:hAnsi="Garamond"/>
          <w:sz w:val="17"/>
          <w:szCs w:val="17"/>
          <w:lang w:val="es-ES"/>
        </w:rPr>
        <w:t>, Ch. IX, pp. 127-132.</w:t>
      </w:r>
    </w:p>
  </w:footnote>
  <w:footnote w:id="47">
    <w:p w:rsidR="00AB41D3" w:rsidRPr="004436CF" w:rsidRDefault="00AB41D3" w:rsidP="00AB41D3">
      <w:pPr>
        <w:pStyle w:val="Textodenotaderodap"/>
        <w:rPr>
          <w:rFonts w:ascii="Garamond" w:hAnsi="Garamond"/>
          <w:sz w:val="17"/>
          <w:szCs w:val="17"/>
          <w:lang w:val="es-ES"/>
        </w:rPr>
      </w:pPr>
      <w:r w:rsidRPr="004436CF">
        <w:rPr>
          <w:rStyle w:val="Refdenotaderodap"/>
          <w:rFonts w:ascii="Garamond" w:hAnsi="Garamond"/>
          <w:sz w:val="17"/>
          <w:szCs w:val="17"/>
        </w:rPr>
        <w:footnoteRef/>
      </w:r>
      <w:r w:rsidRPr="004436CF">
        <w:rPr>
          <w:rFonts w:ascii="Garamond" w:hAnsi="Garamond"/>
          <w:sz w:val="17"/>
          <w:szCs w:val="17"/>
          <w:lang w:val="es-ES"/>
        </w:rPr>
        <w:t xml:space="preserve"> </w:t>
      </w:r>
      <w:proofErr w:type="spellStart"/>
      <w:r w:rsidRPr="004436CF">
        <w:rPr>
          <w:rFonts w:ascii="Garamond" w:hAnsi="Garamond"/>
          <w:sz w:val="17"/>
          <w:szCs w:val="17"/>
          <w:lang w:val="es-ES"/>
        </w:rPr>
        <w:t>Barbault</w:t>
      </w:r>
      <w:proofErr w:type="spellEnd"/>
      <w:r w:rsidRPr="004436CF">
        <w:rPr>
          <w:rFonts w:ascii="Garamond" w:hAnsi="Garamond"/>
          <w:sz w:val="17"/>
          <w:szCs w:val="17"/>
          <w:lang w:val="es-ES"/>
        </w:rPr>
        <w:t xml:space="preserve">, </w:t>
      </w:r>
      <w:r w:rsidRPr="004436CF">
        <w:rPr>
          <w:rFonts w:ascii="Garamond" w:hAnsi="Garamond"/>
          <w:i/>
          <w:iCs/>
          <w:sz w:val="17"/>
          <w:szCs w:val="17"/>
          <w:lang w:val="es-ES"/>
        </w:rPr>
        <w:t xml:space="preserve">Defensa e Ilustración de la </w:t>
      </w:r>
      <w:proofErr w:type="spellStart"/>
      <w:r w:rsidRPr="004436CF">
        <w:rPr>
          <w:rFonts w:ascii="Garamond" w:hAnsi="Garamond"/>
          <w:i/>
          <w:iCs/>
          <w:sz w:val="17"/>
          <w:szCs w:val="17"/>
          <w:lang w:val="es-ES"/>
        </w:rPr>
        <w:t>Astrologia</w:t>
      </w:r>
      <w:proofErr w:type="spellEnd"/>
      <w:r w:rsidRPr="004436CF">
        <w:rPr>
          <w:rStyle w:val="fontstyle21"/>
          <w:rFonts w:ascii="Garamond" w:hAnsi="Garamond"/>
          <w:sz w:val="17"/>
          <w:szCs w:val="17"/>
          <w:lang w:val="es-ES"/>
        </w:rPr>
        <w:t xml:space="preserve">, Ch. IX, X.; </w:t>
      </w:r>
      <w:proofErr w:type="spellStart"/>
      <w:r w:rsidRPr="004436CF">
        <w:rPr>
          <w:rStyle w:val="fontstyle21"/>
          <w:rFonts w:ascii="Garamond" w:hAnsi="Garamond"/>
          <w:sz w:val="17"/>
          <w:szCs w:val="17"/>
          <w:lang w:val="es-ES"/>
        </w:rPr>
        <w:t>Barbault</w:t>
      </w:r>
      <w:proofErr w:type="spellEnd"/>
      <w:r w:rsidRPr="004436CF">
        <w:rPr>
          <w:rStyle w:val="fontstyle21"/>
          <w:rFonts w:ascii="Garamond" w:hAnsi="Garamond"/>
          <w:sz w:val="17"/>
          <w:szCs w:val="17"/>
          <w:lang w:val="es-ES"/>
        </w:rPr>
        <w:t xml:space="preserve">, </w:t>
      </w:r>
      <w:r w:rsidRPr="004436CF">
        <w:rPr>
          <w:rStyle w:val="fontstyle21"/>
          <w:rFonts w:ascii="Garamond" w:hAnsi="Garamond"/>
          <w:i/>
          <w:iCs/>
          <w:sz w:val="17"/>
          <w:szCs w:val="17"/>
          <w:lang w:val="es-ES"/>
        </w:rPr>
        <w:t>El Pronóstico Experimental en Astrología.</w:t>
      </w:r>
    </w:p>
  </w:footnote>
  <w:footnote w:id="48">
    <w:p w:rsidR="00AB41D3" w:rsidRPr="004436CF" w:rsidRDefault="00AB41D3" w:rsidP="00AB41D3">
      <w:pPr>
        <w:rPr>
          <w:rFonts w:ascii="Garamond" w:hAnsi="Garamond"/>
          <w:sz w:val="17"/>
          <w:szCs w:val="17"/>
          <w:lang w:val="es-ES"/>
        </w:rPr>
      </w:pPr>
      <w:r w:rsidRPr="004436CF">
        <w:rPr>
          <w:rStyle w:val="Refdenotaderodap"/>
          <w:rFonts w:ascii="Garamond" w:hAnsi="Garamond"/>
          <w:sz w:val="17"/>
          <w:szCs w:val="17"/>
        </w:rPr>
        <w:footnoteRef/>
      </w:r>
      <w:r w:rsidRPr="004436CF">
        <w:rPr>
          <w:rFonts w:ascii="Garamond" w:hAnsi="Garamond"/>
          <w:sz w:val="17"/>
          <w:szCs w:val="17"/>
          <w:lang w:val="es-ES"/>
        </w:rPr>
        <w:t xml:space="preserve"> </w:t>
      </w:r>
      <w:proofErr w:type="spellStart"/>
      <w:r w:rsidRPr="004436CF">
        <w:rPr>
          <w:rFonts w:ascii="Garamond" w:hAnsi="Garamond"/>
          <w:sz w:val="17"/>
          <w:szCs w:val="17"/>
          <w:lang w:val="es-ES"/>
        </w:rPr>
        <w:t>Barbault</w:t>
      </w:r>
      <w:proofErr w:type="spellEnd"/>
      <w:r w:rsidRPr="004436CF">
        <w:rPr>
          <w:rFonts w:ascii="Garamond" w:hAnsi="Garamond"/>
          <w:sz w:val="17"/>
          <w:szCs w:val="17"/>
          <w:lang w:val="es-ES"/>
        </w:rPr>
        <w:t xml:space="preserve">, </w:t>
      </w:r>
      <w:r w:rsidRPr="004436CF">
        <w:rPr>
          <w:rFonts w:ascii="Garamond" w:hAnsi="Garamond"/>
          <w:i/>
          <w:iCs/>
          <w:sz w:val="17"/>
          <w:szCs w:val="17"/>
          <w:lang w:val="es-ES"/>
        </w:rPr>
        <w:t xml:space="preserve">Defensa e Ilustración de la </w:t>
      </w:r>
      <w:proofErr w:type="spellStart"/>
      <w:r w:rsidRPr="004436CF">
        <w:rPr>
          <w:rFonts w:ascii="Garamond" w:hAnsi="Garamond"/>
          <w:i/>
          <w:iCs/>
          <w:sz w:val="17"/>
          <w:szCs w:val="17"/>
          <w:lang w:val="es-ES"/>
        </w:rPr>
        <w:t>Astrologia</w:t>
      </w:r>
      <w:proofErr w:type="spellEnd"/>
      <w:r w:rsidRPr="004436CF">
        <w:rPr>
          <w:rStyle w:val="fontstyle21"/>
          <w:rFonts w:ascii="Garamond" w:hAnsi="Garamond"/>
          <w:sz w:val="17"/>
          <w:szCs w:val="17"/>
          <w:lang w:val="es-ES"/>
        </w:rPr>
        <w:t>,</w:t>
      </w:r>
      <w:r w:rsidRPr="004436CF">
        <w:rPr>
          <w:rFonts w:ascii="Garamond" w:hAnsi="Garamond"/>
          <w:sz w:val="17"/>
          <w:szCs w:val="17"/>
          <w:lang w:val="es-ES"/>
        </w:rPr>
        <w:t xml:space="preserve"> p.</w:t>
      </w:r>
      <w:r w:rsidRPr="004436CF">
        <w:rPr>
          <w:rStyle w:val="fontstyle21"/>
          <w:rFonts w:ascii="Garamond" w:hAnsi="Garamond"/>
          <w:sz w:val="17"/>
          <w:szCs w:val="17"/>
          <w:lang w:val="es-ES"/>
        </w:rPr>
        <w:t xml:space="preserve">132; Enzo </w:t>
      </w:r>
      <w:proofErr w:type="spellStart"/>
      <w:r w:rsidRPr="004436CF">
        <w:rPr>
          <w:rStyle w:val="fontstyle21"/>
          <w:rFonts w:ascii="Garamond" w:hAnsi="Garamond"/>
          <w:sz w:val="17"/>
          <w:szCs w:val="17"/>
          <w:lang w:val="es-ES"/>
        </w:rPr>
        <w:t>Barillà</w:t>
      </w:r>
      <w:proofErr w:type="spellEnd"/>
      <w:r w:rsidRPr="004436CF">
        <w:rPr>
          <w:rStyle w:val="fontstyle21"/>
          <w:rFonts w:ascii="Garamond" w:hAnsi="Garamond"/>
          <w:sz w:val="17"/>
          <w:szCs w:val="17"/>
          <w:lang w:val="es-ES"/>
        </w:rPr>
        <w:t xml:space="preserve"> and Giorgio </w:t>
      </w:r>
      <w:proofErr w:type="spellStart"/>
      <w:r w:rsidRPr="004436CF">
        <w:rPr>
          <w:rStyle w:val="fontstyle21"/>
          <w:rFonts w:ascii="Garamond" w:hAnsi="Garamond"/>
          <w:sz w:val="17"/>
          <w:szCs w:val="17"/>
          <w:lang w:val="es-ES"/>
        </w:rPr>
        <w:t>Damiano</w:t>
      </w:r>
      <w:proofErr w:type="spellEnd"/>
      <w:r w:rsidRPr="004436CF">
        <w:rPr>
          <w:rStyle w:val="fontstyle21"/>
          <w:rFonts w:ascii="Garamond" w:hAnsi="Garamond"/>
          <w:sz w:val="17"/>
          <w:szCs w:val="17"/>
          <w:lang w:val="es-ES"/>
        </w:rPr>
        <w:t xml:space="preserve">, </w:t>
      </w:r>
      <w:proofErr w:type="spellStart"/>
      <w:r w:rsidRPr="004436CF">
        <w:rPr>
          <w:rStyle w:val="fontstyle21"/>
          <w:rFonts w:ascii="Garamond" w:hAnsi="Garamond"/>
          <w:sz w:val="17"/>
          <w:szCs w:val="17"/>
          <w:lang w:val="es-ES"/>
        </w:rPr>
        <w:t>Intervista</w:t>
      </w:r>
      <w:proofErr w:type="spellEnd"/>
      <w:r w:rsidRPr="004436CF">
        <w:rPr>
          <w:rStyle w:val="fontstyle21"/>
          <w:rFonts w:ascii="Garamond" w:hAnsi="Garamond"/>
          <w:sz w:val="17"/>
          <w:szCs w:val="17"/>
          <w:lang w:val="es-ES"/>
        </w:rPr>
        <w:t xml:space="preserve"> ad André </w:t>
      </w:r>
      <w:proofErr w:type="spellStart"/>
      <w:r w:rsidRPr="004436CF">
        <w:rPr>
          <w:rStyle w:val="fontstyle21"/>
          <w:rFonts w:ascii="Garamond" w:hAnsi="Garamond"/>
          <w:sz w:val="17"/>
          <w:szCs w:val="17"/>
          <w:lang w:val="es-ES"/>
        </w:rPr>
        <w:t>Barbault</w:t>
      </w:r>
      <w:proofErr w:type="spellEnd"/>
      <w:r w:rsidRPr="004436CF">
        <w:rPr>
          <w:rStyle w:val="fontstyle21"/>
          <w:rFonts w:ascii="Garamond" w:hAnsi="Garamond"/>
          <w:sz w:val="17"/>
          <w:szCs w:val="17"/>
          <w:lang w:val="es-ES"/>
        </w:rPr>
        <w:t xml:space="preserve">, </w:t>
      </w:r>
      <w:r w:rsidRPr="004436CF">
        <w:rPr>
          <w:rStyle w:val="fontstyle21"/>
          <w:rFonts w:ascii="Garamond" w:hAnsi="Garamond"/>
          <w:i/>
          <w:iCs/>
          <w:sz w:val="17"/>
          <w:szCs w:val="17"/>
          <w:lang w:val="es-ES"/>
        </w:rPr>
        <w:t>CONVIVIO ASTROLOGICO</w:t>
      </w:r>
      <w:r w:rsidRPr="004436CF">
        <w:rPr>
          <w:rStyle w:val="fontstyle21"/>
          <w:rFonts w:ascii="Garamond" w:hAnsi="Garamond"/>
          <w:sz w:val="17"/>
          <w:szCs w:val="17"/>
          <w:lang w:val="es-ES"/>
        </w:rPr>
        <w:t>, &lt;http://www.convivioastrologico.it/articoli_vari/barbault_intervista.htm</w:t>
      </w:r>
      <w:proofErr w:type="gramStart"/>
      <w:r w:rsidRPr="004436CF">
        <w:rPr>
          <w:rStyle w:val="fontstyle21"/>
          <w:rFonts w:ascii="Garamond" w:hAnsi="Garamond"/>
          <w:sz w:val="17"/>
          <w:szCs w:val="17"/>
          <w:lang w:val="es-ES"/>
        </w:rPr>
        <w:t>&gt;,[</w:t>
      </w:r>
      <w:proofErr w:type="gramEnd"/>
      <w:r w:rsidRPr="004436CF">
        <w:rPr>
          <w:rStyle w:val="fontstyle21"/>
          <w:rFonts w:ascii="Garamond" w:hAnsi="Garamond"/>
          <w:sz w:val="17"/>
          <w:szCs w:val="17"/>
          <w:lang w:val="es-ES"/>
        </w:rPr>
        <w:t>accessed 21.July 2020]]</w:t>
      </w:r>
    </w:p>
  </w:footnote>
  <w:footnote w:id="49">
    <w:p w:rsidR="00AB41D3" w:rsidRPr="004436CF" w:rsidRDefault="00AB41D3" w:rsidP="00AB41D3">
      <w:pPr>
        <w:pStyle w:val="Textodenotaderodap"/>
        <w:rPr>
          <w:rFonts w:ascii="Garamond" w:hAnsi="Garamond"/>
          <w:sz w:val="17"/>
          <w:szCs w:val="17"/>
          <w:lang w:val="es-ES"/>
        </w:rPr>
      </w:pPr>
      <w:r w:rsidRPr="004436CF">
        <w:rPr>
          <w:rStyle w:val="Refdenotaderodap"/>
          <w:rFonts w:ascii="Garamond" w:hAnsi="Garamond"/>
          <w:sz w:val="17"/>
          <w:szCs w:val="17"/>
        </w:rPr>
        <w:footnoteRef/>
      </w:r>
      <w:r w:rsidRPr="004436CF">
        <w:rPr>
          <w:rFonts w:ascii="Garamond" w:hAnsi="Garamond"/>
          <w:sz w:val="17"/>
          <w:szCs w:val="17"/>
          <w:lang w:val="es-ES"/>
        </w:rPr>
        <w:t xml:space="preserve"> </w:t>
      </w:r>
      <w:proofErr w:type="spellStart"/>
      <w:r w:rsidRPr="004436CF">
        <w:rPr>
          <w:rFonts w:ascii="Garamond" w:hAnsi="Garamond"/>
          <w:sz w:val="17"/>
          <w:szCs w:val="17"/>
          <w:lang w:val="es-ES"/>
        </w:rPr>
        <w:t>Barbault</w:t>
      </w:r>
      <w:proofErr w:type="spellEnd"/>
      <w:r w:rsidRPr="004436CF">
        <w:rPr>
          <w:rFonts w:ascii="Garamond" w:hAnsi="Garamond"/>
          <w:sz w:val="17"/>
          <w:szCs w:val="17"/>
          <w:lang w:val="es-ES"/>
        </w:rPr>
        <w:t xml:space="preserve">, </w:t>
      </w:r>
      <w:r w:rsidRPr="004436CF">
        <w:rPr>
          <w:rFonts w:ascii="Garamond" w:hAnsi="Garamond"/>
          <w:i/>
          <w:iCs/>
          <w:sz w:val="17"/>
          <w:szCs w:val="17"/>
          <w:lang w:val="es-ES"/>
        </w:rPr>
        <w:t xml:space="preserve">Defensa e Ilustración de la </w:t>
      </w:r>
      <w:proofErr w:type="spellStart"/>
      <w:r w:rsidRPr="004436CF">
        <w:rPr>
          <w:rFonts w:ascii="Garamond" w:hAnsi="Garamond"/>
          <w:i/>
          <w:iCs/>
          <w:sz w:val="17"/>
          <w:szCs w:val="17"/>
          <w:lang w:val="es-ES"/>
        </w:rPr>
        <w:t>Astrologia</w:t>
      </w:r>
      <w:proofErr w:type="spellEnd"/>
      <w:r w:rsidRPr="004436CF">
        <w:rPr>
          <w:rStyle w:val="fontstyle21"/>
          <w:rFonts w:ascii="Garamond" w:hAnsi="Garamond"/>
          <w:sz w:val="17"/>
          <w:szCs w:val="17"/>
          <w:lang w:val="es-ES"/>
        </w:rPr>
        <w:t>,</w:t>
      </w:r>
      <w:r w:rsidRPr="004436CF">
        <w:rPr>
          <w:rFonts w:ascii="Garamond" w:hAnsi="Garamond"/>
          <w:sz w:val="17"/>
          <w:szCs w:val="17"/>
          <w:lang w:val="es-ES"/>
        </w:rPr>
        <w:t xml:space="preserve"> p.</w:t>
      </w:r>
      <w:r w:rsidRPr="004436CF">
        <w:rPr>
          <w:rStyle w:val="fontstyle21"/>
          <w:rFonts w:ascii="Garamond" w:hAnsi="Garamond"/>
          <w:sz w:val="17"/>
          <w:szCs w:val="17"/>
          <w:lang w:val="es-ES"/>
        </w:rPr>
        <w:t>132</w:t>
      </w:r>
      <w:r w:rsidRPr="004436CF">
        <w:rPr>
          <w:rFonts w:ascii="Garamond" w:hAnsi="Garamond"/>
          <w:sz w:val="17"/>
          <w:szCs w:val="17"/>
          <w:lang w:val="es-ES"/>
        </w:rPr>
        <w:t>: ‘</w:t>
      </w:r>
      <w:r w:rsidRPr="004436CF">
        <w:rPr>
          <w:rStyle w:val="fontstyle21"/>
          <w:rFonts w:ascii="Garamond" w:hAnsi="Garamond"/>
          <w:sz w:val="17"/>
          <w:szCs w:val="17"/>
          <w:lang w:val="es-ES"/>
        </w:rPr>
        <w:t xml:space="preserve">El fatalismo presuntuoso y primitivo de una astrología decadente, nacido, según muchas concepciones, de los estoicos, de los progresos alejandrinos y mayormente del </w:t>
      </w:r>
      <w:proofErr w:type="gramStart"/>
      <w:r w:rsidRPr="004436CF">
        <w:rPr>
          <w:rStyle w:val="fontstyle21"/>
          <w:rFonts w:ascii="Garamond" w:hAnsi="Garamond"/>
          <w:sz w:val="17"/>
          <w:szCs w:val="17"/>
          <w:lang w:val="es-ES"/>
        </w:rPr>
        <w:t>Islam</w:t>
      </w:r>
      <w:proofErr w:type="gramEnd"/>
      <w:r w:rsidRPr="004436CF">
        <w:rPr>
          <w:rStyle w:val="fontstyle21"/>
          <w:rFonts w:ascii="Garamond" w:hAnsi="Garamond"/>
          <w:sz w:val="17"/>
          <w:szCs w:val="17"/>
          <w:lang w:val="es-ES"/>
        </w:rPr>
        <w:t xml:space="preserve">, del </w:t>
      </w:r>
      <w:proofErr w:type="spellStart"/>
      <w:r w:rsidRPr="004436CF">
        <w:rPr>
          <w:rStyle w:val="fontstyle21"/>
          <w:rFonts w:ascii="Garamond" w:hAnsi="Garamond"/>
          <w:sz w:val="17"/>
          <w:szCs w:val="17"/>
          <w:lang w:val="es-ES"/>
        </w:rPr>
        <w:t>mektoub</w:t>
      </w:r>
      <w:proofErr w:type="spellEnd"/>
      <w:r w:rsidRPr="004436CF">
        <w:rPr>
          <w:rStyle w:val="fontstyle21"/>
          <w:rFonts w:ascii="Garamond" w:hAnsi="Garamond"/>
          <w:sz w:val="17"/>
          <w:szCs w:val="17"/>
          <w:lang w:val="es-ES"/>
        </w:rPr>
        <w:t xml:space="preserve"> musulmán, ha prescrito’.</w:t>
      </w:r>
    </w:p>
  </w:footnote>
  <w:footnote w:id="50">
    <w:p w:rsidR="00AB41D3" w:rsidRPr="004436CF" w:rsidRDefault="00AB41D3" w:rsidP="00AB41D3">
      <w:pPr>
        <w:pStyle w:val="Textodenotaderodap"/>
        <w:rPr>
          <w:rFonts w:ascii="Garamond" w:hAnsi="Garamond"/>
          <w:sz w:val="17"/>
          <w:szCs w:val="17"/>
          <w:lang w:val="en-GB"/>
        </w:rPr>
      </w:pPr>
      <w:r w:rsidRPr="004436CF">
        <w:rPr>
          <w:rStyle w:val="Refdenotaderodap"/>
          <w:rFonts w:ascii="Garamond" w:hAnsi="Garamond"/>
          <w:sz w:val="17"/>
          <w:szCs w:val="17"/>
        </w:rPr>
        <w:footnoteRef/>
      </w:r>
      <w:r w:rsidRPr="004436CF">
        <w:rPr>
          <w:rFonts w:ascii="Garamond" w:hAnsi="Garamond"/>
          <w:sz w:val="17"/>
          <w:szCs w:val="17"/>
          <w:lang w:val="en-GB"/>
        </w:rPr>
        <w:t xml:space="preserve"> </w:t>
      </w:r>
      <w:r w:rsidRPr="004436CF">
        <w:rPr>
          <w:rFonts w:ascii="Garamond" w:hAnsi="Garamond" w:cs="Arial"/>
          <w:i/>
          <w:iCs/>
          <w:sz w:val="17"/>
          <w:szCs w:val="17"/>
          <w:lang w:val="en-GB"/>
        </w:rPr>
        <w:t xml:space="preserve">André </w:t>
      </w:r>
      <w:proofErr w:type="spellStart"/>
      <w:r w:rsidRPr="004436CF">
        <w:rPr>
          <w:rFonts w:ascii="Garamond" w:hAnsi="Garamond" w:cs="Arial"/>
          <w:i/>
          <w:iCs/>
          <w:sz w:val="17"/>
          <w:szCs w:val="17"/>
          <w:lang w:val="en-GB"/>
        </w:rPr>
        <w:t>Barbault</w:t>
      </w:r>
      <w:proofErr w:type="spellEnd"/>
      <w:r w:rsidRPr="004436CF">
        <w:rPr>
          <w:rFonts w:ascii="Garamond" w:hAnsi="Garamond" w:cs="Arial"/>
          <w:i/>
          <w:iCs/>
          <w:sz w:val="17"/>
          <w:szCs w:val="17"/>
          <w:lang w:val="en-GB"/>
        </w:rPr>
        <w:t xml:space="preserve"> in Conversation with Lynn Bell</w:t>
      </w:r>
      <w:r w:rsidRPr="004436CF">
        <w:rPr>
          <w:rFonts w:ascii="Garamond" w:hAnsi="Garamond" w:cs="Arial"/>
          <w:sz w:val="17"/>
          <w:szCs w:val="17"/>
          <w:lang w:val="en-GB"/>
        </w:rPr>
        <w:t xml:space="preserve">; </w:t>
      </w:r>
      <w:r w:rsidRPr="004436CF">
        <w:rPr>
          <w:rFonts w:ascii="Garamond" w:hAnsi="Garamond"/>
          <w:sz w:val="17"/>
          <w:szCs w:val="17"/>
          <w:lang w:val="en-GB"/>
        </w:rPr>
        <w:t xml:space="preserve">André </w:t>
      </w:r>
      <w:proofErr w:type="spellStart"/>
      <w:r w:rsidRPr="004436CF">
        <w:rPr>
          <w:rFonts w:ascii="Garamond" w:hAnsi="Garamond"/>
          <w:sz w:val="17"/>
          <w:szCs w:val="17"/>
          <w:lang w:val="en-GB"/>
        </w:rPr>
        <w:t>Barbault</w:t>
      </w:r>
      <w:proofErr w:type="spellEnd"/>
      <w:r w:rsidRPr="004436CF">
        <w:rPr>
          <w:rFonts w:ascii="Garamond" w:hAnsi="Garamond"/>
          <w:sz w:val="17"/>
          <w:szCs w:val="17"/>
          <w:lang w:val="en-GB"/>
        </w:rPr>
        <w:t xml:space="preserve">, </w:t>
      </w:r>
      <w:r w:rsidRPr="004436CF">
        <w:rPr>
          <w:rFonts w:ascii="Garamond" w:hAnsi="Garamond"/>
          <w:i/>
          <w:iCs/>
          <w:sz w:val="17"/>
          <w:szCs w:val="17"/>
          <w:lang w:val="en-GB"/>
        </w:rPr>
        <w:t>Planetary Cycles. Mundane Astrology</w:t>
      </w:r>
      <w:r w:rsidRPr="004436CF">
        <w:rPr>
          <w:rFonts w:ascii="Garamond" w:hAnsi="Garamond"/>
          <w:sz w:val="17"/>
          <w:szCs w:val="17"/>
          <w:lang w:val="en-GB"/>
        </w:rPr>
        <w:t>, trans. by. Kate Johnston (London: Astrological Association, 2016), p.11.</w:t>
      </w:r>
    </w:p>
  </w:footnote>
  <w:footnote w:id="51">
    <w:p w:rsidR="00AB41D3" w:rsidRPr="004436CF" w:rsidRDefault="00AB41D3" w:rsidP="00AB41D3">
      <w:pPr>
        <w:pStyle w:val="Textodenotaderodap"/>
        <w:rPr>
          <w:rFonts w:ascii="Garamond" w:hAnsi="Garamond"/>
          <w:sz w:val="17"/>
          <w:szCs w:val="17"/>
          <w:lang w:val="es-ES"/>
        </w:rPr>
      </w:pPr>
      <w:r w:rsidRPr="004436CF">
        <w:rPr>
          <w:rStyle w:val="Refdenotaderodap"/>
          <w:rFonts w:ascii="Garamond" w:hAnsi="Garamond"/>
          <w:sz w:val="17"/>
          <w:szCs w:val="17"/>
        </w:rPr>
        <w:footnoteRef/>
      </w:r>
      <w:r w:rsidRPr="004436CF">
        <w:rPr>
          <w:rFonts w:ascii="Garamond" w:hAnsi="Garamond"/>
          <w:sz w:val="17"/>
          <w:szCs w:val="17"/>
          <w:lang w:val="es-ES"/>
        </w:rPr>
        <w:t xml:space="preserve"> </w:t>
      </w:r>
      <w:proofErr w:type="spellStart"/>
      <w:r w:rsidRPr="004436CF">
        <w:rPr>
          <w:rFonts w:ascii="Garamond" w:hAnsi="Garamond"/>
          <w:sz w:val="17"/>
          <w:szCs w:val="17"/>
          <w:lang w:val="es-ES"/>
        </w:rPr>
        <w:t>Barbault</w:t>
      </w:r>
      <w:proofErr w:type="spellEnd"/>
      <w:r w:rsidRPr="004436CF">
        <w:rPr>
          <w:rFonts w:ascii="Garamond" w:hAnsi="Garamond"/>
          <w:sz w:val="17"/>
          <w:szCs w:val="17"/>
          <w:lang w:val="es-ES"/>
        </w:rPr>
        <w:t xml:space="preserve">, </w:t>
      </w:r>
      <w:proofErr w:type="spellStart"/>
      <w:r w:rsidRPr="004436CF">
        <w:rPr>
          <w:rFonts w:ascii="Garamond" w:hAnsi="Garamond"/>
          <w:i/>
          <w:iCs/>
          <w:sz w:val="17"/>
          <w:szCs w:val="17"/>
          <w:lang w:val="es-ES"/>
        </w:rPr>
        <w:t>Planetary</w:t>
      </w:r>
      <w:proofErr w:type="spellEnd"/>
      <w:r w:rsidRPr="004436CF">
        <w:rPr>
          <w:rFonts w:ascii="Garamond" w:hAnsi="Garamond"/>
          <w:i/>
          <w:iCs/>
          <w:sz w:val="17"/>
          <w:szCs w:val="17"/>
          <w:lang w:val="es-ES"/>
        </w:rPr>
        <w:t xml:space="preserve"> </w:t>
      </w:r>
      <w:proofErr w:type="spellStart"/>
      <w:r w:rsidRPr="004436CF">
        <w:rPr>
          <w:rFonts w:ascii="Garamond" w:hAnsi="Garamond"/>
          <w:i/>
          <w:iCs/>
          <w:sz w:val="17"/>
          <w:szCs w:val="17"/>
          <w:lang w:val="es-ES"/>
        </w:rPr>
        <w:t>Cycles</w:t>
      </w:r>
      <w:proofErr w:type="spellEnd"/>
      <w:r w:rsidRPr="004436CF">
        <w:rPr>
          <w:rFonts w:ascii="Garamond" w:hAnsi="Garamond"/>
          <w:sz w:val="17"/>
          <w:szCs w:val="17"/>
          <w:lang w:val="es-ES"/>
        </w:rPr>
        <w:t>, p.11.</w:t>
      </w:r>
    </w:p>
  </w:footnote>
  <w:footnote w:id="52">
    <w:p w:rsidR="00AB41D3" w:rsidRPr="004436CF" w:rsidRDefault="00AB41D3" w:rsidP="00AB41D3">
      <w:pPr>
        <w:pStyle w:val="Textodenotaderodap"/>
        <w:rPr>
          <w:rFonts w:ascii="Garamond" w:hAnsi="Garamond"/>
          <w:sz w:val="17"/>
          <w:szCs w:val="17"/>
          <w:lang w:val="es-ES"/>
        </w:rPr>
      </w:pPr>
      <w:r w:rsidRPr="004436CF">
        <w:rPr>
          <w:rStyle w:val="Refdenotaderodap"/>
          <w:rFonts w:ascii="Garamond" w:hAnsi="Garamond"/>
          <w:sz w:val="17"/>
          <w:szCs w:val="17"/>
        </w:rPr>
        <w:footnoteRef/>
      </w:r>
      <w:r w:rsidRPr="004436CF">
        <w:rPr>
          <w:rFonts w:ascii="Garamond" w:hAnsi="Garamond"/>
          <w:sz w:val="17"/>
          <w:szCs w:val="17"/>
          <w:lang w:val="es-ES"/>
        </w:rPr>
        <w:t xml:space="preserve"> </w:t>
      </w:r>
      <w:proofErr w:type="spellStart"/>
      <w:r w:rsidRPr="004436CF">
        <w:rPr>
          <w:rStyle w:val="fontstyle21"/>
          <w:rFonts w:ascii="Garamond" w:hAnsi="Garamond"/>
          <w:sz w:val="17"/>
          <w:szCs w:val="17"/>
          <w:lang w:val="es-ES"/>
        </w:rPr>
        <w:t>Barbault</w:t>
      </w:r>
      <w:proofErr w:type="spellEnd"/>
      <w:r w:rsidRPr="004436CF">
        <w:rPr>
          <w:rStyle w:val="fontstyle21"/>
          <w:rFonts w:ascii="Garamond" w:hAnsi="Garamond"/>
          <w:sz w:val="17"/>
          <w:szCs w:val="17"/>
          <w:lang w:val="es-ES"/>
        </w:rPr>
        <w:t xml:space="preserve">, </w:t>
      </w:r>
      <w:r w:rsidRPr="004436CF">
        <w:rPr>
          <w:rStyle w:val="fontstyle21"/>
          <w:rFonts w:ascii="Garamond" w:hAnsi="Garamond"/>
          <w:i/>
          <w:iCs/>
          <w:sz w:val="17"/>
          <w:szCs w:val="17"/>
          <w:lang w:val="es-ES"/>
        </w:rPr>
        <w:t>El Pronóstico Experimental en Astrología</w:t>
      </w:r>
      <w:r w:rsidRPr="004436CF">
        <w:rPr>
          <w:rFonts w:ascii="Garamond" w:hAnsi="Garamond"/>
          <w:sz w:val="17"/>
          <w:szCs w:val="17"/>
          <w:lang w:val="es-ES"/>
        </w:rPr>
        <w:t>, p. 26, 27.</w:t>
      </w:r>
    </w:p>
  </w:footnote>
  <w:footnote w:id="53">
    <w:p w:rsidR="00AB41D3" w:rsidRPr="004436CF" w:rsidRDefault="00AB41D3" w:rsidP="00AB41D3">
      <w:pPr>
        <w:pStyle w:val="Textodenotaderodap"/>
        <w:rPr>
          <w:rFonts w:ascii="Garamond" w:hAnsi="Garamond"/>
          <w:sz w:val="17"/>
          <w:szCs w:val="17"/>
          <w:lang w:val="es-ES"/>
        </w:rPr>
      </w:pPr>
      <w:r w:rsidRPr="004436CF">
        <w:rPr>
          <w:rStyle w:val="Refdenotaderodap"/>
          <w:rFonts w:ascii="Garamond" w:hAnsi="Garamond"/>
          <w:sz w:val="17"/>
          <w:szCs w:val="17"/>
        </w:rPr>
        <w:footnoteRef/>
      </w:r>
      <w:r w:rsidRPr="004436CF">
        <w:rPr>
          <w:rFonts w:ascii="Garamond" w:hAnsi="Garamond"/>
          <w:sz w:val="17"/>
          <w:szCs w:val="17"/>
          <w:lang w:val="es-ES"/>
        </w:rPr>
        <w:t xml:space="preserve"> </w:t>
      </w:r>
      <w:proofErr w:type="spellStart"/>
      <w:r w:rsidRPr="004436CF">
        <w:rPr>
          <w:rStyle w:val="fontstyle21"/>
          <w:rFonts w:ascii="Garamond" w:hAnsi="Garamond"/>
          <w:sz w:val="17"/>
          <w:szCs w:val="17"/>
          <w:lang w:val="es-ES"/>
        </w:rPr>
        <w:t>Barbault</w:t>
      </w:r>
      <w:proofErr w:type="spellEnd"/>
      <w:r w:rsidRPr="004436CF">
        <w:rPr>
          <w:rStyle w:val="fontstyle21"/>
          <w:rFonts w:ascii="Garamond" w:hAnsi="Garamond"/>
          <w:sz w:val="17"/>
          <w:szCs w:val="17"/>
          <w:lang w:val="es-ES"/>
        </w:rPr>
        <w:t xml:space="preserve">, </w:t>
      </w:r>
      <w:r w:rsidRPr="004436CF">
        <w:rPr>
          <w:rStyle w:val="fontstyle21"/>
          <w:rFonts w:ascii="Garamond" w:hAnsi="Garamond"/>
          <w:i/>
          <w:iCs/>
          <w:sz w:val="17"/>
          <w:szCs w:val="17"/>
          <w:lang w:val="es-ES"/>
        </w:rPr>
        <w:t>El Pronóstico Experimental en Astrología</w:t>
      </w:r>
      <w:r w:rsidRPr="004436CF">
        <w:rPr>
          <w:rFonts w:ascii="Garamond" w:hAnsi="Garamond"/>
          <w:sz w:val="17"/>
          <w:szCs w:val="17"/>
          <w:lang w:val="es-ES"/>
        </w:rPr>
        <w:t xml:space="preserve">, p. 27, 28: ‘Todo lo que parece que hacen los astros en esta historia es contribuir a </w:t>
      </w:r>
      <w:r w:rsidRPr="004436CF">
        <w:rPr>
          <w:rFonts w:ascii="Garamond" w:hAnsi="Garamond"/>
          <w:i/>
          <w:iCs/>
          <w:sz w:val="17"/>
          <w:szCs w:val="17"/>
          <w:lang w:val="es-ES"/>
        </w:rPr>
        <w:t>ordenar en el tiempo</w:t>
      </w:r>
      <w:r w:rsidRPr="004436CF">
        <w:rPr>
          <w:rFonts w:ascii="Garamond" w:hAnsi="Garamond"/>
          <w:sz w:val="17"/>
          <w:szCs w:val="17"/>
          <w:lang w:val="es-ES"/>
        </w:rPr>
        <w:t xml:space="preserve"> las manifestaciones generales de los hombres’.</w:t>
      </w:r>
    </w:p>
  </w:footnote>
  <w:footnote w:id="54">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Maria de Flávia de Monsaraz </w:t>
      </w:r>
      <w:proofErr w:type="spellStart"/>
      <w:r w:rsidRPr="004436CF">
        <w:rPr>
          <w:rFonts w:ascii="Garamond" w:hAnsi="Garamond"/>
          <w:sz w:val="17"/>
          <w:szCs w:val="17"/>
        </w:rPr>
        <w:t>writes</w:t>
      </w:r>
      <w:proofErr w:type="spellEnd"/>
      <w:r w:rsidRPr="004436CF">
        <w:rPr>
          <w:rFonts w:ascii="Garamond" w:hAnsi="Garamond"/>
          <w:sz w:val="17"/>
          <w:szCs w:val="17"/>
        </w:rPr>
        <w:t xml:space="preserve"> in verse. </w:t>
      </w:r>
      <w:r w:rsidRPr="004436CF">
        <w:rPr>
          <w:rFonts w:ascii="Garamond" w:hAnsi="Garamond"/>
          <w:sz w:val="17"/>
          <w:szCs w:val="17"/>
          <w:lang w:val="en-GB"/>
        </w:rPr>
        <w:t xml:space="preserve">Capital letters, italics and bold are her. </w:t>
      </w:r>
      <w:proofErr w:type="spellStart"/>
      <w:r w:rsidRPr="004436CF">
        <w:rPr>
          <w:rFonts w:ascii="Garamond" w:hAnsi="Garamond"/>
          <w:sz w:val="17"/>
          <w:szCs w:val="17"/>
        </w:rPr>
        <w:t>Within</w:t>
      </w:r>
      <w:proofErr w:type="spellEnd"/>
      <w:r w:rsidRPr="004436CF">
        <w:rPr>
          <w:rFonts w:ascii="Garamond" w:hAnsi="Garamond"/>
          <w:sz w:val="17"/>
          <w:szCs w:val="17"/>
        </w:rPr>
        <w:t xml:space="preserve"> </w:t>
      </w:r>
      <w:proofErr w:type="spellStart"/>
      <w:r w:rsidRPr="004436CF">
        <w:rPr>
          <w:rFonts w:ascii="Garamond" w:hAnsi="Garamond"/>
          <w:sz w:val="17"/>
          <w:szCs w:val="17"/>
        </w:rPr>
        <w:t>the</w:t>
      </w:r>
      <w:proofErr w:type="spellEnd"/>
      <w:r w:rsidRPr="004436CF">
        <w:rPr>
          <w:rFonts w:ascii="Garamond" w:hAnsi="Garamond"/>
          <w:sz w:val="17"/>
          <w:szCs w:val="17"/>
        </w:rPr>
        <w:t xml:space="preserve"> </w:t>
      </w:r>
      <w:proofErr w:type="spellStart"/>
      <w:r w:rsidRPr="004436CF">
        <w:rPr>
          <w:rFonts w:ascii="Garamond" w:hAnsi="Garamond"/>
          <w:sz w:val="17"/>
          <w:szCs w:val="17"/>
        </w:rPr>
        <w:t>text</w:t>
      </w:r>
      <w:proofErr w:type="spellEnd"/>
      <w:r w:rsidRPr="004436CF">
        <w:rPr>
          <w:rFonts w:ascii="Garamond" w:hAnsi="Garamond"/>
          <w:sz w:val="17"/>
          <w:szCs w:val="17"/>
        </w:rPr>
        <w:t xml:space="preserve">, </w:t>
      </w:r>
      <w:proofErr w:type="spellStart"/>
      <w:r w:rsidRPr="004436CF">
        <w:rPr>
          <w:rFonts w:ascii="Garamond" w:hAnsi="Garamond"/>
          <w:sz w:val="17"/>
          <w:szCs w:val="17"/>
        </w:rPr>
        <w:t>line</w:t>
      </w:r>
      <w:proofErr w:type="spellEnd"/>
      <w:r w:rsidRPr="004436CF">
        <w:rPr>
          <w:rFonts w:ascii="Garamond" w:hAnsi="Garamond"/>
          <w:sz w:val="17"/>
          <w:szCs w:val="17"/>
        </w:rPr>
        <w:t xml:space="preserve"> breaks are </w:t>
      </w:r>
      <w:proofErr w:type="spellStart"/>
      <w:r w:rsidRPr="004436CF">
        <w:rPr>
          <w:rFonts w:ascii="Garamond" w:hAnsi="Garamond"/>
          <w:sz w:val="17"/>
          <w:szCs w:val="17"/>
        </w:rPr>
        <w:t>replaced</w:t>
      </w:r>
      <w:proofErr w:type="spellEnd"/>
      <w:r w:rsidRPr="004436CF">
        <w:rPr>
          <w:rFonts w:ascii="Garamond" w:hAnsi="Garamond"/>
          <w:sz w:val="17"/>
          <w:szCs w:val="17"/>
        </w:rPr>
        <w:t xml:space="preserve"> </w:t>
      </w:r>
      <w:proofErr w:type="spellStart"/>
      <w:r w:rsidRPr="004436CF">
        <w:rPr>
          <w:rFonts w:ascii="Garamond" w:hAnsi="Garamond"/>
          <w:sz w:val="17"/>
          <w:szCs w:val="17"/>
        </w:rPr>
        <w:t>by</w:t>
      </w:r>
      <w:proofErr w:type="spellEnd"/>
      <w:r w:rsidRPr="004436CF">
        <w:rPr>
          <w:rFonts w:ascii="Garamond" w:hAnsi="Garamond"/>
          <w:sz w:val="17"/>
          <w:szCs w:val="17"/>
        </w:rPr>
        <w:t xml:space="preserve"> /</w:t>
      </w:r>
    </w:p>
    <w:p w:rsidR="00AB41D3" w:rsidRPr="004436CF" w:rsidRDefault="00AB41D3" w:rsidP="00AB41D3">
      <w:pPr>
        <w:pStyle w:val="Textodenotaderodap"/>
        <w:rPr>
          <w:rFonts w:ascii="Garamond" w:hAnsi="Garamond"/>
          <w:sz w:val="17"/>
          <w:szCs w:val="17"/>
        </w:rPr>
      </w:pPr>
      <w:r w:rsidRPr="004436CF">
        <w:rPr>
          <w:rFonts w:ascii="Garamond" w:hAnsi="Garamond"/>
          <w:sz w:val="17"/>
          <w:szCs w:val="17"/>
        </w:rPr>
        <w:t xml:space="preserve">Maria de Flávia de Monsaraz, </w:t>
      </w:r>
      <w:r w:rsidRPr="004436CF">
        <w:rPr>
          <w:rFonts w:ascii="Garamond" w:hAnsi="Garamond"/>
          <w:i/>
          <w:iCs/>
          <w:sz w:val="17"/>
          <w:szCs w:val="17"/>
        </w:rPr>
        <w:t>11 entrevistas e um poema de sempre</w:t>
      </w:r>
      <w:r w:rsidRPr="004436CF">
        <w:rPr>
          <w:rFonts w:ascii="Garamond" w:hAnsi="Garamond"/>
          <w:sz w:val="17"/>
          <w:szCs w:val="17"/>
        </w:rPr>
        <w:t xml:space="preserve"> (</w:t>
      </w:r>
      <w:proofErr w:type="spellStart"/>
      <w:r w:rsidRPr="004436CF">
        <w:rPr>
          <w:rFonts w:ascii="Garamond" w:hAnsi="Garamond"/>
          <w:sz w:val="17"/>
          <w:szCs w:val="17"/>
        </w:rPr>
        <w:t>author’s</w:t>
      </w:r>
      <w:proofErr w:type="spellEnd"/>
      <w:r w:rsidRPr="004436CF">
        <w:rPr>
          <w:rFonts w:ascii="Garamond" w:hAnsi="Garamond"/>
          <w:sz w:val="17"/>
          <w:szCs w:val="17"/>
        </w:rPr>
        <w:t xml:space="preserve"> </w:t>
      </w:r>
      <w:proofErr w:type="spellStart"/>
      <w:r w:rsidRPr="004436CF">
        <w:rPr>
          <w:rFonts w:ascii="Garamond" w:hAnsi="Garamond"/>
          <w:sz w:val="17"/>
          <w:szCs w:val="17"/>
        </w:rPr>
        <w:t>edition</w:t>
      </w:r>
      <w:proofErr w:type="spellEnd"/>
      <w:r w:rsidRPr="004436CF">
        <w:rPr>
          <w:rFonts w:ascii="Garamond" w:hAnsi="Garamond"/>
          <w:sz w:val="17"/>
          <w:szCs w:val="17"/>
        </w:rPr>
        <w:t xml:space="preserve">, 2010), p. 82: (…) os </w:t>
      </w:r>
      <w:r w:rsidRPr="004436CF">
        <w:rPr>
          <w:rFonts w:ascii="Garamond" w:hAnsi="Garamond"/>
          <w:b/>
          <w:bCs/>
          <w:sz w:val="17"/>
          <w:szCs w:val="17"/>
        </w:rPr>
        <w:t>Astros</w:t>
      </w:r>
      <w:r w:rsidRPr="004436CF">
        <w:rPr>
          <w:rFonts w:ascii="Garamond" w:hAnsi="Garamond"/>
          <w:sz w:val="17"/>
          <w:szCs w:val="17"/>
        </w:rPr>
        <w:t xml:space="preserve"> dão-nos o </w:t>
      </w:r>
      <w:r w:rsidRPr="004436CF">
        <w:rPr>
          <w:rFonts w:ascii="Garamond" w:hAnsi="Garamond"/>
          <w:b/>
          <w:bCs/>
          <w:sz w:val="17"/>
          <w:szCs w:val="17"/>
        </w:rPr>
        <w:t>Tempo</w:t>
      </w:r>
      <w:r w:rsidRPr="004436CF">
        <w:rPr>
          <w:rFonts w:ascii="Garamond" w:hAnsi="Garamond"/>
          <w:sz w:val="17"/>
          <w:szCs w:val="17"/>
        </w:rPr>
        <w:t xml:space="preserve"> das </w:t>
      </w:r>
      <w:r w:rsidRPr="004436CF">
        <w:rPr>
          <w:rFonts w:ascii="Garamond" w:hAnsi="Garamond"/>
          <w:b/>
          <w:bCs/>
          <w:sz w:val="17"/>
          <w:szCs w:val="17"/>
        </w:rPr>
        <w:t>situações</w:t>
      </w:r>
      <w:r w:rsidRPr="004436CF">
        <w:rPr>
          <w:rFonts w:ascii="Garamond" w:hAnsi="Garamond"/>
          <w:sz w:val="17"/>
          <w:szCs w:val="17"/>
        </w:rPr>
        <w:t xml:space="preserve">, /mas </w:t>
      </w:r>
      <w:r w:rsidRPr="004436CF">
        <w:rPr>
          <w:rFonts w:ascii="Garamond" w:hAnsi="Garamond"/>
          <w:b/>
          <w:bCs/>
          <w:sz w:val="17"/>
          <w:szCs w:val="17"/>
        </w:rPr>
        <w:t>não</w:t>
      </w:r>
      <w:r w:rsidRPr="004436CF">
        <w:rPr>
          <w:rFonts w:ascii="Garamond" w:hAnsi="Garamond"/>
          <w:sz w:val="17"/>
          <w:szCs w:val="17"/>
        </w:rPr>
        <w:t xml:space="preserve"> nos </w:t>
      </w:r>
      <w:r w:rsidRPr="004436CF">
        <w:rPr>
          <w:rFonts w:ascii="Garamond" w:hAnsi="Garamond"/>
          <w:b/>
          <w:bCs/>
          <w:sz w:val="17"/>
          <w:szCs w:val="17"/>
        </w:rPr>
        <w:t>obrigam</w:t>
      </w:r>
      <w:r w:rsidRPr="004436CF">
        <w:rPr>
          <w:rFonts w:ascii="Garamond" w:hAnsi="Garamond"/>
          <w:sz w:val="17"/>
          <w:szCs w:val="17"/>
        </w:rPr>
        <w:t xml:space="preserve"> a </w:t>
      </w:r>
      <w:r w:rsidRPr="004436CF">
        <w:rPr>
          <w:rFonts w:ascii="Garamond" w:hAnsi="Garamond"/>
          <w:b/>
          <w:bCs/>
          <w:sz w:val="17"/>
          <w:szCs w:val="17"/>
        </w:rPr>
        <w:t>resolvê-las</w:t>
      </w:r>
      <w:r w:rsidRPr="004436CF">
        <w:rPr>
          <w:rFonts w:ascii="Garamond" w:hAnsi="Garamond"/>
          <w:sz w:val="17"/>
          <w:szCs w:val="17"/>
        </w:rPr>
        <w:t xml:space="preserve"> a seu modo. /</w:t>
      </w:r>
      <w:r w:rsidRPr="004436CF">
        <w:rPr>
          <w:rFonts w:ascii="Garamond" w:hAnsi="Garamond"/>
          <w:b/>
          <w:bCs/>
          <w:sz w:val="17"/>
          <w:szCs w:val="17"/>
        </w:rPr>
        <w:t>Não</w:t>
      </w:r>
      <w:r w:rsidRPr="004436CF">
        <w:rPr>
          <w:rFonts w:ascii="Garamond" w:hAnsi="Garamond"/>
          <w:sz w:val="17"/>
          <w:szCs w:val="17"/>
        </w:rPr>
        <w:t xml:space="preserve"> </w:t>
      </w:r>
      <w:r w:rsidRPr="004436CF">
        <w:rPr>
          <w:rFonts w:ascii="Garamond" w:hAnsi="Garamond"/>
          <w:b/>
          <w:bCs/>
          <w:sz w:val="17"/>
          <w:szCs w:val="17"/>
        </w:rPr>
        <w:t>interferem</w:t>
      </w:r>
      <w:r w:rsidRPr="004436CF">
        <w:rPr>
          <w:rFonts w:ascii="Garamond" w:hAnsi="Garamond"/>
          <w:sz w:val="17"/>
          <w:szCs w:val="17"/>
        </w:rPr>
        <w:t xml:space="preserve"> no nosso </w:t>
      </w:r>
      <w:r w:rsidRPr="004436CF">
        <w:rPr>
          <w:rFonts w:ascii="Garamond" w:hAnsi="Garamond"/>
          <w:b/>
          <w:bCs/>
          <w:sz w:val="17"/>
          <w:szCs w:val="17"/>
        </w:rPr>
        <w:t>livre arbítrio</w:t>
      </w:r>
      <w:r w:rsidRPr="004436CF">
        <w:rPr>
          <w:rFonts w:ascii="Garamond" w:hAnsi="Garamond"/>
          <w:sz w:val="17"/>
          <w:szCs w:val="17"/>
        </w:rPr>
        <w:t>.</w:t>
      </w:r>
    </w:p>
  </w:footnote>
  <w:footnote w:id="55">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Style w:val="fontstyle21"/>
          <w:rFonts w:ascii="Garamond" w:hAnsi="Garamond"/>
          <w:sz w:val="17"/>
          <w:szCs w:val="17"/>
        </w:rPr>
        <w:t>, p.121;</w:t>
      </w:r>
      <w:r w:rsidRPr="004436CF">
        <w:rPr>
          <w:rFonts w:ascii="Garamond" w:hAnsi="Garamond"/>
          <w:sz w:val="17"/>
          <w:szCs w:val="17"/>
        </w:rPr>
        <w:t xml:space="preserve"> Maria de Flávia de Monsaraz</w:t>
      </w:r>
      <w:r w:rsidRPr="004436CF">
        <w:rPr>
          <w:rStyle w:val="fontstyle21"/>
          <w:rFonts w:ascii="Garamond" w:hAnsi="Garamond"/>
          <w:sz w:val="17"/>
          <w:szCs w:val="17"/>
        </w:rPr>
        <w:t xml:space="preserve">, </w:t>
      </w:r>
      <w:r w:rsidRPr="004436CF">
        <w:rPr>
          <w:rStyle w:val="fontstyle21"/>
          <w:rFonts w:ascii="Garamond" w:hAnsi="Garamond"/>
          <w:i/>
          <w:iCs/>
          <w:sz w:val="17"/>
          <w:szCs w:val="17"/>
        </w:rPr>
        <w:t>Iniciação à Astrologia, à Ordem do Universo e ao Sentido da Vida. Da Dessacralização dos Tempos à Viragem dos Tempos</w:t>
      </w:r>
      <w:r w:rsidRPr="004436CF">
        <w:rPr>
          <w:rStyle w:val="fontstyle21"/>
          <w:rFonts w:ascii="Garamond" w:hAnsi="Garamond"/>
          <w:sz w:val="17"/>
          <w:szCs w:val="17"/>
        </w:rPr>
        <w:t xml:space="preserve"> (</w:t>
      </w:r>
      <w:proofErr w:type="spellStart"/>
      <w:r w:rsidRPr="004436CF">
        <w:rPr>
          <w:rStyle w:val="fontstyle21"/>
          <w:rFonts w:ascii="Garamond" w:hAnsi="Garamond"/>
          <w:sz w:val="17"/>
          <w:szCs w:val="17"/>
        </w:rPr>
        <w:t>author’s</w:t>
      </w:r>
      <w:proofErr w:type="spellEnd"/>
      <w:r w:rsidRPr="004436CF">
        <w:rPr>
          <w:rStyle w:val="fontstyle21"/>
          <w:rFonts w:ascii="Garamond" w:hAnsi="Garamond"/>
          <w:sz w:val="17"/>
          <w:szCs w:val="17"/>
        </w:rPr>
        <w:t xml:space="preserve"> </w:t>
      </w:r>
      <w:proofErr w:type="spellStart"/>
      <w:r w:rsidRPr="004436CF">
        <w:rPr>
          <w:rStyle w:val="fontstyle21"/>
          <w:rFonts w:ascii="Garamond" w:hAnsi="Garamond"/>
          <w:sz w:val="17"/>
          <w:szCs w:val="17"/>
        </w:rPr>
        <w:t>edition</w:t>
      </w:r>
      <w:proofErr w:type="spellEnd"/>
      <w:r w:rsidRPr="004436CF">
        <w:rPr>
          <w:rStyle w:val="fontstyle21"/>
          <w:rFonts w:ascii="Garamond" w:hAnsi="Garamond"/>
          <w:sz w:val="17"/>
          <w:szCs w:val="17"/>
        </w:rPr>
        <w:t>, 2017), p. 20-21.</w:t>
      </w:r>
    </w:p>
  </w:footnote>
  <w:footnote w:id="56">
    <w:p w:rsidR="00AB41D3" w:rsidRPr="004436CF" w:rsidRDefault="00AB41D3" w:rsidP="00AB41D3">
      <w:pPr>
        <w:pStyle w:val="Textodenotaderodap"/>
        <w:rPr>
          <w:rFonts w:ascii="Garamond" w:eastAsia="Times New Roman" w:hAnsi="Garamond" w:cs="Arial"/>
          <w:kern w:val="36"/>
          <w:sz w:val="17"/>
          <w:szCs w:val="17"/>
          <w:lang w:eastAsia="pt-PT"/>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Style w:val="fontstyle21"/>
          <w:rFonts w:ascii="Garamond" w:hAnsi="Garamond"/>
          <w:sz w:val="17"/>
          <w:szCs w:val="17"/>
        </w:rPr>
        <w:t>, p.</w:t>
      </w:r>
      <w:r w:rsidRPr="004436CF">
        <w:rPr>
          <w:rFonts w:ascii="Garamond" w:eastAsia="Times New Roman" w:hAnsi="Garamond" w:cs="Arial"/>
          <w:kern w:val="36"/>
          <w:sz w:val="17"/>
          <w:szCs w:val="17"/>
          <w:lang w:eastAsia="pt-PT"/>
        </w:rPr>
        <w:t xml:space="preserve"> 30; </w:t>
      </w:r>
      <w:r w:rsidRPr="004436CF">
        <w:rPr>
          <w:rFonts w:ascii="Garamond" w:hAnsi="Garamond"/>
          <w:sz w:val="17"/>
          <w:szCs w:val="17"/>
        </w:rPr>
        <w:t>Monsaraz</w:t>
      </w:r>
      <w:r w:rsidRPr="004436CF">
        <w:rPr>
          <w:rStyle w:val="fontstyle21"/>
          <w:rFonts w:ascii="Garamond" w:hAnsi="Garamond"/>
          <w:sz w:val="17"/>
          <w:szCs w:val="17"/>
        </w:rPr>
        <w:t xml:space="preserve">, </w:t>
      </w:r>
      <w:r w:rsidRPr="004436CF">
        <w:rPr>
          <w:rStyle w:val="fontstyle21"/>
          <w:rFonts w:ascii="Garamond" w:hAnsi="Garamond"/>
          <w:i/>
          <w:iCs/>
          <w:sz w:val="17"/>
          <w:szCs w:val="17"/>
        </w:rPr>
        <w:t>Iniciação à Astrologia</w:t>
      </w:r>
      <w:r w:rsidRPr="004436CF">
        <w:rPr>
          <w:rStyle w:val="fontstyle21"/>
          <w:rFonts w:ascii="Garamond" w:hAnsi="Garamond"/>
          <w:sz w:val="17"/>
          <w:szCs w:val="17"/>
        </w:rPr>
        <w:t>, p.</w:t>
      </w:r>
      <w:r w:rsidRPr="004436CF">
        <w:rPr>
          <w:rFonts w:ascii="Garamond" w:eastAsia="Times New Roman" w:hAnsi="Garamond" w:cs="Arial"/>
          <w:kern w:val="36"/>
          <w:sz w:val="17"/>
          <w:szCs w:val="17"/>
          <w:lang w:eastAsia="pt-PT"/>
        </w:rPr>
        <w:t xml:space="preserve"> 18, 19.</w:t>
      </w:r>
    </w:p>
  </w:footnote>
  <w:footnote w:id="57">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w:t>
      </w:r>
      <w:r w:rsidRPr="004436CF">
        <w:rPr>
          <w:rStyle w:val="fontstyle21"/>
          <w:rFonts w:ascii="Garamond" w:hAnsi="Garamond"/>
          <w:sz w:val="17"/>
          <w:szCs w:val="17"/>
        </w:rPr>
        <w:t xml:space="preserve">, </w:t>
      </w:r>
      <w:r w:rsidRPr="004436CF">
        <w:rPr>
          <w:rStyle w:val="fontstyle21"/>
          <w:rFonts w:ascii="Garamond" w:hAnsi="Garamond"/>
          <w:i/>
          <w:iCs/>
          <w:sz w:val="17"/>
          <w:szCs w:val="17"/>
        </w:rPr>
        <w:t>Iniciação à Astrologia</w:t>
      </w:r>
      <w:r w:rsidRPr="004436CF">
        <w:rPr>
          <w:rStyle w:val="fontstyle21"/>
          <w:rFonts w:ascii="Garamond" w:hAnsi="Garamond"/>
          <w:sz w:val="17"/>
          <w:szCs w:val="17"/>
        </w:rPr>
        <w:t>, p. 24.</w:t>
      </w:r>
    </w:p>
  </w:footnote>
  <w:footnote w:id="58">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Style w:val="fontstyle21"/>
          <w:rFonts w:ascii="Garamond" w:hAnsi="Garamond"/>
          <w:sz w:val="17"/>
          <w:szCs w:val="17"/>
        </w:rPr>
        <w:t>, p.</w:t>
      </w:r>
      <w:r w:rsidRPr="004436CF">
        <w:rPr>
          <w:rFonts w:ascii="Garamond" w:eastAsia="Times New Roman" w:hAnsi="Garamond" w:cs="Arial"/>
          <w:kern w:val="36"/>
          <w:sz w:val="17"/>
          <w:szCs w:val="17"/>
          <w:lang w:eastAsia="pt-PT"/>
        </w:rPr>
        <w:t xml:space="preserve">112: A </w:t>
      </w:r>
      <w:r w:rsidRPr="004436CF">
        <w:rPr>
          <w:rFonts w:ascii="Garamond" w:eastAsia="Times New Roman" w:hAnsi="Garamond" w:cs="Arial"/>
          <w:b/>
          <w:bCs/>
          <w:kern w:val="36"/>
          <w:sz w:val="17"/>
          <w:szCs w:val="17"/>
          <w:lang w:eastAsia="pt-PT"/>
        </w:rPr>
        <w:t>Astrologia</w:t>
      </w:r>
      <w:r w:rsidRPr="004436CF">
        <w:rPr>
          <w:rFonts w:ascii="Garamond" w:eastAsia="Times New Roman" w:hAnsi="Garamond" w:cs="Arial"/>
          <w:kern w:val="36"/>
          <w:sz w:val="17"/>
          <w:szCs w:val="17"/>
          <w:lang w:eastAsia="pt-PT"/>
        </w:rPr>
        <w:t xml:space="preserve"> é a ‘</w:t>
      </w:r>
      <w:r w:rsidRPr="004436CF">
        <w:rPr>
          <w:rFonts w:ascii="Garamond" w:eastAsia="Times New Roman" w:hAnsi="Garamond" w:cs="Arial"/>
          <w:b/>
          <w:bCs/>
          <w:i/>
          <w:iCs/>
          <w:kern w:val="36"/>
          <w:sz w:val="17"/>
          <w:szCs w:val="17"/>
          <w:lang w:eastAsia="pt-PT"/>
        </w:rPr>
        <w:t>escrita de Deus’</w:t>
      </w:r>
      <w:r w:rsidRPr="004436CF">
        <w:rPr>
          <w:rFonts w:ascii="Garamond" w:eastAsia="Times New Roman" w:hAnsi="Garamond" w:cs="Arial"/>
          <w:kern w:val="36"/>
          <w:sz w:val="17"/>
          <w:szCs w:val="17"/>
          <w:lang w:eastAsia="pt-PT"/>
        </w:rPr>
        <w:t xml:space="preserve">. | A forma como </w:t>
      </w:r>
      <w:r w:rsidRPr="004436CF">
        <w:rPr>
          <w:rFonts w:ascii="Garamond" w:eastAsia="Times New Roman" w:hAnsi="Garamond" w:cs="Arial"/>
          <w:b/>
          <w:bCs/>
          <w:kern w:val="36"/>
          <w:sz w:val="17"/>
          <w:szCs w:val="17"/>
          <w:lang w:eastAsia="pt-PT"/>
        </w:rPr>
        <w:t>‘</w:t>
      </w:r>
      <w:r w:rsidRPr="004436CF">
        <w:rPr>
          <w:rFonts w:ascii="Garamond" w:eastAsia="Times New Roman" w:hAnsi="Garamond" w:cs="Arial"/>
          <w:b/>
          <w:bCs/>
          <w:i/>
          <w:iCs/>
          <w:kern w:val="36"/>
          <w:sz w:val="17"/>
          <w:szCs w:val="17"/>
          <w:lang w:eastAsia="pt-PT"/>
        </w:rPr>
        <w:t>Esse de quem nada pode ser dito</w:t>
      </w:r>
      <w:r w:rsidRPr="004436CF">
        <w:rPr>
          <w:rFonts w:ascii="Garamond" w:eastAsia="Times New Roman" w:hAnsi="Garamond" w:cs="Arial"/>
          <w:b/>
          <w:bCs/>
          <w:kern w:val="36"/>
          <w:sz w:val="17"/>
          <w:szCs w:val="17"/>
          <w:lang w:eastAsia="pt-PT"/>
        </w:rPr>
        <w:t>’</w:t>
      </w:r>
      <w:r w:rsidRPr="004436CF">
        <w:rPr>
          <w:rFonts w:ascii="Garamond" w:eastAsia="Times New Roman" w:hAnsi="Garamond" w:cs="Arial"/>
          <w:kern w:val="36"/>
          <w:sz w:val="17"/>
          <w:szCs w:val="17"/>
          <w:lang w:eastAsia="pt-PT"/>
        </w:rPr>
        <w:t xml:space="preserve">, | </w:t>
      </w:r>
      <w:r w:rsidRPr="004436CF">
        <w:rPr>
          <w:rFonts w:ascii="Garamond" w:eastAsia="Times New Roman" w:hAnsi="Garamond" w:cs="Arial"/>
          <w:b/>
          <w:bCs/>
          <w:kern w:val="36"/>
          <w:sz w:val="17"/>
          <w:szCs w:val="17"/>
          <w:lang w:eastAsia="pt-PT"/>
        </w:rPr>
        <w:t xml:space="preserve">revela </w:t>
      </w:r>
      <w:r w:rsidRPr="004436CF">
        <w:rPr>
          <w:rFonts w:ascii="Garamond" w:eastAsia="Times New Roman" w:hAnsi="Garamond" w:cs="Arial"/>
          <w:kern w:val="36"/>
          <w:sz w:val="17"/>
          <w:szCs w:val="17"/>
          <w:lang w:eastAsia="pt-PT"/>
        </w:rPr>
        <w:t xml:space="preserve">através de </w:t>
      </w:r>
      <w:r w:rsidRPr="004436CF">
        <w:rPr>
          <w:rFonts w:ascii="Garamond" w:eastAsia="Times New Roman" w:hAnsi="Garamond" w:cs="Arial"/>
          <w:b/>
          <w:bCs/>
          <w:kern w:val="36"/>
          <w:sz w:val="17"/>
          <w:szCs w:val="17"/>
          <w:lang w:eastAsia="pt-PT"/>
        </w:rPr>
        <w:t>Símbolos</w:t>
      </w:r>
      <w:r w:rsidRPr="004436CF">
        <w:rPr>
          <w:rFonts w:ascii="Garamond" w:eastAsia="Times New Roman" w:hAnsi="Garamond" w:cs="Arial"/>
          <w:kern w:val="36"/>
          <w:sz w:val="17"/>
          <w:szCs w:val="17"/>
          <w:lang w:eastAsia="pt-PT"/>
        </w:rPr>
        <w:t xml:space="preserve">, | o propósito e a </w:t>
      </w:r>
      <w:r w:rsidRPr="004436CF">
        <w:rPr>
          <w:rFonts w:ascii="Garamond" w:eastAsia="Times New Roman" w:hAnsi="Garamond" w:cs="Arial"/>
          <w:b/>
          <w:bCs/>
          <w:kern w:val="36"/>
          <w:sz w:val="17"/>
          <w:szCs w:val="17"/>
          <w:lang w:eastAsia="pt-PT"/>
        </w:rPr>
        <w:t>Intenção Inteligente</w:t>
      </w:r>
      <w:r w:rsidRPr="004436CF">
        <w:rPr>
          <w:rFonts w:ascii="Garamond" w:eastAsia="Times New Roman" w:hAnsi="Garamond" w:cs="Arial"/>
          <w:kern w:val="36"/>
          <w:sz w:val="17"/>
          <w:szCs w:val="17"/>
          <w:lang w:eastAsia="pt-PT"/>
        </w:rPr>
        <w:t xml:space="preserve"> da </w:t>
      </w:r>
      <w:r w:rsidRPr="004436CF">
        <w:rPr>
          <w:rFonts w:ascii="Garamond" w:eastAsia="Times New Roman" w:hAnsi="Garamond" w:cs="Arial"/>
          <w:b/>
          <w:bCs/>
          <w:kern w:val="36"/>
          <w:sz w:val="17"/>
          <w:szCs w:val="17"/>
          <w:lang w:eastAsia="pt-PT"/>
        </w:rPr>
        <w:t>Criação</w:t>
      </w:r>
      <w:r w:rsidRPr="004436CF">
        <w:rPr>
          <w:rFonts w:ascii="Garamond" w:eastAsia="Times New Roman" w:hAnsi="Garamond" w:cs="Arial"/>
          <w:kern w:val="36"/>
          <w:sz w:val="17"/>
          <w:szCs w:val="17"/>
          <w:lang w:eastAsia="pt-PT"/>
        </w:rPr>
        <w:t xml:space="preserve">, | aos </w:t>
      </w:r>
      <w:r w:rsidRPr="004436CF">
        <w:rPr>
          <w:rFonts w:ascii="Garamond" w:eastAsia="Times New Roman" w:hAnsi="Garamond" w:cs="Arial"/>
          <w:b/>
          <w:bCs/>
          <w:kern w:val="36"/>
          <w:sz w:val="17"/>
          <w:szCs w:val="17"/>
          <w:lang w:eastAsia="pt-PT"/>
        </w:rPr>
        <w:t>Seres</w:t>
      </w:r>
      <w:r w:rsidRPr="004436CF">
        <w:rPr>
          <w:rFonts w:ascii="Garamond" w:eastAsia="Times New Roman" w:hAnsi="Garamond" w:cs="Arial"/>
          <w:kern w:val="36"/>
          <w:sz w:val="17"/>
          <w:szCs w:val="17"/>
          <w:lang w:eastAsia="pt-PT"/>
        </w:rPr>
        <w:t xml:space="preserve"> por </w:t>
      </w:r>
      <w:r w:rsidRPr="004436CF">
        <w:rPr>
          <w:rFonts w:ascii="Garamond" w:eastAsia="Times New Roman" w:hAnsi="Garamond" w:cs="Arial"/>
          <w:b/>
          <w:bCs/>
          <w:kern w:val="36"/>
          <w:sz w:val="17"/>
          <w:szCs w:val="17"/>
          <w:lang w:eastAsia="pt-PT"/>
        </w:rPr>
        <w:t>Si</w:t>
      </w:r>
      <w:r w:rsidRPr="004436CF">
        <w:rPr>
          <w:rFonts w:ascii="Garamond" w:eastAsia="Times New Roman" w:hAnsi="Garamond" w:cs="Arial"/>
          <w:kern w:val="36"/>
          <w:sz w:val="17"/>
          <w:szCs w:val="17"/>
          <w:lang w:eastAsia="pt-PT"/>
        </w:rPr>
        <w:t xml:space="preserve"> </w:t>
      </w:r>
      <w:r w:rsidRPr="004436CF">
        <w:rPr>
          <w:rFonts w:ascii="Garamond" w:eastAsia="Times New Roman" w:hAnsi="Garamond" w:cs="Arial"/>
          <w:b/>
          <w:bCs/>
          <w:kern w:val="36"/>
          <w:sz w:val="17"/>
          <w:szCs w:val="17"/>
          <w:lang w:eastAsia="pt-PT"/>
        </w:rPr>
        <w:t>criados</w:t>
      </w:r>
      <w:r w:rsidRPr="004436CF">
        <w:rPr>
          <w:rFonts w:ascii="Garamond" w:eastAsia="Times New Roman" w:hAnsi="Garamond" w:cs="Arial"/>
          <w:kern w:val="36"/>
          <w:sz w:val="17"/>
          <w:szCs w:val="17"/>
          <w:lang w:eastAsia="pt-PT"/>
        </w:rPr>
        <w:t xml:space="preserve">… | A </w:t>
      </w:r>
      <w:r w:rsidRPr="004436CF">
        <w:rPr>
          <w:rFonts w:ascii="Garamond" w:eastAsia="Times New Roman" w:hAnsi="Garamond" w:cs="Arial"/>
          <w:b/>
          <w:bCs/>
          <w:kern w:val="36"/>
          <w:sz w:val="17"/>
          <w:szCs w:val="17"/>
          <w:lang w:eastAsia="pt-PT"/>
        </w:rPr>
        <w:t>Astrologia</w:t>
      </w:r>
      <w:r w:rsidRPr="004436CF">
        <w:rPr>
          <w:rFonts w:ascii="Garamond" w:eastAsia="Times New Roman" w:hAnsi="Garamond" w:cs="Arial"/>
          <w:kern w:val="36"/>
          <w:sz w:val="17"/>
          <w:szCs w:val="17"/>
          <w:lang w:eastAsia="pt-PT"/>
        </w:rPr>
        <w:t xml:space="preserve"> é uma </w:t>
      </w:r>
      <w:r w:rsidRPr="004436CF">
        <w:rPr>
          <w:rFonts w:ascii="Garamond" w:eastAsia="Times New Roman" w:hAnsi="Garamond" w:cs="Arial"/>
          <w:b/>
          <w:bCs/>
          <w:kern w:val="36"/>
          <w:sz w:val="17"/>
          <w:szCs w:val="17"/>
          <w:lang w:eastAsia="pt-PT"/>
        </w:rPr>
        <w:t>linguagem Simbólica</w:t>
      </w:r>
      <w:r w:rsidRPr="004436CF">
        <w:rPr>
          <w:rFonts w:ascii="Garamond" w:eastAsia="Times New Roman" w:hAnsi="Garamond" w:cs="Arial"/>
          <w:kern w:val="36"/>
          <w:sz w:val="17"/>
          <w:szCs w:val="17"/>
          <w:lang w:eastAsia="pt-PT"/>
        </w:rPr>
        <w:t xml:space="preserve">, | </w:t>
      </w:r>
      <w:r w:rsidRPr="004436CF">
        <w:rPr>
          <w:rFonts w:ascii="Garamond" w:eastAsia="Times New Roman" w:hAnsi="Garamond" w:cs="Arial"/>
          <w:b/>
          <w:bCs/>
          <w:kern w:val="36"/>
          <w:sz w:val="17"/>
          <w:szCs w:val="17"/>
          <w:lang w:eastAsia="pt-PT"/>
        </w:rPr>
        <w:t>Sagrada</w:t>
      </w:r>
      <w:r w:rsidRPr="004436CF">
        <w:rPr>
          <w:rFonts w:ascii="Garamond" w:eastAsia="Times New Roman" w:hAnsi="Garamond" w:cs="Arial"/>
          <w:kern w:val="36"/>
          <w:sz w:val="17"/>
          <w:szCs w:val="17"/>
          <w:lang w:eastAsia="pt-PT"/>
        </w:rPr>
        <w:t xml:space="preserve">, reveladora de uma </w:t>
      </w:r>
      <w:r w:rsidRPr="004436CF">
        <w:rPr>
          <w:rFonts w:ascii="Garamond" w:eastAsia="Times New Roman" w:hAnsi="Garamond" w:cs="Arial"/>
          <w:b/>
          <w:bCs/>
          <w:kern w:val="36"/>
          <w:sz w:val="17"/>
          <w:szCs w:val="17"/>
          <w:lang w:eastAsia="pt-PT"/>
        </w:rPr>
        <w:t>Ordem Maior</w:t>
      </w:r>
      <w:r w:rsidRPr="004436CF">
        <w:rPr>
          <w:rFonts w:ascii="Garamond" w:eastAsia="Times New Roman" w:hAnsi="Garamond" w:cs="Arial"/>
          <w:kern w:val="36"/>
          <w:sz w:val="17"/>
          <w:szCs w:val="17"/>
          <w:lang w:eastAsia="pt-PT"/>
        </w:rPr>
        <w:t>.</w:t>
      </w:r>
    </w:p>
  </w:footnote>
  <w:footnote w:id="59">
    <w:p w:rsidR="00AB41D3" w:rsidRPr="004436CF" w:rsidRDefault="00AB41D3" w:rsidP="00AB41D3">
      <w:pPr>
        <w:pStyle w:val="Textodenotaderodap"/>
        <w:rPr>
          <w:rFonts w:ascii="Garamond" w:eastAsia="Times New Roman" w:hAnsi="Garamond" w:cs="Arial"/>
          <w:kern w:val="36"/>
          <w:sz w:val="17"/>
          <w:szCs w:val="17"/>
          <w:lang w:eastAsia="pt-PT"/>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Style w:val="fontstyle21"/>
          <w:rFonts w:ascii="Garamond" w:hAnsi="Garamond"/>
          <w:sz w:val="17"/>
          <w:szCs w:val="17"/>
        </w:rPr>
        <w:t>, pp.</w:t>
      </w:r>
      <w:r w:rsidRPr="004436CF">
        <w:rPr>
          <w:rFonts w:ascii="Garamond" w:eastAsia="Times New Roman" w:hAnsi="Garamond" w:cs="Arial"/>
          <w:kern w:val="36"/>
          <w:sz w:val="17"/>
          <w:szCs w:val="17"/>
          <w:lang w:eastAsia="pt-PT"/>
        </w:rPr>
        <w:t xml:space="preserve"> </w:t>
      </w:r>
      <w:r w:rsidRPr="004436CF">
        <w:rPr>
          <w:rStyle w:val="fontstyle21"/>
          <w:rFonts w:ascii="Garamond" w:hAnsi="Garamond"/>
          <w:sz w:val="17"/>
          <w:szCs w:val="17"/>
        </w:rPr>
        <w:t xml:space="preserve">17-59, </w:t>
      </w:r>
      <w:r w:rsidRPr="004436CF">
        <w:rPr>
          <w:rFonts w:ascii="Garamond" w:eastAsia="Times New Roman" w:hAnsi="Garamond" w:cs="Arial"/>
          <w:kern w:val="36"/>
          <w:sz w:val="17"/>
          <w:szCs w:val="17"/>
          <w:lang w:eastAsia="pt-PT"/>
        </w:rPr>
        <w:t xml:space="preserve">63, 188; Maria Flávia de Monsaraz, </w:t>
      </w:r>
      <w:r w:rsidRPr="004436CF">
        <w:rPr>
          <w:rFonts w:ascii="Garamond" w:eastAsia="Times New Roman" w:hAnsi="Garamond" w:cs="Arial"/>
          <w:i/>
          <w:iCs/>
          <w:kern w:val="36"/>
          <w:sz w:val="17"/>
          <w:szCs w:val="17"/>
          <w:lang w:eastAsia="pt-PT"/>
        </w:rPr>
        <w:t>Cosmos Ordem Matriz</w:t>
      </w:r>
      <w:r w:rsidRPr="004436CF">
        <w:rPr>
          <w:rFonts w:ascii="Garamond" w:eastAsia="Times New Roman" w:hAnsi="Garamond" w:cs="Arial"/>
          <w:kern w:val="36"/>
          <w:sz w:val="17"/>
          <w:szCs w:val="17"/>
          <w:lang w:eastAsia="pt-PT"/>
        </w:rPr>
        <w:t xml:space="preserve"> (</w:t>
      </w:r>
      <w:proofErr w:type="spellStart"/>
      <w:r w:rsidRPr="004436CF">
        <w:rPr>
          <w:rFonts w:ascii="Garamond" w:eastAsia="Times New Roman" w:hAnsi="Garamond" w:cs="Arial"/>
          <w:kern w:val="36"/>
          <w:sz w:val="17"/>
          <w:szCs w:val="17"/>
          <w:lang w:eastAsia="pt-PT"/>
        </w:rPr>
        <w:t>author’s</w:t>
      </w:r>
      <w:proofErr w:type="spellEnd"/>
      <w:r w:rsidRPr="004436CF">
        <w:rPr>
          <w:rFonts w:ascii="Garamond" w:eastAsia="Times New Roman" w:hAnsi="Garamond" w:cs="Arial"/>
          <w:kern w:val="36"/>
          <w:sz w:val="17"/>
          <w:szCs w:val="17"/>
          <w:lang w:eastAsia="pt-PT"/>
        </w:rPr>
        <w:t xml:space="preserve"> </w:t>
      </w:r>
      <w:proofErr w:type="spellStart"/>
      <w:r w:rsidRPr="004436CF">
        <w:rPr>
          <w:rFonts w:ascii="Garamond" w:eastAsia="Times New Roman" w:hAnsi="Garamond" w:cs="Arial"/>
          <w:kern w:val="36"/>
          <w:sz w:val="17"/>
          <w:szCs w:val="17"/>
          <w:lang w:eastAsia="pt-PT"/>
        </w:rPr>
        <w:t>edition</w:t>
      </w:r>
      <w:proofErr w:type="spellEnd"/>
      <w:r w:rsidRPr="004436CF">
        <w:rPr>
          <w:rFonts w:ascii="Garamond" w:eastAsia="Times New Roman" w:hAnsi="Garamond" w:cs="Arial"/>
          <w:kern w:val="36"/>
          <w:sz w:val="17"/>
          <w:szCs w:val="17"/>
          <w:lang w:eastAsia="pt-PT"/>
        </w:rPr>
        <w:t xml:space="preserve">, 2013 [2000]), pp. </w:t>
      </w:r>
      <w:r w:rsidRPr="004436CF">
        <w:rPr>
          <w:rStyle w:val="fontstyle21"/>
          <w:rFonts w:ascii="Garamond" w:hAnsi="Garamond"/>
          <w:sz w:val="17"/>
          <w:szCs w:val="17"/>
        </w:rPr>
        <w:t>29-31, 39-44.</w:t>
      </w:r>
    </w:p>
  </w:footnote>
  <w:footnote w:id="60">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eastAsia="Times New Roman" w:hAnsi="Garamond" w:cs="Arial"/>
          <w:kern w:val="36"/>
          <w:sz w:val="17"/>
          <w:szCs w:val="17"/>
          <w:lang w:eastAsia="pt-PT"/>
        </w:rPr>
        <w:t>, p. 63:</w:t>
      </w:r>
      <w:r w:rsidRPr="004436CF">
        <w:rPr>
          <w:rFonts w:ascii="Garamond" w:eastAsia="Times New Roman" w:hAnsi="Garamond" w:cs="Arial"/>
          <w:b/>
          <w:bCs/>
          <w:kern w:val="36"/>
          <w:sz w:val="17"/>
          <w:szCs w:val="17"/>
          <w:lang w:eastAsia="pt-PT"/>
        </w:rPr>
        <w:t xml:space="preserve"> </w:t>
      </w:r>
      <w:r w:rsidRPr="004436CF">
        <w:rPr>
          <w:rFonts w:ascii="Garamond" w:eastAsia="Times New Roman" w:hAnsi="Garamond" w:cs="Arial"/>
          <w:kern w:val="36"/>
          <w:sz w:val="17"/>
          <w:szCs w:val="17"/>
          <w:lang w:eastAsia="pt-PT"/>
        </w:rPr>
        <w:t xml:space="preserve">Um </w:t>
      </w:r>
      <w:r w:rsidRPr="004436CF">
        <w:rPr>
          <w:rFonts w:ascii="Garamond" w:eastAsia="Times New Roman" w:hAnsi="Garamond" w:cs="Arial"/>
          <w:b/>
          <w:bCs/>
          <w:kern w:val="36"/>
          <w:sz w:val="17"/>
          <w:szCs w:val="17"/>
          <w:lang w:eastAsia="pt-PT"/>
        </w:rPr>
        <w:t>Tema de Nascimento</w:t>
      </w:r>
      <w:r w:rsidRPr="004436CF">
        <w:rPr>
          <w:rFonts w:ascii="Garamond" w:eastAsia="Times New Roman" w:hAnsi="Garamond" w:cs="Arial"/>
          <w:kern w:val="36"/>
          <w:sz w:val="17"/>
          <w:szCs w:val="17"/>
          <w:lang w:eastAsia="pt-PT"/>
        </w:rPr>
        <w:t xml:space="preserve"> ou </w:t>
      </w:r>
      <w:r w:rsidRPr="004436CF">
        <w:rPr>
          <w:rFonts w:ascii="Garamond" w:eastAsia="Times New Roman" w:hAnsi="Garamond" w:cs="Arial"/>
          <w:b/>
          <w:bCs/>
          <w:kern w:val="36"/>
          <w:sz w:val="17"/>
          <w:szCs w:val="17"/>
          <w:lang w:eastAsia="pt-PT"/>
        </w:rPr>
        <w:t>Horóscopo</w:t>
      </w:r>
      <w:r w:rsidRPr="004436CF">
        <w:rPr>
          <w:rFonts w:ascii="Garamond" w:eastAsia="Times New Roman" w:hAnsi="Garamond" w:cs="Arial"/>
          <w:kern w:val="36"/>
          <w:sz w:val="17"/>
          <w:szCs w:val="17"/>
          <w:lang w:eastAsia="pt-PT"/>
        </w:rPr>
        <w:t xml:space="preserve"> individual, | é algo </w:t>
      </w:r>
      <w:r w:rsidRPr="004436CF">
        <w:rPr>
          <w:rFonts w:ascii="Garamond" w:eastAsia="Times New Roman" w:hAnsi="Garamond" w:cs="Arial"/>
          <w:b/>
          <w:bCs/>
          <w:kern w:val="36"/>
          <w:sz w:val="17"/>
          <w:szCs w:val="17"/>
          <w:lang w:eastAsia="pt-PT"/>
        </w:rPr>
        <w:t>dinâmico</w:t>
      </w:r>
      <w:r w:rsidRPr="004436CF">
        <w:rPr>
          <w:rFonts w:ascii="Garamond" w:eastAsia="Times New Roman" w:hAnsi="Garamond" w:cs="Arial"/>
          <w:kern w:val="36"/>
          <w:sz w:val="17"/>
          <w:szCs w:val="17"/>
          <w:lang w:eastAsia="pt-PT"/>
        </w:rPr>
        <w:t xml:space="preserve">: um </w:t>
      </w:r>
      <w:r w:rsidRPr="004436CF">
        <w:rPr>
          <w:rFonts w:ascii="Garamond" w:eastAsia="Times New Roman" w:hAnsi="Garamond" w:cs="Arial"/>
          <w:b/>
          <w:bCs/>
          <w:kern w:val="36"/>
          <w:sz w:val="17"/>
          <w:szCs w:val="17"/>
          <w:lang w:eastAsia="pt-PT"/>
        </w:rPr>
        <w:t>projecto Cósmico</w:t>
      </w:r>
      <w:r w:rsidRPr="004436CF">
        <w:rPr>
          <w:rFonts w:ascii="Garamond" w:eastAsia="Times New Roman" w:hAnsi="Garamond" w:cs="Arial"/>
          <w:kern w:val="36"/>
          <w:sz w:val="17"/>
          <w:szCs w:val="17"/>
          <w:lang w:eastAsia="pt-PT"/>
        </w:rPr>
        <w:t xml:space="preserve">, | um programa de </w:t>
      </w:r>
      <w:r w:rsidRPr="004436CF">
        <w:rPr>
          <w:rFonts w:ascii="Garamond" w:eastAsia="Times New Roman" w:hAnsi="Garamond" w:cs="Arial"/>
          <w:b/>
          <w:bCs/>
          <w:kern w:val="36"/>
          <w:sz w:val="17"/>
          <w:szCs w:val="17"/>
          <w:lang w:eastAsia="pt-PT"/>
        </w:rPr>
        <w:t>Vida</w:t>
      </w:r>
      <w:r w:rsidRPr="004436CF">
        <w:rPr>
          <w:rFonts w:ascii="Garamond" w:eastAsia="Times New Roman" w:hAnsi="Garamond" w:cs="Arial"/>
          <w:kern w:val="36"/>
          <w:sz w:val="17"/>
          <w:szCs w:val="17"/>
          <w:lang w:eastAsia="pt-PT"/>
        </w:rPr>
        <w:t xml:space="preserve">. | Não é uma </w:t>
      </w:r>
      <w:r w:rsidRPr="004436CF">
        <w:rPr>
          <w:rFonts w:ascii="Garamond" w:eastAsia="Times New Roman" w:hAnsi="Garamond" w:cs="Arial"/>
          <w:b/>
          <w:bCs/>
          <w:kern w:val="36"/>
          <w:sz w:val="17"/>
          <w:szCs w:val="17"/>
          <w:lang w:eastAsia="pt-PT"/>
        </w:rPr>
        <w:t>proposta estática</w:t>
      </w:r>
      <w:r w:rsidRPr="004436CF">
        <w:rPr>
          <w:rFonts w:ascii="Garamond" w:eastAsia="Times New Roman" w:hAnsi="Garamond" w:cs="Arial"/>
          <w:kern w:val="36"/>
          <w:sz w:val="17"/>
          <w:szCs w:val="17"/>
          <w:lang w:eastAsia="pt-PT"/>
        </w:rPr>
        <w:t xml:space="preserve">, mas sim | uma </w:t>
      </w:r>
      <w:r w:rsidRPr="004436CF">
        <w:rPr>
          <w:rFonts w:ascii="Garamond" w:eastAsia="Times New Roman" w:hAnsi="Garamond" w:cs="Arial"/>
          <w:b/>
          <w:bCs/>
          <w:kern w:val="36"/>
          <w:sz w:val="17"/>
          <w:szCs w:val="17"/>
          <w:lang w:eastAsia="pt-PT"/>
        </w:rPr>
        <w:t>matriz energética</w:t>
      </w:r>
      <w:r w:rsidRPr="004436CF">
        <w:rPr>
          <w:rFonts w:ascii="Garamond" w:eastAsia="Times New Roman" w:hAnsi="Garamond" w:cs="Arial"/>
          <w:kern w:val="36"/>
          <w:sz w:val="17"/>
          <w:szCs w:val="17"/>
          <w:lang w:eastAsia="pt-PT"/>
        </w:rPr>
        <w:t xml:space="preserve"> em </w:t>
      </w:r>
      <w:r w:rsidRPr="004436CF">
        <w:rPr>
          <w:rFonts w:ascii="Garamond" w:eastAsia="Times New Roman" w:hAnsi="Garamond" w:cs="Arial"/>
          <w:b/>
          <w:bCs/>
          <w:kern w:val="36"/>
          <w:sz w:val="17"/>
          <w:szCs w:val="17"/>
          <w:lang w:eastAsia="pt-PT"/>
        </w:rPr>
        <w:t>permanente mutação</w:t>
      </w:r>
      <w:r w:rsidRPr="004436CF">
        <w:rPr>
          <w:rFonts w:ascii="Garamond" w:eastAsia="Times New Roman" w:hAnsi="Garamond" w:cs="Arial"/>
          <w:kern w:val="36"/>
          <w:sz w:val="17"/>
          <w:szCs w:val="17"/>
          <w:lang w:eastAsia="pt-PT"/>
        </w:rPr>
        <w:t>.</w:t>
      </w:r>
    </w:p>
  </w:footnote>
  <w:footnote w:id="61">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eastAsia="Times New Roman" w:hAnsi="Garamond" w:cs="Arial"/>
          <w:kern w:val="36"/>
          <w:sz w:val="17"/>
          <w:szCs w:val="17"/>
          <w:lang w:eastAsia="pt-PT"/>
        </w:rPr>
        <w:t xml:space="preserve">, pp. </w:t>
      </w:r>
      <w:r w:rsidRPr="004436CF">
        <w:rPr>
          <w:rStyle w:val="fontstyle21"/>
          <w:rFonts w:ascii="Garamond" w:hAnsi="Garamond"/>
          <w:sz w:val="17"/>
          <w:szCs w:val="17"/>
        </w:rPr>
        <w:t xml:space="preserve">118, </w:t>
      </w:r>
      <w:r w:rsidRPr="004436CF">
        <w:rPr>
          <w:rFonts w:ascii="Garamond" w:eastAsia="Times New Roman" w:hAnsi="Garamond" w:cs="Arial"/>
          <w:kern w:val="36"/>
          <w:sz w:val="17"/>
          <w:szCs w:val="17"/>
          <w:lang w:eastAsia="pt-PT"/>
        </w:rPr>
        <w:t>80</w:t>
      </w:r>
      <w:r w:rsidRPr="004436CF">
        <w:rPr>
          <w:rStyle w:val="fontstyle21"/>
          <w:rFonts w:ascii="Garamond" w:hAnsi="Garamond"/>
          <w:sz w:val="17"/>
          <w:szCs w:val="17"/>
        </w:rPr>
        <w:t>:</w:t>
      </w:r>
      <w:r w:rsidRPr="004436CF">
        <w:rPr>
          <w:rFonts w:ascii="Garamond" w:hAnsi="Garamond"/>
          <w:sz w:val="17"/>
          <w:szCs w:val="17"/>
        </w:rPr>
        <w:t xml:space="preserve"> ‘</w:t>
      </w:r>
      <w:r w:rsidRPr="004436CF">
        <w:rPr>
          <w:rStyle w:val="fontstyle21"/>
          <w:rFonts w:ascii="Garamond" w:hAnsi="Garamond"/>
          <w:b/>
          <w:bCs/>
          <w:sz w:val="17"/>
          <w:szCs w:val="17"/>
        </w:rPr>
        <w:t xml:space="preserve">Projecto </w:t>
      </w:r>
      <w:proofErr w:type="spellStart"/>
      <w:r w:rsidRPr="004436CF">
        <w:rPr>
          <w:rStyle w:val="fontstyle21"/>
          <w:rFonts w:ascii="Garamond" w:hAnsi="Garamond"/>
          <w:b/>
          <w:bCs/>
          <w:sz w:val="17"/>
          <w:szCs w:val="17"/>
        </w:rPr>
        <w:t>dharmico</w:t>
      </w:r>
      <w:proofErr w:type="spellEnd"/>
      <w:r w:rsidRPr="004436CF">
        <w:rPr>
          <w:rStyle w:val="fontstyle21"/>
          <w:rFonts w:ascii="Garamond" w:hAnsi="Garamond"/>
          <w:sz w:val="17"/>
          <w:szCs w:val="17"/>
        </w:rPr>
        <w:t xml:space="preserve"> que é…| uma </w:t>
      </w:r>
      <w:r w:rsidRPr="004436CF">
        <w:rPr>
          <w:rStyle w:val="fontstyle21"/>
          <w:rFonts w:ascii="Garamond" w:hAnsi="Garamond"/>
          <w:b/>
          <w:bCs/>
          <w:sz w:val="17"/>
          <w:szCs w:val="17"/>
        </w:rPr>
        <w:t>resposta individualizada</w:t>
      </w:r>
      <w:r w:rsidRPr="004436CF">
        <w:rPr>
          <w:rStyle w:val="fontstyle21"/>
          <w:rFonts w:ascii="Garamond" w:hAnsi="Garamond"/>
          <w:sz w:val="17"/>
          <w:szCs w:val="17"/>
        </w:rPr>
        <w:t xml:space="preserve"> | à sua </w:t>
      </w:r>
      <w:r w:rsidRPr="004436CF">
        <w:rPr>
          <w:rStyle w:val="fontstyle21"/>
          <w:rFonts w:ascii="Garamond" w:hAnsi="Garamond"/>
          <w:b/>
          <w:bCs/>
          <w:sz w:val="17"/>
          <w:szCs w:val="17"/>
        </w:rPr>
        <w:t>dimensão Divina</w:t>
      </w:r>
      <w:r w:rsidRPr="004436CF">
        <w:rPr>
          <w:rStyle w:val="fontstyle21"/>
          <w:rFonts w:ascii="Garamond" w:hAnsi="Garamond"/>
          <w:sz w:val="17"/>
          <w:szCs w:val="17"/>
        </w:rPr>
        <w:t>.’</w:t>
      </w:r>
    </w:p>
  </w:footnote>
  <w:footnote w:id="62">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p. 21.</w:t>
      </w:r>
    </w:p>
  </w:footnote>
  <w:footnote w:id="63">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xml:space="preserve">, pp. 36, 35: As </w:t>
      </w:r>
      <w:r w:rsidRPr="004436CF">
        <w:rPr>
          <w:rFonts w:ascii="Garamond" w:hAnsi="Garamond"/>
          <w:b/>
          <w:bCs/>
          <w:sz w:val="17"/>
          <w:szCs w:val="17"/>
        </w:rPr>
        <w:t>Progressões são</w:t>
      </w:r>
      <w:r w:rsidRPr="004436CF">
        <w:rPr>
          <w:rFonts w:ascii="Garamond" w:hAnsi="Garamond"/>
          <w:sz w:val="17"/>
          <w:szCs w:val="17"/>
        </w:rPr>
        <w:t xml:space="preserve"> realmente um “</w:t>
      </w:r>
      <w:r w:rsidRPr="004436CF">
        <w:rPr>
          <w:rFonts w:ascii="Garamond" w:hAnsi="Garamond"/>
          <w:b/>
          <w:bCs/>
          <w:i/>
          <w:iCs/>
          <w:sz w:val="17"/>
          <w:szCs w:val="17"/>
        </w:rPr>
        <w:t>Relógio Cósmico</w:t>
      </w:r>
      <w:r w:rsidRPr="004436CF">
        <w:rPr>
          <w:rFonts w:ascii="Garamond" w:hAnsi="Garamond"/>
          <w:sz w:val="17"/>
          <w:szCs w:val="17"/>
        </w:rPr>
        <w:t>”.</w:t>
      </w:r>
    </w:p>
  </w:footnote>
  <w:footnote w:id="64">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xml:space="preserve">, p. </w:t>
      </w:r>
      <w:r w:rsidRPr="004436CF">
        <w:rPr>
          <w:rFonts w:ascii="Garamond" w:eastAsia="Times New Roman" w:hAnsi="Garamond" w:cs="Arial"/>
          <w:kern w:val="36"/>
          <w:sz w:val="17"/>
          <w:szCs w:val="17"/>
          <w:lang w:eastAsia="pt-PT"/>
        </w:rPr>
        <w:t>22: (…) ‘</w:t>
      </w:r>
      <w:r w:rsidRPr="004436CF">
        <w:rPr>
          <w:rFonts w:ascii="Garamond" w:hAnsi="Garamond"/>
          <w:b/>
          <w:bCs/>
          <w:sz w:val="17"/>
          <w:szCs w:val="17"/>
        </w:rPr>
        <w:t>relógio cósmico’</w:t>
      </w:r>
      <w:r w:rsidRPr="004436CF">
        <w:rPr>
          <w:rFonts w:ascii="Garamond" w:hAnsi="Garamond"/>
          <w:sz w:val="17"/>
          <w:szCs w:val="17"/>
        </w:rPr>
        <w:t xml:space="preserve">, | </w:t>
      </w:r>
      <w:r w:rsidRPr="004436CF">
        <w:rPr>
          <w:rFonts w:ascii="Garamond" w:hAnsi="Garamond"/>
          <w:b/>
          <w:bCs/>
          <w:sz w:val="17"/>
          <w:szCs w:val="17"/>
        </w:rPr>
        <w:t>preciso</w:t>
      </w:r>
      <w:r w:rsidRPr="004436CF">
        <w:rPr>
          <w:rFonts w:ascii="Garamond" w:hAnsi="Garamond"/>
          <w:sz w:val="17"/>
          <w:szCs w:val="17"/>
        </w:rPr>
        <w:t xml:space="preserve"> e </w:t>
      </w:r>
      <w:r w:rsidRPr="004436CF">
        <w:rPr>
          <w:rFonts w:ascii="Garamond" w:hAnsi="Garamond"/>
          <w:b/>
          <w:bCs/>
          <w:sz w:val="17"/>
          <w:szCs w:val="17"/>
        </w:rPr>
        <w:t>rigoroso</w:t>
      </w:r>
      <w:r w:rsidRPr="004436CF">
        <w:rPr>
          <w:rFonts w:ascii="Garamond" w:hAnsi="Garamond"/>
          <w:sz w:val="17"/>
          <w:szCs w:val="17"/>
        </w:rPr>
        <w:t xml:space="preserve">, </w:t>
      </w:r>
      <w:r w:rsidRPr="004436CF">
        <w:rPr>
          <w:rFonts w:ascii="Garamond" w:hAnsi="Garamond"/>
          <w:b/>
          <w:bCs/>
          <w:sz w:val="17"/>
          <w:szCs w:val="17"/>
        </w:rPr>
        <w:t>não programado</w:t>
      </w:r>
      <w:r w:rsidRPr="004436CF">
        <w:rPr>
          <w:rFonts w:ascii="Garamond" w:hAnsi="Garamond"/>
          <w:sz w:val="17"/>
          <w:szCs w:val="17"/>
        </w:rPr>
        <w:t xml:space="preserve"> por </w:t>
      </w:r>
      <w:r w:rsidRPr="004436CF">
        <w:rPr>
          <w:rFonts w:ascii="Garamond" w:hAnsi="Garamond"/>
          <w:b/>
          <w:bCs/>
          <w:sz w:val="17"/>
          <w:szCs w:val="17"/>
        </w:rPr>
        <w:t>nós</w:t>
      </w:r>
      <w:r w:rsidRPr="004436CF">
        <w:rPr>
          <w:rFonts w:ascii="Garamond" w:hAnsi="Garamond"/>
          <w:sz w:val="17"/>
          <w:szCs w:val="17"/>
        </w:rPr>
        <w:t xml:space="preserve">, | e que </w:t>
      </w:r>
      <w:r w:rsidRPr="004436CF">
        <w:rPr>
          <w:rFonts w:ascii="Garamond" w:hAnsi="Garamond"/>
          <w:b/>
          <w:bCs/>
          <w:sz w:val="17"/>
          <w:szCs w:val="17"/>
        </w:rPr>
        <w:t>não</w:t>
      </w:r>
      <w:r w:rsidRPr="004436CF">
        <w:rPr>
          <w:rFonts w:ascii="Garamond" w:hAnsi="Garamond"/>
          <w:sz w:val="17"/>
          <w:szCs w:val="17"/>
        </w:rPr>
        <w:t xml:space="preserve"> nos é dado </w:t>
      </w:r>
      <w:r w:rsidRPr="004436CF">
        <w:rPr>
          <w:rFonts w:ascii="Garamond" w:hAnsi="Garamond"/>
          <w:b/>
          <w:bCs/>
          <w:sz w:val="17"/>
          <w:szCs w:val="17"/>
        </w:rPr>
        <w:t>controlar</w:t>
      </w:r>
      <w:r w:rsidRPr="004436CF">
        <w:rPr>
          <w:rFonts w:ascii="Garamond" w:hAnsi="Garamond"/>
          <w:sz w:val="17"/>
          <w:szCs w:val="17"/>
        </w:rPr>
        <w:t>.</w:t>
      </w:r>
    </w:p>
  </w:footnote>
  <w:footnote w:id="65">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xml:space="preserve">, p. </w:t>
      </w:r>
      <w:r w:rsidRPr="004436CF">
        <w:rPr>
          <w:rFonts w:ascii="Garamond" w:eastAsia="Times New Roman" w:hAnsi="Garamond" w:cs="Arial"/>
          <w:kern w:val="36"/>
          <w:sz w:val="17"/>
          <w:szCs w:val="17"/>
          <w:lang w:eastAsia="pt-PT"/>
        </w:rPr>
        <w:t>23:</w:t>
      </w:r>
      <w:r w:rsidRPr="004436CF">
        <w:rPr>
          <w:rFonts w:ascii="Garamond" w:eastAsia="Times New Roman" w:hAnsi="Garamond" w:cs="Arial"/>
          <w:b/>
          <w:bCs/>
          <w:kern w:val="36"/>
          <w:sz w:val="17"/>
          <w:szCs w:val="17"/>
          <w:lang w:eastAsia="pt-PT"/>
        </w:rPr>
        <w:t xml:space="preserve"> Comportam</w:t>
      </w:r>
      <w:r w:rsidRPr="004436CF">
        <w:rPr>
          <w:rFonts w:ascii="Garamond" w:eastAsia="Times New Roman" w:hAnsi="Garamond" w:cs="Arial"/>
          <w:kern w:val="36"/>
          <w:sz w:val="17"/>
          <w:szCs w:val="17"/>
          <w:lang w:eastAsia="pt-PT"/>
        </w:rPr>
        <w:t xml:space="preserve"> o </w:t>
      </w:r>
      <w:r w:rsidRPr="004436CF">
        <w:rPr>
          <w:rFonts w:ascii="Garamond" w:eastAsia="Times New Roman" w:hAnsi="Garamond" w:cs="Arial"/>
          <w:b/>
          <w:bCs/>
          <w:kern w:val="36"/>
          <w:sz w:val="17"/>
          <w:szCs w:val="17"/>
          <w:lang w:eastAsia="pt-PT"/>
        </w:rPr>
        <w:t>rigor</w:t>
      </w:r>
      <w:r w:rsidRPr="004436CF">
        <w:rPr>
          <w:rFonts w:ascii="Garamond" w:eastAsia="Times New Roman" w:hAnsi="Garamond" w:cs="Arial"/>
          <w:kern w:val="36"/>
          <w:sz w:val="17"/>
          <w:szCs w:val="17"/>
          <w:lang w:eastAsia="pt-PT"/>
        </w:rPr>
        <w:t xml:space="preserve"> de uma </w:t>
      </w:r>
      <w:r w:rsidRPr="004436CF">
        <w:rPr>
          <w:rFonts w:ascii="Garamond" w:eastAsia="Times New Roman" w:hAnsi="Garamond" w:cs="Arial"/>
          <w:b/>
          <w:bCs/>
          <w:kern w:val="36"/>
          <w:sz w:val="17"/>
          <w:szCs w:val="17"/>
          <w:lang w:eastAsia="pt-PT"/>
        </w:rPr>
        <w:t>Ordem Maior</w:t>
      </w:r>
      <w:r w:rsidRPr="004436CF">
        <w:rPr>
          <w:rFonts w:ascii="Garamond" w:eastAsia="Times New Roman" w:hAnsi="Garamond" w:cs="Arial"/>
          <w:kern w:val="36"/>
          <w:sz w:val="17"/>
          <w:szCs w:val="17"/>
          <w:lang w:eastAsia="pt-PT"/>
        </w:rPr>
        <w:t xml:space="preserve">. | Não comportam </w:t>
      </w:r>
      <w:r w:rsidRPr="004436CF">
        <w:rPr>
          <w:rFonts w:ascii="Garamond" w:eastAsia="Times New Roman" w:hAnsi="Garamond" w:cs="Arial"/>
          <w:b/>
          <w:bCs/>
          <w:kern w:val="36"/>
          <w:sz w:val="17"/>
          <w:szCs w:val="17"/>
          <w:lang w:eastAsia="pt-PT"/>
        </w:rPr>
        <w:t>determinismo</w:t>
      </w:r>
      <w:r w:rsidRPr="004436CF">
        <w:rPr>
          <w:rFonts w:ascii="Garamond" w:eastAsia="Times New Roman" w:hAnsi="Garamond" w:cs="Arial"/>
          <w:kern w:val="36"/>
          <w:sz w:val="17"/>
          <w:szCs w:val="17"/>
          <w:lang w:eastAsia="pt-PT"/>
        </w:rPr>
        <w:t xml:space="preserve"> | na medida em que </w:t>
      </w:r>
      <w:r w:rsidRPr="004436CF">
        <w:rPr>
          <w:rFonts w:ascii="Garamond" w:eastAsia="Times New Roman" w:hAnsi="Garamond" w:cs="Arial"/>
          <w:b/>
          <w:bCs/>
          <w:kern w:val="36"/>
          <w:sz w:val="17"/>
          <w:szCs w:val="17"/>
          <w:lang w:eastAsia="pt-PT"/>
        </w:rPr>
        <w:t>há</w:t>
      </w:r>
      <w:r w:rsidRPr="004436CF">
        <w:rPr>
          <w:rFonts w:ascii="Garamond" w:eastAsia="Times New Roman" w:hAnsi="Garamond" w:cs="Arial"/>
          <w:kern w:val="36"/>
          <w:sz w:val="17"/>
          <w:szCs w:val="17"/>
          <w:lang w:eastAsia="pt-PT"/>
        </w:rPr>
        <w:t xml:space="preserve"> uma </w:t>
      </w:r>
      <w:r w:rsidRPr="004436CF">
        <w:rPr>
          <w:rFonts w:ascii="Garamond" w:eastAsia="Times New Roman" w:hAnsi="Garamond" w:cs="Arial"/>
          <w:b/>
          <w:bCs/>
          <w:kern w:val="36"/>
          <w:sz w:val="17"/>
          <w:szCs w:val="17"/>
          <w:lang w:eastAsia="pt-PT"/>
        </w:rPr>
        <w:t>margem</w:t>
      </w:r>
      <w:r w:rsidRPr="004436CF">
        <w:rPr>
          <w:rFonts w:ascii="Garamond" w:eastAsia="Times New Roman" w:hAnsi="Garamond" w:cs="Arial"/>
          <w:kern w:val="36"/>
          <w:sz w:val="17"/>
          <w:szCs w:val="17"/>
          <w:lang w:eastAsia="pt-PT"/>
        </w:rPr>
        <w:t xml:space="preserve"> de </w:t>
      </w:r>
      <w:r w:rsidRPr="004436CF">
        <w:rPr>
          <w:rFonts w:ascii="Garamond" w:eastAsia="Times New Roman" w:hAnsi="Garamond" w:cs="Arial"/>
          <w:b/>
          <w:bCs/>
          <w:kern w:val="36"/>
          <w:sz w:val="17"/>
          <w:szCs w:val="17"/>
          <w:lang w:eastAsia="pt-PT"/>
        </w:rPr>
        <w:t>livre arbítrio</w:t>
      </w:r>
      <w:r w:rsidRPr="004436CF">
        <w:rPr>
          <w:rFonts w:ascii="Garamond" w:eastAsia="Times New Roman" w:hAnsi="Garamond" w:cs="Arial"/>
          <w:kern w:val="36"/>
          <w:sz w:val="17"/>
          <w:szCs w:val="17"/>
          <w:lang w:eastAsia="pt-PT"/>
        </w:rPr>
        <w:t xml:space="preserve">, | embora essa </w:t>
      </w:r>
      <w:r w:rsidRPr="004436CF">
        <w:rPr>
          <w:rFonts w:ascii="Garamond" w:eastAsia="Times New Roman" w:hAnsi="Garamond" w:cs="Arial"/>
          <w:b/>
          <w:bCs/>
          <w:kern w:val="36"/>
          <w:sz w:val="17"/>
          <w:szCs w:val="17"/>
          <w:lang w:eastAsia="pt-PT"/>
        </w:rPr>
        <w:t>margem</w:t>
      </w:r>
      <w:r w:rsidRPr="004436CF">
        <w:rPr>
          <w:rFonts w:ascii="Garamond" w:eastAsia="Times New Roman" w:hAnsi="Garamond" w:cs="Arial"/>
          <w:kern w:val="36"/>
          <w:sz w:val="17"/>
          <w:szCs w:val="17"/>
          <w:lang w:eastAsia="pt-PT"/>
        </w:rPr>
        <w:t xml:space="preserve"> seja sempre </w:t>
      </w:r>
      <w:r w:rsidRPr="004436CF">
        <w:rPr>
          <w:rFonts w:ascii="Garamond" w:eastAsia="Times New Roman" w:hAnsi="Garamond" w:cs="Arial"/>
          <w:b/>
          <w:bCs/>
          <w:kern w:val="36"/>
          <w:sz w:val="17"/>
          <w:szCs w:val="17"/>
          <w:lang w:eastAsia="pt-PT"/>
        </w:rPr>
        <w:t>mais relativa</w:t>
      </w:r>
      <w:r w:rsidRPr="004436CF">
        <w:rPr>
          <w:rFonts w:ascii="Garamond" w:eastAsia="Times New Roman" w:hAnsi="Garamond" w:cs="Arial"/>
          <w:kern w:val="36"/>
          <w:sz w:val="17"/>
          <w:szCs w:val="17"/>
          <w:lang w:eastAsia="pt-PT"/>
        </w:rPr>
        <w:t xml:space="preserve"> | do que </w:t>
      </w:r>
      <w:r w:rsidRPr="004436CF">
        <w:rPr>
          <w:rFonts w:ascii="Garamond" w:eastAsia="Times New Roman" w:hAnsi="Garamond" w:cs="Arial"/>
          <w:b/>
          <w:bCs/>
          <w:kern w:val="36"/>
          <w:sz w:val="17"/>
          <w:szCs w:val="17"/>
          <w:lang w:eastAsia="pt-PT"/>
        </w:rPr>
        <w:t>imaginamos</w:t>
      </w:r>
      <w:r w:rsidRPr="004436CF">
        <w:rPr>
          <w:rFonts w:ascii="Garamond" w:eastAsia="Times New Roman" w:hAnsi="Garamond" w:cs="Arial"/>
          <w:kern w:val="36"/>
          <w:sz w:val="17"/>
          <w:szCs w:val="17"/>
          <w:lang w:eastAsia="pt-PT"/>
        </w:rPr>
        <w:t>.</w:t>
      </w:r>
    </w:p>
  </w:footnote>
  <w:footnote w:id="66">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pp. 24, 26.</w:t>
      </w:r>
    </w:p>
  </w:footnote>
  <w:footnote w:id="67">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p. 26.</w:t>
      </w:r>
    </w:p>
  </w:footnote>
  <w:footnote w:id="68">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p. 27.</w:t>
      </w:r>
    </w:p>
  </w:footnote>
  <w:footnote w:id="69">
    <w:p w:rsidR="00AB41D3" w:rsidRPr="004436CF" w:rsidRDefault="00AB41D3" w:rsidP="00AB41D3">
      <w:pPr>
        <w:pStyle w:val="Textodenotaderodap"/>
        <w:rPr>
          <w:rFonts w:ascii="Garamond" w:eastAsia="Times New Roman" w:hAnsi="Garamond" w:cs="Arial"/>
          <w:kern w:val="36"/>
          <w:sz w:val="17"/>
          <w:szCs w:val="17"/>
          <w:lang w:eastAsia="pt-PT"/>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p. 27</w:t>
      </w:r>
      <w:r w:rsidRPr="004436CF">
        <w:rPr>
          <w:rFonts w:ascii="Garamond" w:eastAsia="Times New Roman" w:hAnsi="Garamond" w:cs="Arial"/>
          <w:kern w:val="36"/>
          <w:sz w:val="17"/>
          <w:szCs w:val="17"/>
          <w:lang w:eastAsia="pt-PT"/>
        </w:rPr>
        <w:t>.</w:t>
      </w:r>
    </w:p>
  </w:footnote>
  <w:footnote w:id="70">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p. 28.</w:t>
      </w:r>
    </w:p>
  </w:footnote>
  <w:footnote w:id="71">
    <w:p w:rsidR="00AB41D3" w:rsidRPr="004436CF" w:rsidRDefault="00AB41D3" w:rsidP="00AB41D3">
      <w:pPr>
        <w:pStyle w:val="Textodenotaderodap"/>
        <w:rPr>
          <w:rFonts w:ascii="Garamond" w:eastAsia="Times New Roman" w:hAnsi="Garamond" w:cs="Arial"/>
          <w:kern w:val="36"/>
          <w:sz w:val="17"/>
          <w:szCs w:val="17"/>
          <w:lang w:eastAsia="pt-PT"/>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xml:space="preserve">, p. 27: </w:t>
      </w:r>
      <w:r w:rsidRPr="004436CF">
        <w:rPr>
          <w:rFonts w:ascii="Garamond" w:eastAsia="Times New Roman" w:hAnsi="Garamond" w:cs="Arial"/>
          <w:kern w:val="36"/>
          <w:sz w:val="17"/>
          <w:szCs w:val="17"/>
          <w:lang w:eastAsia="pt-PT"/>
        </w:rPr>
        <w:t xml:space="preserve">Até </w:t>
      </w:r>
      <w:r w:rsidRPr="004436CF">
        <w:rPr>
          <w:rFonts w:ascii="Garamond" w:eastAsia="Times New Roman" w:hAnsi="Garamond" w:cs="Arial"/>
          <w:b/>
          <w:bCs/>
          <w:kern w:val="36"/>
          <w:sz w:val="17"/>
          <w:szCs w:val="17"/>
          <w:lang w:eastAsia="pt-PT"/>
        </w:rPr>
        <w:t>chegar</w:t>
      </w:r>
      <w:r w:rsidRPr="004436CF">
        <w:rPr>
          <w:rFonts w:ascii="Garamond" w:eastAsia="Times New Roman" w:hAnsi="Garamond" w:cs="Arial"/>
          <w:kern w:val="36"/>
          <w:sz w:val="17"/>
          <w:szCs w:val="17"/>
          <w:lang w:eastAsia="pt-PT"/>
        </w:rPr>
        <w:t xml:space="preserve"> o </w:t>
      </w:r>
      <w:r w:rsidRPr="004436CF">
        <w:rPr>
          <w:rFonts w:ascii="Garamond" w:eastAsia="Times New Roman" w:hAnsi="Garamond" w:cs="Arial"/>
          <w:b/>
          <w:bCs/>
          <w:kern w:val="36"/>
          <w:sz w:val="17"/>
          <w:szCs w:val="17"/>
          <w:lang w:eastAsia="pt-PT"/>
        </w:rPr>
        <w:t>dia</w:t>
      </w:r>
      <w:r w:rsidRPr="004436CF">
        <w:rPr>
          <w:rFonts w:ascii="Garamond" w:eastAsia="Times New Roman" w:hAnsi="Garamond" w:cs="Arial"/>
          <w:kern w:val="36"/>
          <w:sz w:val="17"/>
          <w:szCs w:val="17"/>
          <w:lang w:eastAsia="pt-PT"/>
        </w:rPr>
        <w:t xml:space="preserve"> | em que já </w:t>
      </w:r>
      <w:r w:rsidRPr="004436CF">
        <w:rPr>
          <w:rFonts w:ascii="Garamond" w:eastAsia="Times New Roman" w:hAnsi="Garamond" w:cs="Arial"/>
          <w:b/>
          <w:bCs/>
          <w:kern w:val="36"/>
          <w:sz w:val="17"/>
          <w:szCs w:val="17"/>
          <w:lang w:eastAsia="pt-PT"/>
        </w:rPr>
        <w:t>não</w:t>
      </w:r>
      <w:r w:rsidRPr="004436CF">
        <w:rPr>
          <w:rFonts w:ascii="Garamond" w:eastAsia="Times New Roman" w:hAnsi="Garamond" w:cs="Arial"/>
          <w:kern w:val="36"/>
          <w:sz w:val="17"/>
          <w:szCs w:val="17"/>
          <w:lang w:eastAsia="pt-PT"/>
        </w:rPr>
        <w:t xml:space="preserve"> nos é </w:t>
      </w:r>
      <w:r w:rsidRPr="004436CF">
        <w:rPr>
          <w:rFonts w:ascii="Garamond" w:eastAsia="Times New Roman" w:hAnsi="Garamond" w:cs="Arial"/>
          <w:b/>
          <w:bCs/>
          <w:kern w:val="36"/>
          <w:sz w:val="17"/>
          <w:szCs w:val="17"/>
          <w:lang w:eastAsia="pt-PT"/>
        </w:rPr>
        <w:t>mais</w:t>
      </w:r>
      <w:r w:rsidRPr="004436CF">
        <w:rPr>
          <w:rFonts w:ascii="Garamond" w:eastAsia="Times New Roman" w:hAnsi="Garamond" w:cs="Arial"/>
          <w:kern w:val="36"/>
          <w:sz w:val="17"/>
          <w:szCs w:val="17"/>
          <w:lang w:eastAsia="pt-PT"/>
        </w:rPr>
        <w:t xml:space="preserve"> </w:t>
      </w:r>
      <w:r w:rsidRPr="004436CF">
        <w:rPr>
          <w:rFonts w:ascii="Garamond" w:eastAsia="Times New Roman" w:hAnsi="Garamond" w:cs="Arial"/>
          <w:b/>
          <w:bCs/>
          <w:kern w:val="36"/>
          <w:sz w:val="17"/>
          <w:szCs w:val="17"/>
          <w:lang w:eastAsia="pt-PT"/>
        </w:rPr>
        <w:t>possível</w:t>
      </w:r>
      <w:r w:rsidRPr="004436CF">
        <w:rPr>
          <w:rFonts w:ascii="Garamond" w:eastAsia="Times New Roman" w:hAnsi="Garamond" w:cs="Arial"/>
          <w:kern w:val="36"/>
          <w:sz w:val="17"/>
          <w:szCs w:val="17"/>
          <w:lang w:eastAsia="pt-PT"/>
        </w:rPr>
        <w:t xml:space="preserve"> </w:t>
      </w:r>
      <w:r w:rsidRPr="004436CF">
        <w:rPr>
          <w:rFonts w:ascii="Garamond" w:eastAsia="Times New Roman" w:hAnsi="Garamond" w:cs="Arial"/>
          <w:b/>
          <w:bCs/>
          <w:kern w:val="36"/>
          <w:sz w:val="17"/>
          <w:szCs w:val="17"/>
          <w:lang w:eastAsia="pt-PT"/>
        </w:rPr>
        <w:t>optar</w:t>
      </w:r>
      <w:r w:rsidRPr="004436CF">
        <w:rPr>
          <w:rFonts w:ascii="Garamond" w:eastAsia="Times New Roman" w:hAnsi="Garamond" w:cs="Arial"/>
          <w:kern w:val="36"/>
          <w:sz w:val="17"/>
          <w:szCs w:val="17"/>
          <w:lang w:eastAsia="pt-PT"/>
        </w:rPr>
        <w:t xml:space="preserve">. | A </w:t>
      </w:r>
      <w:r w:rsidRPr="004436CF">
        <w:rPr>
          <w:rFonts w:ascii="Garamond" w:eastAsia="Times New Roman" w:hAnsi="Garamond" w:cs="Arial"/>
          <w:b/>
          <w:bCs/>
          <w:kern w:val="36"/>
          <w:sz w:val="17"/>
          <w:szCs w:val="17"/>
          <w:lang w:eastAsia="pt-PT"/>
        </w:rPr>
        <w:t xml:space="preserve">evidência interior </w:t>
      </w:r>
      <w:r w:rsidRPr="004436CF">
        <w:rPr>
          <w:rFonts w:ascii="Garamond" w:eastAsia="Times New Roman" w:hAnsi="Garamond" w:cs="Arial"/>
          <w:kern w:val="36"/>
          <w:sz w:val="17"/>
          <w:szCs w:val="17"/>
          <w:lang w:eastAsia="pt-PT"/>
        </w:rPr>
        <w:t xml:space="preserve">daquilo que está </w:t>
      </w:r>
      <w:r w:rsidRPr="004436CF">
        <w:rPr>
          <w:rFonts w:ascii="Garamond" w:eastAsia="Times New Roman" w:hAnsi="Garamond" w:cs="Arial"/>
          <w:b/>
          <w:bCs/>
          <w:kern w:val="36"/>
          <w:sz w:val="17"/>
          <w:szCs w:val="17"/>
          <w:lang w:eastAsia="pt-PT"/>
        </w:rPr>
        <w:t>certo</w:t>
      </w:r>
      <w:r w:rsidRPr="004436CF">
        <w:rPr>
          <w:rFonts w:ascii="Garamond" w:eastAsia="Times New Roman" w:hAnsi="Garamond" w:cs="Arial"/>
          <w:kern w:val="36"/>
          <w:sz w:val="17"/>
          <w:szCs w:val="17"/>
          <w:lang w:eastAsia="pt-PT"/>
        </w:rPr>
        <w:t xml:space="preserve">, | </w:t>
      </w:r>
      <w:r w:rsidRPr="004436CF">
        <w:rPr>
          <w:rFonts w:ascii="Garamond" w:eastAsia="Times New Roman" w:hAnsi="Garamond" w:cs="Arial"/>
          <w:b/>
          <w:bCs/>
          <w:kern w:val="36"/>
          <w:sz w:val="17"/>
          <w:szCs w:val="17"/>
          <w:lang w:eastAsia="pt-PT"/>
        </w:rPr>
        <w:t xml:space="preserve">obriga-nos </w:t>
      </w:r>
      <w:r w:rsidRPr="004436CF">
        <w:rPr>
          <w:rFonts w:ascii="Garamond" w:eastAsia="Times New Roman" w:hAnsi="Garamond" w:cs="Arial"/>
          <w:kern w:val="36"/>
          <w:sz w:val="17"/>
          <w:szCs w:val="17"/>
          <w:lang w:eastAsia="pt-PT"/>
        </w:rPr>
        <w:t xml:space="preserve">a </w:t>
      </w:r>
      <w:r w:rsidRPr="004436CF">
        <w:rPr>
          <w:rFonts w:ascii="Garamond" w:eastAsia="Times New Roman" w:hAnsi="Garamond" w:cs="Arial"/>
          <w:b/>
          <w:bCs/>
          <w:kern w:val="36"/>
          <w:sz w:val="17"/>
          <w:szCs w:val="17"/>
          <w:lang w:eastAsia="pt-PT"/>
        </w:rPr>
        <w:t>seguir</w:t>
      </w:r>
      <w:r w:rsidRPr="004436CF">
        <w:rPr>
          <w:rFonts w:ascii="Garamond" w:eastAsia="Times New Roman" w:hAnsi="Garamond" w:cs="Arial"/>
          <w:kern w:val="36"/>
          <w:sz w:val="17"/>
          <w:szCs w:val="17"/>
          <w:lang w:eastAsia="pt-PT"/>
        </w:rPr>
        <w:t xml:space="preserve"> por </w:t>
      </w:r>
      <w:r w:rsidRPr="004436CF">
        <w:rPr>
          <w:rFonts w:ascii="Garamond" w:eastAsia="Times New Roman" w:hAnsi="Garamond" w:cs="Arial"/>
          <w:b/>
          <w:bCs/>
          <w:kern w:val="36"/>
          <w:sz w:val="17"/>
          <w:szCs w:val="17"/>
          <w:lang w:eastAsia="pt-PT"/>
        </w:rPr>
        <w:t>aí</w:t>
      </w:r>
      <w:r w:rsidRPr="004436CF">
        <w:rPr>
          <w:rFonts w:ascii="Garamond" w:eastAsia="Times New Roman" w:hAnsi="Garamond" w:cs="Arial"/>
          <w:kern w:val="36"/>
          <w:sz w:val="17"/>
          <w:szCs w:val="17"/>
          <w:lang w:eastAsia="pt-PT"/>
        </w:rPr>
        <w:t xml:space="preserve">. | Nesta </w:t>
      </w:r>
      <w:r w:rsidRPr="004436CF">
        <w:rPr>
          <w:rFonts w:ascii="Garamond" w:eastAsia="Times New Roman" w:hAnsi="Garamond" w:cs="Arial"/>
          <w:b/>
          <w:bCs/>
          <w:kern w:val="36"/>
          <w:sz w:val="17"/>
          <w:szCs w:val="17"/>
          <w:lang w:eastAsia="pt-PT"/>
        </w:rPr>
        <w:t>etapa</w:t>
      </w:r>
      <w:r w:rsidRPr="004436CF">
        <w:rPr>
          <w:rFonts w:ascii="Garamond" w:eastAsia="Times New Roman" w:hAnsi="Garamond" w:cs="Arial"/>
          <w:kern w:val="36"/>
          <w:sz w:val="17"/>
          <w:szCs w:val="17"/>
          <w:lang w:eastAsia="pt-PT"/>
        </w:rPr>
        <w:t xml:space="preserve"> pode </w:t>
      </w:r>
      <w:r w:rsidRPr="004436CF">
        <w:rPr>
          <w:rFonts w:ascii="Garamond" w:eastAsia="Times New Roman" w:hAnsi="Garamond" w:cs="Arial"/>
          <w:b/>
          <w:bCs/>
          <w:kern w:val="36"/>
          <w:sz w:val="17"/>
          <w:szCs w:val="17"/>
          <w:lang w:eastAsia="pt-PT"/>
        </w:rPr>
        <w:t>dizer-se</w:t>
      </w:r>
      <w:r w:rsidRPr="004436CF">
        <w:rPr>
          <w:rFonts w:ascii="Garamond" w:eastAsia="Times New Roman" w:hAnsi="Garamond" w:cs="Arial"/>
          <w:kern w:val="36"/>
          <w:sz w:val="17"/>
          <w:szCs w:val="17"/>
          <w:lang w:eastAsia="pt-PT"/>
        </w:rPr>
        <w:t xml:space="preserve"> | que o </w:t>
      </w:r>
      <w:r w:rsidRPr="004436CF">
        <w:rPr>
          <w:rFonts w:ascii="Garamond" w:eastAsia="Times New Roman" w:hAnsi="Garamond" w:cs="Arial"/>
          <w:b/>
          <w:bCs/>
          <w:kern w:val="36"/>
          <w:sz w:val="17"/>
          <w:szCs w:val="17"/>
          <w:lang w:eastAsia="pt-PT"/>
        </w:rPr>
        <w:t>livre arbítrio</w:t>
      </w:r>
      <w:r w:rsidRPr="004436CF">
        <w:rPr>
          <w:rFonts w:ascii="Garamond" w:eastAsia="Times New Roman" w:hAnsi="Garamond" w:cs="Arial"/>
          <w:kern w:val="36"/>
          <w:sz w:val="17"/>
          <w:szCs w:val="17"/>
          <w:lang w:eastAsia="pt-PT"/>
        </w:rPr>
        <w:t xml:space="preserve"> já não </w:t>
      </w:r>
      <w:r w:rsidRPr="004436CF">
        <w:rPr>
          <w:rFonts w:ascii="Garamond" w:eastAsia="Times New Roman" w:hAnsi="Garamond" w:cs="Arial"/>
          <w:b/>
          <w:bCs/>
          <w:kern w:val="36"/>
          <w:sz w:val="17"/>
          <w:szCs w:val="17"/>
          <w:lang w:eastAsia="pt-PT"/>
        </w:rPr>
        <w:t>existe</w:t>
      </w:r>
      <w:r w:rsidRPr="004436CF">
        <w:rPr>
          <w:rFonts w:ascii="Garamond" w:eastAsia="Times New Roman" w:hAnsi="Garamond" w:cs="Arial"/>
          <w:kern w:val="36"/>
          <w:sz w:val="17"/>
          <w:szCs w:val="17"/>
          <w:lang w:eastAsia="pt-PT"/>
        </w:rPr>
        <w:t>.</w:t>
      </w:r>
    </w:p>
  </w:footnote>
  <w:footnote w:id="72">
    <w:p w:rsidR="00AB41D3" w:rsidRPr="004436CF" w:rsidRDefault="00AB41D3" w:rsidP="00AB41D3">
      <w:pPr>
        <w:pStyle w:val="Textodenotaderodap"/>
        <w:rPr>
          <w:rFonts w:ascii="Garamond" w:hAnsi="Garamond"/>
          <w:sz w:val="17"/>
          <w:szCs w:val="17"/>
        </w:rPr>
      </w:pPr>
      <w:r w:rsidRPr="004436CF">
        <w:rPr>
          <w:rStyle w:val="Refdenotaderodap"/>
          <w:rFonts w:ascii="Garamond" w:hAnsi="Garamond"/>
          <w:sz w:val="17"/>
          <w:szCs w:val="17"/>
        </w:rPr>
        <w:footnoteRef/>
      </w:r>
      <w:r w:rsidRPr="004436CF">
        <w:rPr>
          <w:rFonts w:ascii="Garamond" w:hAnsi="Garamond"/>
          <w:sz w:val="17"/>
          <w:szCs w:val="17"/>
        </w:rPr>
        <w:t xml:space="preserve"> Monsaraz, </w:t>
      </w:r>
      <w:r w:rsidRPr="004436CF">
        <w:rPr>
          <w:rFonts w:ascii="Garamond" w:hAnsi="Garamond"/>
          <w:i/>
          <w:iCs/>
          <w:sz w:val="17"/>
          <w:szCs w:val="17"/>
        </w:rPr>
        <w:t>11 entrevistas</w:t>
      </w:r>
      <w:r w:rsidRPr="004436CF">
        <w:rPr>
          <w:rFonts w:ascii="Garamond" w:hAnsi="Garamond"/>
          <w:sz w:val="17"/>
          <w:szCs w:val="17"/>
        </w:rPr>
        <w:t xml:space="preserve">, p. 28: </w:t>
      </w:r>
      <w:r w:rsidRPr="004436CF">
        <w:rPr>
          <w:rFonts w:ascii="Garamond" w:eastAsia="Times New Roman" w:hAnsi="Garamond" w:cs="Arial"/>
          <w:kern w:val="36"/>
          <w:sz w:val="17"/>
          <w:szCs w:val="17"/>
          <w:lang w:eastAsia="pt-PT"/>
        </w:rPr>
        <w:t xml:space="preserve">O que </w:t>
      </w:r>
      <w:r w:rsidRPr="004436CF">
        <w:rPr>
          <w:rFonts w:ascii="Garamond" w:eastAsia="Times New Roman" w:hAnsi="Garamond" w:cs="Arial"/>
          <w:b/>
          <w:bCs/>
          <w:kern w:val="36"/>
          <w:sz w:val="17"/>
          <w:szCs w:val="17"/>
          <w:lang w:eastAsia="pt-PT"/>
        </w:rPr>
        <w:t>existe</w:t>
      </w:r>
      <w:r w:rsidRPr="004436CF">
        <w:rPr>
          <w:rFonts w:ascii="Garamond" w:eastAsia="Times New Roman" w:hAnsi="Garamond" w:cs="Arial"/>
          <w:kern w:val="36"/>
          <w:sz w:val="17"/>
          <w:szCs w:val="17"/>
          <w:lang w:eastAsia="pt-PT"/>
        </w:rPr>
        <w:t xml:space="preserve"> é uma </w:t>
      </w:r>
      <w:r w:rsidRPr="004436CF">
        <w:rPr>
          <w:rFonts w:ascii="Garamond" w:eastAsia="Times New Roman" w:hAnsi="Garamond" w:cs="Arial"/>
          <w:b/>
          <w:bCs/>
          <w:kern w:val="36"/>
          <w:sz w:val="17"/>
          <w:szCs w:val="17"/>
          <w:lang w:eastAsia="pt-PT"/>
        </w:rPr>
        <w:t>adesão</w:t>
      </w:r>
      <w:r w:rsidRPr="004436CF">
        <w:rPr>
          <w:rFonts w:ascii="Garamond" w:eastAsia="Times New Roman" w:hAnsi="Garamond" w:cs="Arial"/>
          <w:kern w:val="36"/>
          <w:sz w:val="17"/>
          <w:szCs w:val="17"/>
          <w:lang w:eastAsia="pt-PT"/>
        </w:rPr>
        <w:t xml:space="preserve"> | e uma </w:t>
      </w:r>
      <w:r w:rsidRPr="004436CF">
        <w:rPr>
          <w:rFonts w:ascii="Garamond" w:eastAsia="Times New Roman" w:hAnsi="Garamond" w:cs="Arial"/>
          <w:b/>
          <w:bCs/>
          <w:kern w:val="36"/>
          <w:sz w:val="17"/>
          <w:szCs w:val="17"/>
          <w:lang w:eastAsia="pt-PT"/>
        </w:rPr>
        <w:t>sujeição voluntária</w:t>
      </w:r>
      <w:r w:rsidRPr="004436CF">
        <w:rPr>
          <w:rFonts w:ascii="Garamond" w:eastAsia="Times New Roman" w:hAnsi="Garamond" w:cs="Arial"/>
          <w:kern w:val="36"/>
          <w:sz w:val="17"/>
          <w:szCs w:val="17"/>
          <w:lang w:eastAsia="pt-PT"/>
        </w:rPr>
        <w:t xml:space="preserve"> | à </w:t>
      </w:r>
      <w:r w:rsidRPr="004436CF">
        <w:rPr>
          <w:rFonts w:ascii="Garamond" w:eastAsia="Times New Roman" w:hAnsi="Garamond" w:cs="Arial"/>
          <w:b/>
          <w:bCs/>
          <w:kern w:val="36"/>
          <w:sz w:val="17"/>
          <w:szCs w:val="17"/>
          <w:lang w:eastAsia="pt-PT"/>
        </w:rPr>
        <w:t>Ordem</w:t>
      </w:r>
      <w:r w:rsidRPr="004436CF">
        <w:rPr>
          <w:rFonts w:ascii="Garamond" w:eastAsia="Times New Roman" w:hAnsi="Garamond" w:cs="Arial"/>
          <w:kern w:val="36"/>
          <w:sz w:val="17"/>
          <w:szCs w:val="17"/>
          <w:lang w:eastAsia="pt-PT"/>
        </w:rPr>
        <w:t xml:space="preserve"> do </w:t>
      </w:r>
      <w:r w:rsidRPr="004436CF">
        <w:rPr>
          <w:rFonts w:ascii="Garamond" w:eastAsia="Times New Roman" w:hAnsi="Garamond" w:cs="Arial"/>
          <w:b/>
          <w:bCs/>
          <w:kern w:val="36"/>
          <w:sz w:val="17"/>
          <w:szCs w:val="17"/>
          <w:lang w:eastAsia="pt-PT"/>
        </w:rPr>
        <w:t>Universo</w:t>
      </w:r>
      <w:r w:rsidRPr="004436CF">
        <w:rPr>
          <w:rFonts w:ascii="Garamond" w:eastAsia="Times New Roman" w:hAnsi="Garamond" w:cs="Arial"/>
          <w:kern w:val="36"/>
          <w:sz w:val="17"/>
          <w:szCs w:val="17"/>
          <w:lang w:eastAsia="pt-PT"/>
        </w:rPr>
        <w:t xml:space="preserve">. | </w:t>
      </w:r>
      <w:r w:rsidRPr="004436CF">
        <w:rPr>
          <w:rFonts w:ascii="Garamond" w:eastAsia="Times New Roman" w:hAnsi="Garamond" w:cs="Arial"/>
          <w:b/>
          <w:bCs/>
          <w:kern w:val="36"/>
          <w:sz w:val="17"/>
          <w:szCs w:val="17"/>
          <w:lang w:eastAsia="pt-PT"/>
        </w:rPr>
        <w:t>Até</w:t>
      </w:r>
      <w:r w:rsidRPr="004436CF">
        <w:rPr>
          <w:rFonts w:ascii="Garamond" w:eastAsia="Times New Roman" w:hAnsi="Garamond" w:cs="Arial"/>
          <w:kern w:val="36"/>
          <w:sz w:val="17"/>
          <w:szCs w:val="17"/>
          <w:lang w:eastAsia="pt-PT"/>
        </w:rPr>
        <w:t xml:space="preserve"> lá, até essa </w:t>
      </w:r>
      <w:r w:rsidRPr="004436CF">
        <w:rPr>
          <w:rFonts w:ascii="Garamond" w:eastAsia="Times New Roman" w:hAnsi="Garamond" w:cs="Arial"/>
          <w:b/>
          <w:bCs/>
          <w:kern w:val="36"/>
          <w:sz w:val="17"/>
          <w:szCs w:val="17"/>
          <w:lang w:eastAsia="pt-PT"/>
        </w:rPr>
        <w:t>íntima</w:t>
      </w:r>
      <w:r w:rsidRPr="004436CF">
        <w:rPr>
          <w:rFonts w:ascii="Garamond" w:eastAsia="Times New Roman" w:hAnsi="Garamond" w:cs="Arial"/>
          <w:kern w:val="36"/>
          <w:sz w:val="17"/>
          <w:szCs w:val="17"/>
          <w:lang w:eastAsia="pt-PT"/>
        </w:rPr>
        <w:t xml:space="preserve"> Consciência de </w:t>
      </w:r>
      <w:r w:rsidRPr="004436CF">
        <w:rPr>
          <w:rFonts w:ascii="Garamond" w:eastAsia="Times New Roman" w:hAnsi="Garamond" w:cs="Arial"/>
          <w:b/>
          <w:bCs/>
          <w:kern w:val="36"/>
          <w:sz w:val="17"/>
          <w:szCs w:val="17"/>
          <w:lang w:eastAsia="pt-PT"/>
        </w:rPr>
        <w:t>entrega</w:t>
      </w:r>
      <w:r w:rsidRPr="004436CF">
        <w:rPr>
          <w:rFonts w:ascii="Garamond" w:eastAsia="Times New Roman" w:hAnsi="Garamond" w:cs="Arial"/>
          <w:kern w:val="36"/>
          <w:sz w:val="17"/>
          <w:szCs w:val="17"/>
          <w:lang w:eastAsia="pt-PT"/>
        </w:rPr>
        <w:t xml:space="preserve"> à </w:t>
      </w:r>
      <w:r w:rsidRPr="004436CF">
        <w:rPr>
          <w:rFonts w:ascii="Garamond" w:eastAsia="Times New Roman" w:hAnsi="Garamond" w:cs="Arial"/>
          <w:b/>
          <w:bCs/>
          <w:kern w:val="36"/>
          <w:sz w:val="17"/>
          <w:szCs w:val="17"/>
          <w:lang w:eastAsia="pt-PT"/>
        </w:rPr>
        <w:t>Vida</w:t>
      </w:r>
      <w:r w:rsidRPr="004436CF">
        <w:rPr>
          <w:rFonts w:ascii="Garamond" w:eastAsia="Times New Roman" w:hAnsi="Garamond" w:cs="Arial"/>
          <w:kern w:val="36"/>
          <w:sz w:val="17"/>
          <w:szCs w:val="17"/>
          <w:lang w:eastAsia="pt-PT"/>
        </w:rPr>
        <w:t xml:space="preserve">, | o </w:t>
      </w:r>
      <w:r w:rsidRPr="004436CF">
        <w:rPr>
          <w:rFonts w:ascii="Garamond" w:eastAsia="Times New Roman" w:hAnsi="Garamond" w:cs="Arial"/>
          <w:b/>
          <w:bCs/>
          <w:kern w:val="36"/>
          <w:sz w:val="17"/>
          <w:szCs w:val="17"/>
          <w:lang w:eastAsia="pt-PT"/>
        </w:rPr>
        <w:t>livre-arbítrio</w:t>
      </w:r>
      <w:r w:rsidRPr="004436CF">
        <w:rPr>
          <w:rFonts w:ascii="Garamond" w:eastAsia="Times New Roman" w:hAnsi="Garamond" w:cs="Arial"/>
          <w:kern w:val="36"/>
          <w:sz w:val="17"/>
          <w:szCs w:val="17"/>
          <w:lang w:eastAsia="pt-PT"/>
        </w:rPr>
        <w:t xml:space="preserve"> existe </w:t>
      </w:r>
      <w:r w:rsidRPr="004436CF">
        <w:rPr>
          <w:rFonts w:ascii="Garamond" w:eastAsia="Times New Roman" w:hAnsi="Garamond" w:cs="Arial"/>
          <w:b/>
          <w:bCs/>
          <w:kern w:val="36"/>
          <w:sz w:val="17"/>
          <w:szCs w:val="17"/>
          <w:lang w:eastAsia="pt-PT"/>
        </w:rPr>
        <w:t>relativamente</w:t>
      </w:r>
      <w:r w:rsidRPr="004436CF">
        <w:rPr>
          <w:rFonts w:ascii="Garamond" w:eastAsia="Times New Roman" w:hAnsi="Garamond" w:cs="Arial"/>
          <w:kern w:val="36"/>
          <w:sz w:val="17"/>
          <w:szCs w:val="17"/>
          <w:lang w:eastAsia="pt-PT"/>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6B5"/>
    <w:rsid w:val="00001C3B"/>
    <w:rsid w:val="00013545"/>
    <w:rsid w:val="00022345"/>
    <w:rsid w:val="00026363"/>
    <w:rsid w:val="000275E2"/>
    <w:rsid w:val="00043549"/>
    <w:rsid w:val="00046A16"/>
    <w:rsid w:val="00047074"/>
    <w:rsid w:val="000536B5"/>
    <w:rsid w:val="00076A0B"/>
    <w:rsid w:val="000854DF"/>
    <w:rsid w:val="000A6D49"/>
    <w:rsid w:val="000E3682"/>
    <w:rsid w:val="000E3751"/>
    <w:rsid w:val="000E6A3A"/>
    <w:rsid w:val="000F1DE6"/>
    <w:rsid w:val="0010199D"/>
    <w:rsid w:val="001070F2"/>
    <w:rsid w:val="00111283"/>
    <w:rsid w:val="0011161A"/>
    <w:rsid w:val="00165047"/>
    <w:rsid w:val="00172497"/>
    <w:rsid w:val="001C0B52"/>
    <w:rsid w:val="001C4B2D"/>
    <w:rsid w:val="001E0E06"/>
    <w:rsid w:val="001F3B8F"/>
    <w:rsid w:val="001F4CE1"/>
    <w:rsid w:val="002132DC"/>
    <w:rsid w:val="00216211"/>
    <w:rsid w:val="00222984"/>
    <w:rsid w:val="0022446F"/>
    <w:rsid w:val="00224B95"/>
    <w:rsid w:val="00230F35"/>
    <w:rsid w:val="0025530E"/>
    <w:rsid w:val="002715FA"/>
    <w:rsid w:val="00276002"/>
    <w:rsid w:val="00277421"/>
    <w:rsid w:val="00290783"/>
    <w:rsid w:val="002A4954"/>
    <w:rsid w:val="002C1630"/>
    <w:rsid w:val="002C22E4"/>
    <w:rsid w:val="002C34DE"/>
    <w:rsid w:val="002C55E9"/>
    <w:rsid w:val="002D21E1"/>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0A76"/>
    <w:rsid w:val="00531109"/>
    <w:rsid w:val="00537B4C"/>
    <w:rsid w:val="005429EF"/>
    <w:rsid w:val="005627D4"/>
    <w:rsid w:val="0058726A"/>
    <w:rsid w:val="00590E9A"/>
    <w:rsid w:val="005942E9"/>
    <w:rsid w:val="005C6560"/>
    <w:rsid w:val="00610318"/>
    <w:rsid w:val="00632937"/>
    <w:rsid w:val="006367FD"/>
    <w:rsid w:val="0064350C"/>
    <w:rsid w:val="0065654E"/>
    <w:rsid w:val="00662A40"/>
    <w:rsid w:val="00665C65"/>
    <w:rsid w:val="006805EC"/>
    <w:rsid w:val="00691819"/>
    <w:rsid w:val="00693C4D"/>
    <w:rsid w:val="006A205D"/>
    <w:rsid w:val="006A65E9"/>
    <w:rsid w:val="006C0A3A"/>
    <w:rsid w:val="006C5E96"/>
    <w:rsid w:val="006D5C6B"/>
    <w:rsid w:val="006E4F24"/>
    <w:rsid w:val="00730908"/>
    <w:rsid w:val="00751BE2"/>
    <w:rsid w:val="00762134"/>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63F84"/>
    <w:rsid w:val="00864E6A"/>
    <w:rsid w:val="0089447F"/>
    <w:rsid w:val="008A4DCC"/>
    <w:rsid w:val="008B3A97"/>
    <w:rsid w:val="008D03F0"/>
    <w:rsid w:val="008D674F"/>
    <w:rsid w:val="008E38EF"/>
    <w:rsid w:val="008E525C"/>
    <w:rsid w:val="00901157"/>
    <w:rsid w:val="00914769"/>
    <w:rsid w:val="00963B31"/>
    <w:rsid w:val="00973B44"/>
    <w:rsid w:val="00975FCD"/>
    <w:rsid w:val="009801D3"/>
    <w:rsid w:val="009A3D0A"/>
    <w:rsid w:val="009A7E8F"/>
    <w:rsid w:val="009B2D10"/>
    <w:rsid w:val="009C01A3"/>
    <w:rsid w:val="009C1A08"/>
    <w:rsid w:val="009C396A"/>
    <w:rsid w:val="009C69F3"/>
    <w:rsid w:val="009F2623"/>
    <w:rsid w:val="00A02C62"/>
    <w:rsid w:val="00A06B94"/>
    <w:rsid w:val="00A2073F"/>
    <w:rsid w:val="00A303FE"/>
    <w:rsid w:val="00A41032"/>
    <w:rsid w:val="00A41AF9"/>
    <w:rsid w:val="00A507E4"/>
    <w:rsid w:val="00A62E68"/>
    <w:rsid w:val="00A745B6"/>
    <w:rsid w:val="00A972E4"/>
    <w:rsid w:val="00A9744A"/>
    <w:rsid w:val="00AA2470"/>
    <w:rsid w:val="00AB41D3"/>
    <w:rsid w:val="00AC36E3"/>
    <w:rsid w:val="00AC6213"/>
    <w:rsid w:val="00AD5D5A"/>
    <w:rsid w:val="00AE1DB0"/>
    <w:rsid w:val="00AE3217"/>
    <w:rsid w:val="00B11E29"/>
    <w:rsid w:val="00B34964"/>
    <w:rsid w:val="00B36F4A"/>
    <w:rsid w:val="00B42501"/>
    <w:rsid w:val="00B45FEF"/>
    <w:rsid w:val="00B462B1"/>
    <w:rsid w:val="00B56E7B"/>
    <w:rsid w:val="00B72F46"/>
    <w:rsid w:val="00B81E5D"/>
    <w:rsid w:val="00B8603E"/>
    <w:rsid w:val="00B96983"/>
    <w:rsid w:val="00B9724B"/>
    <w:rsid w:val="00BC17F1"/>
    <w:rsid w:val="00BE7B7A"/>
    <w:rsid w:val="00BF22DC"/>
    <w:rsid w:val="00BF29A8"/>
    <w:rsid w:val="00BF3D29"/>
    <w:rsid w:val="00BF6291"/>
    <w:rsid w:val="00C129C7"/>
    <w:rsid w:val="00C22A88"/>
    <w:rsid w:val="00C65E7F"/>
    <w:rsid w:val="00C90302"/>
    <w:rsid w:val="00C93CD4"/>
    <w:rsid w:val="00CB5E37"/>
    <w:rsid w:val="00CC0D35"/>
    <w:rsid w:val="00CC52A3"/>
    <w:rsid w:val="00CE3B79"/>
    <w:rsid w:val="00D00BDC"/>
    <w:rsid w:val="00D0754F"/>
    <w:rsid w:val="00D328AB"/>
    <w:rsid w:val="00D429CC"/>
    <w:rsid w:val="00D459DC"/>
    <w:rsid w:val="00D5466C"/>
    <w:rsid w:val="00D56EFA"/>
    <w:rsid w:val="00D67BF8"/>
    <w:rsid w:val="00DA3217"/>
    <w:rsid w:val="00DA3E0F"/>
    <w:rsid w:val="00DB185F"/>
    <w:rsid w:val="00DB43BB"/>
    <w:rsid w:val="00DD363B"/>
    <w:rsid w:val="00DE54B1"/>
    <w:rsid w:val="00DF01BE"/>
    <w:rsid w:val="00E14D2E"/>
    <w:rsid w:val="00E3766D"/>
    <w:rsid w:val="00E502BA"/>
    <w:rsid w:val="00E57529"/>
    <w:rsid w:val="00E67719"/>
    <w:rsid w:val="00E84F5D"/>
    <w:rsid w:val="00EC7546"/>
    <w:rsid w:val="00EE66C1"/>
    <w:rsid w:val="00EF3668"/>
    <w:rsid w:val="00F1661E"/>
    <w:rsid w:val="00F2453C"/>
    <w:rsid w:val="00F346BE"/>
    <w:rsid w:val="00F73533"/>
    <w:rsid w:val="00F75EB5"/>
    <w:rsid w:val="00FA07E9"/>
    <w:rsid w:val="00FA2A4C"/>
    <w:rsid w:val="00FC14C8"/>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B24FBBE"/>
  <w15:chartTrackingRefBased/>
  <w15:docId w15:val="{3A075CDC-7AE9-45E2-A277-4059EBD65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pt-PT" w:eastAsia="pt-PT"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Ttulo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Ttulo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Ttulo3">
    <w:name w:val="heading 3"/>
    <w:basedOn w:val="Normal"/>
    <w:qFormat/>
    <w:rsid w:val="00DB185F"/>
    <w:pPr>
      <w:keepNext/>
      <w:ind w:left="720"/>
      <w:jc w:val="both"/>
      <w:outlineLvl w:val="2"/>
    </w:pPr>
    <w:rPr>
      <w:rFonts w:ascii="Tahoma" w:hAnsi="Tahoma" w:cs="Tahoma"/>
      <w:b/>
      <w:bCs/>
      <w:sz w:val="20"/>
      <w:szCs w:val="20"/>
    </w:rPr>
  </w:style>
  <w:style w:type="character" w:default="1" w:styleId="Tipodeletrapredefinidodopargrafo">
    <w:name w:val="Default Paragraph Font"/>
    <w:semiHidden/>
  </w:style>
  <w:style w:type="table" w:default="1" w:styleId="Tabelanormal">
    <w:name w:val="Normal Table"/>
    <w:semiHidden/>
    <w:tblPr>
      <w:tblInd w:w="0" w:type="dxa"/>
      <w:tblCellMar>
        <w:top w:w="0" w:type="dxa"/>
        <w:left w:w="108" w:type="dxa"/>
        <w:bottom w:w="0" w:type="dxa"/>
        <w:right w:w="108" w:type="dxa"/>
      </w:tblCellMar>
    </w:tblPr>
  </w:style>
  <w:style w:type="numbering" w:default="1" w:styleId="Semlista">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Refdecomentrio">
    <w:name w:val="annotation reference"/>
    <w:rsid w:val="00840B95"/>
    <w:rPr>
      <w:sz w:val="16"/>
      <w:szCs w:val="16"/>
    </w:rPr>
  </w:style>
  <w:style w:type="paragraph" w:styleId="Textodecomentrio">
    <w:name w:val="annotation text"/>
    <w:basedOn w:val="Normal"/>
    <w:link w:val="TextodecomentrioCarter"/>
    <w:rsid w:val="00840B95"/>
    <w:rPr>
      <w:sz w:val="20"/>
      <w:szCs w:val="20"/>
      <w:lang w:val="x-none"/>
    </w:rPr>
  </w:style>
  <w:style w:type="character" w:customStyle="1" w:styleId="TextodecomentrioCarter">
    <w:name w:val="Texto de comentário Caráter"/>
    <w:link w:val="Textodecomentrio"/>
    <w:rsid w:val="00840B95"/>
    <w:rPr>
      <w:lang w:eastAsia="zh-CN"/>
    </w:rPr>
  </w:style>
  <w:style w:type="paragraph" w:styleId="Assuntodecomentrio">
    <w:name w:val="annotation subject"/>
    <w:basedOn w:val="Textodecomentrio"/>
    <w:next w:val="Textodecomentrio"/>
    <w:link w:val="AssuntodecomentrioCarter"/>
    <w:rsid w:val="00840B95"/>
    <w:rPr>
      <w:b/>
      <w:bCs/>
    </w:rPr>
  </w:style>
  <w:style w:type="character" w:customStyle="1" w:styleId="AssuntodecomentrioCarter">
    <w:name w:val="Assunto de comentário Caráter"/>
    <w:link w:val="Assuntodecomentrio"/>
    <w:rsid w:val="00840B95"/>
    <w:rPr>
      <w:b/>
      <w:bCs/>
      <w:lang w:eastAsia="zh-CN"/>
    </w:rPr>
  </w:style>
  <w:style w:type="paragraph" w:styleId="Textodebalo">
    <w:name w:val="Balloon Text"/>
    <w:basedOn w:val="Normal"/>
    <w:link w:val="TextodebaloCarter"/>
    <w:rsid w:val="00840B95"/>
    <w:rPr>
      <w:rFonts w:ascii="Tahoma" w:hAnsi="Tahoma"/>
      <w:sz w:val="16"/>
      <w:szCs w:val="16"/>
      <w:lang w:val="x-none"/>
    </w:rPr>
  </w:style>
  <w:style w:type="character" w:customStyle="1" w:styleId="TextodebaloCarter">
    <w:name w:val="Texto de balão Caráter"/>
    <w:link w:val="Textodebalo"/>
    <w:rsid w:val="00840B95"/>
    <w:rPr>
      <w:rFonts w:ascii="Tahoma" w:hAnsi="Tahoma" w:cs="Tahoma"/>
      <w:sz w:val="16"/>
      <w:szCs w:val="16"/>
      <w:lang w:eastAsia="zh-CN"/>
    </w:rPr>
  </w:style>
  <w:style w:type="paragraph" w:styleId="Cabealho">
    <w:name w:val="header"/>
    <w:basedOn w:val="Normal"/>
    <w:link w:val="CabealhoCarte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CabealhoCarter">
    <w:name w:val="Cabeçalho Caráter"/>
    <w:link w:val="Cabealho"/>
    <w:uiPriority w:val="99"/>
    <w:rsid w:val="008A4DCC"/>
    <w:rPr>
      <w:rFonts w:ascii="Trebuchet MS" w:eastAsia="Calibri" w:hAnsi="Trebuchet MS" w:cs="Tahoma"/>
      <w:sz w:val="22"/>
      <w:lang w:eastAsia="en-US"/>
    </w:rPr>
  </w:style>
  <w:style w:type="paragraph" w:styleId="Rodap">
    <w:name w:val="footer"/>
    <w:basedOn w:val="Normal"/>
    <w:link w:val="RodapCarter"/>
    <w:uiPriority w:val="99"/>
    <w:rsid w:val="00AD5D5A"/>
    <w:pPr>
      <w:tabs>
        <w:tab w:val="center" w:pos="4513"/>
        <w:tab w:val="right" w:pos="9026"/>
      </w:tabs>
    </w:pPr>
    <w:rPr>
      <w:lang w:val="x-none"/>
    </w:rPr>
  </w:style>
  <w:style w:type="character" w:customStyle="1" w:styleId="RodapCarter">
    <w:name w:val="Rodapé Caráter"/>
    <w:link w:val="Rodap"/>
    <w:uiPriority w:val="99"/>
    <w:rsid w:val="00AD5D5A"/>
    <w:rPr>
      <w:sz w:val="24"/>
      <w:szCs w:val="24"/>
      <w:lang w:eastAsia="zh-CN"/>
    </w:rPr>
  </w:style>
  <w:style w:type="table" w:styleId="TabelacomGrelha">
    <w:name w:val="Table Grid"/>
    <w:basedOn w:val="Tabela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ntstyle01">
    <w:name w:val="fontstyle01"/>
    <w:basedOn w:val="Tipodeletrapredefinidodopargrafo"/>
    <w:rsid w:val="00AB41D3"/>
    <w:rPr>
      <w:rFonts w:ascii="Helvetica" w:hAnsi="Helvetica" w:cs="Helvetica" w:hint="default"/>
      <w:b w:val="0"/>
      <w:bCs w:val="0"/>
      <w:i w:val="0"/>
      <w:iCs w:val="0"/>
      <w:color w:val="000000"/>
      <w:sz w:val="22"/>
      <w:szCs w:val="22"/>
    </w:rPr>
  </w:style>
  <w:style w:type="character" w:customStyle="1" w:styleId="fontstyle21">
    <w:name w:val="fontstyle21"/>
    <w:basedOn w:val="Tipodeletrapredefinidodopargrafo"/>
    <w:rsid w:val="00AB41D3"/>
    <w:rPr>
      <w:rFonts w:ascii="Helvetica" w:hAnsi="Helvetica" w:hint="default"/>
      <w:b w:val="0"/>
      <w:bCs w:val="0"/>
      <w:i w:val="0"/>
      <w:iCs w:val="0"/>
      <w:color w:val="000000"/>
      <w:sz w:val="24"/>
      <w:szCs w:val="24"/>
    </w:rPr>
  </w:style>
  <w:style w:type="character" w:styleId="Hiperligao">
    <w:name w:val="Hyperlink"/>
    <w:basedOn w:val="Tipodeletrapredefinidodopargrafo"/>
    <w:uiPriority w:val="99"/>
    <w:unhideWhenUsed/>
    <w:rsid w:val="00AB41D3"/>
    <w:rPr>
      <w:color w:val="0000FF"/>
      <w:u w:val="single"/>
    </w:rPr>
  </w:style>
  <w:style w:type="paragraph" w:styleId="Textodenotaderodap">
    <w:name w:val="footnote text"/>
    <w:basedOn w:val="Normal"/>
    <w:link w:val="TextodenotaderodapCarter"/>
    <w:uiPriority w:val="99"/>
    <w:unhideWhenUsed/>
    <w:rsid w:val="00AB41D3"/>
    <w:rPr>
      <w:rFonts w:asciiTheme="minorHAnsi" w:eastAsiaTheme="minorHAnsi" w:hAnsiTheme="minorHAnsi" w:cstheme="minorBidi"/>
      <w:sz w:val="20"/>
      <w:szCs w:val="20"/>
      <w:lang w:val="pt-PT" w:eastAsia="en-US"/>
    </w:rPr>
  </w:style>
  <w:style w:type="character" w:customStyle="1" w:styleId="TextodenotaderodapCarter">
    <w:name w:val="Texto de nota de rodapé Caráter"/>
    <w:basedOn w:val="Tipodeletrapredefinidodopargrafo"/>
    <w:link w:val="Textodenotaderodap"/>
    <w:uiPriority w:val="99"/>
    <w:rsid w:val="00AB41D3"/>
    <w:rPr>
      <w:rFonts w:asciiTheme="minorHAnsi" w:eastAsiaTheme="minorHAnsi" w:hAnsiTheme="minorHAnsi" w:cstheme="minorBidi"/>
      <w:lang w:eastAsia="en-US"/>
    </w:rPr>
  </w:style>
  <w:style w:type="character" w:styleId="Refdenotaderodap">
    <w:name w:val="footnote reference"/>
    <w:basedOn w:val="Tipodeletrapredefinidodopargrafo"/>
    <w:uiPriority w:val="99"/>
    <w:unhideWhenUsed/>
    <w:rsid w:val="00AB41D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VgVYt7IQjJ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nvivioastrologico.it/articoli_vari/barbault_intervista.htm" TargetMode="External"/><Relationship Id="rId5" Type="http://schemas.openxmlformats.org/officeDocument/2006/relationships/webSettings" Target="webSettings.xml"/><Relationship Id="rId10" Type="http://schemas.openxmlformats.org/officeDocument/2006/relationships/hyperlink" Target="http://www.andrebarbault.com/DOC/311.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_Sara\CAA-PD\Guidelines-for-writing-etc\cover%20sheet.dot"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742FB6-D4E7-4FE9-883A-D70D0F754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sheet</Template>
  <TotalTime>25</TotalTime>
  <Pages>9</Pages>
  <Words>4413</Words>
  <Characters>23831</Characters>
  <Application>Microsoft Office Word</Application>
  <DocSecurity>0</DocSecurity>
  <Lines>198</Lines>
  <Paragraphs>56</Paragraphs>
  <ScaleCrop>false</ScaleCrop>
  <HeadingPairs>
    <vt:vector size="6" baseType="variant">
      <vt:variant>
        <vt:lpstr>Título</vt:lpstr>
      </vt:variant>
      <vt:variant>
        <vt:i4>1</vt:i4>
      </vt:variant>
      <vt:variant>
        <vt:lpstr>Title</vt:lpstr>
      </vt:variant>
      <vt:variant>
        <vt:i4>1</vt:i4>
      </vt:variant>
      <vt:variant>
        <vt:lpstr>Headings</vt:lpstr>
      </vt:variant>
      <vt:variant>
        <vt:i4>2</vt:i4>
      </vt:variant>
    </vt:vector>
  </HeadingPairs>
  <TitlesOfParts>
    <vt:vector size="4" baseType="lpstr">
      <vt:lpstr>UNIVERSITY OF WALES</vt:lpstr>
      <vt:lpstr>UNIVERSITY OF WALES</vt:lpstr>
      <vt:lpstr>        THIS SHEET MUST BE THE FIRST PAGE OF THE ASSIGNMENT YOU ARE SUBMITTING  (DO NOT </vt:lpstr>
      <vt:lpstr>        </vt:lpstr>
    </vt:vector>
  </TitlesOfParts>
  <Company>University of Wales Lampeter</Company>
  <LinksUpToDate>false</LinksUpToDate>
  <CharactersWithSpaces>28188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Sara Sucena</dc:creator>
  <cp:keywords/>
  <cp:lastModifiedBy>Sara Sucena</cp:lastModifiedBy>
  <cp:revision>6</cp:revision>
  <cp:lastPrinted>2011-03-31T13:57:00Z</cp:lastPrinted>
  <dcterms:created xsi:type="dcterms:W3CDTF">2020-08-03T12:48:00Z</dcterms:created>
  <dcterms:modified xsi:type="dcterms:W3CDTF">2020-08-03T13:10:00Z</dcterms:modified>
</cp:coreProperties>
</file>