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8F417D8" w14:textId="3D51E61B" w:rsidR="00FB496C" w:rsidRPr="0017050C" w:rsidRDefault="0017050C" w:rsidP="0017050C">
      <w:pPr>
        <w:jc w:val="center"/>
        <w:rPr>
          <w:b/>
          <w:bCs/>
          <w:sz w:val="22"/>
          <w:szCs w:val="22"/>
        </w:rPr>
      </w:pPr>
      <w:r w:rsidRPr="0017050C">
        <w:rPr>
          <w:b/>
          <w:bCs/>
          <w:sz w:val="22"/>
          <w:szCs w:val="22"/>
        </w:rPr>
        <w:t>Secondary Literature Review – Sati as a Religious Rite: Parliamentary Papers on Widow Immolation, 1821-30</w:t>
      </w:r>
    </w:p>
    <w:p w14:paraId="09F56018" w14:textId="25743ABC" w:rsidR="0017050C" w:rsidRDefault="0017050C" w:rsidP="0017050C">
      <w:pPr>
        <w:jc w:val="center"/>
        <w:rPr>
          <w:sz w:val="22"/>
          <w:szCs w:val="22"/>
        </w:rPr>
      </w:pPr>
    </w:p>
    <w:p w14:paraId="376DBA35" w14:textId="04227E50" w:rsidR="00CF7D02" w:rsidRPr="00CF7D02" w:rsidRDefault="001A621D" w:rsidP="00CF7D02">
      <w:pPr>
        <w:autoSpaceDE w:val="0"/>
        <w:autoSpaceDN w:val="0"/>
        <w:adjustRightInd w:val="0"/>
        <w:rPr>
          <w:rFonts w:cstheme="minorHAnsi"/>
          <w:sz w:val="22"/>
          <w:szCs w:val="22"/>
        </w:rPr>
      </w:pPr>
      <w:r w:rsidRPr="001A621D">
        <w:rPr>
          <w:rFonts w:cstheme="minorHAnsi"/>
          <w:sz w:val="22"/>
          <w:szCs w:val="22"/>
        </w:rPr>
        <w:t>This is an article, that was published in 1992 by Vasudha Dalmia-</w:t>
      </w:r>
      <w:r w:rsidRPr="001A621D">
        <w:rPr>
          <w:rFonts w:cstheme="minorHAnsi"/>
          <w:sz w:val="22"/>
          <w:szCs w:val="22"/>
        </w:rPr>
        <w:t>Lüderitz</w:t>
      </w:r>
      <w:r>
        <w:rPr>
          <w:rFonts w:cstheme="minorHAnsi"/>
          <w:sz w:val="22"/>
          <w:szCs w:val="22"/>
        </w:rPr>
        <w:t xml:space="preserve">. </w:t>
      </w:r>
      <w:r w:rsidR="00CF7D02">
        <w:rPr>
          <w:rFonts w:cstheme="minorHAnsi"/>
          <w:sz w:val="22"/>
          <w:szCs w:val="22"/>
        </w:rPr>
        <w:t xml:space="preserve">She </w:t>
      </w:r>
      <w:r w:rsidR="00CF7D02" w:rsidRPr="00CF7D02">
        <w:rPr>
          <w:rFonts w:cstheme="minorHAnsi"/>
          <w:sz w:val="22"/>
          <w:szCs w:val="22"/>
        </w:rPr>
        <w:t xml:space="preserve">is an Indian Professor Emerita of Hindi and Modern South Asian Studies in the Department of South and Southeast Asian Studies at the University of California, </w:t>
      </w:r>
      <w:r w:rsidR="00CF7D02" w:rsidRPr="00CF7D02">
        <w:rPr>
          <w:rFonts w:cstheme="minorHAnsi"/>
          <w:sz w:val="22"/>
          <w:szCs w:val="22"/>
        </w:rPr>
        <w:t>Berkeley. She</w:t>
      </w:r>
      <w:r w:rsidR="00CF7D02" w:rsidRPr="00CF7D02">
        <w:rPr>
          <w:rFonts w:cstheme="minorHAnsi"/>
          <w:sz w:val="22"/>
          <w:szCs w:val="22"/>
        </w:rPr>
        <w:t xml:space="preserve"> specialises in Hindu Studies and many of her books are on Hindu traditions, history, literature, </w:t>
      </w:r>
      <w:r w:rsidR="004D7445" w:rsidRPr="00CF7D02">
        <w:rPr>
          <w:rFonts w:cstheme="minorHAnsi"/>
          <w:sz w:val="22"/>
          <w:szCs w:val="22"/>
        </w:rPr>
        <w:t>identity,</w:t>
      </w:r>
      <w:r w:rsidR="00CF7D02" w:rsidRPr="00CF7D02">
        <w:rPr>
          <w:rFonts w:cstheme="minorHAnsi"/>
          <w:sz w:val="22"/>
          <w:szCs w:val="22"/>
        </w:rPr>
        <w:t xml:space="preserve"> and politics.</w:t>
      </w:r>
      <w:r w:rsidR="004D7445">
        <w:rPr>
          <w:rFonts w:cstheme="minorHAnsi"/>
          <w:sz w:val="22"/>
          <w:szCs w:val="22"/>
        </w:rPr>
        <w:t xml:space="preserve"> In this article she mostly approaches this topic from a political and religious narrative due to her background, weaving in the parliamentary papers, with knowledge her own knowledge on Hinduism, and reactions from both viewpoints. </w:t>
      </w:r>
    </w:p>
    <w:p w14:paraId="77A81EED" w14:textId="5AD55FAF" w:rsidR="003A41DB" w:rsidRDefault="001A621D" w:rsidP="001A621D">
      <w:pPr>
        <w:autoSpaceDE w:val="0"/>
        <w:autoSpaceDN w:val="0"/>
        <w:adjustRightInd w:val="0"/>
        <w:rPr>
          <w:rFonts w:cstheme="minorHAnsi"/>
          <w:sz w:val="22"/>
          <w:szCs w:val="22"/>
        </w:rPr>
      </w:pPr>
      <w:r>
        <w:rPr>
          <w:rFonts w:cstheme="minorHAnsi"/>
          <w:sz w:val="22"/>
          <w:szCs w:val="22"/>
        </w:rPr>
        <w:t xml:space="preserve">I would argue that the article doesn’t really have a clear argument but a neutral parliamentary paper on Sati, whilst also explaining the British efforts to ban the practice and the complications they faced. </w:t>
      </w:r>
      <w:r w:rsidR="005D1262">
        <w:rPr>
          <w:rFonts w:cstheme="minorHAnsi"/>
          <w:sz w:val="22"/>
          <w:szCs w:val="22"/>
        </w:rPr>
        <w:t>A lot of the parliamentary paper element focuses on how Hindu women had very little liberty and autonomy when it came to Sati and despite receiving little education, they were taught from being young girls that Sati was a duty they must commit to. Naturally this angered the British colonisers, as they wanted India to be a libertarian state, and this went against their principles of libertarian and utilitarianism (as stated by Lord William Bentinck who was the first governor of India at the time).</w:t>
      </w:r>
      <w:r w:rsidR="003A41DB">
        <w:rPr>
          <w:rFonts w:cstheme="minorHAnsi"/>
          <w:sz w:val="22"/>
          <w:szCs w:val="22"/>
        </w:rPr>
        <w:t xml:space="preserve"> At the time the British viewed themselves as enlightened by a mistrust of ritual (which most likely came from the persecution of witchcraft in Europe in the previous century, and how the paranoia of witches was spread by religion and a lack of scientific understanding), however naturally the Hindus did not understand this and viewed the British as religiously persecuting them, so this naturally led to an increase in the authorisation and ramification of Sati. </w:t>
      </w:r>
    </w:p>
    <w:p w14:paraId="4D037A91" w14:textId="2F243F62" w:rsidR="00F05A8B" w:rsidRDefault="003A41DB" w:rsidP="00F05A8B">
      <w:pPr>
        <w:autoSpaceDE w:val="0"/>
        <w:autoSpaceDN w:val="0"/>
        <w:adjustRightInd w:val="0"/>
        <w:rPr>
          <w:rFonts w:cstheme="minorHAnsi"/>
          <w:sz w:val="22"/>
          <w:szCs w:val="22"/>
        </w:rPr>
      </w:pPr>
      <w:r>
        <w:rPr>
          <w:rFonts w:cstheme="minorHAnsi"/>
          <w:sz w:val="22"/>
          <w:szCs w:val="22"/>
        </w:rPr>
        <w:t xml:space="preserve">Dalmia also discusses how there was a lot of conflict of interest in the banning of Sati, as colonists under the rule of Bentinck followed libertarianism as well as utilitarianism, which heavily encouraged individual freedom, which would naturally include religion causing a massive conflict of interest. </w:t>
      </w:r>
      <w:r w:rsidR="00F05A8B">
        <w:rPr>
          <w:rFonts w:cstheme="minorHAnsi"/>
          <w:sz w:val="22"/>
          <w:szCs w:val="22"/>
        </w:rPr>
        <w:t xml:space="preserve">She also argues how it could also be </w:t>
      </w:r>
      <w:r w:rsidR="00F05A8B" w:rsidRPr="00F05A8B">
        <w:rPr>
          <w:rFonts w:cstheme="minorHAnsi"/>
          <w:sz w:val="22"/>
          <w:szCs w:val="22"/>
        </w:rPr>
        <w:t xml:space="preserve">that they also didn’t want to interfere too much as they wanted women to stick to their specific spheres and by giving widows more freedom </w:t>
      </w:r>
      <w:r w:rsidR="00F05A8B">
        <w:rPr>
          <w:rFonts w:cstheme="minorHAnsi"/>
          <w:sz w:val="22"/>
          <w:szCs w:val="22"/>
        </w:rPr>
        <w:t xml:space="preserve">in India </w:t>
      </w:r>
      <w:r w:rsidR="00F05A8B" w:rsidRPr="00F05A8B">
        <w:rPr>
          <w:rFonts w:cstheme="minorHAnsi"/>
          <w:sz w:val="22"/>
          <w:szCs w:val="22"/>
        </w:rPr>
        <w:t xml:space="preserve">it </w:t>
      </w:r>
      <w:r w:rsidR="00F05A8B">
        <w:rPr>
          <w:rFonts w:cstheme="minorHAnsi"/>
          <w:sz w:val="22"/>
          <w:szCs w:val="22"/>
        </w:rPr>
        <w:t xml:space="preserve">could </w:t>
      </w:r>
      <w:r w:rsidR="00F05A8B" w:rsidRPr="00F05A8B">
        <w:rPr>
          <w:rFonts w:cstheme="minorHAnsi"/>
          <w:sz w:val="22"/>
          <w:szCs w:val="22"/>
        </w:rPr>
        <w:t xml:space="preserve">cause problems to the paternalistic society as well as encourage women </w:t>
      </w:r>
      <w:r w:rsidR="00F05A8B">
        <w:rPr>
          <w:rFonts w:cstheme="minorHAnsi"/>
          <w:sz w:val="22"/>
          <w:szCs w:val="22"/>
        </w:rPr>
        <w:t xml:space="preserve">in Britain </w:t>
      </w:r>
      <w:r w:rsidR="00F05A8B" w:rsidRPr="00F05A8B">
        <w:rPr>
          <w:rFonts w:cstheme="minorHAnsi"/>
          <w:sz w:val="22"/>
          <w:szCs w:val="22"/>
        </w:rPr>
        <w:t>to want more rights</w:t>
      </w:r>
      <w:r w:rsidR="00F05A8B">
        <w:rPr>
          <w:rFonts w:cstheme="minorHAnsi"/>
          <w:sz w:val="22"/>
          <w:szCs w:val="22"/>
        </w:rPr>
        <w:t xml:space="preserve">, which the vast majority of men and parliament did not want, despite that being hypocritical to the principle of libertarianism. </w:t>
      </w:r>
    </w:p>
    <w:p w14:paraId="1CA04EC5" w14:textId="4CFAAFEF" w:rsidR="00F05A8B" w:rsidRDefault="00F05A8B" w:rsidP="00F05A8B">
      <w:pPr>
        <w:autoSpaceDE w:val="0"/>
        <w:autoSpaceDN w:val="0"/>
        <w:adjustRightInd w:val="0"/>
        <w:rPr>
          <w:rFonts w:cstheme="minorHAnsi"/>
          <w:sz w:val="22"/>
          <w:szCs w:val="22"/>
        </w:rPr>
      </w:pPr>
    </w:p>
    <w:p w14:paraId="0E04AA21" w14:textId="25285C81" w:rsidR="00F05A8B" w:rsidRPr="001A621D" w:rsidRDefault="00825019" w:rsidP="001A621D">
      <w:pPr>
        <w:autoSpaceDE w:val="0"/>
        <w:autoSpaceDN w:val="0"/>
        <w:adjustRightInd w:val="0"/>
        <w:rPr>
          <w:rFonts w:cstheme="minorHAnsi"/>
          <w:sz w:val="22"/>
          <w:szCs w:val="22"/>
        </w:rPr>
      </w:pPr>
      <w:r>
        <w:rPr>
          <w:rFonts w:cstheme="minorHAnsi"/>
          <w:sz w:val="22"/>
          <w:szCs w:val="22"/>
        </w:rPr>
        <w:t xml:space="preserve">Based on the references used </w:t>
      </w:r>
      <w:r w:rsidR="003E0C79">
        <w:rPr>
          <w:rFonts w:cstheme="minorHAnsi"/>
          <w:sz w:val="22"/>
          <w:szCs w:val="22"/>
        </w:rPr>
        <w:t xml:space="preserve">in this article, her evidence is primarily from parliamentary papers from 1821-30, that also reference pre-existing statistics recorded by the colony in the 1810s which enhances their for the banning of Sati which followed in 1829. For the rest of the article, she uses a wide range of scholarly articles by a variety of European and Asian scholars, being published from 1811 to the late 1980s. </w:t>
      </w:r>
    </w:p>
    <w:p w14:paraId="76FDF2BE" w14:textId="51C32255" w:rsidR="0017050C" w:rsidRDefault="0017050C" w:rsidP="0017050C">
      <w:pPr>
        <w:rPr>
          <w:sz w:val="22"/>
          <w:szCs w:val="22"/>
        </w:rPr>
      </w:pPr>
    </w:p>
    <w:p w14:paraId="460902C7" w14:textId="10E3D2D7" w:rsidR="006C5D1C" w:rsidRDefault="006C5D1C" w:rsidP="0017050C">
      <w:pPr>
        <w:rPr>
          <w:sz w:val="22"/>
          <w:szCs w:val="22"/>
        </w:rPr>
      </w:pPr>
      <w:r>
        <w:rPr>
          <w:sz w:val="22"/>
          <w:szCs w:val="22"/>
        </w:rPr>
        <w:t xml:space="preserve">The article effectively contributed to our understanding of Sati, providing a neutral tone and factual statistics alongside reasons for colonial and Hindu responses to Sati and the banning of the practice. However, a major flaw of this article to me is that due to its lack of emotiveness, I personally struggled to engage with the source and understand its true viewpoint on Sati, especially when compared to the excellent narrative Pandita Ramabai wrote on </w:t>
      </w:r>
      <w:r w:rsidR="000E6B58">
        <w:rPr>
          <w:sz w:val="22"/>
          <w:szCs w:val="22"/>
        </w:rPr>
        <w:t xml:space="preserve">Sati, which was </w:t>
      </w:r>
      <w:r w:rsidR="00320F18">
        <w:rPr>
          <w:sz w:val="22"/>
          <w:szCs w:val="22"/>
        </w:rPr>
        <w:t>an excerpt from her book called</w:t>
      </w:r>
      <w:r w:rsidR="000E6B58">
        <w:rPr>
          <w:sz w:val="22"/>
          <w:szCs w:val="22"/>
        </w:rPr>
        <w:t xml:space="preserve"> </w:t>
      </w:r>
      <w:r w:rsidR="000E6B58">
        <w:rPr>
          <w:i/>
          <w:iCs/>
          <w:sz w:val="22"/>
          <w:szCs w:val="22"/>
        </w:rPr>
        <w:t>T</w:t>
      </w:r>
      <w:r w:rsidR="000E6B58" w:rsidRPr="000E6B58">
        <w:rPr>
          <w:i/>
          <w:iCs/>
          <w:sz w:val="22"/>
          <w:szCs w:val="22"/>
        </w:rPr>
        <w:t>he High Caste Hindu Woman</w:t>
      </w:r>
      <w:r>
        <w:rPr>
          <w:sz w:val="22"/>
          <w:szCs w:val="22"/>
        </w:rPr>
        <w:t xml:space="preserve">. She used evidence from the Rig-Vedas to explain her viewpoint, and factually explains the mistranslation error that led to this practice, whilst making us understand the fear and terror these poor widows faced, which helps us to understanding the reasoning why this practice should be banned, regardless if you are a colonist or not. </w:t>
      </w:r>
    </w:p>
    <w:p w14:paraId="69B49FDC" w14:textId="1F96F787" w:rsidR="00A30505" w:rsidRDefault="004867CA" w:rsidP="0017050C">
      <w:pPr>
        <w:rPr>
          <w:sz w:val="22"/>
          <w:szCs w:val="22"/>
        </w:rPr>
      </w:pPr>
      <w:r>
        <w:rPr>
          <w:sz w:val="22"/>
          <w:szCs w:val="22"/>
        </w:rPr>
        <w:t xml:space="preserve">Therefore, due to this lack of emotiveness or a clear viewpoint, I would argue that her audience is going to be predominantly scholars who are looking for the source worth as an academic piece rather than a more general audience that Ramabai was aiming for. It could also perhaps be used as a scholar article to </w:t>
      </w:r>
      <w:r w:rsidR="00F97020">
        <w:rPr>
          <w:sz w:val="22"/>
          <w:szCs w:val="22"/>
        </w:rPr>
        <w:t>be used</w:t>
      </w:r>
      <w:r>
        <w:rPr>
          <w:sz w:val="22"/>
          <w:szCs w:val="22"/>
        </w:rPr>
        <w:t xml:space="preserve"> in academic essays by university students as well as a key refencing point on thoughts and statistics on Sati. </w:t>
      </w:r>
    </w:p>
    <w:p w14:paraId="63710238" w14:textId="016F0034" w:rsidR="004867CA" w:rsidRDefault="004867CA" w:rsidP="0017050C">
      <w:pPr>
        <w:rPr>
          <w:sz w:val="22"/>
          <w:szCs w:val="22"/>
        </w:rPr>
      </w:pPr>
    </w:p>
    <w:p w14:paraId="1A6786E9" w14:textId="4709DBA4" w:rsidR="004867CA" w:rsidRDefault="004867CA" w:rsidP="0017050C">
      <w:pPr>
        <w:rPr>
          <w:sz w:val="22"/>
          <w:szCs w:val="22"/>
        </w:rPr>
      </w:pPr>
      <w:r>
        <w:rPr>
          <w:sz w:val="22"/>
          <w:szCs w:val="22"/>
        </w:rPr>
        <w:t xml:space="preserve">It is difficult to determine if the author achieved their aims, however </w:t>
      </w:r>
      <w:r w:rsidR="00F97020">
        <w:rPr>
          <w:sz w:val="22"/>
          <w:szCs w:val="22"/>
        </w:rPr>
        <w:t xml:space="preserve">she does clearly cover the narrative on why the colonists wanted to ban Sati and the complications that arose as a result. Despite this though I would not personally recommend this work. Although it is very fact forward, and academic, I personally struggle to read this, and I gain limited knowledge and purpose from it. This does not mean that it is a bad academic source, but rather not suitable for my way of learning. I am an extremely visual learner so by not having any descriptive language or even an argument makes it very difficult for me to gain knowledge and I end up often switching off and become unwilling to engage with the academic material. This is an issue with a lot of academic sources if find, however I do understand that they are predominantly for factual and referencing purposes only, but I do believe that emotion can also be a good referencing tool to help explain better a point of view or narrative an author is trying to present. </w:t>
      </w:r>
      <w:r w:rsidR="00DC6E87">
        <w:rPr>
          <w:sz w:val="22"/>
          <w:szCs w:val="22"/>
        </w:rPr>
        <w:t>Therefore,</w:t>
      </w:r>
      <w:r w:rsidR="00AC478F">
        <w:rPr>
          <w:sz w:val="22"/>
          <w:szCs w:val="22"/>
        </w:rPr>
        <w:t xml:space="preserve"> th</w:t>
      </w:r>
      <w:r w:rsidR="00F97020">
        <w:rPr>
          <w:sz w:val="22"/>
          <w:szCs w:val="22"/>
        </w:rPr>
        <w:t xml:space="preserve">is source is more suitable for a read and write learner so </w:t>
      </w:r>
      <w:r w:rsidR="00AC478F">
        <w:rPr>
          <w:sz w:val="22"/>
          <w:szCs w:val="22"/>
        </w:rPr>
        <w:t xml:space="preserve">therefore is does </w:t>
      </w:r>
      <w:r w:rsidR="00F97020">
        <w:rPr>
          <w:sz w:val="22"/>
          <w:szCs w:val="22"/>
        </w:rPr>
        <w:t xml:space="preserve">have an audience and </w:t>
      </w:r>
      <w:r w:rsidR="00DC6E87">
        <w:rPr>
          <w:sz w:val="22"/>
          <w:szCs w:val="22"/>
        </w:rPr>
        <w:t>can be</w:t>
      </w:r>
      <w:r w:rsidR="00AC478F">
        <w:rPr>
          <w:sz w:val="22"/>
          <w:szCs w:val="22"/>
        </w:rPr>
        <w:t xml:space="preserve"> </w:t>
      </w:r>
      <w:r w:rsidR="00F97020">
        <w:rPr>
          <w:sz w:val="22"/>
          <w:szCs w:val="22"/>
        </w:rPr>
        <w:t xml:space="preserve">useful piece of work, it just isn’t personally suitable for myself. </w:t>
      </w:r>
    </w:p>
    <w:p w14:paraId="603BF167" w14:textId="76A8D98D" w:rsidR="00DC6E87" w:rsidRDefault="00DC6E87" w:rsidP="0017050C">
      <w:pPr>
        <w:rPr>
          <w:sz w:val="22"/>
          <w:szCs w:val="22"/>
        </w:rPr>
      </w:pPr>
    </w:p>
    <w:p w14:paraId="46AEEDF5" w14:textId="5DA6D697" w:rsidR="00DC6E87" w:rsidRDefault="00DC6E87" w:rsidP="00DC6E87">
      <w:pPr>
        <w:jc w:val="center"/>
        <w:rPr>
          <w:b/>
          <w:bCs/>
          <w:sz w:val="22"/>
          <w:szCs w:val="22"/>
        </w:rPr>
      </w:pPr>
      <w:r w:rsidRPr="00DC6E87">
        <w:rPr>
          <w:b/>
          <w:bCs/>
          <w:sz w:val="22"/>
          <w:szCs w:val="22"/>
        </w:rPr>
        <w:lastRenderedPageBreak/>
        <w:t>Bibliography</w:t>
      </w:r>
    </w:p>
    <w:p w14:paraId="64833F49" w14:textId="1A1FCAF5" w:rsidR="00DC6E87" w:rsidRPr="00DC6E87" w:rsidRDefault="00DC6E87" w:rsidP="00DC6E87">
      <w:pPr>
        <w:rPr>
          <w:rFonts w:cstheme="minorHAnsi"/>
          <w:b/>
          <w:bCs/>
          <w:sz w:val="22"/>
          <w:szCs w:val="22"/>
        </w:rPr>
      </w:pPr>
    </w:p>
    <w:p w14:paraId="50B9E102" w14:textId="13CB8BBD" w:rsidR="00DC6E87" w:rsidRPr="00DC6E87" w:rsidRDefault="00DC6E87" w:rsidP="00DC6E87">
      <w:pPr>
        <w:rPr>
          <w:rFonts w:cstheme="minorHAnsi"/>
          <w:color w:val="3A3A3A"/>
          <w:sz w:val="22"/>
          <w:szCs w:val="22"/>
          <w:shd w:val="clear" w:color="auto" w:fill="FFFFFF"/>
        </w:rPr>
      </w:pPr>
      <w:r w:rsidRPr="00DC6E87">
        <w:rPr>
          <w:rFonts w:cstheme="minorHAnsi"/>
          <w:color w:val="3A3A3A"/>
          <w:sz w:val="22"/>
          <w:szCs w:val="22"/>
          <w:shd w:val="clear" w:color="auto" w:fill="FFFFFF"/>
        </w:rPr>
        <w:t>Vasudha Dalmia-Lüderitz. 1992. ‘“Sati” as a Religious Rite: Parliamentary Papers on Widow Immolation, 1821-30’, </w:t>
      </w:r>
      <w:r w:rsidRPr="00DC6E87">
        <w:rPr>
          <w:rFonts w:cstheme="minorHAnsi"/>
          <w:i/>
          <w:iCs/>
          <w:color w:val="3A3A3A"/>
          <w:sz w:val="22"/>
          <w:szCs w:val="22"/>
          <w:shd w:val="clear" w:color="auto" w:fill="FFFFFF"/>
        </w:rPr>
        <w:t>Economic and Political Weekly</w:t>
      </w:r>
      <w:r w:rsidRPr="00DC6E87">
        <w:rPr>
          <w:rFonts w:cstheme="minorHAnsi"/>
          <w:color w:val="3A3A3A"/>
          <w:sz w:val="22"/>
          <w:szCs w:val="22"/>
          <w:shd w:val="clear" w:color="auto" w:fill="FFFFFF"/>
        </w:rPr>
        <w:t>, 27.4, pp. PE58–64</w:t>
      </w:r>
    </w:p>
    <w:p w14:paraId="02BCA090" w14:textId="1968720E" w:rsidR="00DC6E87" w:rsidRPr="00DC6E87" w:rsidRDefault="00DC6E87" w:rsidP="00DC6E87">
      <w:pPr>
        <w:rPr>
          <w:rFonts w:cstheme="minorHAnsi"/>
          <w:color w:val="3A3A3A"/>
          <w:sz w:val="22"/>
          <w:szCs w:val="22"/>
          <w:shd w:val="clear" w:color="auto" w:fill="FFFFFF"/>
        </w:rPr>
      </w:pPr>
    </w:p>
    <w:p w14:paraId="56EC5057" w14:textId="542EEDB0" w:rsidR="00DC6E87" w:rsidRPr="00DC6E87" w:rsidRDefault="00DC6E87" w:rsidP="00DC6E87">
      <w:pPr>
        <w:rPr>
          <w:rFonts w:cstheme="minorHAnsi"/>
          <w:color w:val="3A3A3A"/>
          <w:sz w:val="22"/>
          <w:szCs w:val="22"/>
          <w:shd w:val="clear" w:color="auto" w:fill="FFFFFF"/>
        </w:rPr>
      </w:pPr>
      <w:r w:rsidRPr="00DC6E87">
        <w:rPr>
          <w:rFonts w:cstheme="minorHAnsi"/>
          <w:color w:val="3A3A3A"/>
          <w:sz w:val="22"/>
          <w:szCs w:val="22"/>
          <w:shd w:val="clear" w:color="auto" w:fill="FFFFFF"/>
        </w:rPr>
        <w:t>Wikipedia, Vasudha Dalmia</w:t>
      </w:r>
    </w:p>
    <w:p w14:paraId="27616C41" w14:textId="4C859166" w:rsidR="00DC6E87" w:rsidRPr="00DC6E87" w:rsidRDefault="00DC6E87" w:rsidP="00DC6E87">
      <w:pPr>
        <w:rPr>
          <w:rFonts w:cstheme="minorHAnsi"/>
          <w:sz w:val="22"/>
          <w:szCs w:val="22"/>
        </w:rPr>
      </w:pPr>
      <w:hyperlink r:id="rId5" w:history="1">
        <w:r w:rsidRPr="00DC6E87">
          <w:rPr>
            <w:rStyle w:val="Hyperlink"/>
            <w:rFonts w:cstheme="minorHAnsi"/>
            <w:sz w:val="22"/>
            <w:szCs w:val="22"/>
          </w:rPr>
          <w:t>https://en.wikipedia.org/wiki/Vasudha_Dalmia</w:t>
        </w:r>
      </w:hyperlink>
      <w:r w:rsidRPr="00DC6E87">
        <w:rPr>
          <w:rFonts w:cstheme="minorHAnsi"/>
          <w:sz w:val="22"/>
          <w:szCs w:val="22"/>
        </w:rPr>
        <w:t xml:space="preserve"> [accessed 07/06/26]</w:t>
      </w:r>
    </w:p>
    <w:sectPr w:rsidR="00DC6E87" w:rsidRPr="00DC6E87" w:rsidSect="0017050C">
      <w:pgSz w:w="11906" w:h="16838"/>
      <w:pgMar w:top="720" w:right="720" w:bottom="720" w:left="72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000001"/>
    <w:multiLevelType w:val="hybridMultilevel"/>
    <w:tmpl w:val="FFFFFFFF"/>
    <w:lvl w:ilvl="0" w:tplc="00000001">
      <w:start w:val="1"/>
      <w:numFmt w:val="bullet"/>
      <w:lvlText w:val="◦"/>
      <w:lvlJc w:val="left"/>
      <w:pPr>
        <w:ind w:left="720" w:hanging="360"/>
      </w:pPr>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num w:numId="1" w16cid:durableId="66732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204"/>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7050C"/>
    <w:rsid w:val="000E6B58"/>
    <w:rsid w:val="0017050C"/>
    <w:rsid w:val="001A621D"/>
    <w:rsid w:val="00320F18"/>
    <w:rsid w:val="003A41DB"/>
    <w:rsid w:val="003E0C79"/>
    <w:rsid w:val="0043074D"/>
    <w:rsid w:val="004867CA"/>
    <w:rsid w:val="004D7445"/>
    <w:rsid w:val="00565389"/>
    <w:rsid w:val="005D1262"/>
    <w:rsid w:val="006C5D1C"/>
    <w:rsid w:val="00825019"/>
    <w:rsid w:val="00A30505"/>
    <w:rsid w:val="00AC478F"/>
    <w:rsid w:val="00CF7D02"/>
    <w:rsid w:val="00DC6E87"/>
    <w:rsid w:val="00F05A8B"/>
    <w:rsid w:val="00F97020"/>
    <w:rsid w:val="00FB496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57DE5F34"/>
  <w15:chartTrackingRefBased/>
  <w15:docId w15:val="{26EF726E-6975-8346-9C00-B379230E28D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F7D02"/>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DC6E87"/>
    <w:rPr>
      <w:color w:val="0563C1" w:themeColor="hyperlink"/>
      <w:u w:val="single"/>
    </w:rPr>
  </w:style>
  <w:style w:type="character" w:styleId="UnresolvedMention">
    <w:name w:val="Unresolved Mention"/>
    <w:basedOn w:val="DefaultParagraphFont"/>
    <w:uiPriority w:val="99"/>
    <w:semiHidden/>
    <w:unhideWhenUsed/>
    <w:rsid w:val="00DC6E87"/>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hyperlink" Target="https://en.wikipedia.org/wiki/Vasudha_Dalmia" TargetMode="External"/><Relationship Id="rId4" Type="http://schemas.openxmlformats.org/officeDocument/2006/relationships/webSettings" Target="webSettings.xml"/></Relationships>
</file>

<file path=word/theme/theme1.xml><?xml version="1.0" encoding="utf-8"?>
<a:theme xmlns:a="http://schemas.openxmlformats.org/drawingml/2006/main" name="Office Theme 2013 - 2022">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2013 - 2022"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56</TotalTime>
  <Pages>2</Pages>
  <Words>915</Words>
  <Characters>4982</Characters>
  <Application>Microsoft Office Word</Application>
  <DocSecurity>0</DocSecurity>
  <Lines>69</Lines>
  <Paragraphs>17</Paragraphs>
  <ScaleCrop>false</ScaleCrop>
  <Company/>
  <LinksUpToDate>false</LinksUpToDate>
  <CharactersWithSpaces>5880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Harriet Ross (2400978)</dc:creator>
  <cp:keywords/>
  <dc:description/>
  <cp:lastModifiedBy>Harriet Ross (2400978)</cp:lastModifiedBy>
  <cp:revision>20</cp:revision>
  <dcterms:created xsi:type="dcterms:W3CDTF">2026-06-07T21:18:00Z</dcterms:created>
  <dcterms:modified xsi:type="dcterms:W3CDTF">2026-06-07T22:28:00Z</dcterms:modified>
</cp:coreProperties>
</file>