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49BA7A" w14:textId="77777777" w:rsidR="00C779E4" w:rsidRDefault="00C779E4" w:rsidP="00C779E4">
      <w:pPr>
        <w:rPr>
          <w:i/>
          <w:iCs/>
          <w:lang w:val="en-US"/>
        </w:rPr>
      </w:pPr>
      <w:r>
        <w:rPr>
          <w:i/>
          <w:iCs/>
          <w:lang w:val="en-US"/>
        </w:rPr>
        <w:t xml:space="preserve">                                      </w:t>
      </w:r>
      <w:r>
        <w:rPr>
          <w:i/>
          <w:iCs/>
          <w:noProof/>
          <w:lang w:val="en-IN" w:eastAsia="en-IN" w:bidi="gu-IN"/>
        </w:rPr>
        <w:drawing>
          <wp:inline distT="0" distB="0" distL="0" distR="0" wp14:anchorId="7600E3B1" wp14:editId="1B2BEB99">
            <wp:extent cx="3381375" cy="1352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r>
        <w:rPr>
          <w:i/>
          <w:iCs/>
          <w:lang w:val="en-US"/>
        </w:rPr>
        <w:t xml:space="preserve"> </w:t>
      </w:r>
    </w:p>
    <w:p w14:paraId="61838C12" w14:textId="77777777" w:rsidR="00C779E4" w:rsidRDefault="00C779E4" w:rsidP="00C779E4">
      <w:pPr>
        <w:jc w:val="center"/>
        <w:rPr>
          <w:i/>
          <w:iCs/>
          <w:lang w:val="en-US"/>
        </w:rPr>
      </w:pPr>
    </w:p>
    <w:p w14:paraId="0EA17FC3" w14:textId="77777777" w:rsidR="00C779E4" w:rsidRDefault="00C779E4" w:rsidP="00C779E4">
      <w:pPr>
        <w:jc w:val="center"/>
        <w:rPr>
          <w:i/>
          <w:iCs/>
          <w:lang w:val="en-US"/>
        </w:rPr>
      </w:pPr>
    </w:p>
    <w:p w14:paraId="64AF1190" w14:textId="77777777" w:rsidR="00C779E4" w:rsidRDefault="00C779E4" w:rsidP="00C779E4">
      <w:pPr>
        <w:jc w:val="center"/>
        <w:rPr>
          <w:b/>
          <w:bCs/>
          <w:i/>
          <w:iCs/>
          <w:lang w:val="en-US"/>
        </w:rPr>
      </w:pPr>
      <w:r>
        <w:rPr>
          <w:b/>
          <w:bCs/>
          <w:i/>
          <w:iCs/>
          <w:lang w:val="en-US"/>
        </w:rPr>
        <w:t xml:space="preserve">University  of Wales Trinity Saint David </w:t>
      </w:r>
    </w:p>
    <w:p w14:paraId="2B41A438" w14:textId="77777777" w:rsidR="00C779E4" w:rsidRDefault="00C779E4" w:rsidP="00C779E4">
      <w:pPr>
        <w:jc w:val="center"/>
        <w:rPr>
          <w:b/>
          <w:bCs/>
          <w:i/>
          <w:iCs/>
        </w:rPr>
      </w:pPr>
      <w:r>
        <w:rPr>
          <w:b/>
          <w:bCs/>
          <w:i/>
          <w:iCs/>
          <w:lang w:val="en-US"/>
        </w:rPr>
        <w:t>Master of Business Administration</w:t>
      </w:r>
      <w:r>
        <w:rPr>
          <w:b/>
          <w:bCs/>
          <w:i/>
          <w:iCs/>
        </w:rPr>
        <w:t xml:space="preserve">  </w:t>
      </w:r>
    </w:p>
    <w:p w14:paraId="1045C932" w14:textId="77777777" w:rsidR="00C779E4" w:rsidRDefault="00C779E4" w:rsidP="00C779E4">
      <w:pPr>
        <w:jc w:val="center"/>
        <w:rPr>
          <w:b/>
          <w:bCs/>
          <w:i/>
          <w:iCs/>
        </w:rPr>
      </w:pPr>
      <w:r>
        <w:rPr>
          <w:b/>
          <w:bCs/>
          <w:i/>
          <w:iCs/>
        </w:rPr>
        <w:t xml:space="preserve">           </w:t>
      </w:r>
    </w:p>
    <w:p w14:paraId="60443643" w14:textId="77777777" w:rsidR="00C779E4" w:rsidRDefault="00C779E4" w:rsidP="00C779E4">
      <w:pPr>
        <w:jc w:val="center"/>
        <w:rPr>
          <w:b/>
          <w:bCs/>
          <w:i/>
          <w:iCs/>
          <w:lang w:val="en-US"/>
        </w:rPr>
      </w:pPr>
    </w:p>
    <w:p w14:paraId="33E2A3E6" w14:textId="77777777" w:rsidR="00C779E4" w:rsidRDefault="00C779E4" w:rsidP="00C779E4">
      <w:pPr>
        <w:tabs>
          <w:tab w:val="left" w:pos="4005"/>
        </w:tabs>
        <w:rPr>
          <w:i/>
          <w:iCs/>
          <w:lang w:val="en-IN"/>
        </w:rPr>
      </w:pPr>
      <w:r>
        <w:rPr>
          <w:i/>
          <w:iCs/>
          <w:lang w:val="en-IN"/>
        </w:rPr>
        <w:tab/>
      </w:r>
    </w:p>
    <w:p w14:paraId="18B67630" w14:textId="77777777" w:rsidR="00C779E4" w:rsidRDefault="00C779E4" w:rsidP="00C779E4">
      <w:pPr>
        <w:jc w:val="center"/>
        <w:rPr>
          <w:i/>
          <w:iCs/>
        </w:rPr>
      </w:pPr>
      <w:r>
        <w:rPr>
          <w:b/>
          <w:bCs/>
          <w:i/>
          <w:iCs/>
        </w:rPr>
        <w:t>Module Name: Dissertation</w:t>
      </w:r>
    </w:p>
    <w:p w14:paraId="2AE0DBCB" w14:textId="77777777" w:rsidR="00C779E4" w:rsidRDefault="00C779E4" w:rsidP="00C779E4">
      <w:pPr>
        <w:jc w:val="center"/>
        <w:rPr>
          <w:b/>
          <w:bCs/>
          <w:i/>
          <w:iCs/>
        </w:rPr>
      </w:pPr>
    </w:p>
    <w:p w14:paraId="0F5CB1BF" w14:textId="77777777" w:rsidR="00C779E4" w:rsidRDefault="00C779E4" w:rsidP="00C779E4">
      <w:pPr>
        <w:jc w:val="center"/>
        <w:rPr>
          <w:b/>
          <w:bCs/>
          <w:i/>
          <w:iCs/>
        </w:rPr>
      </w:pPr>
    </w:p>
    <w:p w14:paraId="721BAC4C" w14:textId="77777777" w:rsidR="00C779E4" w:rsidRDefault="00C779E4" w:rsidP="00C779E4">
      <w:pPr>
        <w:jc w:val="center"/>
        <w:rPr>
          <w:b/>
          <w:bCs/>
          <w:i/>
          <w:iCs/>
        </w:rPr>
      </w:pPr>
    </w:p>
    <w:p w14:paraId="2AADDD7E" w14:textId="77777777" w:rsidR="00C779E4" w:rsidRDefault="00C779E4" w:rsidP="00C779E4">
      <w:pPr>
        <w:jc w:val="center"/>
        <w:rPr>
          <w:b/>
          <w:bCs/>
          <w:i/>
          <w:iCs/>
        </w:rPr>
      </w:pPr>
      <w:r>
        <w:rPr>
          <w:b/>
          <w:bCs/>
          <w:i/>
          <w:iCs/>
        </w:rPr>
        <w:t>Module Code: LCMB7035_LON</w:t>
      </w:r>
    </w:p>
    <w:p w14:paraId="6B16E43E" w14:textId="77777777" w:rsidR="00C779E4" w:rsidRDefault="00C779E4" w:rsidP="00C779E4">
      <w:pPr>
        <w:rPr>
          <w:b/>
          <w:bCs/>
          <w:i/>
          <w:iCs/>
        </w:rPr>
      </w:pPr>
    </w:p>
    <w:p w14:paraId="683F0493" w14:textId="77777777" w:rsidR="00C779E4" w:rsidRDefault="00C779E4" w:rsidP="00C779E4">
      <w:pPr>
        <w:jc w:val="center"/>
        <w:rPr>
          <w:b/>
          <w:bCs/>
          <w:i/>
          <w:iCs/>
        </w:rPr>
      </w:pPr>
    </w:p>
    <w:p w14:paraId="549F6487" w14:textId="77777777" w:rsidR="00C779E4" w:rsidRDefault="00C779E4" w:rsidP="00C779E4">
      <w:pPr>
        <w:jc w:val="center"/>
        <w:rPr>
          <w:b/>
          <w:bCs/>
          <w:i/>
          <w:iCs/>
        </w:rPr>
      </w:pPr>
    </w:p>
    <w:p w14:paraId="01E062D1" w14:textId="77777777" w:rsidR="00C779E4" w:rsidRDefault="00C779E4" w:rsidP="00C779E4">
      <w:pPr>
        <w:jc w:val="center"/>
        <w:rPr>
          <w:rFonts w:ascii="Helvetica" w:hAnsi="Helvetica" w:cs="Helvetica"/>
          <w:b/>
          <w:bCs/>
          <w:i/>
          <w:iCs/>
          <w:color w:val="242130"/>
          <w:sz w:val="21"/>
          <w:szCs w:val="21"/>
          <w:shd w:val="clear" w:color="auto" w:fill="FFFFFF"/>
        </w:rPr>
      </w:pPr>
      <w:r>
        <w:rPr>
          <w:rFonts w:ascii="Helvetica" w:hAnsi="Helvetica" w:cs="Helvetica"/>
          <w:b/>
          <w:bCs/>
          <w:i/>
          <w:iCs/>
          <w:color w:val="242130"/>
          <w:sz w:val="21"/>
          <w:szCs w:val="21"/>
          <w:shd w:val="clear" w:color="auto" w:fill="FFFFFF"/>
        </w:rPr>
        <w:t>Supervisor’s Name:  Dr.Amare Desta</w:t>
      </w:r>
    </w:p>
    <w:p w14:paraId="183BA240" w14:textId="77777777" w:rsidR="00C779E4" w:rsidRDefault="00C779E4" w:rsidP="00C779E4">
      <w:pPr>
        <w:jc w:val="center"/>
        <w:rPr>
          <w:rFonts w:ascii="Helvetica" w:hAnsi="Helvetica" w:cs="Helvetica"/>
          <w:b/>
          <w:bCs/>
          <w:i/>
          <w:iCs/>
          <w:color w:val="242130"/>
          <w:sz w:val="21"/>
          <w:szCs w:val="21"/>
          <w:shd w:val="clear" w:color="auto" w:fill="FFFFFF"/>
        </w:rPr>
      </w:pPr>
    </w:p>
    <w:p w14:paraId="42CC3F2E" w14:textId="77777777" w:rsidR="00C779E4" w:rsidRDefault="00C779E4" w:rsidP="00C779E4">
      <w:pPr>
        <w:jc w:val="center"/>
        <w:rPr>
          <w:b/>
          <w:bCs/>
          <w:i/>
          <w:iCs/>
        </w:rPr>
      </w:pPr>
    </w:p>
    <w:p w14:paraId="30A08E98" w14:textId="77777777" w:rsidR="00C779E4" w:rsidRDefault="00C779E4" w:rsidP="00C779E4">
      <w:pPr>
        <w:jc w:val="center"/>
        <w:rPr>
          <w:b/>
          <w:bCs/>
          <w:i/>
          <w:iCs/>
        </w:rPr>
      </w:pPr>
    </w:p>
    <w:p w14:paraId="1A8B309E" w14:textId="77777777" w:rsidR="00C779E4" w:rsidRDefault="00C779E4" w:rsidP="00C779E4">
      <w:pPr>
        <w:jc w:val="center"/>
        <w:rPr>
          <w:rFonts w:ascii="Helvetica" w:hAnsi="Helvetica" w:cs="Helvetica"/>
          <w:b/>
          <w:bCs/>
          <w:i/>
          <w:iCs/>
          <w:color w:val="242130"/>
          <w:sz w:val="21"/>
          <w:szCs w:val="21"/>
          <w:shd w:val="clear" w:color="auto" w:fill="FFFFFF"/>
        </w:rPr>
      </w:pPr>
      <w:r>
        <w:rPr>
          <w:b/>
          <w:bCs/>
          <w:i/>
          <w:iCs/>
        </w:rPr>
        <w:t>Workshop Lecturer’s Name:</w:t>
      </w:r>
      <w:r>
        <w:rPr>
          <w:b/>
          <w:bCs/>
          <w:i/>
          <w:iCs/>
          <w:sz w:val="28"/>
          <w:szCs w:val="28"/>
        </w:rPr>
        <w:t xml:space="preserve"> </w:t>
      </w:r>
      <w:r>
        <w:rPr>
          <w:rFonts w:ascii="Helvetica" w:hAnsi="Helvetica" w:cs="Helvetica"/>
          <w:i/>
          <w:iCs/>
          <w:color w:val="242130"/>
          <w:sz w:val="21"/>
          <w:szCs w:val="21"/>
          <w:shd w:val="clear" w:color="auto" w:fill="FFFFFF"/>
        </w:rPr>
        <w:t> </w:t>
      </w:r>
      <w:r w:rsidRPr="002E5F9E">
        <w:rPr>
          <w:rFonts w:ascii="Helvetica" w:hAnsi="Helvetica" w:cs="Helvetica"/>
          <w:b/>
          <w:bCs/>
          <w:i/>
          <w:iCs/>
          <w:color w:val="242130"/>
          <w:sz w:val="21"/>
          <w:szCs w:val="21"/>
          <w:shd w:val="clear" w:color="auto" w:fill="FFFFFF"/>
        </w:rPr>
        <w:t>Dr.Xavier Matieni</w:t>
      </w:r>
    </w:p>
    <w:p w14:paraId="68D4D73E" w14:textId="77777777" w:rsidR="00C779E4" w:rsidRDefault="00C779E4" w:rsidP="00C779E4">
      <w:pPr>
        <w:jc w:val="center"/>
        <w:rPr>
          <w:rFonts w:ascii="Helvetica" w:hAnsi="Helvetica" w:cs="Helvetica"/>
          <w:b/>
          <w:bCs/>
          <w:i/>
          <w:iCs/>
          <w:color w:val="242130"/>
          <w:sz w:val="21"/>
          <w:szCs w:val="21"/>
          <w:shd w:val="clear" w:color="auto" w:fill="FFFFFF"/>
        </w:rPr>
      </w:pPr>
    </w:p>
    <w:p w14:paraId="4852480E" w14:textId="77777777" w:rsidR="00C779E4" w:rsidRDefault="00C779E4" w:rsidP="00C779E4">
      <w:pPr>
        <w:jc w:val="center"/>
        <w:rPr>
          <w:rFonts w:ascii="Helvetica" w:hAnsi="Helvetica" w:cs="Helvetica"/>
          <w:b/>
          <w:bCs/>
          <w:i/>
          <w:iCs/>
          <w:color w:val="242130"/>
          <w:sz w:val="21"/>
          <w:szCs w:val="21"/>
          <w:shd w:val="clear" w:color="auto" w:fill="FFFFFF"/>
        </w:rPr>
      </w:pPr>
    </w:p>
    <w:p w14:paraId="17A31575" w14:textId="77777777" w:rsidR="00C779E4" w:rsidRDefault="00C779E4" w:rsidP="00C779E4">
      <w:pPr>
        <w:jc w:val="center"/>
        <w:rPr>
          <w:rFonts w:ascii="Helvetica" w:hAnsi="Helvetica" w:cs="Helvetica"/>
          <w:b/>
          <w:bCs/>
          <w:i/>
          <w:iCs/>
          <w:color w:val="242130"/>
          <w:sz w:val="21"/>
          <w:szCs w:val="21"/>
          <w:shd w:val="clear" w:color="auto" w:fill="FFFFFF"/>
        </w:rPr>
      </w:pPr>
    </w:p>
    <w:p w14:paraId="667AF135" w14:textId="77777777" w:rsidR="00C779E4" w:rsidRDefault="00C779E4" w:rsidP="00C779E4">
      <w:pPr>
        <w:jc w:val="center"/>
        <w:rPr>
          <w:b/>
          <w:bCs/>
          <w:i/>
          <w:iCs/>
        </w:rPr>
      </w:pPr>
      <w:r>
        <w:rPr>
          <w:b/>
          <w:bCs/>
          <w:i/>
          <w:iCs/>
        </w:rPr>
        <w:t>Student Name:  Pratap Chauhan</w:t>
      </w:r>
    </w:p>
    <w:p w14:paraId="158477F1" w14:textId="77777777" w:rsidR="00C779E4" w:rsidRDefault="00C779E4" w:rsidP="00C779E4">
      <w:pPr>
        <w:jc w:val="center"/>
        <w:rPr>
          <w:b/>
          <w:bCs/>
          <w:i/>
          <w:iCs/>
        </w:rPr>
      </w:pPr>
    </w:p>
    <w:p w14:paraId="15FA0B6E" w14:textId="77777777" w:rsidR="00C779E4" w:rsidRDefault="00C779E4" w:rsidP="00C779E4">
      <w:pPr>
        <w:jc w:val="center"/>
        <w:rPr>
          <w:b/>
          <w:bCs/>
          <w:i/>
          <w:iCs/>
        </w:rPr>
      </w:pPr>
    </w:p>
    <w:p w14:paraId="34953B40" w14:textId="77777777" w:rsidR="00C779E4" w:rsidRDefault="00C779E4" w:rsidP="00C779E4">
      <w:pPr>
        <w:jc w:val="center"/>
        <w:rPr>
          <w:b/>
          <w:bCs/>
          <w:i/>
          <w:iCs/>
        </w:rPr>
      </w:pPr>
      <w:r>
        <w:rPr>
          <w:b/>
          <w:bCs/>
          <w:i/>
          <w:iCs/>
        </w:rPr>
        <w:t>Student ID: 2436029</w:t>
      </w:r>
    </w:p>
    <w:p w14:paraId="5C0EDA3E" w14:textId="77777777" w:rsidR="00C779E4" w:rsidRDefault="00C779E4" w:rsidP="00C779E4">
      <w:pPr>
        <w:jc w:val="center"/>
        <w:rPr>
          <w:b/>
          <w:bCs/>
          <w:i/>
          <w:iCs/>
        </w:rPr>
      </w:pPr>
    </w:p>
    <w:p w14:paraId="40D76E1D" w14:textId="77777777" w:rsidR="00C779E4" w:rsidRDefault="00C779E4" w:rsidP="00C779E4">
      <w:pPr>
        <w:jc w:val="center"/>
        <w:rPr>
          <w:b/>
          <w:bCs/>
          <w:i/>
          <w:iCs/>
        </w:rPr>
      </w:pPr>
    </w:p>
    <w:p w14:paraId="23A83676" w14:textId="77777777" w:rsidR="00C779E4" w:rsidRDefault="00C779E4" w:rsidP="00C779E4">
      <w:pPr>
        <w:jc w:val="center"/>
        <w:rPr>
          <w:b/>
          <w:bCs/>
          <w:i/>
          <w:iCs/>
        </w:rPr>
      </w:pPr>
      <w:r>
        <w:rPr>
          <w:b/>
          <w:bCs/>
          <w:i/>
          <w:iCs/>
        </w:rPr>
        <w:t>Submission date 25</w:t>
      </w:r>
      <w:r w:rsidRPr="002E5F9E">
        <w:rPr>
          <w:b/>
          <w:bCs/>
          <w:i/>
          <w:iCs/>
          <w:vertAlign w:val="superscript"/>
        </w:rPr>
        <w:t>th</w:t>
      </w:r>
      <w:r>
        <w:rPr>
          <w:b/>
          <w:bCs/>
          <w:i/>
          <w:iCs/>
        </w:rPr>
        <w:t xml:space="preserve"> September 2026</w:t>
      </w:r>
    </w:p>
    <w:p w14:paraId="5E820C09" w14:textId="77777777" w:rsidR="00ED1AB2" w:rsidRDefault="00ED1AB2" w:rsidP="00C779E4">
      <w:pPr>
        <w:pStyle w:val="Normal1"/>
        <w:spacing w:line="360" w:lineRule="auto"/>
        <w:rPr>
          <w:rFonts w:ascii="Times New Roman" w:eastAsia="Times New Roman" w:hAnsi="Times New Roman" w:cs="Times New Roman"/>
          <w:b/>
          <w:bCs/>
          <w:sz w:val="32"/>
          <w:szCs w:val="24"/>
          <w:lang w:val="en-GB"/>
        </w:rPr>
      </w:pPr>
    </w:p>
    <w:p w14:paraId="7EFA0E71" w14:textId="77777777" w:rsidR="00C779E4" w:rsidRPr="004774D7" w:rsidRDefault="00C779E4" w:rsidP="00C779E4">
      <w:pPr>
        <w:pStyle w:val="Normal1"/>
        <w:spacing w:line="360" w:lineRule="auto"/>
        <w:rPr>
          <w:rFonts w:ascii="Times New Roman" w:eastAsia="Times New Roman" w:hAnsi="Times New Roman" w:cs="Times New Roman"/>
          <w:b/>
          <w:bCs/>
          <w:sz w:val="32"/>
          <w:szCs w:val="24"/>
          <w:lang w:val="en-GB"/>
        </w:rPr>
      </w:pPr>
    </w:p>
    <w:p w14:paraId="3E148CDC" w14:textId="77777777" w:rsidR="00ED1AB2" w:rsidRPr="004774D7" w:rsidRDefault="00ED1AB2" w:rsidP="00973765">
      <w:pPr>
        <w:pStyle w:val="Normal1"/>
        <w:spacing w:line="360" w:lineRule="auto"/>
        <w:jc w:val="center"/>
        <w:rPr>
          <w:rFonts w:ascii="Times New Roman" w:eastAsia="Times New Roman" w:hAnsi="Times New Roman" w:cs="Times New Roman"/>
          <w:b/>
          <w:bCs/>
          <w:sz w:val="32"/>
          <w:szCs w:val="24"/>
          <w:lang w:val="en-GB"/>
        </w:rPr>
      </w:pPr>
    </w:p>
    <w:p w14:paraId="356CBAB9" w14:textId="5B130F16" w:rsidR="00973765" w:rsidRPr="004774D7" w:rsidRDefault="00C17ADC" w:rsidP="00973765">
      <w:pPr>
        <w:pStyle w:val="Normal1"/>
        <w:spacing w:line="360" w:lineRule="auto"/>
        <w:jc w:val="center"/>
        <w:rPr>
          <w:rFonts w:ascii="Times New Roman" w:eastAsia="Times New Roman" w:hAnsi="Times New Roman" w:cs="Times New Roman"/>
          <w:b/>
          <w:bCs/>
          <w:sz w:val="32"/>
          <w:szCs w:val="24"/>
          <w:lang w:val="en-GB"/>
        </w:rPr>
      </w:pPr>
      <w:r w:rsidRPr="004774D7">
        <w:rPr>
          <w:rFonts w:ascii="Times New Roman" w:eastAsia="Times New Roman" w:hAnsi="Times New Roman" w:cs="Times New Roman"/>
          <w:b/>
          <w:bCs/>
          <w:sz w:val="32"/>
          <w:szCs w:val="24"/>
          <w:lang w:val="en-GB"/>
        </w:rPr>
        <w:lastRenderedPageBreak/>
        <w:t>I</w:t>
      </w:r>
      <w:r w:rsidR="00EB6AFA" w:rsidRPr="004774D7">
        <w:rPr>
          <w:rFonts w:ascii="Times New Roman" w:eastAsia="Times New Roman" w:hAnsi="Times New Roman" w:cs="Times New Roman"/>
          <w:b/>
          <w:bCs/>
          <w:sz w:val="32"/>
          <w:szCs w:val="24"/>
          <w:lang w:val="en-GB"/>
        </w:rPr>
        <w:t>NVESTIGATION INTO HOW NGO'S OVERCOME FUNDING CHALLENGES IN AN</w:t>
      </w:r>
      <w:r w:rsidR="00B246DD" w:rsidRPr="004774D7">
        <w:rPr>
          <w:rFonts w:ascii="Times New Roman" w:eastAsia="Times New Roman" w:hAnsi="Times New Roman" w:cs="Times New Roman"/>
          <w:b/>
          <w:bCs/>
          <w:sz w:val="32"/>
          <w:szCs w:val="24"/>
          <w:lang w:val="en-GB"/>
        </w:rPr>
        <w:t xml:space="preserve"> </w:t>
      </w:r>
      <w:r w:rsidR="00EB6AFA" w:rsidRPr="004774D7">
        <w:rPr>
          <w:rFonts w:ascii="Times New Roman" w:eastAsia="Times New Roman" w:hAnsi="Times New Roman" w:cs="Times New Roman"/>
          <w:b/>
          <w:bCs/>
          <w:sz w:val="32"/>
          <w:szCs w:val="24"/>
          <w:lang w:val="en-GB"/>
        </w:rPr>
        <w:t>AID CUT BACK ERA</w:t>
      </w:r>
    </w:p>
    <w:p w14:paraId="4D1E6C04" w14:textId="77777777" w:rsidR="00973765" w:rsidRPr="004774D7" w:rsidRDefault="00973765" w:rsidP="00973765">
      <w:pPr>
        <w:spacing w:line="360" w:lineRule="auto"/>
        <w:rPr>
          <w:rFonts w:ascii="Times New Roman" w:eastAsia="Times New Roman" w:hAnsi="Times New Roman" w:cs="Times New Roman"/>
          <w:b/>
          <w:bCs/>
          <w:sz w:val="32"/>
          <w:szCs w:val="24"/>
        </w:rPr>
      </w:pPr>
      <w:r w:rsidRPr="004774D7">
        <w:rPr>
          <w:rFonts w:ascii="Times New Roman" w:eastAsia="Times New Roman" w:hAnsi="Times New Roman" w:cs="Times New Roman"/>
          <w:b/>
          <w:bCs/>
          <w:sz w:val="32"/>
          <w:szCs w:val="24"/>
        </w:rPr>
        <w:br w:type="page"/>
      </w:r>
    </w:p>
    <w:p w14:paraId="66B8E482" w14:textId="77777777" w:rsidR="00973765" w:rsidRPr="001F0161" w:rsidRDefault="00973765" w:rsidP="00973765">
      <w:pPr>
        <w:pStyle w:val="Heading1"/>
      </w:pPr>
      <w:bookmarkStart w:id="0" w:name="_Toc239424034"/>
      <w:r w:rsidRPr="004774D7">
        <w:rPr>
          <w:color w:val="000000"/>
        </w:rPr>
        <w:lastRenderedPageBreak/>
        <w:t>ACKNOWLEDGMENTS</w:t>
      </w:r>
      <w:bookmarkEnd w:id="0"/>
    </w:p>
    <w:p w14:paraId="5E2339FF" w14:textId="77777777" w:rsidR="00973765" w:rsidRPr="001F0161" w:rsidRDefault="00973765" w:rsidP="00973765">
      <w:pPr>
        <w:pStyle w:val="NormalWeb"/>
        <w:spacing w:before="0" w:beforeAutospacing="0" w:after="0" w:afterAutospacing="0" w:line="360" w:lineRule="auto"/>
        <w:jc w:val="both"/>
        <w:rPr>
          <w:lang w:val="en-GB"/>
        </w:rPr>
      </w:pPr>
      <w:r w:rsidRPr="001F0161">
        <w:rPr>
          <w:color w:val="000000"/>
          <w:lang w:val="en-GB"/>
        </w:rPr>
        <w:t>I would also like to thank my supervisor and professors for their guidance and feedback in this research. I would also like to express my sincere gratitude to my fellow peers for their constructive comments and ideas. Last but not least, I am greatly thankful to my parents, who had shown me constant encouragement and sacrifices throughout this study and continued to believe in me, unconditionally.</w:t>
      </w:r>
    </w:p>
    <w:p w14:paraId="0874E5A0" w14:textId="77777777" w:rsidR="00973765" w:rsidRPr="004774D7" w:rsidRDefault="00973765" w:rsidP="00973765">
      <w:pPr>
        <w:spacing w:line="360" w:lineRule="auto"/>
        <w:rPr>
          <w:rFonts w:ascii="Times New Roman" w:hAnsi="Times New Roman" w:cs="Times New Roman"/>
        </w:rPr>
      </w:pPr>
    </w:p>
    <w:p w14:paraId="0799D384" w14:textId="77777777" w:rsidR="00973765" w:rsidRPr="001F0161" w:rsidRDefault="00973765" w:rsidP="00973765">
      <w:pPr>
        <w:pStyle w:val="NormalWeb"/>
        <w:spacing w:before="0" w:beforeAutospacing="0" w:after="0" w:afterAutospacing="0" w:line="360" w:lineRule="auto"/>
        <w:jc w:val="both"/>
        <w:rPr>
          <w:lang w:val="en-GB"/>
        </w:rPr>
      </w:pPr>
      <w:r w:rsidRPr="001F0161">
        <w:rPr>
          <w:color w:val="000000"/>
          <w:lang w:val="en-GB"/>
        </w:rPr>
        <w:t>Thanking you,</w:t>
      </w:r>
    </w:p>
    <w:p w14:paraId="33541EC2" w14:textId="77777777" w:rsidR="00973765" w:rsidRPr="004774D7" w:rsidRDefault="00973765" w:rsidP="00973765">
      <w:pPr>
        <w:spacing w:after="240" w:line="360" w:lineRule="auto"/>
        <w:rPr>
          <w:rFonts w:ascii="Times New Roman" w:hAnsi="Times New Roman" w:cs="Times New Roman"/>
        </w:rPr>
      </w:pPr>
    </w:p>
    <w:p w14:paraId="576CE05C" w14:textId="77777777" w:rsidR="00973765" w:rsidRPr="004774D7" w:rsidRDefault="00973765" w:rsidP="00973765">
      <w:pPr>
        <w:spacing w:line="360" w:lineRule="auto"/>
        <w:rPr>
          <w:rFonts w:ascii="Times New Roman" w:eastAsia="Times New Roman" w:hAnsi="Times New Roman" w:cs="Times New Roman"/>
          <w:b/>
          <w:bCs/>
          <w:color w:val="000000"/>
          <w:sz w:val="28"/>
          <w:szCs w:val="28"/>
        </w:rPr>
      </w:pPr>
      <w:r w:rsidRPr="004774D7">
        <w:rPr>
          <w:rFonts w:ascii="Times New Roman" w:hAnsi="Times New Roman" w:cs="Times New Roman"/>
          <w:color w:val="000000"/>
        </w:rPr>
        <w:br w:type="page"/>
      </w:r>
    </w:p>
    <w:p w14:paraId="3D2CCDF8" w14:textId="1AC37504" w:rsidR="00973765" w:rsidRPr="005E6381" w:rsidRDefault="00973765" w:rsidP="00973765">
      <w:pPr>
        <w:pStyle w:val="Heading1"/>
      </w:pPr>
      <w:bookmarkStart w:id="1" w:name="_Toc239424035"/>
      <w:r w:rsidRPr="005E6381">
        <w:rPr>
          <w:color w:val="000000"/>
        </w:rPr>
        <w:lastRenderedPageBreak/>
        <w:t>ABSTRACT</w:t>
      </w:r>
      <w:bookmarkEnd w:id="1"/>
    </w:p>
    <w:p w14:paraId="7AE68698" w14:textId="6B7BAE73" w:rsidR="00973765" w:rsidRPr="001F0161" w:rsidRDefault="00973765" w:rsidP="00973765">
      <w:pPr>
        <w:pStyle w:val="NormalWeb"/>
        <w:spacing w:before="0" w:beforeAutospacing="0" w:after="0" w:afterAutospacing="0" w:line="360" w:lineRule="auto"/>
        <w:jc w:val="both"/>
        <w:rPr>
          <w:lang w:val="en-GB"/>
        </w:rPr>
      </w:pPr>
      <w:r w:rsidRPr="001F0161">
        <w:rPr>
          <w:color w:val="000000"/>
          <w:lang w:val="en-GB"/>
        </w:rPr>
        <w:t xml:space="preserve">Structural vulnerability of grassroots non-governmental organisations in the developing world has been deepened by the worldwide scaling back of official development assistance and international grant funding. </w:t>
      </w:r>
      <w:r w:rsidR="00A62677" w:rsidRPr="001F0161">
        <w:rPr>
          <w:color w:val="000000"/>
          <w:lang w:val="en-GB"/>
        </w:rPr>
        <w:t xml:space="preserve">The financial difficulties grass root </w:t>
      </w:r>
      <w:r w:rsidR="00236042" w:rsidRPr="001F0161">
        <w:rPr>
          <w:color w:val="000000"/>
          <w:lang w:val="en-GB"/>
        </w:rPr>
        <w:t>non-government</w:t>
      </w:r>
      <w:r w:rsidR="00A62677" w:rsidRPr="001F0161">
        <w:rPr>
          <w:color w:val="000000"/>
          <w:lang w:val="en-GB"/>
        </w:rPr>
        <w:t xml:space="preserve"> organisations (NGO) are facing is explored in this paper, in the context of a global retrenchment in foreign aid and the need to maintain operational integrity, sustainability and mission. The main research question is whether NGOs use alternative funding sources to overcome reduced funding from abroad and what effect this has on the sustainability of their organizations. A reflexive thematic analysis of primary qualitative data was conducted, the use of structured face-to-face questionnaires, and an inductive research design, informed by an interpretivist philosophy, was adopted for collecting primary qualitative data from a purposive sample of five experienced sector experts.  Empirical investigation will centre on the grassroot performance of one Section 8 non-profit, the First Generation Leadership Foundation (FGLF), which has engaged with local institutional partners to attract and unlock ₹5.5+ crore of scholarships for 1,500+ students. The main beneficiaries and the primary victims of international funding reductions are the first-generation learners of poor sanitation working families (Valmiki community), who suffer from worsening educational inequality and are stuck in generations of miserable caste-based manual labour when the grant-financed programmes end. Faced with severe funding pressures due to donor retrenchment, donor fatigue and the risk of mission drift on commercial motives, FGLF is misplacing foreign funding by tapping into donor-based philanthropy, regional HNWIs, statutory Corporate Social Responsibility (CSR) arrangements, and cross-subsidised social enterprise projects. Overall results show that FGLF ensures operational resilience by streamlining the administrative process, expanding the youth volunteer network (more than 1,000 youth), and establishing MoUs for cost sharing with the Ahmedabad Municipal School Board and local colleges with alumni volunteers who serve as peer mentors. Mission drift is effectively avoided with values-based governance, board level donor vetting and beneficiary advisory committees.</w:t>
      </w:r>
    </w:p>
    <w:p w14:paraId="78C67DCF" w14:textId="77777777" w:rsidR="00973765" w:rsidRPr="004774D7" w:rsidRDefault="00973765" w:rsidP="00973765">
      <w:pPr>
        <w:spacing w:after="240" w:line="360" w:lineRule="auto"/>
        <w:rPr>
          <w:rFonts w:ascii="Times New Roman" w:hAnsi="Times New Roman" w:cs="Times New Roman"/>
        </w:rPr>
      </w:pPr>
    </w:p>
    <w:p w14:paraId="27442D24" w14:textId="3BAD357F" w:rsidR="0050244B" w:rsidRPr="004774D7" w:rsidRDefault="00973765" w:rsidP="008C209F">
      <w:pPr>
        <w:pStyle w:val="NormalWeb"/>
        <w:spacing w:before="0" w:beforeAutospacing="0" w:after="0" w:afterAutospacing="0" w:line="360" w:lineRule="auto"/>
        <w:jc w:val="both"/>
        <w:rPr>
          <w:b/>
          <w:bCs/>
          <w:lang w:val="en-GB"/>
        </w:rPr>
      </w:pPr>
      <w:r w:rsidRPr="001F0161">
        <w:rPr>
          <w:b/>
          <w:bCs/>
          <w:i/>
          <w:iCs/>
          <w:color w:val="000000"/>
          <w:lang w:val="en-GB"/>
        </w:rPr>
        <w:t xml:space="preserve">Keywords: </w:t>
      </w:r>
      <w:r w:rsidRPr="001F0161">
        <w:rPr>
          <w:i/>
          <w:iCs/>
          <w:color w:val="000000"/>
          <w:lang w:val="en-GB"/>
        </w:rPr>
        <w:t>Non-Governmental Organizations (NGOs), Foreign Aid Retrenchment, Financial Resilience, Resource Mobilization, Domestic Philanthropy, Mission Drift, Strategic Partnerships, Social Enterprise  </w:t>
      </w:r>
      <w:r w:rsidR="0004031D" w:rsidRPr="004774D7">
        <w:rPr>
          <w:lang w:val="en-GB"/>
        </w:rPr>
        <w:br w:type="page"/>
      </w:r>
    </w:p>
    <w:sdt>
      <w:sdtPr>
        <w:rPr>
          <w:rFonts w:ascii="Times New Roman" w:eastAsia="Arial" w:hAnsi="Times New Roman" w:cs="Times New Roman"/>
          <w:b w:val="0"/>
          <w:bCs w:val="0"/>
          <w:color w:val="auto"/>
          <w:sz w:val="24"/>
          <w:szCs w:val="24"/>
          <w:lang w:val="en-GB"/>
        </w:rPr>
        <w:id w:val="243921297"/>
        <w:docPartObj>
          <w:docPartGallery w:val="Table of Contents"/>
          <w:docPartUnique/>
        </w:docPartObj>
      </w:sdtPr>
      <w:sdtEndPr/>
      <w:sdtContent>
        <w:p w14:paraId="7D848110" w14:textId="77777777" w:rsidR="001D5E43" w:rsidRPr="004774D7" w:rsidRDefault="001D5E43" w:rsidP="00973765">
          <w:pPr>
            <w:pStyle w:val="TOCHeading"/>
            <w:spacing w:before="0" w:line="360" w:lineRule="auto"/>
            <w:jc w:val="center"/>
            <w:rPr>
              <w:rFonts w:ascii="Times New Roman" w:hAnsi="Times New Roman" w:cs="Times New Roman"/>
              <w:color w:val="auto"/>
              <w:sz w:val="24"/>
              <w:szCs w:val="24"/>
              <w:lang w:val="en-GB"/>
            </w:rPr>
          </w:pPr>
          <w:r w:rsidRPr="004774D7">
            <w:rPr>
              <w:rFonts w:ascii="Times New Roman" w:hAnsi="Times New Roman" w:cs="Times New Roman"/>
              <w:color w:val="auto"/>
              <w:szCs w:val="24"/>
              <w:lang w:val="en-GB"/>
            </w:rPr>
            <w:t>Table of Contents</w:t>
          </w:r>
        </w:p>
        <w:p w14:paraId="1EC5AC25" w14:textId="57D3E3E0" w:rsidR="00E104C5" w:rsidRPr="001F0161" w:rsidRDefault="001D5E43"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r w:rsidRPr="004774D7">
            <w:rPr>
              <w:rFonts w:ascii="Times New Roman" w:hAnsi="Times New Roman" w:cs="Times New Roman"/>
              <w:sz w:val="24"/>
              <w:szCs w:val="24"/>
            </w:rPr>
            <w:fldChar w:fldCharType="begin"/>
          </w:r>
          <w:r w:rsidRPr="001F0161">
            <w:rPr>
              <w:rFonts w:ascii="Times New Roman" w:hAnsi="Times New Roman" w:cs="Times New Roman"/>
              <w:sz w:val="24"/>
              <w:szCs w:val="24"/>
            </w:rPr>
            <w:instrText xml:space="preserve"> TOC \o "1-3" \h \z \u </w:instrText>
          </w:r>
          <w:r w:rsidRPr="004774D7">
            <w:rPr>
              <w:rFonts w:ascii="Times New Roman" w:hAnsi="Times New Roman" w:cs="Times New Roman"/>
              <w:sz w:val="24"/>
              <w:szCs w:val="24"/>
            </w:rPr>
            <w:fldChar w:fldCharType="separate"/>
          </w:r>
          <w:hyperlink w:anchor="_Toc239424034" w:history="1">
            <w:r w:rsidR="00E104C5" w:rsidRPr="001F0161">
              <w:rPr>
                <w:rStyle w:val="Hyperlink"/>
                <w:rFonts w:ascii="Times New Roman" w:hAnsi="Times New Roman" w:cs="Times New Roman"/>
                <w:noProof/>
                <w:sz w:val="24"/>
                <w:szCs w:val="24"/>
              </w:rPr>
              <w:t>ACKNOWLEDGMENTS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w:t>
            </w:r>
            <w:r w:rsidR="00E104C5" w:rsidRPr="001F0161">
              <w:rPr>
                <w:rFonts w:ascii="Times New Roman" w:hAnsi="Times New Roman" w:cs="Times New Roman"/>
                <w:noProof/>
                <w:webHidden/>
                <w:sz w:val="24"/>
                <w:szCs w:val="24"/>
              </w:rPr>
              <w:fldChar w:fldCharType="end"/>
            </w:r>
          </w:hyperlink>
        </w:p>
        <w:p w14:paraId="2069D7C4" w14:textId="20AB3F70"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35" w:history="1">
            <w:r w:rsidR="00E104C5" w:rsidRPr="001F0161">
              <w:rPr>
                <w:rStyle w:val="Hyperlink"/>
                <w:rFonts w:ascii="Times New Roman" w:hAnsi="Times New Roman" w:cs="Times New Roman"/>
                <w:noProof/>
                <w:sz w:val="24"/>
                <w:szCs w:val="24"/>
              </w:rPr>
              <w:t>ABSTRACT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w:t>
            </w:r>
            <w:r w:rsidR="00E104C5" w:rsidRPr="001F0161">
              <w:rPr>
                <w:rFonts w:ascii="Times New Roman" w:hAnsi="Times New Roman" w:cs="Times New Roman"/>
                <w:noProof/>
                <w:webHidden/>
                <w:sz w:val="24"/>
                <w:szCs w:val="24"/>
              </w:rPr>
              <w:fldChar w:fldCharType="end"/>
            </w:r>
          </w:hyperlink>
        </w:p>
        <w:p w14:paraId="17874941" w14:textId="6D0E3E90"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36" w:history="1">
            <w:r w:rsidR="00E104C5" w:rsidRPr="001F0161">
              <w:rPr>
                <w:rStyle w:val="Hyperlink"/>
                <w:rFonts w:ascii="Times New Roman" w:hAnsi="Times New Roman" w:cs="Times New Roman"/>
                <w:noProof/>
                <w:sz w:val="24"/>
                <w:szCs w:val="24"/>
              </w:rPr>
              <w:t>CHAPTER 1: INTRODUCTION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7</w:t>
            </w:r>
            <w:r w:rsidR="00E104C5" w:rsidRPr="001F0161">
              <w:rPr>
                <w:rFonts w:ascii="Times New Roman" w:hAnsi="Times New Roman" w:cs="Times New Roman"/>
                <w:noProof/>
                <w:webHidden/>
                <w:sz w:val="24"/>
                <w:szCs w:val="24"/>
              </w:rPr>
              <w:fldChar w:fldCharType="end"/>
            </w:r>
          </w:hyperlink>
        </w:p>
        <w:p w14:paraId="3C120E4B" w14:textId="7A6FBBCE"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37" w:history="1">
            <w:r w:rsidR="00E104C5" w:rsidRPr="001F0161">
              <w:rPr>
                <w:rStyle w:val="Hyperlink"/>
                <w:rFonts w:ascii="Times New Roman" w:hAnsi="Times New Roman" w:cs="Times New Roman"/>
                <w:noProof/>
                <w:sz w:val="24"/>
                <w:szCs w:val="24"/>
              </w:rPr>
              <w:t>1.1 Research background</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7</w:t>
            </w:r>
            <w:r w:rsidR="00E104C5" w:rsidRPr="001F0161">
              <w:rPr>
                <w:rFonts w:ascii="Times New Roman" w:hAnsi="Times New Roman" w:cs="Times New Roman"/>
                <w:noProof/>
                <w:webHidden/>
                <w:sz w:val="24"/>
                <w:szCs w:val="24"/>
              </w:rPr>
              <w:fldChar w:fldCharType="end"/>
            </w:r>
          </w:hyperlink>
        </w:p>
        <w:p w14:paraId="1BBB1842" w14:textId="21A1BECB"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38" w:history="1">
            <w:r w:rsidR="00E104C5" w:rsidRPr="001F0161">
              <w:rPr>
                <w:rStyle w:val="Hyperlink"/>
                <w:rFonts w:ascii="Times New Roman" w:hAnsi="Times New Roman" w:cs="Times New Roman"/>
                <w:noProof/>
                <w:sz w:val="24"/>
                <w:szCs w:val="24"/>
              </w:rPr>
              <w:t>1.2 Problem statement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7</w:t>
            </w:r>
            <w:r w:rsidR="00E104C5" w:rsidRPr="001F0161">
              <w:rPr>
                <w:rFonts w:ascii="Times New Roman" w:hAnsi="Times New Roman" w:cs="Times New Roman"/>
                <w:noProof/>
                <w:webHidden/>
                <w:sz w:val="24"/>
                <w:szCs w:val="24"/>
              </w:rPr>
              <w:fldChar w:fldCharType="end"/>
            </w:r>
          </w:hyperlink>
        </w:p>
        <w:p w14:paraId="739E5A9D" w14:textId="7480E329"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39" w:history="1">
            <w:r w:rsidR="00E104C5" w:rsidRPr="001F0161">
              <w:rPr>
                <w:rStyle w:val="Hyperlink"/>
                <w:rFonts w:ascii="Times New Roman" w:hAnsi="Times New Roman" w:cs="Times New Roman"/>
                <w:noProof/>
                <w:sz w:val="24"/>
                <w:szCs w:val="24"/>
              </w:rPr>
              <w:t>1.3 Rationale of the research</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_Toc239424039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9</w:t>
            </w:r>
            <w:r w:rsidR="00E104C5" w:rsidRPr="001F0161">
              <w:rPr>
                <w:rFonts w:ascii="Times New Roman" w:hAnsi="Times New Roman" w:cs="Times New Roman"/>
                <w:noProof/>
                <w:webHidden/>
                <w:sz w:val="24"/>
                <w:szCs w:val="24"/>
              </w:rPr>
              <w:fldChar w:fldCharType="end"/>
            </w:r>
          </w:hyperlink>
        </w:p>
        <w:p w14:paraId="1D07338C" w14:textId="436F3DBB"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0" w:history="1">
            <w:r w:rsidR="00E104C5" w:rsidRPr="001F0161">
              <w:rPr>
                <w:rStyle w:val="Hyperlink"/>
                <w:rFonts w:ascii="Times New Roman" w:hAnsi="Times New Roman" w:cs="Times New Roman"/>
                <w:noProof/>
                <w:sz w:val="24"/>
                <w:szCs w:val="24"/>
              </w:rPr>
              <w:t>1.4 Research aim and objectives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10</w:t>
            </w:r>
            <w:r w:rsidR="00E104C5" w:rsidRPr="001F0161">
              <w:rPr>
                <w:rFonts w:ascii="Times New Roman" w:hAnsi="Times New Roman" w:cs="Times New Roman"/>
                <w:noProof/>
                <w:webHidden/>
                <w:sz w:val="24"/>
                <w:szCs w:val="24"/>
              </w:rPr>
              <w:fldChar w:fldCharType="end"/>
            </w:r>
          </w:hyperlink>
        </w:p>
        <w:p w14:paraId="385134BD" w14:textId="21ADEC63"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1" w:history="1">
            <w:r w:rsidR="00E104C5" w:rsidRPr="001F0161">
              <w:rPr>
                <w:rStyle w:val="Hyperlink"/>
                <w:rFonts w:ascii="Times New Roman" w:hAnsi="Times New Roman" w:cs="Times New Roman"/>
                <w:noProof/>
                <w:sz w:val="24"/>
                <w:szCs w:val="24"/>
              </w:rPr>
              <w:t>1.5 Research questions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10</w:t>
            </w:r>
            <w:r w:rsidR="00E104C5" w:rsidRPr="001F0161">
              <w:rPr>
                <w:rFonts w:ascii="Times New Roman" w:hAnsi="Times New Roman" w:cs="Times New Roman"/>
                <w:noProof/>
                <w:webHidden/>
                <w:sz w:val="24"/>
                <w:szCs w:val="24"/>
              </w:rPr>
              <w:fldChar w:fldCharType="end"/>
            </w:r>
          </w:hyperlink>
        </w:p>
        <w:p w14:paraId="1E60F6F3" w14:textId="777B2F01"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2" w:history="1">
            <w:r w:rsidR="00E104C5" w:rsidRPr="001F0161">
              <w:rPr>
                <w:rStyle w:val="Hyperlink"/>
                <w:rFonts w:ascii="Times New Roman" w:hAnsi="Times New Roman" w:cs="Times New Roman"/>
                <w:noProof/>
                <w:sz w:val="24"/>
                <w:szCs w:val="24"/>
              </w:rPr>
              <w:t>1.6 Significance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10</w:t>
            </w:r>
            <w:r w:rsidR="00E104C5" w:rsidRPr="001F0161">
              <w:rPr>
                <w:rFonts w:ascii="Times New Roman" w:hAnsi="Times New Roman" w:cs="Times New Roman"/>
                <w:noProof/>
                <w:webHidden/>
                <w:sz w:val="24"/>
                <w:szCs w:val="24"/>
              </w:rPr>
              <w:fldChar w:fldCharType="end"/>
            </w:r>
          </w:hyperlink>
        </w:p>
        <w:p w14:paraId="08EE9C47" w14:textId="336E7337"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3" w:history="1">
            <w:r w:rsidR="00E104C5" w:rsidRPr="001F0161">
              <w:rPr>
                <w:rStyle w:val="Hyperlink"/>
                <w:rFonts w:ascii="Times New Roman" w:hAnsi="Times New Roman" w:cs="Times New Roman"/>
                <w:noProof/>
                <w:sz w:val="24"/>
                <w:szCs w:val="24"/>
              </w:rPr>
              <w:t>1.7 Theoretical overview</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11</w:t>
            </w:r>
            <w:r w:rsidR="00E104C5" w:rsidRPr="001F0161">
              <w:rPr>
                <w:rFonts w:ascii="Times New Roman" w:hAnsi="Times New Roman" w:cs="Times New Roman"/>
                <w:noProof/>
                <w:webHidden/>
                <w:sz w:val="24"/>
                <w:szCs w:val="24"/>
              </w:rPr>
              <w:fldChar w:fldCharType="end"/>
            </w:r>
          </w:hyperlink>
        </w:p>
        <w:p w14:paraId="44EDF4A8" w14:textId="4D438B6F"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4" w:history="1">
            <w:r w:rsidR="00E104C5" w:rsidRPr="001F0161">
              <w:rPr>
                <w:rStyle w:val="Hyperlink"/>
                <w:rFonts w:ascii="Times New Roman" w:hAnsi="Times New Roman" w:cs="Times New Roman"/>
                <w:noProof/>
                <w:sz w:val="24"/>
                <w:szCs w:val="24"/>
              </w:rPr>
              <w:t>1.8 Structure of the research</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11</w:t>
            </w:r>
            <w:r w:rsidR="00E104C5" w:rsidRPr="001F0161">
              <w:rPr>
                <w:rFonts w:ascii="Times New Roman" w:hAnsi="Times New Roman" w:cs="Times New Roman"/>
                <w:noProof/>
                <w:webHidden/>
                <w:sz w:val="24"/>
                <w:szCs w:val="24"/>
              </w:rPr>
              <w:fldChar w:fldCharType="end"/>
            </w:r>
          </w:hyperlink>
        </w:p>
        <w:p w14:paraId="77CFB8F4" w14:textId="13289CCD"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5" w:history="1">
            <w:r w:rsidR="00E104C5" w:rsidRPr="001F0161">
              <w:rPr>
                <w:rStyle w:val="Hyperlink"/>
                <w:rFonts w:ascii="Times New Roman" w:hAnsi="Times New Roman" w:cs="Times New Roman"/>
                <w:noProof/>
                <w:sz w:val="24"/>
                <w:szCs w:val="24"/>
              </w:rPr>
              <w:t>CHAPTER 2: LITERATURE REVIEW</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13</w:t>
            </w:r>
            <w:r w:rsidR="00E104C5" w:rsidRPr="001F0161">
              <w:rPr>
                <w:rFonts w:ascii="Times New Roman" w:hAnsi="Times New Roman" w:cs="Times New Roman"/>
                <w:noProof/>
                <w:webHidden/>
                <w:sz w:val="24"/>
                <w:szCs w:val="24"/>
              </w:rPr>
              <w:fldChar w:fldCharType="end"/>
            </w:r>
          </w:hyperlink>
        </w:p>
        <w:p w14:paraId="76F7665E" w14:textId="58519B25"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6" w:history="1">
            <w:r w:rsidR="00E104C5" w:rsidRPr="001F0161">
              <w:rPr>
                <w:rStyle w:val="Hyperlink"/>
                <w:rFonts w:ascii="Times New Roman" w:hAnsi="Times New Roman" w:cs="Times New Roman"/>
                <w:noProof/>
                <w:sz w:val="24"/>
                <w:szCs w:val="24"/>
              </w:rPr>
              <w:t>2.1 Introduction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13</w:t>
            </w:r>
            <w:r w:rsidR="00E104C5" w:rsidRPr="001F0161">
              <w:rPr>
                <w:rFonts w:ascii="Times New Roman" w:hAnsi="Times New Roman" w:cs="Times New Roman"/>
                <w:noProof/>
                <w:webHidden/>
                <w:sz w:val="24"/>
                <w:szCs w:val="24"/>
              </w:rPr>
              <w:fldChar w:fldCharType="end"/>
            </w:r>
          </w:hyperlink>
        </w:p>
        <w:p w14:paraId="0C1F1C90" w14:textId="67A7E6F0"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7" w:history="1">
            <w:r w:rsidR="00E104C5" w:rsidRPr="001F0161">
              <w:rPr>
                <w:rStyle w:val="Hyperlink"/>
                <w:rFonts w:ascii="Times New Roman" w:hAnsi="Times New Roman" w:cs="Times New Roman"/>
                <w:noProof/>
                <w:sz w:val="24"/>
                <w:szCs w:val="24"/>
              </w:rPr>
              <w:t>2.2 Key Themes in NGO Financial Adaptation and Retrenchment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13</w:t>
            </w:r>
            <w:r w:rsidR="00E104C5" w:rsidRPr="001F0161">
              <w:rPr>
                <w:rFonts w:ascii="Times New Roman" w:hAnsi="Times New Roman" w:cs="Times New Roman"/>
                <w:noProof/>
                <w:webHidden/>
                <w:sz w:val="24"/>
                <w:szCs w:val="24"/>
              </w:rPr>
              <w:fldChar w:fldCharType="end"/>
            </w:r>
          </w:hyperlink>
        </w:p>
        <w:p w14:paraId="20976FE5" w14:textId="3198C5DB"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8" w:history="1">
            <w:r w:rsidR="00E104C5" w:rsidRPr="001F0161">
              <w:rPr>
                <w:rStyle w:val="Hyperlink"/>
                <w:rFonts w:ascii="Times New Roman" w:hAnsi="Times New Roman" w:cs="Times New Roman"/>
                <w:noProof/>
                <w:sz w:val="24"/>
                <w:szCs w:val="24"/>
              </w:rPr>
              <w:t>2.2.1 Drivers and Macro-Dynamics of Foreign Aid Retrenchment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13</w:t>
            </w:r>
            <w:r w:rsidR="00E104C5" w:rsidRPr="001F0161">
              <w:rPr>
                <w:rFonts w:ascii="Times New Roman" w:hAnsi="Times New Roman" w:cs="Times New Roman"/>
                <w:noProof/>
                <w:webHidden/>
                <w:sz w:val="24"/>
                <w:szCs w:val="24"/>
              </w:rPr>
              <w:fldChar w:fldCharType="end"/>
            </w:r>
          </w:hyperlink>
        </w:p>
        <w:p w14:paraId="6CAC64C7" w14:textId="75A45BCE"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49" w:history="1">
            <w:r w:rsidR="00E104C5" w:rsidRPr="001F0161">
              <w:rPr>
                <w:rStyle w:val="Hyperlink"/>
                <w:rFonts w:ascii="Times New Roman" w:hAnsi="Times New Roman" w:cs="Times New Roman"/>
                <w:noProof/>
                <w:sz w:val="24"/>
                <w:szCs w:val="24"/>
              </w:rPr>
              <w:t>2.2.2 The Viability and Challenges of Social Enterprise and Earned-Income Models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_Toc239424049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14</w:t>
            </w:r>
            <w:r w:rsidR="00E104C5" w:rsidRPr="001F0161">
              <w:rPr>
                <w:rFonts w:ascii="Times New Roman" w:hAnsi="Times New Roman" w:cs="Times New Roman"/>
                <w:noProof/>
                <w:webHidden/>
                <w:sz w:val="24"/>
                <w:szCs w:val="24"/>
              </w:rPr>
              <w:fldChar w:fldCharType="end"/>
            </w:r>
          </w:hyperlink>
        </w:p>
        <w:p w14:paraId="2CA3162A" w14:textId="147008B2"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0" w:history="1">
            <w:r w:rsidR="00E104C5" w:rsidRPr="001F0161">
              <w:rPr>
                <w:rStyle w:val="Hyperlink"/>
                <w:rFonts w:ascii="Times New Roman" w:hAnsi="Times New Roman" w:cs="Times New Roman"/>
                <w:noProof/>
                <w:sz w:val="24"/>
                <w:szCs w:val="24"/>
              </w:rPr>
              <w:t>2.2.3 Domestic Philanthropy and Local Resource Mobilization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14</w:t>
            </w:r>
            <w:r w:rsidR="00E104C5" w:rsidRPr="001F0161">
              <w:rPr>
                <w:rFonts w:ascii="Times New Roman" w:hAnsi="Times New Roman" w:cs="Times New Roman"/>
                <w:noProof/>
                <w:webHidden/>
                <w:sz w:val="24"/>
                <w:szCs w:val="24"/>
              </w:rPr>
              <w:fldChar w:fldCharType="end"/>
            </w:r>
          </w:hyperlink>
        </w:p>
        <w:p w14:paraId="07960415" w14:textId="0A420178"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1" w:history="1">
            <w:r w:rsidR="00E104C5" w:rsidRPr="001F0161">
              <w:rPr>
                <w:rStyle w:val="Hyperlink"/>
                <w:rFonts w:ascii="Times New Roman" w:hAnsi="Times New Roman" w:cs="Times New Roman"/>
                <w:noProof/>
                <w:sz w:val="24"/>
                <w:szCs w:val="24"/>
              </w:rPr>
              <w:t>2.2.4 Corporate Social Responsibility (CSR) and Private Sector Partnerships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16</w:t>
            </w:r>
            <w:r w:rsidR="00E104C5" w:rsidRPr="001F0161">
              <w:rPr>
                <w:rFonts w:ascii="Times New Roman" w:hAnsi="Times New Roman" w:cs="Times New Roman"/>
                <w:noProof/>
                <w:webHidden/>
                <w:sz w:val="24"/>
                <w:szCs w:val="24"/>
              </w:rPr>
              <w:fldChar w:fldCharType="end"/>
            </w:r>
          </w:hyperlink>
        </w:p>
        <w:p w14:paraId="21273D4C" w14:textId="0C26300C"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2" w:history="1">
            <w:r w:rsidR="00E104C5" w:rsidRPr="001F0161">
              <w:rPr>
                <w:rStyle w:val="Hyperlink"/>
                <w:rFonts w:ascii="Times New Roman" w:hAnsi="Times New Roman" w:cs="Times New Roman"/>
                <w:noProof/>
                <w:sz w:val="24"/>
                <w:szCs w:val="24"/>
              </w:rPr>
              <w:t>2.2.5 Operational Restructuring, Cost Rationalization, and Efficiency Measures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16</w:t>
            </w:r>
            <w:r w:rsidR="00E104C5" w:rsidRPr="001F0161">
              <w:rPr>
                <w:rFonts w:ascii="Times New Roman" w:hAnsi="Times New Roman" w:cs="Times New Roman"/>
                <w:noProof/>
                <w:webHidden/>
                <w:sz w:val="24"/>
                <w:szCs w:val="24"/>
              </w:rPr>
              <w:fldChar w:fldCharType="end"/>
            </w:r>
          </w:hyperlink>
        </w:p>
        <w:p w14:paraId="796751C4" w14:textId="24EFB14D"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3" w:history="1">
            <w:r w:rsidR="00E104C5" w:rsidRPr="001F0161">
              <w:rPr>
                <w:rStyle w:val="Hyperlink"/>
                <w:rFonts w:ascii="Times New Roman" w:hAnsi="Times New Roman" w:cs="Times New Roman"/>
                <w:noProof/>
                <w:sz w:val="24"/>
                <w:szCs w:val="24"/>
              </w:rPr>
              <w:t>2.2.6 The Dynamics of Mission Drift in Market-Driven Adaptation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18</w:t>
            </w:r>
            <w:r w:rsidR="00E104C5" w:rsidRPr="001F0161">
              <w:rPr>
                <w:rFonts w:ascii="Times New Roman" w:hAnsi="Times New Roman" w:cs="Times New Roman"/>
                <w:noProof/>
                <w:webHidden/>
                <w:sz w:val="24"/>
                <w:szCs w:val="24"/>
              </w:rPr>
              <w:fldChar w:fldCharType="end"/>
            </w:r>
          </w:hyperlink>
        </w:p>
        <w:p w14:paraId="0BB8BF26" w14:textId="11C204FA"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4" w:history="1">
            <w:r w:rsidR="00E104C5" w:rsidRPr="001F0161">
              <w:rPr>
                <w:rStyle w:val="Hyperlink"/>
                <w:rFonts w:ascii="Times New Roman" w:hAnsi="Times New Roman" w:cs="Times New Roman"/>
                <w:noProof/>
                <w:sz w:val="24"/>
                <w:szCs w:val="24"/>
              </w:rPr>
              <w:t>2.2.7 Sector Collaboration, Consortium Building, and Resource Pooling</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19</w:t>
            </w:r>
            <w:r w:rsidR="00E104C5" w:rsidRPr="001F0161">
              <w:rPr>
                <w:rFonts w:ascii="Times New Roman" w:hAnsi="Times New Roman" w:cs="Times New Roman"/>
                <w:noProof/>
                <w:webHidden/>
                <w:sz w:val="24"/>
                <w:szCs w:val="24"/>
              </w:rPr>
              <w:fldChar w:fldCharType="end"/>
            </w:r>
          </w:hyperlink>
        </w:p>
        <w:p w14:paraId="4989BA7E" w14:textId="1A7D2846"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5" w:history="1">
            <w:r w:rsidR="00E104C5" w:rsidRPr="001F0161">
              <w:rPr>
                <w:rStyle w:val="Hyperlink"/>
                <w:rFonts w:ascii="Times New Roman" w:hAnsi="Times New Roman" w:cs="Times New Roman"/>
                <w:noProof/>
                <w:sz w:val="24"/>
                <w:szCs w:val="24"/>
              </w:rPr>
              <w:t>2.2.8 Localization, Power Asymmetries, and the "Grand Bargain"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20</w:t>
            </w:r>
            <w:r w:rsidR="00E104C5" w:rsidRPr="001F0161">
              <w:rPr>
                <w:rFonts w:ascii="Times New Roman" w:hAnsi="Times New Roman" w:cs="Times New Roman"/>
                <w:noProof/>
                <w:webHidden/>
                <w:sz w:val="24"/>
                <w:szCs w:val="24"/>
              </w:rPr>
              <w:fldChar w:fldCharType="end"/>
            </w:r>
          </w:hyperlink>
        </w:p>
        <w:p w14:paraId="43C45BA0" w14:textId="6FAAC0E3"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6" w:history="1">
            <w:r w:rsidR="00E104C5" w:rsidRPr="001F0161">
              <w:rPr>
                <w:rStyle w:val="Hyperlink"/>
                <w:rFonts w:ascii="Times New Roman" w:hAnsi="Times New Roman" w:cs="Times New Roman"/>
                <w:noProof/>
                <w:sz w:val="24"/>
                <w:szCs w:val="24"/>
              </w:rPr>
              <w:t>2.2.9 Changing International Aid Environment, Donor Dependency, and NGO Financial Vulnerability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21</w:t>
            </w:r>
            <w:r w:rsidR="00E104C5" w:rsidRPr="001F0161">
              <w:rPr>
                <w:rFonts w:ascii="Times New Roman" w:hAnsi="Times New Roman" w:cs="Times New Roman"/>
                <w:noProof/>
                <w:webHidden/>
                <w:sz w:val="24"/>
                <w:szCs w:val="24"/>
              </w:rPr>
              <w:fldChar w:fldCharType="end"/>
            </w:r>
          </w:hyperlink>
        </w:p>
        <w:p w14:paraId="5EFBD986" w14:textId="736FBCC2"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7" w:history="1">
            <w:r w:rsidR="00E104C5" w:rsidRPr="001F0161">
              <w:rPr>
                <w:rStyle w:val="Hyperlink"/>
                <w:rFonts w:ascii="Times New Roman" w:hAnsi="Times New Roman" w:cs="Times New Roman"/>
                <w:noProof/>
                <w:sz w:val="24"/>
                <w:szCs w:val="24"/>
              </w:rPr>
              <w:t>2.2.10 Strategic Leadership Competencies and Adaptive Management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22</w:t>
            </w:r>
            <w:r w:rsidR="00E104C5" w:rsidRPr="001F0161">
              <w:rPr>
                <w:rFonts w:ascii="Times New Roman" w:hAnsi="Times New Roman" w:cs="Times New Roman"/>
                <w:noProof/>
                <w:webHidden/>
                <w:sz w:val="24"/>
                <w:szCs w:val="24"/>
              </w:rPr>
              <w:fldChar w:fldCharType="end"/>
            </w:r>
          </w:hyperlink>
        </w:p>
        <w:p w14:paraId="7ED4BFB2" w14:textId="1B0CBD45"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8" w:history="1">
            <w:r w:rsidR="00E104C5" w:rsidRPr="001F0161">
              <w:rPr>
                <w:rStyle w:val="Hyperlink"/>
                <w:rFonts w:ascii="Times New Roman" w:hAnsi="Times New Roman" w:cs="Times New Roman"/>
                <w:noProof/>
                <w:sz w:val="24"/>
                <w:szCs w:val="24"/>
              </w:rPr>
              <w:t>2.3 Theoretical Underpinning</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23</w:t>
            </w:r>
            <w:r w:rsidR="00E104C5" w:rsidRPr="001F0161">
              <w:rPr>
                <w:rFonts w:ascii="Times New Roman" w:hAnsi="Times New Roman" w:cs="Times New Roman"/>
                <w:noProof/>
                <w:webHidden/>
                <w:sz w:val="24"/>
                <w:szCs w:val="24"/>
              </w:rPr>
              <w:fldChar w:fldCharType="end"/>
            </w:r>
          </w:hyperlink>
        </w:p>
        <w:p w14:paraId="42CAFD96" w14:textId="0862AC32"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59" w:history="1">
            <w:r w:rsidR="00E104C5" w:rsidRPr="001F0161">
              <w:rPr>
                <w:rStyle w:val="Hyperlink"/>
                <w:rFonts w:ascii="Times New Roman" w:hAnsi="Times New Roman" w:cs="Times New Roman"/>
                <w:noProof/>
                <w:sz w:val="24"/>
                <w:szCs w:val="24"/>
              </w:rPr>
              <w:t>Resource Dependence Theory (RDT)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_Toc239424059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23</w:t>
            </w:r>
            <w:r w:rsidR="00E104C5" w:rsidRPr="001F0161">
              <w:rPr>
                <w:rFonts w:ascii="Times New Roman" w:hAnsi="Times New Roman" w:cs="Times New Roman"/>
                <w:noProof/>
                <w:webHidden/>
                <w:sz w:val="24"/>
                <w:szCs w:val="24"/>
              </w:rPr>
              <w:fldChar w:fldCharType="end"/>
            </w:r>
          </w:hyperlink>
        </w:p>
        <w:p w14:paraId="006F28F4" w14:textId="30E33906"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0" w:history="1">
            <w:r w:rsidR="00E104C5" w:rsidRPr="001F0161">
              <w:rPr>
                <w:rStyle w:val="Hyperlink"/>
                <w:rFonts w:ascii="Times New Roman" w:hAnsi="Times New Roman" w:cs="Times New Roman"/>
                <w:noProof/>
                <w:sz w:val="24"/>
                <w:szCs w:val="24"/>
              </w:rPr>
              <w:t>Institutional Theory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24</w:t>
            </w:r>
            <w:r w:rsidR="00E104C5" w:rsidRPr="001F0161">
              <w:rPr>
                <w:rFonts w:ascii="Times New Roman" w:hAnsi="Times New Roman" w:cs="Times New Roman"/>
                <w:noProof/>
                <w:webHidden/>
                <w:sz w:val="24"/>
                <w:szCs w:val="24"/>
              </w:rPr>
              <w:fldChar w:fldCharType="end"/>
            </w:r>
          </w:hyperlink>
        </w:p>
        <w:p w14:paraId="4382DABA" w14:textId="1F93E5D5"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1" w:history="1">
            <w:r w:rsidR="00E104C5" w:rsidRPr="001F0161">
              <w:rPr>
                <w:rStyle w:val="Hyperlink"/>
                <w:rFonts w:ascii="Times New Roman" w:hAnsi="Times New Roman" w:cs="Times New Roman"/>
                <w:noProof/>
                <w:sz w:val="24"/>
                <w:szCs w:val="24"/>
              </w:rPr>
              <w:t>Stewardship Theory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25</w:t>
            </w:r>
            <w:r w:rsidR="00E104C5" w:rsidRPr="001F0161">
              <w:rPr>
                <w:rFonts w:ascii="Times New Roman" w:hAnsi="Times New Roman" w:cs="Times New Roman"/>
                <w:noProof/>
                <w:webHidden/>
                <w:sz w:val="24"/>
                <w:szCs w:val="24"/>
              </w:rPr>
              <w:fldChar w:fldCharType="end"/>
            </w:r>
          </w:hyperlink>
        </w:p>
        <w:p w14:paraId="0E0DF35B" w14:textId="73AD0C32"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2" w:history="1">
            <w:r w:rsidR="00E104C5" w:rsidRPr="001F0161">
              <w:rPr>
                <w:rStyle w:val="Hyperlink"/>
                <w:rFonts w:ascii="Times New Roman" w:hAnsi="Times New Roman" w:cs="Times New Roman"/>
                <w:noProof/>
                <w:sz w:val="24"/>
                <w:szCs w:val="24"/>
              </w:rPr>
              <w:t>2.4 Literature Gap</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26</w:t>
            </w:r>
            <w:r w:rsidR="00E104C5" w:rsidRPr="001F0161">
              <w:rPr>
                <w:rFonts w:ascii="Times New Roman" w:hAnsi="Times New Roman" w:cs="Times New Roman"/>
                <w:noProof/>
                <w:webHidden/>
                <w:sz w:val="24"/>
                <w:szCs w:val="24"/>
              </w:rPr>
              <w:fldChar w:fldCharType="end"/>
            </w:r>
          </w:hyperlink>
        </w:p>
        <w:p w14:paraId="483DAA92" w14:textId="056B34EE"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3" w:history="1">
            <w:r w:rsidR="00E104C5" w:rsidRPr="001F0161">
              <w:rPr>
                <w:rStyle w:val="Hyperlink"/>
                <w:rFonts w:ascii="Times New Roman" w:hAnsi="Times New Roman" w:cs="Times New Roman"/>
                <w:noProof/>
                <w:sz w:val="24"/>
                <w:szCs w:val="24"/>
              </w:rPr>
              <w:t>2.5 Chapter Summary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26</w:t>
            </w:r>
            <w:r w:rsidR="00E104C5" w:rsidRPr="001F0161">
              <w:rPr>
                <w:rFonts w:ascii="Times New Roman" w:hAnsi="Times New Roman" w:cs="Times New Roman"/>
                <w:noProof/>
                <w:webHidden/>
                <w:sz w:val="24"/>
                <w:szCs w:val="24"/>
              </w:rPr>
              <w:fldChar w:fldCharType="end"/>
            </w:r>
          </w:hyperlink>
        </w:p>
        <w:p w14:paraId="00C58BF1" w14:textId="5D0EFB20"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4" w:history="1">
            <w:r w:rsidR="00E104C5" w:rsidRPr="001F0161">
              <w:rPr>
                <w:rStyle w:val="Hyperlink"/>
                <w:rFonts w:ascii="Times New Roman" w:hAnsi="Times New Roman" w:cs="Times New Roman"/>
                <w:noProof/>
                <w:sz w:val="24"/>
                <w:szCs w:val="24"/>
              </w:rPr>
              <w:t>CHAPTER 3: METHODOLOGY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28</w:t>
            </w:r>
            <w:r w:rsidR="00E104C5" w:rsidRPr="001F0161">
              <w:rPr>
                <w:rFonts w:ascii="Times New Roman" w:hAnsi="Times New Roman" w:cs="Times New Roman"/>
                <w:noProof/>
                <w:webHidden/>
                <w:sz w:val="24"/>
                <w:szCs w:val="24"/>
              </w:rPr>
              <w:fldChar w:fldCharType="end"/>
            </w:r>
          </w:hyperlink>
        </w:p>
        <w:p w14:paraId="35965B6B" w14:textId="7484E5FC"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5" w:history="1">
            <w:r w:rsidR="00E104C5" w:rsidRPr="001F0161">
              <w:rPr>
                <w:rStyle w:val="Hyperlink"/>
                <w:rFonts w:ascii="Times New Roman" w:hAnsi="Times New Roman" w:cs="Times New Roman"/>
                <w:noProof/>
                <w:sz w:val="24"/>
                <w:szCs w:val="24"/>
              </w:rPr>
              <w:t>3.1 Introduction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28</w:t>
            </w:r>
            <w:r w:rsidR="00E104C5" w:rsidRPr="001F0161">
              <w:rPr>
                <w:rFonts w:ascii="Times New Roman" w:hAnsi="Times New Roman" w:cs="Times New Roman"/>
                <w:noProof/>
                <w:webHidden/>
                <w:sz w:val="24"/>
                <w:szCs w:val="24"/>
              </w:rPr>
              <w:fldChar w:fldCharType="end"/>
            </w:r>
          </w:hyperlink>
        </w:p>
        <w:p w14:paraId="643DDA8E" w14:textId="796B41B4"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6" w:history="1">
            <w:r w:rsidR="00E104C5" w:rsidRPr="001F0161">
              <w:rPr>
                <w:rStyle w:val="Hyperlink"/>
                <w:rFonts w:ascii="Times New Roman" w:hAnsi="Times New Roman" w:cs="Times New Roman"/>
                <w:noProof/>
                <w:sz w:val="24"/>
                <w:szCs w:val="24"/>
              </w:rPr>
              <w:t>3.2 Resetting research aim and objectives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28</w:t>
            </w:r>
            <w:r w:rsidR="00E104C5" w:rsidRPr="001F0161">
              <w:rPr>
                <w:rFonts w:ascii="Times New Roman" w:hAnsi="Times New Roman" w:cs="Times New Roman"/>
                <w:noProof/>
                <w:webHidden/>
                <w:sz w:val="24"/>
                <w:szCs w:val="24"/>
              </w:rPr>
              <w:fldChar w:fldCharType="end"/>
            </w:r>
          </w:hyperlink>
        </w:p>
        <w:p w14:paraId="33F67837" w14:textId="66F263A8"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7" w:history="1">
            <w:r w:rsidR="00E104C5" w:rsidRPr="001F0161">
              <w:rPr>
                <w:rStyle w:val="Hyperlink"/>
                <w:rFonts w:ascii="Times New Roman" w:hAnsi="Times New Roman" w:cs="Times New Roman"/>
                <w:noProof/>
                <w:sz w:val="24"/>
                <w:szCs w:val="24"/>
              </w:rPr>
              <w:t>3.3 Research philosophy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29</w:t>
            </w:r>
            <w:r w:rsidR="00E104C5" w:rsidRPr="001F0161">
              <w:rPr>
                <w:rFonts w:ascii="Times New Roman" w:hAnsi="Times New Roman" w:cs="Times New Roman"/>
                <w:noProof/>
                <w:webHidden/>
                <w:sz w:val="24"/>
                <w:szCs w:val="24"/>
              </w:rPr>
              <w:fldChar w:fldCharType="end"/>
            </w:r>
          </w:hyperlink>
        </w:p>
        <w:p w14:paraId="116EAEC6" w14:textId="43A7AA65"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8" w:history="1">
            <w:r w:rsidR="00E104C5" w:rsidRPr="001F0161">
              <w:rPr>
                <w:rStyle w:val="Hyperlink"/>
                <w:rFonts w:ascii="Times New Roman" w:hAnsi="Times New Roman" w:cs="Times New Roman"/>
                <w:noProof/>
                <w:sz w:val="24"/>
                <w:szCs w:val="24"/>
              </w:rPr>
              <w:t>3.4 Research approach</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29</w:t>
            </w:r>
            <w:r w:rsidR="00E104C5" w:rsidRPr="001F0161">
              <w:rPr>
                <w:rFonts w:ascii="Times New Roman" w:hAnsi="Times New Roman" w:cs="Times New Roman"/>
                <w:noProof/>
                <w:webHidden/>
                <w:sz w:val="24"/>
                <w:szCs w:val="24"/>
              </w:rPr>
              <w:fldChar w:fldCharType="end"/>
            </w:r>
          </w:hyperlink>
        </w:p>
        <w:p w14:paraId="5E339EC5" w14:textId="5AB7639C"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69" w:history="1">
            <w:r w:rsidR="00E104C5" w:rsidRPr="001F0161">
              <w:rPr>
                <w:rStyle w:val="Hyperlink"/>
                <w:rFonts w:ascii="Times New Roman" w:hAnsi="Times New Roman" w:cs="Times New Roman"/>
                <w:noProof/>
                <w:sz w:val="24"/>
                <w:szCs w:val="24"/>
              </w:rPr>
              <w:t>3.5 Research design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_Toc239424069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30</w:t>
            </w:r>
            <w:r w:rsidR="00E104C5" w:rsidRPr="001F0161">
              <w:rPr>
                <w:rFonts w:ascii="Times New Roman" w:hAnsi="Times New Roman" w:cs="Times New Roman"/>
                <w:noProof/>
                <w:webHidden/>
                <w:sz w:val="24"/>
                <w:szCs w:val="24"/>
              </w:rPr>
              <w:fldChar w:fldCharType="end"/>
            </w:r>
          </w:hyperlink>
        </w:p>
        <w:p w14:paraId="7D5ED849" w14:textId="53DF35EA"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0" w:history="1">
            <w:r w:rsidR="00E104C5" w:rsidRPr="001F0161">
              <w:rPr>
                <w:rStyle w:val="Hyperlink"/>
                <w:rFonts w:ascii="Times New Roman" w:hAnsi="Times New Roman" w:cs="Times New Roman"/>
                <w:noProof/>
                <w:sz w:val="24"/>
                <w:szCs w:val="24"/>
              </w:rPr>
              <w:t>3.6 Research strategy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30</w:t>
            </w:r>
            <w:r w:rsidR="00E104C5" w:rsidRPr="001F0161">
              <w:rPr>
                <w:rFonts w:ascii="Times New Roman" w:hAnsi="Times New Roman" w:cs="Times New Roman"/>
                <w:noProof/>
                <w:webHidden/>
                <w:sz w:val="24"/>
                <w:szCs w:val="24"/>
              </w:rPr>
              <w:fldChar w:fldCharType="end"/>
            </w:r>
          </w:hyperlink>
        </w:p>
        <w:p w14:paraId="3A9C57DD" w14:textId="49F79B61"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1" w:history="1">
            <w:r w:rsidR="00E104C5" w:rsidRPr="001F0161">
              <w:rPr>
                <w:rStyle w:val="Hyperlink"/>
                <w:rFonts w:ascii="Times New Roman" w:hAnsi="Times New Roman" w:cs="Times New Roman"/>
                <w:noProof/>
                <w:sz w:val="24"/>
                <w:szCs w:val="24"/>
              </w:rPr>
              <w:t>3.7 Data collection method and data type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31</w:t>
            </w:r>
            <w:r w:rsidR="00E104C5" w:rsidRPr="001F0161">
              <w:rPr>
                <w:rFonts w:ascii="Times New Roman" w:hAnsi="Times New Roman" w:cs="Times New Roman"/>
                <w:noProof/>
                <w:webHidden/>
                <w:sz w:val="24"/>
                <w:szCs w:val="24"/>
              </w:rPr>
              <w:fldChar w:fldCharType="end"/>
            </w:r>
          </w:hyperlink>
        </w:p>
        <w:p w14:paraId="1AE39021" w14:textId="0C35E7CD"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2" w:history="1">
            <w:r w:rsidR="00E104C5" w:rsidRPr="001F0161">
              <w:rPr>
                <w:rStyle w:val="Hyperlink"/>
                <w:rFonts w:ascii="Times New Roman" w:hAnsi="Times New Roman" w:cs="Times New Roman"/>
                <w:noProof/>
                <w:sz w:val="24"/>
                <w:szCs w:val="24"/>
              </w:rPr>
              <w:t>3.8 Research sampling and population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32</w:t>
            </w:r>
            <w:r w:rsidR="00E104C5" w:rsidRPr="001F0161">
              <w:rPr>
                <w:rFonts w:ascii="Times New Roman" w:hAnsi="Times New Roman" w:cs="Times New Roman"/>
                <w:noProof/>
                <w:webHidden/>
                <w:sz w:val="24"/>
                <w:szCs w:val="24"/>
              </w:rPr>
              <w:fldChar w:fldCharType="end"/>
            </w:r>
          </w:hyperlink>
        </w:p>
        <w:p w14:paraId="271D0979" w14:textId="273AB401"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3" w:history="1">
            <w:r w:rsidR="00E104C5" w:rsidRPr="001F0161">
              <w:rPr>
                <w:rStyle w:val="Hyperlink"/>
                <w:rFonts w:ascii="Times New Roman" w:hAnsi="Times New Roman" w:cs="Times New Roman"/>
                <w:noProof/>
                <w:sz w:val="24"/>
                <w:szCs w:val="24"/>
              </w:rPr>
              <w:t>3.9 Data analysis technique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33</w:t>
            </w:r>
            <w:r w:rsidR="00E104C5" w:rsidRPr="001F0161">
              <w:rPr>
                <w:rFonts w:ascii="Times New Roman" w:hAnsi="Times New Roman" w:cs="Times New Roman"/>
                <w:noProof/>
                <w:webHidden/>
                <w:sz w:val="24"/>
                <w:szCs w:val="24"/>
              </w:rPr>
              <w:fldChar w:fldCharType="end"/>
            </w:r>
          </w:hyperlink>
        </w:p>
        <w:p w14:paraId="20012560" w14:textId="474E2FAC"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4" w:history="1">
            <w:r w:rsidR="00E104C5" w:rsidRPr="001F0161">
              <w:rPr>
                <w:rStyle w:val="Hyperlink"/>
                <w:rFonts w:ascii="Times New Roman" w:hAnsi="Times New Roman" w:cs="Times New Roman"/>
                <w:noProof/>
                <w:sz w:val="24"/>
                <w:szCs w:val="24"/>
              </w:rPr>
              <w:t>3.10 Research reliability and validity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34</w:t>
            </w:r>
            <w:r w:rsidR="00E104C5" w:rsidRPr="001F0161">
              <w:rPr>
                <w:rFonts w:ascii="Times New Roman" w:hAnsi="Times New Roman" w:cs="Times New Roman"/>
                <w:noProof/>
                <w:webHidden/>
                <w:sz w:val="24"/>
                <w:szCs w:val="24"/>
              </w:rPr>
              <w:fldChar w:fldCharType="end"/>
            </w:r>
          </w:hyperlink>
        </w:p>
        <w:p w14:paraId="6703931D" w14:textId="7C52EDAA"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5" w:history="1">
            <w:r w:rsidR="00E104C5" w:rsidRPr="001F0161">
              <w:rPr>
                <w:rStyle w:val="Hyperlink"/>
                <w:rFonts w:ascii="Times New Roman" w:hAnsi="Times New Roman" w:cs="Times New Roman"/>
                <w:noProof/>
                <w:sz w:val="24"/>
                <w:szCs w:val="24"/>
              </w:rPr>
              <w:t>3.11 Ethical considerations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35</w:t>
            </w:r>
            <w:r w:rsidR="00E104C5" w:rsidRPr="001F0161">
              <w:rPr>
                <w:rFonts w:ascii="Times New Roman" w:hAnsi="Times New Roman" w:cs="Times New Roman"/>
                <w:noProof/>
                <w:webHidden/>
                <w:sz w:val="24"/>
                <w:szCs w:val="24"/>
              </w:rPr>
              <w:fldChar w:fldCharType="end"/>
            </w:r>
          </w:hyperlink>
        </w:p>
        <w:p w14:paraId="0F2FA511" w14:textId="53EF5EE0"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6" w:history="1">
            <w:r w:rsidR="00E104C5" w:rsidRPr="001F0161">
              <w:rPr>
                <w:rStyle w:val="Hyperlink"/>
                <w:rFonts w:ascii="Times New Roman" w:hAnsi="Times New Roman" w:cs="Times New Roman"/>
                <w:noProof/>
                <w:sz w:val="24"/>
                <w:szCs w:val="24"/>
              </w:rPr>
              <w:t>3.12 Research limitations and mitigation strategy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36</w:t>
            </w:r>
            <w:r w:rsidR="00E104C5" w:rsidRPr="001F0161">
              <w:rPr>
                <w:rFonts w:ascii="Times New Roman" w:hAnsi="Times New Roman" w:cs="Times New Roman"/>
                <w:noProof/>
                <w:webHidden/>
                <w:sz w:val="24"/>
                <w:szCs w:val="24"/>
              </w:rPr>
              <w:fldChar w:fldCharType="end"/>
            </w:r>
          </w:hyperlink>
        </w:p>
        <w:p w14:paraId="31DC3560" w14:textId="23413917"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7" w:history="1">
            <w:r w:rsidR="00E104C5" w:rsidRPr="001F0161">
              <w:rPr>
                <w:rStyle w:val="Hyperlink"/>
                <w:rFonts w:ascii="Times New Roman" w:hAnsi="Times New Roman" w:cs="Times New Roman"/>
                <w:noProof/>
                <w:sz w:val="24"/>
                <w:szCs w:val="24"/>
              </w:rPr>
              <w:t>3.13 Chapter summary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36</w:t>
            </w:r>
            <w:r w:rsidR="00E104C5" w:rsidRPr="001F0161">
              <w:rPr>
                <w:rFonts w:ascii="Times New Roman" w:hAnsi="Times New Roman" w:cs="Times New Roman"/>
                <w:noProof/>
                <w:webHidden/>
                <w:sz w:val="24"/>
                <w:szCs w:val="24"/>
              </w:rPr>
              <w:fldChar w:fldCharType="end"/>
            </w:r>
          </w:hyperlink>
        </w:p>
        <w:p w14:paraId="67F86031" w14:textId="34653170"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8" w:history="1">
            <w:r w:rsidR="00E104C5" w:rsidRPr="001F0161">
              <w:rPr>
                <w:rStyle w:val="Hyperlink"/>
                <w:rFonts w:ascii="Times New Roman" w:hAnsi="Times New Roman" w:cs="Times New Roman"/>
                <w:noProof/>
                <w:sz w:val="24"/>
                <w:szCs w:val="24"/>
              </w:rPr>
              <w:t>CHAPTER 4: RESULTS, FINDINGS, AND ANALYSIS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37</w:t>
            </w:r>
            <w:r w:rsidR="00E104C5" w:rsidRPr="001F0161">
              <w:rPr>
                <w:rFonts w:ascii="Times New Roman" w:hAnsi="Times New Roman" w:cs="Times New Roman"/>
                <w:noProof/>
                <w:webHidden/>
                <w:sz w:val="24"/>
                <w:szCs w:val="24"/>
              </w:rPr>
              <w:fldChar w:fldCharType="end"/>
            </w:r>
          </w:hyperlink>
        </w:p>
        <w:p w14:paraId="3E8F1A1B" w14:textId="3F0DA832"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79" w:history="1">
            <w:r w:rsidR="00E104C5" w:rsidRPr="001F0161">
              <w:rPr>
                <w:rStyle w:val="Hyperlink"/>
                <w:rFonts w:ascii="Times New Roman" w:hAnsi="Times New Roman" w:cs="Times New Roman"/>
                <w:noProof/>
                <w:sz w:val="24"/>
                <w:szCs w:val="24"/>
              </w:rPr>
              <w:t>4.1 Introduction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_Toc239424079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37</w:t>
            </w:r>
            <w:r w:rsidR="00E104C5" w:rsidRPr="001F0161">
              <w:rPr>
                <w:rFonts w:ascii="Times New Roman" w:hAnsi="Times New Roman" w:cs="Times New Roman"/>
                <w:noProof/>
                <w:webHidden/>
                <w:sz w:val="24"/>
                <w:szCs w:val="24"/>
              </w:rPr>
              <w:fldChar w:fldCharType="end"/>
            </w:r>
          </w:hyperlink>
        </w:p>
        <w:p w14:paraId="12E963A4" w14:textId="6305D1C5"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0" w:history="1">
            <w:r w:rsidR="00E104C5" w:rsidRPr="001F0161">
              <w:rPr>
                <w:rStyle w:val="Hyperlink"/>
                <w:rFonts w:ascii="Times New Roman" w:hAnsi="Times New Roman" w:cs="Times New Roman"/>
                <w:noProof/>
                <w:sz w:val="24"/>
                <w:szCs w:val="24"/>
              </w:rPr>
              <w:t>4.2 Results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37</w:t>
            </w:r>
            <w:r w:rsidR="00E104C5" w:rsidRPr="001F0161">
              <w:rPr>
                <w:rFonts w:ascii="Times New Roman" w:hAnsi="Times New Roman" w:cs="Times New Roman"/>
                <w:noProof/>
                <w:webHidden/>
                <w:sz w:val="24"/>
                <w:szCs w:val="24"/>
              </w:rPr>
              <w:fldChar w:fldCharType="end"/>
            </w:r>
          </w:hyperlink>
        </w:p>
        <w:p w14:paraId="1EA03849" w14:textId="3F928B45"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1" w:history="1">
            <w:r w:rsidR="00E104C5" w:rsidRPr="001F0161">
              <w:rPr>
                <w:rStyle w:val="Hyperlink"/>
                <w:rFonts w:ascii="Times New Roman" w:hAnsi="Times New Roman" w:cs="Times New Roman"/>
                <w:noProof/>
                <w:sz w:val="24"/>
                <w:szCs w:val="24"/>
              </w:rPr>
              <w:t>4.3 Findings and Analysis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42</w:t>
            </w:r>
            <w:r w:rsidR="00E104C5" w:rsidRPr="001F0161">
              <w:rPr>
                <w:rFonts w:ascii="Times New Roman" w:hAnsi="Times New Roman" w:cs="Times New Roman"/>
                <w:noProof/>
                <w:webHidden/>
                <w:sz w:val="24"/>
                <w:szCs w:val="24"/>
              </w:rPr>
              <w:fldChar w:fldCharType="end"/>
            </w:r>
          </w:hyperlink>
        </w:p>
        <w:p w14:paraId="039C1AB8" w14:textId="32DA6F6C"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2" w:history="1">
            <w:r w:rsidR="00E104C5" w:rsidRPr="001F0161">
              <w:rPr>
                <w:rStyle w:val="Hyperlink"/>
                <w:rFonts w:ascii="Times New Roman" w:hAnsi="Times New Roman" w:cs="Times New Roman"/>
                <w:noProof/>
                <w:sz w:val="24"/>
                <w:szCs w:val="24"/>
              </w:rPr>
              <w:t>Theme 1: Alternative Funding &amp; Resource Mobilization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42</w:t>
            </w:r>
            <w:r w:rsidR="00E104C5" w:rsidRPr="001F0161">
              <w:rPr>
                <w:rFonts w:ascii="Times New Roman" w:hAnsi="Times New Roman" w:cs="Times New Roman"/>
                <w:noProof/>
                <w:webHidden/>
                <w:sz w:val="24"/>
                <w:szCs w:val="24"/>
              </w:rPr>
              <w:fldChar w:fldCharType="end"/>
            </w:r>
          </w:hyperlink>
        </w:p>
        <w:p w14:paraId="16B9C24A" w14:textId="42B740FE"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3" w:history="1">
            <w:r w:rsidR="00E104C5" w:rsidRPr="001F0161">
              <w:rPr>
                <w:rStyle w:val="Hyperlink"/>
                <w:rFonts w:ascii="Times New Roman" w:hAnsi="Times New Roman" w:cs="Times New Roman"/>
                <w:noProof/>
                <w:sz w:val="24"/>
                <w:szCs w:val="24"/>
              </w:rPr>
              <w:t>Theme 2: Internal Operational Restructuring &amp; Efficiency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43</w:t>
            </w:r>
            <w:r w:rsidR="00E104C5" w:rsidRPr="001F0161">
              <w:rPr>
                <w:rFonts w:ascii="Times New Roman" w:hAnsi="Times New Roman" w:cs="Times New Roman"/>
                <w:noProof/>
                <w:webHidden/>
                <w:sz w:val="24"/>
                <w:szCs w:val="24"/>
              </w:rPr>
              <w:fldChar w:fldCharType="end"/>
            </w:r>
          </w:hyperlink>
        </w:p>
        <w:p w14:paraId="6F5F4242" w14:textId="78B528ED"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4" w:history="1">
            <w:r w:rsidR="00E104C5" w:rsidRPr="001F0161">
              <w:rPr>
                <w:rStyle w:val="Hyperlink"/>
                <w:rFonts w:ascii="Times New Roman" w:hAnsi="Times New Roman" w:cs="Times New Roman"/>
                <w:noProof/>
                <w:sz w:val="24"/>
                <w:szCs w:val="24"/>
              </w:rPr>
              <w:t>Theme 3: Mission Preservation &amp; Stakeholder Alignment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44</w:t>
            </w:r>
            <w:r w:rsidR="00E104C5" w:rsidRPr="001F0161">
              <w:rPr>
                <w:rFonts w:ascii="Times New Roman" w:hAnsi="Times New Roman" w:cs="Times New Roman"/>
                <w:noProof/>
                <w:webHidden/>
                <w:sz w:val="24"/>
                <w:szCs w:val="24"/>
              </w:rPr>
              <w:fldChar w:fldCharType="end"/>
            </w:r>
          </w:hyperlink>
        </w:p>
        <w:p w14:paraId="347DD2B7" w14:textId="0965B68F"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5" w:history="1">
            <w:r w:rsidR="00E104C5" w:rsidRPr="001F0161">
              <w:rPr>
                <w:rStyle w:val="Hyperlink"/>
                <w:rFonts w:ascii="Times New Roman" w:hAnsi="Times New Roman" w:cs="Times New Roman"/>
                <w:noProof/>
                <w:sz w:val="24"/>
                <w:szCs w:val="24"/>
              </w:rPr>
              <w:t>Theme 4: Strategic Partnerships &amp; Local Collaboration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45</w:t>
            </w:r>
            <w:r w:rsidR="00E104C5" w:rsidRPr="001F0161">
              <w:rPr>
                <w:rFonts w:ascii="Times New Roman" w:hAnsi="Times New Roman" w:cs="Times New Roman"/>
                <w:noProof/>
                <w:webHidden/>
                <w:sz w:val="24"/>
                <w:szCs w:val="24"/>
              </w:rPr>
              <w:fldChar w:fldCharType="end"/>
            </w:r>
          </w:hyperlink>
        </w:p>
        <w:p w14:paraId="5A099051" w14:textId="47B1C0A5" w:rsidR="00E104C5" w:rsidRPr="001F0161" w:rsidRDefault="0071034C" w:rsidP="00E104C5">
          <w:pPr>
            <w:pStyle w:val="TOC3"/>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6" w:history="1">
            <w:r w:rsidR="00E104C5" w:rsidRPr="001F0161">
              <w:rPr>
                <w:rStyle w:val="Hyperlink"/>
                <w:rFonts w:ascii="Times New Roman" w:hAnsi="Times New Roman" w:cs="Times New Roman"/>
                <w:noProof/>
                <w:sz w:val="24"/>
                <w:szCs w:val="24"/>
              </w:rPr>
              <w:t>Theme 5: Strategic Leadership &amp; Financial Resilience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46</w:t>
            </w:r>
            <w:r w:rsidR="00E104C5" w:rsidRPr="001F0161">
              <w:rPr>
                <w:rFonts w:ascii="Times New Roman" w:hAnsi="Times New Roman" w:cs="Times New Roman"/>
                <w:noProof/>
                <w:webHidden/>
                <w:sz w:val="24"/>
                <w:szCs w:val="24"/>
              </w:rPr>
              <w:fldChar w:fldCharType="end"/>
            </w:r>
          </w:hyperlink>
        </w:p>
        <w:p w14:paraId="3BF26B76" w14:textId="4E7D6DA6"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7" w:history="1">
            <w:r w:rsidR="00E104C5" w:rsidRPr="001F0161">
              <w:rPr>
                <w:rStyle w:val="Hyperlink"/>
                <w:rFonts w:ascii="Times New Roman" w:hAnsi="Times New Roman" w:cs="Times New Roman"/>
                <w:noProof/>
                <w:sz w:val="24"/>
                <w:szCs w:val="24"/>
              </w:rPr>
              <w:t>4.4 Discussion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_Toc239424087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46</w:t>
            </w:r>
            <w:r w:rsidR="00E104C5" w:rsidRPr="001F0161">
              <w:rPr>
                <w:rFonts w:ascii="Times New Roman" w:hAnsi="Times New Roman" w:cs="Times New Roman"/>
                <w:noProof/>
                <w:webHidden/>
                <w:sz w:val="24"/>
                <w:szCs w:val="24"/>
              </w:rPr>
              <w:fldChar w:fldCharType="end"/>
            </w:r>
          </w:hyperlink>
        </w:p>
        <w:p w14:paraId="5E116741" w14:textId="214A821A"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8" w:history="1">
            <w:r w:rsidR="00E104C5" w:rsidRPr="001F0161">
              <w:rPr>
                <w:rStyle w:val="Hyperlink"/>
                <w:rFonts w:ascii="Times New Roman" w:hAnsi="Times New Roman" w:cs="Times New Roman"/>
                <w:noProof/>
                <w:sz w:val="24"/>
                <w:szCs w:val="24"/>
              </w:rPr>
              <w:t>4.5 Summary</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_Toc239424088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49</w:t>
            </w:r>
            <w:r w:rsidR="00E104C5" w:rsidRPr="001F0161">
              <w:rPr>
                <w:rFonts w:ascii="Times New Roman" w:hAnsi="Times New Roman" w:cs="Times New Roman"/>
                <w:noProof/>
                <w:webHidden/>
                <w:sz w:val="24"/>
                <w:szCs w:val="24"/>
              </w:rPr>
              <w:fldChar w:fldCharType="end"/>
            </w:r>
          </w:hyperlink>
        </w:p>
        <w:p w14:paraId="5CB31D33" w14:textId="0E7D28A7"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89" w:history="1">
            <w:r w:rsidR="00E104C5" w:rsidRPr="001F0161">
              <w:rPr>
                <w:rStyle w:val="Hyperlink"/>
                <w:rFonts w:ascii="Times New Roman" w:hAnsi="Times New Roman" w:cs="Times New Roman"/>
                <w:noProof/>
                <w:sz w:val="24"/>
                <w:szCs w:val="24"/>
              </w:rPr>
              <w:t>CHAPTER 5: CONCLUSION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_Toc239424089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50</w:t>
            </w:r>
            <w:r w:rsidR="00E104C5" w:rsidRPr="001F0161">
              <w:rPr>
                <w:rFonts w:ascii="Times New Roman" w:hAnsi="Times New Roman" w:cs="Times New Roman"/>
                <w:noProof/>
                <w:webHidden/>
                <w:sz w:val="24"/>
                <w:szCs w:val="24"/>
              </w:rPr>
              <w:fldChar w:fldCharType="end"/>
            </w:r>
          </w:hyperlink>
        </w:p>
        <w:p w14:paraId="5E741FA4" w14:textId="3300D6A7"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0" w:history="1">
            <w:r w:rsidR="00E104C5" w:rsidRPr="001F0161">
              <w:rPr>
                <w:rStyle w:val="Hyperlink"/>
                <w:rFonts w:ascii="Times New Roman" w:hAnsi="Times New Roman" w:cs="Times New Roman"/>
                <w:noProof/>
                <w:sz w:val="24"/>
                <w:szCs w:val="24"/>
              </w:rPr>
              <w:t>5.1 Conclusion</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_Toc239424090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50</w:t>
            </w:r>
            <w:r w:rsidR="00E104C5" w:rsidRPr="001F0161">
              <w:rPr>
                <w:rFonts w:ascii="Times New Roman" w:hAnsi="Times New Roman" w:cs="Times New Roman"/>
                <w:noProof/>
                <w:webHidden/>
                <w:sz w:val="24"/>
                <w:szCs w:val="24"/>
              </w:rPr>
              <w:fldChar w:fldCharType="end"/>
            </w:r>
          </w:hyperlink>
        </w:p>
        <w:p w14:paraId="27EEC8EC" w14:textId="6AF0F116"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1" w:history="1">
            <w:r w:rsidR="00E104C5" w:rsidRPr="001F0161">
              <w:rPr>
                <w:rStyle w:val="Hyperlink"/>
                <w:rFonts w:ascii="Times New Roman" w:hAnsi="Times New Roman" w:cs="Times New Roman"/>
                <w:noProof/>
                <w:sz w:val="24"/>
                <w:szCs w:val="24"/>
              </w:rPr>
              <w:t>5.2 Linking with objectives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_Toc239424091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50</w:t>
            </w:r>
            <w:r w:rsidR="00E104C5" w:rsidRPr="001F0161">
              <w:rPr>
                <w:rFonts w:ascii="Times New Roman" w:hAnsi="Times New Roman" w:cs="Times New Roman"/>
                <w:noProof/>
                <w:webHidden/>
                <w:sz w:val="24"/>
                <w:szCs w:val="24"/>
              </w:rPr>
              <w:fldChar w:fldCharType="end"/>
            </w:r>
          </w:hyperlink>
        </w:p>
        <w:p w14:paraId="0E9EC042" w14:textId="006B470F"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2" w:history="1">
            <w:r w:rsidR="00E104C5" w:rsidRPr="001F0161">
              <w:rPr>
                <w:rStyle w:val="Hyperlink"/>
                <w:rFonts w:ascii="Times New Roman" w:hAnsi="Times New Roman" w:cs="Times New Roman"/>
                <w:noProof/>
                <w:sz w:val="24"/>
                <w:szCs w:val="24"/>
              </w:rPr>
              <w:t>5.3 Recommendations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_Toc239424092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52</w:t>
            </w:r>
            <w:r w:rsidR="00E104C5" w:rsidRPr="001F0161">
              <w:rPr>
                <w:rFonts w:ascii="Times New Roman" w:hAnsi="Times New Roman" w:cs="Times New Roman"/>
                <w:noProof/>
                <w:webHidden/>
                <w:sz w:val="24"/>
                <w:szCs w:val="24"/>
              </w:rPr>
              <w:fldChar w:fldCharType="end"/>
            </w:r>
          </w:hyperlink>
        </w:p>
        <w:p w14:paraId="7B425221" w14:textId="257B3DF1"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3" w:history="1">
            <w:r w:rsidR="00E104C5" w:rsidRPr="001F0161">
              <w:rPr>
                <w:rStyle w:val="Hyperlink"/>
                <w:rFonts w:ascii="Times New Roman" w:hAnsi="Times New Roman" w:cs="Times New Roman"/>
                <w:noProof/>
                <w:sz w:val="24"/>
                <w:szCs w:val="24"/>
              </w:rPr>
              <w:t>5.4 Future scope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_Toc239424093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54</w:t>
            </w:r>
            <w:r w:rsidR="00E104C5" w:rsidRPr="001F0161">
              <w:rPr>
                <w:rFonts w:ascii="Times New Roman" w:hAnsi="Times New Roman" w:cs="Times New Roman"/>
                <w:noProof/>
                <w:webHidden/>
                <w:sz w:val="24"/>
                <w:szCs w:val="24"/>
              </w:rPr>
              <w:fldChar w:fldCharType="end"/>
            </w:r>
          </w:hyperlink>
        </w:p>
        <w:p w14:paraId="3A55B7FF" w14:textId="289FD483"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4" w:history="1">
            <w:r w:rsidR="00E104C5" w:rsidRPr="001F0161">
              <w:rPr>
                <w:rStyle w:val="Hyperlink"/>
                <w:rFonts w:ascii="Times New Roman" w:hAnsi="Times New Roman" w:cs="Times New Roman"/>
                <w:noProof/>
                <w:sz w:val="24"/>
                <w:szCs w:val="24"/>
              </w:rPr>
              <w:t>REFERENCE LIST</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_Toc239424094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55</w:t>
            </w:r>
            <w:r w:rsidR="00E104C5" w:rsidRPr="001F0161">
              <w:rPr>
                <w:rFonts w:ascii="Times New Roman" w:hAnsi="Times New Roman" w:cs="Times New Roman"/>
                <w:noProof/>
                <w:webHidden/>
                <w:sz w:val="24"/>
                <w:szCs w:val="24"/>
              </w:rPr>
              <w:fldChar w:fldCharType="end"/>
            </w:r>
          </w:hyperlink>
        </w:p>
        <w:p w14:paraId="05807CCB" w14:textId="57D5F016" w:rsidR="00E104C5" w:rsidRPr="001F0161" w:rsidRDefault="0071034C" w:rsidP="00E104C5">
          <w:pPr>
            <w:pStyle w:val="TOC1"/>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5" w:history="1">
            <w:r w:rsidR="00E104C5" w:rsidRPr="001F0161">
              <w:rPr>
                <w:rStyle w:val="Hyperlink"/>
                <w:rFonts w:ascii="Times New Roman" w:hAnsi="Times New Roman" w:cs="Times New Roman"/>
                <w:noProof/>
                <w:sz w:val="24"/>
                <w:szCs w:val="24"/>
              </w:rPr>
              <w:t>APPENDICES</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_Toc239424095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64</w:t>
            </w:r>
            <w:r w:rsidR="00E104C5" w:rsidRPr="001F0161">
              <w:rPr>
                <w:rFonts w:ascii="Times New Roman" w:hAnsi="Times New Roman" w:cs="Times New Roman"/>
                <w:noProof/>
                <w:webHidden/>
                <w:sz w:val="24"/>
                <w:szCs w:val="24"/>
              </w:rPr>
              <w:fldChar w:fldCharType="end"/>
            </w:r>
          </w:hyperlink>
        </w:p>
        <w:p w14:paraId="2D403257" w14:textId="5090387B" w:rsidR="00E104C5" w:rsidRPr="001F0161" w:rsidRDefault="0071034C" w:rsidP="00E104C5">
          <w:pPr>
            <w:pStyle w:val="TOC2"/>
            <w:tabs>
              <w:tab w:val="right" w:leader="dot" w:pos="9350"/>
            </w:tabs>
            <w:spacing w:after="0" w:line="360" w:lineRule="auto"/>
            <w:rPr>
              <w:rFonts w:ascii="Times New Roman" w:eastAsiaTheme="minorEastAsia" w:hAnsi="Times New Roman" w:cs="Times New Roman"/>
              <w:noProof/>
              <w:sz w:val="24"/>
              <w:szCs w:val="24"/>
              <w:lang w:eastAsia="en-IN"/>
            </w:rPr>
          </w:pPr>
          <w:hyperlink w:anchor="_Toc239424096" w:history="1">
            <w:r w:rsidR="00E104C5" w:rsidRPr="001F0161">
              <w:rPr>
                <w:rStyle w:val="Hyperlink"/>
                <w:rFonts w:ascii="Times New Roman" w:hAnsi="Times New Roman" w:cs="Times New Roman"/>
                <w:noProof/>
                <w:sz w:val="24"/>
                <w:szCs w:val="24"/>
              </w:rPr>
              <w:t>Appendix 1: Interview questionnaire</w:t>
            </w:r>
            <w:r w:rsidR="00E104C5" w:rsidRPr="001F0161">
              <w:rPr>
                <w:rFonts w:ascii="Times New Roman" w:hAnsi="Times New Roman" w:cs="Times New Roman"/>
                <w:noProof/>
                <w:webHidden/>
                <w:sz w:val="24"/>
                <w:szCs w:val="24"/>
              </w:rPr>
              <w:tab/>
            </w:r>
            <w:r w:rsidR="00E104C5" w:rsidRPr="001F0161">
              <w:rPr>
                <w:rFonts w:ascii="Times New Roman" w:hAnsi="Times New Roman" w:cs="Times New Roman"/>
                <w:noProof/>
                <w:webHidden/>
                <w:sz w:val="24"/>
                <w:szCs w:val="24"/>
              </w:rPr>
              <w:fldChar w:fldCharType="begin"/>
            </w:r>
            <w:r w:rsidR="00E104C5" w:rsidRPr="001F0161">
              <w:rPr>
                <w:rFonts w:ascii="Times New Roman" w:hAnsi="Times New Roman" w:cs="Times New Roman"/>
                <w:noProof/>
                <w:webHidden/>
                <w:sz w:val="24"/>
                <w:szCs w:val="24"/>
              </w:rPr>
              <w:instrText xml:space="preserve"> PAGEREF _Toc239424096 \h </w:instrText>
            </w:r>
            <w:r w:rsidR="00E104C5" w:rsidRPr="001F0161">
              <w:rPr>
                <w:rFonts w:ascii="Times New Roman" w:hAnsi="Times New Roman" w:cs="Times New Roman"/>
                <w:noProof/>
                <w:webHidden/>
                <w:sz w:val="24"/>
                <w:szCs w:val="24"/>
              </w:rPr>
            </w:r>
            <w:r w:rsidR="00E104C5" w:rsidRPr="001F0161">
              <w:rPr>
                <w:rFonts w:ascii="Times New Roman" w:hAnsi="Times New Roman" w:cs="Times New Roman"/>
                <w:noProof/>
                <w:webHidden/>
                <w:sz w:val="24"/>
                <w:szCs w:val="24"/>
              </w:rPr>
              <w:fldChar w:fldCharType="separate"/>
            </w:r>
            <w:r w:rsidR="006C76E2">
              <w:rPr>
                <w:rFonts w:ascii="Times New Roman" w:hAnsi="Times New Roman" w:cs="Times New Roman"/>
                <w:noProof/>
                <w:webHidden/>
                <w:sz w:val="24"/>
                <w:szCs w:val="24"/>
              </w:rPr>
              <w:t>64</w:t>
            </w:r>
            <w:r w:rsidR="00E104C5" w:rsidRPr="001F0161">
              <w:rPr>
                <w:rFonts w:ascii="Times New Roman" w:hAnsi="Times New Roman" w:cs="Times New Roman"/>
                <w:noProof/>
                <w:webHidden/>
                <w:sz w:val="24"/>
                <w:szCs w:val="24"/>
              </w:rPr>
              <w:fldChar w:fldCharType="end"/>
            </w:r>
          </w:hyperlink>
        </w:p>
        <w:p w14:paraId="0580B9D7" w14:textId="12D80F19" w:rsidR="001D5E43" w:rsidRPr="004774D7" w:rsidRDefault="001D5E43" w:rsidP="00E104C5">
          <w:pPr>
            <w:pStyle w:val="TOC1"/>
            <w:tabs>
              <w:tab w:val="right" w:leader="dot" w:pos="9350"/>
            </w:tabs>
            <w:spacing w:after="0" w:line="360" w:lineRule="auto"/>
            <w:jc w:val="both"/>
            <w:rPr>
              <w:rFonts w:ascii="Times New Roman" w:hAnsi="Times New Roman" w:cs="Times New Roman"/>
              <w:sz w:val="24"/>
              <w:szCs w:val="24"/>
            </w:rPr>
          </w:pPr>
          <w:r w:rsidRPr="004774D7">
            <w:rPr>
              <w:rFonts w:ascii="Times New Roman" w:hAnsi="Times New Roman" w:cs="Times New Roman"/>
              <w:sz w:val="24"/>
              <w:szCs w:val="24"/>
            </w:rPr>
            <w:fldChar w:fldCharType="end"/>
          </w:r>
        </w:p>
      </w:sdtContent>
    </w:sdt>
    <w:p w14:paraId="087DF47A" w14:textId="02E55AC7" w:rsidR="0050244B" w:rsidRPr="001F0161" w:rsidRDefault="00C17ADC" w:rsidP="00973765">
      <w:pPr>
        <w:pStyle w:val="Heading1"/>
      </w:pPr>
      <w:r w:rsidRPr="001F0161">
        <w:rPr>
          <w:sz w:val="24"/>
          <w:szCs w:val="24"/>
        </w:rPr>
        <w:br w:type="page"/>
      </w:r>
      <w:bookmarkStart w:id="2" w:name="_Toc239424036"/>
      <w:r w:rsidR="00144BDB" w:rsidRPr="001F0161">
        <w:lastRenderedPageBreak/>
        <w:t>CHAPTER 1: INTRODUCTION</w:t>
      </w:r>
      <w:bookmarkEnd w:id="2"/>
    </w:p>
    <w:p w14:paraId="63189036" w14:textId="77777777" w:rsidR="0050244B" w:rsidRPr="001F0161" w:rsidRDefault="0004031D" w:rsidP="00973765">
      <w:pPr>
        <w:pStyle w:val="Heading2"/>
      </w:pPr>
      <w:bookmarkStart w:id="3" w:name="_Toc239424037"/>
      <w:r w:rsidRPr="001F0161">
        <w:t>1.1 Research background</w:t>
      </w:r>
      <w:bookmarkEnd w:id="3"/>
      <w:r w:rsidRPr="001F0161">
        <w:t xml:space="preserve"> </w:t>
      </w:r>
    </w:p>
    <w:p w14:paraId="48BCFC8D" w14:textId="462309DC" w:rsidR="007146A4" w:rsidRPr="001F0161" w:rsidRDefault="0004031D"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The international flow of Official Development Assistance (ODA), foreign government funding, and institutionalized philanthropy by international NGOs have been central to the advancement of human rights, public health, climate protection and socio-economic programmes in developing and emerging countries in the past. </w:t>
      </w:r>
      <w:r w:rsidR="00676B18" w:rsidRPr="00676B18">
        <w:rPr>
          <w:rFonts w:ascii="Times New Roman" w:eastAsia="Times New Roman" w:hAnsi="Times New Roman" w:cs="Times New Roman"/>
          <w:sz w:val="24"/>
          <w:szCs w:val="24"/>
          <w:lang w:val="en-GB"/>
        </w:rPr>
        <w:t>As demonstrated by</w:t>
      </w:r>
      <w:r w:rsidR="00676B18">
        <w:rPr>
          <w:rFonts w:ascii="Times New Roman" w:eastAsia="Times New Roman" w:hAnsi="Times New Roman" w:cs="Times New Roman"/>
          <w:sz w:val="24"/>
          <w:szCs w:val="24"/>
          <w:lang w:val="en-GB"/>
        </w:rPr>
        <w:t xml:space="preserve"> </w:t>
      </w:r>
      <w:r w:rsidR="00676B18" w:rsidRPr="001F0161">
        <w:rPr>
          <w:rFonts w:ascii="Times New Roman" w:eastAsia="Times New Roman" w:hAnsi="Times New Roman" w:cs="Times New Roman"/>
          <w:sz w:val="24"/>
          <w:szCs w:val="24"/>
          <w:lang w:val="en-GB"/>
        </w:rPr>
        <w:t xml:space="preserve">Jiglau et al. </w:t>
      </w:r>
      <w:r w:rsidR="00676B18">
        <w:rPr>
          <w:rFonts w:ascii="Times New Roman" w:eastAsia="Times New Roman" w:hAnsi="Times New Roman" w:cs="Times New Roman"/>
          <w:sz w:val="24"/>
          <w:szCs w:val="24"/>
          <w:lang w:val="en-GB"/>
        </w:rPr>
        <w:t>(</w:t>
      </w:r>
      <w:r w:rsidR="00676B18" w:rsidRPr="001F0161">
        <w:rPr>
          <w:rFonts w:ascii="Times New Roman" w:eastAsia="Times New Roman" w:hAnsi="Times New Roman" w:cs="Times New Roman"/>
          <w:sz w:val="24"/>
          <w:szCs w:val="24"/>
          <w:lang w:val="en-GB"/>
        </w:rPr>
        <w:t>2023</w:t>
      </w:r>
      <w:r w:rsidR="00676B18">
        <w:rPr>
          <w:rFonts w:ascii="Times New Roman" w:eastAsia="Times New Roman" w:hAnsi="Times New Roman" w:cs="Times New Roman"/>
          <w:sz w:val="24"/>
          <w:szCs w:val="24"/>
          <w:lang w:val="en-GB"/>
        </w:rPr>
        <w:t>), g</w:t>
      </w:r>
      <w:r w:rsidR="0035522B" w:rsidRPr="001F0161">
        <w:rPr>
          <w:rFonts w:ascii="Times New Roman" w:eastAsia="Times New Roman" w:hAnsi="Times New Roman" w:cs="Times New Roman"/>
          <w:sz w:val="24"/>
          <w:szCs w:val="24"/>
          <w:lang w:val="en-GB"/>
        </w:rPr>
        <w:t>lobal financial flows are shifting because of the recent realignment of geopolitical and international supply and demand in the financial services industry, fiscal constraints in donor countries, inflationary pressures, and changes in foreign policy priorities</w:t>
      </w:r>
      <w:r w:rsidRPr="001F0161">
        <w:rPr>
          <w:rFonts w:ascii="Times New Roman" w:eastAsia="Times New Roman" w:hAnsi="Times New Roman" w:cs="Times New Roman"/>
          <w:sz w:val="24"/>
          <w:szCs w:val="24"/>
          <w:lang w:val="en-GB"/>
        </w:rPr>
        <w:t xml:space="preserve">. </w:t>
      </w:r>
      <w:r w:rsidR="007146A4" w:rsidRPr="001F0161">
        <w:rPr>
          <w:rFonts w:ascii="Times New Roman" w:eastAsia="Times New Roman" w:hAnsi="Times New Roman" w:cs="Times New Roman"/>
          <w:sz w:val="24"/>
          <w:szCs w:val="24"/>
          <w:lang w:val="en-GB"/>
        </w:rPr>
        <w:t xml:space="preserve">The shift in structures leaves non-governmental organisations (NGOs) in acute financial fragility, and places them at risk of the systemic vulnerabilities of becoming reliant on grants and traditional forms of fundraising. </w:t>
      </w:r>
      <w:r w:rsidR="000F6C8A" w:rsidRPr="000F6C8A">
        <w:rPr>
          <w:rFonts w:ascii="Times New Roman" w:eastAsia="Times New Roman" w:hAnsi="Times New Roman" w:cs="Times New Roman"/>
          <w:sz w:val="24"/>
          <w:szCs w:val="24"/>
          <w:lang w:val="en-GB"/>
        </w:rPr>
        <w:t>As argued by</w:t>
      </w:r>
      <w:r w:rsidR="000F6C8A">
        <w:rPr>
          <w:rFonts w:ascii="Times New Roman" w:eastAsia="Times New Roman" w:hAnsi="Times New Roman" w:cs="Times New Roman"/>
          <w:sz w:val="24"/>
          <w:szCs w:val="24"/>
          <w:lang w:val="en-GB"/>
        </w:rPr>
        <w:t xml:space="preserve"> </w:t>
      </w:r>
      <w:proofErr w:type="spellStart"/>
      <w:r w:rsidR="000F6C8A" w:rsidRPr="001F0161">
        <w:rPr>
          <w:rFonts w:ascii="Times New Roman" w:eastAsia="Times New Roman" w:hAnsi="Times New Roman" w:cs="Times New Roman"/>
          <w:sz w:val="24"/>
          <w:szCs w:val="24"/>
          <w:lang w:val="en-GB"/>
        </w:rPr>
        <w:t>Kermani</w:t>
      </w:r>
      <w:proofErr w:type="spellEnd"/>
      <w:r w:rsidR="000F6C8A" w:rsidRPr="001F0161">
        <w:rPr>
          <w:rFonts w:ascii="Times New Roman" w:eastAsia="Times New Roman" w:hAnsi="Times New Roman" w:cs="Times New Roman"/>
          <w:sz w:val="24"/>
          <w:szCs w:val="24"/>
          <w:lang w:val="en-GB"/>
        </w:rPr>
        <w:t xml:space="preserve"> and </w:t>
      </w:r>
      <w:proofErr w:type="spellStart"/>
      <w:r w:rsidR="000F6C8A" w:rsidRPr="001F0161">
        <w:rPr>
          <w:rFonts w:ascii="Times New Roman" w:eastAsia="Times New Roman" w:hAnsi="Times New Roman" w:cs="Times New Roman"/>
          <w:sz w:val="24"/>
          <w:szCs w:val="24"/>
          <w:lang w:val="en-GB"/>
        </w:rPr>
        <w:t>Reandi</w:t>
      </w:r>
      <w:proofErr w:type="spellEnd"/>
      <w:r w:rsidR="000F6C8A" w:rsidRPr="001F0161">
        <w:rPr>
          <w:rFonts w:ascii="Times New Roman" w:eastAsia="Times New Roman" w:hAnsi="Times New Roman" w:cs="Times New Roman"/>
          <w:sz w:val="24"/>
          <w:szCs w:val="24"/>
          <w:lang w:val="en-GB"/>
        </w:rPr>
        <w:t xml:space="preserve">, </w:t>
      </w:r>
      <w:r w:rsidR="000F6C8A">
        <w:rPr>
          <w:rFonts w:ascii="Times New Roman" w:eastAsia="Times New Roman" w:hAnsi="Times New Roman" w:cs="Times New Roman"/>
          <w:sz w:val="24"/>
          <w:szCs w:val="24"/>
          <w:lang w:val="en-GB"/>
        </w:rPr>
        <w:t>(</w:t>
      </w:r>
      <w:r w:rsidR="000F6C8A" w:rsidRPr="001F0161">
        <w:rPr>
          <w:rFonts w:ascii="Times New Roman" w:eastAsia="Times New Roman" w:hAnsi="Times New Roman" w:cs="Times New Roman"/>
          <w:sz w:val="24"/>
          <w:szCs w:val="24"/>
          <w:lang w:val="en-GB"/>
        </w:rPr>
        <w:t>2023</w:t>
      </w:r>
      <w:r w:rsidR="000F6C8A">
        <w:rPr>
          <w:rFonts w:ascii="Times New Roman" w:eastAsia="Times New Roman" w:hAnsi="Times New Roman" w:cs="Times New Roman"/>
          <w:sz w:val="24"/>
          <w:szCs w:val="24"/>
          <w:lang w:val="en-GB"/>
        </w:rPr>
        <w:t>)</w:t>
      </w:r>
      <w:r w:rsidR="007146A4" w:rsidRPr="001F0161">
        <w:rPr>
          <w:rFonts w:ascii="Times New Roman" w:eastAsia="Times New Roman" w:hAnsi="Times New Roman" w:cs="Times New Roman"/>
          <w:sz w:val="24"/>
          <w:szCs w:val="24"/>
          <w:lang w:val="en-GB"/>
        </w:rPr>
        <w:t xml:space="preserve">, civil society organizations are forced to think outside the box, one approach being domestically sourced philanthropy, another being partnerships with corporate social responsibility (CSR), and the third being social enterprise models.  </w:t>
      </w:r>
    </w:p>
    <w:p w14:paraId="6E2196C9" w14:textId="5F7FD375" w:rsidR="0050244B" w:rsidRPr="001F0161" w:rsidRDefault="007146A4"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In this setting, the study is about First Generation Leadership Foundation, a Section 8 non-profit for empowerment of the first-generation learners of the marginalised groups, sanitation worker families</w:t>
      </w:r>
      <w:r w:rsidR="008215FB" w:rsidRPr="001F0161">
        <w:rPr>
          <w:rFonts w:ascii="Times New Roman" w:eastAsia="Times New Roman" w:hAnsi="Times New Roman" w:cs="Times New Roman"/>
          <w:sz w:val="24"/>
          <w:szCs w:val="24"/>
          <w:lang w:val="en-GB"/>
        </w:rPr>
        <w:t xml:space="preserve"> (Valmiki)</w:t>
      </w:r>
      <w:r w:rsidRPr="001F0161">
        <w:rPr>
          <w:rFonts w:ascii="Times New Roman" w:eastAsia="Times New Roman" w:hAnsi="Times New Roman" w:cs="Times New Roman"/>
          <w:sz w:val="24"/>
          <w:szCs w:val="24"/>
          <w:lang w:val="en-GB"/>
        </w:rPr>
        <w:t xml:space="preserve"> in particular. Working in the wake of the present-day funding constraints, FGLF has done operational adaptations in using partnerships with the Ahmedabad Municipal School Board (AMSB), and college of university affiliations, and its pool of more than 1,000 youth volunteers, who share 15,000+ hours. Examining FGLF highlights the local, practical solutions to be developed to expand financial sustainability and protect mission integrity in the face of reduced international assistance.</w:t>
      </w:r>
    </w:p>
    <w:p w14:paraId="19A29069" w14:textId="77777777" w:rsidR="0050244B" w:rsidRPr="001F0161" w:rsidRDefault="0004031D" w:rsidP="00973765">
      <w:pPr>
        <w:pStyle w:val="Heading2"/>
      </w:pPr>
      <w:bookmarkStart w:id="4" w:name="_Toc239424038"/>
      <w:r w:rsidRPr="001F0161">
        <w:t>1.2 Problem statement</w:t>
      </w:r>
      <w:bookmarkEnd w:id="4"/>
      <w:r w:rsidRPr="001F0161">
        <w:t xml:space="preserve"> </w:t>
      </w:r>
    </w:p>
    <w:p w14:paraId="2B2D7247" w14:textId="7EE87448" w:rsidR="00AF17FC" w:rsidRPr="001F0161" w:rsidRDefault="009E1DE2" w:rsidP="00AF17FC">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the op inion of </w:t>
      </w:r>
      <w:r w:rsidRPr="001F0161">
        <w:rPr>
          <w:rFonts w:ascii="Times New Roman" w:eastAsia="Times New Roman" w:hAnsi="Times New Roman" w:cs="Times New Roman"/>
          <w:sz w:val="24"/>
          <w:szCs w:val="24"/>
          <w:lang w:val="en-GB"/>
        </w:rPr>
        <w:t>Bendell</w:t>
      </w:r>
      <w:r>
        <w:rPr>
          <w:rFonts w:ascii="Times New Roman" w:eastAsia="Times New Roman" w:hAnsi="Times New Roman" w:cs="Times New Roman"/>
          <w:sz w:val="24"/>
          <w:szCs w:val="24"/>
          <w:lang w:val="en-GB"/>
        </w:rPr>
        <w:t xml:space="preserve"> (</w:t>
      </w:r>
      <w:r w:rsidRPr="001F0161">
        <w:rPr>
          <w:rFonts w:ascii="Times New Roman" w:eastAsia="Times New Roman" w:hAnsi="Times New Roman" w:cs="Times New Roman"/>
          <w:sz w:val="24"/>
          <w:szCs w:val="24"/>
          <w:lang w:val="en-GB"/>
        </w:rPr>
        <w:t>2022</w:t>
      </w:r>
      <w:r>
        <w:rPr>
          <w:rFonts w:ascii="Times New Roman" w:eastAsia="Times New Roman" w:hAnsi="Times New Roman" w:cs="Times New Roman"/>
          <w:sz w:val="24"/>
          <w:szCs w:val="24"/>
          <w:lang w:val="en-GB"/>
        </w:rPr>
        <w:t>), t</w:t>
      </w:r>
      <w:r w:rsidR="00AF17FC" w:rsidRPr="001F0161">
        <w:rPr>
          <w:rFonts w:ascii="Times New Roman" w:eastAsia="Times New Roman" w:hAnsi="Times New Roman" w:cs="Times New Roman"/>
          <w:sz w:val="24"/>
          <w:szCs w:val="24"/>
          <w:lang w:val="en-GB"/>
        </w:rPr>
        <w:t xml:space="preserve">he current international business model of sustainability and development is in crisis due to the pervasive reduction in foreign development assistance and international grant funding. </w:t>
      </w:r>
      <w:r w:rsidR="00512D87">
        <w:rPr>
          <w:rFonts w:ascii="Times New Roman" w:eastAsia="Times New Roman" w:hAnsi="Times New Roman" w:cs="Times New Roman"/>
          <w:sz w:val="24"/>
          <w:szCs w:val="24"/>
          <w:lang w:val="en-GB"/>
        </w:rPr>
        <w:t xml:space="preserve">As evidenced by </w:t>
      </w:r>
      <w:r w:rsidR="00512D87" w:rsidRPr="001F0161">
        <w:rPr>
          <w:rFonts w:ascii="Times New Roman" w:eastAsia="Times New Roman" w:hAnsi="Times New Roman" w:cs="Times New Roman"/>
          <w:sz w:val="24"/>
          <w:szCs w:val="24"/>
          <w:lang w:val="en-GB"/>
        </w:rPr>
        <w:t xml:space="preserve">Miles et al. </w:t>
      </w:r>
      <w:r w:rsidR="00512D87">
        <w:rPr>
          <w:rFonts w:ascii="Times New Roman" w:eastAsia="Times New Roman" w:hAnsi="Times New Roman" w:cs="Times New Roman"/>
          <w:sz w:val="24"/>
          <w:szCs w:val="24"/>
          <w:lang w:val="en-GB"/>
        </w:rPr>
        <w:t>(</w:t>
      </w:r>
      <w:r w:rsidR="00512D87" w:rsidRPr="001F0161">
        <w:rPr>
          <w:rFonts w:ascii="Times New Roman" w:eastAsia="Times New Roman" w:hAnsi="Times New Roman" w:cs="Times New Roman"/>
          <w:sz w:val="24"/>
          <w:szCs w:val="24"/>
          <w:lang w:val="en-GB"/>
        </w:rPr>
        <w:t>2022)</w:t>
      </w:r>
      <w:r w:rsidR="00512D87">
        <w:rPr>
          <w:rFonts w:ascii="Times New Roman" w:eastAsia="Times New Roman" w:hAnsi="Times New Roman" w:cs="Times New Roman"/>
          <w:sz w:val="24"/>
          <w:szCs w:val="24"/>
          <w:lang w:val="en-GB"/>
        </w:rPr>
        <w:t>, i</w:t>
      </w:r>
      <w:r w:rsidR="00AF17FC" w:rsidRPr="001F0161">
        <w:rPr>
          <w:rFonts w:ascii="Times New Roman" w:eastAsia="Times New Roman" w:hAnsi="Times New Roman" w:cs="Times New Roman"/>
          <w:sz w:val="24"/>
          <w:szCs w:val="24"/>
          <w:lang w:val="en-GB"/>
        </w:rPr>
        <w:t>n the past, NGOs were working on a grant-driven model with as much as 80% of their operational and administrative expenses funded by foreign assistance</w:t>
      </w:r>
      <w:r w:rsidR="00512D87">
        <w:rPr>
          <w:rFonts w:ascii="Times New Roman" w:eastAsia="Times New Roman" w:hAnsi="Times New Roman" w:cs="Times New Roman"/>
          <w:sz w:val="24"/>
          <w:szCs w:val="24"/>
          <w:lang w:val="en-GB"/>
        </w:rPr>
        <w:t xml:space="preserve">. </w:t>
      </w:r>
      <w:r w:rsidR="00766A25" w:rsidRPr="001F0161">
        <w:rPr>
          <w:rFonts w:ascii="Times New Roman" w:eastAsia="Times New Roman" w:hAnsi="Times New Roman" w:cs="Times New Roman"/>
          <w:sz w:val="24"/>
          <w:szCs w:val="24"/>
          <w:lang w:val="en-GB"/>
        </w:rPr>
        <w:t>Onyango Ouma</w:t>
      </w:r>
      <w:r w:rsidR="00766A25">
        <w:rPr>
          <w:rFonts w:ascii="Times New Roman" w:eastAsia="Times New Roman" w:hAnsi="Times New Roman" w:cs="Times New Roman"/>
          <w:sz w:val="24"/>
          <w:szCs w:val="24"/>
          <w:lang w:val="en-GB"/>
        </w:rPr>
        <w:t xml:space="preserve"> (</w:t>
      </w:r>
      <w:r w:rsidR="00766A25" w:rsidRPr="001F0161">
        <w:rPr>
          <w:rFonts w:ascii="Times New Roman" w:eastAsia="Times New Roman" w:hAnsi="Times New Roman" w:cs="Times New Roman"/>
          <w:sz w:val="24"/>
          <w:szCs w:val="24"/>
          <w:lang w:val="en-GB"/>
        </w:rPr>
        <w:t>2025</w:t>
      </w:r>
      <w:r w:rsidR="00766A25">
        <w:rPr>
          <w:rFonts w:ascii="Times New Roman" w:eastAsia="Times New Roman" w:hAnsi="Times New Roman" w:cs="Times New Roman"/>
          <w:sz w:val="24"/>
          <w:szCs w:val="24"/>
          <w:lang w:val="en-GB"/>
        </w:rPr>
        <w:t>) has found that t</w:t>
      </w:r>
      <w:r w:rsidR="00AF17FC" w:rsidRPr="001F0161">
        <w:rPr>
          <w:rFonts w:ascii="Times New Roman" w:eastAsia="Times New Roman" w:hAnsi="Times New Roman" w:cs="Times New Roman"/>
          <w:sz w:val="24"/>
          <w:szCs w:val="24"/>
          <w:lang w:val="en-GB"/>
        </w:rPr>
        <w:t xml:space="preserve">he abrupt pullback of Official Development Assistance (ODA) has wreaked havoc on this financial system, leaving civil society organizations structurally vulnerable and unable to continue to provide the services that they have historically. The fiscal restraint is more a reflection of macroeconomic adjustment </w:t>
      </w:r>
      <w:r w:rsidR="00AF17FC" w:rsidRPr="001F0161">
        <w:rPr>
          <w:rFonts w:ascii="Times New Roman" w:eastAsia="Times New Roman" w:hAnsi="Times New Roman" w:cs="Times New Roman"/>
          <w:sz w:val="24"/>
          <w:szCs w:val="24"/>
          <w:lang w:val="en-GB"/>
        </w:rPr>
        <w:lastRenderedPageBreak/>
        <w:t>measures being adopted by conventional donor countries, such as domestic inflationary pressures, rising national debt and reduction in government spending. A</w:t>
      </w:r>
      <w:r w:rsidR="00EE195A">
        <w:rPr>
          <w:rFonts w:ascii="Times New Roman" w:eastAsia="Times New Roman" w:hAnsi="Times New Roman" w:cs="Times New Roman"/>
          <w:sz w:val="24"/>
          <w:szCs w:val="24"/>
          <w:lang w:val="en-GB"/>
        </w:rPr>
        <w:t xml:space="preserve">s opined by </w:t>
      </w:r>
      <w:r w:rsidR="00EE195A" w:rsidRPr="001F0161">
        <w:rPr>
          <w:rFonts w:ascii="Times New Roman" w:eastAsia="Times New Roman" w:hAnsi="Times New Roman" w:cs="Times New Roman"/>
          <w:sz w:val="24"/>
          <w:szCs w:val="24"/>
          <w:lang w:val="en-GB"/>
        </w:rPr>
        <w:t>Hamann</w:t>
      </w:r>
      <w:r w:rsidR="00EE195A">
        <w:rPr>
          <w:rFonts w:ascii="Times New Roman" w:eastAsia="Times New Roman" w:hAnsi="Times New Roman" w:cs="Times New Roman"/>
          <w:sz w:val="24"/>
          <w:szCs w:val="24"/>
          <w:lang w:val="en-GB"/>
        </w:rPr>
        <w:t xml:space="preserve"> (</w:t>
      </w:r>
      <w:r w:rsidR="00EE195A" w:rsidRPr="001F0161">
        <w:rPr>
          <w:rFonts w:ascii="Times New Roman" w:eastAsia="Times New Roman" w:hAnsi="Times New Roman" w:cs="Times New Roman"/>
          <w:sz w:val="24"/>
          <w:szCs w:val="24"/>
          <w:lang w:val="en-GB"/>
        </w:rPr>
        <w:t>2026</w:t>
      </w:r>
      <w:r w:rsidR="00EE195A">
        <w:rPr>
          <w:rFonts w:ascii="Times New Roman" w:eastAsia="Times New Roman" w:hAnsi="Times New Roman" w:cs="Times New Roman"/>
          <w:sz w:val="24"/>
          <w:szCs w:val="24"/>
          <w:lang w:val="en-GB"/>
        </w:rPr>
        <w:t>), a</w:t>
      </w:r>
      <w:r w:rsidR="00AF17FC" w:rsidRPr="001F0161">
        <w:rPr>
          <w:rFonts w:ascii="Times New Roman" w:eastAsia="Times New Roman" w:hAnsi="Times New Roman" w:cs="Times New Roman"/>
          <w:sz w:val="24"/>
          <w:szCs w:val="24"/>
          <w:lang w:val="en-GB"/>
        </w:rPr>
        <w:t xml:space="preserve">t the same time, the international development budget has been diverted by evolving geopolitical priorities to support alliances for </w:t>
      </w:r>
      <w:r w:rsidR="000E63DB" w:rsidRPr="001F0161">
        <w:rPr>
          <w:rFonts w:ascii="Times New Roman" w:eastAsia="Times New Roman" w:hAnsi="Times New Roman" w:cs="Times New Roman"/>
          <w:sz w:val="24"/>
          <w:szCs w:val="24"/>
          <w:lang w:val="en-GB"/>
        </w:rPr>
        <w:t>defence</w:t>
      </w:r>
      <w:r w:rsidR="00AF17FC" w:rsidRPr="001F0161">
        <w:rPr>
          <w:rFonts w:ascii="Times New Roman" w:eastAsia="Times New Roman" w:hAnsi="Times New Roman" w:cs="Times New Roman"/>
          <w:sz w:val="24"/>
          <w:szCs w:val="24"/>
          <w:lang w:val="en-GB"/>
        </w:rPr>
        <w:t xml:space="preserve"> and bilateral security pacts, and domestic welfare, leading to donor fatigue. Regulatory changes and more stringent foreign-contribution regulations have also limited foreign funding in recipient countries, so that non-profits are facing a period of unprecedented budgetary constraints.</w:t>
      </w:r>
    </w:p>
    <w:p w14:paraId="0985E829" w14:textId="4AC08D7B" w:rsidR="00AF17FC" w:rsidRPr="001F0161" w:rsidRDefault="00DA2130" w:rsidP="00AF17FC">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Thrassouet al. (2024) stated that the</w:t>
      </w:r>
      <w:r w:rsidR="00AF17FC" w:rsidRPr="001F0161">
        <w:rPr>
          <w:rFonts w:ascii="Times New Roman" w:eastAsia="Times New Roman" w:hAnsi="Times New Roman" w:cs="Times New Roman"/>
          <w:sz w:val="24"/>
          <w:szCs w:val="24"/>
          <w:lang w:val="en-GB"/>
        </w:rPr>
        <w:t xml:space="preserve"> classic non-profit operating structure is struggling to keep pace with the changing nature of the funding environment. </w:t>
      </w:r>
      <w:r w:rsidR="00EF0FC3" w:rsidRPr="001F0161">
        <w:rPr>
          <w:rFonts w:ascii="Times New Roman" w:eastAsia="Times New Roman" w:hAnsi="Times New Roman" w:cs="Times New Roman"/>
          <w:sz w:val="24"/>
          <w:szCs w:val="24"/>
          <w:lang w:val="en-GB"/>
        </w:rPr>
        <w:t>Moun</w:t>
      </w:r>
      <w:r w:rsidR="00EF0FC3">
        <w:rPr>
          <w:rFonts w:ascii="Times New Roman" w:eastAsia="Times New Roman" w:hAnsi="Times New Roman" w:cs="Times New Roman"/>
          <w:sz w:val="24"/>
          <w:szCs w:val="24"/>
          <w:lang w:val="en-GB"/>
        </w:rPr>
        <w:t>t (</w:t>
      </w:r>
      <w:r w:rsidR="00EF0FC3" w:rsidRPr="001F0161">
        <w:rPr>
          <w:rFonts w:ascii="Times New Roman" w:eastAsia="Times New Roman" w:hAnsi="Times New Roman" w:cs="Times New Roman"/>
          <w:sz w:val="24"/>
          <w:szCs w:val="24"/>
          <w:lang w:val="en-GB"/>
        </w:rPr>
        <w:t>2023</w:t>
      </w:r>
      <w:r w:rsidR="00EF0FC3">
        <w:rPr>
          <w:rFonts w:ascii="Times New Roman" w:eastAsia="Times New Roman" w:hAnsi="Times New Roman" w:cs="Times New Roman"/>
          <w:sz w:val="24"/>
          <w:szCs w:val="24"/>
          <w:lang w:val="en-GB"/>
        </w:rPr>
        <w:t>) found that t</w:t>
      </w:r>
      <w:r w:rsidR="00AF17FC" w:rsidRPr="001F0161">
        <w:rPr>
          <w:rFonts w:ascii="Times New Roman" w:eastAsia="Times New Roman" w:hAnsi="Times New Roman" w:cs="Times New Roman"/>
          <w:sz w:val="24"/>
          <w:szCs w:val="24"/>
          <w:lang w:val="en-GB"/>
        </w:rPr>
        <w:t xml:space="preserve">here is insufficient institutional capacity, financial agility and revenue diversification models among most NGOs to sustain their place of international subsidies. For example, </w:t>
      </w:r>
      <w:r w:rsidR="004009B2" w:rsidRPr="001F0161">
        <w:rPr>
          <w:rFonts w:ascii="Times New Roman" w:eastAsia="Times New Roman" w:hAnsi="Times New Roman" w:cs="Times New Roman"/>
          <w:sz w:val="24"/>
          <w:szCs w:val="24"/>
          <w:lang w:val="en-GB"/>
        </w:rPr>
        <w:t xml:space="preserve">Mount </w:t>
      </w:r>
      <w:r w:rsidR="004009B2">
        <w:rPr>
          <w:rFonts w:ascii="Times New Roman" w:eastAsia="Times New Roman" w:hAnsi="Times New Roman" w:cs="Times New Roman"/>
          <w:sz w:val="24"/>
          <w:szCs w:val="24"/>
          <w:lang w:val="en-GB"/>
        </w:rPr>
        <w:t>(</w:t>
      </w:r>
      <w:r w:rsidR="004009B2" w:rsidRPr="001F0161">
        <w:rPr>
          <w:rFonts w:ascii="Times New Roman" w:eastAsia="Times New Roman" w:hAnsi="Times New Roman" w:cs="Times New Roman"/>
          <w:sz w:val="24"/>
          <w:szCs w:val="24"/>
          <w:lang w:val="en-GB"/>
        </w:rPr>
        <w:t>2023)</w:t>
      </w:r>
      <w:r w:rsidR="004009B2">
        <w:rPr>
          <w:rFonts w:ascii="Times New Roman" w:eastAsia="Times New Roman" w:hAnsi="Times New Roman" w:cs="Times New Roman"/>
          <w:sz w:val="24"/>
          <w:szCs w:val="24"/>
          <w:lang w:val="en-GB"/>
        </w:rPr>
        <w:t xml:space="preserve"> stated that </w:t>
      </w:r>
      <w:r w:rsidR="00AF17FC" w:rsidRPr="001F0161">
        <w:rPr>
          <w:rFonts w:ascii="Times New Roman" w:eastAsia="Times New Roman" w:hAnsi="Times New Roman" w:cs="Times New Roman"/>
          <w:sz w:val="24"/>
          <w:szCs w:val="24"/>
          <w:lang w:val="en-GB"/>
        </w:rPr>
        <w:t>where there are attempts to shift to commercial mechanisms including social enterprises, fee for service consultancy, or Corporate Social Responsibility (CSR) sponsorship, the immediate risk is “mission drift”</w:t>
      </w:r>
      <w:r w:rsidR="004009B2">
        <w:rPr>
          <w:rFonts w:ascii="Times New Roman" w:eastAsia="Times New Roman" w:hAnsi="Times New Roman" w:cs="Times New Roman"/>
          <w:sz w:val="24"/>
          <w:szCs w:val="24"/>
          <w:lang w:val="en-GB"/>
        </w:rPr>
        <w:t xml:space="preserve">. </w:t>
      </w:r>
      <w:r w:rsidR="00AF17FC" w:rsidRPr="001F0161">
        <w:rPr>
          <w:rFonts w:ascii="Times New Roman" w:eastAsia="Times New Roman" w:hAnsi="Times New Roman" w:cs="Times New Roman"/>
          <w:sz w:val="24"/>
          <w:szCs w:val="24"/>
          <w:lang w:val="en-GB"/>
        </w:rPr>
        <w:t>I</w:t>
      </w:r>
      <w:r w:rsidR="004C0FB2">
        <w:rPr>
          <w:rFonts w:ascii="Times New Roman" w:eastAsia="Times New Roman" w:hAnsi="Times New Roman" w:cs="Times New Roman"/>
          <w:sz w:val="24"/>
          <w:szCs w:val="24"/>
          <w:lang w:val="en-GB"/>
        </w:rPr>
        <w:t xml:space="preserve">n the opinion of </w:t>
      </w:r>
      <w:r w:rsidR="004C0FB2" w:rsidRPr="001F0161">
        <w:rPr>
          <w:rFonts w:ascii="Times New Roman" w:eastAsia="Times New Roman" w:hAnsi="Times New Roman" w:cs="Times New Roman"/>
          <w:sz w:val="24"/>
          <w:szCs w:val="24"/>
          <w:lang w:val="en-GB"/>
        </w:rPr>
        <w:t xml:space="preserve">Redman, </w:t>
      </w:r>
      <w:r w:rsidR="004C0FB2">
        <w:rPr>
          <w:rFonts w:ascii="Times New Roman" w:eastAsia="Times New Roman" w:hAnsi="Times New Roman" w:cs="Times New Roman"/>
          <w:sz w:val="24"/>
          <w:szCs w:val="24"/>
          <w:lang w:val="en-GB"/>
        </w:rPr>
        <w:t>(</w:t>
      </w:r>
      <w:r w:rsidR="004C0FB2" w:rsidRPr="001F0161">
        <w:rPr>
          <w:rFonts w:ascii="Times New Roman" w:eastAsia="Times New Roman" w:hAnsi="Times New Roman" w:cs="Times New Roman"/>
          <w:sz w:val="24"/>
          <w:szCs w:val="24"/>
          <w:lang w:val="en-GB"/>
        </w:rPr>
        <w:t>2023</w:t>
      </w:r>
      <w:r w:rsidR="004C0FB2">
        <w:rPr>
          <w:rFonts w:ascii="Times New Roman" w:eastAsia="Times New Roman" w:hAnsi="Times New Roman" w:cs="Times New Roman"/>
          <w:sz w:val="24"/>
          <w:szCs w:val="24"/>
          <w:lang w:val="en-GB"/>
        </w:rPr>
        <w:t>), i</w:t>
      </w:r>
      <w:r w:rsidR="00AF17FC" w:rsidRPr="001F0161">
        <w:rPr>
          <w:rFonts w:ascii="Times New Roman" w:eastAsia="Times New Roman" w:hAnsi="Times New Roman" w:cs="Times New Roman"/>
          <w:sz w:val="24"/>
          <w:szCs w:val="24"/>
          <w:lang w:val="en-GB"/>
        </w:rPr>
        <w:t xml:space="preserve">f commercial requirements take precedence over social needs, the extra costs of self-generated capital often have the opposite effect of what the organisation was set up to achieve – distancing it from the communities it is supposed to be serving. </w:t>
      </w:r>
      <w:r w:rsidR="00437F7F" w:rsidRPr="001F0161">
        <w:rPr>
          <w:rFonts w:ascii="Times New Roman" w:eastAsia="Times New Roman" w:hAnsi="Times New Roman" w:cs="Times New Roman"/>
          <w:sz w:val="24"/>
          <w:szCs w:val="24"/>
          <w:lang w:val="en-GB"/>
        </w:rPr>
        <w:t xml:space="preserve">Johnstone, </w:t>
      </w:r>
      <w:r w:rsidR="00437F7F">
        <w:rPr>
          <w:rFonts w:ascii="Times New Roman" w:eastAsia="Times New Roman" w:hAnsi="Times New Roman" w:cs="Times New Roman"/>
          <w:sz w:val="24"/>
          <w:szCs w:val="24"/>
          <w:lang w:val="en-GB"/>
        </w:rPr>
        <w:t>(</w:t>
      </w:r>
      <w:r w:rsidR="00437F7F" w:rsidRPr="001F0161">
        <w:rPr>
          <w:rFonts w:ascii="Times New Roman" w:eastAsia="Times New Roman" w:hAnsi="Times New Roman" w:cs="Times New Roman"/>
          <w:sz w:val="24"/>
          <w:szCs w:val="24"/>
          <w:lang w:val="en-GB"/>
        </w:rPr>
        <w:t>2024</w:t>
      </w:r>
      <w:r w:rsidR="00437F7F">
        <w:rPr>
          <w:rFonts w:ascii="Times New Roman" w:eastAsia="Times New Roman" w:hAnsi="Times New Roman" w:cs="Times New Roman"/>
          <w:sz w:val="24"/>
          <w:szCs w:val="24"/>
          <w:lang w:val="en-GB"/>
        </w:rPr>
        <w:t>) examined that t</w:t>
      </w:r>
      <w:r w:rsidR="00AF17FC" w:rsidRPr="001F0161">
        <w:rPr>
          <w:rFonts w:ascii="Times New Roman" w:eastAsia="Times New Roman" w:hAnsi="Times New Roman" w:cs="Times New Roman"/>
          <w:sz w:val="24"/>
          <w:szCs w:val="24"/>
          <w:lang w:val="en-GB"/>
        </w:rPr>
        <w:t>he initial providers of this funding crisis will be grassroots non-profits, their staff and historically under-served communities. Structural insolvency, program cancellations, and large-scale staff resignations are the consequences of organizations that fail to adapt. It is the poorest and most marginalized, particularly first-generation learners of sanitation workers from impoverished households, who bear the brunt of having to depend entirely on donor-funded education, scholarship advice and competitive examination preparing to transcend from caste-based work and systemic poverty.</w:t>
      </w:r>
    </w:p>
    <w:p w14:paraId="6F30430A" w14:textId="220C2EF9" w:rsidR="0050244B" w:rsidRPr="001F0161" w:rsidRDefault="00531423" w:rsidP="00AF17FC">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Moore et al. </w:t>
      </w:r>
      <w:r>
        <w:rPr>
          <w:rFonts w:ascii="Times New Roman" w:eastAsia="Times New Roman" w:hAnsi="Times New Roman" w:cs="Times New Roman"/>
          <w:sz w:val="24"/>
          <w:szCs w:val="24"/>
          <w:lang w:val="en-GB"/>
        </w:rPr>
        <w:t>(</w:t>
      </w:r>
      <w:r w:rsidRPr="001F0161">
        <w:rPr>
          <w:rFonts w:ascii="Times New Roman" w:eastAsia="Times New Roman" w:hAnsi="Times New Roman" w:cs="Times New Roman"/>
          <w:sz w:val="24"/>
          <w:szCs w:val="24"/>
          <w:lang w:val="en-GB"/>
        </w:rPr>
        <w:t>2024</w:t>
      </w:r>
      <w:r>
        <w:rPr>
          <w:rFonts w:ascii="Times New Roman" w:eastAsia="Times New Roman" w:hAnsi="Times New Roman" w:cs="Times New Roman"/>
          <w:sz w:val="24"/>
          <w:szCs w:val="24"/>
          <w:lang w:val="en-GB"/>
        </w:rPr>
        <w:t>) found that w</w:t>
      </w:r>
      <w:r w:rsidR="00AF17FC" w:rsidRPr="001F0161">
        <w:rPr>
          <w:rFonts w:ascii="Times New Roman" w:eastAsia="Times New Roman" w:hAnsi="Times New Roman" w:cs="Times New Roman"/>
          <w:sz w:val="24"/>
          <w:szCs w:val="24"/>
          <w:lang w:val="en-GB"/>
        </w:rPr>
        <w:t xml:space="preserve">ithout outside funds and without their own finances, non-profits have to scale back on vital interventions. This much-needed downsizing exacerbates educational inequality, reinforces socio-economic disparities, and stops vital community services. </w:t>
      </w:r>
      <w:r w:rsidR="00CD18AA" w:rsidRPr="001F0161">
        <w:rPr>
          <w:rFonts w:ascii="Times New Roman" w:eastAsia="Times New Roman" w:hAnsi="Times New Roman" w:cs="Times New Roman"/>
          <w:sz w:val="24"/>
          <w:szCs w:val="24"/>
          <w:lang w:val="en-GB"/>
        </w:rPr>
        <w:t xml:space="preserve">Ikechukwu-Cmiosh, </w:t>
      </w:r>
      <w:r w:rsidR="00CD18AA">
        <w:rPr>
          <w:rFonts w:ascii="Times New Roman" w:eastAsia="Times New Roman" w:hAnsi="Times New Roman" w:cs="Times New Roman"/>
          <w:sz w:val="24"/>
          <w:szCs w:val="24"/>
          <w:lang w:val="en-GB"/>
        </w:rPr>
        <w:t>(</w:t>
      </w:r>
      <w:r w:rsidR="00CD18AA" w:rsidRPr="001F0161">
        <w:rPr>
          <w:rFonts w:ascii="Times New Roman" w:eastAsia="Times New Roman" w:hAnsi="Times New Roman" w:cs="Times New Roman"/>
          <w:sz w:val="24"/>
          <w:szCs w:val="24"/>
          <w:lang w:val="en-GB"/>
        </w:rPr>
        <w:t>2024</w:t>
      </w:r>
      <w:r w:rsidR="00CD18AA">
        <w:rPr>
          <w:rFonts w:ascii="Times New Roman" w:eastAsia="Times New Roman" w:hAnsi="Times New Roman" w:cs="Times New Roman"/>
          <w:sz w:val="24"/>
          <w:szCs w:val="24"/>
          <w:lang w:val="en-GB"/>
        </w:rPr>
        <w:t>) opined that n</w:t>
      </w:r>
      <w:r w:rsidR="00AF17FC" w:rsidRPr="001F0161">
        <w:rPr>
          <w:rFonts w:ascii="Times New Roman" w:eastAsia="Times New Roman" w:hAnsi="Times New Roman" w:cs="Times New Roman"/>
          <w:sz w:val="24"/>
          <w:szCs w:val="24"/>
          <w:lang w:val="en-GB"/>
        </w:rPr>
        <w:t xml:space="preserve">ot only that, but haphazard organizational contraction can have dire consequences for non-profits, including “institutional depletion” that can erode trust in non-profits in community, loss of skilled human resources, and reduced ability to provide quality services. The current scholarship on policy change and donor decision-making focuses on a macro-level form of change and often neglects the micro-level facilities that can be used by the </w:t>
      </w:r>
      <w:r w:rsidR="00AF17FC" w:rsidRPr="001F0161">
        <w:rPr>
          <w:rFonts w:ascii="Times New Roman" w:eastAsia="Times New Roman" w:hAnsi="Times New Roman" w:cs="Times New Roman"/>
          <w:sz w:val="24"/>
          <w:szCs w:val="24"/>
          <w:lang w:val="en-GB"/>
        </w:rPr>
        <w:lastRenderedPageBreak/>
        <w:t xml:space="preserve">leaders of non-profit organizations to adapt. </w:t>
      </w:r>
      <w:r w:rsidR="00CF782E" w:rsidRPr="001F0161">
        <w:rPr>
          <w:rFonts w:ascii="Times New Roman" w:eastAsia="Times New Roman" w:hAnsi="Times New Roman" w:cs="Times New Roman"/>
          <w:sz w:val="24"/>
          <w:szCs w:val="24"/>
          <w:lang w:val="en-GB"/>
        </w:rPr>
        <w:t xml:space="preserve">Sawadogo-Lewis et al. </w:t>
      </w:r>
      <w:r w:rsidR="00CF782E">
        <w:rPr>
          <w:rFonts w:ascii="Times New Roman" w:eastAsia="Times New Roman" w:hAnsi="Times New Roman" w:cs="Times New Roman"/>
          <w:sz w:val="24"/>
          <w:szCs w:val="24"/>
          <w:lang w:val="en-GB"/>
        </w:rPr>
        <w:t>(</w:t>
      </w:r>
      <w:r w:rsidR="00CF782E" w:rsidRPr="001F0161">
        <w:rPr>
          <w:rFonts w:ascii="Times New Roman" w:eastAsia="Times New Roman" w:hAnsi="Times New Roman" w:cs="Times New Roman"/>
          <w:sz w:val="24"/>
          <w:szCs w:val="24"/>
          <w:lang w:val="en-GB"/>
        </w:rPr>
        <w:t>2022</w:t>
      </w:r>
      <w:r w:rsidR="00CF782E">
        <w:rPr>
          <w:rFonts w:ascii="Times New Roman" w:eastAsia="Times New Roman" w:hAnsi="Times New Roman" w:cs="Times New Roman"/>
          <w:sz w:val="24"/>
          <w:szCs w:val="24"/>
          <w:lang w:val="en-GB"/>
        </w:rPr>
        <w:t>) found that t</w:t>
      </w:r>
      <w:r w:rsidR="00AF17FC" w:rsidRPr="001F0161">
        <w:rPr>
          <w:rFonts w:ascii="Times New Roman" w:eastAsia="Times New Roman" w:hAnsi="Times New Roman" w:cs="Times New Roman"/>
          <w:sz w:val="24"/>
          <w:szCs w:val="24"/>
          <w:lang w:val="en-GB"/>
        </w:rPr>
        <w:t xml:space="preserve">he capacity and resources needed to understand how mission-critical grassroots NGO transform their internal structures, reduce costs, and innovate when faced with funding reduction are still not coordinated and consolidated. </w:t>
      </w:r>
      <w:r w:rsidR="003C43DF">
        <w:rPr>
          <w:rFonts w:ascii="Times New Roman" w:eastAsia="Times New Roman" w:hAnsi="Times New Roman" w:cs="Times New Roman"/>
          <w:sz w:val="24"/>
          <w:szCs w:val="24"/>
          <w:lang w:val="en-GB"/>
        </w:rPr>
        <w:t xml:space="preserve">According to </w:t>
      </w:r>
      <w:r w:rsidR="003C43DF" w:rsidRPr="001F0161">
        <w:rPr>
          <w:rFonts w:ascii="Times New Roman" w:eastAsia="Times New Roman" w:hAnsi="Times New Roman" w:cs="Times New Roman"/>
          <w:sz w:val="24"/>
          <w:szCs w:val="24"/>
          <w:lang w:val="en-GB"/>
        </w:rPr>
        <w:t xml:space="preserve">Nwaoburu, </w:t>
      </w:r>
      <w:r w:rsidR="003C43DF">
        <w:rPr>
          <w:rFonts w:ascii="Times New Roman" w:eastAsia="Times New Roman" w:hAnsi="Times New Roman" w:cs="Times New Roman"/>
          <w:sz w:val="24"/>
          <w:szCs w:val="24"/>
          <w:lang w:val="en-GB"/>
        </w:rPr>
        <w:t>(</w:t>
      </w:r>
      <w:r w:rsidR="003C43DF" w:rsidRPr="001F0161">
        <w:rPr>
          <w:rFonts w:ascii="Times New Roman" w:eastAsia="Times New Roman" w:hAnsi="Times New Roman" w:cs="Times New Roman"/>
          <w:sz w:val="24"/>
          <w:szCs w:val="24"/>
          <w:lang w:val="en-GB"/>
        </w:rPr>
        <w:t>2024</w:t>
      </w:r>
      <w:r w:rsidR="003C43DF">
        <w:rPr>
          <w:rFonts w:ascii="Times New Roman" w:eastAsia="Times New Roman" w:hAnsi="Times New Roman" w:cs="Times New Roman"/>
          <w:sz w:val="24"/>
          <w:szCs w:val="24"/>
          <w:lang w:val="en-GB"/>
        </w:rPr>
        <w:t>), t</w:t>
      </w:r>
      <w:r w:rsidR="00AF17FC" w:rsidRPr="001F0161">
        <w:rPr>
          <w:rFonts w:ascii="Times New Roman" w:eastAsia="Times New Roman" w:hAnsi="Times New Roman" w:cs="Times New Roman"/>
          <w:sz w:val="24"/>
          <w:szCs w:val="24"/>
          <w:lang w:val="en-GB"/>
        </w:rPr>
        <w:t>his is an important gap that is filled by investigating the FGLF, which draws on empirical evidence to address how grassroots organisations can adopt viable financing mechanisms, establish partnerships with municipalities and achieve sustainable financial resilience in the face of retrenchment in global aid.</w:t>
      </w:r>
    </w:p>
    <w:p w14:paraId="2988BD23" w14:textId="77777777" w:rsidR="0050244B" w:rsidRPr="001F0161" w:rsidRDefault="0004031D" w:rsidP="00973765">
      <w:pPr>
        <w:pStyle w:val="Heading2"/>
      </w:pPr>
      <w:bookmarkStart w:id="5" w:name="_Toc239424039"/>
      <w:r w:rsidRPr="001F0161">
        <w:t>1.3 Rationale of the research</w:t>
      </w:r>
      <w:bookmarkEnd w:id="5"/>
      <w:r w:rsidRPr="001F0161">
        <w:t xml:space="preserve"> </w:t>
      </w:r>
    </w:p>
    <w:p w14:paraId="73A94406" w14:textId="72DD13C4" w:rsidR="005F71B3" w:rsidRPr="001F0161" w:rsidRDefault="005F71B3"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The study seeks to address the urgent structural crisis facing the non-governmental organisation (NGO) as an international development assistance contract around the world. </w:t>
      </w:r>
      <w:proofErr w:type="spellStart"/>
      <w:r w:rsidR="00E012D2" w:rsidRPr="001F0161">
        <w:rPr>
          <w:rFonts w:ascii="Times New Roman" w:eastAsia="Times New Roman" w:hAnsi="Times New Roman" w:cs="Times New Roman"/>
          <w:sz w:val="24"/>
          <w:szCs w:val="24"/>
          <w:lang w:val="en-GB"/>
        </w:rPr>
        <w:t>Najar</w:t>
      </w:r>
      <w:proofErr w:type="spellEnd"/>
      <w:r w:rsidR="00E012D2" w:rsidRPr="001F0161">
        <w:rPr>
          <w:rFonts w:ascii="Times New Roman" w:eastAsia="Times New Roman" w:hAnsi="Times New Roman" w:cs="Times New Roman"/>
          <w:sz w:val="24"/>
          <w:szCs w:val="24"/>
          <w:lang w:val="en-GB"/>
        </w:rPr>
        <w:t xml:space="preserve"> et al. </w:t>
      </w:r>
      <w:r w:rsidR="00B20373">
        <w:rPr>
          <w:rFonts w:ascii="Times New Roman" w:eastAsia="Times New Roman" w:hAnsi="Times New Roman" w:cs="Times New Roman"/>
          <w:sz w:val="24"/>
          <w:szCs w:val="24"/>
          <w:lang w:val="en-GB"/>
        </w:rPr>
        <w:t>(</w:t>
      </w:r>
      <w:r w:rsidR="00E012D2" w:rsidRPr="001F0161">
        <w:rPr>
          <w:rFonts w:ascii="Times New Roman" w:eastAsia="Times New Roman" w:hAnsi="Times New Roman" w:cs="Times New Roman"/>
          <w:sz w:val="24"/>
          <w:szCs w:val="24"/>
          <w:lang w:val="en-GB"/>
        </w:rPr>
        <w:t>2025</w:t>
      </w:r>
      <w:r w:rsidR="00E012D2">
        <w:rPr>
          <w:rFonts w:ascii="Times New Roman" w:eastAsia="Times New Roman" w:hAnsi="Times New Roman" w:cs="Times New Roman"/>
          <w:sz w:val="24"/>
          <w:szCs w:val="24"/>
          <w:lang w:val="en-GB"/>
        </w:rPr>
        <w:t>) opined that t</w:t>
      </w:r>
      <w:r w:rsidRPr="001F0161">
        <w:rPr>
          <w:rFonts w:ascii="Times New Roman" w:eastAsia="Times New Roman" w:hAnsi="Times New Roman" w:cs="Times New Roman"/>
          <w:sz w:val="24"/>
          <w:szCs w:val="24"/>
          <w:lang w:val="en-GB"/>
        </w:rPr>
        <w:t xml:space="preserve">raditional funding models are disorienting due to donor fatigue, budget restraints, and shifting foreign policy priorities, even if foreign aid has historically been at the </w:t>
      </w:r>
      <w:r w:rsidR="003657C8" w:rsidRPr="001F0161">
        <w:rPr>
          <w:rFonts w:ascii="Times New Roman" w:eastAsia="Times New Roman" w:hAnsi="Times New Roman" w:cs="Times New Roman"/>
          <w:sz w:val="24"/>
          <w:szCs w:val="24"/>
          <w:lang w:val="en-GB"/>
        </w:rPr>
        <w:t>centre</w:t>
      </w:r>
      <w:r w:rsidRPr="001F0161">
        <w:rPr>
          <w:rFonts w:ascii="Times New Roman" w:eastAsia="Times New Roman" w:hAnsi="Times New Roman" w:cs="Times New Roman"/>
          <w:sz w:val="24"/>
          <w:szCs w:val="24"/>
          <w:lang w:val="en-GB"/>
        </w:rPr>
        <w:t xml:space="preserve"> of non-profit funding sources for poverty reduction and critical social services.  </w:t>
      </w:r>
    </w:p>
    <w:p w14:paraId="3FA38F25" w14:textId="478D311A" w:rsidR="005F71B3" w:rsidRPr="001F0161" w:rsidRDefault="005F71B3"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However, </w:t>
      </w:r>
      <w:r w:rsidR="00AA52A6" w:rsidRPr="001F0161">
        <w:rPr>
          <w:rFonts w:ascii="Times New Roman" w:eastAsia="Times New Roman" w:hAnsi="Times New Roman" w:cs="Times New Roman"/>
          <w:sz w:val="24"/>
          <w:szCs w:val="24"/>
          <w:lang w:val="en-GB"/>
        </w:rPr>
        <w:t>Dilnawaz and Pasaribu</w:t>
      </w:r>
      <w:r w:rsidR="00AA52A6">
        <w:rPr>
          <w:rFonts w:ascii="Times New Roman" w:eastAsia="Times New Roman" w:hAnsi="Times New Roman" w:cs="Times New Roman"/>
          <w:sz w:val="24"/>
          <w:szCs w:val="24"/>
          <w:lang w:val="en-GB"/>
        </w:rPr>
        <w:t xml:space="preserve"> (</w:t>
      </w:r>
      <w:r w:rsidR="00AA52A6" w:rsidRPr="001F0161">
        <w:rPr>
          <w:rFonts w:ascii="Times New Roman" w:eastAsia="Times New Roman" w:hAnsi="Times New Roman" w:cs="Times New Roman"/>
          <w:sz w:val="24"/>
          <w:szCs w:val="24"/>
          <w:lang w:val="en-GB"/>
        </w:rPr>
        <w:t>2025</w:t>
      </w:r>
      <w:r w:rsidR="00AA52A6">
        <w:rPr>
          <w:rFonts w:ascii="Times New Roman" w:eastAsia="Times New Roman" w:hAnsi="Times New Roman" w:cs="Times New Roman"/>
          <w:sz w:val="24"/>
          <w:szCs w:val="24"/>
          <w:lang w:val="en-GB"/>
        </w:rPr>
        <w:t xml:space="preserve">) argued that, </w:t>
      </w:r>
      <w:r w:rsidRPr="001F0161">
        <w:rPr>
          <w:rFonts w:ascii="Times New Roman" w:eastAsia="Times New Roman" w:hAnsi="Times New Roman" w:cs="Times New Roman"/>
          <w:sz w:val="24"/>
          <w:szCs w:val="24"/>
          <w:lang w:val="en-GB"/>
        </w:rPr>
        <w:t>in practice, there are no empirical-based frameworks guiding the financial transition and survival of non-profit executive leaders that could mitigate mission drift without incurring financial distress. This study therefore aims to fill this void by conducting an empirical study on a Section 8 non-profit called the FGLF that supports first-generation learners from marginalized sanitation worker families</w:t>
      </w:r>
      <w:r w:rsidR="007B0F21" w:rsidRPr="001F0161">
        <w:rPr>
          <w:rFonts w:ascii="Times New Roman" w:eastAsia="Times New Roman" w:hAnsi="Times New Roman" w:cs="Times New Roman"/>
          <w:sz w:val="24"/>
          <w:szCs w:val="24"/>
          <w:lang w:val="en-GB"/>
        </w:rPr>
        <w:t xml:space="preserve"> (Valmiki)</w:t>
      </w:r>
      <w:r w:rsidRPr="001F0161">
        <w:rPr>
          <w:rFonts w:ascii="Times New Roman" w:eastAsia="Times New Roman" w:hAnsi="Times New Roman" w:cs="Times New Roman"/>
          <w:sz w:val="24"/>
          <w:szCs w:val="24"/>
          <w:lang w:val="en-GB"/>
        </w:rPr>
        <w:t>. Chetan Chauhan, the founder of the First</w:t>
      </w:r>
      <w:r w:rsidR="00505F96">
        <w:rPr>
          <w:rFonts w:ascii="Times New Roman" w:eastAsia="Times New Roman" w:hAnsi="Times New Roman" w:cs="Times New Roman"/>
          <w:sz w:val="24"/>
          <w:szCs w:val="24"/>
          <w:lang w:val="en-GB"/>
        </w:rPr>
        <w:t xml:space="preserve"> </w:t>
      </w:r>
      <w:r w:rsidRPr="001F0161">
        <w:rPr>
          <w:rFonts w:ascii="Times New Roman" w:eastAsia="Times New Roman" w:hAnsi="Times New Roman" w:cs="Times New Roman"/>
          <w:sz w:val="24"/>
          <w:szCs w:val="24"/>
          <w:lang w:val="en-GB"/>
        </w:rPr>
        <w:t>Generation Leadership Foundation (FGLF), a section 8 non-profit organization, is working to empower first generation learners from marginalized communities, particularly families of sanitation workers, to eradicate the cycles of caste based occupations. It was selected due to its exemplary characteristics of grassroots operational resilience, having reached 1,500+ students, unlocked ₹5.5+ crore worth of domestic and international scholarships. FGLF is also crucial to this study as a case study on how an early-stage non-profit organization can increase educational reach and longevity through strategic partnerships – in this case, with the city school board and university MoUs – while facing broader funding constraints.</w:t>
      </w:r>
    </w:p>
    <w:p w14:paraId="30335867" w14:textId="74C06CED" w:rsidR="0050244B" w:rsidRPr="001F0161" w:rsidRDefault="005F71B3"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In an aid-buy-off environment, like FGLF, grassroots adaptation creates impactful scholarship and mentorship programmes by leveraging the network effect of young volunteers, institutional partnerships and domestic philanthropy. Finally, </w:t>
      </w:r>
      <w:r w:rsidR="00365186">
        <w:rPr>
          <w:rFonts w:ascii="Times New Roman" w:eastAsia="Times New Roman" w:hAnsi="Times New Roman" w:cs="Times New Roman"/>
          <w:sz w:val="24"/>
          <w:szCs w:val="24"/>
          <w:lang w:val="en-GB"/>
        </w:rPr>
        <w:t xml:space="preserve">in support of </w:t>
      </w:r>
      <w:r w:rsidR="00365186" w:rsidRPr="001F0161">
        <w:rPr>
          <w:rFonts w:ascii="Times New Roman" w:eastAsia="Times New Roman" w:hAnsi="Times New Roman" w:cs="Times New Roman"/>
          <w:sz w:val="24"/>
          <w:szCs w:val="24"/>
          <w:lang w:val="en-GB"/>
        </w:rPr>
        <w:t xml:space="preserve">Sayarifard et al. </w:t>
      </w:r>
      <w:r w:rsidR="00365186">
        <w:rPr>
          <w:rFonts w:ascii="Times New Roman" w:eastAsia="Times New Roman" w:hAnsi="Times New Roman" w:cs="Times New Roman"/>
          <w:sz w:val="24"/>
          <w:szCs w:val="24"/>
          <w:lang w:val="en-GB"/>
        </w:rPr>
        <w:t>(</w:t>
      </w:r>
      <w:r w:rsidR="00365186" w:rsidRPr="001F0161">
        <w:rPr>
          <w:rFonts w:ascii="Times New Roman" w:eastAsia="Times New Roman" w:hAnsi="Times New Roman" w:cs="Times New Roman"/>
          <w:sz w:val="24"/>
          <w:szCs w:val="24"/>
          <w:lang w:val="en-GB"/>
        </w:rPr>
        <w:t>2022</w:t>
      </w:r>
      <w:r w:rsidR="00365186">
        <w:rPr>
          <w:rFonts w:ascii="Times New Roman" w:eastAsia="Times New Roman" w:hAnsi="Times New Roman" w:cs="Times New Roman"/>
          <w:sz w:val="24"/>
          <w:szCs w:val="24"/>
          <w:lang w:val="en-GB"/>
        </w:rPr>
        <w:t xml:space="preserve">), </w:t>
      </w:r>
      <w:r w:rsidRPr="001F0161">
        <w:rPr>
          <w:rFonts w:ascii="Times New Roman" w:eastAsia="Times New Roman" w:hAnsi="Times New Roman" w:cs="Times New Roman"/>
          <w:sz w:val="24"/>
          <w:szCs w:val="24"/>
          <w:lang w:val="en-GB"/>
        </w:rPr>
        <w:t xml:space="preserve">this </w:t>
      </w:r>
      <w:r w:rsidRPr="001F0161">
        <w:rPr>
          <w:rFonts w:ascii="Times New Roman" w:eastAsia="Times New Roman" w:hAnsi="Times New Roman" w:cs="Times New Roman"/>
          <w:sz w:val="24"/>
          <w:szCs w:val="24"/>
          <w:lang w:val="en-GB"/>
        </w:rPr>
        <w:lastRenderedPageBreak/>
        <w:t xml:space="preserve">research offers a feasible pathway for optimizing resource utilization under tight budgets, outlining how non-profits can gain efficiency within their own operations, forge strategic consortium partnerships, and develop financing frameworks that are resilient and sustainable.  </w:t>
      </w:r>
      <w:r w:rsidR="00174D01" w:rsidRPr="001F0161">
        <w:rPr>
          <w:rFonts w:ascii="Times New Roman" w:eastAsia="Times New Roman" w:hAnsi="Times New Roman" w:cs="Times New Roman"/>
          <w:sz w:val="24"/>
          <w:szCs w:val="24"/>
          <w:lang w:val="en-GB"/>
        </w:rPr>
        <w:t xml:space="preserve">  </w:t>
      </w:r>
    </w:p>
    <w:p w14:paraId="3CD32862" w14:textId="77777777" w:rsidR="0050244B" w:rsidRPr="001F0161" w:rsidRDefault="0004031D" w:rsidP="00973765">
      <w:pPr>
        <w:pStyle w:val="Heading2"/>
      </w:pPr>
      <w:bookmarkStart w:id="6" w:name="_Toc239424040"/>
      <w:r w:rsidRPr="001F0161">
        <w:t>1.4 Research aim and objectives</w:t>
      </w:r>
      <w:bookmarkEnd w:id="6"/>
      <w:r w:rsidRPr="001F0161">
        <w:t xml:space="preserve"> </w:t>
      </w:r>
    </w:p>
    <w:p w14:paraId="0BC0FD97" w14:textId="77777777" w:rsidR="0050244B" w:rsidRPr="001F0161" w:rsidRDefault="0004031D" w:rsidP="00973765">
      <w:pPr>
        <w:pStyle w:val="Normal1"/>
        <w:spacing w:line="360" w:lineRule="auto"/>
        <w:jc w:val="both"/>
        <w:rPr>
          <w:rFonts w:ascii="Times New Roman" w:eastAsia="Times New Roman" w:hAnsi="Times New Roman" w:cs="Times New Roman"/>
          <w:b/>
          <w:bCs/>
          <w:i/>
          <w:iCs/>
          <w:sz w:val="24"/>
          <w:szCs w:val="24"/>
          <w:lang w:val="en-GB"/>
        </w:rPr>
      </w:pPr>
      <w:r w:rsidRPr="001F0161">
        <w:rPr>
          <w:rFonts w:ascii="Times New Roman" w:eastAsia="Times New Roman" w:hAnsi="Times New Roman" w:cs="Times New Roman"/>
          <w:b/>
          <w:bCs/>
          <w:i/>
          <w:iCs/>
          <w:sz w:val="24"/>
          <w:szCs w:val="24"/>
          <w:lang w:val="en-GB"/>
        </w:rPr>
        <w:t>Research Aim</w:t>
      </w:r>
    </w:p>
    <w:p w14:paraId="05CD2FFF" w14:textId="19C2E510" w:rsidR="0050244B" w:rsidRPr="001F0161" w:rsidRDefault="0004031D"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To investigate the strategies and adaptive mechanisms used by Non-Governmental Organizations (NGOs) to overcome financial challenges in an era </w:t>
      </w:r>
      <w:r w:rsidR="00320E5D" w:rsidRPr="001F0161">
        <w:rPr>
          <w:rFonts w:ascii="Times New Roman" w:eastAsia="Times New Roman" w:hAnsi="Times New Roman" w:cs="Times New Roman"/>
          <w:sz w:val="24"/>
          <w:szCs w:val="24"/>
          <w:lang w:val="en-GB"/>
        </w:rPr>
        <w:t xml:space="preserve">(period of 2020-2026) </w:t>
      </w:r>
      <w:r w:rsidRPr="001F0161">
        <w:rPr>
          <w:rFonts w:ascii="Times New Roman" w:eastAsia="Times New Roman" w:hAnsi="Times New Roman" w:cs="Times New Roman"/>
          <w:sz w:val="24"/>
          <w:szCs w:val="24"/>
          <w:lang w:val="en-GB"/>
        </w:rPr>
        <w:t>of foreign aid cutbacks, and to evaluate how these adaptations impact their operational sustainability and mission integrity.</w:t>
      </w:r>
    </w:p>
    <w:p w14:paraId="2BB70E93" w14:textId="77777777" w:rsidR="0050244B" w:rsidRPr="001F0161" w:rsidRDefault="0004031D" w:rsidP="00973765">
      <w:pPr>
        <w:pStyle w:val="Normal1"/>
        <w:spacing w:line="360" w:lineRule="auto"/>
        <w:jc w:val="both"/>
        <w:rPr>
          <w:rFonts w:ascii="Times New Roman" w:eastAsia="Times New Roman" w:hAnsi="Times New Roman" w:cs="Times New Roman"/>
          <w:b/>
          <w:bCs/>
          <w:i/>
          <w:iCs/>
          <w:sz w:val="24"/>
          <w:szCs w:val="24"/>
          <w:lang w:val="en-GB"/>
        </w:rPr>
      </w:pPr>
      <w:r w:rsidRPr="001F0161">
        <w:rPr>
          <w:rFonts w:ascii="Times New Roman" w:eastAsia="Times New Roman" w:hAnsi="Times New Roman" w:cs="Times New Roman"/>
          <w:b/>
          <w:bCs/>
          <w:i/>
          <w:iCs/>
          <w:sz w:val="24"/>
          <w:szCs w:val="24"/>
          <w:lang w:val="en-GB"/>
        </w:rPr>
        <w:t>Research Objectives</w:t>
      </w:r>
    </w:p>
    <w:p w14:paraId="28B6D513" w14:textId="77777777" w:rsidR="0050244B" w:rsidRPr="001F0161" w:rsidRDefault="0004031D" w:rsidP="00973765">
      <w:pPr>
        <w:pStyle w:val="Normal1"/>
        <w:numPr>
          <w:ilvl w:val="0"/>
          <w:numId w:val="2"/>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To identify and evaluate the alternative funding mechanisms adopted by NGOs to mitigate foreign aid reductions.</w:t>
      </w:r>
    </w:p>
    <w:p w14:paraId="0919122C" w14:textId="77777777" w:rsidR="0050244B" w:rsidRPr="001F0161" w:rsidRDefault="0004031D" w:rsidP="00973765">
      <w:pPr>
        <w:pStyle w:val="Normal1"/>
        <w:numPr>
          <w:ilvl w:val="0"/>
          <w:numId w:val="2"/>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To examine internal operational restructuring and efficiency measures implemented by NGOs to manage budget constraints without compromising service delivery.</w:t>
      </w:r>
    </w:p>
    <w:p w14:paraId="21DAD46A" w14:textId="2F3A6C72" w:rsidR="0050244B" w:rsidRPr="001F0161" w:rsidRDefault="0004031D" w:rsidP="00973765">
      <w:pPr>
        <w:pStyle w:val="Normal1"/>
        <w:numPr>
          <w:ilvl w:val="0"/>
          <w:numId w:val="2"/>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To </w:t>
      </w:r>
      <w:r w:rsidR="000251C3" w:rsidRPr="001F0161">
        <w:rPr>
          <w:rFonts w:ascii="Times New Roman" w:eastAsia="Times New Roman" w:hAnsi="Times New Roman" w:cs="Times New Roman"/>
          <w:sz w:val="24"/>
          <w:szCs w:val="24"/>
          <w:lang w:val="en-GB"/>
        </w:rPr>
        <w:t>analyse</w:t>
      </w:r>
      <w:r w:rsidRPr="001F0161">
        <w:rPr>
          <w:rFonts w:ascii="Times New Roman" w:eastAsia="Times New Roman" w:hAnsi="Times New Roman" w:cs="Times New Roman"/>
          <w:sz w:val="24"/>
          <w:szCs w:val="24"/>
          <w:lang w:val="en-GB"/>
        </w:rPr>
        <w:t xml:space="preserve"> the risk of "mission drift" and how NGOs balance financial survival with their core social missions when adopting market-driven revenue models.</w:t>
      </w:r>
    </w:p>
    <w:p w14:paraId="6313A359" w14:textId="77777777" w:rsidR="0050244B" w:rsidRPr="001F0161" w:rsidRDefault="0004031D" w:rsidP="00973765">
      <w:pPr>
        <w:pStyle w:val="Normal1"/>
        <w:numPr>
          <w:ilvl w:val="0"/>
          <w:numId w:val="2"/>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To assess how aid cutbacks influence organizational relationships, leading to increased sector collaboration, consortium-building, or localization efforts.</w:t>
      </w:r>
    </w:p>
    <w:p w14:paraId="036E7A0F" w14:textId="77777777" w:rsidR="0050244B" w:rsidRPr="001F0161" w:rsidRDefault="0004031D" w:rsidP="00973765">
      <w:pPr>
        <w:pStyle w:val="Normal1"/>
        <w:numPr>
          <w:ilvl w:val="0"/>
          <w:numId w:val="2"/>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To develop a strategic framework or practical recommendations for NGO leadership to build financial resilience in a post-aid landscape.</w:t>
      </w:r>
    </w:p>
    <w:p w14:paraId="404D3411" w14:textId="77777777" w:rsidR="0050244B" w:rsidRPr="001F0161" w:rsidRDefault="0004031D" w:rsidP="00973765">
      <w:pPr>
        <w:pStyle w:val="Heading2"/>
      </w:pPr>
      <w:bookmarkStart w:id="7" w:name="_Toc239424041"/>
      <w:r w:rsidRPr="001F0161">
        <w:t>1.5 Research questions</w:t>
      </w:r>
      <w:bookmarkEnd w:id="7"/>
      <w:r w:rsidRPr="001F0161">
        <w:t xml:space="preserve"> </w:t>
      </w:r>
    </w:p>
    <w:p w14:paraId="6CD346DE" w14:textId="77777777" w:rsidR="0050244B" w:rsidRPr="001F0161" w:rsidRDefault="0004031D" w:rsidP="00973765">
      <w:pPr>
        <w:pStyle w:val="Normal1"/>
        <w:numPr>
          <w:ilvl w:val="0"/>
          <w:numId w:val="1"/>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What alternative funding models are NGOs utilizing to replace lost international aid, and which mechanisms demonstrate the highest financial viability?</w:t>
      </w:r>
    </w:p>
    <w:p w14:paraId="00529290" w14:textId="77777777" w:rsidR="0050244B" w:rsidRPr="001F0161" w:rsidRDefault="0004031D" w:rsidP="00973765">
      <w:pPr>
        <w:pStyle w:val="Normal1"/>
        <w:numPr>
          <w:ilvl w:val="0"/>
          <w:numId w:val="1"/>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How are NGOs restructuring internal operations, staffing models, and resource management to adapt to lower budget thresholds?</w:t>
      </w:r>
    </w:p>
    <w:p w14:paraId="7ACD3E9A" w14:textId="77777777" w:rsidR="0050244B" w:rsidRPr="001F0161" w:rsidRDefault="0004031D" w:rsidP="00973765">
      <w:pPr>
        <w:pStyle w:val="Normal1"/>
        <w:numPr>
          <w:ilvl w:val="0"/>
          <w:numId w:val="1"/>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How do NGOs mitigate the risk of mission drift when pivoting toward market-based, commercialized, or donor-driven revenue sources?</w:t>
      </w:r>
    </w:p>
    <w:p w14:paraId="2EE7A52A" w14:textId="77777777" w:rsidR="0050244B" w:rsidRPr="001F0161" w:rsidRDefault="0004031D" w:rsidP="00973765">
      <w:pPr>
        <w:pStyle w:val="Normal1"/>
        <w:numPr>
          <w:ilvl w:val="0"/>
          <w:numId w:val="1"/>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How have aid cutbacks altered inter-organizational dynamics, specifically regarding local partnership models, consortium building, and shared overhead?</w:t>
      </w:r>
    </w:p>
    <w:p w14:paraId="07B810DB" w14:textId="77777777" w:rsidR="0050244B" w:rsidRPr="001F0161" w:rsidRDefault="0004031D" w:rsidP="00973765">
      <w:pPr>
        <w:pStyle w:val="Normal1"/>
        <w:numPr>
          <w:ilvl w:val="0"/>
          <w:numId w:val="1"/>
        </w:numPr>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What core competencies and leadership strategies are required for NGOs to build sustainable financial resilience in an evolving development ecosystem?</w:t>
      </w:r>
    </w:p>
    <w:p w14:paraId="3B6B57CF" w14:textId="77777777" w:rsidR="0050244B" w:rsidRPr="001F0161" w:rsidRDefault="0004031D" w:rsidP="00973765">
      <w:pPr>
        <w:pStyle w:val="Heading2"/>
      </w:pPr>
      <w:bookmarkStart w:id="8" w:name="_Toc239424042"/>
      <w:r w:rsidRPr="001F0161">
        <w:lastRenderedPageBreak/>
        <w:t>1.6 Significance</w:t>
      </w:r>
      <w:bookmarkEnd w:id="8"/>
      <w:r w:rsidRPr="001F0161">
        <w:t xml:space="preserve"> </w:t>
      </w:r>
    </w:p>
    <w:p w14:paraId="20146729" w14:textId="1481E6A0" w:rsidR="0050244B" w:rsidRPr="004774D7" w:rsidRDefault="00EC6CE3"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This research is important to the strategic approach of non-profit organi</w:t>
      </w:r>
      <w:r w:rsidR="004774D7">
        <w:rPr>
          <w:rFonts w:ascii="Times New Roman" w:eastAsia="Times New Roman" w:hAnsi="Times New Roman" w:cs="Times New Roman"/>
          <w:sz w:val="24"/>
          <w:szCs w:val="24"/>
          <w:lang w:val="en-GB"/>
        </w:rPr>
        <w:t>s</w:t>
      </w:r>
      <w:r w:rsidRPr="004774D7">
        <w:rPr>
          <w:rFonts w:ascii="Times New Roman" w:eastAsia="Times New Roman" w:hAnsi="Times New Roman" w:cs="Times New Roman"/>
          <w:sz w:val="24"/>
          <w:szCs w:val="24"/>
          <w:lang w:val="en-GB"/>
        </w:rPr>
        <w:t>ations in the face of forei</w:t>
      </w:r>
      <w:r w:rsidRPr="005E6381">
        <w:rPr>
          <w:rFonts w:ascii="Times New Roman" w:eastAsia="Times New Roman" w:hAnsi="Times New Roman" w:cs="Times New Roman"/>
          <w:sz w:val="24"/>
          <w:szCs w:val="24"/>
          <w:lang w:val="en-GB"/>
        </w:rPr>
        <w:t xml:space="preserve">gn aid reduction, as it gives micro-level empirical insights into organizational adaptation. Drawing on the existing gaps in the academic literature, </w:t>
      </w:r>
      <w:r w:rsidR="000A05D3" w:rsidRPr="005E6381">
        <w:rPr>
          <w:rFonts w:ascii="Times New Roman" w:eastAsia="Times New Roman" w:hAnsi="Times New Roman" w:cs="Times New Roman"/>
          <w:sz w:val="24"/>
          <w:szCs w:val="24"/>
          <w:lang w:val="en-GB"/>
        </w:rPr>
        <w:t xml:space="preserve">Brown et al. </w:t>
      </w:r>
      <w:r w:rsidR="000A05D3">
        <w:rPr>
          <w:rFonts w:ascii="Times New Roman" w:eastAsia="Times New Roman" w:hAnsi="Times New Roman" w:cs="Times New Roman"/>
          <w:sz w:val="24"/>
          <w:szCs w:val="24"/>
          <w:lang w:val="en-GB"/>
        </w:rPr>
        <w:t>(</w:t>
      </w:r>
      <w:r w:rsidR="000A05D3" w:rsidRPr="005E6381">
        <w:rPr>
          <w:rFonts w:ascii="Times New Roman" w:eastAsia="Times New Roman" w:hAnsi="Times New Roman" w:cs="Times New Roman"/>
          <w:sz w:val="24"/>
          <w:szCs w:val="24"/>
          <w:lang w:val="en-GB"/>
        </w:rPr>
        <w:t>2023</w:t>
      </w:r>
      <w:r w:rsidR="000A05D3">
        <w:rPr>
          <w:rFonts w:ascii="Times New Roman" w:eastAsia="Times New Roman" w:hAnsi="Times New Roman" w:cs="Times New Roman"/>
          <w:sz w:val="24"/>
          <w:szCs w:val="24"/>
          <w:lang w:val="en-GB"/>
        </w:rPr>
        <w:t xml:space="preserve">) stated that </w:t>
      </w:r>
      <w:r w:rsidRPr="005E6381">
        <w:rPr>
          <w:rFonts w:ascii="Times New Roman" w:eastAsia="Times New Roman" w:hAnsi="Times New Roman" w:cs="Times New Roman"/>
          <w:sz w:val="24"/>
          <w:szCs w:val="24"/>
          <w:lang w:val="en-GB"/>
        </w:rPr>
        <w:t>the Resource Dependence and Institutional theories by exploring how non</w:t>
      </w:r>
      <w:r w:rsidR="005F71B3" w:rsidRPr="005E6381">
        <w:rPr>
          <w:rFonts w:ascii="Times New Roman" w:eastAsia="Times New Roman" w:hAnsi="Times New Roman" w:cs="Times New Roman"/>
          <w:sz w:val="24"/>
          <w:szCs w:val="24"/>
          <w:lang w:val="en-GB"/>
        </w:rPr>
        <w:t>-</w:t>
      </w:r>
      <w:r w:rsidRPr="005E6381">
        <w:rPr>
          <w:rFonts w:ascii="Times New Roman" w:eastAsia="Times New Roman" w:hAnsi="Times New Roman" w:cs="Times New Roman"/>
          <w:sz w:val="24"/>
          <w:szCs w:val="24"/>
          <w:lang w:val="en-GB"/>
        </w:rPr>
        <w:t xml:space="preserve">profit organizations thrive while avoiding mission creep. In particular, in the context of FGLF, </w:t>
      </w:r>
      <w:r w:rsidR="004774D7" w:rsidRPr="004774D7">
        <w:rPr>
          <w:rFonts w:ascii="Times New Roman" w:eastAsia="Times New Roman" w:hAnsi="Times New Roman" w:cs="Times New Roman"/>
          <w:sz w:val="24"/>
          <w:szCs w:val="24"/>
          <w:lang w:val="en-GB"/>
        </w:rPr>
        <w:t>t</w:t>
      </w:r>
      <w:r w:rsidR="004774D7">
        <w:rPr>
          <w:rFonts w:ascii="Times New Roman" w:eastAsia="Times New Roman" w:hAnsi="Times New Roman" w:cs="Times New Roman"/>
          <w:sz w:val="24"/>
          <w:szCs w:val="24"/>
          <w:lang w:val="en-GB"/>
        </w:rPr>
        <w:t>his study</w:t>
      </w:r>
      <w:r w:rsidR="004774D7" w:rsidRPr="004774D7">
        <w:rPr>
          <w:rFonts w:ascii="Times New Roman" w:eastAsia="Times New Roman" w:hAnsi="Times New Roman" w:cs="Times New Roman"/>
          <w:sz w:val="24"/>
          <w:szCs w:val="24"/>
          <w:lang w:val="en-GB"/>
        </w:rPr>
        <w:t xml:space="preserve"> </w:t>
      </w:r>
      <w:r w:rsidRPr="004774D7">
        <w:rPr>
          <w:rFonts w:ascii="Times New Roman" w:eastAsia="Times New Roman" w:hAnsi="Times New Roman" w:cs="Times New Roman"/>
          <w:sz w:val="24"/>
          <w:szCs w:val="24"/>
          <w:lang w:val="en-GB"/>
        </w:rPr>
        <w:t>examine</w:t>
      </w:r>
      <w:r w:rsidR="004774D7">
        <w:rPr>
          <w:rFonts w:ascii="Times New Roman" w:eastAsia="Times New Roman" w:hAnsi="Times New Roman" w:cs="Times New Roman"/>
          <w:sz w:val="24"/>
          <w:szCs w:val="24"/>
          <w:lang w:val="en-GB"/>
        </w:rPr>
        <w:t>s</w:t>
      </w:r>
      <w:r w:rsidRPr="004774D7">
        <w:rPr>
          <w:rFonts w:ascii="Times New Roman" w:eastAsia="Times New Roman" w:hAnsi="Times New Roman" w:cs="Times New Roman"/>
          <w:sz w:val="24"/>
          <w:szCs w:val="24"/>
          <w:lang w:val="en-GB"/>
        </w:rPr>
        <w:t xml:space="preserve"> the sustainability of education, scholarship and leadership programs by the grassroots organisations in response to resource constraints. Finally, it provides concrete suggestions for non-profit leadership, local government and philanthropic foundations on how to set up transitional funding, start to do real localization, and how to make financial resilience possible.</w:t>
      </w:r>
      <w:r w:rsidR="0004031D" w:rsidRPr="004774D7">
        <w:rPr>
          <w:rFonts w:ascii="Times New Roman" w:eastAsia="Times New Roman" w:hAnsi="Times New Roman" w:cs="Times New Roman"/>
          <w:sz w:val="24"/>
          <w:szCs w:val="24"/>
          <w:lang w:val="en-GB"/>
        </w:rPr>
        <w:t xml:space="preserve"> </w:t>
      </w:r>
    </w:p>
    <w:p w14:paraId="49C643E5" w14:textId="77777777" w:rsidR="0050244B" w:rsidRPr="004774D7" w:rsidRDefault="0004031D" w:rsidP="00973765">
      <w:pPr>
        <w:pStyle w:val="Heading2"/>
      </w:pPr>
      <w:bookmarkStart w:id="9" w:name="_Toc239424043"/>
      <w:r w:rsidRPr="004774D7">
        <w:t>1.7 Theoretical overview</w:t>
      </w:r>
      <w:bookmarkEnd w:id="9"/>
      <w:r w:rsidRPr="004774D7">
        <w:t xml:space="preserve"> </w:t>
      </w:r>
    </w:p>
    <w:p w14:paraId="56278447" w14:textId="16739592" w:rsidR="0050244B" w:rsidRPr="001F0161" w:rsidRDefault="0004031D" w:rsidP="00973765">
      <w:pPr>
        <w:pStyle w:val="Normal1"/>
        <w:spacing w:line="360" w:lineRule="auto"/>
        <w:jc w:val="both"/>
        <w:rPr>
          <w:rFonts w:ascii="Times New Roman" w:eastAsia="Times New Roman" w:hAnsi="Times New Roman" w:cs="Times New Roman"/>
          <w:sz w:val="24"/>
          <w:szCs w:val="24"/>
          <w:lang w:val="en-GB"/>
        </w:rPr>
      </w:pPr>
      <w:r w:rsidRPr="005E6381">
        <w:rPr>
          <w:rFonts w:ascii="Times New Roman" w:eastAsia="Times New Roman" w:hAnsi="Times New Roman" w:cs="Times New Roman"/>
          <w:sz w:val="24"/>
          <w:szCs w:val="24"/>
          <w:lang w:val="en-GB"/>
        </w:rPr>
        <w:t xml:space="preserve">This research is theoretically based on Resource Dependence Theory (RDT) of </w:t>
      </w:r>
      <w:proofErr w:type="spellStart"/>
      <w:r w:rsidRPr="005E6381">
        <w:rPr>
          <w:rFonts w:ascii="Times New Roman" w:eastAsia="Times New Roman" w:hAnsi="Times New Roman" w:cs="Times New Roman"/>
          <w:sz w:val="24"/>
          <w:szCs w:val="24"/>
          <w:lang w:val="en-GB"/>
        </w:rPr>
        <w:t>Pfeffer</w:t>
      </w:r>
      <w:proofErr w:type="spellEnd"/>
      <w:r w:rsidRPr="005E6381">
        <w:rPr>
          <w:rFonts w:ascii="Times New Roman" w:eastAsia="Times New Roman" w:hAnsi="Times New Roman" w:cs="Times New Roman"/>
          <w:sz w:val="24"/>
          <w:szCs w:val="24"/>
          <w:lang w:val="en-GB"/>
        </w:rPr>
        <w:t xml:space="preserve"> and Gerald </w:t>
      </w:r>
      <w:proofErr w:type="spellStart"/>
      <w:r w:rsidRPr="005E6381">
        <w:rPr>
          <w:rFonts w:ascii="Times New Roman" w:eastAsia="Times New Roman" w:hAnsi="Times New Roman" w:cs="Times New Roman"/>
          <w:sz w:val="24"/>
          <w:szCs w:val="24"/>
          <w:lang w:val="en-GB"/>
        </w:rPr>
        <w:t>Salancik</w:t>
      </w:r>
      <w:proofErr w:type="spellEnd"/>
      <w:r w:rsidRPr="005E6381">
        <w:rPr>
          <w:rFonts w:ascii="Times New Roman" w:eastAsia="Times New Roman" w:hAnsi="Times New Roman" w:cs="Times New Roman"/>
          <w:sz w:val="24"/>
          <w:szCs w:val="24"/>
          <w:lang w:val="en-GB"/>
        </w:rPr>
        <w:t xml:space="preserve"> (1978). </w:t>
      </w:r>
      <w:proofErr w:type="spellStart"/>
      <w:r w:rsidR="006F11A1" w:rsidRPr="001F0161">
        <w:rPr>
          <w:rFonts w:ascii="Times New Roman" w:eastAsia="Times New Roman" w:hAnsi="Times New Roman" w:cs="Times New Roman"/>
          <w:sz w:val="24"/>
          <w:szCs w:val="24"/>
          <w:lang w:val="en-GB"/>
        </w:rPr>
        <w:t>Kohtamäki</w:t>
      </w:r>
      <w:proofErr w:type="spellEnd"/>
      <w:r w:rsidR="006F11A1" w:rsidRPr="001F0161">
        <w:rPr>
          <w:rFonts w:ascii="Times New Roman" w:eastAsia="Times New Roman" w:hAnsi="Times New Roman" w:cs="Times New Roman"/>
          <w:sz w:val="24"/>
          <w:szCs w:val="24"/>
          <w:lang w:val="en-GB"/>
        </w:rPr>
        <w:t xml:space="preserve">, </w:t>
      </w:r>
      <w:r w:rsidR="006F11A1">
        <w:rPr>
          <w:rFonts w:ascii="Times New Roman" w:eastAsia="Times New Roman" w:hAnsi="Times New Roman" w:cs="Times New Roman"/>
          <w:sz w:val="24"/>
          <w:szCs w:val="24"/>
          <w:lang w:val="en-GB"/>
        </w:rPr>
        <w:t>(</w:t>
      </w:r>
      <w:r w:rsidR="006F11A1" w:rsidRPr="001F0161">
        <w:rPr>
          <w:rFonts w:ascii="Times New Roman" w:eastAsia="Times New Roman" w:hAnsi="Times New Roman" w:cs="Times New Roman"/>
          <w:sz w:val="24"/>
          <w:szCs w:val="24"/>
          <w:lang w:val="en-GB"/>
        </w:rPr>
        <w:t>2023</w:t>
      </w:r>
      <w:r w:rsidR="006F11A1">
        <w:rPr>
          <w:rFonts w:ascii="Times New Roman" w:eastAsia="Times New Roman" w:hAnsi="Times New Roman" w:cs="Times New Roman"/>
          <w:sz w:val="24"/>
          <w:szCs w:val="24"/>
          <w:lang w:val="en-GB"/>
        </w:rPr>
        <w:t xml:space="preserve">) opined that </w:t>
      </w:r>
      <w:r w:rsidRPr="005E6381">
        <w:rPr>
          <w:rFonts w:ascii="Times New Roman" w:eastAsia="Times New Roman" w:hAnsi="Times New Roman" w:cs="Times New Roman"/>
          <w:sz w:val="24"/>
          <w:szCs w:val="24"/>
          <w:lang w:val="en-GB"/>
        </w:rPr>
        <w:t>RDT suggests that organizations are open systems greatly dependent on their external environment for key factors and resources to sustain them, thu</w:t>
      </w:r>
      <w:r w:rsidRPr="001F0161">
        <w:rPr>
          <w:rFonts w:ascii="Times New Roman" w:eastAsia="Times New Roman" w:hAnsi="Times New Roman" w:cs="Times New Roman"/>
          <w:sz w:val="24"/>
          <w:szCs w:val="24"/>
          <w:lang w:val="en-GB"/>
        </w:rPr>
        <w:t>s giving external actors a significant influence over organizational decision-making. This theory is valid for NGO's</w:t>
      </w:r>
      <w:r w:rsidR="00382D48" w:rsidRPr="001F0161">
        <w:rPr>
          <w:rFonts w:ascii="Times New Roman" w:eastAsia="Times New Roman" w:hAnsi="Times New Roman" w:cs="Times New Roman"/>
          <w:sz w:val="24"/>
          <w:szCs w:val="24"/>
          <w:lang w:val="en-GB"/>
        </w:rPr>
        <w:t xml:space="preserve"> like FGLF</w:t>
      </w:r>
      <w:r w:rsidRPr="001F0161">
        <w:rPr>
          <w:rFonts w:ascii="Times New Roman" w:eastAsia="Times New Roman" w:hAnsi="Times New Roman" w:cs="Times New Roman"/>
          <w:sz w:val="24"/>
          <w:szCs w:val="24"/>
          <w:lang w:val="en-GB"/>
        </w:rPr>
        <w:t xml:space="preserve"> vulnerability in the light of downsizing of foreign aid, given access to a wide array of institutional donors. With new donor preferences and fewer grants, NGOs must change their approach to maintaining independence and sustainability.  </w:t>
      </w:r>
    </w:p>
    <w:p w14:paraId="450A7AB3" w14:textId="6F09096E" w:rsidR="0050244B" w:rsidRPr="001F0161" w:rsidRDefault="0004031D"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RDT offers a comprehensive conceptual model for </w:t>
      </w:r>
      <w:r w:rsidR="000251C3" w:rsidRPr="001F0161">
        <w:rPr>
          <w:rFonts w:ascii="Times New Roman" w:eastAsia="Times New Roman" w:hAnsi="Times New Roman" w:cs="Times New Roman"/>
          <w:sz w:val="24"/>
          <w:szCs w:val="24"/>
          <w:lang w:val="en-GB"/>
        </w:rPr>
        <w:t>analysing</w:t>
      </w:r>
      <w:r w:rsidRPr="001F0161">
        <w:rPr>
          <w:rFonts w:ascii="Times New Roman" w:eastAsia="Times New Roman" w:hAnsi="Times New Roman" w:cs="Times New Roman"/>
          <w:sz w:val="24"/>
          <w:szCs w:val="24"/>
          <w:lang w:val="en-GB"/>
        </w:rPr>
        <w:t xml:space="preserve"> how NGOs engage in active power management by adapting strategically to change. </w:t>
      </w:r>
      <w:r w:rsidR="00593A25" w:rsidRPr="001F0161">
        <w:rPr>
          <w:rFonts w:ascii="Times New Roman" w:eastAsia="Times New Roman" w:hAnsi="Times New Roman" w:cs="Times New Roman"/>
          <w:sz w:val="24"/>
          <w:szCs w:val="24"/>
          <w:lang w:val="en-GB"/>
        </w:rPr>
        <w:t xml:space="preserve">Wang et al. </w:t>
      </w:r>
      <w:r w:rsidR="00593A25">
        <w:rPr>
          <w:rFonts w:ascii="Times New Roman" w:eastAsia="Times New Roman" w:hAnsi="Times New Roman" w:cs="Times New Roman"/>
          <w:sz w:val="24"/>
          <w:szCs w:val="24"/>
          <w:lang w:val="en-GB"/>
        </w:rPr>
        <w:t>(</w:t>
      </w:r>
      <w:r w:rsidR="00593A25" w:rsidRPr="001F0161">
        <w:rPr>
          <w:rFonts w:ascii="Times New Roman" w:eastAsia="Times New Roman" w:hAnsi="Times New Roman" w:cs="Times New Roman"/>
          <w:sz w:val="24"/>
          <w:szCs w:val="24"/>
          <w:lang w:val="en-GB"/>
        </w:rPr>
        <w:t>2024</w:t>
      </w:r>
      <w:r w:rsidR="00593A25">
        <w:rPr>
          <w:rFonts w:ascii="Times New Roman" w:eastAsia="Times New Roman" w:hAnsi="Times New Roman" w:cs="Times New Roman"/>
          <w:sz w:val="24"/>
          <w:szCs w:val="24"/>
          <w:lang w:val="en-GB"/>
        </w:rPr>
        <w:t>) found that t</w:t>
      </w:r>
      <w:r w:rsidRPr="001F0161">
        <w:rPr>
          <w:rFonts w:ascii="Times New Roman" w:eastAsia="Times New Roman" w:hAnsi="Times New Roman" w:cs="Times New Roman"/>
          <w:sz w:val="24"/>
          <w:szCs w:val="24"/>
          <w:lang w:val="en-GB"/>
        </w:rPr>
        <w:t xml:space="preserve">he theory says that organisations respond to a "resource uncertainty crisis" by changing their dependencies, primarily by diversifying revenues into other sources including local philanthropy, corporate sponsorships, or fee-for-service approaches, or rationalizing expenditure within the organisation. Additionally, RDT can help assess the implications of these strategic shifts, exploring how re-defining financing of the programme away from traditional aid and towards commercialised sources of funds. RDT illuminates the processes by which </w:t>
      </w:r>
      <w:r w:rsidR="00497FBA" w:rsidRPr="001F0161">
        <w:rPr>
          <w:rFonts w:ascii="Times New Roman" w:eastAsia="Times New Roman" w:hAnsi="Times New Roman" w:cs="Times New Roman"/>
          <w:sz w:val="24"/>
          <w:szCs w:val="24"/>
          <w:lang w:val="en-GB"/>
        </w:rPr>
        <w:t>FGLF can</w:t>
      </w:r>
      <w:r w:rsidRPr="001F0161">
        <w:rPr>
          <w:rFonts w:ascii="Times New Roman" w:eastAsia="Times New Roman" w:hAnsi="Times New Roman" w:cs="Times New Roman"/>
          <w:sz w:val="24"/>
          <w:szCs w:val="24"/>
          <w:lang w:val="en-GB"/>
        </w:rPr>
        <w:t xml:space="preserve"> manage to somehow inhabit the space between adaptation and survival in situations of external resource scarcity. </w:t>
      </w:r>
    </w:p>
    <w:p w14:paraId="3E11F5E0" w14:textId="77777777" w:rsidR="0050244B" w:rsidRPr="001F0161" w:rsidRDefault="0004031D" w:rsidP="00973765">
      <w:pPr>
        <w:pStyle w:val="Heading2"/>
      </w:pPr>
      <w:bookmarkStart w:id="10" w:name="_Toc239424044"/>
      <w:r w:rsidRPr="001F0161">
        <w:t>1.8 Structure of the research</w:t>
      </w:r>
      <w:bookmarkEnd w:id="10"/>
      <w:r w:rsidRPr="001F0161">
        <w:t xml:space="preserve"> </w:t>
      </w:r>
    </w:p>
    <w:p w14:paraId="52126BD7" w14:textId="6C0FDF76" w:rsidR="00FF4208" w:rsidRPr="001F0161" w:rsidRDefault="0004031D"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 xml:space="preserve">This dissertation is structured into six main chapters, which examine the ways in which NGOs address funding problems during times of austerity in a systematic way. Chapter 1 introduces the research background, problem statement, research aim and objectives, research rationale and </w:t>
      </w:r>
      <w:r w:rsidRPr="001F0161">
        <w:rPr>
          <w:rFonts w:ascii="Times New Roman" w:eastAsia="Times New Roman" w:hAnsi="Times New Roman" w:cs="Times New Roman"/>
          <w:sz w:val="24"/>
          <w:szCs w:val="24"/>
          <w:lang w:val="en-GB"/>
        </w:rPr>
        <w:lastRenderedPageBreak/>
        <w:t xml:space="preserve">theoretical underpinning. Chapter 2: Literature Review gives a critical review of the existing literature to review foreign aid retrenchment, Resource Dependence Theory, alternative financing mechanisms and mission drift. Chapter 3: Research Methodology presents a description of the mixed methods design used, describing data collection tools, sampling techniques and analysis methods. The quantitative and qualitative empirical data collected from the NGO leaders and the financial documents are presented in Chapter 4: Data Analysis. These findings are discussed in Chapter 5 with the reference to the existing theories and literature. Lastly, the conclusion (Chapter 6) provides an overall summary of the </w:t>
      </w:r>
      <w:r w:rsidR="00A57CEF" w:rsidRPr="001F0161">
        <w:rPr>
          <w:rFonts w:ascii="Times New Roman" w:eastAsia="Times New Roman" w:hAnsi="Times New Roman" w:cs="Times New Roman"/>
          <w:sz w:val="24"/>
          <w:szCs w:val="24"/>
          <w:lang w:val="en-GB"/>
        </w:rPr>
        <w:t>findings</w:t>
      </w:r>
      <w:r w:rsidRPr="001F0161">
        <w:rPr>
          <w:rFonts w:ascii="Times New Roman" w:eastAsia="Times New Roman" w:hAnsi="Times New Roman" w:cs="Times New Roman"/>
          <w:sz w:val="24"/>
          <w:szCs w:val="24"/>
          <w:lang w:val="en-GB"/>
        </w:rPr>
        <w:t xml:space="preserve"> proposes suggestions for implementation in NGO management and identifies the limitations of the study and areas for further research.</w:t>
      </w:r>
    </w:p>
    <w:p w14:paraId="37FC911A" w14:textId="77777777" w:rsidR="00FF4208" w:rsidRPr="001F0161" w:rsidRDefault="00FF4208" w:rsidP="00973765">
      <w:p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br w:type="page"/>
      </w:r>
    </w:p>
    <w:p w14:paraId="1E3B953B" w14:textId="77777777" w:rsidR="00FF4208" w:rsidRPr="001F0161" w:rsidRDefault="00FF4208" w:rsidP="00973765">
      <w:pPr>
        <w:pStyle w:val="Heading1"/>
      </w:pPr>
      <w:bookmarkStart w:id="11" w:name="_Toc239424045"/>
      <w:r w:rsidRPr="001F0161">
        <w:lastRenderedPageBreak/>
        <w:t>CHAPTER 2: LITERATURE REVIEW</w:t>
      </w:r>
      <w:bookmarkEnd w:id="11"/>
    </w:p>
    <w:p w14:paraId="6ED8A8C3" w14:textId="77777777" w:rsidR="00FF4208" w:rsidRPr="001F0161" w:rsidRDefault="00FF4208" w:rsidP="00973765">
      <w:pPr>
        <w:pStyle w:val="Heading2"/>
      </w:pPr>
      <w:bookmarkStart w:id="12" w:name="_i5ixj7e87xzl" w:colFirst="0" w:colLast="0"/>
      <w:bookmarkStart w:id="13" w:name="_Toc239424046"/>
      <w:bookmarkEnd w:id="12"/>
      <w:r w:rsidRPr="001F0161">
        <w:t>2.1 Introduction</w:t>
      </w:r>
      <w:bookmarkEnd w:id="13"/>
    </w:p>
    <w:p w14:paraId="08CF20C0" w14:textId="3F33FA92" w:rsidR="00FF4208" w:rsidRPr="004774D7" w:rsidRDefault="00FF4208"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I</w:t>
      </w:r>
      <w:r w:rsidR="002522A1">
        <w:rPr>
          <w:rFonts w:ascii="Times New Roman" w:eastAsia="Times New Roman" w:hAnsi="Times New Roman" w:cs="Times New Roman"/>
          <w:sz w:val="24"/>
          <w:szCs w:val="24"/>
        </w:rPr>
        <w:t xml:space="preserve">n the opinion of </w:t>
      </w:r>
      <w:r w:rsidR="002522A1" w:rsidRPr="004774D7">
        <w:rPr>
          <w:rFonts w:ascii="Times New Roman" w:eastAsia="Times New Roman" w:hAnsi="Times New Roman" w:cs="Times New Roman"/>
          <w:sz w:val="24"/>
          <w:szCs w:val="24"/>
        </w:rPr>
        <w:t xml:space="preserve">Hamann, </w:t>
      </w:r>
      <w:r w:rsidR="002522A1">
        <w:rPr>
          <w:rFonts w:ascii="Times New Roman" w:eastAsia="Times New Roman" w:hAnsi="Times New Roman" w:cs="Times New Roman"/>
          <w:sz w:val="24"/>
          <w:szCs w:val="24"/>
        </w:rPr>
        <w:t>(</w:t>
      </w:r>
      <w:r w:rsidR="002522A1" w:rsidRPr="004774D7">
        <w:rPr>
          <w:rFonts w:ascii="Times New Roman" w:eastAsia="Times New Roman" w:hAnsi="Times New Roman" w:cs="Times New Roman"/>
          <w:sz w:val="24"/>
          <w:szCs w:val="24"/>
        </w:rPr>
        <w:t>2026</w:t>
      </w:r>
      <w:r w:rsidR="002522A1">
        <w:rPr>
          <w:rFonts w:ascii="Times New Roman" w:eastAsia="Times New Roman" w:hAnsi="Times New Roman" w:cs="Times New Roman"/>
          <w:sz w:val="24"/>
          <w:szCs w:val="24"/>
        </w:rPr>
        <w:t>), i</w:t>
      </w:r>
      <w:r w:rsidRPr="004774D7">
        <w:rPr>
          <w:rFonts w:ascii="Times New Roman" w:eastAsia="Times New Roman" w:hAnsi="Times New Roman" w:cs="Times New Roman"/>
          <w:sz w:val="24"/>
          <w:szCs w:val="24"/>
        </w:rPr>
        <w:t>nternational development is structurally changing, with the withdrawal of traditional foreign aid from the global pictur</w:t>
      </w:r>
      <w:r w:rsidR="002522A1">
        <w:rPr>
          <w:rFonts w:ascii="Times New Roman" w:eastAsia="Times New Roman" w:hAnsi="Times New Roman" w:cs="Times New Roman"/>
          <w:sz w:val="24"/>
          <w:szCs w:val="24"/>
        </w:rPr>
        <w:t>e</w:t>
      </w:r>
      <w:r w:rsidRPr="004774D7">
        <w:rPr>
          <w:rFonts w:ascii="Times New Roman" w:eastAsia="Times New Roman" w:hAnsi="Times New Roman" w:cs="Times New Roman"/>
          <w:sz w:val="24"/>
          <w:szCs w:val="24"/>
        </w:rPr>
        <w:t>.</w:t>
      </w:r>
      <w:r w:rsidR="00794B56" w:rsidRPr="004774D7">
        <w:rPr>
          <w:rFonts w:ascii="Times New Roman" w:eastAsia="Times New Roman" w:hAnsi="Times New Roman" w:cs="Times New Roman"/>
          <w:sz w:val="24"/>
          <w:szCs w:val="24"/>
        </w:rPr>
        <w:t xml:space="preserve"> </w:t>
      </w:r>
      <w:r w:rsidR="003D3CD3" w:rsidRPr="009E4011">
        <w:rPr>
          <w:rFonts w:ascii="Times New Roman" w:eastAsia="Times New Roman" w:hAnsi="Times New Roman" w:cs="Times New Roman"/>
          <w:sz w:val="24"/>
          <w:szCs w:val="24"/>
        </w:rPr>
        <w:t>Louis,</w:t>
      </w:r>
      <w:r w:rsidR="003D3CD3">
        <w:rPr>
          <w:rFonts w:ascii="Times New Roman" w:eastAsia="Times New Roman" w:hAnsi="Times New Roman" w:cs="Times New Roman"/>
          <w:sz w:val="24"/>
          <w:szCs w:val="24"/>
        </w:rPr>
        <w:t xml:space="preserve"> (</w:t>
      </w:r>
      <w:r w:rsidR="003D3CD3" w:rsidRPr="009E4011">
        <w:rPr>
          <w:rFonts w:ascii="Times New Roman" w:eastAsia="Times New Roman" w:hAnsi="Times New Roman" w:cs="Times New Roman"/>
          <w:sz w:val="24"/>
          <w:szCs w:val="24"/>
        </w:rPr>
        <w:t>2025</w:t>
      </w:r>
      <w:r w:rsidR="003D3CD3">
        <w:rPr>
          <w:rFonts w:ascii="Times New Roman" w:eastAsia="Times New Roman" w:hAnsi="Times New Roman" w:cs="Times New Roman"/>
          <w:sz w:val="24"/>
          <w:szCs w:val="24"/>
        </w:rPr>
        <w:t xml:space="preserve">) opined that </w:t>
      </w:r>
      <w:r w:rsidRPr="004774D7">
        <w:rPr>
          <w:rFonts w:ascii="Times New Roman" w:eastAsia="Times New Roman" w:hAnsi="Times New Roman" w:cs="Times New Roman"/>
          <w:sz w:val="24"/>
          <w:szCs w:val="24"/>
        </w:rPr>
        <w:t>to achieve financial resilience, NGOs have to grapple with a complicated paradigm shift in the way they mobilize resources, rationalize their operations and realign their strategie</w:t>
      </w:r>
      <w:r w:rsidR="003D3CD3">
        <w:rPr>
          <w:rFonts w:ascii="Times New Roman" w:eastAsia="Times New Roman" w:hAnsi="Times New Roman" w:cs="Times New Roman"/>
          <w:sz w:val="24"/>
          <w:szCs w:val="24"/>
        </w:rPr>
        <w:t>s</w:t>
      </w:r>
      <w:r w:rsidRPr="004774D7">
        <w:rPr>
          <w:rFonts w:ascii="Times New Roman" w:eastAsia="Times New Roman" w:hAnsi="Times New Roman" w:cs="Times New Roman"/>
          <w:sz w:val="24"/>
          <w:szCs w:val="24"/>
        </w:rPr>
        <w:t xml:space="preserve">. The chapter offers a detailed and critical review of the literature and empirical studies on the survival, adaptation and transformation of NGOs in the context of diminishing aid flows. This literature review critically synthesizes the current research from the nine thematic domains and one theoretical domain that is the foundation of this study. </w:t>
      </w:r>
      <w:r w:rsidR="009065EE" w:rsidRPr="00484EB5">
        <w:rPr>
          <w:rFonts w:ascii="Times New Roman" w:eastAsia="Times New Roman" w:hAnsi="Times New Roman" w:cs="Times New Roman"/>
          <w:sz w:val="24"/>
          <w:szCs w:val="24"/>
        </w:rPr>
        <w:t>Fang</w:t>
      </w:r>
      <w:r w:rsidR="009065EE">
        <w:rPr>
          <w:rFonts w:ascii="Times New Roman" w:eastAsia="Times New Roman" w:hAnsi="Times New Roman" w:cs="Times New Roman"/>
          <w:sz w:val="24"/>
          <w:szCs w:val="24"/>
        </w:rPr>
        <w:t xml:space="preserve"> et al.</w:t>
      </w:r>
      <w:r w:rsidR="009065EE" w:rsidRPr="00484EB5">
        <w:rPr>
          <w:rFonts w:ascii="Times New Roman" w:eastAsia="Times New Roman" w:hAnsi="Times New Roman" w:cs="Times New Roman"/>
          <w:sz w:val="24"/>
          <w:szCs w:val="24"/>
        </w:rPr>
        <w:t xml:space="preserve"> </w:t>
      </w:r>
      <w:r w:rsidR="009065EE">
        <w:rPr>
          <w:rFonts w:ascii="Times New Roman" w:eastAsia="Times New Roman" w:hAnsi="Times New Roman" w:cs="Times New Roman"/>
          <w:sz w:val="24"/>
          <w:szCs w:val="24"/>
        </w:rPr>
        <w:t>(</w:t>
      </w:r>
      <w:r w:rsidR="009065EE" w:rsidRPr="00484EB5">
        <w:rPr>
          <w:rFonts w:ascii="Times New Roman" w:eastAsia="Times New Roman" w:hAnsi="Times New Roman" w:cs="Times New Roman"/>
          <w:sz w:val="24"/>
          <w:szCs w:val="24"/>
        </w:rPr>
        <w:t>2026</w:t>
      </w:r>
      <w:r w:rsidR="009065EE">
        <w:rPr>
          <w:rFonts w:ascii="Times New Roman" w:eastAsia="Times New Roman" w:hAnsi="Times New Roman" w:cs="Times New Roman"/>
          <w:sz w:val="24"/>
          <w:szCs w:val="24"/>
        </w:rPr>
        <w:t>) found that t</w:t>
      </w:r>
      <w:r w:rsidRPr="004774D7">
        <w:rPr>
          <w:rFonts w:ascii="Times New Roman" w:eastAsia="Times New Roman" w:hAnsi="Times New Roman" w:cs="Times New Roman"/>
          <w:sz w:val="24"/>
          <w:szCs w:val="24"/>
        </w:rPr>
        <w:t>he drivers of retrenchment and possible alternatives to financing aid, efficiency criteria within the organization and inter-organizational interactions, as well as strategic leadership skills are systematically assessed. Overall, this synthesis positions the academic perspective on the study and frames the empirical and theoretical gaps in existing knowledge and the major expectations for this investigation.</w:t>
      </w:r>
    </w:p>
    <w:p w14:paraId="0D282C69" w14:textId="77777777" w:rsidR="00FF4208" w:rsidRPr="004774D7" w:rsidRDefault="00FF4208" w:rsidP="00973765">
      <w:pPr>
        <w:pStyle w:val="Heading2"/>
      </w:pPr>
      <w:bookmarkStart w:id="14" w:name="_e3fm2qioctds" w:colFirst="0" w:colLast="0"/>
      <w:bookmarkStart w:id="15" w:name="_Toc239424047"/>
      <w:bookmarkEnd w:id="14"/>
      <w:r w:rsidRPr="004774D7">
        <w:t>2.2 Key Themes in NGO Financial Adaptation and Retrenchment</w:t>
      </w:r>
      <w:bookmarkEnd w:id="15"/>
    </w:p>
    <w:p w14:paraId="593C76A2" w14:textId="77777777" w:rsidR="00FF4208" w:rsidRPr="004774D7" w:rsidRDefault="00FF4208" w:rsidP="00973765">
      <w:pPr>
        <w:pStyle w:val="Heading3"/>
      </w:pPr>
      <w:bookmarkStart w:id="16" w:name="_vmmhj9pm390x" w:colFirst="0" w:colLast="0"/>
      <w:bookmarkStart w:id="17" w:name="_Toc239424048"/>
      <w:bookmarkEnd w:id="16"/>
      <w:r w:rsidRPr="004774D7">
        <w:t>2.2.1 Drivers and Macro-Dynamics of Foreign Aid Retrenchment</w:t>
      </w:r>
      <w:bookmarkEnd w:id="17"/>
    </w:p>
    <w:p w14:paraId="7FA0116B" w14:textId="246947E8" w:rsidR="00FF4208" w:rsidRPr="004774D7" w:rsidRDefault="00CE578B"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As authors suc</w:t>
      </w:r>
      <w:r w:rsidR="00810F02" w:rsidRPr="004774D7">
        <w:rPr>
          <w:rFonts w:ascii="Times New Roman" w:eastAsia="Times New Roman" w:hAnsi="Times New Roman" w:cs="Times New Roman"/>
          <w:sz w:val="24"/>
          <w:szCs w:val="24"/>
        </w:rPr>
        <w:t>h</w:t>
      </w:r>
      <w:r w:rsidRPr="004774D7">
        <w:rPr>
          <w:rFonts w:ascii="Times New Roman" w:eastAsia="Times New Roman" w:hAnsi="Times New Roman" w:cs="Times New Roman"/>
          <w:sz w:val="24"/>
          <w:szCs w:val="24"/>
        </w:rPr>
        <w:t xml:space="preserve"> as Hamann (2026), stated </w:t>
      </w:r>
      <w:r w:rsidR="00FF4208" w:rsidRPr="004774D7">
        <w:rPr>
          <w:rFonts w:ascii="Times New Roman" w:eastAsia="Times New Roman" w:hAnsi="Times New Roman" w:cs="Times New Roman"/>
          <w:sz w:val="24"/>
          <w:szCs w:val="24"/>
        </w:rPr>
        <w:t>his trend of reduced Official Development Assistance (ODA) and international development funding is neither a short-term shift or irregular drop in resources, but rather a significant structural adjustment of the global political economy</w:t>
      </w:r>
      <w:r w:rsidR="00364E31">
        <w:rPr>
          <w:rFonts w:ascii="Times New Roman" w:eastAsia="Times New Roman" w:hAnsi="Times New Roman" w:cs="Times New Roman"/>
          <w:sz w:val="24"/>
          <w:szCs w:val="24"/>
        </w:rPr>
        <w:t xml:space="preserve">. </w:t>
      </w:r>
      <w:r w:rsidR="00FF4208" w:rsidRPr="004774D7">
        <w:rPr>
          <w:rFonts w:ascii="Times New Roman" w:eastAsia="Times New Roman" w:hAnsi="Times New Roman" w:cs="Times New Roman"/>
          <w:sz w:val="24"/>
          <w:szCs w:val="24"/>
        </w:rPr>
        <w:t xml:space="preserve">Analyses of macro-economic costs and benefits show that the availability of official aid is highly sensitive to the economic plight, budgetary pressures, and debt burdens of the country providing the aid. </w:t>
      </w:r>
      <w:r w:rsidR="005E6381" w:rsidRPr="005E6381">
        <w:t xml:space="preserve"> </w:t>
      </w:r>
      <w:r w:rsidR="005E6381" w:rsidRPr="005E6381">
        <w:rPr>
          <w:rFonts w:ascii="Times New Roman" w:eastAsia="Times New Roman" w:hAnsi="Times New Roman" w:cs="Times New Roman"/>
          <w:sz w:val="24"/>
          <w:szCs w:val="24"/>
        </w:rPr>
        <w:t xml:space="preserve">The OECD (2026) found that bilateral budgets in donor countries have been reduced by more than 7.5% in the wake of the post-2022 inflationary shocks in empirical analyses across DAC donor countries. Moreover, Hamann, </w:t>
      </w:r>
      <w:r w:rsidR="005E6381">
        <w:rPr>
          <w:rFonts w:ascii="Times New Roman" w:eastAsia="Times New Roman" w:hAnsi="Times New Roman" w:cs="Times New Roman"/>
          <w:sz w:val="24"/>
          <w:szCs w:val="24"/>
        </w:rPr>
        <w:t>(</w:t>
      </w:r>
      <w:r w:rsidR="005E6381" w:rsidRPr="005E6381">
        <w:rPr>
          <w:rFonts w:ascii="Times New Roman" w:eastAsia="Times New Roman" w:hAnsi="Times New Roman" w:cs="Times New Roman"/>
          <w:sz w:val="24"/>
          <w:szCs w:val="24"/>
        </w:rPr>
        <w:t>2026) found that there is a significant negative relationship between any increase in donor sovereign debt to GDP and developmental allocations following domestic fiscal austerity.</w:t>
      </w:r>
      <w:r w:rsidR="005E6381">
        <w:rPr>
          <w:rFonts w:ascii="Times New Roman" w:eastAsia="Times New Roman" w:hAnsi="Times New Roman" w:cs="Times New Roman"/>
          <w:sz w:val="24"/>
          <w:szCs w:val="24"/>
        </w:rPr>
        <w:t xml:space="preserve"> </w:t>
      </w:r>
      <w:r w:rsidR="00364E31">
        <w:rPr>
          <w:rFonts w:ascii="Times New Roman" w:eastAsia="Times New Roman" w:hAnsi="Times New Roman" w:cs="Times New Roman"/>
          <w:sz w:val="24"/>
          <w:szCs w:val="24"/>
        </w:rPr>
        <w:t xml:space="preserve">As stated by </w:t>
      </w:r>
      <w:r w:rsidR="00364E31" w:rsidRPr="004774D7">
        <w:rPr>
          <w:rFonts w:ascii="Times New Roman" w:eastAsia="Times New Roman" w:hAnsi="Times New Roman" w:cs="Times New Roman"/>
          <w:sz w:val="24"/>
          <w:szCs w:val="24"/>
        </w:rPr>
        <w:t xml:space="preserve">Tomlinson, </w:t>
      </w:r>
      <w:r w:rsidR="00364E31">
        <w:rPr>
          <w:rFonts w:ascii="Times New Roman" w:eastAsia="Times New Roman" w:hAnsi="Times New Roman" w:cs="Times New Roman"/>
          <w:sz w:val="24"/>
          <w:szCs w:val="24"/>
        </w:rPr>
        <w:t>(</w:t>
      </w:r>
      <w:r w:rsidR="00364E31" w:rsidRPr="004774D7">
        <w:rPr>
          <w:rFonts w:ascii="Times New Roman" w:eastAsia="Times New Roman" w:hAnsi="Times New Roman" w:cs="Times New Roman"/>
          <w:sz w:val="24"/>
          <w:szCs w:val="24"/>
        </w:rPr>
        <w:t>2025</w:t>
      </w:r>
      <w:r w:rsidR="00364E31">
        <w:rPr>
          <w:rFonts w:ascii="Times New Roman" w:eastAsia="Times New Roman" w:hAnsi="Times New Roman" w:cs="Times New Roman"/>
          <w:sz w:val="24"/>
          <w:szCs w:val="24"/>
        </w:rPr>
        <w:t>), o</w:t>
      </w:r>
      <w:r w:rsidR="00FF4208" w:rsidRPr="004774D7">
        <w:rPr>
          <w:rFonts w:ascii="Times New Roman" w:eastAsia="Times New Roman" w:hAnsi="Times New Roman" w:cs="Times New Roman"/>
          <w:sz w:val="24"/>
          <w:szCs w:val="24"/>
        </w:rPr>
        <w:t>ften donor governments are under pressure from a range of domestic factors such as inflationary pressures, economic stagnation or increased national debt, and foreign aid budgets are among the first to be slashed for austerity measures.</w:t>
      </w:r>
    </w:p>
    <w:p w14:paraId="3AC93DA4" w14:textId="0D6CFDC8" w:rsidR="00FF4208" w:rsidRPr="001F0161" w:rsidRDefault="00FF4208"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 xml:space="preserve">However, in addition to the impact of the macro-economic shocks, geopolitical realignment has a clear influence on the nature and size of international aid. </w:t>
      </w:r>
      <w:r w:rsidR="00C13721" w:rsidRPr="00C13721">
        <w:rPr>
          <w:rFonts w:ascii="Times New Roman" w:eastAsia="Times New Roman" w:hAnsi="Times New Roman" w:cs="Times New Roman"/>
          <w:sz w:val="24"/>
          <w:szCs w:val="24"/>
        </w:rPr>
        <w:t>As demonstrated by</w:t>
      </w:r>
      <w:r w:rsidR="00C13721">
        <w:rPr>
          <w:rFonts w:ascii="Times New Roman" w:eastAsia="Times New Roman" w:hAnsi="Times New Roman" w:cs="Times New Roman"/>
          <w:sz w:val="24"/>
          <w:szCs w:val="24"/>
        </w:rPr>
        <w:t xml:space="preserve"> </w:t>
      </w:r>
      <w:r w:rsidR="00C13721" w:rsidRPr="004774D7">
        <w:rPr>
          <w:rFonts w:ascii="Times New Roman" w:eastAsia="Times New Roman" w:hAnsi="Times New Roman" w:cs="Times New Roman"/>
          <w:sz w:val="24"/>
          <w:szCs w:val="24"/>
        </w:rPr>
        <w:t xml:space="preserve">Tomlinson, </w:t>
      </w:r>
      <w:r w:rsidR="00C13721">
        <w:rPr>
          <w:rFonts w:ascii="Times New Roman" w:eastAsia="Times New Roman" w:hAnsi="Times New Roman" w:cs="Times New Roman"/>
          <w:sz w:val="24"/>
          <w:szCs w:val="24"/>
        </w:rPr>
        <w:lastRenderedPageBreak/>
        <w:t>(</w:t>
      </w:r>
      <w:r w:rsidR="00C13721" w:rsidRPr="004774D7">
        <w:rPr>
          <w:rFonts w:ascii="Times New Roman" w:eastAsia="Times New Roman" w:hAnsi="Times New Roman" w:cs="Times New Roman"/>
          <w:sz w:val="24"/>
          <w:szCs w:val="24"/>
        </w:rPr>
        <w:t>2025</w:t>
      </w:r>
      <w:r w:rsidR="00C13721">
        <w:rPr>
          <w:rFonts w:ascii="Times New Roman" w:eastAsia="Times New Roman" w:hAnsi="Times New Roman" w:cs="Times New Roman"/>
          <w:sz w:val="24"/>
          <w:szCs w:val="24"/>
        </w:rPr>
        <w:t>), d</w:t>
      </w:r>
      <w:r w:rsidRPr="004774D7">
        <w:rPr>
          <w:rFonts w:ascii="Times New Roman" w:eastAsia="Times New Roman" w:hAnsi="Times New Roman" w:cs="Times New Roman"/>
          <w:sz w:val="24"/>
          <w:szCs w:val="24"/>
        </w:rPr>
        <w:t xml:space="preserve">onor States often redirect their bilateral and multilateral assistance from traditional development and social and health care projects to bilateral security cooperation, bilateral economic statecraft, and border security, as their political agenda and priorities evolve, and the nature of their trade relations change frequently. Moreover, donor fatigue driven by a combination of donor dependency in receiving countries and governance issues has led to phasing out multi-year institutional funding. As a result, </w:t>
      </w:r>
      <w:proofErr w:type="spellStart"/>
      <w:r w:rsidR="00046A4E" w:rsidRPr="005E6381">
        <w:rPr>
          <w:rFonts w:ascii="Times New Roman" w:eastAsia="Times New Roman" w:hAnsi="Times New Roman" w:cs="Times New Roman"/>
          <w:sz w:val="24"/>
          <w:szCs w:val="24"/>
        </w:rPr>
        <w:t>Tugyetwena</w:t>
      </w:r>
      <w:proofErr w:type="spellEnd"/>
      <w:r w:rsidR="00046A4E" w:rsidRPr="005E6381">
        <w:rPr>
          <w:rFonts w:ascii="Times New Roman" w:eastAsia="Times New Roman" w:hAnsi="Times New Roman" w:cs="Times New Roman"/>
          <w:sz w:val="24"/>
          <w:szCs w:val="24"/>
        </w:rPr>
        <w:t xml:space="preserve">, </w:t>
      </w:r>
      <w:r w:rsidR="00046A4E">
        <w:rPr>
          <w:rFonts w:ascii="Times New Roman" w:eastAsia="Times New Roman" w:hAnsi="Times New Roman" w:cs="Times New Roman"/>
          <w:sz w:val="24"/>
          <w:szCs w:val="24"/>
        </w:rPr>
        <w:t>(</w:t>
      </w:r>
      <w:r w:rsidR="00046A4E" w:rsidRPr="005E6381">
        <w:rPr>
          <w:rFonts w:ascii="Times New Roman" w:eastAsia="Times New Roman" w:hAnsi="Times New Roman" w:cs="Times New Roman"/>
          <w:sz w:val="24"/>
          <w:szCs w:val="24"/>
        </w:rPr>
        <w:t>2023</w:t>
      </w:r>
      <w:r w:rsidR="00046A4E">
        <w:rPr>
          <w:rFonts w:ascii="Times New Roman" w:eastAsia="Times New Roman" w:hAnsi="Times New Roman" w:cs="Times New Roman"/>
          <w:sz w:val="24"/>
          <w:szCs w:val="24"/>
        </w:rPr>
        <w:t xml:space="preserve">) supported </w:t>
      </w:r>
      <w:r w:rsidR="004F6638">
        <w:rPr>
          <w:rFonts w:ascii="Times New Roman" w:eastAsia="Times New Roman" w:hAnsi="Times New Roman" w:cs="Times New Roman"/>
          <w:sz w:val="24"/>
          <w:szCs w:val="24"/>
        </w:rPr>
        <w:t xml:space="preserve">that </w:t>
      </w:r>
      <w:r w:rsidR="004F6638" w:rsidRPr="004774D7">
        <w:rPr>
          <w:rFonts w:ascii="Times New Roman" w:eastAsia="Times New Roman" w:hAnsi="Times New Roman" w:cs="Times New Roman"/>
          <w:sz w:val="24"/>
          <w:szCs w:val="24"/>
        </w:rPr>
        <w:t>external source of funding</w:t>
      </w:r>
      <w:r w:rsidRPr="004774D7">
        <w:rPr>
          <w:rFonts w:ascii="Times New Roman" w:eastAsia="Times New Roman" w:hAnsi="Times New Roman" w:cs="Times New Roman"/>
          <w:sz w:val="24"/>
          <w:szCs w:val="24"/>
        </w:rPr>
        <w:t xml:space="preserve"> for civil society organizations in the developing world are becoming more volatile and unpred</w:t>
      </w:r>
      <w:r w:rsidRPr="005E6381">
        <w:rPr>
          <w:rFonts w:ascii="Times New Roman" w:eastAsia="Times New Roman" w:hAnsi="Times New Roman" w:cs="Times New Roman"/>
          <w:sz w:val="24"/>
          <w:szCs w:val="24"/>
        </w:rPr>
        <w:t>ictable, and their traditional funding business models, which relied on grants, are quite fragile.</w:t>
      </w:r>
    </w:p>
    <w:p w14:paraId="554E9B83" w14:textId="77777777" w:rsidR="00FF4208" w:rsidRPr="001F0161" w:rsidRDefault="00FF4208" w:rsidP="00973765">
      <w:pPr>
        <w:pStyle w:val="Heading3"/>
      </w:pPr>
      <w:bookmarkStart w:id="18" w:name="_srkmeelkgutj" w:colFirst="0" w:colLast="0"/>
      <w:bookmarkStart w:id="19" w:name="_Toc239424049"/>
      <w:bookmarkEnd w:id="18"/>
      <w:r w:rsidRPr="001F0161">
        <w:t>2.2.2 The Viability and Challenges of Social Enterprise and Earned-Income Models</w:t>
      </w:r>
      <w:bookmarkEnd w:id="19"/>
    </w:p>
    <w:p w14:paraId="43B0CFC0" w14:textId="1B0DB5F7" w:rsidR="00FF4208" w:rsidRPr="001F0161" w:rsidRDefault="004F6638" w:rsidP="00973765">
      <w:pPr>
        <w:spacing w:line="360" w:lineRule="auto"/>
        <w:jc w:val="both"/>
        <w:rPr>
          <w:rFonts w:ascii="Times New Roman" w:eastAsia="Times New Roman" w:hAnsi="Times New Roman" w:cs="Times New Roman"/>
          <w:sz w:val="24"/>
          <w:szCs w:val="24"/>
        </w:rPr>
      </w:pPr>
      <w:r w:rsidRPr="004F6638">
        <w:rPr>
          <w:rFonts w:ascii="Times New Roman" w:eastAsia="Times New Roman" w:hAnsi="Times New Roman" w:cs="Times New Roman"/>
          <w:sz w:val="24"/>
          <w:szCs w:val="24"/>
        </w:rPr>
        <w:t>As observed b</w:t>
      </w:r>
      <w:r>
        <w:rPr>
          <w:rFonts w:ascii="Times New Roman" w:eastAsia="Times New Roman" w:hAnsi="Times New Roman" w:cs="Times New Roman"/>
          <w:sz w:val="24"/>
          <w:szCs w:val="24"/>
        </w:rPr>
        <w:t xml:space="preserve">y </w:t>
      </w:r>
      <w:proofErr w:type="spellStart"/>
      <w:r w:rsidRPr="001F0161">
        <w:rPr>
          <w:rFonts w:ascii="Times New Roman" w:eastAsia="Times New Roman" w:hAnsi="Times New Roman" w:cs="Times New Roman"/>
          <w:sz w:val="24"/>
          <w:szCs w:val="24"/>
        </w:rPr>
        <w:t>Schätzlein</w:t>
      </w:r>
      <w:proofErr w:type="spellEnd"/>
      <w:r w:rsidRPr="001F016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xml:space="preserve">), in terms </w:t>
      </w:r>
      <w:r w:rsidR="00FF4208" w:rsidRPr="001F0161">
        <w:rPr>
          <w:rFonts w:ascii="Times New Roman" w:eastAsia="Times New Roman" w:hAnsi="Times New Roman" w:cs="Times New Roman"/>
          <w:sz w:val="24"/>
          <w:szCs w:val="24"/>
        </w:rPr>
        <w:t>of the shrinkage in outside aid, scholarship and research work has pointed out that social enterprise structures and earned income strategies are becoming important ways in a financial diversification of NGO businesses. Earned income models refer to a range of business activities such as fee-for-service, consultancy and other activities that result in products being sold to support the mission, and trading arms that provide non-restricted revenue streams. Those in favour of non-profit commercialisation say earned income gives non-profit organizations financial independence, eliminates donor conditionality and increases their sustainability by separating operating budgets from fluctuating international donor cycles.</w:t>
      </w:r>
    </w:p>
    <w:p w14:paraId="711EC673" w14:textId="55EC7345"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But there is a risk of commercialization being considered a panacea in the empirical literature. </w:t>
      </w:r>
      <w:r w:rsidR="00DC4E82" w:rsidRPr="00DC4E82">
        <w:rPr>
          <w:rFonts w:ascii="Times New Roman" w:eastAsia="Times New Roman" w:hAnsi="Times New Roman" w:cs="Times New Roman"/>
          <w:sz w:val="24"/>
          <w:szCs w:val="24"/>
        </w:rPr>
        <w:t>As underscored by</w:t>
      </w:r>
      <w:r w:rsidR="00DC4E82">
        <w:rPr>
          <w:rFonts w:ascii="Times New Roman" w:eastAsia="Times New Roman" w:hAnsi="Times New Roman" w:cs="Times New Roman"/>
          <w:sz w:val="24"/>
          <w:szCs w:val="24"/>
        </w:rPr>
        <w:t xml:space="preserve"> </w:t>
      </w:r>
      <w:proofErr w:type="spellStart"/>
      <w:r w:rsidR="00DC4E82" w:rsidRPr="001F0161">
        <w:rPr>
          <w:rFonts w:ascii="Times New Roman" w:eastAsia="Times New Roman" w:hAnsi="Times New Roman" w:cs="Times New Roman"/>
          <w:sz w:val="24"/>
          <w:szCs w:val="24"/>
        </w:rPr>
        <w:t>Ghafran</w:t>
      </w:r>
      <w:proofErr w:type="spellEnd"/>
      <w:r w:rsidR="00DC4E82" w:rsidRPr="001F0161">
        <w:rPr>
          <w:rFonts w:ascii="Times New Roman" w:eastAsia="Times New Roman" w:hAnsi="Times New Roman" w:cs="Times New Roman"/>
          <w:sz w:val="24"/>
          <w:szCs w:val="24"/>
        </w:rPr>
        <w:t xml:space="preserve">, and </w:t>
      </w:r>
      <w:proofErr w:type="spellStart"/>
      <w:r w:rsidR="00DC4E82" w:rsidRPr="001F0161">
        <w:rPr>
          <w:rFonts w:ascii="Times New Roman" w:eastAsia="Times New Roman" w:hAnsi="Times New Roman" w:cs="Times New Roman"/>
          <w:sz w:val="24"/>
          <w:szCs w:val="24"/>
        </w:rPr>
        <w:t>Yasmin</w:t>
      </w:r>
      <w:proofErr w:type="spellEnd"/>
      <w:r w:rsidR="00DC4E82" w:rsidRPr="001F0161">
        <w:rPr>
          <w:rFonts w:ascii="Times New Roman" w:eastAsia="Times New Roman" w:hAnsi="Times New Roman" w:cs="Times New Roman"/>
          <w:sz w:val="24"/>
          <w:szCs w:val="24"/>
        </w:rPr>
        <w:t xml:space="preserve">, </w:t>
      </w:r>
      <w:r w:rsidR="00DC4E82">
        <w:rPr>
          <w:rFonts w:ascii="Times New Roman" w:eastAsia="Times New Roman" w:hAnsi="Times New Roman" w:cs="Times New Roman"/>
          <w:sz w:val="24"/>
          <w:szCs w:val="24"/>
        </w:rPr>
        <w:t>(</w:t>
      </w:r>
      <w:r w:rsidR="00DC4E82" w:rsidRPr="001F0161">
        <w:rPr>
          <w:rFonts w:ascii="Times New Roman" w:eastAsia="Times New Roman" w:hAnsi="Times New Roman" w:cs="Times New Roman"/>
          <w:sz w:val="24"/>
          <w:szCs w:val="24"/>
        </w:rPr>
        <w:t>2025</w:t>
      </w:r>
      <w:r w:rsidR="00DC4E82">
        <w:rPr>
          <w:rFonts w:ascii="Times New Roman" w:eastAsia="Times New Roman" w:hAnsi="Times New Roman" w:cs="Times New Roman"/>
          <w:sz w:val="24"/>
          <w:szCs w:val="24"/>
        </w:rPr>
        <w:t>), m</w:t>
      </w:r>
      <w:r w:rsidRPr="001F0161">
        <w:rPr>
          <w:rFonts w:ascii="Times New Roman" w:eastAsia="Times New Roman" w:hAnsi="Times New Roman" w:cs="Times New Roman"/>
          <w:sz w:val="24"/>
          <w:szCs w:val="24"/>
        </w:rPr>
        <w:t xml:space="preserve">any of the institutional capabilities, capital investments, and market knowledge that are necessary to successfully shift from a grant reliant not-for-profit to a market driven enterprise are often lacking in traditional NGOs. </w:t>
      </w:r>
      <w:proofErr w:type="spellStart"/>
      <w:r w:rsidR="00C95012" w:rsidRPr="001F0161">
        <w:rPr>
          <w:rFonts w:ascii="Times New Roman" w:eastAsia="Times New Roman" w:hAnsi="Times New Roman" w:cs="Times New Roman"/>
          <w:sz w:val="24"/>
          <w:szCs w:val="24"/>
        </w:rPr>
        <w:t>Magomedova</w:t>
      </w:r>
      <w:proofErr w:type="spellEnd"/>
      <w:r w:rsidR="00C95012" w:rsidRPr="001F0161">
        <w:rPr>
          <w:rFonts w:ascii="Times New Roman" w:eastAsia="Times New Roman" w:hAnsi="Times New Roman" w:cs="Times New Roman"/>
          <w:sz w:val="24"/>
          <w:szCs w:val="24"/>
        </w:rPr>
        <w:t xml:space="preserve">, and </w:t>
      </w:r>
      <w:proofErr w:type="spellStart"/>
      <w:r w:rsidR="00C95012" w:rsidRPr="001F0161">
        <w:rPr>
          <w:rFonts w:ascii="Times New Roman" w:eastAsia="Times New Roman" w:hAnsi="Times New Roman" w:cs="Times New Roman"/>
          <w:sz w:val="24"/>
          <w:szCs w:val="24"/>
        </w:rPr>
        <w:t>Bastida-Vialcanet</w:t>
      </w:r>
      <w:proofErr w:type="spellEnd"/>
      <w:r w:rsidR="00C95012" w:rsidRPr="001F0161">
        <w:rPr>
          <w:rFonts w:ascii="Times New Roman" w:eastAsia="Times New Roman" w:hAnsi="Times New Roman" w:cs="Times New Roman"/>
          <w:sz w:val="24"/>
          <w:szCs w:val="24"/>
        </w:rPr>
        <w:t xml:space="preserve">, </w:t>
      </w:r>
      <w:r w:rsidR="00C95012">
        <w:rPr>
          <w:rFonts w:ascii="Times New Roman" w:eastAsia="Times New Roman" w:hAnsi="Times New Roman" w:cs="Times New Roman"/>
          <w:sz w:val="24"/>
          <w:szCs w:val="24"/>
        </w:rPr>
        <w:t>(</w:t>
      </w:r>
      <w:r w:rsidR="00C95012" w:rsidRPr="001F0161">
        <w:rPr>
          <w:rFonts w:ascii="Times New Roman" w:eastAsia="Times New Roman" w:hAnsi="Times New Roman" w:cs="Times New Roman"/>
          <w:sz w:val="24"/>
          <w:szCs w:val="24"/>
        </w:rPr>
        <w:t>2022</w:t>
      </w:r>
      <w:r w:rsidR="00C95012">
        <w:rPr>
          <w:rFonts w:ascii="Times New Roman" w:eastAsia="Times New Roman" w:hAnsi="Times New Roman" w:cs="Times New Roman"/>
          <w:sz w:val="24"/>
          <w:szCs w:val="24"/>
        </w:rPr>
        <w:t xml:space="preserve">) opined </w:t>
      </w:r>
      <w:r w:rsidR="00814BA8">
        <w:rPr>
          <w:rFonts w:ascii="Times New Roman" w:eastAsia="Times New Roman" w:hAnsi="Times New Roman" w:cs="Times New Roman"/>
          <w:sz w:val="24"/>
          <w:szCs w:val="24"/>
        </w:rPr>
        <w:t xml:space="preserve">that </w:t>
      </w:r>
      <w:r w:rsidR="00814BA8" w:rsidRPr="001F0161">
        <w:rPr>
          <w:rFonts w:ascii="Times New Roman" w:eastAsia="Times New Roman" w:hAnsi="Times New Roman" w:cs="Times New Roman"/>
          <w:sz w:val="24"/>
          <w:szCs w:val="24"/>
        </w:rPr>
        <w:t>non-profit</w:t>
      </w:r>
      <w:r w:rsidRPr="001F0161">
        <w:rPr>
          <w:rFonts w:ascii="Times New Roman" w:eastAsia="Times New Roman" w:hAnsi="Times New Roman" w:cs="Times New Roman"/>
          <w:sz w:val="24"/>
          <w:szCs w:val="24"/>
        </w:rPr>
        <w:t xml:space="preserve"> that work in poor or at-risk areas encounter structural challenges for generating income because people living in these areas may not have the purchasing power needed to sustain fee-for-service models. For this reason, social enterprise models are also unevenly applied, contextually sensitive and challenging to scale-up and use for different service focussed groups in civil society.</w:t>
      </w:r>
    </w:p>
    <w:p w14:paraId="44B0117A" w14:textId="77777777" w:rsidR="00FF4208" w:rsidRPr="001F0161" w:rsidRDefault="00FF4208" w:rsidP="00973765">
      <w:pPr>
        <w:pStyle w:val="Heading3"/>
      </w:pPr>
      <w:bookmarkStart w:id="20" w:name="_f0i4pxq80x7d" w:colFirst="0" w:colLast="0"/>
      <w:bookmarkStart w:id="21" w:name="_Toc239424050"/>
      <w:bookmarkEnd w:id="20"/>
      <w:r w:rsidRPr="001F0161">
        <w:t>2.2.3 Domestic Philanthropy and Local Resource Mobilization</w:t>
      </w:r>
      <w:bookmarkEnd w:id="21"/>
    </w:p>
    <w:p w14:paraId="319B5E25" w14:textId="38E73C50" w:rsidR="00FF4208" w:rsidRPr="001F0161" w:rsidRDefault="006E3BFF" w:rsidP="00973765">
      <w:pPr>
        <w:spacing w:line="360" w:lineRule="auto"/>
        <w:jc w:val="both"/>
        <w:rPr>
          <w:rFonts w:ascii="Times New Roman" w:eastAsia="Times New Roman" w:hAnsi="Times New Roman" w:cs="Times New Roman"/>
          <w:sz w:val="24"/>
          <w:szCs w:val="24"/>
        </w:rPr>
      </w:pPr>
      <w:proofErr w:type="spellStart"/>
      <w:r w:rsidRPr="001F0161">
        <w:rPr>
          <w:rFonts w:ascii="Times New Roman" w:eastAsia="Times New Roman" w:hAnsi="Times New Roman" w:cs="Times New Roman"/>
          <w:sz w:val="24"/>
          <w:szCs w:val="24"/>
        </w:rPr>
        <w:t>Samadi</w:t>
      </w:r>
      <w:proofErr w:type="spellEnd"/>
      <w:r w:rsidRPr="001F016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stated that t</w:t>
      </w:r>
      <w:r w:rsidR="00FF4208" w:rsidRPr="001F0161">
        <w:rPr>
          <w:rFonts w:ascii="Times New Roman" w:eastAsia="Times New Roman" w:hAnsi="Times New Roman" w:cs="Times New Roman"/>
          <w:sz w:val="24"/>
          <w:szCs w:val="24"/>
        </w:rPr>
        <w:t xml:space="preserve">he narrative of the academic sector is shifting from international-based grant funding toward the strategic importance of localizing the source of funds like </w:t>
      </w:r>
      <w:r w:rsidR="00FF4208" w:rsidRPr="001F0161">
        <w:rPr>
          <w:rFonts w:ascii="Times New Roman" w:eastAsia="Times New Roman" w:hAnsi="Times New Roman" w:cs="Times New Roman"/>
          <w:sz w:val="24"/>
          <w:szCs w:val="24"/>
        </w:rPr>
        <w:lastRenderedPageBreak/>
        <w:t xml:space="preserve">domestically based philanthropy, community fundraising, crowdfunding websites and generosity of high net-worth individuals. The development of local philanthropy is described broadly in the current literature as a crucial next step in the struggle to decolonise development, to ensure real local ownership, and to create organisations with a strong local anchoring. </w:t>
      </w:r>
      <w:r w:rsidR="00A14CBC">
        <w:rPr>
          <w:rFonts w:ascii="Times New Roman" w:eastAsia="Times New Roman" w:hAnsi="Times New Roman" w:cs="Times New Roman"/>
          <w:sz w:val="24"/>
          <w:szCs w:val="24"/>
        </w:rPr>
        <w:t xml:space="preserve">In </w:t>
      </w:r>
      <w:r w:rsidR="005B2A8D">
        <w:rPr>
          <w:rFonts w:ascii="Times New Roman" w:eastAsia="Times New Roman" w:hAnsi="Times New Roman" w:cs="Times New Roman"/>
          <w:sz w:val="24"/>
          <w:szCs w:val="24"/>
        </w:rPr>
        <w:t>the perspective</w:t>
      </w:r>
      <w:r w:rsidR="00A14CBC">
        <w:rPr>
          <w:rFonts w:ascii="Times New Roman" w:eastAsia="Times New Roman" w:hAnsi="Times New Roman" w:cs="Times New Roman"/>
          <w:sz w:val="24"/>
          <w:szCs w:val="24"/>
        </w:rPr>
        <w:t xml:space="preserve"> of </w:t>
      </w:r>
      <w:r w:rsidR="00A14CBC" w:rsidRPr="001F0161">
        <w:rPr>
          <w:rFonts w:ascii="Times New Roman" w:eastAsia="Times New Roman" w:hAnsi="Times New Roman" w:cs="Times New Roman"/>
          <w:sz w:val="24"/>
          <w:szCs w:val="24"/>
        </w:rPr>
        <w:t xml:space="preserve">Gupta et al. </w:t>
      </w:r>
      <w:r w:rsidR="00A14CBC">
        <w:rPr>
          <w:rFonts w:ascii="Times New Roman" w:eastAsia="Times New Roman" w:hAnsi="Times New Roman" w:cs="Times New Roman"/>
          <w:sz w:val="24"/>
          <w:szCs w:val="24"/>
        </w:rPr>
        <w:t>(</w:t>
      </w:r>
      <w:r w:rsidR="00A14CBC" w:rsidRPr="001F0161">
        <w:rPr>
          <w:rFonts w:ascii="Times New Roman" w:eastAsia="Times New Roman" w:hAnsi="Times New Roman" w:cs="Times New Roman"/>
          <w:sz w:val="24"/>
          <w:szCs w:val="24"/>
        </w:rPr>
        <w:t>2020</w:t>
      </w:r>
      <w:r w:rsidR="00A14CBC">
        <w:rPr>
          <w:rFonts w:ascii="Times New Roman" w:eastAsia="Times New Roman" w:hAnsi="Times New Roman" w:cs="Times New Roman"/>
          <w:sz w:val="24"/>
          <w:szCs w:val="24"/>
        </w:rPr>
        <w:t xml:space="preserve">), </w:t>
      </w:r>
      <w:r w:rsidR="00FF4208" w:rsidRPr="001F0161">
        <w:rPr>
          <w:rFonts w:ascii="Times New Roman" w:eastAsia="Times New Roman" w:hAnsi="Times New Roman" w:cs="Times New Roman"/>
          <w:sz w:val="24"/>
          <w:szCs w:val="24"/>
        </w:rPr>
        <w:t>NGOs can help minimise their exposure to the volatility of foreign capital markets, if they can base their fundraising activities firmly within their communities and domestic business networks, and also in the contributions of their individual supporters. These are in direct response to their own identified programmatic needs. In addition, the domestic resource mobilisation approach helps to increase civil society independence and lessen its dependence on conditionality and changing international policies. Local funding provides more flexibility to develop local programs, respond quickly to community crises and establish sustainable institutional equity in local areas.</w:t>
      </w:r>
    </w:p>
    <w:p w14:paraId="30778FB4" w14:textId="113076CD"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While there are major strategic and democratic opportunities in this regard, there is a significant structural impediment to immediate scaleup in emerging markets; literature on domestic philanthropy in these markets shows that they have significant constraints that restrict immediate scalability. </w:t>
      </w:r>
      <w:proofErr w:type="spellStart"/>
      <w:r w:rsidR="00376946" w:rsidRPr="001F0161">
        <w:rPr>
          <w:rFonts w:ascii="Times New Roman" w:eastAsia="Times New Roman" w:hAnsi="Times New Roman" w:cs="Times New Roman"/>
          <w:sz w:val="24"/>
          <w:szCs w:val="24"/>
        </w:rPr>
        <w:t>Fuseini</w:t>
      </w:r>
      <w:proofErr w:type="spellEnd"/>
      <w:r w:rsidR="00376946" w:rsidRPr="001F0161">
        <w:rPr>
          <w:rFonts w:ascii="Times New Roman" w:eastAsia="Times New Roman" w:hAnsi="Times New Roman" w:cs="Times New Roman"/>
          <w:sz w:val="24"/>
          <w:szCs w:val="24"/>
        </w:rPr>
        <w:t xml:space="preserve"> et al. </w:t>
      </w:r>
      <w:r w:rsidR="00376946">
        <w:rPr>
          <w:rFonts w:ascii="Times New Roman" w:eastAsia="Times New Roman" w:hAnsi="Times New Roman" w:cs="Times New Roman"/>
          <w:sz w:val="24"/>
          <w:szCs w:val="24"/>
        </w:rPr>
        <w:t>(</w:t>
      </w:r>
      <w:r w:rsidR="00376946" w:rsidRPr="001F0161">
        <w:rPr>
          <w:rFonts w:ascii="Times New Roman" w:eastAsia="Times New Roman" w:hAnsi="Times New Roman" w:cs="Times New Roman"/>
          <w:sz w:val="24"/>
          <w:szCs w:val="24"/>
        </w:rPr>
        <w:t>2022</w:t>
      </w:r>
      <w:r w:rsidR="00376946">
        <w:rPr>
          <w:rFonts w:ascii="Times New Roman" w:eastAsia="Times New Roman" w:hAnsi="Times New Roman" w:cs="Times New Roman"/>
          <w:sz w:val="24"/>
          <w:szCs w:val="24"/>
        </w:rPr>
        <w:t>) stated that f</w:t>
      </w:r>
      <w:r w:rsidRPr="001F0161">
        <w:rPr>
          <w:rFonts w:ascii="Times New Roman" w:eastAsia="Times New Roman" w:hAnsi="Times New Roman" w:cs="Times New Roman"/>
          <w:sz w:val="24"/>
          <w:szCs w:val="24"/>
        </w:rPr>
        <w:t>ormal philanthropic structures are not well developed in many developing countries, particularly due to poor enabling policy frameworks, complicated regulatory contexts, lack of transparency in non-profit sector institutions and the endemic public uncertainty regarding the governance of the non-profit sector in these countries. Moreover, digital fundraising infrastructure and the formal approach to donor cultivation are frequently not up to date, posing a challenge for organizations trying to shift from raising funds internationally to acquire domestic donors.</w:t>
      </w:r>
    </w:p>
    <w:p w14:paraId="75D0B332" w14:textId="36E9A86F"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Importantly, academic research has pointed to the basic disconnect between preference for "home" giving and traditional development goals. In emerging economies,</w:t>
      </w:r>
      <w:r w:rsidR="00B82134" w:rsidRPr="00B82134">
        <w:rPr>
          <w:rFonts w:ascii="Times New Roman" w:eastAsia="Times New Roman" w:hAnsi="Times New Roman" w:cs="Times New Roman"/>
          <w:sz w:val="24"/>
          <w:szCs w:val="24"/>
        </w:rPr>
        <w:t xml:space="preserve"> </w:t>
      </w:r>
      <w:proofErr w:type="spellStart"/>
      <w:r w:rsidR="00B82134" w:rsidRPr="001F0161">
        <w:rPr>
          <w:rFonts w:ascii="Times New Roman" w:eastAsia="Times New Roman" w:hAnsi="Times New Roman" w:cs="Times New Roman"/>
          <w:sz w:val="24"/>
          <w:szCs w:val="24"/>
        </w:rPr>
        <w:t>Nordin</w:t>
      </w:r>
      <w:proofErr w:type="spellEnd"/>
      <w:r w:rsidR="00B82134" w:rsidRPr="001F0161">
        <w:rPr>
          <w:rFonts w:ascii="Times New Roman" w:eastAsia="Times New Roman" w:hAnsi="Times New Roman" w:cs="Times New Roman"/>
          <w:sz w:val="24"/>
          <w:szCs w:val="24"/>
        </w:rPr>
        <w:t xml:space="preserve"> et al. </w:t>
      </w:r>
      <w:r w:rsidR="00B82134">
        <w:rPr>
          <w:rFonts w:ascii="Times New Roman" w:eastAsia="Times New Roman" w:hAnsi="Times New Roman" w:cs="Times New Roman"/>
          <w:sz w:val="24"/>
          <w:szCs w:val="24"/>
        </w:rPr>
        <w:t>(</w:t>
      </w:r>
      <w:r w:rsidR="00B82134" w:rsidRPr="001F0161">
        <w:rPr>
          <w:rFonts w:ascii="Times New Roman" w:eastAsia="Times New Roman" w:hAnsi="Times New Roman" w:cs="Times New Roman"/>
          <w:sz w:val="24"/>
          <w:szCs w:val="24"/>
        </w:rPr>
        <w:t>2024</w:t>
      </w:r>
      <w:r w:rsidR="00B82134">
        <w:rPr>
          <w:rFonts w:ascii="Times New Roman" w:eastAsia="Times New Roman" w:hAnsi="Times New Roman" w:cs="Times New Roman"/>
          <w:sz w:val="24"/>
          <w:szCs w:val="24"/>
        </w:rPr>
        <w:t>) found that</w:t>
      </w:r>
      <w:r w:rsidRPr="001F0161">
        <w:rPr>
          <w:rFonts w:ascii="Times New Roman" w:eastAsia="Times New Roman" w:hAnsi="Times New Roman" w:cs="Times New Roman"/>
          <w:sz w:val="24"/>
          <w:szCs w:val="24"/>
        </w:rPr>
        <w:t xml:space="preserve"> philanthropic motivations tend to focus on short-term disaster response, religious charity and welfare direct actions, or systemic advocacy, human rights protection, gender equality programs, and structural capacity development by only a handful of philanthropists. Often the costs of institutional reform and social change are so far into the future that they are not seen as tangible contributions in the short-term, which is where individual donors and local corporate bodies like to focus their efforts on high-profile, short-term, and measurable results. However, as shown by </w:t>
      </w:r>
      <w:r w:rsidR="002B7D05" w:rsidRPr="001F0161">
        <w:rPr>
          <w:rFonts w:ascii="Times New Roman" w:eastAsia="Times New Roman" w:hAnsi="Times New Roman" w:cs="Times New Roman"/>
          <w:sz w:val="24"/>
          <w:szCs w:val="24"/>
        </w:rPr>
        <w:t xml:space="preserve">Chang-Liao et al. </w:t>
      </w:r>
      <w:r w:rsidR="002B7D05">
        <w:rPr>
          <w:rFonts w:ascii="Times New Roman" w:eastAsia="Times New Roman" w:hAnsi="Times New Roman" w:cs="Times New Roman"/>
          <w:sz w:val="24"/>
          <w:szCs w:val="24"/>
        </w:rPr>
        <w:t>(</w:t>
      </w:r>
      <w:r w:rsidR="002B7D05" w:rsidRPr="001F0161">
        <w:rPr>
          <w:rFonts w:ascii="Times New Roman" w:eastAsia="Times New Roman" w:hAnsi="Times New Roman" w:cs="Times New Roman"/>
          <w:sz w:val="24"/>
          <w:szCs w:val="24"/>
        </w:rPr>
        <w:t>2026</w:t>
      </w:r>
      <w:r w:rsidR="002B7D05">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 xml:space="preserve">, while the cultivation of domestic philanthropy </w:t>
      </w:r>
      <w:r w:rsidRPr="001F0161">
        <w:rPr>
          <w:rFonts w:ascii="Times New Roman" w:eastAsia="Times New Roman" w:hAnsi="Times New Roman" w:cs="Times New Roman"/>
          <w:sz w:val="24"/>
          <w:szCs w:val="24"/>
        </w:rPr>
        <w:lastRenderedPageBreak/>
        <w:t>is an essential cornerstone to gaining long-term organizational sovereignty and financial resiliency, it is unlikely to, in the short-to-medium term, replace lost sources of International ODA funding in quantity, consistency or structure.</w:t>
      </w:r>
    </w:p>
    <w:p w14:paraId="627777F4" w14:textId="77777777" w:rsidR="00FF4208" w:rsidRPr="001F0161" w:rsidRDefault="00FF4208" w:rsidP="00973765">
      <w:pPr>
        <w:pStyle w:val="Heading3"/>
      </w:pPr>
      <w:bookmarkStart w:id="22" w:name="_w47q3t3rh7n1" w:colFirst="0" w:colLast="0"/>
      <w:bookmarkStart w:id="23" w:name="_Toc239424051"/>
      <w:bookmarkEnd w:id="22"/>
      <w:r w:rsidRPr="001F0161">
        <w:t>2.2.4 Corporate Social Responsibility (CSR) and Private Sector Partnerships</w:t>
      </w:r>
      <w:bookmarkEnd w:id="23"/>
    </w:p>
    <w:p w14:paraId="1C41AFF9" w14:textId="555E7B5B" w:rsidR="00FF4208" w:rsidRPr="001F0161" w:rsidRDefault="002A676A" w:rsidP="00973765">
      <w:pPr>
        <w:spacing w:line="360" w:lineRule="auto"/>
        <w:jc w:val="both"/>
        <w:rPr>
          <w:rFonts w:ascii="Times New Roman" w:eastAsia="Times New Roman" w:hAnsi="Times New Roman" w:cs="Times New Roman"/>
          <w:sz w:val="24"/>
          <w:szCs w:val="24"/>
        </w:rPr>
      </w:pPr>
      <w:proofErr w:type="spellStart"/>
      <w:r w:rsidRPr="001F0161">
        <w:rPr>
          <w:rFonts w:ascii="Times New Roman" w:eastAsia="Times New Roman" w:hAnsi="Times New Roman" w:cs="Times New Roman"/>
          <w:sz w:val="24"/>
          <w:szCs w:val="24"/>
        </w:rPr>
        <w:t>Faroque</w:t>
      </w:r>
      <w:proofErr w:type="spellEnd"/>
      <w:r w:rsidRPr="001F016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2022</w:t>
      </w:r>
      <w:r>
        <w:rPr>
          <w:rFonts w:ascii="Times New Roman" w:eastAsia="Times New Roman" w:hAnsi="Times New Roman" w:cs="Times New Roman"/>
          <w:sz w:val="24"/>
          <w:szCs w:val="24"/>
        </w:rPr>
        <w:t>) stated that t</w:t>
      </w:r>
      <w:r w:rsidR="00FF4208" w:rsidRPr="001F0161">
        <w:rPr>
          <w:rFonts w:ascii="Times New Roman" w:eastAsia="Times New Roman" w:hAnsi="Times New Roman" w:cs="Times New Roman"/>
          <w:sz w:val="24"/>
          <w:szCs w:val="24"/>
        </w:rPr>
        <w:t>he way NGO's adapt their operations to align with private sector investments such as CSR budgets, corporate foundations, and ESG (Environmental, Social, and Governance) investments has become more of a focus. Strategic alliances between civil society and corporate actors have the potential to provide significant financial resources, technical expertise, corporate networks and shared infrastructure. For established NGOs, collaborating with corporations can be a valuable opportunity to access local context and community and bring brand credibility to their efforts in order to achieve meaningful social impact and meet regulatory or investor expectations.</w:t>
      </w:r>
    </w:p>
    <w:p w14:paraId="1F089F41" w14:textId="129C32E1"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However, the literature draws attention to fundamental tensions that lie in making cross-sector partnerships between non-profit and profit-making organizations. </w:t>
      </w:r>
      <w:proofErr w:type="spellStart"/>
      <w:r w:rsidR="0046167F" w:rsidRPr="001F0161">
        <w:rPr>
          <w:rFonts w:ascii="Times New Roman" w:eastAsia="Times New Roman" w:hAnsi="Times New Roman" w:cs="Times New Roman"/>
          <w:sz w:val="24"/>
          <w:szCs w:val="24"/>
        </w:rPr>
        <w:t>Boiral</w:t>
      </w:r>
      <w:proofErr w:type="spellEnd"/>
      <w:r w:rsidR="0046167F" w:rsidRPr="001F0161">
        <w:rPr>
          <w:rFonts w:ascii="Times New Roman" w:eastAsia="Times New Roman" w:hAnsi="Times New Roman" w:cs="Times New Roman"/>
          <w:sz w:val="24"/>
          <w:szCs w:val="24"/>
        </w:rPr>
        <w:t xml:space="preserve"> et al. </w:t>
      </w:r>
      <w:r w:rsidR="0046167F">
        <w:rPr>
          <w:rFonts w:ascii="Times New Roman" w:eastAsia="Times New Roman" w:hAnsi="Times New Roman" w:cs="Times New Roman"/>
          <w:sz w:val="24"/>
          <w:szCs w:val="24"/>
        </w:rPr>
        <w:t>(</w:t>
      </w:r>
      <w:r w:rsidR="0046167F" w:rsidRPr="001F0161">
        <w:rPr>
          <w:rFonts w:ascii="Times New Roman" w:eastAsia="Times New Roman" w:hAnsi="Times New Roman" w:cs="Times New Roman"/>
          <w:sz w:val="24"/>
          <w:szCs w:val="24"/>
        </w:rPr>
        <w:t>2023</w:t>
      </w:r>
      <w:r w:rsidR="0046167F">
        <w:rPr>
          <w:rFonts w:ascii="Times New Roman" w:eastAsia="Times New Roman" w:hAnsi="Times New Roman" w:cs="Times New Roman"/>
          <w:sz w:val="24"/>
          <w:szCs w:val="24"/>
        </w:rPr>
        <w:t>) found that b</w:t>
      </w:r>
      <w:r w:rsidRPr="001F0161">
        <w:rPr>
          <w:rFonts w:ascii="Times New Roman" w:eastAsia="Times New Roman" w:hAnsi="Times New Roman" w:cs="Times New Roman"/>
          <w:sz w:val="24"/>
          <w:szCs w:val="24"/>
        </w:rPr>
        <w:t xml:space="preserve">usiness support tends to be very limited, and may be short term and related to corporate branding or marketing projects rather than long term community development initiatives. Moreover, unequal power dynamics may result in corporate agenda-setting, for which NGOs may feel forced to shift their programme priorities to closely reflect corporate agenda. Existing literature highlights three key challenges facing CSR partnerships in times of austerity: they are often crucial for augmenting finances. </w:t>
      </w:r>
      <w:r w:rsidR="00506598" w:rsidRPr="001F0161">
        <w:rPr>
          <w:rFonts w:ascii="Times New Roman" w:eastAsia="Times New Roman" w:hAnsi="Times New Roman" w:cs="Times New Roman"/>
          <w:sz w:val="24"/>
          <w:szCs w:val="24"/>
        </w:rPr>
        <w:t>Umar, and Verma</w:t>
      </w:r>
      <w:r w:rsidR="00506598">
        <w:rPr>
          <w:rFonts w:ascii="Times New Roman" w:eastAsia="Times New Roman" w:hAnsi="Times New Roman" w:cs="Times New Roman"/>
          <w:sz w:val="24"/>
          <w:szCs w:val="24"/>
        </w:rPr>
        <w:t xml:space="preserve"> (</w:t>
      </w:r>
      <w:r w:rsidR="00506598" w:rsidRPr="001F0161">
        <w:rPr>
          <w:rFonts w:ascii="Times New Roman" w:eastAsia="Times New Roman" w:hAnsi="Times New Roman" w:cs="Times New Roman"/>
          <w:sz w:val="24"/>
          <w:szCs w:val="24"/>
        </w:rPr>
        <w:t>2023</w:t>
      </w:r>
      <w:r w:rsidR="00506598">
        <w:rPr>
          <w:rFonts w:ascii="Times New Roman" w:eastAsia="Times New Roman" w:hAnsi="Times New Roman" w:cs="Times New Roman"/>
          <w:sz w:val="24"/>
          <w:szCs w:val="24"/>
        </w:rPr>
        <w:t>) stated that t</w:t>
      </w:r>
      <w:r w:rsidRPr="001F0161">
        <w:rPr>
          <w:rFonts w:ascii="Times New Roman" w:eastAsia="Times New Roman" w:hAnsi="Times New Roman" w:cs="Times New Roman"/>
          <w:sz w:val="24"/>
          <w:szCs w:val="24"/>
        </w:rPr>
        <w:t xml:space="preserve">hey must be supported by robust governance systems to ensure that they do not become a vehicle for corporate </w:t>
      </w:r>
      <w:r w:rsidR="00332089" w:rsidRPr="001F0161">
        <w:rPr>
          <w:rFonts w:ascii="Times New Roman" w:eastAsia="Times New Roman" w:hAnsi="Times New Roman" w:cs="Times New Roman"/>
          <w:sz w:val="24"/>
          <w:szCs w:val="24"/>
        </w:rPr>
        <w:t>co-optation</w:t>
      </w:r>
      <w:r w:rsidRPr="001F0161">
        <w:rPr>
          <w:rFonts w:ascii="Times New Roman" w:eastAsia="Times New Roman" w:hAnsi="Times New Roman" w:cs="Times New Roman"/>
          <w:sz w:val="24"/>
          <w:szCs w:val="24"/>
        </w:rPr>
        <w:t>; and they must ensure the autonomy and independence of the non-profit.</w:t>
      </w:r>
    </w:p>
    <w:p w14:paraId="28D23225" w14:textId="77777777" w:rsidR="00FF4208" w:rsidRPr="001F0161" w:rsidRDefault="00FF4208" w:rsidP="00973765">
      <w:pPr>
        <w:pStyle w:val="Heading3"/>
      </w:pPr>
      <w:bookmarkStart w:id="24" w:name="_j6x3si681f9p" w:colFirst="0" w:colLast="0"/>
      <w:bookmarkStart w:id="25" w:name="_Toc239424052"/>
      <w:bookmarkEnd w:id="24"/>
      <w:r w:rsidRPr="001F0161">
        <w:t>2.2.5 Operational Restructuring, Cost Rationalization, and Efficiency Measures</w:t>
      </w:r>
      <w:bookmarkEnd w:id="25"/>
    </w:p>
    <w:p w14:paraId="22DA6B64" w14:textId="1C34754C"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In addition to external revenue raising, another of the most frequently discussed areas within the body of non-profit management literature is internal operating adaptation, rationalization of costs and improving efficiency. </w:t>
      </w:r>
      <w:r w:rsidR="00EC478D">
        <w:rPr>
          <w:rFonts w:ascii="Times New Roman" w:eastAsia="Times New Roman" w:hAnsi="Times New Roman" w:cs="Times New Roman"/>
          <w:sz w:val="24"/>
          <w:szCs w:val="24"/>
        </w:rPr>
        <w:t xml:space="preserve">According to </w:t>
      </w:r>
      <w:r w:rsidR="00EC478D" w:rsidRPr="001F0161">
        <w:rPr>
          <w:rFonts w:ascii="Times New Roman" w:eastAsia="Times New Roman" w:hAnsi="Times New Roman" w:cs="Times New Roman"/>
          <w:sz w:val="24"/>
          <w:szCs w:val="24"/>
        </w:rPr>
        <w:t xml:space="preserve">Singh et al. </w:t>
      </w:r>
      <w:r w:rsidR="00EC478D">
        <w:rPr>
          <w:rFonts w:ascii="Times New Roman" w:eastAsia="Times New Roman" w:hAnsi="Times New Roman" w:cs="Times New Roman"/>
          <w:sz w:val="24"/>
          <w:szCs w:val="24"/>
        </w:rPr>
        <w:t>(</w:t>
      </w:r>
      <w:r w:rsidR="00EC478D" w:rsidRPr="001F0161">
        <w:rPr>
          <w:rFonts w:ascii="Times New Roman" w:eastAsia="Times New Roman" w:hAnsi="Times New Roman" w:cs="Times New Roman"/>
          <w:sz w:val="24"/>
          <w:szCs w:val="24"/>
        </w:rPr>
        <w:t>2025</w:t>
      </w:r>
      <w:r w:rsidR="00EC478D">
        <w:rPr>
          <w:rFonts w:ascii="Times New Roman" w:eastAsia="Times New Roman" w:hAnsi="Times New Roman" w:cs="Times New Roman"/>
          <w:sz w:val="24"/>
          <w:szCs w:val="24"/>
        </w:rPr>
        <w:t>), w</w:t>
      </w:r>
      <w:r w:rsidRPr="001F0161">
        <w:rPr>
          <w:rFonts w:ascii="Times New Roman" w:eastAsia="Times New Roman" w:hAnsi="Times New Roman" w:cs="Times New Roman"/>
          <w:sz w:val="24"/>
          <w:szCs w:val="24"/>
        </w:rPr>
        <w:t>hen budget deficits occur, managers of NGOs often undertake measures of retrenchment, aiming to reduce operating expenses and maintain the core programmatic delivery. The table below is a summary of the main internal operational restructuring approaches, how they are applied and the operational risks identified related to these approaches in the context of contemporary non-profit scholarship:</w:t>
      </w:r>
    </w:p>
    <w:tbl>
      <w:tblPr>
        <w:tblW w:w="9420" w:type="dxa"/>
        <w:jc w:val="center"/>
        <w:tblBorders>
          <w:top w:val="nil"/>
          <w:left w:val="nil"/>
          <w:bottom w:val="nil"/>
          <w:right w:val="nil"/>
          <w:insideH w:val="nil"/>
          <w:insideV w:val="nil"/>
        </w:tblBorders>
        <w:tblLayout w:type="fixed"/>
        <w:tblLook w:val="0600" w:firstRow="0" w:lastRow="0" w:firstColumn="0" w:lastColumn="0" w:noHBand="1" w:noVBand="1"/>
      </w:tblPr>
      <w:tblGrid>
        <w:gridCol w:w="2190"/>
        <w:gridCol w:w="2190"/>
        <w:gridCol w:w="2100"/>
        <w:gridCol w:w="2940"/>
      </w:tblGrid>
      <w:tr w:rsidR="00FF4208" w:rsidRPr="001F0161" w14:paraId="56844A7A" w14:textId="77777777" w:rsidTr="00332089">
        <w:trPr>
          <w:trHeight w:val="1095"/>
          <w:jc w:val="center"/>
        </w:trPr>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3056ACC7" w14:textId="77777777" w:rsidR="00FF4208" w:rsidRPr="001F0161" w:rsidRDefault="00FF4208" w:rsidP="00973765">
            <w:pPr>
              <w:spacing w:line="360" w:lineRule="auto"/>
              <w:jc w:val="center"/>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lastRenderedPageBreak/>
              <w:t>Restructuring Strategy</w:t>
            </w:r>
          </w:p>
        </w:tc>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082F12C8" w14:textId="77777777" w:rsidR="00FF4208" w:rsidRPr="001F0161" w:rsidRDefault="00FF4208" w:rsidP="00973765">
            <w:pPr>
              <w:spacing w:line="360" w:lineRule="auto"/>
              <w:jc w:val="center"/>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Primary Operational Mechanism</w:t>
            </w:r>
          </w:p>
        </w:tc>
        <w:tc>
          <w:tcPr>
            <w:tcW w:w="210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10F036E2" w14:textId="77777777" w:rsidR="00FF4208" w:rsidRPr="001F0161" w:rsidRDefault="00FF4208" w:rsidP="00973765">
            <w:pPr>
              <w:spacing w:line="360" w:lineRule="auto"/>
              <w:jc w:val="center"/>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Key Benefits</w:t>
            </w:r>
          </w:p>
        </w:tc>
        <w:tc>
          <w:tcPr>
            <w:tcW w:w="294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6A7646BA" w14:textId="77777777" w:rsidR="00FF4208" w:rsidRPr="001F0161" w:rsidRDefault="00FF4208" w:rsidP="00973765">
            <w:pPr>
              <w:spacing w:line="360" w:lineRule="auto"/>
              <w:jc w:val="center"/>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Critical Risks and Drawbacks</w:t>
            </w:r>
          </w:p>
        </w:tc>
      </w:tr>
      <w:tr w:rsidR="00FF4208" w:rsidRPr="001F0161" w14:paraId="4FF5DD6D" w14:textId="77777777" w:rsidTr="00332089">
        <w:trPr>
          <w:trHeight w:val="1920"/>
          <w:jc w:val="center"/>
        </w:trPr>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2C29FC4B"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Staffing Rationalization &amp; Downsizing</w:t>
            </w:r>
          </w:p>
        </w:tc>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61C09825"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Fewer employees, hiring on a temporary basis, and use of project-based contractors.</w:t>
            </w:r>
          </w:p>
        </w:tc>
        <w:tc>
          <w:tcPr>
            <w:tcW w:w="210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3499A78C"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Significant reduction in institutional fixed costs and immediate reduction in payroll costs.</w:t>
            </w:r>
          </w:p>
        </w:tc>
        <w:tc>
          <w:tcPr>
            <w:tcW w:w="294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05BD731D"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Lack of institutional memory, burnout, turnover, and ability.</w:t>
            </w:r>
          </w:p>
        </w:tc>
      </w:tr>
      <w:tr w:rsidR="00FF4208" w:rsidRPr="001F0161" w14:paraId="6979B6A5" w14:textId="77777777" w:rsidTr="00332089">
        <w:trPr>
          <w:trHeight w:val="1920"/>
          <w:jc w:val="center"/>
        </w:trPr>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263C79CA"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Administrative Streamlining</w:t>
            </w:r>
          </w:p>
        </w:tc>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7918F007"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Operation optimization, remote working and facility rationalization.</w:t>
            </w:r>
          </w:p>
        </w:tc>
        <w:tc>
          <w:tcPr>
            <w:tcW w:w="210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4CBD3ED8"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Reduce administrative costs, and better use resources to programs.</w:t>
            </w:r>
          </w:p>
        </w:tc>
        <w:tc>
          <w:tcPr>
            <w:tcW w:w="294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1320B984"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Challenges with initial investment and digital divide in rural settings.</w:t>
            </w:r>
          </w:p>
        </w:tc>
      </w:tr>
      <w:tr w:rsidR="00FF4208" w:rsidRPr="001F0161" w14:paraId="3280C414" w14:textId="77777777" w:rsidTr="00332089">
        <w:trPr>
          <w:trHeight w:val="2475"/>
          <w:jc w:val="center"/>
        </w:trPr>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7D60D2E5"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Shared Services &amp; Infrastructure</w:t>
            </w:r>
          </w:p>
        </w:tc>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06879E2B"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Sharing government Office functions such as administration, finance and legal staff between NGO</w:t>
            </w:r>
          </w:p>
        </w:tc>
        <w:tc>
          <w:tcPr>
            <w:tcW w:w="210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1BCB9E95"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Cost savings, efficiency, and streamlining.</w:t>
            </w:r>
          </w:p>
        </w:tc>
        <w:tc>
          <w:tcPr>
            <w:tcW w:w="294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6D8F6E20"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Inter-organizational tensions, governance issues and the loss of administrative autonomy.</w:t>
            </w:r>
          </w:p>
        </w:tc>
      </w:tr>
      <w:tr w:rsidR="00FF4208" w:rsidRPr="001F0161" w14:paraId="419BC4FC" w14:textId="77777777" w:rsidTr="00332089">
        <w:trPr>
          <w:trHeight w:val="2190"/>
          <w:jc w:val="center"/>
        </w:trPr>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10EEEFE3"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b/>
                <w:bCs/>
                <w:sz w:val="24"/>
                <w:szCs w:val="24"/>
              </w:rPr>
              <w:t>Programmatic Truncation</w:t>
            </w:r>
          </w:p>
        </w:tc>
        <w:tc>
          <w:tcPr>
            <w:tcW w:w="219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397588EB"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Cuts to non-core programs and focus on anchor activities.</w:t>
            </w:r>
          </w:p>
        </w:tc>
        <w:tc>
          <w:tcPr>
            <w:tcW w:w="210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6D1274B6"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Respond to crises by emphasizing on the key competencies and resource conservation.</w:t>
            </w:r>
          </w:p>
        </w:tc>
        <w:tc>
          <w:tcPr>
            <w:tcW w:w="2940" w:type="dxa"/>
            <w:tcBorders>
              <w:top w:val="single" w:sz="4" w:space="0" w:color="000000"/>
              <w:left w:val="single" w:sz="4" w:space="0" w:color="000000"/>
              <w:bottom w:val="single" w:sz="4" w:space="0" w:color="000000"/>
              <w:right w:val="single" w:sz="4" w:space="0" w:color="000000"/>
            </w:tcBorders>
            <w:tcMar>
              <w:top w:w="120" w:type="dxa"/>
              <w:left w:w="180" w:type="dxa"/>
              <w:bottom w:w="120" w:type="dxa"/>
              <w:right w:w="180" w:type="dxa"/>
            </w:tcMar>
          </w:tcPr>
          <w:p w14:paraId="7814660C"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Lack of community-level intervention and failure to continue long-term preventive interventions.</w:t>
            </w:r>
          </w:p>
        </w:tc>
      </w:tr>
    </w:tbl>
    <w:p w14:paraId="0FE0BD4F" w14:textId="77777777" w:rsidR="00FF4208" w:rsidRPr="001F0161" w:rsidRDefault="00FF4208" w:rsidP="00973765">
      <w:pPr>
        <w:spacing w:line="360" w:lineRule="auto"/>
        <w:jc w:val="both"/>
        <w:rPr>
          <w:rFonts w:ascii="Times New Roman" w:eastAsia="Times New Roman" w:hAnsi="Times New Roman" w:cs="Times New Roman"/>
          <w:sz w:val="24"/>
          <w:szCs w:val="24"/>
        </w:rPr>
      </w:pPr>
    </w:p>
    <w:p w14:paraId="3BCB374C" w14:textId="1D8294EA"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Immediate efficiency is essential to deal with the short-term financial impact but, according to scholars in the non-profit sector, this should not be at the expense of cutting corners. </w:t>
      </w:r>
      <w:r w:rsidR="00BD4066" w:rsidRPr="001F0161">
        <w:rPr>
          <w:rFonts w:ascii="Times New Roman" w:eastAsia="Times New Roman" w:hAnsi="Times New Roman" w:cs="Times New Roman"/>
          <w:sz w:val="24"/>
          <w:szCs w:val="24"/>
        </w:rPr>
        <w:t xml:space="preserve">Ely et al. </w:t>
      </w:r>
      <w:r w:rsidR="00BD4066">
        <w:rPr>
          <w:rFonts w:ascii="Times New Roman" w:eastAsia="Times New Roman" w:hAnsi="Times New Roman" w:cs="Times New Roman"/>
          <w:sz w:val="24"/>
          <w:szCs w:val="24"/>
        </w:rPr>
        <w:t>(</w:t>
      </w:r>
      <w:r w:rsidR="00BD4066" w:rsidRPr="001F0161">
        <w:rPr>
          <w:rFonts w:ascii="Times New Roman" w:eastAsia="Times New Roman" w:hAnsi="Times New Roman" w:cs="Times New Roman"/>
          <w:sz w:val="24"/>
          <w:szCs w:val="24"/>
        </w:rPr>
        <w:t>2023</w:t>
      </w:r>
      <w:r w:rsidR="00BD4066">
        <w:rPr>
          <w:rFonts w:ascii="Times New Roman" w:eastAsia="Times New Roman" w:hAnsi="Times New Roman" w:cs="Times New Roman"/>
          <w:sz w:val="24"/>
          <w:szCs w:val="24"/>
        </w:rPr>
        <w:t>) found that i</w:t>
      </w:r>
      <w:r w:rsidRPr="001F0161">
        <w:rPr>
          <w:rFonts w:ascii="Times New Roman" w:eastAsia="Times New Roman" w:hAnsi="Times New Roman" w:cs="Times New Roman"/>
          <w:sz w:val="24"/>
          <w:szCs w:val="24"/>
        </w:rPr>
        <w:t>nstitutional depletion, in which organizations grow too lean, under-trained, and under-resourced, and eventually fail to deliver services, meet donor standards, and survive in the long term, can result from perpetual retrenchment.</w:t>
      </w:r>
    </w:p>
    <w:p w14:paraId="7E152FE7" w14:textId="77777777" w:rsidR="00FF4208" w:rsidRPr="001F0161" w:rsidRDefault="00FF4208" w:rsidP="00973765">
      <w:pPr>
        <w:pStyle w:val="Heading3"/>
      </w:pPr>
      <w:bookmarkStart w:id="26" w:name="_cirp26k31uh1" w:colFirst="0" w:colLast="0"/>
      <w:bookmarkStart w:id="27" w:name="_Toc239424053"/>
      <w:bookmarkEnd w:id="26"/>
      <w:r w:rsidRPr="001F0161">
        <w:t>2.2.6 The Dynamics of Mission Drift in Market-Driven Adaptation</w:t>
      </w:r>
      <w:bookmarkEnd w:id="27"/>
    </w:p>
    <w:p w14:paraId="0DDBB432" w14:textId="26B19C77" w:rsidR="00FF4208" w:rsidRPr="001F0161" w:rsidRDefault="00735C9F" w:rsidP="009737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1F0161">
        <w:rPr>
          <w:rFonts w:ascii="Times New Roman" w:eastAsia="Times New Roman" w:hAnsi="Times New Roman" w:cs="Times New Roman"/>
          <w:sz w:val="24"/>
          <w:szCs w:val="24"/>
        </w:rPr>
        <w:t>Pati</w:t>
      </w:r>
      <w:r>
        <w:rPr>
          <w:rFonts w:ascii="Times New Roman" w:eastAsia="Times New Roman" w:hAnsi="Times New Roman" w:cs="Times New Roman"/>
          <w:sz w:val="24"/>
          <w:szCs w:val="24"/>
        </w:rPr>
        <w:t xml:space="preserve"> (</w:t>
      </w:r>
      <w:r w:rsidRPr="001F0161">
        <w:rPr>
          <w:rFonts w:ascii="Times New Roman" w:eastAsia="Times New Roman" w:hAnsi="Times New Roman" w:cs="Times New Roman"/>
          <w:sz w:val="24"/>
          <w:szCs w:val="24"/>
        </w:rPr>
        <w:t>2021</w:t>
      </w:r>
      <w:r>
        <w:rPr>
          <w:rFonts w:ascii="Times New Roman" w:eastAsia="Times New Roman" w:hAnsi="Times New Roman" w:cs="Times New Roman"/>
          <w:sz w:val="24"/>
          <w:szCs w:val="24"/>
        </w:rPr>
        <w:t>), m</w:t>
      </w:r>
      <w:r w:rsidR="00FF4208" w:rsidRPr="001F0161">
        <w:rPr>
          <w:rFonts w:ascii="Times New Roman" w:eastAsia="Times New Roman" w:hAnsi="Times New Roman" w:cs="Times New Roman"/>
          <w:sz w:val="24"/>
          <w:szCs w:val="24"/>
        </w:rPr>
        <w:t xml:space="preserve">ission drift is one of the main issues discussed in the literature about commercialisation of non-profit organisations – the process of an organisation’s progressive deviation from its original social, humanitarian or human rights purpose, usually at the behest of donor funding mandates or revenue-generating opportunities. </w:t>
      </w:r>
      <w:r w:rsidR="00044AB3" w:rsidRPr="001F0161">
        <w:rPr>
          <w:rFonts w:ascii="Times New Roman" w:eastAsia="Times New Roman" w:hAnsi="Times New Roman" w:cs="Times New Roman"/>
          <w:sz w:val="24"/>
          <w:szCs w:val="24"/>
        </w:rPr>
        <w:t xml:space="preserve">Sandberg et al. </w:t>
      </w:r>
      <w:r w:rsidR="00044AB3">
        <w:rPr>
          <w:rFonts w:ascii="Times New Roman" w:eastAsia="Times New Roman" w:hAnsi="Times New Roman" w:cs="Times New Roman"/>
          <w:sz w:val="24"/>
          <w:szCs w:val="24"/>
        </w:rPr>
        <w:t>(</w:t>
      </w:r>
      <w:r w:rsidR="00044AB3" w:rsidRPr="001F0161">
        <w:rPr>
          <w:rFonts w:ascii="Times New Roman" w:eastAsia="Times New Roman" w:hAnsi="Times New Roman" w:cs="Times New Roman"/>
          <w:sz w:val="24"/>
          <w:szCs w:val="24"/>
        </w:rPr>
        <w:t>2020</w:t>
      </w:r>
      <w:r w:rsidR="00044AB3">
        <w:rPr>
          <w:rFonts w:ascii="Times New Roman" w:eastAsia="Times New Roman" w:hAnsi="Times New Roman" w:cs="Times New Roman"/>
          <w:sz w:val="24"/>
          <w:szCs w:val="24"/>
        </w:rPr>
        <w:t xml:space="preserve">) found that </w:t>
      </w:r>
      <w:r w:rsidR="00FF4208" w:rsidRPr="001F0161">
        <w:rPr>
          <w:rFonts w:ascii="Times New Roman" w:eastAsia="Times New Roman" w:hAnsi="Times New Roman" w:cs="Times New Roman"/>
          <w:sz w:val="24"/>
          <w:szCs w:val="24"/>
        </w:rPr>
        <w:t xml:space="preserve">NGOs are losing their traditional sources of funding and are being encouraged to use fee-for-service, corporate partnerships, social enterprises and competitive market activities. These can enhance the financial sustainability of an organisation but can also produce conflict between financial goals and the initial social mission. </w:t>
      </w:r>
      <w:r w:rsidR="00BD2DC5" w:rsidRPr="001F0161">
        <w:rPr>
          <w:rFonts w:ascii="Times New Roman" w:eastAsia="Times New Roman" w:hAnsi="Times New Roman" w:cs="Times New Roman"/>
          <w:sz w:val="24"/>
          <w:szCs w:val="24"/>
        </w:rPr>
        <w:t>So</w:t>
      </w:r>
      <w:r w:rsidR="00F33C2A" w:rsidRPr="001F0161">
        <w:rPr>
          <w:rFonts w:ascii="Times New Roman" w:eastAsia="Times New Roman" w:hAnsi="Times New Roman" w:cs="Times New Roman"/>
          <w:sz w:val="24"/>
          <w:szCs w:val="24"/>
        </w:rPr>
        <w:t>,</w:t>
      </w:r>
      <w:r w:rsidR="00BD2DC5" w:rsidRPr="001F0161">
        <w:rPr>
          <w:rFonts w:ascii="Times New Roman" w:eastAsia="Times New Roman" w:hAnsi="Times New Roman" w:cs="Times New Roman"/>
          <w:sz w:val="24"/>
          <w:szCs w:val="24"/>
        </w:rPr>
        <w:t xml:space="preserve"> the question here is not whether the NGOs need to adapt for commercial success but, how can they make their own way to the alternative source of livelihood without financial considerations changing the nature of the organisational purpose?</w:t>
      </w:r>
    </w:p>
    <w:p w14:paraId="409C9EA2" w14:textId="39DC8AE5"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Mission drift may happen due to other incentives offered from market-based activities versus traditional non-profit programmes. Indicators for commercial projects may include revenues, customer demand, profit and measurable financial returns. </w:t>
      </w:r>
      <w:r w:rsidR="00125F8C">
        <w:rPr>
          <w:rFonts w:ascii="Times New Roman" w:eastAsia="Times New Roman" w:hAnsi="Times New Roman" w:cs="Times New Roman"/>
          <w:sz w:val="24"/>
          <w:szCs w:val="24"/>
        </w:rPr>
        <w:t xml:space="preserve">As per </w:t>
      </w:r>
      <w:r w:rsidR="00125F8C" w:rsidRPr="001F0161">
        <w:rPr>
          <w:rFonts w:ascii="Times New Roman" w:eastAsia="Times New Roman" w:hAnsi="Times New Roman" w:cs="Times New Roman"/>
          <w:sz w:val="24"/>
          <w:szCs w:val="24"/>
        </w:rPr>
        <w:t xml:space="preserve">Bolton et al. </w:t>
      </w:r>
      <w:r w:rsidR="00125F8C">
        <w:rPr>
          <w:rFonts w:ascii="Times New Roman" w:eastAsia="Times New Roman" w:hAnsi="Times New Roman" w:cs="Times New Roman"/>
          <w:sz w:val="24"/>
          <w:szCs w:val="24"/>
        </w:rPr>
        <w:t>(</w:t>
      </w:r>
      <w:r w:rsidR="00125F8C" w:rsidRPr="001F0161">
        <w:rPr>
          <w:rFonts w:ascii="Times New Roman" w:eastAsia="Times New Roman" w:hAnsi="Times New Roman" w:cs="Times New Roman"/>
          <w:sz w:val="24"/>
          <w:szCs w:val="24"/>
        </w:rPr>
        <w:t>2023</w:t>
      </w:r>
      <w:r w:rsidR="00125F8C">
        <w:rPr>
          <w:rFonts w:ascii="Times New Roman" w:eastAsia="Times New Roman" w:hAnsi="Times New Roman" w:cs="Times New Roman"/>
          <w:sz w:val="24"/>
          <w:szCs w:val="24"/>
        </w:rPr>
        <w:t>), h</w:t>
      </w:r>
      <w:r w:rsidRPr="001F0161">
        <w:rPr>
          <w:rFonts w:ascii="Times New Roman" w:eastAsia="Times New Roman" w:hAnsi="Times New Roman" w:cs="Times New Roman"/>
          <w:sz w:val="24"/>
          <w:szCs w:val="24"/>
        </w:rPr>
        <w:t>umanitarian, advocacy and community-based activities, on the other hand, can be very low cost or even no cost, but can provide a tremendous social benefit. In turn, with decreasing resources, institutional leaders may start to choose programmes that offer income over those that focus on vulnerable or marginalised communities.</w:t>
      </w:r>
    </w:p>
    <w:p w14:paraId="537E76BB" w14:textId="537B4329"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John's research and writing illustrate that mission drift can occur in subtle and structural forms. </w:t>
      </w:r>
      <w:r w:rsidR="008575DE" w:rsidRPr="001F0161">
        <w:rPr>
          <w:rFonts w:ascii="Times New Roman" w:eastAsia="Times New Roman" w:hAnsi="Times New Roman" w:cs="Times New Roman"/>
          <w:sz w:val="24"/>
          <w:szCs w:val="24"/>
        </w:rPr>
        <w:t>Tomlinson</w:t>
      </w:r>
      <w:r w:rsidR="008575DE">
        <w:rPr>
          <w:rFonts w:ascii="Times New Roman" w:eastAsia="Times New Roman" w:hAnsi="Times New Roman" w:cs="Times New Roman"/>
          <w:sz w:val="24"/>
          <w:szCs w:val="24"/>
        </w:rPr>
        <w:t xml:space="preserve"> (</w:t>
      </w:r>
      <w:r w:rsidR="008575DE" w:rsidRPr="001F0161">
        <w:rPr>
          <w:rFonts w:ascii="Times New Roman" w:eastAsia="Times New Roman" w:hAnsi="Times New Roman" w:cs="Times New Roman"/>
          <w:sz w:val="24"/>
          <w:szCs w:val="24"/>
        </w:rPr>
        <w:t>2025</w:t>
      </w:r>
      <w:r w:rsidR="008575DE">
        <w:rPr>
          <w:rFonts w:ascii="Times New Roman" w:eastAsia="Times New Roman" w:hAnsi="Times New Roman" w:cs="Times New Roman"/>
          <w:sz w:val="24"/>
          <w:szCs w:val="24"/>
        </w:rPr>
        <w:t>) found that i</w:t>
      </w:r>
      <w:r w:rsidRPr="001F0161">
        <w:rPr>
          <w:rFonts w:ascii="Times New Roman" w:eastAsia="Times New Roman" w:hAnsi="Times New Roman" w:cs="Times New Roman"/>
          <w:sz w:val="24"/>
          <w:szCs w:val="24"/>
        </w:rPr>
        <w:t xml:space="preserve">n a subtle way, NGOs can tailor programme language, metrics and target groups to ensure their projects are more appealing to commercial recipients or more conservative corporate donors. It can be the case that an organisation's formal mission statement remains the same, but its practice of allocating resources to work gradually shifts to align with the priorities of their funders. This will differentiate between stated social mission and actual </w:t>
      </w:r>
      <w:r w:rsidRPr="001F0161">
        <w:rPr>
          <w:rFonts w:ascii="Times New Roman" w:eastAsia="Times New Roman" w:hAnsi="Times New Roman" w:cs="Times New Roman"/>
          <w:sz w:val="24"/>
          <w:szCs w:val="24"/>
        </w:rPr>
        <w:lastRenderedPageBreak/>
        <w:t>social mission and allows a shift of organisation behaviour that may gradually distance itself from the statements of social mission.</w:t>
      </w:r>
    </w:p>
    <w:p w14:paraId="359DC185" w14:textId="2242E2EE" w:rsidR="00FF4208" w:rsidRPr="001F0161" w:rsidRDefault="008B67D3" w:rsidP="009737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said</w:t>
      </w:r>
      <w:r w:rsidR="007547F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by </w:t>
      </w:r>
      <w:r w:rsidRPr="001F0161">
        <w:rPr>
          <w:rFonts w:ascii="Times New Roman" w:eastAsia="Times New Roman" w:hAnsi="Times New Roman" w:cs="Times New Roman"/>
          <w:sz w:val="24"/>
          <w:szCs w:val="24"/>
        </w:rPr>
        <w:t xml:space="preserve">Golbspan Lutz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m</w:t>
      </w:r>
      <w:r w:rsidR="00FF4208" w:rsidRPr="001F0161">
        <w:rPr>
          <w:rFonts w:ascii="Times New Roman" w:eastAsia="Times New Roman" w:hAnsi="Times New Roman" w:cs="Times New Roman"/>
          <w:sz w:val="24"/>
          <w:szCs w:val="24"/>
        </w:rPr>
        <w:t xml:space="preserve">ission drift is likely to take place when organizations create a profitable social enterprise unit which is invested in more than the social enterprises unit that may be socially valuable, but financially unsustainable. As the activities are successful commercially over time, they can become part of the organisation's strategy and can lead to changes in the identity, culture and priorities of the organisation. Where, in particular, advocacy, </w:t>
      </w:r>
      <w:r w:rsidR="00332089" w:rsidRPr="001F0161">
        <w:rPr>
          <w:rFonts w:ascii="Times New Roman" w:eastAsia="Times New Roman" w:hAnsi="Times New Roman" w:cs="Times New Roman"/>
          <w:sz w:val="24"/>
          <w:szCs w:val="24"/>
        </w:rPr>
        <w:t>rights-based</w:t>
      </w:r>
      <w:r w:rsidR="00FF4208" w:rsidRPr="001F0161">
        <w:rPr>
          <w:rFonts w:ascii="Times New Roman" w:eastAsia="Times New Roman" w:hAnsi="Times New Roman" w:cs="Times New Roman"/>
          <w:sz w:val="24"/>
          <w:szCs w:val="24"/>
        </w:rPr>
        <w:t xml:space="preserve"> activities or services to highly vulnerable populations raise low returns, this can be a concern.</w:t>
      </w:r>
    </w:p>
    <w:p w14:paraId="0015E024" w14:textId="0AE513E7" w:rsidR="00FF4208" w:rsidRPr="001F0161" w:rsidRDefault="002D332E"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Golbspan Lutz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opined that m</w:t>
      </w:r>
      <w:r w:rsidR="00FF4208" w:rsidRPr="001F0161">
        <w:rPr>
          <w:rFonts w:ascii="Times New Roman" w:eastAsia="Times New Roman" w:hAnsi="Times New Roman" w:cs="Times New Roman"/>
          <w:sz w:val="24"/>
          <w:szCs w:val="24"/>
        </w:rPr>
        <w:t xml:space="preserve">ission drift, however, is not necessarily associated with commercialisation. Alternative revenue sources can also help to make the mission less donor dependent, and more resistant to donor priorities that can affect programme decisions. </w:t>
      </w:r>
      <w:r w:rsidRPr="001F0161">
        <w:rPr>
          <w:rFonts w:ascii="Times New Roman" w:eastAsia="Times New Roman" w:hAnsi="Times New Roman" w:cs="Times New Roman"/>
          <w:sz w:val="24"/>
          <w:szCs w:val="24"/>
        </w:rPr>
        <w:t xml:space="preserve">Ngo, and Le,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stated that u</w:t>
      </w:r>
      <w:r w:rsidR="00FF4208" w:rsidRPr="001F0161">
        <w:rPr>
          <w:rFonts w:ascii="Times New Roman" w:eastAsia="Times New Roman" w:hAnsi="Times New Roman" w:cs="Times New Roman"/>
          <w:sz w:val="24"/>
          <w:szCs w:val="24"/>
        </w:rPr>
        <w:t xml:space="preserve">nrestricted commercial income could give NGOs more choice over how they finance their activities, activities that are not necessarily profitable but are critical to their social purpose. Finally, the commercialisation and mission are closely linked to governance and strategic management. </w:t>
      </w:r>
      <w:proofErr w:type="spellStart"/>
      <w:r w:rsidR="008F0C8F" w:rsidRPr="001F0161">
        <w:rPr>
          <w:rFonts w:ascii="Times New Roman" w:eastAsia="Times New Roman" w:hAnsi="Times New Roman" w:cs="Times New Roman"/>
          <w:sz w:val="24"/>
          <w:szCs w:val="24"/>
        </w:rPr>
        <w:t>Gring-Pemble</w:t>
      </w:r>
      <w:proofErr w:type="spellEnd"/>
      <w:r w:rsidR="008F0C8F" w:rsidRPr="001F0161">
        <w:rPr>
          <w:rFonts w:ascii="Times New Roman" w:eastAsia="Times New Roman" w:hAnsi="Times New Roman" w:cs="Times New Roman"/>
          <w:sz w:val="24"/>
          <w:szCs w:val="24"/>
        </w:rPr>
        <w:t xml:space="preserve"> et al. </w:t>
      </w:r>
      <w:r w:rsidR="008F0C8F">
        <w:rPr>
          <w:rFonts w:ascii="Times New Roman" w:eastAsia="Times New Roman" w:hAnsi="Times New Roman" w:cs="Times New Roman"/>
          <w:sz w:val="24"/>
          <w:szCs w:val="24"/>
        </w:rPr>
        <w:t>(</w:t>
      </w:r>
      <w:r w:rsidR="008F0C8F" w:rsidRPr="001F0161">
        <w:rPr>
          <w:rFonts w:ascii="Times New Roman" w:eastAsia="Times New Roman" w:hAnsi="Times New Roman" w:cs="Times New Roman"/>
          <w:sz w:val="24"/>
          <w:szCs w:val="24"/>
        </w:rPr>
        <w:t>2025</w:t>
      </w:r>
      <w:r w:rsidR="008F0C8F">
        <w:rPr>
          <w:rFonts w:ascii="Times New Roman" w:eastAsia="Times New Roman" w:hAnsi="Times New Roman" w:cs="Times New Roman"/>
          <w:sz w:val="24"/>
          <w:szCs w:val="24"/>
        </w:rPr>
        <w:t>) found that c</w:t>
      </w:r>
      <w:r w:rsidR="00FF4208" w:rsidRPr="001F0161">
        <w:rPr>
          <w:rFonts w:ascii="Times New Roman" w:eastAsia="Times New Roman" w:hAnsi="Times New Roman" w:cs="Times New Roman"/>
          <w:sz w:val="24"/>
          <w:szCs w:val="24"/>
        </w:rPr>
        <w:t>oping with this tension demands a conscious role of value-based governance, making ethical limits and institutional structures that ensure the authenticity of the program. The board of directors and senior leadership need to define the criteria to assess whether there are potential funding sources and commercial activities which are in line with the values of the organisation. However, effective engagement of stakeholders can be used to omit beneficiaries' voice, ensuring transparency in the strategic process and thus keeping them at the centre of the process.</w:t>
      </w:r>
    </w:p>
    <w:p w14:paraId="624469DE" w14:textId="17407CAF"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Finally, the literature suggests that in all situations, financial sustainability should not be considered a contrary goal of mission integrity. To be effective, </w:t>
      </w:r>
      <w:r w:rsidR="007E574A" w:rsidRPr="001F0161">
        <w:rPr>
          <w:rFonts w:ascii="Times New Roman" w:eastAsia="Times New Roman" w:hAnsi="Times New Roman" w:cs="Times New Roman"/>
          <w:sz w:val="24"/>
          <w:szCs w:val="24"/>
        </w:rPr>
        <w:t>Hasan</w:t>
      </w:r>
      <w:r w:rsidR="007E574A">
        <w:rPr>
          <w:rFonts w:ascii="Times New Roman" w:eastAsia="Times New Roman" w:hAnsi="Times New Roman" w:cs="Times New Roman"/>
          <w:sz w:val="24"/>
          <w:szCs w:val="24"/>
        </w:rPr>
        <w:t xml:space="preserve"> (</w:t>
      </w:r>
      <w:r w:rsidR="007E574A" w:rsidRPr="001F0161">
        <w:rPr>
          <w:rFonts w:ascii="Times New Roman" w:eastAsia="Times New Roman" w:hAnsi="Times New Roman" w:cs="Times New Roman"/>
          <w:sz w:val="24"/>
          <w:szCs w:val="24"/>
        </w:rPr>
        <w:t>2025</w:t>
      </w:r>
      <w:r w:rsidR="007E574A">
        <w:rPr>
          <w:rFonts w:ascii="Times New Roman" w:eastAsia="Times New Roman" w:hAnsi="Times New Roman" w:cs="Times New Roman"/>
          <w:sz w:val="24"/>
          <w:szCs w:val="24"/>
        </w:rPr>
        <w:t xml:space="preserve">) opined that </w:t>
      </w:r>
      <w:r w:rsidRPr="001F0161">
        <w:rPr>
          <w:rFonts w:ascii="Times New Roman" w:eastAsia="Times New Roman" w:hAnsi="Times New Roman" w:cs="Times New Roman"/>
          <w:sz w:val="24"/>
          <w:szCs w:val="24"/>
        </w:rPr>
        <w:t>strategic adjustment needs to be combined with robust mission safeguards and revenue diversification for NGOs. What is key is that commercialisation is not an end in itself, but rather a way of achieving the organisation's social purpose. For a time when aid is being scaled back, such a distinction will be defined to see if market-based adaptation is really a form of organisation resilience or financial survival with a steady erosion of institutional identity.</w:t>
      </w:r>
    </w:p>
    <w:p w14:paraId="759E4A9B" w14:textId="77777777" w:rsidR="00FF4208" w:rsidRPr="001F0161" w:rsidRDefault="00FF4208" w:rsidP="00973765">
      <w:pPr>
        <w:pStyle w:val="Heading3"/>
      </w:pPr>
      <w:bookmarkStart w:id="28" w:name="_3kullyur2rfa" w:colFirst="0" w:colLast="0"/>
      <w:bookmarkStart w:id="29" w:name="_Toc239424054"/>
      <w:bookmarkEnd w:id="28"/>
      <w:r w:rsidRPr="001F0161">
        <w:t>2.2.7 Sector Collaboration, Consortium Building, and Resource Pooling</w:t>
      </w:r>
      <w:bookmarkEnd w:id="29"/>
    </w:p>
    <w:p w14:paraId="54A1056F" w14:textId="112E231A" w:rsidR="00FF4208" w:rsidRPr="001F0161" w:rsidRDefault="003102AA" w:rsidP="00973765">
      <w:pPr>
        <w:spacing w:line="360" w:lineRule="auto"/>
        <w:jc w:val="both"/>
        <w:rPr>
          <w:rFonts w:ascii="Times New Roman" w:eastAsia="Times New Roman" w:hAnsi="Times New Roman" w:cs="Times New Roman"/>
          <w:sz w:val="24"/>
          <w:szCs w:val="24"/>
        </w:rPr>
      </w:pPr>
      <w:proofErr w:type="spellStart"/>
      <w:r w:rsidRPr="001F0161">
        <w:rPr>
          <w:rFonts w:ascii="Times New Roman" w:eastAsia="Times New Roman" w:hAnsi="Times New Roman" w:cs="Times New Roman"/>
          <w:sz w:val="24"/>
          <w:szCs w:val="24"/>
        </w:rPr>
        <w:lastRenderedPageBreak/>
        <w:t>Kolpakov</w:t>
      </w:r>
      <w:proofErr w:type="spellEnd"/>
      <w:r w:rsidRPr="001F016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2025</w:t>
      </w:r>
      <w:r>
        <w:rPr>
          <w:rFonts w:ascii="Times New Roman" w:eastAsia="Times New Roman" w:hAnsi="Times New Roman" w:cs="Times New Roman"/>
          <w:sz w:val="24"/>
          <w:szCs w:val="24"/>
        </w:rPr>
        <w:t>) stated that f</w:t>
      </w:r>
      <w:r w:rsidR="00FF4208" w:rsidRPr="001F0161">
        <w:rPr>
          <w:rFonts w:ascii="Times New Roman" w:eastAsia="Times New Roman" w:hAnsi="Times New Roman" w:cs="Times New Roman"/>
          <w:sz w:val="24"/>
          <w:szCs w:val="24"/>
        </w:rPr>
        <w:t>oreign aid cuts have changed the dynamics between organizations in the non-profit sector – from playing against each other to working more cooperatively. For limited international funding, and lower operating costs, NGOs are developing resource pooling alliances, civil society networks and consortiums of multi-organizations. Consortium arrangements provide the option for multiple groups to submit a joint grant application, to combine technical expertise, to distribute administrative costs among a large-scale regional initiative.</w:t>
      </w:r>
    </w:p>
    <w:p w14:paraId="405A472B" w14:textId="5256D776" w:rsidR="00FF4208" w:rsidRPr="001F0161" w:rsidRDefault="00332089"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But</w:t>
      </w:r>
      <w:r w:rsidR="00FF4208" w:rsidRPr="001F0161">
        <w:rPr>
          <w:rFonts w:ascii="Times New Roman" w:eastAsia="Times New Roman" w:hAnsi="Times New Roman" w:cs="Times New Roman"/>
          <w:sz w:val="24"/>
          <w:szCs w:val="24"/>
        </w:rPr>
        <w:t xml:space="preserve"> </w:t>
      </w:r>
      <w:r w:rsidR="00E15881" w:rsidRPr="001F0161">
        <w:rPr>
          <w:rFonts w:ascii="Times New Roman" w:eastAsia="Times New Roman" w:hAnsi="Times New Roman" w:cs="Times New Roman"/>
          <w:sz w:val="24"/>
          <w:szCs w:val="24"/>
        </w:rPr>
        <w:t xml:space="preserve">McGrath et al. </w:t>
      </w:r>
      <w:r w:rsidR="00E15881">
        <w:rPr>
          <w:rFonts w:ascii="Times New Roman" w:eastAsia="Times New Roman" w:hAnsi="Times New Roman" w:cs="Times New Roman"/>
          <w:sz w:val="24"/>
          <w:szCs w:val="24"/>
        </w:rPr>
        <w:t>(</w:t>
      </w:r>
      <w:r w:rsidR="00E15881" w:rsidRPr="001F0161">
        <w:rPr>
          <w:rFonts w:ascii="Times New Roman" w:eastAsia="Times New Roman" w:hAnsi="Times New Roman" w:cs="Times New Roman"/>
          <w:sz w:val="24"/>
          <w:szCs w:val="24"/>
        </w:rPr>
        <w:t>2025</w:t>
      </w:r>
      <w:r w:rsidR="00E15881">
        <w:rPr>
          <w:rFonts w:ascii="Times New Roman" w:eastAsia="Times New Roman" w:hAnsi="Times New Roman" w:cs="Times New Roman"/>
          <w:sz w:val="24"/>
          <w:szCs w:val="24"/>
        </w:rPr>
        <w:t>)</w:t>
      </w:r>
      <w:r w:rsidR="00FF4208" w:rsidRPr="001F0161">
        <w:rPr>
          <w:rFonts w:ascii="Times New Roman" w:eastAsia="Times New Roman" w:hAnsi="Times New Roman" w:cs="Times New Roman"/>
          <w:sz w:val="24"/>
          <w:szCs w:val="24"/>
        </w:rPr>
        <w:t xml:space="preserve"> suggest there are operational and strategic barriers to inter-organizational collaboration. Multi-partner consortiums can be plagued with problems of high transaction costs, multi-chaptered decision-making authority and disagreements on resource utilization, publicity and intellectual property. In addition, </w:t>
      </w:r>
      <w:r w:rsidR="00E15881" w:rsidRPr="001F0161">
        <w:rPr>
          <w:rFonts w:ascii="Times New Roman" w:eastAsia="Times New Roman" w:hAnsi="Times New Roman" w:cs="Times New Roman"/>
          <w:sz w:val="24"/>
          <w:szCs w:val="24"/>
        </w:rPr>
        <w:t xml:space="preserve">McGrath et al. </w:t>
      </w:r>
      <w:r w:rsidR="00E15881">
        <w:rPr>
          <w:rFonts w:ascii="Times New Roman" w:eastAsia="Times New Roman" w:hAnsi="Times New Roman" w:cs="Times New Roman"/>
          <w:sz w:val="24"/>
          <w:szCs w:val="24"/>
        </w:rPr>
        <w:t>(</w:t>
      </w:r>
      <w:r w:rsidR="00E15881" w:rsidRPr="001F0161">
        <w:rPr>
          <w:rFonts w:ascii="Times New Roman" w:eastAsia="Times New Roman" w:hAnsi="Times New Roman" w:cs="Times New Roman"/>
          <w:sz w:val="24"/>
          <w:szCs w:val="24"/>
        </w:rPr>
        <w:t>2025</w:t>
      </w:r>
      <w:r w:rsidR="00E15881">
        <w:rPr>
          <w:rFonts w:ascii="Times New Roman" w:eastAsia="Times New Roman" w:hAnsi="Times New Roman" w:cs="Times New Roman"/>
          <w:sz w:val="24"/>
          <w:szCs w:val="24"/>
        </w:rPr>
        <w:t xml:space="preserve">) found that </w:t>
      </w:r>
      <w:r w:rsidR="00FF4208" w:rsidRPr="001F0161">
        <w:rPr>
          <w:rFonts w:ascii="Times New Roman" w:eastAsia="Times New Roman" w:hAnsi="Times New Roman" w:cs="Times New Roman"/>
          <w:sz w:val="24"/>
          <w:szCs w:val="24"/>
        </w:rPr>
        <w:t>if the INGOs are large, and the partner organizations are smaller, there may be power imbalances within the consortiums that result in local groups being viewed as ‘operational subcontractors’ and the INGOs taking the top decision-making positions with the administrative burden. Structured governance, transparent revenue distribution and mutual trust are the essentials for effective collaboration.</w:t>
      </w:r>
    </w:p>
    <w:p w14:paraId="62692046" w14:textId="77777777" w:rsidR="00FF4208" w:rsidRPr="001F0161" w:rsidRDefault="00FF4208" w:rsidP="00973765">
      <w:pPr>
        <w:pStyle w:val="Heading3"/>
      </w:pPr>
      <w:bookmarkStart w:id="30" w:name="_wv4fwz6xathu" w:colFirst="0" w:colLast="0"/>
      <w:bookmarkStart w:id="31" w:name="_Toc239424055"/>
      <w:bookmarkEnd w:id="30"/>
      <w:r w:rsidRPr="001F0161">
        <w:t>2.2.8 Localization, Power Asymmetries, and the "Grand Bargain"</w:t>
      </w:r>
      <w:bookmarkEnd w:id="31"/>
    </w:p>
    <w:p w14:paraId="76080D98" w14:textId="5DF53CF7" w:rsidR="00FF4208" w:rsidRPr="001F0161" w:rsidRDefault="00B4137E"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Singh</w:t>
      </w:r>
      <w:r>
        <w:rPr>
          <w:rFonts w:ascii="Times New Roman" w:eastAsia="Times New Roman" w:hAnsi="Times New Roman" w:cs="Times New Roman"/>
          <w:sz w:val="24"/>
          <w:szCs w:val="24"/>
        </w:rPr>
        <w:t xml:space="preserve"> (</w:t>
      </w:r>
      <w:r w:rsidRPr="001F0161">
        <w:rPr>
          <w:rFonts w:ascii="Times New Roman" w:eastAsia="Times New Roman" w:hAnsi="Times New Roman" w:cs="Times New Roman"/>
          <w:sz w:val="24"/>
          <w:szCs w:val="24"/>
        </w:rPr>
        <w:t>2024</w:t>
      </w:r>
      <w:r>
        <w:rPr>
          <w:rFonts w:ascii="Times New Roman" w:eastAsia="Times New Roman" w:hAnsi="Times New Roman" w:cs="Times New Roman"/>
          <w:sz w:val="24"/>
          <w:szCs w:val="24"/>
        </w:rPr>
        <w:t>) stated that t</w:t>
      </w:r>
      <w:r w:rsidR="00FF4208" w:rsidRPr="001F0161">
        <w:rPr>
          <w:rFonts w:ascii="Times New Roman" w:eastAsia="Times New Roman" w:hAnsi="Times New Roman" w:cs="Times New Roman"/>
          <w:sz w:val="24"/>
          <w:szCs w:val="24"/>
        </w:rPr>
        <w:t>he localization agenda is a formalized agenda that began to be elevated by the Grand Bargain agreement from 2016, which calls for changing power, resources and decision making from global north institutions to local and national civil society organizations active in the south. With a global trend of reduced domestic and international resources, localisation becomes more than just a moral obligation – it is a structural requirement for efficiency of operations and cost-effective development services. Local NGOs often have strong contextual and cultural knowledge, have less overheads, and have direct access to target groups.</w:t>
      </w:r>
    </w:p>
    <w:p w14:paraId="2DFE7D33" w14:textId="4DCAC7DA"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Though global policies commit to localization, research from scholarly sources shows that this is not a reality. Despite the increase in direct funding from donors and international agencies, </w:t>
      </w:r>
      <w:proofErr w:type="spellStart"/>
      <w:r w:rsidR="00580697" w:rsidRPr="001F0161">
        <w:rPr>
          <w:rFonts w:ascii="Times New Roman" w:eastAsia="Times New Roman" w:hAnsi="Times New Roman" w:cs="Times New Roman"/>
          <w:sz w:val="24"/>
          <w:szCs w:val="24"/>
        </w:rPr>
        <w:t>Isabekova</w:t>
      </w:r>
      <w:proofErr w:type="spellEnd"/>
      <w:r w:rsidR="00580697">
        <w:rPr>
          <w:rFonts w:ascii="Times New Roman" w:eastAsia="Times New Roman" w:hAnsi="Times New Roman" w:cs="Times New Roman"/>
          <w:sz w:val="24"/>
          <w:szCs w:val="24"/>
        </w:rPr>
        <w:t xml:space="preserve"> (</w:t>
      </w:r>
      <w:r w:rsidR="00580697" w:rsidRPr="001F0161">
        <w:rPr>
          <w:rFonts w:ascii="Times New Roman" w:eastAsia="Times New Roman" w:hAnsi="Times New Roman" w:cs="Times New Roman"/>
          <w:sz w:val="24"/>
          <w:szCs w:val="24"/>
        </w:rPr>
        <w:t>2023</w:t>
      </w:r>
      <w:r w:rsidR="00580697">
        <w:rPr>
          <w:rFonts w:ascii="Times New Roman" w:eastAsia="Times New Roman" w:hAnsi="Times New Roman" w:cs="Times New Roman"/>
          <w:sz w:val="24"/>
          <w:szCs w:val="24"/>
        </w:rPr>
        <w:t xml:space="preserve">) found that </w:t>
      </w:r>
      <w:r w:rsidRPr="001F0161">
        <w:rPr>
          <w:rFonts w:ascii="Times New Roman" w:eastAsia="Times New Roman" w:hAnsi="Times New Roman" w:cs="Times New Roman"/>
          <w:sz w:val="24"/>
          <w:szCs w:val="24"/>
        </w:rPr>
        <w:t xml:space="preserve">the overwhelming majority of funding is still directed through the global institutions, due to the fact that local NGO capacity was a core issue for strict compliance, risk management, and fiduciary concerns. Local organizations frequently end up receiving only a portion of an award while the other portion is split among other local agencies for core administrative expenses, also known as indirect costs. </w:t>
      </w:r>
      <w:r w:rsidR="00580697" w:rsidRPr="001F0161">
        <w:rPr>
          <w:rFonts w:ascii="Times New Roman" w:eastAsia="Times New Roman" w:hAnsi="Times New Roman" w:cs="Times New Roman"/>
          <w:sz w:val="24"/>
          <w:szCs w:val="24"/>
        </w:rPr>
        <w:t>du Pont</w:t>
      </w:r>
      <w:r w:rsidR="00580697">
        <w:rPr>
          <w:rFonts w:ascii="Times New Roman" w:eastAsia="Times New Roman" w:hAnsi="Times New Roman" w:cs="Times New Roman"/>
          <w:sz w:val="24"/>
          <w:szCs w:val="24"/>
        </w:rPr>
        <w:t xml:space="preserve"> (</w:t>
      </w:r>
      <w:r w:rsidR="00580697" w:rsidRPr="001F0161">
        <w:rPr>
          <w:rFonts w:ascii="Times New Roman" w:eastAsia="Times New Roman" w:hAnsi="Times New Roman" w:cs="Times New Roman"/>
          <w:sz w:val="24"/>
          <w:szCs w:val="24"/>
        </w:rPr>
        <w:t>2025</w:t>
      </w:r>
      <w:r w:rsidR="00580697">
        <w:rPr>
          <w:rFonts w:ascii="Times New Roman" w:eastAsia="Times New Roman" w:hAnsi="Times New Roman" w:cs="Times New Roman"/>
          <w:sz w:val="24"/>
          <w:szCs w:val="24"/>
        </w:rPr>
        <w:t>) opined that t</w:t>
      </w:r>
      <w:r w:rsidRPr="001F0161">
        <w:rPr>
          <w:rFonts w:ascii="Times New Roman" w:eastAsia="Times New Roman" w:hAnsi="Times New Roman" w:cs="Times New Roman"/>
          <w:sz w:val="24"/>
          <w:szCs w:val="24"/>
        </w:rPr>
        <w:t xml:space="preserve">o achieve true </w:t>
      </w:r>
      <w:r w:rsidRPr="001F0161">
        <w:rPr>
          <w:rFonts w:ascii="Times New Roman" w:eastAsia="Times New Roman" w:hAnsi="Times New Roman" w:cs="Times New Roman"/>
          <w:sz w:val="24"/>
          <w:szCs w:val="24"/>
        </w:rPr>
        <w:lastRenderedPageBreak/>
        <w:t xml:space="preserve">localization, international risk-sharing models need to be fundamentally transformed, money needs to be </w:t>
      </w:r>
      <w:r w:rsidR="008A6E7F" w:rsidRPr="001F0161">
        <w:rPr>
          <w:rFonts w:ascii="Times New Roman" w:eastAsia="Times New Roman" w:hAnsi="Times New Roman" w:cs="Times New Roman"/>
          <w:sz w:val="24"/>
          <w:szCs w:val="24"/>
        </w:rPr>
        <w:t>channelled</w:t>
      </w:r>
      <w:r w:rsidRPr="001F0161">
        <w:rPr>
          <w:rFonts w:ascii="Times New Roman" w:eastAsia="Times New Roman" w:hAnsi="Times New Roman" w:cs="Times New Roman"/>
          <w:sz w:val="24"/>
          <w:szCs w:val="24"/>
        </w:rPr>
        <w:t xml:space="preserve"> straight to local accounts, and local civil society needs to be invested in by institutions.</w:t>
      </w:r>
    </w:p>
    <w:p w14:paraId="1715E678" w14:textId="77777777" w:rsidR="00FF4208" w:rsidRPr="001F0161" w:rsidRDefault="00FF4208" w:rsidP="00973765">
      <w:pPr>
        <w:pStyle w:val="Heading3"/>
      </w:pPr>
      <w:bookmarkStart w:id="32" w:name="_4ykrgfdz4p8e" w:colFirst="0" w:colLast="0"/>
      <w:bookmarkStart w:id="33" w:name="_Toc239424056"/>
      <w:bookmarkEnd w:id="32"/>
      <w:r w:rsidRPr="001F0161">
        <w:t>2.2.9 Changing International Aid Environment, Donor Dependency, and NGO Financial Vulnerability</w:t>
      </w:r>
      <w:bookmarkEnd w:id="33"/>
    </w:p>
    <w:p w14:paraId="3E37545F" w14:textId="3D8E299C"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The world of NGOs is facing a basic structural change. </w:t>
      </w:r>
      <w:r w:rsidR="00EF6329" w:rsidRPr="001F0161">
        <w:rPr>
          <w:rFonts w:ascii="Times New Roman" w:eastAsia="Times New Roman" w:hAnsi="Times New Roman" w:cs="Times New Roman"/>
          <w:sz w:val="24"/>
          <w:szCs w:val="24"/>
        </w:rPr>
        <w:t xml:space="preserve">Banks et al. </w:t>
      </w:r>
      <w:r w:rsidR="00EF6329">
        <w:rPr>
          <w:rFonts w:ascii="Times New Roman" w:eastAsia="Times New Roman" w:hAnsi="Times New Roman" w:cs="Times New Roman"/>
          <w:sz w:val="24"/>
          <w:szCs w:val="24"/>
        </w:rPr>
        <w:t>(</w:t>
      </w:r>
      <w:r w:rsidR="00EF6329" w:rsidRPr="001F0161">
        <w:rPr>
          <w:rFonts w:ascii="Times New Roman" w:eastAsia="Times New Roman" w:hAnsi="Times New Roman" w:cs="Times New Roman"/>
          <w:sz w:val="24"/>
          <w:szCs w:val="24"/>
        </w:rPr>
        <w:t>2026</w:t>
      </w:r>
      <w:r w:rsidR="00EF6329">
        <w:rPr>
          <w:rFonts w:ascii="Times New Roman" w:eastAsia="Times New Roman" w:hAnsi="Times New Roman" w:cs="Times New Roman"/>
          <w:sz w:val="24"/>
          <w:szCs w:val="24"/>
        </w:rPr>
        <w:t>) stated that f</w:t>
      </w:r>
      <w:r w:rsidRPr="001F0161">
        <w:rPr>
          <w:rFonts w:ascii="Times New Roman" w:eastAsia="Times New Roman" w:hAnsi="Times New Roman" w:cs="Times New Roman"/>
          <w:sz w:val="24"/>
          <w:szCs w:val="24"/>
        </w:rPr>
        <w:t xml:space="preserve">oreign Development Assistance has long been practiced under a relatively stable model that saw bilateral state donors, multilateral financial institutions, and philanthropic foundations continue to fund civil society institutions in developing and emerging economies. But recent realignments in the macro-economic landscape, fiscal pressures at home in donor countries, geopolitical tensions and increased protectionist trade policies have disrupted this “old” funding paradigm. ODA is not a brief or short-term shock but a sustained retrenchment in structure. </w:t>
      </w:r>
      <w:r w:rsidR="00EE3BE4" w:rsidRPr="001F0161">
        <w:rPr>
          <w:rFonts w:ascii="Times New Roman" w:eastAsia="Times New Roman" w:hAnsi="Times New Roman" w:cs="Times New Roman"/>
          <w:sz w:val="24"/>
          <w:szCs w:val="24"/>
        </w:rPr>
        <w:t>OECD</w:t>
      </w:r>
      <w:r w:rsidR="00EE3BE4">
        <w:rPr>
          <w:rFonts w:ascii="Times New Roman" w:eastAsia="Times New Roman" w:hAnsi="Times New Roman" w:cs="Times New Roman"/>
          <w:sz w:val="24"/>
          <w:szCs w:val="24"/>
        </w:rPr>
        <w:t xml:space="preserve"> (</w:t>
      </w:r>
      <w:r w:rsidR="00EE3BE4" w:rsidRPr="001F0161">
        <w:rPr>
          <w:rFonts w:ascii="Times New Roman" w:eastAsia="Times New Roman" w:hAnsi="Times New Roman" w:cs="Times New Roman"/>
          <w:sz w:val="24"/>
          <w:szCs w:val="24"/>
        </w:rPr>
        <w:t>2026</w:t>
      </w:r>
      <w:r w:rsidR="00EE3BE4">
        <w:rPr>
          <w:rFonts w:ascii="Times New Roman" w:eastAsia="Times New Roman" w:hAnsi="Times New Roman" w:cs="Times New Roman"/>
          <w:sz w:val="24"/>
          <w:szCs w:val="24"/>
        </w:rPr>
        <w:t>) supported that f</w:t>
      </w:r>
      <w:r w:rsidRPr="001F0161">
        <w:rPr>
          <w:rFonts w:ascii="Times New Roman" w:eastAsia="Times New Roman" w:hAnsi="Times New Roman" w:cs="Times New Roman"/>
          <w:sz w:val="24"/>
          <w:szCs w:val="24"/>
        </w:rPr>
        <w:t>oreign assistance budgets are always one of the first discretionary spending areas to face significant cuts when a donor country suffers a slowdown in its economy, or its public debt increases, or when inflation is rising within its own country.</w:t>
      </w:r>
    </w:p>
    <w:p w14:paraId="6BACA4FD" w14:textId="36875FF6"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In the context of such a fluid international landscape, the inherent dangers of institutional donor reliance are put to the test. </w:t>
      </w:r>
      <w:r w:rsidR="0037493B" w:rsidRPr="001F0161">
        <w:rPr>
          <w:rFonts w:ascii="Times New Roman" w:eastAsia="Times New Roman" w:hAnsi="Times New Roman" w:cs="Times New Roman"/>
          <w:sz w:val="24"/>
          <w:szCs w:val="24"/>
        </w:rPr>
        <w:t xml:space="preserve">Santos, and Laureano, </w:t>
      </w:r>
      <w:r w:rsidR="0037493B">
        <w:rPr>
          <w:rFonts w:ascii="Times New Roman" w:eastAsia="Times New Roman" w:hAnsi="Times New Roman" w:cs="Times New Roman"/>
          <w:sz w:val="24"/>
          <w:szCs w:val="24"/>
        </w:rPr>
        <w:t>(</w:t>
      </w:r>
      <w:r w:rsidR="0037493B" w:rsidRPr="001F0161">
        <w:rPr>
          <w:rFonts w:ascii="Times New Roman" w:eastAsia="Times New Roman" w:hAnsi="Times New Roman" w:cs="Times New Roman"/>
          <w:sz w:val="24"/>
          <w:szCs w:val="24"/>
        </w:rPr>
        <w:t>2023</w:t>
      </w:r>
      <w:r w:rsidR="0037493B">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 xml:space="preserve"> that has recently assessed non-profit vulnerability emphasizes that those non-profits with a limited number of external foreign donors are highly structurally fragile. If an NGO receives most of its operating funds from abroad, strategy is confined to the requirements and agendas of its donors, foreign policies, and the administrative demands of the 'home country'. This has a huge disparity of power. However, in demand-led settings, NGOs hold on to programmatic control and try to raise funds for community-driven projects, but in supply-led settings they have to adapt their projects to the funding priorities of the foreign governments.</w:t>
      </w:r>
    </w:p>
    <w:p w14:paraId="59426E00" w14:textId="2645485A"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The unexpected change of priorities from donors causes immediate trauma to highly dependent non-profits. </w:t>
      </w:r>
      <w:r w:rsidR="0037493B">
        <w:rPr>
          <w:rFonts w:ascii="Times New Roman" w:eastAsia="Times New Roman" w:hAnsi="Times New Roman" w:cs="Times New Roman"/>
          <w:sz w:val="24"/>
          <w:szCs w:val="24"/>
        </w:rPr>
        <w:t xml:space="preserve">As per </w:t>
      </w:r>
      <w:r w:rsidR="0037493B" w:rsidRPr="001F0161">
        <w:rPr>
          <w:rFonts w:ascii="Times New Roman" w:eastAsia="Times New Roman" w:hAnsi="Times New Roman" w:cs="Times New Roman"/>
          <w:sz w:val="24"/>
          <w:szCs w:val="24"/>
        </w:rPr>
        <w:t>unstats.un.org</w:t>
      </w:r>
      <w:r w:rsidR="0037493B">
        <w:rPr>
          <w:rFonts w:ascii="Times New Roman" w:eastAsia="Times New Roman" w:hAnsi="Times New Roman" w:cs="Times New Roman"/>
          <w:sz w:val="24"/>
          <w:szCs w:val="24"/>
        </w:rPr>
        <w:t xml:space="preserve"> (</w:t>
      </w:r>
      <w:r w:rsidR="0037493B" w:rsidRPr="001F0161">
        <w:rPr>
          <w:rFonts w:ascii="Times New Roman" w:eastAsia="Times New Roman" w:hAnsi="Times New Roman" w:cs="Times New Roman"/>
          <w:sz w:val="24"/>
          <w:szCs w:val="24"/>
        </w:rPr>
        <w:t>2025</w:t>
      </w:r>
      <w:r w:rsidR="0037493B">
        <w:rPr>
          <w:rFonts w:ascii="Times New Roman" w:eastAsia="Times New Roman" w:hAnsi="Times New Roman" w:cs="Times New Roman"/>
          <w:sz w:val="24"/>
          <w:szCs w:val="24"/>
        </w:rPr>
        <w:t>), r</w:t>
      </w:r>
      <w:r w:rsidRPr="001F0161">
        <w:rPr>
          <w:rFonts w:ascii="Times New Roman" w:eastAsia="Times New Roman" w:hAnsi="Times New Roman" w:cs="Times New Roman"/>
          <w:sz w:val="24"/>
          <w:szCs w:val="24"/>
        </w:rPr>
        <w:t xml:space="preserve">eceipt of temporary suspensions or reductions in funding mandates that NGOs close programs, let go of contract staff, halt community programs, and, in extreme instances, close themselves. In addition, donor dependency inhibits long-term strategic planning because there are short-term grant cycles that clearly prohibit coverage of overhead cost or saving reserves. Thus, financial vulnerability of the NGO sector is not just </w:t>
      </w:r>
      <w:r w:rsidRPr="001F0161">
        <w:rPr>
          <w:rFonts w:ascii="Times New Roman" w:eastAsia="Times New Roman" w:hAnsi="Times New Roman" w:cs="Times New Roman"/>
          <w:sz w:val="24"/>
          <w:szCs w:val="24"/>
        </w:rPr>
        <w:lastRenderedPageBreak/>
        <w:t>about its lack of finances, it is about the absence of its own financial buffers and financial mobility in responding to external macroeconomic conditions.</w:t>
      </w:r>
    </w:p>
    <w:p w14:paraId="6482EC03" w14:textId="77777777" w:rsidR="00FF4208" w:rsidRPr="001F0161" w:rsidRDefault="00FF4208" w:rsidP="00973765">
      <w:pPr>
        <w:pStyle w:val="Heading3"/>
      </w:pPr>
      <w:bookmarkStart w:id="34" w:name="_psxq96xjb79r" w:colFirst="0" w:colLast="0"/>
      <w:bookmarkStart w:id="35" w:name="_Toc239424057"/>
      <w:bookmarkEnd w:id="34"/>
      <w:r w:rsidRPr="001F0161">
        <w:t>2.2.10 Strategic Leadership Competencies and Adaptive Management</w:t>
      </w:r>
      <w:bookmarkEnd w:id="35"/>
    </w:p>
    <w:p w14:paraId="0DA50C27" w14:textId="758BE09E"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The demands of conducting financial austerity at a systemic level necessitate specific leadership skills and strategies in non-profit executive teams and boards of directors. T</w:t>
      </w:r>
      <w:r w:rsidR="007F6C81" w:rsidRPr="007F6C81">
        <w:rPr>
          <w:rFonts w:ascii="Times New Roman" w:eastAsia="Times New Roman" w:hAnsi="Times New Roman" w:cs="Times New Roman"/>
          <w:sz w:val="24"/>
          <w:szCs w:val="24"/>
        </w:rPr>
        <w:t xml:space="preserve"> </w:t>
      </w:r>
      <w:r w:rsidR="007F6C81" w:rsidRPr="001F0161">
        <w:rPr>
          <w:rFonts w:ascii="Times New Roman" w:eastAsia="Times New Roman" w:hAnsi="Times New Roman" w:cs="Times New Roman"/>
          <w:sz w:val="24"/>
          <w:szCs w:val="24"/>
        </w:rPr>
        <w:t xml:space="preserve">Wilson, and </w:t>
      </w:r>
      <w:proofErr w:type="spellStart"/>
      <w:r w:rsidR="007F6C81" w:rsidRPr="001F0161">
        <w:rPr>
          <w:rFonts w:ascii="Times New Roman" w:eastAsia="Times New Roman" w:hAnsi="Times New Roman" w:cs="Times New Roman"/>
          <w:sz w:val="24"/>
          <w:szCs w:val="24"/>
        </w:rPr>
        <w:t>Knutsen</w:t>
      </w:r>
      <w:proofErr w:type="spellEnd"/>
      <w:r w:rsidR="007F6C81" w:rsidRPr="001F0161">
        <w:rPr>
          <w:rFonts w:ascii="Times New Roman" w:eastAsia="Times New Roman" w:hAnsi="Times New Roman" w:cs="Times New Roman"/>
          <w:sz w:val="24"/>
          <w:szCs w:val="24"/>
        </w:rPr>
        <w:t xml:space="preserve">, </w:t>
      </w:r>
      <w:r w:rsidR="007F6C81">
        <w:rPr>
          <w:rFonts w:ascii="Times New Roman" w:eastAsia="Times New Roman" w:hAnsi="Times New Roman" w:cs="Times New Roman"/>
          <w:sz w:val="24"/>
          <w:szCs w:val="24"/>
        </w:rPr>
        <w:t>(</w:t>
      </w:r>
      <w:r w:rsidR="007F6C81" w:rsidRPr="001F0161">
        <w:rPr>
          <w:rFonts w:ascii="Times New Roman" w:eastAsia="Times New Roman" w:hAnsi="Times New Roman" w:cs="Times New Roman"/>
          <w:sz w:val="24"/>
          <w:szCs w:val="24"/>
        </w:rPr>
        <w:t>2022</w:t>
      </w:r>
      <w:r w:rsidR="007F6C81">
        <w:rPr>
          <w:rFonts w:ascii="Times New Roman" w:eastAsia="Times New Roman" w:hAnsi="Times New Roman" w:cs="Times New Roman"/>
          <w:sz w:val="24"/>
          <w:szCs w:val="24"/>
        </w:rPr>
        <w:t>) found that t</w:t>
      </w:r>
      <w:r w:rsidRPr="001F0161">
        <w:rPr>
          <w:rFonts w:ascii="Times New Roman" w:eastAsia="Times New Roman" w:hAnsi="Times New Roman" w:cs="Times New Roman"/>
          <w:sz w:val="24"/>
          <w:szCs w:val="24"/>
        </w:rPr>
        <w:t xml:space="preserve">raditional approaches to non-profit leadership, primarily concerned with programme management, donor reporting and grant administration, may not be adequate with changing funding patterns in more volatile and </w:t>
      </w:r>
      <w:r w:rsidR="00E84B23" w:rsidRPr="001F0161">
        <w:rPr>
          <w:rFonts w:ascii="Times New Roman" w:eastAsia="Times New Roman" w:hAnsi="Times New Roman" w:cs="Times New Roman"/>
          <w:sz w:val="24"/>
          <w:szCs w:val="24"/>
        </w:rPr>
        <w:t>marketized</w:t>
      </w:r>
      <w:r w:rsidRPr="001F0161">
        <w:rPr>
          <w:rFonts w:ascii="Times New Roman" w:eastAsia="Times New Roman" w:hAnsi="Times New Roman" w:cs="Times New Roman"/>
          <w:sz w:val="24"/>
          <w:szCs w:val="24"/>
        </w:rPr>
        <w:t xml:space="preserve"> funding environments. It is, however, critical that modern NGO managers possess a sense of adaptable management, a systems response and an entrepreneurial spirit alongside being socially impact-driven. </w:t>
      </w:r>
      <w:r w:rsidR="00510B21">
        <w:rPr>
          <w:rFonts w:ascii="Times New Roman" w:eastAsia="Times New Roman" w:hAnsi="Times New Roman" w:cs="Times New Roman"/>
          <w:sz w:val="24"/>
          <w:szCs w:val="24"/>
        </w:rPr>
        <w:t xml:space="preserve">As per </w:t>
      </w:r>
      <w:r w:rsidR="00510B21" w:rsidRPr="001F0161">
        <w:rPr>
          <w:rFonts w:ascii="Times New Roman" w:eastAsia="Times New Roman" w:hAnsi="Times New Roman" w:cs="Times New Roman"/>
          <w:sz w:val="24"/>
          <w:szCs w:val="24"/>
        </w:rPr>
        <w:t xml:space="preserve">Mei et al. </w:t>
      </w:r>
      <w:r w:rsidR="00510B21">
        <w:rPr>
          <w:rFonts w:ascii="Times New Roman" w:eastAsia="Times New Roman" w:hAnsi="Times New Roman" w:cs="Times New Roman"/>
          <w:sz w:val="24"/>
          <w:szCs w:val="24"/>
        </w:rPr>
        <w:t>(</w:t>
      </w:r>
      <w:r w:rsidR="00510B21" w:rsidRPr="001F0161">
        <w:rPr>
          <w:rFonts w:ascii="Times New Roman" w:eastAsia="Times New Roman" w:hAnsi="Times New Roman" w:cs="Times New Roman"/>
          <w:sz w:val="24"/>
          <w:szCs w:val="24"/>
        </w:rPr>
        <w:t>2024</w:t>
      </w:r>
      <w:r w:rsidR="00510B21">
        <w:rPr>
          <w:rFonts w:ascii="Times New Roman" w:eastAsia="Times New Roman" w:hAnsi="Times New Roman" w:cs="Times New Roman"/>
          <w:sz w:val="24"/>
          <w:szCs w:val="24"/>
        </w:rPr>
        <w:t>), l</w:t>
      </w:r>
      <w:r w:rsidRPr="001F0161">
        <w:rPr>
          <w:rFonts w:ascii="Times New Roman" w:eastAsia="Times New Roman" w:hAnsi="Times New Roman" w:cs="Times New Roman"/>
          <w:sz w:val="24"/>
          <w:szCs w:val="24"/>
        </w:rPr>
        <w:t>eaders need to understand that financial uncertainty is a problem of funding, but also a problem of transformation of the organisation and a long-term resilience question.</w:t>
      </w:r>
    </w:p>
    <w:p w14:paraId="0FCFFE93" w14:textId="13147896"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In the modern-day, research has identified a few key competencies that are essential for the effective management of a non-profit organization in a time of crisis. First, leaders need to be financially knowledgeable to formulate diverse revenue streams, understand cashflow, assess funding risks and effectively decide about resource allocation. </w:t>
      </w:r>
      <w:r w:rsidR="009C5DE1">
        <w:rPr>
          <w:rFonts w:ascii="Times New Roman" w:eastAsia="Times New Roman" w:hAnsi="Times New Roman" w:cs="Times New Roman"/>
          <w:sz w:val="24"/>
          <w:szCs w:val="24"/>
        </w:rPr>
        <w:t xml:space="preserve">As per </w:t>
      </w:r>
      <w:r w:rsidR="009C5DE1" w:rsidRPr="001F0161">
        <w:rPr>
          <w:rFonts w:ascii="Times New Roman" w:eastAsia="Times New Roman" w:hAnsi="Times New Roman" w:cs="Times New Roman"/>
          <w:sz w:val="24"/>
          <w:szCs w:val="24"/>
        </w:rPr>
        <w:t xml:space="preserve">Fathi et al. </w:t>
      </w:r>
      <w:r w:rsidR="009C5DE1">
        <w:rPr>
          <w:rFonts w:ascii="Times New Roman" w:eastAsia="Times New Roman" w:hAnsi="Times New Roman" w:cs="Times New Roman"/>
          <w:sz w:val="24"/>
          <w:szCs w:val="24"/>
        </w:rPr>
        <w:t>(</w:t>
      </w:r>
      <w:r w:rsidR="009C5DE1" w:rsidRPr="001F0161">
        <w:rPr>
          <w:rFonts w:ascii="Times New Roman" w:eastAsia="Times New Roman" w:hAnsi="Times New Roman" w:cs="Times New Roman"/>
          <w:sz w:val="24"/>
          <w:szCs w:val="24"/>
        </w:rPr>
        <w:t>2025</w:t>
      </w:r>
      <w:r w:rsidR="009C5DE1">
        <w:rPr>
          <w:rFonts w:ascii="Times New Roman" w:eastAsia="Times New Roman" w:hAnsi="Times New Roman" w:cs="Times New Roman"/>
          <w:sz w:val="24"/>
          <w:szCs w:val="24"/>
        </w:rPr>
        <w:t>), f</w:t>
      </w:r>
      <w:r w:rsidRPr="001F0161">
        <w:rPr>
          <w:rFonts w:ascii="Times New Roman" w:eastAsia="Times New Roman" w:hAnsi="Times New Roman" w:cs="Times New Roman"/>
          <w:sz w:val="24"/>
          <w:szCs w:val="24"/>
        </w:rPr>
        <w:t>inancial skills are especially critical because the shift in funding from reliable grant-based work to a mix of philanthropy, business associations, social enterprise and fee-for-service work is often undertaken by NGOs. Secondly, strategic change management is vital in helping employees adapt to organisational redesign, layoffs and culture change to become more commercialised while maintaining good employee morale, organisational knowledge, and institutional identity.</w:t>
      </w:r>
    </w:p>
    <w:p w14:paraId="39660F0A" w14:textId="5C3B61F1"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Third, </w:t>
      </w:r>
      <w:r w:rsidR="0041799A">
        <w:rPr>
          <w:rFonts w:ascii="Times New Roman" w:eastAsia="Times New Roman" w:hAnsi="Times New Roman" w:cs="Times New Roman"/>
          <w:sz w:val="24"/>
          <w:szCs w:val="24"/>
        </w:rPr>
        <w:t xml:space="preserve">as per </w:t>
      </w:r>
      <w:r w:rsidR="0041799A" w:rsidRPr="001F0161">
        <w:rPr>
          <w:rFonts w:ascii="Times New Roman" w:eastAsia="Times New Roman" w:hAnsi="Times New Roman" w:cs="Times New Roman"/>
          <w:sz w:val="24"/>
          <w:szCs w:val="24"/>
        </w:rPr>
        <w:t>Babugura et al.</w:t>
      </w:r>
      <w:r w:rsidR="0041799A">
        <w:rPr>
          <w:rFonts w:ascii="Times New Roman" w:eastAsia="Times New Roman" w:hAnsi="Times New Roman" w:cs="Times New Roman"/>
          <w:sz w:val="24"/>
          <w:szCs w:val="24"/>
        </w:rPr>
        <w:t xml:space="preserve"> (</w:t>
      </w:r>
      <w:r w:rsidR="0041799A" w:rsidRPr="001F0161">
        <w:rPr>
          <w:rFonts w:ascii="Times New Roman" w:eastAsia="Times New Roman" w:hAnsi="Times New Roman" w:cs="Times New Roman"/>
          <w:sz w:val="24"/>
          <w:szCs w:val="24"/>
        </w:rPr>
        <w:t>2026</w:t>
      </w:r>
      <w:r w:rsidR="0041799A">
        <w:rPr>
          <w:rFonts w:ascii="Times New Roman" w:eastAsia="Times New Roman" w:hAnsi="Times New Roman" w:cs="Times New Roman"/>
          <w:sz w:val="24"/>
          <w:szCs w:val="24"/>
        </w:rPr>
        <w:t xml:space="preserve">), </w:t>
      </w:r>
      <w:r w:rsidRPr="001F0161">
        <w:rPr>
          <w:rFonts w:ascii="Times New Roman" w:eastAsia="Times New Roman" w:hAnsi="Times New Roman" w:cs="Times New Roman"/>
          <w:sz w:val="24"/>
          <w:szCs w:val="24"/>
        </w:rPr>
        <w:t>political navigation and negotiation skills are even more valued as NGO leaders are expected to deal with donors, governments, corporate partners, community and other civil-society organisations. Leaders need to deftly balance the expectations of a diverse set of stakeholders and ensure they get resources and preserve organisational independence. In addition,</w:t>
      </w:r>
      <w:r w:rsidR="0041799A" w:rsidRPr="0041799A">
        <w:rPr>
          <w:rFonts w:ascii="Times New Roman" w:eastAsia="Times New Roman" w:hAnsi="Times New Roman" w:cs="Times New Roman"/>
          <w:sz w:val="24"/>
          <w:szCs w:val="24"/>
        </w:rPr>
        <w:t xml:space="preserve"> </w:t>
      </w:r>
      <w:proofErr w:type="spellStart"/>
      <w:r w:rsidR="0041799A" w:rsidRPr="001F0161">
        <w:rPr>
          <w:rFonts w:ascii="Times New Roman" w:eastAsia="Times New Roman" w:hAnsi="Times New Roman" w:cs="Times New Roman"/>
          <w:sz w:val="24"/>
          <w:szCs w:val="24"/>
        </w:rPr>
        <w:t>Sott</w:t>
      </w:r>
      <w:proofErr w:type="spellEnd"/>
      <w:r w:rsidR="0041799A" w:rsidRPr="001F0161">
        <w:rPr>
          <w:rFonts w:ascii="Times New Roman" w:eastAsia="Times New Roman" w:hAnsi="Times New Roman" w:cs="Times New Roman"/>
          <w:sz w:val="24"/>
          <w:szCs w:val="24"/>
        </w:rPr>
        <w:t xml:space="preserve">, and Bender, </w:t>
      </w:r>
      <w:r w:rsidR="001454CF">
        <w:rPr>
          <w:rFonts w:ascii="Times New Roman" w:eastAsia="Times New Roman" w:hAnsi="Times New Roman" w:cs="Times New Roman"/>
          <w:sz w:val="24"/>
          <w:szCs w:val="24"/>
        </w:rPr>
        <w:t>(</w:t>
      </w:r>
      <w:r w:rsidR="0041799A" w:rsidRPr="001F0161">
        <w:rPr>
          <w:rFonts w:ascii="Times New Roman" w:eastAsia="Times New Roman" w:hAnsi="Times New Roman" w:cs="Times New Roman"/>
          <w:sz w:val="24"/>
          <w:szCs w:val="24"/>
        </w:rPr>
        <w:t>2025</w:t>
      </w:r>
      <w:r w:rsidR="0041799A">
        <w:rPr>
          <w:rFonts w:ascii="Times New Roman" w:eastAsia="Times New Roman" w:hAnsi="Times New Roman" w:cs="Times New Roman"/>
          <w:sz w:val="24"/>
          <w:szCs w:val="24"/>
        </w:rPr>
        <w:t>) stated that</w:t>
      </w:r>
      <w:r w:rsidRPr="001F0161">
        <w:rPr>
          <w:rFonts w:ascii="Times New Roman" w:eastAsia="Times New Roman" w:hAnsi="Times New Roman" w:cs="Times New Roman"/>
          <w:sz w:val="24"/>
          <w:szCs w:val="24"/>
        </w:rPr>
        <w:t xml:space="preserve"> adaptive leadership will need to be able to notice opportunities that are yet to be realized, facilitate innovation, and be able to react fast when traditional funding sources fail to meet the demand.</w:t>
      </w:r>
    </w:p>
    <w:p w14:paraId="1B5BD0F8" w14:textId="7B73986D"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Importantly, not all results should be measured on the basis of monetary outcomes. Focusing too much on revenue generation can result in mission drift and damage relations with beneficiaries. </w:t>
      </w:r>
      <w:r w:rsidRPr="001F0161">
        <w:rPr>
          <w:rFonts w:ascii="Times New Roman" w:eastAsia="Times New Roman" w:hAnsi="Times New Roman" w:cs="Times New Roman"/>
          <w:sz w:val="24"/>
          <w:szCs w:val="24"/>
        </w:rPr>
        <w:lastRenderedPageBreak/>
        <w:t xml:space="preserve">Therefore, financial sustainability must be balanced with social purpose, ethical accountability and service quality, and a good financial balance. The other three must be taken into account and they should walk hand-in-hand. Finally, </w:t>
      </w:r>
      <w:r w:rsidR="00A714D6" w:rsidRPr="001F0161">
        <w:rPr>
          <w:rFonts w:ascii="Times New Roman" w:eastAsia="Times New Roman" w:hAnsi="Times New Roman" w:cs="Times New Roman"/>
          <w:color w:val="222222"/>
          <w:sz w:val="24"/>
          <w:szCs w:val="24"/>
        </w:rPr>
        <w:t xml:space="preserve">Civera, and Meoli, </w:t>
      </w:r>
      <w:r w:rsidR="00A714D6">
        <w:rPr>
          <w:rFonts w:ascii="Times New Roman" w:eastAsia="Times New Roman" w:hAnsi="Times New Roman" w:cs="Times New Roman"/>
          <w:color w:val="222222"/>
          <w:sz w:val="24"/>
          <w:szCs w:val="24"/>
        </w:rPr>
        <w:t>(</w:t>
      </w:r>
      <w:r w:rsidR="00A714D6" w:rsidRPr="001F0161">
        <w:rPr>
          <w:rFonts w:ascii="Times New Roman" w:eastAsia="Times New Roman" w:hAnsi="Times New Roman" w:cs="Times New Roman"/>
          <w:color w:val="222222"/>
          <w:sz w:val="24"/>
          <w:szCs w:val="24"/>
        </w:rPr>
        <w:t>2024</w:t>
      </w:r>
      <w:r w:rsidR="00A714D6">
        <w:rPr>
          <w:rFonts w:ascii="Times New Roman" w:eastAsia="Times New Roman" w:hAnsi="Times New Roman" w:cs="Times New Roman"/>
          <w:color w:val="222222"/>
          <w:sz w:val="24"/>
          <w:szCs w:val="24"/>
        </w:rPr>
        <w:t xml:space="preserve">) opined that </w:t>
      </w:r>
      <w:r w:rsidRPr="001F0161">
        <w:rPr>
          <w:rFonts w:ascii="Times New Roman" w:eastAsia="Times New Roman" w:hAnsi="Times New Roman" w:cs="Times New Roman"/>
          <w:sz w:val="24"/>
          <w:szCs w:val="24"/>
        </w:rPr>
        <w:t>leadership is a key element to success or failure of financial austerity; this depends on whether organizational change is strategic or not. Financial diversification, reorganisation of operations, cooperation and innovation can be effectively incorporated as part of a holistic approach to resilience, without compromising the NGO's core mission or institutional identity, through effective leadership.</w:t>
      </w:r>
    </w:p>
    <w:p w14:paraId="2C6C87DF" w14:textId="77777777" w:rsidR="00FF4208" w:rsidRPr="001F0161" w:rsidRDefault="00FF4208" w:rsidP="00973765">
      <w:pPr>
        <w:pStyle w:val="Heading2"/>
      </w:pPr>
      <w:bookmarkStart w:id="36" w:name="_d441sxdmf8ml" w:colFirst="0" w:colLast="0"/>
      <w:bookmarkStart w:id="37" w:name="_Toc239424058"/>
      <w:bookmarkEnd w:id="36"/>
      <w:r w:rsidRPr="001F0161">
        <w:t>2.3 Theoretical Underpinning</w:t>
      </w:r>
      <w:bookmarkEnd w:id="37"/>
    </w:p>
    <w:p w14:paraId="5AA53E51" w14:textId="77777777" w:rsidR="00FF4208" w:rsidRPr="001F0161" w:rsidRDefault="00FF4208" w:rsidP="00973765">
      <w:pPr>
        <w:pStyle w:val="Heading3"/>
      </w:pPr>
      <w:bookmarkStart w:id="38" w:name="_ni4qwjhkojph" w:colFirst="0" w:colLast="0"/>
      <w:bookmarkStart w:id="39" w:name="_Toc239424059"/>
      <w:bookmarkEnd w:id="38"/>
      <w:r w:rsidRPr="001F0161">
        <w:t>Resource Dependence Theory (RDT)</w:t>
      </w:r>
      <w:bookmarkEnd w:id="39"/>
    </w:p>
    <w:p w14:paraId="10548E22" w14:textId="16B28096"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 xml:space="preserve">Among these concept pillars Primary among them is Resource Dependence Theory (RDT). </w:t>
      </w:r>
      <w:r w:rsidR="009F5B55">
        <w:rPr>
          <w:rFonts w:ascii="Times New Roman" w:eastAsia="Times New Roman" w:hAnsi="Times New Roman" w:cs="Times New Roman"/>
          <w:sz w:val="24"/>
          <w:szCs w:val="24"/>
        </w:rPr>
        <w:t xml:space="preserve">As per </w:t>
      </w:r>
      <w:r w:rsidR="009F5B55" w:rsidRPr="001F0161">
        <w:rPr>
          <w:rFonts w:ascii="Times New Roman" w:eastAsia="Times New Roman" w:hAnsi="Times New Roman" w:cs="Times New Roman"/>
          <w:sz w:val="24"/>
          <w:szCs w:val="24"/>
        </w:rPr>
        <w:t xml:space="preserve">Jiang et al. </w:t>
      </w:r>
      <w:r w:rsidR="009F5B55">
        <w:rPr>
          <w:rFonts w:ascii="Times New Roman" w:eastAsia="Times New Roman" w:hAnsi="Times New Roman" w:cs="Times New Roman"/>
          <w:sz w:val="24"/>
          <w:szCs w:val="24"/>
        </w:rPr>
        <w:t>(</w:t>
      </w:r>
      <w:r w:rsidR="009F5B55" w:rsidRPr="001F0161">
        <w:rPr>
          <w:rFonts w:ascii="Times New Roman" w:eastAsia="Times New Roman" w:hAnsi="Times New Roman" w:cs="Times New Roman"/>
          <w:sz w:val="24"/>
          <w:szCs w:val="24"/>
        </w:rPr>
        <w:t>2023</w:t>
      </w:r>
      <w:r w:rsidR="009F5B55">
        <w:rPr>
          <w:rFonts w:ascii="Times New Roman" w:eastAsia="Times New Roman" w:hAnsi="Times New Roman" w:cs="Times New Roman"/>
          <w:sz w:val="24"/>
          <w:szCs w:val="24"/>
        </w:rPr>
        <w:t xml:space="preserve">), </w:t>
      </w:r>
      <w:r w:rsidRPr="001F0161">
        <w:rPr>
          <w:rFonts w:ascii="Times New Roman" w:eastAsia="Times New Roman" w:hAnsi="Times New Roman" w:cs="Times New Roman"/>
          <w:sz w:val="24"/>
          <w:szCs w:val="24"/>
        </w:rPr>
        <w:t>RDT views an organisation as an open system which is dependent on external actors, as they are essential resources for the organisation to remain in existence and functioning. This dependence generates power relations, where external resource providers make themselves heard in the areas of goals, priorities of operation and decision structures of organisations. In the context of the non-profit sector, high donor dependency leaves NGOs vulnerable to external funding shocks and donor conditionality.</w:t>
      </w:r>
    </w:p>
    <w:p w14:paraId="16DD66A0"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1F0161">
        <w:rPr>
          <w:rFonts w:ascii="Times New Roman" w:eastAsia="Times New Roman" w:hAnsi="Times New Roman" w:cs="Times New Roman"/>
          <w:noProof/>
          <w:sz w:val="24"/>
          <w:szCs w:val="24"/>
          <w:lang w:val="en-IN" w:eastAsia="en-IN" w:bidi="gu-IN"/>
        </w:rPr>
        <w:drawing>
          <wp:inline distT="114300" distB="114300" distL="114300" distR="114300" wp14:anchorId="1C8A9CE1" wp14:editId="0CB11AE4">
            <wp:extent cx="3667125" cy="260985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667125" cy="2609850"/>
                    </a:xfrm>
                    <a:prstGeom prst="rect">
                      <a:avLst/>
                    </a:prstGeom>
                    <a:ln/>
                  </pic:spPr>
                </pic:pic>
              </a:graphicData>
            </a:graphic>
          </wp:inline>
        </w:drawing>
      </w:r>
    </w:p>
    <w:p w14:paraId="46B6CB69" w14:textId="77777777" w:rsidR="00FF4208" w:rsidRPr="004774D7" w:rsidRDefault="00FF4208" w:rsidP="00973765">
      <w:pPr>
        <w:pStyle w:val="Heading4"/>
      </w:pPr>
      <w:bookmarkStart w:id="40" w:name="_cvbedl6y69yg" w:colFirst="0" w:colLast="0"/>
      <w:bookmarkEnd w:id="40"/>
      <w:r w:rsidRPr="004774D7">
        <w:t>Figure 2.3.1: Concept of RDT</w:t>
      </w:r>
    </w:p>
    <w:p w14:paraId="6DA65954"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(Source: Jiang et al. 2023)</w:t>
      </w:r>
    </w:p>
    <w:p w14:paraId="21BDD1B8" w14:textId="116B6FFC" w:rsidR="00FF4208" w:rsidRPr="005E6381" w:rsidRDefault="00526D59"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 xml:space="preserve">Jiang et al. </w:t>
      </w:r>
      <w:r>
        <w:rPr>
          <w:rFonts w:ascii="Times New Roman" w:eastAsia="Times New Roman" w:hAnsi="Times New Roman" w:cs="Times New Roman"/>
          <w:sz w:val="24"/>
          <w:szCs w:val="24"/>
        </w:rPr>
        <w:t>(</w:t>
      </w:r>
      <w:r w:rsidRPr="004774D7">
        <w:rPr>
          <w:rFonts w:ascii="Times New Roman" w:eastAsia="Times New Roman" w:hAnsi="Times New Roman" w:cs="Times New Roman"/>
          <w:sz w:val="24"/>
          <w:szCs w:val="24"/>
        </w:rPr>
        <w:t>2023</w:t>
      </w:r>
      <w:r>
        <w:rPr>
          <w:rFonts w:ascii="Times New Roman" w:eastAsia="Times New Roman" w:hAnsi="Times New Roman" w:cs="Times New Roman"/>
          <w:sz w:val="24"/>
          <w:szCs w:val="24"/>
        </w:rPr>
        <w:t>) opined that i</w:t>
      </w:r>
      <w:r w:rsidR="00FF4208" w:rsidRPr="004774D7">
        <w:rPr>
          <w:rFonts w:ascii="Times New Roman" w:eastAsia="Times New Roman" w:hAnsi="Times New Roman" w:cs="Times New Roman"/>
          <w:sz w:val="24"/>
          <w:szCs w:val="24"/>
        </w:rPr>
        <w:t xml:space="preserve">n the event that an organization's major environmental resources are limited or even eliminated, such as the current denials of foreign aid, RDT suggests the organisation does not sit passively and take what blows. Rather, in a process of strategic </w:t>
      </w:r>
      <w:r w:rsidR="00FF4208" w:rsidRPr="004774D7">
        <w:rPr>
          <w:rFonts w:ascii="Times New Roman" w:eastAsia="Times New Roman" w:hAnsi="Times New Roman" w:cs="Times New Roman"/>
          <w:sz w:val="24"/>
          <w:szCs w:val="24"/>
        </w:rPr>
        <w:lastRenderedPageBreak/>
        <w:t>adaptation, management tries to minimize vulnerability and decrease dependence on resources. According to RDT, there are some major strategies that organizat</w:t>
      </w:r>
      <w:r w:rsidR="00FF4208" w:rsidRPr="005E6381">
        <w:rPr>
          <w:rFonts w:ascii="Times New Roman" w:eastAsia="Times New Roman" w:hAnsi="Times New Roman" w:cs="Times New Roman"/>
          <w:sz w:val="24"/>
          <w:szCs w:val="24"/>
        </w:rPr>
        <w:t>ions adopt to control dependency, such as:</w:t>
      </w:r>
    </w:p>
    <w:p w14:paraId="0A235065" w14:textId="77777777" w:rsidR="00FF4208" w:rsidRPr="001F0161" w:rsidRDefault="00FF4208" w:rsidP="00973765">
      <w:pPr>
        <w:numPr>
          <w:ilvl w:val="0"/>
          <w:numId w:val="3"/>
        </w:num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Financial resources and capacity building (e.g., fundraising, optimization of assets, small grants)</w:t>
      </w:r>
    </w:p>
    <w:p w14:paraId="07CFF049" w14:textId="77777777" w:rsidR="00FF4208" w:rsidRPr="001F0161" w:rsidRDefault="00FF4208" w:rsidP="00973765">
      <w:pPr>
        <w:numPr>
          <w:ilvl w:val="0"/>
          <w:numId w:val="3"/>
        </w:num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Collaborating through strategic alliances and consortium construction to help mitigate environmental risks;</w:t>
      </w:r>
    </w:p>
    <w:p w14:paraId="4F41DFD5" w14:textId="77777777" w:rsidR="00FF4208" w:rsidRPr="001F0161" w:rsidRDefault="00FF4208" w:rsidP="00973765">
      <w:pPr>
        <w:numPr>
          <w:ilvl w:val="0"/>
          <w:numId w:val="3"/>
        </w:num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Redesigning services and workflows; and</w:t>
      </w:r>
    </w:p>
    <w:p w14:paraId="2D34DAE0" w14:textId="77777777" w:rsidR="00FF4208" w:rsidRPr="001F0161" w:rsidRDefault="00FF4208" w:rsidP="00973765">
      <w:pPr>
        <w:numPr>
          <w:ilvl w:val="0"/>
          <w:numId w:val="3"/>
        </w:num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Environmental management for the transformation of organizational dependence.</w:t>
      </w:r>
    </w:p>
    <w:p w14:paraId="5FBD9DD0"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The lens of this study is the Response to Donor Exit (RDT), which is an explanation of the tactical moves that are made by NGO leaders to restore autonomy and balance in their operations.</w:t>
      </w:r>
    </w:p>
    <w:p w14:paraId="085C179F" w14:textId="77777777" w:rsidR="00FF4208" w:rsidRPr="001F0161" w:rsidRDefault="00FF4208" w:rsidP="00973765">
      <w:pPr>
        <w:pStyle w:val="Heading3"/>
      </w:pPr>
      <w:bookmarkStart w:id="41" w:name="_f4ll02nt2wng" w:colFirst="0" w:colLast="0"/>
      <w:bookmarkStart w:id="42" w:name="_Toc239424060"/>
      <w:bookmarkEnd w:id="41"/>
      <w:r w:rsidRPr="001F0161">
        <w:t>Institutional Theory</w:t>
      </w:r>
      <w:bookmarkEnd w:id="42"/>
    </w:p>
    <w:p w14:paraId="5002E72F" w14:textId="72AD6C69" w:rsidR="00FF4208" w:rsidRPr="001F0161" w:rsidRDefault="00BA3F0E" w:rsidP="009737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w:t>
      </w:r>
      <w:proofErr w:type="spellStart"/>
      <w:r w:rsidRPr="001F0161">
        <w:rPr>
          <w:rFonts w:ascii="Times New Roman" w:eastAsia="Times New Roman" w:hAnsi="Times New Roman" w:cs="Times New Roman"/>
          <w:sz w:val="24"/>
          <w:szCs w:val="24"/>
        </w:rPr>
        <w:t>Risi</w:t>
      </w:r>
      <w:proofErr w:type="spellEnd"/>
      <w:r w:rsidRPr="001F0161">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2023</w:t>
      </w:r>
      <w:r>
        <w:rPr>
          <w:rFonts w:ascii="Times New Roman" w:eastAsia="Times New Roman" w:hAnsi="Times New Roman" w:cs="Times New Roman"/>
          <w:sz w:val="24"/>
          <w:szCs w:val="24"/>
        </w:rPr>
        <w:t>), i</w:t>
      </w:r>
      <w:r w:rsidR="00FF4208" w:rsidRPr="001F0161">
        <w:rPr>
          <w:rFonts w:ascii="Times New Roman" w:eastAsia="Times New Roman" w:hAnsi="Times New Roman" w:cs="Times New Roman"/>
          <w:sz w:val="24"/>
          <w:szCs w:val="24"/>
        </w:rPr>
        <w:t>nstitutional Theory (Meyer, Rowan, DiMaggio &amp; Powell) works on understanding how organizations adapt in response to expectations, norms and legitimacy within their institutional field, emphasizing the role of institutional 'rules'. The non-profit sphere is considered to be characterized by socio-cultural norms, professional norms, and formal regulations in accordance with institutional theory. The key to survival, and to obtaining resources, is to show institutional legitimacy, a process that may result in what is known as structural isomorphism, whereby over time, organizations in a sector become increasingly similar.</w:t>
      </w:r>
    </w:p>
    <w:p w14:paraId="1A6BC74D"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4F072D">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01614452" wp14:editId="0B86A6B4">
            <wp:extent cx="3952875" cy="2876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52875" cy="2876550"/>
                    </a:xfrm>
                    <a:prstGeom prst="rect">
                      <a:avLst/>
                    </a:prstGeom>
                    <a:ln/>
                  </pic:spPr>
                </pic:pic>
              </a:graphicData>
            </a:graphic>
          </wp:inline>
        </w:drawing>
      </w:r>
    </w:p>
    <w:p w14:paraId="33C9848E" w14:textId="77777777" w:rsidR="00FF4208" w:rsidRPr="004774D7" w:rsidRDefault="00FF4208" w:rsidP="00973765">
      <w:pPr>
        <w:pStyle w:val="Heading4"/>
      </w:pPr>
      <w:bookmarkStart w:id="43" w:name="_s2ua09ktmm3t" w:colFirst="0" w:colLast="0"/>
      <w:bookmarkEnd w:id="43"/>
      <w:r w:rsidRPr="004774D7">
        <w:t>Figure 2.3.2: Concept of Institutional Theory</w:t>
      </w:r>
    </w:p>
    <w:p w14:paraId="54EEFC2C"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(Source: Risi et al. 2023)</w:t>
      </w:r>
    </w:p>
    <w:p w14:paraId="6F4D13DA" w14:textId="0C3634F6" w:rsidR="00FF4208" w:rsidRPr="001F0161" w:rsidRDefault="00FF4208"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 xml:space="preserve">In an age of retrenchment in foreign aid, Institutional Theory offers an understanding of how coercive, mimetic and normative pressures shape non-profit </w:t>
      </w:r>
      <w:r w:rsidR="000C3E8A" w:rsidRPr="004774D7">
        <w:rPr>
          <w:rFonts w:ascii="Times New Roman" w:eastAsia="Times New Roman" w:hAnsi="Times New Roman" w:cs="Times New Roman"/>
          <w:sz w:val="24"/>
          <w:szCs w:val="24"/>
        </w:rPr>
        <w:t>behaviour</w:t>
      </w:r>
      <w:r w:rsidRPr="00484EB5">
        <w:rPr>
          <w:rFonts w:ascii="Times New Roman" w:eastAsia="Times New Roman" w:hAnsi="Times New Roman" w:cs="Times New Roman"/>
          <w:sz w:val="24"/>
          <w:szCs w:val="24"/>
        </w:rPr>
        <w:t>. Impediments from important donors on the part of NGOs require the</w:t>
      </w:r>
      <w:r w:rsidRPr="005E6381">
        <w:rPr>
          <w:rFonts w:ascii="Times New Roman" w:eastAsia="Times New Roman" w:hAnsi="Times New Roman" w:cs="Times New Roman"/>
          <w:sz w:val="24"/>
          <w:szCs w:val="24"/>
        </w:rPr>
        <w:t xml:space="preserve"> adoption of certain accounting, professional management and reporting practices. </w:t>
      </w:r>
      <w:r w:rsidR="0088551E" w:rsidRPr="005E6381">
        <w:rPr>
          <w:rFonts w:ascii="Times New Roman" w:eastAsia="Times New Roman" w:hAnsi="Times New Roman" w:cs="Times New Roman"/>
          <w:sz w:val="24"/>
          <w:szCs w:val="24"/>
        </w:rPr>
        <w:t>A</w:t>
      </w:r>
      <w:r w:rsidR="0088551E" w:rsidRPr="001F0161">
        <w:rPr>
          <w:rFonts w:ascii="Times New Roman" w:eastAsia="Times New Roman" w:hAnsi="Times New Roman" w:cs="Times New Roman"/>
          <w:sz w:val="24"/>
          <w:szCs w:val="24"/>
        </w:rPr>
        <w:t xml:space="preserve">moyea Atogenzoya et al. </w:t>
      </w:r>
      <w:r w:rsidR="0088551E">
        <w:rPr>
          <w:rFonts w:ascii="Times New Roman" w:eastAsia="Times New Roman" w:hAnsi="Times New Roman" w:cs="Times New Roman"/>
          <w:sz w:val="24"/>
          <w:szCs w:val="24"/>
        </w:rPr>
        <w:t>(</w:t>
      </w:r>
      <w:r w:rsidR="0088551E" w:rsidRPr="001F0161">
        <w:rPr>
          <w:rFonts w:ascii="Times New Roman" w:eastAsia="Times New Roman" w:hAnsi="Times New Roman" w:cs="Times New Roman"/>
          <w:sz w:val="24"/>
          <w:szCs w:val="24"/>
        </w:rPr>
        <w:t>2026</w:t>
      </w:r>
      <w:r w:rsidR="0088551E">
        <w:rPr>
          <w:rFonts w:ascii="Times New Roman" w:eastAsia="Times New Roman" w:hAnsi="Times New Roman" w:cs="Times New Roman"/>
          <w:sz w:val="24"/>
          <w:szCs w:val="24"/>
        </w:rPr>
        <w:t>), found that s</w:t>
      </w:r>
      <w:r w:rsidRPr="005E6381">
        <w:rPr>
          <w:rFonts w:ascii="Times New Roman" w:eastAsia="Times New Roman" w:hAnsi="Times New Roman" w:cs="Times New Roman"/>
          <w:sz w:val="24"/>
          <w:szCs w:val="24"/>
        </w:rPr>
        <w:t>ocial enterprise models and other market-oriented models are successful strategies adopted by successful NGOs, and are adopted by struggling ones due to mimetic pressures</w:t>
      </w:r>
      <w:r w:rsidRPr="001F0161">
        <w:rPr>
          <w:rFonts w:ascii="Times New Roman" w:eastAsia="Times New Roman" w:hAnsi="Times New Roman" w:cs="Times New Roman"/>
          <w:sz w:val="24"/>
          <w:szCs w:val="24"/>
        </w:rPr>
        <w:t>. Professional networks are a source of normative pressures that influence the normal ways of doing things in the field of operational efficiency and restructuring. By emphasizing maintaining social and institutional legitimacy, Institutional Theory complements RDT's perspective of the constraints on the ability of NGOs to adapt in order to generate alternative revenues and costs that do not garner negative reactions among key stakeholders.</w:t>
      </w:r>
    </w:p>
    <w:p w14:paraId="7AFF734D" w14:textId="77777777" w:rsidR="00FF4208" w:rsidRPr="001F0161" w:rsidRDefault="00FF4208" w:rsidP="00973765">
      <w:pPr>
        <w:pStyle w:val="Heading3"/>
      </w:pPr>
      <w:bookmarkStart w:id="44" w:name="_1vqd7qvha3ln" w:colFirst="0" w:colLast="0"/>
      <w:bookmarkStart w:id="45" w:name="_Toc239424061"/>
      <w:bookmarkEnd w:id="44"/>
      <w:r w:rsidRPr="001F0161">
        <w:t>Stewardship Theory</w:t>
      </w:r>
      <w:bookmarkEnd w:id="45"/>
    </w:p>
    <w:p w14:paraId="34F73A66" w14:textId="74779E5E"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A</w:t>
      </w:r>
      <w:r w:rsidR="002D4BE2">
        <w:rPr>
          <w:rFonts w:ascii="Times New Roman" w:eastAsia="Times New Roman" w:hAnsi="Times New Roman" w:cs="Times New Roman"/>
          <w:sz w:val="24"/>
          <w:szCs w:val="24"/>
        </w:rPr>
        <w:t xml:space="preserve">s per </w:t>
      </w:r>
      <w:r w:rsidR="002D4BE2" w:rsidRPr="001F0161">
        <w:rPr>
          <w:rFonts w:ascii="Times New Roman" w:eastAsia="Times New Roman" w:hAnsi="Times New Roman" w:cs="Times New Roman"/>
          <w:sz w:val="24"/>
          <w:szCs w:val="24"/>
        </w:rPr>
        <w:t xml:space="preserve">Rouault, and Albertini, </w:t>
      </w:r>
      <w:r w:rsidR="002D4BE2">
        <w:rPr>
          <w:rFonts w:ascii="Times New Roman" w:eastAsia="Times New Roman" w:hAnsi="Times New Roman" w:cs="Times New Roman"/>
          <w:sz w:val="24"/>
          <w:szCs w:val="24"/>
        </w:rPr>
        <w:t>(</w:t>
      </w:r>
      <w:r w:rsidR="002D4BE2" w:rsidRPr="001F0161">
        <w:rPr>
          <w:rFonts w:ascii="Times New Roman" w:eastAsia="Times New Roman" w:hAnsi="Times New Roman" w:cs="Times New Roman"/>
          <w:sz w:val="24"/>
          <w:szCs w:val="24"/>
        </w:rPr>
        <w:t>2022</w:t>
      </w:r>
      <w:r w:rsidR="002D4BE2">
        <w:rPr>
          <w:rFonts w:ascii="Times New Roman" w:eastAsia="Times New Roman" w:hAnsi="Times New Roman" w:cs="Times New Roman"/>
          <w:sz w:val="24"/>
          <w:szCs w:val="24"/>
        </w:rPr>
        <w:t>),</w:t>
      </w:r>
      <w:r w:rsidRPr="001F0161">
        <w:rPr>
          <w:rFonts w:ascii="Times New Roman" w:eastAsia="Times New Roman" w:hAnsi="Times New Roman" w:cs="Times New Roman"/>
          <w:sz w:val="24"/>
          <w:szCs w:val="24"/>
        </w:rPr>
        <w:t xml:space="preserve"> different perspective on organizational adaptation comes from Stewardship Theory, which offers an internal view of governance. Stewardship Theory is similar, but goes one step further by viewing manager/leader as stewards who are motivated to take decisions based on the needs of the group and the ethical approach that has been established by the group.</w:t>
      </w:r>
    </w:p>
    <w:p w14:paraId="0B88246A"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4F072D">
        <w:rPr>
          <w:rFonts w:ascii="Times New Roman" w:eastAsia="Times New Roman" w:hAnsi="Times New Roman" w:cs="Times New Roman"/>
          <w:noProof/>
          <w:sz w:val="24"/>
          <w:szCs w:val="24"/>
          <w:lang w:val="en-IN" w:eastAsia="en-IN" w:bidi="gu-IN"/>
        </w:rPr>
        <w:lastRenderedPageBreak/>
        <w:drawing>
          <wp:inline distT="114300" distB="114300" distL="114300" distR="114300" wp14:anchorId="47B6019C" wp14:editId="5ED49F8D">
            <wp:extent cx="4591050" cy="28829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591050" cy="2882900"/>
                    </a:xfrm>
                    <a:prstGeom prst="rect">
                      <a:avLst/>
                    </a:prstGeom>
                    <a:ln/>
                  </pic:spPr>
                </pic:pic>
              </a:graphicData>
            </a:graphic>
          </wp:inline>
        </w:drawing>
      </w:r>
    </w:p>
    <w:p w14:paraId="00E9A352" w14:textId="77777777" w:rsidR="00FF4208" w:rsidRPr="004774D7" w:rsidRDefault="00FF4208" w:rsidP="00973765">
      <w:pPr>
        <w:pStyle w:val="Heading4"/>
      </w:pPr>
      <w:bookmarkStart w:id="46" w:name="_fowz0oxvmngy" w:colFirst="0" w:colLast="0"/>
      <w:bookmarkEnd w:id="46"/>
      <w:r w:rsidRPr="004774D7">
        <w:t>Figure 2.3.3: Concept of Stewardship Theory</w:t>
      </w:r>
    </w:p>
    <w:p w14:paraId="1E2B25BB" w14:textId="77777777" w:rsidR="00FF4208" w:rsidRPr="004774D7" w:rsidRDefault="00FF4208" w:rsidP="00973765">
      <w:pPr>
        <w:spacing w:line="360" w:lineRule="auto"/>
        <w:jc w:val="center"/>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(Source: Rouault, and Albertini, 2022)</w:t>
      </w:r>
    </w:p>
    <w:p w14:paraId="78533F76" w14:textId="17345ACC" w:rsidR="00FF4208" w:rsidRPr="001F0161" w:rsidRDefault="00633141" w:rsidP="00973765">
      <w:pPr>
        <w:spacing w:line="360" w:lineRule="auto"/>
        <w:jc w:val="both"/>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t xml:space="preserve">Bruni‐Bossio, and Kaczur, </w:t>
      </w:r>
      <w:r>
        <w:rPr>
          <w:rFonts w:ascii="Times New Roman" w:eastAsia="Times New Roman" w:hAnsi="Times New Roman" w:cs="Times New Roman"/>
          <w:sz w:val="24"/>
          <w:szCs w:val="24"/>
        </w:rPr>
        <w:t>(</w:t>
      </w:r>
      <w:r w:rsidRPr="004774D7">
        <w:rPr>
          <w:rFonts w:ascii="Times New Roman" w:eastAsia="Times New Roman" w:hAnsi="Times New Roman" w:cs="Times New Roman"/>
          <w:sz w:val="24"/>
          <w:szCs w:val="24"/>
        </w:rPr>
        <w:t>2022</w:t>
      </w:r>
      <w:r>
        <w:rPr>
          <w:rFonts w:ascii="Times New Roman" w:eastAsia="Times New Roman" w:hAnsi="Times New Roman" w:cs="Times New Roman"/>
          <w:sz w:val="24"/>
          <w:szCs w:val="24"/>
        </w:rPr>
        <w:t xml:space="preserve">) opined that </w:t>
      </w:r>
      <w:r w:rsidR="0096758F">
        <w:rPr>
          <w:rFonts w:ascii="Times New Roman" w:eastAsia="Times New Roman" w:hAnsi="Times New Roman" w:cs="Times New Roman"/>
          <w:sz w:val="24"/>
          <w:szCs w:val="24"/>
        </w:rPr>
        <w:t>S</w:t>
      </w:r>
      <w:r w:rsidR="0096758F" w:rsidRPr="004774D7">
        <w:rPr>
          <w:rFonts w:ascii="Times New Roman" w:eastAsia="Times New Roman" w:hAnsi="Times New Roman" w:cs="Times New Roman"/>
          <w:sz w:val="24"/>
          <w:szCs w:val="24"/>
        </w:rPr>
        <w:t>tewardship</w:t>
      </w:r>
      <w:r w:rsidR="00FF4208" w:rsidRPr="004774D7">
        <w:rPr>
          <w:rFonts w:ascii="Times New Roman" w:eastAsia="Times New Roman" w:hAnsi="Times New Roman" w:cs="Times New Roman"/>
          <w:sz w:val="24"/>
          <w:szCs w:val="24"/>
        </w:rPr>
        <w:t xml:space="preserve"> Theory is described in non-profit literature as a model used to describe how an executive leader meets the structural challenges of funding constraints while maintaining the organizational values and long-term purpose. Non-profit leaders who serve as stewards, in the implementation of commercial revenue models or private sector partnerships, create internal controls, ethical redlines and governance control and oversight to mitigate mission drift. </w:t>
      </w:r>
      <w:r w:rsidR="00C77BA5" w:rsidRPr="004774D7">
        <w:rPr>
          <w:rFonts w:ascii="Times New Roman" w:eastAsia="Times New Roman" w:hAnsi="Times New Roman" w:cs="Times New Roman"/>
          <w:sz w:val="24"/>
          <w:szCs w:val="24"/>
        </w:rPr>
        <w:t xml:space="preserve">Bruni‐Bossio, and Kaczur, </w:t>
      </w:r>
      <w:r w:rsidR="00C77BA5">
        <w:rPr>
          <w:rFonts w:ascii="Times New Roman" w:eastAsia="Times New Roman" w:hAnsi="Times New Roman" w:cs="Times New Roman"/>
          <w:sz w:val="24"/>
          <w:szCs w:val="24"/>
        </w:rPr>
        <w:t>(</w:t>
      </w:r>
      <w:r w:rsidR="00C77BA5" w:rsidRPr="004774D7">
        <w:rPr>
          <w:rFonts w:ascii="Times New Roman" w:eastAsia="Times New Roman" w:hAnsi="Times New Roman" w:cs="Times New Roman"/>
          <w:sz w:val="24"/>
          <w:szCs w:val="24"/>
        </w:rPr>
        <w:t>2022</w:t>
      </w:r>
      <w:r w:rsidR="00C77BA5">
        <w:rPr>
          <w:rFonts w:ascii="Times New Roman" w:eastAsia="Times New Roman" w:hAnsi="Times New Roman" w:cs="Times New Roman"/>
          <w:sz w:val="24"/>
          <w:szCs w:val="24"/>
        </w:rPr>
        <w:t xml:space="preserve">) also found that </w:t>
      </w:r>
      <w:r w:rsidR="00FF4208" w:rsidRPr="004774D7">
        <w:rPr>
          <w:rFonts w:ascii="Times New Roman" w:eastAsia="Times New Roman" w:hAnsi="Times New Roman" w:cs="Times New Roman"/>
          <w:sz w:val="24"/>
          <w:szCs w:val="24"/>
        </w:rPr>
        <w:t>Stewardship Theory is used to describe the way that non-profit leaders rec</w:t>
      </w:r>
      <w:r w:rsidR="00FF4208" w:rsidRPr="005E6381">
        <w:rPr>
          <w:rFonts w:ascii="Times New Roman" w:eastAsia="Times New Roman" w:hAnsi="Times New Roman" w:cs="Times New Roman"/>
          <w:sz w:val="24"/>
          <w:szCs w:val="24"/>
        </w:rPr>
        <w:t>oncile a number of competing resource allocation, organizational restructuring and programmatic priorities, while maintaining program efficiency without sacrificing social values or beneficiary engagement.</w:t>
      </w:r>
    </w:p>
    <w:p w14:paraId="2CB696FB" w14:textId="77777777" w:rsidR="00FF4208" w:rsidRPr="001F0161" w:rsidRDefault="00FF4208" w:rsidP="00973765">
      <w:pPr>
        <w:pStyle w:val="Heading2"/>
      </w:pPr>
      <w:bookmarkStart w:id="47" w:name="_72adl2ee4b2" w:colFirst="0" w:colLast="0"/>
      <w:bookmarkStart w:id="48" w:name="_Toc239424062"/>
      <w:bookmarkEnd w:id="47"/>
      <w:r w:rsidRPr="001F0161">
        <w:t>2.4 Literature Gap</w:t>
      </w:r>
      <w:bookmarkEnd w:id="48"/>
    </w:p>
    <w:p w14:paraId="73CAD5DA" w14:textId="54D53F5D"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The existing literature has ably captured macro level strategies of adaptation, donor patterns, and high-level aid retrenchment, albeit not in an empirical way about what happens at the micro level when the decision is taken to adapt</w:t>
      </w:r>
      <w:r w:rsidR="0077767C" w:rsidRPr="001F0161">
        <w:rPr>
          <w:rFonts w:ascii="Times New Roman" w:eastAsia="Times New Roman" w:hAnsi="Times New Roman" w:cs="Times New Roman"/>
          <w:sz w:val="24"/>
          <w:szCs w:val="24"/>
        </w:rPr>
        <w:t xml:space="preserve">, </w:t>
      </w:r>
      <w:r w:rsidRPr="001F0161">
        <w:rPr>
          <w:rFonts w:ascii="Times New Roman" w:eastAsia="Times New Roman" w:hAnsi="Times New Roman" w:cs="Times New Roman"/>
          <w:sz w:val="24"/>
          <w:szCs w:val="24"/>
        </w:rPr>
        <w:t xml:space="preserve">specifically, the adaptation mechanisms that NGO leaders implement to allow for the continuity of their operations. Existing scholarship tends to emphasize macro-political implications, while providing executive management with no empirical guidance for moving down a financial path without causing mission drift. Moreover, there remains a lack of understanding at the system-level about how local NGOs in the developing world are working to diversify revenue, restructure the organisation, and enter into / </w:t>
      </w:r>
      <w:r w:rsidRPr="001F0161">
        <w:rPr>
          <w:rFonts w:ascii="Times New Roman" w:eastAsia="Times New Roman" w:hAnsi="Times New Roman" w:cs="Times New Roman"/>
          <w:sz w:val="24"/>
          <w:szCs w:val="24"/>
        </w:rPr>
        <w:lastRenderedPageBreak/>
        <w:t>create consortiums for achieving financial resilience in the face of deep cuts in ODA. This study remedies these lacunae.</w:t>
      </w:r>
    </w:p>
    <w:p w14:paraId="477AEEA7" w14:textId="77777777" w:rsidR="00FF4208" w:rsidRPr="001F0161" w:rsidRDefault="00FF4208" w:rsidP="00973765">
      <w:pPr>
        <w:pStyle w:val="Heading2"/>
      </w:pPr>
      <w:bookmarkStart w:id="49" w:name="_gvj25099pix9" w:colFirst="0" w:colLast="0"/>
      <w:bookmarkStart w:id="50" w:name="_Toc239424063"/>
      <w:bookmarkEnd w:id="49"/>
      <w:r w:rsidRPr="001F0161">
        <w:t>2.5 Chapter Summary</w:t>
      </w:r>
      <w:bookmarkEnd w:id="50"/>
    </w:p>
    <w:p w14:paraId="52224A38" w14:textId="77777777" w:rsidR="00FF4208" w:rsidRPr="001F0161" w:rsidRDefault="00FF4208" w:rsidP="00973765">
      <w:pPr>
        <w:spacing w:line="360" w:lineRule="auto"/>
        <w:jc w:val="both"/>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t>This literature review chapter has offered a systematic and critical review of academic literature on the topic of adaptation strategies by NGOs during foreign aid retrenchment. A review was conducted of core thematic areas: macro-drivers of aid retrenchment, social enterprise viability, domestic philanthropy, corporate CSR alignment, operational restructuring, mission drift dynamics, sector collaboration, the localisation agenda and strategic leadership competencies.</w:t>
      </w:r>
    </w:p>
    <w:p w14:paraId="7E24FD21" w14:textId="11801E3D" w:rsidR="000A0A20" w:rsidRPr="001F0161" w:rsidRDefault="00FF4208" w:rsidP="00973765">
      <w:pPr>
        <w:pStyle w:val="Normal1"/>
        <w:spacing w:line="360" w:lineRule="auto"/>
        <w:jc w:val="both"/>
        <w:rPr>
          <w:rFonts w:ascii="Times New Roman" w:eastAsia="Times New Roman" w:hAnsi="Times New Roman" w:cs="Times New Roman"/>
          <w:sz w:val="24"/>
          <w:szCs w:val="24"/>
          <w:lang w:val="en-GB"/>
        </w:rPr>
      </w:pPr>
      <w:r w:rsidRPr="001F0161">
        <w:rPr>
          <w:rFonts w:ascii="Times New Roman" w:eastAsia="Times New Roman" w:hAnsi="Times New Roman" w:cs="Times New Roman"/>
          <w:sz w:val="24"/>
          <w:szCs w:val="24"/>
          <w:lang w:val="en-GB"/>
        </w:rPr>
        <w:t>Moreover, the chapter provided a framework whereby the theories of Resource Dependence, Institutional and Stewardship were combined to provide an explanation for organizational survival strategies, external legitimation demands, and mission-oriented governance. The review uncovered gaps in the literature at the micro-level in the concepts and frameworks available to non-profit executives for coping with operational adaptation, and established empirical expectations for financial diversification, mission preservation and collaborative resilience. This brings out the theoretical and conceptual background for the methodology and the empirical analysis which follows in later chapters.</w:t>
      </w:r>
    </w:p>
    <w:p w14:paraId="7B14CFFD" w14:textId="77777777" w:rsidR="000A0A20" w:rsidRPr="001F0161" w:rsidRDefault="000A0A20" w:rsidP="00973765">
      <w:pPr>
        <w:spacing w:line="360" w:lineRule="auto"/>
        <w:rPr>
          <w:rFonts w:ascii="Times New Roman" w:eastAsia="Times New Roman" w:hAnsi="Times New Roman" w:cs="Times New Roman"/>
          <w:sz w:val="24"/>
          <w:szCs w:val="24"/>
        </w:rPr>
      </w:pPr>
      <w:r w:rsidRPr="001F0161">
        <w:rPr>
          <w:rFonts w:ascii="Times New Roman" w:eastAsia="Times New Roman" w:hAnsi="Times New Roman" w:cs="Times New Roman"/>
          <w:sz w:val="24"/>
          <w:szCs w:val="24"/>
        </w:rPr>
        <w:br w:type="page"/>
      </w:r>
    </w:p>
    <w:p w14:paraId="2D057EEB" w14:textId="77777777" w:rsidR="000A0A20" w:rsidRPr="001F0161" w:rsidRDefault="000A0A20" w:rsidP="00973765">
      <w:pPr>
        <w:pStyle w:val="Heading1"/>
      </w:pPr>
      <w:bookmarkStart w:id="51" w:name="_Toc239424064"/>
      <w:r w:rsidRPr="001F0161">
        <w:lastRenderedPageBreak/>
        <w:t>CHAPTER 3: METHODOLOGY</w:t>
      </w:r>
      <w:bookmarkEnd w:id="51"/>
    </w:p>
    <w:p w14:paraId="46E2BBC9" w14:textId="77777777" w:rsidR="000A0A20" w:rsidRPr="001F0161" w:rsidRDefault="000A0A20" w:rsidP="00973765">
      <w:pPr>
        <w:pStyle w:val="Heading2"/>
      </w:pPr>
      <w:bookmarkStart w:id="52" w:name="_Toc239424065"/>
      <w:r w:rsidRPr="001F0161">
        <w:rPr>
          <w:color w:val="000000"/>
        </w:rPr>
        <w:t>3.1 Introduction</w:t>
      </w:r>
      <w:bookmarkEnd w:id="52"/>
    </w:p>
    <w:p w14:paraId="034AF3A0" w14:textId="5F65EDFE"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Research methodology is used as an organized framework within which a problem in </w:t>
      </w:r>
      <w:r w:rsidR="000D005A" w:rsidRPr="001F0161">
        <w:rPr>
          <w:color w:val="000000"/>
          <w:lang w:val="en-GB"/>
        </w:rPr>
        <w:t>research</w:t>
      </w:r>
      <w:r w:rsidRPr="001F0161">
        <w:rPr>
          <w:color w:val="000000"/>
          <w:lang w:val="en-GB"/>
        </w:rPr>
        <w:t xml:space="preserve"> is studied, data is gathered and the evidence is interpreted. The methodology is coherent and clarifies the relationship between the research purpose, the research questions, the data collection procedures, and the analysis of the research data, and aids in ensuring the credibility and trustworthiness of the research findings. The methodological decisions different tools and techniques have made for the FGLF examination of funding challenges and funding opportunities are explained in this chapter.</w:t>
      </w:r>
    </w:p>
    <w:p w14:paraId="6D710049" w14:textId="77777777" w:rsidR="000A0A20" w:rsidRPr="001F0161" w:rsidRDefault="000A0A20" w:rsidP="00973765">
      <w:pPr>
        <w:pStyle w:val="Heading2"/>
      </w:pPr>
      <w:bookmarkStart w:id="53" w:name="_Toc239424066"/>
      <w:r w:rsidRPr="001F0161">
        <w:rPr>
          <w:color w:val="000000"/>
        </w:rPr>
        <w:t>3.2 Resetting research aim and objectives</w:t>
      </w:r>
      <w:bookmarkEnd w:id="53"/>
      <w:r w:rsidRPr="001F0161">
        <w:rPr>
          <w:color w:val="000000"/>
        </w:rPr>
        <w:t> </w:t>
      </w:r>
    </w:p>
    <w:p w14:paraId="2324F572"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The research goal has a guiding effect on the method choices so that the method is consistent with the research goal. The literature on NGO financial adaptation, restructuring and resilience in the context of aid reductions focuses on the general themes, while this research takes a practical approach with the case of the FGLF. It is designed to determine funding and assistance options to reach out to expand FGLF's educational activities. </w:t>
      </w:r>
    </w:p>
    <w:p w14:paraId="5BE8E9CF"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The study therefore has set the following aim:</w:t>
      </w:r>
    </w:p>
    <w:p w14:paraId="03A78E41" w14:textId="77777777" w:rsidR="007C5F46" w:rsidRPr="001F0161" w:rsidRDefault="000A0A20" w:rsidP="00973765">
      <w:pPr>
        <w:pStyle w:val="NormalWeb"/>
        <w:spacing w:before="0" w:beforeAutospacing="0" w:after="0" w:afterAutospacing="0" w:line="360" w:lineRule="auto"/>
        <w:jc w:val="both"/>
        <w:rPr>
          <w:b/>
          <w:bCs/>
          <w:color w:val="000000"/>
          <w:lang w:val="en-GB"/>
        </w:rPr>
      </w:pPr>
      <w:r w:rsidRPr="001F0161">
        <w:rPr>
          <w:b/>
          <w:bCs/>
          <w:color w:val="000000"/>
          <w:lang w:val="en-GB"/>
        </w:rPr>
        <w:t>Research Aim:</w:t>
      </w:r>
    </w:p>
    <w:p w14:paraId="115E8A69" w14:textId="4E08F734"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To investigate the strategies and adaptive mechanisms used by NGOs to overcome financial challenges in an era of foreign aid cutbacks, and to evaluate how these adaptations impact their operational sustainability and mission integrity.</w:t>
      </w:r>
    </w:p>
    <w:p w14:paraId="72F09A4F"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The objectives are:</w:t>
      </w:r>
    </w:p>
    <w:p w14:paraId="135CC36F" w14:textId="78DCC0FD" w:rsidR="000A0A20" w:rsidRPr="001F0161" w:rsidRDefault="000A0A20" w:rsidP="00973765">
      <w:pPr>
        <w:pStyle w:val="NormalWeb"/>
        <w:numPr>
          <w:ilvl w:val="0"/>
          <w:numId w:val="4"/>
        </w:numPr>
        <w:spacing w:before="0" w:beforeAutospacing="0" w:after="0" w:afterAutospacing="0" w:line="360" w:lineRule="auto"/>
        <w:jc w:val="both"/>
        <w:textAlignment w:val="baseline"/>
        <w:rPr>
          <w:color w:val="000000"/>
          <w:lang w:val="en-GB"/>
        </w:rPr>
      </w:pPr>
      <w:r w:rsidRPr="001F0161">
        <w:rPr>
          <w:color w:val="000000"/>
          <w:lang w:val="en-GB"/>
        </w:rPr>
        <w:t xml:space="preserve">To identify and evaluate the alternative funding mechanisms </w:t>
      </w:r>
      <w:r w:rsidR="00992D5E" w:rsidRPr="001F0161">
        <w:rPr>
          <w:color w:val="000000"/>
          <w:lang w:val="en-GB"/>
        </w:rPr>
        <w:t xml:space="preserve">that FGLF can use </w:t>
      </w:r>
      <w:r w:rsidRPr="001F0161">
        <w:rPr>
          <w:color w:val="000000"/>
          <w:lang w:val="en-GB"/>
        </w:rPr>
        <w:t>to mitigate foreign aid reductions.</w:t>
      </w:r>
    </w:p>
    <w:p w14:paraId="68C2412E" w14:textId="1531D442" w:rsidR="000A0A20" w:rsidRPr="004774D7" w:rsidRDefault="000A0A20" w:rsidP="00973765">
      <w:pPr>
        <w:pStyle w:val="NormalWeb"/>
        <w:numPr>
          <w:ilvl w:val="0"/>
          <w:numId w:val="4"/>
        </w:numPr>
        <w:spacing w:before="0" w:beforeAutospacing="0" w:after="0" w:afterAutospacing="0" w:line="360" w:lineRule="auto"/>
        <w:jc w:val="both"/>
        <w:textAlignment w:val="baseline"/>
        <w:rPr>
          <w:color w:val="000000"/>
          <w:lang w:val="en-GB"/>
        </w:rPr>
      </w:pPr>
      <w:r w:rsidRPr="001F0161">
        <w:rPr>
          <w:color w:val="000000"/>
          <w:lang w:val="en-GB"/>
        </w:rPr>
        <w:t xml:space="preserve">To examine </w:t>
      </w:r>
      <w:r w:rsidR="00992D5E" w:rsidRPr="004F072D">
        <w:rPr>
          <w:lang w:val="en-GB"/>
        </w:rPr>
        <w:t xml:space="preserve">how FGLF can improve </w:t>
      </w:r>
      <w:r w:rsidRPr="004774D7">
        <w:rPr>
          <w:color w:val="000000"/>
          <w:lang w:val="en-GB"/>
        </w:rPr>
        <w:t>internal operational restructuring and efficiency measures to manage budget constraints without compromising service delivery.</w:t>
      </w:r>
    </w:p>
    <w:p w14:paraId="7F4B62F7" w14:textId="69C1A3F7" w:rsidR="000A0A20" w:rsidRPr="004774D7" w:rsidRDefault="000A0A20" w:rsidP="00973765">
      <w:pPr>
        <w:pStyle w:val="NormalWeb"/>
        <w:numPr>
          <w:ilvl w:val="0"/>
          <w:numId w:val="4"/>
        </w:numPr>
        <w:spacing w:before="0" w:beforeAutospacing="0" w:after="0" w:afterAutospacing="0" w:line="360" w:lineRule="auto"/>
        <w:jc w:val="both"/>
        <w:textAlignment w:val="baseline"/>
        <w:rPr>
          <w:color w:val="000000"/>
          <w:lang w:val="en-GB"/>
        </w:rPr>
      </w:pPr>
      <w:r w:rsidRPr="004774D7">
        <w:rPr>
          <w:color w:val="000000"/>
          <w:lang w:val="en-GB"/>
        </w:rPr>
        <w:t xml:space="preserve">To </w:t>
      </w:r>
      <w:r w:rsidR="007C5F46" w:rsidRPr="004774D7">
        <w:rPr>
          <w:color w:val="000000"/>
          <w:lang w:val="en-GB"/>
        </w:rPr>
        <w:t>analyse</w:t>
      </w:r>
      <w:r w:rsidRPr="004774D7">
        <w:rPr>
          <w:color w:val="000000"/>
          <w:lang w:val="en-GB"/>
        </w:rPr>
        <w:t xml:space="preserve"> the risk of "mission drift" and </w:t>
      </w:r>
      <w:r w:rsidR="00170F67" w:rsidRPr="004F072D">
        <w:rPr>
          <w:lang w:val="en-GB"/>
        </w:rPr>
        <w:t>how FGLF can protect</w:t>
      </w:r>
      <w:r w:rsidRPr="004774D7">
        <w:rPr>
          <w:color w:val="000000"/>
          <w:lang w:val="en-GB"/>
        </w:rPr>
        <w:t xml:space="preserve"> financial survival with their core social missions when adopting market-driven revenue models.</w:t>
      </w:r>
    </w:p>
    <w:p w14:paraId="0A209518" w14:textId="44F0DFD9" w:rsidR="000A0A20" w:rsidRPr="004774D7" w:rsidRDefault="000A0A20" w:rsidP="00973765">
      <w:pPr>
        <w:pStyle w:val="NormalWeb"/>
        <w:numPr>
          <w:ilvl w:val="0"/>
          <w:numId w:val="4"/>
        </w:numPr>
        <w:spacing w:before="0" w:beforeAutospacing="0" w:after="0" w:afterAutospacing="0" w:line="360" w:lineRule="auto"/>
        <w:jc w:val="both"/>
        <w:textAlignment w:val="baseline"/>
        <w:rPr>
          <w:color w:val="000000"/>
          <w:lang w:val="en-GB"/>
        </w:rPr>
      </w:pPr>
      <w:r w:rsidRPr="004774D7">
        <w:rPr>
          <w:color w:val="000000"/>
          <w:lang w:val="en-GB"/>
        </w:rPr>
        <w:t xml:space="preserve">To assess how </w:t>
      </w:r>
      <w:r w:rsidR="00A55437" w:rsidRPr="004F072D">
        <w:rPr>
          <w:lang w:val="en-GB"/>
        </w:rPr>
        <w:t xml:space="preserve">FGLF can strengthen </w:t>
      </w:r>
      <w:r w:rsidRPr="004774D7">
        <w:rPr>
          <w:color w:val="000000"/>
          <w:lang w:val="en-GB"/>
        </w:rPr>
        <w:t>organizational relationships, leading to increased sector collaboration, consortium-building, or localization efforts.</w:t>
      </w:r>
    </w:p>
    <w:p w14:paraId="1F047AD5" w14:textId="1CE9EB4B" w:rsidR="000A0A20" w:rsidRPr="004774D7" w:rsidRDefault="000A0A20" w:rsidP="00973765">
      <w:pPr>
        <w:pStyle w:val="NormalWeb"/>
        <w:numPr>
          <w:ilvl w:val="0"/>
          <w:numId w:val="4"/>
        </w:numPr>
        <w:spacing w:before="0" w:beforeAutospacing="0" w:after="0" w:afterAutospacing="0" w:line="360" w:lineRule="auto"/>
        <w:jc w:val="both"/>
        <w:textAlignment w:val="baseline"/>
        <w:rPr>
          <w:color w:val="000000"/>
          <w:lang w:val="en-GB"/>
        </w:rPr>
      </w:pPr>
      <w:r w:rsidRPr="004774D7">
        <w:rPr>
          <w:color w:val="000000"/>
          <w:lang w:val="en-GB"/>
        </w:rPr>
        <w:t xml:space="preserve">To develop a strategic framework or practical recommendations </w:t>
      </w:r>
      <w:r w:rsidR="00D92769" w:rsidRPr="004774D7">
        <w:rPr>
          <w:color w:val="000000"/>
          <w:lang w:val="en-GB"/>
        </w:rPr>
        <w:t xml:space="preserve">that can help FGLF </w:t>
      </w:r>
      <w:r w:rsidRPr="004774D7">
        <w:rPr>
          <w:color w:val="000000"/>
          <w:lang w:val="en-GB"/>
        </w:rPr>
        <w:t>leadership to build financial resilience in a post-aid landscape.</w:t>
      </w:r>
    </w:p>
    <w:p w14:paraId="09E9114D" w14:textId="77777777" w:rsidR="000A0A20" w:rsidRPr="005E6381" w:rsidRDefault="000A0A20" w:rsidP="00973765">
      <w:pPr>
        <w:pStyle w:val="NormalWeb"/>
        <w:spacing w:before="0" w:beforeAutospacing="0" w:after="0" w:afterAutospacing="0" w:line="360" w:lineRule="auto"/>
        <w:jc w:val="both"/>
        <w:rPr>
          <w:lang w:val="en-GB"/>
        </w:rPr>
      </w:pPr>
      <w:r w:rsidRPr="004774D7">
        <w:rPr>
          <w:color w:val="000000"/>
          <w:lang w:val="en-GB"/>
        </w:rPr>
        <w:lastRenderedPageBreak/>
        <w:t>The following philosophical and meth</w:t>
      </w:r>
      <w:r w:rsidRPr="004F072D">
        <w:rPr>
          <w:color w:val="000000"/>
          <w:lang w:val="en-GB"/>
        </w:rPr>
        <w:t>odological, sampling and analysis decisions are guided by these objectives.</w:t>
      </w:r>
    </w:p>
    <w:p w14:paraId="4D497B3B" w14:textId="77777777" w:rsidR="000A0A20" w:rsidRPr="001F0161" w:rsidRDefault="000A0A20" w:rsidP="00973765">
      <w:pPr>
        <w:pStyle w:val="Heading2"/>
      </w:pPr>
      <w:bookmarkStart w:id="54" w:name="_Toc239424067"/>
      <w:r w:rsidRPr="001F0161">
        <w:rPr>
          <w:color w:val="000000"/>
        </w:rPr>
        <w:t>3.3 Research philosophy</w:t>
      </w:r>
      <w:bookmarkEnd w:id="54"/>
      <w:r w:rsidRPr="001F0161">
        <w:rPr>
          <w:color w:val="000000"/>
        </w:rPr>
        <w:t> </w:t>
      </w:r>
    </w:p>
    <w:p w14:paraId="1709727C" w14:textId="303252A1" w:rsidR="000A0A20" w:rsidRPr="001F0161" w:rsidRDefault="00D66165" w:rsidP="00973765">
      <w:pPr>
        <w:pStyle w:val="NormalWeb"/>
        <w:spacing w:before="0" w:beforeAutospacing="0" w:after="0" w:afterAutospacing="0" w:line="360" w:lineRule="auto"/>
        <w:jc w:val="both"/>
        <w:rPr>
          <w:lang w:val="en-GB"/>
        </w:rPr>
      </w:pPr>
      <w:r w:rsidRPr="001F0161">
        <w:rPr>
          <w:color w:val="000000"/>
          <w:lang w:val="en-GB"/>
        </w:rPr>
        <w:t xml:space="preserve">Hoda, </w:t>
      </w:r>
      <w:r>
        <w:rPr>
          <w:color w:val="000000"/>
          <w:lang w:val="en-GB"/>
        </w:rPr>
        <w:t>(</w:t>
      </w:r>
      <w:r w:rsidRPr="001F0161">
        <w:rPr>
          <w:color w:val="000000"/>
          <w:lang w:val="en-GB"/>
        </w:rPr>
        <w:t>2024</w:t>
      </w:r>
      <w:r>
        <w:rPr>
          <w:color w:val="000000"/>
          <w:lang w:val="en-GB"/>
        </w:rPr>
        <w:t>) stated that p</w:t>
      </w:r>
      <w:r w:rsidR="000A0A20" w:rsidRPr="001F0161">
        <w:rPr>
          <w:color w:val="000000"/>
          <w:lang w:val="en-GB"/>
        </w:rPr>
        <w:t xml:space="preserve">hilosophy of research deals with the epistemological (knowledge) and ontological (reality) underpinnings and constraints of potential knowledge production methods. It serves as the basis for the methods of research that are selected. </w:t>
      </w:r>
      <w:r w:rsidR="00A12F30" w:rsidRPr="001F0161">
        <w:rPr>
          <w:color w:val="000000"/>
          <w:lang w:val="en-GB"/>
        </w:rPr>
        <w:t xml:space="preserve">Hoda, </w:t>
      </w:r>
      <w:r w:rsidR="00A12F30">
        <w:rPr>
          <w:color w:val="000000"/>
          <w:lang w:val="en-GB"/>
        </w:rPr>
        <w:t>(</w:t>
      </w:r>
      <w:r w:rsidR="00A12F30" w:rsidRPr="001F0161">
        <w:rPr>
          <w:color w:val="000000"/>
          <w:lang w:val="en-GB"/>
        </w:rPr>
        <w:t>2024</w:t>
      </w:r>
      <w:r w:rsidR="00A12F30">
        <w:rPr>
          <w:color w:val="000000"/>
          <w:lang w:val="en-GB"/>
        </w:rPr>
        <w:t>) opined that t</w:t>
      </w:r>
      <w:r w:rsidR="000A0A20" w:rsidRPr="001F0161">
        <w:rPr>
          <w:color w:val="000000"/>
          <w:lang w:val="en-GB"/>
        </w:rPr>
        <w:t>he philosophies that are common are positivism, which typically stresses objective measurement and observable phenomena, and interpretivism, which stresses understanding, perception, and experience in their social contexts. Another position is based upon pragmatism which means the use of research methods as they are seen in relation to the practical needs of the research problem.</w:t>
      </w:r>
    </w:p>
    <w:p w14:paraId="6079AFAC" w14:textId="12798FDD"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This study has adopted an interpretivism research philosophy. </w:t>
      </w:r>
      <w:r w:rsidR="00B333CC" w:rsidRPr="001F0161">
        <w:rPr>
          <w:color w:val="000000"/>
          <w:lang w:val="en-GB"/>
        </w:rPr>
        <w:t xml:space="preserve">Junjie, and Yingxin, </w:t>
      </w:r>
      <w:r w:rsidR="00B333CC">
        <w:rPr>
          <w:color w:val="000000"/>
          <w:lang w:val="en-GB"/>
        </w:rPr>
        <w:t>(</w:t>
      </w:r>
      <w:r w:rsidR="00B333CC" w:rsidRPr="001F0161">
        <w:rPr>
          <w:color w:val="000000"/>
          <w:lang w:val="en-GB"/>
        </w:rPr>
        <w:t>2022</w:t>
      </w:r>
      <w:r w:rsidR="00B333CC">
        <w:rPr>
          <w:color w:val="000000"/>
          <w:lang w:val="en-GB"/>
        </w:rPr>
        <w:t>) found that i</w:t>
      </w:r>
      <w:r w:rsidRPr="001F0161">
        <w:rPr>
          <w:color w:val="000000"/>
          <w:lang w:val="en-GB"/>
        </w:rPr>
        <w:t>nterpretivism is useful if the research aims to explain how a social or organisational phenomenon is perceived, interpreted and experienced by the people involved. Unlike positivism, which mostly aims to identify measurable relationships, interpretivism assumes that there are various ways of interpreting organizational reality, depending on who is involved. The choice of interpretivism is fitting since there is no purely numerical or financial problem of funding for NGOs. Perceptions of organisational credibility, social impact, trust, relationships, donor priorities and perceived value of specific programmes can impact funding decisions. Participants might therefore offer conflicting perspectives on what is seen as suitable funding sources for FGLF and what organisations might be able to fund it. However, it is important to be mindful of the meaning of the funding relationships and not assume that they are solely measured or quantified.</w:t>
      </w:r>
    </w:p>
    <w:p w14:paraId="37555544" w14:textId="77777777" w:rsidR="000A0A20" w:rsidRPr="001F0161" w:rsidRDefault="000A0A20" w:rsidP="00973765">
      <w:pPr>
        <w:pStyle w:val="Heading2"/>
      </w:pPr>
      <w:bookmarkStart w:id="55" w:name="_Toc239424068"/>
      <w:r w:rsidRPr="001F0161">
        <w:rPr>
          <w:color w:val="000000"/>
        </w:rPr>
        <w:t>3.4 Research approach</w:t>
      </w:r>
      <w:bookmarkEnd w:id="55"/>
      <w:r w:rsidRPr="001F0161">
        <w:rPr>
          <w:color w:val="000000"/>
        </w:rPr>
        <w:t> </w:t>
      </w:r>
    </w:p>
    <w:p w14:paraId="5FB4EE3D" w14:textId="64BA66B8" w:rsidR="000A0A20" w:rsidRPr="001F0161" w:rsidRDefault="00A40188" w:rsidP="00973765">
      <w:pPr>
        <w:pStyle w:val="NormalWeb"/>
        <w:spacing w:before="0" w:beforeAutospacing="0" w:after="0" w:afterAutospacing="0" w:line="360" w:lineRule="auto"/>
        <w:jc w:val="both"/>
        <w:rPr>
          <w:lang w:val="en-GB"/>
        </w:rPr>
      </w:pPr>
      <w:r w:rsidRPr="001F0161">
        <w:rPr>
          <w:color w:val="000000"/>
          <w:lang w:val="en-GB"/>
        </w:rPr>
        <w:t xml:space="preserve">Mantula et al. </w:t>
      </w:r>
      <w:r>
        <w:rPr>
          <w:color w:val="000000"/>
          <w:lang w:val="en-GB"/>
        </w:rPr>
        <w:t>(</w:t>
      </w:r>
      <w:r w:rsidRPr="001F0161">
        <w:rPr>
          <w:color w:val="000000"/>
          <w:lang w:val="en-GB"/>
        </w:rPr>
        <w:t>2024</w:t>
      </w:r>
      <w:r>
        <w:rPr>
          <w:color w:val="000000"/>
          <w:lang w:val="en-GB"/>
        </w:rPr>
        <w:t>) stated that t</w:t>
      </w:r>
      <w:r w:rsidR="000A0A20" w:rsidRPr="001F0161">
        <w:rPr>
          <w:color w:val="000000"/>
          <w:lang w:val="en-GB"/>
        </w:rPr>
        <w:t xml:space="preserve">he research approach is used to establish the way to produce knowledge and the way the researcher will move between previous knowledge in theory and empirical data. There are two main methods of reasoning: deductive and inductive. </w:t>
      </w:r>
      <w:r w:rsidR="00591758" w:rsidRPr="001F0161">
        <w:rPr>
          <w:color w:val="000000"/>
          <w:lang w:val="en-GB"/>
        </w:rPr>
        <w:t xml:space="preserve">Kumar, and Ujire, </w:t>
      </w:r>
      <w:r w:rsidR="00591758">
        <w:rPr>
          <w:color w:val="000000"/>
          <w:lang w:val="en-GB"/>
        </w:rPr>
        <w:t>(</w:t>
      </w:r>
      <w:r w:rsidR="00591758" w:rsidRPr="001F0161">
        <w:rPr>
          <w:color w:val="000000"/>
          <w:lang w:val="en-GB"/>
        </w:rPr>
        <w:t>2024</w:t>
      </w:r>
      <w:r w:rsidR="00591758">
        <w:rPr>
          <w:color w:val="000000"/>
          <w:lang w:val="en-GB"/>
        </w:rPr>
        <w:t>) found that d</w:t>
      </w:r>
      <w:r w:rsidR="000A0A20" w:rsidRPr="001F0161">
        <w:rPr>
          <w:color w:val="000000"/>
          <w:lang w:val="en-GB"/>
        </w:rPr>
        <w:t xml:space="preserve">eductive is a method that starts with theories or propositions, and then tries them out in a way that gathers data. </w:t>
      </w:r>
      <w:r w:rsidR="00591758" w:rsidRPr="001F0161">
        <w:rPr>
          <w:color w:val="000000"/>
          <w:lang w:val="en-GB"/>
        </w:rPr>
        <w:t xml:space="preserve">Kumar, and Ujire, </w:t>
      </w:r>
      <w:r w:rsidR="00591758">
        <w:rPr>
          <w:color w:val="000000"/>
          <w:lang w:val="en-GB"/>
        </w:rPr>
        <w:t>(</w:t>
      </w:r>
      <w:r w:rsidR="00591758" w:rsidRPr="001F0161">
        <w:rPr>
          <w:color w:val="000000"/>
          <w:lang w:val="en-GB"/>
        </w:rPr>
        <w:t>2024</w:t>
      </w:r>
      <w:r w:rsidR="00591758">
        <w:rPr>
          <w:color w:val="000000"/>
          <w:lang w:val="en-GB"/>
        </w:rPr>
        <w:t>) observed that a</w:t>
      </w:r>
      <w:r w:rsidR="000A0A20" w:rsidRPr="001F0161">
        <w:rPr>
          <w:color w:val="000000"/>
          <w:lang w:val="en-GB"/>
        </w:rPr>
        <w:t>n inductive approach, on the other hand, starts from observations in the real world and creates patterns, interpretations or explanations from the evidence.</w:t>
      </w:r>
    </w:p>
    <w:p w14:paraId="3B248083" w14:textId="7F59B5BF"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lastRenderedPageBreak/>
        <w:t xml:space="preserve">This study has used an inductive approach to research because it attempts to identify funding problems and likely opportunities in the context of FGLF without imposing an a priori "explanation" on the participants. Existing literature on the financial vulnerability and resource dependence of NGO, alternative </w:t>
      </w:r>
      <w:r w:rsidR="007C5F46" w:rsidRPr="001F0161">
        <w:rPr>
          <w:color w:val="000000"/>
          <w:lang w:val="en-GB"/>
        </w:rPr>
        <w:t>fund-raising</w:t>
      </w:r>
      <w:r w:rsidRPr="001F0161">
        <w:rPr>
          <w:color w:val="000000"/>
          <w:lang w:val="en-GB"/>
        </w:rPr>
        <w:t xml:space="preserve"> strategies, partnerships, and domestic philanthropy and organisational sustainability have informed the study. The empirical investigation however is aimed at determining what the participants feel are most relevant funding opportunities or sources of support in the specific organisational context. </w:t>
      </w:r>
      <w:r w:rsidR="00A70A9C" w:rsidRPr="001F0161">
        <w:rPr>
          <w:color w:val="000000"/>
          <w:lang w:val="en-GB"/>
        </w:rPr>
        <w:t xml:space="preserve">Kumar, and Ujire, </w:t>
      </w:r>
      <w:r w:rsidR="00A70A9C">
        <w:rPr>
          <w:color w:val="000000"/>
          <w:lang w:val="en-GB"/>
        </w:rPr>
        <w:t>(</w:t>
      </w:r>
      <w:r w:rsidR="00A70A9C" w:rsidRPr="001F0161">
        <w:rPr>
          <w:color w:val="000000"/>
          <w:lang w:val="en-GB"/>
        </w:rPr>
        <w:t>2024</w:t>
      </w:r>
      <w:r w:rsidR="00A70A9C">
        <w:rPr>
          <w:color w:val="000000"/>
          <w:lang w:val="en-GB"/>
        </w:rPr>
        <w:t>) found that t</w:t>
      </w:r>
      <w:r w:rsidRPr="001F0161">
        <w:rPr>
          <w:color w:val="000000"/>
          <w:lang w:val="en-GB"/>
        </w:rPr>
        <w:t xml:space="preserve">he inductive approach is well suited, as funding opportunities are likely to differ in terms of organisation mission, geography of the project, beneficiaries' population, organisation capacity and stakeholder network. </w:t>
      </w:r>
    </w:p>
    <w:p w14:paraId="02630014" w14:textId="77777777" w:rsidR="000A0A20" w:rsidRPr="001F0161" w:rsidRDefault="000A0A20" w:rsidP="00973765">
      <w:pPr>
        <w:pStyle w:val="Heading2"/>
      </w:pPr>
      <w:bookmarkStart w:id="56" w:name="_Toc239424069"/>
      <w:r w:rsidRPr="001F0161">
        <w:rPr>
          <w:color w:val="000000"/>
        </w:rPr>
        <w:t>3.5 Research design</w:t>
      </w:r>
      <w:bookmarkEnd w:id="56"/>
    </w:p>
    <w:p w14:paraId="2B06B49E" w14:textId="02ECD079" w:rsidR="000A0A20" w:rsidRPr="001F0161" w:rsidRDefault="008C48D1" w:rsidP="00973765">
      <w:pPr>
        <w:pStyle w:val="NormalWeb"/>
        <w:spacing w:before="0" w:beforeAutospacing="0" w:after="0" w:afterAutospacing="0" w:line="360" w:lineRule="auto"/>
        <w:jc w:val="both"/>
        <w:rPr>
          <w:lang w:val="en-GB"/>
        </w:rPr>
      </w:pPr>
      <w:r>
        <w:rPr>
          <w:color w:val="000000"/>
          <w:lang w:val="en-GB"/>
        </w:rPr>
        <w:t xml:space="preserve">As per </w:t>
      </w:r>
      <w:r w:rsidRPr="001F0161">
        <w:rPr>
          <w:color w:val="000000"/>
          <w:lang w:val="en-GB"/>
        </w:rPr>
        <w:t xml:space="preserve">Chali et al. </w:t>
      </w:r>
      <w:r>
        <w:rPr>
          <w:color w:val="000000"/>
          <w:lang w:val="en-GB"/>
        </w:rPr>
        <w:t>(</w:t>
      </w:r>
      <w:r w:rsidRPr="001F0161">
        <w:rPr>
          <w:color w:val="000000"/>
          <w:lang w:val="en-GB"/>
        </w:rPr>
        <w:t>2022</w:t>
      </w:r>
      <w:r>
        <w:rPr>
          <w:color w:val="000000"/>
          <w:lang w:val="en-GB"/>
        </w:rPr>
        <w:t>), r</w:t>
      </w:r>
      <w:r w:rsidR="000A0A20" w:rsidRPr="001F0161">
        <w:rPr>
          <w:color w:val="000000"/>
          <w:lang w:val="en-GB"/>
        </w:rPr>
        <w:t xml:space="preserve">esearch design is the general framework that links up the research problem to the gathering and analysis of the evidence. Some common designs are descriptive, explanatory, exploratory and experimental designs. A descriptive design aims at describing an actual situation, and an explanatory design usually explores a relationship of variables. </w:t>
      </w:r>
    </w:p>
    <w:p w14:paraId="3B4BD177" w14:textId="701B62A9"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An exploratory research design has been used in this study. The selection is relevant because</w:t>
      </w:r>
      <w:r w:rsidR="00BC4623">
        <w:rPr>
          <w:color w:val="000000"/>
          <w:lang w:val="en-GB"/>
        </w:rPr>
        <w:t xml:space="preserve"> as per </w:t>
      </w:r>
      <w:r w:rsidR="00BC4623" w:rsidRPr="001F0161">
        <w:rPr>
          <w:color w:val="000000"/>
          <w:lang w:val="en-GB"/>
        </w:rPr>
        <w:t xml:space="preserve">Carter et al. </w:t>
      </w:r>
      <w:r w:rsidR="00BC4623">
        <w:rPr>
          <w:color w:val="000000"/>
          <w:lang w:val="en-GB"/>
        </w:rPr>
        <w:t>(</w:t>
      </w:r>
      <w:r w:rsidR="00BC4623" w:rsidRPr="001F0161">
        <w:rPr>
          <w:color w:val="000000"/>
          <w:lang w:val="en-GB"/>
        </w:rPr>
        <w:t>2023</w:t>
      </w:r>
      <w:r w:rsidR="00BC4623">
        <w:rPr>
          <w:color w:val="000000"/>
          <w:lang w:val="en-GB"/>
        </w:rPr>
        <w:t>),</w:t>
      </w:r>
      <w:r w:rsidRPr="001F0161">
        <w:rPr>
          <w:color w:val="000000"/>
          <w:lang w:val="en-GB"/>
        </w:rPr>
        <w:t xml:space="preserve"> the investigation aims to find out about the possibility of financing for the FGLF and learn the views of the people who can have information, experience or connections related to NGO funding or support. The study sought to make no attempt at statistical testing of whether increased organisational performance is brought about by a funding mechanism. However, it does not discuss what funding sources might be suitable but rather who could potentially help FGLF, and what might be a factor to determine appropriate funding relationships. These questions need to be investigated open </w:t>
      </w:r>
      <w:r w:rsidR="007C5F46" w:rsidRPr="001F0161">
        <w:rPr>
          <w:color w:val="000000"/>
          <w:lang w:val="en-GB"/>
        </w:rPr>
        <w:t>minded</w:t>
      </w:r>
      <w:r w:rsidRPr="001F0161">
        <w:rPr>
          <w:color w:val="000000"/>
          <w:lang w:val="en-GB"/>
        </w:rPr>
        <w:t xml:space="preserve"> as they relate to perceptions and organisational situations. Explanatory design is also perfectly in harmony with the actual function of the research. </w:t>
      </w:r>
      <w:r w:rsidR="002314DC">
        <w:rPr>
          <w:color w:val="000000"/>
          <w:lang w:val="en-GB"/>
        </w:rPr>
        <w:t xml:space="preserve">As per </w:t>
      </w:r>
      <w:r w:rsidR="002314DC" w:rsidRPr="001F0161">
        <w:rPr>
          <w:color w:val="000000"/>
          <w:lang w:val="en-GB"/>
        </w:rPr>
        <w:t xml:space="preserve">Carter et al. </w:t>
      </w:r>
      <w:r w:rsidR="002314DC">
        <w:rPr>
          <w:color w:val="000000"/>
          <w:lang w:val="en-GB"/>
        </w:rPr>
        <w:t>(</w:t>
      </w:r>
      <w:r w:rsidR="002314DC" w:rsidRPr="001F0161">
        <w:rPr>
          <w:color w:val="000000"/>
          <w:lang w:val="en-GB"/>
        </w:rPr>
        <w:t>2023</w:t>
      </w:r>
      <w:r w:rsidR="002314DC">
        <w:rPr>
          <w:color w:val="000000"/>
          <w:lang w:val="en-GB"/>
        </w:rPr>
        <w:t>), t</w:t>
      </w:r>
      <w:r w:rsidRPr="001F0161">
        <w:rPr>
          <w:color w:val="000000"/>
          <w:lang w:val="en-GB"/>
        </w:rPr>
        <w:t>he research design is therefore open to the possible identification of funding sources, stakeholders and support that may not have been defined prior to data collection, but could prove to be useful.</w:t>
      </w:r>
    </w:p>
    <w:p w14:paraId="66AF9852" w14:textId="77777777" w:rsidR="000A0A20" w:rsidRPr="001F0161" w:rsidRDefault="000A0A20" w:rsidP="00973765">
      <w:pPr>
        <w:pStyle w:val="Heading2"/>
      </w:pPr>
      <w:bookmarkStart w:id="57" w:name="_Toc239424070"/>
      <w:r w:rsidRPr="001F0161">
        <w:rPr>
          <w:color w:val="000000"/>
        </w:rPr>
        <w:t>3.6 Research strategy</w:t>
      </w:r>
      <w:bookmarkEnd w:id="57"/>
      <w:r w:rsidRPr="001F0161">
        <w:rPr>
          <w:color w:val="000000"/>
        </w:rPr>
        <w:t> </w:t>
      </w:r>
    </w:p>
    <w:p w14:paraId="797376AD"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A research strategy is the big picture plan or approach that will be used in the investigation of the research problem. Survey, experiments, ethnography, action research, grounded theory and case </w:t>
      </w:r>
      <w:r w:rsidRPr="001F0161">
        <w:rPr>
          <w:color w:val="000000"/>
          <w:lang w:val="en-GB"/>
        </w:rPr>
        <w:lastRenderedPageBreak/>
        <w:t>studies are common approaches. The approach varies according to the research question, the characteristics of the organisation under study and the desired kind of evidence.</w:t>
      </w:r>
    </w:p>
    <w:p w14:paraId="5D9CB279" w14:textId="708AE45D"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An organisational case-study approach has been used, whereby the focus is on the central case of </w:t>
      </w:r>
      <w:r w:rsidR="00374EDB" w:rsidRPr="001F0161">
        <w:rPr>
          <w:color w:val="000000"/>
          <w:lang w:val="en-GB"/>
        </w:rPr>
        <w:t>First-Generation</w:t>
      </w:r>
      <w:r w:rsidRPr="001F0161">
        <w:rPr>
          <w:color w:val="000000"/>
          <w:lang w:val="en-GB"/>
        </w:rPr>
        <w:t xml:space="preserve"> Leadership Foundation. </w:t>
      </w:r>
      <w:r w:rsidR="00D01917" w:rsidRPr="001F0161">
        <w:rPr>
          <w:color w:val="000000"/>
          <w:lang w:val="en-GB"/>
        </w:rPr>
        <w:t xml:space="preserve">Ratnasari, and Sudradjat, </w:t>
      </w:r>
      <w:r w:rsidR="00D01917">
        <w:rPr>
          <w:color w:val="000000"/>
          <w:lang w:val="en-GB"/>
        </w:rPr>
        <w:t>(</w:t>
      </w:r>
      <w:r w:rsidR="00D01917" w:rsidRPr="001F0161">
        <w:rPr>
          <w:color w:val="000000"/>
          <w:lang w:val="en-GB"/>
        </w:rPr>
        <w:t>2023</w:t>
      </w:r>
      <w:r w:rsidR="00D01917">
        <w:rPr>
          <w:color w:val="000000"/>
          <w:lang w:val="en-GB"/>
        </w:rPr>
        <w:t>) found that c</w:t>
      </w:r>
      <w:r w:rsidRPr="001F0161">
        <w:rPr>
          <w:color w:val="000000"/>
          <w:lang w:val="en-GB"/>
        </w:rPr>
        <w:t xml:space="preserve">ase study approach allows the investigation of an organisation (group or </w:t>
      </w:r>
      <w:r w:rsidR="00374EDB" w:rsidRPr="001F0161">
        <w:rPr>
          <w:color w:val="000000"/>
          <w:lang w:val="en-GB"/>
        </w:rPr>
        <w:t>another</w:t>
      </w:r>
      <w:r w:rsidRPr="001F0161">
        <w:rPr>
          <w:color w:val="000000"/>
          <w:lang w:val="en-GB"/>
        </w:rPr>
        <w:t xml:space="preserve"> bounded phenomenon) in its context. This is especially beneficial, when the situation in the organization, the relationships with the stakeholders, and the context are important factors in understanding the research problem.</w:t>
      </w:r>
    </w:p>
    <w:p w14:paraId="5F77ADE3" w14:textId="263A6164"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The organisational case-study approach has been chosen because the focus of the research is not on the population of NGOs as such, but on the financial needs and possible opportunities that FGLF is facing. The social mission of FGLF is clearly defined as the </w:t>
      </w:r>
      <w:r w:rsidR="00374EDB" w:rsidRPr="001F0161">
        <w:rPr>
          <w:color w:val="000000"/>
          <w:lang w:val="en-GB"/>
        </w:rPr>
        <w:t>first-generation</w:t>
      </w:r>
      <w:r w:rsidRPr="001F0161">
        <w:rPr>
          <w:color w:val="000000"/>
          <w:lang w:val="en-GB"/>
        </w:rPr>
        <w:t xml:space="preserve"> learner and the marginalized community. It offers scholarships, mentorship, competitive examination preparation, career guidance, digital learning and leadership development programmes. The nature of these characteristics will impact who may be considered a viable funder and/or partnership. Additionally, </w:t>
      </w:r>
      <w:r w:rsidR="001B4487" w:rsidRPr="001F0161">
        <w:rPr>
          <w:color w:val="000000"/>
          <w:lang w:val="en-GB"/>
        </w:rPr>
        <w:t xml:space="preserve">Ratnasari, and Sudradjat, </w:t>
      </w:r>
      <w:r w:rsidR="001B4487">
        <w:rPr>
          <w:color w:val="000000"/>
          <w:lang w:val="en-GB"/>
        </w:rPr>
        <w:t>(</w:t>
      </w:r>
      <w:r w:rsidR="001B4487" w:rsidRPr="001F0161">
        <w:rPr>
          <w:color w:val="000000"/>
          <w:lang w:val="en-GB"/>
        </w:rPr>
        <w:t>2023</w:t>
      </w:r>
      <w:r w:rsidR="001B4487">
        <w:rPr>
          <w:color w:val="000000"/>
          <w:lang w:val="en-GB"/>
        </w:rPr>
        <w:t xml:space="preserve">) studied that </w:t>
      </w:r>
      <w:r w:rsidRPr="001F0161">
        <w:rPr>
          <w:color w:val="000000"/>
          <w:lang w:val="en-GB"/>
        </w:rPr>
        <w:t>the case-study approach allows them to link participant's perspectives to the context of their organization. According to the existing literature, there are a number of strategies through which NGO financial resilience can be achieved, such as revenue diversification, partnerships, operational adaptation and collaboration.</w:t>
      </w:r>
    </w:p>
    <w:p w14:paraId="0D56C6D1" w14:textId="77777777" w:rsidR="000A0A20" w:rsidRPr="001F0161" w:rsidRDefault="000A0A20" w:rsidP="00973765">
      <w:pPr>
        <w:pStyle w:val="Heading2"/>
      </w:pPr>
      <w:bookmarkStart w:id="58" w:name="_Toc239424071"/>
      <w:r w:rsidRPr="001F0161">
        <w:rPr>
          <w:color w:val="000000"/>
        </w:rPr>
        <w:t>3.7 Data collection method and data type</w:t>
      </w:r>
      <w:bookmarkEnd w:id="58"/>
      <w:r w:rsidRPr="001F0161">
        <w:rPr>
          <w:color w:val="000000"/>
        </w:rPr>
        <w:t> </w:t>
      </w:r>
    </w:p>
    <w:p w14:paraId="5516023D" w14:textId="65D271F5" w:rsidR="000A0A20" w:rsidRPr="001F0161" w:rsidRDefault="003974DC" w:rsidP="00973765">
      <w:pPr>
        <w:pStyle w:val="NormalWeb"/>
        <w:spacing w:before="0" w:beforeAutospacing="0" w:after="0" w:afterAutospacing="0" w:line="360" w:lineRule="auto"/>
        <w:jc w:val="both"/>
        <w:rPr>
          <w:lang w:val="en-GB"/>
        </w:rPr>
      </w:pPr>
      <w:r>
        <w:rPr>
          <w:color w:val="000000"/>
          <w:lang w:val="en-GB"/>
        </w:rPr>
        <w:t xml:space="preserve">As per </w:t>
      </w:r>
      <w:r w:rsidRPr="001F0161">
        <w:rPr>
          <w:color w:val="000000"/>
          <w:lang w:val="en-GB"/>
        </w:rPr>
        <w:t xml:space="preserve">Bai et al. </w:t>
      </w:r>
      <w:r>
        <w:rPr>
          <w:color w:val="000000"/>
          <w:lang w:val="en-GB"/>
        </w:rPr>
        <w:t>(</w:t>
      </w:r>
      <w:r w:rsidRPr="001F0161">
        <w:rPr>
          <w:color w:val="000000"/>
          <w:lang w:val="en-GB"/>
        </w:rPr>
        <w:t>2022</w:t>
      </w:r>
      <w:r>
        <w:rPr>
          <w:color w:val="000000"/>
          <w:lang w:val="en-GB"/>
        </w:rPr>
        <w:t>), d</w:t>
      </w:r>
      <w:r w:rsidR="000A0A20" w:rsidRPr="001F0161">
        <w:rPr>
          <w:color w:val="000000"/>
          <w:lang w:val="en-GB"/>
        </w:rPr>
        <w:t xml:space="preserve">ata collection strategy of obtaining evidence to answer research questions. Primary data, gathered directly from the participant or from organising activities, or secondary data collected from books, reports, databases and other written sources can be used in the research. </w:t>
      </w:r>
      <w:r w:rsidR="00BD2723" w:rsidRPr="001F0161">
        <w:rPr>
          <w:color w:val="000000"/>
          <w:lang w:val="en-GB"/>
        </w:rPr>
        <w:t xml:space="preserve">Bai et al. </w:t>
      </w:r>
      <w:r w:rsidR="00BD2723">
        <w:rPr>
          <w:color w:val="000000"/>
          <w:lang w:val="en-GB"/>
        </w:rPr>
        <w:t>(</w:t>
      </w:r>
      <w:r w:rsidR="00BD2723" w:rsidRPr="001F0161">
        <w:rPr>
          <w:color w:val="000000"/>
          <w:lang w:val="en-GB"/>
        </w:rPr>
        <w:t>2022</w:t>
      </w:r>
      <w:r w:rsidR="00BD2723">
        <w:rPr>
          <w:color w:val="000000"/>
          <w:lang w:val="en-GB"/>
        </w:rPr>
        <w:t>) found that q</w:t>
      </w:r>
      <w:r w:rsidR="000A0A20" w:rsidRPr="001F0161">
        <w:rPr>
          <w:color w:val="000000"/>
          <w:lang w:val="en-GB"/>
        </w:rPr>
        <w:t>uantitative, qualitative or mixed primary data may be collected depending on the purpose of the research. With quantitative primary data, these are mainly numerical measurements, and qualitative primary data are related to perceptions, experiences, opinions, explanations and meanings.</w:t>
      </w:r>
    </w:p>
    <w:p w14:paraId="4860AE7C" w14:textId="2FC545AD"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Primary qualitative data has been used as the main type of data in this study. </w:t>
      </w:r>
      <w:proofErr w:type="spellStart"/>
      <w:r w:rsidR="00D53D4A" w:rsidRPr="001F0161">
        <w:rPr>
          <w:color w:val="000000"/>
          <w:lang w:val="en-GB"/>
        </w:rPr>
        <w:t>Nii</w:t>
      </w:r>
      <w:proofErr w:type="spellEnd"/>
      <w:r w:rsidR="00D53D4A" w:rsidRPr="001F0161">
        <w:rPr>
          <w:color w:val="000000"/>
          <w:lang w:val="en-GB"/>
        </w:rPr>
        <w:t xml:space="preserve"> </w:t>
      </w:r>
      <w:proofErr w:type="spellStart"/>
      <w:r w:rsidR="00D53D4A" w:rsidRPr="001F0161">
        <w:rPr>
          <w:color w:val="000000"/>
          <w:lang w:val="en-GB"/>
        </w:rPr>
        <w:t>Laryeafio</w:t>
      </w:r>
      <w:proofErr w:type="spellEnd"/>
      <w:r w:rsidR="00D53D4A" w:rsidRPr="001F0161">
        <w:rPr>
          <w:color w:val="000000"/>
          <w:lang w:val="en-GB"/>
        </w:rPr>
        <w:t xml:space="preserve"> and </w:t>
      </w:r>
      <w:proofErr w:type="spellStart"/>
      <w:r w:rsidR="00D53D4A" w:rsidRPr="001F0161">
        <w:rPr>
          <w:color w:val="000000"/>
          <w:lang w:val="en-GB"/>
        </w:rPr>
        <w:t>Ogbewe</w:t>
      </w:r>
      <w:proofErr w:type="spellEnd"/>
      <w:r w:rsidR="00D53D4A">
        <w:rPr>
          <w:color w:val="000000"/>
          <w:lang w:val="en-GB"/>
        </w:rPr>
        <w:t xml:space="preserve"> (</w:t>
      </w:r>
      <w:r w:rsidR="00D53D4A" w:rsidRPr="001F0161">
        <w:rPr>
          <w:color w:val="000000"/>
          <w:lang w:val="en-GB"/>
        </w:rPr>
        <w:t>2023</w:t>
      </w:r>
      <w:r w:rsidR="00D53D4A">
        <w:rPr>
          <w:color w:val="000000"/>
          <w:lang w:val="en-GB"/>
        </w:rPr>
        <w:t>) found that p</w:t>
      </w:r>
      <w:r w:rsidRPr="001F0161">
        <w:rPr>
          <w:color w:val="000000"/>
          <w:lang w:val="en-GB"/>
        </w:rPr>
        <w:t xml:space="preserve">rimary data has been chosen as it is hoped that the perspectives offered as part of this research will be of direct interest to the research task and may be of interest to FGLF in terms of funding opportunities, potential funders and forms of support that </w:t>
      </w:r>
      <w:r w:rsidRPr="001F0161">
        <w:rPr>
          <w:color w:val="000000"/>
          <w:lang w:val="en-GB"/>
        </w:rPr>
        <w:lastRenderedPageBreak/>
        <w:t>may be relevant to the research. While secondary literature can elucidate general funding sources, it cannot provide the whole context and perception of those who have first-hand experience of NGO funding and organisational support.</w:t>
      </w:r>
    </w:p>
    <w:p w14:paraId="40129A19" w14:textId="35CC872D"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The face-to-face </w:t>
      </w:r>
      <w:r w:rsidR="00374EDB" w:rsidRPr="001F0161">
        <w:rPr>
          <w:color w:val="000000"/>
          <w:lang w:val="en-GB"/>
        </w:rPr>
        <w:t>interview-based</w:t>
      </w:r>
      <w:r w:rsidRPr="001F0161">
        <w:rPr>
          <w:color w:val="000000"/>
          <w:lang w:val="en-GB"/>
        </w:rPr>
        <w:t xml:space="preserve"> questionnaire has been found to be the main data collection tool in the study. This questionnaire has seven </w:t>
      </w:r>
      <w:r w:rsidR="00492ADD" w:rsidRPr="001F0161">
        <w:rPr>
          <w:color w:val="000000"/>
          <w:lang w:val="en-GB"/>
        </w:rPr>
        <w:t>open-ended</w:t>
      </w:r>
      <w:r w:rsidRPr="001F0161">
        <w:rPr>
          <w:color w:val="000000"/>
          <w:lang w:val="en-GB"/>
        </w:rPr>
        <w:t xml:space="preserve"> questions aimed at giving a structure to the participant discussions. </w:t>
      </w:r>
      <w:r w:rsidR="00492ADD" w:rsidRPr="001F0161">
        <w:rPr>
          <w:color w:val="000000"/>
          <w:lang w:val="en-GB"/>
        </w:rPr>
        <w:t>Open</w:t>
      </w:r>
      <w:r w:rsidRPr="001F0161">
        <w:rPr>
          <w:color w:val="000000"/>
          <w:lang w:val="en-GB"/>
        </w:rPr>
        <w:t>-ended questions provide the participant with response options and can create a standardisation in the responses given because the content of the questions remains constant. They can also help to compare their responses with others.</w:t>
      </w:r>
    </w:p>
    <w:p w14:paraId="24AE7CC3"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For this research, however, the face-to-face format has been chosen since the research needs a context understanding beyond simple numbers. Face-to-face interaction has enabled the questions to be delivered directly to the participants and thus help with clarifying the purpose of the questions if needed. Very effective when people have varying experiences and knowledge base in relation to funding organizations or philanthropy, corporate funding, or community development.</w:t>
      </w:r>
    </w:p>
    <w:p w14:paraId="54F509D9" w14:textId="77777777"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The questionnaire has been centred around issues which relate specifically with the research aims, including identifying potential funders, organisations likely to support FGLF, appropriate funding sources and perceptions of the organisation's funding potential. The seven questions are, therefore, designed to get evidence that can directly help achieve the FGLF practical objective of expanding funding opportunities for FGLF. Using primary qualitative evidence is also in line with the interpretivist philosophy of the study. Responses from the participants will reveal what potential funding relationships they think are perceived and what they think are realistic or appropriate funding sources.  The data collection process has been carried out by identifying the participants, approaching them to be part of the study, giving explanations about the study, getting their informed consent and administering the questionnaire face-to-face. Responses were systematically recorded to aid in subsequent thematic interpretations.</w:t>
      </w:r>
    </w:p>
    <w:p w14:paraId="5787AED6" w14:textId="77777777" w:rsidR="000A0A20" w:rsidRPr="001F0161" w:rsidRDefault="000A0A20" w:rsidP="00973765">
      <w:pPr>
        <w:pStyle w:val="Heading2"/>
      </w:pPr>
      <w:bookmarkStart w:id="59" w:name="_Toc239424072"/>
      <w:r w:rsidRPr="001F0161">
        <w:rPr>
          <w:color w:val="000000"/>
        </w:rPr>
        <w:t>3.8 Research sampling and population</w:t>
      </w:r>
      <w:bookmarkEnd w:id="59"/>
    </w:p>
    <w:p w14:paraId="0B4B1BE4" w14:textId="7DD1AFA5" w:rsidR="000A0A20" w:rsidRPr="001F0161" w:rsidRDefault="000A0A20" w:rsidP="00973765">
      <w:pPr>
        <w:pStyle w:val="NormalWeb"/>
        <w:spacing w:before="0" w:beforeAutospacing="0" w:after="0" w:afterAutospacing="0" w:line="360" w:lineRule="auto"/>
        <w:jc w:val="both"/>
        <w:rPr>
          <w:color w:val="000000"/>
          <w:lang w:val="en-GB"/>
        </w:rPr>
      </w:pPr>
      <w:r w:rsidRPr="001F0161">
        <w:rPr>
          <w:color w:val="000000"/>
          <w:lang w:val="en-GB"/>
        </w:rPr>
        <w:t>A</w:t>
      </w:r>
      <w:r w:rsidR="00A16C8A">
        <w:rPr>
          <w:color w:val="000000"/>
          <w:lang w:val="en-GB"/>
        </w:rPr>
        <w:t xml:space="preserve">s per </w:t>
      </w:r>
      <w:r w:rsidR="00A16C8A" w:rsidRPr="001F0161">
        <w:rPr>
          <w:color w:val="000000"/>
          <w:lang w:val="en-GB"/>
        </w:rPr>
        <w:t xml:space="preserve">Ramírez-García et al. </w:t>
      </w:r>
      <w:r w:rsidR="00A16C8A">
        <w:rPr>
          <w:color w:val="000000"/>
          <w:lang w:val="en-GB"/>
        </w:rPr>
        <w:t>(</w:t>
      </w:r>
      <w:r w:rsidR="00A16C8A" w:rsidRPr="001F0161">
        <w:rPr>
          <w:color w:val="000000"/>
          <w:lang w:val="en-GB"/>
        </w:rPr>
        <w:t>2025</w:t>
      </w:r>
      <w:r w:rsidR="00A16C8A">
        <w:rPr>
          <w:color w:val="000000"/>
          <w:lang w:val="en-GB"/>
        </w:rPr>
        <w:t>),</w:t>
      </w:r>
      <w:r w:rsidRPr="001F0161">
        <w:rPr>
          <w:color w:val="000000"/>
          <w:lang w:val="en-GB"/>
        </w:rPr>
        <w:t xml:space="preserve"> research population is the larger group of people that have characteristics that are relevant to the research problem; a sample is the smaller subset of the population selected for actual data collection. </w:t>
      </w:r>
      <w:r w:rsidR="00A16C8A">
        <w:rPr>
          <w:color w:val="000000"/>
          <w:lang w:val="en-GB"/>
        </w:rPr>
        <w:t xml:space="preserve">According to </w:t>
      </w:r>
      <w:r w:rsidR="00A16C8A" w:rsidRPr="001F0161">
        <w:rPr>
          <w:color w:val="000000"/>
          <w:lang w:val="en-GB"/>
        </w:rPr>
        <w:t xml:space="preserve">Ramírez-García et al. </w:t>
      </w:r>
      <w:r w:rsidR="00A16C8A">
        <w:rPr>
          <w:color w:val="000000"/>
          <w:lang w:val="en-GB"/>
        </w:rPr>
        <w:t>(</w:t>
      </w:r>
      <w:r w:rsidR="00A16C8A" w:rsidRPr="001F0161">
        <w:rPr>
          <w:color w:val="000000"/>
          <w:lang w:val="en-GB"/>
        </w:rPr>
        <w:t>2025</w:t>
      </w:r>
      <w:r w:rsidR="00A16C8A">
        <w:rPr>
          <w:color w:val="000000"/>
          <w:lang w:val="en-GB"/>
        </w:rPr>
        <w:t>), s</w:t>
      </w:r>
      <w:r w:rsidRPr="001F0161">
        <w:rPr>
          <w:color w:val="000000"/>
          <w:lang w:val="en-GB"/>
        </w:rPr>
        <w:t xml:space="preserve">ampling can be probability sampling (e.g., random sampling or systematic sampling) and/or </w:t>
      </w:r>
      <w:r w:rsidRPr="001F0161">
        <w:rPr>
          <w:color w:val="000000"/>
          <w:lang w:val="en-GB"/>
        </w:rPr>
        <w:lastRenderedPageBreak/>
        <w:t>non-probability sampling (e.g., convenience sampling, snowball sampling, or purposive sampling).</w:t>
      </w:r>
    </w:p>
    <w:p w14:paraId="33719800" w14:textId="3B0F47BC" w:rsidR="00016077" w:rsidRPr="004774D7" w:rsidRDefault="00016077" w:rsidP="00973765">
      <w:pPr>
        <w:pStyle w:val="NormalWeb"/>
        <w:spacing w:before="0" w:beforeAutospacing="0" w:after="0" w:afterAutospacing="0" w:line="360" w:lineRule="auto"/>
        <w:jc w:val="center"/>
        <w:rPr>
          <w:lang w:val="en-GB"/>
        </w:rPr>
      </w:pPr>
      <w:r w:rsidRPr="004F072D">
        <w:rPr>
          <w:noProof/>
          <w:lang w:bidi="gu-IN"/>
        </w:rPr>
        <w:drawing>
          <wp:inline distT="0" distB="0" distL="0" distR="0" wp14:anchorId="1F32BE08" wp14:editId="78B10B66">
            <wp:extent cx="4515082" cy="198765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15082" cy="1987652"/>
                    </a:xfrm>
                    <a:prstGeom prst="rect">
                      <a:avLst/>
                    </a:prstGeom>
                  </pic:spPr>
                </pic:pic>
              </a:graphicData>
            </a:graphic>
          </wp:inline>
        </w:drawing>
      </w:r>
    </w:p>
    <w:p w14:paraId="543FBE8E" w14:textId="40A35DB6" w:rsidR="00016077" w:rsidRPr="004774D7" w:rsidRDefault="00016077" w:rsidP="00973765">
      <w:pPr>
        <w:pStyle w:val="Heading4"/>
      </w:pPr>
      <w:r w:rsidRPr="004774D7">
        <w:t>Figure 3.8: Purposive sampling</w:t>
      </w:r>
    </w:p>
    <w:p w14:paraId="564EE775" w14:textId="2CBAF2FD" w:rsidR="00016077" w:rsidRPr="004F072D" w:rsidRDefault="00016077" w:rsidP="00973765">
      <w:pPr>
        <w:pStyle w:val="NormalWeb"/>
        <w:spacing w:before="0" w:beforeAutospacing="0" w:after="0" w:afterAutospacing="0" w:line="360" w:lineRule="auto"/>
        <w:jc w:val="center"/>
        <w:rPr>
          <w:lang w:val="en-GB"/>
        </w:rPr>
      </w:pPr>
      <w:r w:rsidRPr="004774D7">
        <w:rPr>
          <w:lang w:val="en-GB"/>
        </w:rPr>
        <w:t xml:space="preserve">(Source: </w:t>
      </w:r>
      <w:r w:rsidRPr="004774D7">
        <w:rPr>
          <w:color w:val="000000"/>
          <w:lang w:val="en-GB"/>
        </w:rPr>
        <w:t>Obilor, 2023</w:t>
      </w:r>
      <w:r w:rsidRPr="004774D7">
        <w:rPr>
          <w:lang w:val="en-GB"/>
        </w:rPr>
        <w:t>)</w:t>
      </w:r>
    </w:p>
    <w:p w14:paraId="5B79ACA1" w14:textId="4F7326A4" w:rsidR="000A0A20" w:rsidRPr="001F0161" w:rsidRDefault="000A0A20" w:rsidP="00973765">
      <w:pPr>
        <w:pStyle w:val="NormalWeb"/>
        <w:spacing w:before="0" w:beforeAutospacing="0" w:after="0" w:afterAutospacing="0" w:line="360" w:lineRule="auto"/>
        <w:jc w:val="both"/>
        <w:rPr>
          <w:lang w:val="en-GB"/>
        </w:rPr>
      </w:pPr>
      <w:r w:rsidRPr="005E6381">
        <w:rPr>
          <w:color w:val="000000"/>
          <w:lang w:val="en-GB"/>
        </w:rPr>
        <w:t xml:space="preserve">In this study purposive sampling was used. </w:t>
      </w:r>
      <w:r w:rsidR="00AE47B7" w:rsidRPr="001F0161">
        <w:rPr>
          <w:color w:val="000000"/>
          <w:lang w:val="en-GB"/>
        </w:rPr>
        <w:t>Obilor</w:t>
      </w:r>
      <w:r w:rsidR="00AE47B7">
        <w:rPr>
          <w:color w:val="000000"/>
          <w:lang w:val="en-GB"/>
        </w:rPr>
        <w:t xml:space="preserve"> (</w:t>
      </w:r>
      <w:r w:rsidR="00AE47B7" w:rsidRPr="001F0161">
        <w:rPr>
          <w:color w:val="000000"/>
          <w:lang w:val="en-GB"/>
        </w:rPr>
        <w:t>2023</w:t>
      </w:r>
      <w:r w:rsidR="00AE47B7">
        <w:rPr>
          <w:color w:val="000000"/>
          <w:lang w:val="en-GB"/>
        </w:rPr>
        <w:t>) found that w</w:t>
      </w:r>
      <w:r w:rsidRPr="005E6381">
        <w:rPr>
          <w:color w:val="000000"/>
          <w:lang w:val="en-GB"/>
        </w:rPr>
        <w:t>hen the individuals in a sample are intentionally selected due to their knowledge, experience or characteristics with respect to the research goals, it is known as purpos</w:t>
      </w:r>
      <w:r w:rsidRPr="001F0161">
        <w:rPr>
          <w:color w:val="000000"/>
          <w:lang w:val="en-GB"/>
        </w:rPr>
        <w:t xml:space="preserve">ive sampling. Allows exploration of a qualitative kind of research where the goal is to gather information-rich evidence from relevant participants, not to obtain a statistical representation of the large population. The study has obtained a sample of 5 participants. The size of the sample is relatively small, suitable for the purpose of qualitative study and exploratory research. The participants have been identified as relevant to the research topics covering NGO funding, organisational support, philanthropy, corporate involvement or related topics. The inclusion principle has thus prioritised the individuals who were able to give a valuable contribution to the discussion about possible funding sources and stakeholders or organisations that are able to help with the FGLF. </w:t>
      </w:r>
      <w:r w:rsidR="00B847E3" w:rsidRPr="001F0161">
        <w:rPr>
          <w:color w:val="000000"/>
          <w:lang w:val="en-GB"/>
        </w:rPr>
        <w:t>Obilor</w:t>
      </w:r>
      <w:bookmarkStart w:id="60" w:name="_GoBack"/>
      <w:bookmarkEnd w:id="60"/>
      <w:r w:rsidR="00B847E3">
        <w:rPr>
          <w:color w:val="000000"/>
          <w:lang w:val="en-GB"/>
        </w:rPr>
        <w:t xml:space="preserve"> (</w:t>
      </w:r>
      <w:r w:rsidR="00B847E3" w:rsidRPr="001F0161">
        <w:rPr>
          <w:color w:val="000000"/>
          <w:lang w:val="en-GB"/>
        </w:rPr>
        <w:t>2023</w:t>
      </w:r>
      <w:r w:rsidR="00B847E3">
        <w:rPr>
          <w:color w:val="000000"/>
          <w:lang w:val="en-GB"/>
        </w:rPr>
        <w:t>) researched that p</w:t>
      </w:r>
      <w:r w:rsidRPr="001F0161">
        <w:rPr>
          <w:color w:val="000000"/>
          <w:lang w:val="en-GB"/>
        </w:rPr>
        <w:t>urposive sampling is especially suited for this study as it was an applied study to explore funding opportunities for an organisation which has a specific purpose. Random sampling of the general population could yield individuals that do not know much about NGO funding and thus may not be of much value. By sharing in purposeful selection, one is more likely to gather evidence that is relevant to the stated purpose of the research. </w:t>
      </w:r>
    </w:p>
    <w:p w14:paraId="65E07C2B" w14:textId="77777777" w:rsidR="000A0A20" w:rsidRPr="001F0161" w:rsidRDefault="000A0A20" w:rsidP="00973765">
      <w:pPr>
        <w:pStyle w:val="Heading2"/>
      </w:pPr>
      <w:bookmarkStart w:id="61" w:name="_Toc239424073"/>
      <w:r w:rsidRPr="001F0161">
        <w:rPr>
          <w:color w:val="000000"/>
        </w:rPr>
        <w:t>3.9 Data analysis technique</w:t>
      </w:r>
      <w:bookmarkEnd w:id="61"/>
      <w:r w:rsidRPr="001F0161">
        <w:rPr>
          <w:color w:val="000000"/>
        </w:rPr>
        <w:t> </w:t>
      </w:r>
    </w:p>
    <w:p w14:paraId="70087C19" w14:textId="147FE055" w:rsidR="000A0A20" w:rsidRPr="001F0161" w:rsidRDefault="003F4EB5" w:rsidP="00973765">
      <w:pPr>
        <w:pStyle w:val="NormalWeb"/>
        <w:spacing w:before="0" w:beforeAutospacing="0" w:after="0" w:afterAutospacing="0" w:line="360" w:lineRule="auto"/>
        <w:jc w:val="both"/>
        <w:rPr>
          <w:lang w:val="en-GB"/>
        </w:rPr>
      </w:pPr>
      <w:r>
        <w:rPr>
          <w:color w:val="000000"/>
          <w:lang w:val="en-GB"/>
        </w:rPr>
        <w:t xml:space="preserve">According to </w:t>
      </w:r>
      <w:r w:rsidRPr="001F0161">
        <w:rPr>
          <w:color w:val="000000"/>
          <w:lang w:val="en-GB"/>
        </w:rPr>
        <w:t xml:space="preserve">Creswell, and Inoue, </w:t>
      </w:r>
      <w:r>
        <w:rPr>
          <w:color w:val="000000"/>
          <w:lang w:val="en-GB"/>
        </w:rPr>
        <w:t>(</w:t>
      </w:r>
      <w:r w:rsidRPr="001F0161">
        <w:rPr>
          <w:color w:val="000000"/>
          <w:lang w:val="en-GB"/>
        </w:rPr>
        <w:t>2025</w:t>
      </w:r>
      <w:r>
        <w:rPr>
          <w:color w:val="000000"/>
          <w:lang w:val="en-GB"/>
        </w:rPr>
        <w:t>), d</w:t>
      </w:r>
      <w:r w:rsidR="000A0A20" w:rsidRPr="001F0161">
        <w:rPr>
          <w:color w:val="000000"/>
          <w:lang w:val="en-GB"/>
        </w:rPr>
        <w:t xml:space="preserve">ata analysis is the systematic process of organizing, interpreting and developing meaning from collected data. It is important to select the analytical </w:t>
      </w:r>
      <w:r w:rsidR="000A0A20" w:rsidRPr="001F0161">
        <w:rPr>
          <w:color w:val="000000"/>
          <w:lang w:val="en-GB"/>
        </w:rPr>
        <w:lastRenderedPageBreak/>
        <w:t>technique that is best suited to the type of data and research design. Descriptive statistics, correlation, regression and inferential tests can be used in quantitative studies and thematic analysis, content analysis, narrative analysis, and discourse analysis can be used in qualitative studies.</w:t>
      </w:r>
    </w:p>
    <w:p w14:paraId="108DBC4D" w14:textId="795EE7B5"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 xml:space="preserve">Thematic analysis has been used as the main qualitative data analysis technique in this study. </w:t>
      </w:r>
      <w:r w:rsidR="002B205A" w:rsidRPr="001F0161">
        <w:rPr>
          <w:color w:val="000000"/>
          <w:lang w:val="en-GB"/>
        </w:rPr>
        <w:t>Braun and Clarke</w:t>
      </w:r>
      <w:r w:rsidR="002B205A">
        <w:rPr>
          <w:color w:val="000000"/>
          <w:lang w:val="en-GB"/>
        </w:rPr>
        <w:t xml:space="preserve"> (</w:t>
      </w:r>
      <w:r w:rsidR="002B205A" w:rsidRPr="001F0161">
        <w:rPr>
          <w:color w:val="000000"/>
          <w:lang w:val="en-GB"/>
        </w:rPr>
        <w:t>2024</w:t>
      </w:r>
      <w:r w:rsidR="002B205A">
        <w:rPr>
          <w:color w:val="000000"/>
          <w:lang w:val="en-GB"/>
        </w:rPr>
        <w:t>) found that t</w:t>
      </w:r>
      <w:r w:rsidRPr="001F0161">
        <w:rPr>
          <w:color w:val="000000"/>
          <w:lang w:val="en-GB"/>
        </w:rPr>
        <w:t>hematic analysis is a popular technique for identifying, structuring and comprehending repeated themes of meaning in qualitative data. The technique can be used for exploratory work as the themes will be revealed based on the responses of the participants and not be pre-defined. The analysis is structured and organized in a systematic manner. The responses that have been collected have been reviewed and to establish a familiarisation with the evidence, first. Secondly, statements and response patterns that are relevant have been detected. Third, themes have been designed according to patterns, and their categories. Lastly, the themes have been examined and checked against the research aim and objectives to see that the analysis is still pertinent to the research problem. Themes are directly linked to the action orientation of the study which is the financial and organisational support for people who cannot access it. There has also been an examination of the relationship between the participants' responses with respect to those found in the literature. </w:t>
      </w:r>
    </w:p>
    <w:p w14:paraId="287D9B22" w14:textId="6728CC0B" w:rsidR="000A0A20" w:rsidRPr="001F0161" w:rsidRDefault="0047191D" w:rsidP="00973765">
      <w:pPr>
        <w:pStyle w:val="NormalWeb"/>
        <w:spacing w:before="0" w:beforeAutospacing="0" w:after="0" w:afterAutospacing="0" w:line="360" w:lineRule="auto"/>
        <w:jc w:val="both"/>
        <w:rPr>
          <w:lang w:val="en-GB"/>
        </w:rPr>
      </w:pPr>
      <w:r>
        <w:rPr>
          <w:color w:val="000000"/>
          <w:lang w:val="en-GB"/>
        </w:rPr>
        <w:t xml:space="preserve">As per </w:t>
      </w:r>
      <w:r w:rsidRPr="001F0161">
        <w:rPr>
          <w:color w:val="000000"/>
          <w:lang w:val="en-GB"/>
        </w:rPr>
        <w:t>Braun, and Clark</w:t>
      </w:r>
      <w:r>
        <w:rPr>
          <w:color w:val="000000"/>
          <w:lang w:val="en-GB"/>
        </w:rPr>
        <w:t xml:space="preserve"> (</w:t>
      </w:r>
      <w:r w:rsidRPr="001F0161">
        <w:rPr>
          <w:color w:val="000000"/>
          <w:lang w:val="en-GB"/>
        </w:rPr>
        <w:t>2024</w:t>
      </w:r>
      <w:r>
        <w:rPr>
          <w:color w:val="000000"/>
          <w:lang w:val="en-GB"/>
        </w:rPr>
        <w:t>), t</w:t>
      </w:r>
      <w:r w:rsidR="000A0A20" w:rsidRPr="001F0161">
        <w:rPr>
          <w:color w:val="000000"/>
          <w:lang w:val="en-GB"/>
        </w:rPr>
        <w:t xml:space="preserve">hematic analysis acts as a linkage between the empirical answers and the theoretical framework. Instead of looking at individual answers, there are some common patterns between the participants, each pattern is interpreted with respect to the organisational funding needs of FGLF. Seven of the questions on the questionnaire are </w:t>
      </w:r>
      <w:r w:rsidR="00FF6E8B" w:rsidRPr="001F0161">
        <w:rPr>
          <w:color w:val="000000"/>
          <w:lang w:val="en-GB"/>
        </w:rPr>
        <w:t>open</w:t>
      </w:r>
      <w:r w:rsidR="000A0A20" w:rsidRPr="001F0161">
        <w:rPr>
          <w:color w:val="000000"/>
          <w:lang w:val="en-GB"/>
        </w:rPr>
        <w:t>-ended, so that the responses have also been structured systematically in terms of the response categories predesigned in the questionnaire. The structured responses give comparative evidence between participants and the face-to-face interview context gives qualitative evidence as the participants give explanation/exploration of their responses. Emphasis in analysis is on pattern detection and identification of meaningful patterns linking to the study objectives and not on statistical generalisations.</w:t>
      </w:r>
    </w:p>
    <w:p w14:paraId="75B533ED" w14:textId="77777777" w:rsidR="000A0A20" w:rsidRPr="001F0161" w:rsidRDefault="000A0A20" w:rsidP="00973765">
      <w:pPr>
        <w:pStyle w:val="Heading2"/>
      </w:pPr>
      <w:bookmarkStart w:id="62" w:name="_Toc239424074"/>
      <w:r w:rsidRPr="001F0161">
        <w:rPr>
          <w:color w:val="000000"/>
        </w:rPr>
        <w:t>3.10 Research reliability and validity</w:t>
      </w:r>
      <w:bookmarkEnd w:id="62"/>
      <w:r w:rsidRPr="001F0161">
        <w:rPr>
          <w:color w:val="000000"/>
        </w:rPr>
        <w:t> </w:t>
      </w:r>
    </w:p>
    <w:p w14:paraId="4395FD5D" w14:textId="2299C0F2" w:rsidR="000A0A20" w:rsidRPr="001F0161" w:rsidRDefault="00034924" w:rsidP="00973765">
      <w:pPr>
        <w:pStyle w:val="NormalWeb"/>
        <w:spacing w:before="0" w:beforeAutospacing="0" w:after="0" w:afterAutospacing="0" w:line="360" w:lineRule="auto"/>
        <w:jc w:val="both"/>
        <w:rPr>
          <w:lang w:val="en-GB"/>
        </w:rPr>
      </w:pPr>
      <w:r w:rsidRPr="001F0161">
        <w:rPr>
          <w:color w:val="000000"/>
          <w:lang w:val="en-GB"/>
        </w:rPr>
        <w:t>Olmsted</w:t>
      </w:r>
      <w:r>
        <w:rPr>
          <w:color w:val="000000"/>
          <w:lang w:val="en-GB"/>
        </w:rPr>
        <w:t xml:space="preserve"> (</w:t>
      </w:r>
      <w:r w:rsidRPr="001F0161">
        <w:rPr>
          <w:color w:val="000000"/>
          <w:lang w:val="en-GB"/>
        </w:rPr>
        <w:t>2024</w:t>
      </w:r>
      <w:r>
        <w:rPr>
          <w:color w:val="000000"/>
          <w:lang w:val="en-GB"/>
        </w:rPr>
        <w:t>) found that r</w:t>
      </w:r>
      <w:r w:rsidR="000A0A20" w:rsidRPr="001F0161">
        <w:rPr>
          <w:color w:val="000000"/>
          <w:lang w:val="en-GB"/>
        </w:rPr>
        <w:t xml:space="preserve">eliability and validity are important considerations in research quality. Reliability is related to the consistency of the research process; validity is related to the suitability of the research methods to investigate the research problem. </w:t>
      </w:r>
      <w:r w:rsidR="0021453A">
        <w:rPr>
          <w:color w:val="000000"/>
          <w:lang w:val="en-GB"/>
        </w:rPr>
        <w:t xml:space="preserve">As per </w:t>
      </w:r>
      <w:r w:rsidR="0021453A" w:rsidRPr="001F0161">
        <w:rPr>
          <w:color w:val="000000"/>
          <w:lang w:val="en-GB"/>
        </w:rPr>
        <w:t>Olmsted</w:t>
      </w:r>
      <w:r w:rsidR="0021453A">
        <w:rPr>
          <w:color w:val="000000"/>
          <w:lang w:val="en-GB"/>
        </w:rPr>
        <w:t xml:space="preserve"> (</w:t>
      </w:r>
      <w:r w:rsidR="0021453A" w:rsidRPr="001F0161">
        <w:rPr>
          <w:color w:val="000000"/>
          <w:lang w:val="en-GB"/>
        </w:rPr>
        <w:t>2024</w:t>
      </w:r>
      <w:r w:rsidR="0021453A">
        <w:rPr>
          <w:color w:val="000000"/>
          <w:lang w:val="en-GB"/>
        </w:rPr>
        <w:t xml:space="preserve">), </w:t>
      </w:r>
      <w:r w:rsidR="0021453A">
        <w:rPr>
          <w:color w:val="000000"/>
          <w:lang w:val="en-GB"/>
        </w:rPr>
        <w:lastRenderedPageBreak/>
        <w:t>e</w:t>
      </w:r>
      <w:r w:rsidR="000A0A20" w:rsidRPr="001F0161">
        <w:rPr>
          <w:color w:val="000000"/>
          <w:lang w:val="en-GB"/>
        </w:rPr>
        <w:t xml:space="preserve">quivalent concerns are generally referred to in qualitative research as trustworthiness such as credibility, dependability, confirmability, and transferability. </w:t>
      </w:r>
      <w:r w:rsidR="00650912" w:rsidRPr="001F0161">
        <w:rPr>
          <w:color w:val="000000"/>
          <w:lang w:val="en-GB"/>
        </w:rPr>
        <w:t>Rathore</w:t>
      </w:r>
      <w:r w:rsidR="00650912">
        <w:rPr>
          <w:color w:val="000000"/>
          <w:lang w:val="en-GB"/>
        </w:rPr>
        <w:t xml:space="preserve"> (</w:t>
      </w:r>
      <w:r w:rsidR="00650912" w:rsidRPr="001F0161">
        <w:rPr>
          <w:color w:val="000000"/>
          <w:lang w:val="en-GB"/>
        </w:rPr>
        <w:t>2022</w:t>
      </w:r>
      <w:r w:rsidR="00650912">
        <w:rPr>
          <w:color w:val="000000"/>
          <w:lang w:val="en-GB"/>
        </w:rPr>
        <w:t>) studied that c</w:t>
      </w:r>
      <w:r w:rsidR="000A0A20" w:rsidRPr="001F0161">
        <w:rPr>
          <w:color w:val="000000"/>
          <w:lang w:val="en-GB"/>
        </w:rPr>
        <w:t>onsistency in the process of data collection has been attempted to achieve the trustworthiness of this study. The participants have been approached with the same core seven-question questionnaire, therefore there was no unwanted variance in the approach to the questioning</w:t>
      </w:r>
      <w:r w:rsidR="009D7A87" w:rsidRPr="001F0161">
        <w:rPr>
          <w:color w:val="000000"/>
          <w:lang w:val="en-GB"/>
        </w:rPr>
        <w:t xml:space="preserve"> </w:t>
      </w:r>
      <w:r w:rsidR="009D7A87" w:rsidRPr="001F0161">
        <w:rPr>
          <w:i/>
          <w:iCs/>
          <w:color w:val="000000"/>
          <w:lang w:val="en-GB"/>
        </w:rPr>
        <w:t>[Refer to Appendix 1]</w:t>
      </w:r>
      <w:r w:rsidR="000A0A20" w:rsidRPr="001F0161">
        <w:rPr>
          <w:i/>
          <w:iCs/>
          <w:color w:val="000000"/>
          <w:lang w:val="en-GB"/>
        </w:rPr>
        <w:t>. </w:t>
      </w:r>
    </w:p>
    <w:p w14:paraId="6C25B2C6" w14:textId="112C27B6" w:rsidR="000A0A20" w:rsidRPr="001F0161" w:rsidRDefault="000A0A20" w:rsidP="00973765">
      <w:pPr>
        <w:pStyle w:val="NormalWeb"/>
        <w:spacing w:before="0" w:beforeAutospacing="0" w:after="0" w:afterAutospacing="0" w:line="360" w:lineRule="auto"/>
        <w:jc w:val="both"/>
        <w:rPr>
          <w:lang w:val="en-GB"/>
        </w:rPr>
      </w:pPr>
      <w:r w:rsidRPr="001F0161">
        <w:rPr>
          <w:color w:val="000000"/>
          <w:lang w:val="en-GB"/>
        </w:rPr>
        <w:t>This has added to the credibility since these are primary data obtained directly from the participants pertaining to the source of funding. Maintaining a clear linkage between research goals, themes in the questionnaire and analytical themes have enhanced the dependability.</w:t>
      </w:r>
      <w:r w:rsidR="00C324ED" w:rsidRPr="00C324ED">
        <w:rPr>
          <w:color w:val="000000"/>
          <w:lang w:val="en-GB"/>
        </w:rPr>
        <w:t xml:space="preserve"> </w:t>
      </w:r>
      <w:r w:rsidR="00C324ED" w:rsidRPr="001F0161">
        <w:rPr>
          <w:color w:val="000000"/>
          <w:lang w:val="en-GB"/>
        </w:rPr>
        <w:t>Rathore</w:t>
      </w:r>
      <w:r w:rsidR="00C324ED">
        <w:rPr>
          <w:color w:val="000000"/>
          <w:lang w:val="en-GB"/>
        </w:rPr>
        <w:t xml:space="preserve"> (</w:t>
      </w:r>
      <w:r w:rsidR="00C324ED" w:rsidRPr="001F0161">
        <w:rPr>
          <w:color w:val="000000"/>
          <w:lang w:val="en-GB"/>
        </w:rPr>
        <w:t>2022</w:t>
      </w:r>
      <w:r w:rsidR="00C324ED">
        <w:rPr>
          <w:color w:val="000000"/>
          <w:lang w:val="en-GB"/>
        </w:rPr>
        <w:t>) found that c</w:t>
      </w:r>
      <w:r w:rsidRPr="001F0161">
        <w:rPr>
          <w:color w:val="000000"/>
          <w:lang w:val="en-GB"/>
        </w:rPr>
        <w:t>onfirmability has been taken into account by ensuring that interpretations are based on the participants' responses and not based on assumptions. The term “transferability” has been discussed in terms of the organisational context of FGLF, the selection of participants and the methodological processes.</w:t>
      </w:r>
    </w:p>
    <w:p w14:paraId="7D483589" w14:textId="77777777" w:rsidR="000A0A20" w:rsidRPr="001F0161" w:rsidRDefault="000A0A20" w:rsidP="00973765">
      <w:pPr>
        <w:pStyle w:val="Heading2"/>
      </w:pPr>
      <w:bookmarkStart w:id="63" w:name="_Toc239424075"/>
      <w:r w:rsidRPr="001F0161">
        <w:rPr>
          <w:color w:val="000000"/>
        </w:rPr>
        <w:t>3.11 Ethical considerations</w:t>
      </w:r>
      <w:bookmarkEnd w:id="63"/>
      <w:r w:rsidRPr="001F0161">
        <w:rPr>
          <w:color w:val="000000"/>
        </w:rPr>
        <w:t> </w:t>
      </w:r>
    </w:p>
    <w:p w14:paraId="1E4A2E93" w14:textId="0BC46D53" w:rsidR="00245BC1" w:rsidRPr="001F0161" w:rsidRDefault="000A0A20" w:rsidP="00973765">
      <w:pPr>
        <w:pStyle w:val="NormalWeb"/>
        <w:spacing w:before="0" w:beforeAutospacing="0" w:after="0" w:afterAutospacing="0" w:line="360" w:lineRule="auto"/>
        <w:jc w:val="both"/>
        <w:rPr>
          <w:color w:val="000000"/>
          <w:lang w:val="en-GB"/>
        </w:rPr>
      </w:pPr>
      <w:r w:rsidRPr="001F0161">
        <w:rPr>
          <w:color w:val="000000"/>
          <w:lang w:val="en-GB"/>
        </w:rPr>
        <w:t xml:space="preserve">Ethical issues are essential in human research studies. </w:t>
      </w:r>
      <w:proofErr w:type="spellStart"/>
      <w:r w:rsidR="009877A1" w:rsidRPr="001F0161">
        <w:rPr>
          <w:color w:val="000000"/>
          <w:lang w:val="en-GB"/>
        </w:rPr>
        <w:t>Drolet</w:t>
      </w:r>
      <w:proofErr w:type="spellEnd"/>
      <w:r w:rsidR="009877A1" w:rsidRPr="001F0161">
        <w:rPr>
          <w:color w:val="000000"/>
          <w:lang w:val="en-GB"/>
        </w:rPr>
        <w:t xml:space="preserve"> et al. </w:t>
      </w:r>
      <w:r w:rsidR="009877A1">
        <w:rPr>
          <w:color w:val="000000"/>
          <w:lang w:val="en-GB"/>
        </w:rPr>
        <w:t>(</w:t>
      </w:r>
      <w:r w:rsidR="009877A1" w:rsidRPr="001F0161">
        <w:rPr>
          <w:color w:val="000000"/>
          <w:lang w:val="en-GB"/>
        </w:rPr>
        <w:t>2023</w:t>
      </w:r>
      <w:r w:rsidR="009877A1">
        <w:rPr>
          <w:color w:val="000000"/>
          <w:lang w:val="en-GB"/>
        </w:rPr>
        <w:t>) observed that p</w:t>
      </w:r>
      <w:r w:rsidRPr="001F0161">
        <w:rPr>
          <w:color w:val="000000"/>
          <w:lang w:val="en-GB"/>
        </w:rPr>
        <w:t xml:space="preserve">rinciples include informed consent, voluntary participation, confidentiality, anonymity, privacy, protection from harm and responsible data management.  This study was carried out in full accordance with these principles. Face-to-face questionnaires were administered after securing informed consent from participants, so that they were informed about the academic purpose of the study, the nature of the questions and that their involvement in the study was voluntary. </w:t>
      </w:r>
    </w:p>
    <w:p w14:paraId="03F1094D" w14:textId="77777777" w:rsidR="00245BC1" w:rsidRPr="004774D7" w:rsidRDefault="00245BC1" w:rsidP="00973765">
      <w:pPr>
        <w:pStyle w:val="NormalWeb"/>
        <w:spacing w:before="0" w:beforeAutospacing="0" w:after="0" w:afterAutospacing="0" w:line="360" w:lineRule="auto"/>
        <w:jc w:val="center"/>
        <w:rPr>
          <w:lang w:val="en-GB"/>
        </w:rPr>
      </w:pPr>
      <w:r w:rsidRPr="004F072D">
        <w:rPr>
          <w:noProof/>
          <w:lang w:bidi="gu-IN"/>
        </w:rPr>
        <w:drawing>
          <wp:inline distT="0" distB="0" distL="0" distR="0" wp14:anchorId="3FC80546" wp14:editId="777F37C7">
            <wp:extent cx="3549832" cy="193049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49832" cy="1930499"/>
                    </a:xfrm>
                    <a:prstGeom prst="rect">
                      <a:avLst/>
                    </a:prstGeom>
                  </pic:spPr>
                </pic:pic>
              </a:graphicData>
            </a:graphic>
          </wp:inline>
        </w:drawing>
      </w:r>
    </w:p>
    <w:p w14:paraId="50FE75A3" w14:textId="1AB5A6CB" w:rsidR="00245BC1" w:rsidRPr="004774D7" w:rsidRDefault="00245BC1" w:rsidP="00973765">
      <w:pPr>
        <w:pStyle w:val="Heading4"/>
      </w:pPr>
      <w:r w:rsidRPr="004774D7">
        <w:t>Figure 3.11: Research ethics</w:t>
      </w:r>
    </w:p>
    <w:p w14:paraId="00061219" w14:textId="0E5EDC0F" w:rsidR="00245BC1" w:rsidRPr="004774D7" w:rsidRDefault="00245BC1" w:rsidP="00973765">
      <w:pPr>
        <w:pStyle w:val="NormalWeb"/>
        <w:spacing w:before="0" w:beforeAutospacing="0" w:after="0" w:afterAutospacing="0" w:line="360" w:lineRule="auto"/>
        <w:jc w:val="center"/>
        <w:rPr>
          <w:lang w:val="en-GB"/>
        </w:rPr>
      </w:pPr>
      <w:r w:rsidRPr="004774D7">
        <w:rPr>
          <w:lang w:val="en-GB"/>
        </w:rPr>
        <w:t xml:space="preserve">(Source: </w:t>
      </w:r>
      <w:r w:rsidRPr="004774D7">
        <w:rPr>
          <w:color w:val="000000"/>
          <w:lang w:val="en-GB"/>
        </w:rPr>
        <w:t>Drolet et al. 2023</w:t>
      </w:r>
      <w:r w:rsidRPr="004774D7">
        <w:rPr>
          <w:lang w:val="en-GB"/>
        </w:rPr>
        <w:t>)</w:t>
      </w:r>
    </w:p>
    <w:p w14:paraId="563AC047" w14:textId="202AFA15" w:rsidR="000A0A20" w:rsidRPr="001F0161" w:rsidRDefault="000A0A20" w:rsidP="00973765">
      <w:pPr>
        <w:pStyle w:val="NormalWeb"/>
        <w:spacing w:before="0" w:beforeAutospacing="0" w:after="0" w:afterAutospacing="0" w:line="360" w:lineRule="auto"/>
        <w:jc w:val="both"/>
        <w:rPr>
          <w:lang w:val="en-GB"/>
        </w:rPr>
      </w:pPr>
      <w:r w:rsidRPr="005E6381">
        <w:rPr>
          <w:color w:val="000000"/>
          <w:lang w:val="en-GB"/>
        </w:rPr>
        <w:lastRenderedPageBreak/>
        <w:t>No pressure to participate or to provide</w:t>
      </w:r>
      <w:r w:rsidRPr="001F0161">
        <w:rPr>
          <w:color w:val="000000"/>
          <w:lang w:val="en-GB"/>
        </w:rPr>
        <w:t xml:space="preserve"> information participants were not comfortable with.  </w:t>
      </w:r>
      <w:proofErr w:type="spellStart"/>
      <w:r w:rsidR="009655DB" w:rsidRPr="001F0161">
        <w:rPr>
          <w:color w:val="000000"/>
          <w:lang w:val="en-GB"/>
        </w:rPr>
        <w:t>Drolet</w:t>
      </w:r>
      <w:proofErr w:type="spellEnd"/>
      <w:r w:rsidR="009655DB" w:rsidRPr="001F0161">
        <w:rPr>
          <w:color w:val="000000"/>
          <w:lang w:val="en-GB"/>
        </w:rPr>
        <w:t xml:space="preserve"> et al. </w:t>
      </w:r>
      <w:r w:rsidR="009655DB">
        <w:rPr>
          <w:color w:val="000000"/>
          <w:lang w:val="en-GB"/>
        </w:rPr>
        <w:t>(</w:t>
      </w:r>
      <w:r w:rsidR="009655DB" w:rsidRPr="001F0161">
        <w:rPr>
          <w:color w:val="000000"/>
          <w:lang w:val="en-GB"/>
        </w:rPr>
        <w:t>2023</w:t>
      </w:r>
      <w:r w:rsidR="009655DB">
        <w:rPr>
          <w:color w:val="000000"/>
          <w:lang w:val="en-GB"/>
        </w:rPr>
        <w:t xml:space="preserve">) found that </w:t>
      </w:r>
      <w:r w:rsidR="00687318">
        <w:rPr>
          <w:color w:val="000000"/>
          <w:lang w:val="en-GB"/>
        </w:rPr>
        <w:t>c</w:t>
      </w:r>
      <w:r w:rsidRPr="001F0161">
        <w:rPr>
          <w:color w:val="000000"/>
          <w:lang w:val="en-GB"/>
        </w:rPr>
        <w:t>onfidentiality and anonymity were respected when presenting opinions on raises of NGO funding, corporate relationships, and organizational challenges, in order to protect professional relationships. The information was presented only in a manner that excluded personal specifics, and participant responses were interpreted as their own, rather than as factual organizational information. Moreover, data was managed responsibly, transparently and without manipulation, with analytical integrity and protection of participants.</w:t>
      </w:r>
    </w:p>
    <w:p w14:paraId="26EF5935" w14:textId="77777777" w:rsidR="000A0A20" w:rsidRPr="001F0161" w:rsidRDefault="000A0A20" w:rsidP="00973765">
      <w:pPr>
        <w:pStyle w:val="Heading2"/>
      </w:pPr>
      <w:bookmarkStart w:id="64" w:name="_Toc239424076"/>
      <w:r w:rsidRPr="001F0161">
        <w:rPr>
          <w:color w:val="000000"/>
        </w:rPr>
        <w:t>3.12 Research limitations and mitigation strategy</w:t>
      </w:r>
      <w:bookmarkEnd w:id="64"/>
      <w:r w:rsidRPr="001F0161">
        <w:rPr>
          <w:color w:val="000000"/>
        </w:rPr>
        <w:t> </w:t>
      </w:r>
    </w:p>
    <w:p w14:paraId="473E11EE" w14:textId="3E37688D" w:rsidR="000A0A20" w:rsidRPr="001F0161" w:rsidRDefault="000A0A20" w:rsidP="00973765">
      <w:pPr>
        <w:pStyle w:val="NormalWeb"/>
        <w:spacing w:before="0" w:beforeAutospacing="0" w:after="0" w:afterAutospacing="0" w:line="360" w:lineRule="auto"/>
        <w:jc w:val="both"/>
        <w:rPr>
          <w:color w:val="000000"/>
          <w:lang w:val="en-GB"/>
        </w:rPr>
      </w:pPr>
      <w:r w:rsidRPr="001F0161">
        <w:rPr>
          <w:color w:val="000000"/>
          <w:lang w:val="en-GB"/>
        </w:rPr>
        <w:t xml:space="preserve">The study, like all other research designs, has some methodological drawbacks. First, the sample size of 5 prevents a broad point of view and limits the extent to which the findings can be statistically generalized over all NGOs or donor organizations. Second, there is a possibility of selection bias due to participants' level of knowledge about NGO funding. Third, the degree of qualitative depth is lessened, </w:t>
      </w:r>
      <w:r w:rsidR="00374EDB" w:rsidRPr="001F0161">
        <w:rPr>
          <w:color w:val="000000"/>
          <w:lang w:val="en-GB"/>
        </w:rPr>
        <w:t>then</w:t>
      </w:r>
      <w:r w:rsidRPr="001F0161">
        <w:rPr>
          <w:color w:val="000000"/>
          <w:lang w:val="en-GB"/>
        </w:rPr>
        <w:t xml:space="preserve"> in a longer semi-structured interview.  These were tried to be minimised by selecting participants with strict relevance requirements. The same questionnaire was always used, thematic interpretation was always linked with the research aims and the organizational context was always described in such a way that it can be evaluated on its own level of applicability.</w:t>
      </w:r>
    </w:p>
    <w:p w14:paraId="3342C2D6" w14:textId="77777777" w:rsidR="000A0A20" w:rsidRPr="001F0161" w:rsidRDefault="000A0A20" w:rsidP="00973765">
      <w:pPr>
        <w:pStyle w:val="Heading2"/>
      </w:pPr>
      <w:bookmarkStart w:id="65" w:name="_Toc239424077"/>
      <w:r w:rsidRPr="001F0161">
        <w:rPr>
          <w:color w:val="000000"/>
        </w:rPr>
        <w:t>3.13 Chapter summary</w:t>
      </w:r>
      <w:bookmarkEnd w:id="65"/>
      <w:r w:rsidRPr="001F0161">
        <w:rPr>
          <w:color w:val="000000"/>
        </w:rPr>
        <w:t> </w:t>
      </w:r>
    </w:p>
    <w:p w14:paraId="23394A62" w14:textId="20ABC915" w:rsidR="00493D3C" w:rsidRPr="001F0161" w:rsidRDefault="000A0A20" w:rsidP="00973765">
      <w:pPr>
        <w:pStyle w:val="NormalWeb"/>
        <w:spacing w:before="0" w:beforeAutospacing="0" w:after="0" w:afterAutospacing="0" w:line="360" w:lineRule="auto"/>
        <w:jc w:val="both"/>
        <w:rPr>
          <w:color w:val="000000"/>
          <w:lang w:val="en-GB"/>
        </w:rPr>
      </w:pPr>
      <w:r w:rsidRPr="001F0161">
        <w:rPr>
          <w:color w:val="000000"/>
          <w:lang w:val="en-GB"/>
        </w:rPr>
        <w:t xml:space="preserve">The chapter provided the methodological tools that were utilized to research the funding challenges that First Generation Leadership Foundation faced. The methodology used in the study was interpretivist, inductive, exploratory design and case-study strategy. Qualitative data collected through </w:t>
      </w:r>
      <w:r w:rsidR="00374EDB" w:rsidRPr="001F0161">
        <w:rPr>
          <w:color w:val="000000"/>
          <w:lang w:val="en-GB"/>
        </w:rPr>
        <w:t>face-to-face</w:t>
      </w:r>
      <w:r w:rsidRPr="001F0161">
        <w:rPr>
          <w:color w:val="000000"/>
          <w:lang w:val="en-GB"/>
        </w:rPr>
        <w:t xml:space="preserve"> questionnaires of five purposefully selected participants was analysed by using thematic analysis. Addressing quality measures, ethical issues and methodological limitations to ensure practical recommendations</w:t>
      </w:r>
      <w:r w:rsidR="001D709E" w:rsidRPr="001F0161">
        <w:rPr>
          <w:color w:val="000000"/>
          <w:lang w:val="en-GB"/>
        </w:rPr>
        <w:t>.</w:t>
      </w:r>
    </w:p>
    <w:p w14:paraId="794DEC43" w14:textId="77777777" w:rsidR="00493D3C" w:rsidRPr="001F0161" w:rsidRDefault="00493D3C" w:rsidP="00973765">
      <w:pPr>
        <w:spacing w:line="360" w:lineRule="auto"/>
        <w:rPr>
          <w:rFonts w:ascii="Times New Roman" w:eastAsia="Times New Roman" w:hAnsi="Times New Roman" w:cs="Times New Roman"/>
          <w:color w:val="000000"/>
          <w:sz w:val="24"/>
          <w:szCs w:val="24"/>
          <w:lang w:eastAsia="en-IN"/>
        </w:rPr>
      </w:pPr>
      <w:r w:rsidRPr="001F0161">
        <w:rPr>
          <w:rFonts w:ascii="Times New Roman" w:hAnsi="Times New Roman" w:cs="Times New Roman"/>
          <w:color w:val="000000"/>
        </w:rPr>
        <w:br w:type="page"/>
      </w:r>
    </w:p>
    <w:p w14:paraId="647DEACD" w14:textId="77777777" w:rsidR="00493D3C" w:rsidRPr="004F072D" w:rsidRDefault="00493D3C" w:rsidP="00973765">
      <w:pPr>
        <w:pStyle w:val="Heading1"/>
      </w:pPr>
      <w:bookmarkStart w:id="66" w:name="_Toc239424078"/>
      <w:r w:rsidRPr="001F0161">
        <w:rPr>
          <w:color w:val="000000"/>
        </w:rPr>
        <w:lastRenderedPageBreak/>
        <w:t>CHAPTER 4: RESULTS, FINDINGS, AND ANALYSIS</w:t>
      </w:r>
      <w:bookmarkEnd w:id="66"/>
    </w:p>
    <w:p w14:paraId="4DA5AB3D" w14:textId="77777777" w:rsidR="00493D3C" w:rsidRPr="004774D7" w:rsidRDefault="00493D3C" w:rsidP="00973765">
      <w:pPr>
        <w:pStyle w:val="Heading2"/>
      </w:pPr>
      <w:bookmarkStart w:id="67" w:name="_Toc239424079"/>
      <w:r w:rsidRPr="004774D7">
        <w:rPr>
          <w:color w:val="000000"/>
        </w:rPr>
        <w:t>4.1 Introduction</w:t>
      </w:r>
      <w:bookmarkEnd w:id="67"/>
      <w:r w:rsidRPr="004774D7">
        <w:rPr>
          <w:color w:val="000000"/>
        </w:rPr>
        <w:t> </w:t>
      </w:r>
    </w:p>
    <w:p w14:paraId="67A72B29"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The main qualitative data gathered from the five purposefully chosen research participants are presented and assessed in this chapter. The findings are organized in a reflexive thematic analysis which can be divided into five interrelated themes: alternative funding mechanisms, internal operational restructuring, preservation of mission, strategic partnerships and adaptive leadership competencies. The analysis assesses participant reflections on mobilizing domestic resources, rationalizing costs, leveraging volunteers, and safeguarding against mission drift in governance. The perspectives above are examined with the lenses of the Resource Dependence Theory, Institutional Theory and Stewardship Theory, which provides an understanding of the challenges of maintaining a balance between operational resilience and structural efficiency while protecting a non-profit's social mission to first-generation learners.</w:t>
      </w:r>
    </w:p>
    <w:p w14:paraId="132FA23B" w14:textId="77777777" w:rsidR="00493D3C" w:rsidRPr="004774D7" w:rsidRDefault="00493D3C" w:rsidP="00973765">
      <w:pPr>
        <w:pStyle w:val="Heading2"/>
      </w:pPr>
      <w:bookmarkStart w:id="68" w:name="_Toc239424080"/>
      <w:r w:rsidRPr="004774D7">
        <w:rPr>
          <w:color w:val="000000"/>
        </w:rPr>
        <w:t>4.2 Results</w:t>
      </w:r>
      <w:bookmarkEnd w:id="68"/>
      <w:r w:rsidRPr="004774D7">
        <w:rPr>
          <w:color w:val="000000"/>
        </w:rPr>
        <w:t> </w:t>
      </w:r>
    </w:p>
    <w:tbl>
      <w:tblPr>
        <w:tblW w:w="0" w:type="auto"/>
        <w:jc w:val="center"/>
        <w:tblCellMar>
          <w:top w:w="15" w:type="dxa"/>
          <w:left w:w="15" w:type="dxa"/>
          <w:bottom w:w="15" w:type="dxa"/>
          <w:right w:w="15" w:type="dxa"/>
        </w:tblCellMar>
        <w:tblLook w:val="04A0" w:firstRow="1" w:lastRow="0" w:firstColumn="1" w:lastColumn="0" w:noHBand="0" w:noVBand="1"/>
      </w:tblPr>
      <w:tblGrid>
        <w:gridCol w:w="3219"/>
        <w:gridCol w:w="6341"/>
      </w:tblGrid>
      <w:tr w:rsidR="00493D3C" w:rsidRPr="004F072D" w14:paraId="417002EC" w14:textId="77777777" w:rsidTr="005E32F8">
        <w:trPr>
          <w:trHeight w:val="44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F7F36" w14:textId="77777777" w:rsidR="00493D3C" w:rsidRPr="004F072D" w:rsidRDefault="00493D3C" w:rsidP="00973765">
            <w:pPr>
              <w:pStyle w:val="NormalWeb"/>
              <w:spacing w:before="0" w:beforeAutospacing="0" w:after="0" w:afterAutospacing="0" w:line="360" w:lineRule="auto"/>
              <w:jc w:val="both"/>
              <w:rPr>
                <w:lang w:val="en-GB"/>
              </w:rPr>
            </w:pPr>
            <w:r w:rsidRPr="004F072D">
              <w:rPr>
                <w:b/>
                <w:bCs/>
                <w:color w:val="000000"/>
                <w:lang w:val="en-GB"/>
              </w:rPr>
              <w:t>Theme 1: Alternative Funding &amp; Resource Mobilization</w:t>
            </w:r>
          </w:p>
        </w:tc>
      </w:tr>
      <w:tr w:rsidR="00493D3C" w:rsidRPr="004F072D" w14:paraId="68BEE888"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CFC71"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What are the current sources of income and what other means of funding (such as domestic philanthropy, CSR partnerships, government grants, etc.) could be mobilized to support and sustain core programs such as scholarships and competitive exam preparation?</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D3353"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R1: Internationally funded projects were once a core part of our strategy, but the phase out of foreign aid led us to switch quickly to regional and local High-Net-Worth Individual (HNWI) donors and domestic CSR grants that were aligned to educational equity.</w:t>
            </w:r>
          </w:p>
          <w:p w14:paraId="0206BA71" w14:textId="77777777" w:rsidR="00493D3C" w:rsidRPr="004774D7" w:rsidRDefault="00493D3C" w:rsidP="00973765">
            <w:pPr>
              <w:spacing w:line="360" w:lineRule="auto"/>
              <w:rPr>
                <w:rFonts w:ascii="Times New Roman" w:hAnsi="Times New Roman" w:cs="Times New Roman"/>
              </w:rPr>
            </w:pPr>
          </w:p>
          <w:p w14:paraId="572B4456"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R2: At present, our main funding sources are individual philanthropy and pooled micro-donations through our urban networks for our competitive coaching batches.</w:t>
            </w:r>
          </w:p>
          <w:p w14:paraId="31E9756E" w14:textId="77777777" w:rsidR="00493D3C" w:rsidRPr="004774D7" w:rsidRDefault="00493D3C" w:rsidP="00973765">
            <w:pPr>
              <w:spacing w:line="360" w:lineRule="auto"/>
              <w:rPr>
                <w:rFonts w:ascii="Times New Roman" w:hAnsi="Times New Roman" w:cs="Times New Roman"/>
              </w:rPr>
            </w:pPr>
          </w:p>
          <w:p w14:paraId="644AD3CD"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R3: CSR partnerships under statutory requirements are the most feasible source of capital, but are only available if there is evidence of institutional fit and measurable impact measures.</w:t>
            </w:r>
          </w:p>
          <w:p w14:paraId="25AC4D52" w14:textId="77777777" w:rsidR="00493D3C" w:rsidRPr="004774D7" w:rsidRDefault="00493D3C" w:rsidP="00973765">
            <w:pPr>
              <w:spacing w:line="360" w:lineRule="auto"/>
              <w:rPr>
                <w:rFonts w:ascii="Times New Roman" w:hAnsi="Times New Roman" w:cs="Times New Roman"/>
              </w:rPr>
            </w:pPr>
          </w:p>
          <w:p w14:paraId="5E1F0134"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 xml:space="preserve">R4: In addition to the basic charity, we are organizing corporate foundation grants that are exclusively for test preparation </w:t>
            </w:r>
            <w:r w:rsidRPr="004F072D">
              <w:rPr>
                <w:color w:val="000000"/>
                <w:lang w:val="en-GB"/>
              </w:rPr>
              <w:lastRenderedPageBreak/>
              <w:t>materials and merit-based (plus a means test) student stipends.</w:t>
            </w:r>
          </w:p>
          <w:p w14:paraId="667E0D7E" w14:textId="77777777" w:rsidR="00493D3C" w:rsidRPr="004774D7" w:rsidRDefault="00493D3C" w:rsidP="00973765">
            <w:pPr>
              <w:spacing w:line="360" w:lineRule="auto"/>
              <w:rPr>
                <w:rFonts w:ascii="Times New Roman" w:hAnsi="Times New Roman" w:cs="Times New Roman"/>
              </w:rPr>
            </w:pPr>
          </w:p>
          <w:p w14:paraId="0CD8804E"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R5: Continually utilising assets from the educational grants provided by both the state and municipalities, and also having digital fundraising drives for specific scholarships.</w:t>
            </w:r>
          </w:p>
        </w:tc>
      </w:tr>
      <w:tr w:rsidR="00493D3C" w:rsidRPr="004F072D" w14:paraId="4FEB0DAD"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B8C15"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lastRenderedPageBreak/>
              <w:t>In terms of operation, are market-driven or earned income (like fee-for-service workshops or social enterprise arms) viable for grassroots non-profits and in what ways are they?</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6A0A4D" w14:textId="74A3BA3D"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 xml:space="preserve">R1: They can only exist in a cross-subsidization model, where they offer diversity training to </w:t>
            </w:r>
            <w:r w:rsidR="005E32F8" w:rsidRPr="004F072D">
              <w:rPr>
                <w:color w:val="000000"/>
                <w:lang w:val="en-GB"/>
              </w:rPr>
              <w:t>high-net-worth</w:t>
            </w:r>
            <w:r w:rsidRPr="004F072D">
              <w:rPr>
                <w:color w:val="000000"/>
                <w:lang w:val="en-GB"/>
              </w:rPr>
              <w:t xml:space="preserve"> institutions at a different rate of engagement than grassroots coaching, which is entirely free.</w:t>
            </w:r>
          </w:p>
          <w:p w14:paraId="5819EB70" w14:textId="77777777" w:rsidR="00493D3C" w:rsidRPr="004774D7" w:rsidRDefault="00493D3C" w:rsidP="00973765">
            <w:pPr>
              <w:spacing w:line="360" w:lineRule="auto"/>
              <w:rPr>
                <w:rFonts w:ascii="Times New Roman" w:hAnsi="Times New Roman" w:cs="Times New Roman"/>
              </w:rPr>
            </w:pPr>
          </w:p>
          <w:p w14:paraId="7569FBC1" w14:textId="47F00732"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R2: It is impractical to charge a direct fee for service to marginalised sanitation worker</w:t>
            </w:r>
            <w:r w:rsidR="00CF2298" w:rsidRPr="004F072D">
              <w:rPr>
                <w:color w:val="000000"/>
                <w:lang w:val="en-GB"/>
              </w:rPr>
              <w:t xml:space="preserve"> (Valmiki)</w:t>
            </w:r>
            <w:r w:rsidRPr="004F072D">
              <w:rPr>
                <w:color w:val="000000"/>
                <w:lang w:val="en-GB"/>
              </w:rPr>
              <w:t xml:space="preserve"> households because this does not align with our core principles and is a barrier to accessing the target group.</w:t>
            </w:r>
          </w:p>
          <w:p w14:paraId="7DEC13AB" w14:textId="77777777" w:rsidR="00493D3C" w:rsidRPr="004774D7" w:rsidRDefault="00493D3C" w:rsidP="00973765">
            <w:pPr>
              <w:spacing w:line="360" w:lineRule="auto"/>
              <w:rPr>
                <w:rFonts w:ascii="Times New Roman" w:hAnsi="Times New Roman" w:cs="Times New Roman"/>
              </w:rPr>
            </w:pPr>
          </w:p>
          <w:p w14:paraId="64BB915D"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R3: Establish a second social business side for career consulting services for corporations that can provide unrestricted funds to support our core mentoring programs.</w:t>
            </w:r>
          </w:p>
          <w:p w14:paraId="0AC47B93" w14:textId="77777777" w:rsidR="00493D3C" w:rsidRPr="004774D7" w:rsidRDefault="00493D3C" w:rsidP="00973765">
            <w:pPr>
              <w:spacing w:line="360" w:lineRule="auto"/>
              <w:rPr>
                <w:rFonts w:ascii="Times New Roman" w:hAnsi="Times New Roman" w:cs="Times New Roman"/>
              </w:rPr>
            </w:pPr>
          </w:p>
          <w:p w14:paraId="2EC56143"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R4: Soft-skills and pedagogical modules sold to private colleges are well suited for earned income, where the profits go directly into the competitive exam resources.</w:t>
            </w:r>
          </w:p>
          <w:p w14:paraId="65311D48" w14:textId="77777777" w:rsidR="00493D3C" w:rsidRPr="004774D7" w:rsidRDefault="00493D3C" w:rsidP="00973765">
            <w:pPr>
              <w:spacing w:line="360" w:lineRule="auto"/>
              <w:rPr>
                <w:rFonts w:ascii="Times New Roman" w:hAnsi="Times New Roman" w:cs="Times New Roman"/>
              </w:rPr>
            </w:pPr>
          </w:p>
          <w:p w14:paraId="283D3A1C" w14:textId="77777777" w:rsidR="00493D3C" w:rsidRPr="004F072D" w:rsidRDefault="00493D3C" w:rsidP="00973765">
            <w:pPr>
              <w:pStyle w:val="NormalWeb"/>
              <w:spacing w:before="0" w:beforeAutospacing="0" w:after="0" w:afterAutospacing="0" w:line="360" w:lineRule="auto"/>
              <w:jc w:val="both"/>
              <w:rPr>
                <w:lang w:val="en-GB"/>
              </w:rPr>
            </w:pPr>
            <w:r w:rsidRPr="004F072D">
              <w:rPr>
                <w:color w:val="000000"/>
                <w:lang w:val="en-GB"/>
              </w:rPr>
              <w:t>R5: It provides a path out of donor dependency, but care must be taken to not over-extend staff capacity in commercial activities at the grassroots level.</w:t>
            </w:r>
          </w:p>
        </w:tc>
      </w:tr>
      <w:tr w:rsidR="00493D3C" w:rsidRPr="004F072D" w14:paraId="35DE2811" w14:textId="77777777" w:rsidTr="005E32F8">
        <w:trPr>
          <w:trHeight w:val="44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886F5" w14:textId="77777777" w:rsidR="00493D3C" w:rsidRPr="004F072D" w:rsidRDefault="00493D3C" w:rsidP="00973765">
            <w:pPr>
              <w:pStyle w:val="NormalWeb"/>
              <w:spacing w:before="0" w:beforeAutospacing="0" w:after="0" w:afterAutospacing="0" w:line="360" w:lineRule="auto"/>
              <w:jc w:val="both"/>
              <w:rPr>
                <w:lang w:val="en-GB"/>
              </w:rPr>
            </w:pPr>
            <w:r w:rsidRPr="004F072D">
              <w:rPr>
                <w:b/>
                <w:bCs/>
                <w:color w:val="000000"/>
                <w:lang w:val="en-GB"/>
              </w:rPr>
              <w:t>Theme 2: Internal Operational Restructuring &amp; Efficiency</w:t>
            </w:r>
          </w:p>
        </w:tc>
      </w:tr>
      <w:tr w:rsidR="00493D3C" w:rsidRPr="001F0161" w14:paraId="5E69E01E"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3DD75"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How has the organization made changes in their </w:t>
            </w:r>
            <w:r w:rsidRPr="001F0161">
              <w:rPr>
                <w:color w:val="000000"/>
                <w:lang w:val="en-GB"/>
              </w:rPr>
              <w:lastRenderedPageBreak/>
              <w:t>operations, staffing, and administrative expenditures to sustain program quality while operating on limited resources?</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439DB4"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lastRenderedPageBreak/>
              <w:t xml:space="preserve">R1: We moved on to a lean core administration team as our short-term special needs become project-based contracts, thus </w:t>
            </w:r>
            <w:r w:rsidRPr="001F0161">
              <w:rPr>
                <w:color w:val="000000"/>
                <w:lang w:val="en-GB"/>
              </w:rPr>
              <w:lastRenderedPageBreak/>
              <w:t>reducing the payroll costs significantly.</w:t>
            </w:r>
          </w:p>
          <w:p w14:paraId="0605F82F" w14:textId="77777777" w:rsidR="00493D3C" w:rsidRPr="004774D7" w:rsidRDefault="00493D3C" w:rsidP="00973765">
            <w:pPr>
              <w:spacing w:line="360" w:lineRule="auto"/>
              <w:rPr>
                <w:rFonts w:ascii="Times New Roman" w:hAnsi="Times New Roman" w:cs="Times New Roman"/>
              </w:rPr>
            </w:pPr>
          </w:p>
          <w:p w14:paraId="2E0EC4DE"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R2: Efficient operations were implemented with the use of hybrid and remote working, as well as the elimination of rent expenses and overhead utility costs.</w:t>
            </w:r>
          </w:p>
          <w:p w14:paraId="07A34F6B" w14:textId="77777777" w:rsidR="00493D3C" w:rsidRPr="004774D7" w:rsidRDefault="00493D3C" w:rsidP="00973765">
            <w:pPr>
              <w:spacing w:line="360" w:lineRule="auto"/>
              <w:rPr>
                <w:rFonts w:ascii="Times New Roman" w:hAnsi="Times New Roman" w:cs="Times New Roman"/>
              </w:rPr>
            </w:pPr>
          </w:p>
          <w:p w14:paraId="1F2A7C63"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R3: Competitive Exam preparations and scholarship unlocking was the focus of the entire school, with peripheral activities being cut out of the way.</w:t>
            </w:r>
          </w:p>
          <w:p w14:paraId="3BF2A480" w14:textId="77777777" w:rsidR="00493D3C" w:rsidRPr="004774D7" w:rsidRDefault="00493D3C" w:rsidP="00973765">
            <w:pPr>
              <w:spacing w:line="360" w:lineRule="auto"/>
              <w:rPr>
                <w:rFonts w:ascii="Times New Roman" w:hAnsi="Times New Roman" w:cs="Times New Roman"/>
              </w:rPr>
            </w:pPr>
          </w:p>
          <w:p w14:paraId="669DA7BA"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R4: Administrative costs have been optimised with its own legal, compliance, digital tools and shared within cooperative networks of allied grassroots NGOs.</w:t>
            </w:r>
          </w:p>
          <w:p w14:paraId="4938739F" w14:textId="77777777" w:rsidR="00493D3C" w:rsidRPr="004774D7" w:rsidRDefault="00493D3C" w:rsidP="00973765">
            <w:pPr>
              <w:spacing w:line="360" w:lineRule="auto"/>
              <w:rPr>
                <w:rFonts w:ascii="Times New Roman" w:hAnsi="Times New Roman" w:cs="Times New Roman"/>
              </w:rPr>
            </w:pPr>
          </w:p>
          <w:p w14:paraId="15B86791"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R5: The digitization of our tools and learning management systems gave us the ability to scale student outreach without proportionately increasing field staff salaries.</w:t>
            </w:r>
          </w:p>
        </w:tc>
      </w:tr>
      <w:tr w:rsidR="00493D3C" w:rsidRPr="001F0161" w14:paraId="7796C2D2"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C7D2D1"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lastRenderedPageBreak/>
              <w:t>What role do volunteer networks and community participation (including trained youth volunteers) play in terms of operational delivery and what role can non-financial assets have in minimizing the dependency on financial funding?</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F4F53" w14:textId="75180E38"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R1: Over 1,000 youth volunteers delivering 15,000+ hours </w:t>
            </w:r>
            <w:r w:rsidR="005E32F8" w:rsidRPr="001F0161">
              <w:rPr>
                <w:color w:val="000000"/>
                <w:lang w:val="en-GB"/>
              </w:rPr>
              <w:t>provide</w:t>
            </w:r>
            <w:r w:rsidRPr="001F0161">
              <w:rPr>
                <w:color w:val="000000"/>
                <w:lang w:val="en-GB"/>
              </w:rPr>
              <w:t xml:space="preserve"> a huge delivery engine in place of costly commercial coaching teams to deliver.</w:t>
            </w:r>
          </w:p>
          <w:p w14:paraId="61C31438" w14:textId="77777777" w:rsidR="00493D3C" w:rsidRPr="004774D7" w:rsidRDefault="00493D3C" w:rsidP="00973765">
            <w:pPr>
              <w:spacing w:line="360" w:lineRule="auto"/>
              <w:rPr>
                <w:rFonts w:ascii="Times New Roman" w:hAnsi="Times New Roman" w:cs="Times New Roman"/>
              </w:rPr>
            </w:pPr>
          </w:p>
          <w:p w14:paraId="13EB85EF"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R2: First-generation alumni come back as volunteer peer mentors thus establishing a sustainable and costless support system, built on lived empathy.</w:t>
            </w:r>
          </w:p>
          <w:p w14:paraId="4D7DD047" w14:textId="77777777" w:rsidR="00493D3C" w:rsidRPr="004774D7" w:rsidRDefault="00493D3C" w:rsidP="00973765">
            <w:pPr>
              <w:spacing w:line="360" w:lineRule="auto"/>
              <w:rPr>
                <w:rFonts w:ascii="Times New Roman" w:hAnsi="Times New Roman" w:cs="Times New Roman"/>
              </w:rPr>
            </w:pPr>
          </w:p>
          <w:p w14:paraId="6EAC254F"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R3: Assets that are not financial, such as free space in community halls and pro-bono digital infrastructure dramatically cut down on the need for hard liquid capital.</w:t>
            </w:r>
          </w:p>
          <w:p w14:paraId="5D2028A8" w14:textId="77777777" w:rsidR="00493D3C" w:rsidRPr="004774D7" w:rsidRDefault="00493D3C" w:rsidP="00973765">
            <w:pPr>
              <w:spacing w:line="360" w:lineRule="auto"/>
              <w:rPr>
                <w:rFonts w:ascii="Times New Roman" w:hAnsi="Times New Roman" w:cs="Times New Roman"/>
              </w:rPr>
            </w:pPr>
          </w:p>
          <w:p w14:paraId="35C490AB"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R4: Student volunteers who have been trained perform ground </w:t>
            </w:r>
            <w:r w:rsidRPr="001F0161">
              <w:rPr>
                <w:color w:val="000000"/>
                <w:lang w:val="en-GB"/>
              </w:rPr>
              <w:lastRenderedPageBreak/>
              <w:t>mobilization of students and record their verification tasks, which is a massive operational burden.</w:t>
            </w:r>
          </w:p>
          <w:p w14:paraId="50EECF94" w14:textId="77777777" w:rsidR="00493D3C" w:rsidRPr="004774D7" w:rsidRDefault="00493D3C" w:rsidP="00973765">
            <w:pPr>
              <w:spacing w:line="360" w:lineRule="auto"/>
              <w:rPr>
                <w:rFonts w:ascii="Times New Roman" w:hAnsi="Times New Roman" w:cs="Times New Roman"/>
              </w:rPr>
            </w:pPr>
          </w:p>
          <w:p w14:paraId="749E4A56"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R5: Community involvement creates local ownership and responsibility and empowers everyone to work out logistics and classroom monitoring for the classroom instead of relying on outside contractors.</w:t>
            </w:r>
          </w:p>
        </w:tc>
      </w:tr>
      <w:tr w:rsidR="00493D3C" w:rsidRPr="001F0161" w14:paraId="0168434A" w14:textId="77777777" w:rsidTr="005E32F8">
        <w:trPr>
          <w:trHeight w:val="44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CDC9C" w14:textId="77777777" w:rsidR="00493D3C" w:rsidRPr="001F0161" w:rsidRDefault="00493D3C" w:rsidP="00973765">
            <w:pPr>
              <w:pStyle w:val="NormalWeb"/>
              <w:spacing w:before="0" w:beforeAutospacing="0" w:after="0" w:afterAutospacing="0" w:line="360" w:lineRule="auto"/>
              <w:jc w:val="both"/>
              <w:rPr>
                <w:lang w:val="en-GB"/>
              </w:rPr>
            </w:pPr>
            <w:r w:rsidRPr="001F0161">
              <w:rPr>
                <w:b/>
                <w:bCs/>
                <w:color w:val="000000"/>
                <w:lang w:val="en-GB"/>
              </w:rPr>
              <w:lastRenderedPageBreak/>
              <w:t>Theme 3: Mission Preservation &amp; Stakeholder Alignment</w:t>
            </w:r>
          </w:p>
        </w:tc>
      </w:tr>
      <w:tr w:rsidR="00493D3C" w:rsidRPr="001F0161" w14:paraId="7A43AD12"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A0FAE"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In the process of seeking out additional corporate or institutional support, how does the institution make sure that the donor's mission does not interfere with its core social mission of supporting first generation students from marginalized groups?</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68369F"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R1: We have in place high values-based governance frameworks that will not accept any corporate funding that asks us to drop the focus on marginalised groups.</w:t>
            </w:r>
          </w:p>
          <w:p w14:paraId="7E041769" w14:textId="77777777" w:rsidR="00493D3C" w:rsidRPr="004774D7" w:rsidRDefault="00493D3C" w:rsidP="00973765">
            <w:pPr>
              <w:spacing w:line="360" w:lineRule="auto"/>
              <w:rPr>
                <w:rFonts w:ascii="Times New Roman" w:hAnsi="Times New Roman" w:cs="Times New Roman"/>
              </w:rPr>
            </w:pPr>
          </w:p>
          <w:p w14:paraId="7E030EB0"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R2: As per our community leadership, programmatic decision and pedagogy will continue to be the sole responsibility of our community leadership as per transparency of MoUs.</w:t>
            </w:r>
          </w:p>
          <w:p w14:paraId="565781FA" w14:textId="77777777" w:rsidR="00493D3C" w:rsidRPr="004774D7" w:rsidRDefault="00493D3C" w:rsidP="00973765">
            <w:pPr>
              <w:spacing w:line="360" w:lineRule="auto"/>
              <w:rPr>
                <w:rFonts w:ascii="Times New Roman" w:hAnsi="Times New Roman" w:cs="Times New Roman"/>
              </w:rPr>
            </w:pPr>
          </w:p>
          <w:p w14:paraId="76224063"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R3: We require our board to do stewardship vetting for all prospective donors, to make sure they are after "true" social empowerment and not superficial "marketing campaigns" and brand PR.</w:t>
            </w:r>
          </w:p>
          <w:p w14:paraId="1B0D1DBD" w14:textId="77777777" w:rsidR="00493D3C" w:rsidRPr="004774D7" w:rsidRDefault="00493D3C" w:rsidP="00973765">
            <w:pPr>
              <w:spacing w:line="360" w:lineRule="auto"/>
              <w:rPr>
                <w:rFonts w:ascii="Times New Roman" w:hAnsi="Times New Roman" w:cs="Times New Roman"/>
              </w:rPr>
            </w:pPr>
          </w:p>
          <w:p w14:paraId="613A943B"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R4: We have a multi-donor house to avoid any single donor from becoming our strategic master.</w:t>
            </w:r>
          </w:p>
          <w:p w14:paraId="1F557A98" w14:textId="77777777" w:rsidR="00493D3C" w:rsidRPr="004774D7" w:rsidRDefault="00493D3C" w:rsidP="00973765">
            <w:pPr>
              <w:spacing w:line="360" w:lineRule="auto"/>
              <w:rPr>
                <w:rFonts w:ascii="Times New Roman" w:hAnsi="Times New Roman" w:cs="Times New Roman"/>
              </w:rPr>
            </w:pPr>
          </w:p>
          <w:p w14:paraId="2D4CE6EC"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R5: Beneficiary advisory committees are part of the program reviews and are designed to put student needs above donor preferences.</w:t>
            </w:r>
          </w:p>
        </w:tc>
      </w:tr>
      <w:tr w:rsidR="00493D3C" w:rsidRPr="001F0161" w14:paraId="49A3F21F" w14:textId="77777777" w:rsidTr="005E32F8">
        <w:trPr>
          <w:trHeight w:val="44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3745E" w14:textId="77777777" w:rsidR="00493D3C" w:rsidRPr="001F0161" w:rsidRDefault="00493D3C" w:rsidP="00973765">
            <w:pPr>
              <w:pStyle w:val="NormalWeb"/>
              <w:spacing w:before="0" w:beforeAutospacing="0" w:after="0" w:afterAutospacing="0" w:line="360" w:lineRule="auto"/>
              <w:jc w:val="both"/>
              <w:rPr>
                <w:lang w:val="en-GB"/>
              </w:rPr>
            </w:pPr>
            <w:r w:rsidRPr="001F0161">
              <w:rPr>
                <w:b/>
                <w:bCs/>
                <w:color w:val="000000"/>
                <w:lang w:val="en-GB"/>
              </w:rPr>
              <w:t>Theme 4: Strategic Partnerships &amp; Local Collaboration</w:t>
            </w:r>
          </w:p>
        </w:tc>
      </w:tr>
      <w:tr w:rsidR="00493D3C" w:rsidRPr="001F0161" w14:paraId="4837DAD1"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C5D0A"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lastRenderedPageBreak/>
              <w:t>What role can share partnerships (MoU) with municipal school boards and university affiliated colleges play in meeting funding constraints and providing wider community outreach?</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A10F0"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R1: Access to public school infrastructure is available through the formal MoUs as it allows us to access the real estate and classroom capital cost of the schools directly.</w:t>
            </w:r>
          </w:p>
          <w:p w14:paraId="78C8ABE3" w14:textId="77777777" w:rsidR="00493D3C" w:rsidRPr="004774D7" w:rsidRDefault="00493D3C" w:rsidP="00973765">
            <w:pPr>
              <w:spacing w:line="360" w:lineRule="auto"/>
              <w:rPr>
                <w:rFonts w:ascii="Times New Roman" w:hAnsi="Times New Roman" w:cs="Times New Roman"/>
              </w:rPr>
            </w:pPr>
          </w:p>
          <w:p w14:paraId="45772876"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R2: The Universities are affiliated with colleges, so that it can create a continuous supply of good students from the University, who are willing to work as an academic tutor.</w:t>
            </w:r>
          </w:p>
          <w:p w14:paraId="07582098" w14:textId="77777777" w:rsidR="00493D3C" w:rsidRPr="004774D7" w:rsidRDefault="00493D3C" w:rsidP="00973765">
            <w:pPr>
              <w:spacing w:line="360" w:lineRule="auto"/>
              <w:rPr>
                <w:rFonts w:ascii="Times New Roman" w:hAnsi="Times New Roman" w:cs="Times New Roman"/>
              </w:rPr>
            </w:pPr>
          </w:p>
          <w:p w14:paraId="5AE72602" w14:textId="4009E06F"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R3: Municipal tie-ups provide city-wide institutional acceptance which allows municipal administration to clear the way for identifying marginalised </w:t>
            </w:r>
            <w:r w:rsidR="005E32F8" w:rsidRPr="001F0161">
              <w:rPr>
                <w:color w:val="000000"/>
                <w:lang w:val="en-GB"/>
              </w:rPr>
              <w:t>first-generation</w:t>
            </w:r>
            <w:r w:rsidRPr="001F0161">
              <w:rPr>
                <w:color w:val="000000"/>
                <w:lang w:val="en-GB"/>
              </w:rPr>
              <w:t xml:space="preserve"> learners across the city.</w:t>
            </w:r>
          </w:p>
          <w:p w14:paraId="70A9FCCE" w14:textId="77777777" w:rsidR="00493D3C" w:rsidRPr="004774D7" w:rsidRDefault="00493D3C" w:rsidP="00973765">
            <w:pPr>
              <w:spacing w:line="360" w:lineRule="auto"/>
              <w:rPr>
                <w:rFonts w:ascii="Times New Roman" w:hAnsi="Times New Roman" w:cs="Times New Roman"/>
              </w:rPr>
            </w:pPr>
          </w:p>
          <w:p w14:paraId="4454621F"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R4: Institutional partnerships to use library and computer lab for joint use with the benefit of providing high technology exam training at virtually zero overhead.</w:t>
            </w:r>
          </w:p>
          <w:p w14:paraId="74451FB1" w14:textId="77777777" w:rsidR="00493D3C" w:rsidRPr="004774D7" w:rsidRDefault="00493D3C" w:rsidP="00973765">
            <w:pPr>
              <w:spacing w:line="360" w:lineRule="auto"/>
              <w:rPr>
                <w:rFonts w:ascii="Times New Roman" w:hAnsi="Times New Roman" w:cs="Times New Roman"/>
              </w:rPr>
            </w:pPr>
          </w:p>
          <w:p w14:paraId="1ADDC0BD"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R5: These alliances are collaborative and can be a system of resource pooling, where several stakeholders can compensate for their own budget problems.</w:t>
            </w:r>
          </w:p>
        </w:tc>
      </w:tr>
      <w:tr w:rsidR="00493D3C" w:rsidRPr="001F0161" w14:paraId="1DEE1F2E" w14:textId="77777777" w:rsidTr="005E32F8">
        <w:trPr>
          <w:trHeight w:val="440"/>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25AB2" w14:textId="77777777" w:rsidR="00493D3C" w:rsidRPr="001F0161" w:rsidRDefault="00493D3C" w:rsidP="00973765">
            <w:pPr>
              <w:pStyle w:val="NormalWeb"/>
              <w:spacing w:before="0" w:beforeAutospacing="0" w:after="0" w:afterAutospacing="0" w:line="360" w:lineRule="auto"/>
              <w:jc w:val="both"/>
              <w:rPr>
                <w:lang w:val="en-GB"/>
              </w:rPr>
            </w:pPr>
            <w:r w:rsidRPr="001F0161">
              <w:rPr>
                <w:b/>
                <w:bCs/>
                <w:color w:val="000000"/>
                <w:lang w:val="en-GB"/>
              </w:rPr>
              <w:t>Theme 5: Strategic Leadership &amp; Financial Resilience</w:t>
            </w:r>
          </w:p>
        </w:tc>
      </w:tr>
      <w:tr w:rsidR="00493D3C" w:rsidRPr="001F0161" w14:paraId="30BAA3D6" w14:textId="77777777" w:rsidTr="005E32F8">
        <w:trPr>
          <w:jc w:val="center"/>
        </w:trPr>
        <w:tc>
          <w:tcPr>
            <w:tcW w:w="32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2EEA3F"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What are the essential leadership skills, decisions or system shifts that will make non-profits more financially resilient in a new era of austerity and rapidly shifting funding sources?</w:t>
            </w:r>
          </w:p>
        </w:tc>
        <w:tc>
          <w:tcPr>
            <w:tcW w:w="63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DD581D"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R1: Dynamic financial literacy and cash-flow agility of leaders is required to move out from dependency on foreign grants into diversified local models.</w:t>
            </w:r>
          </w:p>
          <w:p w14:paraId="4B8A3996" w14:textId="77777777" w:rsidR="00493D3C" w:rsidRPr="004774D7" w:rsidRDefault="00493D3C" w:rsidP="00973765">
            <w:pPr>
              <w:spacing w:line="360" w:lineRule="auto"/>
              <w:rPr>
                <w:rFonts w:ascii="Times New Roman" w:hAnsi="Times New Roman" w:cs="Times New Roman"/>
              </w:rPr>
            </w:pPr>
          </w:p>
          <w:p w14:paraId="10CFFC4C"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R2: Adaptive change management is crucial to maintain team morale as operational structures evolve amidst tight budgets.</w:t>
            </w:r>
          </w:p>
          <w:p w14:paraId="160EAA0E" w14:textId="77777777" w:rsidR="00493D3C" w:rsidRPr="004774D7" w:rsidRDefault="00493D3C" w:rsidP="00973765">
            <w:pPr>
              <w:spacing w:line="360" w:lineRule="auto"/>
              <w:rPr>
                <w:rFonts w:ascii="Times New Roman" w:hAnsi="Times New Roman" w:cs="Times New Roman"/>
              </w:rPr>
            </w:pPr>
          </w:p>
          <w:p w14:paraId="4B9EA8A3"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R3: The leaders need to learn to navigate the political terrain and negotiate across sectors to build mutually beneficial </w:t>
            </w:r>
            <w:r w:rsidRPr="001F0161">
              <w:rPr>
                <w:color w:val="000000"/>
                <w:lang w:val="en-GB"/>
              </w:rPr>
              <w:lastRenderedPageBreak/>
              <w:t>corporate/government alliances.</w:t>
            </w:r>
          </w:p>
          <w:p w14:paraId="20B84EFB" w14:textId="77777777" w:rsidR="00493D3C" w:rsidRPr="004774D7" w:rsidRDefault="00493D3C" w:rsidP="00973765">
            <w:pPr>
              <w:spacing w:line="360" w:lineRule="auto"/>
              <w:rPr>
                <w:rFonts w:ascii="Times New Roman" w:hAnsi="Times New Roman" w:cs="Times New Roman"/>
              </w:rPr>
            </w:pPr>
          </w:p>
          <w:p w14:paraId="59BABDE3"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R4: This is the relational shift from transactional to community stewardship for sustainable, mission aligned longevity.</w:t>
            </w:r>
          </w:p>
          <w:p w14:paraId="6C138AF9" w14:textId="77777777" w:rsidR="00493D3C" w:rsidRPr="004774D7" w:rsidRDefault="00493D3C" w:rsidP="00973765">
            <w:pPr>
              <w:spacing w:line="360" w:lineRule="auto"/>
              <w:rPr>
                <w:rFonts w:ascii="Times New Roman" w:hAnsi="Times New Roman" w:cs="Times New Roman"/>
              </w:rPr>
            </w:pPr>
          </w:p>
          <w:p w14:paraId="44C766AC"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R5: Executive decision makers need to adopt a strategic approach to the building of consortiums and social innovation, not at the cost of institutional values.</w:t>
            </w:r>
          </w:p>
        </w:tc>
      </w:tr>
    </w:tbl>
    <w:p w14:paraId="376FDE40" w14:textId="77777777" w:rsidR="00493D3C" w:rsidRPr="001F0161" w:rsidRDefault="00493D3C" w:rsidP="00973765">
      <w:pPr>
        <w:pStyle w:val="Heading2"/>
        <w:rPr>
          <w:color w:val="000000"/>
        </w:rPr>
      </w:pPr>
    </w:p>
    <w:p w14:paraId="032C09EF" w14:textId="67FEDCF7" w:rsidR="00493D3C" w:rsidRPr="001F0161" w:rsidRDefault="00493D3C" w:rsidP="00973765">
      <w:pPr>
        <w:pStyle w:val="Heading2"/>
      </w:pPr>
      <w:bookmarkStart w:id="69" w:name="_Toc239424081"/>
      <w:r w:rsidRPr="001F0161">
        <w:rPr>
          <w:color w:val="000000"/>
        </w:rPr>
        <w:t>4.3 Findings and Analysis</w:t>
      </w:r>
      <w:bookmarkEnd w:id="69"/>
      <w:r w:rsidRPr="001F0161">
        <w:rPr>
          <w:color w:val="000000"/>
        </w:rPr>
        <w:t> </w:t>
      </w:r>
    </w:p>
    <w:p w14:paraId="4B85CA59" w14:textId="77777777" w:rsidR="00493D3C" w:rsidRPr="001F0161" w:rsidRDefault="00493D3C" w:rsidP="00973765">
      <w:pPr>
        <w:pStyle w:val="Heading3"/>
      </w:pPr>
      <w:bookmarkStart w:id="70" w:name="_Toc239424082"/>
      <w:r w:rsidRPr="001F0161">
        <w:rPr>
          <w:i w:val="0"/>
          <w:iCs w:val="0"/>
          <w:color w:val="000000"/>
        </w:rPr>
        <w:t>Theme 1: Alternative Funding &amp; Resource Mobilization</w:t>
      </w:r>
      <w:bookmarkEnd w:id="70"/>
    </w:p>
    <w:p w14:paraId="66B09ED6" w14:textId="7EB846A4"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 reactions showed clearly that there was a definite swing towards domestic source mobilization to counteract foreign funding retrenchment. This is a structural shift, R1 noted, "internationally funded projects were once a core part of our strategy, but the phase out of foreign aid led us to switch quickly to regional and local High-Net-Worth Individual (HNWI) donors and domestic CSR grants that were aligned to educational equity." Supporting this local pivot, R2 affirmed that "our main funding sources are individual philanthropy and pooled micro-donations through our urban networks." But R3 stressed that statutory CSR partnerships could still be 'the most feasible source of capital' even if they require rigorous measures. In terms of the commercialisation, R2 highlighted that fee-for-service is "impractical to charge a direct fee for service to marginalised sanitation worker households" due to mission incongruence. As a result, participants strongly supported the hybrid models, with R1 suggesting to apply the principle of "cross-subsidization model" and R3 and R4 proposing to set up commercial consulting modules and </w:t>
      </w:r>
      <w:r w:rsidR="009C0343" w:rsidRPr="001F0161">
        <w:rPr>
          <w:color w:val="000000"/>
          <w:lang w:val="en-GB"/>
        </w:rPr>
        <w:t>fee-based</w:t>
      </w:r>
      <w:r w:rsidRPr="001F0161">
        <w:rPr>
          <w:color w:val="000000"/>
          <w:lang w:val="en-GB"/>
        </w:rPr>
        <w:t xml:space="preserve"> training to support subsistence core modules of grassroot programs without burdening the main beneficiaries. </w:t>
      </w:r>
    </w:p>
    <w:p w14:paraId="20CA54CE"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These empirical findings provide strong support from previous research in the field of structuring foreign aid and the need to localise the financing of non-profit organisations. Domestic philanthropy and community fundraising is seen by </w:t>
      </w:r>
      <w:proofErr w:type="spellStart"/>
      <w:r w:rsidRPr="001F0161">
        <w:rPr>
          <w:color w:val="000000"/>
          <w:lang w:val="en-GB"/>
        </w:rPr>
        <w:t>Murisa</w:t>
      </w:r>
      <w:proofErr w:type="spellEnd"/>
      <w:r w:rsidRPr="001F0161">
        <w:rPr>
          <w:color w:val="000000"/>
          <w:lang w:val="en-GB"/>
        </w:rPr>
        <w:t xml:space="preserve">, (2023) as a way to shield non-profits from fickle foreign funding, which resonates with R1 and R2's focus on local networks and cultivation of HNWIs. Moreover, the participants' attention has been drawn to CSR, which resonates with </w:t>
      </w:r>
      <w:proofErr w:type="spellStart"/>
      <w:r w:rsidRPr="001F0161">
        <w:rPr>
          <w:color w:val="000000"/>
          <w:lang w:val="en-GB"/>
        </w:rPr>
        <w:t>Valbuena</w:t>
      </w:r>
      <w:proofErr w:type="spellEnd"/>
      <w:r w:rsidRPr="001F0161">
        <w:rPr>
          <w:color w:val="000000"/>
          <w:lang w:val="en-GB"/>
        </w:rPr>
        <w:t>‐Hernandez and Ortiz‐de‐</w:t>
      </w:r>
      <w:proofErr w:type="spellStart"/>
      <w:r w:rsidRPr="001F0161">
        <w:rPr>
          <w:color w:val="000000"/>
          <w:lang w:val="en-GB"/>
        </w:rPr>
        <w:t>Mandojana</w:t>
      </w:r>
      <w:proofErr w:type="spellEnd"/>
      <w:r w:rsidRPr="001F0161">
        <w:rPr>
          <w:color w:val="000000"/>
          <w:lang w:val="en-GB"/>
        </w:rPr>
        <w:t xml:space="preserve">, (2022), who emphasize on </w:t>
      </w:r>
      <w:r w:rsidRPr="001F0161">
        <w:rPr>
          <w:color w:val="000000"/>
          <w:lang w:val="en-GB"/>
        </w:rPr>
        <w:lastRenderedPageBreak/>
        <w:t>corporate partnerships as significant development grants. R3's warning about institutional fit, however, comes across as a warning by Kristof‐Brown et al. (2023) about the complexity of fit and compliance. Acknowledging the market driven approaches, R2's stance on direct beneficiary fees also reinforces Kraft et al. (2024), who noted that initiatives of fee-for-service are not possible without purchasing power. These models of cross-subsidy, however, which R1, R3, and R4 articulate, overcome this friction by establishing how free community access can be maintained through income generated by commercial arms. As seen from the perspective of Resource Dependence Theory, these different strategies reduce the susceptibility to the environment while maximizing social equity.</w:t>
      </w:r>
    </w:p>
    <w:p w14:paraId="0D242D3E" w14:textId="77777777" w:rsidR="00493D3C" w:rsidRPr="004774D7" w:rsidRDefault="00493D3C" w:rsidP="00973765">
      <w:pPr>
        <w:pStyle w:val="Heading3"/>
      </w:pPr>
      <w:bookmarkStart w:id="71" w:name="_Toc239424083"/>
      <w:r w:rsidRPr="004774D7">
        <w:rPr>
          <w:i w:val="0"/>
          <w:iCs w:val="0"/>
          <w:color w:val="000000"/>
        </w:rPr>
        <w:t>Theme 2: Internal Operational Restructuring &amp; Efficiency</w:t>
      </w:r>
      <w:bookmarkEnd w:id="71"/>
    </w:p>
    <w:p w14:paraId="3FE86529" w14:textId="50594378"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 interview data show that structural rationalization and mobilization of assets other than monetary is crucial to operational survival. The other adjustments were made internally, R1 added, "we moved on to a lean core administration team as our short-term special needs become project-based contracts, thus reducing the payroll costs significantly." Supporting this lean approach, R2 noted that operational efficiency improved through "hybrid and remote working, as well as the elimination of rent expenses and overhead utility costs," while R3 reported that non-core tasks were eliminated so that "competitive Exam preparations and scholarship unlocking was the focus of the entire school." Moreover, participants used social capital to describe it as a direct alternative to funding. R1 emphasized that "over 1,000 youth volunteers delivering 15,000+ hours </w:t>
      </w:r>
      <w:r w:rsidR="009C0343" w:rsidRPr="001F0161">
        <w:rPr>
          <w:color w:val="000000"/>
          <w:lang w:val="en-GB"/>
        </w:rPr>
        <w:t>provide</w:t>
      </w:r>
      <w:r w:rsidRPr="001F0161">
        <w:rPr>
          <w:color w:val="000000"/>
          <w:lang w:val="en-GB"/>
        </w:rPr>
        <w:t xml:space="preserve"> a huge delivery engine in place of costly commercial coaching teams to deliver", which R2 complemented by observing that alumni mentors create a "costless support system, built on lived empathy."  </w:t>
      </w:r>
    </w:p>
    <w:p w14:paraId="517DB43A" w14:textId="51EF8B3C"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These results corroborate existing literature on non-profit management practice and on retrenchment strategies and cost containment in times of resource scarcity. Given budget constraints, Young et al. (2025) report</w:t>
      </w:r>
      <w:r w:rsidR="00C458CF">
        <w:rPr>
          <w:color w:val="000000"/>
          <w:lang w:val="en-GB"/>
        </w:rPr>
        <w:t>ed</w:t>
      </w:r>
      <w:r w:rsidRPr="001F0161">
        <w:rPr>
          <w:color w:val="000000"/>
          <w:lang w:val="en-GB"/>
        </w:rPr>
        <w:t xml:space="preserve"> that non-profit managers take administrative cuts, reduce staff, and cut programs. This directly contributes to R1, R2 and R3's actions to focus on core competencies and reduce fixed overheads. The respondents, however, mitigate this by working collaboratively through mechanisms and by using non-financial assets, thereby resisting "institutional depletion" which warns Irfan et al. (2023) can leave organizations under-resourced, and therefore under-resourced laborers subject to high staff burnouts. R4's emphasis on the sharing of legal and digital resources through allied grassroots non-profits is a direct result of the </w:t>
      </w:r>
      <w:r w:rsidRPr="001F0161">
        <w:rPr>
          <w:color w:val="000000"/>
          <w:lang w:val="en-GB"/>
        </w:rPr>
        <w:lastRenderedPageBreak/>
        <w:t>studies by Blake-Gilmore et al. (2023) on the effectiveness of administrative resource pooling and shared infrastructures. </w:t>
      </w:r>
    </w:p>
    <w:p w14:paraId="5E780935" w14:textId="77777777" w:rsidR="00493D3C" w:rsidRPr="004774D7" w:rsidRDefault="00493D3C" w:rsidP="00973765">
      <w:pPr>
        <w:pStyle w:val="Heading3"/>
      </w:pPr>
      <w:bookmarkStart w:id="72" w:name="_Toc239424084"/>
      <w:r w:rsidRPr="004774D7">
        <w:rPr>
          <w:i w:val="0"/>
          <w:iCs w:val="0"/>
          <w:color w:val="000000"/>
        </w:rPr>
        <w:t>Theme 3: Mission Preservation &amp; Stakeholder Alignment</w:t>
      </w:r>
      <w:bookmarkEnd w:id="72"/>
    </w:p>
    <w:p w14:paraId="3E0624EC" w14:textId="0B7E2D56"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Responses to the interview questions provide examples of proactive measures taken by institutions as a safeguard against commercial compromise to the core social goals. To tackle donor conditionality, R1 confirmed that "we have in place high values-based governance frameworks that will not accept any corporate funding that asks us to drop the focus on marginalised groups." Reinforcing this boundary, R2 stated that "programmatic decision and pedagogy will continue to be the sole responsibility of our community leadership as per transparency of MoUs," establishing clear legal demarcation. R3 highlighted the oversight role of leadership, noting that "we require our board to do stewardship vetting for all prospective donors, to make sure they are after 'true' social empowerment and not superficial 'marketing campaigns' and brand PR."</w:t>
      </w:r>
      <w:r w:rsidR="009C0343" w:rsidRPr="001F0161">
        <w:rPr>
          <w:color w:val="000000"/>
          <w:lang w:val="en-GB"/>
        </w:rPr>
        <w:t xml:space="preserve"> </w:t>
      </w:r>
      <w:r w:rsidRPr="001F0161">
        <w:rPr>
          <w:color w:val="000000"/>
          <w:lang w:val="en-GB"/>
        </w:rPr>
        <w:t>Moreover, R4 said revenue diversification is key so that no one donor is the "strategic master" because "we have a multi-donor house to avoid any single donor from becoming our strategic master," while R5 affirmed the voice of the learners is embedded in beneficiary committees, thus highlighting the importance of solving the needs of the learners rather than implementing the demands of the donor. </w:t>
      </w:r>
    </w:p>
    <w:p w14:paraId="0CC35671"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These basic results are in line with the previous research on managing “mission drift” in non-profit management. There is a particular concern that the commercialization of CSOs can result in programmatic shifts, as Gutheil, and Koch (2023) contend, that organizations can change programs to reflect the corporate sponsors they need. R1 and R2 are specific governance mechanisms that are crucial for counteracting this vulnerability, as asserted by </w:t>
      </w:r>
      <w:proofErr w:type="spellStart"/>
      <w:r w:rsidRPr="001F0161">
        <w:rPr>
          <w:color w:val="000000"/>
          <w:lang w:val="en-GB"/>
        </w:rPr>
        <w:t>Kasri</w:t>
      </w:r>
      <w:proofErr w:type="spellEnd"/>
      <w:r w:rsidRPr="001F0161">
        <w:rPr>
          <w:color w:val="000000"/>
          <w:lang w:val="en-GB"/>
        </w:rPr>
        <w:t xml:space="preserve"> et al. (2025) who conclude that when working across sectors, this involves values-based leadership and contractual redlines. Likewise, R3's request for donor check is in line with Meenakshi et al. (2026) who point out that ‘grassroots uplift' is often being overseen by marketing exposure and short-term PR driven by corporate interests. The vetting procedures set out in R3 are based on Stewardship Theory, showing that the heads of non-profit organizations are principled stewards who resist the temptation to do only what is financially profitable, and instead perform their duties to protect social mandates. Furthermore, R4’s approach directly validates Resource Dependence Theory (Jiang et al. 2023) in that having a diversified funding base will cause the external coercive power to drop. Lastly, R5 echoes the findings of Hasan (2025) and Golbspan </w:t>
      </w:r>
      <w:r w:rsidRPr="001F0161">
        <w:rPr>
          <w:color w:val="000000"/>
          <w:lang w:val="en-GB"/>
        </w:rPr>
        <w:lastRenderedPageBreak/>
        <w:t>Lutz et al. (2023), who found that when beneficiary governance is embedded it prioritises the community's priorities over the donor's priorities in a systematic manner.</w:t>
      </w:r>
    </w:p>
    <w:p w14:paraId="3CD7E553" w14:textId="77777777" w:rsidR="00493D3C" w:rsidRPr="004774D7" w:rsidRDefault="00493D3C" w:rsidP="00973765">
      <w:pPr>
        <w:pStyle w:val="Heading3"/>
      </w:pPr>
      <w:bookmarkStart w:id="73" w:name="_Toc239424085"/>
      <w:r w:rsidRPr="004774D7">
        <w:rPr>
          <w:i w:val="0"/>
          <w:iCs w:val="0"/>
          <w:color w:val="000000"/>
        </w:rPr>
        <w:t>Theme 4: Strategic Partnerships &amp; Local Collaboration</w:t>
      </w:r>
      <w:bookmarkEnd w:id="73"/>
    </w:p>
    <w:p w14:paraId="41856470" w14:textId="098E0F33"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Empirical evidence shows that inter-institutional linkages are important structural bridges for countering resource scarcity and increasing grassroots outreach. Access to the physical assets of schools is available through the formal MoU as "access to public school infrastructure is available through the formal MoUs as it allows us to access the real estate and classroom capital cost of the schools directly" R1 said, highlighting access to physical assets. R4 also noted this physical synergy, stating that "institutional partnerships to use library and computer lab for joint use with the benefit of providing high technology exam training at virtually zero overhead." In addition to infrastructural improvements, R2 noted that human capital is complemented by affiliations through which "a continuous supply of good students from the University, who are willing to work as an academic tutor." Furthermore, R3 also made a point of socio</w:t>
      </w:r>
      <w:r w:rsidR="00360522" w:rsidRPr="001F0161">
        <w:rPr>
          <w:color w:val="000000"/>
          <w:lang w:val="en-GB"/>
        </w:rPr>
        <w:t>-</w:t>
      </w:r>
      <w:r w:rsidRPr="001F0161">
        <w:rPr>
          <w:color w:val="000000"/>
          <w:lang w:val="en-GB"/>
        </w:rPr>
        <w:t xml:space="preserve">political access, stressing that "municipal tie-ups provide city-wide institutional acceptance which allows municipal administration to clear the way for identifying marginalised </w:t>
      </w:r>
      <w:r w:rsidR="005E32F8" w:rsidRPr="001F0161">
        <w:rPr>
          <w:color w:val="000000"/>
          <w:lang w:val="en-GB"/>
        </w:rPr>
        <w:t>first-generation</w:t>
      </w:r>
      <w:r w:rsidRPr="001F0161">
        <w:rPr>
          <w:color w:val="000000"/>
          <w:lang w:val="en-GB"/>
        </w:rPr>
        <w:t xml:space="preserve"> learners across the city," and R5 summarised these in saying "a system of resource pooling, where several stakeholders can compensate for their own budget problems."  </w:t>
      </w:r>
    </w:p>
    <w:p w14:paraId="356AFAE0" w14:textId="65AB0676"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 results provide a powerful endorsement of the body of research into sector partnerships, resource sharing, and strategic placement of non-profit initiatives. Much like R5 suggests shared partnerships that help fill budget gaps, </w:t>
      </w:r>
      <w:proofErr w:type="spellStart"/>
      <w:r w:rsidRPr="001F0161">
        <w:rPr>
          <w:color w:val="000000"/>
          <w:lang w:val="en-GB"/>
        </w:rPr>
        <w:t>Kolpakov</w:t>
      </w:r>
      <w:proofErr w:type="spellEnd"/>
      <w:r w:rsidRPr="001F0161">
        <w:rPr>
          <w:color w:val="000000"/>
          <w:lang w:val="en-GB"/>
        </w:rPr>
        <w:t xml:space="preserve"> et al. (2025) confirms non-profits must become more cooperative between sectors and resource-pooled as they no longer have enough funding to maintain competitive isolation. In the same vein, R1 and R4's findings on shared classrooms and digital infrastructure align with McGrath et al. (2025), showcasing the decline in fixed overhead costs when shared physical services become available in times of fiscal retrenchment. </w:t>
      </w:r>
      <w:proofErr w:type="spellStart"/>
      <w:r w:rsidRPr="001F0161">
        <w:rPr>
          <w:color w:val="000000"/>
          <w:lang w:val="en-GB"/>
        </w:rPr>
        <w:t>Risi</w:t>
      </w:r>
      <w:proofErr w:type="spellEnd"/>
      <w:r w:rsidRPr="001F0161">
        <w:rPr>
          <w:color w:val="000000"/>
          <w:lang w:val="en-GB"/>
        </w:rPr>
        <w:t xml:space="preserve"> et al. (2023) draw on Institutional Theory to explain that institutional acceptance, as mentioned by R3, is the aspects of formal municipal MoUs that give communities normative and coercive legitimacy, which has enabled community trust and administrative access for grassroots NGOs that is unavailable on a standalone basis. As per Resource Dependence Theory (</w:t>
      </w:r>
      <w:r w:rsidR="008464DD">
        <w:rPr>
          <w:color w:val="000000"/>
          <w:lang w:val="en-GB"/>
        </w:rPr>
        <w:t xml:space="preserve">as noted by </w:t>
      </w:r>
      <w:r w:rsidRPr="001F0161">
        <w:rPr>
          <w:color w:val="000000"/>
          <w:lang w:val="en-GB"/>
        </w:rPr>
        <w:t>Jiang et al., 2023), such strategic alliances are able to convert environmental dependencies into networks of collaboration, demonstrating that formal inter-organizational relationships can be an effective way of meeting external financial needs without an increase in operating costs.</w:t>
      </w:r>
    </w:p>
    <w:p w14:paraId="64272336" w14:textId="77777777" w:rsidR="00493D3C" w:rsidRPr="004774D7" w:rsidRDefault="00493D3C" w:rsidP="00973765">
      <w:pPr>
        <w:pStyle w:val="Heading3"/>
      </w:pPr>
      <w:bookmarkStart w:id="74" w:name="_Toc239424086"/>
      <w:r w:rsidRPr="004774D7">
        <w:rPr>
          <w:i w:val="0"/>
          <w:iCs w:val="0"/>
          <w:color w:val="000000"/>
        </w:rPr>
        <w:lastRenderedPageBreak/>
        <w:t>Theme 5: Strategic Leadership &amp; Financial Resilience</w:t>
      </w:r>
      <w:bookmarkEnd w:id="74"/>
    </w:p>
    <w:p w14:paraId="4C7EC587"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The participants' responses highlight the need to move away from traditional grant management towards more dynamic executive skills and values-based governance, as a result of the experience of financial retrenchment after the grants. On fiscal management, R1 said that "dynamic financial literacy and cash-flow agility of leaders is required to move out from dependency on foreign grants into diversified local models." R2 said a focus on team unity is essential in the context of restructuring, as "adaptive change management is crucial to maintain team morale as operational structures evolve amidst tight budgets." In addition, external stakeholder engagement proved to be a crucial leadership need as R3 pointed out that "the leaders need to learn to navigate the political terrain and negotiate across sectors to build mutually beneficial corporate/government alliances." Meanwhile, R4 identified an ideological transformation, finding "the relational shift from transactional to community stewardship for sustainable, mission aligned longevity," and R5 found executive leaders need to understand that they must value "consortiums and social innovation, not at the cost of institutional values."  </w:t>
      </w:r>
    </w:p>
    <w:p w14:paraId="366CB000"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The findings in this study are very similar to theoretical approaches found in the current literature in adaptive leadership and non-profit strategic resilience. But traditional non-profit administration, with only grant reporting, is not sufficient in the context of fluctuating funding, says Wilson and </w:t>
      </w:r>
      <w:proofErr w:type="spellStart"/>
      <w:r w:rsidRPr="001F0161">
        <w:rPr>
          <w:color w:val="000000"/>
          <w:lang w:val="en-GB"/>
        </w:rPr>
        <w:t>Knutsen</w:t>
      </w:r>
      <w:proofErr w:type="spellEnd"/>
      <w:r w:rsidRPr="001F0161">
        <w:rPr>
          <w:color w:val="000000"/>
          <w:lang w:val="en-GB"/>
        </w:rPr>
        <w:t xml:space="preserve"> (2022), echoing R1's interest in financial literacy and cash-flow agility. This financial focus is a direct validation of the financial insight which is seen as a necessary condition for a successful transition to diversified philanthropic, corporate and commercial revenue in the study conducted by </w:t>
      </w:r>
      <w:proofErr w:type="spellStart"/>
      <w:r w:rsidRPr="001F0161">
        <w:rPr>
          <w:color w:val="000000"/>
          <w:lang w:val="en-GB"/>
        </w:rPr>
        <w:t>Fathi</w:t>
      </w:r>
      <w:proofErr w:type="spellEnd"/>
      <w:r w:rsidRPr="001F0161">
        <w:rPr>
          <w:color w:val="000000"/>
          <w:lang w:val="en-GB"/>
        </w:rPr>
        <w:t xml:space="preserve"> et al. (2025). The negotiation skills listed by R3 likewise dovetail well with those discussed by Babugura et al. (2026) who argue that contemporary non-profit executives are required to be adept at navigating their relationships with diverse sectors and maintain autonomy for their organizations. Finally, R4 and R5 emphasise on the ethical boundary, as well as on relational stewardship, which support Stewardship Theory very well (Rouault and Albertini, 2022). </w:t>
      </w:r>
    </w:p>
    <w:p w14:paraId="02A8AF52" w14:textId="77777777" w:rsidR="00493D3C" w:rsidRPr="004774D7" w:rsidRDefault="00493D3C" w:rsidP="00973765">
      <w:pPr>
        <w:pStyle w:val="Heading2"/>
      </w:pPr>
      <w:bookmarkStart w:id="75" w:name="_Toc239424087"/>
      <w:r w:rsidRPr="004774D7">
        <w:rPr>
          <w:color w:val="000000"/>
        </w:rPr>
        <w:t>4.4 Discussion</w:t>
      </w:r>
      <w:bookmarkEnd w:id="75"/>
      <w:r w:rsidRPr="004774D7">
        <w:rPr>
          <w:color w:val="000000"/>
        </w:rPr>
        <w:t> </w:t>
      </w:r>
    </w:p>
    <w:p w14:paraId="359FD715" w14:textId="29D9A0FF" w:rsidR="008B3631" w:rsidRPr="001F0161" w:rsidRDefault="008B3631" w:rsidP="008520D7">
      <w:pPr>
        <w:pStyle w:val="NormalWeb"/>
        <w:spacing w:before="0" w:beforeAutospacing="0" w:after="0" w:afterAutospacing="0" w:line="360" w:lineRule="auto"/>
        <w:jc w:val="both"/>
        <w:rPr>
          <w:color w:val="000000"/>
          <w:lang w:val="en-GB"/>
        </w:rPr>
      </w:pPr>
      <w:r w:rsidRPr="001F0161">
        <w:rPr>
          <w:color w:val="000000"/>
          <w:lang w:val="en-GB"/>
        </w:rPr>
        <w:t xml:space="preserve">The empirical findings provide a picture of how grassroots organisations, in this case the FGLF, are dealing with foreign aid retrenchment at the system level and are still holding onto their agility, diversification, and values focus in fund procurement. This evidence indicates that FGLF is not a passive recipient of external contraction in fiscal activity, but rather is an active response </w:t>
      </w:r>
      <w:r w:rsidRPr="001F0161">
        <w:rPr>
          <w:color w:val="000000"/>
          <w:lang w:val="en-GB"/>
        </w:rPr>
        <w:lastRenderedPageBreak/>
        <w:t xml:space="preserve">to the scarcity of resources in the outside world, as viewed through the lens of Resource Dependence Theory. Rather, </w:t>
      </w:r>
      <w:proofErr w:type="spellStart"/>
      <w:r w:rsidR="0002009B" w:rsidRPr="001F0161">
        <w:rPr>
          <w:color w:val="000000"/>
          <w:lang w:val="en-GB"/>
        </w:rPr>
        <w:t>Faroque</w:t>
      </w:r>
      <w:proofErr w:type="spellEnd"/>
      <w:r w:rsidR="0002009B" w:rsidRPr="001F0161">
        <w:rPr>
          <w:color w:val="000000"/>
          <w:lang w:val="en-GB"/>
        </w:rPr>
        <w:t xml:space="preserve"> et al. </w:t>
      </w:r>
      <w:r w:rsidR="0002009B">
        <w:rPr>
          <w:color w:val="000000"/>
          <w:lang w:val="en-GB"/>
        </w:rPr>
        <w:t>(</w:t>
      </w:r>
      <w:r w:rsidR="0002009B" w:rsidRPr="001F0161">
        <w:rPr>
          <w:color w:val="000000"/>
          <w:lang w:val="en-GB"/>
        </w:rPr>
        <w:t>2022</w:t>
      </w:r>
      <w:r w:rsidR="0002009B">
        <w:rPr>
          <w:color w:val="000000"/>
          <w:lang w:val="en-GB"/>
        </w:rPr>
        <w:t xml:space="preserve">) found that </w:t>
      </w:r>
      <w:r w:rsidRPr="001F0161">
        <w:rPr>
          <w:color w:val="000000"/>
          <w:lang w:val="en-GB"/>
        </w:rPr>
        <w:t>the foundation's response to this rapid contraction of international grants is to foster nascent domestic philanthropy through the formation of its distinct structures, to enter into its statutory Corporate Social Responsibility (CSR) partnerships, and to create cross-subsidized social enterprise ventures. Most critically, FGLF does not impose direct user-fees on its main beneficiaries: the economically fragile households of the marginalized sanitation-worker communities (</w:t>
      </w:r>
      <w:proofErr w:type="spellStart"/>
      <w:r w:rsidRPr="001F0161">
        <w:rPr>
          <w:color w:val="000000"/>
          <w:lang w:val="en-GB"/>
        </w:rPr>
        <w:t>Valmikis</w:t>
      </w:r>
      <w:proofErr w:type="spellEnd"/>
      <w:r w:rsidRPr="001F0161">
        <w:rPr>
          <w:color w:val="000000"/>
          <w:lang w:val="en-GB"/>
        </w:rPr>
        <w:t xml:space="preserve">), whose emancipation is at the core of its social mission and who thus would be the very people it would alienate by imposing fees. </w:t>
      </w:r>
      <w:r w:rsidR="003043F5" w:rsidRPr="001F0161">
        <w:rPr>
          <w:color w:val="000000"/>
          <w:lang w:val="en-GB"/>
        </w:rPr>
        <w:t xml:space="preserve">Nursey-Bray et al. </w:t>
      </w:r>
      <w:r w:rsidR="003043F5">
        <w:rPr>
          <w:color w:val="000000"/>
          <w:lang w:val="en-GB"/>
        </w:rPr>
        <w:t>(</w:t>
      </w:r>
      <w:r w:rsidR="003043F5" w:rsidRPr="001F0161">
        <w:rPr>
          <w:color w:val="000000"/>
          <w:lang w:val="en-GB"/>
        </w:rPr>
        <w:t>2022</w:t>
      </w:r>
      <w:r w:rsidR="003043F5">
        <w:rPr>
          <w:color w:val="000000"/>
          <w:lang w:val="en-GB"/>
        </w:rPr>
        <w:t>) noted that i</w:t>
      </w:r>
      <w:r w:rsidRPr="001F0161">
        <w:rPr>
          <w:color w:val="000000"/>
          <w:lang w:val="en-GB"/>
        </w:rPr>
        <w:t xml:space="preserve">n order to balance financial sustainability and social justice, only external institutions are targeted for commercialized activities. </w:t>
      </w:r>
      <w:r w:rsidR="000E7209">
        <w:rPr>
          <w:color w:val="000000"/>
          <w:lang w:val="en-GB"/>
        </w:rPr>
        <w:t xml:space="preserve">As per </w:t>
      </w:r>
      <w:r w:rsidR="000E7209" w:rsidRPr="001F0161">
        <w:rPr>
          <w:color w:val="000000"/>
          <w:lang w:val="en-GB"/>
        </w:rPr>
        <w:t xml:space="preserve">Shelley et al. </w:t>
      </w:r>
      <w:r w:rsidR="000E7209">
        <w:rPr>
          <w:color w:val="000000"/>
          <w:lang w:val="en-GB"/>
        </w:rPr>
        <w:t>(</w:t>
      </w:r>
      <w:r w:rsidR="000E7209" w:rsidRPr="001F0161">
        <w:rPr>
          <w:color w:val="000000"/>
          <w:lang w:val="en-GB"/>
        </w:rPr>
        <w:t>2025</w:t>
      </w:r>
      <w:r w:rsidR="000E7209">
        <w:rPr>
          <w:color w:val="000000"/>
          <w:lang w:val="en-GB"/>
        </w:rPr>
        <w:t>), t</w:t>
      </w:r>
      <w:r w:rsidRPr="001F0161">
        <w:rPr>
          <w:color w:val="000000"/>
          <w:lang w:val="en-GB"/>
        </w:rPr>
        <w:t>alent development and diversity workshops for corporate clientele, and private institutions give a free fund of capital resources. Students use these funds to prepare for competitive exams and finance test prep materials and stipends for scholarship applications; there is no way this money filters back into families.</w:t>
      </w:r>
    </w:p>
    <w:p w14:paraId="500B130D" w14:textId="3F882AE0" w:rsidR="008B3631" w:rsidRPr="001F0161" w:rsidRDefault="008B3631" w:rsidP="008520D7">
      <w:pPr>
        <w:pStyle w:val="NormalWeb"/>
        <w:spacing w:before="0" w:beforeAutospacing="0" w:after="0" w:afterAutospacing="0" w:line="360" w:lineRule="auto"/>
        <w:jc w:val="both"/>
        <w:rPr>
          <w:color w:val="000000"/>
          <w:lang w:val="en-GB"/>
        </w:rPr>
      </w:pPr>
      <w:r w:rsidRPr="001F0161">
        <w:rPr>
          <w:color w:val="000000"/>
          <w:lang w:val="en-GB"/>
        </w:rPr>
        <w:t>At the same time, FGLF's operational modifications do not allow for organizational decay and burnout because they replace liquid operating capital with dense networks within the community and non-financial assets.</w:t>
      </w:r>
      <w:r w:rsidR="003666B1" w:rsidRPr="003666B1">
        <w:rPr>
          <w:color w:val="000000"/>
          <w:lang w:val="en-GB"/>
        </w:rPr>
        <w:t xml:space="preserve"> </w:t>
      </w:r>
      <w:r w:rsidR="003666B1" w:rsidRPr="001F0161">
        <w:rPr>
          <w:color w:val="000000"/>
          <w:lang w:val="en-GB"/>
        </w:rPr>
        <w:t>Liu</w:t>
      </w:r>
      <w:r w:rsidR="003666B1">
        <w:rPr>
          <w:color w:val="000000"/>
          <w:lang w:val="en-GB"/>
        </w:rPr>
        <w:t xml:space="preserve"> (</w:t>
      </w:r>
      <w:r w:rsidR="003666B1" w:rsidRPr="001F0161">
        <w:rPr>
          <w:color w:val="000000"/>
          <w:lang w:val="en-GB"/>
        </w:rPr>
        <w:t>2024</w:t>
      </w:r>
      <w:r w:rsidR="003666B1">
        <w:rPr>
          <w:color w:val="000000"/>
          <w:lang w:val="en-GB"/>
        </w:rPr>
        <w:t>) found that w</w:t>
      </w:r>
      <w:r w:rsidRPr="001F0161">
        <w:rPr>
          <w:color w:val="000000"/>
          <w:lang w:val="en-GB"/>
        </w:rPr>
        <w:t xml:space="preserve">ith administrative streamlining, remote working and the centralisation of secondary efforts, the organisation has been able to focus its primary resources on unlocking scholarships and preparing students academically. </w:t>
      </w:r>
      <w:proofErr w:type="spellStart"/>
      <w:r w:rsidR="00642676" w:rsidRPr="001F0161">
        <w:rPr>
          <w:color w:val="000000"/>
          <w:lang w:val="en-GB"/>
        </w:rPr>
        <w:t>Sanzo</w:t>
      </w:r>
      <w:proofErr w:type="spellEnd"/>
      <w:r w:rsidR="00642676" w:rsidRPr="001F0161">
        <w:rPr>
          <w:color w:val="000000"/>
          <w:lang w:val="en-GB"/>
        </w:rPr>
        <w:t xml:space="preserve">-Pérez et al. </w:t>
      </w:r>
      <w:r w:rsidR="00642676">
        <w:rPr>
          <w:color w:val="000000"/>
          <w:lang w:val="en-GB"/>
        </w:rPr>
        <w:t>(</w:t>
      </w:r>
      <w:r w:rsidR="00642676" w:rsidRPr="001F0161">
        <w:rPr>
          <w:color w:val="000000"/>
          <w:lang w:val="en-GB"/>
        </w:rPr>
        <w:t>2022</w:t>
      </w:r>
      <w:r w:rsidR="00642676">
        <w:rPr>
          <w:color w:val="000000"/>
          <w:lang w:val="en-GB"/>
        </w:rPr>
        <w:t>) opined that l</w:t>
      </w:r>
      <w:r w:rsidRPr="001F0161">
        <w:rPr>
          <w:color w:val="000000"/>
          <w:lang w:val="en-GB"/>
        </w:rPr>
        <w:t xml:space="preserve">arge networks of trained collegiate volunteers, and alumni peer mentors lending their personal lived empathy to teaching and </w:t>
      </w:r>
      <w:r w:rsidR="008520D7" w:rsidRPr="001F0161">
        <w:rPr>
          <w:color w:val="000000"/>
          <w:lang w:val="en-GB"/>
        </w:rPr>
        <w:t>counselling</w:t>
      </w:r>
      <w:r w:rsidRPr="001F0161">
        <w:rPr>
          <w:color w:val="000000"/>
          <w:lang w:val="en-GB"/>
        </w:rPr>
        <w:t xml:space="preserve">, handle the essential teaching and </w:t>
      </w:r>
      <w:r w:rsidR="008520D7" w:rsidRPr="001F0161">
        <w:rPr>
          <w:color w:val="000000"/>
          <w:lang w:val="en-GB"/>
        </w:rPr>
        <w:t>counselling</w:t>
      </w:r>
      <w:r w:rsidRPr="001F0161">
        <w:rPr>
          <w:color w:val="000000"/>
          <w:lang w:val="en-GB"/>
        </w:rPr>
        <w:t xml:space="preserve"> responsibilities which would otherwise require prohibitive commercial payrolls. Shared civic spaces, community-oriented sites and pro-bono digital management systems serve as tools to help counteract the physical dependencies. </w:t>
      </w:r>
      <w:r w:rsidR="00031178" w:rsidRPr="001F0161">
        <w:rPr>
          <w:color w:val="000000"/>
          <w:lang w:val="en-GB"/>
        </w:rPr>
        <w:t>Risi et al. 2023</w:t>
      </w:r>
      <w:r w:rsidR="00031178">
        <w:rPr>
          <w:color w:val="000000"/>
          <w:lang w:val="en-GB"/>
        </w:rPr>
        <w:t xml:space="preserve">) found that </w:t>
      </w:r>
      <w:r w:rsidR="00685992">
        <w:rPr>
          <w:color w:val="000000"/>
          <w:lang w:val="en-GB"/>
        </w:rPr>
        <w:t xml:space="preserve">the </w:t>
      </w:r>
      <w:r w:rsidRPr="001F0161">
        <w:rPr>
          <w:color w:val="000000"/>
          <w:lang w:val="en-GB"/>
        </w:rPr>
        <w:t>Institutional Theory, this is supported by formal Memorandums of Understanding (MoUs) with public and collegiate institutions. This approach allows FFLG to access resources from outside the company and ensures that there's alignment across all the programs, which avoids a drop in the quality of program delivery and protects the budget against cash-flow problems.</w:t>
      </w:r>
    </w:p>
    <w:p w14:paraId="53E6AC11" w14:textId="3EE7464F" w:rsidR="008B3631" w:rsidRPr="001F0161" w:rsidRDefault="008B3631" w:rsidP="008520D7">
      <w:pPr>
        <w:pStyle w:val="NormalWeb"/>
        <w:spacing w:before="0" w:beforeAutospacing="0" w:after="0" w:afterAutospacing="0" w:line="360" w:lineRule="auto"/>
        <w:jc w:val="both"/>
        <w:rPr>
          <w:color w:val="000000"/>
          <w:lang w:val="en-GB"/>
        </w:rPr>
      </w:pPr>
      <w:r w:rsidRPr="001F0161">
        <w:rPr>
          <w:color w:val="000000"/>
          <w:lang w:val="en-GB"/>
        </w:rPr>
        <w:t xml:space="preserve">In order to ensure integrity of the grassroots program in relation to commercial mechanisms and corporate partnerships, FGLF implements Stewardship Theory in its internal governance. </w:t>
      </w:r>
      <w:r w:rsidR="00347C02" w:rsidRPr="001F0161">
        <w:rPr>
          <w:color w:val="000000"/>
          <w:lang w:val="en-GB"/>
        </w:rPr>
        <w:t>Rouault, and Albertini</w:t>
      </w:r>
      <w:r w:rsidR="00347C02">
        <w:rPr>
          <w:color w:val="000000"/>
          <w:lang w:val="en-GB"/>
        </w:rPr>
        <w:t xml:space="preserve"> (</w:t>
      </w:r>
      <w:r w:rsidR="00347C02" w:rsidRPr="001F0161">
        <w:rPr>
          <w:color w:val="000000"/>
          <w:lang w:val="en-GB"/>
        </w:rPr>
        <w:t>2022</w:t>
      </w:r>
      <w:r w:rsidR="00347C02">
        <w:rPr>
          <w:color w:val="000000"/>
          <w:lang w:val="en-GB"/>
        </w:rPr>
        <w:t xml:space="preserve">) studied </w:t>
      </w:r>
      <w:r w:rsidR="00A67172">
        <w:rPr>
          <w:color w:val="000000"/>
          <w:lang w:val="en-GB"/>
        </w:rPr>
        <w:t>that e</w:t>
      </w:r>
      <w:r w:rsidR="00A67172" w:rsidRPr="001F0161">
        <w:rPr>
          <w:color w:val="000000"/>
          <w:lang w:val="en-GB"/>
        </w:rPr>
        <w:t>xecutive leader</w:t>
      </w:r>
      <w:r w:rsidRPr="001F0161">
        <w:rPr>
          <w:color w:val="000000"/>
          <w:lang w:val="en-GB"/>
        </w:rPr>
        <w:t xml:space="preserve"> are social contract custodians whose </w:t>
      </w:r>
      <w:r w:rsidRPr="001F0161">
        <w:rPr>
          <w:color w:val="000000"/>
          <w:lang w:val="en-GB"/>
        </w:rPr>
        <w:lastRenderedPageBreak/>
        <w:t>values-driven donor-screening process prevents corporate partners from only coming on board because they want a quick marketing boost or skimmed-branding. Pedagogical decisions, program design, and decisions about beneficiaries are legally safeguarded through contractual MoUs, strongly in the hands of community leadership. A balanced, multi-donor network ensures no single corporate patron takes strategic control, and institutionalized beneficiary advisory committees enhance a continual focus on student priorities in programmatic reviews. In this governance arrangement, financial sustainability becomes secondary to social uplift, thereby allowing FGLF to work towards financial sustainability without compromising its mission.</w:t>
      </w:r>
    </w:p>
    <w:p w14:paraId="5363F9EB" w14:textId="3F63D6CE" w:rsidR="008B3631" w:rsidRPr="001F0161" w:rsidRDefault="008B3631" w:rsidP="008520D7">
      <w:pPr>
        <w:pStyle w:val="NormalWeb"/>
        <w:spacing w:before="0" w:beforeAutospacing="0" w:after="0" w:afterAutospacing="0" w:line="360" w:lineRule="auto"/>
        <w:jc w:val="both"/>
        <w:rPr>
          <w:color w:val="000000"/>
          <w:lang w:val="en-GB"/>
        </w:rPr>
      </w:pPr>
      <w:r w:rsidRPr="001F0161">
        <w:rPr>
          <w:color w:val="000000"/>
          <w:lang w:val="en-GB"/>
        </w:rPr>
        <w:t xml:space="preserve">Strengthening these relationships is key to growing the scope of FGLF's influence and further securing its position throughout the regional education landscape. The long-term institutional cooperation with the Ahmedabad Municipal School Board (AMSB) is a critical base for municipal outreach, cost sharing of infrastructure, etc. </w:t>
      </w:r>
      <w:r w:rsidR="00D57923">
        <w:rPr>
          <w:color w:val="000000"/>
          <w:lang w:val="en-GB"/>
        </w:rPr>
        <w:t xml:space="preserve">as per </w:t>
      </w:r>
      <w:r w:rsidR="00D57923" w:rsidRPr="001F0161">
        <w:rPr>
          <w:color w:val="000000"/>
          <w:lang w:val="en-GB"/>
        </w:rPr>
        <w:t xml:space="preserve">Bose, and Sharma </w:t>
      </w:r>
      <w:r w:rsidR="00D57923">
        <w:rPr>
          <w:color w:val="000000"/>
          <w:lang w:val="en-GB"/>
        </w:rPr>
        <w:t>(</w:t>
      </w:r>
      <w:r w:rsidR="00D57923" w:rsidRPr="001F0161">
        <w:rPr>
          <w:color w:val="000000"/>
          <w:lang w:val="en-GB"/>
        </w:rPr>
        <w:t>2023</w:t>
      </w:r>
      <w:r w:rsidR="00D57923">
        <w:rPr>
          <w:color w:val="000000"/>
          <w:lang w:val="en-GB"/>
        </w:rPr>
        <w:t>), s</w:t>
      </w:r>
      <w:r w:rsidRPr="001F0161">
        <w:rPr>
          <w:color w:val="000000"/>
          <w:lang w:val="en-GB"/>
        </w:rPr>
        <w:t xml:space="preserve">ubstantial capital spending is avoided, and the administrative legitimacy of "first generation" learners as suggested by their municipal sanction allows identification of </w:t>
      </w:r>
      <w:r w:rsidR="008520D7" w:rsidRPr="001F0161">
        <w:rPr>
          <w:color w:val="000000"/>
          <w:lang w:val="en-GB"/>
        </w:rPr>
        <w:t>first-generation</w:t>
      </w:r>
      <w:r w:rsidRPr="001F0161">
        <w:rPr>
          <w:color w:val="000000"/>
          <w:lang w:val="en-GB"/>
        </w:rPr>
        <w:t xml:space="preserve"> learners in public school clusters. To enhance this partnership into a systemic intervention, FGLF should make a formal "After-School Excellence Hub" program in central municipal schools a reality. Through this model, FGLF and municipal curriculum coordinators can collaboratively develop a bridge curriculum for their institution, incorporating scholarship preparation, basic digital skills, and civil service coaching instruction directly into after-school classes. FGLF can also provide specific teacher-sensitization training for municipal teachers so that they can identify the potential students in the Valmiki colonies and direct them to the government's scholarship verification portals. In addition, the co-organisation of district-level "Parent-Community Conclaves" in the municipal buildings can help remove fogginess from formal education pathways amongst sanitation-worker households, leading to parent's support and reducing secondary school drop-outs.</w:t>
      </w:r>
    </w:p>
    <w:p w14:paraId="21D75406" w14:textId="42F2829D" w:rsidR="00493D3C" w:rsidRPr="001F0161" w:rsidRDefault="008B3631" w:rsidP="008520D7">
      <w:pPr>
        <w:pStyle w:val="NormalWeb"/>
        <w:spacing w:before="0" w:beforeAutospacing="0" w:after="0" w:afterAutospacing="0" w:line="360" w:lineRule="auto"/>
        <w:jc w:val="both"/>
        <w:rPr>
          <w:color w:val="000000"/>
          <w:lang w:val="en-GB"/>
        </w:rPr>
      </w:pPr>
      <w:r w:rsidRPr="001F0161">
        <w:rPr>
          <w:color w:val="000000"/>
          <w:lang w:val="en-GB"/>
        </w:rPr>
        <w:t xml:space="preserve">At the same time, institutional linkages with colleges under the auspices of Gujarat University provide an indispensable teaching continuum which replaces expensive commercial faculties with specially appointed student mentors. In order to transform ad-hoc volunteering into a structured, sustainable pathway, FGLF should partner with the university academic councils to make a “Social Equity and Community Mentorship Practicum” an official educational requirement/Experience for students. In this scheme, undergraduate and postgraduate students </w:t>
      </w:r>
      <w:r w:rsidRPr="001F0161">
        <w:rPr>
          <w:color w:val="000000"/>
          <w:lang w:val="en-GB"/>
        </w:rPr>
        <w:lastRenderedPageBreak/>
        <w:t xml:space="preserve">get academic credits for a semester of guided learning in FGLF batches. A </w:t>
      </w:r>
      <w:r w:rsidR="008520D7" w:rsidRPr="001F0161">
        <w:rPr>
          <w:color w:val="000000"/>
          <w:lang w:val="en-GB"/>
        </w:rPr>
        <w:t>second-year</w:t>
      </w:r>
      <w:r w:rsidRPr="001F0161">
        <w:rPr>
          <w:color w:val="000000"/>
          <w:lang w:val="en-GB"/>
        </w:rPr>
        <w:t xml:space="preserve"> plan for the development of open-source vernacular exam-prep modules, and digital tutoring tools, for FGLF, could involve leasing a space in university computer science, management and mass communication departments where students can spend a day or two developing a game, designing a module, and give it away to others in the community. Formal on-campus FGLF Student Chapters in colleges will strengthen the peer mentorship, leadership seminars and help with career mapping on an ongoing basis. This network ecosystem provides a continual flow of human resources to the business, lowers operating costs, breaks generational cycles of the same individuals, and helps FGLF move closer to its goal of producing 100 first-generation community leaders.</w:t>
      </w:r>
    </w:p>
    <w:p w14:paraId="51B6BE10" w14:textId="77777777" w:rsidR="003966E2" w:rsidRPr="004774D7" w:rsidRDefault="003966E2" w:rsidP="003966E2">
      <w:pPr>
        <w:pStyle w:val="Heading2"/>
      </w:pPr>
      <w:bookmarkStart w:id="76" w:name="_Toc239424088"/>
      <w:r w:rsidRPr="004774D7">
        <w:t>4.5 Summary</w:t>
      </w:r>
      <w:bookmarkEnd w:id="76"/>
      <w:r w:rsidRPr="004774D7">
        <w:t> </w:t>
      </w:r>
    </w:p>
    <w:p w14:paraId="6C89AC08" w14:textId="12EBD726" w:rsidR="003966E2" w:rsidRPr="001F0161" w:rsidRDefault="003966E2" w:rsidP="003966E2">
      <w:pPr>
        <w:pStyle w:val="NormalWeb"/>
        <w:spacing w:before="0" w:beforeAutospacing="0" w:after="0" w:afterAutospacing="0" w:line="360" w:lineRule="auto"/>
        <w:jc w:val="both"/>
        <w:rPr>
          <w:lang w:val="en-GB"/>
        </w:rPr>
      </w:pPr>
      <w:r w:rsidRPr="001F0161">
        <w:rPr>
          <w:lang w:val="en-GB"/>
        </w:rPr>
        <w:t>This chapter shows how challenges to foreign funding are averted in grassroots non-profits through domestic philanthropy, CSR partnerships and commercial models that cross subsidize. The lean organization, the broad network of youth volunteers and the school partnerships that occur across municipalities are supportive of operational sustainability. Its approach to stewardship governance and adaptive leadership is effective in creating financial resilience without mission drift, and helping to protect and look after the poorest learners.</w:t>
      </w:r>
    </w:p>
    <w:p w14:paraId="499BC8C4" w14:textId="77777777" w:rsidR="00360522" w:rsidRPr="004774D7" w:rsidRDefault="00360522" w:rsidP="00973765">
      <w:pPr>
        <w:spacing w:line="360" w:lineRule="auto"/>
        <w:rPr>
          <w:rFonts w:ascii="Times New Roman" w:eastAsia="Times New Roman" w:hAnsi="Times New Roman" w:cs="Times New Roman"/>
          <w:b/>
          <w:bCs/>
          <w:color w:val="000000"/>
          <w:sz w:val="28"/>
          <w:szCs w:val="28"/>
        </w:rPr>
      </w:pPr>
      <w:r w:rsidRPr="004774D7">
        <w:rPr>
          <w:rFonts w:ascii="Times New Roman" w:hAnsi="Times New Roman" w:cs="Times New Roman"/>
          <w:color w:val="000000"/>
        </w:rPr>
        <w:br w:type="page"/>
      </w:r>
    </w:p>
    <w:p w14:paraId="5CBF3FE5" w14:textId="348E13D6" w:rsidR="00493D3C" w:rsidRPr="004774D7" w:rsidRDefault="00493D3C" w:rsidP="00973765">
      <w:pPr>
        <w:pStyle w:val="Heading1"/>
      </w:pPr>
      <w:bookmarkStart w:id="77" w:name="_Toc239424089"/>
      <w:r w:rsidRPr="004774D7">
        <w:rPr>
          <w:color w:val="000000"/>
        </w:rPr>
        <w:lastRenderedPageBreak/>
        <w:t>CHAPTER 5: CONCLUSION</w:t>
      </w:r>
      <w:bookmarkEnd w:id="77"/>
      <w:r w:rsidRPr="004774D7">
        <w:rPr>
          <w:color w:val="000000"/>
        </w:rPr>
        <w:t> </w:t>
      </w:r>
    </w:p>
    <w:p w14:paraId="30032C9A" w14:textId="77777777" w:rsidR="00493D3C" w:rsidRPr="004774D7" w:rsidRDefault="00493D3C" w:rsidP="00973765">
      <w:pPr>
        <w:pStyle w:val="Heading2"/>
      </w:pPr>
      <w:bookmarkStart w:id="78" w:name="_Toc239424090"/>
      <w:r w:rsidRPr="004774D7">
        <w:rPr>
          <w:color w:val="000000"/>
        </w:rPr>
        <w:t>5.1 Conclusion</w:t>
      </w:r>
      <w:bookmarkEnd w:id="78"/>
    </w:p>
    <w:p w14:paraId="04D2E5D1"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This study examines the ability to adapt in times of retrenchment of foreign aid by grassroots NGOs such as the FGLF. The research draws on the frameworks of Resource Dependence Theory, Institutional Theory and Stewardship Theory to illustrate how FGLF is addressing issues of resource scarcity while ensuring that the centre's first commitment, to First-generation learners from marginalized sanitation-worker families, remains protected. The results seem to show the need for a strategic revenue diversification to ensure financial sustainability. FGLF helps fight international grant retrenchment through domestic philanthropy, statutory CSR partnerships, and subsidized earned income. Commercial activities provide unfettered capital for core competitive coaching and scholarship programs, rather than causing hardship on the people that benefit. From an operational perspective, FGLF is a strategy to develop resources outside of monetary costs, including the engagement of more than 1000 youth volunteers, alumni mentors and community spaces. Essential physical infrastructure, tutoring support and civic legality are obtained at close to zero overheads, through institutional MoUs with the Ahmedabad Municipal School Board and university affiliated colleges.  </w:t>
      </w:r>
    </w:p>
    <w:p w14:paraId="29C73C8C"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Importantly, mission drift is avoided by stewardship governance in the FGLF. The leadership establishes strong donor screening procedures, legal MOUs and beneficiary committees, which keep commercial activities secondary to social benefit. Finally, the study shows that commercialization is not enough to strengthen resilience, but the resilience of non-profit comes from a certain leadership style of adapting and aligning financial agility, inter-institutional cooperation, and values-driven governance to create durable social impact in a context of constant fiscal discipline.</w:t>
      </w:r>
    </w:p>
    <w:p w14:paraId="5B6A947C" w14:textId="77777777" w:rsidR="00493D3C" w:rsidRPr="004F072D" w:rsidRDefault="00493D3C" w:rsidP="00973765">
      <w:pPr>
        <w:pStyle w:val="Heading2"/>
      </w:pPr>
      <w:bookmarkStart w:id="79" w:name="_Toc239424091"/>
      <w:r w:rsidRPr="004F072D">
        <w:rPr>
          <w:color w:val="000000"/>
        </w:rPr>
        <w:t>5.2 Linking with objectives</w:t>
      </w:r>
      <w:bookmarkEnd w:id="79"/>
    </w:p>
    <w:p w14:paraId="23119F3F" w14:textId="0CEC5A89"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t>The empirical and theoretical results of this study directly addressed each of the five core research objectives that were discussed within this research and thus contributed to the overall achievement of the research aim of the FGLF to succeed in becoming an organization that is resilient in times of systemic foreign aid retrenchment.</w:t>
      </w:r>
    </w:p>
    <w:p w14:paraId="76170A93" w14:textId="77777777" w:rsidR="00E75665" w:rsidRPr="001F0161" w:rsidRDefault="00E75665" w:rsidP="00E75665">
      <w:pPr>
        <w:pStyle w:val="NormalWeb"/>
        <w:spacing w:before="0" w:beforeAutospacing="0" w:after="0" w:afterAutospacing="0" w:line="360" w:lineRule="auto"/>
        <w:jc w:val="both"/>
        <w:rPr>
          <w:b/>
          <w:bCs/>
          <w:i/>
          <w:iCs/>
          <w:color w:val="000000"/>
          <w:lang w:val="en-GB"/>
        </w:rPr>
      </w:pPr>
      <w:r w:rsidRPr="001F0161">
        <w:rPr>
          <w:b/>
          <w:bCs/>
          <w:i/>
          <w:iCs/>
          <w:color w:val="000000"/>
          <w:lang w:val="en-GB"/>
        </w:rPr>
        <w:t>●      To identify and evaluate the alternative funding mechanisms adopted by NGOs to mitigate foreign aid reductions.</w:t>
      </w:r>
    </w:p>
    <w:p w14:paraId="6CFDAFAC" w14:textId="210D0385"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lastRenderedPageBreak/>
        <w:t>The investigation seeks to answer this question by examining the processes of grassroots non-profits moving from volatile source of funds from abroad to sustainable local capital sources. The study evaluates the effectiveness of domestic philanthropy, statutory CSR partnerships and cross-subsidized social enterprise models through the lens of the FGLF case. Empirical evidence has shown that development of regional High-Net-Worth Individuals (HNWIs) and getting compliance-driven CSR grants provides reliable resources for student scholarships and competitive examination coaching batches. At the same time, partnerships are established with corporate institutions for the provision of fee-based diversity training programs, which provide for a safe and sustainable income stream and keep primary interventions completely free for marginalised sanitation-worker families, establishing the viability of diversified domestic resource mobilization.</w:t>
      </w:r>
    </w:p>
    <w:p w14:paraId="5B494681" w14:textId="77777777"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t xml:space="preserve">●      </w:t>
      </w:r>
      <w:r w:rsidRPr="001F0161">
        <w:rPr>
          <w:b/>
          <w:bCs/>
          <w:i/>
          <w:iCs/>
          <w:color w:val="000000"/>
          <w:lang w:val="en-GB"/>
        </w:rPr>
        <w:t>To examine internal operational restructuring and efficiency measures implemented by NGOs to manage budget constraints without compromising service delivery.</w:t>
      </w:r>
    </w:p>
    <w:p w14:paraId="2522A7CB" w14:textId="196E3484"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t xml:space="preserve">To achieve this goal, the study </w:t>
      </w:r>
      <w:r w:rsidR="00E048FC" w:rsidRPr="001F0161">
        <w:rPr>
          <w:color w:val="000000"/>
          <w:lang w:val="en-GB"/>
        </w:rPr>
        <w:t>analyses</w:t>
      </w:r>
      <w:r w:rsidRPr="001F0161">
        <w:rPr>
          <w:color w:val="000000"/>
          <w:lang w:val="en-GB"/>
        </w:rPr>
        <w:t xml:space="preserve"> the rationalization strategies of the structure that have been adopted to cope with acute fiscal austerity and maintain educational quality. Results show that outsourcing fixed payroll costs are significantly reduced with the advent of a lean administrative core and the use of short-term project contractors. By removing commercial office rent, using remote and hybrid work arrangements, and digitalizing processes for student progress tracking and reducing non-core activities, this allows for streamlined operations. Most importantly, the analysis points to the fact that non-monetary assets are to be regarded as a substitute for liquid capital; the operational delivery engine of such teaching that is to be viewed as if a commercial faculty exists, are trained youth volunteer cohorts, alumni peer mentors and shared community spaces, which do not have high costs. </w:t>
      </w:r>
    </w:p>
    <w:p w14:paraId="3D8BE3EC" w14:textId="77777777" w:rsidR="00E75665" w:rsidRPr="001F0161" w:rsidRDefault="00E75665" w:rsidP="00E75665">
      <w:pPr>
        <w:pStyle w:val="NormalWeb"/>
        <w:spacing w:before="0" w:beforeAutospacing="0" w:after="0" w:afterAutospacing="0" w:line="360" w:lineRule="auto"/>
        <w:jc w:val="both"/>
        <w:rPr>
          <w:b/>
          <w:bCs/>
          <w:i/>
          <w:iCs/>
          <w:color w:val="000000"/>
          <w:lang w:val="en-GB"/>
        </w:rPr>
      </w:pPr>
      <w:r w:rsidRPr="001F0161">
        <w:rPr>
          <w:b/>
          <w:bCs/>
          <w:i/>
          <w:iCs/>
          <w:color w:val="000000"/>
          <w:lang w:val="en-GB"/>
        </w:rPr>
        <w:t>●      To analyse the risk of "mission drift" and how NGOs balance financial survival with their core social missions when adopting market-driven revenue models.</w:t>
      </w:r>
    </w:p>
    <w:p w14:paraId="3AB3B205" w14:textId="77777777"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t xml:space="preserve">This goal is achieved by examining the nature of the internal controls and ethical boundaries that should not be crossed to avoid commercialized adaptations that can undermine organizational purpose. The study is conducted using the lenses of Stewardship Theory which supports the protection of the commitment of first-generation learners by establishing values-based governance mechanisms. Programmatic independence is maintained through explicit contractual clauses, and by the process of donor vetting at board level, which filters out corporate sponsors </w:t>
      </w:r>
      <w:r w:rsidRPr="001F0161">
        <w:rPr>
          <w:color w:val="000000"/>
          <w:lang w:val="en-GB"/>
        </w:rPr>
        <w:lastRenderedPageBreak/>
        <w:t>whose only interest is in the public relations value. Moreover, a balanced multi-donor structure and institutionalized beneficiary advisory groups allow commercial activities to be kept firmly under the control of educational development of youth at the margins.</w:t>
      </w:r>
    </w:p>
    <w:p w14:paraId="1AC14921" w14:textId="77777777" w:rsidR="00E75665" w:rsidRPr="001F0161" w:rsidRDefault="00E75665" w:rsidP="00E75665">
      <w:pPr>
        <w:pStyle w:val="NormalWeb"/>
        <w:spacing w:before="0" w:beforeAutospacing="0" w:after="0" w:afterAutospacing="0" w:line="360" w:lineRule="auto"/>
        <w:jc w:val="both"/>
        <w:rPr>
          <w:b/>
          <w:bCs/>
          <w:i/>
          <w:iCs/>
          <w:color w:val="000000"/>
          <w:lang w:val="en-GB"/>
        </w:rPr>
      </w:pPr>
      <w:r w:rsidRPr="001F0161">
        <w:rPr>
          <w:b/>
          <w:bCs/>
          <w:i/>
          <w:iCs/>
          <w:color w:val="000000"/>
          <w:lang w:val="en-GB"/>
        </w:rPr>
        <w:t>●      To assess how aid cutbacks influence organizational relationships, leading to increased sector collaboration, consortium-building, or localization efforts.</w:t>
      </w:r>
    </w:p>
    <w:p w14:paraId="041F2C44" w14:textId="6972A0FB" w:rsidR="00E75665" w:rsidRPr="001F0161" w:rsidRDefault="00E75665" w:rsidP="00E75665">
      <w:pPr>
        <w:pStyle w:val="NormalWeb"/>
        <w:spacing w:before="0" w:beforeAutospacing="0" w:after="0" w:afterAutospacing="0" w:line="360" w:lineRule="auto"/>
        <w:jc w:val="both"/>
        <w:rPr>
          <w:color w:val="000000"/>
          <w:lang w:val="en-GB"/>
        </w:rPr>
      </w:pPr>
      <w:r w:rsidRPr="001F0161">
        <w:rPr>
          <w:color w:val="000000"/>
          <w:lang w:val="en-GB"/>
        </w:rPr>
        <w:t>The study does this by examining the consequences of funding reductions for involving inter-institutional coordination in place of isolated competition. The formal Memorandum of Understanding (MoUs) with the AMSB and colleges affiliated with Gujarat University, bring in the concept of overhead cost alleviation through sector co-operation. The establishment of such arrangements opens up zero-cost classrooms, science facilities and computer labs in the municipalities and also establishes a continuous stream of tutors from university students. The results are presented in support of Institutional Theory and reveal that institutional coupling with the local public provides necessary civic validation to help grassroots groups recognize disenfranchised learners within the municipalities.</w:t>
      </w:r>
    </w:p>
    <w:p w14:paraId="3AF1E5CD" w14:textId="77777777" w:rsidR="00E75665" w:rsidRPr="001F0161" w:rsidRDefault="00E75665" w:rsidP="00E75665">
      <w:pPr>
        <w:pStyle w:val="NormalWeb"/>
        <w:spacing w:before="0" w:beforeAutospacing="0" w:after="0" w:afterAutospacing="0" w:line="360" w:lineRule="auto"/>
        <w:jc w:val="both"/>
        <w:rPr>
          <w:b/>
          <w:bCs/>
          <w:i/>
          <w:iCs/>
          <w:color w:val="000000"/>
          <w:lang w:val="en-GB"/>
        </w:rPr>
      </w:pPr>
      <w:r w:rsidRPr="001F0161">
        <w:rPr>
          <w:b/>
          <w:bCs/>
          <w:i/>
          <w:iCs/>
          <w:color w:val="000000"/>
          <w:lang w:val="en-GB"/>
        </w:rPr>
        <w:t>●      To develop a strategic framework or practical recommendations for NGO leadership to build financial resilience in a post-aid landscape.</w:t>
      </w:r>
    </w:p>
    <w:p w14:paraId="02E8743E" w14:textId="27328CCB" w:rsidR="00493D3C" w:rsidRPr="001F0161" w:rsidRDefault="00E75665" w:rsidP="00E75665">
      <w:pPr>
        <w:pStyle w:val="NormalWeb"/>
        <w:spacing w:before="0" w:beforeAutospacing="0" w:after="0" w:afterAutospacing="0" w:line="360" w:lineRule="auto"/>
        <w:jc w:val="both"/>
        <w:rPr>
          <w:lang w:val="en-GB"/>
        </w:rPr>
      </w:pPr>
      <w:r w:rsidRPr="001F0161">
        <w:rPr>
          <w:color w:val="000000"/>
          <w:lang w:val="en-GB"/>
        </w:rPr>
        <w:t>This last aim is accomplished by the synthesis of Resource Dependence, Institutional, and Stewardship theories into an actionable management roadmap. This strategy supports executive leaders to balance dynamic financial skill and cash-flow management with forward-looking cross-sector negotiation. The study provides practical guidance and tools for achieving sustainability in operations, integrity in mission and generational equity during long-term aid retrenchment through recommendations that include the creation of formal social enterprise arms, blacklisting of bad donors if necessary, and improving public-private educational MoUs.</w:t>
      </w:r>
    </w:p>
    <w:p w14:paraId="2AC0260C" w14:textId="77777777" w:rsidR="00493D3C" w:rsidRPr="004774D7" w:rsidRDefault="00493D3C" w:rsidP="00973765">
      <w:pPr>
        <w:pStyle w:val="Heading2"/>
      </w:pPr>
      <w:bookmarkStart w:id="80" w:name="_Toc239424092"/>
      <w:r w:rsidRPr="004774D7">
        <w:rPr>
          <w:color w:val="000000"/>
        </w:rPr>
        <w:t>5.3 Recommendations</w:t>
      </w:r>
      <w:bookmarkEnd w:id="80"/>
    </w:p>
    <w:p w14:paraId="288064B1" w14:textId="77777777" w:rsidR="00493D3C" w:rsidRPr="001F0161" w:rsidRDefault="00493D3C" w:rsidP="00973765">
      <w:pPr>
        <w:pStyle w:val="NormalWeb"/>
        <w:numPr>
          <w:ilvl w:val="0"/>
          <w:numId w:val="11"/>
        </w:numPr>
        <w:spacing w:before="0" w:beforeAutospacing="0" w:after="0" w:afterAutospacing="0" w:line="360" w:lineRule="auto"/>
        <w:jc w:val="both"/>
        <w:textAlignment w:val="baseline"/>
        <w:rPr>
          <w:color w:val="000000"/>
          <w:lang w:val="en-GB"/>
        </w:rPr>
      </w:pPr>
      <w:r w:rsidRPr="001F0161">
        <w:rPr>
          <w:b/>
          <w:bCs/>
          <w:color w:val="000000"/>
          <w:lang w:val="en-GB"/>
        </w:rPr>
        <w:t>Institutionalize Cross-Subsidized Earned Income Streams</w:t>
      </w:r>
      <w:r w:rsidRPr="001F0161">
        <w:rPr>
          <w:color w:val="000000"/>
          <w:lang w:val="en-GB"/>
        </w:rPr>
        <w:t> </w:t>
      </w:r>
    </w:p>
    <w:p w14:paraId="60A3ABF9" w14:textId="77777777"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FGLF should officially create a special social enterprise trading office, sell-off the soft skills workshop, pedagogical contents and diversity consulting to business companies and private colleges. The earnings generated from these commercial activities create "self-generated" capital funds that do not come from outside donors and are therefore not subject to the ebb and flow of financial support by individual donors. FGLF can cross-subsidize test preparation and student </w:t>
      </w:r>
      <w:r w:rsidRPr="001F0161">
        <w:rPr>
          <w:color w:val="000000"/>
          <w:lang w:val="en-GB"/>
        </w:rPr>
        <w:lastRenderedPageBreak/>
        <w:t>stipends without diverting any skills from the grassroots program, as commercial activities are ring-fenced from programmatic activities.</w:t>
      </w:r>
    </w:p>
    <w:p w14:paraId="020948DA" w14:textId="615187CD" w:rsidR="00493D3C" w:rsidRPr="001F0161" w:rsidRDefault="00493D3C" w:rsidP="00973765">
      <w:pPr>
        <w:pStyle w:val="NormalWeb"/>
        <w:numPr>
          <w:ilvl w:val="0"/>
          <w:numId w:val="12"/>
        </w:numPr>
        <w:spacing w:before="0" w:beforeAutospacing="0" w:after="0" w:afterAutospacing="0" w:line="360" w:lineRule="auto"/>
        <w:jc w:val="both"/>
        <w:textAlignment w:val="baseline"/>
        <w:rPr>
          <w:b/>
          <w:bCs/>
          <w:color w:val="000000"/>
          <w:lang w:val="en-GB"/>
        </w:rPr>
      </w:pPr>
      <w:r w:rsidRPr="001F0161">
        <w:rPr>
          <w:b/>
          <w:bCs/>
          <w:color w:val="000000"/>
          <w:lang w:val="en-GB"/>
        </w:rPr>
        <w:t xml:space="preserve">Implement strategic </w:t>
      </w:r>
      <w:r w:rsidR="00F84904" w:rsidRPr="001F0161">
        <w:rPr>
          <w:b/>
          <w:bCs/>
          <w:color w:val="000000"/>
          <w:lang w:val="en-GB"/>
        </w:rPr>
        <w:t>associations</w:t>
      </w:r>
      <w:r w:rsidRPr="001F0161">
        <w:rPr>
          <w:b/>
          <w:bCs/>
          <w:color w:val="000000"/>
          <w:lang w:val="en-GB"/>
        </w:rPr>
        <w:t xml:space="preserve"> and public-private MoUs into a formal structure </w:t>
      </w:r>
    </w:p>
    <w:p w14:paraId="393C7B0F" w14:textId="73D9AC5A"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FGLF should strengthen institutional partnerships instead of having to have a significant administrative and fixed asset cost on its own. </w:t>
      </w:r>
      <w:r w:rsidR="00F96D93" w:rsidRPr="001F0161">
        <w:rPr>
          <w:color w:val="000000"/>
          <w:lang w:val="en-GB"/>
        </w:rPr>
        <w:t xml:space="preserve">Sydorenko et al. </w:t>
      </w:r>
      <w:r w:rsidR="00F96D93">
        <w:rPr>
          <w:color w:val="000000"/>
          <w:lang w:val="en-GB"/>
        </w:rPr>
        <w:t>(</w:t>
      </w:r>
      <w:r w:rsidR="00F96D93" w:rsidRPr="001F0161">
        <w:rPr>
          <w:color w:val="000000"/>
          <w:lang w:val="en-GB"/>
        </w:rPr>
        <w:t>2024</w:t>
      </w:r>
      <w:r w:rsidR="00F96D93">
        <w:rPr>
          <w:color w:val="000000"/>
          <w:lang w:val="en-GB"/>
        </w:rPr>
        <w:t>) noted that f</w:t>
      </w:r>
      <w:r w:rsidRPr="001F0161">
        <w:rPr>
          <w:color w:val="000000"/>
          <w:lang w:val="en-GB"/>
        </w:rPr>
        <w:t xml:space="preserve">ormal agreements with municipal school boards and university networks can be expanded for the delivery of a wide range of non-financial resources, including access to classrooms free of charge, digital libraries, and providing a consistent stream of new tutors entering the program. Additionally, FGLF needs to create joint working groups with partnering grassroots NGOs to share service areas for compliance, legal procedures and technology platforms in order to significantly minimise cost and offer </w:t>
      </w:r>
      <w:r w:rsidR="00360522" w:rsidRPr="001F0161">
        <w:rPr>
          <w:color w:val="000000"/>
          <w:lang w:val="en-GB"/>
        </w:rPr>
        <w:t>high-capacity</w:t>
      </w:r>
      <w:r w:rsidRPr="001F0161">
        <w:rPr>
          <w:color w:val="000000"/>
          <w:lang w:val="en-GB"/>
        </w:rPr>
        <w:t xml:space="preserve"> funding proposals to regulatory CSR partners.</w:t>
      </w:r>
    </w:p>
    <w:p w14:paraId="6049BA34" w14:textId="77777777" w:rsidR="00493D3C" w:rsidRPr="001F0161" w:rsidRDefault="00493D3C" w:rsidP="00973765">
      <w:pPr>
        <w:pStyle w:val="NormalWeb"/>
        <w:numPr>
          <w:ilvl w:val="0"/>
          <w:numId w:val="13"/>
        </w:numPr>
        <w:spacing w:before="0" w:beforeAutospacing="0" w:after="0" w:afterAutospacing="0" w:line="360" w:lineRule="auto"/>
        <w:jc w:val="both"/>
        <w:textAlignment w:val="baseline"/>
        <w:rPr>
          <w:b/>
          <w:bCs/>
          <w:color w:val="000000"/>
          <w:lang w:val="en-GB"/>
        </w:rPr>
      </w:pPr>
      <w:r w:rsidRPr="001F0161">
        <w:rPr>
          <w:b/>
          <w:bCs/>
          <w:color w:val="000000"/>
          <w:lang w:val="en-GB"/>
        </w:rPr>
        <w:t>Improve VBG and Donor-Vetting Systems </w:t>
      </w:r>
    </w:p>
    <w:p w14:paraId="07793FE0" w14:textId="59F7AF80" w:rsidR="00493D3C" w:rsidRPr="001F0161" w:rsidRDefault="00493D3C" w:rsidP="00973765">
      <w:pPr>
        <w:pStyle w:val="NormalWeb"/>
        <w:spacing w:before="0" w:beforeAutospacing="0" w:after="0" w:afterAutospacing="0" w:line="360" w:lineRule="auto"/>
        <w:jc w:val="both"/>
        <w:rPr>
          <w:color w:val="000000"/>
          <w:lang w:val="en-GB"/>
        </w:rPr>
      </w:pPr>
      <w:r w:rsidRPr="001F0161">
        <w:rPr>
          <w:color w:val="000000"/>
          <w:lang w:val="en-GB"/>
        </w:rPr>
        <w:t xml:space="preserve">Enforcement of strong stewardship controls by FGLF's executive leadership and board is needed to curb the immediate threat of mission drift, and to attract private sector funding. </w:t>
      </w:r>
      <w:r w:rsidR="004579D0" w:rsidRPr="001F0161">
        <w:rPr>
          <w:color w:val="000000"/>
          <w:lang w:val="en-GB"/>
        </w:rPr>
        <w:t xml:space="preserve">Yan et al. </w:t>
      </w:r>
      <w:r w:rsidR="004579D0">
        <w:rPr>
          <w:color w:val="000000"/>
          <w:lang w:val="en-GB"/>
        </w:rPr>
        <w:t>(</w:t>
      </w:r>
      <w:r w:rsidR="004579D0" w:rsidRPr="001F0161">
        <w:rPr>
          <w:color w:val="000000"/>
          <w:lang w:val="en-GB"/>
        </w:rPr>
        <w:t>2026</w:t>
      </w:r>
      <w:r w:rsidR="004579D0">
        <w:rPr>
          <w:color w:val="000000"/>
          <w:lang w:val="en-GB"/>
        </w:rPr>
        <w:t>) found that t</w:t>
      </w:r>
      <w:r w:rsidRPr="001F0161">
        <w:rPr>
          <w:color w:val="000000"/>
          <w:lang w:val="en-GB"/>
        </w:rPr>
        <w:t xml:space="preserve">he organization should establish formal donor screening scorecards to test corporate alignment with the community empowerment goals and not the </w:t>
      </w:r>
      <w:r w:rsidR="00360522" w:rsidRPr="001F0161">
        <w:rPr>
          <w:color w:val="000000"/>
          <w:lang w:val="en-GB"/>
        </w:rPr>
        <w:t>short-term</w:t>
      </w:r>
      <w:r w:rsidRPr="001F0161">
        <w:rPr>
          <w:color w:val="000000"/>
          <w:lang w:val="en-GB"/>
        </w:rPr>
        <w:t xml:space="preserve"> marketing metrics. At the same time, FGLF would need to maintain a multi-donor funding model to prevent over-dependence on individual actors; it would need to explicitly incorporate pedagogical independence into its contract; and it would need to keep active committees of beneficiaries to steer the organization based on student needs.</w:t>
      </w:r>
    </w:p>
    <w:p w14:paraId="50C815B5" w14:textId="05193BB6" w:rsidR="00FD6ED8" w:rsidRPr="001F0161" w:rsidRDefault="00FD6ED8" w:rsidP="00973765">
      <w:pPr>
        <w:pStyle w:val="NormalWeb"/>
        <w:spacing w:before="0" w:beforeAutospacing="0" w:after="0" w:afterAutospacing="0" w:line="360" w:lineRule="auto"/>
        <w:jc w:val="both"/>
        <w:rPr>
          <w:lang w:val="en-GB"/>
        </w:rPr>
      </w:pPr>
      <w:r w:rsidRPr="001F0161">
        <w:rPr>
          <w:lang w:val="en-GB"/>
        </w:rPr>
        <w:t xml:space="preserve">The recommendations suggested in the FGLF give a tangible blueprint for how grassroots NGOs can respond to the withdrawal of foreign development funding at the global level. Non-profits can allow the existence of ring-fenced social enterprise arms, which opens the opportunity to sell off second skills, like training, research, or consulting to corporate clients, and achieve financial returns to fund community services for benefit of the lowest income beneficiaries without harming those services. Moreover, tying up the MoUs between public and private sector also helps organizations to substantially cut off the liabilities for fixed overheads, and also helps to form NGO consortiums. Instead of covering expensive software fees and purchase of physical property, NGOs can negotiate access to public schools, university labs, and administrative compliance pooling platforms.  Finally, the use of donor-vetting scorecards, multi-donor funding </w:t>
      </w:r>
      <w:r w:rsidRPr="001F0161">
        <w:rPr>
          <w:lang w:val="en-GB"/>
        </w:rPr>
        <w:lastRenderedPageBreak/>
        <w:t>bases and beneficiary advisory committees provide important controls to NGO boards as stewards. This keeps non-profits pedagogically independent and avoids mission drift, and provides the opportunity to achieve operation in the long-term while maintaining community trust as they seek corporate CSR and commercial funding opportunities.</w:t>
      </w:r>
    </w:p>
    <w:p w14:paraId="519425D4" w14:textId="77777777" w:rsidR="00493D3C" w:rsidRPr="004774D7" w:rsidRDefault="00493D3C" w:rsidP="00973765">
      <w:pPr>
        <w:pStyle w:val="Heading2"/>
      </w:pPr>
      <w:bookmarkStart w:id="81" w:name="_Toc239424093"/>
      <w:r w:rsidRPr="004774D7">
        <w:rPr>
          <w:color w:val="000000"/>
        </w:rPr>
        <w:t>5.4 Future scope</w:t>
      </w:r>
      <w:bookmarkEnd w:id="81"/>
    </w:p>
    <w:p w14:paraId="3B7C0B5C" w14:textId="4133D0C3" w:rsidR="00493D3C" w:rsidRPr="001F0161" w:rsidRDefault="00493D3C" w:rsidP="00973765">
      <w:pPr>
        <w:pStyle w:val="NormalWeb"/>
        <w:spacing w:before="0" w:beforeAutospacing="0" w:after="0" w:afterAutospacing="0" w:line="360" w:lineRule="auto"/>
        <w:jc w:val="both"/>
        <w:rPr>
          <w:lang w:val="en-GB"/>
        </w:rPr>
      </w:pPr>
      <w:r w:rsidRPr="001F0161">
        <w:rPr>
          <w:color w:val="000000"/>
          <w:lang w:val="en-GB"/>
        </w:rPr>
        <w:t xml:space="preserve">This study offers an empirical roadmap for future readers to consider funding retrenchment as an enabler, rather than an obstacle for local innovation. These results can inspire future researchers to build on these efforts for enhanced multi-sectoral research, comparative case studies in different emerging economies, and quantitative analysis of the long-term effects of volunteer-led task shifting on student years in school. </w:t>
      </w:r>
      <w:r w:rsidR="002E7D02">
        <w:rPr>
          <w:color w:val="000000"/>
          <w:lang w:val="en-GB"/>
        </w:rPr>
        <w:t xml:space="preserve">According to </w:t>
      </w:r>
      <w:r w:rsidR="002E7D02" w:rsidRPr="001F0161">
        <w:rPr>
          <w:color w:val="000000"/>
          <w:lang w:val="en-GB"/>
        </w:rPr>
        <w:t xml:space="preserve">Fraisl et al. </w:t>
      </w:r>
      <w:r w:rsidR="002E7D02">
        <w:rPr>
          <w:color w:val="000000"/>
          <w:lang w:val="en-GB"/>
        </w:rPr>
        <w:t>(</w:t>
      </w:r>
      <w:r w:rsidR="002E7D02" w:rsidRPr="001F0161">
        <w:rPr>
          <w:color w:val="000000"/>
          <w:lang w:val="en-GB"/>
        </w:rPr>
        <w:t>2022</w:t>
      </w:r>
      <w:r w:rsidR="002E7D02">
        <w:rPr>
          <w:color w:val="000000"/>
          <w:lang w:val="en-GB"/>
        </w:rPr>
        <w:t>)</w:t>
      </w:r>
      <w:r w:rsidRPr="001F0161">
        <w:rPr>
          <w:color w:val="000000"/>
          <w:lang w:val="en-GB"/>
        </w:rPr>
        <w:t>, the model could be applied to help any grassroots non-profit set up public-private MoUs, launch cross-subsidising social enterprise arms and implement values based vetting protocols, to create resilient organisations. These are able to deliver sustainable social change without giving in to mission drift after the funding of the aid dries up.</w:t>
      </w:r>
    </w:p>
    <w:p w14:paraId="10121491" w14:textId="77777777" w:rsidR="000A0A20" w:rsidRPr="004774D7" w:rsidRDefault="000A0A20" w:rsidP="00973765">
      <w:pPr>
        <w:pStyle w:val="NormalWeb"/>
        <w:spacing w:before="0" w:beforeAutospacing="0" w:after="0" w:afterAutospacing="0" w:line="360" w:lineRule="auto"/>
        <w:jc w:val="both"/>
        <w:rPr>
          <w:lang w:val="en-GB"/>
        </w:rPr>
      </w:pPr>
    </w:p>
    <w:p w14:paraId="5A1FD01F" w14:textId="77777777" w:rsidR="0050244B" w:rsidRPr="004774D7" w:rsidRDefault="0050244B" w:rsidP="00973765">
      <w:pPr>
        <w:pStyle w:val="Normal1"/>
        <w:spacing w:line="360" w:lineRule="auto"/>
        <w:jc w:val="both"/>
        <w:rPr>
          <w:rFonts w:ascii="Times New Roman" w:eastAsia="Times New Roman" w:hAnsi="Times New Roman" w:cs="Times New Roman"/>
          <w:sz w:val="24"/>
          <w:szCs w:val="24"/>
          <w:lang w:val="en-GB"/>
        </w:rPr>
      </w:pPr>
    </w:p>
    <w:p w14:paraId="27BFEC4D" w14:textId="77777777" w:rsidR="0050244B" w:rsidRPr="004774D7" w:rsidRDefault="0004031D" w:rsidP="00973765">
      <w:pPr>
        <w:pStyle w:val="Normal1"/>
        <w:spacing w:line="360" w:lineRule="auto"/>
        <w:jc w:val="both"/>
        <w:rPr>
          <w:rFonts w:ascii="Times New Roman" w:eastAsia="Times New Roman" w:hAnsi="Times New Roman" w:cs="Times New Roman"/>
          <w:b/>
          <w:bCs/>
          <w:sz w:val="24"/>
          <w:szCs w:val="24"/>
          <w:lang w:val="en-GB"/>
        </w:rPr>
      </w:pPr>
      <w:r w:rsidRPr="004774D7">
        <w:rPr>
          <w:rFonts w:ascii="Times New Roman" w:hAnsi="Times New Roman" w:cs="Times New Roman"/>
          <w:lang w:val="en-GB"/>
        </w:rPr>
        <w:br w:type="page"/>
      </w:r>
    </w:p>
    <w:p w14:paraId="08D90D9C" w14:textId="5493EA77" w:rsidR="0050244B" w:rsidRPr="004774D7" w:rsidRDefault="00FF4208" w:rsidP="00973765">
      <w:pPr>
        <w:pStyle w:val="Heading1"/>
      </w:pPr>
      <w:bookmarkStart w:id="82" w:name="_Toc239424094"/>
      <w:r w:rsidRPr="004774D7">
        <w:lastRenderedPageBreak/>
        <w:t>REFERENCE LIST</w:t>
      </w:r>
      <w:bookmarkEnd w:id="82"/>
    </w:p>
    <w:p w14:paraId="4BA0AF5D" w14:textId="77777777" w:rsidR="00E42074" w:rsidRPr="00E42074" w:rsidRDefault="00E42074" w:rsidP="00B7563B">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Amoyea</w:t>
      </w:r>
      <w:proofErr w:type="spellEnd"/>
      <w:r w:rsidRPr="00E42074">
        <w:rPr>
          <w:rFonts w:ascii="Times New Roman" w:hAnsi="Times New Roman" w:cs="Times New Roman"/>
          <w:color w:val="0D0D0D" w:themeColor="text1" w:themeTint="F2"/>
          <w:sz w:val="24"/>
          <w:szCs w:val="24"/>
        </w:rPr>
        <w:t xml:space="preserve"> </w:t>
      </w:r>
      <w:proofErr w:type="spellStart"/>
      <w:r w:rsidRPr="00E42074">
        <w:rPr>
          <w:rFonts w:ascii="Times New Roman" w:hAnsi="Times New Roman" w:cs="Times New Roman"/>
          <w:color w:val="0D0D0D" w:themeColor="text1" w:themeTint="F2"/>
          <w:sz w:val="24"/>
          <w:szCs w:val="24"/>
        </w:rPr>
        <w:t>Atogenzoya</w:t>
      </w:r>
      <w:proofErr w:type="spellEnd"/>
      <w:r w:rsidRPr="00E42074">
        <w:rPr>
          <w:rFonts w:ascii="Times New Roman" w:hAnsi="Times New Roman" w:cs="Times New Roman"/>
          <w:color w:val="0D0D0D" w:themeColor="text1" w:themeTint="F2"/>
          <w:sz w:val="24"/>
          <w:szCs w:val="24"/>
        </w:rPr>
        <w:t xml:space="preserve">, C., Alhassan, A.R., Salifu, I. and </w:t>
      </w:r>
      <w:proofErr w:type="spellStart"/>
      <w:r w:rsidRPr="00E42074">
        <w:rPr>
          <w:rFonts w:ascii="Times New Roman" w:hAnsi="Times New Roman" w:cs="Times New Roman"/>
          <w:color w:val="0D0D0D" w:themeColor="text1" w:themeTint="F2"/>
          <w:sz w:val="24"/>
          <w:szCs w:val="24"/>
        </w:rPr>
        <w:t>Akolgo</w:t>
      </w:r>
      <w:proofErr w:type="spellEnd"/>
      <w:r w:rsidRPr="00E42074">
        <w:rPr>
          <w:rFonts w:ascii="Times New Roman" w:hAnsi="Times New Roman" w:cs="Times New Roman"/>
          <w:color w:val="0D0D0D" w:themeColor="text1" w:themeTint="F2"/>
          <w:sz w:val="24"/>
          <w:szCs w:val="24"/>
        </w:rPr>
        <w:t xml:space="preserve">, I.G., 2026. Bridging the gap? Explicating the coping hybrid strategies used by social enterprises to manage institutional voids. </w:t>
      </w:r>
      <w:r w:rsidRPr="00E42074">
        <w:rPr>
          <w:rFonts w:ascii="Times New Roman" w:hAnsi="Times New Roman" w:cs="Times New Roman"/>
          <w:i/>
          <w:iCs/>
          <w:color w:val="0D0D0D" w:themeColor="text1" w:themeTint="F2"/>
          <w:sz w:val="24"/>
          <w:szCs w:val="24"/>
        </w:rPr>
        <w:t>Strategy &amp; Leadership</w:t>
      </w:r>
      <w:r w:rsidRPr="00E42074">
        <w:rPr>
          <w:rFonts w:ascii="Times New Roman" w:hAnsi="Times New Roman" w:cs="Times New Roman"/>
          <w:color w:val="0D0D0D" w:themeColor="text1" w:themeTint="F2"/>
          <w:sz w:val="24"/>
          <w:szCs w:val="24"/>
        </w:rPr>
        <w:t>, pp.1-33.</w:t>
      </w:r>
      <w:r w:rsidRPr="00E42074">
        <w:rPr>
          <w:rFonts w:ascii="Times New Roman" w:eastAsia="Times New Roman" w:hAnsi="Times New Roman" w:cs="Times New Roman"/>
          <w:color w:val="0D0D0D" w:themeColor="text1" w:themeTint="F2"/>
          <w:sz w:val="24"/>
          <w:szCs w:val="24"/>
        </w:rPr>
        <w:t xml:space="preserve"> </w:t>
      </w:r>
    </w:p>
    <w:p w14:paraId="6E746D7B" w14:textId="77777777" w:rsidR="00E42074" w:rsidRPr="00E42074" w:rsidRDefault="00E42074" w:rsidP="00B7563B">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Babugura</w:t>
      </w:r>
      <w:proofErr w:type="spellEnd"/>
      <w:r w:rsidRPr="00E42074">
        <w:rPr>
          <w:rFonts w:ascii="Times New Roman" w:hAnsi="Times New Roman" w:cs="Times New Roman"/>
          <w:color w:val="0D0D0D" w:themeColor="text1" w:themeTint="F2"/>
          <w:sz w:val="24"/>
          <w:szCs w:val="24"/>
        </w:rPr>
        <w:t xml:space="preserve">, A.A., </w:t>
      </w:r>
      <w:proofErr w:type="spellStart"/>
      <w:r w:rsidRPr="00E42074">
        <w:rPr>
          <w:rFonts w:ascii="Times New Roman" w:hAnsi="Times New Roman" w:cs="Times New Roman"/>
          <w:color w:val="0D0D0D" w:themeColor="text1" w:themeTint="F2"/>
          <w:sz w:val="24"/>
          <w:szCs w:val="24"/>
        </w:rPr>
        <w:t>Onyeaka</w:t>
      </w:r>
      <w:proofErr w:type="spellEnd"/>
      <w:r w:rsidRPr="00E42074">
        <w:rPr>
          <w:rFonts w:ascii="Times New Roman" w:hAnsi="Times New Roman" w:cs="Times New Roman"/>
          <w:color w:val="0D0D0D" w:themeColor="text1" w:themeTint="F2"/>
          <w:sz w:val="24"/>
          <w:szCs w:val="24"/>
        </w:rPr>
        <w:t xml:space="preserve">, H. and </w:t>
      </w:r>
      <w:proofErr w:type="spellStart"/>
      <w:r w:rsidRPr="00E42074">
        <w:rPr>
          <w:rFonts w:ascii="Times New Roman" w:hAnsi="Times New Roman" w:cs="Times New Roman"/>
          <w:color w:val="0D0D0D" w:themeColor="text1" w:themeTint="F2"/>
          <w:sz w:val="24"/>
          <w:szCs w:val="24"/>
        </w:rPr>
        <w:t>Bakwena</w:t>
      </w:r>
      <w:proofErr w:type="spellEnd"/>
      <w:r w:rsidRPr="00E42074">
        <w:rPr>
          <w:rFonts w:ascii="Times New Roman" w:hAnsi="Times New Roman" w:cs="Times New Roman"/>
          <w:color w:val="0D0D0D" w:themeColor="text1" w:themeTint="F2"/>
          <w:sz w:val="24"/>
          <w:szCs w:val="24"/>
        </w:rPr>
        <w:t xml:space="preserve">, M., 2026. The role of non-governmental organisations and civil society in addressing scarcity and distribution in global food value chains. In </w:t>
      </w:r>
      <w:r w:rsidRPr="00E42074">
        <w:rPr>
          <w:rFonts w:ascii="Times New Roman" w:hAnsi="Times New Roman" w:cs="Times New Roman"/>
          <w:i/>
          <w:iCs/>
          <w:color w:val="0D0D0D" w:themeColor="text1" w:themeTint="F2"/>
          <w:sz w:val="24"/>
          <w:szCs w:val="24"/>
        </w:rPr>
        <w:t>Global Food Value Chains: An In-depth Exploration of International Trade Dynamics</w:t>
      </w:r>
      <w:r w:rsidRPr="00E42074">
        <w:rPr>
          <w:rFonts w:ascii="Times New Roman" w:hAnsi="Times New Roman" w:cs="Times New Roman"/>
          <w:color w:val="0D0D0D" w:themeColor="text1" w:themeTint="F2"/>
          <w:sz w:val="24"/>
          <w:szCs w:val="24"/>
        </w:rPr>
        <w:t xml:space="preserve"> (pp. 349-418). Cham: Springer Nature Switzerland.</w:t>
      </w:r>
      <w:r w:rsidRPr="00E42074">
        <w:rPr>
          <w:rFonts w:ascii="Times New Roman" w:eastAsia="Times New Roman" w:hAnsi="Times New Roman" w:cs="Times New Roman"/>
          <w:color w:val="0D0D0D" w:themeColor="text1" w:themeTint="F2"/>
          <w:sz w:val="24"/>
          <w:szCs w:val="24"/>
        </w:rPr>
        <w:t xml:space="preserve"> </w:t>
      </w:r>
    </w:p>
    <w:p w14:paraId="0398FAB4"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Bai, Y., Cao, L., Wang, S., Ding, H. and Yue, Y., 2022. Data collection strategy based on OSELM and </w:t>
      </w:r>
      <w:proofErr w:type="spellStart"/>
      <w:r w:rsidRPr="00E42074">
        <w:rPr>
          <w:rFonts w:ascii="Times New Roman" w:eastAsia="Times New Roman" w:hAnsi="Times New Roman" w:cs="Times New Roman"/>
          <w:color w:val="0D0D0D" w:themeColor="text1" w:themeTint="F2"/>
          <w:sz w:val="24"/>
          <w:szCs w:val="24"/>
          <w:lang w:eastAsia="en-IN"/>
        </w:rPr>
        <w:t>gray</w:t>
      </w:r>
      <w:proofErr w:type="spellEnd"/>
      <w:r w:rsidRPr="00E42074">
        <w:rPr>
          <w:rFonts w:ascii="Times New Roman" w:eastAsia="Times New Roman" w:hAnsi="Times New Roman" w:cs="Times New Roman"/>
          <w:color w:val="0D0D0D" w:themeColor="text1" w:themeTint="F2"/>
          <w:sz w:val="24"/>
          <w:szCs w:val="24"/>
          <w:lang w:eastAsia="en-IN"/>
        </w:rPr>
        <w:t xml:space="preserve"> wolf optimization algorithm for wireless sensor networks. </w:t>
      </w:r>
      <w:r w:rsidRPr="00E42074">
        <w:rPr>
          <w:rFonts w:ascii="Times New Roman" w:eastAsia="Times New Roman" w:hAnsi="Times New Roman" w:cs="Times New Roman"/>
          <w:i/>
          <w:iCs/>
          <w:color w:val="0D0D0D" w:themeColor="text1" w:themeTint="F2"/>
          <w:sz w:val="24"/>
          <w:szCs w:val="24"/>
          <w:lang w:eastAsia="en-IN"/>
        </w:rPr>
        <w:t>Computational Intelligence and Neuroscience</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2022</w:t>
      </w:r>
      <w:r w:rsidRPr="00E42074">
        <w:rPr>
          <w:rFonts w:ascii="Times New Roman" w:eastAsia="Times New Roman" w:hAnsi="Times New Roman" w:cs="Times New Roman"/>
          <w:color w:val="0D0D0D" w:themeColor="text1" w:themeTint="F2"/>
          <w:sz w:val="24"/>
          <w:szCs w:val="24"/>
          <w:lang w:eastAsia="en-IN"/>
        </w:rPr>
        <w:t>(1), p.4489436. </w:t>
      </w:r>
    </w:p>
    <w:p w14:paraId="1ED677FA"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Banks, N., Bukenya, B., </w:t>
      </w:r>
      <w:proofErr w:type="spellStart"/>
      <w:r w:rsidRPr="00E42074">
        <w:rPr>
          <w:rFonts w:ascii="Times New Roman" w:hAnsi="Times New Roman" w:cs="Times New Roman"/>
          <w:color w:val="0D0D0D" w:themeColor="text1" w:themeTint="F2"/>
          <w:sz w:val="24"/>
          <w:szCs w:val="24"/>
        </w:rPr>
        <w:t>Elbers</w:t>
      </w:r>
      <w:proofErr w:type="spellEnd"/>
      <w:r w:rsidRPr="00E42074">
        <w:rPr>
          <w:rFonts w:ascii="Times New Roman" w:hAnsi="Times New Roman" w:cs="Times New Roman"/>
          <w:color w:val="0D0D0D" w:themeColor="text1" w:themeTint="F2"/>
          <w:sz w:val="24"/>
          <w:szCs w:val="24"/>
        </w:rPr>
        <w:t xml:space="preserve">, W., </w:t>
      </w:r>
      <w:proofErr w:type="spellStart"/>
      <w:r w:rsidRPr="00E42074">
        <w:rPr>
          <w:rFonts w:ascii="Times New Roman" w:hAnsi="Times New Roman" w:cs="Times New Roman"/>
          <w:color w:val="0D0D0D" w:themeColor="text1" w:themeTint="F2"/>
          <w:sz w:val="24"/>
          <w:szCs w:val="24"/>
        </w:rPr>
        <w:t>Kamya</w:t>
      </w:r>
      <w:proofErr w:type="spellEnd"/>
      <w:r w:rsidRPr="00E42074">
        <w:rPr>
          <w:rFonts w:ascii="Times New Roman" w:hAnsi="Times New Roman" w:cs="Times New Roman"/>
          <w:color w:val="0D0D0D" w:themeColor="text1" w:themeTint="F2"/>
          <w:sz w:val="24"/>
          <w:szCs w:val="24"/>
        </w:rPr>
        <w:t xml:space="preserve">, I., </w:t>
      </w:r>
      <w:proofErr w:type="spellStart"/>
      <w:r w:rsidRPr="00E42074">
        <w:rPr>
          <w:rFonts w:ascii="Times New Roman" w:hAnsi="Times New Roman" w:cs="Times New Roman"/>
          <w:color w:val="0D0D0D" w:themeColor="text1" w:themeTint="F2"/>
          <w:sz w:val="24"/>
          <w:szCs w:val="24"/>
        </w:rPr>
        <w:t>Kumi</w:t>
      </w:r>
      <w:proofErr w:type="spellEnd"/>
      <w:r w:rsidRPr="00E42074">
        <w:rPr>
          <w:rFonts w:ascii="Times New Roman" w:hAnsi="Times New Roman" w:cs="Times New Roman"/>
          <w:color w:val="0D0D0D" w:themeColor="text1" w:themeTint="F2"/>
          <w:sz w:val="24"/>
          <w:szCs w:val="24"/>
        </w:rPr>
        <w:t xml:space="preserve">, E., </w:t>
      </w:r>
      <w:proofErr w:type="spellStart"/>
      <w:r w:rsidRPr="00E42074">
        <w:rPr>
          <w:rFonts w:ascii="Times New Roman" w:hAnsi="Times New Roman" w:cs="Times New Roman"/>
          <w:color w:val="0D0D0D" w:themeColor="text1" w:themeTint="F2"/>
          <w:sz w:val="24"/>
          <w:szCs w:val="24"/>
        </w:rPr>
        <w:t>Schulpen</w:t>
      </w:r>
      <w:proofErr w:type="spellEnd"/>
      <w:r w:rsidRPr="00E42074">
        <w:rPr>
          <w:rFonts w:ascii="Times New Roman" w:hAnsi="Times New Roman" w:cs="Times New Roman"/>
          <w:color w:val="0D0D0D" w:themeColor="text1" w:themeTint="F2"/>
          <w:sz w:val="24"/>
          <w:szCs w:val="24"/>
        </w:rPr>
        <w:t xml:space="preserve">, L., van </w:t>
      </w:r>
      <w:proofErr w:type="spellStart"/>
      <w:r w:rsidRPr="00E42074">
        <w:rPr>
          <w:rFonts w:ascii="Times New Roman" w:hAnsi="Times New Roman" w:cs="Times New Roman"/>
          <w:color w:val="0D0D0D" w:themeColor="text1" w:themeTint="F2"/>
          <w:sz w:val="24"/>
          <w:szCs w:val="24"/>
        </w:rPr>
        <w:t>Selm</w:t>
      </w:r>
      <w:proofErr w:type="spellEnd"/>
      <w:r w:rsidRPr="00E42074">
        <w:rPr>
          <w:rFonts w:ascii="Times New Roman" w:hAnsi="Times New Roman" w:cs="Times New Roman"/>
          <w:color w:val="0D0D0D" w:themeColor="text1" w:themeTint="F2"/>
          <w:sz w:val="24"/>
          <w:szCs w:val="24"/>
        </w:rPr>
        <w:t xml:space="preserve">, G., van Wessel, M. and Yeboah, T., 2026. Power and its discontents: The long road to systemic change in the aid sector. </w:t>
      </w:r>
      <w:r w:rsidRPr="00E42074">
        <w:rPr>
          <w:rFonts w:ascii="Times New Roman" w:hAnsi="Times New Roman" w:cs="Times New Roman"/>
          <w:i/>
          <w:iCs/>
          <w:color w:val="0D0D0D" w:themeColor="text1" w:themeTint="F2"/>
          <w:sz w:val="24"/>
          <w:szCs w:val="24"/>
        </w:rPr>
        <w:t>World Development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200</w:t>
      </w:r>
      <w:r w:rsidRPr="00E42074">
        <w:rPr>
          <w:rFonts w:ascii="Times New Roman" w:hAnsi="Times New Roman" w:cs="Times New Roman"/>
          <w:color w:val="0D0D0D" w:themeColor="text1" w:themeTint="F2"/>
          <w:sz w:val="24"/>
          <w:szCs w:val="24"/>
        </w:rPr>
        <w:t>, p.107259.</w:t>
      </w:r>
      <w:r w:rsidRPr="00E42074">
        <w:rPr>
          <w:rFonts w:ascii="Times New Roman" w:eastAsia="Times New Roman" w:hAnsi="Times New Roman" w:cs="Times New Roman"/>
          <w:color w:val="0D0D0D" w:themeColor="text1" w:themeTint="F2"/>
          <w:sz w:val="24"/>
          <w:szCs w:val="24"/>
        </w:rPr>
        <w:t xml:space="preserve"> </w:t>
      </w:r>
    </w:p>
    <w:p w14:paraId="24C56838" w14:textId="77777777" w:rsidR="00E42074" w:rsidRPr="00E42074" w:rsidRDefault="00E42074" w:rsidP="00E42074">
      <w:pPr>
        <w:pStyle w:val="NormalWeb"/>
        <w:spacing w:before="0" w:beforeAutospacing="0" w:after="0" w:afterAutospacing="0" w:line="360" w:lineRule="auto"/>
        <w:jc w:val="both"/>
      </w:pPr>
      <w:proofErr w:type="spellStart"/>
      <w:r w:rsidRPr="00E42074">
        <w:rPr>
          <w:color w:val="000000"/>
        </w:rPr>
        <w:t>Bendell</w:t>
      </w:r>
      <w:proofErr w:type="spellEnd"/>
      <w:r w:rsidRPr="00E42074">
        <w:rPr>
          <w:color w:val="000000"/>
        </w:rPr>
        <w:t xml:space="preserve">, J., 2022. Replacing sustainable development: Potential frameworks for international cooperation in an era of increasing crises and disasters. </w:t>
      </w:r>
      <w:r w:rsidRPr="00E42074">
        <w:rPr>
          <w:i/>
          <w:iCs/>
          <w:color w:val="000000"/>
        </w:rPr>
        <w:t>Sustainability</w:t>
      </w:r>
      <w:r w:rsidRPr="00E42074">
        <w:rPr>
          <w:color w:val="000000"/>
        </w:rPr>
        <w:t xml:space="preserve">, </w:t>
      </w:r>
      <w:r w:rsidRPr="00E42074">
        <w:rPr>
          <w:i/>
          <w:iCs/>
          <w:color w:val="000000"/>
        </w:rPr>
        <w:t>14</w:t>
      </w:r>
      <w:r w:rsidRPr="00E42074">
        <w:rPr>
          <w:color w:val="000000"/>
        </w:rPr>
        <w:t>(13), p.8185. </w:t>
      </w:r>
    </w:p>
    <w:p w14:paraId="443C013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Blake-Gilmore, R.N., </w:t>
      </w:r>
      <w:proofErr w:type="spellStart"/>
      <w:r w:rsidRPr="00E42074">
        <w:rPr>
          <w:rFonts w:ascii="Times New Roman" w:eastAsia="Times New Roman" w:hAnsi="Times New Roman" w:cs="Times New Roman"/>
          <w:color w:val="0D0D0D" w:themeColor="text1" w:themeTint="F2"/>
          <w:sz w:val="24"/>
          <w:szCs w:val="24"/>
          <w:lang w:eastAsia="en-IN"/>
        </w:rPr>
        <w:t>Swaby</w:t>
      </w:r>
      <w:proofErr w:type="spellEnd"/>
      <w:r w:rsidRPr="00E42074">
        <w:rPr>
          <w:rFonts w:ascii="Times New Roman" w:eastAsia="Times New Roman" w:hAnsi="Times New Roman" w:cs="Times New Roman"/>
          <w:color w:val="0D0D0D" w:themeColor="text1" w:themeTint="F2"/>
          <w:sz w:val="24"/>
          <w:szCs w:val="24"/>
          <w:lang w:eastAsia="en-IN"/>
        </w:rPr>
        <w:t xml:space="preserve">, D. and Rhoden, L., 2023. Demystifying Environmental Democracy in a New Era of Governance: Whole-of-Community Efforts among Citizens, Non-profits, the Public and Private Sectors. In </w:t>
      </w:r>
      <w:r w:rsidRPr="00E42074">
        <w:rPr>
          <w:rFonts w:ascii="Times New Roman" w:eastAsia="Times New Roman" w:hAnsi="Times New Roman" w:cs="Times New Roman"/>
          <w:i/>
          <w:iCs/>
          <w:color w:val="0D0D0D" w:themeColor="text1" w:themeTint="F2"/>
          <w:sz w:val="24"/>
          <w:szCs w:val="24"/>
          <w:lang w:eastAsia="en-IN"/>
        </w:rPr>
        <w:t>Rethinking Democracy and Governance</w:t>
      </w:r>
      <w:r w:rsidRPr="00E42074">
        <w:rPr>
          <w:rFonts w:ascii="Times New Roman" w:eastAsia="Times New Roman" w:hAnsi="Times New Roman" w:cs="Times New Roman"/>
          <w:color w:val="0D0D0D" w:themeColor="text1" w:themeTint="F2"/>
          <w:sz w:val="24"/>
          <w:szCs w:val="24"/>
          <w:lang w:eastAsia="en-IN"/>
        </w:rPr>
        <w:t xml:space="preserve"> (pp. 217-243). Routledge. </w:t>
      </w:r>
    </w:p>
    <w:p w14:paraId="4D08534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Boiral</w:t>
      </w:r>
      <w:proofErr w:type="spellEnd"/>
      <w:r w:rsidRPr="00E42074">
        <w:rPr>
          <w:rFonts w:ascii="Times New Roman" w:hAnsi="Times New Roman" w:cs="Times New Roman"/>
          <w:color w:val="0D0D0D" w:themeColor="text1" w:themeTint="F2"/>
          <w:sz w:val="24"/>
          <w:szCs w:val="24"/>
        </w:rPr>
        <w:t xml:space="preserve">, O., </w:t>
      </w:r>
      <w:proofErr w:type="spellStart"/>
      <w:r w:rsidRPr="00E42074">
        <w:rPr>
          <w:rFonts w:ascii="Times New Roman" w:hAnsi="Times New Roman" w:cs="Times New Roman"/>
          <w:color w:val="0D0D0D" w:themeColor="text1" w:themeTint="F2"/>
          <w:sz w:val="24"/>
          <w:szCs w:val="24"/>
        </w:rPr>
        <w:t>Heras‐Saizarbitoria</w:t>
      </w:r>
      <w:proofErr w:type="spellEnd"/>
      <w:r w:rsidRPr="00E42074">
        <w:rPr>
          <w:rFonts w:ascii="Times New Roman" w:hAnsi="Times New Roman" w:cs="Times New Roman"/>
          <w:color w:val="0D0D0D" w:themeColor="text1" w:themeTint="F2"/>
          <w:sz w:val="24"/>
          <w:szCs w:val="24"/>
        </w:rPr>
        <w:t xml:space="preserve">, I. and Brotherton, M.C., 2023. Sustainability management and social license to operate in the extractive industry: the cross‐cultural gap with Indigenous communities. </w:t>
      </w:r>
      <w:r w:rsidRPr="00E42074">
        <w:rPr>
          <w:rFonts w:ascii="Times New Roman" w:hAnsi="Times New Roman" w:cs="Times New Roman"/>
          <w:i/>
          <w:iCs/>
          <w:color w:val="0D0D0D" w:themeColor="text1" w:themeTint="F2"/>
          <w:sz w:val="24"/>
          <w:szCs w:val="24"/>
        </w:rPr>
        <w:t>Sustainable Development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31</w:t>
      </w:r>
      <w:r w:rsidRPr="00E42074">
        <w:rPr>
          <w:rFonts w:ascii="Times New Roman" w:hAnsi="Times New Roman" w:cs="Times New Roman"/>
          <w:color w:val="0D0D0D" w:themeColor="text1" w:themeTint="F2"/>
          <w:sz w:val="24"/>
          <w:szCs w:val="24"/>
        </w:rPr>
        <w:t>(1), pp.125-137.</w:t>
      </w:r>
      <w:r w:rsidRPr="00E42074">
        <w:rPr>
          <w:rFonts w:ascii="Times New Roman" w:eastAsia="Times New Roman" w:hAnsi="Times New Roman" w:cs="Times New Roman"/>
          <w:color w:val="0D0D0D" w:themeColor="text1" w:themeTint="F2"/>
          <w:sz w:val="24"/>
          <w:szCs w:val="24"/>
        </w:rPr>
        <w:t xml:space="preserve"> </w:t>
      </w:r>
    </w:p>
    <w:p w14:paraId="536FCDF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Bolton, P., West, J., Whitney, C., Jordans, M.J., Bass, J., Thornicroft, G., Murray, L., Snider, L., Eaton, J., Collins, P.Y. and </w:t>
      </w:r>
      <w:proofErr w:type="spellStart"/>
      <w:r w:rsidRPr="00E42074">
        <w:rPr>
          <w:rFonts w:ascii="Times New Roman" w:hAnsi="Times New Roman" w:cs="Times New Roman"/>
          <w:color w:val="0D0D0D" w:themeColor="text1" w:themeTint="F2"/>
          <w:sz w:val="24"/>
          <w:szCs w:val="24"/>
        </w:rPr>
        <w:t>Ventevogel</w:t>
      </w:r>
      <w:proofErr w:type="spellEnd"/>
      <w:r w:rsidRPr="00E42074">
        <w:rPr>
          <w:rFonts w:ascii="Times New Roman" w:hAnsi="Times New Roman" w:cs="Times New Roman"/>
          <w:color w:val="0D0D0D" w:themeColor="text1" w:themeTint="F2"/>
          <w:sz w:val="24"/>
          <w:szCs w:val="24"/>
        </w:rPr>
        <w:t xml:space="preserve">, P., 2023. Expanding mental health services in low-and middle-income countries: A task-shifting framework for delivery of comprehensive, collaborative, and community-based care. </w:t>
      </w:r>
      <w:r w:rsidRPr="00E42074">
        <w:rPr>
          <w:rFonts w:ascii="Times New Roman" w:hAnsi="Times New Roman" w:cs="Times New Roman"/>
          <w:i/>
          <w:iCs/>
          <w:color w:val="0D0D0D" w:themeColor="text1" w:themeTint="F2"/>
          <w:sz w:val="24"/>
          <w:szCs w:val="24"/>
        </w:rPr>
        <w:t>Cambridge Prisms: Global Mental Health</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10</w:t>
      </w:r>
      <w:r w:rsidRPr="00E42074">
        <w:rPr>
          <w:rFonts w:ascii="Times New Roman" w:hAnsi="Times New Roman" w:cs="Times New Roman"/>
          <w:color w:val="0D0D0D" w:themeColor="text1" w:themeTint="F2"/>
          <w:sz w:val="24"/>
          <w:szCs w:val="24"/>
        </w:rPr>
        <w:t>, p.e16.</w:t>
      </w:r>
      <w:r w:rsidRPr="00E42074">
        <w:rPr>
          <w:rFonts w:ascii="Times New Roman" w:eastAsia="Times New Roman" w:hAnsi="Times New Roman" w:cs="Times New Roman"/>
          <w:color w:val="0D0D0D" w:themeColor="text1" w:themeTint="F2"/>
          <w:sz w:val="24"/>
          <w:szCs w:val="24"/>
        </w:rPr>
        <w:t xml:space="preserve"> </w:t>
      </w:r>
    </w:p>
    <w:p w14:paraId="033E6524" w14:textId="77777777" w:rsidR="00E42074" w:rsidRPr="00E42074" w:rsidRDefault="00E42074" w:rsidP="00B7563B">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Bose, S. and Sharma, H., 2023. Public Spending on School education in Delhi: The Gaps that Covid-19 Highlights. </w:t>
      </w:r>
      <w:r w:rsidRPr="00E42074">
        <w:rPr>
          <w:rFonts w:ascii="Times New Roman" w:eastAsia="Times New Roman" w:hAnsi="Times New Roman" w:cs="Times New Roman"/>
          <w:i/>
          <w:iCs/>
          <w:color w:val="0D0D0D" w:themeColor="text1" w:themeTint="F2"/>
          <w:sz w:val="24"/>
          <w:szCs w:val="24"/>
          <w:lang w:eastAsia="en-IN"/>
        </w:rPr>
        <w:t>National Coalition for Education, http://nceindia. org. in/</w:t>
      </w:r>
      <w:proofErr w:type="spellStart"/>
      <w:r w:rsidRPr="00E42074">
        <w:rPr>
          <w:rFonts w:ascii="Times New Roman" w:eastAsia="Times New Roman" w:hAnsi="Times New Roman" w:cs="Times New Roman"/>
          <w:i/>
          <w:iCs/>
          <w:color w:val="0D0D0D" w:themeColor="text1" w:themeTint="F2"/>
          <w:sz w:val="24"/>
          <w:szCs w:val="24"/>
          <w:lang w:eastAsia="en-IN"/>
        </w:rPr>
        <w:t>wp</w:t>
      </w:r>
      <w:proofErr w:type="spellEnd"/>
      <w:r w:rsidRPr="00E42074">
        <w:rPr>
          <w:rFonts w:ascii="Times New Roman" w:eastAsia="Times New Roman" w:hAnsi="Times New Roman" w:cs="Times New Roman"/>
          <w:i/>
          <w:iCs/>
          <w:color w:val="0D0D0D" w:themeColor="text1" w:themeTint="F2"/>
          <w:sz w:val="24"/>
          <w:szCs w:val="24"/>
          <w:lang w:eastAsia="en-IN"/>
        </w:rPr>
        <w:t>-content/uploads/2023/03/Public-Spending-Delhi. pdf</w:t>
      </w:r>
      <w:r w:rsidRPr="00E42074">
        <w:rPr>
          <w:rFonts w:ascii="Times New Roman" w:eastAsia="Times New Roman" w:hAnsi="Times New Roman" w:cs="Times New Roman"/>
          <w:color w:val="0D0D0D" w:themeColor="text1" w:themeTint="F2"/>
          <w:sz w:val="24"/>
          <w:szCs w:val="24"/>
          <w:lang w:eastAsia="en-IN"/>
        </w:rPr>
        <w:t>. </w:t>
      </w:r>
    </w:p>
    <w:p w14:paraId="0BBABDB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lastRenderedPageBreak/>
        <w:t xml:space="preserve">Braun, V. and Clarke, V., 2024. Supporting best practice in reflexive thematic analysis reporting in Palliative Medicine: A review of published research and introduction to the Reflexive Thematic Analysis Reporting Guidelines (RTARG). </w:t>
      </w:r>
      <w:r w:rsidRPr="00E42074">
        <w:rPr>
          <w:rFonts w:ascii="Times New Roman" w:eastAsia="Times New Roman" w:hAnsi="Times New Roman" w:cs="Times New Roman"/>
          <w:i/>
          <w:iCs/>
          <w:color w:val="0D0D0D" w:themeColor="text1" w:themeTint="F2"/>
          <w:sz w:val="24"/>
          <w:szCs w:val="24"/>
          <w:lang w:eastAsia="en-IN"/>
        </w:rPr>
        <w:t>Palliative medicine</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38</w:t>
      </w:r>
      <w:r w:rsidRPr="00E42074">
        <w:rPr>
          <w:rFonts w:ascii="Times New Roman" w:eastAsia="Times New Roman" w:hAnsi="Times New Roman" w:cs="Times New Roman"/>
          <w:color w:val="0D0D0D" w:themeColor="text1" w:themeTint="F2"/>
          <w:sz w:val="24"/>
          <w:szCs w:val="24"/>
          <w:lang w:eastAsia="en-IN"/>
        </w:rPr>
        <w:t>(6), pp.608-616. </w:t>
      </w:r>
    </w:p>
    <w:p w14:paraId="160CF2B2"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Brown, G.W., Rhodes, N., </w:t>
      </w:r>
      <w:proofErr w:type="spellStart"/>
      <w:r w:rsidRPr="00E42074">
        <w:rPr>
          <w:rFonts w:ascii="Times New Roman" w:eastAsia="Times New Roman" w:hAnsi="Times New Roman" w:cs="Times New Roman"/>
          <w:color w:val="0D0D0D" w:themeColor="text1" w:themeTint="F2"/>
          <w:sz w:val="24"/>
          <w:szCs w:val="24"/>
          <w:lang w:val="en-GB"/>
        </w:rPr>
        <w:t>Tacheva</w:t>
      </w:r>
      <w:proofErr w:type="spellEnd"/>
      <w:r w:rsidRPr="00E42074">
        <w:rPr>
          <w:rFonts w:ascii="Times New Roman" w:eastAsia="Times New Roman" w:hAnsi="Times New Roman" w:cs="Times New Roman"/>
          <w:color w:val="0D0D0D" w:themeColor="text1" w:themeTint="F2"/>
          <w:sz w:val="24"/>
          <w:szCs w:val="24"/>
          <w:lang w:val="en-GB"/>
        </w:rPr>
        <w:t xml:space="preserve">, B., </w:t>
      </w:r>
      <w:proofErr w:type="spellStart"/>
      <w:r w:rsidRPr="00E42074">
        <w:rPr>
          <w:rFonts w:ascii="Times New Roman" w:eastAsia="Times New Roman" w:hAnsi="Times New Roman" w:cs="Times New Roman"/>
          <w:color w:val="0D0D0D" w:themeColor="text1" w:themeTint="F2"/>
          <w:sz w:val="24"/>
          <w:szCs w:val="24"/>
          <w:lang w:val="en-GB"/>
        </w:rPr>
        <w:t>Loewenson</w:t>
      </w:r>
      <w:proofErr w:type="spellEnd"/>
      <w:r w:rsidRPr="00E42074">
        <w:rPr>
          <w:rFonts w:ascii="Times New Roman" w:eastAsia="Times New Roman" w:hAnsi="Times New Roman" w:cs="Times New Roman"/>
          <w:color w:val="0D0D0D" w:themeColor="text1" w:themeTint="F2"/>
          <w:sz w:val="24"/>
          <w:szCs w:val="24"/>
          <w:lang w:val="en-GB"/>
        </w:rPr>
        <w:t xml:space="preserve">, R., Shahid, M. and Poitier, F., 2023. Challenges in international health financing and implications for the new pandemic fund. </w:t>
      </w:r>
      <w:r w:rsidRPr="00E42074">
        <w:rPr>
          <w:rFonts w:ascii="Times New Roman" w:eastAsia="Times New Roman" w:hAnsi="Times New Roman" w:cs="Times New Roman"/>
          <w:i/>
          <w:iCs/>
          <w:color w:val="0D0D0D" w:themeColor="text1" w:themeTint="F2"/>
          <w:sz w:val="24"/>
          <w:szCs w:val="24"/>
          <w:lang w:val="en-GB"/>
        </w:rPr>
        <w:t>Globalization and Health</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19</w:t>
      </w:r>
      <w:r w:rsidRPr="00E42074">
        <w:rPr>
          <w:rFonts w:ascii="Times New Roman" w:eastAsia="Times New Roman" w:hAnsi="Times New Roman" w:cs="Times New Roman"/>
          <w:color w:val="0D0D0D" w:themeColor="text1" w:themeTint="F2"/>
          <w:sz w:val="24"/>
          <w:szCs w:val="24"/>
          <w:lang w:val="en-GB"/>
        </w:rPr>
        <w:t>(1), p.97.</w:t>
      </w:r>
    </w:p>
    <w:p w14:paraId="09C75FA3"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Bruni‐Bossio, V. and Kaczur, M., 2022. The power‐structure model of non‐profit governance. </w:t>
      </w:r>
      <w:r w:rsidRPr="00E42074">
        <w:rPr>
          <w:rFonts w:ascii="Times New Roman" w:hAnsi="Times New Roman" w:cs="Times New Roman"/>
          <w:i/>
          <w:iCs/>
          <w:color w:val="0D0D0D" w:themeColor="text1" w:themeTint="F2"/>
          <w:sz w:val="24"/>
          <w:szCs w:val="24"/>
        </w:rPr>
        <w:t>Corporate Governance: An International Review</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30</w:t>
      </w:r>
      <w:r w:rsidRPr="00E42074">
        <w:rPr>
          <w:rFonts w:ascii="Times New Roman" w:hAnsi="Times New Roman" w:cs="Times New Roman"/>
          <w:color w:val="0D0D0D" w:themeColor="text1" w:themeTint="F2"/>
          <w:sz w:val="24"/>
          <w:szCs w:val="24"/>
        </w:rPr>
        <w:t>(4), pp.442-460.</w:t>
      </w:r>
      <w:r w:rsidRPr="00E42074">
        <w:rPr>
          <w:rFonts w:ascii="Times New Roman" w:eastAsia="Times New Roman" w:hAnsi="Times New Roman" w:cs="Times New Roman"/>
          <w:color w:val="0D0D0D" w:themeColor="text1" w:themeTint="F2"/>
          <w:sz w:val="24"/>
          <w:szCs w:val="24"/>
        </w:rPr>
        <w:t xml:space="preserve"> </w:t>
      </w:r>
    </w:p>
    <w:p w14:paraId="40ACB7A9"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Carter, S., Andersen, C., Stagg, A. and Gaunt, L., 2023. An exploratory study: Using adapted interactive research design and </w:t>
      </w:r>
      <w:proofErr w:type="spellStart"/>
      <w:r w:rsidRPr="00E42074">
        <w:rPr>
          <w:rFonts w:ascii="Times New Roman" w:eastAsia="Times New Roman" w:hAnsi="Times New Roman" w:cs="Times New Roman"/>
          <w:color w:val="0D0D0D" w:themeColor="text1" w:themeTint="F2"/>
          <w:sz w:val="24"/>
          <w:szCs w:val="24"/>
          <w:lang w:eastAsia="en-IN"/>
        </w:rPr>
        <w:t>contributive</w:t>
      </w:r>
      <w:proofErr w:type="spellEnd"/>
      <w:r w:rsidRPr="00E42074">
        <w:rPr>
          <w:rFonts w:ascii="Times New Roman" w:eastAsia="Times New Roman" w:hAnsi="Times New Roman" w:cs="Times New Roman"/>
          <w:color w:val="0D0D0D" w:themeColor="text1" w:themeTint="F2"/>
          <w:sz w:val="24"/>
          <w:szCs w:val="24"/>
          <w:lang w:eastAsia="en-IN"/>
        </w:rPr>
        <w:t xml:space="preserve"> research method. </w:t>
      </w:r>
      <w:r w:rsidRPr="00E42074">
        <w:rPr>
          <w:rFonts w:ascii="Times New Roman" w:eastAsia="Times New Roman" w:hAnsi="Times New Roman" w:cs="Times New Roman"/>
          <w:i/>
          <w:iCs/>
          <w:color w:val="0D0D0D" w:themeColor="text1" w:themeTint="F2"/>
          <w:sz w:val="24"/>
          <w:szCs w:val="24"/>
          <w:lang w:eastAsia="en-IN"/>
        </w:rPr>
        <w:t>The Journal of Academic Librarianship</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49</w:t>
      </w:r>
      <w:r w:rsidRPr="00E42074">
        <w:rPr>
          <w:rFonts w:ascii="Times New Roman" w:eastAsia="Times New Roman" w:hAnsi="Times New Roman" w:cs="Times New Roman"/>
          <w:color w:val="0D0D0D" w:themeColor="text1" w:themeTint="F2"/>
          <w:sz w:val="24"/>
          <w:szCs w:val="24"/>
          <w:lang w:eastAsia="en-IN"/>
        </w:rPr>
        <w:t>(1), p.102620. </w:t>
      </w:r>
    </w:p>
    <w:p w14:paraId="3D0E9C82"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Chali</w:t>
      </w:r>
      <w:proofErr w:type="spellEnd"/>
      <w:r w:rsidRPr="00E42074">
        <w:rPr>
          <w:rFonts w:ascii="Times New Roman" w:eastAsia="Times New Roman" w:hAnsi="Times New Roman" w:cs="Times New Roman"/>
          <w:color w:val="0D0D0D" w:themeColor="text1" w:themeTint="F2"/>
          <w:sz w:val="24"/>
          <w:szCs w:val="24"/>
          <w:lang w:eastAsia="en-IN"/>
        </w:rPr>
        <w:t xml:space="preserve">, M.T., </w:t>
      </w:r>
      <w:proofErr w:type="spellStart"/>
      <w:r w:rsidRPr="00E42074">
        <w:rPr>
          <w:rFonts w:ascii="Times New Roman" w:eastAsia="Times New Roman" w:hAnsi="Times New Roman" w:cs="Times New Roman"/>
          <w:color w:val="0D0D0D" w:themeColor="text1" w:themeTint="F2"/>
          <w:sz w:val="24"/>
          <w:szCs w:val="24"/>
          <w:lang w:eastAsia="en-IN"/>
        </w:rPr>
        <w:t>Eshete</w:t>
      </w:r>
      <w:proofErr w:type="spellEnd"/>
      <w:r w:rsidRPr="00E42074">
        <w:rPr>
          <w:rFonts w:ascii="Times New Roman" w:eastAsia="Times New Roman" w:hAnsi="Times New Roman" w:cs="Times New Roman"/>
          <w:color w:val="0D0D0D" w:themeColor="text1" w:themeTint="F2"/>
          <w:sz w:val="24"/>
          <w:szCs w:val="24"/>
          <w:lang w:eastAsia="en-IN"/>
        </w:rPr>
        <w:t xml:space="preserve">, S.K. and </w:t>
      </w:r>
      <w:proofErr w:type="spellStart"/>
      <w:r w:rsidRPr="00E42074">
        <w:rPr>
          <w:rFonts w:ascii="Times New Roman" w:eastAsia="Times New Roman" w:hAnsi="Times New Roman" w:cs="Times New Roman"/>
          <w:color w:val="0D0D0D" w:themeColor="text1" w:themeTint="F2"/>
          <w:sz w:val="24"/>
          <w:szCs w:val="24"/>
          <w:lang w:eastAsia="en-IN"/>
        </w:rPr>
        <w:t>Debela</w:t>
      </w:r>
      <w:proofErr w:type="spellEnd"/>
      <w:r w:rsidRPr="00E42074">
        <w:rPr>
          <w:rFonts w:ascii="Times New Roman" w:eastAsia="Times New Roman" w:hAnsi="Times New Roman" w:cs="Times New Roman"/>
          <w:color w:val="0D0D0D" w:themeColor="text1" w:themeTint="F2"/>
          <w:sz w:val="24"/>
          <w:szCs w:val="24"/>
          <w:lang w:eastAsia="en-IN"/>
        </w:rPr>
        <w:t xml:space="preserve">, K.L., 2022. Learning how research design methods work: A review of Creswell's research design: </w:t>
      </w:r>
      <w:proofErr w:type="gramStart"/>
      <w:r w:rsidRPr="00E42074">
        <w:rPr>
          <w:rFonts w:ascii="Times New Roman" w:eastAsia="Times New Roman" w:hAnsi="Times New Roman" w:cs="Times New Roman"/>
          <w:color w:val="0D0D0D" w:themeColor="text1" w:themeTint="F2"/>
          <w:sz w:val="24"/>
          <w:szCs w:val="24"/>
          <w:lang w:eastAsia="en-IN"/>
        </w:rPr>
        <w:t>Qualitative, quantitative and mixed methods approaches</w:t>
      </w:r>
      <w:proofErr w:type="gramEnd"/>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The Qualitative Report</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27</w:t>
      </w:r>
      <w:r w:rsidRPr="00E42074">
        <w:rPr>
          <w:rFonts w:ascii="Times New Roman" w:eastAsia="Times New Roman" w:hAnsi="Times New Roman" w:cs="Times New Roman"/>
          <w:color w:val="0D0D0D" w:themeColor="text1" w:themeTint="F2"/>
          <w:sz w:val="24"/>
          <w:szCs w:val="24"/>
          <w:lang w:eastAsia="en-IN"/>
        </w:rPr>
        <w:t>(12), pp.2956-2960. </w:t>
      </w:r>
    </w:p>
    <w:p w14:paraId="7496FBB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Chang-Liao, N.C., Fu, R.T.M. and Lin, S.H.Y., 2026. Strategic partnerships in alliance politics: Introducing the Global Strategic Partnership dataset. </w:t>
      </w:r>
      <w:r w:rsidRPr="00E42074">
        <w:rPr>
          <w:rFonts w:ascii="Times New Roman" w:hAnsi="Times New Roman" w:cs="Times New Roman"/>
          <w:i/>
          <w:iCs/>
          <w:color w:val="0D0D0D" w:themeColor="text1" w:themeTint="F2"/>
          <w:sz w:val="24"/>
          <w:szCs w:val="24"/>
        </w:rPr>
        <w:t>Conflict Management and Peace Science</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43</w:t>
      </w:r>
      <w:r w:rsidRPr="00E42074">
        <w:rPr>
          <w:rFonts w:ascii="Times New Roman" w:hAnsi="Times New Roman" w:cs="Times New Roman"/>
          <w:color w:val="0D0D0D" w:themeColor="text1" w:themeTint="F2"/>
          <w:sz w:val="24"/>
          <w:szCs w:val="24"/>
        </w:rPr>
        <w:t>(4), pp.436-456.</w:t>
      </w:r>
      <w:r w:rsidRPr="00E42074">
        <w:rPr>
          <w:rFonts w:ascii="Times New Roman" w:eastAsia="Times New Roman" w:hAnsi="Times New Roman" w:cs="Times New Roman"/>
          <w:color w:val="0D0D0D" w:themeColor="text1" w:themeTint="F2"/>
          <w:sz w:val="24"/>
          <w:szCs w:val="24"/>
        </w:rPr>
        <w:t xml:space="preserve"> </w:t>
      </w:r>
    </w:p>
    <w:p w14:paraId="5F44A407"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Civera</w:t>
      </w:r>
      <w:proofErr w:type="spellEnd"/>
      <w:r w:rsidRPr="00E42074">
        <w:rPr>
          <w:rFonts w:ascii="Times New Roman" w:hAnsi="Times New Roman" w:cs="Times New Roman"/>
          <w:color w:val="0D0D0D" w:themeColor="text1" w:themeTint="F2"/>
          <w:sz w:val="24"/>
          <w:szCs w:val="24"/>
        </w:rPr>
        <w:t xml:space="preserve">, A. and </w:t>
      </w:r>
      <w:proofErr w:type="spellStart"/>
      <w:r w:rsidRPr="00E42074">
        <w:rPr>
          <w:rFonts w:ascii="Times New Roman" w:hAnsi="Times New Roman" w:cs="Times New Roman"/>
          <w:color w:val="0D0D0D" w:themeColor="text1" w:themeTint="F2"/>
          <w:sz w:val="24"/>
          <w:szCs w:val="24"/>
        </w:rPr>
        <w:t>Meoli</w:t>
      </w:r>
      <w:proofErr w:type="spellEnd"/>
      <w:r w:rsidRPr="00E42074">
        <w:rPr>
          <w:rFonts w:ascii="Times New Roman" w:hAnsi="Times New Roman" w:cs="Times New Roman"/>
          <w:color w:val="0D0D0D" w:themeColor="text1" w:themeTint="F2"/>
          <w:sz w:val="24"/>
          <w:szCs w:val="24"/>
        </w:rPr>
        <w:t xml:space="preserve">, M., 2024. Corporate entrepreneurship strategy in universities: Emerging leadership in austerity time. </w:t>
      </w:r>
      <w:r w:rsidRPr="00E42074">
        <w:rPr>
          <w:rFonts w:ascii="Times New Roman" w:hAnsi="Times New Roman" w:cs="Times New Roman"/>
          <w:i/>
          <w:iCs/>
          <w:color w:val="0D0D0D" w:themeColor="text1" w:themeTint="F2"/>
          <w:sz w:val="24"/>
          <w:szCs w:val="24"/>
        </w:rPr>
        <w:t>The Journal of Technology Transfer</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49</w:t>
      </w:r>
      <w:r w:rsidRPr="00E42074">
        <w:rPr>
          <w:rFonts w:ascii="Times New Roman" w:hAnsi="Times New Roman" w:cs="Times New Roman"/>
          <w:color w:val="0D0D0D" w:themeColor="text1" w:themeTint="F2"/>
          <w:sz w:val="24"/>
          <w:szCs w:val="24"/>
        </w:rPr>
        <w:t>(6), pp.2080-2103.</w:t>
      </w:r>
      <w:r w:rsidRPr="00E42074">
        <w:rPr>
          <w:rFonts w:ascii="Times New Roman" w:eastAsia="Times New Roman" w:hAnsi="Times New Roman" w:cs="Times New Roman"/>
          <w:color w:val="0D0D0D" w:themeColor="text1" w:themeTint="F2"/>
          <w:sz w:val="24"/>
          <w:szCs w:val="24"/>
        </w:rPr>
        <w:t xml:space="preserve"> </w:t>
      </w:r>
    </w:p>
    <w:p w14:paraId="6755920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Creswell, J.W. and Inoue, M., 2025. A process for conducting mixed methods data analysis. </w:t>
      </w:r>
      <w:r w:rsidRPr="00E42074">
        <w:rPr>
          <w:rFonts w:ascii="Times New Roman" w:eastAsia="Times New Roman" w:hAnsi="Times New Roman" w:cs="Times New Roman"/>
          <w:i/>
          <w:iCs/>
          <w:color w:val="0D0D0D" w:themeColor="text1" w:themeTint="F2"/>
          <w:sz w:val="24"/>
          <w:szCs w:val="24"/>
          <w:lang w:eastAsia="en-IN"/>
        </w:rPr>
        <w:t>Journal of General and Family Medicine</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26</w:t>
      </w:r>
      <w:r w:rsidRPr="00E42074">
        <w:rPr>
          <w:rFonts w:ascii="Times New Roman" w:eastAsia="Times New Roman" w:hAnsi="Times New Roman" w:cs="Times New Roman"/>
          <w:color w:val="0D0D0D" w:themeColor="text1" w:themeTint="F2"/>
          <w:sz w:val="24"/>
          <w:szCs w:val="24"/>
          <w:lang w:eastAsia="en-IN"/>
        </w:rPr>
        <w:t>(1), pp.4-11. </w:t>
      </w:r>
    </w:p>
    <w:p w14:paraId="58D12A68"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Dilnawaz, A.A. and Pasaribu, D.H., 2025. The role of non-governmental organizations (NGOs) in regional development: Contributions, collaborations, and challenges. </w:t>
      </w:r>
      <w:proofErr w:type="spellStart"/>
      <w:r w:rsidRPr="00E42074">
        <w:rPr>
          <w:rFonts w:ascii="Times New Roman" w:eastAsia="Times New Roman" w:hAnsi="Times New Roman" w:cs="Times New Roman"/>
          <w:i/>
          <w:iCs/>
          <w:color w:val="0D0D0D" w:themeColor="text1" w:themeTint="F2"/>
          <w:sz w:val="24"/>
          <w:szCs w:val="24"/>
          <w:lang w:val="en-GB"/>
        </w:rPr>
        <w:t>Kampret</w:t>
      </w:r>
      <w:proofErr w:type="spellEnd"/>
      <w:r w:rsidRPr="00E42074">
        <w:rPr>
          <w:rFonts w:ascii="Times New Roman" w:eastAsia="Times New Roman" w:hAnsi="Times New Roman" w:cs="Times New Roman"/>
          <w:i/>
          <w:iCs/>
          <w:color w:val="0D0D0D" w:themeColor="text1" w:themeTint="F2"/>
          <w:sz w:val="24"/>
          <w:szCs w:val="24"/>
          <w:lang w:val="en-GB"/>
        </w:rPr>
        <w:t xml:space="preserve"> Journal</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4</w:t>
      </w:r>
      <w:r w:rsidRPr="00E42074">
        <w:rPr>
          <w:rFonts w:ascii="Times New Roman" w:eastAsia="Times New Roman" w:hAnsi="Times New Roman" w:cs="Times New Roman"/>
          <w:color w:val="0D0D0D" w:themeColor="text1" w:themeTint="F2"/>
          <w:sz w:val="24"/>
          <w:szCs w:val="24"/>
          <w:lang w:val="en-GB"/>
        </w:rPr>
        <w:t>(3), pp.123-130.</w:t>
      </w:r>
    </w:p>
    <w:p w14:paraId="6B54B344"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Drolet</w:t>
      </w:r>
      <w:proofErr w:type="spellEnd"/>
      <w:r w:rsidRPr="00E42074">
        <w:rPr>
          <w:rFonts w:ascii="Times New Roman" w:eastAsia="Times New Roman" w:hAnsi="Times New Roman" w:cs="Times New Roman"/>
          <w:color w:val="0D0D0D" w:themeColor="text1" w:themeTint="F2"/>
          <w:sz w:val="24"/>
          <w:szCs w:val="24"/>
          <w:lang w:eastAsia="en-IN"/>
        </w:rPr>
        <w:t>, M.J., Rose-</w:t>
      </w:r>
      <w:proofErr w:type="spellStart"/>
      <w:r w:rsidRPr="00E42074">
        <w:rPr>
          <w:rFonts w:ascii="Times New Roman" w:eastAsia="Times New Roman" w:hAnsi="Times New Roman" w:cs="Times New Roman"/>
          <w:color w:val="0D0D0D" w:themeColor="text1" w:themeTint="F2"/>
          <w:sz w:val="24"/>
          <w:szCs w:val="24"/>
          <w:lang w:eastAsia="en-IN"/>
        </w:rPr>
        <w:t>Derouin</w:t>
      </w:r>
      <w:proofErr w:type="spellEnd"/>
      <w:r w:rsidRPr="00E42074">
        <w:rPr>
          <w:rFonts w:ascii="Times New Roman" w:eastAsia="Times New Roman" w:hAnsi="Times New Roman" w:cs="Times New Roman"/>
          <w:color w:val="0D0D0D" w:themeColor="text1" w:themeTint="F2"/>
          <w:sz w:val="24"/>
          <w:szCs w:val="24"/>
          <w:lang w:eastAsia="en-IN"/>
        </w:rPr>
        <w:t xml:space="preserve">, E., Leblanc, J.C., </w:t>
      </w:r>
      <w:proofErr w:type="spellStart"/>
      <w:r w:rsidRPr="00E42074">
        <w:rPr>
          <w:rFonts w:ascii="Times New Roman" w:eastAsia="Times New Roman" w:hAnsi="Times New Roman" w:cs="Times New Roman"/>
          <w:color w:val="0D0D0D" w:themeColor="text1" w:themeTint="F2"/>
          <w:sz w:val="24"/>
          <w:szCs w:val="24"/>
          <w:lang w:eastAsia="en-IN"/>
        </w:rPr>
        <w:t>Ruest</w:t>
      </w:r>
      <w:proofErr w:type="spellEnd"/>
      <w:r w:rsidRPr="00E42074">
        <w:rPr>
          <w:rFonts w:ascii="Times New Roman" w:eastAsia="Times New Roman" w:hAnsi="Times New Roman" w:cs="Times New Roman"/>
          <w:color w:val="0D0D0D" w:themeColor="text1" w:themeTint="F2"/>
          <w:sz w:val="24"/>
          <w:szCs w:val="24"/>
          <w:lang w:eastAsia="en-IN"/>
        </w:rPr>
        <w:t xml:space="preserve">, M. and Williams-Jones, B., 2023. Ethical issues in research: Perceptions of researchers, research ethics board members and research ethics experts. </w:t>
      </w:r>
      <w:r w:rsidRPr="00E42074">
        <w:rPr>
          <w:rFonts w:ascii="Times New Roman" w:eastAsia="Times New Roman" w:hAnsi="Times New Roman" w:cs="Times New Roman"/>
          <w:i/>
          <w:iCs/>
          <w:color w:val="0D0D0D" w:themeColor="text1" w:themeTint="F2"/>
          <w:sz w:val="24"/>
          <w:szCs w:val="24"/>
          <w:lang w:eastAsia="en-IN"/>
        </w:rPr>
        <w:t>Journal of academic ethics</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21</w:t>
      </w:r>
      <w:r w:rsidRPr="00E42074">
        <w:rPr>
          <w:rFonts w:ascii="Times New Roman" w:eastAsia="Times New Roman" w:hAnsi="Times New Roman" w:cs="Times New Roman"/>
          <w:color w:val="0D0D0D" w:themeColor="text1" w:themeTint="F2"/>
          <w:sz w:val="24"/>
          <w:szCs w:val="24"/>
          <w:lang w:eastAsia="en-IN"/>
        </w:rPr>
        <w:t>(2), pp.269-292. </w:t>
      </w:r>
    </w:p>
    <w:p w14:paraId="2B6E2F97"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du Pont, Y., 2025. The Localisation of Aid: Acceleration or Re-centralisation in Times of Disruption</w:t>
      </w:r>
      <w:proofErr w:type="gramStart"/>
      <w:r w:rsidRPr="00E42074">
        <w:rPr>
          <w:rFonts w:ascii="Times New Roman" w:hAnsi="Times New Roman" w:cs="Times New Roman"/>
          <w:color w:val="0D0D0D" w:themeColor="text1" w:themeTint="F2"/>
          <w:sz w:val="24"/>
          <w:szCs w:val="24"/>
        </w:rPr>
        <w:t>?.</w:t>
      </w:r>
      <w:proofErr w:type="gramEnd"/>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International Journal for Humanitarian Studies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6</w:t>
      </w:r>
      <w:r w:rsidRPr="00E42074">
        <w:rPr>
          <w:rFonts w:ascii="Times New Roman" w:hAnsi="Times New Roman" w:cs="Times New Roman"/>
          <w:color w:val="0D0D0D" w:themeColor="text1" w:themeTint="F2"/>
          <w:sz w:val="24"/>
          <w:szCs w:val="24"/>
        </w:rPr>
        <w:t>(4), pp.18-24.</w:t>
      </w:r>
      <w:r w:rsidRPr="00E42074">
        <w:rPr>
          <w:rFonts w:ascii="Times New Roman" w:eastAsia="Times New Roman" w:hAnsi="Times New Roman" w:cs="Times New Roman"/>
          <w:color w:val="0D0D0D" w:themeColor="text1" w:themeTint="F2"/>
          <w:sz w:val="24"/>
          <w:szCs w:val="24"/>
        </w:rPr>
        <w:t xml:space="preserve"> </w:t>
      </w:r>
    </w:p>
    <w:p w14:paraId="3D247F4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Ely, T.L., Katz, J. and Calabrese, T.D., 2023. Endowment building and use by </w:t>
      </w:r>
      <w:proofErr w:type="spellStart"/>
      <w:r w:rsidRPr="00E42074">
        <w:rPr>
          <w:rFonts w:ascii="Times New Roman" w:hAnsi="Times New Roman" w:cs="Times New Roman"/>
          <w:color w:val="0D0D0D" w:themeColor="text1" w:themeTint="F2"/>
          <w:sz w:val="24"/>
          <w:szCs w:val="24"/>
        </w:rPr>
        <w:t>nonprofits</w:t>
      </w:r>
      <w:proofErr w:type="spellEnd"/>
      <w:r w:rsidRPr="00E42074">
        <w:rPr>
          <w:rFonts w:ascii="Times New Roman" w:hAnsi="Times New Roman" w:cs="Times New Roman"/>
          <w:color w:val="0D0D0D" w:themeColor="text1" w:themeTint="F2"/>
          <w:sz w:val="24"/>
          <w:szCs w:val="24"/>
        </w:rPr>
        <w:t xml:space="preserve">: An integration of theory and practice. </w:t>
      </w:r>
      <w:proofErr w:type="spellStart"/>
      <w:r w:rsidRPr="00E42074">
        <w:rPr>
          <w:rFonts w:ascii="Times New Roman" w:hAnsi="Times New Roman" w:cs="Times New Roman"/>
          <w:i/>
          <w:iCs/>
          <w:color w:val="0D0D0D" w:themeColor="text1" w:themeTint="F2"/>
          <w:sz w:val="24"/>
          <w:szCs w:val="24"/>
        </w:rPr>
        <w:t>Nonprofit</w:t>
      </w:r>
      <w:proofErr w:type="spellEnd"/>
      <w:r w:rsidRPr="00E42074">
        <w:rPr>
          <w:rFonts w:ascii="Times New Roman" w:hAnsi="Times New Roman" w:cs="Times New Roman"/>
          <w:i/>
          <w:iCs/>
          <w:color w:val="0D0D0D" w:themeColor="text1" w:themeTint="F2"/>
          <w:sz w:val="24"/>
          <w:szCs w:val="24"/>
        </w:rPr>
        <w:t xml:space="preserve"> Management and Leadership</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34</w:t>
      </w:r>
      <w:r w:rsidRPr="00E42074">
        <w:rPr>
          <w:rFonts w:ascii="Times New Roman" w:hAnsi="Times New Roman" w:cs="Times New Roman"/>
          <w:color w:val="0D0D0D" w:themeColor="text1" w:themeTint="F2"/>
          <w:sz w:val="24"/>
          <w:szCs w:val="24"/>
        </w:rPr>
        <w:t>(2), pp.317-343.</w:t>
      </w:r>
      <w:r w:rsidRPr="00E42074">
        <w:rPr>
          <w:rFonts w:ascii="Times New Roman" w:eastAsia="Times New Roman" w:hAnsi="Times New Roman" w:cs="Times New Roman"/>
          <w:color w:val="0D0D0D" w:themeColor="text1" w:themeTint="F2"/>
          <w:sz w:val="24"/>
          <w:szCs w:val="24"/>
        </w:rPr>
        <w:t xml:space="preserve"> </w:t>
      </w:r>
    </w:p>
    <w:p w14:paraId="3C34D02B" w14:textId="77777777" w:rsidR="00E42074" w:rsidRPr="00E42074" w:rsidRDefault="00E42074" w:rsidP="00E42074">
      <w:pPr>
        <w:pStyle w:val="NormalWeb"/>
        <w:spacing w:before="0" w:beforeAutospacing="0" w:after="0" w:afterAutospacing="0" w:line="360" w:lineRule="auto"/>
        <w:jc w:val="both"/>
      </w:pPr>
      <w:r w:rsidRPr="00E42074">
        <w:rPr>
          <w:color w:val="000000"/>
        </w:rPr>
        <w:lastRenderedPageBreak/>
        <w:t xml:space="preserve">Fang, Y., Gao, S., Wu, X. and Jiang, Y., 2026. Exploring the relationship between social capital, knowledge management and lean construction ambidexterity in inter-organizational project networks. </w:t>
      </w:r>
      <w:r w:rsidRPr="00E42074">
        <w:rPr>
          <w:i/>
          <w:iCs/>
          <w:color w:val="000000"/>
        </w:rPr>
        <w:t>International Journal of Managing Projects in Business</w:t>
      </w:r>
      <w:r w:rsidRPr="00E42074">
        <w:rPr>
          <w:color w:val="000000"/>
        </w:rPr>
        <w:t xml:space="preserve">, </w:t>
      </w:r>
      <w:r w:rsidRPr="00E42074">
        <w:rPr>
          <w:i/>
          <w:iCs/>
          <w:color w:val="000000"/>
        </w:rPr>
        <w:t>19</w:t>
      </w:r>
      <w:r w:rsidRPr="00E42074">
        <w:rPr>
          <w:color w:val="000000"/>
        </w:rPr>
        <w:t>(4), pp.885-914. </w:t>
      </w:r>
    </w:p>
    <w:p w14:paraId="5122CCA0"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Faroque</w:t>
      </w:r>
      <w:proofErr w:type="spellEnd"/>
      <w:r w:rsidRPr="00E42074">
        <w:rPr>
          <w:rFonts w:ascii="Times New Roman" w:hAnsi="Times New Roman" w:cs="Times New Roman"/>
          <w:color w:val="0D0D0D" w:themeColor="text1" w:themeTint="F2"/>
          <w:sz w:val="24"/>
          <w:szCs w:val="24"/>
        </w:rPr>
        <w:t xml:space="preserve">, A.R., </w:t>
      </w:r>
      <w:proofErr w:type="spellStart"/>
      <w:r w:rsidRPr="00E42074">
        <w:rPr>
          <w:rFonts w:ascii="Times New Roman" w:hAnsi="Times New Roman" w:cs="Times New Roman"/>
          <w:color w:val="0D0D0D" w:themeColor="text1" w:themeTint="F2"/>
          <w:sz w:val="24"/>
          <w:szCs w:val="24"/>
        </w:rPr>
        <w:t>Quader</w:t>
      </w:r>
      <w:proofErr w:type="spellEnd"/>
      <w:r w:rsidRPr="00E42074">
        <w:rPr>
          <w:rFonts w:ascii="Times New Roman" w:hAnsi="Times New Roman" w:cs="Times New Roman"/>
          <w:color w:val="0D0D0D" w:themeColor="text1" w:themeTint="F2"/>
          <w:sz w:val="24"/>
          <w:szCs w:val="24"/>
        </w:rPr>
        <w:t xml:space="preserve">, E., </w:t>
      </w:r>
      <w:proofErr w:type="spellStart"/>
      <w:r w:rsidRPr="00E42074">
        <w:rPr>
          <w:rFonts w:ascii="Times New Roman" w:hAnsi="Times New Roman" w:cs="Times New Roman"/>
          <w:color w:val="0D0D0D" w:themeColor="text1" w:themeTint="F2"/>
          <w:sz w:val="24"/>
          <w:szCs w:val="24"/>
        </w:rPr>
        <w:t>Gani</w:t>
      </w:r>
      <w:proofErr w:type="spellEnd"/>
      <w:r w:rsidRPr="00E42074">
        <w:rPr>
          <w:rFonts w:ascii="Times New Roman" w:hAnsi="Times New Roman" w:cs="Times New Roman"/>
          <w:color w:val="0D0D0D" w:themeColor="text1" w:themeTint="F2"/>
          <w:sz w:val="24"/>
          <w:szCs w:val="24"/>
        </w:rPr>
        <w:t xml:space="preserve">, M.O. and </w:t>
      </w:r>
      <w:proofErr w:type="spellStart"/>
      <w:r w:rsidRPr="00E42074">
        <w:rPr>
          <w:rFonts w:ascii="Times New Roman" w:hAnsi="Times New Roman" w:cs="Times New Roman"/>
          <w:color w:val="0D0D0D" w:themeColor="text1" w:themeTint="F2"/>
          <w:sz w:val="24"/>
          <w:szCs w:val="24"/>
        </w:rPr>
        <w:t>Mortazavi</w:t>
      </w:r>
      <w:proofErr w:type="spellEnd"/>
      <w:r w:rsidRPr="00E42074">
        <w:rPr>
          <w:rFonts w:ascii="Times New Roman" w:hAnsi="Times New Roman" w:cs="Times New Roman"/>
          <w:color w:val="0D0D0D" w:themeColor="text1" w:themeTint="F2"/>
          <w:sz w:val="24"/>
          <w:szCs w:val="24"/>
        </w:rPr>
        <w:t xml:space="preserve">, S., 2022. The Role of NGOs in CSR: A Comparison of NGOs' Practices of and Influences on CSR in Developing and Developed Countries. </w:t>
      </w:r>
      <w:r w:rsidRPr="00E42074">
        <w:rPr>
          <w:rFonts w:ascii="Times New Roman" w:hAnsi="Times New Roman" w:cs="Times New Roman"/>
          <w:i/>
          <w:iCs/>
          <w:color w:val="0D0D0D" w:themeColor="text1" w:themeTint="F2"/>
          <w:sz w:val="24"/>
          <w:szCs w:val="24"/>
        </w:rPr>
        <w:t>Comparative CSR and Sustainability</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12</w:t>
      </w:r>
      <w:r w:rsidRPr="00E42074">
        <w:rPr>
          <w:rFonts w:ascii="Times New Roman" w:hAnsi="Times New Roman" w:cs="Times New Roman"/>
          <w:color w:val="0D0D0D" w:themeColor="text1" w:themeTint="F2"/>
          <w:sz w:val="24"/>
          <w:szCs w:val="24"/>
        </w:rPr>
        <w:t>, pp.109-125.</w:t>
      </w:r>
      <w:r w:rsidRPr="00E42074">
        <w:rPr>
          <w:rFonts w:ascii="Times New Roman" w:eastAsia="Times New Roman" w:hAnsi="Times New Roman" w:cs="Times New Roman"/>
          <w:color w:val="0D0D0D" w:themeColor="text1" w:themeTint="F2"/>
          <w:sz w:val="24"/>
          <w:szCs w:val="24"/>
        </w:rPr>
        <w:t xml:space="preserve"> </w:t>
      </w:r>
    </w:p>
    <w:p w14:paraId="3F10E925"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Fathi</w:t>
      </w:r>
      <w:proofErr w:type="spellEnd"/>
      <w:r w:rsidRPr="00E42074">
        <w:rPr>
          <w:rFonts w:ascii="Times New Roman" w:hAnsi="Times New Roman" w:cs="Times New Roman"/>
          <w:color w:val="0D0D0D" w:themeColor="text1" w:themeTint="F2"/>
          <w:sz w:val="24"/>
          <w:szCs w:val="24"/>
        </w:rPr>
        <w:t xml:space="preserve">, L.I., Walker, J., Dix, C., </w:t>
      </w:r>
      <w:proofErr w:type="spellStart"/>
      <w:r w:rsidRPr="00E42074">
        <w:rPr>
          <w:rFonts w:ascii="Times New Roman" w:hAnsi="Times New Roman" w:cs="Times New Roman"/>
          <w:color w:val="0D0D0D" w:themeColor="text1" w:themeTint="F2"/>
          <w:sz w:val="24"/>
          <w:szCs w:val="24"/>
        </w:rPr>
        <w:t>Previte</w:t>
      </w:r>
      <w:proofErr w:type="spellEnd"/>
      <w:r w:rsidRPr="00E42074">
        <w:rPr>
          <w:rFonts w:ascii="Times New Roman" w:hAnsi="Times New Roman" w:cs="Times New Roman"/>
          <w:color w:val="0D0D0D" w:themeColor="text1" w:themeTint="F2"/>
          <w:sz w:val="24"/>
          <w:szCs w:val="24"/>
        </w:rPr>
        <w:t xml:space="preserve">, J., </w:t>
      </w:r>
      <w:proofErr w:type="spellStart"/>
      <w:r w:rsidRPr="00E42074">
        <w:rPr>
          <w:rFonts w:ascii="Times New Roman" w:hAnsi="Times New Roman" w:cs="Times New Roman"/>
          <w:color w:val="0D0D0D" w:themeColor="text1" w:themeTint="F2"/>
          <w:sz w:val="24"/>
          <w:szCs w:val="24"/>
        </w:rPr>
        <w:t>Olgacher</w:t>
      </w:r>
      <w:proofErr w:type="spellEnd"/>
      <w:r w:rsidRPr="00E42074">
        <w:rPr>
          <w:rFonts w:ascii="Times New Roman" w:hAnsi="Times New Roman" w:cs="Times New Roman"/>
          <w:color w:val="0D0D0D" w:themeColor="text1" w:themeTint="F2"/>
          <w:sz w:val="24"/>
          <w:szCs w:val="24"/>
        </w:rPr>
        <w:t xml:space="preserve">, D., Woodside, J. and </w:t>
      </w:r>
      <w:proofErr w:type="spellStart"/>
      <w:r w:rsidRPr="00E42074">
        <w:rPr>
          <w:rFonts w:ascii="Times New Roman" w:hAnsi="Times New Roman" w:cs="Times New Roman"/>
          <w:color w:val="0D0D0D" w:themeColor="text1" w:themeTint="F2"/>
          <w:sz w:val="24"/>
          <w:szCs w:val="24"/>
        </w:rPr>
        <w:t>Truby</w:t>
      </w:r>
      <w:proofErr w:type="spellEnd"/>
      <w:r w:rsidRPr="00E42074">
        <w:rPr>
          <w:rFonts w:ascii="Times New Roman" w:hAnsi="Times New Roman" w:cs="Times New Roman"/>
          <w:color w:val="0D0D0D" w:themeColor="text1" w:themeTint="F2"/>
          <w:sz w:val="24"/>
          <w:szCs w:val="24"/>
        </w:rPr>
        <w:t xml:space="preserve">, H., 2025. Mission and money: A scoping review of social enterprise business models as a solution to sustaining health-promoting food and nutrition-based initiatives. </w:t>
      </w:r>
      <w:r w:rsidRPr="00E42074">
        <w:rPr>
          <w:rFonts w:ascii="Times New Roman" w:hAnsi="Times New Roman" w:cs="Times New Roman"/>
          <w:i/>
          <w:iCs/>
          <w:color w:val="0D0D0D" w:themeColor="text1" w:themeTint="F2"/>
          <w:sz w:val="24"/>
          <w:szCs w:val="24"/>
        </w:rPr>
        <w:t>BMC Public Health</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25</w:t>
      </w:r>
      <w:r w:rsidRPr="00E42074">
        <w:rPr>
          <w:rFonts w:ascii="Times New Roman" w:hAnsi="Times New Roman" w:cs="Times New Roman"/>
          <w:color w:val="0D0D0D" w:themeColor="text1" w:themeTint="F2"/>
          <w:sz w:val="24"/>
          <w:szCs w:val="24"/>
        </w:rPr>
        <w:t>(1), p.3692.</w:t>
      </w:r>
      <w:r w:rsidRPr="00E42074">
        <w:rPr>
          <w:rFonts w:ascii="Times New Roman" w:eastAsia="Times New Roman" w:hAnsi="Times New Roman" w:cs="Times New Roman"/>
          <w:color w:val="0D0D0D" w:themeColor="text1" w:themeTint="F2"/>
          <w:sz w:val="24"/>
          <w:szCs w:val="24"/>
        </w:rPr>
        <w:t xml:space="preserve"> </w:t>
      </w:r>
    </w:p>
    <w:p w14:paraId="06CD142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Fraisl</w:t>
      </w:r>
      <w:proofErr w:type="spellEnd"/>
      <w:r w:rsidRPr="00E42074">
        <w:rPr>
          <w:rFonts w:ascii="Times New Roman" w:eastAsia="Times New Roman" w:hAnsi="Times New Roman" w:cs="Times New Roman"/>
          <w:color w:val="0D0D0D" w:themeColor="text1" w:themeTint="F2"/>
          <w:sz w:val="24"/>
          <w:szCs w:val="24"/>
          <w:lang w:eastAsia="en-IN"/>
        </w:rPr>
        <w:t xml:space="preserve">, D., Hager, G., </w:t>
      </w:r>
      <w:proofErr w:type="spellStart"/>
      <w:r w:rsidRPr="00E42074">
        <w:rPr>
          <w:rFonts w:ascii="Times New Roman" w:eastAsia="Times New Roman" w:hAnsi="Times New Roman" w:cs="Times New Roman"/>
          <w:color w:val="0D0D0D" w:themeColor="text1" w:themeTint="F2"/>
          <w:sz w:val="24"/>
          <w:szCs w:val="24"/>
          <w:lang w:eastAsia="en-IN"/>
        </w:rPr>
        <w:t>Bedessem</w:t>
      </w:r>
      <w:proofErr w:type="spellEnd"/>
      <w:r w:rsidRPr="00E42074">
        <w:rPr>
          <w:rFonts w:ascii="Times New Roman" w:eastAsia="Times New Roman" w:hAnsi="Times New Roman" w:cs="Times New Roman"/>
          <w:color w:val="0D0D0D" w:themeColor="text1" w:themeTint="F2"/>
          <w:sz w:val="24"/>
          <w:szCs w:val="24"/>
          <w:lang w:eastAsia="en-IN"/>
        </w:rPr>
        <w:t xml:space="preserve">, B., Gold, M., </w:t>
      </w:r>
      <w:proofErr w:type="spellStart"/>
      <w:r w:rsidRPr="00E42074">
        <w:rPr>
          <w:rFonts w:ascii="Times New Roman" w:eastAsia="Times New Roman" w:hAnsi="Times New Roman" w:cs="Times New Roman"/>
          <w:color w:val="0D0D0D" w:themeColor="text1" w:themeTint="F2"/>
          <w:sz w:val="24"/>
          <w:szCs w:val="24"/>
          <w:lang w:eastAsia="en-IN"/>
        </w:rPr>
        <w:t>Hsing</w:t>
      </w:r>
      <w:proofErr w:type="spellEnd"/>
      <w:r w:rsidRPr="00E42074">
        <w:rPr>
          <w:rFonts w:ascii="Times New Roman" w:eastAsia="Times New Roman" w:hAnsi="Times New Roman" w:cs="Times New Roman"/>
          <w:color w:val="0D0D0D" w:themeColor="text1" w:themeTint="F2"/>
          <w:sz w:val="24"/>
          <w:szCs w:val="24"/>
          <w:lang w:eastAsia="en-IN"/>
        </w:rPr>
        <w:t xml:space="preserve">, P.Y., </w:t>
      </w:r>
      <w:proofErr w:type="spellStart"/>
      <w:r w:rsidRPr="00E42074">
        <w:rPr>
          <w:rFonts w:ascii="Times New Roman" w:eastAsia="Times New Roman" w:hAnsi="Times New Roman" w:cs="Times New Roman"/>
          <w:color w:val="0D0D0D" w:themeColor="text1" w:themeTint="F2"/>
          <w:sz w:val="24"/>
          <w:szCs w:val="24"/>
          <w:lang w:eastAsia="en-IN"/>
        </w:rPr>
        <w:t>Danielsen</w:t>
      </w:r>
      <w:proofErr w:type="spellEnd"/>
      <w:r w:rsidRPr="00E42074">
        <w:rPr>
          <w:rFonts w:ascii="Times New Roman" w:eastAsia="Times New Roman" w:hAnsi="Times New Roman" w:cs="Times New Roman"/>
          <w:color w:val="0D0D0D" w:themeColor="text1" w:themeTint="F2"/>
          <w:sz w:val="24"/>
          <w:szCs w:val="24"/>
          <w:lang w:eastAsia="en-IN"/>
        </w:rPr>
        <w:t xml:space="preserve">, F., Hitchcock, C.B., Hulbert, J.M., Piera, J., Spiers, H. and </w:t>
      </w:r>
      <w:proofErr w:type="spellStart"/>
      <w:r w:rsidRPr="00E42074">
        <w:rPr>
          <w:rFonts w:ascii="Times New Roman" w:eastAsia="Times New Roman" w:hAnsi="Times New Roman" w:cs="Times New Roman"/>
          <w:color w:val="0D0D0D" w:themeColor="text1" w:themeTint="F2"/>
          <w:sz w:val="24"/>
          <w:szCs w:val="24"/>
          <w:lang w:eastAsia="en-IN"/>
        </w:rPr>
        <w:t>Thiel</w:t>
      </w:r>
      <w:proofErr w:type="spellEnd"/>
      <w:r w:rsidRPr="00E42074">
        <w:rPr>
          <w:rFonts w:ascii="Times New Roman" w:eastAsia="Times New Roman" w:hAnsi="Times New Roman" w:cs="Times New Roman"/>
          <w:color w:val="0D0D0D" w:themeColor="text1" w:themeTint="F2"/>
          <w:sz w:val="24"/>
          <w:szCs w:val="24"/>
          <w:lang w:eastAsia="en-IN"/>
        </w:rPr>
        <w:t xml:space="preserve">, M., 2022. Citizen science in environmental and ecological sciences. </w:t>
      </w:r>
      <w:r w:rsidRPr="00E42074">
        <w:rPr>
          <w:rFonts w:ascii="Times New Roman" w:eastAsia="Times New Roman" w:hAnsi="Times New Roman" w:cs="Times New Roman"/>
          <w:i/>
          <w:iCs/>
          <w:color w:val="0D0D0D" w:themeColor="text1" w:themeTint="F2"/>
          <w:sz w:val="24"/>
          <w:szCs w:val="24"/>
          <w:lang w:eastAsia="en-IN"/>
        </w:rPr>
        <w:t>Nature reviews methods primers</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w:t>
      </w:r>
      <w:r w:rsidRPr="00E42074">
        <w:rPr>
          <w:rFonts w:ascii="Times New Roman" w:eastAsia="Times New Roman" w:hAnsi="Times New Roman" w:cs="Times New Roman"/>
          <w:color w:val="0D0D0D" w:themeColor="text1" w:themeTint="F2"/>
          <w:sz w:val="24"/>
          <w:szCs w:val="24"/>
          <w:lang w:eastAsia="en-IN"/>
        </w:rPr>
        <w:t>(1), p.64. </w:t>
      </w:r>
    </w:p>
    <w:p w14:paraId="048BACC3"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Fuseini</w:t>
      </w:r>
      <w:proofErr w:type="spellEnd"/>
      <w:r w:rsidRPr="00E42074">
        <w:rPr>
          <w:rFonts w:ascii="Times New Roman" w:hAnsi="Times New Roman" w:cs="Times New Roman"/>
          <w:color w:val="0D0D0D" w:themeColor="text1" w:themeTint="F2"/>
          <w:sz w:val="24"/>
          <w:szCs w:val="24"/>
        </w:rPr>
        <w:t xml:space="preserve">, M.N., </w:t>
      </w:r>
      <w:proofErr w:type="spellStart"/>
      <w:r w:rsidRPr="00E42074">
        <w:rPr>
          <w:rFonts w:ascii="Times New Roman" w:hAnsi="Times New Roman" w:cs="Times New Roman"/>
          <w:color w:val="0D0D0D" w:themeColor="text1" w:themeTint="F2"/>
          <w:sz w:val="24"/>
          <w:szCs w:val="24"/>
        </w:rPr>
        <w:t>Sulemana</w:t>
      </w:r>
      <w:proofErr w:type="spellEnd"/>
      <w:r w:rsidRPr="00E42074">
        <w:rPr>
          <w:rFonts w:ascii="Times New Roman" w:hAnsi="Times New Roman" w:cs="Times New Roman"/>
          <w:color w:val="0D0D0D" w:themeColor="text1" w:themeTint="F2"/>
          <w:sz w:val="24"/>
          <w:szCs w:val="24"/>
        </w:rPr>
        <w:t xml:space="preserve">, M., </w:t>
      </w:r>
      <w:proofErr w:type="spellStart"/>
      <w:r w:rsidRPr="00E42074">
        <w:rPr>
          <w:rFonts w:ascii="Times New Roman" w:hAnsi="Times New Roman" w:cs="Times New Roman"/>
          <w:color w:val="0D0D0D" w:themeColor="text1" w:themeTint="F2"/>
          <w:sz w:val="24"/>
          <w:szCs w:val="24"/>
        </w:rPr>
        <w:t>Abdulai</w:t>
      </w:r>
      <w:proofErr w:type="spellEnd"/>
      <w:r w:rsidRPr="00E42074">
        <w:rPr>
          <w:rFonts w:ascii="Times New Roman" w:hAnsi="Times New Roman" w:cs="Times New Roman"/>
          <w:color w:val="0D0D0D" w:themeColor="text1" w:themeTint="F2"/>
          <w:sz w:val="24"/>
          <w:szCs w:val="24"/>
        </w:rPr>
        <w:t xml:space="preserve">, I.A., Ibrahim, M.G. and Azure, E., 2022. Role of non-governmental organizations in poverty reduction in the global South: evidence from world vision Ghana, Kintampo South district. </w:t>
      </w:r>
      <w:r w:rsidRPr="00E42074">
        <w:rPr>
          <w:rFonts w:ascii="Times New Roman" w:hAnsi="Times New Roman" w:cs="Times New Roman"/>
          <w:i/>
          <w:iCs/>
          <w:color w:val="0D0D0D" w:themeColor="text1" w:themeTint="F2"/>
          <w:sz w:val="24"/>
          <w:szCs w:val="24"/>
        </w:rPr>
        <w:t>SN social sciences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w:t>
      </w:r>
      <w:r w:rsidRPr="00E42074">
        <w:rPr>
          <w:rFonts w:ascii="Times New Roman" w:hAnsi="Times New Roman" w:cs="Times New Roman"/>
          <w:color w:val="0D0D0D" w:themeColor="text1" w:themeTint="F2"/>
          <w:sz w:val="24"/>
          <w:szCs w:val="24"/>
        </w:rPr>
        <w:t>(11), p.240.</w:t>
      </w:r>
      <w:r w:rsidRPr="00E42074">
        <w:rPr>
          <w:rFonts w:ascii="Times New Roman" w:eastAsia="Times New Roman" w:hAnsi="Times New Roman" w:cs="Times New Roman"/>
          <w:color w:val="0D0D0D" w:themeColor="text1" w:themeTint="F2"/>
          <w:sz w:val="24"/>
          <w:szCs w:val="24"/>
        </w:rPr>
        <w:t xml:space="preserve"> </w:t>
      </w:r>
    </w:p>
    <w:p w14:paraId="7D6F60F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Ghafran</w:t>
      </w:r>
      <w:proofErr w:type="spellEnd"/>
      <w:r w:rsidRPr="00E42074">
        <w:rPr>
          <w:rFonts w:ascii="Times New Roman" w:hAnsi="Times New Roman" w:cs="Times New Roman"/>
          <w:color w:val="0D0D0D" w:themeColor="text1" w:themeTint="F2"/>
          <w:sz w:val="24"/>
          <w:szCs w:val="24"/>
        </w:rPr>
        <w:t xml:space="preserve">, C. and Yasmin, S., 2025. Reconceptualizing accountability in NGO-corporate partnerships: an institutional logics perspective. </w:t>
      </w:r>
      <w:r w:rsidRPr="00E42074">
        <w:rPr>
          <w:rFonts w:ascii="Times New Roman" w:hAnsi="Times New Roman" w:cs="Times New Roman"/>
          <w:i/>
          <w:iCs/>
          <w:color w:val="0D0D0D" w:themeColor="text1" w:themeTint="F2"/>
          <w:sz w:val="24"/>
          <w:szCs w:val="24"/>
        </w:rPr>
        <w:t>Accounting, Auditing &amp; Accountability Journal</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38</w:t>
      </w:r>
      <w:r w:rsidRPr="00E42074">
        <w:rPr>
          <w:rFonts w:ascii="Times New Roman" w:hAnsi="Times New Roman" w:cs="Times New Roman"/>
          <w:color w:val="0D0D0D" w:themeColor="text1" w:themeTint="F2"/>
          <w:sz w:val="24"/>
          <w:szCs w:val="24"/>
        </w:rPr>
        <w:t>(1), pp.349-380.</w:t>
      </w:r>
      <w:r w:rsidRPr="00E42074">
        <w:rPr>
          <w:rFonts w:ascii="Times New Roman" w:eastAsia="Times New Roman" w:hAnsi="Times New Roman" w:cs="Times New Roman"/>
          <w:color w:val="0D0D0D" w:themeColor="text1" w:themeTint="F2"/>
          <w:sz w:val="24"/>
          <w:szCs w:val="24"/>
        </w:rPr>
        <w:t xml:space="preserve"> </w:t>
      </w:r>
    </w:p>
    <w:p w14:paraId="34E809C6"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Golbspan Lutz, F., </w:t>
      </w:r>
      <w:proofErr w:type="spellStart"/>
      <w:r w:rsidRPr="00E42074">
        <w:rPr>
          <w:rFonts w:ascii="Times New Roman" w:hAnsi="Times New Roman" w:cs="Times New Roman"/>
          <w:color w:val="0D0D0D" w:themeColor="text1" w:themeTint="F2"/>
          <w:sz w:val="24"/>
          <w:szCs w:val="24"/>
        </w:rPr>
        <w:t>Petrini</w:t>
      </w:r>
      <w:proofErr w:type="spellEnd"/>
      <w:r w:rsidRPr="00E42074">
        <w:rPr>
          <w:rFonts w:ascii="Times New Roman" w:hAnsi="Times New Roman" w:cs="Times New Roman"/>
          <w:color w:val="0D0D0D" w:themeColor="text1" w:themeTint="F2"/>
          <w:sz w:val="24"/>
          <w:szCs w:val="24"/>
        </w:rPr>
        <w:t xml:space="preserve">, M. and Aguilar Delgado, N., 2023. Beyond mission drift: understanding the spaces of vulnerability in social enterprises’ missions. </w:t>
      </w:r>
      <w:r w:rsidRPr="00E42074">
        <w:rPr>
          <w:rFonts w:ascii="Times New Roman" w:hAnsi="Times New Roman" w:cs="Times New Roman"/>
          <w:i/>
          <w:iCs/>
          <w:color w:val="0D0D0D" w:themeColor="text1" w:themeTint="F2"/>
          <w:sz w:val="24"/>
          <w:szCs w:val="24"/>
        </w:rPr>
        <w:t>Social Enterprise Journal</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19</w:t>
      </w:r>
      <w:r w:rsidRPr="00E42074">
        <w:rPr>
          <w:rFonts w:ascii="Times New Roman" w:hAnsi="Times New Roman" w:cs="Times New Roman"/>
          <w:color w:val="0D0D0D" w:themeColor="text1" w:themeTint="F2"/>
          <w:sz w:val="24"/>
          <w:szCs w:val="24"/>
        </w:rPr>
        <w:t>(5), pp.519-535.</w:t>
      </w:r>
      <w:r w:rsidRPr="00E42074">
        <w:rPr>
          <w:rFonts w:ascii="Times New Roman" w:eastAsia="Times New Roman" w:hAnsi="Times New Roman" w:cs="Times New Roman"/>
          <w:color w:val="0D0D0D" w:themeColor="text1" w:themeTint="F2"/>
          <w:sz w:val="24"/>
          <w:szCs w:val="24"/>
        </w:rPr>
        <w:t xml:space="preserve"> </w:t>
      </w:r>
    </w:p>
    <w:p w14:paraId="44CBB830"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Gring-Pemble</w:t>
      </w:r>
      <w:proofErr w:type="spellEnd"/>
      <w:r w:rsidRPr="00E42074">
        <w:rPr>
          <w:rFonts w:ascii="Times New Roman" w:hAnsi="Times New Roman" w:cs="Times New Roman"/>
          <w:color w:val="0D0D0D" w:themeColor="text1" w:themeTint="F2"/>
          <w:sz w:val="24"/>
          <w:szCs w:val="24"/>
        </w:rPr>
        <w:t xml:space="preserve">, L., Unruh, G. and Shaked, E., 2025. Implementing a stakeholder capitalism approach through values-based leadership: case studies in the private, </w:t>
      </w:r>
      <w:proofErr w:type="spellStart"/>
      <w:r w:rsidRPr="00E42074">
        <w:rPr>
          <w:rFonts w:ascii="Times New Roman" w:hAnsi="Times New Roman" w:cs="Times New Roman"/>
          <w:color w:val="0D0D0D" w:themeColor="text1" w:themeTint="F2"/>
          <w:sz w:val="24"/>
          <w:szCs w:val="24"/>
        </w:rPr>
        <w:t>nonprofit</w:t>
      </w:r>
      <w:proofErr w:type="spellEnd"/>
      <w:r w:rsidRPr="00E42074">
        <w:rPr>
          <w:rFonts w:ascii="Times New Roman" w:hAnsi="Times New Roman" w:cs="Times New Roman"/>
          <w:color w:val="0D0D0D" w:themeColor="text1" w:themeTint="F2"/>
          <w:sz w:val="24"/>
          <w:szCs w:val="24"/>
        </w:rPr>
        <w:t xml:space="preserve"> and educational sectors. </w:t>
      </w:r>
      <w:r w:rsidRPr="00E42074">
        <w:rPr>
          <w:rFonts w:ascii="Times New Roman" w:hAnsi="Times New Roman" w:cs="Times New Roman"/>
          <w:i/>
          <w:iCs/>
          <w:color w:val="0D0D0D" w:themeColor="text1" w:themeTint="F2"/>
          <w:sz w:val="24"/>
          <w:szCs w:val="24"/>
        </w:rPr>
        <w:t>Corporate Governance: The International Journal of Business in Society</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25</w:t>
      </w:r>
      <w:r w:rsidRPr="00E42074">
        <w:rPr>
          <w:rFonts w:ascii="Times New Roman" w:hAnsi="Times New Roman" w:cs="Times New Roman"/>
          <w:color w:val="0D0D0D" w:themeColor="text1" w:themeTint="F2"/>
          <w:sz w:val="24"/>
          <w:szCs w:val="24"/>
        </w:rPr>
        <w:t>(1), pp.31-46.</w:t>
      </w:r>
      <w:r w:rsidRPr="00E42074">
        <w:rPr>
          <w:rFonts w:ascii="Times New Roman" w:eastAsia="Times New Roman" w:hAnsi="Times New Roman" w:cs="Times New Roman"/>
          <w:color w:val="0D0D0D" w:themeColor="text1" w:themeTint="F2"/>
          <w:sz w:val="24"/>
          <w:szCs w:val="24"/>
        </w:rPr>
        <w:t xml:space="preserve"> </w:t>
      </w:r>
    </w:p>
    <w:p w14:paraId="5665D94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Gupta, S., Drave, V.A., </w:t>
      </w:r>
      <w:proofErr w:type="spellStart"/>
      <w:r w:rsidRPr="00E42074">
        <w:rPr>
          <w:rFonts w:ascii="Times New Roman" w:hAnsi="Times New Roman" w:cs="Times New Roman"/>
          <w:color w:val="0D0D0D" w:themeColor="text1" w:themeTint="F2"/>
          <w:sz w:val="24"/>
          <w:szCs w:val="24"/>
        </w:rPr>
        <w:t>Dwivedi</w:t>
      </w:r>
      <w:proofErr w:type="spellEnd"/>
      <w:r w:rsidRPr="00E42074">
        <w:rPr>
          <w:rFonts w:ascii="Times New Roman" w:hAnsi="Times New Roman" w:cs="Times New Roman"/>
          <w:color w:val="0D0D0D" w:themeColor="text1" w:themeTint="F2"/>
          <w:sz w:val="24"/>
          <w:szCs w:val="24"/>
        </w:rPr>
        <w:t xml:space="preserve">, Y.K., </w:t>
      </w:r>
      <w:proofErr w:type="spellStart"/>
      <w:r w:rsidRPr="00E42074">
        <w:rPr>
          <w:rFonts w:ascii="Times New Roman" w:hAnsi="Times New Roman" w:cs="Times New Roman"/>
          <w:color w:val="0D0D0D" w:themeColor="text1" w:themeTint="F2"/>
          <w:sz w:val="24"/>
          <w:szCs w:val="24"/>
        </w:rPr>
        <w:t>Baabdullah</w:t>
      </w:r>
      <w:proofErr w:type="spellEnd"/>
      <w:r w:rsidRPr="00E42074">
        <w:rPr>
          <w:rFonts w:ascii="Times New Roman" w:hAnsi="Times New Roman" w:cs="Times New Roman"/>
          <w:color w:val="0D0D0D" w:themeColor="text1" w:themeTint="F2"/>
          <w:sz w:val="24"/>
          <w:szCs w:val="24"/>
        </w:rPr>
        <w:t xml:space="preserve">, A.M. and </w:t>
      </w:r>
      <w:proofErr w:type="spellStart"/>
      <w:r w:rsidRPr="00E42074">
        <w:rPr>
          <w:rFonts w:ascii="Times New Roman" w:hAnsi="Times New Roman" w:cs="Times New Roman"/>
          <w:color w:val="0D0D0D" w:themeColor="text1" w:themeTint="F2"/>
          <w:sz w:val="24"/>
          <w:szCs w:val="24"/>
        </w:rPr>
        <w:t>Ismagilova</w:t>
      </w:r>
      <w:proofErr w:type="spellEnd"/>
      <w:r w:rsidRPr="00E42074">
        <w:rPr>
          <w:rFonts w:ascii="Times New Roman" w:hAnsi="Times New Roman" w:cs="Times New Roman"/>
          <w:color w:val="0D0D0D" w:themeColor="text1" w:themeTint="F2"/>
          <w:sz w:val="24"/>
          <w:szCs w:val="24"/>
        </w:rPr>
        <w:t xml:space="preserve">, E., 2020. Achieving superior organizational performance via big data predictive analytics: A dynamic capability view. </w:t>
      </w:r>
      <w:r w:rsidRPr="00E42074">
        <w:rPr>
          <w:rFonts w:ascii="Times New Roman" w:hAnsi="Times New Roman" w:cs="Times New Roman"/>
          <w:i/>
          <w:iCs/>
          <w:color w:val="0D0D0D" w:themeColor="text1" w:themeTint="F2"/>
          <w:sz w:val="24"/>
          <w:szCs w:val="24"/>
        </w:rPr>
        <w:t>Industrial Marketing Management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90</w:t>
      </w:r>
      <w:r w:rsidRPr="00E42074">
        <w:rPr>
          <w:rFonts w:ascii="Times New Roman" w:hAnsi="Times New Roman" w:cs="Times New Roman"/>
          <w:color w:val="0D0D0D" w:themeColor="text1" w:themeTint="F2"/>
          <w:sz w:val="24"/>
          <w:szCs w:val="24"/>
        </w:rPr>
        <w:t>, pp.581-592.</w:t>
      </w:r>
      <w:r w:rsidRPr="00E42074">
        <w:rPr>
          <w:rFonts w:ascii="Times New Roman" w:eastAsia="Times New Roman" w:hAnsi="Times New Roman" w:cs="Times New Roman"/>
          <w:color w:val="0D0D0D" w:themeColor="text1" w:themeTint="F2"/>
          <w:sz w:val="24"/>
          <w:szCs w:val="24"/>
        </w:rPr>
        <w:t xml:space="preserve"> </w:t>
      </w:r>
    </w:p>
    <w:p w14:paraId="1C4E9DAB"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lastRenderedPageBreak/>
        <w:t xml:space="preserve">Gutheil, L. and Koch, D.J., 2023. Civil society organizations and managerialism: On the depoliticization of the adaptive management agenda. </w:t>
      </w:r>
      <w:r w:rsidRPr="00E42074">
        <w:rPr>
          <w:rFonts w:ascii="Times New Roman" w:eastAsia="Times New Roman" w:hAnsi="Times New Roman" w:cs="Times New Roman"/>
          <w:i/>
          <w:iCs/>
          <w:color w:val="0D0D0D" w:themeColor="text1" w:themeTint="F2"/>
          <w:sz w:val="24"/>
          <w:szCs w:val="24"/>
          <w:lang w:eastAsia="en-IN"/>
        </w:rPr>
        <w:t>Development Policy Review</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41</w:t>
      </w:r>
      <w:r w:rsidRPr="00E42074">
        <w:rPr>
          <w:rFonts w:ascii="Times New Roman" w:eastAsia="Times New Roman" w:hAnsi="Times New Roman" w:cs="Times New Roman"/>
          <w:color w:val="0D0D0D" w:themeColor="text1" w:themeTint="F2"/>
          <w:sz w:val="24"/>
          <w:szCs w:val="24"/>
          <w:lang w:eastAsia="en-IN"/>
        </w:rPr>
        <w:t>(1), p.e12630. </w:t>
      </w:r>
    </w:p>
    <w:p w14:paraId="0F03672A"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Hamann, S., 2026. Foreign Aid at a Crossroads: How Funding Cuts Reshape Global Development Cooperation. </w:t>
      </w:r>
      <w:r w:rsidRPr="00E42074">
        <w:rPr>
          <w:i/>
          <w:iCs/>
          <w:color w:val="000000"/>
        </w:rPr>
        <w:t>Global Policy</w:t>
      </w:r>
      <w:r w:rsidRPr="00E42074">
        <w:rPr>
          <w:color w:val="000000"/>
        </w:rPr>
        <w:t xml:space="preserve">, </w:t>
      </w:r>
      <w:r w:rsidRPr="00E42074">
        <w:rPr>
          <w:i/>
          <w:iCs/>
          <w:color w:val="000000"/>
        </w:rPr>
        <w:t>17</w:t>
      </w:r>
      <w:r w:rsidRPr="00E42074">
        <w:rPr>
          <w:color w:val="000000"/>
        </w:rPr>
        <w:t>(1), pp.122-133. </w:t>
      </w:r>
    </w:p>
    <w:p w14:paraId="10B8BF2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Hasan, S.K., 2025. Ensuring Organizational Sustainability of Non-Government Organizations (NGO) from donor dependency to self-sufficiency: the challenges faced, and strategies adopted by the development-NGOs in Bangladesh.</w:t>
      </w:r>
      <w:r w:rsidRPr="00E42074">
        <w:rPr>
          <w:rFonts w:ascii="Times New Roman" w:eastAsia="Times New Roman" w:hAnsi="Times New Roman" w:cs="Times New Roman"/>
          <w:color w:val="0D0D0D" w:themeColor="text1" w:themeTint="F2"/>
          <w:sz w:val="24"/>
          <w:szCs w:val="24"/>
        </w:rPr>
        <w:t xml:space="preserve"> </w:t>
      </w:r>
    </w:p>
    <w:p w14:paraId="1A8B15B7"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Hoda, R., 2024. Research philosophy. In </w:t>
      </w:r>
      <w:r w:rsidRPr="00E42074">
        <w:rPr>
          <w:rFonts w:ascii="Times New Roman" w:eastAsia="Times New Roman" w:hAnsi="Times New Roman" w:cs="Times New Roman"/>
          <w:i/>
          <w:iCs/>
          <w:color w:val="0D0D0D" w:themeColor="text1" w:themeTint="F2"/>
          <w:sz w:val="24"/>
          <w:szCs w:val="24"/>
          <w:lang w:eastAsia="en-IN"/>
        </w:rPr>
        <w:t>Qualitative Research with Socio-Technical Grounded Theory: A Practical Guide to Qualitative Data Analysis and Theory Development in the Digital World</w:t>
      </w:r>
      <w:r w:rsidRPr="00E42074">
        <w:rPr>
          <w:rFonts w:ascii="Times New Roman" w:eastAsia="Times New Roman" w:hAnsi="Times New Roman" w:cs="Times New Roman"/>
          <w:color w:val="0D0D0D" w:themeColor="text1" w:themeTint="F2"/>
          <w:sz w:val="24"/>
          <w:szCs w:val="24"/>
          <w:lang w:eastAsia="en-IN"/>
        </w:rPr>
        <w:t xml:space="preserve"> (pp. 93-112). Cham: Springer International Publishing. </w:t>
      </w:r>
    </w:p>
    <w:p w14:paraId="64CCC453" w14:textId="77777777" w:rsidR="00E42074" w:rsidRPr="00E42074" w:rsidRDefault="00E42074" w:rsidP="00E42074">
      <w:pPr>
        <w:pStyle w:val="NormalWeb"/>
        <w:spacing w:before="0" w:beforeAutospacing="0" w:after="0" w:afterAutospacing="0" w:line="360" w:lineRule="auto"/>
        <w:jc w:val="both"/>
      </w:pPr>
      <w:proofErr w:type="spellStart"/>
      <w:r w:rsidRPr="00E42074">
        <w:rPr>
          <w:color w:val="000000"/>
        </w:rPr>
        <w:t>Ikechukwu-Cmiosh</w:t>
      </w:r>
      <w:proofErr w:type="spellEnd"/>
      <w:r w:rsidRPr="00E42074">
        <w:rPr>
          <w:color w:val="000000"/>
        </w:rPr>
        <w:t xml:space="preserve">, P.I., 2024. Evaluating the role of human resource management and communication strategies in reducing safety risks and human errors during organizational downsizing. </w:t>
      </w:r>
      <w:r w:rsidRPr="00E42074">
        <w:rPr>
          <w:i/>
          <w:iCs/>
          <w:color w:val="000000"/>
        </w:rPr>
        <w:t>Journal of Social Sciences and Management Review</w:t>
      </w:r>
      <w:r w:rsidRPr="00E42074">
        <w:rPr>
          <w:color w:val="000000"/>
        </w:rPr>
        <w:t xml:space="preserve">, </w:t>
      </w:r>
      <w:r w:rsidRPr="00E42074">
        <w:rPr>
          <w:i/>
          <w:iCs/>
          <w:color w:val="000000"/>
        </w:rPr>
        <w:t>7</w:t>
      </w:r>
      <w:r w:rsidRPr="00E42074">
        <w:rPr>
          <w:color w:val="000000"/>
        </w:rPr>
        <w:t>(6), pp.304-23. </w:t>
      </w:r>
    </w:p>
    <w:p w14:paraId="1E94A2DC"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Irfan, M., Khalid, R.A., Kaka </w:t>
      </w:r>
      <w:proofErr w:type="spellStart"/>
      <w:r w:rsidRPr="00E42074">
        <w:rPr>
          <w:rFonts w:ascii="Times New Roman" w:eastAsia="Times New Roman" w:hAnsi="Times New Roman" w:cs="Times New Roman"/>
          <w:color w:val="0D0D0D" w:themeColor="text1" w:themeTint="F2"/>
          <w:sz w:val="24"/>
          <w:szCs w:val="24"/>
          <w:lang w:eastAsia="en-IN"/>
        </w:rPr>
        <w:t>Khel</w:t>
      </w:r>
      <w:proofErr w:type="spellEnd"/>
      <w:r w:rsidRPr="00E42074">
        <w:rPr>
          <w:rFonts w:ascii="Times New Roman" w:eastAsia="Times New Roman" w:hAnsi="Times New Roman" w:cs="Times New Roman"/>
          <w:color w:val="0D0D0D" w:themeColor="text1" w:themeTint="F2"/>
          <w:sz w:val="24"/>
          <w:szCs w:val="24"/>
          <w:lang w:eastAsia="en-IN"/>
        </w:rPr>
        <w:t xml:space="preserve">, S.S.U.H., </w:t>
      </w:r>
      <w:proofErr w:type="spellStart"/>
      <w:r w:rsidRPr="00E42074">
        <w:rPr>
          <w:rFonts w:ascii="Times New Roman" w:eastAsia="Times New Roman" w:hAnsi="Times New Roman" w:cs="Times New Roman"/>
          <w:color w:val="0D0D0D" w:themeColor="text1" w:themeTint="F2"/>
          <w:sz w:val="24"/>
          <w:szCs w:val="24"/>
          <w:lang w:eastAsia="en-IN"/>
        </w:rPr>
        <w:t>Maqsoom</w:t>
      </w:r>
      <w:proofErr w:type="spellEnd"/>
      <w:r w:rsidRPr="00E42074">
        <w:rPr>
          <w:rFonts w:ascii="Times New Roman" w:eastAsia="Times New Roman" w:hAnsi="Times New Roman" w:cs="Times New Roman"/>
          <w:color w:val="0D0D0D" w:themeColor="text1" w:themeTint="F2"/>
          <w:sz w:val="24"/>
          <w:szCs w:val="24"/>
          <w:lang w:eastAsia="en-IN"/>
        </w:rPr>
        <w:t xml:space="preserve">, A. and </w:t>
      </w:r>
      <w:proofErr w:type="spellStart"/>
      <w:r w:rsidRPr="00E42074">
        <w:rPr>
          <w:rFonts w:ascii="Times New Roman" w:eastAsia="Times New Roman" w:hAnsi="Times New Roman" w:cs="Times New Roman"/>
          <w:color w:val="0D0D0D" w:themeColor="text1" w:themeTint="F2"/>
          <w:sz w:val="24"/>
          <w:szCs w:val="24"/>
          <w:lang w:eastAsia="en-IN"/>
        </w:rPr>
        <w:t>Sherani</w:t>
      </w:r>
      <w:proofErr w:type="spellEnd"/>
      <w:r w:rsidRPr="00E42074">
        <w:rPr>
          <w:rFonts w:ascii="Times New Roman" w:eastAsia="Times New Roman" w:hAnsi="Times New Roman" w:cs="Times New Roman"/>
          <w:color w:val="0D0D0D" w:themeColor="text1" w:themeTint="F2"/>
          <w:sz w:val="24"/>
          <w:szCs w:val="24"/>
          <w:lang w:eastAsia="en-IN"/>
        </w:rPr>
        <w:t xml:space="preserve">, I.K., 2023. Impact of work–life balance with the role of organizational support and job burnout on project performance. </w:t>
      </w:r>
      <w:r w:rsidRPr="00E42074">
        <w:rPr>
          <w:rFonts w:ascii="Times New Roman" w:eastAsia="Times New Roman" w:hAnsi="Times New Roman" w:cs="Times New Roman"/>
          <w:i/>
          <w:iCs/>
          <w:color w:val="0D0D0D" w:themeColor="text1" w:themeTint="F2"/>
          <w:sz w:val="24"/>
          <w:szCs w:val="24"/>
          <w:lang w:eastAsia="en-IN"/>
        </w:rPr>
        <w:t>Engineering, Construction and Architectural Management</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30</w:t>
      </w:r>
      <w:r w:rsidRPr="00E42074">
        <w:rPr>
          <w:rFonts w:ascii="Times New Roman" w:eastAsia="Times New Roman" w:hAnsi="Times New Roman" w:cs="Times New Roman"/>
          <w:color w:val="0D0D0D" w:themeColor="text1" w:themeTint="F2"/>
          <w:sz w:val="24"/>
          <w:szCs w:val="24"/>
          <w:lang w:eastAsia="en-IN"/>
        </w:rPr>
        <w:t>(1), pp.154-171. </w:t>
      </w:r>
    </w:p>
    <w:p w14:paraId="47388B51"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Isabekova</w:t>
      </w:r>
      <w:proofErr w:type="spellEnd"/>
      <w:r w:rsidRPr="00E42074">
        <w:rPr>
          <w:rFonts w:ascii="Times New Roman" w:hAnsi="Times New Roman" w:cs="Times New Roman"/>
          <w:color w:val="0D0D0D" w:themeColor="text1" w:themeTint="F2"/>
          <w:sz w:val="24"/>
          <w:szCs w:val="24"/>
        </w:rPr>
        <w:t xml:space="preserve">, G., 2023. The Global Fund Grants: Project Life Cycle. In </w:t>
      </w:r>
      <w:r w:rsidRPr="00E42074">
        <w:rPr>
          <w:rFonts w:ascii="Times New Roman" w:hAnsi="Times New Roman" w:cs="Times New Roman"/>
          <w:i/>
          <w:iCs/>
          <w:color w:val="0D0D0D" w:themeColor="text1" w:themeTint="F2"/>
          <w:sz w:val="24"/>
          <w:szCs w:val="24"/>
        </w:rPr>
        <w:t xml:space="preserve">Stakeholder Relationships </w:t>
      </w:r>
      <w:proofErr w:type="gramStart"/>
      <w:r w:rsidRPr="00E42074">
        <w:rPr>
          <w:rFonts w:ascii="Times New Roman" w:hAnsi="Times New Roman" w:cs="Times New Roman"/>
          <w:i/>
          <w:iCs/>
          <w:color w:val="0D0D0D" w:themeColor="text1" w:themeTint="F2"/>
          <w:sz w:val="24"/>
          <w:szCs w:val="24"/>
        </w:rPr>
        <w:t>And</w:t>
      </w:r>
      <w:proofErr w:type="gramEnd"/>
      <w:r w:rsidRPr="00E42074">
        <w:rPr>
          <w:rFonts w:ascii="Times New Roman" w:hAnsi="Times New Roman" w:cs="Times New Roman"/>
          <w:i/>
          <w:iCs/>
          <w:color w:val="0D0D0D" w:themeColor="text1" w:themeTint="F2"/>
          <w:sz w:val="24"/>
          <w:szCs w:val="24"/>
        </w:rPr>
        <w:t xml:space="preserve"> Sustainability: The Case Of Health Aid To The Kyrgyz Republic</w:t>
      </w:r>
      <w:r w:rsidRPr="00E42074">
        <w:rPr>
          <w:rFonts w:ascii="Times New Roman" w:hAnsi="Times New Roman" w:cs="Times New Roman"/>
          <w:color w:val="0D0D0D" w:themeColor="text1" w:themeTint="F2"/>
          <w:sz w:val="24"/>
          <w:szCs w:val="24"/>
        </w:rPr>
        <w:t xml:space="preserve"> (pp. 211-254). Cham: Springer International Publishing.</w:t>
      </w:r>
      <w:r w:rsidRPr="00E42074">
        <w:rPr>
          <w:rFonts w:ascii="Times New Roman" w:eastAsia="Times New Roman" w:hAnsi="Times New Roman" w:cs="Times New Roman"/>
          <w:color w:val="0D0D0D" w:themeColor="text1" w:themeTint="F2"/>
          <w:sz w:val="24"/>
          <w:szCs w:val="24"/>
        </w:rPr>
        <w:t xml:space="preserve"> </w:t>
      </w:r>
    </w:p>
    <w:p w14:paraId="5F458182"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Jiang, H., Luo, Y., Xia, J., </w:t>
      </w:r>
      <w:proofErr w:type="spellStart"/>
      <w:r w:rsidRPr="00E42074">
        <w:rPr>
          <w:rFonts w:ascii="Times New Roman" w:hAnsi="Times New Roman" w:cs="Times New Roman"/>
          <w:color w:val="0D0D0D" w:themeColor="text1" w:themeTint="F2"/>
          <w:sz w:val="24"/>
          <w:szCs w:val="24"/>
        </w:rPr>
        <w:t>Hitt</w:t>
      </w:r>
      <w:proofErr w:type="spellEnd"/>
      <w:r w:rsidRPr="00E42074">
        <w:rPr>
          <w:rFonts w:ascii="Times New Roman" w:hAnsi="Times New Roman" w:cs="Times New Roman"/>
          <w:color w:val="0D0D0D" w:themeColor="text1" w:themeTint="F2"/>
          <w:sz w:val="24"/>
          <w:szCs w:val="24"/>
        </w:rPr>
        <w:t xml:space="preserve">, M. and Shen, J., 2023. Resource dependence theory in international business: Progress and prospects. </w:t>
      </w:r>
      <w:r w:rsidRPr="00E42074">
        <w:rPr>
          <w:rFonts w:ascii="Times New Roman" w:hAnsi="Times New Roman" w:cs="Times New Roman"/>
          <w:i/>
          <w:iCs/>
          <w:color w:val="0D0D0D" w:themeColor="text1" w:themeTint="F2"/>
          <w:sz w:val="24"/>
          <w:szCs w:val="24"/>
        </w:rPr>
        <w:t>Global strategy journal</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13</w:t>
      </w:r>
      <w:r w:rsidRPr="00E42074">
        <w:rPr>
          <w:rFonts w:ascii="Times New Roman" w:hAnsi="Times New Roman" w:cs="Times New Roman"/>
          <w:color w:val="0D0D0D" w:themeColor="text1" w:themeTint="F2"/>
          <w:sz w:val="24"/>
          <w:szCs w:val="24"/>
        </w:rPr>
        <w:t>(1), pp.3-57.</w:t>
      </w:r>
      <w:r w:rsidRPr="00E42074">
        <w:rPr>
          <w:rFonts w:ascii="Times New Roman" w:eastAsia="Times New Roman" w:hAnsi="Times New Roman" w:cs="Times New Roman"/>
          <w:color w:val="0D0D0D" w:themeColor="text1" w:themeTint="F2"/>
          <w:sz w:val="24"/>
          <w:szCs w:val="24"/>
        </w:rPr>
        <w:t xml:space="preserve"> </w:t>
      </w:r>
    </w:p>
    <w:p w14:paraId="08864553"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proofErr w:type="spellStart"/>
      <w:r w:rsidRPr="00E42074">
        <w:rPr>
          <w:rFonts w:ascii="Times New Roman" w:eastAsia="Times New Roman" w:hAnsi="Times New Roman" w:cs="Times New Roman"/>
          <w:color w:val="0D0D0D" w:themeColor="text1" w:themeTint="F2"/>
          <w:sz w:val="24"/>
          <w:szCs w:val="24"/>
          <w:lang w:val="en-GB"/>
        </w:rPr>
        <w:t>Jiglau</w:t>
      </w:r>
      <w:proofErr w:type="spellEnd"/>
      <w:r w:rsidRPr="00E42074">
        <w:rPr>
          <w:rFonts w:ascii="Times New Roman" w:eastAsia="Times New Roman" w:hAnsi="Times New Roman" w:cs="Times New Roman"/>
          <w:color w:val="0D0D0D" w:themeColor="text1" w:themeTint="F2"/>
          <w:sz w:val="24"/>
          <w:szCs w:val="24"/>
          <w:lang w:val="en-GB"/>
        </w:rPr>
        <w:t xml:space="preserve">, G., </w:t>
      </w:r>
      <w:proofErr w:type="spellStart"/>
      <w:r w:rsidRPr="00E42074">
        <w:rPr>
          <w:rFonts w:ascii="Times New Roman" w:eastAsia="Times New Roman" w:hAnsi="Times New Roman" w:cs="Times New Roman"/>
          <w:color w:val="0D0D0D" w:themeColor="text1" w:themeTint="F2"/>
          <w:sz w:val="24"/>
          <w:szCs w:val="24"/>
          <w:lang w:val="en-GB"/>
        </w:rPr>
        <w:t>Bouzarovski</w:t>
      </w:r>
      <w:proofErr w:type="spellEnd"/>
      <w:r w:rsidRPr="00E42074">
        <w:rPr>
          <w:rFonts w:ascii="Times New Roman" w:eastAsia="Times New Roman" w:hAnsi="Times New Roman" w:cs="Times New Roman"/>
          <w:color w:val="0D0D0D" w:themeColor="text1" w:themeTint="F2"/>
          <w:sz w:val="24"/>
          <w:szCs w:val="24"/>
          <w:lang w:val="en-GB"/>
        </w:rPr>
        <w:t xml:space="preserve">, S., Dubois, U., </w:t>
      </w:r>
      <w:proofErr w:type="spellStart"/>
      <w:r w:rsidRPr="00E42074">
        <w:rPr>
          <w:rFonts w:ascii="Times New Roman" w:eastAsia="Times New Roman" w:hAnsi="Times New Roman" w:cs="Times New Roman"/>
          <w:color w:val="0D0D0D" w:themeColor="text1" w:themeTint="F2"/>
          <w:sz w:val="24"/>
          <w:szCs w:val="24"/>
          <w:lang w:val="en-GB"/>
        </w:rPr>
        <w:t>Feenstra</w:t>
      </w:r>
      <w:proofErr w:type="spellEnd"/>
      <w:r w:rsidRPr="00E42074">
        <w:rPr>
          <w:rFonts w:ascii="Times New Roman" w:eastAsia="Times New Roman" w:hAnsi="Times New Roman" w:cs="Times New Roman"/>
          <w:color w:val="0D0D0D" w:themeColor="text1" w:themeTint="F2"/>
          <w:sz w:val="24"/>
          <w:szCs w:val="24"/>
          <w:lang w:val="en-GB"/>
        </w:rPr>
        <w:t xml:space="preserve">, M., Gouveia, J.P., Grossmann, K., </w:t>
      </w:r>
      <w:proofErr w:type="spellStart"/>
      <w:r w:rsidRPr="00E42074">
        <w:rPr>
          <w:rFonts w:ascii="Times New Roman" w:eastAsia="Times New Roman" w:hAnsi="Times New Roman" w:cs="Times New Roman"/>
          <w:color w:val="0D0D0D" w:themeColor="text1" w:themeTint="F2"/>
          <w:sz w:val="24"/>
          <w:szCs w:val="24"/>
          <w:lang w:val="en-GB"/>
        </w:rPr>
        <w:t>Guyet</w:t>
      </w:r>
      <w:proofErr w:type="spellEnd"/>
      <w:r w:rsidRPr="00E42074">
        <w:rPr>
          <w:rFonts w:ascii="Times New Roman" w:eastAsia="Times New Roman" w:hAnsi="Times New Roman" w:cs="Times New Roman"/>
          <w:color w:val="0D0D0D" w:themeColor="text1" w:themeTint="F2"/>
          <w:sz w:val="24"/>
          <w:szCs w:val="24"/>
          <w:lang w:val="en-GB"/>
        </w:rPr>
        <w:t xml:space="preserve">, R., </w:t>
      </w:r>
      <w:proofErr w:type="spellStart"/>
      <w:r w:rsidRPr="00E42074">
        <w:rPr>
          <w:rFonts w:ascii="Times New Roman" w:eastAsia="Times New Roman" w:hAnsi="Times New Roman" w:cs="Times New Roman"/>
          <w:color w:val="0D0D0D" w:themeColor="text1" w:themeTint="F2"/>
          <w:sz w:val="24"/>
          <w:szCs w:val="24"/>
          <w:lang w:val="en-GB"/>
        </w:rPr>
        <w:t>Herrero</w:t>
      </w:r>
      <w:proofErr w:type="spellEnd"/>
      <w:r w:rsidRPr="00E42074">
        <w:rPr>
          <w:rFonts w:ascii="Times New Roman" w:eastAsia="Times New Roman" w:hAnsi="Times New Roman" w:cs="Times New Roman"/>
          <w:color w:val="0D0D0D" w:themeColor="text1" w:themeTint="F2"/>
          <w:sz w:val="24"/>
          <w:szCs w:val="24"/>
          <w:lang w:val="en-GB"/>
        </w:rPr>
        <w:t xml:space="preserve">, S.T., </w:t>
      </w:r>
      <w:proofErr w:type="spellStart"/>
      <w:r w:rsidRPr="00E42074">
        <w:rPr>
          <w:rFonts w:ascii="Times New Roman" w:eastAsia="Times New Roman" w:hAnsi="Times New Roman" w:cs="Times New Roman"/>
          <w:color w:val="0D0D0D" w:themeColor="text1" w:themeTint="F2"/>
          <w:sz w:val="24"/>
          <w:szCs w:val="24"/>
          <w:lang w:val="en-GB"/>
        </w:rPr>
        <w:t>Hesselman</w:t>
      </w:r>
      <w:proofErr w:type="spellEnd"/>
      <w:r w:rsidRPr="00E42074">
        <w:rPr>
          <w:rFonts w:ascii="Times New Roman" w:eastAsia="Times New Roman" w:hAnsi="Times New Roman" w:cs="Times New Roman"/>
          <w:color w:val="0D0D0D" w:themeColor="text1" w:themeTint="F2"/>
          <w:sz w:val="24"/>
          <w:szCs w:val="24"/>
          <w:lang w:val="en-GB"/>
        </w:rPr>
        <w:t xml:space="preserve">, M., </w:t>
      </w:r>
      <w:proofErr w:type="spellStart"/>
      <w:r w:rsidRPr="00E42074">
        <w:rPr>
          <w:rFonts w:ascii="Times New Roman" w:eastAsia="Times New Roman" w:hAnsi="Times New Roman" w:cs="Times New Roman"/>
          <w:color w:val="0D0D0D" w:themeColor="text1" w:themeTint="F2"/>
          <w:sz w:val="24"/>
          <w:szCs w:val="24"/>
          <w:lang w:val="en-GB"/>
        </w:rPr>
        <w:t>Robic</w:t>
      </w:r>
      <w:proofErr w:type="spellEnd"/>
      <w:r w:rsidRPr="00E42074">
        <w:rPr>
          <w:rFonts w:ascii="Times New Roman" w:eastAsia="Times New Roman" w:hAnsi="Times New Roman" w:cs="Times New Roman"/>
          <w:color w:val="0D0D0D" w:themeColor="text1" w:themeTint="F2"/>
          <w:sz w:val="24"/>
          <w:szCs w:val="24"/>
          <w:lang w:val="en-GB"/>
        </w:rPr>
        <w:t xml:space="preserve">, S. and Sareen, S., 2023. Looking back to look forward: Reflections from networked research on energy poverty. </w:t>
      </w:r>
      <w:proofErr w:type="spellStart"/>
      <w:r w:rsidRPr="00E42074">
        <w:rPr>
          <w:rFonts w:ascii="Times New Roman" w:eastAsia="Times New Roman" w:hAnsi="Times New Roman" w:cs="Times New Roman"/>
          <w:i/>
          <w:iCs/>
          <w:color w:val="0D0D0D" w:themeColor="text1" w:themeTint="F2"/>
          <w:sz w:val="24"/>
          <w:szCs w:val="24"/>
          <w:lang w:val="en-GB"/>
        </w:rPr>
        <w:t>IScience</w:t>
      </w:r>
      <w:proofErr w:type="spellEnd"/>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26</w:t>
      </w:r>
      <w:r w:rsidRPr="00E42074">
        <w:rPr>
          <w:rFonts w:ascii="Times New Roman" w:eastAsia="Times New Roman" w:hAnsi="Times New Roman" w:cs="Times New Roman"/>
          <w:color w:val="0D0D0D" w:themeColor="text1" w:themeTint="F2"/>
          <w:sz w:val="24"/>
          <w:szCs w:val="24"/>
          <w:lang w:val="en-GB"/>
        </w:rPr>
        <w:t>(3).</w:t>
      </w:r>
    </w:p>
    <w:p w14:paraId="221E469D"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Johnstone, S., 2024. Human resource management in recession: Restructuring and alternatives to downsizing in times of crisis. </w:t>
      </w:r>
      <w:r w:rsidRPr="00E42074">
        <w:rPr>
          <w:i/>
          <w:iCs/>
          <w:color w:val="000000"/>
        </w:rPr>
        <w:t>Human Resource Management Journal</w:t>
      </w:r>
      <w:r w:rsidRPr="00E42074">
        <w:rPr>
          <w:color w:val="000000"/>
        </w:rPr>
        <w:t xml:space="preserve">, </w:t>
      </w:r>
      <w:r w:rsidRPr="00E42074">
        <w:rPr>
          <w:i/>
          <w:iCs/>
          <w:color w:val="000000"/>
        </w:rPr>
        <w:t>34</w:t>
      </w:r>
      <w:r w:rsidRPr="00E42074">
        <w:rPr>
          <w:color w:val="000000"/>
        </w:rPr>
        <w:t>(1), pp.138-157. </w:t>
      </w:r>
    </w:p>
    <w:p w14:paraId="7E87B71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Junjie</w:t>
      </w:r>
      <w:proofErr w:type="spellEnd"/>
      <w:r w:rsidRPr="00E42074">
        <w:rPr>
          <w:rFonts w:ascii="Times New Roman" w:eastAsia="Times New Roman" w:hAnsi="Times New Roman" w:cs="Times New Roman"/>
          <w:color w:val="0D0D0D" w:themeColor="text1" w:themeTint="F2"/>
          <w:sz w:val="24"/>
          <w:szCs w:val="24"/>
          <w:lang w:eastAsia="en-IN"/>
        </w:rPr>
        <w:t xml:space="preserve">, M. and </w:t>
      </w:r>
      <w:proofErr w:type="spellStart"/>
      <w:r w:rsidRPr="00E42074">
        <w:rPr>
          <w:rFonts w:ascii="Times New Roman" w:eastAsia="Times New Roman" w:hAnsi="Times New Roman" w:cs="Times New Roman"/>
          <w:color w:val="0D0D0D" w:themeColor="text1" w:themeTint="F2"/>
          <w:sz w:val="24"/>
          <w:szCs w:val="24"/>
          <w:lang w:eastAsia="en-IN"/>
        </w:rPr>
        <w:t>Yingxin</w:t>
      </w:r>
      <w:proofErr w:type="spellEnd"/>
      <w:r w:rsidRPr="00E42074">
        <w:rPr>
          <w:rFonts w:ascii="Times New Roman" w:eastAsia="Times New Roman" w:hAnsi="Times New Roman" w:cs="Times New Roman"/>
          <w:color w:val="0D0D0D" w:themeColor="text1" w:themeTint="F2"/>
          <w:sz w:val="24"/>
          <w:szCs w:val="24"/>
          <w:lang w:eastAsia="en-IN"/>
        </w:rPr>
        <w:t xml:space="preserve">, M., 2022. The Discussions of Positivism and Interpretivism. </w:t>
      </w:r>
      <w:r w:rsidRPr="00E42074">
        <w:rPr>
          <w:rFonts w:ascii="Times New Roman" w:eastAsia="Times New Roman" w:hAnsi="Times New Roman" w:cs="Times New Roman"/>
          <w:i/>
          <w:iCs/>
          <w:color w:val="0D0D0D" w:themeColor="text1" w:themeTint="F2"/>
          <w:sz w:val="24"/>
          <w:szCs w:val="24"/>
          <w:lang w:eastAsia="en-IN"/>
        </w:rPr>
        <w:t>Online Submission</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4</w:t>
      </w:r>
      <w:r w:rsidRPr="00E42074">
        <w:rPr>
          <w:rFonts w:ascii="Times New Roman" w:eastAsia="Times New Roman" w:hAnsi="Times New Roman" w:cs="Times New Roman"/>
          <w:color w:val="0D0D0D" w:themeColor="text1" w:themeTint="F2"/>
          <w:sz w:val="24"/>
          <w:szCs w:val="24"/>
          <w:lang w:eastAsia="en-IN"/>
        </w:rPr>
        <w:t>(1), pp.10-14. </w:t>
      </w:r>
    </w:p>
    <w:p w14:paraId="3789020B"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lastRenderedPageBreak/>
        <w:t>Kasri</w:t>
      </w:r>
      <w:proofErr w:type="spellEnd"/>
      <w:r w:rsidRPr="00E42074">
        <w:rPr>
          <w:rFonts w:ascii="Times New Roman" w:eastAsia="Times New Roman" w:hAnsi="Times New Roman" w:cs="Times New Roman"/>
          <w:color w:val="0D0D0D" w:themeColor="text1" w:themeTint="F2"/>
          <w:sz w:val="24"/>
          <w:szCs w:val="24"/>
          <w:lang w:eastAsia="en-IN"/>
        </w:rPr>
        <w:t xml:space="preserve">, W., </w:t>
      </w:r>
      <w:proofErr w:type="spellStart"/>
      <w:r w:rsidRPr="00E42074">
        <w:rPr>
          <w:rFonts w:ascii="Times New Roman" w:eastAsia="Times New Roman" w:hAnsi="Times New Roman" w:cs="Times New Roman"/>
          <w:color w:val="0D0D0D" w:themeColor="text1" w:themeTint="F2"/>
          <w:sz w:val="24"/>
          <w:szCs w:val="24"/>
          <w:lang w:eastAsia="en-IN"/>
        </w:rPr>
        <w:t>Himeur</w:t>
      </w:r>
      <w:proofErr w:type="spellEnd"/>
      <w:r w:rsidRPr="00E42074">
        <w:rPr>
          <w:rFonts w:ascii="Times New Roman" w:eastAsia="Times New Roman" w:hAnsi="Times New Roman" w:cs="Times New Roman"/>
          <w:color w:val="0D0D0D" w:themeColor="text1" w:themeTint="F2"/>
          <w:sz w:val="24"/>
          <w:szCs w:val="24"/>
          <w:lang w:eastAsia="en-IN"/>
        </w:rPr>
        <w:t xml:space="preserve">, Y., </w:t>
      </w:r>
      <w:proofErr w:type="spellStart"/>
      <w:r w:rsidRPr="00E42074">
        <w:rPr>
          <w:rFonts w:ascii="Times New Roman" w:eastAsia="Times New Roman" w:hAnsi="Times New Roman" w:cs="Times New Roman"/>
          <w:color w:val="0D0D0D" w:themeColor="text1" w:themeTint="F2"/>
          <w:sz w:val="24"/>
          <w:szCs w:val="24"/>
          <w:lang w:eastAsia="en-IN"/>
        </w:rPr>
        <w:t>Alkhazaleh</w:t>
      </w:r>
      <w:proofErr w:type="spellEnd"/>
      <w:r w:rsidRPr="00E42074">
        <w:rPr>
          <w:rFonts w:ascii="Times New Roman" w:eastAsia="Times New Roman" w:hAnsi="Times New Roman" w:cs="Times New Roman"/>
          <w:color w:val="0D0D0D" w:themeColor="text1" w:themeTint="F2"/>
          <w:sz w:val="24"/>
          <w:szCs w:val="24"/>
          <w:lang w:eastAsia="en-IN"/>
        </w:rPr>
        <w:t xml:space="preserve">, H.A., </w:t>
      </w:r>
      <w:proofErr w:type="spellStart"/>
      <w:r w:rsidRPr="00E42074">
        <w:rPr>
          <w:rFonts w:ascii="Times New Roman" w:eastAsia="Times New Roman" w:hAnsi="Times New Roman" w:cs="Times New Roman"/>
          <w:color w:val="0D0D0D" w:themeColor="text1" w:themeTint="F2"/>
          <w:sz w:val="24"/>
          <w:szCs w:val="24"/>
          <w:lang w:eastAsia="en-IN"/>
        </w:rPr>
        <w:t>Tarapiah</w:t>
      </w:r>
      <w:proofErr w:type="spellEnd"/>
      <w:r w:rsidRPr="00E42074">
        <w:rPr>
          <w:rFonts w:ascii="Times New Roman" w:eastAsia="Times New Roman" w:hAnsi="Times New Roman" w:cs="Times New Roman"/>
          <w:color w:val="0D0D0D" w:themeColor="text1" w:themeTint="F2"/>
          <w:sz w:val="24"/>
          <w:szCs w:val="24"/>
          <w:lang w:eastAsia="en-IN"/>
        </w:rPr>
        <w:t xml:space="preserve">, S., Atalla, S., Mansoor, W. and Al-Ahmad, H., 2025. From vulnerability to </w:t>
      </w:r>
      <w:proofErr w:type="spellStart"/>
      <w:r w:rsidRPr="00E42074">
        <w:rPr>
          <w:rFonts w:ascii="Times New Roman" w:eastAsia="Times New Roman" w:hAnsi="Times New Roman" w:cs="Times New Roman"/>
          <w:color w:val="0D0D0D" w:themeColor="text1" w:themeTint="F2"/>
          <w:sz w:val="24"/>
          <w:szCs w:val="24"/>
          <w:lang w:eastAsia="en-IN"/>
        </w:rPr>
        <w:t>defense</w:t>
      </w:r>
      <w:proofErr w:type="spellEnd"/>
      <w:r w:rsidRPr="00E42074">
        <w:rPr>
          <w:rFonts w:ascii="Times New Roman" w:eastAsia="Times New Roman" w:hAnsi="Times New Roman" w:cs="Times New Roman"/>
          <w:color w:val="0D0D0D" w:themeColor="text1" w:themeTint="F2"/>
          <w:sz w:val="24"/>
          <w:szCs w:val="24"/>
          <w:lang w:eastAsia="en-IN"/>
        </w:rPr>
        <w:t xml:space="preserve">: The role of large language models in enhancing cybersecurity. </w:t>
      </w:r>
      <w:r w:rsidRPr="00E42074">
        <w:rPr>
          <w:rFonts w:ascii="Times New Roman" w:eastAsia="Times New Roman" w:hAnsi="Times New Roman" w:cs="Times New Roman"/>
          <w:i/>
          <w:iCs/>
          <w:color w:val="0D0D0D" w:themeColor="text1" w:themeTint="F2"/>
          <w:sz w:val="24"/>
          <w:szCs w:val="24"/>
          <w:lang w:eastAsia="en-IN"/>
        </w:rPr>
        <w:t>Computation</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13</w:t>
      </w:r>
      <w:r w:rsidRPr="00E42074">
        <w:rPr>
          <w:rFonts w:ascii="Times New Roman" w:eastAsia="Times New Roman" w:hAnsi="Times New Roman" w:cs="Times New Roman"/>
          <w:color w:val="0D0D0D" w:themeColor="text1" w:themeTint="F2"/>
          <w:sz w:val="24"/>
          <w:szCs w:val="24"/>
          <w:lang w:eastAsia="en-IN"/>
        </w:rPr>
        <w:t>(2), p.30. </w:t>
      </w:r>
    </w:p>
    <w:p w14:paraId="1E203B7C"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proofErr w:type="spellStart"/>
      <w:r w:rsidRPr="00E42074">
        <w:rPr>
          <w:rFonts w:ascii="Times New Roman" w:eastAsia="Times New Roman" w:hAnsi="Times New Roman" w:cs="Times New Roman"/>
          <w:color w:val="0D0D0D" w:themeColor="text1" w:themeTint="F2"/>
          <w:sz w:val="24"/>
          <w:szCs w:val="24"/>
          <w:lang w:val="en-GB"/>
        </w:rPr>
        <w:t>Kermani</w:t>
      </w:r>
      <w:proofErr w:type="spellEnd"/>
      <w:r w:rsidRPr="00E42074">
        <w:rPr>
          <w:rFonts w:ascii="Times New Roman" w:eastAsia="Times New Roman" w:hAnsi="Times New Roman" w:cs="Times New Roman"/>
          <w:color w:val="0D0D0D" w:themeColor="text1" w:themeTint="F2"/>
          <w:sz w:val="24"/>
          <w:szCs w:val="24"/>
          <w:lang w:val="en-GB"/>
        </w:rPr>
        <w:t xml:space="preserve">, F. and </w:t>
      </w:r>
      <w:proofErr w:type="spellStart"/>
      <w:r w:rsidRPr="00E42074">
        <w:rPr>
          <w:rFonts w:ascii="Times New Roman" w:eastAsia="Times New Roman" w:hAnsi="Times New Roman" w:cs="Times New Roman"/>
          <w:color w:val="0D0D0D" w:themeColor="text1" w:themeTint="F2"/>
          <w:sz w:val="24"/>
          <w:szCs w:val="24"/>
          <w:lang w:val="en-GB"/>
        </w:rPr>
        <w:t>Reandi</w:t>
      </w:r>
      <w:proofErr w:type="spellEnd"/>
      <w:r w:rsidRPr="00E42074">
        <w:rPr>
          <w:rFonts w:ascii="Times New Roman" w:eastAsia="Times New Roman" w:hAnsi="Times New Roman" w:cs="Times New Roman"/>
          <w:color w:val="0D0D0D" w:themeColor="text1" w:themeTint="F2"/>
          <w:sz w:val="24"/>
          <w:szCs w:val="24"/>
          <w:lang w:val="en-GB"/>
        </w:rPr>
        <w:t xml:space="preserve">, S.T.A., 2023. Exploring the funding challenges faced by small NGOs: perspectives from an organization with practical experience of working in rural Malawi. </w:t>
      </w:r>
      <w:r w:rsidRPr="00E42074">
        <w:rPr>
          <w:rFonts w:ascii="Times New Roman" w:eastAsia="Times New Roman" w:hAnsi="Times New Roman" w:cs="Times New Roman"/>
          <w:i/>
          <w:iCs/>
          <w:color w:val="0D0D0D" w:themeColor="text1" w:themeTint="F2"/>
          <w:sz w:val="24"/>
          <w:szCs w:val="24"/>
          <w:lang w:val="en-GB"/>
        </w:rPr>
        <w:t>Research and Reports in Tropical Medicine</w:t>
      </w:r>
      <w:r w:rsidRPr="00E42074">
        <w:rPr>
          <w:rFonts w:ascii="Times New Roman" w:eastAsia="Times New Roman" w:hAnsi="Times New Roman" w:cs="Times New Roman"/>
          <w:color w:val="0D0D0D" w:themeColor="text1" w:themeTint="F2"/>
          <w:sz w:val="24"/>
          <w:szCs w:val="24"/>
          <w:lang w:val="en-GB"/>
        </w:rPr>
        <w:t>, pp.99-110.</w:t>
      </w:r>
    </w:p>
    <w:p w14:paraId="5596D591"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proofErr w:type="spellStart"/>
      <w:r w:rsidRPr="00E42074">
        <w:rPr>
          <w:rFonts w:ascii="Times New Roman" w:eastAsia="Times New Roman" w:hAnsi="Times New Roman" w:cs="Times New Roman"/>
          <w:color w:val="0D0D0D" w:themeColor="text1" w:themeTint="F2"/>
          <w:sz w:val="24"/>
          <w:szCs w:val="24"/>
          <w:lang w:val="en-GB"/>
        </w:rPr>
        <w:t>Kohtamäki</w:t>
      </w:r>
      <w:proofErr w:type="spellEnd"/>
      <w:r w:rsidRPr="00E42074">
        <w:rPr>
          <w:rFonts w:ascii="Times New Roman" w:eastAsia="Times New Roman" w:hAnsi="Times New Roman" w:cs="Times New Roman"/>
          <w:color w:val="0D0D0D" w:themeColor="text1" w:themeTint="F2"/>
          <w:sz w:val="24"/>
          <w:szCs w:val="24"/>
          <w:lang w:val="en-GB"/>
        </w:rPr>
        <w:t xml:space="preserve">, V., 2024. Performance agreement through the lens of resource dependence theory. </w:t>
      </w:r>
      <w:r w:rsidRPr="00E42074">
        <w:rPr>
          <w:rFonts w:ascii="Times New Roman" w:eastAsia="Times New Roman" w:hAnsi="Times New Roman" w:cs="Times New Roman"/>
          <w:i/>
          <w:iCs/>
          <w:color w:val="0D0D0D" w:themeColor="text1" w:themeTint="F2"/>
          <w:sz w:val="24"/>
          <w:szCs w:val="24"/>
          <w:lang w:val="en-GB"/>
        </w:rPr>
        <w:t>Journal of Education Policy</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39</w:t>
      </w:r>
      <w:r w:rsidRPr="00E42074">
        <w:rPr>
          <w:rFonts w:ascii="Times New Roman" w:eastAsia="Times New Roman" w:hAnsi="Times New Roman" w:cs="Times New Roman"/>
          <w:color w:val="0D0D0D" w:themeColor="text1" w:themeTint="F2"/>
          <w:sz w:val="24"/>
          <w:szCs w:val="24"/>
          <w:lang w:val="en-GB"/>
        </w:rPr>
        <w:t>(4), pp.541-563.</w:t>
      </w:r>
    </w:p>
    <w:p w14:paraId="168C0D7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Kolpakov</w:t>
      </w:r>
      <w:proofErr w:type="spellEnd"/>
      <w:r w:rsidRPr="00E42074">
        <w:rPr>
          <w:rFonts w:ascii="Times New Roman" w:hAnsi="Times New Roman" w:cs="Times New Roman"/>
          <w:color w:val="0D0D0D" w:themeColor="text1" w:themeTint="F2"/>
          <w:sz w:val="24"/>
          <w:szCs w:val="24"/>
        </w:rPr>
        <w:t xml:space="preserve">, A., </w:t>
      </w:r>
      <w:proofErr w:type="spellStart"/>
      <w:r w:rsidRPr="00E42074">
        <w:rPr>
          <w:rFonts w:ascii="Times New Roman" w:hAnsi="Times New Roman" w:cs="Times New Roman"/>
          <w:color w:val="0D0D0D" w:themeColor="text1" w:themeTint="F2"/>
          <w:sz w:val="24"/>
          <w:szCs w:val="24"/>
        </w:rPr>
        <w:t>Sapat</w:t>
      </w:r>
      <w:proofErr w:type="spellEnd"/>
      <w:r w:rsidRPr="00E42074">
        <w:rPr>
          <w:rFonts w:ascii="Times New Roman" w:hAnsi="Times New Roman" w:cs="Times New Roman"/>
          <w:color w:val="0D0D0D" w:themeColor="text1" w:themeTint="F2"/>
          <w:sz w:val="24"/>
          <w:szCs w:val="24"/>
        </w:rPr>
        <w:t xml:space="preserve">, A. and </w:t>
      </w:r>
      <w:proofErr w:type="spellStart"/>
      <w:r w:rsidRPr="00E42074">
        <w:rPr>
          <w:rFonts w:ascii="Times New Roman" w:hAnsi="Times New Roman" w:cs="Times New Roman"/>
          <w:color w:val="0D0D0D" w:themeColor="text1" w:themeTint="F2"/>
          <w:sz w:val="24"/>
          <w:szCs w:val="24"/>
        </w:rPr>
        <w:t>Esnard</w:t>
      </w:r>
      <w:proofErr w:type="spellEnd"/>
      <w:r w:rsidRPr="00E42074">
        <w:rPr>
          <w:rFonts w:ascii="Times New Roman" w:hAnsi="Times New Roman" w:cs="Times New Roman"/>
          <w:color w:val="0D0D0D" w:themeColor="text1" w:themeTint="F2"/>
          <w:sz w:val="24"/>
          <w:szCs w:val="24"/>
        </w:rPr>
        <w:t>, A.M., 2025. Explaining the longitudinal dynamics of international collaboration in disaster recovery: Friends, partners, or foes</w:t>
      </w:r>
      <w:proofErr w:type="gramStart"/>
      <w:r w:rsidRPr="00E42074">
        <w:rPr>
          <w:rFonts w:ascii="Times New Roman" w:hAnsi="Times New Roman" w:cs="Times New Roman"/>
          <w:color w:val="0D0D0D" w:themeColor="text1" w:themeTint="F2"/>
          <w:sz w:val="24"/>
          <w:szCs w:val="24"/>
        </w:rPr>
        <w:t>?.</w:t>
      </w:r>
      <w:proofErr w:type="gramEnd"/>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Public Administration Review</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85</w:t>
      </w:r>
      <w:r w:rsidRPr="00E42074">
        <w:rPr>
          <w:rFonts w:ascii="Times New Roman" w:hAnsi="Times New Roman" w:cs="Times New Roman"/>
          <w:color w:val="0D0D0D" w:themeColor="text1" w:themeTint="F2"/>
          <w:sz w:val="24"/>
          <w:szCs w:val="24"/>
        </w:rPr>
        <w:t>(2), pp.368-385.</w:t>
      </w:r>
      <w:r w:rsidRPr="00E42074">
        <w:rPr>
          <w:rFonts w:ascii="Times New Roman" w:eastAsia="Times New Roman" w:hAnsi="Times New Roman" w:cs="Times New Roman"/>
          <w:color w:val="0D0D0D" w:themeColor="text1" w:themeTint="F2"/>
          <w:sz w:val="24"/>
          <w:szCs w:val="24"/>
        </w:rPr>
        <w:t xml:space="preserve"> </w:t>
      </w:r>
    </w:p>
    <w:p w14:paraId="15EE713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Kraft, K.B., Hoff, E.H., </w:t>
      </w:r>
      <w:proofErr w:type="spellStart"/>
      <w:r w:rsidRPr="00E42074">
        <w:rPr>
          <w:rFonts w:ascii="Times New Roman" w:eastAsia="Times New Roman" w:hAnsi="Times New Roman" w:cs="Times New Roman"/>
          <w:color w:val="0D0D0D" w:themeColor="text1" w:themeTint="F2"/>
          <w:sz w:val="24"/>
          <w:szCs w:val="24"/>
          <w:lang w:eastAsia="en-IN"/>
        </w:rPr>
        <w:t>Nylenna</w:t>
      </w:r>
      <w:proofErr w:type="spellEnd"/>
      <w:r w:rsidRPr="00E42074">
        <w:rPr>
          <w:rFonts w:ascii="Times New Roman" w:eastAsia="Times New Roman" w:hAnsi="Times New Roman" w:cs="Times New Roman"/>
          <w:color w:val="0D0D0D" w:themeColor="text1" w:themeTint="F2"/>
          <w:sz w:val="24"/>
          <w:szCs w:val="24"/>
          <w:lang w:eastAsia="en-IN"/>
        </w:rPr>
        <w:t xml:space="preserve">, M., Moe, C.F., </w:t>
      </w:r>
      <w:proofErr w:type="spellStart"/>
      <w:r w:rsidRPr="00E42074">
        <w:rPr>
          <w:rFonts w:ascii="Times New Roman" w:eastAsia="Times New Roman" w:hAnsi="Times New Roman" w:cs="Times New Roman"/>
          <w:color w:val="0D0D0D" w:themeColor="text1" w:themeTint="F2"/>
          <w:sz w:val="24"/>
          <w:szCs w:val="24"/>
          <w:lang w:eastAsia="en-IN"/>
        </w:rPr>
        <w:t>Mykletun</w:t>
      </w:r>
      <w:proofErr w:type="spellEnd"/>
      <w:r w:rsidRPr="00E42074">
        <w:rPr>
          <w:rFonts w:ascii="Times New Roman" w:eastAsia="Times New Roman" w:hAnsi="Times New Roman" w:cs="Times New Roman"/>
          <w:color w:val="0D0D0D" w:themeColor="text1" w:themeTint="F2"/>
          <w:sz w:val="24"/>
          <w:szCs w:val="24"/>
          <w:lang w:eastAsia="en-IN"/>
        </w:rPr>
        <w:t xml:space="preserve">, A. and </w:t>
      </w:r>
      <w:proofErr w:type="spellStart"/>
      <w:r w:rsidRPr="00E42074">
        <w:rPr>
          <w:rFonts w:ascii="Times New Roman" w:eastAsia="Times New Roman" w:hAnsi="Times New Roman" w:cs="Times New Roman"/>
          <w:color w:val="0D0D0D" w:themeColor="text1" w:themeTint="F2"/>
          <w:sz w:val="24"/>
          <w:szCs w:val="24"/>
          <w:lang w:eastAsia="en-IN"/>
        </w:rPr>
        <w:t>Østby</w:t>
      </w:r>
      <w:proofErr w:type="spellEnd"/>
      <w:r w:rsidRPr="00E42074">
        <w:rPr>
          <w:rFonts w:ascii="Times New Roman" w:eastAsia="Times New Roman" w:hAnsi="Times New Roman" w:cs="Times New Roman"/>
          <w:color w:val="0D0D0D" w:themeColor="text1" w:themeTint="F2"/>
          <w:sz w:val="24"/>
          <w:szCs w:val="24"/>
          <w:lang w:eastAsia="en-IN"/>
        </w:rPr>
        <w:t xml:space="preserve">, K., 2024. Time is money: general practitioners’ reflections on the fee-for-service system. </w:t>
      </w:r>
      <w:r w:rsidRPr="00E42074">
        <w:rPr>
          <w:rFonts w:ascii="Times New Roman" w:eastAsia="Times New Roman" w:hAnsi="Times New Roman" w:cs="Times New Roman"/>
          <w:i/>
          <w:iCs/>
          <w:color w:val="0D0D0D" w:themeColor="text1" w:themeTint="F2"/>
          <w:sz w:val="24"/>
          <w:szCs w:val="24"/>
          <w:lang w:eastAsia="en-IN"/>
        </w:rPr>
        <w:t>BMC Health Services Research</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24</w:t>
      </w:r>
      <w:r w:rsidRPr="00E42074">
        <w:rPr>
          <w:rFonts w:ascii="Times New Roman" w:eastAsia="Times New Roman" w:hAnsi="Times New Roman" w:cs="Times New Roman"/>
          <w:color w:val="0D0D0D" w:themeColor="text1" w:themeTint="F2"/>
          <w:sz w:val="24"/>
          <w:szCs w:val="24"/>
          <w:lang w:eastAsia="en-IN"/>
        </w:rPr>
        <w:t>(1), p.472. </w:t>
      </w:r>
    </w:p>
    <w:p w14:paraId="777B2286"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Kristof‐Brown, A., Schneider, B. and Su, R., 2023. Person‐organization fit theory and research: Conundrums, conclusions, and calls to action. </w:t>
      </w:r>
      <w:r w:rsidRPr="00E42074">
        <w:rPr>
          <w:rFonts w:ascii="Times New Roman" w:eastAsia="Times New Roman" w:hAnsi="Times New Roman" w:cs="Times New Roman"/>
          <w:i/>
          <w:iCs/>
          <w:color w:val="0D0D0D" w:themeColor="text1" w:themeTint="F2"/>
          <w:sz w:val="24"/>
          <w:szCs w:val="24"/>
          <w:lang w:eastAsia="en-IN"/>
        </w:rPr>
        <w:t>Personnel psychology</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76</w:t>
      </w:r>
      <w:r w:rsidRPr="00E42074">
        <w:rPr>
          <w:rFonts w:ascii="Times New Roman" w:eastAsia="Times New Roman" w:hAnsi="Times New Roman" w:cs="Times New Roman"/>
          <w:color w:val="0D0D0D" w:themeColor="text1" w:themeTint="F2"/>
          <w:sz w:val="24"/>
          <w:szCs w:val="24"/>
          <w:lang w:eastAsia="en-IN"/>
        </w:rPr>
        <w:t>(2), pp.375-412. </w:t>
      </w:r>
    </w:p>
    <w:p w14:paraId="49E86810"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Kumar, S. and </w:t>
      </w:r>
      <w:proofErr w:type="spellStart"/>
      <w:r w:rsidRPr="00E42074">
        <w:rPr>
          <w:rFonts w:ascii="Times New Roman" w:eastAsia="Times New Roman" w:hAnsi="Times New Roman" w:cs="Times New Roman"/>
          <w:color w:val="0D0D0D" w:themeColor="text1" w:themeTint="F2"/>
          <w:sz w:val="24"/>
          <w:szCs w:val="24"/>
          <w:lang w:eastAsia="en-IN"/>
        </w:rPr>
        <w:t>Ujire</w:t>
      </w:r>
      <w:proofErr w:type="spellEnd"/>
      <w:r w:rsidRPr="00E42074">
        <w:rPr>
          <w:rFonts w:ascii="Times New Roman" w:eastAsia="Times New Roman" w:hAnsi="Times New Roman" w:cs="Times New Roman"/>
          <w:color w:val="0D0D0D" w:themeColor="text1" w:themeTint="F2"/>
          <w:sz w:val="24"/>
          <w:szCs w:val="24"/>
          <w:lang w:eastAsia="en-IN"/>
        </w:rPr>
        <w:t xml:space="preserve">, D.K., 2024. Inductive and deductive approaches to qualitative research. </w:t>
      </w:r>
      <w:r w:rsidRPr="00E42074">
        <w:rPr>
          <w:rFonts w:ascii="Times New Roman" w:eastAsia="Times New Roman" w:hAnsi="Times New Roman" w:cs="Times New Roman"/>
          <w:i/>
          <w:iCs/>
          <w:color w:val="0D0D0D" w:themeColor="text1" w:themeTint="F2"/>
          <w:sz w:val="24"/>
          <w:szCs w:val="24"/>
          <w:lang w:eastAsia="en-IN"/>
        </w:rPr>
        <w:t>International Journal of Multidisciplinary Educational Research</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13</w:t>
      </w:r>
      <w:r w:rsidRPr="00E42074">
        <w:rPr>
          <w:rFonts w:ascii="Times New Roman" w:eastAsia="Times New Roman" w:hAnsi="Times New Roman" w:cs="Times New Roman"/>
          <w:color w:val="0D0D0D" w:themeColor="text1" w:themeTint="F2"/>
          <w:sz w:val="24"/>
          <w:szCs w:val="24"/>
          <w:lang w:eastAsia="en-IN"/>
        </w:rPr>
        <w:t>(1), pp.58-63. </w:t>
      </w:r>
    </w:p>
    <w:p w14:paraId="73ED118A" w14:textId="77777777" w:rsidR="00E42074" w:rsidRPr="00E42074" w:rsidRDefault="00E42074" w:rsidP="00B7563B">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Liu, B., 2024. Strategic planning and resource allocation in higher education institutions. </w:t>
      </w:r>
      <w:r w:rsidRPr="00E42074">
        <w:rPr>
          <w:rFonts w:ascii="Times New Roman" w:eastAsia="Times New Roman" w:hAnsi="Times New Roman" w:cs="Times New Roman"/>
          <w:i/>
          <w:iCs/>
          <w:color w:val="0D0D0D" w:themeColor="text1" w:themeTint="F2"/>
          <w:sz w:val="24"/>
          <w:szCs w:val="24"/>
          <w:lang w:eastAsia="en-IN"/>
        </w:rPr>
        <w:t>The Educational Review, USA</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8</w:t>
      </w:r>
      <w:r w:rsidRPr="00E42074">
        <w:rPr>
          <w:rFonts w:ascii="Times New Roman" w:eastAsia="Times New Roman" w:hAnsi="Times New Roman" w:cs="Times New Roman"/>
          <w:color w:val="0D0D0D" w:themeColor="text1" w:themeTint="F2"/>
          <w:sz w:val="24"/>
          <w:szCs w:val="24"/>
          <w:lang w:eastAsia="en-IN"/>
        </w:rPr>
        <w:t>(11). </w:t>
      </w:r>
    </w:p>
    <w:p w14:paraId="68C6D244"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Louis, A., 2025. Integrating Digital Innovation and Sustainability to Build Resilient NGOs and NPOs in Global Rural Contexts: An Interdisciplinary Approach. </w:t>
      </w:r>
      <w:proofErr w:type="gramStart"/>
      <w:r w:rsidRPr="00E42074">
        <w:rPr>
          <w:i/>
          <w:iCs/>
          <w:color w:val="000000"/>
        </w:rPr>
        <w:t>Journal of Interdisciplinary Knowledge</w:t>
      </w:r>
      <w:r w:rsidRPr="00E42074">
        <w:rPr>
          <w:color w:val="000000"/>
        </w:rPr>
        <w:t xml:space="preserve">, </w:t>
      </w:r>
      <w:r w:rsidRPr="00E42074">
        <w:rPr>
          <w:i/>
          <w:iCs/>
          <w:color w:val="000000"/>
        </w:rPr>
        <w:t>8</w:t>
      </w:r>
      <w:r w:rsidRPr="00E42074">
        <w:rPr>
          <w:color w:val="000000"/>
        </w:rPr>
        <w:t>, pp.e01634-e01634.</w:t>
      </w:r>
      <w:proofErr w:type="gramEnd"/>
      <w:r w:rsidRPr="00E42074">
        <w:rPr>
          <w:color w:val="000000"/>
        </w:rPr>
        <w:t xml:space="preserve"> </w:t>
      </w:r>
    </w:p>
    <w:p w14:paraId="2E7D73B7"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Magomedova</w:t>
      </w:r>
      <w:proofErr w:type="spellEnd"/>
      <w:r w:rsidRPr="00E42074">
        <w:rPr>
          <w:rFonts w:ascii="Times New Roman" w:hAnsi="Times New Roman" w:cs="Times New Roman"/>
          <w:color w:val="0D0D0D" w:themeColor="text1" w:themeTint="F2"/>
          <w:sz w:val="24"/>
          <w:szCs w:val="24"/>
        </w:rPr>
        <w:t xml:space="preserve">, N. and </w:t>
      </w:r>
      <w:proofErr w:type="spellStart"/>
      <w:r w:rsidRPr="00E42074">
        <w:rPr>
          <w:rFonts w:ascii="Times New Roman" w:hAnsi="Times New Roman" w:cs="Times New Roman"/>
          <w:color w:val="0D0D0D" w:themeColor="text1" w:themeTint="F2"/>
          <w:sz w:val="24"/>
          <w:szCs w:val="24"/>
        </w:rPr>
        <w:t>Bastida-Vialcanet</w:t>
      </w:r>
      <w:proofErr w:type="spellEnd"/>
      <w:r w:rsidRPr="00E42074">
        <w:rPr>
          <w:rFonts w:ascii="Times New Roman" w:hAnsi="Times New Roman" w:cs="Times New Roman"/>
          <w:color w:val="0D0D0D" w:themeColor="text1" w:themeTint="F2"/>
          <w:sz w:val="24"/>
          <w:szCs w:val="24"/>
        </w:rPr>
        <w:t xml:space="preserve">, R., 2022. Unmasking the barriers to financing social enterprises. </w:t>
      </w:r>
      <w:r w:rsidRPr="00E42074">
        <w:rPr>
          <w:rFonts w:ascii="Times New Roman" w:hAnsi="Times New Roman" w:cs="Times New Roman"/>
          <w:i/>
          <w:iCs/>
          <w:color w:val="0D0D0D" w:themeColor="text1" w:themeTint="F2"/>
          <w:sz w:val="24"/>
          <w:szCs w:val="24"/>
        </w:rPr>
        <w:t xml:space="preserve">VOLUNTAS: International Journal of Voluntary and </w:t>
      </w:r>
      <w:proofErr w:type="spellStart"/>
      <w:r w:rsidRPr="00E42074">
        <w:rPr>
          <w:rFonts w:ascii="Times New Roman" w:hAnsi="Times New Roman" w:cs="Times New Roman"/>
          <w:i/>
          <w:iCs/>
          <w:color w:val="0D0D0D" w:themeColor="text1" w:themeTint="F2"/>
          <w:sz w:val="24"/>
          <w:szCs w:val="24"/>
        </w:rPr>
        <w:t>Nonprofit</w:t>
      </w:r>
      <w:proofErr w:type="spellEnd"/>
      <w:r w:rsidRPr="00E42074">
        <w:rPr>
          <w:rFonts w:ascii="Times New Roman" w:hAnsi="Times New Roman" w:cs="Times New Roman"/>
          <w:i/>
          <w:iCs/>
          <w:color w:val="0D0D0D" w:themeColor="text1" w:themeTint="F2"/>
          <w:sz w:val="24"/>
          <w:szCs w:val="24"/>
        </w:rPr>
        <w:t xml:space="preserve"> Organizations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33</w:t>
      </w:r>
      <w:r w:rsidRPr="00E42074">
        <w:rPr>
          <w:rFonts w:ascii="Times New Roman" w:hAnsi="Times New Roman" w:cs="Times New Roman"/>
          <w:color w:val="0D0D0D" w:themeColor="text1" w:themeTint="F2"/>
          <w:sz w:val="24"/>
          <w:szCs w:val="24"/>
        </w:rPr>
        <w:t>(3), pp.550-560.</w:t>
      </w:r>
      <w:r w:rsidRPr="00E42074">
        <w:rPr>
          <w:rFonts w:ascii="Times New Roman" w:eastAsia="Times New Roman" w:hAnsi="Times New Roman" w:cs="Times New Roman"/>
          <w:color w:val="0D0D0D" w:themeColor="text1" w:themeTint="F2"/>
          <w:sz w:val="24"/>
          <w:szCs w:val="24"/>
        </w:rPr>
        <w:t xml:space="preserve"> </w:t>
      </w:r>
    </w:p>
    <w:p w14:paraId="1DCCF45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Mantula</w:t>
      </w:r>
      <w:proofErr w:type="spellEnd"/>
      <w:r w:rsidRPr="00E42074">
        <w:rPr>
          <w:rFonts w:ascii="Times New Roman" w:eastAsia="Times New Roman" w:hAnsi="Times New Roman" w:cs="Times New Roman"/>
          <w:color w:val="0D0D0D" w:themeColor="text1" w:themeTint="F2"/>
          <w:sz w:val="24"/>
          <w:szCs w:val="24"/>
          <w:lang w:eastAsia="en-IN"/>
        </w:rPr>
        <w:t xml:space="preserve">, F., Mpofu, A.C., Mpofu, F.Y. and </w:t>
      </w:r>
      <w:proofErr w:type="spellStart"/>
      <w:r w:rsidRPr="00E42074">
        <w:rPr>
          <w:rFonts w:ascii="Times New Roman" w:eastAsia="Times New Roman" w:hAnsi="Times New Roman" w:cs="Times New Roman"/>
          <w:color w:val="0D0D0D" w:themeColor="text1" w:themeTint="F2"/>
          <w:sz w:val="24"/>
          <w:szCs w:val="24"/>
          <w:lang w:eastAsia="en-IN"/>
        </w:rPr>
        <w:t>Shava</w:t>
      </w:r>
      <w:proofErr w:type="spellEnd"/>
      <w:r w:rsidRPr="00E42074">
        <w:rPr>
          <w:rFonts w:ascii="Times New Roman" w:eastAsia="Times New Roman" w:hAnsi="Times New Roman" w:cs="Times New Roman"/>
          <w:color w:val="0D0D0D" w:themeColor="text1" w:themeTint="F2"/>
          <w:sz w:val="24"/>
          <w:szCs w:val="24"/>
          <w:lang w:eastAsia="en-IN"/>
        </w:rPr>
        <w:t xml:space="preserve">, G.N., 2024. Qualitative research approach in higher education: Application, challenges and opportunities. </w:t>
      </w:r>
      <w:r w:rsidRPr="00E42074">
        <w:rPr>
          <w:rFonts w:ascii="Times New Roman" w:eastAsia="Times New Roman" w:hAnsi="Times New Roman" w:cs="Times New Roman"/>
          <w:i/>
          <w:iCs/>
          <w:color w:val="0D0D0D" w:themeColor="text1" w:themeTint="F2"/>
          <w:sz w:val="24"/>
          <w:szCs w:val="24"/>
          <w:lang w:eastAsia="en-IN"/>
        </w:rPr>
        <w:t>East African Journal of Education and Social Sciences</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5</w:t>
      </w:r>
      <w:r w:rsidRPr="00E42074">
        <w:rPr>
          <w:rFonts w:ascii="Times New Roman" w:eastAsia="Times New Roman" w:hAnsi="Times New Roman" w:cs="Times New Roman"/>
          <w:color w:val="0D0D0D" w:themeColor="text1" w:themeTint="F2"/>
          <w:sz w:val="24"/>
          <w:szCs w:val="24"/>
          <w:lang w:eastAsia="en-IN"/>
        </w:rPr>
        <w:t>(1), pp.1-10. </w:t>
      </w:r>
    </w:p>
    <w:p w14:paraId="5AC79F86"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McGrath, M., Kurt, G., Davis, E., </w:t>
      </w:r>
      <w:proofErr w:type="spellStart"/>
      <w:r w:rsidRPr="00E42074">
        <w:rPr>
          <w:rFonts w:ascii="Times New Roman" w:hAnsi="Times New Roman" w:cs="Times New Roman"/>
          <w:color w:val="0D0D0D" w:themeColor="text1" w:themeTint="F2"/>
          <w:sz w:val="24"/>
          <w:szCs w:val="24"/>
        </w:rPr>
        <w:t>Lekkeh</w:t>
      </w:r>
      <w:proofErr w:type="spellEnd"/>
      <w:r w:rsidRPr="00E42074">
        <w:rPr>
          <w:rFonts w:ascii="Times New Roman" w:hAnsi="Times New Roman" w:cs="Times New Roman"/>
          <w:color w:val="0D0D0D" w:themeColor="text1" w:themeTint="F2"/>
          <w:sz w:val="24"/>
          <w:szCs w:val="24"/>
        </w:rPr>
        <w:t xml:space="preserve">, S.A., </w:t>
      </w:r>
      <w:proofErr w:type="spellStart"/>
      <w:r w:rsidRPr="00E42074">
        <w:rPr>
          <w:rFonts w:ascii="Times New Roman" w:hAnsi="Times New Roman" w:cs="Times New Roman"/>
          <w:color w:val="0D0D0D" w:themeColor="text1" w:themeTint="F2"/>
          <w:sz w:val="24"/>
          <w:szCs w:val="24"/>
        </w:rPr>
        <w:t>Beetar</w:t>
      </w:r>
      <w:proofErr w:type="spellEnd"/>
      <w:r w:rsidRPr="00E42074">
        <w:rPr>
          <w:rFonts w:ascii="Times New Roman" w:hAnsi="Times New Roman" w:cs="Times New Roman"/>
          <w:color w:val="0D0D0D" w:themeColor="text1" w:themeTint="F2"/>
          <w:sz w:val="24"/>
          <w:szCs w:val="24"/>
        </w:rPr>
        <w:t xml:space="preserve">, A., </w:t>
      </w:r>
      <w:proofErr w:type="spellStart"/>
      <w:r w:rsidRPr="00E42074">
        <w:rPr>
          <w:rFonts w:ascii="Times New Roman" w:hAnsi="Times New Roman" w:cs="Times New Roman"/>
          <w:color w:val="0D0D0D" w:themeColor="text1" w:themeTint="F2"/>
          <w:sz w:val="24"/>
          <w:szCs w:val="24"/>
        </w:rPr>
        <w:t>Mozumder</w:t>
      </w:r>
      <w:proofErr w:type="spellEnd"/>
      <w:r w:rsidRPr="00E42074">
        <w:rPr>
          <w:rFonts w:ascii="Times New Roman" w:hAnsi="Times New Roman" w:cs="Times New Roman"/>
          <w:color w:val="0D0D0D" w:themeColor="text1" w:themeTint="F2"/>
          <w:sz w:val="24"/>
          <w:szCs w:val="24"/>
        </w:rPr>
        <w:t xml:space="preserve">, M.K., </w:t>
      </w:r>
      <w:proofErr w:type="spellStart"/>
      <w:r w:rsidRPr="00E42074">
        <w:rPr>
          <w:rFonts w:ascii="Times New Roman" w:hAnsi="Times New Roman" w:cs="Times New Roman"/>
          <w:color w:val="0D0D0D" w:themeColor="text1" w:themeTint="F2"/>
          <w:sz w:val="24"/>
          <w:szCs w:val="24"/>
        </w:rPr>
        <w:t>Almeamari</w:t>
      </w:r>
      <w:proofErr w:type="spellEnd"/>
      <w:r w:rsidRPr="00E42074">
        <w:rPr>
          <w:rFonts w:ascii="Times New Roman" w:hAnsi="Times New Roman" w:cs="Times New Roman"/>
          <w:color w:val="0D0D0D" w:themeColor="text1" w:themeTint="F2"/>
          <w:sz w:val="24"/>
          <w:szCs w:val="24"/>
        </w:rPr>
        <w:t xml:space="preserve">, F., Rosenbaum, S. and Wells, R., 2025. The localisation of humanitarian response to conflict and </w:t>
      </w:r>
      <w:r w:rsidRPr="00E42074">
        <w:rPr>
          <w:rFonts w:ascii="Times New Roman" w:hAnsi="Times New Roman" w:cs="Times New Roman"/>
          <w:color w:val="0D0D0D" w:themeColor="text1" w:themeTint="F2"/>
          <w:sz w:val="24"/>
          <w:szCs w:val="24"/>
        </w:rPr>
        <w:lastRenderedPageBreak/>
        <w:t xml:space="preserve">displacement: a scoping review from a health systems perspective. </w:t>
      </w:r>
      <w:r w:rsidRPr="00E42074">
        <w:rPr>
          <w:rFonts w:ascii="Times New Roman" w:hAnsi="Times New Roman" w:cs="Times New Roman"/>
          <w:i/>
          <w:iCs/>
          <w:color w:val="0D0D0D" w:themeColor="text1" w:themeTint="F2"/>
          <w:sz w:val="24"/>
          <w:szCs w:val="24"/>
        </w:rPr>
        <w:t>BMJ Global Health</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10</w:t>
      </w:r>
      <w:r w:rsidRPr="00E42074">
        <w:rPr>
          <w:rFonts w:ascii="Times New Roman" w:hAnsi="Times New Roman" w:cs="Times New Roman"/>
          <w:color w:val="0D0D0D" w:themeColor="text1" w:themeTint="F2"/>
          <w:sz w:val="24"/>
          <w:szCs w:val="24"/>
        </w:rPr>
        <w:t>(9), p.e018331.</w:t>
      </w:r>
      <w:r w:rsidRPr="00E42074">
        <w:rPr>
          <w:rFonts w:ascii="Times New Roman" w:eastAsia="Times New Roman" w:hAnsi="Times New Roman" w:cs="Times New Roman"/>
          <w:color w:val="0D0D0D" w:themeColor="text1" w:themeTint="F2"/>
          <w:sz w:val="24"/>
          <w:szCs w:val="24"/>
        </w:rPr>
        <w:t xml:space="preserve"> </w:t>
      </w:r>
    </w:p>
    <w:p w14:paraId="373FCEAB"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Meenakshi, N., </w:t>
      </w:r>
      <w:proofErr w:type="spellStart"/>
      <w:r w:rsidRPr="00E42074">
        <w:rPr>
          <w:rFonts w:ascii="Times New Roman" w:eastAsia="Times New Roman" w:hAnsi="Times New Roman" w:cs="Times New Roman"/>
          <w:color w:val="0D0D0D" w:themeColor="text1" w:themeTint="F2"/>
          <w:sz w:val="24"/>
          <w:szCs w:val="24"/>
          <w:lang w:eastAsia="en-IN"/>
        </w:rPr>
        <w:t>Dhir</w:t>
      </w:r>
      <w:proofErr w:type="spellEnd"/>
      <w:r w:rsidRPr="00E42074">
        <w:rPr>
          <w:rFonts w:ascii="Times New Roman" w:eastAsia="Times New Roman" w:hAnsi="Times New Roman" w:cs="Times New Roman"/>
          <w:color w:val="0D0D0D" w:themeColor="text1" w:themeTint="F2"/>
          <w:sz w:val="24"/>
          <w:szCs w:val="24"/>
          <w:lang w:eastAsia="en-IN"/>
        </w:rPr>
        <w:t xml:space="preserve">, A., </w:t>
      </w:r>
      <w:proofErr w:type="spellStart"/>
      <w:r w:rsidRPr="00E42074">
        <w:rPr>
          <w:rFonts w:ascii="Times New Roman" w:eastAsia="Times New Roman" w:hAnsi="Times New Roman" w:cs="Times New Roman"/>
          <w:color w:val="0D0D0D" w:themeColor="text1" w:themeTint="F2"/>
          <w:sz w:val="24"/>
          <w:szCs w:val="24"/>
          <w:lang w:eastAsia="en-IN"/>
        </w:rPr>
        <w:t>Chikh</w:t>
      </w:r>
      <w:proofErr w:type="spellEnd"/>
      <w:r w:rsidRPr="00E42074">
        <w:rPr>
          <w:rFonts w:ascii="Times New Roman" w:eastAsia="Times New Roman" w:hAnsi="Times New Roman" w:cs="Times New Roman"/>
          <w:color w:val="0D0D0D" w:themeColor="text1" w:themeTint="F2"/>
          <w:sz w:val="24"/>
          <w:szCs w:val="24"/>
          <w:lang w:eastAsia="en-IN"/>
        </w:rPr>
        <w:t xml:space="preserve"> </w:t>
      </w:r>
      <w:proofErr w:type="spellStart"/>
      <w:r w:rsidRPr="00E42074">
        <w:rPr>
          <w:rFonts w:ascii="Times New Roman" w:eastAsia="Times New Roman" w:hAnsi="Times New Roman" w:cs="Times New Roman"/>
          <w:color w:val="0D0D0D" w:themeColor="text1" w:themeTint="F2"/>
          <w:sz w:val="24"/>
          <w:szCs w:val="24"/>
          <w:lang w:eastAsia="en-IN"/>
        </w:rPr>
        <w:t>M’hamed</w:t>
      </w:r>
      <w:proofErr w:type="spellEnd"/>
      <w:r w:rsidRPr="00E42074">
        <w:rPr>
          <w:rFonts w:ascii="Times New Roman" w:eastAsia="Times New Roman" w:hAnsi="Times New Roman" w:cs="Times New Roman"/>
          <w:color w:val="0D0D0D" w:themeColor="text1" w:themeTint="F2"/>
          <w:sz w:val="24"/>
          <w:szCs w:val="24"/>
          <w:lang w:eastAsia="en-IN"/>
        </w:rPr>
        <w:t xml:space="preserve">, S., </w:t>
      </w:r>
      <w:proofErr w:type="spellStart"/>
      <w:r w:rsidRPr="00E42074">
        <w:rPr>
          <w:rFonts w:ascii="Times New Roman" w:eastAsia="Times New Roman" w:hAnsi="Times New Roman" w:cs="Times New Roman"/>
          <w:color w:val="0D0D0D" w:themeColor="text1" w:themeTint="F2"/>
          <w:sz w:val="24"/>
          <w:szCs w:val="24"/>
          <w:lang w:eastAsia="en-IN"/>
        </w:rPr>
        <w:t>Cabras</w:t>
      </w:r>
      <w:proofErr w:type="spellEnd"/>
      <w:r w:rsidRPr="00E42074">
        <w:rPr>
          <w:rFonts w:ascii="Times New Roman" w:eastAsia="Times New Roman" w:hAnsi="Times New Roman" w:cs="Times New Roman"/>
          <w:color w:val="0D0D0D" w:themeColor="text1" w:themeTint="F2"/>
          <w:sz w:val="24"/>
          <w:szCs w:val="24"/>
          <w:lang w:eastAsia="en-IN"/>
        </w:rPr>
        <w:t xml:space="preserve">, I. and Kaur, P., 2026. Drivers, impacts, and mitigation of corporate social irresponsibility: An environmental injustice perspective. </w:t>
      </w:r>
      <w:r w:rsidRPr="00E42074">
        <w:rPr>
          <w:rFonts w:ascii="Times New Roman" w:eastAsia="Times New Roman" w:hAnsi="Times New Roman" w:cs="Times New Roman"/>
          <w:i/>
          <w:iCs/>
          <w:color w:val="0D0D0D" w:themeColor="text1" w:themeTint="F2"/>
          <w:sz w:val="24"/>
          <w:szCs w:val="24"/>
          <w:lang w:eastAsia="en-IN"/>
        </w:rPr>
        <w:t>Journal of Business Ethics</w:t>
      </w:r>
      <w:r w:rsidRPr="00E42074">
        <w:rPr>
          <w:rFonts w:ascii="Times New Roman" w:eastAsia="Times New Roman" w:hAnsi="Times New Roman" w:cs="Times New Roman"/>
          <w:color w:val="0D0D0D" w:themeColor="text1" w:themeTint="F2"/>
          <w:sz w:val="24"/>
          <w:szCs w:val="24"/>
          <w:lang w:eastAsia="en-IN"/>
        </w:rPr>
        <w:t>, pp.1-28. </w:t>
      </w:r>
    </w:p>
    <w:p w14:paraId="25E83AA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Mei, J., Chen, K. and Sun, W., 2024. Adaptive leadership in crisis: Strategies for managing uncertainty and enhancing organizational resilience. </w:t>
      </w:r>
      <w:r w:rsidRPr="00E42074">
        <w:rPr>
          <w:rFonts w:ascii="Times New Roman" w:hAnsi="Times New Roman" w:cs="Times New Roman"/>
          <w:i/>
          <w:iCs/>
          <w:color w:val="0D0D0D" w:themeColor="text1" w:themeTint="F2"/>
          <w:sz w:val="24"/>
          <w:szCs w:val="24"/>
        </w:rPr>
        <w:t>EPRA International Journal of Economics, Business and Management Studies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9</w:t>
      </w:r>
      <w:r w:rsidRPr="00E42074">
        <w:rPr>
          <w:rFonts w:ascii="Times New Roman" w:hAnsi="Times New Roman" w:cs="Times New Roman"/>
          <w:color w:val="0D0D0D" w:themeColor="text1" w:themeTint="F2"/>
          <w:sz w:val="24"/>
          <w:szCs w:val="24"/>
        </w:rPr>
        <w:t>(9), pp.45-58.</w:t>
      </w:r>
      <w:r w:rsidRPr="00E42074">
        <w:rPr>
          <w:rFonts w:ascii="Times New Roman" w:eastAsia="Times New Roman" w:hAnsi="Times New Roman" w:cs="Times New Roman"/>
          <w:color w:val="0D0D0D" w:themeColor="text1" w:themeTint="F2"/>
          <w:sz w:val="24"/>
          <w:szCs w:val="24"/>
        </w:rPr>
        <w:t xml:space="preserve"> </w:t>
      </w:r>
    </w:p>
    <w:p w14:paraId="592006C4"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Miles, S.B., Kersey, J., </w:t>
      </w:r>
      <w:proofErr w:type="spellStart"/>
      <w:r w:rsidRPr="00E42074">
        <w:rPr>
          <w:color w:val="000000"/>
        </w:rPr>
        <w:t>Cecchini</w:t>
      </w:r>
      <w:proofErr w:type="spellEnd"/>
      <w:r w:rsidRPr="00E42074">
        <w:rPr>
          <w:color w:val="000000"/>
        </w:rPr>
        <w:t xml:space="preserve">, E. and </w:t>
      </w:r>
      <w:proofErr w:type="spellStart"/>
      <w:r w:rsidRPr="00E42074">
        <w:rPr>
          <w:color w:val="000000"/>
        </w:rPr>
        <w:t>Kammen</w:t>
      </w:r>
      <w:proofErr w:type="spellEnd"/>
      <w:r w:rsidRPr="00E42074">
        <w:rPr>
          <w:color w:val="000000"/>
        </w:rPr>
        <w:t xml:space="preserve">, D.M., 2022. Productive uses of electricity at the energy-health nexus: Financial, technical and social insights from a containerized power system in Rwanda. </w:t>
      </w:r>
      <w:r w:rsidRPr="00E42074">
        <w:rPr>
          <w:i/>
          <w:iCs/>
          <w:color w:val="000000"/>
        </w:rPr>
        <w:t>Development Engineering</w:t>
      </w:r>
      <w:r w:rsidRPr="00E42074">
        <w:rPr>
          <w:color w:val="000000"/>
        </w:rPr>
        <w:t xml:space="preserve">, </w:t>
      </w:r>
      <w:r w:rsidRPr="00E42074">
        <w:rPr>
          <w:i/>
          <w:iCs/>
          <w:color w:val="000000"/>
        </w:rPr>
        <w:t>7</w:t>
      </w:r>
      <w:r w:rsidRPr="00E42074">
        <w:rPr>
          <w:color w:val="000000"/>
        </w:rPr>
        <w:t>, p.100101. </w:t>
      </w:r>
    </w:p>
    <w:p w14:paraId="3CB07A13"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Moore, M.L., Riddell, D. and </w:t>
      </w:r>
      <w:proofErr w:type="spellStart"/>
      <w:r w:rsidRPr="00E42074">
        <w:rPr>
          <w:color w:val="000000"/>
        </w:rPr>
        <w:t>Vocisano</w:t>
      </w:r>
      <w:proofErr w:type="spellEnd"/>
      <w:r w:rsidRPr="00E42074">
        <w:rPr>
          <w:color w:val="000000"/>
        </w:rPr>
        <w:t xml:space="preserve">, D., 2024. Scaling out, scaling up, scaling deep*: Strategies of non-profits in advancing systemic social innovation. In </w:t>
      </w:r>
      <w:r w:rsidRPr="00E42074">
        <w:rPr>
          <w:i/>
          <w:iCs/>
          <w:color w:val="000000"/>
        </w:rPr>
        <w:t>Large systems change: An emerging field of transformation and transitions</w:t>
      </w:r>
      <w:r w:rsidRPr="00E42074">
        <w:rPr>
          <w:color w:val="000000"/>
        </w:rPr>
        <w:t xml:space="preserve"> (pp. 67-84). Routledge. </w:t>
      </w:r>
    </w:p>
    <w:p w14:paraId="594801D1"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Mount, L., 2022. “Funding does something to people”: NGOs navigating funding challenges in India. </w:t>
      </w:r>
      <w:r w:rsidRPr="00E42074">
        <w:rPr>
          <w:rFonts w:ascii="Times New Roman" w:eastAsia="Times New Roman" w:hAnsi="Times New Roman" w:cs="Times New Roman"/>
          <w:i/>
          <w:iCs/>
          <w:color w:val="0D0D0D" w:themeColor="text1" w:themeTint="F2"/>
          <w:sz w:val="24"/>
          <w:szCs w:val="24"/>
          <w:lang w:val="en-GB"/>
        </w:rPr>
        <w:t>Development in Practice</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32</w:t>
      </w:r>
      <w:r w:rsidRPr="00E42074">
        <w:rPr>
          <w:rFonts w:ascii="Times New Roman" w:eastAsia="Times New Roman" w:hAnsi="Times New Roman" w:cs="Times New Roman"/>
          <w:color w:val="0D0D0D" w:themeColor="text1" w:themeTint="F2"/>
          <w:sz w:val="24"/>
          <w:szCs w:val="24"/>
          <w:lang w:val="en-GB"/>
        </w:rPr>
        <w:t>(1), pp.69-81.</w:t>
      </w:r>
    </w:p>
    <w:p w14:paraId="3A7AA3B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Murisa</w:t>
      </w:r>
      <w:proofErr w:type="spellEnd"/>
      <w:r w:rsidRPr="00E42074">
        <w:rPr>
          <w:rFonts w:ascii="Times New Roman" w:eastAsia="Times New Roman" w:hAnsi="Times New Roman" w:cs="Times New Roman"/>
          <w:color w:val="0D0D0D" w:themeColor="text1" w:themeTint="F2"/>
          <w:sz w:val="24"/>
          <w:szCs w:val="24"/>
          <w:lang w:eastAsia="en-IN"/>
        </w:rPr>
        <w:t xml:space="preserve">, T., 2023. Improving coordination between multilateral institutions and philanthropists: a view from high-net worth individuals. In </w:t>
      </w:r>
      <w:r w:rsidRPr="00E42074">
        <w:rPr>
          <w:rFonts w:ascii="Times New Roman" w:eastAsia="Times New Roman" w:hAnsi="Times New Roman" w:cs="Times New Roman"/>
          <w:i/>
          <w:iCs/>
          <w:color w:val="0D0D0D" w:themeColor="text1" w:themeTint="F2"/>
          <w:sz w:val="24"/>
          <w:szCs w:val="24"/>
          <w:lang w:eastAsia="en-IN"/>
        </w:rPr>
        <w:t>African Philanthropy</w:t>
      </w:r>
      <w:r w:rsidRPr="00E42074">
        <w:rPr>
          <w:rFonts w:ascii="Times New Roman" w:eastAsia="Times New Roman" w:hAnsi="Times New Roman" w:cs="Times New Roman"/>
          <w:color w:val="0D0D0D" w:themeColor="text1" w:themeTint="F2"/>
          <w:sz w:val="24"/>
          <w:szCs w:val="24"/>
          <w:lang w:eastAsia="en-IN"/>
        </w:rPr>
        <w:t xml:space="preserve"> (pp. 142-163). Edward Elgar Publishing. </w:t>
      </w:r>
    </w:p>
    <w:p w14:paraId="0DE86A52"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proofErr w:type="spellStart"/>
      <w:r w:rsidRPr="00E42074">
        <w:rPr>
          <w:rFonts w:ascii="Times New Roman" w:eastAsia="Times New Roman" w:hAnsi="Times New Roman" w:cs="Times New Roman"/>
          <w:color w:val="0D0D0D" w:themeColor="text1" w:themeTint="F2"/>
          <w:sz w:val="24"/>
          <w:szCs w:val="24"/>
          <w:lang w:val="en-GB"/>
        </w:rPr>
        <w:t>Najar</w:t>
      </w:r>
      <w:proofErr w:type="spellEnd"/>
      <w:r w:rsidRPr="00E42074">
        <w:rPr>
          <w:rFonts w:ascii="Times New Roman" w:eastAsia="Times New Roman" w:hAnsi="Times New Roman" w:cs="Times New Roman"/>
          <w:color w:val="0D0D0D" w:themeColor="text1" w:themeTint="F2"/>
          <w:sz w:val="24"/>
          <w:szCs w:val="24"/>
          <w:lang w:val="en-GB"/>
        </w:rPr>
        <w:t xml:space="preserve">, A.V., </w:t>
      </w:r>
      <w:proofErr w:type="spellStart"/>
      <w:r w:rsidRPr="00E42074">
        <w:rPr>
          <w:rFonts w:ascii="Times New Roman" w:eastAsia="Times New Roman" w:hAnsi="Times New Roman" w:cs="Times New Roman"/>
          <w:color w:val="0D0D0D" w:themeColor="text1" w:themeTint="F2"/>
          <w:sz w:val="24"/>
          <w:szCs w:val="24"/>
          <w:lang w:val="en-GB"/>
        </w:rPr>
        <w:t>Pardasi</w:t>
      </w:r>
      <w:proofErr w:type="spellEnd"/>
      <w:r w:rsidRPr="00E42074">
        <w:rPr>
          <w:rFonts w:ascii="Times New Roman" w:eastAsia="Times New Roman" w:hAnsi="Times New Roman" w:cs="Times New Roman"/>
          <w:color w:val="0D0D0D" w:themeColor="text1" w:themeTint="F2"/>
          <w:sz w:val="24"/>
          <w:szCs w:val="24"/>
          <w:lang w:val="en-GB"/>
        </w:rPr>
        <w:t xml:space="preserve">, E., Salehi, M., Shargh, B.B. and </w:t>
      </w:r>
      <w:proofErr w:type="spellStart"/>
      <w:r w:rsidRPr="00E42074">
        <w:rPr>
          <w:rFonts w:ascii="Times New Roman" w:eastAsia="Times New Roman" w:hAnsi="Times New Roman" w:cs="Times New Roman"/>
          <w:color w:val="0D0D0D" w:themeColor="text1" w:themeTint="F2"/>
          <w:sz w:val="24"/>
          <w:szCs w:val="24"/>
          <w:lang w:val="en-GB"/>
        </w:rPr>
        <w:t>Hooshmand</w:t>
      </w:r>
      <w:proofErr w:type="spellEnd"/>
      <w:r w:rsidRPr="00E42074">
        <w:rPr>
          <w:rFonts w:ascii="Times New Roman" w:eastAsia="Times New Roman" w:hAnsi="Times New Roman" w:cs="Times New Roman"/>
          <w:color w:val="0D0D0D" w:themeColor="text1" w:themeTint="F2"/>
          <w:sz w:val="24"/>
          <w:szCs w:val="24"/>
          <w:lang w:val="en-GB"/>
        </w:rPr>
        <w:t xml:space="preserve">, E., 2025. Challenges and opportunities for NGO-government collaboration in healthcare systems of developing countries. </w:t>
      </w:r>
      <w:r w:rsidRPr="00E42074">
        <w:rPr>
          <w:rFonts w:ascii="Times New Roman" w:eastAsia="Times New Roman" w:hAnsi="Times New Roman" w:cs="Times New Roman"/>
          <w:i/>
          <w:iCs/>
          <w:color w:val="0D0D0D" w:themeColor="text1" w:themeTint="F2"/>
          <w:sz w:val="24"/>
          <w:szCs w:val="24"/>
          <w:lang w:val="en-GB"/>
        </w:rPr>
        <w:t>Social Sciences &amp; Humanities Open</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11</w:t>
      </w:r>
      <w:r w:rsidRPr="00E42074">
        <w:rPr>
          <w:rFonts w:ascii="Times New Roman" w:eastAsia="Times New Roman" w:hAnsi="Times New Roman" w:cs="Times New Roman"/>
          <w:color w:val="0D0D0D" w:themeColor="text1" w:themeTint="F2"/>
          <w:sz w:val="24"/>
          <w:szCs w:val="24"/>
          <w:lang w:val="en-GB"/>
        </w:rPr>
        <w:t>, p.101558.</w:t>
      </w:r>
    </w:p>
    <w:p w14:paraId="28438B6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Ngo, Q.H. and Le, T.T., 2023. Role of corporate social responsibility on firm performance in emerging economy: The mediating role of access to finance and business model innovation. </w:t>
      </w:r>
      <w:r w:rsidRPr="00E42074">
        <w:rPr>
          <w:rFonts w:ascii="Times New Roman" w:hAnsi="Times New Roman" w:cs="Times New Roman"/>
          <w:i/>
          <w:iCs/>
          <w:color w:val="0D0D0D" w:themeColor="text1" w:themeTint="F2"/>
          <w:sz w:val="24"/>
          <w:szCs w:val="24"/>
        </w:rPr>
        <w:t>Cogent Business &amp; Management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10</w:t>
      </w:r>
      <w:r w:rsidRPr="00E42074">
        <w:rPr>
          <w:rFonts w:ascii="Times New Roman" w:hAnsi="Times New Roman" w:cs="Times New Roman"/>
          <w:color w:val="0D0D0D" w:themeColor="text1" w:themeTint="F2"/>
          <w:sz w:val="24"/>
          <w:szCs w:val="24"/>
        </w:rPr>
        <w:t>(2), p.2232585.</w:t>
      </w:r>
      <w:r w:rsidRPr="00E42074">
        <w:rPr>
          <w:rFonts w:ascii="Times New Roman" w:eastAsia="Times New Roman" w:hAnsi="Times New Roman" w:cs="Times New Roman"/>
          <w:color w:val="0D0D0D" w:themeColor="text1" w:themeTint="F2"/>
          <w:sz w:val="24"/>
          <w:szCs w:val="24"/>
        </w:rPr>
        <w:t xml:space="preserve"> </w:t>
      </w:r>
    </w:p>
    <w:p w14:paraId="4247D06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Nii</w:t>
      </w:r>
      <w:proofErr w:type="spellEnd"/>
      <w:r w:rsidRPr="00E42074">
        <w:rPr>
          <w:rFonts w:ascii="Times New Roman" w:eastAsia="Times New Roman" w:hAnsi="Times New Roman" w:cs="Times New Roman"/>
          <w:color w:val="0D0D0D" w:themeColor="text1" w:themeTint="F2"/>
          <w:sz w:val="24"/>
          <w:szCs w:val="24"/>
          <w:lang w:eastAsia="en-IN"/>
        </w:rPr>
        <w:t xml:space="preserve"> </w:t>
      </w:r>
      <w:proofErr w:type="spellStart"/>
      <w:r w:rsidRPr="00E42074">
        <w:rPr>
          <w:rFonts w:ascii="Times New Roman" w:eastAsia="Times New Roman" w:hAnsi="Times New Roman" w:cs="Times New Roman"/>
          <w:color w:val="0D0D0D" w:themeColor="text1" w:themeTint="F2"/>
          <w:sz w:val="24"/>
          <w:szCs w:val="24"/>
          <w:lang w:eastAsia="en-IN"/>
        </w:rPr>
        <w:t>Laryeafio</w:t>
      </w:r>
      <w:proofErr w:type="spellEnd"/>
      <w:r w:rsidRPr="00E42074">
        <w:rPr>
          <w:rFonts w:ascii="Times New Roman" w:eastAsia="Times New Roman" w:hAnsi="Times New Roman" w:cs="Times New Roman"/>
          <w:color w:val="0D0D0D" w:themeColor="text1" w:themeTint="F2"/>
          <w:sz w:val="24"/>
          <w:szCs w:val="24"/>
          <w:lang w:eastAsia="en-IN"/>
        </w:rPr>
        <w:t xml:space="preserve">, M. and </w:t>
      </w:r>
      <w:proofErr w:type="spellStart"/>
      <w:r w:rsidRPr="00E42074">
        <w:rPr>
          <w:rFonts w:ascii="Times New Roman" w:eastAsia="Times New Roman" w:hAnsi="Times New Roman" w:cs="Times New Roman"/>
          <w:color w:val="0D0D0D" w:themeColor="text1" w:themeTint="F2"/>
          <w:sz w:val="24"/>
          <w:szCs w:val="24"/>
          <w:lang w:eastAsia="en-IN"/>
        </w:rPr>
        <w:t>Ogbewe</w:t>
      </w:r>
      <w:proofErr w:type="spellEnd"/>
      <w:r w:rsidRPr="00E42074">
        <w:rPr>
          <w:rFonts w:ascii="Times New Roman" w:eastAsia="Times New Roman" w:hAnsi="Times New Roman" w:cs="Times New Roman"/>
          <w:color w:val="0D0D0D" w:themeColor="text1" w:themeTint="F2"/>
          <w:sz w:val="24"/>
          <w:szCs w:val="24"/>
          <w:lang w:eastAsia="en-IN"/>
        </w:rPr>
        <w:t xml:space="preserve">, O.C., 2023. Ethical consideration dilemma: systematic review of ethics in qualitative data collection through interviews. </w:t>
      </w:r>
      <w:r w:rsidRPr="00E42074">
        <w:rPr>
          <w:rFonts w:ascii="Times New Roman" w:eastAsia="Times New Roman" w:hAnsi="Times New Roman" w:cs="Times New Roman"/>
          <w:i/>
          <w:iCs/>
          <w:color w:val="0D0D0D" w:themeColor="text1" w:themeTint="F2"/>
          <w:sz w:val="24"/>
          <w:szCs w:val="24"/>
          <w:lang w:eastAsia="en-IN"/>
        </w:rPr>
        <w:t>Journal of Ethics in Entrepreneurship and Technology</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3</w:t>
      </w:r>
      <w:r w:rsidRPr="00E42074">
        <w:rPr>
          <w:rFonts w:ascii="Times New Roman" w:eastAsia="Times New Roman" w:hAnsi="Times New Roman" w:cs="Times New Roman"/>
          <w:color w:val="0D0D0D" w:themeColor="text1" w:themeTint="F2"/>
          <w:sz w:val="24"/>
          <w:szCs w:val="24"/>
          <w:lang w:eastAsia="en-IN"/>
        </w:rPr>
        <w:t>(2), pp.94-110. </w:t>
      </w:r>
    </w:p>
    <w:p w14:paraId="5813AF8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Nordin</w:t>
      </w:r>
      <w:proofErr w:type="spellEnd"/>
      <w:r w:rsidRPr="00E42074">
        <w:rPr>
          <w:rFonts w:ascii="Times New Roman" w:hAnsi="Times New Roman" w:cs="Times New Roman"/>
          <w:color w:val="0D0D0D" w:themeColor="text1" w:themeTint="F2"/>
          <w:sz w:val="24"/>
          <w:szCs w:val="24"/>
        </w:rPr>
        <w:t xml:space="preserve">, N., </w:t>
      </w:r>
      <w:proofErr w:type="spellStart"/>
      <w:r w:rsidRPr="00E42074">
        <w:rPr>
          <w:rFonts w:ascii="Times New Roman" w:hAnsi="Times New Roman" w:cs="Times New Roman"/>
          <w:color w:val="0D0D0D" w:themeColor="text1" w:themeTint="F2"/>
          <w:sz w:val="24"/>
          <w:szCs w:val="24"/>
        </w:rPr>
        <w:t>Khatibi</w:t>
      </w:r>
      <w:proofErr w:type="spellEnd"/>
      <w:r w:rsidRPr="00E42074">
        <w:rPr>
          <w:rFonts w:ascii="Times New Roman" w:hAnsi="Times New Roman" w:cs="Times New Roman"/>
          <w:color w:val="0D0D0D" w:themeColor="text1" w:themeTint="F2"/>
          <w:sz w:val="24"/>
          <w:szCs w:val="24"/>
        </w:rPr>
        <w:t xml:space="preserve">, A. and Azam, S.F., 2024. </w:t>
      </w:r>
      <w:proofErr w:type="spellStart"/>
      <w:r w:rsidRPr="00E42074">
        <w:rPr>
          <w:rFonts w:ascii="Times New Roman" w:hAnsi="Times New Roman" w:cs="Times New Roman"/>
          <w:color w:val="0D0D0D" w:themeColor="text1" w:themeTint="F2"/>
          <w:sz w:val="24"/>
          <w:szCs w:val="24"/>
        </w:rPr>
        <w:t>Nonprofit</w:t>
      </w:r>
      <w:proofErr w:type="spellEnd"/>
      <w:r w:rsidRPr="00E42074">
        <w:rPr>
          <w:rFonts w:ascii="Times New Roman" w:hAnsi="Times New Roman" w:cs="Times New Roman"/>
          <w:color w:val="0D0D0D" w:themeColor="text1" w:themeTint="F2"/>
          <w:sz w:val="24"/>
          <w:szCs w:val="24"/>
        </w:rPr>
        <w:t xml:space="preserve"> capacity and social performance: Mapping the field and future directions. </w:t>
      </w:r>
      <w:r w:rsidRPr="00E42074">
        <w:rPr>
          <w:rFonts w:ascii="Times New Roman" w:hAnsi="Times New Roman" w:cs="Times New Roman"/>
          <w:i/>
          <w:iCs/>
          <w:color w:val="0D0D0D" w:themeColor="text1" w:themeTint="F2"/>
          <w:sz w:val="24"/>
          <w:szCs w:val="24"/>
        </w:rPr>
        <w:t>Management Review Quarterly</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74</w:t>
      </w:r>
      <w:r w:rsidRPr="00E42074">
        <w:rPr>
          <w:rFonts w:ascii="Times New Roman" w:hAnsi="Times New Roman" w:cs="Times New Roman"/>
          <w:color w:val="0D0D0D" w:themeColor="text1" w:themeTint="F2"/>
          <w:sz w:val="24"/>
          <w:szCs w:val="24"/>
        </w:rPr>
        <w:t>(1), pp.171-225.</w:t>
      </w:r>
      <w:r w:rsidRPr="00E42074">
        <w:rPr>
          <w:rFonts w:ascii="Times New Roman" w:eastAsia="Times New Roman" w:hAnsi="Times New Roman" w:cs="Times New Roman"/>
          <w:color w:val="0D0D0D" w:themeColor="text1" w:themeTint="F2"/>
          <w:sz w:val="24"/>
          <w:szCs w:val="24"/>
        </w:rPr>
        <w:t xml:space="preserve"> </w:t>
      </w:r>
    </w:p>
    <w:p w14:paraId="064298C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lastRenderedPageBreak/>
        <w:t xml:space="preserve">Nursey-Bray, M., </w:t>
      </w:r>
      <w:proofErr w:type="spellStart"/>
      <w:r w:rsidRPr="00E42074">
        <w:rPr>
          <w:rFonts w:ascii="Times New Roman" w:eastAsia="Times New Roman" w:hAnsi="Times New Roman" w:cs="Times New Roman"/>
          <w:color w:val="0D0D0D" w:themeColor="text1" w:themeTint="F2"/>
          <w:sz w:val="24"/>
          <w:szCs w:val="24"/>
          <w:lang w:eastAsia="en-IN"/>
        </w:rPr>
        <w:t>Masud</w:t>
      </w:r>
      <w:proofErr w:type="spellEnd"/>
      <w:r w:rsidRPr="00E42074">
        <w:rPr>
          <w:rFonts w:ascii="Times New Roman" w:eastAsia="Times New Roman" w:hAnsi="Times New Roman" w:cs="Times New Roman"/>
          <w:color w:val="0D0D0D" w:themeColor="text1" w:themeTint="F2"/>
          <w:sz w:val="24"/>
          <w:szCs w:val="24"/>
          <w:lang w:eastAsia="en-IN"/>
        </w:rPr>
        <w:t xml:space="preserve">-All-Kamal, M., Di Giacomo, M. and </w:t>
      </w:r>
      <w:proofErr w:type="spellStart"/>
      <w:r w:rsidRPr="00E42074">
        <w:rPr>
          <w:rFonts w:ascii="Times New Roman" w:eastAsia="Times New Roman" w:hAnsi="Times New Roman" w:cs="Times New Roman"/>
          <w:color w:val="0D0D0D" w:themeColor="text1" w:themeTint="F2"/>
          <w:sz w:val="24"/>
          <w:szCs w:val="24"/>
          <w:lang w:eastAsia="en-IN"/>
        </w:rPr>
        <w:t>Millcock</w:t>
      </w:r>
      <w:proofErr w:type="spellEnd"/>
      <w:r w:rsidRPr="00E42074">
        <w:rPr>
          <w:rFonts w:ascii="Times New Roman" w:eastAsia="Times New Roman" w:hAnsi="Times New Roman" w:cs="Times New Roman"/>
          <w:color w:val="0D0D0D" w:themeColor="text1" w:themeTint="F2"/>
          <w:sz w:val="24"/>
          <w:szCs w:val="24"/>
          <w:lang w:eastAsia="en-IN"/>
        </w:rPr>
        <w:t xml:space="preserve">, S., 2022. Building community resilience through youth volunteering: towards a new model. </w:t>
      </w:r>
      <w:r w:rsidRPr="00E42074">
        <w:rPr>
          <w:rFonts w:ascii="Times New Roman" w:eastAsia="Times New Roman" w:hAnsi="Times New Roman" w:cs="Times New Roman"/>
          <w:i/>
          <w:iCs/>
          <w:color w:val="0D0D0D" w:themeColor="text1" w:themeTint="F2"/>
          <w:sz w:val="24"/>
          <w:szCs w:val="24"/>
          <w:lang w:eastAsia="en-IN"/>
        </w:rPr>
        <w:t>Regional Studies, Regional Science</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9</w:t>
      </w:r>
      <w:r w:rsidRPr="00E42074">
        <w:rPr>
          <w:rFonts w:ascii="Times New Roman" w:eastAsia="Times New Roman" w:hAnsi="Times New Roman" w:cs="Times New Roman"/>
          <w:color w:val="0D0D0D" w:themeColor="text1" w:themeTint="F2"/>
          <w:sz w:val="24"/>
          <w:szCs w:val="24"/>
          <w:lang w:eastAsia="en-IN"/>
        </w:rPr>
        <w:t>(1), pp.242-263. </w:t>
      </w:r>
    </w:p>
    <w:p w14:paraId="43EBDAFE" w14:textId="77777777" w:rsidR="00E42074" w:rsidRPr="00E42074" w:rsidRDefault="00E42074" w:rsidP="00E42074">
      <w:pPr>
        <w:pStyle w:val="NormalWeb"/>
        <w:spacing w:before="0" w:beforeAutospacing="0" w:after="0" w:afterAutospacing="0" w:line="360" w:lineRule="auto"/>
        <w:jc w:val="both"/>
      </w:pPr>
      <w:proofErr w:type="spellStart"/>
      <w:r w:rsidRPr="00E42074">
        <w:rPr>
          <w:color w:val="000000"/>
        </w:rPr>
        <w:t>Nwaoburu</w:t>
      </w:r>
      <w:proofErr w:type="spellEnd"/>
      <w:r w:rsidRPr="00E42074">
        <w:rPr>
          <w:color w:val="000000"/>
        </w:rPr>
        <w:t xml:space="preserve">, L., 2024. Grassroots development in Nigeria: Analysing local government finance and resource management. </w:t>
      </w:r>
      <w:r w:rsidRPr="00E42074">
        <w:rPr>
          <w:i/>
          <w:iCs/>
          <w:color w:val="000000"/>
        </w:rPr>
        <w:t>International Journal of Innovative Legal &amp; Political Studies</w:t>
      </w:r>
      <w:r w:rsidRPr="00E42074">
        <w:rPr>
          <w:color w:val="000000"/>
        </w:rPr>
        <w:t xml:space="preserve">, </w:t>
      </w:r>
      <w:r w:rsidRPr="00E42074">
        <w:rPr>
          <w:i/>
          <w:iCs/>
          <w:color w:val="000000"/>
        </w:rPr>
        <w:t>12</w:t>
      </w:r>
      <w:r w:rsidRPr="00E42074">
        <w:rPr>
          <w:color w:val="000000"/>
        </w:rPr>
        <w:t>(4), pp.29-38. </w:t>
      </w:r>
    </w:p>
    <w:p w14:paraId="4A3D0DCD"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Obilor</w:t>
      </w:r>
      <w:proofErr w:type="spellEnd"/>
      <w:r w:rsidRPr="00E42074">
        <w:rPr>
          <w:rFonts w:ascii="Times New Roman" w:eastAsia="Times New Roman" w:hAnsi="Times New Roman" w:cs="Times New Roman"/>
          <w:color w:val="0D0D0D" w:themeColor="text1" w:themeTint="F2"/>
          <w:sz w:val="24"/>
          <w:szCs w:val="24"/>
          <w:lang w:eastAsia="en-IN"/>
        </w:rPr>
        <w:t xml:space="preserve">, E.I., 2023. Convenience and purposive sampling techniques: Are they the same. </w:t>
      </w:r>
      <w:r w:rsidRPr="00E42074">
        <w:rPr>
          <w:rFonts w:ascii="Times New Roman" w:eastAsia="Times New Roman" w:hAnsi="Times New Roman" w:cs="Times New Roman"/>
          <w:i/>
          <w:iCs/>
          <w:color w:val="0D0D0D" w:themeColor="text1" w:themeTint="F2"/>
          <w:sz w:val="24"/>
          <w:szCs w:val="24"/>
          <w:lang w:eastAsia="en-IN"/>
        </w:rPr>
        <w:t>International Journal of Innovative Social &amp; Science Education Research</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11</w:t>
      </w:r>
      <w:r w:rsidRPr="00E42074">
        <w:rPr>
          <w:rFonts w:ascii="Times New Roman" w:eastAsia="Times New Roman" w:hAnsi="Times New Roman" w:cs="Times New Roman"/>
          <w:color w:val="0D0D0D" w:themeColor="text1" w:themeTint="F2"/>
          <w:sz w:val="24"/>
          <w:szCs w:val="24"/>
          <w:lang w:eastAsia="en-IN"/>
        </w:rPr>
        <w:t>(1), pp.1-7. </w:t>
      </w:r>
    </w:p>
    <w:p w14:paraId="23474EE9"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eastAsia="Times New Roman" w:hAnsi="Times New Roman" w:cs="Times New Roman"/>
          <w:color w:val="0D0D0D" w:themeColor="text1" w:themeTint="F2"/>
          <w:sz w:val="24"/>
          <w:szCs w:val="24"/>
        </w:rPr>
        <w:t xml:space="preserve">OECD, 2026. A historic decline in foreign aid: Preliminary 2025 ODA data. Data Insight. </w:t>
      </w:r>
      <w:hyperlink r:id="rId15">
        <w:r w:rsidRPr="00E42074">
          <w:rPr>
            <w:rFonts w:ascii="Times New Roman" w:eastAsia="Times New Roman" w:hAnsi="Times New Roman" w:cs="Times New Roman"/>
            <w:color w:val="0D0D0D" w:themeColor="text1" w:themeTint="F2"/>
            <w:sz w:val="24"/>
            <w:szCs w:val="24"/>
            <w:u w:val="single"/>
          </w:rPr>
          <w:t>https://www.oecd.org/en/data/insights/data-explainers/2026/04/a-historic-decline-in-foreign-aid-preliminary-2025-oda-data.html</w:t>
        </w:r>
      </w:hyperlink>
    </w:p>
    <w:p w14:paraId="01AB078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Olmsted, J., 2024. Research Reliability and Validity: Why do they matter</w:t>
      </w:r>
      <w:proofErr w:type="gramStart"/>
      <w:r w:rsidRPr="00E42074">
        <w:rPr>
          <w:rFonts w:ascii="Times New Roman" w:eastAsia="Times New Roman" w:hAnsi="Times New Roman" w:cs="Times New Roman"/>
          <w:color w:val="0D0D0D" w:themeColor="text1" w:themeTint="F2"/>
          <w:sz w:val="24"/>
          <w:szCs w:val="24"/>
          <w:lang w:eastAsia="en-IN"/>
        </w:rPr>
        <w:t>?.</w:t>
      </w:r>
      <w:proofErr w:type="gramEnd"/>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American Dental Hygienists' Association</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98</w:t>
      </w:r>
      <w:r w:rsidRPr="00E42074">
        <w:rPr>
          <w:rFonts w:ascii="Times New Roman" w:eastAsia="Times New Roman" w:hAnsi="Times New Roman" w:cs="Times New Roman"/>
          <w:color w:val="0D0D0D" w:themeColor="text1" w:themeTint="F2"/>
          <w:sz w:val="24"/>
          <w:szCs w:val="24"/>
          <w:lang w:eastAsia="en-IN"/>
        </w:rPr>
        <w:t>(6), pp.53-57. </w:t>
      </w:r>
    </w:p>
    <w:p w14:paraId="194C9971" w14:textId="77777777" w:rsidR="00E42074" w:rsidRPr="00E42074" w:rsidRDefault="00E42074" w:rsidP="00E42074">
      <w:pPr>
        <w:pStyle w:val="NormalWeb"/>
        <w:spacing w:before="0" w:beforeAutospacing="0" w:after="0" w:afterAutospacing="0" w:line="360" w:lineRule="auto"/>
        <w:jc w:val="both"/>
      </w:pPr>
      <w:proofErr w:type="spellStart"/>
      <w:r w:rsidRPr="00E42074">
        <w:rPr>
          <w:color w:val="000000"/>
        </w:rPr>
        <w:t>Onyango</w:t>
      </w:r>
      <w:proofErr w:type="spellEnd"/>
      <w:r w:rsidRPr="00E42074">
        <w:rPr>
          <w:color w:val="000000"/>
        </w:rPr>
        <w:t xml:space="preserve"> </w:t>
      </w:r>
      <w:proofErr w:type="spellStart"/>
      <w:r w:rsidRPr="00E42074">
        <w:rPr>
          <w:color w:val="000000"/>
        </w:rPr>
        <w:t>Ouma</w:t>
      </w:r>
      <w:proofErr w:type="spellEnd"/>
      <w:r w:rsidRPr="00E42074">
        <w:rPr>
          <w:color w:val="000000"/>
        </w:rPr>
        <w:t xml:space="preserve">, S., 2025. Rethinking of Development in the Twenty-First-Century Africa: Development Strategies, Governance, and Foreign Aid. In </w:t>
      </w:r>
      <w:r w:rsidRPr="00E42074">
        <w:rPr>
          <w:i/>
          <w:iCs/>
          <w:color w:val="000000"/>
        </w:rPr>
        <w:t>Indigenous Systems, Colonialism, Colonial Legacies, and Africa’s Economic Challenges: Why is Africa Failing?</w:t>
      </w:r>
      <w:r w:rsidRPr="00E42074">
        <w:rPr>
          <w:color w:val="000000"/>
        </w:rPr>
        <w:t xml:space="preserve"> (pp. 139-163). Cham: Springer Nature Switzerland. </w:t>
      </w:r>
    </w:p>
    <w:p w14:paraId="2AA73DE6"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Pati, A.P., 2021. Structural transformation, profit and cost: what drive (s) mission drift in Indian microfinance</w:t>
      </w:r>
      <w:proofErr w:type="gramStart"/>
      <w:r w:rsidRPr="00E42074">
        <w:rPr>
          <w:rFonts w:ascii="Times New Roman" w:hAnsi="Times New Roman" w:cs="Times New Roman"/>
          <w:color w:val="0D0D0D" w:themeColor="text1" w:themeTint="F2"/>
          <w:sz w:val="24"/>
          <w:szCs w:val="24"/>
        </w:rPr>
        <w:t>?.</w:t>
      </w:r>
      <w:proofErr w:type="gramEnd"/>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International Journal of Rural Management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17</w:t>
      </w:r>
      <w:r w:rsidRPr="00E42074">
        <w:rPr>
          <w:rFonts w:ascii="Times New Roman" w:hAnsi="Times New Roman" w:cs="Times New Roman"/>
          <w:color w:val="0D0D0D" w:themeColor="text1" w:themeTint="F2"/>
          <w:sz w:val="24"/>
          <w:szCs w:val="24"/>
        </w:rPr>
        <w:t>(1), pp.75-92.</w:t>
      </w:r>
      <w:r w:rsidRPr="00E42074">
        <w:rPr>
          <w:rFonts w:ascii="Times New Roman" w:eastAsia="Times New Roman" w:hAnsi="Times New Roman" w:cs="Times New Roman"/>
          <w:color w:val="0D0D0D" w:themeColor="text1" w:themeTint="F2"/>
          <w:sz w:val="24"/>
          <w:szCs w:val="24"/>
        </w:rPr>
        <w:t xml:space="preserve"> </w:t>
      </w:r>
    </w:p>
    <w:p w14:paraId="6CFE73B9"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Ramírez-García</w:t>
      </w:r>
      <w:proofErr w:type="spellEnd"/>
      <w:r w:rsidRPr="00E42074">
        <w:rPr>
          <w:rFonts w:ascii="Times New Roman" w:eastAsia="Times New Roman" w:hAnsi="Times New Roman" w:cs="Times New Roman"/>
          <w:color w:val="0D0D0D" w:themeColor="text1" w:themeTint="F2"/>
          <w:sz w:val="24"/>
          <w:szCs w:val="24"/>
          <w:lang w:eastAsia="en-IN"/>
        </w:rPr>
        <w:t xml:space="preserve">, J.G., </w:t>
      </w:r>
      <w:proofErr w:type="spellStart"/>
      <w:r w:rsidRPr="00E42074">
        <w:rPr>
          <w:rFonts w:ascii="Times New Roman" w:eastAsia="Times New Roman" w:hAnsi="Times New Roman" w:cs="Times New Roman"/>
          <w:color w:val="0D0D0D" w:themeColor="text1" w:themeTint="F2"/>
          <w:sz w:val="24"/>
          <w:szCs w:val="24"/>
          <w:lang w:eastAsia="en-IN"/>
        </w:rPr>
        <w:t>Maciel</w:t>
      </w:r>
      <w:proofErr w:type="spellEnd"/>
      <w:r w:rsidRPr="00E42074">
        <w:rPr>
          <w:rFonts w:ascii="Times New Roman" w:eastAsia="Times New Roman" w:hAnsi="Times New Roman" w:cs="Times New Roman"/>
          <w:color w:val="0D0D0D" w:themeColor="text1" w:themeTint="F2"/>
          <w:sz w:val="24"/>
          <w:szCs w:val="24"/>
          <w:lang w:eastAsia="en-IN"/>
        </w:rPr>
        <w:t>-Torres, S.P., Hernández-Rodríguez, M., Arenas-</w:t>
      </w:r>
      <w:proofErr w:type="spellStart"/>
      <w:r w:rsidRPr="00E42074">
        <w:rPr>
          <w:rFonts w:ascii="Times New Roman" w:eastAsia="Times New Roman" w:hAnsi="Times New Roman" w:cs="Times New Roman"/>
          <w:color w:val="0D0D0D" w:themeColor="text1" w:themeTint="F2"/>
          <w:sz w:val="24"/>
          <w:szCs w:val="24"/>
          <w:lang w:eastAsia="en-IN"/>
        </w:rPr>
        <w:t>Báez</w:t>
      </w:r>
      <w:proofErr w:type="spellEnd"/>
      <w:r w:rsidRPr="00E42074">
        <w:rPr>
          <w:rFonts w:ascii="Times New Roman" w:eastAsia="Times New Roman" w:hAnsi="Times New Roman" w:cs="Times New Roman"/>
          <w:color w:val="0D0D0D" w:themeColor="text1" w:themeTint="F2"/>
          <w:sz w:val="24"/>
          <w:szCs w:val="24"/>
          <w:lang w:eastAsia="en-IN"/>
        </w:rPr>
        <w:t xml:space="preserve">, P., </w:t>
      </w:r>
      <w:proofErr w:type="spellStart"/>
      <w:r w:rsidRPr="00E42074">
        <w:rPr>
          <w:rFonts w:ascii="Times New Roman" w:eastAsia="Times New Roman" w:hAnsi="Times New Roman" w:cs="Times New Roman"/>
          <w:color w:val="0D0D0D" w:themeColor="text1" w:themeTint="F2"/>
          <w:sz w:val="24"/>
          <w:szCs w:val="24"/>
          <w:lang w:eastAsia="en-IN"/>
        </w:rPr>
        <w:t>Orzuna-Orzuna</w:t>
      </w:r>
      <w:proofErr w:type="spellEnd"/>
      <w:r w:rsidRPr="00E42074">
        <w:rPr>
          <w:rFonts w:ascii="Times New Roman" w:eastAsia="Times New Roman" w:hAnsi="Times New Roman" w:cs="Times New Roman"/>
          <w:color w:val="0D0D0D" w:themeColor="text1" w:themeTint="F2"/>
          <w:sz w:val="24"/>
          <w:szCs w:val="24"/>
          <w:lang w:eastAsia="en-IN"/>
        </w:rPr>
        <w:t xml:space="preserve">, J.F. and Granados-Rivera, L.D., 2025. Non-invasive sampling for population genetics of wild terrestrial mammals (2015–2025): A systematic review. </w:t>
      </w:r>
      <w:r w:rsidRPr="00E42074">
        <w:rPr>
          <w:rFonts w:ascii="Times New Roman" w:eastAsia="Times New Roman" w:hAnsi="Times New Roman" w:cs="Times New Roman"/>
          <w:i/>
          <w:iCs/>
          <w:color w:val="0D0D0D" w:themeColor="text1" w:themeTint="F2"/>
          <w:sz w:val="24"/>
          <w:szCs w:val="24"/>
          <w:lang w:eastAsia="en-IN"/>
        </w:rPr>
        <w:t>Diversity</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17</w:t>
      </w:r>
      <w:r w:rsidRPr="00E42074">
        <w:rPr>
          <w:rFonts w:ascii="Times New Roman" w:eastAsia="Times New Roman" w:hAnsi="Times New Roman" w:cs="Times New Roman"/>
          <w:color w:val="0D0D0D" w:themeColor="text1" w:themeTint="F2"/>
          <w:sz w:val="24"/>
          <w:szCs w:val="24"/>
          <w:lang w:eastAsia="en-IN"/>
        </w:rPr>
        <w:t>(11), p.760. </w:t>
      </w:r>
    </w:p>
    <w:p w14:paraId="78AA71D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Rathore, D., 2022. Overcoming data collection challenges and establishing trustworthiness: The need for flexibility and responsiveness in research. </w:t>
      </w:r>
      <w:r w:rsidRPr="00E42074">
        <w:rPr>
          <w:rFonts w:ascii="Times New Roman" w:eastAsia="Times New Roman" w:hAnsi="Times New Roman" w:cs="Times New Roman"/>
          <w:i/>
          <w:iCs/>
          <w:color w:val="0D0D0D" w:themeColor="text1" w:themeTint="F2"/>
          <w:sz w:val="24"/>
          <w:szCs w:val="24"/>
          <w:lang w:eastAsia="en-IN"/>
        </w:rPr>
        <w:t>Waikato Journal of Education</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27</w:t>
      </w:r>
      <w:r w:rsidRPr="00E42074">
        <w:rPr>
          <w:rFonts w:ascii="Times New Roman" w:eastAsia="Times New Roman" w:hAnsi="Times New Roman" w:cs="Times New Roman"/>
          <w:color w:val="0D0D0D" w:themeColor="text1" w:themeTint="F2"/>
          <w:sz w:val="24"/>
          <w:szCs w:val="24"/>
          <w:lang w:eastAsia="en-IN"/>
        </w:rPr>
        <w:t>(2), pp.47-51. </w:t>
      </w:r>
    </w:p>
    <w:p w14:paraId="3DDF66FB"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Ratnasari</w:t>
      </w:r>
      <w:proofErr w:type="spellEnd"/>
      <w:r w:rsidRPr="00E42074">
        <w:rPr>
          <w:rFonts w:ascii="Times New Roman" w:eastAsia="Times New Roman" w:hAnsi="Times New Roman" w:cs="Times New Roman"/>
          <w:color w:val="0D0D0D" w:themeColor="text1" w:themeTint="F2"/>
          <w:sz w:val="24"/>
          <w:szCs w:val="24"/>
          <w:lang w:eastAsia="en-IN"/>
        </w:rPr>
        <w:t xml:space="preserve">, A. and </w:t>
      </w:r>
      <w:proofErr w:type="spellStart"/>
      <w:r w:rsidRPr="00E42074">
        <w:rPr>
          <w:rFonts w:ascii="Times New Roman" w:eastAsia="Times New Roman" w:hAnsi="Times New Roman" w:cs="Times New Roman"/>
          <w:color w:val="0D0D0D" w:themeColor="text1" w:themeTint="F2"/>
          <w:sz w:val="24"/>
          <w:szCs w:val="24"/>
          <w:lang w:eastAsia="en-IN"/>
        </w:rPr>
        <w:t>Sudradjat</w:t>
      </w:r>
      <w:proofErr w:type="spellEnd"/>
      <w:r w:rsidRPr="00E42074">
        <w:rPr>
          <w:rFonts w:ascii="Times New Roman" w:eastAsia="Times New Roman" w:hAnsi="Times New Roman" w:cs="Times New Roman"/>
          <w:color w:val="0D0D0D" w:themeColor="text1" w:themeTint="F2"/>
          <w:sz w:val="24"/>
          <w:szCs w:val="24"/>
          <w:lang w:eastAsia="en-IN"/>
        </w:rPr>
        <w:t xml:space="preserve">, I., 2023. Case study approach in post-occupancy evaluation research. </w:t>
      </w:r>
      <w:r w:rsidRPr="00E42074">
        <w:rPr>
          <w:rFonts w:ascii="Times New Roman" w:eastAsia="Times New Roman" w:hAnsi="Times New Roman" w:cs="Times New Roman"/>
          <w:i/>
          <w:iCs/>
          <w:color w:val="0D0D0D" w:themeColor="text1" w:themeTint="F2"/>
          <w:sz w:val="24"/>
          <w:szCs w:val="24"/>
          <w:lang w:eastAsia="en-IN"/>
        </w:rPr>
        <w:t xml:space="preserve">ARTEKS: </w:t>
      </w:r>
      <w:proofErr w:type="spellStart"/>
      <w:r w:rsidRPr="00E42074">
        <w:rPr>
          <w:rFonts w:ascii="Times New Roman" w:eastAsia="Times New Roman" w:hAnsi="Times New Roman" w:cs="Times New Roman"/>
          <w:i/>
          <w:iCs/>
          <w:color w:val="0D0D0D" w:themeColor="text1" w:themeTint="F2"/>
          <w:sz w:val="24"/>
          <w:szCs w:val="24"/>
          <w:lang w:eastAsia="en-IN"/>
        </w:rPr>
        <w:t>Jurnal</w:t>
      </w:r>
      <w:proofErr w:type="spellEnd"/>
      <w:r w:rsidRPr="00E42074">
        <w:rPr>
          <w:rFonts w:ascii="Times New Roman" w:eastAsia="Times New Roman" w:hAnsi="Times New Roman" w:cs="Times New Roman"/>
          <w:i/>
          <w:iCs/>
          <w:color w:val="0D0D0D" w:themeColor="text1" w:themeTint="F2"/>
          <w:sz w:val="24"/>
          <w:szCs w:val="24"/>
          <w:lang w:eastAsia="en-IN"/>
        </w:rPr>
        <w:t xml:space="preserve"> </w:t>
      </w:r>
      <w:proofErr w:type="spellStart"/>
      <w:r w:rsidRPr="00E42074">
        <w:rPr>
          <w:rFonts w:ascii="Times New Roman" w:eastAsia="Times New Roman" w:hAnsi="Times New Roman" w:cs="Times New Roman"/>
          <w:i/>
          <w:iCs/>
          <w:color w:val="0D0D0D" w:themeColor="text1" w:themeTint="F2"/>
          <w:sz w:val="24"/>
          <w:szCs w:val="24"/>
          <w:lang w:eastAsia="en-IN"/>
        </w:rPr>
        <w:t>Teknik</w:t>
      </w:r>
      <w:proofErr w:type="spellEnd"/>
      <w:r w:rsidRPr="00E42074">
        <w:rPr>
          <w:rFonts w:ascii="Times New Roman" w:eastAsia="Times New Roman" w:hAnsi="Times New Roman" w:cs="Times New Roman"/>
          <w:i/>
          <w:iCs/>
          <w:color w:val="0D0D0D" w:themeColor="text1" w:themeTint="F2"/>
          <w:sz w:val="24"/>
          <w:szCs w:val="24"/>
          <w:lang w:eastAsia="en-IN"/>
        </w:rPr>
        <w:t xml:space="preserve"> </w:t>
      </w:r>
      <w:proofErr w:type="spellStart"/>
      <w:r w:rsidRPr="00E42074">
        <w:rPr>
          <w:rFonts w:ascii="Times New Roman" w:eastAsia="Times New Roman" w:hAnsi="Times New Roman" w:cs="Times New Roman"/>
          <w:i/>
          <w:iCs/>
          <w:color w:val="0D0D0D" w:themeColor="text1" w:themeTint="F2"/>
          <w:sz w:val="24"/>
          <w:szCs w:val="24"/>
          <w:lang w:eastAsia="en-IN"/>
        </w:rPr>
        <w:t>Arsitektur</w:t>
      </w:r>
      <w:proofErr w:type="spellEnd"/>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8</w:t>
      </w:r>
      <w:r w:rsidRPr="00E42074">
        <w:rPr>
          <w:rFonts w:ascii="Times New Roman" w:eastAsia="Times New Roman" w:hAnsi="Times New Roman" w:cs="Times New Roman"/>
          <w:color w:val="0D0D0D" w:themeColor="text1" w:themeTint="F2"/>
          <w:sz w:val="24"/>
          <w:szCs w:val="24"/>
          <w:lang w:eastAsia="en-IN"/>
        </w:rPr>
        <w:t>(3), pp.427-434. </w:t>
      </w:r>
    </w:p>
    <w:p w14:paraId="3E7E8579" w14:textId="77777777" w:rsidR="00E42074" w:rsidRPr="00E42074" w:rsidRDefault="00E42074" w:rsidP="00E42074">
      <w:pPr>
        <w:pStyle w:val="NormalWeb"/>
        <w:spacing w:before="0" w:beforeAutospacing="0" w:after="0" w:afterAutospacing="0" w:line="360" w:lineRule="auto"/>
        <w:jc w:val="both"/>
      </w:pPr>
      <w:r w:rsidRPr="00E42074">
        <w:rPr>
          <w:color w:val="000000"/>
        </w:rPr>
        <w:t xml:space="preserve">Redman, B.K., 2023. Rebalancing commercial and public interests in prioritizing biomedical, social and environmental aspects of health through defining and managing conflicts of interest. </w:t>
      </w:r>
      <w:r w:rsidRPr="00E42074">
        <w:rPr>
          <w:i/>
          <w:iCs/>
          <w:color w:val="000000"/>
        </w:rPr>
        <w:t>Frontiers in Medicine</w:t>
      </w:r>
      <w:r w:rsidRPr="00E42074">
        <w:rPr>
          <w:color w:val="000000"/>
        </w:rPr>
        <w:t xml:space="preserve">, </w:t>
      </w:r>
      <w:r w:rsidRPr="00E42074">
        <w:rPr>
          <w:i/>
          <w:iCs/>
          <w:color w:val="000000"/>
        </w:rPr>
        <w:t>10</w:t>
      </w:r>
      <w:r w:rsidRPr="00E42074">
        <w:rPr>
          <w:color w:val="000000"/>
        </w:rPr>
        <w:t>, p.1247258. </w:t>
      </w:r>
    </w:p>
    <w:p w14:paraId="16D34814" w14:textId="77777777" w:rsidR="00E42074" w:rsidRPr="00E42074" w:rsidRDefault="00E42074" w:rsidP="00B7563B">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lastRenderedPageBreak/>
        <w:t>Risi</w:t>
      </w:r>
      <w:proofErr w:type="spellEnd"/>
      <w:r w:rsidRPr="00E42074">
        <w:rPr>
          <w:rFonts w:ascii="Times New Roman" w:eastAsia="Times New Roman" w:hAnsi="Times New Roman" w:cs="Times New Roman"/>
          <w:color w:val="0D0D0D" w:themeColor="text1" w:themeTint="F2"/>
          <w:sz w:val="24"/>
          <w:szCs w:val="24"/>
          <w:lang w:eastAsia="en-IN"/>
        </w:rPr>
        <w:t xml:space="preserve">, D., </w:t>
      </w:r>
      <w:proofErr w:type="spellStart"/>
      <w:r w:rsidRPr="00E42074">
        <w:rPr>
          <w:rFonts w:ascii="Times New Roman" w:eastAsia="Times New Roman" w:hAnsi="Times New Roman" w:cs="Times New Roman"/>
          <w:color w:val="0D0D0D" w:themeColor="text1" w:themeTint="F2"/>
          <w:sz w:val="24"/>
          <w:szCs w:val="24"/>
          <w:lang w:eastAsia="en-IN"/>
        </w:rPr>
        <w:t>Vigneau</w:t>
      </w:r>
      <w:proofErr w:type="spellEnd"/>
      <w:r w:rsidRPr="00E42074">
        <w:rPr>
          <w:rFonts w:ascii="Times New Roman" w:eastAsia="Times New Roman" w:hAnsi="Times New Roman" w:cs="Times New Roman"/>
          <w:color w:val="0D0D0D" w:themeColor="text1" w:themeTint="F2"/>
          <w:sz w:val="24"/>
          <w:szCs w:val="24"/>
          <w:lang w:eastAsia="en-IN"/>
        </w:rPr>
        <w:t xml:space="preserve">, L., Bohn, S. and </w:t>
      </w:r>
      <w:proofErr w:type="spellStart"/>
      <w:r w:rsidRPr="00E42074">
        <w:rPr>
          <w:rFonts w:ascii="Times New Roman" w:eastAsia="Times New Roman" w:hAnsi="Times New Roman" w:cs="Times New Roman"/>
          <w:color w:val="0D0D0D" w:themeColor="text1" w:themeTint="F2"/>
          <w:sz w:val="24"/>
          <w:szCs w:val="24"/>
          <w:lang w:eastAsia="en-IN"/>
        </w:rPr>
        <w:t>Wickert</w:t>
      </w:r>
      <w:proofErr w:type="spellEnd"/>
      <w:r w:rsidRPr="00E42074">
        <w:rPr>
          <w:rFonts w:ascii="Times New Roman" w:eastAsia="Times New Roman" w:hAnsi="Times New Roman" w:cs="Times New Roman"/>
          <w:color w:val="0D0D0D" w:themeColor="text1" w:themeTint="F2"/>
          <w:sz w:val="24"/>
          <w:szCs w:val="24"/>
          <w:lang w:eastAsia="en-IN"/>
        </w:rPr>
        <w:t xml:space="preserve">, C., 2023. Institutional theory‐based research on corporate social responsibility: Bringing values back in. </w:t>
      </w:r>
      <w:r w:rsidRPr="00E42074">
        <w:rPr>
          <w:rFonts w:ascii="Times New Roman" w:eastAsia="Times New Roman" w:hAnsi="Times New Roman" w:cs="Times New Roman"/>
          <w:i/>
          <w:iCs/>
          <w:color w:val="0D0D0D" w:themeColor="text1" w:themeTint="F2"/>
          <w:sz w:val="24"/>
          <w:szCs w:val="24"/>
          <w:lang w:eastAsia="en-IN"/>
        </w:rPr>
        <w:t>International Journal of Management Reviews</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25</w:t>
      </w:r>
      <w:r w:rsidRPr="00E42074">
        <w:rPr>
          <w:rFonts w:ascii="Times New Roman" w:eastAsia="Times New Roman" w:hAnsi="Times New Roman" w:cs="Times New Roman"/>
          <w:color w:val="0D0D0D" w:themeColor="text1" w:themeTint="F2"/>
          <w:sz w:val="24"/>
          <w:szCs w:val="24"/>
          <w:lang w:eastAsia="en-IN"/>
        </w:rPr>
        <w:t>(1), pp.3-23. </w:t>
      </w:r>
    </w:p>
    <w:p w14:paraId="4280E7E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Rouault, J. and Albertini, E., 2022. Reconciling the social sector with external accountability requirements: Lessons from stewardship theory. </w:t>
      </w:r>
      <w:r w:rsidRPr="00E42074">
        <w:rPr>
          <w:rFonts w:ascii="Times New Roman" w:hAnsi="Times New Roman" w:cs="Times New Roman"/>
          <w:i/>
          <w:iCs/>
          <w:color w:val="0D0D0D" w:themeColor="text1" w:themeTint="F2"/>
          <w:sz w:val="24"/>
          <w:szCs w:val="24"/>
        </w:rPr>
        <w:t>Journal of Business Research</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142</w:t>
      </w:r>
      <w:r w:rsidRPr="00E42074">
        <w:rPr>
          <w:rFonts w:ascii="Times New Roman" w:hAnsi="Times New Roman" w:cs="Times New Roman"/>
          <w:color w:val="0D0D0D" w:themeColor="text1" w:themeTint="F2"/>
          <w:sz w:val="24"/>
          <w:szCs w:val="24"/>
        </w:rPr>
        <w:t>, pp.485-498.</w:t>
      </w:r>
      <w:r w:rsidRPr="00E42074">
        <w:rPr>
          <w:rFonts w:ascii="Times New Roman" w:eastAsia="Times New Roman" w:hAnsi="Times New Roman" w:cs="Times New Roman"/>
          <w:color w:val="0D0D0D" w:themeColor="text1" w:themeTint="F2"/>
          <w:sz w:val="24"/>
          <w:szCs w:val="24"/>
        </w:rPr>
        <w:t xml:space="preserve"> </w:t>
      </w:r>
    </w:p>
    <w:p w14:paraId="664E65E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Samadi</w:t>
      </w:r>
      <w:proofErr w:type="spellEnd"/>
      <w:r w:rsidRPr="00E42074">
        <w:rPr>
          <w:rFonts w:ascii="Times New Roman" w:hAnsi="Times New Roman" w:cs="Times New Roman"/>
          <w:color w:val="0D0D0D" w:themeColor="text1" w:themeTint="F2"/>
          <w:sz w:val="24"/>
          <w:szCs w:val="24"/>
        </w:rPr>
        <w:t xml:space="preserve">, M., </w:t>
      </w:r>
      <w:proofErr w:type="spellStart"/>
      <w:r w:rsidRPr="00E42074">
        <w:rPr>
          <w:rFonts w:ascii="Times New Roman" w:hAnsi="Times New Roman" w:cs="Times New Roman"/>
          <w:color w:val="0D0D0D" w:themeColor="text1" w:themeTint="F2"/>
          <w:sz w:val="24"/>
          <w:szCs w:val="24"/>
        </w:rPr>
        <w:t>Mirnezami</w:t>
      </w:r>
      <w:proofErr w:type="spellEnd"/>
      <w:r w:rsidRPr="00E42074">
        <w:rPr>
          <w:rFonts w:ascii="Times New Roman" w:hAnsi="Times New Roman" w:cs="Times New Roman"/>
          <w:color w:val="0D0D0D" w:themeColor="text1" w:themeTint="F2"/>
          <w:sz w:val="24"/>
          <w:szCs w:val="24"/>
        </w:rPr>
        <w:t xml:space="preserve">, S.R. and </w:t>
      </w:r>
      <w:proofErr w:type="spellStart"/>
      <w:r w:rsidRPr="00E42074">
        <w:rPr>
          <w:rFonts w:ascii="Times New Roman" w:hAnsi="Times New Roman" w:cs="Times New Roman"/>
          <w:color w:val="0D0D0D" w:themeColor="text1" w:themeTint="F2"/>
          <w:sz w:val="24"/>
          <w:szCs w:val="24"/>
        </w:rPr>
        <w:t>Khargh</w:t>
      </w:r>
      <w:proofErr w:type="spellEnd"/>
      <w:r w:rsidRPr="00E42074">
        <w:rPr>
          <w:rFonts w:ascii="Times New Roman" w:hAnsi="Times New Roman" w:cs="Times New Roman"/>
          <w:color w:val="0D0D0D" w:themeColor="text1" w:themeTint="F2"/>
          <w:sz w:val="24"/>
          <w:szCs w:val="24"/>
        </w:rPr>
        <w:t xml:space="preserve">, M.T., 2023. The impact of organizational capabilities on the international performance of knowledge-based firms. </w:t>
      </w:r>
      <w:r w:rsidRPr="00E42074">
        <w:rPr>
          <w:rFonts w:ascii="Times New Roman" w:hAnsi="Times New Roman" w:cs="Times New Roman"/>
          <w:i/>
          <w:iCs/>
          <w:color w:val="0D0D0D" w:themeColor="text1" w:themeTint="F2"/>
          <w:sz w:val="24"/>
          <w:szCs w:val="24"/>
        </w:rPr>
        <w:t>Journal of Open Innovation: Technology, Market, and Complexity</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9</w:t>
      </w:r>
      <w:r w:rsidRPr="00E42074">
        <w:rPr>
          <w:rFonts w:ascii="Times New Roman" w:hAnsi="Times New Roman" w:cs="Times New Roman"/>
          <w:color w:val="0D0D0D" w:themeColor="text1" w:themeTint="F2"/>
          <w:sz w:val="24"/>
          <w:szCs w:val="24"/>
        </w:rPr>
        <w:t>(4), p.100163.</w:t>
      </w:r>
      <w:r w:rsidRPr="00E42074">
        <w:rPr>
          <w:rFonts w:ascii="Times New Roman" w:eastAsia="Times New Roman" w:hAnsi="Times New Roman" w:cs="Times New Roman"/>
          <w:color w:val="0D0D0D" w:themeColor="text1" w:themeTint="F2"/>
          <w:sz w:val="24"/>
          <w:szCs w:val="24"/>
        </w:rPr>
        <w:t xml:space="preserve"> </w:t>
      </w:r>
    </w:p>
    <w:p w14:paraId="68A95EC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Sandberg, B., Elliott, E. and </w:t>
      </w:r>
      <w:proofErr w:type="spellStart"/>
      <w:r w:rsidRPr="00E42074">
        <w:rPr>
          <w:rFonts w:ascii="Times New Roman" w:hAnsi="Times New Roman" w:cs="Times New Roman"/>
          <w:color w:val="0D0D0D" w:themeColor="text1" w:themeTint="F2"/>
          <w:sz w:val="24"/>
          <w:szCs w:val="24"/>
        </w:rPr>
        <w:t>Petchel</w:t>
      </w:r>
      <w:proofErr w:type="spellEnd"/>
      <w:r w:rsidRPr="00E42074">
        <w:rPr>
          <w:rFonts w:ascii="Times New Roman" w:hAnsi="Times New Roman" w:cs="Times New Roman"/>
          <w:color w:val="0D0D0D" w:themeColor="text1" w:themeTint="F2"/>
          <w:sz w:val="24"/>
          <w:szCs w:val="24"/>
        </w:rPr>
        <w:t xml:space="preserve">, S., 2020. Investigating the marketization of the </w:t>
      </w:r>
      <w:proofErr w:type="spellStart"/>
      <w:r w:rsidRPr="00E42074">
        <w:rPr>
          <w:rFonts w:ascii="Times New Roman" w:hAnsi="Times New Roman" w:cs="Times New Roman"/>
          <w:color w:val="0D0D0D" w:themeColor="text1" w:themeTint="F2"/>
          <w:sz w:val="24"/>
          <w:szCs w:val="24"/>
        </w:rPr>
        <w:t>nonprofit</w:t>
      </w:r>
      <w:proofErr w:type="spellEnd"/>
      <w:r w:rsidRPr="00E42074">
        <w:rPr>
          <w:rFonts w:ascii="Times New Roman" w:hAnsi="Times New Roman" w:cs="Times New Roman"/>
          <w:color w:val="0D0D0D" w:themeColor="text1" w:themeTint="F2"/>
          <w:sz w:val="24"/>
          <w:szCs w:val="24"/>
        </w:rPr>
        <w:t xml:space="preserve"> sector: A comparative case study of two </w:t>
      </w:r>
      <w:proofErr w:type="spellStart"/>
      <w:r w:rsidRPr="00E42074">
        <w:rPr>
          <w:rFonts w:ascii="Times New Roman" w:hAnsi="Times New Roman" w:cs="Times New Roman"/>
          <w:color w:val="0D0D0D" w:themeColor="text1" w:themeTint="F2"/>
          <w:sz w:val="24"/>
          <w:szCs w:val="24"/>
        </w:rPr>
        <w:t>nonprofit</w:t>
      </w:r>
      <w:proofErr w:type="spellEnd"/>
      <w:r w:rsidRPr="00E42074">
        <w:rPr>
          <w:rFonts w:ascii="Times New Roman" w:hAnsi="Times New Roman" w:cs="Times New Roman"/>
          <w:color w:val="0D0D0D" w:themeColor="text1" w:themeTint="F2"/>
          <w:sz w:val="24"/>
          <w:szCs w:val="24"/>
        </w:rPr>
        <w:t xml:space="preserve"> organizations. </w:t>
      </w:r>
      <w:r w:rsidRPr="00E42074">
        <w:rPr>
          <w:rFonts w:ascii="Times New Roman" w:hAnsi="Times New Roman" w:cs="Times New Roman"/>
          <w:i/>
          <w:iCs/>
          <w:color w:val="0D0D0D" w:themeColor="text1" w:themeTint="F2"/>
          <w:sz w:val="24"/>
          <w:szCs w:val="24"/>
        </w:rPr>
        <w:t xml:space="preserve">VOLUNTAS: International Journal of Voluntary and </w:t>
      </w:r>
      <w:proofErr w:type="spellStart"/>
      <w:r w:rsidRPr="00E42074">
        <w:rPr>
          <w:rFonts w:ascii="Times New Roman" w:hAnsi="Times New Roman" w:cs="Times New Roman"/>
          <w:i/>
          <w:iCs/>
          <w:color w:val="0D0D0D" w:themeColor="text1" w:themeTint="F2"/>
          <w:sz w:val="24"/>
          <w:szCs w:val="24"/>
        </w:rPr>
        <w:t>Nonprofit</w:t>
      </w:r>
      <w:proofErr w:type="spellEnd"/>
      <w:r w:rsidRPr="00E42074">
        <w:rPr>
          <w:rFonts w:ascii="Times New Roman" w:hAnsi="Times New Roman" w:cs="Times New Roman"/>
          <w:i/>
          <w:iCs/>
          <w:color w:val="0D0D0D" w:themeColor="text1" w:themeTint="F2"/>
          <w:sz w:val="24"/>
          <w:szCs w:val="24"/>
        </w:rPr>
        <w:t xml:space="preserve"> Organizations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31</w:t>
      </w:r>
      <w:r w:rsidRPr="00E42074">
        <w:rPr>
          <w:rFonts w:ascii="Times New Roman" w:hAnsi="Times New Roman" w:cs="Times New Roman"/>
          <w:color w:val="0D0D0D" w:themeColor="text1" w:themeTint="F2"/>
          <w:sz w:val="24"/>
          <w:szCs w:val="24"/>
        </w:rPr>
        <w:t>(3), pp.494-510.</w:t>
      </w:r>
      <w:r w:rsidRPr="00E42074">
        <w:rPr>
          <w:rFonts w:ascii="Times New Roman" w:eastAsia="Times New Roman" w:hAnsi="Times New Roman" w:cs="Times New Roman"/>
          <w:color w:val="0D0D0D" w:themeColor="text1" w:themeTint="F2"/>
          <w:sz w:val="24"/>
          <w:szCs w:val="24"/>
        </w:rPr>
        <w:t xml:space="preserve"> </w:t>
      </w:r>
    </w:p>
    <w:p w14:paraId="44A714FF"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Santos, M.R. and Laureano, R.M., 2023. Developing a vulnerability-based conceptual model for managing risk in non-profit projects: A </w:t>
      </w:r>
      <w:proofErr w:type="spellStart"/>
      <w:r w:rsidRPr="00E42074">
        <w:rPr>
          <w:rFonts w:ascii="Times New Roman" w:hAnsi="Times New Roman" w:cs="Times New Roman"/>
          <w:color w:val="0D0D0D" w:themeColor="text1" w:themeTint="F2"/>
          <w:sz w:val="24"/>
          <w:szCs w:val="24"/>
        </w:rPr>
        <w:t>multicase</w:t>
      </w:r>
      <w:proofErr w:type="spellEnd"/>
      <w:r w:rsidRPr="00E42074">
        <w:rPr>
          <w:rFonts w:ascii="Times New Roman" w:hAnsi="Times New Roman" w:cs="Times New Roman"/>
          <w:color w:val="0D0D0D" w:themeColor="text1" w:themeTint="F2"/>
          <w:sz w:val="24"/>
          <w:szCs w:val="24"/>
        </w:rPr>
        <w:t xml:space="preserve"> study in a European country. </w:t>
      </w:r>
      <w:r w:rsidRPr="00E42074">
        <w:rPr>
          <w:rFonts w:ascii="Times New Roman" w:hAnsi="Times New Roman" w:cs="Times New Roman"/>
          <w:i/>
          <w:iCs/>
          <w:color w:val="0D0D0D" w:themeColor="text1" w:themeTint="F2"/>
          <w:sz w:val="24"/>
          <w:szCs w:val="24"/>
        </w:rPr>
        <w:t>Public Management Review</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25</w:t>
      </w:r>
      <w:r w:rsidRPr="00E42074">
        <w:rPr>
          <w:rFonts w:ascii="Times New Roman" w:hAnsi="Times New Roman" w:cs="Times New Roman"/>
          <w:color w:val="0D0D0D" w:themeColor="text1" w:themeTint="F2"/>
          <w:sz w:val="24"/>
          <w:szCs w:val="24"/>
        </w:rPr>
        <w:t>(2), pp.313-339.</w:t>
      </w:r>
      <w:r w:rsidRPr="00E42074">
        <w:rPr>
          <w:rFonts w:ascii="Times New Roman" w:eastAsia="Times New Roman" w:hAnsi="Times New Roman" w:cs="Times New Roman"/>
          <w:color w:val="0D0D0D" w:themeColor="text1" w:themeTint="F2"/>
          <w:sz w:val="24"/>
          <w:szCs w:val="24"/>
        </w:rPr>
        <w:t xml:space="preserve"> </w:t>
      </w:r>
    </w:p>
    <w:p w14:paraId="58DD66C2"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Sanzo</w:t>
      </w:r>
      <w:proofErr w:type="spellEnd"/>
      <w:r w:rsidRPr="00E42074">
        <w:rPr>
          <w:rFonts w:ascii="Times New Roman" w:eastAsia="Times New Roman" w:hAnsi="Times New Roman" w:cs="Times New Roman"/>
          <w:color w:val="0D0D0D" w:themeColor="text1" w:themeTint="F2"/>
          <w:sz w:val="24"/>
          <w:szCs w:val="24"/>
          <w:lang w:eastAsia="en-IN"/>
        </w:rPr>
        <w:t>-Pérez, M.J., Rey-</w:t>
      </w:r>
      <w:proofErr w:type="spellStart"/>
      <w:r w:rsidRPr="00E42074">
        <w:rPr>
          <w:rFonts w:ascii="Times New Roman" w:eastAsia="Times New Roman" w:hAnsi="Times New Roman" w:cs="Times New Roman"/>
          <w:color w:val="0D0D0D" w:themeColor="text1" w:themeTint="F2"/>
          <w:sz w:val="24"/>
          <w:szCs w:val="24"/>
          <w:lang w:eastAsia="en-IN"/>
        </w:rPr>
        <w:t>García</w:t>
      </w:r>
      <w:proofErr w:type="spellEnd"/>
      <w:r w:rsidRPr="00E42074">
        <w:rPr>
          <w:rFonts w:ascii="Times New Roman" w:eastAsia="Times New Roman" w:hAnsi="Times New Roman" w:cs="Times New Roman"/>
          <w:color w:val="0D0D0D" w:themeColor="text1" w:themeTint="F2"/>
          <w:sz w:val="24"/>
          <w:szCs w:val="24"/>
          <w:lang w:eastAsia="en-IN"/>
        </w:rPr>
        <w:t xml:space="preserve">, M. and Álvarez-González, L.I., 2022. Downward accountability to beneficiaries in social enterprises: do partnerships with </w:t>
      </w:r>
      <w:proofErr w:type="spellStart"/>
      <w:r w:rsidRPr="00E42074">
        <w:rPr>
          <w:rFonts w:ascii="Times New Roman" w:eastAsia="Times New Roman" w:hAnsi="Times New Roman" w:cs="Times New Roman"/>
          <w:color w:val="0D0D0D" w:themeColor="text1" w:themeTint="F2"/>
          <w:sz w:val="24"/>
          <w:szCs w:val="24"/>
          <w:lang w:eastAsia="en-IN"/>
        </w:rPr>
        <w:t>nonprofits</w:t>
      </w:r>
      <w:proofErr w:type="spellEnd"/>
      <w:r w:rsidRPr="00E42074">
        <w:rPr>
          <w:rFonts w:ascii="Times New Roman" w:eastAsia="Times New Roman" w:hAnsi="Times New Roman" w:cs="Times New Roman"/>
          <w:color w:val="0D0D0D" w:themeColor="text1" w:themeTint="F2"/>
          <w:sz w:val="24"/>
          <w:szCs w:val="24"/>
          <w:lang w:eastAsia="en-IN"/>
        </w:rPr>
        <w:t xml:space="preserve"> boost it without undermining accountability to other stakeholders</w:t>
      </w:r>
      <w:proofErr w:type="gramStart"/>
      <w:r w:rsidRPr="00E42074">
        <w:rPr>
          <w:rFonts w:ascii="Times New Roman" w:eastAsia="Times New Roman" w:hAnsi="Times New Roman" w:cs="Times New Roman"/>
          <w:color w:val="0D0D0D" w:themeColor="text1" w:themeTint="F2"/>
          <w:sz w:val="24"/>
          <w:szCs w:val="24"/>
          <w:lang w:eastAsia="en-IN"/>
        </w:rPr>
        <w:t>?.</w:t>
      </w:r>
      <w:proofErr w:type="gramEnd"/>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Review of managerial science</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16</w:t>
      </w:r>
      <w:r w:rsidRPr="00E42074">
        <w:rPr>
          <w:rFonts w:ascii="Times New Roman" w:eastAsia="Times New Roman" w:hAnsi="Times New Roman" w:cs="Times New Roman"/>
          <w:color w:val="0D0D0D" w:themeColor="text1" w:themeTint="F2"/>
          <w:sz w:val="24"/>
          <w:szCs w:val="24"/>
          <w:lang w:eastAsia="en-IN"/>
        </w:rPr>
        <w:t>(5), pp.1533-1560. </w:t>
      </w:r>
    </w:p>
    <w:p w14:paraId="40BBFE70"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Sawadogo-Lewis, T., Bryant, R. and </w:t>
      </w:r>
      <w:proofErr w:type="spellStart"/>
      <w:r w:rsidRPr="00E42074">
        <w:rPr>
          <w:rFonts w:ascii="Times New Roman" w:eastAsia="Times New Roman" w:hAnsi="Times New Roman" w:cs="Times New Roman"/>
          <w:color w:val="0D0D0D" w:themeColor="text1" w:themeTint="F2"/>
          <w:sz w:val="24"/>
          <w:szCs w:val="24"/>
          <w:lang w:val="en-GB"/>
        </w:rPr>
        <w:t>Roberton</w:t>
      </w:r>
      <w:proofErr w:type="spellEnd"/>
      <w:r w:rsidRPr="00E42074">
        <w:rPr>
          <w:rFonts w:ascii="Times New Roman" w:eastAsia="Times New Roman" w:hAnsi="Times New Roman" w:cs="Times New Roman"/>
          <w:color w:val="0D0D0D" w:themeColor="text1" w:themeTint="F2"/>
          <w:sz w:val="24"/>
          <w:szCs w:val="24"/>
          <w:lang w:val="en-GB"/>
        </w:rPr>
        <w:t xml:space="preserve">, T., 2022. NGO perspectives on the challenges and opportunities for real-world evaluation: a qualitative study. </w:t>
      </w:r>
      <w:r w:rsidRPr="00E42074">
        <w:rPr>
          <w:rFonts w:ascii="Times New Roman" w:eastAsia="Times New Roman" w:hAnsi="Times New Roman" w:cs="Times New Roman"/>
          <w:i/>
          <w:iCs/>
          <w:color w:val="0D0D0D" w:themeColor="text1" w:themeTint="F2"/>
          <w:sz w:val="24"/>
          <w:szCs w:val="24"/>
          <w:lang w:val="en-GB"/>
        </w:rPr>
        <w:t>Global health action</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15</w:t>
      </w:r>
      <w:r w:rsidRPr="00E42074">
        <w:rPr>
          <w:rFonts w:ascii="Times New Roman" w:eastAsia="Times New Roman" w:hAnsi="Times New Roman" w:cs="Times New Roman"/>
          <w:color w:val="0D0D0D" w:themeColor="text1" w:themeTint="F2"/>
          <w:sz w:val="24"/>
          <w:szCs w:val="24"/>
          <w:lang w:val="en-GB"/>
        </w:rPr>
        <w:t>(1), p.2088083.</w:t>
      </w:r>
    </w:p>
    <w:p w14:paraId="071CDFFD"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Sayarifard, A., Nazari, M., </w:t>
      </w:r>
      <w:proofErr w:type="spellStart"/>
      <w:r w:rsidRPr="00E42074">
        <w:rPr>
          <w:rFonts w:ascii="Times New Roman" w:eastAsia="Times New Roman" w:hAnsi="Times New Roman" w:cs="Times New Roman"/>
          <w:color w:val="0D0D0D" w:themeColor="text1" w:themeTint="F2"/>
          <w:sz w:val="24"/>
          <w:szCs w:val="24"/>
          <w:lang w:val="en-GB"/>
        </w:rPr>
        <w:t>Rajabi</w:t>
      </w:r>
      <w:proofErr w:type="spellEnd"/>
      <w:r w:rsidRPr="00E42074">
        <w:rPr>
          <w:rFonts w:ascii="Times New Roman" w:eastAsia="Times New Roman" w:hAnsi="Times New Roman" w:cs="Times New Roman"/>
          <w:color w:val="0D0D0D" w:themeColor="text1" w:themeTint="F2"/>
          <w:sz w:val="24"/>
          <w:szCs w:val="24"/>
          <w:lang w:val="en-GB"/>
        </w:rPr>
        <w:t xml:space="preserve">, F., </w:t>
      </w:r>
      <w:proofErr w:type="spellStart"/>
      <w:r w:rsidRPr="00E42074">
        <w:rPr>
          <w:rFonts w:ascii="Times New Roman" w:eastAsia="Times New Roman" w:hAnsi="Times New Roman" w:cs="Times New Roman"/>
          <w:color w:val="0D0D0D" w:themeColor="text1" w:themeTint="F2"/>
          <w:sz w:val="24"/>
          <w:szCs w:val="24"/>
          <w:lang w:val="en-GB"/>
        </w:rPr>
        <w:t>Ghadirian</w:t>
      </w:r>
      <w:proofErr w:type="spellEnd"/>
      <w:r w:rsidRPr="00E42074">
        <w:rPr>
          <w:rFonts w:ascii="Times New Roman" w:eastAsia="Times New Roman" w:hAnsi="Times New Roman" w:cs="Times New Roman"/>
          <w:color w:val="0D0D0D" w:themeColor="text1" w:themeTint="F2"/>
          <w:sz w:val="24"/>
          <w:szCs w:val="24"/>
          <w:lang w:val="en-GB"/>
        </w:rPr>
        <w:t xml:space="preserve">, L. and </w:t>
      </w:r>
      <w:proofErr w:type="spellStart"/>
      <w:r w:rsidRPr="00E42074">
        <w:rPr>
          <w:rFonts w:ascii="Times New Roman" w:eastAsia="Times New Roman" w:hAnsi="Times New Roman" w:cs="Times New Roman"/>
          <w:color w:val="0D0D0D" w:themeColor="text1" w:themeTint="F2"/>
          <w:sz w:val="24"/>
          <w:szCs w:val="24"/>
          <w:lang w:val="en-GB"/>
        </w:rPr>
        <w:t>Sajadi</w:t>
      </w:r>
      <w:proofErr w:type="spellEnd"/>
      <w:r w:rsidRPr="00E42074">
        <w:rPr>
          <w:rFonts w:ascii="Times New Roman" w:eastAsia="Times New Roman" w:hAnsi="Times New Roman" w:cs="Times New Roman"/>
          <w:color w:val="0D0D0D" w:themeColor="text1" w:themeTint="F2"/>
          <w:sz w:val="24"/>
          <w:szCs w:val="24"/>
          <w:lang w:val="en-GB"/>
        </w:rPr>
        <w:t xml:space="preserve">, H.S., 2022. Identifying the non-governmental organizations' activities and challenges in response to the COVID-19 pandemic in Iran. </w:t>
      </w:r>
      <w:r w:rsidRPr="00E42074">
        <w:rPr>
          <w:rFonts w:ascii="Times New Roman" w:eastAsia="Times New Roman" w:hAnsi="Times New Roman" w:cs="Times New Roman"/>
          <w:i/>
          <w:iCs/>
          <w:color w:val="0D0D0D" w:themeColor="text1" w:themeTint="F2"/>
          <w:sz w:val="24"/>
          <w:szCs w:val="24"/>
          <w:lang w:val="en-GB"/>
        </w:rPr>
        <w:t>BMC Public Health</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22</w:t>
      </w:r>
      <w:r w:rsidRPr="00E42074">
        <w:rPr>
          <w:rFonts w:ascii="Times New Roman" w:eastAsia="Times New Roman" w:hAnsi="Times New Roman" w:cs="Times New Roman"/>
          <w:color w:val="0D0D0D" w:themeColor="text1" w:themeTint="F2"/>
          <w:sz w:val="24"/>
          <w:szCs w:val="24"/>
          <w:lang w:val="en-GB"/>
        </w:rPr>
        <w:t>(1), p.704.</w:t>
      </w:r>
    </w:p>
    <w:p w14:paraId="79C9A374"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Schätzlein</w:t>
      </w:r>
      <w:proofErr w:type="spellEnd"/>
      <w:r w:rsidRPr="00E42074">
        <w:rPr>
          <w:rFonts w:ascii="Times New Roman" w:hAnsi="Times New Roman" w:cs="Times New Roman"/>
          <w:color w:val="0D0D0D" w:themeColor="text1" w:themeTint="F2"/>
          <w:sz w:val="24"/>
          <w:szCs w:val="24"/>
        </w:rPr>
        <w:t xml:space="preserve">, L., </w:t>
      </w:r>
      <w:proofErr w:type="spellStart"/>
      <w:r w:rsidRPr="00E42074">
        <w:rPr>
          <w:rFonts w:ascii="Times New Roman" w:hAnsi="Times New Roman" w:cs="Times New Roman"/>
          <w:color w:val="0D0D0D" w:themeColor="text1" w:themeTint="F2"/>
          <w:sz w:val="24"/>
          <w:szCs w:val="24"/>
        </w:rPr>
        <w:t>Schlütter</w:t>
      </w:r>
      <w:proofErr w:type="spellEnd"/>
      <w:r w:rsidRPr="00E42074">
        <w:rPr>
          <w:rFonts w:ascii="Times New Roman" w:hAnsi="Times New Roman" w:cs="Times New Roman"/>
          <w:color w:val="0D0D0D" w:themeColor="text1" w:themeTint="F2"/>
          <w:sz w:val="24"/>
          <w:szCs w:val="24"/>
        </w:rPr>
        <w:t xml:space="preserve">, D. and Hahn, R., 2023. Managing the external financing constraints of social enterprises: A systematic review of a diversified research landscape. </w:t>
      </w:r>
      <w:r w:rsidRPr="00E42074">
        <w:rPr>
          <w:rFonts w:ascii="Times New Roman" w:hAnsi="Times New Roman" w:cs="Times New Roman"/>
          <w:i/>
          <w:iCs/>
          <w:color w:val="0D0D0D" w:themeColor="text1" w:themeTint="F2"/>
          <w:sz w:val="24"/>
          <w:szCs w:val="24"/>
        </w:rPr>
        <w:t>International Journal of Management Reviews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25</w:t>
      </w:r>
      <w:r w:rsidRPr="00E42074">
        <w:rPr>
          <w:rFonts w:ascii="Times New Roman" w:hAnsi="Times New Roman" w:cs="Times New Roman"/>
          <w:color w:val="0D0D0D" w:themeColor="text1" w:themeTint="F2"/>
          <w:sz w:val="24"/>
          <w:szCs w:val="24"/>
        </w:rPr>
        <w:t>(1), pp.176-199.</w:t>
      </w:r>
      <w:r w:rsidRPr="00E42074">
        <w:rPr>
          <w:rFonts w:ascii="Times New Roman" w:eastAsia="Times New Roman" w:hAnsi="Times New Roman" w:cs="Times New Roman"/>
          <w:color w:val="0D0D0D" w:themeColor="text1" w:themeTint="F2"/>
          <w:sz w:val="24"/>
          <w:szCs w:val="24"/>
        </w:rPr>
        <w:t xml:space="preserve"> </w:t>
      </w:r>
    </w:p>
    <w:p w14:paraId="4790A256"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Shelley, A., </w:t>
      </w:r>
      <w:proofErr w:type="spellStart"/>
      <w:r w:rsidRPr="00E42074">
        <w:rPr>
          <w:rFonts w:ascii="Times New Roman" w:eastAsia="Times New Roman" w:hAnsi="Times New Roman" w:cs="Times New Roman"/>
          <w:color w:val="0D0D0D" w:themeColor="text1" w:themeTint="F2"/>
          <w:sz w:val="24"/>
          <w:szCs w:val="24"/>
          <w:lang w:eastAsia="en-IN"/>
        </w:rPr>
        <w:t>MacNamara</w:t>
      </w:r>
      <w:proofErr w:type="spellEnd"/>
      <w:r w:rsidRPr="00E42074">
        <w:rPr>
          <w:rFonts w:ascii="Times New Roman" w:eastAsia="Times New Roman" w:hAnsi="Times New Roman" w:cs="Times New Roman"/>
          <w:color w:val="0D0D0D" w:themeColor="text1" w:themeTint="F2"/>
          <w:sz w:val="24"/>
          <w:szCs w:val="24"/>
          <w:lang w:eastAsia="en-IN"/>
        </w:rPr>
        <w:t xml:space="preserve">, Á., Behan, S., McCarthy, N., Jones, B. and Taylor, J., 2025. No solutions, only trade-offs: An exploration of contextual factors influencing rugby union talent development environments. </w:t>
      </w:r>
      <w:r w:rsidRPr="00E42074">
        <w:rPr>
          <w:rFonts w:ascii="Times New Roman" w:eastAsia="Times New Roman" w:hAnsi="Times New Roman" w:cs="Times New Roman"/>
          <w:i/>
          <w:iCs/>
          <w:color w:val="0D0D0D" w:themeColor="text1" w:themeTint="F2"/>
          <w:sz w:val="24"/>
          <w:szCs w:val="24"/>
          <w:lang w:eastAsia="en-IN"/>
        </w:rPr>
        <w:t>Journal of Sports Sciences</w:t>
      </w:r>
      <w:r w:rsidRPr="00E42074">
        <w:rPr>
          <w:rFonts w:ascii="Times New Roman" w:eastAsia="Times New Roman" w:hAnsi="Times New Roman" w:cs="Times New Roman"/>
          <w:color w:val="0D0D0D" w:themeColor="text1" w:themeTint="F2"/>
          <w:sz w:val="24"/>
          <w:szCs w:val="24"/>
          <w:lang w:eastAsia="en-IN"/>
        </w:rPr>
        <w:t>, pp.1-12. </w:t>
      </w:r>
    </w:p>
    <w:p w14:paraId="12B08733"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eastAsia="Times New Roman" w:hAnsi="Times New Roman" w:cs="Times New Roman"/>
          <w:color w:val="0D0D0D" w:themeColor="text1" w:themeTint="F2"/>
          <w:sz w:val="24"/>
          <w:szCs w:val="24"/>
        </w:rPr>
        <w:lastRenderedPageBreak/>
        <w:t xml:space="preserve">Singh, S. S., 2024. Localisation – An Unfinished Agenda Beyond 2026. IASC. </w:t>
      </w:r>
      <w:hyperlink r:id="rId16">
        <w:r w:rsidRPr="00E42074">
          <w:rPr>
            <w:rFonts w:ascii="Times New Roman" w:eastAsia="Times New Roman" w:hAnsi="Times New Roman" w:cs="Times New Roman"/>
            <w:color w:val="0D0D0D" w:themeColor="text1" w:themeTint="F2"/>
            <w:sz w:val="24"/>
            <w:szCs w:val="24"/>
            <w:u w:val="single"/>
          </w:rPr>
          <w:t>https://interagencystandingcommittee.org/sites/default/files/2024-09/Beyond%202026_Final.pdf</w:t>
        </w:r>
      </w:hyperlink>
    </w:p>
    <w:p w14:paraId="193F6DB8"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Singh, S., Martins, A. and Tefera, O., 2025. Green human resource management and Sustainable Development Goals in non-profit organisations. </w:t>
      </w:r>
      <w:r w:rsidRPr="00E42074">
        <w:rPr>
          <w:rFonts w:ascii="Times New Roman" w:hAnsi="Times New Roman" w:cs="Times New Roman"/>
          <w:i/>
          <w:iCs/>
          <w:color w:val="0D0D0D" w:themeColor="text1" w:themeTint="F2"/>
          <w:sz w:val="24"/>
          <w:szCs w:val="24"/>
        </w:rPr>
        <w:t>SA Journal of Human Resource Management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23</w:t>
      </w:r>
      <w:r w:rsidRPr="00E42074">
        <w:rPr>
          <w:rFonts w:ascii="Times New Roman" w:hAnsi="Times New Roman" w:cs="Times New Roman"/>
          <w:color w:val="0D0D0D" w:themeColor="text1" w:themeTint="F2"/>
          <w:sz w:val="24"/>
          <w:szCs w:val="24"/>
        </w:rPr>
        <w:t>, p.2780.</w:t>
      </w:r>
      <w:r w:rsidRPr="00E42074">
        <w:rPr>
          <w:rFonts w:ascii="Times New Roman" w:eastAsia="Times New Roman" w:hAnsi="Times New Roman" w:cs="Times New Roman"/>
          <w:color w:val="0D0D0D" w:themeColor="text1" w:themeTint="F2"/>
          <w:sz w:val="24"/>
          <w:szCs w:val="24"/>
        </w:rPr>
        <w:t xml:space="preserve"> </w:t>
      </w:r>
    </w:p>
    <w:p w14:paraId="3160FC8B"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Sott</w:t>
      </w:r>
      <w:proofErr w:type="spellEnd"/>
      <w:r w:rsidRPr="00E42074">
        <w:rPr>
          <w:rFonts w:ascii="Times New Roman" w:hAnsi="Times New Roman" w:cs="Times New Roman"/>
          <w:color w:val="0D0D0D" w:themeColor="text1" w:themeTint="F2"/>
          <w:sz w:val="24"/>
          <w:szCs w:val="24"/>
        </w:rPr>
        <w:t xml:space="preserve">, M.K. and Bender, M.S., 2025. The role of adaptive leadership in times of crisis: A systematic review and conceptual framework. </w:t>
      </w:r>
      <w:r w:rsidRPr="00E42074">
        <w:rPr>
          <w:rFonts w:ascii="Times New Roman" w:hAnsi="Times New Roman" w:cs="Times New Roman"/>
          <w:i/>
          <w:iCs/>
          <w:color w:val="0D0D0D" w:themeColor="text1" w:themeTint="F2"/>
          <w:sz w:val="24"/>
          <w:szCs w:val="24"/>
        </w:rPr>
        <w:t>Merits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5</w:t>
      </w:r>
      <w:r w:rsidRPr="00E42074">
        <w:rPr>
          <w:rFonts w:ascii="Times New Roman" w:hAnsi="Times New Roman" w:cs="Times New Roman"/>
          <w:color w:val="0D0D0D" w:themeColor="text1" w:themeTint="F2"/>
          <w:sz w:val="24"/>
          <w:szCs w:val="24"/>
        </w:rPr>
        <w:t>(1), p.2.</w:t>
      </w:r>
      <w:r w:rsidRPr="00E42074">
        <w:rPr>
          <w:rFonts w:ascii="Times New Roman" w:eastAsia="Times New Roman" w:hAnsi="Times New Roman" w:cs="Times New Roman"/>
          <w:color w:val="0D0D0D" w:themeColor="text1" w:themeTint="F2"/>
          <w:sz w:val="24"/>
          <w:szCs w:val="24"/>
        </w:rPr>
        <w:t xml:space="preserve"> </w:t>
      </w:r>
    </w:p>
    <w:p w14:paraId="70C52C05"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proofErr w:type="spellStart"/>
      <w:r w:rsidRPr="00E42074">
        <w:rPr>
          <w:rFonts w:ascii="Times New Roman" w:eastAsia="Times New Roman" w:hAnsi="Times New Roman" w:cs="Times New Roman"/>
          <w:color w:val="0D0D0D" w:themeColor="text1" w:themeTint="F2"/>
          <w:sz w:val="24"/>
          <w:szCs w:val="24"/>
          <w:lang w:eastAsia="en-IN"/>
        </w:rPr>
        <w:t>Sydorenko</w:t>
      </w:r>
      <w:proofErr w:type="spellEnd"/>
      <w:r w:rsidRPr="00E42074">
        <w:rPr>
          <w:rFonts w:ascii="Times New Roman" w:eastAsia="Times New Roman" w:hAnsi="Times New Roman" w:cs="Times New Roman"/>
          <w:color w:val="0D0D0D" w:themeColor="text1" w:themeTint="F2"/>
          <w:sz w:val="24"/>
          <w:szCs w:val="24"/>
          <w:lang w:eastAsia="en-IN"/>
        </w:rPr>
        <w:t xml:space="preserve">, V.V., </w:t>
      </w:r>
      <w:proofErr w:type="spellStart"/>
      <w:r w:rsidRPr="00E42074">
        <w:rPr>
          <w:rFonts w:ascii="Times New Roman" w:eastAsia="Times New Roman" w:hAnsi="Times New Roman" w:cs="Times New Roman"/>
          <w:color w:val="0D0D0D" w:themeColor="text1" w:themeTint="F2"/>
          <w:sz w:val="24"/>
          <w:szCs w:val="24"/>
          <w:lang w:eastAsia="en-IN"/>
        </w:rPr>
        <w:t>Akhnovska</w:t>
      </w:r>
      <w:proofErr w:type="spellEnd"/>
      <w:r w:rsidRPr="00E42074">
        <w:rPr>
          <w:rFonts w:ascii="Times New Roman" w:eastAsia="Times New Roman" w:hAnsi="Times New Roman" w:cs="Times New Roman"/>
          <w:color w:val="0D0D0D" w:themeColor="text1" w:themeTint="F2"/>
          <w:sz w:val="24"/>
          <w:szCs w:val="24"/>
          <w:lang w:eastAsia="en-IN"/>
        </w:rPr>
        <w:t xml:space="preserve">, I.O., Smirnov, S., </w:t>
      </w:r>
      <w:proofErr w:type="spellStart"/>
      <w:r w:rsidRPr="00E42074">
        <w:rPr>
          <w:rFonts w:ascii="Times New Roman" w:eastAsia="Times New Roman" w:hAnsi="Times New Roman" w:cs="Times New Roman"/>
          <w:color w:val="0D0D0D" w:themeColor="text1" w:themeTint="F2"/>
          <w:sz w:val="24"/>
          <w:szCs w:val="24"/>
          <w:lang w:eastAsia="en-IN"/>
        </w:rPr>
        <w:t>Verbovskyi</w:t>
      </w:r>
      <w:proofErr w:type="spellEnd"/>
      <w:r w:rsidRPr="00E42074">
        <w:rPr>
          <w:rFonts w:ascii="Times New Roman" w:eastAsia="Times New Roman" w:hAnsi="Times New Roman" w:cs="Times New Roman"/>
          <w:color w:val="0D0D0D" w:themeColor="text1" w:themeTint="F2"/>
          <w:sz w:val="24"/>
          <w:szCs w:val="24"/>
          <w:lang w:eastAsia="en-IN"/>
        </w:rPr>
        <w:t>, I. and Melnychuk, O.V., 2024. Improvement of higher education: how to bridge the digital divide during the transformation</w:t>
      </w:r>
      <w:proofErr w:type="gramStart"/>
      <w:r w:rsidRPr="00E42074">
        <w:rPr>
          <w:rFonts w:ascii="Times New Roman" w:eastAsia="Times New Roman" w:hAnsi="Times New Roman" w:cs="Times New Roman"/>
          <w:color w:val="0D0D0D" w:themeColor="text1" w:themeTint="F2"/>
          <w:sz w:val="24"/>
          <w:szCs w:val="24"/>
          <w:lang w:eastAsia="en-IN"/>
        </w:rPr>
        <w:t>?.</w:t>
      </w:r>
      <w:proofErr w:type="gramEnd"/>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Journal of Education and Learning (</w:t>
      </w:r>
      <w:proofErr w:type="spellStart"/>
      <w:r w:rsidRPr="00E42074">
        <w:rPr>
          <w:rFonts w:ascii="Times New Roman" w:eastAsia="Times New Roman" w:hAnsi="Times New Roman" w:cs="Times New Roman"/>
          <w:i/>
          <w:iCs/>
          <w:color w:val="0D0D0D" w:themeColor="text1" w:themeTint="F2"/>
          <w:sz w:val="24"/>
          <w:szCs w:val="24"/>
          <w:lang w:eastAsia="en-IN"/>
        </w:rPr>
        <w:t>EduLearn</w:t>
      </w:r>
      <w:proofErr w:type="spellEnd"/>
      <w:r w:rsidRPr="00E42074">
        <w:rPr>
          <w:rFonts w:ascii="Times New Roman" w:eastAsia="Times New Roman" w:hAnsi="Times New Roman" w:cs="Times New Roman"/>
          <w:i/>
          <w:iCs/>
          <w:color w:val="0D0D0D" w:themeColor="text1" w:themeTint="F2"/>
          <w:sz w:val="24"/>
          <w:szCs w:val="24"/>
          <w:lang w:eastAsia="en-IN"/>
        </w:rPr>
        <w:t>)</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18</w:t>
      </w:r>
      <w:r w:rsidRPr="00E42074">
        <w:rPr>
          <w:rFonts w:ascii="Times New Roman" w:eastAsia="Times New Roman" w:hAnsi="Times New Roman" w:cs="Times New Roman"/>
          <w:color w:val="0D0D0D" w:themeColor="text1" w:themeTint="F2"/>
          <w:sz w:val="24"/>
          <w:szCs w:val="24"/>
          <w:lang w:eastAsia="en-IN"/>
        </w:rPr>
        <w:t>(3), pp.1001-1014. </w:t>
      </w:r>
    </w:p>
    <w:p w14:paraId="5736BF9D" w14:textId="77777777" w:rsidR="00E42074" w:rsidRPr="00E42074" w:rsidRDefault="00E42074" w:rsidP="00E42074">
      <w:pPr>
        <w:pStyle w:val="NormalWeb"/>
        <w:spacing w:before="0" w:beforeAutospacing="0" w:after="0" w:afterAutospacing="0" w:line="360" w:lineRule="auto"/>
        <w:jc w:val="both"/>
      </w:pPr>
      <w:proofErr w:type="spellStart"/>
      <w:r w:rsidRPr="00E42074">
        <w:rPr>
          <w:color w:val="000000"/>
        </w:rPr>
        <w:t>Thrassou</w:t>
      </w:r>
      <w:proofErr w:type="spellEnd"/>
      <w:r w:rsidRPr="00E42074">
        <w:rPr>
          <w:color w:val="000000"/>
        </w:rPr>
        <w:t xml:space="preserve">, A., </w:t>
      </w:r>
      <w:proofErr w:type="spellStart"/>
      <w:r w:rsidRPr="00E42074">
        <w:rPr>
          <w:color w:val="000000"/>
        </w:rPr>
        <w:t>Vrontis</w:t>
      </w:r>
      <w:proofErr w:type="spellEnd"/>
      <w:r w:rsidRPr="00E42074">
        <w:rPr>
          <w:color w:val="000000"/>
        </w:rPr>
        <w:t xml:space="preserve">, D., </w:t>
      </w:r>
      <w:proofErr w:type="spellStart"/>
      <w:r w:rsidRPr="00E42074">
        <w:rPr>
          <w:color w:val="000000"/>
        </w:rPr>
        <w:t>Efthymiou</w:t>
      </w:r>
      <w:proofErr w:type="spellEnd"/>
      <w:r w:rsidRPr="00E42074">
        <w:rPr>
          <w:color w:val="000000"/>
        </w:rPr>
        <w:t xml:space="preserve">, L. and </w:t>
      </w:r>
      <w:proofErr w:type="spellStart"/>
      <w:r w:rsidRPr="00E42074">
        <w:rPr>
          <w:color w:val="000000"/>
        </w:rPr>
        <w:t>Theofanous</w:t>
      </w:r>
      <w:proofErr w:type="spellEnd"/>
      <w:r w:rsidRPr="00E42074">
        <w:rPr>
          <w:color w:val="000000"/>
        </w:rPr>
        <w:t xml:space="preserve">, G., 2024. Delineating non-profit organisations: Economy, industries and context. In </w:t>
      </w:r>
      <w:r w:rsidRPr="00E42074">
        <w:rPr>
          <w:i/>
          <w:iCs/>
          <w:color w:val="000000"/>
        </w:rPr>
        <w:t>Non-Profit Organisations, Volume II: Economy, Industries and Context</w:t>
      </w:r>
      <w:r w:rsidRPr="00E42074">
        <w:rPr>
          <w:color w:val="000000"/>
        </w:rPr>
        <w:t xml:space="preserve"> (pp. 1-20). Cham: Springer Nature Switzerland. </w:t>
      </w:r>
    </w:p>
    <w:p w14:paraId="6A61D75A"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Tomlinson, B., 2025. Reflections on the Future of ODA: Is aid’s core mandate, reducing poverty and inequalities, on the verge of collapse? Can it be safeguarded</w:t>
      </w:r>
      <w:proofErr w:type="gramStart"/>
      <w:r w:rsidRPr="00E42074">
        <w:rPr>
          <w:rFonts w:ascii="Times New Roman" w:hAnsi="Times New Roman" w:cs="Times New Roman"/>
          <w:color w:val="0D0D0D" w:themeColor="text1" w:themeTint="F2"/>
          <w:sz w:val="24"/>
          <w:szCs w:val="24"/>
        </w:rPr>
        <w:t>?.</w:t>
      </w:r>
      <w:proofErr w:type="gramEnd"/>
      <w:r w:rsidRPr="00E42074">
        <w:rPr>
          <w:rFonts w:ascii="Times New Roman" w:eastAsia="Times New Roman" w:hAnsi="Times New Roman" w:cs="Times New Roman"/>
          <w:color w:val="0D0D0D" w:themeColor="text1" w:themeTint="F2"/>
          <w:sz w:val="24"/>
          <w:szCs w:val="24"/>
        </w:rPr>
        <w:t xml:space="preserve"> </w:t>
      </w:r>
    </w:p>
    <w:p w14:paraId="468F986C"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proofErr w:type="spellStart"/>
      <w:r w:rsidRPr="00E42074">
        <w:rPr>
          <w:rFonts w:ascii="Times New Roman" w:hAnsi="Times New Roman" w:cs="Times New Roman"/>
          <w:color w:val="0D0D0D" w:themeColor="text1" w:themeTint="F2"/>
          <w:sz w:val="24"/>
          <w:szCs w:val="24"/>
        </w:rPr>
        <w:t>Tugyetwena</w:t>
      </w:r>
      <w:proofErr w:type="spellEnd"/>
      <w:r w:rsidRPr="00E42074">
        <w:rPr>
          <w:rFonts w:ascii="Times New Roman" w:hAnsi="Times New Roman" w:cs="Times New Roman"/>
          <w:color w:val="0D0D0D" w:themeColor="text1" w:themeTint="F2"/>
          <w:sz w:val="24"/>
          <w:szCs w:val="24"/>
        </w:rPr>
        <w:t xml:space="preserve">, M., 2023. A literature review of the relationship between governance, funding strategy and sustainability of non-government organizations. </w:t>
      </w:r>
      <w:r w:rsidRPr="00E42074">
        <w:rPr>
          <w:rFonts w:ascii="Times New Roman" w:hAnsi="Times New Roman" w:cs="Times New Roman"/>
          <w:i/>
          <w:iCs/>
          <w:color w:val="0D0D0D" w:themeColor="text1" w:themeTint="F2"/>
          <w:sz w:val="24"/>
          <w:szCs w:val="24"/>
        </w:rPr>
        <w:t>International NGO Journal</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18</w:t>
      </w:r>
      <w:r w:rsidRPr="00E42074">
        <w:rPr>
          <w:rFonts w:ascii="Times New Roman" w:hAnsi="Times New Roman" w:cs="Times New Roman"/>
          <w:color w:val="0D0D0D" w:themeColor="text1" w:themeTint="F2"/>
          <w:sz w:val="24"/>
          <w:szCs w:val="24"/>
        </w:rPr>
        <w:t>(2), pp.10-19.</w:t>
      </w:r>
      <w:r w:rsidRPr="00E42074">
        <w:rPr>
          <w:rFonts w:ascii="Times New Roman" w:eastAsia="Times New Roman" w:hAnsi="Times New Roman" w:cs="Times New Roman"/>
          <w:color w:val="0D0D0D" w:themeColor="text1" w:themeTint="F2"/>
          <w:sz w:val="24"/>
          <w:szCs w:val="24"/>
        </w:rPr>
        <w:t xml:space="preserve"> </w:t>
      </w:r>
    </w:p>
    <w:p w14:paraId="0DD74353"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Umar, Z. and Verma, A., 2023. Corporate Social Responsibility: Issues and Challenges. </w:t>
      </w:r>
      <w:r w:rsidRPr="00E42074">
        <w:rPr>
          <w:rFonts w:ascii="Times New Roman" w:hAnsi="Times New Roman" w:cs="Times New Roman"/>
          <w:i/>
          <w:iCs/>
          <w:color w:val="0D0D0D" w:themeColor="text1" w:themeTint="F2"/>
          <w:sz w:val="24"/>
          <w:szCs w:val="24"/>
        </w:rPr>
        <w:t xml:space="preserve">Issue 2 Indian JL &amp; Legal </w:t>
      </w:r>
      <w:proofErr w:type="spellStart"/>
      <w:r w:rsidRPr="00E42074">
        <w:rPr>
          <w:rFonts w:ascii="Times New Roman" w:hAnsi="Times New Roman" w:cs="Times New Roman"/>
          <w:i/>
          <w:iCs/>
          <w:color w:val="0D0D0D" w:themeColor="text1" w:themeTint="F2"/>
          <w:sz w:val="24"/>
          <w:szCs w:val="24"/>
        </w:rPr>
        <w:t>Rsch</w:t>
      </w:r>
      <w:proofErr w:type="spellEnd"/>
      <w:r w:rsidRPr="00E42074">
        <w:rPr>
          <w:rFonts w:ascii="Times New Roman" w:hAnsi="Times New Roman" w:cs="Times New Roman"/>
          <w:i/>
          <w:iCs/>
          <w:color w:val="0D0D0D" w:themeColor="text1" w:themeTint="F2"/>
          <w:sz w:val="24"/>
          <w:szCs w:val="24"/>
        </w:rPr>
        <w:t>.</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5</w:t>
      </w:r>
      <w:r w:rsidRPr="00E42074">
        <w:rPr>
          <w:rFonts w:ascii="Times New Roman" w:hAnsi="Times New Roman" w:cs="Times New Roman"/>
          <w:color w:val="0D0D0D" w:themeColor="text1" w:themeTint="F2"/>
          <w:sz w:val="24"/>
          <w:szCs w:val="24"/>
        </w:rPr>
        <w:t>, p.1.</w:t>
      </w:r>
      <w:r w:rsidRPr="00E42074">
        <w:rPr>
          <w:rFonts w:ascii="Times New Roman" w:eastAsia="Times New Roman" w:hAnsi="Times New Roman" w:cs="Times New Roman"/>
          <w:color w:val="0D0D0D" w:themeColor="text1" w:themeTint="F2"/>
          <w:sz w:val="24"/>
          <w:szCs w:val="24"/>
        </w:rPr>
        <w:t xml:space="preserve"> </w:t>
      </w:r>
    </w:p>
    <w:p w14:paraId="163E83B3"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eastAsia="Times New Roman" w:hAnsi="Times New Roman" w:cs="Times New Roman"/>
          <w:color w:val="0D0D0D" w:themeColor="text1" w:themeTint="F2"/>
          <w:sz w:val="24"/>
          <w:szCs w:val="24"/>
        </w:rPr>
        <w:t xml:space="preserve">unstats.un.org, 2025. The Sustainable Development Goals Report 2025. United Nations. </w:t>
      </w:r>
      <w:hyperlink r:id="rId17">
        <w:r w:rsidRPr="00E42074">
          <w:rPr>
            <w:rFonts w:ascii="Times New Roman" w:eastAsia="Times New Roman" w:hAnsi="Times New Roman" w:cs="Times New Roman"/>
            <w:color w:val="0D0D0D" w:themeColor="text1" w:themeTint="F2"/>
            <w:sz w:val="24"/>
            <w:szCs w:val="24"/>
            <w:u w:val="single"/>
          </w:rPr>
          <w:t>https://unstats.un.org/sdgs/report/2025/The-Sustainable-Development-Goals-Report-2025.pdf</w:t>
        </w:r>
      </w:hyperlink>
    </w:p>
    <w:p w14:paraId="774F1482"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Valbuena‐Hernandez, J.P. and Ortiz‐de‐</w:t>
      </w:r>
      <w:proofErr w:type="spellStart"/>
      <w:r w:rsidRPr="00E42074">
        <w:rPr>
          <w:rFonts w:ascii="Times New Roman" w:eastAsia="Times New Roman" w:hAnsi="Times New Roman" w:cs="Times New Roman"/>
          <w:color w:val="0D0D0D" w:themeColor="text1" w:themeTint="F2"/>
          <w:sz w:val="24"/>
          <w:szCs w:val="24"/>
          <w:lang w:eastAsia="en-IN"/>
        </w:rPr>
        <w:t>Mandojana</w:t>
      </w:r>
      <w:proofErr w:type="spellEnd"/>
      <w:r w:rsidRPr="00E42074">
        <w:rPr>
          <w:rFonts w:ascii="Times New Roman" w:eastAsia="Times New Roman" w:hAnsi="Times New Roman" w:cs="Times New Roman"/>
          <w:color w:val="0D0D0D" w:themeColor="text1" w:themeTint="F2"/>
          <w:sz w:val="24"/>
          <w:szCs w:val="24"/>
          <w:lang w:eastAsia="en-IN"/>
        </w:rPr>
        <w:t xml:space="preserve">, N., 2022. Encouraging corporate sustainability through effective strategic partnerships. </w:t>
      </w:r>
      <w:r w:rsidRPr="00E42074">
        <w:rPr>
          <w:rFonts w:ascii="Times New Roman" w:eastAsia="Times New Roman" w:hAnsi="Times New Roman" w:cs="Times New Roman"/>
          <w:i/>
          <w:iCs/>
          <w:color w:val="0D0D0D" w:themeColor="text1" w:themeTint="F2"/>
          <w:sz w:val="24"/>
          <w:szCs w:val="24"/>
          <w:lang w:eastAsia="en-IN"/>
        </w:rPr>
        <w:t>Corporate Social Responsibility and Environmental Management</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29</w:t>
      </w:r>
      <w:r w:rsidRPr="00E42074">
        <w:rPr>
          <w:rFonts w:ascii="Times New Roman" w:eastAsia="Times New Roman" w:hAnsi="Times New Roman" w:cs="Times New Roman"/>
          <w:color w:val="0D0D0D" w:themeColor="text1" w:themeTint="F2"/>
          <w:sz w:val="24"/>
          <w:szCs w:val="24"/>
          <w:lang w:eastAsia="en-IN"/>
        </w:rPr>
        <w:t>(1), pp.124-134. </w:t>
      </w:r>
    </w:p>
    <w:p w14:paraId="2FD2BF0E" w14:textId="77777777" w:rsidR="00E42074" w:rsidRPr="00E42074" w:rsidRDefault="00E42074" w:rsidP="00973765">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E42074">
        <w:rPr>
          <w:rFonts w:ascii="Times New Roman" w:eastAsia="Times New Roman" w:hAnsi="Times New Roman" w:cs="Times New Roman"/>
          <w:color w:val="0D0D0D" w:themeColor="text1" w:themeTint="F2"/>
          <w:sz w:val="24"/>
          <w:szCs w:val="24"/>
          <w:lang w:val="en-GB"/>
        </w:rPr>
        <w:t xml:space="preserve">Wang, J.H., Dai, X., Wu, Y.H. and Chen, H.L., 2024. Innovation strategies and financial performance: a resource dependence perspective for Fintech management decision-making. </w:t>
      </w:r>
      <w:r w:rsidRPr="00E42074">
        <w:rPr>
          <w:rFonts w:ascii="Times New Roman" w:eastAsia="Times New Roman" w:hAnsi="Times New Roman" w:cs="Times New Roman"/>
          <w:i/>
          <w:iCs/>
          <w:color w:val="0D0D0D" w:themeColor="text1" w:themeTint="F2"/>
          <w:sz w:val="24"/>
          <w:szCs w:val="24"/>
          <w:lang w:val="en-GB"/>
        </w:rPr>
        <w:t>Journal of Organizational Change Management</w:t>
      </w:r>
      <w:r w:rsidRPr="00E42074">
        <w:rPr>
          <w:rFonts w:ascii="Times New Roman" w:eastAsia="Times New Roman" w:hAnsi="Times New Roman" w:cs="Times New Roman"/>
          <w:color w:val="0D0D0D" w:themeColor="text1" w:themeTint="F2"/>
          <w:sz w:val="24"/>
          <w:szCs w:val="24"/>
          <w:lang w:val="en-GB"/>
        </w:rPr>
        <w:t xml:space="preserve">, </w:t>
      </w:r>
      <w:r w:rsidRPr="00E42074">
        <w:rPr>
          <w:rFonts w:ascii="Times New Roman" w:eastAsia="Times New Roman" w:hAnsi="Times New Roman" w:cs="Times New Roman"/>
          <w:i/>
          <w:iCs/>
          <w:color w:val="0D0D0D" w:themeColor="text1" w:themeTint="F2"/>
          <w:sz w:val="24"/>
          <w:szCs w:val="24"/>
          <w:lang w:val="en-GB"/>
        </w:rPr>
        <w:t>37</w:t>
      </w:r>
      <w:r w:rsidRPr="00E42074">
        <w:rPr>
          <w:rFonts w:ascii="Times New Roman" w:eastAsia="Times New Roman" w:hAnsi="Times New Roman" w:cs="Times New Roman"/>
          <w:color w:val="0D0D0D" w:themeColor="text1" w:themeTint="F2"/>
          <w:sz w:val="24"/>
          <w:szCs w:val="24"/>
          <w:lang w:val="en-GB"/>
        </w:rPr>
        <w:t>(7), pp.1510-1534.</w:t>
      </w:r>
    </w:p>
    <w:p w14:paraId="42F8516E"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rPr>
      </w:pPr>
      <w:r w:rsidRPr="00E42074">
        <w:rPr>
          <w:rFonts w:ascii="Times New Roman" w:hAnsi="Times New Roman" w:cs="Times New Roman"/>
          <w:color w:val="0D0D0D" w:themeColor="text1" w:themeTint="F2"/>
          <w:sz w:val="24"/>
          <w:szCs w:val="24"/>
        </w:rPr>
        <w:t xml:space="preserve">Wilson, M.C. and </w:t>
      </w:r>
      <w:proofErr w:type="spellStart"/>
      <w:r w:rsidRPr="00E42074">
        <w:rPr>
          <w:rFonts w:ascii="Times New Roman" w:hAnsi="Times New Roman" w:cs="Times New Roman"/>
          <w:color w:val="0D0D0D" w:themeColor="text1" w:themeTint="F2"/>
          <w:sz w:val="24"/>
          <w:szCs w:val="24"/>
        </w:rPr>
        <w:t>Knutsen</w:t>
      </w:r>
      <w:proofErr w:type="spellEnd"/>
      <w:r w:rsidRPr="00E42074">
        <w:rPr>
          <w:rFonts w:ascii="Times New Roman" w:hAnsi="Times New Roman" w:cs="Times New Roman"/>
          <w:color w:val="0D0D0D" w:themeColor="text1" w:themeTint="F2"/>
          <w:sz w:val="24"/>
          <w:szCs w:val="24"/>
        </w:rPr>
        <w:t xml:space="preserve">, C.H., 2022. Geographical coverage in political science research. </w:t>
      </w:r>
      <w:r w:rsidRPr="00E42074">
        <w:rPr>
          <w:rFonts w:ascii="Times New Roman" w:hAnsi="Times New Roman" w:cs="Times New Roman"/>
          <w:i/>
          <w:iCs/>
          <w:color w:val="0D0D0D" w:themeColor="text1" w:themeTint="F2"/>
          <w:sz w:val="24"/>
          <w:szCs w:val="24"/>
        </w:rPr>
        <w:t>Perspectives on Politics</w:t>
      </w:r>
      <w:r w:rsidRPr="00E42074">
        <w:rPr>
          <w:rFonts w:ascii="Times New Roman" w:hAnsi="Times New Roman" w:cs="Times New Roman"/>
          <w:color w:val="0D0D0D" w:themeColor="text1" w:themeTint="F2"/>
          <w:sz w:val="24"/>
          <w:szCs w:val="24"/>
        </w:rPr>
        <w:t xml:space="preserve">, </w:t>
      </w:r>
      <w:r w:rsidRPr="00E42074">
        <w:rPr>
          <w:rFonts w:ascii="Times New Roman" w:hAnsi="Times New Roman" w:cs="Times New Roman"/>
          <w:i/>
          <w:iCs/>
          <w:color w:val="0D0D0D" w:themeColor="text1" w:themeTint="F2"/>
          <w:sz w:val="24"/>
          <w:szCs w:val="24"/>
        </w:rPr>
        <w:t>20</w:t>
      </w:r>
      <w:r w:rsidRPr="00E42074">
        <w:rPr>
          <w:rFonts w:ascii="Times New Roman" w:hAnsi="Times New Roman" w:cs="Times New Roman"/>
          <w:color w:val="0D0D0D" w:themeColor="text1" w:themeTint="F2"/>
          <w:sz w:val="24"/>
          <w:szCs w:val="24"/>
        </w:rPr>
        <w:t>(3), pp.1024-1039.</w:t>
      </w:r>
      <w:r w:rsidRPr="00E42074">
        <w:rPr>
          <w:rFonts w:ascii="Times New Roman" w:eastAsia="Times New Roman" w:hAnsi="Times New Roman" w:cs="Times New Roman"/>
          <w:color w:val="0D0D0D" w:themeColor="text1" w:themeTint="F2"/>
          <w:sz w:val="24"/>
          <w:szCs w:val="24"/>
        </w:rPr>
        <w:t xml:space="preserve"> </w:t>
      </w:r>
    </w:p>
    <w:p w14:paraId="4B58BE87"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lastRenderedPageBreak/>
        <w:t xml:space="preserve">Yan, C., Qian, M., Chen, S. and Sun, T., 2026. From governance metrics to market signals: a sustainability-aligned Balanced Scorecard for private higher education groups. </w:t>
      </w:r>
      <w:r w:rsidRPr="00E42074">
        <w:rPr>
          <w:rFonts w:ascii="Times New Roman" w:eastAsia="Times New Roman" w:hAnsi="Times New Roman" w:cs="Times New Roman"/>
          <w:i/>
          <w:iCs/>
          <w:color w:val="0D0D0D" w:themeColor="text1" w:themeTint="F2"/>
          <w:sz w:val="24"/>
          <w:szCs w:val="24"/>
          <w:lang w:eastAsia="en-IN"/>
        </w:rPr>
        <w:t>Journal of Marketing for Higher Education</w:t>
      </w:r>
      <w:r w:rsidRPr="00E42074">
        <w:rPr>
          <w:rFonts w:ascii="Times New Roman" w:eastAsia="Times New Roman" w:hAnsi="Times New Roman" w:cs="Times New Roman"/>
          <w:color w:val="0D0D0D" w:themeColor="text1" w:themeTint="F2"/>
          <w:sz w:val="24"/>
          <w:szCs w:val="24"/>
          <w:lang w:eastAsia="en-IN"/>
        </w:rPr>
        <w:t>, pp.1-24. </w:t>
      </w:r>
    </w:p>
    <w:p w14:paraId="26922B85" w14:textId="77777777" w:rsidR="00E42074" w:rsidRPr="00E42074" w:rsidRDefault="00E42074" w:rsidP="00973765">
      <w:pPr>
        <w:spacing w:line="360" w:lineRule="auto"/>
        <w:jc w:val="both"/>
        <w:rPr>
          <w:rFonts w:ascii="Times New Roman" w:eastAsia="Times New Roman" w:hAnsi="Times New Roman" w:cs="Times New Roman"/>
          <w:color w:val="0D0D0D" w:themeColor="text1" w:themeTint="F2"/>
          <w:sz w:val="24"/>
          <w:szCs w:val="24"/>
          <w:lang w:eastAsia="en-IN"/>
        </w:rPr>
      </w:pPr>
      <w:r w:rsidRPr="00E42074">
        <w:rPr>
          <w:rFonts w:ascii="Times New Roman" w:eastAsia="Times New Roman" w:hAnsi="Times New Roman" w:cs="Times New Roman"/>
          <w:color w:val="0D0D0D" w:themeColor="text1" w:themeTint="F2"/>
          <w:sz w:val="24"/>
          <w:szCs w:val="24"/>
          <w:lang w:eastAsia="en-IN"/>
        </w:rPr>
        <w:t xml:space="preserve">Young, S.L., Wiley, K.K. and Searing, E.A., 2025. </w:t>
      </w:r>
      <w:proofErr w:type="spellStart"/>
      <w:r w:rsidRPr="00E42074">
        <w:rPr>
          <w:rFonts w:ascii="Times New Roman" w:eastAsia="Times New Roman" w:hAnsi="Times New Roman" w:cs="Times New Roman"/>
          <w:color w:val="0D0D0D" w:themeColor="text1" w:themeTint="F2"/>
          <w:sz w:val="24"/>
          <w:szCs w:val="24"/>
          <w:lang w:eastAsia="en-IN"/>
        </w:rPr>
        <w:t>Nonprofit</w:t>
      </w:r>
      <w:proofErr w:type="spellEnd"/>
      <w:r w:rsidRPr="00E42074">
        <w:rPr>
          <w:rFonts w:ascii="Times New Roman" w:eastAsia="Times New Roman" w:hAnsi="Times New Roman" w:cs="Times New Roman"/>
          <w:color w:val="0D0D0D" w:themeColor="text1" w:themeTint="F2"/>
          <w:sz w:val="24"/>
          <w:szCs w:val="24"/>
          <w:lang w:eastAsia="en-IN"/>
        </w:rPr>
        <w:t xml:space="preserve"> human resources: Crisis impacts and mitigation strategies. </w:t>
      </w:r>
      <w:proofErr w:type="spellStart"/>
      <w:r w:rsidRPr="00E42074">
        <w:rPr>
          <w:rFonts w:ascii="Times New Roman" w:eastAsia="Times New Roman" w:hAnsi="Times New Roman" w:cs="Times New Roman"/>
          <w:i/>
          <w:iCs/>
          <w:color w:val="0D0D0D" w:themeColor="text1" w:themeTint="F2"/>
          <w:sz w:val="24"/>
          <w:szCs w:val="24"/>
          <w:lang w:eastAsia="en-IN"/>
        </w:rPr>
        <w:t>Nonprofit</w:t>
      </w:r>
      <w:proofErr w:type="spellEnd"/>
      <w:r w:rsidRPr="00E42074">
        <w:rPr>
          <w:rFonts w:ascii="Times New Roman" w:eastAsia="Times New Roman" w:hAnsi="Times New Roman" w:cs="Times New Roman"/>
          <w:i/>
          <w:iCs/>
          <w:color w:val="0D0D0D" w:themeColor="text1" w:themeTint="F2"/>
          <w:sz w:val="24"/>
          <w:szCs w:val="24"/>
          <w:lang w:eastAsia="en-IN"/>
        </w:rPr>
        <w:t xml:space="preserve"> and Voluntary Sector Quarterly</w:t>
      </w:r>
      <w:r w:rsidRPr="00E42074">
        <w:rPr>
          <w:rFonts w:ascii="Times New Roman" w:eastAsia="Times New Roman" w:hAnsi="Times New Roman" w:cs="Times New Roman"/>
          <w:color w:val="0D0D0D" w:themeColor="text1" w:themeTint="F2"/>
          <w:sz w:val="24"/>
          <w:szCs w:val="24"/>
          <w:lang w:eastAsia="en-IN"/>
        </w:rPr>
        <w:t xml:space="preserve">, </w:t>
      </w:r>
      <w:r w:rsidRPr="00E42074">
        <w:rPr>
          <w:rFonts w:ascii="Times New Roman" w:eastAsia="Times New Roman" w:hAnsi="Times New Roman" w:cs="Times New Roman"/>
          <w:i/>
          <w:iCs/>
          <w:color w:val="0D0D0D" w:themeColor="text1" w:themeTint="F2"/>
          <w:sz w:val="24"/>
          <w:szCs w:val="24"/>
          <w:lang w:eastAsia="en-IN"/>
        </w:rPr>
        <w:t>54</w:t>
      </w:r>
      <w:r w:rsidRPr="00E42074">
        <w:rPr>
          <w:rFonts w:ascii="Times New Roman" w:eastAsia="Times New Roman" w:hAnsi="Times New Roman" w:cs="Times New Roman"/>
          <w:color w:val="0D0D0D" w:themeColor="text1" w:themeTint="F2"/>
          <w:sz w:val="24"/>
          <w:szCs w:val="24"/>
          <w:lang w:eastAsia="en-IN"/>
        </w:rPr>
        <w:t>(1), pp.176-202. </w:t>
      </w:r>
    </w:p>
    <w:p w14:paraId="2D9193CE" w14:textId="77777777" w:rsidR="00B42FD2" w:rsidRPr="004774D7" w:rsidRDefault="00B42FD2" w:rsidP="00973765">
      <w:pPr>
        <w:spacing w:line="360" w:lineRule="auto"/>
        <w:rPr>
          <w:rFonts w:ascii="Times New Roman" w:eastAsia="Times New Roman" w:hAnsi="Times New Roman" w:cs="Times New Roman"/>
          <w:sz w:val="24"/>
          <w:szCs w:val="24"/>
        </w:rPr>
      </w:pPr>
      <w:r w:rsidRPr="004774D7">
        <w:rPr>
          <w:rFonts w:ascii="Times New Roman" w:eastAsia="Times New Roman" w:hAnsi="Times New Roman" w:cs="Times New Roman"/>
          <w:sz w:val="24"/>
          <w:szCs w:val="24"/>
        </w:rPr>
        <w:br w:type="page"/>
      </w:r>
    </w:p>
    <w:p w14:paraId="7AEAA5BF" w14:textId="16FCE85C" w:rsidR="00B42FD2" w:rsidRPr="001F0161" w:rsidRDefault="00B42FD2" w:rsidP="00973765">
      <w:pPr>
        <w:pStyle w:val="Heading1"/>
      </w:pPr>
      <w:bookmarkStart w:id="83" w:name="_Toc239424095"/>
      <w:r w:rsidRPr="004774D7">
        <w:lastRenderedPageBreak/>
        <w:t>APPENDICES</w:t>
      </w:r>
      <w:bookmarkEnd w:id="83"/>
    </w:p>
    <w:p w14:paraId="16E578FD" w14:textId="77777777" w:rsidR="00B42FD2" w:rsidRPr="004774D7" w:rsidRDefault="00B42FD2" w:rsidP="00973765">
      <w:pPr>
        <w:pStyle w:val="Heading2"/>
      </w:pPr>
      <w:bookmarkStart w:id="84" w:name="_Toc239424096"/>
      <w:r w:rsidRPr="004774D7">
        <w:rPr>
          <w:color w:val="000000"/>
        </w:rPr>
        <w:t>Appendix 1: Interview questionnaire</w:t>
      </w:r>
      <w:bookmarkEnd w:id="84"/>
    </w:p>
    <w:p w14:paraId="7C5F4B43" w14:textId="77777777" w:rsidR="00B42FD2" w:rsidRPr="001F0161" w:rsidRDefault="00B42FD2" w:rsidP="00973765">
      <w:pPr>
        <w:pStyle w:val="NormalWeb"/>
        <w:spacing w:before="0" w:beforeAutospacing="0" w:after="0" w:afterAutospacing="0" w:line="360" w:lineRule="auto"/>
        <w:jc w:val="both"/>
        <w:rPr>
          <w:lang w:val="en-GB"/>
        </w:rPr>
      </w:pPr>
      <w:r w:rsidRPr="001F0161">
        <w:rPr>
          <w:b/>
          <w:bCs/>
          <w:color w:val="000000"/>
          <w:lang w:val="en-GB"/>
        </w:rPr>
        <w:t>Theme 1: Alternative Funding &amp; Resource Mobilization</w:t>
      </w:r>
    </w:p>
    <w:p w14:paraId="6ED742DF" w14:textId="77777777" w:rsidR="00B42FD2" w:rsidRPr="001F0161" w:rsidRDefault="00B42FD2" w:rsidP="00973765">
      <w:pPr>
        <w:pStyle w:val="NormalWeb"/>
        <w:numPr>
          <w:ilvl w:val="0"/>
          <w:numId w:val="5"/>
        </w:numPr>
        <w:spacing w:before="0" w:beforeAutospacing="0" w:after="0" w:afterAutospacing="0" w:line="360" w:lineRule="auto"/>
        <w:jc w:val="both"/>
        <w:textAlignment w:val="baseline"/>
        <w:rPr>
          <w:color w:val="1F1F1F"/>
          <w:lang w:val="en-GB"/>
        </w:rPr>
      </w:pPr>
      <w:r w:rsidRPr="001F0161">
        <w:rPr>
          <w:color w:val="1F1F1F"/>
          <w:lang w:val="en-GB"/>
        </w:rPr>
        <w:t>What are the current sources of income and what other means of funding (such as domestic philanthropy, CSR partnerships, government grants, etc.) could be mobilized to support and sustain core programs such as scholarships and competitive exam preparation?</w:t>
      </w:r>
    </w:p>
    <w:p w14:paraId="532D56D4" w14:textId="77777777" w:rsidR="00B42FD2" w:rsidRPr="001F0161" w:rsidRDefault="00B42FD2" w:rsidP="00973765">
      <w:pPr>
        <w:pStyle w:val="NormalWeb"/>
        <w:numPr>
          <w:ilvl w:val="0"/>
          <w:numId w:val="5"/>
        </w:numPr>
        <w:spacing w:before="0" w:beforeAutospacing="0" w:after="0" w:afterAutospacing="0" w:line="360" w:lineRule="auto"/>
        <w:jc w:val="both"/>
        <w:textAlignment w:val="baseline"/>
        <w:rPr>
          <w:color w:val="1F1F1F"/>
          <w:lang w:val="en-GB"/>
        </w:rPr>
      </w:pPr>
      <w:r w:rsidRPr="001F0161">
        <w:rPr>
          <w:color w:val="1F1F1F"/>
          <w:lang w:val="en-GB"/>
        </w:rPr>
        <w:t>In terms of operation, are market-driven or earned income (like fee-for-service workshops or social enterprise arms) viable for grassroots non-profits and in what ways are they?</w:t>
      </w:r>
    </w:p>
    <w:p w14:paraId="0D68D990" w14:textId="77777777" w:rsidR="00B42FD2" w:rsidRPr="001F0161" w:rsidRDefault="00B42FD2" w:rsidP="00973765">
      <w:pPr>
        <w:pStyle w:val="NormalWeb"/>
        <w:spacing w:before="0" w:beforeAutospacing="0" w:after="0" w:afterAutospacing="0" w:line="360" w:lineRule="auto"/>
        <w:jc w:val="both"/>
        <w:rPr>
          <w:lang w:val="en-GB"/>
        </w:rPr>
      </w:pPr>
      <w:r w:rsidRPr="001F0161">
        <w:rPr>
          <w:b/>
          <w:bCs/>
          <w:color w:val="000000"/>
          <w:lang w:val="en-GB"/>
        </w:rPr>
        <w:t>Theme 2: Internal Operational Restructuring &amp; Efficiency</w:t>
      </w:r>
    </w:p>
    <w:p w14:paraId="0A6F14ED" w14:textId="77777777" w:rsidR="00B42FD2" w:rsidRPr="001F0161" w:rsidRDefault="00B42FD2" w:rsidP="00973765">
      <w:pPr>
        <w:pStyle w:val="NormalWeb"/>
        <w:numPr>
          <w:ilvl w:val="0"/>
          <w:numId w:val="6"/>
        </w:numPr>
        <w:spacing w:before="0" w:beforeAutospacing="0" w:after="0" w:afterAutospacing="0" w:line="360" w:lineRule="auto"/>
        <w:ind w:left="810"/>
        <w:jc w:val="both"/>
        <w:textAlignment w:val="baseline"/>
        <w:rPr>
          <w:color w:val="1F1F1F"/>
          <w:lang w:val="en-GB"/>
        </w:rPr>
      </w:pPr>
      <w:r w:rsidRPr="001F0161">
        <w:rPr>
          <w:color w:val="1F1F1F"/>
          <w:lang w:val="en-GB"/>
        </w:rPr>
        <w:t>How has the organization made changes in their operations, staffing, and administrative expenditures to sustain program quality while operating on limited resources?</w:t>
      </w:r>
    </w:p>
    <w:p w14:paraId="628270A2" w14:textId="77777777" w:rsidR="00B42FD2" w:rsidRPr="001F0161" w:rsidRDefault="00B42FD2" w:rsidP="00973765">
      <w:pPr>
        <w:pStyle w:val="NormalWeb"/>
        <w:numPr>
          <w:ilvl w:val="0"/>
          <w:numId w:val="6"/>
        </w:numPr>
        <w:spacing w:before="0" w:beforeAutospacing="0" w:after="0" w:afterAutospacing="0" w:line="360" w:lineRule="auto"/>
        <w:ind w:left="810"/>
        <w:jc w:val="both"/>
        <w:textAlignment w:val="baseline"/>
        <w:rPr>
          <w:color w:val="1F1F1F"/>
          <w:lang w:val="en-GB"/>
        </w:rPr>
      </w:pPr>
      <w:r w:rsidRPr="001F0161">
        <w:rPr>
          <w:color w:val="1F1F1F"/>
          <w:lang w:val="en-GB"/>
        </w:rPr>
        <w:t>What role do volunteer networks and community participation (including trained youth volunteers) play in terms of operational delivery and what role can non-financial assets have in minimizing the dependency on financial funding?</w:t>
      </w:r>
    </w:p>
    <w:p w14:paraId="4127DAF5" w14:textId="77777777" w:rsidR="00B42FD2" w:rsidRPr="001F0161" w:rsidRDefault="00B42FD2" w:rsidP="00973765">
      <w:pPr>
        <w:pStyle w:val="NormalWeb"/>
        <w:spacing w:before="0" w:beforeAutospacing="0" w:after="0" w:afterAutospacing="0" w:line="360" w:lineRule="auto"/>
        <w:jc w:val="both"/>
        <w:rPr>
          <w:lang w:val="en-GB"/>
        </w:rPr>
      </w:pPr>
      <w:r w:rsidRPr="001F0161">
        <w:rPr>
          <w:b/>
          <w:bCs/>
          <w:color w:val="000000"/>
          <w:lang w:val="en-GB"/>
        </w:rPr>
        <w:t>Theme 3: Mission Preservation &amp; Stakeholder Alignment</w:t>
      </w:r>
    </w:p>
    <w:p w14:paraId="3107B642" w14:textId="77777777" w:rsidR="00B42FD2" w:rsidRPr="001F0161" w:rsidRDefault="00B42FD2" w:rsidP="00973765">
      <w:pPr>
        <w:pStyle w:val="NormalWeb"/>
        <w:numPr>
          <w:ilvl w:val="0"/>
          <w:numId w:val="7"/>
        </w:numPr>
        <w:spacing w:before="0" w:beforeAutospacing="0" w:after="0" w:afterAutospacing="0" w:line="360" w:lineRule="auto"/>
        <w:jc w:val="both"/>
        <w:textAlignment w:val="baseline"/>
        <w:rPr>
          <w:color w:val="1F1F1F"/>
          <w:lang w:val="en-GB"/>
        </w:rPr>
      </w:pPr>
      <w:r w:rsidRPr="001F0161">
        <w:rPr>
          <w:color w:val="1F1F1F"/>
          <w:lang w:val="en-GB"/>
        </w:rPr>
        <w:t>In the process of seeking out additional corporate or institutional support, how does the institution make sure that the donor's mission does not interfere with its core social mission of supporting first generation students from marginalized groups?</w:t>
      </w:r>
    </w:p>
    <w:p w14:paraId="0FE7BFDF" w14:textId="77777777" w:rsidR="00B42FD2" w:rsidRPr="001F0161" w:rsidRDefault="00B42FD2" w:rsidP="00973765">
      <w:pPr>
        <w:pStyle w:val="NormalWeb"/>
        <w:spacing w:before="0" w:beforeAutospacing="0" w:after="0" w:afterAutospacing="0" w:line="360" w:lineRule="auto"/>
        <w:jc w:val="both"/>
        <w:rPr>
          <w:lang w:val="en-GB"/>
        </w:rPr>
      </w:pPr>
      <w:r w:rsidRPr="001F0161">
        <w:rPr>
          <w:b/>
          <w:bCs/>
          <w:color w:val="000000"/>
          <w:lang w:val="en-GB"/>
        </w:rPr>
        <w:t>Theme 4: Strategic Partnerships &amp; Local Collaboration</w:t>
      </w:r>
    </w:p>
    <w:p w14:paraId="48B882D6" w14:textId="77E5AA93" w:rsidR="00B42FD2" w:rsidRPr="001F0161" w:rsidRDefault="00B42FD2" w:rsidP="00973765">
      <w:pPr>
        <w:pStyle w:val="NormalWeb"/>
        <w:numPr>
          <w:ilvl w:val="0"/>
          <w:numId w:val="10"/>
        </w:numPr>
        <w:spacing w:before="0" w:beforeAutospacing="0" w:after="0" w:afterAutospacing="0" w:line="360" w:lineRule="auto"/>
        <w:jc w:val="both"/>
        <w:rPr>
          <w:lang w:val="en-GB"/>
        </w:rPr>
      </w:pPr>
      <w:r w:rsidRPr="001F0161">
        <w:rPr>
          <w:color w:val="1F1F1F"/>
          <w:lang w:val="en-GB"/>
        </w:rPr>
        <w:t xml:space="preserve">What role can </w:t>
      </w:r>
      <w:r w:rsidR="001D0D4F" w:rsidRPr="001F0161">
        <w:rPr>
          <w:color w:val="1F1F1F"/>
          <w:lang w:val="en-GB"/>
        </w:rPr>
        <w:t>share</w:t>
      </w:r>
      <w:r w:rsidRPr="001F0161">
        <w:rPr>
          <w:color w:val="1F1F1F"/>
          <w:lang w:val="en-GB"/>
        </w:rPr>
        <w:t xml:space="preserve"> partnerships (MoU) with municipal school boards and university affiliated colleges play in meeting funding constraints and providing wider community outreach?</w:t>
      </w:r>
    </w:p>
    <w:p w14:paraId="698027C0" w14:textId="77777777" w:rsidR="00B42FD2" w:rsidRPr="001F0161" w:rsidRDefault="00B42FD2" w:rsidP="00973765">
      <w:pPr>
        <w:pStyle w:val="NormalWeb"/>
        <w:spacing w:before="0" w:beforeAutospacing="0" w:after="0" w:afterAutospacing="0" w:line="360" w:lineRule="auto"/>
        <w:jc w:val="both"/>
        <w:rPr>
          <w:lang w:val="en-GB"/>
        </w:rPr>
      </w:pPr>
      <w:r w:rsidRPr="001F0161">
        <w:rPr>
          <w:b/>
          <w:bCs/>
          <w:color w:val="000000"/>
          <w:lang w:val="en-GB"/>
        </w:rPr>
        <w:t>Theme 5: Strategic Leadership &amp; Financial Resilience</w:t>
      </w:r>
    </w:p>
    <w:p w14:paraId="7481F30C" w14:textId="77777777" w:rsidR="00B42FD2" w:rsidRPr="001F0161" w:rsidRDefault="00B42FD2" w:rsidP="00973765">
      <w:pPr>
        <w:pStyle w:val="NormalWeb"/>
        <w:numPr>
          <w:ilvl w:val="0"/>
          <w:numId w:val="8"/>
        </w:numPr>
        <w:spacing w:before="0" w:beforeAutospacing="0" w:after="0" w:afterAutospacing="0" w:line="360" w:lineRule="auto"/>
        <w:jc w:val="both"/>
        <w:textAlignment w:val="baseline"/>
        <w:rPr>
          <w:color w:val="1F1F1F"/>
          <w:lang w:val="en-GB"/>
        </w:rPr>
      </w:pPr>
      <w:r w:rsidRPr="001F0161">
        <w:rPr>
          <w:color w:val="1F1F1F"/>
          <w:lang w:val="en-GB"/>
        </w:rPr>
        <w:t>What are the essential leadership skills, decisions or system shifts that will make non-profits more financially resilient in a new era of austerity and rapidly shifting funding sources?</w:t>
      </w:r>
    </w:p>
    <w:p w14:paraId="6420CA50" w14:textId="77777777" w:rsidR="00560352" w:rsidRPr="004774D7" w:rsidRDefault="00560352" w:rsidP="00973765">
      <w:pPr>
        <w:spacing w:line="360" w:lineRule="auto"/>
        <w:jc w:val="both"/>
        <w:rPr>
          <w:rFonts w:ascii="Times New Roman" w:eastAsia="Times New Roman" w:hAnsi="Times New Roman" w:cs="Times New Roman"/>
          <w:sz w:val="24"/>
          <w:szCs w:val="24"/>
        </w:rPr>
      </w:pPr>
    </w:p>
    <w:p w14:paraId="2A8AEC78" w14:textId="77777777" w:rsidR="0050244B" w:rsidRPr="004774D7" w:rsidRDefault="0004031D" w:rsidP="00973765">
      <w:pPr>
        <w:pStyle w:val="Normal1"/>
        <w:spacing w:line="360" w:lineRule="auto"/>
        <w:jc w:val="both"/>
        <w:rPr>
          <w:rFonts w:ascii="Times New Roman" w:eastAsia="Times New Roman" w:hAnsi="Times New Roman" w:cs="Times New Roman"/>
          <w:b/>
          <w:bCs/>
          <w:sz w:val="24"/>
          <w:szCs w:val="24"/>
          <w:lang w:val="en-GB"/>
        </w:rPr>
      </w:pPr>
      <w:r w:rsidRPr="004774D7">
        <w:rPr>
          <w:rFonts w:ascii="Times New Roman" w:eastAsia="Times New Roman" w:hAnsi="Times New Roman" w:cs="Times New Roman"/>
          <w:b/>
          <w:bCs/>
          <w:sz w:val="24"/>
          <w:szCs w:val="24"/>
          <w:lang w:val="en-GB"/>
        </w:rPr>
        <w:t xml:space="preserve"> </w:t>
      </w:r>
    </w:p>
    <w:p w14:paraId="2E9E7E8D" w14:textId="77777777" w:rsidR="0050244B" w:rsidRPr="004774D7" w:rsidRDefault="0050244B" w:rsidP="00973765">
      <w:pPr>
        <w:pStyle w:val="Normal1"/>
        <w:spacing w:line="360" w:lineRule="auto"/>
        <w:jc w:val="both"/>
        <w:rPr>
          <w:rFonts w:ascii="Times New Roman" w:eastAsia="Times New Roman" w:hAnsi="Times New Roman" w:cs="Times New Roman"/>
          <w:b/>
          <w:bCs/>
          <w:sz w:val="24"/>
          <w:szCs w:val="24"/>
          <w:lang w:val="en-GB"/>
        </w:rPr>
      </w:pPr>
    </w:p>
    <w:sectPr w:rsidR="0050244B" w:rsidRPr="004774D7" w:rsidSect="00ED1AB2">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CF7E70" w14:textId="77777777" w:rsidR="0071034C" w:rsidRDefault="0071034C" w:rsidP="00ED1AB2">
      <w:pPr>
        <w:spacing w:line="240" w:lineRule="auto"/>
      </w:pPr>
      <w:r>
        <w:separator/>
      </w:r>
    </w:p>
  </w:endnote>
  <w:endnote w:type="continuationSeparator" w:id="0">
    <w:p w14:paraId="055F7A8A" w14:textId="77777777" w:rsidR="0071034C" w:rsidRDefault="0071034C" w:rsidP="00ED1A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B9E2E6D-B734-4C88-A82E-BB4CDE9FA6E8}"/>
    <w:embedBold r:id="rId2" w:fontKey="{B901BD9F-854B-427F-BEE4-CDEFC4CF534B}"/>
  </w:font>
  <w:font w:name="Shruti">
    <w:panose1 w:val="020B0502040204020203"/>
    <w:charset w:val="00"/>
    <w:family w:val="swiss"/>
    <w:pitch w:val="variable"/>
    <w:sig w:usb0="00040003" w:usb1="00000000" w:usb2="00000000" w:usb3="00000000" w:csb0="00000001" w:csb1="00000000"/>
    <w:embedRegular r:id="rId3" w:fontKey="{E380ADEC-4EAB-4630-9529-AC062E9238AB}"/>
    <w:embedBold r:id="rId4" w:fontKey="{F680AA98-2483-4B38-9F9D-2F1D984AA3FB}"/>
  </w:font>
  <w:font w:name="Tahoma">
    <w:panose1 w:val="020B0604030504040204"/>
    <w:charset w:val="00"/>
    <w:family w:val="swiss"/>
    <w:pitch w:val="variable"/>
    <w:sig w:usb0="E1002EFF" w:usb1="C000605B" w:usb2="00000029" w:usb3="00000000" w:csb0="000101FF" w:csb1="00000000"/>
    <w:embedRegular r:id="rId5" w:fontKey="{59E32A32-8756-43EB-8B5A-217175C7CCED}"/>
  </w:font>
  <w:font w:name="Helvetica">
    <w:panose1 w:val="020B0604020202020204"/>
    <w:charset w:val="00"/>
    <w:family w:val="swiss"/>
    <w:pitch w:val="variable"/>
    <w:sig w:usb0="E0002EFF" w:usb1="C000785B" w:usb2="00000009" w:usb3="00000000" w:csb0="000001FF" w:csb1="00000000"/>
    <w:embedItalic r:id="rId6" w:fontKey="{BD209998-3592-483A-9A29-DE9594AA90DB}"/>
    <w:embedBoldItalic r:id="rId7" w:fontKey="{DDF85E5D-9E82-4F02-ACAE-B8D9B36FD151}"/>
  </w:font>
  <w:font w:name="Cambria">
    <w:panose1 w:val="02040503050406030204"/>
    <w:charset w:val="00"/>
    <w:family w:val="roman"/>
    <w:pitch w:val="variable"/>
    <w:sig w:usb0="E00006FF" w:usb1="420024FF" w:usb2="02000000" w:usb3="00000000" w:csb0="0000019F" w:csb1="00000000"/>
    <w:embedRegular r:id="rId8" w:fontKey="{F57AC3EC-9B11-418E-925C-63C541D5F37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3921304"/>
      <w:docPartObj>
        <w:docPartGallery w:val="Page Numbers (Bottom of Page)"/>
        <w:docPartUnique/>
      </w:docPartObj>
    </w:sdtPr>
    <w:sdtEndPr/>
    <w:sdtContent>
      <w:p w14:paraId="5C2DCF70" w14:textId="77777777" w:rsidR="00ED1AB2" w:rsidRDefault="00391C95">
        <w:pPr>
          <w:pStyle w:val="Footer"/>
          <w:jc w:val="right"/>
        </w:pPr>
        <w:r>
          <w:fldChar w:fldCharType="begin"/>
        </w:r>
        <w:r>
          <w:instrText xml:space="preserve"> PAGE   \* MERGEFORMAT </w:instrText>
        </w:r>
        <w:r>
          <w:fldChar w:fldCharType="separate"/>
        </w:r>
        <w:r w:rsidR="00DC721F">
          <w:rPr>
            <w:noProof/>
          </w:rPr>
          <w:t>32</w:t>
        </w:r>
        <w:r>
          <w:rPr>
            <w:noProof/>
          </w:rPr>
          <w:fldChar w:fldCharType="end"/>
        </w:r>
      </w:p>
    </w:sdtContent>
  </w:sdt>
  <w:p w14:paraId="647BF3B9" w14:textId="77777777" w:rsidR="00ED1AB2" w:rsidRDefault="00ED1A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F2C8E8" w14:textId="77777777" w:rsidR="0071034C" w:rsidRDefault="0071034C" w:rsidP="00ED1AB2">
      <w:pPr>
        <w:spacing w:line="240" w:lineRule="auto"/>
      </w:pPr>
      <w:r>
        <w:separator/>
      </w:r>
    </w:p>
  </w:footnote>
  <w:footnote w:type="continuationSeparator" w:id="0">
    <w:p w14:paraId="6D89C4EE" w14:textId="77777777" w:rsidR="0071034C" w:rsidRDefault="0071034C" w:rsidP="00ED1AB2">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CE371E"/>
    <w:multiLevelType w:val="multilevel"/>
    <w:tmpl w:val="86643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2008A4"/>
    <w:multiLevelType w:val="multilevel"/>
    <w:tmpl w:val="3F9A4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8377CF"/>
    <w:multiLevelType w:val="multilevel"/>
    <w:tmpl w:val="3A08B4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1AE3016"/>
    <w:multiLevelType w:val="multilevel"/>
    <w:tmpl w:val="0A6E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C31093"/>
    <w:multiLevelType w:val="multilevel"/>
    <w:tmpl w:val="0988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7E34CFC"/>
    <w:multiLevelType w:val="hybridMultilevel"/>
    <w:tmpl w:val="5262133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6">
    <w:nsid w:val="3F450BA0"/>
    <w:multiLevelType w:val="multilevel"/>
    <w:tmpl w:val="3C96D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2D22737"/>
    <w:multiLevelType w:val="multilevel"/>
    <w:tmpl w:val="949C9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36A7654"/>
    <w:multiLevelType w:val="multilevel"/>
    <w:tmpl w:val="8DA0D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BAB7B83"/>
    <w:multiLevelType w:val="hybridMultilevel"/>
    <w:tmpl w:val="6DAA73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642820D1"/>
    <w:multiLevelType w:val="multilevel"/>
    <w:tmpl w:val="4774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F2353E5"/>
    <w:multiLevelType w:val="multilevel"/>
    <w:tmpl w:val="9364F8C4"/>
    <w:lvl w:ilvl="0">
      <w:start w:val="1"/>
      <w:numFmt w:val="bullet"/>
      <w:lvlText w:val="●"/>
      <w:lvlJc w:val="left"/>
      <w:pPr>
        <w:ind w:left="720" w:hanging="360"/>
      </w:pPr>
      <w:rPr>
        <w:rFonts w:ascii="Arial" w:eastAsia="Arial" w:hAnsi="Arial" w:cs="Aria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7C115DF0"/>
    <w:multiLevelType w:val="multilevel"/>
    <w:tmpl w:val="092C2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11"/>
  </w:num>
  <w:num w:numId="4">
    <w:abstractNumId w:val="1"/>
  </w:num>
  <w:num w:numId="5">
    <w:abstractNumId w:val="6"/>
  </w:num>
  <w:num w:numId="6">
    <w:abstractNumId w:val="4"/>
  </w:num>
  <w:num w:numId="7">
    <w:abstractNumId w:val="8"/>
  </w:num>
  <w:num w:numId="8">
    <w:abstractNumId w:val="10"/>
  </w:num>
  <w:num w:numId="9">
    <w:abstractNumId w:val="5"/>
  </w:num>
  <w:num w:numId="10">
    <w:abstractNumId w:val="9"/>
  </w:num>
  <w:num w:numId="11">
    <w:abstractNumId w:val="3"/>
  </w:num>
  <w:num w:numId="12">
    <w:abstractNumId w:val="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44B"/>
    <w:rsid w:val="00011248"/>
    <w:rsid w:val="00016077"/>
    <w:rsid w:val="0002009B"/>
    <w:rsid w:val="0002499E"/>
    <w:rsid w:val="000251C3"/>
    <w:rsid w:val="00031178"/>
    <w:rsid w:val="000324B2"/>
    <w:rsid w:val="00034924"/>
    <w:rsid w:val="0004031D"/>
    <w:rsid w:val="00044AB3"/>
    <w:rsid w:val="00045409"/>
    <w:rsid w:val="00046A4E"/>
    <w:rsid w:val="00053339"/>
    <w:rsid w:val="0006014C"/>
    <w:rsid w:val="000974EA"/>
    <w:rsid w:val="000A05D3"/>
    <w:rsid w:val="000A0A20"/>
    <w:rsid w:val="000B098B"/>
    <w:rsid w:val="000C1C3A"/>
    <w:rsid w:val="000C3E8A"/>
    <w:rsid w:val="000D005A"/>
    <w:rsid w:val="000E63DB"/>
    <w:rsid w:val="000E6988"/>
    <w:rsid w:val="000E7209"/>
    <w:rsid w:val="000E72E4"/>
    <w:rsid w:val="000F6C8A"/>
    <w:rsid w:val="000F748A"/>
    <w:rsid w:val="00112BEB"/>
    <w:rsid w:val="0011431A"/>
    <w:rsid w:val="00125F8C"/>
    <w:rsid w:val="00137946"/>
    <w:rsid w:val="00144BDB"/>
    <w:rsid w:val="001454CF"/>
    <w:rsid w:val="0015253C"/>
    <w:rsid w:val="00152D56"/>
    <w:rsid w:val="001707C6"/>
    <w:rsid w:val="00170F67"/>
    <w:rsid w:val="00174D01"/>
    <w:rsid w:val="00190937"/>
    <w:rsid w:val="001B4487"/>
    <w:rsid w:val="001B5526"/>
    <w:rsid w:val="001D0D4F"/>
    <w:rsid w:val="001D3856"/>
    <w:rsid w:val="001D5E43"/>
    <w:rsid w:val="001D651A"/>
    <w:rsid w:val="001D709E"/>
    <w:rsid w:val="001E1001"/>
    <w:rsid w:val="001E2F32"/>
    <w:rsid w:val="001F0161"/>
    <w:rsid w:val="001F40DD"/>
    <w:rsid w:val="0021453A"/>
    <w:rsid w:val="00225B5F"/>
    <w:rsid w:val="00226722"/>
    <w:rsid w:val="002314DC"/>
    <w:rsid w:val="00236042"/>
    <w:rsid w:val="00236BB6"/>
    <w:rsid w:val="00245BC1"/>
    <w:rsid w:val="002522A1"/>
    <w:rsid w:val="00257EC1"/>
    <w:rsid w:val="002638C5"/>
    <w:rsid w:val="002A676A"/>
    <w:rsid w:val="002B205A"/>
    <w:rsid w:val="002B7D05"/>
    <w:rsid w:val="002D273F"/>
    <w:rsid w:val="002D332E"/>
    <w:rsid w:val="002D4BE2"/>
    <w:rsid w:val="002E1568"/>
    <w:rsid w:val="002E7D02"/>
    <w:rsid w:val="002F13E2"/>
    <w:rsid w:val="003043F5"/>
    <w:rsid w:val="00305AEF"/>
    <w:rsid w:val="003102AA"/>
    <w:rsid w:val="00316190"/>
    <w:rsid w:val="00320E5D"/>
    <w:rsid w:val="00332089"/>
    <w:rsid w:val="00333A65"/>
    <w:rsid w:val="003419A9"/>
    <w:rsid w:val="00347C02"/>
    <w:rsid w:val="00350ED1"/>
    <w:rsid w:val="003519EB"/>
    <w:rsid w:val="0035522B"/>
    <w:rsid w:val="00355395"/>
    <w:rsid w:val="00360522"/>
    <w:rsid w:val="00361ED0"/>
    <w:rsid w:val="00364E31"/>
    <w:rsid w:val="00365186"/>
    <w:rsid w:val="003657C8"/>
    <w:rsid w:val="003666B1"/>
    <w:rsid w:val="00367D8D"/>
    <w:rsid w:val="00372190"/>
    <w:rsid w:val="0037493B"/>
    <w:rsid w:val="00374EDB"/>
    <w:rsid w:val="00376946"/>
    <w:rsid w:val="00382D48"/>
    <w:rsid w:val="00391C95"/>
    <w:rsid w:val="003966E2"/>
    <w:rsid w:val="003974DC"/>
    <w:rsid w:val="003A0F4D"/>
    <w:rsid w:val="003C0E76"/>
    <w:rsid w:val="003C43DF"/>
    <w:rsid w:val="003D048D"/>
    <w:rsid w:val="003D3CD3"/>
    <w:rsid w:val="003E3938"/>
    <w:rsid w:val="003E3E23"/>
    <w:rsid w:val="003E4DBD"/>
    <w:rsid w:val="003E6A47"/>
    <w:rsid w:val="003F1363"/>
    <w:rsid w:val="003F4EB5"/>
    <w:rsid w:val="004009B2"/>
    <w:rsid w:val="0040515F"/>
    <w:rsid w:val="00414DA0"/>
    <w:rsid w:val="004173CF"/>
    <w:rsid w:val="0041799A"/>
    <w:rsid w:val="00436274"/>
    <w:rsid w:val="00437F7F"/>
    <w:rsid w:val="004579D0"/>
    <w:rsid w:val="0046167F"/>
    <w:rsid w:val="0047191D"/>
    <w:rsid w:val="00472E47"/>
    <w:rsid w:val="004774D7"/>
    <w:rsid w:val="00483852"/>
    <w:rsid w:val="00484EB5"/>
    <w:rsid w:val="00492ADD"/>
    <w:rsid w:val="00493D3C"/>
    <w:rsid w:val="00497FBA"/>
    <w:rsid w:val="004C0FB2"/>
    <w:rsid w:val="004C5773"/>
    <w:rsid w:val="004D4E87"/>
    <w:rsid w:val="004E163D"/>
    <w:rsid w:val="004F072D"/>
    <w:rsid w:val="004F6638"/>
    <w:rsid w:val="0050244B"/>
    <w:rsid w:val="0050297E"/>
    <w:rsid w:val="00504588"/>
    <w:rsid w:val="00505F96"/>
    <w:rsid w:val="00506598"/>
    <w:rsid w:val="00510B21"/>
    <w:rsid w:val="00512D87"/>
    <w:rsid w:val="00517ED4"/>
    <w:rsid w:val="00526D59"/>
    <w:rsid w:val="00531423"/>
    <w:rsid w:val="00540C2E"/>
    <w:rsid w:val="005501C8"/>
    <w:rsid w:val="005503BB"/>
    <w:rsid w:val="00560352"/>
    <w:rsid w:val="00580697"/>
    <w:rsid w:val="00591758"/>
    <w:rsid w:val="00593A25"/>
    <w:rsid w:val="0059581D"/>
    <w:rsid w:val="005B2A8D"/>
    <w:rsid w:val="005B74AC"/>
    <w:rsid w:val="005C1EC5"/>
    <w:rsid w:val="005C1FA9"/>
    <w:rsid w:val="005C57FA"/>
    <w:rsid w:val="005D773D"/>
    <w:rsid w:val="005E32F8"/>
    <w:rsid w:val="005E6381"/>
    <w:rsid w:val="005F71B3"/>
    <w:rsid w:val="006103C5"/>
    <w:rsid w:val="006119F4"/>
    <w:rsid w:val="00633141"/>
    <w:rsid w:val="00642676"/>
    <w:rsid w:val="00646340"/>
    <w:rsid w:val="00650912"/>
    <w:rsid w:val="00661ACF"/>
    <w:rsid w:val="00663EF0"/>
    <w:rsid w:val="00676B18"/>
    <w:rsid w:val="00685992"/>
    <w:rsid w:val="00687318"/>
    <w:rsid w:val="006A1D64"/>
    <w:rsid w:val="006A7E48"/>
    <w:rsid w:val="006B4F2A"/>
    <w:rsid w:val="006C76E2"/>
    <w:rsid w:val="006E2A97"/>
    <w:rsid w:val="006E3BFF"/>
    <w:rsid w:val="006E5C07"/>
    <w:rsid w:val="006F11A1"/>
    <w:rsid w:val="00704763"/>
    <w:rsid w:val="0071034C"/>
    <w:rsid w:val="007146A4"/>
    <w:rsid w:val="00715A49"/>
    <w:rsid w:val="007302BF"/>
    <w:rsid w:val="00735C9F"/>
    <w:rsid w:val="00752A48"/>
    <w:rsid w:val="007547FE"/>
    <w:rsid w:val="00766A25"/>
    <w:rsid w:val="0077767C"/>
    <w:rsid w:val="00794B56"/>
    <w:rsid w:val="007B0F21"/>
    <w:rsid w:val="007B7731"/>
    <w:rsid w:val="007C5F46"/>
    <w:rsid w:val="007D239C"/>
    <w:rsid w:val="007E36C2"/>
    <w:rsid w:val="007E5716"/>
    <w:rsid w:val="007E574A"/>
    <w:rsid w:val="007F6AEA"/>
    <w:rsid w:val="007F6C81"/>
    <w:rsid w:val="00810F02"/>
    <w:rsid w:val="00814BA8"/>
    <w:rsid w:val="00820342"/>
    <w:rsid w:val="008215FB"/>
    <w:rsid w:val="008320A8"/>
    <w:rsid w:val="008464DD"/>
    <w:rsid w:val="008520D7"/>
    <w:rsid w:val="00856806"/>
    <w:rsid w:val="008575DE"/>
    <w:rsid w:val="0088551E"/>
    <w:rsid w:val="00893146"/>
    <w:rsid w:val="008A6E7F"/>
    <w:rsid w:val="008B3631"/>
    <w:rsid w:val="008B67D3"/>
    <w:rsid w:val="008C209F"/>
    <w:rsid w:val="008C48D1"/>
    <w:rsid w:val="008D0414"/>
    <w:rsid w:val="008D6863"/>
    <w:rsid w:val="008E2C2D"/>
    <w:rsid w:val="008F0C8F"/>
    <w:rsid w:val="008F2083"/>
    <w:rsid w:val="009065EE"/>
    <w:rsid w:val="00924551"/>
    <w:rsid w:val="00945EE4"/>
    <w:rsid w:val="009655DB"/>
    <w:rsid w:val="0096758F"/>
    <w:rsid w:val="00973765"/>
    <w:rsid w:val="0098313C"/>
    <w:rsid w:val="00985665"/>
    <w:rsid w:val="009877A1"/>
    <w:rsid w:val="00992D5E"/>
    <w:rsid w:val="009A0AB9"/>
    <w:rsid w:val="009A2013"/>
    <w:rsid w:val="009C0343"/>
    <w:rsid w:val="009C5DE1"/>
    <w:rsid w:val="009D2689"/>
    <w:rsid w:val="009D33B2"/>
    <w:rsid w:val="009D543D"/>
    <w:rsid w:val="009D7A87"/>
    <w:rsid w:val="009E1DE2"/>
    <w:rsid w:val="009E4011"/>
    <w:rsid w:val="009E4AE8"/>
    <w:rsid w:val="009F5B55"/>
    <w:rsid w:val="00A12F30"/>
    <w:rsid w:val="00A14CBC"/>
    <w:rsid w:val="00A16C8A"/>
    <w:rsid w:val="00A40188"/>
    <w:rsid w:val="00A55437"/>
    <w:rsid w:val="00A57CEF"/>
    <w:rsid w:val="00A62677"/>
    <w:rsid w:val="00A67172"/>
    <w:rsid w:val="00A70A9C"/>
    <w:rsid w:val="00A714D6"/>
    <w:rsid w:val="00AA1455"/>
    <w:rsid w:val="00AA2E42"/>
    <w:rsid w:val="00AA5218"/>
    <w:rsid w:val="00AA52A6"/>
    <w:rsid w:val="00AE47B7"/>
    <w:rsid w:val="00AF17FC"/>
    <w:rsid w:val="00B13040"/>
    <w:rsid w:val="00B14E7B"/>
    <w:rsid w:val="00B150D9"/>
    <w:rsid w:val="00B20373"/>
    <w:rsid w:val="00B231F1"/>
    <w:rsid w:val="00B246DD"/>
    <w:rsid w:val="00B32CA3"/>
    <w:rsid w:val="00B333CC"/>
    <w:rsid w:val="00B4137E"/>
    <w:rsid w:val="00B42FD2"/>
    <w:rsid w:val="00B6785F"/>
    <w:rsid w:val="00B7563B"/>
    <w:rsid w:val="00B75F22"/>
    <w:rsid w:val="00B82134"/>
    <w:rsid w:val="00B830BC"/>
    <w:rsid w:val="00B847E3"/>
    <w:rsid w:val="00B9509C"/>
    <w:rsid w:val="00BA3F0E"/>
    <w:rsid w:val="00BB12E3"/>
    <w:rsid w:val="00BB2BC8"/>
    <w:rsid w:val="00BC4623"/>
    <w:rsid w:val="00BD2723"/>
    <w:rsid w:val="00BD2DC5"/>
    <w:rsid w:val="00BD4066"/>
    <w:rsid w:val="00C13721"/>
    <w:rsid w:val="00C17863"/>
    <w:rsid w:val="00C17ADC"/>
    <w:rsid w:val="00C21E44"/>
    <w:rsid w:val="00C25944"/>
    <w:rsid w:val="00C324ED"/>
    <w:rsid w:val="00C33416"/>
    <w:rsid w:val="00C36475"/>
    <w:rsid w:val="00C458CF"/>
    <w:rsid w:val="00C779E4"/>
    <w:rsid w:val="00C77BA5"/>
    <w:rsid w:val="00C93226"/>
    <w:rsid w:val="00C9335D"/>
    <w:rsid w:val="00C95012"/>
    <w:rsid w:val="00CC3B04"/>
    <w:rsid w:val="00CD18AA"/>
    <w:rsid w:val="00CE5467"/>
    <w:rsid w:val="00CE578B"/>
    <w:rsid w:val="00CF2298"/>
    <w:rsid w:val="00CF782E"/>
    <w:rsid w:val="00D01917"/>
    <w:rsid w:val="00D23AF7"/>
    <w:rsid w:val="00D33C00"/>
    <w:rsid w:val="00D53D4A"/>
    <w:rsid w:val="00D57923"/>
    <w:rsid w:val="00D66165"/>
    <w:rsid w:val="00D75C60"/>
    <w:rsid w:val="00D84720"/>
    <w:rsid w:val="00D92769"/>
    <w:rsid w:val="00DA2130"/>
    <w:rsid w:val="00DA4A28"/>
    <w:rsid w:val="00DB1F48"/>
    <w:rsid w:val="00DC4E82"/>
    <w:rsid w:val="00DC721F"/>
    <w:rsid w:val="00DD37D9"/>
    <w:rsid w:val="00DE762B"/>
    <w:rsid w:val="00E012D2"/>
    <w:rsid w:val="00E04027"/>
    <w:rsid w:val="00E048FC"/>
    <w:rsid w:val="00E104C5"/>
    <w:rsid w:val="00E15881"/>
    <w:rsid w:val="00E15E12"/>
    <w:rsid w:val="00E2257A"/>
    <w:rsid w:val="00E42074"/>
    <w:rsid w:val="00E501F3"/>
    <w:rsid w:val="00E65ABD"/>
    <w:rsid w:val="00E75665"/>
    <w:rsid w:val="00E84B23"/>
    <w:rsid w:val="00EA2430"/>
    <w:rsid w:val="00EB01CF"/>
    <w:rsid w:val="00EB6AFA"/>
    <w:rsid w:val="00EB7268"/>
    <w:rsid w:val="00EC478D"/>
    <w:rsid w:val="00EC5F42"/>
    <w:rsid w:val="00EC6CE3"/>
    <w:rsid w:val="00EC7EFC"/>
    <w:rsid w:val="00ED1AB2"/>
    <w:rsid w:val="00EE195A"/>
    <w:rsid w:val="00EE1E66"/>
    <w:rsid w:val="00EE3BE4"/>
    <w:rsid w:val="00EE55D2"/>
    <w:rsid w:val="00EF0FC3"/>
    <w:rsid w:val="00EF6329"/>
    <w:rsid w:val="00EF7CF7"/>
    <w:rsid w:val="00F033EC"/>
    <w:rsid w:val="00F03CDF"/>
    <w:rsid w:val="00F27CC6"/>
    <w:rsid w:val="00F33C2A"/>
    <w:rsid w:val="00F443F6"/>
    <w:rsid w:val="00F84904"/>
    <w:rsid w:val="00F93B1F"/>
    <w:rsid w:val="00F96D93"/>
    <w:rsid w:val="00FA4CF5"/>
    <w:rsid w:val="00FB7F58"/>
    <w:rsid w:val="00FD6ED8"/>
    <w:rsid w:val="00FF4208"/>
    <w:rsid w:val="00FF6E8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1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1"/>
    <w:next w:val="Normal1"/>
    <w:rsid w:val="00C21E44"/>
    <w:pPr>
      <w:spacing w:line="360" w:lineRule="auto"/>
      <w:jc w:val="center"/>
      <w:outlineLvl w:val="0"/>
    </w:pPr>
    <w:rPr>
      <w:rFonts w:ascii="Times New Roman" w:eastAsia="Times New Roman" w:hAnsi="Times New Roman" w:cs="Times New Roman"/>
      <w:b/>
      <w:bCs/>
      <w:sz w:val="28"/>
      <w:szCs w:val="28"/>
      <w:lang w:val="en-GB"/>
    </w:rPr>
  </w:style>
  <w:style w:type="paragraph" w:styleId="Heading2">
    <w:name w:val="heading 2"/>
    <w:basedOn w:val="Normal1"/>
    <w:next w:val="Normal1"/>
    <w:rsid w:val="00C21E44"/>
    <w:pPr>
      <w:spacing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1"/>
    <w:next w:val="Normal1"/>
    <w:rsid w:val="00794B56"/>
    <w:pPr>
      <w:spacing w:line="360" w:lineRule="auto"/>
      <w:jc w:val="both"/>
      <w:outlineLvl w:val="2"/>
    </w:pPr>
    <w:rPr>
      <w:rFonts w:ascii="Times New Roman" w:hAnsi="Times New Roman" w:cs="Times New Roman"/>
      <w:b/>
      <w:bCs/>
      <w:i/>
      <w:iCs/>
      <w:sz w:val="24"/>
      <w:szCs w:val="24"/>
      <w:lang w:val="en-GB"/>
    </w:rPr>
  </w:style>
  <w:style w:type="paragraph" w:styleId="Heading4">
    <w:name w:val="heading 4"/>
    <w:basedOn w:val="Normal1"/>
    <w:next w:val="Normal1"/>
    <w:rsid w:val="00245BC1"/>
    <w:pPr>
      <w:keepNext/>
      <w:keepLines/>
      <w:spacing w:line="360" w:lineRule="auto"/>
      <w:jc w:val="center"/>
      <w:outlineLvl w:val="3"/>
    </w:pPr>
    <w:rPr>
      <w:rFonts w:ascii="Times New Roman" w:hAnsi="Times New Roman" w:cs="Times New Roman"/>
      <w:b/>
      <w:bCs/>
      <w:sz w:val="24"/>
      <w:szCs w:val="24"/>
      <w:lang w:val="en-GB"/>
    </w:rPr>
  </w:style>
  <w:style w:type="paragraph" w:styleId="Heading5">
    <w:name w:val="heading 5"/>
    <w:basedOn w:val="Normal1"/>
    <w:next w:val="Normal1"/>
    <w:rsid w:val="0050244B"/>
    <w:pPr>
      <w:keepNext/>
      <w:keepLines/>
      <w:spacing w:before="240" w:after="80"/>
      <w:outlineLvl w:val="4"/>
    </w:pPr>
    <w:rPr>
      <w:color w:val="666666"/>
    </w:rPr>
  </w:style>
  <w:style w:type="paragraph" w:styleId="Heading6">
    <w:name w:val="heading 6"/>
    <w:basedOn w:val="Normal1"/>
    <w:next w:val="Normal1"/>
    <w:rsid w:val="0050244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0244B"/>
    <w:tblPr>
      <w:tblCellMar>
        <w:top w:w="100" w:type="dxa"/>
        <w:left w:w="100" w:type="dxa"/>
        <w:bottom w:w="100" w:type="dxa"/>
        <w:right w:w="100" w:type="dxa"/>
      </w:tblCellMar>
    </w:tblPr>
  </w:style>
  <w:style w:type="paragraph" w:customStyle="1" w:styleId="Normal1">
    <w:name w:val="Normal1"/>
    <w:rsid w:val="0050244B"/>
  </w:style>
  <w:style w:type="paragraph" w:styleId="Title">
    <w:name w:val="Title"/>
    <w:basedOn w:val="Normal1"/>
    <w:next w:val="Normal1"/>
    <w:uiPriority w:val="10"/>
    <w:qFormat/>
    <w:rsid w:val="0050244B"/>
    <w:pPr>
      <w:keepNext/>
      <w:keepLines/>
      <w:spacing w:after="60"/>
    </w:pPr>
    <w:rPr>
      <w:sz w:val="52"/>
      <w:szCs w:val="52"/>
    </w:rPr>
  </w:style>
  <w:style w:type="paragraph" w:styleId="Subtitle">
    <w:name w:val="Subtitle"/>
    <w:basedOn w:val="Normal1"/>
    <w:next w:val="Normal1"/>
    <w:rsid w:val="0050244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D5E43"/>
    <w:pPr>
      <w:keepNext/>
      <w:keepLine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1D5E43"/>
    <w:pPr>
      <w:spacing w:after="100"/>
    </w:pPr>
  </w:style>
  <w:style w:type="paragraph" w:styleId="TOC2">
    <w:name w:val="toc 2"/>
    <w:basedOn w:val="Normal"/>
    <w:next w:val="Normal"/>
    <w:autoRedefine/>
    <w:uiPriority w:val="39"/>
    <w:unhideWhenUsed/>
    <w:rsid w:val="001D5E43"/>
    <w:pPr>
      <w:spacing w:after="100"/>
      <w:ind w:left="220"/>
    </w:pPr>
  </w:style>
  <w:style w:type="character" w:styleId="Hyperlink">
    <w:name w:val="Hyperlink"/>
    <w:basedOn w:val="DefaultParagraphFont"/>
    <w:uiPriority w:val="99"/>
    <w:unhideWhenUsed/>
    <w:rsid w:val="001D5E43"/>
    <w:rPr>
      <w:color w:val="0000FF" w:themeColor="hyperlink"/>
      <w:u w:val="single"/>
    </w:rPr>
  </w:style>
  <w:style w:type="paragraph" w:styleId="BalloonText">
    <w:name w:val="Balloon Text"/>
    <w:basedOn w:val="Normal"/>
    <w:link w:val="BalloonTextChar"/>
    <w:uiPriority w:val="99"/>
    <w:semiHidden/>
    <w:unhideWhenUsed/>
    <w:rsid w:val="001D5E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E43"/>
    <w:rPr>
      <w:rFonts w:ascii="Tahoma" w:hAnsi="Tahoma" w:cs="Tahoma"/>
      <w:sz w:val="16"/>
      <w:szCs w:val="16"/>
    </w:rPr>
  </w:style>
  <w:style w:type="paragraph" w:styleId="Header">
    <w:name w:val="header"/>
    <w:basedOn w:val="Normal"/>
    <w:link w:val="HeaderChar"/>
    <w:uiPriority w:val="99"/>
    <w:semiHidden/>
    <w:unhideWhenUsed/>
    <w:rsid w:val="00ED1AB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1AB2"/>
  </w:style>
  <w:style w:type="paragraph" w:styleId="Footer">
    <w:name w:val="footer"/>
    <w:basedOn w:val="Normal"/>
    <w:link w:val="FooterChar"/>
    <w:uiPriority w:val="99"/>
    <w:unhideWhenUsed/>
    <w:rsid w:val="00ED1AB2"/>
    <w:pPr>
      <w:tabs>
        <w:tab w:val="center" w:pos="4680"/>
        <w:tab w:val="right" w:pos="9360"/>
      </w:tabs>
      <w:spacing w:line="240" w:lineRule="auto"/>
    </w:pPr>
  </w:style>
  <w:style w:type="character" w:customStyle="1" w:styleId="FooterChar">
    <w:name w:val="Footer Char"/>
    <w:basedOn w:val="DefaultParagraphFont"/>
    <w:link w:val="Footer"/>
    <w:uiPriority w:val="99"/>
    <w:rsid w:val="00ED1AB2"/>
  </w:style>
  <w:style w:type="paragraph" w:styleId="TOC3">
    <w:name w:val="toc 3"/>
    <w:basedOn w:val="Normal"/>
    <w:next w:val="Normal"/>
    <w:autoRedefine/>
    <w:uiPriority w:val="39"/>
    <w:unhideWhenUsed/>
    <w:rsid w:val="00144BDB"/>
    <w:pPr>
      <w:spacing w:after="100"/>
      <w:ind w:left="440"/>
    </w:pPr>
  </w:style>
  <w:style w:type="paragraph" w:styleId="NormalWeb">
    <w:name w:val="Normal (Web)"/>
    <w:basedOn w:val="Normal"/>
    <w:uiPriority w:val="99"/>
    <w:unhideWhenUsed/>
    <w:rsid w:val="000A0A2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CommentReference">
    <w:name w:val="annotation reference"/>
    <w:basedOn w:val="DefaultParagraphFont"/>
    <w:uiPriority w:val="99"/>
    <w:semiHidden/>
    <w:unhideWhenUsed/>
    <w:rsid w:val="005501C8"/>
    <w:rPr>
      <w:sz w:val="16"/>
      <w:szCs w:val="16"/>
    </w:rPr>
  </w:style>
  <w:style w:type="paragraph" w:styleId="CommentText">
    <w:name w:val="annotation text"/>
    <w:basedOn w:val="Normal"/>
    <w:link w:val="CommentTextChar"/>
    <w:uiPriority w:val="99"/>
    <w:unhideWhenUsed/>
    <w:rsid w:val="005501C8"/>
    <w:pPr>
      <w:spacing w:line="240" w:lineRule="auto"/>
    </w:pPr>
    <w:rPr>
      <w:sz w:val="20"/>
      <w:szCs w:val="20"/>
    </w:rPr>
  </w:style>
  <w:style w:type="character" w:customStyle="1" w:styleId="CommentTextChar">
    <w:name w:val="Comment Text Char"/>
    <w:basedOn w:val="DefaultParagraphFont"/>
    <w:link w:val="CommentText"/>
    <w:uiPriority w:val="99"/>
    <w:rsid w:val="005501C8"/>
    <w:rPr>
      <w:sz w:val="20"/>
      <w:szCs w:val="20"/>
      <w:lang w:val="en-GB"/>
    </w:rPr>
  </w:style>
  <w:style w:type="paragraph" w:styleId="CommentSubject">
    <w:name w:val="annotation subject"/>
    <w:basedOn w:val="CommentText"/>
    <w:next w:val="CommentText"/>
    <w:link w:val="CommentSubjectChar"/>
    <w:uiPriority w:val="99"/>
    <w:semiHidden/>
    <w:unhideWhenUsed/>
    <w:rsid w:val="005501C8"/>
    <w:rPr>
      <w:b/>
      <w:bCs/>
    </w:rPr>
  </w:style>
  <w:style w:type="character" w:customStyle="1" w:styleId="CommentSubjectChar">
    <w:name w:val="Comment Subject Char"/>
    <w:basedOn w:val="CommentTextChar"/>
    <w:link w:val="CommentSubject"/>
    <w:uiPriority w:val="99"/>
    <w:semiHidden/>
    <w:rsid w:val="005501C8"/>
    <w:rPr>
      <w:b/>
      <w:bCs/>
      <w:sz w:val="20"/>
      <w:szCs w:val="20"/>
      <w:lang w:val="en-GB"/>
    </w:rPr>
  </w:style>
  <w:style w:type="paragraph" w:styleId="Revision">
    <w:name w:val="Revision"/>
    <w:hidden/>
    <w:uiPriority w:val="99"/>
    <w:semiHidden/>
    <w:rsid w:val="00CE578B"/>
    <w:pPr>
      <w:spacing w:line="240" w:lineRule="auto"/>
    </w:pPr>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1"/>
    <w:next w:val="Normal1"/>
    <w:rsid w:val="00C21E44"/>
    <w:pPr>
      <w:spacing w:line="360" w:lineRule="auto"/>
      <w:jc w:val="center"/>
      <w:outlineLvl w:val="0"/>
    </w:pPr>
    <w:rPr>
      <w:rFonts w:ascii="Times New Roman" w:eastAsia="Times New Roman" w:hAnsi="Times New Roman" w:cs="Times New Roman"/>
      <w:b/>
      <w:bCs/>
      <w:sz w:val="28"/>
      <w:szCs w:val="28"/>
      <w:lang w:val="en-GB"/>
    </w:rPr>
  </w:style>
  <w:style w:type="paragraph" w:styleId="Heading2">
    <w:name w:val="heading 2"/>
    <w:basedOn w:val="Normal1"/>
    <w:next w:val="Normal1"/>
    <w:rsid w:val="00C21E44"/>
    <w:pPr>
      <w:spacing w:line="360" w:lineRule="auto"/>
      <w:jc w:val="both"/>
      <w:outlineLvl w:val="1"/>
    </w:pPr>
    <w:rPr>
      <w:rFonts w:ascii="Times New Roman" w:eastAsia="Times New Roman" w:hAnsi="Times New Roman" w:cs="Times New Roman"/>
      <w:b/>
      <w:bCs/>
      <w:sz w:val="24"/>
      <w:szCs w:val="24"/>
      <w:lang w:val="en-GB"/>
    </w:rPr>
  </w:style>
  <w:style w:type="paragraph" w:styleId="Heading3">
    <w:name w:val="heading 3"/>
    <w:basedOn w:val="Normal1"/>
    <w:next w:val="Normal1"/>
    <w:rsid w:val="00794B56"/>
    <w:pPr>
      <w:spacing w:line="360" w:lineRule="auto"/>
      <w:jc w:val="both"/>
      <w:outlineLvl w:val="2"/>
    </w:pPr>
    <w:rPr>
      <w:rFonts w:ascii="Times New Roman" w:hAnsi="Times New Roman" w:cs="Times New Roman"/>
      <w:b/>
      <w:bCs/>
      <w:i/>
      <w:iCs/>
      <w:sz w:val="24"/>
      <w:szCs w:val="24"/>
      <w:lang w:val="en-GB"/>
    </w:rPr>
  </w:style>
  <w:style w:type="paragraph" w:styleId="Heading4">
    <w:name w:val="heading 4"/>
    <w:basedOn w:val="Normal1"/>
    <w:next w:val="Normal1"/>
    <w:rsid w:val="00245BC1"/>
    <w:pPr>
      <w:keepNext/>
      <w:keepLines/>
      <w:spacing w:line="360" w:lineRule="auto"/>
      <w:jc w:val="center"/>
      <w:outlineLvl w:val="3"/>
    </w:pPr>
    <w:rPr>
      <w:rFonts w:ascii="Times New Roman" w:hAnsi="Times New Roman" w:cs="Times New Roman"/>
      <w:b/>
      <w:bCs/>
      <w:sz w:val="24"/>
      <w:szCs w:val="24"/>
      <w:lang w:val="en-GB"/>
    </w:rPr>
  </w:style>
  <w:style w:type="paragraph" w:styleId="Heading5">
    <w:name w:val="heading 5"/>
    <w:basedOn w:val="Normal1"/>
    <w:next w:val="Normal1"/>
    <w:rsid w:val="0050244B"/>
    <w:pPr>
      <w:keepNext/>
      <w:keepLines/>
      <w:spacing w:before="240" w:after="80"/>
      <w:outlineLvl w:val="4"/>
    </w:pPr>
    <w:rPr>
      <w:color w:val="666666"/>
    </w:rPr>
  </w:style>
  <w:style w:type="paragraph" w:styleId="Heading6">
    <w:name w:val="heading 6"/>
    <w:basedOn w:val="Normal1"/>
    <w:next w:val="Normal1"/>
    <w:rsid w:val="0050244B"/>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0244B"/>
    <w:tblPr>
      <w:tblCellMar>
        <w:top w:w="100" w:type="dxa"/>
        <w:left w:w="100" w:type="dxa"/>
        <w:bottom w:w="100" w:type="dxa"/>
        <w:right w:w="100" w:type="dxa"/>
      </w:tblCellMar>
    </w:tblPr>
  </w:style>
  <w:style w:type="paragraph" w:customStyle="1" w:styleId="Normal1">
    <w:name w:val="Normal1"/>
    <w:rsid w:val="0050244B"/>
  </w:style>
  <w:style w:type="paragraph" w:styleId="Title">
    <w:name w:val="Title"/>
    <w:basedOn w:val="Normal1"/>
    <w:next w:val="Normal1"/>
    <w:uiPriority w:val="10"/>
    <w:qFormat/>
    <w:rsid w:val="0050244B"/>
    <w:pPr>
      <w:keepNext/>
      <w:keepLines/>
      <w:spacing w:after="60"/>
    </w:pPr>
    <w:rPr>
      <w:sz w:val="52"/>
      <w:szCs w:val="52"/>
    </w:rPr>
  </w:style>
  <w:style w:type="paragraph" w:styleId="Subtitle">
    <w:name w:val="Subtitle"/>
    <w:basedOn w:val="Normal1"/>
    <w:next w:val="Normal1"/>
    <w:rsid w:val="0050244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D5E43"/>
    <w:pPr>
      <w:keepNext/>
      <w:keepLines/>
      <w:spacing w:before="480" w:line="276" w:lineRule="auto"/>
      <w:jc w:val="left"/>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1D5E43"/>
    <w:pPr>
      <w:spacing w:after="100"/>
    </w:pPr>
  </w:style>
  <w:style w:type="paragraph" w:styleId="TOC2">
    <w:name w:val="toc 2"/>
    <w:basedOn w:val="Normal"/>
    <w:next w:val="Normal"/>
    <w:autoRedefine/>
    <w:uiPriority w:val="39"/>
    <w:unhideWhenUsed/>
    <w:rsid w:val="001D5E43"/>
    <w:pPr>
      <w:spacing w:after="100"/>
      <w:ind w:left="220"/>
    </w:pPr>
  </w:style>
  <w:style w:type="character" w:styleId="Hyperlink">
    <w:name w:val="Hyperlink"/>
    <w:basedOn w:val="DefaultParagraphFont"/>
    <w:uiPriority w:val="99"/>
    <w:unhideWhenUsed/>
    <w:rsid w:val="001D5E43"/>
    <w:rPr>
      <w:color w:val="0000FF" w:themeColor="hyperlink"/>
      <w:u w:val="single"/>
    </w:rPr>
  </w:style>
  <w:style w:type="paragraph" w:styleId="BalloonText">
    <w:name w:val="Balloon Text"/>
    <w:basedOn w:val="Normal"/>
    <w:link w:val="BalloonTextChar"/>
    <w:uiPriority w:val="99"/>
    <w:semiHidden/>
    <w:unhideWhenUsed/>
    <w:rsid w:val="001D5E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E43"/>
    <w:rPr>
      <w:rFonts w:ascii="Tahoma" w:hAnsi="Tahoma" w:cs="Tahoma"/>
      <w:sz w:val="16"/>
      <w:szCs w:val="16"/>
    </w:rPr>
  </w:style>
  <w:style w:type="paragraph" w:styleId="Header">
    <w:name w:val="header"/>
    <w:basedOn w:val="Normal"/>
    <w:link w:val="HeaderChar"/>
    <w:uiPriority w:val="99"/>
    <w:semiHidden/>
    <w:unhideWhenUsed/>
    <w:rsid w:val="00ED1AB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1AB2"/>
  </w:style>
  <w:style w:type="paragraph" w:styleId="Footer">
    <w:name w:val="footer"/>
    <w:basedOn w:val="Normal"/>
    <w:link w:val="FooterChar"/>
    <w:uiPriority w:val="99"/>
    <w:unhideWhenUsed/>
    <w:rsid w:val="00ED1AB2"/>
    <w:pPr>
      <w:tabs>
        <w:tab w:val="center" w:pos="4680"/>
        <w:tab w:val="right" w:pos="9360"/>
      </w:tabs>
      <w:spacing w:line="240" w:lineRule="auto"/>
    </w:pPr>
  </w:style>
  <w:style w:type="character" w:customStyle="1" w:styleId="FooterChar">
    <w:name w:val="Footer Char"/>
    <w:basedOn w:val="DefaultParagraphFont"/>
    <w:link w:val="Footer"/>
    <w:uiPriority w:val="99"/>
    <w:rsid w:val="00ED1AB2"/>
  </w:style>
  <w:style w:type="paragraph" w:styleId="TOC3">
    <w:name w:val="toc 3"/>
    <w:basedOn w:val="Normal"/>
    <w:next w:val="Normal"/>
    <w:autoRedefine/>
    <w:uiPriority w:val="39"/>
    <w:unhideWhenUsed/>
    <w:rsid w:val="00144BDB"/>
    <w:pPr>
      <w:spacing w:after="100"/>
      <w:ind w:left="440"/>
    </w:pPr>
  </w:style>
  <w:style w:type="paragraph" w:styleId="NormalWeb">
    <w:name w:val="Normal (Web)"/>
    <w:basedOn w:val="Normal"/>
    <w:uiPriority w:val="99"/>
    <w:unhideWhenUsed/>
    <w:rsid w:val="000A0A2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CommentReference">
    <w:name w:val="annotation reference"/>
    <w:basedOn w:val="DefaultParagraphFont"/>
    <w:uiPriority w:val="99"/>
    <w:semiHidden/>
    <w:unhideWhenUsed/>
    <w:rsid w:val="005501C8"/>
    <w:rPr>
      <w:sz w:val="16"/>
      <w:szCs w:val="16"/>
    </w:rPr>
  </w:style>
  <w:style w:type="paragraph" w:styleId="CommentText">
    <w:name w:val="annotation text"/>
    <w:basedOn w:val="Normal"/>
    <w:link w:val="CommentTextChar"/>
    <w:uiPriority w:val="99"/>
    <w:unhideWhenUsed/>
    <w:rsid w:val="005501C8"/>
    <w:pPr>
      <w:spacing w:line="240" w:lineRule="auto"/>
    </w:pPr>
    <w:rPr>
      <w:sz w:val="20"/>
      <w:szCs w:val="20"/>
    </w:rPr>
  </w:style>
  <w:style w:type="character" w:customStyle="1" w:styleId="CommentTextChar">
    <w:name w:val="Comment Text Char"/>
    <w:basedOn w:val="DefaultParagraphFont"/>
    <w:link w:val="CommentText"/>
    <w:uiPriority w:val="99"/>
    <w:rsid w:val="005501C8"/>
    <w:rPr>
      <w:sz w:val="20"/>
      <w:szCs w:val="20"/>
      <w:lang w:val="en-GB"/>
    </w:rPr>
  </w:style>
  <w:style w:type="paragraph" w:styleId="CommentSubject">
    <w:name w:val="annotation subject"/>
    <w:basedOn w:val="CommentText"/>
    <w:next w:val="CommentText"/>
    <w:link w:val="CommentSubjectChar"/>
    <w:uiPriority w:val="99"/>
    <w:semiHidden/>
    <w:unhideWhenUsed/>
    <w:rsid w:val="005501C8"/>
    <w:rPr>
      <w:b/>
      <w:bCs/>
    </w:rPr>
  </w:style>
  <w:style w:type="character" w:customStyle="1" w:styleId="CommentSubjectChar">
    <w:name w:val="Comment Subject Char"/>
    <w:basedOn w:val="CommentTextChar"/>
    <w:link w:val="CommentSubject"/>
    <w:uiPriority w:val="99"/>
    <w:semiHidden/>
    <w:rsid w:val="005501C8"/>
    <w:rPr>
      <w:b/>
      <w:bCs/>
      <w:sz w:val="20"/>
      <w:szCs w:val="20"/>
      <w:lang w:val="en-GB"/>
    </w:rPr>
  </w:style>
  <w:style w:type="paragraph" w:styleId="Revision">
    <w:name w:val="Revision"/>
    <w:hidden/>
    <w:uiPriority w:val="99"/>
    <w:semiHidden/>
    <w:rsid w:val="00CE578B"/>
    <w:pPr>
      <w:spacing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144032">
      <w:bodyDiv w:val="1"/>
      <w:marLeft w:val="0"/>
      <w:marRight w:val="0"/>
      <w:marTop w:val="0"/>
      <w:marBottom w:val="0"/>
      <w:divBdr>
        <w:top w:val="none" w:sz="0" w:space="0" w:color="auto"/>
        <w:left w:val="none" w:sz="0" w:space="0" w:color="auto"/>
        <w:bottom w:val="none" w:sz="0" w:space="0" w:color="auto"/>
        <w:right w:val="none" w:sz="0" w:space="0" w:color="auto"/>
      </w:divBdr>
    </w:div>
    <w:div w:id="123937906">
      <w:bodyDiv w:val="1"/>
      <w:marLeft w:val="0"/>
      <w:marRight w:val="0"/>
      <w:marTop w:val="0"/>
      <w:marBottom w:val="0"/>
      <w:divBdr>
        <w:top w:val="none" w:sz="0" w:space="0" w:color="auto"/>
        <w:left w:val="none" w:sz="0" w:space="0" w:color="auto"/>
        <w:bottom w:val="none" w:sz="0" w:space="0" w:color="auto"/>
        <w:right w:val="none" w:sz="0" w:space="0" w:color="auto"/>
      </w:divBdr>
    </w:div>
    <w:div w:id="251470426">
      <w:bodyDiv w:val="1"/>
      <w:marLeft w:val="0"/>
      <w:marRight w:val="0"/>
      <w:marTop w:val="0"/>
      <w:marBottom w:val="0"/>
      <w:divBdr>
        <w:top w:val="none" w:sz="0" w:space="0" w:color="auto"/>
        <w:left w:val="none" w:sz="0" w:space="0" w:color="auto"/>
        <w:bottom w:val="none" w:sz="0" w:space="0" w:color="auto"/>
        <w:right w:val="none" w:sz="0" w:space="0" w:color="auto"/>
      </w:divBdr>
    </w:div>
    <w:div w:id="312419426">
      <w:bodyDiv w:val="1"/>
      <w:marLeft w:val="0"/>
      <w:marRight w:val="0"/>
      <w:marTop w:val="0"/>
      <w:marBottom w:val="0"/>
      <w:divBdr>
        <w:top w:val="none" w:sz="0" w:space="0" w:color="auto"/>
        <w:left w:val="none" w:sz="0" w:space="0" w:color="auto"/>
        <w:bottom w:val="none" w:sz="0" w:space="0" w:color="auto"/>
        <w:right w:val="none" w:sz="0" w:space="0" w:color="auto"/>
      </w:divBdr>
    </w:div>
    <w:div w:id="519396925">
      <w:bodyDiv w:val="1"/>
      <w:marLeft w:val="0"/>
      <w:marRight w:val="0"/>
      <w:marTop w:val="0"/>
      <w:marBottom w:val="0"/>
      <w:divBdr>
        <w:top w:val="none" w:sz="0" w:space="0" w:color="auto"/>
        <w:left w:val="none" w:sz="0" w:space="0" w:color="auto"/>
        <w:bottom w:val="none" w:sz="0" w:space="0" w:color="auto"/>
        <w:right w:val="none" w:sz="0" w:space="0" w:color="auto"/>
      </w:divBdr>
    </w:div>
    <w:div w:id="545332280">
      <w:bodyDiv w:val="1"/>
      <w:marLeft w:val="0"/>
      <w:marRight w:val="0"/>
      <w:marTop w:val="0"/>
      <w:marBottom w:val="0"/>
      <w:divBdr>
        <w:top w:val="none" w:sz="0" w:space="0" w:color="auto"/>
        <w:left w:val="none" w:sz="0" w:space="0" w:color="auto"/>
        <w:bottom w:val="none" w:sz="0" w:space="0" w:color="auto"/>
        <w:right w:val="none" w:sz="0" w:space="0" w:color="auto"/>
      </w:divBdr>
    </w:div>
    <w:div w:id="563100339">
      <w:bodyDiv w:val="1"/>
      <w:marLeft w:val="0"/>
      <w:marRight w:val="0"/>
      <w:marTop w:val="0"/>
      <w:marBottom w:val="0"/>
      <w:divBdr>
        <w:top w:val="none" w:sz="0" w:space="0" w:color="auto"/>
        <w:left w:val="none" w:sz="0" w:space="0" w:color="auto"/>
        <w:bottom w:val="none" w:sz="0" w:space="0" w:color="auto"/>
        <w:right w:val="none" w:sz="0" w:space="0" w:color="auto"/>
      </w:divBdr>
    </w:div>
    <w:div w:id="732234729">
      <w:bodyDiv w:val="1"/>
      <w:marLeft w:val="0"/>
      <w:marRight w:val="0"/>
      <w:marTop w:val="0"/>
      <w:marBottom w:val="0"/>
      <w:divBdr>
        <w:top w:val="none" w:sz="0" w:space="0" w:color="auto"/>
        <w:left w:val="none" w:sz="0" w:space="0" w:color="auto"/>
        <w:bottom w:val="none" w:sz="0" w:space="0" w:color="auto"/>
        <w:right w:val="none" w:sz="0" w:space="0" w:color="auto"/>
      </w:divBdr>
    </w:div>
    <w:div w:id="962921601">
      <w:bodyDiv w:val="1"/>
      <w:marLeft w:val="0"/>
      <w:marRight w:val="0"/>
      <w:marTop w:val="0"/>
      <w:marBottom w:val="0"/>
      <w:divBdr>
        <w:top w:val="none" w:sz="0" w:space="0" w:color="auto"/>
        <w:left w:val="none" w:sz="0" w:space="0" w:color="auto"/>
        <w:bottom w:val="none" w:sz="0" w:space="0" w:color="auto"/>
        <w:right w:val="none" w:sz="0" w:space="0" w:color="auto"/>
      </w:divBdr>
    </w:div>
    <w:div w:id="1018198365">
      <w:bodyDiv w:val="1"/>
      <w:marLeft w:val="0"/>
      <w:marRight w:val="0"/>
      <w:marTop w:val="0"/>
      <w:marBottom w:val="0"/>
      <w:divBdr>
        <w:top w:val="none" w:sz="0" w:space="0" w:color="auto"/>
        <w:left w:val="none" w:sz="0" w:space="0" w:color="auto"/>
        <w:bottom w:val="none" w:sz="0" w:space="0" w:color="auto"/>
        <w:right w:val="none" w:sz="0" w:space="0" w:color="auto"/>
      </w:divBdr>
    </w:div>
    <w:div w:id="1091656647">
      <w:bodyDiv w:val="1"/>
      <w:marLeft w:val="0"/>
      <w:marRight w:val="0"/>
      <w:marTop w:val="0"/>
      <w:marBottom w:val="0"/>
      <w:divBdr>
        <w:top w:val="none" w:sz="0" w:space="0" w:color="auto"/>
        <w:left w:val="none" w:sz="0" w:space="0" w:color="auto"/>
        <w:bottom w:val="none" w:sz="0" w:space="0" w:color="auto"/>
        <w:right w:val="none" w:sz="0" w:space="0" w:color="auto"/>
      </w:divBdr>
    </w:div>
    <w:div w:id="1431659527">
      <w:bodyDiv w:val="1"/>
      <w:marLeft w:val="0"/>
      <w:marRight w:val="0"/>
      <w:marTop w:val="0"/>
      <w:marBottom w:val="0"/>
      <w:divBdr>
        <w:top w:val="none" w:sz="0" w:space="0" w:color="auto"/>
        <w:left w:val="none" w:sz="0" w:space="0" w:color="auto"/>
        <w:bottom w:val="none" w:sz="0" w:space="0" w:color="auto"/>
        <w:right w:val="none" w:sz="0" w:space="0" w:color="auto"/>
      </w:divBdr>
    </w:div>
    <w:div w:id="1715807532">
      <w:bodyDiv w:val="1"/>
      <w:marLeft w:val="0"/>
      <w:marRight w:val="0"/>
      <w:marTop w:val="0"/>
      <w:marBottom w:val="0"/>
      <w:divBdr>
        <w:top w:val="none" w:sz="0" w:space="0" w:color="auto"/>
        <w:left w:val="none" w:sz="0" w:space="0" w:color="auto"/>
        <w:bottom w:val="none" w:sz="0" w:space="0" w:color="auto"/>
        <w:right w:val="none" w:sz="0" w:space="0" w:color="auto"/>
      </w:divBdr>
    </w:div>
    <w:div w:id="1789352449">
      <w:bodyDiv w:val="1"/>
      <w:marLeft w:val="0"/>
      <w:marRight w:val="0"/>
      <w:marTop w:val="0"/>
      <w:marBottom w:val="0"/>
      <w:divBdr>
        <w:top w:val="none" w:sz="0" w:space="0" w:color="auto"/>
        <w:left w:val="none" w:sz="0" w:space="0" w:color="auto"/>
        <w:bottom w:val="none" w:sz="0" w:space="0" w:color="auto"/>
        <w:right w:val="none" w:sz="0" w:space="0" w:color="auto"/>
      </w:divBdr>
    </w:div>
    <w:div w:id="1931498698">
      <w:bodyDiv w:val="1"/>
      <w:marLeft w:val="0"/>
      <w:marRight w:val="0"/>
      <w:marTop w:val="0"/>
      <w:marBottom w:val="0"/>
      <w:divBdr>
        <w:top w:val="none" w:sz="0" w:space="0" w:color="auto"/>
        <w:left w:val="none" w:sz="0" w:space="0" w:color="auto"/>
        <w:bottom w:val="none" w:sz="0" w:space="0" w:color="auto"/>
        <w:right w:val="none" w:sz="0" w:space="0" w:color="auto"/>
      </w:divBdr>
    </w:div>
    <w:div w:id="20733817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unstats.un.org/sdgs/report/2025/The-Sustainable-Development-Goals-Report-2025.pdf" TargetMode="External"/><Relationship Id="rId2" Type="http://schemas.openxmlformats.org/officeDocument/2006/relationships/numbering" Target="numbering.xml"/><Relationship Id="rId16" Type="http://schemas.openxmlformats.org/officeDocument/2006/relationships/hyperlink" Target="https://interagencystandingcommittee.org/sites/default/files/2024-09/Beyond%202026_Final.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ecd.org/en/data/insights/data-explainers/2026/04/a-historic-decline-in-foreign-aid-preliminary-2025-oda-data.html"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5F510A-295F-4822-BAD6-DECDDB0B7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21018</Words>
  <Characters>119807</Characters>
  <Application>Microsoft Office Word</Application>
  <DocSecurity>0</DocSecurity>
  <Lines>998</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 User</dc:creator>
  <cp:lastModifiedBy>Smart User</cp:lastModifiedBy>
  <cp:revision>6</cp:revision>
  <dcterms:created xsi:type="dcterms:W3CDTF">2026-09-24T11:26:00Z</dcterms:created>
  <dcterms:modified xsi:type="dcterms:W3CDTF">2026-09-24T11:38:00Z</dcterms:modified>
</cp:coreProperties>
</file>