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725C6" w14:textId="77777777" w:rsidR="00700733" w:rsidRDefault="00700733" w:rsidP="00BD4B65">
      <w:pPr>
        <w:rPr>
          <w:b/>
          <w:sz w:val="32"/>
        </w:rPr>
      </w:pPr>
    </w:p>
    <w:p w14:paraId="6AE0E682" w14:textId="77777777" w:rsidR="00700733" w:rsidRDefault="00700733" w:rsidP="00700733">
      <w:pPr>
        <w:jc w:val="center"/>
        <w:rPr>
          <w:noProof/>
          <w:lang w:val="en-GB" w:eastAsia="en-GB"/>
        </w:rPr>
      </w:pPr>
    </w:p>
    <w:p w14:paraId="50F7F14D" w14:textId="77777777" w:rsidR="00700733" w:rsidRDefault="000F1999" w:rsidP="00700733">
      <w:pPr>
        <w:jc w:val="center"/>
        <w:rPr>
          <w:b/>
          <w:sz w:val="32"/>
        </w:rPr>
      </w:pPr>
      <w:r>
        <w:rPr>
          <w:noProof/>
          <w:lang w:val="en-GB" w:eastAsia="en-GB"/>
        </w:rPr>
        <w:drawing>
          <wp:inline distT="0" distB="0" distL="0" distR="0" wp14:anchorId="08C96297" wp14:editId="30D7FB5F">
            <wp:extent cx="2105025" cy="776681"/>
            <wp:effectExtent l="0" t="0" r="0" b="4445"/>
            <wp:docPr id="2" name="Picture 2" descr="University of Wales Trinity Saint David Logo Vector - (.SV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Logo Vector - (.SVG ..."/>
                    <pic:cNvPicPr>
                      <a:picLocks noChangeAspect="1" noChangeArrowheads="1"/>
                    </pic:cNvPicPr>
                  </pic:nvPicPr>
                  <pic:blipFill>
                    <a:blip r:embed="rId8" cstate="print">
                      <a:extLst>
                        <a:ext uri="{28A0092B-C50C-407E-A947-70E740481C1C}">
                          <a14:useLocalDpi xmlns:a14="http://schemas.microsoft.com/office/drawing/2010/main" val="0"/>
                        </a:ext>
                      </a:extLst>
                    </a:blip>
                    <a:srcRect t="14659" b="18927"/>
                    <a:stretch>
                      <a:fillRect/>
                    </a:stretch>
                  </pic:blipFill>
                  <pic:spPr bwMode="auto">
                    <a:xfrm>
                      <a:off x="0" y="0"/>
                      <a:ext cx="2141894" cy="790284"/>
                    </a:xfrm>
                    <a:prstGeom prst="rect">
                      <a:avLst/>
                    </a:prstGeom>
                    <a:noFill/>
                    <a:ln>
                      <a:noFill/>
                    </a:ln>
                    <a:extLst>
                      <a:ext uri="{53640926-AAD7-44D8-BBD7-CCE9431645EC}">
                        <a14:shadowObscured xmlns:a14="http://schemas.microsoft.com/office/drawing/2010/main"/>
                      </a:ext>
                    </a:extLst>
                  </pic:spPr>
                </pic:pic>
              </a:graphicData>
            </a:graphic>
          </wp:inline>
        </w:drawing>
      </w:r>
    </w:p>
    <w:p w14:paraId="52F0FC5A" w14:textId="77777777" w:rsidR="00700733" w:rsidRDefault="00700733" w:rsidP="00700733">
      <w:pPr>
        <w:jc w:val="center"/>
        <w:rPr>
          <w:b/>
          <w:sz w:val="32"/>
        </w:rPr>
      </w:pPr>
    </w:p>
    <w:p w14:paraId="020DD952" w14:textId="77777777" w:rsidR="00700733" w:rsidRDefault="00700733" w:rsidP="00700733">
      <w:pPr>
        <w:jc w:val="center"/>
        <w:rPr>
          <w:b/>
          <w:sz w:val="32"/>
        </w:rPr>
      </w:pPr>
    </w:p>
    <w:p w14:paraId="6856E359" w14:textId="77777777" w:rsidR="00700733" w:rsidRDefault="00700733" w:rsidP="00700733">
      <w:pPr>
        <w:jc w:val="center"/>
        <w:rPr>
          <w:b/>
          <w:sz w:val="32"/>
        </w:rPr>
      </w:pPr>
    </w:p>
    <w:p w14:paraId="685CAEE4" w14:textId="77777777" w:rsidR="00700733" w:rsidRDefault="000F1999" w:rsidP="00700733">
      <w:pPr>
        <w:jc w:val="center"/>
        <w:rPr>
          <w:b/>
          <w:sz w:val="32"/>
        </w:rPr>
      </w:pPr>
      <w:r w:rsidRPr="00026512">
        <w:rPr>
          <w:b/>
          <w:sz w:val="32"/>
        </w:rPr>
        <w:t>BA Business Management</w:t>
      </w:r>
    </w:p>
    <w:p w14:paraId="46AE3E57" w14:textId="77777777" w:rsidR="00700733" w:rsidRDefault="000F1999" w:rsidP="00700733">
      <w:pPr>
        <w:jc w:val="center"/>
        <w:rPr>
          <w:b/>
          <w:sz w:val="32"/>
        </w:rPr>
      </w:pPr>
      <w:r w:rsidRPr="00026512">
        <w:rPr>
          <w:b/>
          <w:sz w:val="32"/>
        </w:rPr>
        <w:t>LCBB4002 Community Engagement</w:t>
      </w:r>
    </w:p>
    <w:p w14:paraId="259A5D75" w14:textId="77777777" w:rsidR="00700733" w:rsidRDefault="000F1999" w:rsidP="00700733">
      <w:pPr>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Assessment 2</w:t>
      </w:r>
    </w:p>
    <w:p w14:paraId="2E0020C8" w14:textId="77777777" w:rsidR="00700733" w:rsidRDefault="00700733" w:rsidP="00700733">
      <w:pPr>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F652E0" w14:textId="77777777" w:rsidR="00700733" w:rsidRDefault="00700733" w:rsidP="00700733">
      <w:pPr>
        <w:jc w:val="center"/>
        <w:rPr>
          <w:color w:val="000000" w:themeColor="text1"/>
          <w:sz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D63A62" w14:textId="77777777" w:rsidR="00700733" w:rsidRDefault="00700733" w:rsidP="00700733"/>
    <w:p w14:paraId="668AA7BA" w14:textId="77777777" w:rsidR="00700733" w:rsidRDefault="00700733" w:rsidP="00700733"/>
    <w:p w14:paraId="70517A83" w14:textId="74E814D1" w:rsidR="00700733" w:rsidRPr="00026512" w:rsidRDefault="000F1999" w:rsidP="00700733">
      <w:pPr>
        <w:rPr>
          <w:b/>
          <w:sz w:val="32"/>
        </w:rPr>
      </w:pPr>
      <w:r w:rsidRPr="00026512">
        <w:rPr>
          <w:b/>
          <w:sz w:val="32"/>
        </w:rPr>
        <w:t>Student Name:</w:t>
      </w:r>
      <w:r w:rsidR="00873061">
        <w:rPr>
          <w:b/>
          <w:sz w:val="32"/>
        </w:rPr>
        <w:t xml:space="preserve"> Alice-Ana-Maria Casota</w:t>
      </w:r>
    </w:p>
    <w:p w14:paraId="02BEA4E5" w14:textId="7E7D5114" w:rsidR="0060088C" w:rsidRDefault="000F1999" w:rsidP="00590716">
      <w:pPr>
        <w:rPr>
          <w:b/>
          <w:sz w:val="32"/>
        </w:rPr>
      </w:pPr>
      <w:r w:rsidRPr="00026512">
        <w:rPr>
          <w:b/>
          <w:sz w:val="32"/>
        </w:rPr>
        <w:t>Student ID:</w:t>
      </w:r>
      <w:r w:rsidR="0060088C" w:rsidRPr="0060088C">
        <w:rPr>
          <w:b/>
          <w:sz w:val="32"/>
        </w:rPr>
        <w:t xml:space="preserve"> </w:t>
      </w:r>
      <w:r w:rsidR="0060088C" w:rsidRPr="00A055A7">
        <w:rPr>
          <w:b/>
          <w:sz w:val="32"/>
        </w:rPr>
        <w:t>2117332</w:t>
      </w:r>
    </w:p>
    <w:p w14:paraId="00D5DBAB" w14:textId="66C8A4A7" w:rsidR="00700733" w:rsidRDefault="0060088C" w:rsidP="00700733">
      <w:r w:rsidRPr="0007539D">
        <w:t>Module Coordinator</w:t>
      </w:r>
      <w:r>
        <w:t xml:space="preserve">: </w:t>
      </w:r>
      <w:r w:rsidRPr="00B37FBF">
        <w:t>Dr Molly Jack- GP 1&amp;2</w:t>
      </w:r>
      <w:r w:rsidR="000F1999">
        <w:br w:type="page"/>
      </w:r>
    </w:p>
    <w:sdt>
      <w:sdtPr>
        <w:rPr>
          <w:rFonts w:eastAsiaTheme="minorEastAsia" w:cstheme="minorBidi"/>
          <w:b w:val="0"/>
          <w:bCs w:val="0"/>
          <w:noProof w:val="0"/>
          <w:sz w:val="24"/>
          <w:szCs w:val="22"/>
        </w:rPr>
        <w:id w:val="1138683990"/>
        <w:docPartObj>
          <w:docPartGallery w:val="Table of Contents"/>
          <w:docPartUnique/>
        </w:docPartObj>
      </w:sdtPr>
      <w:sdtEndPr/>
      <w:sdtContent>
        <w:p w14:paraId="2758EE23" w14:textId="77777777" w:rsidR="00700733" w:rsidRDefault="000F1999" w:rsidP="00A270CD">
          <w:pPr>
            <w:pStyle w:val="TOCHeading"/>
            <w:jc w:val="both"/>
          </w:pPr>
          <w:r>
            <w:t>Table of Contents</w:t>
          </w:r>
        </w:p>
        <w:p w14:paraId="19B48557" w14:textId="77777777" w:rsidR="00700733" w:rsidRDefault="000F1999" w:rsidP="00700733">
          <w:pPr>
            <w:pStyle w:val="TOC1"/>
            <w:tabs>
              <w:tab w:val="right" w:leader="dot" w:pos="9016"/>
            </w:tabs>
            <w:spacing w:after="0" w:line="360" w:lineRule="auto"/>
            <w:jc w:val="both"/>
            <w:rPr>
              <w:noProof/>
            </w:rPr>
          </w:pPr>
          <w:r>
            <w:fldChar w:fldCharType="begin"/>
          </w:r>
          <w:r>
            <w:instrText xml:space="preserve"> TOC \o "1-3" \h \z \u </w:instrText>
          </w:r>
          <w:r>
            <w:fldChar w:fldCharType="separate"/>
          </w:r>
          <w:hyperlink w:anchor="_Toc112041528" w:history="1">
            <w:r w:rsidRPr="00D5511C">
              <w:rPr>
                <w:rStyle w:val="Hyperlink"/>
                <w:noProof/>
              </w:rPr>
              <w:t>Introduction:</w:t>
            </w:r>
            <w:r>
              <w:rPr>
                <w:noProof/>
                <w:webHidden/>
              </w:rPr>
              <w:tab/>
            </w:r>
            <w:r>
              <w:rPr>
                <w:noProof/>
                <w:webHidden/>
              </w:rPr>
              <w:fldChar w:fldCharType="begin"/>
            </w:r>
            <w:r>
              <w:rPr>
                <w:noProof/>
                <w:webHidden/>
              </w:rPr>
              <w:instrText xml:space="preserve"> PAGEREF _Toc112041528 \h </w:instrText>
            </w:r>
            <w:r>
              <w:rPr>
                <w:noProof/>
                <w:webHidden/>
              </w:rPr>
            </w:r>
            <w:r>
              <w:rPr>
                <w:noProof/>
                <w:webHidden/>
              </w:rPr>
              <w:fldChar w:fldCharType="separate"/>
            </w:r>
            <w:r w:rsidR="00BD4B65">
              <w:rPr>
                <w:noProof/>
                <w:webHidden/>
              </w:rPr>
              <w:t>3</w:t>
            </w:r>
            <w:r>
              <w:rPr>
                <w:noProof/>
                <w:webHidden/>
              </w:rPr>
              <w:fldChar w:fldCharType="end"/>
            </w:r>
          </w:hyperlink>
        </w:p>
        <w:p w14:paraId="3D6C2AAB" w14:textId="77777777" w:rsidR="00700733" w:rsidRDefault="0060088C" w:rsidP="00700733">
          <w:pPr>
            <w:pStyle w:val="TOC1"/>
            <w:tabs>
              <w:tab w:val="right" w:leader="dot" w:pos="9016"/>
            </w:tabs>
            <w:spacing w:after="0" w:line="360" w:lineRule="auto"/>
            <w:jc w:val="both"/>
            <w:rPr>
              <w:noProof/>
            </w:rPr>
          </w:pPr>
          <w:hyperlink w:anchor="_Toc112041529" w:history="1">
            <w:r w:rsidR="000F1999" w:rsidRPr="00D5511C">
              <w:rPr>
                <w:rStyle w:val="Hyperlink"/>
                <w:noProof/>
              </w:rPr>
              <w:t>Reflection on Bristol’s Community Project:</w:t>
            </w:r>
            <w:r w:rsidR="000F1999">
              <w:rPr>
                <w:noProof/>
                <w:webHidden/>
              </w:rPr>
              <w:tab/>
            </w:r>
            <w:r w:rsidR="000F1999">
              <w:rPr>
                <w:noProof/>
                <w:webHidden/>
              </w:rPr>
              <w:fldChar w:fldCharType="begin"/>
            </w:r>
            <w:r w:rsidR="000F1999">
              <w:rPr>
                <w:noProof/>
                <w:webHidden/>
              </w:rPr>
              <w:instrText xml:space="preserve"> PAGEREF _Toc112041529 \h </w:instrText>
            </w:r>
            <w:r w:rsidR="000F1999">
              <w:rPr>
                <w:noProof/>
                <w:webHidden/>
              </w:rPr>
            </w:r>
            <w:r w:rsidR="000F1999">
              <w:rPr>
                <w:noProof/>
                <w:webHidden/>
              </w:rPr>
              <w:fldChar w:fldCharType="separate"/>
            </w:r>
            <w:r w:rsidR="00BD4B65">
              <w:rPr>
                <w:noProof/>
                <w:webHidden/>
              </w:rPr>
              <w:t>3</w:t>
            </w:r>
            <w:r w:rsidR="000F1999">
              <w:rPr>
                <w:noProof/>
                <w:webHidden/>
              </w:rPr>
              <w:fldChar w:fldCharType="end"/>
            </w:r>
          </w:hyperlink>
        </w:p>
        <w:p w14:paraId="79ADABF6" w14:textId="77777777" w:rsidR="00700733" w:rsidRDefault="0060088C" w:rsidP="00700733">
          <w:pPr>
            <w:pStyle w:val="TOC2"/>
            <w:tabs>
              <w:tab w:val="right" w:leader="dot" w:pos="9016"/>
            </w:tabs>
            <w:spacing w:after="0" w:line="360" w:lineRule="auto"/>
            <w:jc w:val="both"/>
            <w:rPr>
              <w:noProof/>
            </w:rPr>
          </w:pPr>
          <w:hyperlink w:anchor="_Toc112041530" w:history="1">
            <w:r w:rsidR="000F1999" w:rsidRPr="00D5511C">
              <w:rPr>
                <w:rStyle w:val="Hyperlink"/>
                <w:noProof/>
              </w:rPr>
              <w:t>Description</w:t>
            </w:r>
            <w:r w:rsidR="000F1999">
              <w:rPr>
                <w:noProof/>
                <w:webHidden/>
              </w:rPr>
              <w:tab/>
            </w:r>
            <w:r w:rsidR="000F1999">
              <w:rPr>
                <w:noProof/>
                <w:webHidden/>
              </w:rPr>
              <w:fldChar w:fldCharType="begin"/>
            </w:r>
            <w:r w:rsidR="000F1999">
              <w:rPr>
                <w:noProof/>
                <w:webHidden/>
              </w:rPr>
              <w:instrText xml:space="preserve"> PAGEREF _Toc112041530 \h </w:instrText>
            </w:r>
            <w:r w:rsidR="000F1999">
              <w:rPr>
                <w:noProof/>
                <w:webHidden/>
              </w:rPr>
            </w:r>
            <w:r w:rsidR="000F1999">
              <w:rPr>
                <w:noProof/>
                <w:webHidden/>
              </w:rPr>
              <w:fldChar w:fldCharType="separate"/>
            </w:r>
            <w:r w:rsidR="00BD4B65">
              <w:rPr>
                <w:noProof/>
                <w:webHidden/>
              </w:rPr>
              <w:t>4</w:t>
            </w:r>
            <w:r w:rsidR="000F1999">
              <w:rPr>
                <w:noProof/>
                <w:webHidden/>
              </w:rPr>
              <w:fldChar w:fldCharType="end"/>
            </w:r>
          </w:hyperlink>
        </w:p>
        <w:p w14:paraId="16AAE99E" w14:textId="77777777" w:rsidR="00700733" w:rsidRDefault="0060088C" w:rsidP="00700733">
          <w:pPr>
            <w:pStyle w:val="TOC2"/>
            <w:tabs>
              <w:tab w:val="right" w:leader="dot" w:pos="9016"/>
            </w:tabs>
            <w:spacing w:after="0" w:line="360" w:lineRule="auto"/>
            <w:jc w:val="both"/>
            <w:rPr>
              <w:noProof/>
            </w:rPr>
          </w:pPr>
          <w:hyperlink w:anchor="_Toc112041531" w:history="1">
            <w:r w:rsidR="000F1999" w:rsidRPr="00D5511C">
              <w:rPr>
                <w:rStyle w:val="Hyperlink"/>
                <w:noProof/>
              </w:rPr>
              <w:t>Feelings</w:t>
            </w:r>
            <w:r w:rsidR="000F1999">
              <w:rPr>
                <w:noProof/>
                <w:webHidden/>
              </w:rPr>
              <w:tab/>
            </w:r>
            <w:r w:rsidR="000F1999">
              <w:rPr>
                <w:noProof/>
                <w:webHidden/>
              </w:rPr>
              <w:fldChar w:fldCharType="begin"/>
            </w:r>
            <w:r w:rsidR="000F1999">
              <w:rPr>
                <w:noProof/>
                <w:webHidden/>
              </w:rPr>
              <w:instrText xml:space="preserve"> PAGEREF _Toc112041531 \h </w:instrText>
            </w:r>
            <w:r w:rsidR="000F1999">
              <w:rPr>
                <w:noProof/>
                <w:webHidden/>
              </w:rPr>
            </w:r>
            <w:r w:rsidR="000F1999">
              <w:rPr>
                <w:noProof/>
                <w:webHidden/>
              </w:rPr>
              <w:fldChar w:fldCharType="separate"/>
            </w:r>
            <w:r w:rsidR="00BD4B65">
              <w:rPr>
                <w:noProof/>
                <w:webHidden/>
              </w:rPr>
              <w:t>4</w:t>
            </w:r>
            <w:r w:rsidR="000F1999">
              <w:rPr>
                <w:noProof/>
                <w:webHidden/>
              </w:rPr>
              <w:fldChar w:fldCharType="end"/>
            </w:r>
          </w:hyperlink>
        </w:p>
        <w:p w14:paraId="35D0FF95" w14:textId="77777777" w:rsidR="00700733" w:rsidRDefault="0060088C" w:rsidP="00700733">
          <w:pPr>
            <w:pStyle w:val="TOC2"/>
            <w:tabs>
              <w:tab w:val="right" w:leader="dot" w:pos="9016"/>
            </w:tabs>
            <w:spacing w:after="0" w:line="360" w:lineRule="auto"/>
            <w:jc w:val="both"/>
            <w:rPr>
              <w:noProof/>
            </w:rPr>
          </w:pPr>
          <w:hyperlink w:anchor="_Toc112041532" w:history="1">
            <w:r w:rsidR="000F1999" w:rsidRPr="00D5511C">
              <w:rPr>
                <w:rStyle w:val="Hyperlink"/>
                <w:noProof/>
              </w:rPr>
              <w:t>Evaluation</w:t>
            </w:r>
            <w:r w:rsidR="000F1999">
              <w:rPr>
                <w:noProof/>
                <w:webHidden/>
              </w:rPr>
              <w:tab/>
            </w:r>
            <w:r w:rsidR="000F1999">
              <w:rPr>
                <w:noProof/>
                <w:webHidden/>
              </w:rPr>
              <w:fldChar w:fldCharType="begin"/>
            </w:r>
            <w:r w:rsidR="000F1999">
              <w:rPr>
                <w:noProof/>
                <w:webHidden/>
              </w:rPr>
              <w:instrText xml:space="preserve"> PAGEREF _Toc112041532 \h </w:instrText>
            </w:r>
            <w:r w:rsidR="000F1999">
              <w:rPr>
                <w:noProof/>
                <w:webHidden/>
              </w:rPr>
            </w:r>
            <w:r w:rsidR="000F1999">
              <w:rPr>
                <w:noProof/>
                <w:webHidden/>
              </w:rPr>
              <w:fldChar w:fldCharType="separate"/>
            </w:r>
            <w:r w:rsidR="00BD4B65">
              <w:rPr>
                <w:noProof/>
                <w:webHidden/>
              </w:rPr>
              <w:t>5</w:t>
            </w:r>
            <w:r w:rsidR="000F1999">
              <w:rPr>
                <w:noProof/>
                <w:webHidden/>
              </w:rPr>
              <w:fldChar w:fldCharType="end"/>
            </w:r>
          </w:hyperlink>
        </w:p>
        <w:p w14:paraId="2DE9BEE9" w14:textId="77777777" w:rsidR="00700733" w:rsidRDefault="0060088C" w:rsidP="00700733">
          <w:pPr>
            <w:pStyle w:val="TOC2"/>
            <w:tabs>
              <w:tab w:val="right" w:leader="dot" w:pos="9016"/>
            </w:tabs>
            <w:spacing w:after="0" w:line="360" w:lineRule="auto"/>
            <w:jc w:val="both"/>
            <w:rPr>
              <w:noProof/>
            </w:rPr>
          </w:pPr>
          <w:hyperlink w:anchor="_Toc112041533" w:history="1">
            <w:r w:rsidR="000F1999" w:rsidRPr="00D5511C">
              <w:rPr>
                <w:rStyle w:val="Hyperlink"/>
                <w:noProof/>
              </w:rPr>
              <w:t>Analysis</w:t>
            </w:r>
            <w:r w:rsidR="000F1999">
              <w:rPr>
                <w:noProof/>
                <w:webHidden/>
              </w:rPr>
              <w:tab/>
            </w:r>
            <w:r w:rsidR="000F1999">
              <w:rPr>
                <w:noProof/>
                <w:webHidden/>
              </w:rPr>
              <w:fldChar w:fldCharType="begin"/>
            </w:r>
            <w:r w:rsidR="000F1999">
              <w:rPr>
                <w:noProof/>
                <w:webHidden/>
              </w:rPr>
              <w:instrText xml:space="preserve"> PAGEREF _Toc112041533 \h </w:instrText>
            </w:r>
            <w:r w:rsidR="000F1999">
              <w:rPr>
                <w:noProof/>
                <w:webHidden/>
              </w:rPr>
            </w:r>
            <w:r w:rsidR="000F1999">
              <w:rPr>
                <w:noProof/>
                <w:webHidden/>
              </w:rPr>
              <w:fldChar w:fldCharType="separate"/>
            </w:r>
            <w:r w:rsidR="00BD4B65">
              <w:rPr>
                <w:noProof/>
                <w:webHidden/>
              </w:rPr>
              <w:t>5</w:t>
            </w:r>
            <w:r w:rsidR="000F1999">
              <w:rPr>
                <w:noProof/>
                <w:webHidden/>
              </w:rPr>
              <w:fldChar w:fldCharType="end"/>
            </w:r>
          </w:hyperlink>
        </w:p>
        <w:p w14:paraId="7B4DCAEE" w14:textId="77777777" w:rsidR="00700733" w:rsidRDefault="0060088C" w:rsidP="00700733">
          <w:pPr>
            <w:pStyle w:val="TOC2"/>
            <w:tabs>
              <w:tab w:val="right" w:leader="dot" w:pos="9016"/>
            </w:tabs>
            <w:spacing w:after="0" w:line="360" w:lineRule="auto"/>
            <w:jc w:val="both"/>
            <w:rPr>
              <w:noProof/>
            </w:rPr>
          </w:pPr>
          <w:hyperlink w:anchor="_Toc112041534" w:history="1">
            <w:r w:rsidR="000F1999" w:rsidRPr="00D5511C">
              <w:rPr>
                <w:rStyle w:val="Hyperlink"/>
                <w:noProof/>
              </w:rPr>
              <w:t>Conclusion</w:t>
            </w:r>
            <w:r w:rsidR="000F1999">
              <w:rPr>
                <w:noProof/>
                <w:webHidden/>
              </w:rPr>
              <w:tab/>
            </w:r>
            <w:r w:rsidR="000F1999">
              <w:rPr>
                <w:noProof/>
                <w:webHidden/>
              </w:rPr>
              <w:fldChar w:fldCharType="begin"/>
            </w:r>
            <w:r w:rsidR="000F1999">
              <w:rPr>
                <w:noProof/>
                <w:webHidden/>
              </w:rPr>
              <w:instrText xml:space="preserve"> PAGEREF _Toc112041534 \h </w:instrText>
            </w:r>
            <w:r w:rsidR="000F1999">
              <w:rPr>
                <w:noProof/>
                <w:webHidden/>
              </w:rPr>
            </w:r>
            <w:r w:rsidR="000F1999">
              <w:rPr>
                <w:noProof/>
                <w:webHidden/>
              </w:rPr>
              <w:fldChar w:fldCharType="separate"/>
            </w:r>
            <w:r w:rsidR="00BD4B65">
              <w:rPr>
                <w:noProof/>
                <w:webHidden/>
              </w:rPr>
              <w:t>5</w:t>
            </w:r>
            <w:r w:rsidR="000F1999">
              <w:rPr>
                <w:noProof/>
                <w:webHidden/>
              </w:rPr>
              <w:fldChar w:fldCharType="end"/>
            </w:r>
          </w:hyperlink>
        </w:p>
        <w:p w14:paraId="726F07F1" w14:textId="77777777" w:rsidR="00700733" w:rsidRDefault="0060088C" w:rsidP="00700733">
          <w:pPr>
            <w:pStyle w:val="TOC2"/>
            <w:tabs>
              <w:tab w:val="right" w:leader="dot" w:pos="9016"/>
            </w:tabs>
            <w:spacing w:after="0" w:line="360" w:lineRule="auto"/>
            <w:jc w:val="both"/>
            <w:rPr>
              <w:noProof/>
            </w:rPr>
          </w:pPr>
          <w:hyperlink w:anchor="_Toc112041535" w:history="1">
            <w:r w:rsidR="000F1999" w:rsidRPr="00D5511C">
              <w:rPr>
                <w:rStyle w:val="Hyperlink"/>
                <w:noProof/>
              </w:rPr>
              <w:t>Action Plan:</w:t>
            </w:r>
            <w:r w:rsidR="000F1999">
              <w:rPr>
                <w:noProof/>
                <w:webHidden/>
              </w:rPr>
              <w:tab/>
            </w:r>
            <w:r w:rsidR="000F1999">
              <w:rPr>
                <w:noProof/>
                <w:webHidden/>
              </w:rPr>
              <w:fldChar w:fldCharType="begin"/>
            </w:r>
            <w:r w:rsidR="000F1999">
              <w:rPr>
                <w:noProof/>
                <w:webHidden/>
              </w:rPr>
              <w:instrText xml:space="preserve"> PAGEREF _Toc112041535 \h </w:instrText>
            </w:r>
            <w:r w:rsidR="000F1999">
              <w:rPr>
                <w:noProof/>
                <w:webHidden/>
              </w:rPr>
            </w:r>
            <w:r w:rsidR="000F1999">
              <w:rPr>
                <w:noProof/>
                <w:webHidden/>
              </w:rPr>
              <w:fldChar w:fldCharType="separate"/>
            </w:r>
            <w:r w:rsidR="00BD4B65">
              <w:rPr>
                <w:noProof/>
                <w:webHidden/>
              </w:rPr>
              <w:t>6</w:t>
            </w:r>
            <w:r w:rsidR="000F1999">
              <w:rPr>
                <w:noProof/>
                <w:webHidden/>
              </w:rPr>
              <w:fldChar w:fldCharType="end"/>
            </w:r>
          </w:hyperlink>
        </w:p>
        <w:p w14:paraId="28908F94" w14:textId="77777777" w:rsidR="00700733" w:rsidRDefault="0060088C" w:rsidP="00700733">
          <w:pPr>
            <w:pStyle w:val="TOC1"/>
            <w:tabs>
              <w:tab w:val="right" w:leader="dot" w:pos="9016"/>
            </w:tabs>
            <w:spacing w:after="0" w:line="360" w:lineRule="auto"/>
            <w:jc w:val="both"/>
            <w:rPr>
              <w:noProof/>
            </w:rPr>
          </w:pPr>
          <w:hyperlink w:anchor="_Toc112041536" w:history="1">
            <w:r w:rsidR="000F1999" w:rsidRPr="00D5511C">
              <w:rPr>
                <w:rStyle w:val="Hyperlink"/>
                <w:noProof/>
              </w:rPr>
              <w:t>Compliance with Community Engagement Strategy</w:t>
            </w:r>
            <w:r w:rsidR="000F1999">
              <w:rPr>
                <w:noProof/>
                <w:webHidden/>
              </w:rPr>
              <w:tab/>
            </w:r>
            <w:r w:rsidR="000F1999">
              <w:rPr>
                <w:noProof/>
                <w:webHidden/>
              </w:rPr>
              <w:fldChar w:fldCharType="begin"/>
            </w:r>
            <w:r w:rsidR="000F1999">
              <w:rPr>
                <w:noProof/>
                <w:webHidden/>
              </w:rPr>
              <w:instrText xml:space="preserve"> PAGEREF _Toc112041536 \h </w:instrText>
            </w:r>
            <w:r w:rsidR="000F1999">
              <w:rPr>
                <w:noProof/>
                <w:webHidden/>
              </w:rPr>
            </w:r>
            <w:r w:rsidR="000F1999">
              <w:rPr>
                <w:noProof/>
                <w:webHidden/>
              </w:rPr>
              <w:fldChar w:fldCharType="separate"/>
            </w:r>
            <w:r w:rsidR="00BD4B65">
              <w:rPr>
                <w:noProof/>
                <w:webHidden/>
              </w:rPr>
              <w:t>6</w:t>
            </w:r>
            <w:r w:rsidR="000F1999">
              <w:rPr>
                <w:noProof/>
                <w:webHidden/>
              </w:rPr>
              <w:fldChar w:fldCharType="end"/>
            </w:r>
          </w:hyperlink>
        </w:p>
        <w:p w14:paraId="4CE0F150" w14:textId="77777777" w:rsidR="00700733" w:rsidRDefault="0060088C" w:rsidP="00700733">
          <w:pPr>
            <w:pStyle w:val="TOC1"/>
            <w:tabs>
              <w:tab w:val="right" w:leader="dot" w:pos="9016"/>
            </w:tabs>
            <w:spacing w:after="0" w:line="360" w:lineRule="auto"/>
            <w:jc w:val="both"/>
            <w:rPr>
              <w:noProof/>
            </w:rPr>
          </w:pPr>
          <w:hyperlink w:anchor="_Toc112041537" w:history="1">
            <w:r w:rsidR="000F1999" w:rsidRPr="00D5511C">
              <w:rPr>
                <w:rStyle w:val="Hyperlink"/>
                <w:noProof/>
              </w:rPr>
              <w:t>Conclusion:</w:t>
            </w:r>
            <w:r w:rsidR="000F1999">
              <w:rPr>
                <w:noProof/>
                <w:webHidden/>
              </w:rPr>
              <w:tab/>
            </w:r>
            <w:r w:rsidR="000F1999">
              <w:rPr>
                <w:noProof/>
                <w:webHidden/>
              </w:rPr>
              <w:fldChar w:fldCharType="begin"/>
            </w:r>
            <w:r w:rsidR="000F1999">
              <w:rPr>
                <w:noProof/>
                <w:webHidden/>
              </w:rPr>
              <w:instrText xml:space="preserve"> PAGEREF _Toc112041537 \h </w:instrText>
            </w:r>
            <w:r w:rsidR="000F1999">
              <w:rPr>
                <w:noProof/>
                <w:webHidden/>
              </w:rPr>
            </w:r>
            <w:r w:rsidR="000F1999">
              <w:rPr>
                <w:noProof/>
                <w:webHidden/>
              </w:rPr>
              <w:fldChar w:fldCharType="separate"/>
            </w:r>
            <w:r w:rsidR="00BD4B65">
              <w:rPr>
                <w:noProof/>
                <w:webHidden/>
              </w:rPr>
              <w:t>7</w:t>
            </w:r>
            <w:r w:rsidR="000F1999">
              <w:rPr>
                <w:noProof/>
                <w:webHidden/>
              </w:rPr>
              <w:fldChar w:fldCharType="end"/>
            </w:r>
          </w:hyperlink>
        </w:p>
        <w:p w14:paraId="6C966E04" w14:textId="77777777" w:rsidR="00700733" w:rsidRDefault="0060088C" w:rsidP="00700733">
          <w:pPr>
            <w:pStyle w:val="TOC1"/>
            <w:tabs>
              <w:tab w:val="right" w:leader="dot" w:pos="9016"/>
            </w:tabs>
            <w:spacing w:after="0" w:line="360" w:lineRule="auto"/>
            <w:jc w:val="both"/>
            <w:rPr>
              <w:noProof/>
            </w:rPr>
          </w:pPr>
          <w:hyperlink w:anchor="_Toc112041538" w:history="1">
            <w:r w:rsidR="000F1999" w:rsidRPr="00D5511C">
              <w:rPr>
                <w:rStyle w:val="Hyperlink"/>
                <w:noProof/>
              </w:rPr>
              <w:t>References:</w:t>
            </w:r>
            <w:r w:rsidR="000F1999">
              <w:rPr>
                <w:noProof/>
                <w:webHidden/>
              </w:rPr>
              <w:tab/>
            </w:r>
            <w:r w:rsidR="000F1999">
              <w:rPr>
                <w:noProof/>
                <w:webHidden/>
              </w:rPr>
              <w:fldChar w:fldCharType="begin"/>
            </w:r>
            <w:r w:rsidR="000F1999">
              <w:rPr>
                <w:noProof/>
                <w:webHidden/>
              </w:rPr>
              <w:instrText xml:space="preserve"> PAGEREF _Toc112041538 \h </w:instrText>
            </w:r>
            <w:r w:rsidR="000F1999">
              <w:rPr>
                <w:noProof/>
                <w:webHidden/>
              </w:rPr>
            </w:r>
            <w:r w:rsidR="000F1999">
              <w:rPr>
                <w:noProof/>
                <w:webHidden/>
              </w:rPr>
              <w:fldChar w:fldCharType="separate"/>
            </w:r>
            <w:r w:rsidR="00BD4B65">
              <w:rPr>
                <w:noProof/>
                <w:webHidden/>
              </w:rPr>
              <w:t>8</w:t>
            </w:r>
            <w:r w:rsidR="000F1999">
              <w:rPr>
                <w:noProof/>
                <w:webHidden/>
              </w:rPr>
              <w:fldChar w:fldCharType="end"/>
            </w:r>
          </w:hyperlink>
        </w:p>
        <w:p w14:paraId="62077521" w14:textId="77777777" w:rsidR="00700733" w:rsidRDefault="000F1999" w:rsidP="00700733">
          <w:pPr>
            <w:spacing w:after="0" w:line="360" w:lineRule="auto"/>
            <w:jc w:val="both"/>
          </w:pPr>
          <w:r>
            <w:rPr>
              <w:b/>
              <w:bCs/>
              <w:noProof/>
            </w:rPr>
            <w:fldChar w:fldCharType="end"/>
          </w:r>
        </w:p>
      </w:sdtContent>
    </w:sdt>
    <w:p w14:paraId="53255F8F" w14:textId="77777777" w:rsidR="00700733" w:rsidRPr="00700733" w:rsidRDefault="000F1999">
      <w:pPr>
        <w:rPr>
          <w:b/>
          <w:sz w:val="32"/>
        </w:rPr>
      </w:pPr>
      <w:r w:rsidRPr="00700733">
        <w:rPr>
          <w:b/>
          <w:sz w:val="32"/>
        </w:rPr>
        <w:t>List of figures:</w:t>
      </w:r>
    </w:p>
    <w:p w14:paraId="5BCFD25B" w14:textId="77777777" w:rsidR="00700733" w:rsidRPr="00700733" w:rsidRDefault="000F1999">
      <w:pPr>
        <w:pStyle w:val="TableofFigures"/>
        <w:tabs>
          <w:tab w:val="right" w:leader="dot" w:pos="9016"/>
        </w:tabs>
        <w:rPr>
          <w:noProof/>
        </w:rPr>
      </w:pPr>
      <w:r w:rsidRPr="00700733">
        <w:fldChar w:fldCharType="begin"/>
      </w:r>
      <w:r w:rsidRPr="00700733">
        <w:instrText xml:space="preserve"> TOC \h \z \c "Figure" </w:instrText>
      </w:r>
      <w:r w:rsidRPr="00700733">
        <w:fldChar w:fldCharType="separate"/>
      </w:r>
      <w:hyperlink w:anchor="_Toc112041561" w:history="1">
        <w:r w:rsidRPr="00700733">
          <w:rPr>
            <w:rStyle w:val="Hyperlink"/>
            <w:noProof/>
          </w:rPr>
          <w:t>Figure 1: Gibb's reflective Cycle</w:t>
        </w:r>
        <w:r w:rsidRPr="00700733">
          <w:rPr>
            <w:noProof/>
            <w:webHidden/>
          </w:rPr>
          <w:tab/>
        </w:r>
        <w:r w:rsidRPr="00700733">
          <w:rPr>
            <w:noProof/>
            <w:webHidden/>
          </w:rPr>
          <w:fldChar w:fldCharType="begin"/>
        </w:r>
        <w:r w:rsidRPr="00700733">
          <w:rPr>
            <w:noProof/>
            <w:webHidden/>
          </w:rPr>
          <w:instrText xml:space="preserve"> PAGEREF _Toc112041561 \h </w:instrText>
        </w:r>
        <w:r w:rsidRPr="00700733">
          <w:rPr>
            <w:noProof/>
            <w:webHidden/>
          </w:rPr>
        </w:r>
        <w:r w:rsidRPr="00700733">
          <w:rPr>
            <w:noProof/>
            <w:webHidden/>
          </w:rPr>
          <w:fldChar w:fldCharType="separate"/>
        </w:r>
        <w:r w:rsidRPr="00700733">
          <w:rPr>
            <w:noProof/>
            <w:webHidden/>
          </w:rPr>
          <w:t>4</w:t>
        </w:r>
        <w:r w:rsidRPr="00700733">
          <w:rPr>
            <w:noProof/>
            <w:webHidden/>
          </w:rPr>
          <w:fldChar w:fldCharType="end"/>
        </w:r>
      </w:hyperlink>
    </w:p>
    <w:p w14:paraId="4EC5CBFE" w14:textId="77777777" w:rsidR="00700733" w:rsidRDefault="000F1999">
      <w:pPr>
        <w:rPr>
          <w:rFonts w:eastAsiaTheme="majorEastAsia" w:cs="Arial"/>
          <w:b/>
          <w:noProof/>
          <w:sz w:val="32"/>
          <w:szCs w:val="36"/>
          <w:lang w:val="en-GB"/>
        </w:rPr>
      </w:pPr>
      <w:r w:rsidRPr="00700733">
        <w:fldChar w:fldCharType="end"/>
      </w:r>
      <w:r>
        <w:br w:type="page"/>
      </w:r>
    </w:p>
    <w:p w14:paraId="152FAE6F" w14:textId="77777777" w:rsidR="00EF6E8E" w:rsidRDefault="000F1999" w:rsidP="000E6173">
      <w:pPr>
        <w:pStyle w:val="Heading1"/>
      </w:pPr>
      <w:bookmarkStart w:id="0" w:name="_Toc112041528"/>
      <w:r>
        <w:lastRenderedPageBreak/>
        <w:t>Introduction:</w:t>
      </w:r>
      <w:bookmarkEnd w:id="0"/>
    </w:p>
    <w:p w14:paraId="6143A606" w14:textId="77777777" w:rsidR="004970FF" w:rsidRDefault="000F1999" w:rsidP="00841C05">
      <w:pPr>
        <w:spacing w:after="0" w:line="360" w:lineRule="auto"/>
        <w:jc w:val="both"/>
      </w:pPr>
      <w:r w:rsidRPr="004970FF">
        <w:t xml:space="preserve">People can better integrate new information with their existing body of knowledge through the use of reflective thinking. It deconstructs conceptual ideas and abstract words and then </w:t>
      </w:r>
      <w:r>
        <w:t>uses those breakdowns to solve new</w:t>
      </w:r>
      <w:r w:rsidRPr="004970FF">
        <w:t xml:space="preserve"> issues. Many distinct varieties of reflection models exist</w:t>
      </w:r>
      <w:r w:rsidR="006F745E">
        <w:t xml:space="preserve"> </w:t>
      </w:r>
      <w:r w:rsidR="006F745E" w:rsidRPr="006F745E">
        <w:t>(Bolton, 2010)</w:t>
      </w:r>
      <w:r w:rsidRPr="004970FF">
        <w:t xml:space="preserve">. It is up to the individual to select the framework that will serve as the backbone </w:t>
      </w:r>
      <w:r>
        <w:t>for his career and his learning</w:t>
      </w:r>
      <w:r w:rsidRPr="004970FF">
        <w:t>. The act of reflection comprises looking at issues from many vantage points. The purpose of reflective thinking is to encourage the development of critical thinking skills through the examination of one's strengths and areas for potential improvement. The only way to truly understand the situation is to look at it from several angles</w:t>
      </w:r>
      <w:r w:rsidR="006F745E">
        <w:t xml:space="preserve"> </w:t>
      </w:r>
      <w:r w:rsidR="006F745E" w:rsidRPr="006F745E">
        <w:t>(Bassot</w:t>
      </w:r>
      <w:r w:rsidR="006F745E">
        <w:t>,</w:t>
      </w:r>
      <w:r w:rsidR="006F745E" w:rsidRPr="006F745E">
        <w:t xml:space="preserve"> 2016)</w:t>
      </w:r>
      <w:r w:rsidRPr="004970FF">
        <w:t xml:space="preserve">. The effectiveness of participating in </w:t>
      </w:r>
      <w:r>
        <w:t xml:space="preserve">the new deal for communities Project will be </w:t>
      </w:r>
      <w:r w:rsidRPr="004970FF">
        <w:t>examined in this</w:t>
      </w:r>
      <w:r>
        <w:t xml:space="preserve"> report</w:t>
      </w:r>
      <w:r w:rsidRPr="004970FF">
        <w:t xml:space="preserve">. It would be helpful to remind that </w:t>
      </w:r>
      <w:r>
        <w:t xml:space="preserve">I </w:t>
      </w:r>
      <w:r w:rsidRPr="004970FF">
        <w:t xml:space="preserve">participated in the </w:t>
      </w:r>
      <w:r>
        <w:t xml:space="preserve">new deal communities </w:t>
      </w:r>
      <w:r w:rsidRPr="004970FF">
        <w:t xml:space="preserve">project and offered advice on how to best interact with the project's stakeholders and which methods to use. </w:t>
      </w:r>
      <w:r w:rsidR="00491A81" w:rsidRPr="00491A81">
        <w:t>Bristol's New Deal for Communities program in the UK is looking into ways to lessen social exclusion.</w:t>
      </w:r>
      <w:r w:rsidR="00491A81">
        <w:t xml:space="preserve"> </w:t>
      </w:r>
      <w:r>
        <w:t>In this report</w:t>
      </w:r>
      <w:r w:rsidRPr="004970FF">
        <w:t>, the author conducts a reflective evaluation using Gibbs' six-stage reflective cycle model. The first assessment program's learning goals have been spelled out within the context of this paradigm.</w:t>
      </w:r>
    </w:p>
    <w:p w14:paraId="7B451BE1" w14:textId="77777777" w:rsidR="00491A81" w:rsidRDefault="000F1999" w:rsidP="000E6173">
      <w:pPr>
        <w:pStyle w:val="Heading1"/>
      </w:pPr>
      <w:bookmarkStart w:id="1" w:name="_Toc112041529"/>
      <w:r>
        <w:t>Reflection on Bristol’s Community Project:</w:t>
      </w:r>
      <w:bookmarkEnd w:id="1"/>
      <w:r>
        <w:t xml:space="preserve"> </w:t>
      </w:r>
    </w:p>
    <w:p w14:paraId="254B6F91" w14:textId="77777777" w:rsidR="00841C05" w:rsidRDefault="000F1999" w:rsidP="00841C05">
      <w:pPr>
        <w:spacing w:after="0" w:line="360" w:lineRule="auto"/>
        <w:jc w:val="both"/>
      </w:pPr>
      <w:r w:rsidRPr="00841C05">
        <w:t>When compared to other approaches to learning, the reflective learning strategy comes out on top. To analyze and better adapt to one's circumstances, one must employ a reflection strategy</w:t>
      </w:r>
      <w:r w:rsidR="006F745E" w:rsidRPr="006F745E">
        <w:t xml:space="preserve"> (Pavlovich, 2007)</w:t>
      </w:r>
      <w:r w:rsidRPr="00841C05">
        <w:t>. This idea aids individuals or groups by clarifying the meaning of their thinking and education. To reflect is to think about and assess what is being done, what has been done, what has been observed, and what has been learned. A reflection approach guides individuals through this step and provides new perspectives for resolving issues</w:t>
      </w:r>
      <w:r w:rsidR="006F745E">
        <w:t xml:space="preserve"> </w:t>
      </w:r>
      <w:r w:rsidR="006F745E" w:rsidRPr="006F745E">
        <w:t>(Mortari, 2015)</w:t>
      </w:r>
      <w:r w:rsidRPr="00841C05">
        <w:t xml:space="preserve">. It is possible to create new forms by combining several models. One of the competing interpretations of this reflection model was presented by Professor Graham Gibbs, who dubbed his approach the "Gibbs Reflective Cycle </w:t>
      </w:r>
      <w:r w:rsidR="006F745E" w:rsidRPr="00841C05">
        <w:t>Proce</w:t>
      </w:r>
      <w:r w:rsidR="006F745E">
        <w:t>dure”</w:t>
      </w:r>
      <w:r w:rsidR="006F745E" w:rsidRPr="006F745E">
        <w:t xml:space="preserve"> (Bolton, 2010)</w:t>
      </w:r>
      <w:r w:rsidR="006F745E">
        <w:t>.</w:t>
      </w:r>
      <w:r>
        <w:t xml:space="preserve"> This section of the report</w:t>
      </w:r>
      <w:r w:rsidRPr="00841C05">
        <w:t xml:space="preserve"> will begin with an introduction to the model and</w:t>
      </w:r>
      <w:r>
        <w:t xml:space="preserve"> its application to Bristol's community program. The following figure represents this model:</w:t>
      </w:r>
    </w:p>
    <w:p w14:paraId="5A03C5A5" w14:textId="77777777" w:rsidR="00107E4E" w:rsidRDefault="00107E4E" w:rsidP="00841C05">
      <w:pPr>
        <w:spacing w:after="0" w:line="360" w:lineRule="auto"/>
        <w:jc w:val="both"/>
        <w:rPr>
          <w:noProof/>
          <w:lang w:val="en-GB" w:eastAsia="en-GB"/>
        </w:rPr>
      </w:pPr>
    </w:p>
    <w:p w14:paraId="5DC23F14" w14:textId="77777777" w:rsidR="00107E4E" w:rsidRDefault="000F1999" w:rsidP="00107E4E">
      <w:pPr>
        <w:keepNext/>
        <w:spacing w:after="0" w:line="360" w:lineRule="auto"/>
        <w:jc w:val="center"/>
      </w:pPr>
      <w:r>
        <w:rPr>
          <w:noProof/>
          <w:lang w:val="en-GB" w:eastAsia="en-GB"/>
        </w:rPr>
        <w:lastRenderedPageBreak/>
        <w:drawing>
          <wp:inline distT="0" distB="0" distL="0" distR="0" wp14:anchorId="68D32E0C" wp14:editId="089A6797">
            <wp:extent cx="4381500" cy="1924050"/>
            <wp:effectExtent l="0" t="0" r="0" b="0"/>
            <wp:docPr id="1" name="Picture 1" descr="Gibb's Reflective Model | Online Assignment Help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 Reflective Model | Online Assignment Help U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381500" cy="1924050"/>
                    </a:xfrm>
                    <a:prstGeom prst="rect">
                      <a:avLst/>
                    </a:prstGeom>
                    <a:noFill/>
                    <a:ln>
                      <a:noFill/>
                    </a:ln>
                    <a:extLst>
                      <a:ext uri="{53640926-AAD7-44D8-BBD7-CCE9431645EC}">
                        <a14:shadowObscured xmlns:a14="http://schemas.microsoft.com/office/drawing/2010/main"/>
                      </a:ext>
                    </a:extLst>
                  </pic:spPr>
                </pic:pic>
              </a:graphicData>
            </a:graphic>
          </wp:inline>
        </w:drawing>
      </w:r>
    </w:p>
    <w:p w14:paraId="7FFAD0EE" w14:textId="77777777" w:rsidR="00841C05" w:rsidRPr="006F745E" w:rsidRDefault="000F1999" w:rsidP="006F745E">
      <w:pPr>
        <w:pStyle w:val="Caption"/>
        <w:spacing w:after="0" w:line="360" w:lineRule="auto"/>
        <w:jc w:val="center"/>
        <w:rPr>
          <w:b/>
          <w:i w:val="0"/>
          <w:color w:val="auto"/>
          <w:sz w:val="20"/>
          <w:szCs w:val="20"/>
        </w:rPr>
      </w:pPr>
      <w:bookmarkStart w:id="2" w:name="_Toc112041561"/>
      <w:r w:rsidRPr="006F745E">
        <w:rPr>
          <w:b/>
          <w:i w:val="0"/>
          <w:color w:val="auto"/>
          <w:sz w:val="20"/>
          <w:szCs w:val="20"/>
        </w:rPr>
        <w:t xml:space="preserve">Figure </w:t>
      </w:r>
      <w:r w:rsidRPr="006F745E">
        <w:rPr>
          <w:b/>
          <w:i w:val="0"/>
          <w:color w:val="auto"/>
          <w:sz w:val="20"/>
          <w:szCs w:val="20"/>
        </w:rPr>
        <w:fldChar w:fldCharType="begin"/>
      </w:r>
      <w:r w:rsidRPr="006F745E">
        <w:rPr>
          <w:b/>
          <w:i w:val="0"/>
          <w:color w:val="auto"/>
          <w:sz w:val="20"/>
          <w:szCs w:val="20"/>
        </w:rPr>
        <w:instrText xml:space="preserve"> SEQ Figure \* ARABIC </w:instrText>
      </w:r>
      <w:r w:rsidRPr="006F745E">
        <w:rPr>
          <w:b/>
          <w:i w:val="0"/>
          <w:color w:val="auto"/>
          <w:sz w:val="20"/>
          <w:szCs w:val="20"/>
        </w:rPr>
        <w:fldChar w:fldCharType="separate"/>
      </w:r>
      <w:r w:rsidRPr="006F745E">
        <w:rPr>
          <w:b/>
          <w:i w:val="0"/>
          <w:noProof/>
          <w:color w:val="auto"/>
          <w:sz w:val="20"/>
          <w:szCs w:val="20"/>
        </w:rPr>
        <w:t>1</w:t>
      </w:r>
      <w:r w:rsidRPr="006F745E">
        <w:rPr>
          <w:b/>
          <w:i w:val="0"/>
          <w:color w:val="auto"/>
          <w:sz w:val="20"/>
          <w:szCs w:val="20"/>
        </w:rPr>
        <w:fldChar w:fldCharType="end"/>
      </w:r>
      <w:r w:rsidRPr="006F745E">
        <w:rPr>
          <w:b/>
          <w:i w:val="0"/>
          <w:color w:val="auto"/>
          <w:sz w:val="20"/>
          <w:szCs w:val="20"/>
        </w:rPr>
        <w:t>: Gibb's reflective Cycle</w:t>
      </w:r>
      <w:bookmarkEnd w:id="2"/>
    </w:p>
    <w:p w14:paraId="542E4587" w14:textId="77777777" w:rsidR="00107E4E" w:rsidRPr="006F745E" w:rsidRDefault="000F1999" w:rsidP="006F745E">
      <w:pPr>
        <w:spacing w:after="0" w:line="360" w:lineRule="auto"/>
        <w:jc w:val="center"/>
        <w:rPr>
          <w:b/>
          <w:sz w:val="20"/>
          <w:szCs w:val="20"/>
        </w:rPr>
      </w:pPr>
      <w:r w:rsidRPr="006F745E">
        <w:rPr>
          <w:b/>
          <w:sz w:val="20"/>
          <w:szCs w:val="20"/>
        </w:rPr>
        <w:t xml:space="preserve">Source: </w:t>
      </w:r>
      <w:r w:rsidR="006F745E" w:rsidRPr="006F745E">
        <w:rPr>
          <w:b/>
          <w:sz w:val="20"/>
          <w:szCs w:val="20"/>
        </w:rPr>
        <w:t>(Williams, Woolliams, and Spiro, 2020)</w:t>
      </w:r>
    </w:p>
    <w:p w14:paraId="0E2E2AAE" w14:textId="77777777" w:rsidR="009370CF" w:rsidRDefault="000F1999" w:rsidP="009370CF">
      <w:pPr>
        <w:spacing w:after="0" w:line="360" w:lineRule="auto"/>
        <w:jc w:val="both"/>
      </w:pPr>
      <w:r w:rsidRPr="00631ED5">
        <w:t>Throughout each of the six phases of Gibbs' reflective model, there is a set of questions that must be answered to achieve the maximum level of reflection. Gibbs proposes a six process consisting of observation, reflection, questioning, analysis, and, finally, a plan of action</w:t>
      </w:r>
      <w:r w:rsidR="006F745E">
        <w:t xml:space="preserve"> </w:t>
      </w:r>
      <w:r w:rsidR="006F745E" w:rsidRPr="006F745E">
        <w:t>(Mcmillan and Weyers, 2013)</w:t>
      </w:r>
      <w:r w:rsidRPr="00631ED5">
        <w:t>. The purpose of this paradigm is to categorize thoughts and feelings in an orderly fashion. The multiple steps are usually useful in helping individuals calm down their brain processes and avoid making snap decisions. People learned from their experiences, and if they didn't think about how they could better themselves going forward, they weren't learning very much. The Gibbs Reflective Cycle is an important method of instruction because it provides context for the situation at hand and encourages learners to consider how they might approach similar situations in the future with greater success</w:t>
      </w:r>
      <w:r w:rsidR="00B81D70" w:rsidRPr="00B81D70">
        <w:t xml:space="preserve"> (Schön, 2010)</w:t>
      </w:r>
      <w:r w:rsidRPr="00631ED5">
        <w:t xml:space="preserve">. </w:t>
      </w:r>
      <w:r>
        <w:t xml:space="preserve">I have taken what I have </w:t>
      </w:r>
      <w:r w:rsidRPr="00631ED5">
        <w:t xml:space="preserve">learned from the first review and used it here to provide a comprehensive look at </w:t>
      </w:r>
      <w:r>
        <w:t xml:space="preserve">Bristol's Instructional Strategy. </w:t>
      </w:r>
    </w:p>
    <w:p w14:paraId="1C281880" w14:textId="77777777" w:rsidR="009370CF" w:rsidRDefault="000F1999" w:rsidP="009370CF">
      <w:pPr>
        <w:pStyle w:val="Heading2"/>
        <w:spacing w:before="0" w:line="360" w:lineRule="auto"/>
      </w:pPr>
      <w:bookmarkStart w:id="3" w:name="_Toc112041530"/>
      <w:r>
        <w:t>Description</w:t>
      </w:r>
      <w:bookmarkEnd w:id="3"/>
    </w:p>
    <w:p w14:paraId="49409E52" w14:textId="77777777" w:rsidR="009370CF" w:rsidRDefault="000F1999" w:rsidP="009370CF">
      <w:pPr>
        <w:spacing w:after="0" w:line="360" w:lineRule="auto"/>
        <w:jc w:val="both"/>
      </w:pPr>
      <w:r>
        <w:t xml:space="preserve">The first step in the Reflective Cycle is a description, which provides a brief overview of the situation without making any value judgments or inferences. Predictions are premature at this stage. Instead, it emphasizes making sense of what has transpired. The main focus is on the pertinent information that will offer a detailed summary of the situation. In this stage, </w:t>
      </w:r>
      <w:r w:rsidR="000E6173">
        <w:t>Bristol</w:t>
      </w:r>
      <w:r>
        <w:t xml:space="preserve"> investigated their methods for boosting community involvement</w:t>
      </w:r>
      <w:r w:rsidR="00B81D70">
        <w:t xml:space="preserve"> </w:t>
      </w:r>
      <w:r w:rsidR="00B81D70" w:rsidRPr="00B81D70">
        <w:t>(Mcmillan and Weyers, 2013)</w:t>
      </w:r>
      <w:r>
        <w:t xml:space="preserve">. Establishing a proper framework within which to analyze the issue is an important step here. </w:t>
      </w:r>
      <w:r w:rsidR="000E6173">
        <w:t>Bristol</w:t>
      </w:r>
      <w:r>
        <w:t xml:space="preserve"> can increase its presence in the community and make a positive impression on its constituents by underwriting a wide range of activities.</w:t>
      </w:r>
    </w:p>
    <w:p w14:paraId="4F0695FE" w14:textId="77777777" w:rsidR="009370CF" w:rsidRDefault="000F1999" w:rsidP="009370CF">
      <w:pPr>
        <w:pStyle w:val="Heading2"/>
        <w:spacing w:before="0" w:line="360" w:lineRule="auto"/>
      </w:pPr>
      <w:bookmarkStart w:id="4" w:name="_Toc112041531"/>
      <w:r>
        <w:t>Feelings</w:t>
      </w:r>
      <w:bookmarkEnd w:id="4"/>
    </w:p>
    <w:p w14:paraId="4AB501D2" w14:textId="77777777" w:rsidR="009370CF" w:rsidRDefault="000F1999" w:rsidP="00483B4D">
      <w:pPr>
        <w:spacing w:after="0" w:line="360" w:lineRule="auto"/>
        <w:jc w:val="both"/>
      </w:pPr>
      <w:r>
        <w:t xml:space="preserve">Feelings are the second phase of the reflective cycle and encourage participants to share their feelings and consider how those feelings relate to their experiences. With this action, we hope </w:t>
      </w:r>
      <w:r>
        <w:lastRenderedPageBreak/>
        <w:t>to learn more about people's thoughts on the matter</w:t>
      </w:r>
      <w:r w:rsidR="00B81D70">
        <w:t xml:space="preserve"> </w:t>
      </w:r>
      <w:r w:rsidR="00B81D70" w:rsidRPr="00B81D70">
        <w:t>(Bolton, 2010)</w:t>
      </w:r>
      <w:r>
        <w:t xml:space="preserve">. The advantages of employing </w:t>
      </w:r>
      <w:r w:rsidR="00BE049F">
        <w:t xml:space="preserve">a government organization </w:t>
      </w:r>
      <w:r>
        <w:t>to involve the community in the organization are well known to anybody who has participated in a project of this type the involvement of the community. In the course of the engagement, this is a helpful time for information collecting. At this point, we look back at how things were before we started working with the community</w:t>
      </w:r>
      <w:r w:rsidR="00483B4D">
        <w:t xml:space="preserve">, and then at how they are </w:t>
      </w:r>
      <w:r w:rsidR="00BE049F">
        <w:t>now. Cooperation</w:t>
      </w:r>
      <w:r>
        <w:t xml:space="preserve"> amongst the communities is essential if they</w:t>
      </w:r>
      <w:r w:rsidR="00483B4D">
        <w:t xml:space="preserve"> are to achieve this objective.</w:t>
      </w:r>
    </w:p>
    <w:p w14:paraId="1D13B93F" w14:textId="77777777" w:rsidR="009370CF" w:rsidRDefault="000F1999" w:rsidP="00B81D70">
      <w:pPr>
        <w:pStyle w:val="Heading2"/>
        <w:spacing w:before="0" w:line="360" w:lineRule="auto"/>
      </w:pPr>
      <w:bookmarkStart w:id="5" w:name="_Toc112041532"/>
      <w:r>
        <w:t>Evaluation</w:t>
      </w:r>
      <w:bookmarkEnd w:id="5"/>
    </w:p>
    <w:p w14:paraId="18B66534" w14:textId="77777777" w:rsidR="009370CF" w:rsidRDefault="000F1999" w:rsidP="00483B4D">
      <w:pPr>
        <w:spacing w:after="0" w:line="360" w:lineRule="auto"/>
        <w:jc w:val="both"/>
      </w:pPr>
      <w:r>
        <w:t>The reflective cycle's third phase is evaluation. It requires participants to evaluate the situation and rate its positive and negative features. At this point, people need to take a step back and assess what worked and what didn't. An individual's initial value judgments are formed during this stage when he adopts a more objective perspective on the situation and his behaviors</w:t>
      </w:r>
      <w:r w:rsidR="00B81D70">
        <w:t xml:space="preserve"> </w:t>
      </w:r>
      <w:r w:rsidR="00B81D70" w:rsidRPr="00B81D70">
        <w:t>(Mortari, 2015)</w:t>
      </w:r>
      <w:r>
        <w:t xml:space="preserve">. He may need to consider the event from the perspective of others in addition to his own. That way, he can figure out if the situation was uncomfortable for everyone or if it was just him. I have an understanding of the various constituencies at play at </w:t>
      </w:r>
      <w:r w:rsidR="000E6173">
        <w:t>Bristol</w:t>
      </w:r>
      <w:r>
        <w:t xml:space="preserve"> and how they coordinate their efforts to achieve the company's goals. They have some great ideas for giving back to the neighborhood, too, which I applaud. However, there are instances where the endeavor fails to reach its intended demographic in the geographic region. </w:t>
      </w:r>
    </w:p>
    <w:p w14:paraId="28554206" w14:textId="77777777" w:rsidR="009370CF" w:rsidRDefault="000F1999" w:rsidP="00483B4D">
      <w:pPr>
        <w:pStyle w:val="Heading2"/>
        <w:spacing w:before="0" w:line="360" w:lineRule="auto"/>
      </w:pPr>
      <w:bookmarkStart w:id="6" w:name="_Toc112041533"/>
      <w:r>
        <w:t>Analysis</w:t>
      </w:r>
      <w:bookmarkEnd w:id="6"/>
    </w:p>
    <w:p w14:paraId="69D2BA9E" w14:textId="77777777" w:rsidR="009370CF" w:rsidRDefault="000F1999" w:rsidP="00483B4D">
      <w:pPr>
        <w:spacing w:after="0" w:line="360" w:lineRule="auto"/>
        <w:jc w:val="both"/>
      </w:pPr>
      <w:r>
        <w:t>Since analysis seeks to explain why an event was good or terrible, it should occupy a significant amount of one's time spent contemplating. It takes into account the advice given in the preceding steps and makes a record of everything that helped the individual succeed, such as prior knowl</w:t>
      </w:r>
      <w:r w:rsidR="00B81D70">
        <w:t>edge or consulting with others</w:t>
      </w:r>
      <w:r w:rsidR="00B81D70" w:rsidRPr="00B81D70">
        <w:t xml:space="preserve"> (Johns, 2017)</w:t>
      </w:r>
      <w:r w:rsidR="00B81D70">
        <w:t>. As</w:t>
      </w:r>
      <w:r>
        <w:t xml:space="preserve"> an illustration, I have studied the many community participation strategies employed by banks like </w:t>
      </w:r>
      <w:r w:rsidR="000E6173">
        <w:t>Bristol</w:t>
      </w:r>
      <w:r>
        <w:t xml:space="preserve">. Strong community involvement </w:t>
      </w:r>
      <w:r w:rsidR="000E6173">
        <w:t>must be fostered.</w:t>
      </w:r>
    </w:p>
    <w:p w14:paraId="544E2274" w14:textId="77777777" w:rsidR="009370CF" w:rsidRDefault="000F1999" w:rsidP="00483B4D">
      <w:pPr>
        <w:pStyle w:val="Heading2"/>
        <w:spacing w:before="0" w:line="360" w:lineRule="auto"/>
      </w:pPr>
      <w:bookmarkStart w:id="7" w:name="_Toc112041534"/>
      <w:r>
        <w:t>Conclusion</w:t>
      </w:r>
      <w:bookmarkEnd w:id="7"/>
    </w:p>
    <w:p w14:paraId="548C9AED" w14:textId="77777777" w:rsidR="009370CF" w:rsidRDefault="000F1999" w:rsidP="00483B4D">
      <w:pPr>
        <w:spacing w:after="0" w:line="360" w:lineRule="auto"/>
        <w:jc w:val="both"/>
      </w:pPr>
      <w:r>
        <w:t>It's important to consider both the generalizability of one's assumptions and the details of a certain situation before reaching a verdict. Before generalizing the findings, he may want to think about what they mean in this specific situation</w:t>
      </w:r>
      <w:r w:rsidR="00B81D70">
        <w:t xml:space="preserve"> </w:t>
      </w:r>
      <w:r w:rsidR="00B81D70" w:rsidRPr="00B81D70">
        <w:t>(Pavlovich, 2007)</w:t>
      </w:r>
      <w:r>
        <w:t>. Here, I develop conclusions based on my analysis, including what I learned about what could have been done differently to produce better results in the future. These events have led me to the realization that developing and refining my interpersonal, managerial, communication, and leadership skills are crucial for effectively governing and interacting wi</w:t>
      </w:r>
      <w:r w:rsidR="000E6173">
        <w:t xml:space="preserve">th a community's residents. My </w:t>
      </w:r>
      <w:r w:rsidR="000E6173">
        <w:lastRenderedPageBreak/>
        <w:t>Project’s</w:t>
      </w:r>
      <w:r>
        <w:t xml:space="preserve"> credibility, visibility, and respectability could all increase if the audience I'm trying to reach enjoys and appreciates the event I'm willing to fund.</w:t>
      </w:r>
    </w:p>
    <w:p w14:paraId="31204752" w14:textId="77777777" w:rsidR="009370CF" w:rsidRDefault="000F1999" w:rsidP="000E6173">
      <w:pPr>
        <w:pStyle w:val="Heading2"/>
        <w:spacing w:before="0" w:line="360" w:lineRule="auto"/>
        <w:jc w:val="both"/>
      </w:pPr>
      <w:bookmarkStart w:id="8" w:name="_Toc112041535"/>
      <w:r>
        <w:t>Action Plan:</w:t>
      </w:r>
      <w:bookmarkEnd w:id="8"/>
      <w:r>
        <w:t xml:space="preserve"> </w:t>
      </w:r>
    </w:p>
    <w:p w14:paraId="3E5CEABB" w14:textId="77777777" w:rsidR="009370CF" w:rsidRPr="009370CF" w:rsidRDefault="000F1999" w:rsidP="000E6173">
      <w:pPr>
        <w:spacing w:after="0" w:line="360" w:lineRule="auto"/>
        <w:jc w:val="both"/>
      </w:pPr>
      <w:r>
        <w:t xml:space="preserve">The action plan is the sixth and last stage of the reflective cycle. In this stage, </w:t>
      </w:r>
      <w:r w:rsidR="000E6173">
        <w:t xml:space="preserve">individuals </w:t>
      </w:r>
      <w:r>
        <w:t xml:space="preserve">lay out their strategies for dealing with similar situations in the future and for enhancing their overall performance. Now </w:t>
      </w:r>
      <w:r w:rsidR="000E6173">
        <w:t>is the moment to reevaluate the</w:t>
      </w:r>
      <w:r>
        <w:t xml:space="preserve"> current situation and formulate a strategy </w:t>
      </w:r>
      <w:r w:rsidR="000E6173">
        <w:t>for how individuals</w:t>
      </w:r>
      <w:r>
        <w:t xml:space="preserve"> want to handle future occurrences</w:t>
      </w:r>
      <w:r w:rsidR="00B81D70">
        <w:t xml:space="preserve"> </w:t>
      </w:r>
      <w:r w:rsidR="00B81D70" w:rsidRPr="00B81D70">
        <w:t>(Pavlovich, 2007)</w:t>
      </w:r>
      <w:r>
        <w:t xml:space="preserve">. After evaluating the </w:t>
      </w:r>
      <w:r w:rsidR="000E6173">
        <w:t>Bristol</w:t>
      </w:r>
      <w:r>
        <w:t xml:space="preserve"> scenario and reaching a resolution, stakeholders should think about making any normal adjustments to enhance their response at this time. Stakeholders should now use their findings to formulate a constructive plan for resolving the issue at hand, and should also think about how they may improve their preparedness to deal with similar challenges in the future. Now is the moment for making changes and formulating a plan for how to go about doing things in the future.</w:t>
      </w:r>
    </w:p>
    <w:p w14:paraId="0DA5EEE3" w14:textId="77777777" w:rsidR="000E6173" w:rsidRPr="000E6173" w:rsidRDefault="000F1999" w:rsidP="000E6173">
      <w:pPr>
        <w:pStyle w:val="Heading1"/>
      </w:pPr>
      <w:bookmarkStart w:id="9" w:name="_Toc110991652"/>
      <w:bookmarkStart w:id="10" w:name="_Toc112041536"/>
      <w:r w:rsidRPr="000E6173">
        <w:t>Compliance with Community Engagement Strategy</w:t>
      </w:r>
      <w:bookmarkEnd w:id="9"/>
      <w:bookmarkEnd w:id="10"/>
    </w:p>
    <w:p w14:paraId="31CA43F8" w14:textId="77777777" w:rsidR="00BE049F" w:rsidRDefault="000F1999" w:rsidP="00BE049F">
      <w:pPr>
        <w:spacing w:line="360" w:lineRule="auto"/>
        <w:jc w:val="both"/>
      </w:pPr>
      <w:r>
        <w:t>A community is a group of people who share some sort of shared identity or interest, such as members of an environmental group or people of the same religious persuasion or ethnic background. Community engagement is the manifestation of a person's desire to effect positive change in their community through the integration of their knowledge, skills, beliefs, and motivation</w:t>
      </w:r>
      <w:r w:rsidR="00B81D70">
        <w:t xml:space="preserve"> </w:t>
      </w:r>
      <w:r w:rsidR="00B81D70" w:rsidRPr="00B81D70">
        <w:t>(Patricia Ann Wilson, 2019)</w:t>
      </w:r>
      <w:r>
        <w:t xml:space="preserve">. It's a form of citizen </w:t>
      </w:r>
      <w:r w:rsidR="00814DDC">
        <w:t>participation.</w:t>
      </w:r>
      <w:r>
        <w:t xml:space="preserve"> Furthermore, communities that are actively engaged have several benefits, such as increased visibility, customer loyalty, recommendations, etc. As a result, several institutions are establishing online neighborhoods. Conditions for community participation and the willingness of local people to engage are affected by the features of the nation in a wide range of ways</w:t>
      </w:r>
      <w:r w:rsidR="00B81D70">
        <w:t xml:space="preserve"> </w:t>
      </w:r>
      <w:r w:rsidR="00B81D70" w:rsidRPr="00B81D70">
        <w:t>(Kronick, 2018)</w:t>
      </w:r>
      <w:r>
        <w:t>. It's possible to employ the following tactics:</w:t>
      </w:r>
    </w:p>
    <w:p w14:paraId="379E6234" w14:textId="77777777" w:rsidR="00BE049F" w:rsidRDefault="000F1999" w:rsidP="00BE049F">
      <w:pPr>
        <w:pStyle w:val="ListParagraph"/>
        <w:numPr>
          <w:ilvl w:val="0"/>
          <w:numId w:val="7"/>
        </w:numPr>
        <w:spacing w:line="360" w:lineRule="auto"/>
        <w:jc w:val="both"/>
      </w:pPr>
      <w:r>
        <w:t>One factor affecting a community's stability is the number of different neighborhoods it is made up of, the variety of people who live there, their ethnicity, and the presence or absence of armed conflict between different community groups.</w:t>
      </w:r>
    </w:p>
    <w:p w14:paraId="522A27F3" w14:textId="77777777" w:rsidR="00BE049F" w:rsidRDefault="000F1999" w:rsidP="00BE049F">
      <w:pPr>
        <w:pStyle w:val="ListParagraph"/>
        <w:numPr>
          <w:ilvl w:val="0"/>
          <w:numId w:val="8"/>
        </w:numPr>
        <w:spacing w:line="360" w:lineRule="auto"/>
        <w:jc w:val="both"/>
      </w:pPr>
      <w:r>
        <w:t>Participating in as many community events as possible is a good strategy for gaining exposure for the company and fostering goodwill in the neighborhood. One technique to get people involved is to hold polls or ask for people's opinions on a certain topic.</w:t>
      </w:r>
    </w:p>
    <w:p w14:paraId="364B84EC" w14:textId="77777777" w:rsidR="00BE049F" w:rsidRDefault="000F1999" w:rsidP="00B81D70">
      <w:pPr>
        <w:pStyle w:val="ListParagraph"/>
        <w:numPr>
          <w:ilvl w:val="0"/>
          <w:numId w:val="8"/>
        </w:numPr>
        <w:spacing w:line="360" w:lineRule="auto"/>
        <w:jc w:val="both"/>
      </w:pPr>
      <w:r>
        <w:lastRenderedPageBreak/>
        <w:t>Personal concerns, such as people's financial situations, are more important to address than issues that may be resolved through groups or representatives</w:t>
      </w:r>
      <w:r w:rsidR="00B81D70">
        <w:t xml:space="preserve"> </w:t>
      </w:r>
      <w:r w:rsidR="00B81D70" w:rsidRPr="00B81D70">
        <w:t>(Kronick, 2018)</w:t>
      </w:r>
      <w:r>
        <w:t>.</w:t>
      </w:r>
    </w:p>
    <w:p w14:paraId="0A371DF1" w14:textId="77777777" w:rsidR="00BE049F" w:rsidRDefault="000F1999" w:rsidP="00BE049F">
      <w:pPr>
        <w:pStyle w:val="ListParagraph"/>
        <w:numPr>
          <w:ilvl w:val="0"/>
          <w:numId w:val="8"/>
        </w:numPr>
        <w:spacing w:line="360" w:lineRule="auto"/>
        <w:jc w:val="both"/>
      </w:pPr>
      <w:r>
        <w:t>Demonstrate competence in developing and utilizing a strategy for involving additional government organizations and an approach to putting it into effect that increases the likelihood of success.</w:t>
      </w:r>
    </w:p>
    <w:p w14:paraId="7F844F9C" w14:textId="77777777" w:rsidR="00BE049F" w:rsidRDefault="000F1999" w:rsidP="00B81D70">
      <w:pPr>
        <w:pStyle w:val="ListParagraph"/>
        <w:numPr>
          <w:ilvl w:val="0"/>
          <w:numId w:val="8"/>
        </w:numPr>
        <w:spacing w:line="360" w:lineRule="auto"/>
        <w:jc w:val="both"/>
      </w:pPr>
      <w:r>
        <w:t>Attracting local attention and having a thorough understanding of the area are both crucial steps in the process. An individual can become more well-known in the nei</w:t>
      </w:r>
      <w:r w:rsidR="00814DDC">
        <w:t>ghborhood through the help of government organizations</w:t>
      </w:r>
      <w:r w:rsidR="00B81D70">
        <w:t xml:space="preserve"> </w:t>
      </w:r>
      <w:r w:rsidR="00B81D70" w:rsidRPr="00B81D70">
        <w:t>(Connor, 2019)</w:t>
      </w:r>
      <w:r w:rsidR="00814DDC">
        <w:t>.</w:t>
      </w:r>
    </w:p>
    <w:p w14:paraId="11EF0232" w14:textId="77777777" w:rsidR="00BE049F" w:rsidRDefault="000F1999" w:rsidP="00BE049F">
      <w:pPr>
        <w:pStyle w:val="ListParagraph"/>
        <w:numPr>
          <w:ilvl w:val="0"/>
          <w:numId w:val="8"/>
        </w:numPr>
        <w:spacing w:line="360" w:lineRule="auto"/>
        <w:jc w:val="both"/>
      </w:pPr>
      <w:r>
        <w:t>A group can recognize the issue at hand, appreciate the significance of seeking a remedy, and be motivated to take action. Maintaining open lines of communication with the selected community is crucial.</w:t>
      </w:r>
    </w:p>
    <w:p w14:paraId="1933E8A5" w14:textId="77777777" w:rsidR="00BE049F" w:rsidRDefault="000F1999" w:rsidP="00BE049F">
      <w:pPr>
        <w:pStyle w:val="ListParagraph"/>
        <w:numPr>
          <w:ilvl w:val="0"/>
          <w:numId w:val="8"/>
        </w:numPr>
        <w:spacing w:after="0" w:line="360" w:lineRule="auto"/>
        <w:jc w:val="both"/>
      </w:pPr>
      <w:r>
        <w:t>Paying attention to the community's variety and culture is crucial while formulating a plan.</w:t>
      </w:r>
    </w:p>
    <w:p w14:paraId="7770C96C" w14:textId="77777777" w:rsidR="00107E4E" w:rsidRDefault="000F1999" w:rsidP="00BE049F">
      <w:pPr>
        <w:spacing w:after="0" w:line="360" w:lineRule="auto"/>
        <w:jc w:val="both"/>
      </w:pPr>
      <w:r>
        <w:t>The concept involves adding government organization as a means of building relationships within the local community, in addition to giving technical advice and support. To a large extent, the notion has taken into account the stated ideals, and measures have been developed to aid the organization so that it can contribute to the community's prioritization process.</w:t>
      </w:r>
    </w:p>
    <w:p w14:paraId="3CEC1903" w14:textId="77777777" w:rsidR="00BE049F" w:rsidRDefault="000F1999" w:rsidP="00BE049F">
      <w:pPr>
        <w:pStyle w:val="Heading1"/>
      </w:pPr>
      <w:bookmarkStart w:id="11" w:name="_Toc112041537"/>
      <w:r>
        <w:t>Conclusion:</w:t>
      </w:r>
      <w:bookmarkEnd w:id="11"/>
    </w:p>
    <w:p w14:paraId="48886DC4" w14:textId="77777777" w:rsidR="00515DD9" w:rsidRDefault="000F1999" w:rsidP="00526BAE">
      <w:pPr>
        <w:spacing w:after="0" w:line="360" w:lineRule="auto"/>
        <w:jc w:val="both"/>
      </w:pPr>
      <w:r w:rsidRPr="00814DDC">
        <w:t xml:space="preserve">Finally, the author concludes that </w:t>
      </w:r>
      <w:r>
        <w:t xml:space="preserve">involving the government officials </w:t>
      </w:r>
      <w:r w:rsidRPr="00814DDC">
        <w:t xml:space="preserve">benefits the community because it </w:t>
      </w:r>
      <w:r>
        <w:t xml:space="preserve">assists </w:t>
      </w:r>
      <w:r w:rsidRPr="00814DDC">
        <w:t xml:space="preserve">in ways that bring the attention of and support to those who have an entrepreneurial spirit. Local </w:t>
      </w:r>
      <w:r>
        <w:t xml:space="preserve">government </w:t>
      </w:r>
      <w:r w:rsidRPr="00814DDC">
        <w:t xml:space="preserve">is most commonly associated with </w:t>
      </w:r>
      <w:r>
        <w:t xml:space="preserve">this project </w:t>
      </w:r>
      <w:r w:rsidRPr="00814DDC">
        <w:t>but the concept is equally applicable to any other kind of community gathering. Civic involvement and public participation are common synonyms for community engagement. Together, these ideas represent the drive to make a good difference in one's community through actions that draw on one's extensive store of information, exp</w:t>
      </w:r>
      <w:r>
        <w:t>ertise, ideals, and aspirations</w:t>
      </w:r>
      <w:r w:rsidRPr="00814DDC">
        <w:t>. Collaboration with locals can alter anything from which projects get started to whether or not they receive funding. To take advantage of recent breakthroughs in collaborative and financially rewarding prospects, communities must band together. To attract an audience, it's essential for</w:t>
      </w:r>
      <w:r>
        <w:t xml:space="preserve"> the </w:t>
      </w:r>
      <w:r>
        <w:lastRenderedPageBreak/>
        <w:t xml:space="preserve">community </w:t>
      </w:r>
      <w:r w:rsidRPr="00814DDC">
        <w:t>today to employ some kind of online platform. They get the attention of the mas</w:t>
      </w:r>
      <w:r>
        <w:t>ses through means of government agencies</w:t>
      </w:r>
      <w:r w:rsidRPr="00814DDC">
        <w:t xml:space="preserve">. </w:t>
      </w:r>
    </w:p>
    <w:p w14:paraId="34E7E4B3" w14:textId="77777777" w:rsidR="00526BAE" w:rsidRDefault="00526BAE">
      <w:pPr>
        <w:rPr>
          <w:rFonts w:eastAsiaTheme="majorEastAsia" w:cs="Arial"/>
          <w:b/>
          <w:noProof/>
          <w:sz w:val="32"/>
          <w:szCs w:val="36"/>
          <w:lang w:val="en-GB"/>
        </w:rPr>
      </w:pPr>
      <w:bookmarkStart w:id="12" w:name="_Toc112041538"/>
      <w:r>
        <w:br w:type="page"/>
      </w:r>
    </w:p>
    <w:p w14:paraId="3F3D8177" w14:textId="77777777" w:rsidR="00515DD9" w:rsidRPr="00107E4E" w:rsidRDefault="000F1999" w:rsidP="00515DD9">
      <w:pPr>
        <w:pStyle w:val="Heading1"/>
      </w:pPr>
      <w:r>
        <w:lastRenderedPageBreak/>
        <w:t>References:</w:t>
      </w:r>
      <w:bookmarkEnd w:id="12"/>
    </w:p>
    <w:p w14:paraId="359C9549"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Bassot, B. (2016). </w:t>
      </w:r>
      <w:r w:rsidRPr="00515DD9">
        <w:rPr>
          <w:rFonts w:cs="Times New Roman"/>
          <w:iCs/>
          <w:szCs w:val="24"/>
        </w:rPr>
        <w:t xml:space="preserve">The Reflective Practice Guide: </w:t>
      </w:r>
      <w:r w:rsidR="00700733" w:rsidRPr="00515DD9">
        <w:rPr>
          <w:rFonts w:cs="Times New Roman"/>
          <w:iCs/>
          <w:szCs w:val="24"/>
        </w:rPr>
        <w:t>An</w:t>
      </w:r>
      <w:r w:rsidRPr="00515DD9">
        <w:rPr>
          <w:rFonts w:cs="Times New Roman"/>
          <w:iCs/>
          <w:szCs w:val="24"/>
        </w:rPr>
        <w:t xml:space="preserve"> Interdisciplinary Approach to Critical Reflection</w:t>
      </w:r>
      <w:r w:rsidRPr="00515DD9">
        <w:rPr>
          <w:rFonts w:cs="Times New Roman"/>
          <w:szCs w:val="24"/>
        </w:rPr>
        <w:t>. Abingdon, Oxon; New York, NY: Routledge.</w:t>
      </w:r>
    </w:p>
    <w:p w14:paraId="5317F04E"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Bolton, G.E.J. (2010). </w:t>
      </w:r>
      <w:r w:rsidRPr="00515DD9">
        <w:rPr>
          <w:rFonts w:cs="Times New Roman"/>
          <w:iCs/>
          <w:szCs w:val="24"/>
        </w:rPr>
        <w:t>Reflective Practice: Writing and Professional Development</w:t>
      </w:r>
      <w:r w:rsidRPr="00515DD9">
        <w:rPr>
          <w:rFonts w:cs="Times New Roman"/>
          <w:szCs w:val="24"/>
        </w:rPr>
        <w:t>. London: Sage Publications Ltd.</w:t>
      </w:r>
    </w:p>
    <w:p w14:paraId="586AB18F"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Connor, A. (2019). </w:t>
      </w:r>
      <w:r w:rsidRPr="00515DD9">
        <w:rPr>
          <w:rFonts w:cs="Times New Roman"/>
          <w:iCs/>
          <w:szCs w:val="24"/>
        </w:rPr>
        <w:t xml:space="preserve">18 Rules of Community Engagement: </w:t>
      </w:r>
      <w:r w:rsidR="00700733" w:rsidRPr="00515DD9">
        <w:rPr>
          <w:rFonts w:cs="Times New Roman"/>
          <w:iCs/>
          <w:szCs w:val="24"/>
        </w:rPr>
        <w:t>A</w:t>
      </w:r>
      <w:r w:rsidRPr="00515DD9">
        <w:rPr>
          <w:rFonts w:cs="Times New Roman"/>
          <w:iCs/>
          <w:szCs w:val="24"/>
        </w:rPr>
        <w:t xml:space="preserve"> Guide for Building Relationships and Connecting with Customers Online</w:t>
      </w:r>
      <w:r w:rsidRPr="00515DD9">
        <w:rPr>
          <w:rFonts w:cs="Times New Roman"/>
          <w:szCs w:val="24"/>
        </w:rPr>
        <w:t>. Silicon Valley, Ca: Happyabout.Info.</w:t>
      </w:r>
    </w:p>
    <w:p w14:paraId="102A90E5"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Johns, C. (2017). </w:t>
      </w:r>
      <w:r w:rsidRPr="00515DD9">
        <w:rPr>
          <w:rFonts w:cs="Times New Roman"/>
          <w:iCs/>
          <w:szCs w:val="24"/>
        </w:rPr>
        <w:t>Becoming a Reflective Practitioner</w:t>
      </w:r>
      <w:r w:rsidRPr="00515DD9">
        <w:rPr>
          <w:rFonts w:cs="Times New Roman"/>
          <w:szCs w:val="24"/>
        </w:rPr>
        <w:t>. Chichester, West Sussex: Wiley Blackwell.</w:t>
      </w:r>
    </w:p>
    <w:p w14:paraId="4C0561C7"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Kronick, R.F. (2018). </w:t>
      </w:r>
      <w:r w:rsidRPr="00515DD9">
        <w:rPr>
          <w:rFonts w:cs="Times New Roman"/>
          <w:iCs/>
          <w:szCs w:val="24"/>
        </w:rPr>
        <w:t>Community Engagement: Principles, Strategies and Practices</w:t>
      </w:r>
      <w:r w:rsidRPr="00515DD9">
        <w:rPr>
          <w:rFonts w:cs="Times New Roman"/>
          <w:szCs w:val="24"/>
        </w:rPr>
        <w:t>. Hauppauge, N.Y.: Nova Science Publishers.</w:t>
      </w:r>
    </w:p>
    <w:p w14:paraId="0584FF2A"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Mcmillan, K. and Weyers, J. (2013). </w:t>
      </w:r>
      <w:r w:rsidRPr="00515DD9">
        <w:rPr>
          <w:rFonts w:cs="Times New Roman"/>
          <w:iCs/>
          <w:szCs w:val="24"/>
        </w:rPr>
        <w:t xml:space="preserve">How to Improve Your Critical Thinking and Reflective </w:t>
      </w:r>
      <w:r w:rsidR="00526BAE" w:rsidRPr="00515DD9">
        <w:rPr>
          <w:rFonts w:cs="Times New Roman"/>
          <w:iCs/>
          <w:szCs w:val="24"/>
        </w:rPr>
        <w:t>Skills</w:t>
      </w:r>
      <w:r w:rsidR="00526BAE" w:rsidRPr="00515DD9">
        <w:rPr>
          <w:rFonts w:cs="Times New Roman"/>
          <w:szCs w:val="24"/>
        </w:rPr>
        <w:t>?</w:t>
      </w:r>
      <w:r w:rsidRPr="00515DD9">
        <w:rPr>
          <w:rFonts w:cs="Times New Roman"/>
          <w:szCs w:val="24"/>
        </w:rPr>
        <w:t xml:space="preserve"> Harlow, England: Pearson.</w:t>
      </w:r>
    </w:p>
    <w:p w14:paraId="5A3DA900"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Mortari, L. (2015). Reflectivity in Research Practice. </w:t>
      </w:r>
      <w:r w:rsidRPr="00515DD9">
        <w:rPr>
          <w:rFonts w:cs="Times New Roman"/>
          <w:iCs/>
          <w:szCs w:val="24"/>
        </w:rPr>
        <w:t>International Journal of Qualitative Methods</w:t>
      </w:r>
      <w:r w:rsidRPr="00515DD9">
        <w:rPr>
          <w:rFonts w:cs="Times New Roman"/>
          <w:szCs w:val="24"/>
        </w:rPr>
        <w:t>, [online] 14(5), p.160940691561804. doi:</w:t>
      </w:r>
      <w:hyperlink r:id="rId10" w:history="1">
        <w:r w:rsidRPr="00515DD9">
          <w:rPr>
            <w:rFonts w:cs="Times New Roman"/>
            <w:szCs w:val="24"/>
          </w:rPr>
          <w:t>10.1177/1609406915618045</w:t>
        </w:r>
      </w:hyperlink>
      <w:r w:rsidRPr="00515DD9">
        <w:rPr>
          <w:rFonts w:cs="Times New Roman"/>
          <w:szCs w:val="24"/>
        </w:rPr>
        <w:t>.</w:t>
      </w:r>
    </w:p>
    <w:p w14:paraId="0A894E6D"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Patricia Ann Wilson (2019). </w:t>
      </w:r>
      <w:r w:rsidRPr="00515DD9">
        <w:rPr>
          <w:rFonts w:cs="Times New Roman"/>
          <w:iCs/>
          <w:szCs w:val="24"/>
        </w:rPr>
        <w:t>The Heart of Community Engagement: Practitioner Stories from across the Globe</w:t>
      </w:r>
      <w:r w:rsidRPr="00515DD9">
        <w:rPr>
          <w:rFonts w:cs="Times New Roman"/>
          <w:szCs w:val="24"/>
        </w:rPr>
        <w:t>. Abingdon, Oxon; New York, NY: Routledge.</w:t>
      </w:r>
    </w:p>
    <w:p w14:paraId="509274E0"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Pavlovich, K. (2007). The Development of Reflective Practice through Student Journals. </w:t>
      </w:r>
      <w:r w:rsidRPr="00515DD9">
        <w:rPr>
          <w:rFonts w:cs="Times New Roman"/>
          <w:iCs/>
          <w:szCs w:val="24"/>
        </w:rPr>
        <w:t>Higher Education Research &amp; Development</w:t>
      </w:r>
      <w:r w:rsidRPr="00515DD9">
        <w:rPr>
          <w:rFonts w:cs="Times New Roman"/>
          <w:szCs w:val="24"/>
        </w:rPr>
        <w:t>, 26(3), pp.281–295. doi:</w:t>
      </w:r>
      <w:hyperlink r:id="rId11" w:history="1">
        <w:r w:rsidRPr="00515DD9">
          <w:rPr>
            <w:rFonts w:cs="Times New Roman"/>
            <w:szCs w:val="24"/>
          </w:rPr>
          <w:t>10.1080/07294360701494302</w:t>
        </w:r>
      </w:hyperlink>
      <w:r w:rsidRPr="00515DD9">
        <w:rPr>
          <w:rFonts w:cs="Times New Roman"/>
          <w:szCs w:val="24"/>
        </w:rPr>
        <w:t>.</w:t>
      </w:r>
    </w:p>
    <w:p w14:paraId="1D9AA7F1"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Schön, D.A. (2010). </w:t>
      </w:r>
      <w:r w:rsidRPr="00515DD9">
        <w:rPr>
          <w:rFonts w:cs="Times New Roman"/>
          <w:iCs/>
          <w:szCs w:val="24"/>
        </w:rPr>
        <w:t>The Reflective Practitioner: How Professionals Think in Action</w:t>
      </w:r>
      <w:r w:rsidRPr="00515DD9">
        <w:rPr>
          <w:rFonts w:cs="Times New Roman"/>
          <w:szCs w:val="24"/>
        </w:rPr>
        <w:t>. 14th ed. New York: Basic Books.</w:t>
      </w:r>
    </w:p>
    <w:p w14:paraId="512997F9" w14:textId="77777777" w:rsidR="00515DD9" w:rsidRPr="00515DD9" w:rsidRDefault="000F1999" w:rsidP="00515DD9">
      <w:pPr>
        <w:widowControl w:val="0"/>
        <w:autoSpaceDE w:val="0"/>
        <w:autoSpaceDN w:val="0"/>
        <w:adjustRightInd w:val="0"/>
        <w:spacing w:after="0" w:line="360" w:lineRule="auto"/>
        <w:jc w:val="both"/>
        <w:rPr>
          <w:rFonts w:cs="Times New Roman"/>
          <w:szCs w:val="24"/>
        </w:rPr>
      </w:pPr>
      <w:r w:rsidRPr="00515DD9">
        <w:rPr>
          <w:rFonts w:cs="Times New Roman"/>
          <w:szCs w:val="24"/>
        </w:rPr>
        <w:t xml:space="preserve">Williams, K., Woolliams, M. and Spiro, J. (2020). </w:t>
      </w:r>
      <w:r w:rsidRPr="00515DD9">
        <w:rPr>
          <w:rFonts w:cs="Times New Roman"/>
          <w:iCs/>
          <w:szCs w:val="24"/>
        </w:rPr>
        <w:t>Reflective Writing</w:t>
      </w:r>
      <w:r w:rsidRPr="00515DD9">
        <w:rPr>
          <w:rFonts w:cs="Times New Roman"/>
          <w:szCs w:val="24"/>
        </w:rPr>
        <w:t>. 2nd ed. London: Macmillan Education.</w:t>
      </w:r>
    </w:p>
    <w:p w14:paraId="43B819FA" w14:textId="77777777" w:rsidR="00841C05" w:rsidRDefault="00841C05" w:rsidP="00841C05">
      <w:pPr>
        <w:spacing w:after="0" w:line="360" w:lineRule="auto"/>
        <w:jc w:val="both"/>
      </w:pPr>
    </w:p>
    <w:sectPr w:rsidR="00841C05">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B689C" w14:textId="77777777" w:rsidR="00CF5DEA" w:rsidRDefault="00CF5DEA">
      <w:pPr>
        <w:spacing w:after="0" w:line="240" w:lineRule="auto"/>
      </w:pPr>
      <w:r>
        <w:separator/>
      </w:r>
    </w:p>
  </w:endnote>
  <w:endnote w:type="continuationSeparator" w:id="0">
    <w:p w14:paraId="22BDCBF4" w14:textId="77777777" w:rsidR="00CF5DEA" w:rsidRDefault="00CF5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A2C07" w14:textId="77777777" w:rsidR="003253D1" w:rsidRDefault="003253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707748"/>
      <w:docPartObj>
        <w:docPartGallery w:val="Page Numbers (Bottom of Page)"/>
        <w:docPartUnique/>
      </w:docPartObj>
    </w:sdtPr>
    <w:sdtEndPr>
      <w:rPr>
        <w:color w:val="7F7F7F" w:themeColor="background1" w:themeShade="7F"/>
        <w:spacing w:val="60"/>
      </w:rPr>
    </w:sdtEndPr>
    <w:sdtContent>
      <w:p w14:paraId="7785AF22" w14:textId="77777777" w:rsidR="00700733" w:rsidRDefault="000F199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26BAE" w:rsidRPr="00526BAE">
          <w:rPr>
            <w:b/>
            <w:bCs/>
            <w:noProof/>
          </w:rPr>
          <w:t>8</w:t>
        </w:r>
        <w:r>
          <w:rPr>
            <w:b/>
            <w:bCs/>
            <w:noProof/>
          </w:rPr>
          <w:fldChar w:fldCharType="end"/>
        </w:r>
        <w:r>
          <w:rPr>
            <w:b/>
            <w:bCs/>
          </w:rPr>
          <w:t xml:space="preserve"> | </w:t>
        </w:r>
        <w:r>
          <w:rPr>
            <w:color w:val="7F7F7F" w:themeColor="background1" w:themeShade="7F"/>
            <w:spacing w:val="60"/>
          </w:rPr>
          <w:t>Page</w:t>
        </w:r>
      </w:p>
    </w:sdtContent>
  </w:sdt>
  <w:p w14:paraId="5E9CB12C" w14:textId="77777777" w:rsidR="00700733" w:rsidRDefault="0070073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A38B5" w14:textId="77777777" w:rsidR="003253D1" w:rsidRDefault="00325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72704" w14:textId="77777777" w:rsidR="00CF5DEA" w:rsidRDefault="00CF5DEA">
      <w:pPr>
        <w:spacing w:after="0" w:line="240" w:lineRule="auto"/>
      </w:pPr>
      <w:r>
        <w:separator/>
      </w:r>
    </w:p>
  </w:footnote>
  <w:footnote w:type="continuationSeparator" w:id="0">
    <w:p w14:paraId="19AFE0B0" w14:textId="77777777" w:rsidR="00CF5DEA" w:rsidRDefault="00CF5D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2A099" w14:textId="77777777" w:rsidR="003253D1" w:rsidRDefault="003253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461F6" w14:textId="77777777" w:rsidR="003253D1" w:rsidRDefault="003253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7DAE8" w14:textId="77777777" w:rsidR="003253D1" w:rsidRDefault="003253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4.1pt;height:14.1pt" o:bullet="t">
        <v:imagedata r:id="rId1" o:title="msoD329"/>
      </v:shape>
    </w:pict>
  </w:numPicBullet>
  <w:abstractNum w:abstractNumId="0" w15:restartNumberingAfterBreak="0">
    <w:nsid w:val="038B250A"/>
    <w:multiLevelType w:val="multilevel"/>
    <w:tmpl w:val="E1DC76A0"/>
    <w:lvl w:ilvl="0">
      <w:start w:val="1"/>
      <w:numFmt w:val="decimal"/>
      <w:lvlText w:val="%1."/>
      <w:lvlJc w:val="left"/>
      <w:pPr>
        <w:ind w:left="720" w:hanging="360"/>
      </w:pPr>
    </w:lvl>
    <w:lvl w:ilvl="1">
      <w:start w:val="1"/>
      <w:numFmt w:val="decimal"/>
      <w:isLgl/>
      <w:lvlText w:val="%1.%2."/>
      <w:lvlJc w:val="left"/>
      <w:pPr>
        <w:ind w:left="57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7A858C1"/>
    <w:multiLevelType w:val="hybridMultilevel"/>
    <w:tmpl w:val="00BA518C"/>
    <w:lvl w:ilvl="0" w:tplc="09A8BEB8">
      <w:start w:val="1"/>
      <w:numFmt w:val="decimal"/>
      <w:lvlText w:val="%1."/>
      <w:lvlJc w:val="left"/>
      <w:pPr>
        <w:ind w:left="360" w:hanging="360"/>
      </w:pPr>
      <w:rPr>
        <w:rFonts w:hint="default"/>
      </w:rPr>
    </w:lvl>
    <w:lvl w:ilvl="1" w:tplc="4064C588" w:tentative="1">
      <w:start w:val="1"/>
      <w:numFmt w:val="lowerLetter"/>
      <w:lvlText w:val="%2."/>
      <w:lvlJc w:val="left"/>
      <w:pPr>
        <w:ind w:left="1080" w:hanging="360"/>
      </w:pPr>
    </w:lvl>
    <w:lvl w:ilvl="2" w:tplc="A0987390" w:tentative="1">
      <w:start w:val="1"/>
      <w:numFmt w:val="lowerRoman"/>
      <w:lvlText w:val="%3."/>
      <w:lvlJc w:val="right"/>
      <w:pPr>
        <w:ind w:left="1800" w:hanging="180"/>
      </w:pPr>
    </w:lvl>
    <w:lvl w:ilvl="3" w:tplc="E988C23C" w:tentative="1">
      <w:start w:val="1"/>
      <w:numFmt w:val="decimal"/>
      <w:lvlText w:val="%4."/>
      <w:lvlJc w:val="left"/>
      <w:pPr>
        <w:ind w:left="2520" w:hanging="360"/>
      </w:pPr>
    </w:lvl>
    <w:lvl w:ilvl="4" w:tplc="28E68AC8" w:tentative="1">
      <w:start w:val="1"/>
      <w:numFmt w:val="lowerLetter"/>
      <w:lvlText w:val="%5."/>
      <w:lvlJc w:val="left"/>
      <w:pPr>
        <w:ind w:left="3240" w:hanging="360"/>
      </w:pPr>
    </w:lvl>
    <w:lvl w:ilvl="5" w:tplc="80E8B0D4" w:tentative="1">
      <w:start w:val="1"/>
      <w:numFmt w:val="lowerRoman"/>
      <w:lvlText w:val="%6."/>
      <w:lvlJc w:val="right"/>
      <w:pPr>
        <w:ind w:left="3960" w:hanging="180"/>
      </w:pPr>
    </w:lvl>
    <w:lvl w:ilvl="6" w:tplc="2AB4C592" w:tentative="1">
      <w:start w:val="1"/>
      <w:numFmt w:val="decimal"/>
      <w:lvlText w:val="%7."/>
      <w:lvlJc w:val="left"/>
      <w:pPr>
        <w:ind w:left="4680" w:hanging="360"/>
      </w:pPr>
    </w:lvl>
    <w:lvl w:ilvl="7" w:tplc="0F5ED2BE" w:tentative="1">
      <w:start w:val="1"/>
      <w:numFmt w:val="lowerLetter"/>
      <w:lvlText w:val="%8."/>
      <w:lvlJc w:val="left"/>
      <w:pPr>
        <w:ind w:left="5400" w:hanging="360"/>
      </w:pPr>
    </w:lvl>
    <w:lvl w:ilvl="8" w:tplc="3A32F954" w:tentative="1">
      <w:start w:val="1"/>
      <w:numFmt w:val="lowerRoman"/>
      <w:lvlText w:val="%9."/>
      <w:lvlJc w:val="right"/>
      <w:pPr>
        <w:ind w:left="6120" w:hanging="180"/>
      </w:pPr>
    </w:lvl>
  </w:abstractNum>
  <w:abstractNum w:abstractNumId="2" w15:restartNumberingAfterBreak="0">
    <w:nsid w:val="3A73098B"/>
    <w:multiLevelType w:val="hybridMultilevel"/>
    <w:tmpl w:val="7034D6BE"/>
    <w:lvl w:ilvl="0" w:tplc="CDC6CB60">
      <w:start w:val="1"/>
      <w:numFmt w:val="bullet"/>
      <w:lvlText w:val=""/>
      <w:lvlPicBulletId w:val="0"/>
      <w:lvlJc w:val="left"/>
      <w:pPr>
        <w:ind w:left="720" w:hanging="360"/>
      </w:pPr>
      <w:rPr>
        <w:rFonts w:ascii="Symbol" w:hAnsi="Symbol" w:hint="default"/>
      </w:rPr>
    </w:lvl>
    <w:lvl w:ilvl="1" w:tplc="C39E2444" w:tentative="1">
      <w:start w:val="1"/>
      <w:numFmt w:val="bullet"/>
      <w:lvlText w:val="o"/>
      <w:lvlJc w:val="left"/>
      <w:pPr>
        <w:ind w:left="1440" w:hanging="360"/>
      </w:pPr>
      <w:rPr>
        <w:rFonts w:ascii="Courier New" w:hAnsi="Courier New" w:cs="Courier New" w:hint="default"/>
      </w:rPr>
    </w:lvl>
    <w:lvl w:ilvl="2" w:tplc="CED0806C" w:tentative="1">
      <w:start w:val="1"/>
      <w:numFmt w:val="bullet"/>
      <w:lvlText w:val=""/>
      <w:lvlJc w:val="left"/>
      <w:pPr>
        <w:ind w:left="2160" w:hanging="360"/>
      </w:pPr>
      <w:rPr>
        <w:rFonts w:ascii="Wingdings" w:hAnsi="Wingdings" w:hint="default"/>
      </w:rPr>
    </w:lvl>
    <w:lvl w:ilvl="3" w:tplc="1CD6A73C" w:tentative="1">
      <w:start w:val="1"/>
      <w:numFmt w:val="bullet"/>
      <w:lvlText w:val=""/>
      <w:lvlJc w:val="left"/>
      <w:pPr>
        <w:ind w:left="2880" w:hanging="360"/>
      </w:pPr>
      <w:rPr>
        <w:rFonts w:ascii="Symbol" w:hAnsi="Symbol" w:hint="default"/>
      </w:rPr>
    </w:lvl>
    <w:lvl w:ilvl="4" w:tplc="34224D2A" w:tentative="1">
      <w:start w:val="1"/>
      <w:numFmt w:val="bullet"/>
      <w:lvlText w:val="o"/>
      <w:lvlJc w:val="left"/>
      <w:pPr>
        <w:ind w:left="3600" w:hanging="360"/>
      </w:pPr>
      <w:rPr>
        <w:rFonts w:ascii="Courier New" w:hAnsi="Courier New" w:cs="Courier New" w:hint="default"/>
      </w:rPr>
    </w:lvl>
    <w:lvl w:ilvl="5" w:tplc="DC66C976" w:tentative="1">
      <w:start w:val="1"/>
      <w:numFmt w:val="bullet"/>
      <w:lvlText w:val=""/>
      <w:lvlJc w:val="left"/>
      <w:pPr>
        <w:ind w:left="4320" w:hanging="360"/>
      </w:pPr>
      <w:rPr>
        <w:rFonts w:ascii="Wingdings" w:hAnsi="Wingdings" w:hint="default"/>
      </w:rPr>
    </w:lvl>
    <w:lvl w:ilvl="6" w:tplc="64CC7168" w:tentative="1">
      <w:start w:val="1"/>
      <w:numFmt w:val="bullet"/>
      <w:lvlText w:val=""/>
      <w:lvlJc w:val="left"/>
      <w:pPr>
        <w:ind w:left="5040" w:hanging="360"/>
      </w:pPr>
      <w:rPr>
        <w:rFonts w:ascii="Symbol" w:hAnsi="Symbol" w:hint="default"/>
      </w:rPr>
    </w:lvl>
    <w:lvl w:ilvl="7" w:tplc="19EE45C6" w:tentative="1">
      <w:start w:val="1"/>
      <w:numFmt w:val="bullet"/>
      <w:lvlText w:val="o"/>
      <w:lvlJc w:val="left"/>
      <w:pPr>
        <w:ind w:left="5760" w:hanging="360"/>
      </w:pPr>
      <w:rPr>
        <w:rFonts w:ascii="Courier New" w:hAnsi="Courier New" w:cs="Courier New" w:hint="default"/>
      </w:rPr>
    </w:lvl>
    <w:lvl w:ilvl="8" w:tplc="4CE66A0E" w:tentative="1">
      <w:start w:val="1"/>
      <w:numFmt w:val="bullet"/>
      <w:lvlText w:val=""/>
      <w:lvlJc w:val="left"/>
      <w:pPr>
        <w:ind w:left="6480" w:hanging="360"/>
      </w:pPr>
      <w:rPr>
        <w:rFonts w:ascii="Wingdings" w:hAnsi="Wingdings" w:hint="default"/>
      </w:rPr>
    </w:lvl>
  </w:abstractNum>
  <w:abstractNum w:abstractNumId="3" w15:restartNumberingAfterBreak="0">
    <w:nsid w:val="5F7B2B07"/>
    <w:multiLevelType w:val="hybridMultilevel"/>
    <w:tmpl w:val="EDBE5626"/>
    <w:lvl w:ilvl="0" w:tplc="3BBAB7AA">
      <w:start w:val="1"/>
      <w:numFmt w:val="bullet"/>
      <w:lvlText w:val=""/>
      <w:lvlPicBulletId w:val="0"/>
      <w:lvlJc w:val="left"/>
      <w:pPr>
        <w:ind w:left="720" w:hanging="360"/>
      </w:pPr>
      <w:rPr>
        <w:rFonts w:ascii="Symbol" w:hAnsi="Symbol" w:hint="default"/>
      </w:rPr>
    </w:lvl>
    <w:lvl w:ilvl="1" w:tplc="7F182D02" w:tentative="1">
      <w:start w:val="1"/>
      <w:numFmt w:val="bullet"/>
      <w:lvlText w:val="o"/>
      <w:lvlJc w:val="left"/>
      <w:pPr>
        <w:ind w:left="1440" w:hanging="360"/>
      </w:pPr>
      <w:rPr>
        <w:rFonts w:ascii="Courier New" w:hAnsi="Courier New" w:cs="Courier New" w:hint="default"/>
      </w:rPr>
    </w:lvl>
    <w:lvl w:ilvl="2" w:tplc="F6AA6D42" w:tentative="1">
      <w:start w:val="1"/>
      <w:numFmt w:val="bullet"/>
      <w:lvlText w:val=""/>
      <w:lvlJc w:val="left"/>
      <w:pPr>
        <w:ind w:left="2160" w:hanging="360"/>
      </w:pPr>
      <w:rPr>
        <w:rFonts w:ascii="Wingdings" w:hAnsi="Wingdings" w:hint="default"/>
      </w:rPr>
    </w:lvl>
    <w:lvl w:ilvl="3" w:tplc="0D0E351C" w:tentative="1">
      <w:start w:val="1"/>
      <w:numFmt w:val="bullet"/>
      <w:lvlText w:val=""/>
      <w:lvlJc w:val="left"/>
      <w:pPr>
        <w:ind w:left="2880" w:hanging="360"/>
      </w:pPr>
      <w:rPr>
        <w:rFonts w:ascii="Symbol" w:hAnsi="Symbol" w:hint="default"/>
      </w:rPr>
    </w:lvl>
    <w:lvl w:ilvl="4" w:tplc="C16013C4" w:tentative="1">
      <w:start w:val="1"/>
      <w:numFmt w:val="bullet"/>
      <w:lvlText w:val="o"/>
      <w:lvlJc w:val="left"/>
      <w:pPr>
        <w:ind w:left="3600" w:hanging="360"/>
      </w:pPr>
      <w:rPr>
        <w:rFonts w:ascii="Courier New" w:hAnsi="Courier New" w:cs="Courier New" w:hint="default"/>
      </w:rPr>
    </w:lvl>
    <w:lvl w:ilvl="5" w:tplc="A710B650" w:tentative="1">
      <w:start w:val="1"/>
      <w:numFmt w:val="bullet"/>
      <w:lvlText w:val=""/>
      <w:lvlJc w:val="left"/>
      <w:pPr>
        <w:ind w:left="4320" w:hanging="360"/>
      </w:pPr>
      <w:rPr>
        <w:rFonts w:ascii="Wingdings" w:hAnsi="Wingdings" w:hint="default"/>
      </w:rPr>
    </w:lvl>
    <w:lvl w:ilvl="6" w:tplc="AFDC3EDC" w:tentative="1">
      <w:start w:val="1"/>
      <w:numFmt w:val="bullet"/>
      <w:lvlText w:val=""/>
      <w:lvlJc w:val="left"/>
      <w:pPr>
        <w:ind w:left="5040" w:hanging="360"/>
      </w:pPr>
      <w:rPr>
        <w:rFonts w:ascii="Symbol" w:hAnsi="Symbol" w:hint="default"/>
      </w:rPr>
    </w:lvl>
    <w:lvl w:ilvl="7" w:tplc="135E6BBE" w:tentative="1">
      <w:start w:val="1"/>
      <w:numFmt w:val="bullet"/>
      <w:lvlText w:val="o"/>
      <w:lvlJc w:val="left"/>
      <w:pPr>
        <w:ind w:left="5760" w:hanging="360"/>
      </w:pPr>
      <w:rPr>
        <w:rFonts w:ascii="Courier New" w:hAnsi="Courier New" w:cs="Courier New" w:hint="default"/>
      </w:rPr>
    </w:lvl>
    <w:lvl w:ilvl="8" w:tplc="F17A7182" w:tentative="1">
      <w:start w:val="1"/>
      <w:numFmt w:val="bullet"/>
      <w:lvlText w:val=""/>
      <w:lvlJc w:val="left"/>
      <w:pPr>
        <w:ind w:left="6480" w:hanging="360"/>
      </w:pPr>
      <w:rPr>
        <w:rFonts w:ascii="Wingdings" w:hAnsi="Wingdings" w:hint="default"/>
      </w:rPr>
    </w:lvl>
  </w:abstractNum>
  <w:abstractNum w:abstractNumId="4" w15:restartNumberingAfterBreak="0">
    <w:nsid w:val="625C3E66"/>
    <w:multiLevelType w:val="hybridMultilevel"/>
    <w:tmpl w:val="6B52BB46"/>
    <w:lvl w:ilvl="0" w:tplc="4DFC4992">
      <w:start w:val="1"/>
      <w:numFmt w:val="decimal"/>
      <w:lvlText w:val="%1."/>
      <w:lvlJc w:val="left"/>
      <w:pPr>
        <w:ind w:left="360" w:hanging="360"/>
      </w:pPr>
      <w:rPr>
        <w:rFonts w:hint="default"/>
      </w:rPr>
    </w:lvl>
    <w:lvl w:ilvl="1" w:tplc="E4AC2B4A" w:tentative="1">
      <w:start w:val="1"/>
      <w:numFmt w:val="lowerLetter"/>
      <w:lvlText w:val="%2."/>
      <w:lvlJc w:val="left"/>
      <w:pPr>
        <w:ind w:left="1080" w:hanging="360"/>
      </w:pPr>
    </w:lvl>
    <w:lvl w:ilvl="2" w:tplc="F9EEE4E6" w:tentative="1">
      <w:start w:val="1"/>
      <w:numFmt w:val="lowerRoman"/>
      <w:lvlText w:val="%3."/>
      <w:lvlJc w:val="right"/>
      <w:pPr>
        <w:ind w:left="1800" w:hanging="180"/>
      </w:pPr>
    </w:lvl>
    <w:lvl w:ilvl="3" w:tplc="CD5A87D0" w:tentative="1">
      <w:start w:val="1"/>
      <w:numFmt w:val="decimal"/>
      <w:lvlText w:val="%4."/>
      <w:lvlJc w:val="left"/>
      <w:pPr>
        <w:ind w:left="2520" w:hanging="360"/>
      </w:pPr>
    </w:lvl>
    <w:lvl w:ilvl="4" w:tplc="D61C7086" w:tentative="1">
      <w:start w:val="1"/>
      <w:numFmt w:val="lowerLetter"/>
      <w:lvlText w:val="%5."/>
      <w:lvlJc w:val="left"/>
      <w:pPr>
        <w:ind w:left="3240" w:hanging="360"/>
      </w:pPr>
    </w:lvl>
    <w:lvl w:ilvl="5" w:tplc="5F2ED6F8" w:tentative="1">
      <w:start w:val="1"/>
      <w:numFmt w:val="lowerRoman"/>
      <w:lvlText w:val="%6."/>
      <w:lvlJc w:val="right"/>
      <w:pPr>
        <w:ind w:left="3960" w:hanging="180"/>
      </w:pPr>
    </w:lvl>
    <w:lvl w:ilvl="6" w:tplc="82C8CFCE" w:tentative="1">
      <w:start w:val="1"/>
      <w:numFmt w:val="decimal"/>
      <w:lvlText w:val="%7."/>
      <w:lvlJc w:val="left"/>
      <w:pPr>
        <w:ind w:left="4680" w:hanging="360"/>
      </w:pPr>
    </w:lvl>
    <w:lvl w:ilvl="7" w:tplc="C316A312" w:tentative="1">
      <w:start w:val="1"/>
      <w:numFmt w:val="lowerLetter"/>
      <w:lvlText w:val="%8."/>
      <w:lvlJc w:val="left"/>
      <w:pPr>
        <w:ind w:left="5400" w:hanging="360"/>
      </w:pPr>
    </w:lvl>
    <w:lvl w:ilvl="8" w:tplc="56125B7A" w:tentative="1">
      <w:start w:val="1"/>
      <w:numFmt w:val="lowerRoman"/>
      <w:lvlText w:val="%9."/>
      <w:lvlJc w:val="right"/>
      <w:pPr>
        <w:ind w:left="6120" w:hanging="180"/>
      </w:pPr>
    </w:lvl>
  </w:abstractNum>
  <w:abstractNum w:abstractNumId="5" w15:restartNumberingAfterBreak="0">
    <w:nsid w:val="7B262D3A"/>
    <w:multiLevelType w:val="multilevel"/>
    <w:tmpl w:val="EF424F16"/>
    <w:lvl w:ilvl="0">
      <w:start w:val="1"/>
      <w:numFmt w:val="decimal"/>
      <w:lvlText w:val="%1."/>
      <w:lvlJc w:val="left"/>
      <w:pPr>
        <w:ind w:left="786"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D1F5513"/>
    <w:multiLevelType w:val="hybridMultilevel"/>
    <w:tmpl w:val="87E4BB2A"/>
    <w:lvl w:ilvl="0" w:tplc="BB66CD14">
      <w:start w:val="1"/>
      <w:numFmt w:val="upperLetter"/>
      <w:lvlText w:val="%1."/>
      <w:lvlJc w:val="left"/>
      <w:pPr>
        <w:ind w:left="360" w:hanging="360"/>
      </w:pPr>
      <w:rPr>
        <w:rFonts w:hint="default"/>
      </w:rPr>
    </w:lvl>
    <w:lvl w:ilvl="1" w:tplc="0834FC14" w:tentative="1">
      <w:start w:val="1"/>
      <w:numFmt w:val="lowerLetter"/>
      <w:lvlText w:val="%2."/>
      <w:lvlJc w:val="left"/>
      <w:pPr>
        <w:ind w:left="1080" w:hanging="360"/>
      </w:pPr>
    </w:lvl>
    <w:lvl w:ilvl="2" w:tplc="14DC8F06" w:tentative="1">
      <w:start w:val="1"/>
      <w:numFmt w:val="lowerRoman"/>
      <w:lvlText w:val="%3."/>
      <w:lvlJc w:val="right"/>
      <w:pPr>
        <w:ind w:left="1800" w:hanging="180"/>
      </w:pPr>
    </w:lvl>
    <w:lvl w:ilvl="3" w:tplc="65781E7C" w:tentative="1">
      <w:start w:val="1"/>
      <w:numFmt w:val="decimal"/>
      <w:lvlText w:val="%4."/>
      <w:lvlJc w:val="left"/>
      <w:pPr>
        <w:ind w:left="2520" w:hanging="360"/>
      </w:pPr>
    </w:lvl>
    <w:lvl w:ilvl="4" w:tplc="E7CE53A4" w:tentative="1">
      <w:start w:val="1"/>
      <w:numFmt w:val="lowerLetter"/>
      <w:lvlText w:val="%5."/>
      <w:lvlJc w:val="left"/>
      <w:pPr>
        <w:ind w:left="3240" w:hanging="360"/>
      </w:pPr>
    </w:lvl>
    <w:lvl w:ilvl="5" w:tplc="40963D72" w:tentative="1">
      <w:start w:val="1"/>
      <w:numFmt w:val="lowerRoman"/>
      <w:lvlText w:val="%6."/>
      <w:lvlJc w:val="right"/>
      <w:pPr>
        <w:ind w:left="3960" w:hanging="180"/>
      </w:pPr>
    </w:lvl>
    <w:lvl w:ilvl="6" w:tplc="9380128E" w:tentative="1">
      <w:start w:val="1"/>
      <w:numFmt w:val="decimal"/>
      <w:lvlText w:val="%7."/>
      <w:lvlJc w:val="left"/>
      <w:pPr>
        <w:ind w:left="4680" w:hanging="360"/>
      </w:pPr>
    </w:lvl>
    <w:lvl w:ilvl="7" w:tplc="2BB069DC" w:tentative="1">
      <w:start w:val="1"/>
      <w:numFmt w:val="lowerLetter"/>
      <w:lvlText w:val="%8."/>
      <w:lvlJc w:val="left"/>
      <w:pPr>
        <w:ind w:left="5400" w:hanging="360"/>
      </w:pPr>
    </w:lvl>
    <w:lvl w:ilvl="8" w:tplc="7C4E5A60" w:tentative="1">
      <w:start w:val="1"/>
      <w:numFmt w:val="lowerRoman"/>
      <w:lvlText w:val="%9."/>
      <w:lvlJc w:val="right"/>
      <w:pPr>
        <w:ind w:left="6120" w:hanging="180"/>
      </w:pPr>
    </w:lvl>
  </w:abstractNum>
  <w:abstractNum w:abstractNumId="7" w15:restartNumberingAfterBreak="0">
    <w:nsid w:val="7DF211A3"/>
    <w:multiLevelType w:val="multilevel"/>
    <w:tmpl w:val="BC4A02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795101952">
    <w:abstractNumId w:val="5"/>
  </w:num>
  <w:num w:numId="2" w16cid:durableId="1051002023">
    <w:abstractNumId w:val="7"/>
  </w:num>
  <w:num w:numId="3" w16cid:durableId="2088961580">
    <w:abstractNumId w:val="6"/>
  </w:num>
  <w:num w:numId="4" w16cid:durableId="1684016987">
    <w:abstractNumId w:val="1"/>
  </w:num>
  <w:num w:numId="5" w16cid:durableId="612592965">
    <w:abstractNumId w:val="4"/>
  </w:num>
  <w:num w:numId="6" w16cid:durableId="2082101034">
    <w:abstractNumId w:val="0"/>
  </w:num>
  <w:num w:numId="7" w16cid:durableId="1766611549">
    <w:abstractNumId w:val="2"/>
  </w:num>
  <w:num w:numId="8" w16cid:durableId="101777646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7BC8"/>
    <w:rsid w:val="000206DB"/>
    <w:rsid w:val="00024BBC"/>
    <w:rsid w:val="00026512"/>
    <w:rsid w:val="00040BD7"/>
    <w:rsid w:val="00045D6C"/>
    <w:rsid w:val="000729F4"/>
    <w:rsid w:val="0008161D"/>
    <w:rsid w:val="0008302B"/>
    <w:rsid w:val="000857A1"/>
    <w:rsid w:val="000D168A"/>
    <w:rsid w:val="000D5543"/>
    <w:rsid w:val="000D7BC2"/>
    <w:rsid w:val="000D7F95"/>
    <w:rsid w:val="000E6173"/>
    <w:rsid w:val="000F1999"/>
    <w:rsid w:val="00107E4E"/>
    <w:rsid w:val="001215AE"/>
    <w:rsid w:val="0013546C"/>
    <w:rsid w:val="00135807"/>
    <w:rsid w:val="00141843"/>
    <w:rsid w:val="00171F43"/>
    <w:rsid w:val="001817C4"/>
    <w:rsid w:val="001D4E23"/>
    <w:rsid w:val="00203E58"/>
    <w:rsid w:val="0020596E"/>
    <w:rsid w:val="0021016D"/>
    <w:rsid w:val="00211BFF"/>
    <w:rsid w:val="00222F5D"/>
    <w:rsid w:val="00251582"/>
    <w:rsid w:val="0026018E"/>
    <w:rsid w:val="00271BFC"/>
    <w:rsid w:val="002B3E0F"/>
    <w:rsid w:val="002D15D5"/>
    <w:rsid w:val="002E6C95"/>
    <w:rsid w:val="002F6211"/>
    <w:rsid w:val="00304A77"/>
    <w:rsid w:val="003071C7"/>
    <w:rsid w:val="003253D1"/>
    <w:rsid w:val="00327317"/>
    <w:rsid w:val="00375C42"/>
    <w:rsid w:val="003B5448"/>
    <w:rsid w:val="003C1804"/>
    <w:rsid w:val="003D048D"/>
    <w:rsid w:val="003D3C14"/>
    <w:rsid w:val="00403037"/>
    <w:rsid w:val="0041123C"/>
    <w:rsid w:val="004207C7"/>
    <w:rsid w:val="0042300F"/>
    <w:rsid w:val="004242E7"/>
    <w:rsid w:val="00434FBB"/>
    <w:rsid w:val="00453794"/>
    <w:rsid w:val="00477660"/>
    <w:rsid w:val="00483B4D"/>
    <w:rsid w:val="00491A81"/>
    <w:rsid w:val="004970FF"/>
    <w:rsid w:val="00497AEE"/>
    <w:rsid w:val="004C0CFC"/>
    <w:rsid w:val="004E5F87"/>
    <w:rsid w:val="004F45FD"/>
    <w:rsid w:val="00515DD9"/>
    <w:rsid w:val="00526BAE"/>
    <w:rsid w:val="00534C17"/>
    <w:rsid w:val="00563A38"/>
    <w:rsid w:val="005678EA"/>
    <w:rsid w:val="00577F01"/>
    <w:rsid w:val="005B5233"/>
    <w:rsid w:val="005B6A98"/>
    <w:rsid w:val="005C3411"/>
    <w:rsid w:val="005C5345"/>
    <w:rsid w:val="005D5B41"/>
    <w:rsid w:val="006005C3"/>
    <w:rsid w:val="0060088C"/>
    <w:rsid w:val="00603CE7"/>
    <w:rsid w:val="00614925"/>
    <w:rsid w:val="006161C4"/>
    <w:rsid w:val="006254EB"/>
    <w:rsid w:val="00631ED5"/>
    <w:rsid w:val="006455EE"/>
    <w:rsid w:val="00662283"/>
    <w:rsid w:val="00670A79"/>
    <w:rsid w:val="00685ECD"/>
    <w:rsid w:val="00686867"/>
    <w:rsid w:val="006B3722"/>
    <w:rsid w:val="006B5B78"/>
    <w:rsid w:val="006C790F"/>
    <w:rsid w:val="006E7CD5"/>
    <w:rsid w:val="006F745E"/>
    <w:rsid w:val="00700733"/>
    <w:rsid w:val="00702AAE"/>
    <w:rsid w:val="00704D8F"/>
    <w:rsid w:val="007303C8"/>
    <w:rsid w:val="00755AD7"/>
    <w:rsid w:val="007864CE"/>
    <w:rsid w:val="00805A01"/>
    <w:rsid w:val="008077D8"/>
    <w:rsid w:val="00814DDC"/>
    <w:rsid w:val="00841C05"/>
    <w:rsid w:val="00854E1F"/>
    <w:rsid w:val="0086283E"/>
    <w:rsid w:val="00873061"/>
    <w:rsid w:val="00892D6B"/>
    <w:rsid w:val="008A2E38"/>
    <w:rsid w:val="008C37AF"/>
    <w:rsid w:val="008C3C69"/>
    <w:rsid w:val="008E4322"/>
    <w:rsid w:val="00912A0C"/>
    <w:rsid w:val="00913CDD"/>
    <w:rsid w:val="0093128C"/>
    <w:rsid w:val="009370CF"/>
    <w:rsid w:val="009A24B9"/>
    <w:rsid w:val="009A4103"/>
    <w:rsid w:val="009B2CCA"/>
    <w:rsid w:val="009C1523"/>
    <w:rsid w:val="009E6C59"/>
    <w:rsid w:val="009F1B73"/>
    <w:rsid w:val="00A1625D"/>
    <w:rsid w:val="00A270CD"/>
    <w:rsid w:val="00A57456"/>
    <w:rsid w:val="00A6434D"/>
    <w:rsid w:val="00A650ED"/>
    <w:rsid w:val="00A651D2"/>
    <w:rsid w:val="00A67BC8"/>
    <w:rsid w:val="00A71E02"/>
    <w:rsid w:val="00A827A3"/>
    <w:rsid w:val="00A842F5"/>
    <w:rsid w:val="00AD25D6"/>
    <w:rsid w:val="00B22BEB"/>
    <w:rsid w:val="00B42F81"/>
    <w:rsid w:val="00B579A7"/>
    <w:rsid w:val="00B81D70"/>
    <w:rsid w:val="00BA2D65"/>
    <w:rsid w:val="00BA30AE"/>
    <w:rsid w:val="00BA5BB5"/>
    <w:rsid w:val="00BD4B65"/>
    <w:rsid w:val="00BD7F52"/>
    <w:rsid w:val="00BE049F"/>
    <w:rsid w:val="00C116BC"/>
    <w:rsid w:val="00C44B7E"/>
    <w:rsid w:val="00C52A09"/>
    <w:rsid w:val="00C7494E"/>
    <w:rsid w:val="00C8764F"/>
    <w:rsid w:val="00CA052C"/>
    <w:rsid w:val="00CA0C02"/>
    <w:rsid w:val="00CB5762"/>
    <w:rsid w:val="00CC3A23"/>
    <w:rsid w:val="00CC4437"/>
    <w:rsid w:val="00CC7615"/>
    <w:rsid w:val="00CD17AD"/>
    <w:rsid w:val="00CD693D"/>
    <w:rsid w:val="00CE041E"/>
    <w:rsid w:val="00CF5DEA"/>
    <w:rsid w:val="00D22795"/>
    <w:rsid w:val="00D328FB"/>
    <w:rsid w:val="00D45730"/>
    <w:rsid w:val="00D469B5"/>
    <w:rsid w:val="00D5138D"/>
    <w:rsid w:val="00D5511C"/>
    <w:rsid w:val="00D61C77"/>
    <w:rsid w:val="00D9231E"/>
    <w:rsid w:val="00DA362F"/>
    <w:rsid w:val="00DB6179"/>
    <w:rsid w:val="00DB7008"/>
    <w:rsid w:val="00DB7F3C"/>
    <w:rsid w:val="00DD67C4"/>
    <w:rsid w:val="00DD71A1"/>
    <w:rsid w:val="00DE35FE"/>
    <w:rsid w:val="00E043D7"/>
    <w:rsid w:val="00E06E24"/>
    <w:rsid w:val="00E2293A"/>
    <w:rsid w:val="00E35FFA"/>
    <w:rsid w:val="00E40563"/>
    <w:rsid w:val="00E41C05"/>
    <w:rsid w:val="00E6552E"/>
    <w:rsid w:val="00E84593"/>
    <w:rsid w:val="00E91DBC"/>
    <w:rsid w:val="00E945F3"/>
    <w:rsid w:val="00EC535B"/>
    <w:rsid w:val="00EF6E8E"/>
    <w:rsid w:val="00F441B4"/>
    <w:rsid w:val="00F55F23"/>
    <w:rsid w:val="00F67784"/>
    <w:rsid w:val="00F8087E"/>
    <w:rsid w:val="00F870A2"/>
    <w:rsid w:val="00F9715C"/>
    <w:rsid w:val="00FA5483"/>
    <w:rsid w:val="00FB79AD"/>
    <w:rsid w:val="00FC0C80"/>
    <w:rsid w:val="00FC275D"/>
    <w:rsid w:val="00FD4F71"/>
    <w:rsid w:val="00FF3073"/>
    <w:rsid w:val="00FF6B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F0CE52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31E"/>
    <w:rPr>
      <w:rFonts w:ascii="Times New Roman" w:eastAsiaTheme="minorEastAsia" w:hAnsi="Times New Roman"/>
      <w:sz w:val="24"/>
      <w:lang w:val="en-US"/>
    </w:rPr>
  </w:style>
  <w:style w:type="paragraph" w:styleId="Heading1">
    <w:name w:val="heading 1"/>
    <w:basedOn w:val="Normal"/>
    <w:next w:val="Normal"/>
    <w:link w:val="Heading1Char"/>
    <w:autoRedefine/>
    <w:uiPriority w:val="9"/>
    <w:qFormat/>
    <w:rsid w:val="000E6173"/>
    <w:pPr>
      <w:keepNext/>
      <w:keepLines/>
      <w:spacing w:after="0" w:line="360" w:lineRule="auto"/>
      <w:outlineLvl w:val="0"/>
    </w:pPr>
    <w:rPr>
      <w:rFonts w:eastAsiaTheme="majorEastAsia" w:cs="Arial"/>
      <w:b/>
      <w:noProof/>
      <w:sz w:val="32"/>
      <w:szCs w:val="36"/>
      <w:lang w:val="en-GB"/>
    </w:rPr>
  </w:style>
  <w:style w:type="paragraph" w:styleId="Heading2">
    <w:name w:val="heading 2"/>
    <w:basedOn w:val="Normal"/>
    <w:next w:val="Normal"/>
    <w:link w:val="Heading2Char"/>
    <w:autoRedefine/>
    <w:uiPriority w:val="9"/>
    <w:unhideWhenUsed/>
    <w:qFormat/>
    <w:rsid w:val="00107E4E"/>
    <w:pPr>
      <w:keepNext/>
      <w:keepLines/>
      <w:spacing w:before="120" w:after="0"/>
      <w:outlineLvl w:val="1"/>
    </w:pPr>
    <w:rPr>
      <w:rFonts w:eastAsiaTheme="majorEastAsia" w:cstheme="majorBidi"/>
      <w:b/>
      <w:sz w:val="28"/>
      <w:szCs w:val="28"/>
      <w:lang w:val="en-GB"/>
    </w:rPr>
  </w:style>
  <w:style w:type="paragraph" w:styleId="Heading3">
    <w:name w:val="heading 3"/>
    <w:basedOn w:val="Normal"/>
    <w:next w:val="Normal"/>
    <w:link w:val="Heading3Char"/>
    <w:autoRedefine/>
    <w:uiPriority w:val="9"/>
    <w:unhideWhenUsed/>
    <w:qFormat/>
    <w:rsid w:val="00D9231E"/>
    <w:pPr>
      <w:keepNext/>
      <w:keepLines/>
      <w:spacing w:before="120" w:after="0" w:line="240" w:lineRule="auto"/>
      <w:outlineLvl w:val="2"/>
    </w:pPr>
    <w:rPr>
      <w:rFonts w:eastAsiaTheme="majorEastAsia" w:cstheme="majorBidi"/>
      <w:b/>
      <w:smallCaps/>
      <w:szCs w:val="28"/>
      <w:lang w:val="en-GB"/>
    </w:rPr>
  </w:style>
  <w:style w:type="paragraph" w:styleId="Heading4">
    <w:name w:val="heading 4"/>
    <w:basedOn w:val="Normal"/>
    <w:next w:val="Normal"/>
    <w:link w:val="Heading4Char"/>
    <w:autoRedefine/>
    <w:uiPriority w:val="9"/>
    <w:unhideWhenUsed/>
    <w:qFormat/>
    <w:rsid w:val="00854E1F"/>
    <w:pPr>
      <w:keepNext/>
      <w:keepLines/>
      <w:spacing w:after="120"/>
      <w:outlineLvl w:val="3"/>
    </w:pPr>
    <w:rPr>
      <w:rFonts w:eastAsiaTheme="majorEastAsia" w:cstheme="majorBidi"/>
      <w:cap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6173"/>
    <w:rPr>
      <w:rFonts w:ascii="Times New Roman" w:eastAsiaTheme="majorEastAsia" w:hAnsi="Times New Roman" w:cs="Arial"/>
      <w:b/>
      <w:noProof/>
      <w:sz w:val="32"/>
      <w:szCs w:val="36"/>
    </w:rPr>
  </w:style>
  <w:style w:type="character" w:customStyle="1" w:styleId="Heading2Char">
    <w:name w:val="Heading 2 Char"/>
    <w:basedOn w:val="DefaultParagraphFont"/>
    <w:link w:val="Heading2"/>
    <w:uiPriority w:val="9"/>
    <w:rsid w:val="00107E4E"/>
    <w:rPr>
      <w:rFonts w:ascii="Times New Roman" w:eastAsiaTheme="majorEastAsia" w:hAnsi="Times New Roman" w:cstheme="majorBidi"/>
      <w:b/>
      <w:sz w:val="28"/>
      <w:szCs w:val="28"/>
    </w:rPr>
  </w:style>
  <w:style w:type="character" w:customStyle="1" w:styleId="Heading3Char">
    <w:name w:val="Heading 3 Char"/>
    <w:basedOn w:val="DefaultParagraphFont"/>
    <w:link w:val="Heading3"/>
    <w:uiPriority w:val="9"/>
    <w:rsid w:val="00D9231E"/>
    <w:rPr>
      <w:rFonts w:ascii="Times New Roman" w:eastAsiaTheme="majorEastAsia" w:hAnsi="Times New Roman" w:cstheme="majorBidi"/>
      <w:b/>
      <w:smallCaps/>
      <w:sz w:val="24"/>
      <w:szCs w:val="28"/>
    </w:rPr>
  </w:style>
  <w:style w:type="paragraph" w:styleId="Title">
    <w:name w:val="Title"/>
    <w:basedOn w:val="Normal"/>
    <w:next w:val="Normal"/>
    <w:link w:val="TitleChar"/>
    <w:uiPriority w:val="10"/>
    <w:qFormat/>
    <w:rsid w:val="00686867"/>
    <w:pPr>
      <w:spacing w:after="0"/>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686867"/>
    <w:rPr>
      <w:rFonts w:asciiTheme="majorHAnsi" w:eastAsiaTheme="majorEastAsia" w:hAnsiTheme="majorHAnsi" w:cstheme="majorBidi"/>
      <w:spacing w:val="-10"/>
      <w:kern w:val="28"/>
      <w:sz w:val="56"/>
      <w:szCs w:val="71"/>
      <w:lang w:val="en-US" w:bidi="bn-BD"/>
    </w:rPr>
  </w:style>
  <w:style w:type="character" w:customStyle="1" w:styleId="Heading4Char">
    <w:name w:val="Heading 4 Char"/>
    <w:basedOn w:val="DefaultParagraphFont"/>
    <w:link w:val="Heading4"/>
    <w:uiPriority w:val="9"/>
    <w:rsid w:val="00854E1F"/>
    <w:rPr>
      <w:rFonts w:ascii="Times New Roman" w:eastAsiaTheme="majorEastAsia" w:hAnsi="Times New Roman" w:cstheme="majorBidi"/>
      <w:caps/>
      <w:sz w:val="24"/>
    </w:rPr>
  </w:style>
  <w:style w:type="paragraph" w:styleId="Subtitle">
    <w:name w:val="Subtitle"/>
    <w:basedOn w:val="Normal"/>
    <w:next w:val="Normal"/>
    <w:link w:val="SubtitleChar"/>
    <w:autoRedefine/>
    <w:uiPriority w:val="11"/>
    <w:qFormat/>
    <w:rsid w:val="00327317"/>
    <w:pPr>
      <w:numPr>
        <w:ilvl w:val="1"/>
      </w:numPr>
      <w:spacing w:before="120"/>
    </w:pPr>
    <w:rPr>
      <w:spacing w:val="15"/>
      <w:sz w:val="28"/>
      <w:lang w:val="en-GB"/>
    </w:rPr>
  </w:style>
  <w:style w:type="character" w:customStyle="1" w:styleId="SubtitleChar">
    <w:name w:val="Subtitle Char"/>
    <w:basedOn w:val="DefaultParagraphFont"/>
    <w:link w:val="Subtitle"/>
    <w:uiPriority w:val="11"/>
    <w:rsid w:val="00327317"/>
    <w:rPr>
      <w:rFonts w:ascii="Times New Roman" w:eastAsiaTheme="minorEastAsia" w:hAnsi="Times New Roman"/>
      <w:spacing w:val="15"/>
      <w:sz w:val="28"/>
    </w:rPr>
  </w:style>
  <w:style w:type="paragraph" w:styleId="TOCHeading">
    <w:name w:val="TOC Heading"/>
    <w:basedOn w:val="Heading1"/>
    <w:next w:val="Normal"/>
    <w:autoRedefine/>
    <w:uiPriority w:val="39"/>
    <w:unhideWhenUsed/>
    <w:qFormat/>
    <w:rsid w:val="007864CE"/>
    <w:pPr>
      <w:outlineLvl w:val="9"/>
    </w:pPr>
    <w:rPr>
      <w:bCs/>
      <w:lang w:val="en-US"/>
    </w:rPr>
  </w:style>
  <w:style w:type="paragraph" w:customStyle="1" w:styleId="Style1">
    <w:name w:val="Style1"/>
    <w:basedOn w:val="Heading1"/>
    <w:link w:val="Style1Char"/>
    <w:autoRedefine/>
    <w:qFormat/>
    <w:rsid w:val="007864CE"/>
    <w:rPr>
      <w:rFonts w:eastAsiaTheme="minorHAnsi" w:cstheme="minorBidi"/>
      <w:bCs/>
      <w:sz w:val="40"/>
    </w:rPr>
  </w:style>
  <w:style w:type="character" w:customStyle="1" w:styleId="Style1Char">
    <w:name w:val="Style1 Char"/>
    <w:basedOn w:val="Heading1Char"/>
    <w:link w:val="Style1"/>
    <w:rsid w:val="007864CE"/>
    <w:rPr>
      <w:rFonts w:ascii="Times New Roman" w:eastAsiaTheme="majorEastAsia" w:hAnsi="Times New Roman" w:cs="Arial"/>
      <w:b/>
      <w:bCs/>
      <w:caps w:val="0"/>
      <w:noProof/>
      <w:color w:val="2E74B5" w:themeColor="accent1" w:themeShade="BF"/>
      <w:kern w:val="2"/>
      <w:sz w:val="40"/>
      <w:szCs w:val="40"/>
      <w:lang w:eastAsia="zh-CN" w:bidi="hi-IN"/>
    </w:rPr>
  </w:style>
  <w:style w:type="paragraph" w:styleId="NoSpacing">
    <w:name w:val="No Spacing"/>
    <w:aliases w:val="Normal1"/>
    <w:basedOn w:val="Normal"/>
    <w:next w:val="Normal"/>
    <w:autoRedefine/>
    <w:uiPriority w:val="1"/>
    <w:qFormat/>
    <w:rsid w:val="00BA5BB5"/>
    <w:pPr>
      <w:spacing w:after="0"/>
    </w:pPr>
    <w:rPr>
      <w:rFonts w:cs="Times New Roman"/>
      <w:szCs w:val="24"/>
      <w:lang w:val="en-GB" w:eastAsia="en-ZA"/>
    </w:rPr>
  </w:style>
  <w:style w:type="paragraph" w:styleId="Caption">
    <w:name w:val="caption"/>
    <w:basedOn w:val="Normal"/>
    <w:next w:val="Normal"/>
    <w:uiPriority w:val="35"/>
    <w:unhideWhenUsed/>
    <w:qFormat/>
    <w:rsid w:val="00107E4E"/>
    <w:pPr>
      <w:spacing w:after="200" w:line="240" w:lineRule="auto"/>
    </w:pPr>
    <w:rPr>
      <w:i/>
      <w:iCs/>
      <w:color w:val="44546A" w:themeColor="text2"/>
      <w:sz w:val="18"/>
      <w:szCs w:val="18"/>
    </w:rPr>
  </w:style>
  <w:style w:type="paragraph" w:styleId="ListParagraph">
    <w:name w:val="List Paragraph"/>
    <w:basedOn w:val="Normal"/>
    <w:uiPriority w:val="34"/>
    <w:qFormat/>
    <w:rsid w:val="00BE049F"/>
    <w:pPr>
      <w:ind w:left="720"/>
      <w:contextualSpacing/>
    </w:pPr>
  </w:style>
  <w:style w:type="paragraph" w:styleId="Header">
    <w:name w:val="header"/>
    <w:basedOn w:val="Normal"/>
    <w:link w:val="HeaderChar"/>
    <w:uiPriority w:val="99"/>
    <w:unhideWhenUsed/>
    <w:rsid w:val="007007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0733"/>
    <w:rPr>
      <w:rFonts w:ascii="Times New Roman" w:eastAsiaTheme="minorEastAsia" w:hAnsi="Times New Roman"/>
      <w:sz w:val="24"/>
      <w:lang w:val="en-US"/>
    </w:rPr>
  </w:style>
  <w:style w:type="paragraph" w:styleId="Footer">
    <w:name w:val="footer"/>
    <w:basedOn w:val="Normal"/>
    <w:link w:val="FooterChar"/>
    <w:uiPriority w:val="99"/>
    <w:unhideWhenUsed/>
    <w:rsid w:val="007007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733"/>
    <w:rPr>
      <w:rFonts w:ascii="Times New Roman" w:eastAsiaTheme="minorEastAsia" w:hAnsi="Times New Roman"/>
      <w:sz w:val="24"/>
      <w:lang w:val="en-US"/>
    </w:rPr>
  </w:style>
  <w:style w:type="paragraph" w:styleId="TOC1">
    <w:name w:val="toc 1"/>
    <w:basedOn w:val="Normal"/>
    <w:next w:val="Normal"/>
    <w:autoRedefine/>
    <w:uiPriority w:val="39"/>
    <w:unhideWhenUsed/>
    <w:rsid w:val="00700733"/>
    <w:pPr>
      <w:spacing w:after="100"/>
    </w:pPr>
  </w:style>
  <w:style w:type="paragraph" w:styleId="TOC2">
    <w:name w:val="toc 2"/>
    <w:basedOn w:val="Normal"/>
    <w:next w:val="Normal"/>
    <w:autoRedefine/>
    <w:uiPriority w:val="39"/>
    <w:unhideWhenUsed/>
    <w:rsid w:val="00700733"/>
    <w:pPr>
      <w:spacing w:after="100"/>
      <w:ind w:left="240"/>
    </w:pPr>
  </w:style>
  <w:style w:type="character" w:styleId="Hyperlink">
    <w:name w:val="Hyperlink"/>
    <w:basedOn w:val="DefaultParagraphFont"/>
    <w:uiPriority w:val="99"/>
    <w:unhideWhenUsed/>
    <w:rsid w:val="00700733"/>
    <w:rPr>
      <w:color w:val="0563C1" w:themeColor="hyperlink"/>
      <w:u w:val="single"/>
    </w:rPr>
  </w:style>
  <w:style w:type="paragraph" w:styleId="TableofFigures">
    <w:name w:val="table of figures"/>
    <w:basedOn w:val="Normal"/>
    <w:next w:val="Normal"/>
    <w:uiPriority w:val="99"/>
    <w:unhideWhenUsed/>
    <w:rsid w:val="0070073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amrul%20Islam%20Sakib\Desktop\10.1080\07294360701494302"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file:///C:\Users\Kamrul%20Islam%20Sakib\Desktop\10.1177\160940691561804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CFDA5F-B350-41FE-9891-69C05E5B4CB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2227</Words>
  <Characters>12697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2022-09-04T20:19:00Z</dcterms:created>
  <dcterms:modified xsi:type="dcterms:W3CDTF">2022-09-04T20:19:00Z</dcterms:modified>
</cp:coreProperties>
</file>