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77801" w14:textId="77777777" w:rsidR="00AF0697" w:rsidRPr="00DD7F8A" w:rsidRDefault="00AF0697" w:rsidP="00604F5E">
      <w:pPr>
        <w:jc w:val="both"/>
        <w:rPr>
          <w:rFonts w:ascii="Arial" w:hAnsi="Arial" w:cs="Arial"/>
          <w:b/>
          <w:bCs/>
          <w:sz w:val="24"/>
          <w:szCs w:val="24"/>
        </w:rPr>
      </w:pPr>
    </w:p>
    <w:p w14:paraId="23E88CCA" w14:textId="77777777" w:rsidR="00506E40" w:rsidRPr="00DD7F8A" w:rsidRDefault="00506E40" w:rsidP="00604F5E">
      <w:pPr>
        <w:jc w:val="both"/>
        <w:rPr>
          <w:rFonts w:ascii="Arial" w:hAnsi="Arial" w:cs="Arial"/>
          <w:b/>
          <w:bCs/>
          <w:sz w:val="24"/>
          <w:szCs w:val="24"/>
        </w:rPr>
      </w:pPr>
    </w:p>
    <w:p w14:paraId="32EA26CC" w14:textId="77777777" w:rsidR="00506E40" w:rsidRPr="00DD7F8A" w:rsidRDefault="00506E40" w:rsidP="00604F5E">
      <w:pPr>
        <w:jc w:val="both"/>
        <w:rPr>
          <w:rFonts w:ascii="Arial" w:hAnsi="Arial" w:cs="Arial"/>
          <w:b/>
          <w:bCs/>
          <w:sz w:val="24"/>
          <w:szCs w:val="24"/>
        </w:rPr>
      </w:pPr>
    </w:p>
    <w:p w14:paraId="66F2582E" w14:textId="625797C4" w:rsidR="00AF0697" w:rsidRPr="00DD7F8A" w:rsidRDefault="00AF0697" w:rsidP="00AF0697">
      <w:pPr>
        <w:tabs>
          <w:tab w:val="left" w:pos="2080"/>
        </w:tabs>
        <w:jc w:val="both"/>
        <w:rPr>
          <w:rFonts w:ascii="Arial" w:hAnsi="Arial" w:cs="Arial"/>
          <w:b/>
          <w:bCs/>
          <w:sz w:val="24"/>
          <w:szCs w:val="24"/>
        </w:rPr>
      </w:pPr>
      <w:r w:rsidRPr="00DD7F8A">
        <w:rPr>
          <w:rFonts w:ascii="Arial" w:hAnsi="Arial" w:cs="Arial"/>
          <w:b/>
          <w:bCs/>
          <w:sz w:val="24"/>
          <w:szCs w:val="24"/>
        </w:rPr>
        <w:tab/>
      </w:r>
    </w:p>
    <w:p w14:paraId="4BB39249" w14:textId="77777777" w:rsidR="00AF0697" w:rsidRPr="00DD7F8A" w:rsidRDefault="00AF0697" w:rsidP="00AF0697">
      <w:pPr>
        <w:tabs>
          <w:tab w:val="left" w:pos="2080"/>
        </w:tabs>
        <w:jc w:val="both"/>
        <w:rPr>
          <w:rFonts w:ascii="Arial" w:hAnsi="Arial" w:cs="Arial"/>
          <w:b/>
          <w:bCs/>
          <w:sz w:val="24"/>
          <w:szCs w:val="24"/>
        </w:rPr>
      </w:pPr>
    </w:p>
    <w:p w14:paraId="694978B3" w14:textId="77777777" w:rsidR="00AF0697" w:rsidRPr="00DD7F8A" w:rsidRDefault="00AF0697" w:rsidP="006745C3">
      <w:pPr>
        <w:tabs>
          <w:tab w:val="left" w:pos="2080"/>
        </w:tabs>
        <w:jc w:val="center"/>
        <w:rPr>
          <w:rFonts w:ascii="Arial" w:hAnsi="Arial" w:cs="Arial"/>
          <w:color w:val="7F7F7F" w:themeColor="text1" w:themeTint="80"/>
          <w:sz w:val="24"/>
          <w:szCs w:val="24"/>
        </w:rPr>
      </w:pPr>
    </w:p>
    <w:p w14:paraId="5FC028C1" w14:textId="40FE9DA9" w:rsidR="00AF0697" w:rsidRPr="00DD7F8A" w:rsidRDefault="00AF0697" w:rsidP="006745C3">
      <w:pPr>
        <w:tabs>
          <w:tab w:val="left" w:pos="2080"/>
        </w:tabs>
        <w:jc w:val="center"/>
        <w:rPr>
          <w:rFonts w:ascii="Arial" w:hAnsi="Arial" w:cs="Arial"/>
          <w:color w:val="7F7F7F" w:themeColor="text1" w:themeTint="80"/>
          <w:sz w:val="24"/>
          <w:szCs w:val="24"/>
        </w:rPr>
      </w:pPr>
      <w:r w:rsidRPr="00DD7F8A">
        <w:rPr>
          <w:rFonts w:ascii="Arial" w:hAnsi="Arial" w:cs="Arial"/>
          <w:color w:val="7F7F7F" w:themeColor="text1" w:themeTint="80"/>
          <w:sz w:val="24"/>
          <w:szCs w:val="24"/>
        </w:rPr>
        <w:t xml:space="preserve">Understanding </w:t>
      </w:r>
      <w:r w:rsidR="00B81281" w:rsidRPr="00DD7F8A">
        <w:rPr>
          <w:rFonts w:ascii="Arial" w:hAnsi="Arial" w:cs="Arial"/>
          <w:color w:val="7F7F7F" w:themeColor="text1" w:themeTint="80"/>
          <w:sz w:val="24"/>
          <w:szCs w:val="24"/>
        </w:rPr>
        <w:t xml:space="preserve">the </w:t>
      </w:r>
      <w:r w:rsidRPr="00DD7F8A">
        <w:rPr>
          <w:rFonts w:ascii="Arial" w:hAnsi="Arial" w:cs="Arial"/>
          <w:color w:val="7F7F7F" w:themeColor="text1" w:themeTint="80"/>
          <w:sz w:val="24"/>
          <w:szCs w:val="24"/>
        </w:rPr>
        <w:t xml:space="preserve">Business </w:t>
      </w:r>
      <w:r w:rsidR="00B108EB" w:rsidRPr="00DD7F8A">
        <w:rPr>
          <w:rFonts w:ascii="Arial" w:hAnsi="Arial" w:cs="Arial"/>
          <w:color w:val="7F7F7F" w:themeColor="text1" w:themeTint="80"/>
          <w:sz w:val="24"/>
          <w:szCs w:val="24"/>
        </w:rPr>
        <w:t>Context</w:t>
      </w:r>
    </w:p>
    <w:p w14:paraId="7E607C82" w14:textId="77777777" w:rsidR="003B5D9A" w:rsidRPr="00DD7F8A" w:rsidRDefault="003B5D9A" w:rsidP="006745C3">
      <w:pPr>
        <w:tabs>
          <w:tab w:val="left" w:pos="2080"/>
        </w:tabs>
        <w:jc w:val="center"/>
        <w:rPr>
          <w:rFonts w:ascii="Arial" w:hAnsi="Arial" w:cs="Arial"/>
          <w:color w:val="7F7F7F" w:themeColor="text1" w:themeTint="80"/>
          <w:sz w:val="24"/>
          <w:szCs w:val="24"/>
        </w:rPr>
      </w:pPr>
    </w:p>
    <w:p w14:paraId="346BB575" w14:textId="1C8B975F" w:rsidR="006745C3" w:rsidRPr="00DD7F8A" w:rsidRDefault="006745C3" w:rsidP="006745C3">
      <w:pPr>
        <w:tabs>
          <w:tab w:val="left" w:pos="2080"/>
        </w:tabs>
        <w:jc w:val="center"/>
        <w:rPr>
          <w:rFonts w:ascii="Arial" w:hAnsi="Arial" w:cs="Arial"/>
          <w:color w:val="7F7F7F" w:themeColor="text1" w:themeTint="80"/>
          <w:sz w:val="24"/>
          <w:szCs w:val="24"/>
        </w:rPr>
      </w:pPr>
      <w:r w:rsidRPr="00DD7F8A">
        <w:rPr>
          <w:rFonts w:ascii="Arial" w:hAnsi="Arial" w:cs="Arial"/>
          <w:color w:val="7F7F7F" w:themeColor="text1" w:themeTint="80"/>
          <w:sz w:val="24"/>
          <w:szCs w:val="24"/>
        </w:rPr>
        <w:t>Module Course: BMHR7012</w:t>
      </w:r>
    </w:p>
    <w:p w14:paraId="432B6541" w14:textId="77777777" w:rsidR="003B5D9A" w:rsidRPr="00DD7F8A" w:rsidRDefault="003B5D9A" w:rsidP="006745C3">
      <w:pPr>
        <w:tabs>
          <w:tab w:val="left" w:pos="2080"/>
        </w:tabs>
        <w:jc w:val="center"/>
        <w:rPr>
          <w:rFonts w:ascii="Arial" w:hAnsi="Arial" w:cs="Arial"/>
          <w:color w:val="7F7F7F" w:themeColor="text1" w:themeTint="80"/>
          <w:sz w:val="24"/>
          <w:szCs w:val="24"/>
        </w:rPr>
      </w:pPr>
    </w:p>
    <w:p w14:paraId="12E625F5" w14:textId="6FF87F00" w:rsidR="006745C3" w:rsidRPr="00DD7F8A" w:rsidRDefault="00B108EB" w:rsidP="006745C3">
      <w:pPr>
        <w:tabs>
          <w:tab w:val="left" w:pos="2080"/>
        </w:tabs>
        <w:jc w:val="center"/>
        <w:rPr>
          <w:rFonts w:ascii="Arial" w:hAnsi="Arial" w:cs="Arial"/>
          <w:color w:val="7F7F7F" w:themeColor="text1" w:themeTint="80"/>
          <w:sz w:val="24"/>
          <w:szCs w:val="24"/>
        </w:rPr>
      </w:pPr>
      <w:r w:rsidRPr="00DD7F8A">
        <w:rPr>
          <w:rFonts w:ascii="Arial" w:hAnsi="Arial" w:cs="Arial"/>
          <w:color w:val="7F7F7F" w:themeColor="text1" w:themeTint="80"/>
          <w:sz w:val="24"/>
          <w:szCs w:val="24"/>
        </w:rPr>
        <w:t>Nia Milcoy</w:t>
      </w:r>
    </w:p>
    <w:p w14:paraId="03193E72" w14:textId="55FDF568" w:rsidR="00B108EB" w:rsidRPr="00DD7F8A" w:rsidRDefault="005C03FD" w:rsidP="005C03FD">
      <w:pPr>
        <w:tabs>
          <w:tab w:val="left" w:pos="2080"/>
          <w:tab w:val="center" w:pos="4513"/>
          <w:tab w:val="left" w:pos="6290"/>
        </w:tabs>
        <w:rPr>
          <w:rFonts w:ascii="Arial" w:hAnsi="Arial" w:cs="Arial"/>
          <w:color w:val="7F7F7F" w:themeColor="text1" w:themeTint="80"/>
          <w:sz w:val="24"/>
          <w:szCs w:val="24"/>
        </w:rPr>
      </w:pPr>
      <w:r w:rsidRPr="00DD7F8A">
        <w:rPr>
          <w:rFonts w:ascii="Arial" w:hAnsi="Arial" w:cs="Arial"/>
          <w:color w:val="7F7F7F" w:themeColor="text1" w:themeTint="80"/>
          <w:sz w:val="24"/>
          <w:szCs w:val="24"/>
        </w:rPr>
        <w:tab/>
      </w:r>
      <w:r w:rsidRPr="00DD7F8A">
        <w:rPr>
          <w:rFonts w:ascii="Arial" w:hAnsi="Arial" w:cs="Arial"/>
          <w:color w:val="7F7F7F" w:themeColor="text1" w:themeTint="80"/>
          <w:sz w:val="24"/>
          <w:szCs w:val="24"/>
        </w:rPr>
        <w:tab/>
      </w:r>
      <w:r w:rsidR="006745C3" w:rsidRPr="00DD7F8A">
        <w:rPr>
          <w:rFonts w:ascii="Arial" w:hAnsi="Arial" w:cs="Arial"/>
          <w:color w:val="7F7F7F" w:themeColor="text1" w:themeTint="80"/>
          <w:sz w:val="24"/>
          <w:szCs w:val="24"/>
        </w:rPr>
        <w:t>0600733</w:t>
      </w:r>
      <w:r w:rsidRPr="00DD7F8A">
        <w:rPr>
          <w:rFonts w:ascii="Arial" w:hAnsi="Arial" w:cs="Arial"/>
          <w:color w:val="7F7F7F" w:themeColor="text1" w:themeTint="80"/>
          <w:sz w:val="24"/>
          <w:szCs w:val="24"/>
        </w:rPr>
        <w:tab/>
      </w:r>
    </w:p>
    <w:p w14:paraId="7C8F3A88" w14:textId="77777777" w:rsidR="005C03FD" w:rsidRPr="00DD7F8A" w:rsidRDefault="005C03FD" w:rsidP="005C03FD">
      <w:pPr>
        <w:tabs>
          <w:tab w:val="left" w:pos="2080"/>
          <w:tab w:val="center" w:pos="4513"/>
          <w:tab w:val="left" w:pos="6290"/>
        </w:tabs>
        <w:rPr>
          <w:rFonts w:ascii="Arial" w:hAnsi="Arial" w:cs="Arial"/>
          <w:color w:val="7F7F7F" w:themeColor="text1" w:themeTint="80"/>
          <w:sz w:val="24"/>
          <w:szCs w:val="24"/>
        </w:rPr>
      </w:pPr>
    </w:p>
    <w:p w14:paraId="143716AA" w14:textId="1884DE6F" w:rsidR="0042097B" w:rsidRPr="00DD7F8A" w:rsidRDefault="0042097B" w:rsidP="0042097B">
      <w:pPr>
        <w:tabs>
          <w:tab w:val="left" w:pos="2080"/>
          <w:tab w:val="center" w:pos="4513"/>
          <w:tab w:val="left" w:pos="6290"/>
        </w:tabs>
        <w:jc w:val="center"/>
        <w:rPr>
          <w:rFonts w:ascii="Arial" w:hAnsi="Arial" w:cs="Arial"/>
          <w:color w:val="7F7F7F" w:themeColor="text1" w:themeTint="80"/>
          <w:sz w:val="24"/>
          <w:szCs w:val="24"/>
        </w:rPr>
      </w:pPr>
      <w:r w:rsidRPr="00DD7F8A">
        <w:rPr>
          <w:rFonts w:ascii="Arial" w:hAnsi="Arial" w:cs="Arial"/>
          <w:color w:val="7F7F7F" w:themeColor="text1" w:themeTint="80"/>
          <w:sz w:val="24"/>
          <w:szCs w:val="24"/>
        </w:rPr>
        <w:t>Task 1</w:t>
      </w:r>
    </w:p>
    <w:p w14:paraId="77ABC87B" w14:textId="77777777" w:rsidR="0042097B" w:rsidRPr="00DD7F8A" w:rsidRDefault="0042097B" w:rsidP="005C03FD">
      <w:pPr>
        <w:tabs>
          <w:tab w:val="left" w:pos="2080"/>
          <w:tab w:val="center" w:pos="4513"/>
          <w:tab w:val="left" w:pos="6290"/>
        </w:tabs>
        <w:rPr>
          <w:rFonts w:ascii="Arial" w:hAnsi="Arial" w:cs="Arial"/>
          <w:color w:val="7F7F7F" w:themeColor="text1" w:themeTint="80"/>
          <w:sz w:val="24"/>
          <w:szCs w:val="24"/>
        </w:rPr>
      </w:pPr>
    </w:p>
    <w:p w14:paraId="38E5D0F5" w14:textId="77777777" w:rsidR="005C03FD" w:rsidRPr="00DD7F8A" w:rsidRDefault="005C03FD" w:rsidP="005C03FD">
      <w:pPr>
        <w:tabs>
          <w:tab w:val="left" w:pos="2080"/>
          <w:tab w:val="center" w:pos="4513"/>
          <w:tab w:val="left" w:pos="6290"/>
        </w:tabs>
        <w:rPr>
          <w:rFonts w:ascii="Arial" w:hAnsi="Arial" w:cs="Arial"/>
          <w:color w:val="7F7F7F" w:themeColor="text1" w:themeTint="80"/>
          <w:sz w:val="24"/>
          <w:szCs w:val="24"/>
        </w:rPr>
      </w:pPr>
    </w:p>
    <w:p w14:paraId="2038A5BC" w14:textId="77777777" w:rsidR="00B108EB" w:rsidRPr="00DD7F8A" w:rsidRDefault="00B108EB" w:rsidP="00AF0697">
      <w:pPr>
        <w:tabs>
          <w:tab w:val="left" w:pos="2080"/>
        </w:tabs>
        <w:jc w:val="both"/>
        <w:rPr>
          <w:rFonts w:ascii="Arial" w:hAnsi="Arial" w:cs="Arial"/>
          <w:b/>
          <w:bCs/>
          <w:sz w:val="24"/>
          <w:szCs w:val="24"/>
        </w:rPr>
      </w:pPr>
    </w:p>
    <w:p w14:paraId="164F9885" w14:textId="77777777" w:rsidR="00AF0697" w:rsidRPr="00DD7F8A" w:rsidRDefault="00AF0697" w:rsidP="00AF0697">
      <w:pPr>
        <w:tabs>
          <w:tab w:val="left" w:pos="2080"/>
        </w:tabs>
        <w:jc w:val="both"/>
        <w:rPr>
          <w:rFonts w:ascii="Arial" w:hAnsi="Arial" w:cs="Arial"/>
          <w:b/>
          <w:bCs/>
          <w:sz w:val="24"/>
          <w:szCs w:val="24"/>
        </w:rPr>
      </w:pPr>
    </w:p>
    <w:p w14:paraId="118489FC" w14:textId="2A0F602D" w:rsidR="00AF0697" w:rsidRPr="00DD7F8A" w:rsidRDefault="005C03FD" w:rsidP="005C03FD">
      <w:pPr>
        <w:tabs>
          <w:tab w:val="left" w:pos="5360"/>
        </w:tabs>
        <w:jc w:val="both"/>
        <w:rPr>
          <w:rFonts w:ascii="Arial" w:hAnsi="Arial" w:cs="Arial"/>
          <w:b/>
          <w:bCs/>
          <w:sz w:val="24"/>
          <w:szCs w:val="24"/>
        </w:rPr>
      </w:pPr>
      <w:r w:rsidRPr="00DD7F8A">
        <w:rPr>
          <w:rFonts w:ascii="Arial" w:hAnsi="Arial" w:cs="Arial"/>
          <w:b/>
          <w:bCs/>
          <w:sz w:val="24"/>
          <w:szCs w:val="24"/>
        </w:rPr>
        <w:tab/>
      </w:r>
    </w:p>
    <w:p w14:paraId="4EAB5C89" w14:textId="77777777" w:rsidR="00AF0697" w:rsidRPr="00DD7F8A" w:rsidRDefault="00AF0697" w:rsidP="00604F5E">
      <w:pPr>
        <w:jc w:val="both"/>
        <w:rPr>
          <w:rFonts w:ascii="Arial" w:hAnsi="Arial" w:cs="Arial"/>
          <w:b/>
          <w:bCs/>
          <w:sz w:val="24"/>
          <w:szCs w:val="24"/>
        </w:rPr>
      </w:pPr>
    </w:p>
    <w:p w14:paraId="580A555B" w14:textId="77777777" w:rsidR="00AF0697" w:rsidRPr="00DD7F8A" w:rsidRDefault="00AF0697" w:rsidP="00604F5E">
      <w:pPr>
        <w:jc w:val="both"/>
        <w:rPr>
          <w:rFonts w:ascii="Arial" w:hAnsi="Arial" w:cs="Arial"/>
          <w:b/>
          <w:bCs/>
          <w:sz w:val="24"/>
          <w:szCs w:val="24"/>
        </w:rPr>
      </w:pPr>
    </w:p>
    <w:p w14:paraId="1241621F" w14:textId="77777777" w:rsidR="00AF0697" w:rsidRPr="00DD7F8A" w:rsidRDefault="00AF0697" w:rsidP="00604F5E">
      <w:pPr>
        <w:jc w:val="both"/>
        <w:rPr>
          <w:rFonts w:ascii="Arial" w:hAnsi="Arial" w:cs="Arial"/>
          <w:b/>
          <w:bCs/>
          <w:sz w:val="24"/>
          <w:szCs w:val="24"/>
        </w:rPr>
      </w:pPr>
    </w:p>
    <w:p w14:paraId="3C5E4C86" w14:textId="77777777" w:rsidR="00AF0697" w:rsidRPr="00DD7F8A" w:rsidRDefault="00AF0697" w:rsidP="00604F5E">
      <w:pPr>
        <w:jc w:val="both"/>
        <w:rPr>
          <w:rFonts w:ascii="Arial" w:hAnsi="Arial" w:cs="Arial"/>
          <w:b/>
          <w:bCs/>
          <w:sz w:val="24"/>
          <w:szCs w:val="24"/>
        </w:rPr>
      </w:pPr>
    </w:p>
    <w:p w14:paraId="0E9A0422" w14:textId="77777777" w:rsidR="00AF0697" w:rsidRPr="00DD7F8A" w:rsidRDefault="00AF0697" w:rsidP="00604F5E">
      <w:pPr>
        <w:jc w:val="both"/>
        <w:rPr>
          <w:rFonts w:ascii="Arial" w:hAnsi="Arial" w:cs="Arial"/>
          <w:b/>
          <w:bCs/>
          <w:sz w:val="24"/>
          <w:szCs w:val="24"/>
        </w:rPr>
      </w:pPr>
    </w:p>
    <w:p w14:paraId="3EA622AB" w14:textId="77777777" w:rsidR="00AF0697" w:rsidRPr="00DD7F8A" w:rsidRDefault="00AF0697" w:rsidP="00604F5E">
      <w:pPr>
        <w:jc w:val="both"/>
        <w:rPr>
          <w:rFonts w:ascii="Arial" w:hAnsi="Arial" w:cs="Arial"/>
          <w:b/>
          <w:bCs/>
          <w:sz w:val="24"/>
          <w:szCs w:val="24"/>
        </w:rPr>
      </w:pPr>
    </w:p>
    <w:p w14:paraId="62E8DED5" w14:textId="77777777" w:rsidR="00AF0697" w:rsidRPr="00DD7F8A" w:rsidRDefault="00AF0697" w:rsidP="00604F5E">
      <w:pPr>
        <w:jc w:val="both"/>
        <w:rPr>
          <w:rFonts w:ascii="Arial" w:hAnsi="Arial" w:cs="Arial"/>
          <w:b/>
          <w:bCs/>
          <w:sz w:val="24"/>
          <w:szCs w:val="24"/>
        </w:rPr>
      </w:pPr>
    </w:p>
    <w:p w14:paraId="5802419E" w14:textId="77777777" w:rsidR="00AF0697" w:rsidRPr="00DD7F8A" w:rsidRDefault="00AF0697" w:rsidP="00604F5E">
      <w:pPr>
        <w:jc w:val="both"/>
        <w:rPr>
          <w:rFonts w:ascii="Arial" w:hAnsi="Arial" w:cs="Arial"/>
          <w:b/>
          <w:bCs/>
          <w:sz w:val="24"/>
          <w:szCs w:val="24"/>
        </w:rPr>
      </w:pPr>
    </w:p>
    <w:p w14:paraId="256F121C" w14:textId="77777777" w:rsidR="00AF0697" w:rsidRPr="00DD7F8A" w:rsidRDefault="00AF0697" w:rsidP="00604F5E">
      <w:pPr>
        <w:jc w:val="both"/>
        <w:rPr>
          <w:rFonts w:ascii="Arial" w:hAnsi="Arial" w:cs="Arial"/>
          <w:b/>
          <w:bCs/>
          <w:sz w:val="24"/>
          <w:szCs w:val="24"/>
        </w:rPr>
      </w:pPr>
    </w:p>
    <w:p w14:paraId="267772AE" w14:textId="77777777" w:rsidR="00A16544" w:rsidRPr="00DD7F8A" w:rsidRDefault="00A16544" w:rsidP="00604F5E">
      <w:pPr>
        <w:jc w:val="both"/>
        <w:rPr>
          <w:rFonts w:ascii="Arial" w:hAnsi="Arial" w:cs="Arial"/>
          <w:b/>
          <w:bCs/>
          <w:sz w:val="24"/>
          <w:szCs w:val="24"/>
        </w:rPr>
      </w:pPr>
    </w:p>
    <w:p w14:paraId="2D11C4E7" w14:textId="77777777" w:rsidR="00A16544" w:rsidRPr="00DD7F8A" w:rsidRDefault="00A16544" w:rsidP="00604F5E">
      <w:pPr>
        <w:jc w:val="both"/>
        <w:rPr>
          <w:rFonts w:ascii="Arial" w:hAnsi="Arial" w:cs="Arial"/>
          <w:b/>
          <w:bCs/>
          <w:sz w:val="24"/>
          <w:szCs w:val="24"/>
        </w:rPr>
      </w:pPr>
    </w:p>
    <w:p w14:paraId="3A4D30E1" w14:textId="77777777" w:rsidR="006E429B" w:rsidRPr="00DD7F8A" w:rsidRDefault="006E429B" w:rsidP="006E429B">
      <w:pPr>
        <w:jc w:val="both"/>
        <w:rPr>
          <w:rFonts w:ascii="Arial" w:hAnsi="Arial" w:cs="Arial"/>
          <w:b/>
          <w:bCs/>
          <w:sz w:val="24"/>
          <w:szCs w:val="24"/>
        </w:rPr>
      </w:pPr>
      <w:r w:rsidRPr="00DD7F8A">
        <w:rPr>
          <w:rFonts w:ascii="Arial" w:hAnsi="Arial" w:cs="Arial"/>
          <w:b/>
          <w:bCs/>
          <w:sz w:val="24"/>
          <w:szCs w:val="24"/>
        </w:rPr>
        <w:lastRenderedPageBreak/>
        <w:t>Executive Summary</w:t>
      </w:r>
    </w:p>
    <w:p w14:paraId="3E590CBE" w14:textId="77777777" w:rsidR="006E429B" w:rsidRPr="00DD7F8A" w:rsidRDefault="006E429B" w:rsidP="006E429B">
      <w:pPr>
        <w:jc w:val="both"/>
        <w:rPr>
          <w:rFonts w:ascii="Arial" w:hAnsi="Arial" w:cs="Arial"/>
          <w:sz w:val="24"/>
          <w:szCs w:val="24"/>
        </w:rPr>
      </w:pPr>
      <w:r w:rsidRPr="00DD7F8A">
        <w:rPr>
          <w:rFonts w:ascii="Arial" w:hAnsi="Arial" w:cs="Arial"/>
          <w:sz w:val="24"/>
          <w:szCs w:val="24"/>
        </w:rPr>
        <w:t>This report provides a critical analysis of the PESTLE framework for evaluating the external business environment and its relevance to strategic planning at Volac Whey Nutrition Limited (VWNL). It explores the applicability of PESTLE in understanding the managerial and operational landscape of VWNL, assessing its strengths and limitations in contemporary decision-making.</w:t>
      </w:r>
    </w:p>
    <w:p w14:paraId="794AA92A" w14:textId="12EAED68" w:rsidR="006E429B" w:rsidRPr="006C0D3D" w:rsidRDefault="006E429B" w:rsidP="006E429B">
      <w:pPr>
        <w:jc w:val="both"/>
        <w:rPr>
          <w:rFonts w:ascii="Arial" w:hAnsi="Arial" w:cs="Arial"/>
          <w:sz w:val="24"/>
          <w:szCs w:val="24"/>
        </w:rPr>
      </w:pPr>
      <w:r w:rsidRPr="00DD7F8A">
        <w:rPr>
          <w:rFonts w:ascii="Arial" w:hAnsi="Arial" w:cs="Arial"/>
          <w:sz w:val="24"/>
          <w:szCs w:val="24"/>
        </w:rPr>
        <w:t xml:space="preserve">Organisations today operate in an increasingly dynamic environment, influenced by a wide range of external </w:t>
      </w:r>
      <w:r w:rsidRPr="006C0D3D">
        <w:rPr>
          <w:rFonts w:ascii="Arial" w:hAnsi="Arial" w:cs="Arial"/>
          <w:sz w:val="24"/>
          <w:szCs w:val="24"/>
        </w:rPr>
        <w:t>factors that shape their strategic decisions. Traditional management techniques alone are no longer sufficient. To achieve success, businesses must adopt models that are sustainable, resilient, and collaborative. The PESTLE analysis serves as a valuable tool in helping organisations understand and respond to these external challenges</w:t>
      </w:r>
      <w:r w:rsidR="0049689F" w:rsidRPr="006C0D3D">
        <w:rPr>
          <w:rFonts w:ascii="Arial" w:hAnsi="Arial" w:cs="Arial"/>
          <w:sz w:val="24"/>
          <w:szCs w:val="24"/>
        </w:rPr>
        <w:t xml:space="preserve"> (Marmol, </w:t>
      </w:r>
      <w:r w:rsidR="0049689F" w:rsidRPr="006C0D3D">
        <w:rPr>
          <w:rFonts w:ascii="Arial" w:hAnsi="Arial" w:cs="Arial"/>
          <w:i/>
          <w:iCs/>
          <w:sz w:val="24"/>
          <w:szCs w:val="24"/>
        </w:rPr>
        <w:t>et al.</w:t>
      </w:r>
      <w:r w:rsidR="0049689F" w:rsidRPr="006C0D3D">
        <w:rPr>
          <w:rFonts w:ascii="Arial" w:hAnsi="Arial" w:cs="Arial"/>
          <w:sz w:val="24"/>
          <w:szCs w:val="24"/>
        </w:rPr>
        <w:t>, 2015</w:t>
      </w:r>
      <w:proofErr w:type="gramStart"/>
      <w:r w:rsidR="0049689F" w:rsidRPr="006C0D3D">
        <w:rPr>
          <w:rFonts w:ascii="Arial" w:hAnsi="Arial" w:cs="Arial"/>
          <w:sz w:val="24"/>
          <w:szCs w:val="24"/>
        </w:rPr>
        <w:t xml:space="preserve">) </w:t>
      </w:r>
      <w:r w:rsidRPr="006C0D3D">
        <w:rPr>
          <w:rFonts w:ascii="Arial" w:hAnsi="Arial" w:cs="Arial"/>
          <w:sz w:val="24"/>
          <w:szCs w:val="24"/>
        </w:rPr>
        <w:t>.</w:t>
      </w:r>
      <w:proofErr w:type="gramEnd"/>
    </w:p>
    <w:p w14:paraId="6391F6F1" w14:textId="17FE3791" w:rsidR="00AC1282" w:rsidRPr="00AC1282" w:rsidRDefault="006E429B" w:rsidP="00AC1282">
      <w:pPr>
        <w:jc w:val="both"/>
        <w:rPr>
          <w:rFonts w:ascii="Arial" w:hAnsi="Arial" w:cs="Arial"/>
          <w:sz w:val="24"/>
          <w:szCs w:val="24"/>
        </w:rPr>
      </w:pPr>
      <w:r w:rsidRPr="006C0D3D">
        <w:rPr>
          <w:rFonts w:ascii="Arial" w:hAnsi="Arial" w:cs="Arial"/>
          <w:sz w:val="24"/>
          <w:szCs w:val="24"/>
        </w:rPr>
        <w:t>This report examines three key PESTLE factors currently affecting VWNL: Political, Social, and Legal influences. The political landscape, including regulatory changes such as the Employment Rights Bill (House of Commons, 2024) and trade union recognition policies, is analysed for its impact on workforce relations and organisational stability. Social factors, particularly skills shortages and demographic shifts, are explored for their implications on talent acquisition and workforce planning</w:t>
      </w:r>
      <w:r w:rsidR="009F6771" w:rsidRPr="006C0D3D">
        <w:rPr>
          <w:rFonts w:ascii="Arial" w:hAnsi="Arial" w:cs="Arial"/>
          <w:sz w:val="24"/>
          <w:szCs w:val="24"/>
        </w:rPr>
        <w:t xml:space="preserve"> (</w:t>
      </w:r>
      <w:r w:rsidR="00AC1282" w:rsidRPr="00AC1282">
        <w:rPr>
          <w:rFonts w:ascii="Arial" w:hAnsi="Arial" w:cs="Arial"/>
          <w:sz w:val="24"/>
          <w:szCs w:val="24"/>
        </w:rPr>
        <w:t>Wang, Zhong, and Wei</w:t>
      </w:r>
      <w:r w:rsidR="00AC1282">
        <w:rPr>
          <w:rFonts w:ascii="Arial" w:hAnsi="Arial" w:cs="Arial"/>
          <w:sz w:val="24"/>
          <w:szCs w:val="24"/>
        </w:rPr>
        <w:t xml:space="preserve">, </w:t>
      </w:r>
      <w:r w:rsidR="00AC1282" w:rsidRPr="00AC1282">
        <w:rPr>
          <w:rFonts w:ascii="Arial" w:hAnsi="Arial" w:cs="Arial"/>
          <w:sz w:val="24"/>
          <w:szCs w:val="24"/>
        </w:rPr>
        <w:t>2024).</w:t>
      </w:r>
    </w:p>
    <w:p w14:paraId="704E8FE7" w14:textId="71BB63C6" w:rsidR="00146FEB" w:rsidRPr="006C0D3D" w:rsidRDefault="006E429B" w:rsidP="006E429B">
      <w:pPr>
        <w:jc w:val="both"/>
        <w:rPr>
          <w:rFonts w:ascii="Arial" w:hAnsi="Arial" w:cs="Arial"/>
          <w:sz w:val="24"/>
          <w:szCs w:val="24"/>
        </w:rPr>
      </w:pPr>
      <w:r w:rsidRPr="006C0D3D">
        <w:rPr>
          <w:rFonts w:ascii="Arial" w:hAnsi="Arial" w:cs="Arial"/>
          <w:sz w:val="24"/>
          <w:szCs w:val="24"/>
        </w:rPr>
        <w:t>The legal dimension addresses recent legislative changes around workplace issues, such as sexual harassment, underscoring the importance of proactive compliance and employee well-being initiatives</w:t>
      </w:r>
      <w:r w:rsidR="00CF2934" w:rsidRPr="006C0D3D">
        <w:rPr>
          <w:rFonts w:ascii="Arial" w:hAnsi="Arial" w:cs="Arial"/>
          <w:sz w:val="24"/>
          <w:szCs w:val="24"/>
        </w:rPr>
        <w:t xml:space="preserve"> (</w:t>
      </w:r>
      <w:proofErr w:type="spellStart"/>
      <w:r w:rsidR="00CF2934" w:rsidRPr="006C0D3D">
        <w:rPr>
          <w:rFonts w:ascii="Arial" w:hAnsi="Arial" w:cs="Arial"/>
          <w:sz w:val="24"/>
          <w:szCs w:val="24"/>
        </w:rPr>
        <w:t>Bressane</w:t>
      </w:r>
      <w:proofErr w:type="spellEnd"/>
      <w:r w:rsidR="00CF2934" w:rsidRPr="006C0D3D">
        <w:rPr>
          <w:rFonts w:ascii="Arial" w:hAnsi="Arial" w:cs="Arial"/>
          <w:sz w:val="24"/>
          <w:szCs w:val="24"/>
        </w:rPr>
        <w:t xml:space="preserve"> and de Castro, 2025).</w:t>
      </w:r>
      <w:r w:rsidR="00CF2934" w:rsidRPr="006C0D3D">
        <w:rPr>
          <w:rFonts w:ascii="Arial" w:hAnsi="Arial" w:cs="Arial"/>
          <w:b/>
          <w:bCs/>
          <w:sz w:val="24"/>
          <w:szCs w:val="24"/>
        </w:rPr>
        <w:t xml:space="preserve"> </w:t>
      </w:r>
      <w:r w:rsidR="00CF2934" w:rsidRPr="006C0D3D">
        <w:rPr>
          <w:rFonts w:ascii="Arial" w:hAnsi="Arial" w:cs="Arial"/>
          <w:sz w:val="24"/>
          <w:szCs w:val="24"/>
        </w:rPr>
        <w:t xml:space="preserve"> </w:t>
      </w:r>
    </w:p>
    <w:p w14:paraId="0A16C980" w14:textId="77777777" w:rsidR="00C102DC" w:rsidRPr="006C0D3D" w:rsidRDefault="00C102DC" w:rsidP="006E429B">
      <w:pPr>
        <w:jc w:val="both"/>
        <w:rPr>
          <w:rFonts w:ascii="Arial" w:hAnsi="Arial" w:cs="Arial"/>
          <w:sz w:val="24"/>
          <w:szCs w:val="24"/>
        </w:rPr>
      </w:pPr>
    </w:p>
    <w:p w14:paraId="3F8C91DA" w14:textId="70127F40" w:rsidR="006E429B" w:rsidRPr="006C0D3D" w:rsidRDefault="006E429B" w:rsidP="006E429B">
      <w:pPr>
        <w:jc w:val="both"/>
        <w:rPr>
          <w:rFonts w:ascii="Arial" w:hAnsi="Arial" w:cs="Arial"/>
          <w:sz w:val="24"/>
          <w:szCs w:val="24"/>
        </w:rPr>
      </w:pPr>
      <w:r w:rsidRPr="006C0D3D">
        <w:rPr>
          <w:rFonts w:ascii="Arial" w:hAnsi="Arial" w:cs="Arial"/>
          <w:sz w:val="24"/>
          <w:szCs w:val="24"/>
        </w:rPr>
        <w:t>While PESTLE offers valuable insights, its simplicity can limit its effectiveness by reducing complex situations into broad categories without considering internal factor</w:t>
      </w:r>
      <w:r w:rsidR="00AC1707" w:rsidRPr="006C0D3D">
        <w:rPr>
          <w:rFonts w:ascii="Arial" w:hAnsi="Arial" w:cs="Arial"/>
          <w:sz w:val="24"/>
          <w:szCs w:val="24"/>
        </w:rPr>
        <w:t xml:space="preserve">s </w:t>
      </w:r>
      <w:r w:rsidR="006C5707" w:rsidRPr="006C0D3D">
        <w:rPr>
          <w:rFonts w:ascii="Arial" w:hAnsi="Arial" w:cs="Arial"/>
          <w:sz w:val="24"/>
          <w:szCs w:val="24"/>
        </w:rPr>
        <w:t>(</w:t>
      </w:r>
      <w:proofErr w:type="spellStart"/>
      <w:r w:rsidR="006C5707" w:rsidRPr="006C0D3D">
        <w:rPr>
          <w:rFonts w:ascii="Arial" w:hAnsi="Arial" w:cs="Arial"/>
          <w:sz w:val="24"/>
          <w:szCs w:val="24"/>
        </w:rPr>
        <w:t>Zaurez</w:t>
      </w:r>
      <w:proofErr w:type="spellEnd"/>
      <w:r w:rsidR="006C5707" w:rsidRPr="006C0D3D">
        <w:rPr>
          <w:rFonts w:ascii="Arial" w:hAnsi="Arial" w:cs="Arial"/>
          <w:sz w:val="24"/>
          <w:szCs w:val="24"/>
        </w:rPr>
        <w:t xml:space="preserve"> Afshar, and Hussain Shah</w:t>
      </w:r>
      <w:r w:rsidR="002B4CF9" w:rsidRPr="006C0D3D">
        <w:rPr>
          <w:rFonts w:ascii="Arial" w:hAnsi="Arial" w:cs="Arial"/>
          <w:sz w:val="24"/>
          <w:szCs w:val="24"/>
        </w:rPr>
        <w:t xml:space="preserve">, </w:t>
      </w:r>
      <w:r w:rsidR="006C5707" w:rsidRPr="006C0D3D">
        <w:rPr>
          <w:rFonts w:ascii="Arial" w:hAnsi="Arial" w:cs="Arial"/>
          <w:sz w:val="24"/>
          <w:szCs w:val="24"/>
        </w:rPr>
        <w:t>2025</w:t>
      </w:r>
      <w:r w:rsidR="002B4CF9" w:rsidRPr="006C0D3D">
        <w:rPr>
          <w:rFonts w:ascii="Arial" w:hAnsi="Arial" w:cs="Arial"/>
          <w:sz w:val="24"/>
          <w:szCs w:val="24"/>
        </w:rPr>
        <w:t>)</w:t>
      </w:r>
      <w:r w:rsidRPr="006C0D3D">
        <w:rPr>
          <w:rFonts w:ascii="Arial" w:hAnsi="Arial" w:cs="Arial"/>
          <w:sz w:val="24"/>
          <w:szCs w:val="24"/>
        </w:rPr>
        <w:t>. To overcome this, organisations should integrate PESTLE with SWOT analysis, aligning external factors with internal strengths and weaknesses for a more comprehensive approach</w:t>
      </w:r>
      <w:r w:rsidR="008C391A" w:rsidRPr="006C0D3D">
        <w:rPr>
          <w:rFonts w:ascii="Arial" w:hAnsi="Arial" w:cs="Arial"/>
          <w:sz w:val="24"/>
          <w:szCs w:val="24"/>
        </w:rPr>
        <w:t xml:space="preserve"> (Kaur, Sudhakar, Mohamed, Cuce, and Barbulescu, 2025)</w:t>
      </w:r>
      <w:r w:rsidRPr="006C0D3D">
        <w:rPr>
          <w:rFonts w:ascii="Arial" w:hAnsi="Arial" w:cs="Arial"/>
          <w:sz w:val="24"/>
          <w:szCs w:val="24"/>
        </w:rPr>
        <w:t>.</w:t>
      </w:r>
    </w:p>
    <w:p w14:paraId="74138A67" w14:textId="521892BF" w:rsidR="006C5707" w:rsidRPr="006C0D3D" w:rsidRDefault="006C5707" w:rsidP="006E429B">
      <w:pPr>
        <w:jc w:val="both"/>
        <w:rPr>
          <w:rFonts w:ascii="Arial" w:hAnsi="Arial" w:cs="Arial"/>
          <w:sz w:val="24"/>
          <w:szCs w:val="24"/>
        </w:rPr>
      </w:pPr>
    </w:p>
    <w:p w14:paraId="0EC43E40" w14:textId="1AA0AAE7" w:rsidR="006E429B" w:rsidRPr="006C0D3D" w:rsidRDefault="006E429B" w:rsidP="006E429B">
      <w:pPr>
        <w:jc w:val="both"/>
        <w:rPr>
          <w:rFonts w:ascii="Arial" w:hAnsi="Arial" w:cs="Arial"/>
          <w:sz w:val="24"/>
          <w:szCs w:val="24"/>
        </w:rPr>
      </w:pPr>
      <w:r w:rsidRPr="006C0D3D">
        <w:rPr>
          <w:rFonts w:ascii="Arial" w:hAnsi="Arial" w:cs="Arial"/>
          <w:sz w:val="24"/>
          <w:szCs w:val="24"/>
        </w:rPr>
        <w:t>The report concludes with strategic recommendations designed to mitigate risks and capitalise on opportunities. These recommendations focus on policy adaptation, investment in workforce development, and compliance with evolving legal frameworks. A cost-benefit analysis is included to ensure a balanced approach to risk management and growth</w:t>
      </w:r>
      <w:r w:rsidR="008A3433" w:rsidRPr="006C0D3D">
        <w:rPr>
          <w:rFonts w:ascii="Arial" w:hAnsi="Arial" w:cs="Arial"/>
          <w:sz w:val="24"/>
          <w:szCs w:val="24"/>
        </w:rPr>
        <w:t xml:space="preserve"> (</w:t>
      </w:r>
      <w:proofErr w:type="spellStart"/>
      <w:r w:rsidR="008A3433" w:rsidRPr="006C0D3D">
        <w:rPr>
          <w:rFonts w:ascii="Arial" w:hAnsi="Arial" w:cs="Arial"/>
          <w:sz w:val="24"/>
          <w:szCs w:val="24"/>
        </w:rPr>
        <w:t>Bąk</w:t>
      </w:r>
      <w:proofErr w:type="spellEnd"/>
      <w:r w:rsidR="008A3433" w:rsidRPr="006C0D3D">
        <w:rPr>
          <w:rFonts w:ascii="Arial" w:hAnsi="Arial" w:cs="Arial"/>
          <w:sz w:val="24"/>
          <w:szCs w:val="24"/>
        </w:rPr>
        <w:t xml:space="preserve"> and Jedynak, 2023).</w:t>
      </w:r>
    </w:p>
    <w:p w14:paraId="1994DFDD" w14:textId="77777777" w:rsidR="006E429B" w:rsidRPr="006C0D3D" w:rsidRDefault="006E429B" w:rsidP="006E429B">
      <w:pPr>
        <w:jc w:val="both"/>
        <w:rPr>
          <w:rFonts w:ascii="Arial" w:hAnsi="Arial" w:cs="Arial"/>
          <w:sz w:val="24"/>
          <w:szCs w:val="24"/>
        </w:rPr>
      </w:pPr>
      <w:r w:rsidRPr="006C0D3D">
        <w:rPr>
          <w:rFonts w:ascii="Arial" w:hAnsi="Arial" w:cs="Arial"/>
          <w:sz w:val="24"/>
          <w:szCs w:val="24"/>
        </w:rPr>
        <w:t>By incorporating PESTLE insights into its corporate and people management strategies, VWNL can proactively adapt to change, build resilience, and seize growth opportunities. This dual approach will help VWNL remain agile in a competitive and ever-changing business environment.</w:t>
      </w:r>
    </w:p>
    <w:p w14:paraId="3108ABAD" w14:textId="77777777" w:rsidR="007E0321" w:rsidRDefault="007E0321" w:rsidP="00846FDA">
      <w:pPr>
        <w:jc w:val="both"/>
        <w:rPr>
          <w:rFonts w:ascii="Arial" w:hAnsi="Arial" w:cs="Arial"/>
          <w:b/>
          <w:bCs/>
          <w:sz w:val="24"/>
          <w:szCs w:val="24"/>
        </w:rPr>
      </w:pPr>
    </w:p>
    <w:p w14:paraId="34A5C300" w14:textId="77777777" w:rsidR="007E0321" w:rsidRDefault="007E0321" w:rsidP="00846FDA">
      <w:pPr>
        <w:jc w:val="both"/>
        <w:rPr>
          <w:rFonts w:ascii="Arial" w:hAnsi="Arial" w:cs="Arial"/>
          <w:b/>
          <w:bCs/>
          <w:sz w:val="24"/>
          <w:szCs w:val="24"/>
        </w:rPr>
      </w:pPr>
    </w:p>
    <w:p w14:paraId="005E87D8" w14:textId="34AEE577" w:rsidR="00846FDA" w:rsidRPr="006C0D3D" w:rsidRDefault="00846FDA" w:rsidP="00846FDA">
      <w:pPr>
        <w:jc w:val="both"/>
        <w:rPr>
          <w:rFonts w:ascii="Arial" w:hAnsi="Arial" w:cs="Arial"/>
          <w:sz w:val="24"/>
          <w:szCs w:val="24"/>
        </w:rPr>
      </w:pPr>
      <w:r w:rsidRPr="006C0D3D">
        <w:rPr>
          <w:rFonts w:ascii="Arial" w:hAnsi="Arial" w:cs="Arial"/>
          <w:b/>
          <w:bCs/>
          <w:sz w:val="24"/>
          <w:szCs w:val="24"/>
        </w:rPr>
        <w:lastRenderedPageBreak/>
        <w:t>Content:</w:t>
      </w:r>
      <w:r w:rsidRPr="006C0D3D">
        <w:rPr>
          <w:rFonts w:ascii="Arial" w:hAnsi="Arial" w:cs="Arial"/>
          <w:sz w:val="24"/>
          <w:szCs w:val="24"/>
        </w:rPr>
        <w:t> </w:t>
      </w:r>
    </w:p>
    <w:p w14:paraId="458E2590" w14:textId="29BF6651" w:rsidR="00846FDA" w:rsidRPr="006C0D3D" w:rsidRDefault="00AF4C9D" w:rsidP="00846FDA">
      <w:pPr>
        <w:pStyle w:val="ListParagraph"/>
        <w:numPr>
          <w:ilvl w:val="1"/>
          <w:numId w:val="9"/>
        </w:numPr>
        <w:jc w:val="both"/>
        <w:rPr>
          <w:rFonts w:ascii="Arial" w:hAnsi="Arial" w:cs="Arial"/>
          <w:sz w:val="24"/>
          <w:szCs w:val="24"/>
        </w:rPr>
      </w:pPr>
      <w:r w:rsidRPr="006C0D3D">
        <w:rPr>
          <w:rFonts w:ascii="Arial" w:hAnsi="Arial" w:cs="Arial"/>
          <w:sz w:val="24"/>
          <w:szCs w:val="24"/>
        </w:rPr>
        <w:t xml:space="preserve">      </w:t>
      </w:r>
      <w:r w:rsidR="00846FDA" w:rsidRPr="006C0D3D">
        <w:rPr>
          <w:rFonts w:ascii="Arial" w:hAnsi="Arial" w:cs="Arial"/>
          <w:sz w:val="24"/>
          <w:szCs w:val="24"/>
        </w:rPr>
        <w:t xml:space="preserve">Introduction </w:t>
      </w:r>
    </w:p>
    <w:p w14:paraId="7943D2B6" w14:textId="2E7D80B6" w:rsidR="00846FDA" w:rsidRPr="006C0D3D" w:rsidRDefault="00AF4C9D" w:rsidP="00846FDA">
      <w:pPr>
        <w:pStyle w:val="ListParagraph"/>
        <w:numPr>
          <w:ilvl w:val="1"/>
          <w:numId w:val="9"/>
        </w:numPr>
        <w:jc w:val="both"/>
        <w:rPr>
          <w:rFonts w:ascii="Arial" w:hAnsi="Arial" w:cs="Arial"/>
          <w:sz w:val="24"/>
          <w:szCs w:val="24"/>
        </w:rPr>
      </w:pPr>
      <w:r w:rsidRPr="006C0D3D">
        <w:rPr>
          <w:rFonts w:ascii="Arial" w:hAnsi="Arial" w:cs="Arial"/>
          <w:sz w:val="24"/>
          <w:szCs w:val="24"/>
        </w:rPr>
        <w:t xml:space="preserve">      </w:t>
      </w:r>
      <w:r w:rsidR="00846FDA" w:rsidRPr="006C0D3D">
        <w:rPr>
          <w:rFonts w:ascii="Arial" w:hAnsi="Arial" w:cs="Arial"/>
          <w:sz w:val="24"/>
          <w:szCs w:val="24"/>
        </w:rPr>
        <w:t>Overview of PESTLE Analysis</w:t>
      </w:r>
    </w:p>
    <w:p w14:paraId="39F790B2" w14:textId="778630EF" w:rsidR="00846FDA" w:rsidRPr="006C0D3D" w:rsidRDefault="00AF4C9D" w:rsidP="00846FDA">
      <w:pPr>
        <w:pStyle w:val="ListParagraph"/>
        <w:numPr>
          <w:ilvl w:val="1"/>
          <w:numId w:val="9"/>
        </w:numPr>
        <w:jc w:val="both"/>
        <w:rPr>
          <w:rFonts w:ascii="Arial" w:hAnsi="Arial" w:cs="Arial"/>
          <w:sz w:val="24"/>
          <w:szCs w:val="24"/>
        </w:rPr>
      </w:pPr>
      <w:r w:rsidRPr="006C0D3D">
        <w:rPr>
          <w:rFonts w:ascii="Arial" w:hAnsi="Arial" w:cs="Arial"/>
          <w:sz w:val="24"/>
          <w:szCs w:val="24"/>
        </w:rPr>
        <w:t xml:space="preserve">      </w:t>
      </w:r>
      <w:r w:rsidR="00846FDA" w:rsidRPr="006C0D3D">
        <w:rPr>
          <w:rFonts w:ascii="Arial" w:hAnsi="Arial" w:cs="Arial"/>
          <w:sz w:val="24"/>
          <w:szCs w:val="24"/>
        </w:rPr>
        <w:t xml:space="preserve">Social Factors </w:t>
      </w:r>
    </w:p>
    <w:p w14:paraId="6976CAD0" w14:textId="56C42040" w:rsidR="00846FDA" w:rsidRPr="006C0D3D" w:rsidRDefault="00AF4C9D" w:rsidP="00846FDA">
      <w:pPr>
        <w:pStyle w:val="ListParagraph"/>
        <w:numPr>
          <w:ilvl w:val="1"/>
          <w:numId w:val="9"/>
        </w:numPr>
        <w:jc w:val="both"/>
        <w:rPr>
          <w:rFonts w:ascii="Arial" w:hAnsi="Arial" w:cs="Arial"/>
          <w:sz w:val="24"/>
          <w:szCs w:val="24"/>
        </w:rPr>
      </w:pPr>
      <w:r w:rsidRPr="006C0D3D">
        <w:rPr>
          <w:rFonts w:ascii="Arial" w:hAnsi="Arial" w:cs="Arial"/>
          <w:sz w:val="24"/>
          <w:szCs w:val="24"/>
        </w:rPr>
        <w:t xml:space="preserve">      </w:t>
      </w:r>
      <w:r w:rsidR="00846FDA" w:rsidRPr="006C0D3D">
        <w:rPr>
          <w:rFonts w:ascii="Arial" w:hAnsi="Arial" w:cs="Arial"/>
          <w:sz w:val="24"/>
          <w:szCs w:val="24"/>
        </w:rPr>
        <w:t xml:space="preserve">Political factors </w:t>
      </w:r>
    </w:p>
    <w:p w14:paraId="3067A1A7" w14:textId="4ECECE61" w:rsidR="00493E0A" w:rsidRPr="006C0D3D" w:rsidRDefault="00AF4C9D" w:rsidP="00846FDA">
      <w:pPr>
        <w:pStyle w:val="ListParagraph"/>
        <w:numPr>
          <w:ilvl w:val="1"/>
          <w:numId w:val="9"/>
        </w:numPr>
        <w:jc w:val="both"/>
        <w:rPr>
          <w:rFonts w:ascii="Arial" w:hAnsi="Arial" w:cs="Arial"/>
          <w:sz w:val="24"/>
          <w:szCs w:val="24"/>
        </w:rPr>
      </w:pPr>
      <w:r w:rsidRPr="006C0D3D">
        <w:rPr>
          <w:rFonts w:ascii="Arial" w:hAnsi="Arial" w:cs="Arial"/>
          <w:sz w:val="24"/>
          <w:szCs w:val="24"/>
        </w:rPr>
        <w:t xml:space="preserve">      </w:t>
      </w:r>
      <w:r w:rsidR="00493E0A" w:rsidRPr="006C0D3D">
        <w:rPr>
          <w:rFonts w:ascii="Arial" w:hAnsi="Arial" w:cs="Arial"/>
          <w:sz w:val="24"/>
          <w:szCs w:val="24"/>
        </w:rPr>
        <w:t xml:space="preserve">Legal Factor </w:t>
      </w:r>
    </w:p>
    <w:p w14:paraId="0D4F78B7" w14:textId="5960211C" w:rsidR="00846FDA" w:rsidRPr="006C0D3D" w:rsidRDefault="00AF4C9D" w:rsidP="00846FDA">
      <w:pPr>
        <w:pStyle w:val="ListParagraph"/>
        <w:numPr>
          <w:ilvl w:val="1"/>
          <w:numId w:val="9"/>
        </w:numPr>
        <w:jc w:val="both"/>
        <w:rPr>
          <w:rFonts w:ascii="Arial" w:hAnsi="Arial" w:cs="Arial"/>
          <w:sz w:val="24"/>
          <w:szCs w:val="24"/>
        </w:rPr>
      </w:pPr>
      <w:r w:rsidRPr="006C0D3D">
        <w:rPr>
          <w:rFonts w:ascii="Arial" w:hAnsi="Arial" w:cs="Arial"/>
          <w:sz w:val="24"/>
          <w:szCs w:val="24"/>
        </w:rPr>
        <w:t xml:space="preserve">      </w:t>
      </w:r>
      <w:r w:rsidR="00846FDA" w:rsidRPr="006C0D3D">
        <w:rPr>
          <w:rFonts w:ascii="Arial" w:hAnsi="Arial" w:cs="Arial"/>
          <w:sz w:val="24"/>
          <w:szCs w:val="24"/>
        </w:rPr>
        <w:t xml:space="preserve">Conclusion </w:t>
      </w:r>
    </w:p>
    <w:p w14:paraId="3CD6AE37" w14:textId="2B43E48F" w:rsidR="00846FDA" w:rsidRPr="006C0D3D" w:rsidRDefault="00AF4C9D" w:rsidP="00846FDA">
      <w:pPr>
        <w:pStyle w:val="ListParagraph"/>
        <w:numPr>
          <w:ilvl w:val="1"/>
          <w:numId w:val="9"/>
        </w:numPr>
        <w:jc w:val="both"/>
        <w:rPr>
          <w:rFonts w:ascii="Arial" w:hAnsi="Arial" w:cs="Arial"/>
          <w:sz w:val="24"/>
          <w:szCs w:val="24"/>
        </w:rPr>
      </w:pPr>
      <w:r w:rsidRPr="006C0D3D">
        <w:rPr>
          <w:rFonts w:ascii="Arial" w:hAnsi="Arial" w:cs="Arial"/>
          <w:sz w:val="24"/>
          <w:szCs w:val="24"/>
        </w:rPr>
        <w:t xml:space="preserve">      </w:t>
      </w:r>
      <w:r w:rsidR="00846FDA" w:rsidRPr="006C0D3D">
        <w:rPr>
          <w:rFonts w:ascii="Arial" w:hAnsi="Arial" w:cs="Arial"/>
          <w:sz w:val="24"/>
          <w:szCs w:val="24"/>
        </w:rPr>
        <w:t>Recommendations</w:t>
      </w:r>
    </w:p>
    <w:p w14:paraId="12E6547E" w14:textId="77777777" w:rsidR="00846FDA" w:rsidRPr="006C0D3D" w:rsidRDefault="00846FDA" w:rsidP="00846FDA">
      <w:pPr>
        <w:pStyle w:val="ListParagraph"/>
        <w:numPr>
          <w:ilvl w:val="2"/>
          <w:numId w:val="9"/>
        </w:numPr>
        <w:jc w:val="both"/>
        <w:rPr>
          <w:rFonts w:ascii="Arial" w:hAnsi="Arial" w:cs="Arial"/>
          <w:sz w:val="24"/>
          <w:szCs w:val="24"/>
        </w:rPr>
      </w:pPr>
      <w:r w:rsidRPr="006C0D3D">
        <w:rPr>
          <w:rFonts w:ascii="Arial" w:hAnsi="Arial" w:cs="Arial"/>
          <w:sz w:val="24"/>
          <w:szCs w:val="24"/>
        </w:rPr>
        <w:t>Addressing Labour Shortages through Apprenticeship Expansion</w:t>
      </w:r>
    </w:p>
    <w:p w14:paraId="29441774" w14:textId="77777777" w:rsidR="00846FDA" w:rsidRPr="006C0D3D" w:rsidRDefault="00846FDA" w:rsidP="00846FDA">
      <w:pPr>
        <w:pStyle w:val="ListParagraph"/>
        <w:numPr>
          <w:ilvl w:val="2"/>
          <w:numId w:val="9"/>
        </w:numPr>
        <w:jc w:val="both"/>
        <w:rPr>
          <w:rFonts w:ascii="Arial" w:hAnsi="Arial" w:cs="Arial"/>
          <w:sz w:val="24"/>
          <w:szCs w:val="24"/>
        </w:rPr>
      </w:pPr>
      <w:r w:rsidRPr="006C0D3D">
        <w:rPr>
          <w:rFonts w:ascii="Arial" w:hAnsi="Arial" w:cs="Arial"/>
          <w:sz w:val="24"/>
          <w:szCs w:val="24"/>
        </w:rPr>
        <w:t>Strengthening Workforce Planning and Employee Retention</w:t>
      </w:r>
    </w:p>
    <w:p w14:paraId="34448107" w14:textId="77777777" w:rsidR="00846FDA" w:rsidRPr="006C0D3D" w:rsidRDefault="00846FDA" w:rsidP="00846FDA">
      <w:pPr>
        <w:pStyle w:val="ListParagraph"/>
        <w:numPr>
          <w:ilvl w:val="2"/>
          <w:numId w:val="9"/>
        </w:numPr>
        <w:jc w:val="both"/>
        <w:rPr>
          <w:rFonts w:ascii="Arial" w:hAnsi="Arial" w:cs="Arial"/>
          <w:sz w:val="24"/>
          <w:szCs w:val="24"/>
        </w:rPr>
      </w:pPr>
      <w:r w:rsidRPr="006C0D3D">
        <w:rPr>
          <w:rFonts w:ascii="Arial" w:hAnsi="Arial" w:cs="Arial"/>
          <w:sz w:val="24"/>
          <w:szCs w:val="24"/>
        </w:rPr>
        <w:t>Enhancing Compliance with Employment Rights and Trade Union Engagement</w:t>
      </w:r>
    </w:p>
    <w:p w14:paraId="4316B2C0" w14:textId="77777777" w:rsidR="00846FDA" w:rsidRPr="006C0D3D" w:rsidRDefault="00846FDA" w:rsidP="00846FDA">
      <w:pPr>
        <w:pStyle w:val="ListParagraph"/>
        <w:numPr>
          <w:ilvl w:val="2"/>
          <w:numId w:val="9"/>
        </w:numPr>
        <w:jc w:val="both"/>
        <w:rPr>
          <w:rFonts w:ascii="Arial" w:hAnsi="Arial" w:cs="Arial"/>
          <w:sz w:val="24"/>
          <w:szCs w:val="24"/>
        </w:rPr>
      </w:pPr>
      <w:r w:rsidRPr="006C0D3D">
        <w:rPr>
          <w:rFonts w:ascii="Arial" w:hAnsi="Arial" w:cs="Arial"/>
          <w:sz w:val="24"/>
          <w:szCs w:val="24"/>
        </w:rPr>
        <w:t>Improving Workplace Inclusivity and Preventing Sexual Harassment</w:t>
      </w:r>
    </w:p>
    <w:p w14:paraId="58D434FC" w14:textId="77777777" w:rsidR="00846FDA" w:rsidRPr="006C0D3D" w:rsidRDefault="00846FDA" w:rsidP="00846FDA">
      <w:pPr>
        <w:pStyle w:val="ListParagraph"/>
        <w:numPr>
          <w:ilvl w:val="2"/>
          <w:numId w:val="9"/>
        </w:numPr>
        <w:jc w:val="both"/>
        <w:rPr>
          <w:rFonts w:ascii="Arial" w:hAnsi="Arial" w:cs="Arial"/>
          <w:sz w:val="24"/>
          <w:szCs w:val="24"/>
        </w:rPr>
      </w:pPr>
      <w:r w:rsidRPr="006C0D3D">
        <w:rPr>
          <w:rFonts w:ascii="Arial" w:hAnsi="Arial" w:cs="Arial"/>
          <w:sz w:val="24"/>
          <w:szCs w:val="24"/>
        </w:rPr>
        <w:t>Leveraging Data Analytics for HR Decision-Making</w:t>
      </w:r>
    </w:p>
    <w:p w14:paraId="60017B17" w14:textId="77777777" w:rsidR="00846FDA" w:rsidRPr="006C0D3D" w:rsidRDefault="00846FDA" w:rsidP="00846FDA">
      <w:pPr>
        <w:pStyle w:val="ListParagraph"/>
        <w:numPr>
          <w:ilvl w:val="2"/>
          <w:numId w:val="9"/>
        </w:numPr>
        <w:jc w:val="both"/>
        <w:rPr>
          <w:rFonts w:ascii="Arial" w:hAnsi="Arial" w:cs="Arial"/>
          <w:sz w:val="24"/>
          <w:szCs w:val="24"/>
        </w:rPr>
      </w:pPr>
      <w:r w:rsidRPr="006C0D3D">
        <w:rPr>
          <w:rFonts w:ascii="Arial" w:hAnsi="Arial" w:cs="Arial"/>
          <w:sz w:val="24"/>
          <w:szCs w:val="24"/>
        </w:rPr>
        <w:t>Summary of Key Recommendations WITH Cost Breakdown</w:t>
      </w:r>
    </w:p>
    <w:p w14:paraId="33DC0F80" w14:textId="0861EFDB" w:rsidR="00846FDA" w:rsidRPr="006C0D3D" w:rsidRDefault="00AF4C9D" w:rsidP="00846FDA">
      <w:pPr>
        <w:pStyle w:val="ListParagraph"/>
        <w:numPr>
          <w:ilvl w:val="1"/>
          <w:numId w:val="9"/>
        </w:numPr>
        <w:jc w:val="both"/>
        <w:rPr>
          <w:rFonts w:ascii="Arial" w:hAnsi="Arial" w:cs="Arial"/>
          <w:sz w:val="24"/>
          <w:szCs w:val="24"/>
        </w:rPr>
      </w:pPr>
      <w:r w:rsidRPr="006C0D3D">
        <w:rPr>
          <w:rFonts w:ascii="Arial" w:hAnsi="Arial" w:cs="Arial"/>
          <w:sz w:val="24"/>
          <w:szCs w:val="24"/>
        </w:rPr>
        <w:t xml:space="preserve">      </w:t>
      </w:r>
      <w:r w:rsidR="00846FDA" w:rsidRPr="006C0D3D">
        <w:rPr>
          <w:rFonts w:ascii="Arial" w:hAnsi="Arial" w:cs="Arial"/>
          <w:sz w:val="24"/>
          <w:szCs w:val="24"/>
        </w:rPr>
        <w:t xml:space="preserve">Reference </w:t>
      </w:r>
    </w:p>
    <w:p w14:paraId="44663C40" w14:textId="77777777" w:rsidR="00EB3A48" w:rsidRPr="006C0D3D" w:rsidRDefault="00EB3A48" w:rsidP="00EB3A48">
      <w:pPr>
        <w:jc w:val="both"/>
        <w:rPr>
          <w:rFonts w:ascii="Arial" w:hAnsi="Arial" w:cs="Arial"/>
          <w:sz w:val="24"/>
          <w:szCs w:val="24"/>
        </w:rPr>
      </w:pPr>
    </w:p>
    <w:p w14:paraId="0E41BF78" w14:textId="77777777" w:rsidR="00D767E0" w:rsidRPr="006C0D3D" w:rsidRDefault="00D767E0" w:rsidP="00D767E0">
      <w:pPr>
        <w:jc w:val="both"/>
        <w:rPr>
          <w:rFonts w:ascii="Arial" w:hAnsi="Arial" w:cs="Arial"/>
          <w:sz w:val="24"/>
          <w:szCs w:val="24"/>
        </w:rPr>
      </w:pPr>
      <w:r w:rsidRPr="006C0D3D">
        <w:rPr>
          <w:rFonts w:ascii="Arial" w:hAnsi="Arial" w:cs="Arial"/>
          <w:b/>
          <w:bCs/>
          <w:sz w:val="24"/>
          <w:szCs w:val="24"/>
        </w:rPr>
        <w:t>1.1 Introduction</w:t>
      </w:r>
    </w:p>
    <w:p w14:paraId="334FE9BF" w14:textId="10F22946" w:rsidR="00D0264F" w:rsidRPr="006C0D3D" w:rsidRDefault="00AC06FA" w:rsidP="00D767E0">
      <w:pPr>
        <w:jc w:val="both"/>
        <w:rPr>
          <w:rFonts w:ascii="Arial" w:hAnsi="Arial" w:cs="Arial"/>
          <w:sz w:val="24"/>
          <w:szCs w:val="24"/>
        </w:rPr>
      </w:pPr>
      <w:r w:rsidRPr="006C0D3D">
        <w:rPr>
          <w:rFonts w:ascii="Arial" w:hAnsi="Arial" w:cs="Arial"/>
          <w:sz w:val="24"/>
          <w:szCs w:val="24"/>
        </w:rPr>
        <w:t>Volac Whey Nutrition Limited (VWNL) operates within a dynamic environment influenced by numerous external factors that shape its strategic management activities. In today’s rapidly evolving business landscape, adaptability is essential for maintaining competitiveness (Mason, 2007). Like many organisations, VWNL cannot rely solely on traditional management techniques, as the landscape is continuously changing due to factors such as demographic shifts, regulatory updates, and economic fluctuations (Chen, Xie &amp; Liu, 2021). Achieving success for VWNL requires a business model rooted in sustainability, resilience, and collaboration, as these elements enable the company to navigate environmental and economic uncertainties, mitigate risks associated with regulatory changes, and foster partnerships that drive innovation and operational efficiency. Tools like PESTLE analysis play a critical role in helping organisations identify these external factors, enabling proactive responses to both threats and opportunities (Tatjana, 2024).</w:t>
      </w:r>
    </w:p>
    <w:p w14:paraId="3E1D3583" w14:textId="03E2EAA2" w:rsidR="00D767E0" w:rsidRPr="006C0D3D" w:rsidRDefault="00D767E0" w:rsidP="00D767E0">
      <w:pPr>
        <w:jc w:val="both"/>
        <w:rPr>
          <w:rFonts w:ascii="Arial" w:hAnsi="Arial" w:cs="Arial"/>
          <w:sz w:val="24"/>
          <w:szCs w:val="24"/>
        </w:rPr>
      </w:pPr>
      <w:r w:rsidRPr="006C0D3D">
        <w:rPr>
          <w:rFonts w:ascii="Arial" w:hAnsi="Arial" w:cs="Arial"/>
          <w:b/>
          <w:bCs/>
          <w:sz w:val="24"/>
          <w:szCs w:val="24"/>
        </w:rPr>
        <w:t>1.2 Overview of PESTLE Analysis</w:t>
      </w:r>
    </w:p>
    <w:p w14:paraId="019AC666" w14:textId="77777777" w:rsidR="00D767E0" w:rsidRPr="006C0D3D" w:rsidRDefault="00D767E0" w:rsidP="00D767E0">
      <w:pPr>
        <w:jc w:val="both"/>
        <w:rPr>
          <w:rFonts w:ascii="Arial" w:hAnsi="Arial" w:cs="Arial"/>
          <w:sz w:val="24"/>
          <w:szCs w:val="24"/>
        </w:rPr>
      </w:pPr>
      <w:r w:rsidRPr="006C0D3D">
        <w:rPr>
          <w:rFonts w:ascii="Arial" w:hAnsi="Arial" w:cs="Arial"/>
          <w:sz w:val="24"/>
          <w:szCs w:val="24"/>
        </w:rPr>
        <w:t>PESTLE is a powerful tool for organisations like VWNL to identify external forces that impact their operations, providing early warnings of potential threats and opportunities (Rastogi and Trivedi, 2016). It allows businesses to gain insights into critical trends, such as regulatory changes or economic shifts, that might influence strategic decisions. However, the simplicity of the PESTLE model can sometimes be limiting, as it reduces complex situations into broad categories without considering internal factors (</w:t>
      </w:r>
      <w:proofErr w:type="spellStart"/>
      <w:r w:rsidRPr="006C0D3D">
        <w:rPr>
          <w:rFonts w:ascii="Arial" w:hAnsi="Arial" w:cs="Arial"/>
          <w:sz w:val="24"/>
          <w:szCs w:val="24"/>
        </w:rPr>
        <w:t>Amega</w:t>
      </w:r>
      <w:proofErr w:type="spellEnd"/>
      <w:r w:rsidRPr="006C0D3D">
        <w:rPr>
          <w:rFonts w:ascii="Arial" w:hAnsi="Arial" w:cs="Arial"/>
          <w:sz w:val="24"/>
          <w:szCs w:val="24"/>
        </w:rPr>
        <w:t xml:space="preserve"> et al., 2024; CIPD, 2024).</w:t>
      </w:r>
    </w:p>
    <w:p w14:paraId="29B9E86F" w14:textId="0785620F" w:rsidR="00D767E0" w:rsidRPr="006C0D3D" w:rsidRDefault="00D767E0" w:rsidP="00D767E0">
      <w:pPr>
        <w:jc w:val="both"/>
        <w:rPr>
          <w:rFonts w:ascii="Arial" w:hAnsi="Arial" w:cs="Arial"/>
          <w:sz w:val="24"/>
          <w:szCs w:val="24"/>
        </w:rPr>
      </w:pPr>
      <w:r w:rsidRPr="006C0D3D">
        <w:rPr>
          <w:rFonts w:ascii="Arial" w:hAnsi="Arial" w:cs="Arial"/>
          <w:sz w:val="24"/>
          <w:szCs w:val="24"/>
        </w:rPr>
        <w:t xml:space="preserve">To maximise the effectiveness of PESTLE, businesses must stay informed about external changes through government publications, industry reports, and periodic reviews. This information feeds into a SWOT analysis, refining strategic planning by linking external factors with organisational strengths and weaknesses (Kokemuller, 2019). SWOT, introduced in the 1960s, assesses both internal and external factors </w:t>
      </w:r>
      <w:r w:rsidRPr="006C0D3D">
        <w:rPr>
          <w:rFonts w:ascii="Arial" w:hAnsi="Arial" w:cs="Arial"/>
          <w:sz w:val="24"/>
          <w:szCs w:val="24"/>
        </w:rPr>
        <w:lastRenderedPageBreak/>
        <w:t xml:space="preserve">through four categories: strengths, weaknesses, opportunities, and threats (Learned et al., 1982; Lozano &amp; </w:t>
      </w:r>
      <w:proofErr w:type="spellStart"/>
      <w:r w:rsidRPr="006C0D3D">
        <w:rPr>
          <w:rFonts w:ascii="Arial" w:hAnsi="Arial" w:cs="Arial"/>
          <w:sz w:val="24"/>
          <w:szCs w:val="24"/>
        </w:rPr>
        <w:t>Vallés</w:t>
      </w:r>
      <w:proofErr w:type="spellEnd"/>
      <w:r w:rsidRPr="006C0D3D">
        <w:rPr>
          <w:rFonts w:ascii="Arial" w:hAnsi="Arial" w:cs="Arial"/>
          <w:sz w:val="24"/>
          <w:szCs w:val="24"/>
        </w:rPr>
        <w:t>, 2007). Combining SWOT with PESTLE analysis creates a more comprehensive framework, especially for complex scenarios that require in-depth evaluations (Hill &amp; Westbrook, 1997; Menon et al., 1999).</w:t>
      </w:r>
    </w:p>
    <w:p w14:paraId="5C16B8B3" w14:textId="77777777" w:rsidR="00D767E0" w:rsidRPr="006C0D3D" w:rsidRDefault="00D767E0" w:rsidP="00D767E0">
      <w:pPr>
        <w:jc w:val="both"/>
        <w:rPr>
          <w:rFonts w:ascii="Arial" w:hAnsi="Arial" w:cs="Arial"/>
          <w:sz w:val="24"/>
          <w:szCs w:val="24"/>
        </w:rPr>
      </w:pPr>
      <w:r w:rsidRPr="006C0D3D">
        <w:rPr>
          <w:rFonts w:ascii="Arial" w:hAnsi="Arial" w:cs="Arial"/>
          <w:sz w:val="24"/>
          <w:szCs w:val="24"/>
        </w:rPr>
        <w:t>While SWOT focuses on internal capabilities, PESTLE categorises external factors into six dimensions: Political, Economic, Social, Technological, Legal, and Environmental. These tools work together to help VWNL align its internal strengths with external challenges (Madureira et al., 2024). By adopting this integrated approach, VWNL can better account for uncertainties in the market while leveraging its internal strengths to capitalise on opportunities (</w:t>
      </w:r>
      <w:proofErr w:type="spellStart"/>
      <w:r w:rsidRPr="006C0D3D">
        <w:rPr>
          <w:rFonts w:ascii="Arial" w:hAnsi="Arial" w:cs="Arial"/>
          <w:sz w:val="24"/>
          <w:szCs w:val="24"/>
        </w:rPr>
        <w:t>Srdjevic</w:t>
      </w:r>
      <w:proofErr w:type="spellEnd"/>
      <w:r w:rsidRPr="006C0D3D">
        <w:rPr>
          <w:rFonts w:ascii="Arial" w:hAnsi="Arial" w:cs="Arial"/>
          <w:sz w:val="24"/>
          <w:szCs w:val="24"/>
        </w:rPr>
        <w:t xml:space="preserve"> et al., 2012).</w:t>
      </w:r>
    </w:p>
    <w:p w14:paraId="6EB89037" w14:textId="77777777" w:rsidR="00D767E0" w:rsidRPr="006C0D3D" w:rsidRDefault="00D767E0" w:rsidP="00D767E0">
      <w:pPr>
        <w:jc w:val="both"/>
        <w:rPr>
          <w:rFonts w:ascii="Arial" w:hAnsi="Arial" w:cs="Arial"/>
          <w:sz w:val="24"/>
          <w:szCs w:val="24"/>
        </w:rPr>
      </w:pPr>
      <w:r w:rsidRPr="006C0D3D">
        <w:rPr>
          <w:rFonts w:ascii="Arial" w:hAnsi="Arial" w:cs="Arial"/>
          <w:sz w:val="24"/>
          <w:szCs w:val="24"/>
        </w:rPr>
        <w:t>Defining the scenario under review is key to applying the PESTLE framework effectively. Whether evaluating a potential investment, exploring market opportunities, or adapting to regulatory changes, businesses must tailor their analysis to the relevant external influences (Carruthers, 2009). For example, sustainability and globalisation are emerging concerns that necessitate continuous refinement of PESTLE analysis to ensure its ongoing effectiveness (Taylor &amp; Perkins, 2021; Brandl, Chore &amp; Junker, 2024).</w:t>
      </w:r>
    </w:p>
    <w:p w14:paraId="398186C4" w14:textId="52C1886A" w:rsidR="00D767E0" w:rsidRPr="006C0D3D" w:rsidRDefault="00D767E0" w:rsidP="00D767E0">
      <w:pPr>
        <w:jc w:val="both"/>
        <w:rPr>
          <w:rFonts w:ascii="Arial" w:hAnsi="Arial" w:cs="Arial"/>
          <w:sz w:val="24"/>
          <w:szCs w:val="24"/>
        </w:rPr>
      </w:pPr>
      <w:r w:rsidRPr="006C0D3D">
        <w:rPr>
          <w:rFonts w:ascii="Arial" w:hAnsi="Arial" w:cs="Arial"/>
          <w:sz w:val="24"/>
          <w:szCs w:val="24"/>
        </w:rPr>
        <w:t xml:space="preserve">Helm (2014) argued that PESTLE supports strategic thinking by helping organisations like VWNL evaluate their current conditions and develop forward-looking strategies. The strength of this combined approach lies in its ability to balance internal considerations with external complexities, providing actionable insights for sustainable growth. It enables businesses to identify opportunities for innovation while mitigating risks associated with external disruptions (Sun, </w:t>
      </w:r>
      <w:r w:rsidR="006E21C7" w:rsidRPr="006C0D3D">
        <w:rPr>
          <w:rFonts w:ascii="Arial" w:hAnsi="Arial" w:cs="Arial"/>
          <w:sz w:val="24"/>
          <w:szCs w:val="24"/>
        </w:rPr>
        <w:t>et al.,</w:t>
      </w:r>
      <w:r w:rsidRPr="006C0D3D">
        <w:rPr>
          <w:rFonts w:ascii="Arial" w:hAnsi="Arial" w:cs="Arial"/>
          <w:sz w:val="24"/>
          <w:szCs w:val="24"/>
        </w:rPr>
        <w:t xml:space="preserve"> 2024).</w:t>
      </w:r>
    </w:p>
    <w:p w14:paraId="391BDF8D" w14:textId="77777777" w:rsidR="00D767E0" w:rsidRPr="006C0D3D" w:rsidRDefault="00D767E0" w:rsidP="00D767E0">
      <w:pPr>
        <w:jc w:val="both"/>
        <w:rPr>
          <w:rFonts w:ascii="Arial" w:hAnsi="Arial" w:cs="Arial"/>
          <w:sz w:val="24"/>
          <w:szCs w:val="24"/>
        </w:rPr>
      </w:pPr>
      <w:r w:rsidRPr="006C0D3D">
        <w:rPr>
          <w:rFonts w:ascii="Arial" w:hAnsi="Arial" w:cs="Arial"/>
          <w:sz w:val="24"/>
          <w:szCs w:val="24"/>
        </w:rPr>
        <w:t>By adopting PESTLE analysis and integrating it with internal methods like SWOT, organisations such as VWNL can proactively adapt to change, strengthen resilience, and seize growth opportunities. This dual approach not only supports strategic planning but also ensures that businesses remain agile in a competitive and ever-changing environment (Carreño, 2024).</w:t>
      </w:r>
    </w:p>
    <w:p w14:paraId="613933F1" w14:textId="77777777" w:rsidR="00F35E6E" w:rsidRPr="006C0D3D" w:rsidRDefault="00F35E6E" w:rsidP="00F35E6E">
      <w:pPr>
        <w:jc w:val="both"/>
        <w:rPr>
          <w:rFonts w:ascii="Arial" w:hAnsi="Arial" w:cs="Arial"/>
          <w:b/>
          <w:bCs/>
          <w:sz w:val="24"/>
          <w:szCs w:val="24"/>
        </w:rPr>
      </w:pPr>
      <w:r w:rsidRPr="006C0D3D">
        <w:rPr>
          <w:rFonts w:ascii="Arial" w:hAnsi="Arial" w:cs="Arial"/>
          <w:b/>
          <w:bCs/>
          <w:sz w:val="24"/>
          <w:szCs w:val="24"/>
        </w:rPr>
        <w:t>1.3 Social Factors</w:t>
      </w:r>
    </w:p>
    <w:p w14:paraId="6A8A96BD"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The social dimension of the PESTLE analysis is central to addressing contemporary organisational challenges, particularly in recruitment, talent management, and workforce planning. A significant issue facing UK industries, including VWNL, is the growing skills gap. Davies (2021) highlights that industries face a widening skills gap, exacerbated by evolving educational paths and job roles. This is particularly concerning for VWNL, which relies on skilled workers in specialised fields like whey protein production. The company must adopt a more proactive approach to recruitment and workforce development to address this challenge.</w:t>
      </w:r>
    </w:p>
    <w:p w14:paraId="61C5C9F8"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 xml:space="preserve">Census data from 2021 shows a 3.5 million population increase in England and Wales, but areas like Ceredigion saw a 5.8% decline (ONS, 2023), creating regional imbalances in workforce availability. For VWNL, this demographic shift means that relying on local talent alone is insufficient. The company must look to broader recruitment strategies, such as attracting talent from other regions or industries, and </w:t>
      </w:r>
      <w:r w:rsidRPr="006C0D3D">
        <w:rPr>
          <w:rFonts w:ascii="Arial" w:hAnsi="Arial" w:cs="Arial"/>
          <w:sz w:val="24"/>
          <w:szCs w:val="24"/>
        </w:rPr>
        <w:lastRenderedPageBreak/>
        <w:t>investing in training programmes that can develop non-specialised workers into highly skilled roles.</w:t>
      </w:r>
    </w:p>
    <w:p w14:paraId="7BE20BDA"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Chakraborty and Tripathi (2024) suggest that organisations can combat workforce challenges by focusing on continuous development and upskilling initiatives. However, this becomes difficult given the decline in workplace learning in the UK. Cronin-Golomb &amp; Bauer (2023) report that UK employees dedicated only 22% of their working hours to professional development in 2020, a significant decrease from 31% in 2004. This presents a broader societal issue that could hinder VWNL’s ability to close the skills gap. The company must critically consider how to foster a culture of learning within its workforce, promoting internal training programmes while balancing operational needs with long-term employee development.</w:t>
      </w:r>
    </w:p>
    <w:p w14:paraId="29EDA574"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In response to these challenges, VWNL might consider partnering with local educational institutions and offering apprenticeship programmes to train non-specialised talent. These collaborations can address local skill shortages while increasing retention in areas experiencing population decline (ONS, June 2022). However, this solution may not be sustainable long-term. Apprenticeships can offer short-term fixes, but VWNL must critically assess whether they are enough, or if broader talent development strategies, including global recruitment efforts, are needed to address systemic regional disparities and educational gaps.</w:t>
      </w:r>
    </w:p>
    <w:p w14:paraId="1CF12557" w14:textId="335736AF" w:rsidR="00F35E6E" w:rsidRPr="006C0D3D" w:rsidRDefault="00F35E6E" w:rsidP="00F35E6E">
      <w:pPr>
        <w:jc w:val="both"/>
        <w:rPr>
          <w:rFonts w:ascii="Arial" w:hAnsi="Arial" w:cs="Arial"/>
          <w:sz w:val="24"/>
          <w:szCs w:val="24"/>
        </w:rPr>
      </w:pPr>
      <w:r w:rsidRPr="006C0D3D">
        <w:rPr>
          <w:rFonts w:ascii="Arial" w:hAnsi="Arial" w:cs="Arial"/>
          <w:sz w:val="24"/>
          <w:szCs w:val="24"/>
        </w:rPr>
        <w:t xml:space="preserve">Apprenticeships are a cost-effective solution for skill shortages </w:t>
      </w:r>
      <w:proofErr w:type="gramStart"/>
      <w:r w:rsidRPr="006C0D3D">
        <w:rPr>
          <w:rFonts w:ascii="Arial" w:hAnsi="Arial" w:cs="Arial"/>
          <w:sz w:val="24"/>
          <w:szCs w:val="24"/>
        </w:rPr>
        <w:t>and also</w:t>
      </w:r>
      <w:proofErr w:type="gramEnd"/>
      <w:r w:rsidRPr="006C0D3D">
        <w:rPr>
          <w:rFonts w:ascii="Arial" w:hAnsi="Arial" w:cs="Arial"/>
          <w:sz w:val="24"/>
          <w:szCs w:val="24"/>
        </w:rPr>
        <w:t xml:space="preserve"> foster employee retention (James Relly &amp; Laczik, 2021). While these programmes integrate practical experience with formal qualifications, VWNL must evaluate their long-term effectiveness. Over-reliance on apprenticeship schemes could make the company vulnerable to disruptions if they fail to attract the right candidates or do</w:t>
      </w:r>
      <w:r w:rsidR="00394577" w:rsidRPr="006C0D3D">
        <w:rPr>
          <w:rFonts w:ascii="Arial" w:hAnsi="Arial" w:cs="Arial"/>
          <w:sz w:val="24"/>
          <w:szCs w:val="24"/>
        </w:rPr>
        <w:t xml:space="preserve"> </w:t>
      </w:r>
      <w:r w:rsidRPr="006C0D3D">
        <w:rPr>
          <w:rFonts w:ascii="Arial" w:hAnsi="Arial" w:cs="Arial"/>
          <w:sz w:val="24"/>
          <w:szCs w:val="24"/>
        </w:rPr>
        <w:t>n</w:t>
      </w:r>
      <w:r w:rsidR="00394577" w:rsidRPr="006C0D3D">
        <w:rPr>
          <w:rFonts w:ascii="Arial" w:hAnsi="Arial" w:cs="Arial"/>
          <w:sz w:val="24"/>
          <w:szCs w:val="24"/>
        </w:rPr>
        <w:t>o</w:t>
      </w:r>
      <w:r w:rsidRPr="006C0D3D">
        <w:rPr>
          <w:rFonts w:ascii="Arial" w:hAnsi="Arial" w:cs="Arial"/>
          <w:sz w:val="24"/>
          <w:szCs w:val="24"/>
        </w:rPr>
        <w:t>t align with future technological advancements.</w:t>
      </w:r>
    </w:p>
    <w:p w14:paraId="6A32380B" w14:textId="69C75B31" w:rsidR="00F35E6E" w:rsidRPr="006C0D3D" w:rsidRDefault="00F35E6E" w:rsidP="00F35E6E">
      <w:pPr>
        <w:jc w:val="both"/>
        <w:rPr>
          <w:rFonts w:ascii="Arial" w:hAnsi="Arial" w:cs="Arial"/>
          <w:sz w:val="24"/>
          <w:szCs w:val="24"/>
        </w:rPr>
      </w:pPr>
      <w:r w:rsidRPr="006C0D3D">
        <w:rPr>
          <w:rFonts w:ascii="Arial" w:hAnsi="Arial" w:cs="Arial"/>
          <w:sz w:val="24"/>
          <w:szCs w:val="24"/>
        </w:rPr>
        <w:t>A more holistic strategy would involve implementing a data-driven approach to workforce planning. By using HR analytics, VWNL can identify emerging talent pools and anticipate demographic shifts (Nuraini, 2024). This data can inform targeted recruitment strategies, such as offering relocation packages or flexible working arrangements to attract skilled professionals. However, VWNL must also recognise that data alone cannot replace the human factors that drive employee engagement. The company must ensure that data-driven strategies complement a human-centred approach that fosters an inclusive, positive work culture</w:t>
      </w:r>
      <w:r w:rsidR="002924C4" w:rsidRPr="006C0D3D">
        <w:rPr>
          <w:rFonts w:ascii="Arial" w:hAnsi="Arial" w:cs="Arial"/>
          <w:sz w:val="24"/>
          <w:szCs w:val="24"/>
        </w:rPr>
        <w:t xml:space="preserve"> ref</w:t>
      </w:r>
      <w:r w:rsidRPr="006C0D3D">
        <w:rPr>
          <w:rFonts w:ascii="Arial" w:hAnsi="Arial" w:cs="Arial"/>
          <w:sz w:val="24"/>
          <w:szCs w:val="24"/>
        </w:rPr>
        <w:t>.</w:t>
      </w:r>
    </w:p>
    <w:p w14:paraId="239CFC1A" w14:textId="337F9E5A" w:rsidR="00F35E6E" w:rsidRPr="006C0D3D" w:rsidRDefault="00F35E6E" w:rsidP="00F35E6E">
      <w:pPr>
        <w:jc w:val="both"/>
        <w:rPr>
          <w:rFonts w:ascii="Arial" w:hAnsi="Arial" w:cs="Arial"/>
          <w:sz w:val="24"/>
          <w:szCs w:val="24"/>
        </w:rPr>
      </w:pPr>
      <w:r w:rsidRPr="006C0D3D">
        <w:rPr>
          <w:rFonts w:ascii="Arial" w:hAnsi="Arial" w:cs="Arial"/>
          <w:sz w:val="24"/>
          <w:szCs w:val="24"/>
        </w:rPr>
        <w:t>With an aging workforce in areas like Wales, where over 21% of the population was aged 65 or older in 2021 (ONS, June 2022), VWNL faces a further challenge. The company must attract younger workers, particularly in sectors like manufacturing and science, which may seem less appealing to younger generations</w:t>
      </w:r>
      <w:r w:rsidR="00A0208C" w:rsidRPr="006C0D3D">
        <w:rPr>
          <w:rFonts w:ascii="Arial" w:hAnsi="Arial" w:cs="Arial"/>
          <w:sz w:val="24"/>
          <w:szCs w:val="24"/>
        </w:rPr>
        <w:t xml:space="preserve"> (The Royal Society, 2024)</w:t>
      </w:r>
      <w:r w:rsidRPr="006C0D3D">
        <w:rPr>
          <w:rFonts w:ascii="Arial" w:hAnsi="Arial" w:cs="Arial"/>
          <w:sz w:val="24"/>
          <w:szCs w:val="24"/>
        </w:rPr>
        <w:t>. Improving the sector’s image and offering career growth opportunities are essential steps for addressing this issue.</w:t>
      </w:r>
      <w:r w:rsidR="00A0208C" w:rsidRPr="006C0D3D">
        <w:rPr>
          <w:rFonts w:ascii="Arial" w:hAnsi="Arial" w:cs="Arial"/>
          <w:sz w:val="24"/>
          <w:szCs w:val="24"/>
        </w:rPr>
        <w:t xml:space="preserve"> </w:t>
      </w:r>
    </w:p>
    <w:p w14:paraId="58803FD2" w14:textId="59A2A62F" w:rsidR="00F35E6E" w:rsidRPr="006C0D3D" w:rsidRDefault="00F35E6E" w:rsidP="00F35E6E">
      <w:pPr>
        <w:jc w:val="both"/>
        <w:rPr>
          <w:rFonts w:ascii="Arial" w:hAnsi="Arial" w:cs="Arial"/>
          <w:sz w:val="24"/>
          <w:szCs w:val="24"/>
        </w:rPr>
      </w:pPr>
      <w:r w:rsidRPr="006C0D3D">
        <w:rPr>
          <w:rFonts w:ascii="Arial" w:hAnsi="Arial" w:cs="Arial"/>
          <w:sz w:val="24"/>
          <w:szCs w:val="24"/>
        </w:rPr>
        <w:t>To address workforce challenges, VWNL needs a multifaceted strategy that includes local collaboration, upskilling, and innovative recruitment solutions</w:t>
      </w:r>
      <w:r w:rsidR="000F6599" w:rsidRPr="006C0D3D">
        <w:rPr>
          <w:rFonts w:ascii="Arial" w:hAnsi="Arial" w:cs="Arial"/>
          <w:sz w:val="24"/>
          <w:szCs w:val="24"/>
        </w:rPr>
        <w:t xml:space="preserve"> (</w:t>
      </w:r>
      <w:hyperlink r:id="rId8" w:tooltip="Esther Asiedu" w:history="1">
        <w:r w:rsidR="000F6599" w:rsidRPr="00A315F7">
          <w:rPr>
            <w:rStyle w:val="Hyperlink"/>
            <w:rFonts w:ascii="Arial" w:hAnsi="Arial" w:cs="Arial"/>
            <w:color w:val="auto"/>
            <w:sz w:val="24"/>
            <w:szCs w:val="24"/>
            <w:u w:val="none"/>
          </w:rPr>
          <w:t>Asiedu</w:t>
        </w:r>
      </w:hyperlink>
      <w:r w:rsidR="000F6599" w:rsidRPr="00A315F7">
        <w:rPr>
          <w:rFonts w:ascii="Arial" w:hAnsi="Arial" w:cs="Arial"/>
          <w:sz w:val="24"/>
          <w:szCs w:val="24"/>
        </w:rPr>
        <w:t> and </w:t>
      </w:r>
      <w:proofErr w:type="spellStart"/>
      <w:r w:rsidR="000F6599">
        <w:fldChar w:fldCharType="begin"/>
      </w:r>
      <w:r w:rsidR="000F6599">
        <w:instrText>HYPERLINK "https://www.emerald.com/insight/search?q=Emmanuel%20Senior%20Tenakwah" \o "Emmanuel Senior Tenakwah"</w:instrText>
      </w:r>
      <w:r w:rsidR="000F6599">
        <w:fldChar w:fldCharType="separate"/>
      </w:r>
      <w:r w:rsidR="000F6599" w:rsidRPr="00A315F7">
        <w:rPr>
          <w:rStyle w:val="Hyperlink"/>
          <w:rFonts w:ascii="Arial" w:hAnsi="Arial" w:cs="Arial"/>
          <w:color w:val="auto"/>
          <w:sz w:val="24"/>
          <w:szCs w:val="24"/>
          <w:u w:val="none"/>
        </w:rPr>
        <w:t>Tenakwah</w:t>
      </w:r>
      <w:proofErr w:type="spellEnd"/>
      <w:r w:rsidR="000F6599" w:rsidRPr="00A315F7">
        <w:rPr>
          <w:rStyle w:val="Hyperlink"/>
          <w:rFonts w:ascii="Arial" w:hAnsi="Arial" w:cs="Arial"/>
          <w:color w:val="auto"/>
          <w:sz w:val="24"/>
          <w:szCs w:val="24"/>
          <w:u w:val="none"/>
        </w:rPr>
        <w:t xml:space="preserve">, </w:t>
      </w:r>
      <w:r w:rsidR="000F6599">
        <w:fldChar w:fldCharType="end"/>
      </w:r>
      <w:r w:rsidR="000F6599" w:rsidRPr="00A315F7">
        <w:rPr>
          <w:rFonts w:ascii="Arial" w:hAnsi="Arial" w:cs="Arial"/>
          <w:sz w:val="24"/>
          <w:szCs w:val="24"/>
        </w:rPr>
        <w:t>2025</w:t>
      </w:r>
      <w:r w:rsidR="000F6599" w:rsidRPr="006C0D3D">
        <w:rPr>
          <w:rFonts w:ascii="Arial" w:hAnsi="Arial" w:cs="Arial"/>
          <w:sz w:val="24"/>
          <w:szCs w:val="24"/>
        </w:rPr>
        <w:t>)</w:t>
      </w:r>
      <w:r w:rsidR="008A099C" w:rsidRPr="006C0D3D">
        <w:rPr>
          <w:rFonts w:ascii="Arial" w:hAnsi="Arial" w:cs="Arial"/>
          <w:sz w:val="24"/>
          <w:szCs w:val="24"/>
        </w:rPr>
        <w:t>.</w:t>
      </w:r>
      <w:r w:rsidRPr="006C0D3D">
        <w:rPr>
          <w:rFonts w:ascii="Arial" w:hAnsi="Arial" w:cs="Arial"/>
          <w:sz w:val="24"/>
          <w:szCs w:val="24"/>
        </w:rPr>
        <w:t xml:space="preserve"> While apprenticeships can provide short-term relief, VWNL must critically evaluate their sustainability in a rapidly changing labour market. </w:t>
      </w:r>
      <w:r w:rsidRPr="006C0D3D">
        <w:rPr>
          <w:rFonts w:ascii="Arial" w:hAnsi="Arial" w:cs="Arial"/>
          <w:sz w:val="24"/>
          <w:szCs w:val="24"/>
        </w:rPr>
        <w:lastRenderedPageBreak/>
        <w:t xml:space="preserve">The company must embrace data-driven </w:t>
      </w:r>
      <w:proofErr w:type="gramStart"/>
      <w:r w:rsidRPr="006C0D3D">
        <w:rPr>
          <w:rFonts w:ascii="Arial" w:hAnsi="Arial" w:cs="Arial"/>
          <w:sz w:val="24"/>
          <w:szCs w:val="24"/>
        </w:rPr>
        <w:t>insights, but</w:t>
      </w:r>
      <w:proofErr w:type="gramEnd"/>
      <w:r w:rsidRPr="006C0D3D">
        <w:rPr>
          <w:rFonts w:ascii="Arial" w:hAnsi="Arial" w:cs="Arial"/>
          <w:sz w:val="24"/>
          <w:szCs w:val="24"/>
        </w:rPr>
        <w:t xml:space="preserve"> also ensure that human factors are considered in its talent management approach. Adapting to demographic trends, fostering continuous learning, and considering global recruitment will help VWNL remain competitive in the long term.</w:t>
      </w:r>
      <w:r w:rsidR="00F82060" w:rsidRPr="006C0D3D">
        <w:rPr>
          <w:rFonts w:ascii="Arial" w:hAnsi="Arial" w:cs="Arial"/>
          <w:sz w:val="24"/>
          <w:szCs w:val="24"/>
        </w:rPr>
        <w:t xml:space="preserve"> </w:t>
      </w:r>
    </w:p>
    <w:p w14:paraId="4B1D34FA" w14:textId="77777777" w:rsidR="00F35E6E" w:rsidRPr="006C0D3D" w:rsidRDefault="00F35E6E" w:rsidP="00F35E6E">
      <w:pPr>
        <w:jc w:val="both"/>
        <w:rPr>
          <w:rFonts w:ascii="Arial" w:hAnsi="Arial" w:cs="Arial"/>
          <w:b/>
          <w:bCs/>
          <w:sz w:val="24"/>
          <w:szCs w:val="24"/>
        </w:rPr>
      </w:pPr>
      <w:r w:rsidRPr="006C0D3D">
        <w:rPr>
          <w:rFonts w:ascii="Arial" w:hAnsi="Arial" w:cs="Arial"/>
          <w:b/>
          <w:bCs/>
          <w:sz w:val="24"/>
          <w:szCs w:val="24"/>
        </w:rPr>
        <w:t>1.4 Political Factors</w:t>
      </w:r>
    </w:p>
    <w:p w14:paraId="3A8644EB" w14:textId="3D93C7A8" w:rsidR="00F35E6E" w:rsidRPr="006C0D3D" w:rsidRDefault="00F35E6E" w:rsidP="00F35E6E">
      <w:pPr>
        <w:jc w:val="both"/>
        <w:rPr>
          <w:rFonts w:ascii="Arial" w:hAnsi="Arial" w:cs="Arial"/>
          <w:sz w:val="24"/>
          <w:szCs w:val="24"/>
        </w:rPr>
      </w:pPr>
      <w:r w:rsidRPr="006C0D3D">
        <w:rPr>
          <w:rFonts w:ascii="Arial" w:hAnsi="Arial" w:cs="Arial"/>
          <w:sz w:val="24"/>
          <w:szCs w:val="24"/>
        </w:rPr>
        <w:t xml:space="preserve">The Employment Rights Bill (CIPD, 2024) significantly impacts organisations like VWNL by simplifying the trade union recognition process. The </w:t>
      </w:r>
      <w:r w:rsidR="00CF46CB" w:rsidRPr="006C0D3D">
        <w:rPr>
          <w:rFonts w:ascii="Arial" w:hAnsi="Arial" w:cs="Arial"/>
          <w:sz w:val="24"/>
          <w:szCs w:val="24"/>
        </w:rPr>
        <w:t>B</w:t>
      </w:r>
      <w:r w:rsidRPr="006C0D3D">
        <w:rPr>
          <w:rFonts w:ascii="Arial" w:hAnsi="Arial" w:cs="Arial"/>
          <w:sz w:val="24"/>
          <w:szCs w:val="24"/>
        </w:rPr>
        <w:t>ill removes the requirement for unions to prove majority support during the application stage and mandates that employers inform workers of their right to join unions. These changes, while aimed at protecting workers’ rights, present challenges for VWNL, which must balance legal obligations with operational flexibility.</w:t>
      </w:r>
    </w:p>
    <w:p w14:paraId="4C0ECD01" w14:textId="64A6A143" w:rsidR="00F35E6E" w:rsidRPr="006C0D3D" w:rsidRDefault="00F35E6E" w:rsidP="00F35E6E">
      <w:pPr>
        <w:jc w:val="both"/>
        <w:rPr>
          <w:rFonts w:ascii="Arial" w:hAnsi="Arial" w:cs="Arial"/>
          <w:sz w:val="24"/>
          <w:szCs w:val="24"/>
        </w:rPr>
      </w:pPr>
      <w:r w:rsidRPr="006C0D3D">
        <w:rPr>
          <w:rFonts w:ascii="Arial" w:hAnsi="Arial" w:cs="Arial"/>
          <w:sz w:val="24"/>
          <w:szCs w:val="24"/>
        </w:rPr>
        <w:t xml:space="preserve">Aoki, Delbridge, and Endo (2014) argue that collaboration between HR and trade unions is essential in managing workforce dynamics. However, union influence is limited in some sectors, especially among agency workers. Unions exert leverage over pay, benefits, and working conditions but lack control over operational issues, such as work pace and processes managed by the company. VWNL must consider how much union </w:t>
      </w:r>
      <w:r w:rsidR="008B3BDC" w:rsidRPr="006C0D3D">
        <w:rPr>
          <w:rFonts w:ascii="Arial" w:hAnsi="Arial" w:cs="Arial"/>
          <w:sz w:val="24"/>
          <w:szCs w:val="24"/>
        </w:rPr>
        <w:t xml:space="preserve"> </w:t>
      </w:r>
      <w:r w:rsidRPr="006C0D3D">
        <w:rPr>
          <w:rFonts w:ascii="Arial" w:hAnsi="Arial" w:cs="Arial"/>
          <w:sz w:val="24"/>
          <w:szCs w:val="24"/>
        </w:rPr>
        <w:t xml:space="preserve"> is necessary, especially in areas like Kaizen-based manufacturing, where tight control over work processes is essential for continuous improvement (Shimada, 2024).</w:t>
      </w:r>
    </w:p>
    <w:p w14:paraId="6EDB6CD6" w14:textId="0D4ED6C5" w:rsidR="00F35E6E" w:rsidRPr="006C0D3D" w:rsidRDefault="00F35E6E" w:rsidP="00F35E6E">
      <w:pPr>
        <w:jc w:val="both"/>
        <w:rPr>
          <w:rFonts w:ascii="Arial" w:hAnsi="Arial" w:cs="Arial"/>
          <w:sz w:val="24"/>
          <w:szCs w:val="24"/>
        </w:rPr>
      </w:pPr>
      <w:r w:rsidRPr="006C0D3D">
        <w:rPr>
          <w:rFonts w:ascii="Arial" w:hAnsi="Arial" w:cs="Arial"/>
          <w:sz w:val="24"/>
          <w:szCs w:val="24"/>
        </w:rPr>
        <w:t>The increase in industrial action, particularly in sectors like healthcare and transport (CIPD, 2024), forces VWNL to consider the impact of union demands on its production goals. While fostering cooperation with trade unions can enhance morale and reduce disruptions</w:t>
      </w:r>
      <w:r w:rsidR="00A57987" w:rsidRPr="006C0D3D">
        <w:rPr>
          <w:rFonts w:ascii="Arial" w:hAnsi="Arial" w:cs="Arial"/>
          <w:sz w:val="24"/>
          <w:szCs w:val="24"/>
        </w:rPr>
        <w:t xml:space="preserve"> (IPA, 2024)</w:t>
      </w:r>
      <w:r w:rsidRPr="006C0D3D">
        <w:rPr>
          <w:rFonts w:ascii="Arial" w:hAnsi="Arial" w:cs="Arial"/>
          <w:sz w:val="24"/>
          <w:szCs w:val="24"/>
        </w:rPr>
        <w:t>, VWNL must assess how union demands, especially on compensation and working conditions, may drive up operational costs. These cost increases could threaten the company’s competitive edge in global markets. VWNL must collaborate with unions to develop policies that balance employee needs with the company’s operational efficiency.</w:t>
      </w:r>
    </w:p>
    <w:p w14:paraId="72EB46E6"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Historically, trade unions have played a crucial role in stabilising workplace relations, particularly during economic downturns, as seen in companies like Ford and Land Rover (Morris, 2024). However, VWNL must determine whether such models are applicable to its context. While collective bargaining can ensure stability, it may also introduce constraints if unions demand changes that conflict with the company’s goals, such as cost reductions or maintaining flexibility in manufacturing processes.</w:t>
      </w:r>
    </w:p>
    <w:p w14:paraId="470BDAD1" w14:textId="5E342B3B" w:rsidR="00F35E6E" w:rsidRPr="006C0D3D" w:rsidRDefault="00F35E6E" w:rsidP="00F35E6E">
      <w:pPr>
        <w:jc w:val="both"/>
        <w:rPr>
          <w:rFonts w:ascii="Arial" w:hAnsi="Arial" w:cs="Arial"/>
          <w:sz w:val="24"/>
          <w:szCs w:val="24"/>
        </w:rPr>
      </w:pPr>
      <w:r w:rsidRPr="006C0D3D">
        <w:rPr>
          <w:rFonts w:ascii="Arial" w:hAnsi="Arial" w:cs="Arial"/>
          <w:sz w:val="24"/>
          <w:szCs w:val="24"/>
        </w:rPr>
        <w:t xml:space="preserve">The Employment Rights Bill </w:t>
      </w:r>
      <w:r w:rsidR="00FB089C">
        <w:rPr>
          <w:rFonts w:ascii="Arial" w:hAnsi="Arial" w:cs="Arial"/>
          <w:sz w:val="24"/>
          <w:szCs w:val="24"/>
        </w:rPr>
        <w:t xml:space="preserve">(2024) </w:t>
      </w:r>
      <w:r w:rsidRPr="006C0D3D">
        <w:rPr>
          <w:rFonts w:ascii="Arial" w:hAnsi="Arial" w:cs="Arial"/>
          <w:sz w:val="24"/>
          <w:szCs w:val="24"/>
        </w:rPr>
        <w:t>increases union influence, requiring VWNL to critically assess its long-term labour strategy. If unions gain more control over decision-making, especially in areas like job redesign or technological advancements, VWNL may face resistance to implementing new technologies. Proactive collaboration with unions on skill development and job redesign could mitigate resistance and help maintain flexibility while respecting employee rights.</w:t>
      </w:r>
    </w:p>
    <w:p w14:paraId="2CD6681B"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 xml:space="preserve">The absence of union recognition could strain employee relations, increase the likelihood of industrial action, and hinder VWNL’s ability to address workplace concerns. This would negatively impact the company’s reputation both internally and externally (Pérez, 2024). Engaging with unions allows VWNL to maintain transparency, particularly during periods of change, such as mergers or acquisitions. Failing to </w:t>
      </w:r>
      <w:r w:rsidRPr="006C0D3D">
        <w:rPr>
          <w:rFonts w:ascii="Arial" w:hAnsi="Arial" w:cs="Arial"/>
          <w:sz w:val="24"/>
          <w:szCs w:val="24"/>
        </w:rPr>
        <w:lastRenderedPageBreak/>
        <w:t>engage with unions could cause more significant disruptions and damage employee trust.</w:t>
      </w:r>
    </w:p>
    <w:p w14:paraId="3864A807" w14:textId="43E245EE" w:rsidR="00F35E6E" w:rsidRPr="006C0D3D" w:rsidRDefault="00F35E6E" w:rsidP="00F35E6E">
      <w:pPr>
        <w:jc w:val="both"/>
        <w:rPr>
          <w:rFonts w:ascii="Arial" w:hAnsi="Arial" w:cs="Arial"/>
          <w:sz w:val="24"/>
          <w:szCs w:val="24"/>
        </w:rPr>
      </w:pPr>
      <w:r w:rsidRPr="006C0D3D">
        <w:rPr>
          <w:rFonts w:ascii="Arial" w:hAnsi="Arial" w:cs="Arial"/>
          <w:sz w:val="24"/>
          <w:szCs w:val="24"/>
        </w:rPr>
        <w:t xml:space="preserve">Ultimately, the Employment Rights Bill </w:t>
      </w:r>
      <w:r w:rsidR="00FB089C">
        <w:rPr>
          <w:rFonts w:ascii="Arial" w:hAnsi="Arial" w:cs="Arial"/>
          <w:sz w:val="24"/>
          <w:szCs w:val="24"/>
        </w:rPr>
        <w:t xml:space="preserve">(2024) </w:t>
      </w:r>
      <w:r w:rsidRPr="006C0D3D">
        <w:rPr>
          <w:rFonts w:ascii="Arial" w:hAnsi="Arial" w:cs="Arial"/>
          <w:sz w:val="24"/>
          <w:szCs w:val="24"/>
        </w:rPr>
        <w:t>stresses the importance of recognising unions, but VWNL must carefully assess the broader implications. Union engagement offers benefits, such as improved communication and morale, but also challenges, such as rigid processes and increased costs. VWNL can navigate these challenges by collaborating with unions while ensuring operational flexibility and maintaining its competitive advantage.</w:t>
      </w:r>
    </w:p>
    <w:p w14:paraId="088EF4AE" w14:textId="77777777" w:rsidR="00F35E6E" w:rsidRPr="006C0D3D" w:rsidRDefault="00F35E6E" w:rsidP="00F35E6E">
      <w:pPr>
        <w:jc w:val="both"/>
        <w:rPr>
          <w:rFonts w:ascii="Arial" w:hAnsi="Arial" w:cs="Arial"/>
          <w:b/>
          <w:bCs/>
          <w:sz w:val="24"/>
          <w:szCs w:val="24"/>
        </w:rPr>
      </w:pPr>
      <w:r w:rsidRPr="006C0D3D">
        <w:rPr>
          <w:rFonts w:ascii="Arial" w:hAnsi="Arial" w:cs="Arial"/>
          <w:b/>
          <w:bCs/>
          <w:sz w:val="24"/>
          <w:szCs w:val="24"/>
        </w:rPr>
        <w:t>1.5 Legal Factors</w:t>
      </w:r>
    </w:p>
    <w:p w14:paraId="6F4D6C68"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The recent amendments to the Equality Act 2010, particularly under the Employment Rights Bill (CIPD, 2024), highlight increased compliance requirements for organisations in preventing workplace harassment. Employers are now required to take "all reasonable steps" to prevent sexual harassment, which includes implementing comprehensive policies, training programmes, and robust reporting systems (Hersch, 2024).</w:t>
      </w:r>
    </w:p>
    <w:p w14:paraId="42C8595E" w14:textId="67F4406F" w:rsidR="00DD7F8A" w:rsidRPr="006C0D3D" w:rsidRDefault="00F35E6E" w:rsidP="00DD7F8A">
      <w:pPr>
        <w:jc w:val="both"/>
        <w:rPr>
          <w:rFonts w:ascii="Arial" w:hAnsi="Arial" w:cs="Arial"/>
          <w:sz w:val="24"/>
          <w:szCs w:val="24"/>
        </w:rPr>
      </w:pPr>
      <w:r w:rsidRPr="006C0D3D">
        <w:rPr>
          <w:rFonts w:ascii="Arial" w:hAnsi="Arial" w:cs="Arial"/>
          <w:sz w:val="24"/>
          <w:szCs w:val="24"/>
        </w:rPr>
        <w:t>Sexual harassment remains a pervasive issue despite increased awareness. A Trades Union Congress (TUC, 2016) study found that over 50% of women reported experiencing harassment at work, yet nearly 80% did not report it due to fear of retaliation or inadequate reporting systems. VWNL must address this by ensuring compliance with the new legislation, which could involve regular training for all employees and management, as well as anonymous reporting systems to encourage reporting without fear of retaliation (</w:t>
      </w:r>
      <w:r w:rsidR="00DD7F8A" w:rsidRPr="006C0D3D">
        <w:rPr>
          <w:rFonts w:ascii="Arial" w:hAnsi="Arial" w:cs="Arial"/>
          <w:sz w:val="24"/>
          <w:szCs w:val="24"/>
        </w:rPr>
        <w:t>Walsh and Magley,2019).</w:t>
      </w:r>
    </w:p>
    <w:p w14:paraId="0844D0A3" w14:textId="1B19454A" w:rsidR="00F35E6E" w:rsidRPr="006C0D3D" w:rsidRDefault="00F35E6E" w:rsidP="00F35E6E">
      <w:pPr>
        <w:jc w:val="both"/>
        <w:rPr>
          <w:rFonts w:ascii="Arial" w:hAnsi="Arial" w:cs="Arial"/>
          <w:sz w:val="24"/>
          <w:szCs w:val="24"/>
        </w:rPr>
      </w:pPr>
    </w:p>
    <w:p w14:paraId="5304C49F"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However, ambiguity in the law regarding what constitutes "all reasonable steps" creates challenges, particularly for smaller businesses like VWNL. Larger companies may have the resources to implement extensive training and reporting systems, but smaller organisations may face financial and logistical constraints. Clearer regulatory guidance will be crucial in helping VWNL implement effective measures.</w:t>
      </w:r>
    </w:p>
    <w:p w14:paraId="78F7E592"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The legal obligation to foster a harassment-free workplace also carries ethical implications. The McDonald’s UK case (BBC News, 2023) shows how failing to address harassment can damage consumer trust, employee morale, and investor confidence. VWNL must prioritise creating a safe, respectful environment to protect its reputation and ensure employee well-being. Proactive compliance with these legal requirements will not only mitigate legal risks but also enhance employee morale and engagement.</w:t>
      </w:r>
    </w:p>
    <w:p w14:paraId="592EFBC3" w14:textId="77777777" w:rsidR="00F35E6E" w:rsidRPr="006C0D3D" w:rsidRDefault="00F35E6E" w:rsidP="00F35E6E">
      <w:pPr>
        <w:jc w:val="both"/>
        <w:rPr>
          <w:rFonts w:ascii="Arial" w:hAnsi="Arial" w:cs="Arial"/>
          <w:sz w:val="24"/>
          <w:szCs w:val="24"/>
        </w:rPr>
      </w:pPr>
      <w:r w:rsidRPr="006C0D3D">
        <w:rPr>
          <w:rFonts w:ascii="Arial" w:hAnsi="Arial" w:cs="Arial"/>
          <w:sz w:val="24"/>
          <w:szCs w:val="24"/>
        </w:rPr>
        <w:t>In conclusion, VWNL must carefully navigate legal, political, and social factors, balancing compliance, employee welfare, and operational needs. Effective strategies in these areas will contribute to the company’s long-term success, ensuring it remains competitive in a dynamic market.</w:t>
      </w:r>
    </w:p>
    <w:p w14:paraId="4C6AEEB5" w14:textId="77777777" w:rsidR="00EB3A48" w:rsidRPr="006C0D3D" w:rsidRDefault="00EB3A48" w:rsidP="00EB3A48">
      <w:pPr>
        <w:jc w:val="both"/>
        <w:rPr>
          <w:rFonts w:ascii="Arial" w:hAnsi="Arial" w:cs="Arial"/>
          <w:sz w:val="24"/>
          <w:szCs w:val="24"/>
        </w:rPr>
      </w:pPr>
    </w:p>
    <w:p w14:paraId="7BD3D7B1" w14:textId="4B70CE06" w:rsidR="00CD6AF6" w:rsidRPr="006C0D3D" w:rsidRDefault="00CD6AF6" w:rsidP="00CD6AF6">
      <w:pPr>
        <w:jc w:val="both"/>
        <w:rPr>
          <w:rFonts w:ascii="Arial" w:hAnsi="Arial" w:cs="Arial"/>
          <w:sz w:val="24"/>
          <w:szCs w:val="24"/>
        </w:rPr>
      </w:pPr>
      <w:r w:rsidRPr="006C0D3D">
        <w:rPr>
          <w:rFonts w:ascii="Arial" w:hAnsi="Arial" w:cs="Arial"/>
          <w:b/>
          <w:bCs/>
          <w:sz w:val="24"/>
          <w:szCs w:val="24"/>
        </w:rPr>
        <w:t>1.</w:t>
      </w:r>
      <w:r w:rsidR="00493E0A" w:rsidRPr="006C0D3D">
        <w:rPr>
          <w:rFonts w:ascii="Arial" w:hAnsi="Arial" w:cs="Arial"/>
          <w:b/>
          <w:bCs/>
          <w:sz w:val="24"/>
          <w:szCs w:val="24"/>
        </w:rPr>
        <w:t>6</w:t>
      </w:r>
      <w:r w:rsidRPr="006C0D3D">
        <w:rPr>
          <w:rFonts w:ascii="Arial" w:hAnsi="Arial" w:cs="Arial"/>
          <w:b/>
          <w:bCs/>
          <w:sz w:val="24"/>
          <w:szCs w:val="24"/>
        </w:rPr>
        <w:t xml:space="preserve"> Conclusion</w:t>
      </w:r>
    </w:p>
    <w:p w14:paraId="09069DE9"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lastRenderedPageBreak/>
        <w:t>In reviewing the PESTLE factors, Volac Whey Nutrition Limited (VWNL) must adapt to numerous external opportunities and risks that will impact its success. Addressing challenges related to labour, regulatory changes, and workplace culture is critical for ensuring sustainability and growth, but each factor presents its own complexities.</w:t>
      </w:r>
    </w:p>
    <w:p w14:paraId="5DE4A9D1"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The evolving labour market, characterised by skill shortages, demographic shifts, and an ageing workforce, presents VWNL with the need for proactive strategies like apprenticeship programs, upskilling initiatives, and strong partnerships with educational institutions. While these strategies are essential for cultivating internal talent and addressing skill gaps, VWNL must also consider the challenges of aligning educational curricula with industry needs and the additional complexities of attracting talent in areas with declining populations. Offering incentives such as remote work or relocation packages could help, but these come with operational costs that need to be managed. VWNL can further benefit from leveraging data-driven strategies to optimize workforce planning, forecast future skill gaps, and enhance recruitment efforts.</w:t>
      </w:r>
    </w:p>
    <w:p w14:paraId="28539D48"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VWNL also needs to tackle the challenges posed by a declining and ageing population. Innovative solutions like expanding apprenticeship programs and fostering an inclusive, future-focused workplace culture are crucial. However, resource allocation and potential resistance to change from existing leadership and employees could slow these efforts. VWNL must ensure a strong commitment to internal culture change, ensuring alignment between generational values and management practices to drive progress (Hitt, Keats &amp; DeMarie, 1998). Additionally, it is important to recognise that embracing generational diversity could help bridge knowledge gaps while fostering a more inclusive and cohesive work environment.</w:t>
      </w:r>
    </w:p>
    <w:p w14:paraId="2AC58B47"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The Employment Rights Bill (CIPD, 2024; House of Commons, 2024) emphasises the growing importance of trade unions in fostering fair and inclusive workplace practices. VWNL needs to recognise trade unions and build collaborative relationships to promote stability and reduce conflict. However, VWNL should be mindful of potential bureaucratic hurdles or slower decision-making processes that unions may introduce, especially if unionisation rates are low within the company. By implementing proactive engagement strategies, VWNL can ensure smoother negotiations and avoid unnecessary delays.</w:t>
      </w:r>
    </w:p>
    <w:p w14:paraId="777CFE81"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Finally, addressing changes in sexual harassment legislation is both a legal obligation and an opportunity for VWNL to demonstrate leadership. Implementing training, enhancing reporting mechanisms, and fostering a safe, respectful workplace will require significant resources but are essential for ensuring compliance and strengthening organisational culture (McDonald, Charlesworth, &amp; Graham, 2015). In addition to legal compliance, investing in a safe workplace culture will contribute to improved employee morale, loyalty, and overall productivity.</w:t>
      </w:r>
    </w:p>
    <w:p w14:paraId="113C814B"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In conclusion, VWNL must critically adapt to these external factors by proactively addressing the challenges each presents. By aligning long-term strategic goals with immediate needs, VWNL can ensure sustainable growth and continued success.</w:t>
      </w:r>
    </w:p>
    <w:p w14:paraId="74F96FB3" w14:textId="4EAA20DC" w:rsidR="00CD6AF6" w:rsidRPr="006C0D3D" w:rsidRDefault="00CD6AF6" w:rsidP="00CD6AF6">
      <w:pPr>
        <w:jc w:val="both"/>
        <w:rPr>
          <w:rFonts w:ascii="Arial" w:hAnsi="Arial" w:cs="Arial"/>
          <w:sz w:val="24"/>
          <w:szCs w:val="24"/>
        </w:rPr>
      </w:pPr>
      <w:commentRangeStart w:id="0"/>
      <w:r w:rsidRPr="006C0D3D">
        <w:rPr>
          <w:rFonts w:ascii="Arial" w:hAnsi="Arial" w:cs="Arial"/>
          <w:b/>
          <w:bCs/>
          <w:sz w:val="24"/>
          <w:szCs w:val="24"/>
        </w:rPr>
        <w:t>1.</w:t>
      </w:r>
      <w:r w:rsidR="00493E0A" w:rsidRPr="006C0D3D">
        <w:rPr>
          <w:rFonts w:ascii="Arial" w:hAnsi="Arial" w:cs="Arial"/>
          <w:b/>
          <w:bCs/>
          <w:sz w:val="24"/>
          <w:szCs w:val="24"/>
        </w:rPr>
        <w:t>7</w:t>
      </w:r>
      <w:r w:rsidRPr="006C0D3D">
        <w:rPr>
          <w:rFonts w:ascii="Arial" w:hAnsi="Arial" w:cs="Arial"/>
          <w:b/>
          <w:bCs/>
          <w:sz w:val="24"/>
          <w:szCs w:val="24"/>
        </w:rPr>
        <w:t xml:space="preserve"> Recommendations</w:t>
      </w:r>
      <w:commentRangeEnd w:id="0"/>
      <w:r w:rsidR="00E1516E" w:rsidRPr="006C0D3D">
        <w:rPr>
          <w:rStyle w:val="CommentReference"/>
          <w:rFonts w:ascii="Arial" w:hAnsi="Arial" w:cs="Arial"/>
          <w:sz w:val="24"/>
          <w:szCs w:val="24"/>
        </w:rPr>
        <w:commentReference w:id="0"/>
      </w:r>
    </w:p>
    <w:p w14:paraId="203F2F13"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lastRenderedPageBreak/>
        <w:t>To ensure sustainable success, Volac Whey Nutrition Limited (VWNL) must embed Human Resource Management (HRM) as a strategic partner in achieving business objectives. The PESTLE analysis has identified key external challenges, particularly in workforce shortages, regulatory changes, and workplace inclusivity. Addressing these requires a structured, evidence-based approach that aligns immediate business needs with long-term strategic planning (Lin, 2006).</w:t>
      </w:r>
    </w:p>
    <w:p w14:paraId="32FDA7EC" w14:textId="2B7E7F4B" w:rsidR="00CD6AF6" w:rsidRPr="006C0D3D" w:rsidRDefault="00452397" w:rsidP="00C0612D">
      <w:pPr>
        <w:jc w:val="both"/>
        <w:rPr>
          <w:rFonts w:ascii="Arial" w:hAnsi="Arial" w:cs="Arial"/>
          <w:sz w:val="24"/>
          <w:szCs w:val="24"/>
        </w:rPr>
      </w:pPr>
      <w:r w:rsidRPr="006C0D3D">
        <w:rPr>
          <w:rFonts w:ascii="Arial" w:hAnsi="Arial" w:cs="Arial"/>
          <w:b/>
          <w:bCs/>
          <w:sz w:val="24"/>
          <w:szCs w:val="24"/>
        </w:rPr>
        <w:t>1.</w:t>
      </w:r>
      <w:r w:rsidR="00493E0A" w:rsidRPr="006C0D3D">
        <w:rPr>
          <w:rFonts w:ascii="Arial" w:hAnsi="Arial" w:cs="Arial"/>
          <w:b/>
          <w:bCs/>
          <w:sz w:val="24"/>
          <w:szCs w:val="24"/>
        </w:rPr>
        <w:t>7</w:t>
      </w:r>
      <w:r w:rsidR="003F6264" w:rsidRPr="006C0D3D">
        <w:rPr>
          <w:rFonts w:ascii="Arial" w:hAnsi="Arial" w:cs="Arial"/>
          <w:b/>
          <w:bCs/>
          <w:sz w:val="24"/>
          <w:szCs w:val="24"/>
        </w:rPr>
        <w:t xml:space="preserve">.1 </w:t>
      </w:r>
      <w:r w:rsidR="00493E0A" w:rsidRPr="006C0D3D">
        <w:rPr>
          <w:rFonts w:ascii="Arial" w:hAnsi="Arial" w:cs="Arial"/>
          <w:b/>
          <w:bCs/>
          <w:sz w:val="24"/>
          <w:szCs w:val="24"/>
        </w:rPr>
        <w:tab/>
      </w:r>
      <w:r w:rsidR="00CD6AF6" w:rsidRPr="006C0D3D">
        <w:rPr>
          <w:rFonts w:ascii="Arial" w:hAnsi="Arial" w:cs="Arial"/>
          <w:b/>
          <w:bCs/>
          <w:sz w:val="24"/>
          <w:szCs w:val="24"/>
        </w:rPr>
        <w:t>Addressing Labour Shortages through Apprenticeship Expansion</w:t>
      </w:r>
    </w:p>
    <w:p w14:paraId="481FCF2B" w14:textId="41AB2FB7" w:rsidR="00CD6AF6" w:rsidRPr="006C0D3D" w:rsidRDefault="00CD6AF6" w:rsidP="00CD6AF6">
      <w:pPr>
        <w:jc w:val="both"/>
        <w:rPr>
          <w:rFonts w:ascii="Arial" w:hAnsi="Arial" w:cs="Arial"/>
          <w:sz w:val="24"/>
          <w:szCs w:val="24"/>
        </w:rPr>
      </w:pPr>
      <w:r w:rsidRPr="006C0D3D">
        <w:rPr>
          <w:rFonts w:ascii="Arial" w:hAnsi="Arial" w:cs="Arial"/>
          <w:sz w:val="24"/>
          <w:szCs w:val="24"/>
        </w:rPr>
        <w:t xml:space="preserve">To mitigate skill shortages, </w:t>
      </w:r>
      <w:commentRangeStart w:id="1"/>
      <w:r w:rsidRPr="006C0D3D">
        <w:rPr>
          <w:rFonts w:ascii="Arial" w:hAnsi="Arial" w:cs="Arial"/>
          <w:sz w:val="24"/>
          <w:szCs w:val="24"/>
        </w:rPr>
        <w:t>VWNL must establish apprenticeship programmes that provide industry-specific training and talent development</w:t>
      </w:r>
      <w:r w:rsidR="00AB7E85" w:rsidRPr="006C0D3D">
        <w:rPr>
          <w:rFonts w:ascii="Arial" w:hAnsi="Arial" w:cs="Arial"/>
          <w:sz w:val="24"/>
          <w:szCs w:val="24"/>
        </w:rPr>
        <w:t xml:space="preserve"> (</w:t>
      </w:r>
      <w:r w:rsidR="00AB7E85" w:rsidRPr="006C0D3D">
        <w:rPr>
          <w:rFonts w:ascii="Arial" w:hAnsi="Arial" w:cs="Arial"/>
          <w:sz w:val="24"/>
          <w:szCs w:val="24"/>
          <w:highlight w:val="yellow"/>
        </w:rPr>
        <w:t>Valiente, López-</w:t>
      </w:r>
      <w:proofErr w:type="spellStart"/>
      <w:r w:rsidR="00AB7E85" w:rsidRPr="006C0D3D">
        <w:rPr>
          <w:rFonts w:ascii="Arial" w:hAnsi="Arial" w:cs="Arial"/>
          <w:sz w:val="24"/>
          <w:szCs w:val="24"/>
          <w:highlight w:val="yellow"/>
        </w:rPr>
        <w:t>Fogués</w:t>
      </w:r>
      <w:proofErr w:type="spellEnd"/>
      <w:r w:rsidR="00AB7E85" w:rsidRPr="006C0D3D">
        <w:rPr>
          <w:rFonts w:ascii="Arial" w:hAnsi="Arial" w:cs="Arial"/>
          <w:sz w:val="24"/>
          <w:szCs w:val="24"/>
          <w:highlight w:val="yellow"/>
        </w:rPr>
        <w:t xml:space="preserve">, Fuentes, </w:t>
      </w:r>
      <w:r w:rsidR="002364FB" w:rsidRPr="006C0D3D">
        <w:rPr>
          <w:rFonts w:ascii="Arial" w:hAnsi="Arial" w:cs="Arial"/>
          <w:sz w:val="24"/>
          <w:szCs w:val="24"/>
          <w:highlight w:val="yellow"/>
        </w:rPr>
        <w:t>and</w:t>
      </w:r>
      <w:r w:rsidR="00AB7E85" w:rsidRPr="006C0D3D">
        <w:rPr>
          <w:rFonts w:ascii="Arial" w:hAnsi="Arial" w:cs="Arial"/>
          <w:sz w:val="24"/>
          <w:szCs w:val="24"/>
          <w:highlight w:val="yellow"/>
        </w:rPr>
        <w:t xml:space="preserve"> Rosado</w:t>
      </w:r>
      <w:r w:rsidR="00AE5E89">
        <w:rPr>
          <w:rFonts w:ascii="Arial" w:hAnsi="Arial" w:cs="Arial"/>
          <w:sz w:val="24"/>
          <w:szCs w:val="24"/>
          <w:highlight w:val="yellow"/>
        </w:rPr>
        <w:t>,</w:t>
      </w:r>
      <w:r w:rsidR="00AB7E85" w:rsidRPr="006C0D3D">
        <w:rPr>
          <w:rFonts w:ascii="Arial" w:hAnsi="Arial" w:cs="Arial"/>
          <w:sz w:val="24"/>
          <w:szCs w:val="24"/>
          <w:highlight w:val="yellow"/>
        </w:rPr>
        <w:t>2020)</w:t>
      </w:r>
      <w:r w:rsidRPr="006C0D3D">
        <w:rPr>
          <w:rFonts w:ascii="Arial" w:hAnsi="Arial" w:cs="Arial"/>
          <w:sz w:val="24"/>
          <w:szCs w:val="24"/>
        </w:rPr>
        <w:t xml:space="preserve">. </w:t>
      </w:r>
      <w:commentRangeEnd w:id="1"/>
      <w:r w:rsidR="006F0C0A" w:rsidRPr="006C0D3D">
        <w:rPr>
          <w:rStyle w:val="CommentReference"/>
          <w:rFonts w:ascii="Arial" w:hAnsi="Arial" w:cs="Arial"/>
          <w:sz w:val="24"/>
          <w:szCs w:val="24"/>
        </w:rPr>
        <w:commentReference w:id="1"/>
      </w:r>
      <w:r w:rsidRPr="006C0D3D">
        <w:rPr>
          <w:rFonts w:ascii="Arial" w:hAnsi="Arial" w:cs="Arial"/>
          <w:sz w:val="24"/>
          <w:szCs w:val="24"/>
        </w:rPr>
        <w:t xml:space="preserve">Establishing long-term partnerships with colleges, universities, and vocational training providers will ensure a structured talent pipeline. </w:t>
      </w:r>
      <w:commentRangeStart w:id="2"/>
      <w:r w:rsidRPr="006C0D3D">
        <w:rPr>
          <w:rFonts w:ascii="Arial" w:hAnsi="Arial" w:cs="Arial"/>
          <w:sz w:val="24"/>
          <w:szCs w:val="24"/>
        </w:rPr>
        <w:t xml:space="preserve">A dual education model, where apprentices gain practical experience alongside formal qualifications, will enhance workforce readiness and </w:t>
      </w:r>
      <w:r w:rsidR="00994689" w:rsidRPr="006C0D3D">
        <w:rPr>
          <w:rFonts w:ascii="Arial" w:hAnsi="Arial" w:cs="Arial"/>
          <w:sz w:val="24"/>
          <w:szCs w:val="24"/>
        </w:rPr>
        <w:t>retention.</w:t>
      </w:r>
      <w:r w:rsidR="00994689">
        <w:rPr>
          <w:rFonts w:ascii="Arial" w:hAnsi="Arial" w:cs="Arial"/>
          <w:sz w:val="24"/>
          <w:szCs w:val="24"/>
        </w:rPr>
        <w:t xml:space="preserve"> </w:t>
      </w:r>
      <w:proofErr w:type="gramStart"/>
      <w:r w:rsidR="00994689">
        <w:rPr>
          <w:rFonts w:ascii="Arial" w:hAnsi="Arial" w:cs="Arial"/>
          <w:sz w:val="24"/>
          <w:szCs w:val="24"/>
        </w:rPr>
        <w:t>(</w:t>
      </w:r>
      <w:r w:rsidR="00370FB0" w:rsidRPr="00370FB0">
        <w:rPr>
          <w:rFonts w:ascii="Aptos" w:eastAsia="Times New Roman" w:hAnsi="Aptos" w:cs="Times New Roman"/>
          <w:color w:val="000000"/>
          <w:kern w:val="0"/>
          <w:sz w:val="24"/>
          <w:szCs w:val="24"/>
          <w:lang w:eastAsia="en-GB"/>
          <w14:ligatures w14:val="none"/>
        </w:rPr>
        <w:t xml:space="preserve"> </w:t>
      </w:r>
      <w:proofErr w:type="spellStart"/>
      <w:r w:rsidR="00370FB0" w:rsidRPr="00370FB0">
        <w:rPr>
          <w:rFonts w:ascii="Arial" w:hAnsi="Arial" w:cs="Arial"/>
          <w:sz w:val="24"/>
          <w:szCs w:val="24"/>
        </w:rPr>
        <w:t>Fürstenau</w:t>
      </w:r>
      <w:proofErr w:type="spellEnd"/>
      <w:proofErr w:type="gramEnd"/>
      <w:r w:rsidR="00370FB0" w:rsidRPr="00370FB0">
        <w:rPr>
          <w:rFonts w:ascii="Arial" w:hAnsi="Arial" w:cs="Arial"/>
          <w:sz w:val="24"/>
          <w:szCs w:val="24"/>
        </w:rPr>
        <w:t>, Pilz,</w:t>
      </w:r>
      <w:r w:rsidR="00994689">
        <w:rPr>
          <w:rFonts w:ascii="Arial" w:hAnsi="Arial" w:cs="Arial"/>
          <w:sz w:val="24"/>
          <w:szCs w:val="24"/>
        </w:rPr>
        <w:t xml:space="preserve"> and </w:t>
      </w:r>
      <w:r w:rsidR="00370FB0" w:rsidRPr="00370FB0">
        <w:rPr>
          <w:rFonts w:ascii="Arial" w:hAnsi="Arial" w:cs="Arial"/>
          <w:sz w:val="24"/>
          <w:szCs w:val="24"/>
        </w:rPr>
        <w:t>Gonon</w:t>
      </w:r>
      <w:r w:rsidR="00994689">
        <w:rPr>
          <w:rFonts w:ascii="Arial" w:hAnsi="Arial" w:cs="Arial"/>
          <w:sz w:val="24"/>
          <w:szCs w:val="24"/>
        </w:rPr>
        <w:t xml:space="preserve">, </w:t>
      </w:r>
      <w:r w:rsidR="00370FB0" w:rsidRPr="00370FB0">
        <w:rPr>
          <w:rFonts w:ascii="Arial" w:hAnsi="Arial" w:cs="Arial"/>
          <w:sz w:val="24"/>
          <w:szCs w:val="24"/>
        </w:rPr>
        <w:t>2014)</w:t>
      </w:r>
      <w:r w:rsidR="00994689">
        <w:rPr>
          <w:rFonts w:ascii="Arial" w:hAnsi="Arial" w:cs="Arial"/>
          <w:sz w:val="24"/>
          <w:szCs w:val="24"/>
        </w:rPr>
        <w:t xml:space="preserve">. </w:t>
      </w:r>
      <w:r w:rsidRPr="006C0D3D">
        <w:rPr>
          <w:rFonts w:ascii="Arial" w:hAnsi="Arial" w:cs="Arial"/>
          <w:sz w:val="24"/>
          <w:szCs w:val="24"/>
        </w:rPr>
        <w:t xml:space="preserve"> </w:t>
      </w:r>
      <w:commentRangeEnd w:id="2"/>
      <w:r w:rsidR="00A331B9" w:rsidRPr="006C0D3D">
        <w:rPr>
          <w:rStyle w:val="CommentReference"/>
          <w:rFonts w:ascii="Arial" w:hAnsi="Arial" w:cs="Arial"/>
          <w:sz w:val="24"/>
          <w:szCs w:val="24"/>
        </w:rPr>
        <w:commentReference w:id="2"/>
      </w:r>
      <w:r w:rsidRPr="006C0D3D">
        <w:rPr>
          <w:rFonts w:ascii="Arial" w:hAnsi="Arial" w:cs="Arial"/>
          <w:sz w:val="24"/>
          <w:szCs w:val="24"/>
        </w:rPr>
        <w:t>Additional incentives such as tuition reimbursement and structured career pathways will encourage participation while supporting long-term career progression within the company.</w:t>
      </w:r>
    </w:p>
    <w:p w14:paraId="075B7493" w14:textId="4776253D" w:rsidR="00CD6AF6" w:rsidRPr="006C0D3D" w:rsidRDefault="00CD6AF6" w:rsidP="00CD6AF6">
      <w:pPr>
        <w:jc w:val="both"/>
        <w:rPr>
          <w:rFonts w:ascii="Arial" w:hAnsi="Arial" w:cs="Arial"/>
          <w:sz w:val="24"/>
          <w:szCs w:val="24"/>
        </w:rPr>
      </w:pPr>
      <w:r w:rsidRPr="006C0D3D">
        <w:rPr>
          <w:rFonts w:ascii="Arial" w:hAnsi="Arial" w:cs="Arial"/>
          <w:sz w:val="24"/>
          <w:szCs w:val="24"/>
        </w:rPr>
        <w:t xml:space="preserve">The initial investment required for programme development, partnership agreements, and marketing is estimated at £50,000, covering legal agreements, curriculum design, recruitment drives, and branding. On an ongoing basis, VWNL will incur £10,000 to £15,000 per apprentice per year, including wages (£7,000–£12,000), training costs (£3,000–£5,000), and mentorship resources (£1,000 per apprentice). </w:t>
      </w:r>
      <w:commentRangeStart w:id="3"/>
      <w:r w:rsidRPr="006C0D3D">
        <w:rPr>
          <w:rFonts w:ascii="Arial" w:hAnsi="Arial" w:cs="Arial"/>
          <w:sz w:val="24"/>
          <w:szCs w:val="24"/>
        </w:rPr>
        <w:t>The UK Apprenticeship Levy</w:t>
      </w:r>
      <w:r w:rsidR="00E06B84" w:rsidRPr="006C0D3D">
        <w:rPr>
          <w:rFonts w:ascii="Arial" w:hAnsi="Arial" w:cs="Arial"/>
          <w:sz w:val="24"/>
          <w:szCs w:val="24"/>
        </w:rPr>
        <w:t xml:space="preserve"> (</w:t>
      </w:r>
      <w:proofErr w:type="spellStart"/>
      <w:r w:rsidR="00E06B84" w:rsidRPr="006C0D3D">
        <w:rPr>
          <w:rFonts w:ascii="Arial" w:hAnsi="Arial" w:cs="Arial"/>
          <w:sz w:val="24"/>
          <w:szCs w:val="24"/>
        </w:rPr>
        <w:t>Pa</w:t>
      </w:r>
      <w:r w:rsidR="00302671" w:rsidRPr="006C0D3D">
        <w:rPr>
          <w:rFonts w:ascii="Arial" w:hAnsi="Arial" w:cs="Arial"/>
          <w:sz w:val="24"/>
          <w:szCs w:val="24"/>
        </w:rPr>
        <w:t>trignani</w:t>
      </w:r>
      <w:proofErr w:type="spellEnd"/>
      <w:r w:rsidR="00302671" w:rsidRPr="006C0D3D">
        <w:rPr>
          <w:rFonts w:ascii="Arial" w:hAnsi="Arial" w:cs="Arial"/>
          <w:sz w:val="24"/>
          <w:szCs w:val="24"/>
        </w:rPr>
        <w:t xml:space="preserve"> et al., 2021)</w:t>
      </w:r>
      <w:r w:rsidRPr="006C0D3D">
        <w:rPr>
          <w:rFonts w:ascii="Arial" w:hAnsi="Arial" w:cs="Arial"/>
          <w:sz w:val="24"/>
          <w:szCs w:val="24"/>
        </w:rPr>
        <w:t xml:space="preserve"> provides government subsidies of up to 95% for training costs, </w:t>
      </w:r>
      <w:commentRangeEnd w:id="3"/>
      <w:r w:rsidR="00A331B9" w:rsidRPr="006C0D3D">
        <w:rPr>
          <w:rStyle w:val="CommentReference"/>
          <w:rFonts w:ascii="Arial" w:hAnsi="Arial" w:cs="Arial"/>
          <w:sz w:val="24"/>
          <w:szCs w:val="24"/>
        </w:rPr>
        <w:commentReference w:id="3"/>
      </w:r>
      <w:r w:rsidRPr="006C0D3D">
        <w:rPr>
          <w:rFonts w:ascii="Arial" w:hAnsi="Arial" w:cs="Arial"/>
          <w:sz w:val="24"/>
          <w:szCs w:val="24"/>
        </w:rPr>
        <w:t>potentially reducing the financial burden. A six to twelve-month pilot phase is recommended, with full implementation within 24 months.</w:t>
      </w:r>
    </w:p>
    <w:p w14:paraId="5A93D79C"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The expected benefits include lower external recruitment costs, an increase in highly skilled, VWNL-trained employees, and a stronger retention rate for young talent. However, challenges such as competition for apprentices and delays in establishing partnerships must be anticipated, requiring a structured risk management plan. Additionally, VWNL can highlight how apprenticeships contribute to long-term workforce sustainability by reducing turnover, fostering loyalty, and providing a cost-effective recruitment solution.</w:t>
      </w:r>
    </w:p>
    <w:p w14:paraId="74C35BF4" w14:textId="76315664" w:rsidR="00CD6AF6" w:rsidRPr="006C0D3D" w:rsidRDefault="00493E0A" w:rsidP="00C0612D">
      <w:pPr>
        <w:jc w:val="both"/>
        <w:rPr>
          <w:rFonts w:ascii="Arial" w:hAnsi="Arial" w:cs="Arial"/>
          <w:sz w:val="24"/>
          <w:szCs w:val="24"/>
        </w:rPr>
      </w:pPr>
      <w:r w:rsidRPr="006C0D3D">
        <w:rPr>
          <w:rFonts w:ascii="Arial" w:hAnsi="Arial" w:cs="Arial"/>
          <w:b/>
          <w:bCs/>
          <w:sz w:val="24"/>
          <w:szCs w:val="24"/>
        </w:rPr>
        <w:t xml:space="preserve">1.7.2    </w:t>
      </w:r>
      <w:r w:rsidR="00CD6AF6" w:rsidRPr="006C0D3D">
        <w:rPr>
          <w:rFonts w:ascii="Arial" w:hAnsi="Arial" w:cs="Arial"/>
          <w:b/>
          <w:bCs/>
          <w:sz w:val="24"/>
          <w:szCs w:val="24"/>
        </w:rPr>
        <w:t>Strengthening Workforce Planning and Employee Retention</w:t>
      </w:r>
    </w:p>
    <w:p w14:paraId="2FCE68CD" w14:textId="12FFB548" w:rsidR="006D32DA" w:rsidRPr="006C0D3D" w:rsidRDefault="00CD6AF6" w:rsidP="00CD6AF6">
      <w:pPr>
        <w:jc w:val="both"/>
        <w:rPr>
          <w:rFonts w:ascii="Arial" w:hAnsi="Arial" w:cs="Arial"/>
          <w:sz w:val="24"/>
          <w:szCs w:val="24"/>
        </w:rPr>
      </w:pPr>
      <w:commentRangeStart w:id="4"/>
      <w:r w:rsidRPr="006C0D3D">
        <w:rPr>
          <w:rFonts w:ascii="Arial" w:hAnsi="Arial" w:cs="Arial"/>
          <w:sz w:val="24"/>
          <w:szCs w:val="24"/>
        </w:rPr>
        <w:t>VWNL must invest in HR analytics software to improve workforce forecasting, recruitment efficiency, and retention strategies</w:t>
      </w:r>
      <w:commentRangeEnd w:id="4"/>
      <w:r w:rsidR="00A331B9" w:rsidRPr="006C0D3D">
        <w:rPr>
          <w:rStyle w:val="CommentReference"/>
          <w:rFonts w:ascii="Arial" w:hAnsi="Arial" w:cs="Arial"/>
          <w:sz w:val="24"/>
          <w:szCs w:val="24"/>
        </w:rPr>
        <w:commentReference w:id="4"/>
      </w:r>
      <w:r w:rsidR="00CC0286" w:rsidRPr="006C0D3D">
        <w:rPr>
          <w:rFonts w:ascii="Arial" w:hAnsi="Arial" w:cs="Arial"/>
          <w:sz w:val="24"/>
          <w:szCs w:val="24"/>
        </w:rPr>
        <w:t xml:space="preserve"> </w:t>
      </w:r>
      <w:r w:rsidR="00AF7D47" w:rsidRPr="006C0D3D">
        <w:rPr>
          <w:rFonts w:ascii="Arial" w:hAnsi="Arial" w:cs="Arial"/>
          <w:sz w:val="24"/>
          <w:szCs w:val="24"/>
        </w:rPr>
        <w:t>(Vira and Mulay, 2024)</w:t>
      </w:r>
      <w:r w:rsidRPr="006C0D3D">
        <w:rPr>
          <w:rFonts w:ascii="Arial" w:hAnsi="Arial" w:cs="Arial"/>
          <w:sz w:val="24"/>
          <w:szCs w:val="24"/>
        </w:rPr>
        <w:t>. AI-driven HR analytics tools such as SAP SuccessFactors, Workday, or Oracle HCM will allow VWNL to anticipate demographic shifts, emerging skill gaps, and hiring trends, enabling proactive adjustments to workforce planning.</w:t>
      </w:r>
    </w:p>
    <w:p w14:paraId="74F7C62A" w14:textId="77777777" w:rsidR="006D32DA" w:rsidRPr="006C0D3D" w:rsidRDefault="006D32DA" w:rsidP="00CD6AF6">
      <w:pPr>
        <w:jc w:val="both"/>
        <w:rPr>
          <w:rFonts w:ascii="Arial" w:hAnsi="Arial" w:cs="Arial"/>
          <w:sz w:val="24"/>
          <w:szCs w:val="24"/>
        </w:rPr>
      </w:pPr>
    </w:p>
    <w:p w14:paraId="20B8FA54" w14:textId="4AD854D8" w:rsidR="00CD6AF6" w:rsidRPr="006C0D3D" w:rsidRDefault="00CD6AF6" w:rsidP="00CD6AF6">
      <w:pPr>
        <w:jc w:val="both"/>
        <w:rPr>
          <w:rFonts w:ascii="Arial" w:hAnsi="Arial" w:cs="Arial"/>
          <w:sz w:val="24"/>
          <w:szCs w:val="24"/>
        </w:rPr>
      </w:pPr>
      <w:r w:rsidRPr="006C0D3D">
        <w:rPr>
          <w:rFonts w:ascii="Arial" w:hAnsi="Arial" w:cs="Arial"/>
          <w:sz w:val="24"/>
          <w:szCs w:val="24"/>
        </w:rPr>
        <w:t xml:space="preserve">The estimated investment for this initiative is £30,000 for software licensing, with an annual maintenance cost of £5,000 covering updates, compliance checks, and IT support. Implementation should take place over six to nine months, with quarterly workforce reviews to ensure effectiveness. </w:t>
      </w:r>
      <w:commentRangeStart w:id="5"/>
      <w:r w:rsidRPr="006C0D3D">
        <w:rPr>
          <w:rFonts w:ascii="Arial" w:hAnsi="Arial" w:cs="Arial"/>
          <w:sz w:val="24"/>
          <w:szCs w:val="24"/>
        </w:rPr>
        <w:t xml:space="preserve">The expected benefits include faster hiring </w:t>
      </w:r>
      <w:r w:rsidRPr="006C0D3D">
        <w:rPr>
          <w:rFonts w:ascii="Arial" w:hAnsi="Arial" w:cs="Arial"/>
          <w:sz w:val="24"/>
          <w:szCs w:val="24"/>
        </w:rPr>
        <w:lastRenderedPageBreak/>
        <w:t>cycles, reduced turnover, and improved workforce engagement metrics</w:t>
      </w:r>
      <w:r w:rsidR="00AC662C" w:rsidRPr="006C0D3D">
        <w:rPr>
          <w:rFonts w:ascii="Arial" w:hAnsi="Arial" w:cs="Arial"/>
          <w:sz w:val="24"/>
          <w:szCs w:val="24"/>
        </w:rPr>
        <w:t xml:space="preserve"> (</w:t>
      </w:r>
      <w:proofErr w:type="spellStart"/>
      <w:r w:rsidR="00AC662C" w:rsidRPr="006C0D3D">
        <w:rPr>
          <w:rFonts w:ascii="Arial" w:hAnsi="Arial" w:cs="Arial"/>
          <w:sz w:val="24"/>
          <w:szCs w:val="24"/>
        </w:rPr>
        <w:t>Karmańska</w:t>
      </w:r>
      <w:proofErr w:type="spellEnd"/>
      <w:r w:rsidR="00AC662C" w:rsidRPr="006C0D3D">
        <w:rPr>
          <w:rFonts w:ascii="Arial" w:hAnsi="Arial" w:cs="Arial"/>
          <w:sz w:val="24"/>
          <w:szCs w:val="24"/>
        </w:rPr>
        <w:t>, 2020)</w:t>
      </w:r>
      <w:r w:rsidRPr="006C0D3D">
        <w:rPr>
          <w:rFonts w:ascii="Arial" w:hAnsi="Arial" w:cs="Arial"/>
          <w:sz w:val="24"/>
          <w:szCs w:val="24"/>
        </w:rPr>
        <w:t xml:space="preserve">. </w:t>
      </w:r>
      <w:commentRangeEnd w:id="5"/>
      <w:r w:rsidR="00A331B9" w:rsidRPr="006C0D3D">
        <w:rPr>
          <w:rStyle w:val="CommentReference"/>
          <w:rFonts w:ascii="Arial" w:hAnsi="Arial" w:cs="Arial"/>
          <w:sz w:val="24"/>
          <w:szCs w:val="24"/>
        </w:rPr>
        <w:commentReference w:id="5"/>
      </w:r>
      <w:r w:rsidRPr="006C0D3D">
        <w:rPr>
          <w:rFonts w:ascii="Arial" w:hAnsi="Arial" w:cs="Arial"/>
          <w:sz w:val="24"/>
          <w:szCs w:val="24"/>
        </w:rPr>
        <w:t>However, resistance to AI-based workforce planning and concerns over data privacy regulations (GDPR) may need to be addressed through employee engagement initiatives and transparent policy communication.</w:t>
      </w:r>
    </w:p>
    <w:p w14:paraId="4852E4C7" w14:textId="77777777" w:rsidR="00F278D5" w:rsidRPr="006C0D3D" w:rsidRDefault="00F278D5" w:rsidP="00CD6AF6">
      <w:pPr>
        <w:jc w:val="both"/>
        <w:rPr>
          <w:rFonts w:ascii="Arial" w:hAnsi="Arial" w:cs="Arial"/>
          <w:sz w:val="24"/>
          <w:szCs w:val="24"/>
        </w:rPr>
      </w:pPr>
    </w:p>
    <w:p w14:paraId="73683098" w14:textId="34AE5070" w:rsidR="00CD6AF6" w:rsidRPr="006C0D3D" w:rsidRDefault="00CD6AF6" w:rsidP="00C0612D">
      <w:pPr>
        <w:pStyle w:val="ListParagraph"/>
        <w:numPr>
          <w:ilvl w:val="2"/>
          <w:numId w:val="21"/>
        </w:numPr>
        <w:jc w:val="both"/>
        <w:rPr>
          <w:rFonts w:ascii="Arial" w:hAnsi="Arial" w:cs="Arial"/>
          <w:sz w:val="24"/>
          <w:szCs w:val="24"/>
        </w:rPr>
      </w:pPr>
      <w:r w:rsidRPr="006C0D3D">
        <w:rPr>
          <w:rFonts w:ascii="Arial" w:hAnsi="Arial" w:cs="Arial"/>
          <w:b/>
          <w:bCs/>
          <w:sz w:val="24"/>
          <w:szCs w:val="24"/>
        </w:rPr>
        <w:t>Enhancing Compliance with Employment Rights and Trade Union Engagement</w:t>
      </w:r>
    </w:p>
    <w:p w14:paraId="7F1D2D61"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With the introduction of the Employment Rights Bill (CIPD, 2024), VWNL must adopt a structured trade union engagement strategy to ensure compliance while fostering positive industrial relations. Recognising unions will not only fulfil legal obligations but also contribute to smoother negotiations and employee trust.</w:t>
      </w:r>
    </w:p>
    <w:p w14:paraId="1D62CD50"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The cost of management training on trade union engagement and employment law is estimated at £5,000 to £10,000, covering external trainers, legal advisors, and certification materials. Additionally, a comprehensive legal review of employment contracts, grievance procedures, and compliance policies will require £15,000 for external legal consultancy services. A twelve-month implementation period is recommended, with annual audits to assess ongoing compliance and efficiency.</w:t>
      </w:r>
    </w:p>
    <w:p w14:paraId="726B3F44"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 xml:space="preserve">This initiative is expected to reduce tribunal cases, improve employee satisfaction, and minimise industrial action risks. However, potential tensions between union demands and management decisions must be carefully navigated to ensure a collaborative, rather than adversarial, relationship. VWNL should also </w:t>
      </w:r>
      <w:proofErr w:type="gramStart"/>
      <w:r w:rsidRPr="006C0D3D">
        <w:rPr>
          <w:rFonts w:ascii="Arial" w:hAnsi="Arial" w:cs="Arial"/>
          <w:sz w:val="24"/>
          <w:szCs w:val="24"/>
        </w:rPr>
        <w:t>look into</w:t>
      </w:r>
      <w:proofErr w:type="gramEnd"/>
      <w:r w:rsidRPr="006C0D3D">
        <w:rPr>
          <w:rFonts w:ascii="Arial" w:hAnsi="Arial" w:cs="Arial"/>
          <w:sz w:val="24"/>
          <w:szCs w:val="24"/>
        </w:rPr>
        <w:t xml:space="preserve"> measures to mitigate delays introduced by union bureaucracy, ensuring smooth, timely decision-making.</w:t>
      </w:r>
    </w:p>
    <w:p w14:paraId="1766FF4E" w14:textId="25AEA5A5" w:rsidR="00CD6AF6" w:rsidRPr="006C0D3D" w:rsidRDefault="00CD6AF6" w:rsidP="00C0612D">
      <w:pPr>
        <w:pStyle w:val="ListParagraph"/>
        <w:numPr>
          <w:ilvl w:val="2"/>
          <w:numId w:val="21"/>
        </w:numPr>
        <w:jc w:val="both"/>
        <w:rPr>
          <w:rFonts w:ascii="Arial" w:hAnsi="Arial" w:cs="Arial"/>
          <w:sz w:val="24"/>
          <w:szCs w:val="24"/>
        </w:rPr>
      </w:pPr>
      <w:r w:rsidRPr="006C0D3D">
        <w:rPr>
          <w:rFonts w:ascii="Arial" w:hAnsi="Arial" w:cs="Arial"/>
          <w:b/>
          <w:bCs/>
          <w:sz w:val="24"/>
          <w:szCs w:val="24"/>
        </w:rPr>
        <w:t>Improving Workplace Inclusivity and Preventing Sexual Harassment</w:t>
      </w:r>
    </w:p>
    <w:p w14:paraId="655D0084" w14:textId="5F4D8EEF" w:rsidR="00CD6AF6" w:rsidRPr="006C0D3D" w:rsidRDefault="00CD6AF6" w:rsidP="00CD6AF6">
      <w:pPr>
        <w:jc w:val="both"/>
        <w:rPr>
          <w:rFonts w:ascii="Arial" w:hAnsi="Arial" w:cs="Arial"/>
          <w:sz w:val="24"/>
          <w:szCs w:val="24"/>
        </w:rPr>
      </w:pPr>
      <w:r w:rsidRPr="006C0D3D">
        <w:rPr>
          <w:rFonts w:ascii="Arial" w:hAnsi="Arial" w:cs="Arial"/>
          <w:sz w:val="24"/>
          <w:szCs w:val="24"/>
        </w:rPr>
        <w:t xml:space="preserve">To comply with the Equality Act 2010 and the updated Employment Rights Bill (2024), VWNL must introduce mandatory training programmes for all employees and management on sexual harassment prevention and workplace inclusivity. </w:t>
      </w:r>
      <w:commentRangeStart w:id="6"/>
      <w:r w:rsidRPr="006C0D3D">
        <w:rPr>
          <w:rFonts w:ascii="Arial" w:hAnsi="Arial" w:cs="Arial"/>
          <w:sz w:val="24"/>
          <w:szCs w:val="24"/>
        </w:rPr>
        <w:t>The implementation of an anonymous reporting system and the appointment of an internal ombudsman will further strengthen the organisation’s ability to address workplace misconduct effectively</w:t>
      </w:r>
      <w:commentRangeEnd w:id="6"/>
      <w:r w:rsidR="00C46A5C" w:rsidRPr="006C0D3D">
        <w:rPr>
          <w:rStyle w:val="CommentReference"/>
          <w:rFonts w:ascii="Arial" w:hAnsi="Arial" w:cs="Arial"/>
          <w:sz w:val="24"/>
          <w:szCs w:val="24"/>
        </w:rPr>
        <w:commentReference w:id="6"/>
      </w:r>
      <w:r w:rsidR="00F37B35" w:rsidRPr="006C0D3D">
        <w:rPr>
          <w:rFonts w:ascii="Arial" w:hAnsi="Arial" w:cs="Arial"/>
          <w:sz w:val="24"/>
          <w:szCs w:val="24"/>
        </w:rPr>
        <w:t xml:space="preserve"> (Neubauer and Mohr, 2024</w:t>
      </w:r>
      <w:r w:rsidR="00467424" w:rsidRPr="006C0D3D">
        <w:rPr>
          <w:rFonts w:ascii="Arial" w:hAnsi="Arial" w:cs="Arial"/>
          <w:sz w:val="24"/>
          <w:szCs w:val="24"/>
        </w:rPr>
        <w:t>;</w:t>
      </w:r>
      <w:r w:rsidR="004B5D9D" w:rsidRPr="006C0D3D">
        <w:rPr>
          <w:rFonts w:ascii="Arial" w:hAnsi="Arial" w:cs="Arial"/>
          <w:sz w:val="24"/>
          <w:szCs w:val="24"/>
        </w:rPr>
        <w:t xml:space="preserve"> Belak and Thoele, 2020).</w:t>
      </w:r>
    </w:p>
    <w:p w14:paraId="3BE9B619"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 xml:space="preserve">The estimated cost for this initiative is £20,000, covering: • £10,000–£12,000 for external training workshops, materials, and certification from compliance bodies such as ACAS or CIPD. • £5,000–£8,000 for a policy audit and inclusion framework update. • £5,000 initial setup and £2,000–£3,000 per year for an anonymous digital reporting system (e.g., </w:t>
      </w:r>
      <w:proofErr w:type="spellStart"/>
      <w:r w:rsidRPr="006C0D3D">
        <w:rPr>
          <w:rFonts w:ascii="Arial" w:hAnsi="Arial" w:cs="Arial"/>
          <w:sz w:val="24"/>
          <w:szCs w:val="24"/>
        </w:rPr>
        <w:t>SpeakUp</w:t>
      </w:r>
      <w:proofErr w:type="spellEnd"/>
      <w:r w:rsidRPr="006C0D3D">
        <w:rPr>
          <w:rFonts w:ascii="Arial" w:hAnsi="Arial" w:cs="Arial"/>
          <w:sz w:val="24"/>
          <w:szCs w:val="24"/>
        </w:rPr>
        <w:t xml:space="preserve"> or Navex).</w:t>
      </w:r>
    </w:p>
    <w:p w14:paraId="0FFBB760"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The implementation should be staggered over nine months, starting with policy reviews (three months), training rollout (six months), and final compliance checks. Expected benefits include lower legal risks, improved organisational culture, and increased employee trust. However, ensuring ongoing policy enforcement and cultural adaptation remains a challenge. Moreover, referencing examples of similar companies that have successfully implemented sexual harassment training (like Microsoft) would highlight the potential effectiveness of these investments.</w:t>
      </w:r>
    </w:p>
    <w:p w14:paraId="46B68CA1" w14:textId="08CAC43C" w:rsidR="00CD6AF6" w:rsidRPr="006C0D3D" w:rsidRDefault="00CD6AF6" w:rsidP="00C0612D">
      <w:pPr>
        <w:pStyle w:val="ListParagraph"/>
        <w:numPr>
          <w:ilvl w:val="2"/>
          <w:numId w:val="21"/>
        </w:numPr>
        <w:jc w:val="both"/>
        <w:rPr>
          <w:rFonts w:ascii="Arial" w:hAnsi="Arial" w:cs="Arial"/>
          <w:sz w:val="24"/>
          <w:szCs w:val="24"/>
        </w:rPr>
      </w:pPr>
      <w:r w:rsidRPr="006C0D3D">
        <w:rPr>
          <w:rFonts w:ascii="Arial" w:hAnsi="Arial" w:cs="Arial"/>
          <w:b/>
          <w:bCs/>
          <w:sz w:val="24"/>
          <w:szCs w:val="24"/>
        </w:rPr>
        <w:lastRenderedPageBreak/>
        <w:t>Leveraging Data Analytics for HR Decision-Making</w:t>
      </w:r>
    </w:p>
    <w:p w14:paraId="643DE383"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To improve efficiency, VWNL should integrate AI-driven HR analytics to evaluate recruitment trends, staff performance, and employee turnover risks. Demographic data from sources such as ONS workforce projections should inform hiring strategies and workforce forecasting. Additionally, HR teams must receive specialised training to effectively interpret and apply data insights in workforce planning.</w:t>
      </w:r>
    </w:p>
    <w:p w14:paraId="2444E8AA" w14:textId="44C1ECC5" w:rsidR="009F179A" w:rsidRPr="006C0D3D" w:rsidRDefault="00D86F62" w:rsidP="00CD6AF6">
      <w:pPr>
        <w:jc w:val="both"/>
        <w:rPr>
          <w:rFonts w:ascii="Arial" w:hAnsi="Arial" w:cs="Arial"/>
          <w:sz w:val="24"/>
          <w:szCs w:val="24"/>
        </w:rPr>
      </w:pPr>
      <w:r w:rsidRPr="00D86F62">
        <w:rPr>
          <w:rFonts w:ascii="Arial" w:hAnsi="Arial" w:cs="Arial"/>
          <w:sz w:val="24"/>
          <w:szCs w:val="24"/>
        </w:rPr>
        <w:t>An initial investment of £20,000 has been identified for software licensing, with the full estimated cost being £40,000. The annual maintenance fee of £10,000 will cover technical support, compliance updates, and cybersecurity protections. A feasibility assessment will be conducted to evaluate the financial viability and strategic benefits of securing the remaining funds. If approved, implementation is expected to be completed within six months, followed by a three-month HR team training period.</w:t>
      </w:r>
      <w:r>
        <w:rPr>
          <w:rFonts w:ascii="Arial" w:hAnsi="Arial" w:cs="Arial"/>
          <w:sz w:val="24"/>
          <w:szCs w:val="24"/>
        </w:rPr>
        <w:t xml:space="preserve"> </w:t>
      </w:r>
      <w:commentRangeStart w:id="7"/>
      <w:r w:rsidR="00CD6AF6" w:rsidRPr="006C0D3D">
        <w:rPr>
          <w:rFonts w:ascii="Arial" w:hAnsi="Arial" w:cs="Arial"/>
          <w:sz w:val="24"/>
          <w:szCs w:val="24"/>
        </w:rPr>
        <w:t>Benefits include data-driven hiring strategies, reduced hiring costs, and stronger workforce retention analytics. Potential risks include data privacy concerns and employee resistance to automated decision-making, requiring policy transparency and GDPR compliance measures</w:t>
      </w:r>
      <w:r w:rsidR="001E0A64" w:rsidRPr="006C0D3D">
        <w:rPr>
          <w:rFonts w:ascii="Arial" w:hAnsi="Arial" w:cs="Arial"/>
          <w:sz w:val="24"/>
          <w:szCs w:val="24"/>
        </w:rPr>
        <w:t xml:space="preserve"> (Khulbe,2022</w:t>
      </w:r>
      <w:r w:rsidR="005F5F14" w:rsidRPr="006C0D3D">
        <w:rPr>
          <w:rFonts w:ascii="Arial" w:hAnsi="Arial" w:cs="Arial"/>
          <w:sz w:val="24"/>
          <w:szCs w:val="24"/>
        </w:rPr>
        <w:t>;</w:t>
      </w:r>
      <w:r w:rsidR="00AE5E89">
        <w:rPr>
          <w:rFonts w:ascii="Arial" w:hAnsi="Arial" w:cs="Arial"/>
          <w:sz w:val="24"/>
          <w:szCs w:val="24"/>
        </w:rPr>
        <w:t xml:space="preserve"> </w:t>
      </w:r>
      <w:r w:rsidR="005F5F14" w:rsidRPr="006C0D3D">
        <w:rPr>
          <w:rFonts w:ascii="Arial" w:hAnsi="Arial" w:cs="Arial"/>
          <w:sz w:val="24"/>
          <w:szCs w:val="24"/>
        </w:rPr>
        <w:t>Lekshmi et al.,</w:t>
      </w:r>
      <w:r w:rsidR="00A27CF5" w:rsidRPr="006C0D3D">
        <w:rPr>
          <w:rFonts w:ascii="Arial" w:hAnsi="Arial" w:cs="Arial"/>
          <w:sz w:val="24"/>
          <w:szCs w:val="24"/>
        </w:rPr>
        <w:t>2024</w:t>
      </w:r>
      <w:r w:rsidR="001E0A64" w:rsidRPr="006C0D3D">
        <w:rPr>
          <w:rFonts w:ascii="Arial" w:hAnsi="Arial" w:cs="Arial"/>
          <w:sz w:val="24"/>
          <w:szCs w:val="24"/>
        </w:rPr>
        <w:t>)</w:t>
      </w:r>
      <w:r w:rsidR="00CD6AF6" w:rsidRPr="006C0D3D">
        <w:rPr>
          <w:rFonts w:ascii="Arial" w:hAnsi="Arial" w:cs="Arial"/>
          <w:sz w:val="24"/>
          <w:szCs w:val="24"/>
        </w:rPr>
        <w:t>.</w:t>
      </w:r>
      <w:commentRangeEnd w:id="7"/>
      <w:r w:rsidR="002910DB" w:rsidRPr="006C0D3D">
        <w:rPr>
          <w:rStyle w:val="CommentReference"/>
          <w:rFonts w:ascii="Arial" w:hAnsi="Arial" w:cs="Arial"/>
          <w:sz w:val="24"/>
          <w:szCs w:val="24"/>
        </w:rPr>
        <w:commentReference w:id="7"/>
      </w:r>
      <w:r w:rsidR="009F179A" w:rsidRPr="006C0D3D">
        <w:rPr>
          <w:rFonts w:ascii="Arial" w:hAnsi="Arial" w:cs="Arial"/>
          <w:sz w:val="24"/>
          <w:szCs w:val="24"/>
        </w:rPr>
        <w:t xml:space="preserve"> </w:t>
      </w:r>
    </w:p>
    <w:p w14:paraId="0112103C" w14:textId="77777777" w:rsidR="00AF6B67" w:rsidRPr="006C0D3D" w:rsidRDefault="00AF6B67" w:rsidP="00CD6AF6">
      <w:pPr>
        <w:jc w:val="both"/>
        <w:rPr>
          <w:rFonts w:ascii="Arial" w:hAnsi="Arial" w:cs="Arial"/>
          <w:sz w:val="24"/>
          <w:szCs w:val="24"/>
        </w:rPr>
      </w:pPr>
    </w:p>
    <w:p w14:paraId="76872EED" w14:textId="29ED85B6" w:rsidR="00CD6AF6" w:rsidRPr="006C0D3D" w:rsidRDefault="00D66A0B" w:rsidP="00CD6AF6">
      <w:pPr>
        <w:jc w:val="both"/>
        <w:rPr>
          <w:rFonts w:ascii="Arial" w:hAnsi="Arial" w:cs="Arial"/>
          <w:sz w:val="24"/>
          <w:szCs w:val="24"/>
        </w:rPr>
      </w:pPr>
      <w:r w:rsidRPr="006C0D3D">
        <w:rPr>
          <w:rFonts w:ascii="Arial" w:hAnsi="Arial" w:cs="Arial"/>
          <w:b/>
          <w:bCs/>
          <w:sz w:val="24"/>
          <w:szCs w:val="24"/>
        </w:rPr>
        <w:t>1.</w:t>
      </w:r>
      <w:r w:rsidR="00C0612D" w:rsidRPr="006C0D3D">
        <w:rPr>
          <w:rFonts w:ascii="Arial" w:hAnsi="Arial" w:cs="Arial"/>
          <w:b/>
          <w:bCs/>
          <w:sz w:val="24"/>
          <w:szCs w:val="24"/>
        </w:rPr>
        <w:t xml:space="preserve">7.6 </w:t>
      </w:r>
      <w:r w:rsidRPr="006C0D3D">
        <w:rPr>
          <w:rFonts w:ascii="Arial" w:hAnsi="Arial" w:cs="Arial"/>
          <w:b/>
          <w:bCs/>
          <w:sz w:val="24"/>
          <w:szCs w:val="24"/>
        </w:rPr>
        <w:t xml:space="preserve">    </w:t>
      </w:r>
      <w:r w:rsidR="00CD6AF6" w:rsidRPr="006C0D3D">
        <w:rPr>
          <w:rFonts w:ascii="Arial" w:hAnsi="Arial" w:cs="Arial"/>
          <w:b/>
          <w:bCs/>
          <w:sz w:val="24"/>
          <w:szCs w:val="24"/>
        </w:rPr>
        <w:t>Summary of Key Recommendations with Cost Breakdown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37"/>
        <w:gridCol w:w="2523"/>
        <w:gridCol w:w="2157"/>
        <w:gridCol w:w="1699"/>
      </w:tblGrid>
      <w:tr w:rsidR="006C0D3D" w:rsidRPr="006C0D3D" w14:paraId="1823BBE0" w14:textId="77777777" w:rsidTr="00CD6AF6">
        <w:trPr>
          <w:tblHeader/>
          <w:tblCellSpacing w:w="15" w:type="dxa"/>
        </w:trPr>
        <w:tc>
          <w:tcPr>
            <w:tcW w:w="0" w:type="auto"/>
            <w:vAlign w:val="center"/>
            <w:hideMark/>
          </w:tcPr>
          <w:p w14:paraId="3B202638" w14:textId="77777777" w:rsidR="00CD6AF6" w:rsidRPr="006C0D3D" w:rsidRDefault="00CD6AF6" w:rsidP="00CD6AF6">
            <w:pPr>
              <w:jc w:val="both"/>
              <w:rPr>
                <w:rFonts w:ascii="Arial" w:hAnsi="Arial" w:cs="Arial"/>
                <w:b/>
                <w:bCs/>
                <w:sz w:val="24"/>
                <w:szCs w:val="24"/>
              </w:rPr>
            </w:pPr>
            <w:r w:rsidRPr="006C0D3D">
              <w:rPr>
                <w:rFonts w:ascii="Arial" w:hAnsi="Arial" w:cs="Arial"/>
                <w:b/>
                <w:bCs/>
                <w:sz w:val="24"/>
                <w:szCs w:val="24"/>
              </w:rPr>
              <w:t>Recommendation</w:t>
            </w:r>
          </w:p>
        </w:tc>
        <w:tc>
          <w:tcPr>
            <w:tcW w:w="0" w:type="auto"/>
            <w:vAlign w:val="center"/>
            <w:hideMark/>
          </w:tcPr>
          <w:p w14:paraId="5B671061" w14:textId="77777777" w:rsidR="00CD6AF6" w:rsidRPr="006C0D3D" w:rsidRDefault="00CD6AF6" w:rsidP="00CD6AF6">
            <w:pPr>
              <w:jc w:val="both"/>
              <w:rPr>
                <w:rFonts w:ascii="Arial" w:hAnsi="Arial" w:cs="Arial"/>
                <w:b/>
                <w:bCs/>
                <w:sz w:val="24"/>
                <w:szCs w:val="24"/>
              </w:rPr>
            </w:pPr>
            <w:r w:rsidRPr="006C0D3D">
              <w:rPr>
                <w:rFonts w:ascii="Arial" w:hAnsi="Arial" w:cs="Arial"/>
                <w:b/>
                <w:bCs/>
                <w:sz w:val="24"/>
                <w:szCs w:val="24"/>
              </w:rPr>
              <w:t>Estimated Cost (£)</w:t>
            </w:r>
          </w:p>
        </w:tc>
        <w:tc>
          <w:tcPr>
            <w:tcW w:w="0" w:type="auto"/>
            <w:vAlign w:val="center"/>
            <w:hideMark/>
          </w:tcPr>
          <w:p w14:paraId="1BEC3182" w14:textId="77777777" w:rsidR="00CD6AF6" w:rsidRPr="006C0D3D" w:rsidRDefault="00CD6AF6" w:rsidP="00CD6AF6">
            <w:pPr>
              <w:jc w:val="both"/>
              <w:rPr>
                <w:rFonts w:ascii="Arial" w:hAnsi="Arial" w:cs="Arial"/>
                <w:b/>
                <w:bCs/>
                <w:sz w:val="24"/>
                <w:szCs w:val="24"/>
              </w:rPr>
            </w:pPr>
            <w:r w:rsidRPr="006C0D3D">
              <w:rPr>
                <w:rFonts w:ascii="Arial" w:hAnsi="Arial" w:cs="Arial"/>
                <w:b/>
                <w:bCs/>
                <w:sz w:val="24"/>
                <w:szCs w:val="24"/>
              </w:rPr>
              <w:t>Breakdown</w:t>
            </w:r>
          </w:p>
        </w:tc>
        <w:tc>
          <w:tcPr>
            <w:tcW w:w="0" w:type="auto"/>
            <w:vAlign w:val="center"/>
            <w:hideMark/>
          </w:tcPr>
          <w:p w14:paraId="4F33FAA7" w14:textId="77777777" w:rsidR="00CD6AF6" w:rsidRPr="006C0D3D" w:rsidRDefault="00CD6AF6" w:rsidP="00CD6AF6">
            <w:pPr>
              <w:jc w:val="both"/>
              <w:rPr>
                <w:rFonts w:ascii="Arial" w:hAnsi="Arial" w:cs="Arial"/>
                <w:b/>
                <w:bCs/>
                <w:sz w:val="24"/>
                <w:szCs w:val="24"/>
              </w:rPr>
            </w:pPr>
            <w:r w:rsidRPr="006C0D3D">
              <w:rPr>
                <w:rFonts w:ascii="Arial" w:hAnsi="Arial" w:cs="Arial"/>
                <w:b/>
                <w:bCs/>
                <w:sz w:val="24"/>
                <w:szCs w:val="24"/>
              </w:rPr>
              <w:t>Timeline</w:t>
            </w:r>
          </w:p>
        </w:tc>
      </w:tr>
      <w:tr w:rsidR="006C0D3D" w:rsidRPr="006C0D3D" w14:paraId="1DCA5AAA" w14:textId="77777777" w:rsidTr="00CD6AF6">
        <w:trPr>
          <w:tblCellSpacing w:w="15" w:type="dxa"/>
        </w:trPr>
        <w:tc>
          <w:tcPr>
            <w:tcW w:w="0" w:type="auto"/>
            <w:vAlign w:val="center"/>
            <w:hideMark/>
          </w:tcPr>
          <w:p w14:paraId="2DEB46BC"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Apprenticeship Programme Expansion</w:t>
            </w:r>
          </w:p>
        </w:tc>
        <w:tc>
          <w:tcPr>
            <w:tcW w:w="0" w:type="auto"/>
            <w:vAlign w:val="center"/>
            <w:hideMark/>
          </w:tcPr>
          <w:p w14:paraId="36056347"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 xml:space="preserve">50,000 </w:t>
            </w:r>
            <w:proofErr w:type="gramStart"/>
            <w:r w:rsidRPr="006C0D3D">
              <w:rPr>
                <w:rFonts w:ascii="Arial" w:hAnsi="Arial" w:cs="Arial"/>
                <w:sz w:val="24"/>
                <w:szCs w:val="24"/>
              </w:rPr>
              <w:t>setup</w:t>
            </w:r>
            <w:proofErr w:type="gramEnd"/>
            <w:r w:rsidRPr="006C0D3D">
              <w:rPr>
                <w:rFonts w:ascii="Arial" w:hAnsi="Arial" w:cs="Arial"/>
                <w:sz w:val="24"/>
                <w:szCs w:val="24"/>
              </w:rPr>
              <w:t>, 10,000–15,000 per apprentice/year</w:t>
            </w:r>
          </w:p>
        </w:tc>
        <w:tc>
          <w:tcPr>
            <w:tcW w:w="0" w:type="auto"/>
            <w:vAlign w:val="center"/>
            <w:hideMark/>
          </w:tcPr>
          <w:p w14:paraId="07BE717D"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Training, wages, partnerships, mentoring</w:t>
            </w:r>
          </w:p>
        </w:tc>
        <w:tc>
          <w:tcPr>
            <w:tcW w:w="0" w:type="auto"/>
            <w:vAlign w:val="center"/>
            <w:hideMark/>
          </w:tcPr>
          <w:p w14:paraId="301481F5"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6–12 months pilot, 24 months rollout</w:t>
            </w:r>
          </w:p>
        </w:tc>
      </w:tr>
      <w:tr w:rsidR="006C0D3D" w:rsidRPr="006C0D3D" w14:paraId="2341C7D1" w14:textId="77777777" w:rsidTr="00CD6AF6">
        <w:trPr>
          <w:tblCellSpacing w:w="15" w:type="dxa"/>
        </w:trPr>
        <w:tc>
          <w:tcPr>
            <w:tcW w:w="0" w:type="auto"/>
            <w:vAlign w:val="center"/>
            <w:hideMark/>
          </w:tcPr>
          <w:p w14:paraId="7704EA3F"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Workforce Planning &amp; Retention</w:t>
            </w:r>
          </w:p>
        </w:tc>
        <w:tc>
          <w:tcPr>
            <w:tcW w:w="0" w:type="auto"/>
            <w:vAlign w:val="center"/>
            <w:hideMark/>
          </w:tcPr>
          <w:p w14:paraId="129B5F76"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30,000 setup, 5,000/year maintenance</w:t>
            </w:r>
          </w:p>
        </w:tc>
        <w:tc>
          <w:tcPr>
            <w:tcW w:w="0" w:type="auto"/>
            <w:vAlign w:val="center"/>
            <w:hideMark/>
          </w:tcPr>
          <w:p w14:paraId="6DA9ECFC"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AI-driven HR analytics, software updates</w:t>
            </w:r>
          </w:p>
        </w:tc>
        <w:tc>
          <w:tcPr>
            <w:tcW w:w="0" w:type="auto"/>
            <w:vAlign w:val="center"/>
            <w:hideMark/>
          </w:tcPr>
          <w:p w14:paraId="2AF56573"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6–9 months</w:t>
            </w:r>
          </w:p>
        </w:tc>
      </w:tr>
      <w:tr w:rsidR="006C0D3D" w:rsidRPr="006C0D3D" w14:paraId="72E50BC7" w14:textId="77777777" w:rsidTr="00CD6AF6">
        <w:trPr>
          <w:tblCellSpacing w:w="15" w:type="dxa"/>
        </w:trPr>
        <w:tc>
          <w:tcPr>
            <w:tcW w:w="0" w:type="auto"/>
            <w:vAlign w:val="center"/>
            <w:hideMark/>
          </w:tcPr>
          <w:p w14:paraId="2D9B6B01"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Employment Rights &amp; Union Engagement</w:t>
            </w:r>
          </w:p>
        </w:tc>
        <w:tc>
          <w:tcPr>
            <w:tcW w:w="0" w:type="auto"/>
            <w:vAlign w:val="center"/>
            <w:hideMark/>
          </w:tcPr>
          <w:p w14:paraId="3E64C32E"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5,000–10,000 training, 15,000 contract review</w:t>
            </w:r>
          </w:p>
        </w:tc>
        <w:tc>
          <w:tcPr>
            <w:tcW w:w="0" w:type="auto"/>
            <w:vAlign w:val="center"/>
            <w:hideMark/>
          </w:tcPr>
          <w:p w14:paraId="3AA08FEE"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Management training, legal advisory</w:t>
            </w:r>
          </w:p>
        </w:tc>
        <w:tc>
          <w:tcPr>
            <w:tcW w:w="0" w:type="auto"/>
            <w:vAlign w:val="center"/>
            <w:hideMark/>
          </w:tcPr>
          <w:p w14:paraId="3CBE7D98"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12 months</w:t>
            </w:r>
          </w:p>
        </w:tc>
      </w:tr>
      <w:tr w:rsidR="006C0D3D" w:rsidRPr="006C0D3D" w14:paraId="18779BF2" w14:textId="77777777" w:rsidTr="00CD6AF6">
        <w:trPr>
          <w:tblCellSpacing w:w="15" w:type="dxa"/>
        </w:trPr>
        <w:tc>
          <w:tcPr>
            <w:tcW w:w="0" w:type="auto"/>
            <w:vAlign w:val="center"/>
            <w:hideMark/>
          </w:tcPr>
          <w:p w14:paraId="5801D025"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Sexual Harassment Compliance</w:t>
            </w:r>
          </w:p>
        </w:tc>
        <w:tc>
          <w:tcPr>
            <w:tcW w:w="0" w:type="auto"/>
            <w:vAlign w:val="center"/>
            <w:hideMark/>
          </w:tcPr>
          <w:p w14:paraId="589B0936"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20,000 setup, 5,000/year</w:t>
            </w:r>
          </w:p>
        </w:tc>
        <w:tc>
          <w:tcPr>
            <w:tcW w:w="0" w:type="auto"/>
            <w:vAlign w:val="center"/>
            <w:hideMark/>
          </w:tcPr>
          <w:p w14:paraId="4EBD3A6D"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Training, policy audits, reporting system</w:t>
            </w:r>
          </w:p>
        </w:tc>
        <w:tc>
          <w:tcPr>
            <w:tcW w:w="0" w:type="auto"/>
            <w:vAlign w:val="center"/>
            <w:hideMark/>
          </w:tcPr>
          <w:p w14:paraId="4C775152"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3–9 months</w:t>
            </w:r>
          </w:p>
        </w:tc>
      </w:tr>
      <w:tr w:rsidR="006C0D3D" w:rsidRPr="006C0D3D" w14:paraId="35028D14" w14:textId="77777777" w:rsidTr="00CD6AF6">
        <w:trPr>
          <w:tblCellSpacing w:w="15" w:type="dxa"/>
        </w:trPr>
        <w:tc>
          <w:tcPr>
            <w:tcW w:w="0" w:type="auto"/>
            <w:vAlign w:val="center"/>
            <w:hideMark/>
          </w:tcPr>
          <w:p w14:paraId="3FA64EA2"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HR Data Analytics</w:t>
            </w:r>
          </w:p>
        </w:tc>
        <w:tc>
          <w:tcPr>
            <w:tcW w:w="0" w:type="auto"/>
            <w:vAlign w:val="center"/>
            <w:hideMark/>
          </w:tcPr>
          <w:p w14:paraId="6A236DC6"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40,000 setup, 10,000/year</w:t>
            </w:r>
          </w:p>
        </w:tc>
        <w:tc>
          <w:tcPr>
            <w:tcW w:w="0" w:type="auto"/>
            <w:vAlign w:val="center"/>
            <w:hideMark/>
          </w:tcPr>
          <w:p w14:paraId="6C37255C"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Software licensing, HR training, IT support</w:t>
            </w:r>
          </w:p>
        </w:tc>
        <w:tc>
          <w:tcPr>
            <w:tcW w:w="0" w:type="auto"/>
            <w:vAlign w:val="center"/>
            <w:hideMark/>
          </w:tcPr>
          <w:p w14:paraId="1AA131DC" w14:textId="77777777" w:rsidR="00CD6AF6" w:rsidRPr="006C0D3D" w:rsidRDefault="00CD6AF6" w:rsidP="00CD6AF6">
            <w:pPr>
              <w:jc w:val="both"/>
              <w:rPr>
                <w:rFonts w:ascii="Arial" w:hAnsi="Arial" w:cs="Arial"/>
                <w:sz w:val="24"/>
                <w:szCs w:val="24"/>
              </w:rPr>
            </w:pPr>
            <w:r w:rsidRPr="006C0D3D">
              <w:rPr>
                <w:rFonts w:ascii="Arial" w:hAnsi="Arial" w:cs="Arial"/>
                <w:sz w:val="24"/>
                <w:szCs w:val="24"/>
              </w:rPr>
              <w:t>6–9 months</w:t>
            </w:r>
          </w:p>
        </w:tc>
      </w:tr>
    </w:tbl>
    <w:p w14:paraId="53C625A7" w14:textId="77777777" w:rsidR="0023344B" w:rsidRPr="006C0D3D" w:rsidRDefault="0023344B" w:rsidP="00CD6AF6">
      <w:pPr>
        <w:jc w:val="both"/>
        <w:rPr>
          <w:rFonts w:ascii="Arial" w:hAnsi="Arial" w:cs="Arial"/>
          <w:sz w:val="24"/>
          <w:szCs w:val="24"/>
        </w:rPr>
      </w:pPr>
    </w:p>
    <w:p w14:paraId="3DEB0F08" w14:textId="66793A80" w:rsidR="00CD6AF6" w:rsidRPr="006C0D3D" w:rsidRDefault="00CD6AF6" w:rsidP="00CD6AF6">
      <w:pPr>
        <w:jc w:val="both"/>
        <w:rPr>
          <w:rFonts w:ascii="Arial" w:hAnsi="Arial" w:cs="Arial"/>
          <w:sz w:val="24"/>
          <w:szCs w:val="24"/>
        </w:rPr>
      </w:pPr>
      <w:r w:rsidRPr="006C0D3D">
        <w:rPr>
          <w:rFonts w:ascii="Arial" w:hAnsi="Arial" w:cs="Arial"/>
          <w:sz w:val="24"/>
          <w:szCs w:val="24"/>
        </w:rPr>
        <w:t xml:space="preserve">By implementing these strategic HRM initiatives, VWNL can effectively address labour shortages, strengthen workforce planning, ensure compliance with employment laws, and enhance workplace inclusivity. A structured, evidence-based approach, backed by </w:t>
      </w:r>
      <w:r w:rsidRPr="006C0D3D">
        <w:rPr>
          <w:rFonts w:ascii="Arial" w:hAnsi="Arial" w:cs="Arial"/>
          <w:sz w:val="24"/>
          <w:szCs w:val="24"/>
        </w:rPr>
        <w:lastRenderedPageBreak/>
        <w:t>investment in technology, employee development, and regulatory compliance, will ensure that VWNL remains competitive, legally compliant, and an employer of choice. Investing in apprenticeships and talent pipelines will secure a skilled workforce, while trade union collaboration and compliance measures will improve employee relations and regulatory adherence. Enhancing workplace inclusivity and leveraging data-driven HR decision-making will position VWNL for long-term sustainability and growth. Through stakeholder engagement, effective workforce planning, and continuous policy development, VWNL can navigate external challenges while fostering a resilient, high-performing workforce that supports the company’s strategic vision.</w:t>
      </w:r>
    </w:p>
    <w:p w14:paraId="0F867A5B" w14:textId="77777777" w:rsidR="007B54B0" w:rsidRPr="00DD7F8A" w:rsidRDefault="007B54B0" w:rsidP="00CD6AF6">
      <w:pPr>
        <w:jc w:val="both"/>
        <w:rPr>
          <w:rFonts w:ascii="Arial" w:hAnsi="Arial" w:cs="Arial"/>
          <w:sz w:val="24"/>
          <w:szCs w:val="24"/>
        </w:rPr>
      </w:pPr>
    </w:p>
    <w:p w14:paraId="3529ACF3" w14:textId="77777777" w:rsidR="007B54B0" w:rsidRPr="00024755" w:rsidRDefault="007B54B0" w:rsidP="007B54B0">
      <w:pPr>
        <w:spacing w:before="100" w:beforeAutospacing="1" w:after="100" w:afterAutospacing="1" w:line="240" w:lineRule="auto"/>
        <w:jc w:val="both"/>
        <w:rPr>
          <w:rFonts w:ascii="Arial" w:eastAsia="Calibri" w:hAnsi="Arial" w:cs="Arial"/>
          <w:b/>
          <w:bCs/>
          <w:sz w:val="24"/>
          <w:szCs w:val="24"/>
        </w:rPr>
      </w:pPr>
      <w:r w:rsidRPr="00024755">
        <w:rPr>
          <w:rFonts w:ascii="Arial" w:eastAsia="Calibri" w:hAnsi="Arial" w:cs="Arial"/>
          <w:b/>
          <w:bCs/>
          <w:sz w:val="24"/>
          <w:szCs w:val="24"/>
        </w:rPr>
        <w:t>1.8 References</w:t>
      </w:r>
    </w:p>
    <w:p w14:paraId="1ADCBBB3"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u w:val="single"/>
        </w:rPr>
      </w:pPr>
      <w:proofErr w:type="spellStart"/>
      <w:r w:rsidRPr="00024755">
        <w:rPr>
          <w:rFonts w:ascii="Arial" w:eastAsia="Calibri" w:hAnsi="Arial" w:cs="Arial"/>
          <w:sz w:val="24"/>
          <w:szCs w:val="24"/>
        </w:rPr>
        <w:t>Acas</w:t>
      </w:r>
      <w:proofErr w:type="spellEnd"/>
      <w:r w:rsidRPr="00024755">
        <w:rPr>
          <w:rFonts w:ascii="Arial" w:eastAsia="Calibri" w:hAnsi="Arial" w:cs="Arial"/>
          <w:sz w:val="24"/>
          <w:szCs w:val="24"/>
        </w:rPr>
        <w:t xml:space="preserve"> (2022) </w:t>
      </w:r>
      <w:r w:rsidRPr="00024755">
        <w:rPr>
          <w:rFonts w:ascii="Arial" w:eastAsia="Calibri" w:hAnsi="Arial" w:cs="Arial"/>
          <w:i/>
          <w:iCs/>
          <w:sz w:val="24"/>
          <w:szCs w:val="24"/>
        </w:rPr>
        <w:t>About Us.</w:t>
      </w:r>
      <w:r w:rsidRPr="00024755">
        <w:rPr>
          <w:rFonts w:ascii="Arial" w:eastAsia="Calibri" w:hAnsi="Arial" w:cs="Arial"/>
          <w:sz w:val="24"/>
          <w:szCs w:val="24"/>
        </w:rPr>
        <w:t xml:space="preserve"> Available at: </w:t>
      </w:r>
      <w:hyperlink r:id="rId13" w:history="1">
        <w:r w:rsidRPr="00024755">
          <w:rPr>
            <w:rFonts w:ascii="Arial" w:eastAsia="Calibri" w:hAnsi="Arial" w:cs="Arial"/>
            <w:color w:val="0563C1" w:themeColor="hyperlink"/>
            <w:sz w:val="24"/>
            <w:szCs w:val="24"/>
            <w:u w:val="single"/>
          </w:rPr>
          <w:t xml:space="preserve">About us | </w:t>
        </w:r>
        <w:proofErr w:type="spellStart"/>
        <w:r w:rsidRPr="00024755">
          <w:rPr>
            <w:rFonts w:ascii="Arial" w:eastAsia="Calibri" w:hAnsi="Arial" w:cs="Arial"/>
            <w:color w:val="0563C1" w:themeColor="hyperlink"/>
            <w:sz w:val="24"/>
            <w:szCs w:val="24"/>
            <w:u w:val="single"/>
          </w:rPr>
          <w:t>Acas</w:t>
        </w:r>
        <w:proofErr w:type="spellEnd"/>
      </w:hyperlink>
      <w:r w:rsidRPr="00024755">
        <w:rPr>
          <w:rFonts w:ascii="Arial" w:eastAsia="Calibri" w:hAnsi="Arial" w:cs="Arial"/>
          <w:color w:val="0563C1" w:themeColor="hyperlink"/>
          <w:sz w:val="24"/>
          <w:szCs w:val="24"/>
          <w:u w:val="single"/>
        </w:rPr>
        <w:t xml:space="preserve"> (Accessed 21 Nov 2024)</w:t>
      </w:r>
    </w:p>
    <w:p w14:paraId="21197834"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proofErr w:type="spellStart"/>
      <w:r w:rsidRPr="00024755">
        <w:rPr>
          <w:rFonts w:ascii="Arial" w:eastAsia="Calibri" w:hAnsi="Arial" w:cs="Arial"/>
          <w:sz w:val="24"/>
          <w:szCs w:val="24"/>
        </w:rPr>
        <w:t>Acas</w:t>
      </w:r>
      <w:proofErr w:type="spellEnd"/>
      <w:r w:rsidRPr="00024755">
        <w:rPr>
          <w:rFonts w:ascii="Arial" w:eastAsia="Calibri" w:hAnsi="Arial" w:cs="Arial"/>
          <w:sz w:val="24"/>
          <w:szCs w:val="24"/>
        </w:rPr>
        <w:t xml:space="preserve"> (2024) </w:t>
      </w:r>
      <w:proofErr w:type="spellStart"/>
      <w:r w:rsidRPr="00024755">
        <w:rPr>
          <w:rFonts w:ascii="Arial" w:eastAsia="Calibri" w:hAnsi="Arial" w:cs="Arial"/>
          <w:i/>
          <w:iCs/>
          <w:sz w:val="24"/>
          <w:szCs w:val="24"/>
        </w:rPr>
        <w:t>Acas</w:t>
      </w:r>
      <w:proofErr w:type="spellEnd"/>
      <w:r w:rsidRPr="00024755">
        <w:rPr>
          <w:rFonts w:ascii="Arial" w:eastAsia="Calibri" w:hAnsi="Arial" w:cs="Arial"/>
          <w:i/>
          <w:iCs/>
          <w:sz w:val="24"/>
          <w:szCs w:val="24"/>
        </w:rPr>
        <w:t xml:space="preserve"> welcomes government's focus on workforce relations.</w:t>
      </w:r>
      <w:r w:rsidRPr="00024755">
        <w:rPr>
          <w:rFonts w:ascii="Arial" w:eastAsia="Calibri" w:hAnsi="Arial" w:cs="Arial"/>
          <w:sz w:val="24"/>
          <w:szCs w:val="24"/>
        </w:rPr>
        <w:t xml:space="preserve"> Available at: </w:t>
      </w:r>
      <w:hyperlink r:id="rId14" w:history="1">
        <w:proofErr w:type="spellStart"/>
        <w:r w:rsidRPr="00024755">
          <w:rPr>
            <w:rFonts w:ascii="Arial" w:eastAsia="Calibri" w:hAnsi="Arial" w:cs="Arial"/>
            <w:color w:val="0563C1" w:themeColor="hyperlink"/>
            <w:sz w:val="24"/>
            <w:szCs w:val="24"/>
            <w:u w:val="single"/>
          </w:rPr>
          <w:t>Acas</w:t>
        </w:r>
        <w:proofErr w:type="spellEnd"/>
        <w:r w:rsidRPr="00024755">
          <w:rPr>
            <w:rFonts w:ascii="Arial" w:eastAsia="Calibri" w:hAnsi="Arial" w:cs="Arial"/>
            <w:color w:val="0563C1" w:themeColor="hyperlink"/>
            <w:sz w:val="24"/>
            <w:szCs w:val="24"/>
            <w:u w:val="single"/>
          </w:rPr>
          <w:t xml:space="preserve"> welcomes government's focus on workforce relations | </w:t>
        </w:r>
        <w:proofErr w:type="spellStart"/>
        <w:r w:rsidRPr="00024755">
          <w:rPr>
            <w:rFonts w:ascii="Arial" w:eastAsia="Calibri" w:hAnsi="Arial" w:cs="Arial"/>
            <w:color w:val="0563C1" w:themeColor="hyperlink"/>
            <w:sz w:val="24"/>
            <w:szCs w:val="24"/>
            <w:u w:val="single"/>
          </w:rPr>
          <w:t>Acas</w:t>
        </w:r>
        <w:proofErr w:type="spellEnd"/>
      </w:hyperlink>
      <w:r w:rsidRPr="00024755">
        <w:rPr>
          <w:rFonts w:ascii="Arial" w:eastAsia="Calibri" w:hAnsi="Arial" w:cs="Arial"/>
          <w:sz w:val="24"/>
          <w:szCs w:val="24"/>
        </w:rPr>
        <w:t xml:space="preserve"> (Accessed 21 Nov 2024)</w:t>
      </w:r>
    </w:p>
    <w:p w14:paraId="692522E1"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proofErr w:type="spellStart"/>
      <w:r w:rsidRPr="00024755">
        <w:rPr>
          <w:rFonts w:ascii="Arial" w:eastAsia="Calibri" w:hAnsi="Arial" w:cs="Arial"/>
          <w:sz w:val="24"/>
          <w:szCs w:val="24"/>
        </w:rPr>
        <w:t>Alberstein</w:t>
      </w:r>
      <w:proofErr w:type="spellEnd"/>
      <w:r w:rsidRPr="00024755">
        <w:rPr>
          <w:rFonts w:ascii="Arial" w:eastAsia="Calibri" w:hAnsi="Arial" w:cs="Arial"/>
          <w:sz w:val="24"/>
          <w:szCs w:val="24"/>
        </w:rPr>
        <w:t xml:space="preserve"> M. and Rosenberg-</w:t>
      </w:r>
      <w:proofErr w:type="spellStart"/>
      <w:proofErr w:type="gramStart"/>
      <w:r w:rsidRPr="00024755">
        <w:rPr>
          <w:rFonts w:ascii="Arial" w:eastAsia="Calibri" w:hAnsi="Arial" w:cs="Arial"/>
          <w:sz w:val="24"/>
          <w:szCs w:val="24"/>
        </w:rPr>
        <w:t>Lavi,S</w:t>
      </w:r>
      <w:proofErr w:type="spellEnd"/>
      <w:r w:rsidRPr="00024755">
        <w:rPr>
          <w:rFonts w:ascii="Arial" w:eastAsia="Calibri" w:hAnsi="Arial" w:cs="Arial"/>
          <w:sz w:val="24"/>
          <w:szCs w:val="24"/>
        </w:rPr>
        <w:t>.</w:t>
      </w:r>
      <w:proofErr w:type="gramEnd"/>
      <w:r w:rsidRPr="00024755">
        <w:rPr>
          <w:rFonts w:ascii="Arial" w:eastAsia="Calibri" w:hAnsi="Arial" w:cs="Arial"/>
          <w:sz w:val="24"/>
          <w:szCs w:val="24"/>
        </w:rPr>
        <w:t xml:space="preserve">, (2024) In the Shadow of the Law: Applying Therapeutic Approaches to Sexual Harassment Conflicts in the Context of #MeToo, 24 Pepp. Disp. Resol. L.J. 227 Available at: </w:t>
      </w:r>
      <w:hyperlink r:id="rId15" w:history="1">
        <w:r w:rsidRPr="00024755">
          <w:rPr>
            <w:rFonts w:ascii="Arial" w:eastAsia="Calibri" w:hAnsi="Arial" w:cs="Arial"/>
            <w:color w:val="0563C1" w:themeColor="hyperlink"/>
            <w:sz w:val="24"/>
            <w:szCs w:val="24"/>
            <w:u w:val="single"/>
          </w:rPr>
          <w:t>https://digitalcommons.pepperdine.edu/drlj/vol24/iss1/6</w:t>
        </w:r>
      </w:hyperlink>
      <w:r w:rsidRPr="00024755">
        <w:rPr>
          <w:rFonts w:ascii="Arial" w:eastAsia="Calibri" w:hAnsi="Arial" w:cs="Arial"/>
          <w:sz w:val="24"/>
          <w:szCs w:val="24"/>
        </w:rPr>
        <w:t xml:space="preserve"> (Accessed 13 Dec 2024)</w:t>
      </w:r>
    </w:p>
    <w:p w14:paraId="50B7F039"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proofErr w:type="spellStart"/>
      <w:r w:rsidRPr="00024755">
        <w:rPr>
          <w:rFonts w:ascii="Arial" w:eastAsia="Calibri" w:hAnsi="Arial" w:cs="Arial"/>
          <w:sz w:val="24"/>
          <w:szCs w:val="24"/>
        </w:rPr>
        <w:t>Amega</w:t>
      </w:r>
      <w:proofErr w:type="spellEnd"/>
      <w:r w:rsidRPr="00024755">
        <w:rPr>
          <w:rFonts w:ascii="Arial" w:eastAsia="Calibri" w:hAnsi="Arial" w:cs="Arial"/>
          <w:sz w:val="24"/>
          <w:szCs w:val="24"/>
        </w:rPr>
        <w:t xml:space="preserve">, K., Moumouni, Y., </w:t>
      </w:r>
      <w:proofErr w:type="spellStart"/>
      <w:r w:rsidRPr="00024755">
        <w:rPr>
          <w:rFonts w:ascii="Arial" w:eastAsia="Calibri" w:hAnsi="Arial" w:cs="Arial"/>
          <w:sz w:val="24"/>
          <w:szCs w:val="24"/>
        </w:rPr>
        <w:t>Laré</w:t>
      </w:r>
      <w:proofErr w:type="spellEnd"/>
      <w:r w:rsidRPr="00024755">
        <w:rPr>
          <w:rFonts w:ascii="Arial" w:eastAsia="Calibri" w:hAnsi="Arial" w:cs="Arial"/>
          <w:sz w:val="24"/>
          <w:szCs w:val="24"/>
        </w:rPr>
        <w:t xml:space="preserve">, Y., Bhandari, R., </w:t>
      </w:r>
      <w:proofErr w:type="spellStart"/>
      <w:r w:rsidRPr="00024755">
        <w:rPr>
          <w:rFonts w:ascii="Arial" w:eastAsia="Calibri" w:hAnsi="Arial" w:cs="Arial"/>
          <w:sz w:val="24"/>
          <w:szCs w:val="24"/>
        </w:rPr>
        <w:t>Takouda</w:t>
      </w:r>
      <w:proofErr w:type="spellEnd"/>
      <w:r w:rsidRPr="00024755">
        <w:rPr>
          <w:rFonts w:ascii="Arial" w:eastAsia="Calibri" w:hAnsi="Arial" w:cs="Arial"/>
          <w:sz w:val="24"/>
          <w:szCs w:val="24"/>
        </w:rPr>
        <w:t xml:space="preserve">, P., &amp; </w:t>
      </w:r>
      <w:proofErr w:type="spellStart"/>
      <w:r w:rsidRPr="00024755">
        <w:rPr>
          <w:rFonts w:ascii="Arial" w:eastAsia="Calibri" w:hAnsi="Arial" w:cs="Arial"/>
          <w:sz w:val="24"/>
          <w:szCs w:val="24"/>
        </w:rPr>
        <w:t>Madougou</w:t>
      </w:r>
      <w:proofErr w:type="spellEnd"/>
      <w:r w:rsidRPr="00024755">
        <w:rPr>
          <w:rFonts w:ascii="Arial" w:eastAsia="Calibri" w:hAnsi="Arial" w:cs="Arial"/>
          <w:sz w:val="24"/>
          <w:szCs w:val="24"/>
        </w:rPr>
        <w:t>, S. (2024) Power system transformation in emerging countries: A SWOT/PESTLE analysis approach towards resiliency and reliability. </w:t>
      </w:r>
      <w:proofErr w:type="spellStart"/>
      <w:r w:rsidRPr="00024755">
        <w:rPr>
          <w:rFonts w:ascii="Arial" w:eastAsia="Calibri" w:hAnsi="Arial" w:cs="Arial"/>
          <w:i/>
          <w:iCs/>
          <w:sz w:val="24"/>
          <w:szCs w:val="24"/>
        </w:rPr>
        <w:t>Heliyon</w:t>
      </w:r>
      <w:proofErr w:type="spellEnd"/>
      <w:r w:rsidRPr="00024755">
        <w:rPr>
          <w:rFonts w:ascii="Arial" w:eastAsia="Calibri" w:hAnsi="Arial" w:cs="Arial"/>
          <w:sz w:val="24"/>
          <w:szCs w:val="24"/>
        </w:rPr>
        <w:t>, </w:t>
      </w:r>
      <w:r w:rsidRPr="00024755">
        <w:rPr>
          <w:rFonts w:ascii="Arial" w:eastAsia="Calibri" w:hAnsi="Arial" w:cs="Arial"/>
          <w:i/>
          <w:iCs/>
          <w:sz w:val="24"/>
          <w:szCs w:val="24"/>
        </w:rPr>
        <w:t>10</w:t>
      </w:r>
      <w:r w:rsidRPr="00024755">
        <w:rPr>
          <w:rFonts w:ascii="Arial" w:eastAsia="Calibri" w:hAnsi="Arial" w:cs="Arial"/>
          <w:sz w:val="24"/>
          <w:szCs w:val="24"/>
        </w:rPr>
        <w:t xml:space="preserve">(12), e33018. </w:t>
      </w:r>
      <w:hyperlink r:id="rId16" w:history="1">
        <w:r w:rsidRPr="00024755">
          <w:rPr>
            <w:rFonts w:ascii="Arial" w:eastAsia="Calibri" w:hAnsi="Arial" w:cs="Arial"/>
            <w:color w:val="0563C1" w:themeColor="hyperlink"/>
            <w:sz w:val="24"/>
            <w:szCs w:val="24"/>
            <w:u w:val="single"/>
          </w:rPr>
          <w:t>https://doi.org/10.1016/j.heliyon.2024.e33018</w:t>
        </w:r>
      </w:hyperlink>
      <w:r w:rsidRPr="00024755">
        <w:rPr>
          <w:rFonts w:ascii="Arial" w:eastAsia="Calibri" w:hAnsi="Arial" w:cs="Arial"/>
          <w:sz w:val="24"/>
          <w:szCs w:val="24"/>
        </w:rPr>
        <w:t xml:space="preserve"> </w:t>
      </w:r>
    </w:p>
    <w:p w14:paraId="3B87966B"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bookmarkStart w:id="8" w:name="_Hlk183712494"/>
      <w:r w:rsidRPr="00024755">
        <w:rPr>
          <w:rFonts w:ascii="Arial" w:eastAsia="Calibri" w:hAnsi="Arial" w:cs="Arial"/>
          <w:sz w:val="24"/>
          <w:szCs w:val="24"/>
        </w:rPr>
        <w:t xml:space="preserve">Aoki, K., Delbridge, R. and Endo, T. (2014) </w:t>
      </w:r>
      <w:bookmarkEnd w:id="8"/>
      <w:r w:rsidRPr="00024755">
        <w:rPr>
          <w:rFonts w:ascii="Arial" w:eastAsia="Calibri" w:hAnsi="Arial" w:cs="Arial"/>
          <w:sz w:val="24"/>
          <w:szCs w:val="24"/>
        </w:rPr>
        <w:t xml:space="preserve">‘“Japanese human resource management” in post-bubble Japan’, </w:t>
      </w:r>
      <w:r w:rsidRPr="00024755">
        <w:rPr>
          <w:rFonts w:ascii="Arial" w:eastAsia="Calibri" w:hAnsi="Arial" w:cs="Arial"/>
          <w:i/>
          <w:iCs/>
          <w:sz w:val="24"/>
          <w:szCs w:val="24"/>
        </w:rPr>
        <w:t>International journal of human resource management</w:t>
      </w:r>
      <w:r w:rsidRPr="00024755">
        <w:rPr>
          <w:rFonts w:ascii="Arial" w:eastAsia="Calibri" w:hAnsi="Arial" w:cs="Arial"/>
          <w:sz w:val="24"/>
          <w:szCs w:val="24"/>
        </w:rPr>
        <w:t xml:space="preserve">, 25(18), pp. 2551–2572. </w:t>
      </w:r>
      <w:hyperlink r:id="rId17" w:history="1">
        <w:r w:rsidRPr="00024755">
          <w:rPr>
            <w:rFonts w:ascii="Arial" w:eastAsia="Calibri" w:hAnsi="Arial" w:cs="Arial"/>
            <w:color w:val="0563C1" w:themeColor="hyperlink"/>
            <w:sz w:val="24"/>
            <w:szCs w:val="24"/>
            <w:u w:val="single"/>
          </w:rPr>
          <w:t>https://doi.org/10.1080/09585192.2012.722118</w:t>
        </w:r>
      </w:hyperlink>
      <w:r w:rsidRPr="00024755">
        <w:rPr>
          <w:rFonts w:ascii="Arial" w:eastAsia="Calibri" w:hAnsi="Arial" w:cs="Arial"/>
          <w:sz w:val="24"/>
          <w:szCs w:val="24"/>
        </w:rPr>
        <w:t>.</w:t>
      </w:r>
    </w:p>
    <w:p w14:paraId="5BA26D4C" w14:textId="77777777" w:rsidR="007B54B0" w:rsidRPr="00024755" w:rsidRDefault="007B54B0" w:rsidP="007B54B0">
      <w:pPr>
        <w:jc w:val="both"/>
        <w:rPr>
          <w:rFonts w:ascii="Arial" w:hAnsi="Arial" w:cs="Arial"/>
          <w:color w:val="4472C4" w:themeColor="accent1"/>
          <w:sz w:val="24"/>
          <w:szCs w:val="24"/>
        </w:rPr>
      </w:pPr>
      <w:hyperlink r:id="rId18" w:tooltip="Esther Asiedu" w:history="1">
        <w:r w:rsidRPr="00B37412">
          <w:rPr>
            <w:rStyle w:val="Hyperlink"/>
            <w:rFonts w:ascii="Arial" w:hAnsi="Arial" w:cs="Arial"/>
            <w:color w:val="auto"/>
            <w:sz w:val="24"/>
            <w:szCs w:val="24"/>
          </w:rPr>
          <w:t>Asiedu, E.</w:t>
        </w:r>
      </w:hyperlink>
      <w:r w:rsidRPr="00B37412">
        <w:rPr>
          <w:rFonts w:ascii="Arial" w:hAnsi="Arial" w:cs="Arial"/>
          <w:sz w:val="24"/>
          <w:szCs w:val="24"/>
        </w:rPr>
        <w:t> and </w:t>
      </w:r>
      <w:hyperlink r:id="rId19" w:tooltip="Emmanuel Senior Tenakwah" w:history="1">
        <w:r w:rsidRPr="00B37412">
          <w:rPr>
            <w:rStyle w:val="Hyperlink"/>
            <w:rFonts w:ascii="Arial" w:hAnsi="Arial" w:cs="Arial"/>
            <w:color w:val="auto"/>
            <w:sz w:val="24"/>
            <w:szCs w:val="24"/>
          </w:rPr>
          <w:t>Tenakwah, E.S.</w:t>
        </w:r>
      </w:hyperlink>
      <w:r w:rsidRPr="00B37412">
        <w:rPr>
          <w:rFonts w:ascii="Arial" w:hAnsi="Arial" w:cs="Arial"/>
          <w:sz w:val="24"/>
          <w:szCs w:val="24"/>
        </w:rPr>
        <w:t> (2025), "Future-proofing your workforce: upskilling and reskilling as HR’s top priorities", </w:t>
      </w:r>
      <w:hyperlink r:id="rId20" w:history="1">
        <w:r w:rsidRPr="00B37412">
          <w:rPr>
            <w:rStyle w:val="Hyperlink"/>
            <w:rFonts w:ascii="Arial" w:hAnsi="Arial" w:cs="Arial"/>
            <w:i/>
            <w:iCs/>
            <w:color w:val="auto"/>
            <w:sz w:val="24"/>
            <w:szCs w:val="24"/>
          </w:rPr>
          <w:t>Strategic HR Review</w:t>
        </w:r>
      </w:hyperlink>
      <w:r w:rsidRPr="00B37412">
        <w:rPr>
          <w:rFonts w:ascii="Arial" w:hAnsi="Arial" w:cs="Arial"/>
          <w:sz w:val="24"/>
          <w:szCs w:val="24"/>
        </w:rPr>
        <w:t>, Vol. ahead-of-print No. ahead-of-print. </w:t>
      </w:r>
      <w:hyperlink r:id="rId21" w:tooltip="DOI: https://doi.org/10.1108/SHR-01-2025-0008" w:history="1">
        <w:r w:rsidRPr="00024755">
          <w:rPr>
            <w:rStyle w:val="Hyperlink"/>
            <w:rFonts w:ascii="Arial" w:hAnsi="Arial" w:cs="Arial"/>
            <w:color w:val="4472C4" w:themeColor="accent1"/>
            <w:sz w:val="24"/>
            <w:szCs w:val="24"/>
          </w:rPr>
          <w:t>https://doi.org/10.1108/SHR-01-2025-0008</w:t>
        </w:r>
      </w:hyperlink>
    </w:p>
    <w:p w14:paraId="0147E211"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Australian Bureau of Statistics (2024) </w:t>
      </w:r>
      <w:r w:rsidRPr="00024755">
        <w:rPr>
          <w:rFonts w:ascii="Arial" w:eastAsia="Calibri" w:hAnsi="Arial" w:cs="Arial"/>
          <w:i/>
          <w:iCs/>
          <w:sz w:val="24"/>
          <w:szCs w:val="24"/>
        </w:rPr>
        <w:t>Trade union membership</w:t>
      </w:r>
      <w:r w:rsidRPr="00024755">
        <w:rPr>
          <w:rFonts w:ascii="Arial" w:eastAsia="Calibri" w:hAnsi="Arial" w:cs="Arial"/>
          <w:sz w:val="24"/>
          <w:szCs w:val="24"/>
        </w:rPr>
        <w:t xml:space="preserve">, ABS. Available at </w:t>
      </w:r>
      <w:hyperlink r:id="rId22" w:history="1">
        <w:r w:rsidRPr="00024755">
          <w:rPr>
            <w:rFonts w:ascii="Arial" w:eastAsia="Calibri" w:hAnsi="Arial" w:cs="Arial"/>
            <w:color w:val="0563C1" w:themeColor="hyperlink"/>
            <w:sz w:val="24"/>
            <w:szCs w:val="24"/>
            <w:u w:val="single"/>
          </w:rPr>
          <w:t>https://www.abs.gov.au/statistics/labour/earnings-and-working-conditions/trade-union-membership/latest-release</w:t>
        </w:r>
      </w:hyperlink>
      <w:r w:rsidRPr="00024755">
        <w:rPr>
          <w:rFonts w:ascii="Arial" w:eastAsia="Calibri" w:hAnsi="Arial" w:cs="Arial"/>
          <w:sz w:val="24"/>
          <w:szCs w:val="24"/>
        </w:rPr>
        <w:t xml:space="preserve"> (Accessed December 13 2024)</w:t>
      </w:r>
    </w:p>
    <w:p w14:paraId="3DB85767" w14:textId="77777777" w:rsidR="007B54B0" w:rsidRPr="00024755" w:rsidRDefault="007B54B0" w:rsidP="007B54B0">
      <w:pPr>
        <w:jc w:val="both"/>
        <w:rPr>
          <w:rFonts w:ascii="Arial" w:hAnsi="Arial" w:cs="Arial"/>
          <w:color w:val="4472C4" w:themeColor="accent1"/>
          <w:sz w:val="24"/>
          <w:szCs w:val="24"/>
        </w:rPr>
      </w:pPr>
      <w:proofErr w:type="spellStart"/>
      <w:r w:rsidRPr="00B37412">
        <w:rPr>
          <w:rFonts w:ascii="Arial" w:hAnsi="Arial" w:cs="Arial"/>
          <w:sz w:val="24"/>
          <w:szCs w:val="24"/>
        </w:rPr>
        <w:t>Bąk</w:t>
      </w:r>
      <w:proofErr w:type="spellEnd"/>
      <w:r w:rsidRPr="00B37412">
        <w:rPr>
          <w:rFonts w:ascii="Arial" w:hAnsi="Arial" w:cs="Arial"/>
          <w:sz w:val="24"/>
          <w:szCs w:val="24"/>
        </w:rPr>
        <w:t xml:space="preserve">, S. and Jedynak, P. (2023) </w:t>
      </w:r>
      <w:r w:rsidRPr="00B37412">
        <w:rPr>
          <w:rFonts w:ascii="Arial" w:hAnsi="Arial" w:cs="Arial"/>
          <w:i/>
          <w:iCs/>
          <w:sz w:val="24"/>
          <w:szCs w:val="24"/>
        </w:rPr>
        <w:t>Risk Management Maturity</w:t>
      </w:r>
      <w:r w:rsidRPr="00B37412">
        <w:rPr>
          <w:rFonts w:ascii="Arial" w:hAnsi="Arial" w:cs="Arial"/>
          <w:sz w:val="24"/>
          <w:szCs w:val="24"/>
        </w:rPr>
        <w:t>. New York: Taylor &amp; Francis</w:t>
      </w:r>
      <w:r w:rsidRPr="00024755">
        <w:rPr>
          <w:rFonts w:ascii="Arial" w:hAnsi="Arial" w:cs="Arial"/>
          <w:color w:val="4472C4" w:themeColor="accent1"/>
          <w:sz w:val="24"/>
          <w:szCs w:val="24"/>
        </w:rPr>
        <w:t>.</w:t>
      </w:r>
    </w:p>
    <w:p w14:paraId="63FDF138"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BBC News (2023) </w:t>
      </w:r>
      <w:r w:rsidRPr="00024755">
        <w:rPr>
          <w:rFonts w:ascii="Arial" w:eastAsia="Calibri" w:hAnsi="Arial" w:cs="Arial"/>
          <w:i/>
          <w:iCs/>
          <w:sz w:val="24"/>
          <w:szCs w:val="24"/>
        </w:rPr>
        <w:t xml:space="preserve">McDonald's workers speak out over sexual abuse claims. </w:t>
      </w:r>
      <w:r w:rsidRPr="00024755">
        <w:rPr>
          <w:rFonts w:ascii="Arial" w:eastAsia="Calibri" w:hAnsi="Arial" w:cs="Arial"/>
          <w:sz w:val="24"/>
          <w:szCs w:val="24"/>
        </w:rPr>
        <w:t xml:space="preserve">Available at: </w:t>
      </w:r>
      <w:hyperlink r:id="rId23" w:history="1">
        <w:r w:rsidRPr="00024755">
          <w:rPr>
            <w:rFonts w:ascii="Arial" w:eastAsia="Calibri" w:hAnsi="Arial" w:cs="Arial"/>
            <w:color w:val="0563C1" w:themeColor="hyperlink"/>
            <w:sz w:val="24"/>
            <w:szCs w:val="24"/>
            <w:u w:val="single"/>
          </w:rPr>
          <w:t>McDonald's workers speak out over sexual abuse claims - BBC News</w:t>
        </w:r>
      </w:hyperlink>
      <w:r w:rsidRPr="00024755">
        <w:rPr>
          <w:rFonts w:ascii="Arial" w:eastAsia="Calibri" w:hAnsi="Arial" w:cs="Arial"/>
          <w:sz w:val="24"/>
          <w:szCs w:val="24"/>
        </w:rPr>
        <w:t xml:space="preserve"> (Accessed 13 Dec 2024)</w:t>
      </w:r>
    </w:p>
    <w:p w14:paraId="201BDEBE" w14:textId="4B6FCFE6" w:rsidR="007B54B0" w:rsidRPr="00024755" w:rsidRDefault="007B54B0" w:rsidP="007B54B0">
      <w:pPr>
        <w:jc w:val="both"/>
        <w:rPr>
          <w:rFonts w:ascii="Arial" w:hAnsi="Arial" w:cs="Arial"/>
          <w:color w:val="4472C4" w:themeColor="accent1"/>
          <w:sz w:val="24"/>
          <w:szCs w:val="24"/>
        </w:rPr>
      </w:pPr>
      <w:r w:rsidRPr="00B37412">
        <w:rPr>
          <w:rFonts w:ascii="Arial" w:hAnsi="Arial" w:cs="Arial"/>
          <w:sz w:val="24"/>
          <w:szCs w:val="24"/>
        </w:rPr>
        <w:lastRenderedPageBreak/>
        <w:t xml:space="preserve">Belak, A. and Thoele, C., (2020) </w:t>
      </w:r>
      <w:r w:rsidR="00B37412">
        <w:rPr>
          <w:rFonts w:ascii="Arial" w:hAnsi="Arial" w:cs="Arial"/>
          <w:sz w:val="24"/>
          <w:szCs w:val="24"/>
        </w:rPr>
        <w:t>W</w:t>
      </w:r>
      <w:r w:rsidR="00B37412" w:rsidRPr="00B37412">
        <w:rPr>
          <w:rFonts w:ascii="Arial" w:hAnsi="Arial" w:cs="Arial"/>
          <w:sz w:val="24"/>
          <w:szCs w:val="24"/>
        </w:rPr>
        <w:t xml:space="preserve">hat in the world is an </w:t>
      </w:r>
      <w:proofErr w:type="gramStart"/>
      <w:r w:rsidR="00B37412" w:rsidRPr="00B37412">
        <w:rPr>
          <w:rFonts w:ascii="Arial" w:hAnsi="Arial" w:cs="Arial"/>
          <w:sz w:val="24"/>
          <w:szCs w:val="24"/>
        </w:rPr>
        <w:t>ombudsman?.</w:t>
      </w:r>
      <w:proofErr w:type="gramEnd"/>
      <w:r w:rsidR="00B37412" w:rsidRPr="00B37412">
        <w:rPr>
          <w:rFonts w:ascii="Arial" w:hAnsi="Arial" w:cs="Arial"/>
          <w:sz w:val="24"/>
          <w:szCs w:val="24"/>
        </w:rPr>
        <w:t xml:space="preserve"> from </w:t>
      </w:r>
      <w:r w:rsidRPr="00B37412">
        <w:rPr>
          <w:rFonts w:ascii="Arial" w:hAnsi="Arial" w:cs="Arial"/>
          <w:sz w:val="24"/>
          <w:szCs w:val="24"/>
        </w:rPr>
        <w:t xml:space="preserve">Discord to Harmony: Making Your Workplace Hum, p.445. Available at: </w:t>
      </w:r>
      <w:hyperlink r:id="rId24" w:anchor="v=onepage&amp;q&amp;f=false" w:history="1">
        <w:r w:rsidRPr="00024755">
          <w:rPr>
            <w:rStyle w:val="Hyperlink"/>
            <w:rFonts w:ascii="Arial" w:hAnsi="Arial" w:cs="Arial"/>
            <w:color w:val="4472C4" w:themeColor="accent1"/>
            <w:sz w:val="24"/>
            <w:szCs w:val="24"/>
          </w:rPr>
          <w:t>From Discord to Harmony: Making Your Workplace Hum - Google Books</w:t>
        </w:r>
      </w:hyperlink>
      <w:r w:rsidRPr="00024755">
        <w:rPr>
          <w:rFonts w:ascii="Arial" w:hAnsi="Arial" w:cs="Arial"/>
          <w:color w:val="4472C4" w:themeColor="accent1"/>
          <w:sz w:val="24"/>
          <w:szCs w:val="24"/>
        </w:rPr>
        <w:t xml:space="preserve"> (Accessed 20 March 2025)</w:t>
      </w:r>
    </w:p>
    <w:p w14:paraId="683CD9FD"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u w:val="single"/>
        </w:rPr>
      </w:pPr>
      <w:proofErr w:type="spellStart"/>
      <w:r w:rsidRPr="00024755">
        <w:rPr>
          <w:rFonts w:ascii="Arial" w:eastAsia="Calibri" w:hAnsi="Arial" w:cs="Arial"/>
          <w:sz w:val="24"/>
          <w:szCs w:val="24"/>
        </w:rPr>
        <w:t>BenMahmoud</w:t>
      </w:r>
      <w:proofErr w:type="spellEnd"/>
      <w:r w:rsidRPr="00024755">
        <w:rPr>
          <w:rFonts w:ascii="Arial" w:eastAsia="Calibri" w:hAnsi="Arial" w:cs="Arial"/>
          <w:sz w:val="24"/>
          <w:szCs w:val="24"/>
        </w:rPr>
        <w:t xml:space="preserve">-Jouini, S., &amp; Charue-Duboc, F., (2022) Integration of an exploration program with its parent organization: A lifecycle perspective. </w:t>
      </w:r>
      <w:r w:rsidRPr="00024755">
        <w:rPr>
          <w:rFonts w:ascii="Arial" w:eastAsia="Calibri" w:hAnsi="Arial" w:cs="Arial"/>
          <w:i/>
          <w:iCs/>
          <w:sz w:val="24"/>
          <w:szCs w:val="24"/>
        </w:rPr>
        <w:t>International Journal of Project Management.</w:t>
      </w:r>
      <w:r w:rsidRPr="00024755">
        <w:rPr>
          <w:rFonts w:ascii="Arial" w:eastAsia="Calibri" w:hAnsi="Arial" w:cs="Arial"/>
          <w:sz w:val="24"/>
          <w:szCs w:val="24"/>
        </w:rPr>
        <w:t xml:space="preserve"> 40. DOI:</w:t>
      </w:r>
      <w:hyperlink r:id="rId25" w:tgtFrame="_blank" w:history="1">
        <w:r w:rsidRPr="00024755">
          <w:rPr>
            <w:rFonts w:ascii="Arial" w:eastAsia="Calibri" w:hAnsi="Arial" w:cs="Arial"/>
            <w:color w:val="0563C1" w:themeColor="hyperlink"/>
            <w:sz w:val="24"/>
            <w:szCs w:val="24"/>
            <w:u w:val="single"/>
          </w:rPr>
          <w:t>10.1016/j.ijproman.2022.05.006</w:t>
        </w:r>
      </w:hyperlink>
    </w:p>
    <w:p w14:paraId="0183BD3E"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proofErr w:type="spellStart"/>
      <w:r w:rsidRPr="00024755">
        <w:rPr>
          <w:rFonts w:ascii="Arial" w:eastAsia="Calibri" w:hAnsi="Arial" w:cs="Arial"/>
          <w:sz w:val="24"/>
          <w:szCs w:val="24"/>
        </w:rPr>
        <w:t>Borghans</w:t>
      </w:r>
      <w:proofErr w:type="spellEnd"/>
      <w:r w:rsidRPr="00024755">
        <w:rPr>
          <w:rFonts w:ascii="Arial" w:eastAsia="Calibri" w:hAnsi="Arial" w:cs="Arial"/>
          <w:sz w:val="24"/>
          <w:szCs w:val="24"/>
        </w:rPr>
        <w:t xml:space="preserve">, L, </w:t>
      </w:r>
      <w:proofErr w:type="spellStart"/>
      <w:r w:rsidRPr="00024755">
        <w:rPr>
          <w:rFonts w:ascii="Arial" w:eastAsia="Calibri" w:hAnsi="Arial" w:cs="Arial"/>
          <w:sz w:val="24"/>
          <w:szCs w:val="24"/>
        </w:rPr>
        <w:t>Fouarge</w:t>
      </w:r>
      <w:proofErr w:type="spellEnd"/>
      <w:r w:rsidRPr="00024755">
        <w:rPr>
          <w:rFonts w:ascii="Arial" w:eastAsia="Calibri" w:hAnsi="Arial" w:cs="Arial"/>
          <w:sz w:val="24"/>
          <w:szCs w:val="24"/>
        </w:rPr>
        <w:t>, D, de Grip, A &amp; van Thor, JAF (2014) '</w:t>
      </w:r>
      <w:proofErr w:type="spellStart"/>
      <w:r w:rsidRPr="00024755">
        <w:rPr>
          <w:rFonts w:ascii="Arial" w:eastAsia="Calibri" w:hAnsi="Arial" w:cs="Arial"/>
          <w:sz w:val="24"/>
          <w:szCs w:val="24"/>
        </w:rPr>
        <w:t>Werken</w:t>
      </w:r>
      <w:proofErr w:type="spellEnd"/>
      <w:r w:rsidRPr="00024755">
        <w:rPr>
          <w:rFonts w:ascii="Arial" w:eastAsia="Calibri" w:hAnsi="Arial" w:cs="Arial"/>
          <w:sz w:val="24"/>
          <w:szCs w:val="24"/>
        </w:rPr>
        <w:t xml:space="preserve"> </w:t>
      </w:r>
      <w:proofErr w:type="spellStart"/>
      <w:r w:rsidRPr="00024755">
        <w:rPr>
          <w:rFonts w:ascii="Arial" w:eastAsia="Calibri" w:hAnsi="Arial" w:cs="Arial"/>
          <w:sz w:val="24"/>
          <w:szCs w:val="24"/>
        </w:rPr>
        <w:t>en</w:t>
      </w:r>
      <w:proofErr w:type="spellEnd"/>
      <w:r w:rsidRPr="00024755">
        <w:rPr>
          <w:rFonts w:ascii="Arial" w:eastAsia="Calibri" w:hAnsi="Arial" w:cs="Arial"/>
          <w:sz w:val="24"/>
          <w:szCs w:val="24"/>
        </w:rPr>
        <w:t xml:space="preserve"> </w:t>
      </w:r>
      <w:proofErr w:type="spellStart"/>
      <w:r w:rsidRPr="00024755">
        <w:rPr>
          <w:rFonts w:ascii="Arial" w:eastAsia="Calibri" w:hAnsi="Arial" w:cs="Arial"/>
          <w:sz w:val="24"/>
          <w:szCs w:val="24"/>
        </w:rPr>
        <w:t>leren</w:t>
      </w:r>
      <w:proofErr w:type="spellEnd"/>
      <w:r w:rsidRPr="00024755">
        <w:rPr>
          <w:rFonts w:ascii="Arial" w:eastAsia="Calibri" w:hAnsi="Arial" w:cs="Arial"/>
          <w:sz w:val="24"/>
          <w:szCs w:val="24"/>
        </w:rPr>
        <w:t xml:space="preserve"> in Nederland' ROA Reports, no. 003, ROA, Maastricht. </w:t>
      </w:r>
      <w:hyperlink r:id="rId26" w:history="1">
        <w:r w:rsidRPr="00024755">
          <w:rPr>
            <w:rFonts w:ascii="Arial" w:eastAsia="Calibri" w:hAnsi="Arial" w:cs="Arial"/>
            <w:color w:val="4472C4" w:themeColor="accent1"/>
            <w:sz w:val="24"/>
            <w:szCs w:val="24"/>
            <w:u w:val="single"/>
          </w:rPr>
          <w:t>https://doi.org/10.26481/umarep.2014003</w:t>
        </w:r>
      </w:hyperlink>
      <w:r w:rsidRPr="00024755">
        <w:rPr>
          <w:rFonts w:ascii="Arial" w:eastAsia="Calibri" w:hAnsi="Arial" w:cs="Arial"/>
          <w:color w:val="4472C4" w:themeColor="accent1"/>
          <w:sz w:val="24"/>
          <w:szCs w:val="24"/>
        </w:rPr>
        <w:t xml:space="preserve"> </w:t>
      </w:r>
    </w:p>
    <w:p w14:paraId="35FFB071"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Brandl, J., Chore, L. I., &amp; Junker, M. (2024) How you value shapes whom you value: The contribution of apprenticeships to sustainable development goals. </w:t>
      </w:r>
      <w:r w:rsidRPr="00024755">
        <w:rPr>
          <w:rFonts w:ascii="Arial" w:eastAsia="Calibri" w:hAnsi="Arial" w:cs="Arial"/>
          <w:i/>
          <w:iCs/>
          <w:sz w:val="24"/>
          <w:szCs w:val="24"/>
        </w:rPr>
        <w:t>Journal of Human Resource Management,</w:t>
      </w:r>
      <w:r w:rsidRPr="00024755">
        <w:rPr>
          <w:rFonts w:ascii="Arial" w:eastAsia="Calibri" w:hAnsi="Arial" w:cs="Arial"/>
          <w:sz w:val="24"/>
          <w:szCs w:val="24"/>
        </w:rPr>
        <w:t xml:space="preserve"> 38(2), 231-256. </w:t>
      </w:r>
      <w:hyperlink r:id="rId27" w:history="1">
        <w:r w:rsidRPr="00024755">
          <w:rPr>
            <w:rFonts w:ascii="Arial" w:eastAsia="Calibri" w:hAnsi="Arial" w:cs="Arial"/>
            <w:color w:val="0563C1" w:themeColor="hyperlink"/>
            <w:sz w:val="24"/>
            <w:szCs w:val="24"/>
            <w:u w:val="single"/>
          </w:rPr>
          <w:t>https://doi.org/10.1177/23970022241239257</w:t>
        </w:r>
      </w:hyperlink>
      <w:r w:rsidRPr="00024755">
        <w:rPr>
          <w:rFonts w:ascii="Arial" w:eastAsia="Calibri" w:hAnsi="Arial" w:cs="Arial"/>
          <w:sz w:val="24"/>
          <w:szCs w:val="24"/>
        </w:rPr>
        <w:t xml:space="preserve"> </w:t>
      </w:r>
    </w:p>
    <w:p w14:paraId="2D20AC61" w14:textId="238A33DB" w:rsidR="007B54B0" w:rsidRPr="006067E5" w:rsidRDefault="007B54B0" w:rsidP="007B54B0">
      <w:pPr>
        <w:jc w:val="both"/>
        <w:rPr>
          <w:rFonts w:ascii="Arial" w:hAnsi="Arial" w:cs="Arial"/>
          <w:sz w:val="24"/>
          <w:szCs w:val="24"/>
        </w:rPr>
      </w:pPr>
      <w:proofErr w:type="spellStart"/>
      <w:r w:rsidRPr="006067E5">
        <w:rPr>
          <w:rFonts w:ascii="Arial" w:hAnsi="Arial" w:cs="Arial"/>
          <w:sz w:val="24"/>
          <w:szCs w:val="24"/>
        </w:rPr>
        <w:t>Bressane</w:t>
      </w:r>
      <w:proofErr w:type="spellEnd"/>
      <w:r w:rsidRPr="006067E5">
        <w:rPr>
          <w:rFonts w:ascii="Arial" w:hAnsi="Arial" w:cs="Arial"/>
          <w:sz w:val="24"/>
          <w:szCs w:val="24"/>
        </w:rPr>
        <w:t>, A. and de Castro, M.V., (2025) Workplace Well-Being Through Nature-Based Solutions: A Fuzzy Framework for Decision-Making. </w:t>
      </w:r>
      <w:r w:rsidRPr="006067E5">
        <w:rPr>
          <w:rFonts w:ascii="Arial" w:hAnsi="Arial" w:cs="Arial"/>
          <w:i/>
          <w:iCs/>
          <w:sz w:val="24"/>
          <w:szCs w:val="24"/>
        </w:rPr>
        <w:t>Buildings (2075-5309)</w:t>
      </w:r>
      <w:r w:rsidRPr="006067E5">
        <w:rPr>
          <w:rFonts w:ascii="Arial" w:hAnsi="Arial" w:cs="Arial"/>
          <w:sz w:val="24"/>
          <w:szCs w:val="24"/>
        </w:rPr>
        <w:t>, </w:t>
      </w:r>
      <w:r w:rsidRPr="006067E5">
        <w:rPr>
          <w:rFonts w:ascii="Arial" w:hAnsi="Arial" w:cs="Arial"/>
          <w:i/>
          <w:iCs/>
          <w:sz w:val="24"/>
          <w:szCs w:val="24"/>
        </w:rPr>
        <w:t>15</w:t>
      </w:r>
      <w:r w:rsidRPr="006067E5">
        <w:rPr>
          <w:rFonts w:ascii="Arial" w:hAnsi="Arial" w:cs="Arial"/>
          <w:sz w:val="24"/>
          <w:szCs w:val="24"/>
        </w:rPr>
        <w:t>(1).</w:t>
      </w:r>
    </w:p>
    <w:p w14:paraId="5981D58F"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Carruthers, H. (2009) ‘Using PEST analysis to improve business performance’, </w:t>
      </w:r>
      <w:r w:rsidRPr="00024755">
        <w:rPr>
          <w:rFonts w:ascii="Arial" w:eastAsia="Calibri" w:hAnsi="Arial" w:cs="Arial"/>
          <w:i/>
          <w:iCs/>
          <w:sz w:val="24"/>
          <w:szCs w:val="24"/>
        </w:rPr>
        <w:t>In practice (London 1979)</w:t>
      </w:r>
      <w:r w:rsidRPr="00024755">
        <w:rPr>
          <w:rFonts w:ascii="Arial" w:eastAsia="Calibri" w:hAnsi="Arial" w:cs="Arial"/>
          <w:sz w:val="24"/>
          <w:szCs w:val="24"/>
        </w:rPr>
        <w:t xml:space="preserve">, 31(1), pp. 37–39. </w:t>
      </w:r>
      <w:hyperlink r:id="rId28" w:history="1">
        <w:r w:rsidRPr="00024755">
          <w:rPr>
            <w:rFonts w:ascii="Arial" w:eastAsia="Calibri" w:hAnsi="Arial" w:cs="Arial"/>
            <w:color w:val="0563C1" w:themeColor="hyperlink"/>
            <w:sz w:val="24"/>
            <w:szCs w:val="24"/>
            <w:u w:val="single"/>
          </w:rPr>
          <w:t>https://doi.org/10.1136/inpract.31.1.37</w:t>
        </w:r>
      </w:hyperlink>
      <w:r w:rsidRPr="00024755">
        <w:rPr>
          <w:rFonts w:ascii="Arial" w:eastAsia="Calibri" w:hAnsi="Arial" w:cs="Arial"/>
          <w:sz w:val="24"/>
          <w:szCs w:val="24"/>
        </w:rPr>
        <w:t>.</w:t>
      </w:r>
    </w:p>
    <w:p w14:paraId="64EAC45C"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u w:val="single"/>
        </w:rPr>
      </w:pPr>
      <w:r w:rsidRPr="00024755">
        <w:rPr>
          <w:rFonts w:ascii="Arial" w:eastAsia="Calibri" w:hAnsi="Arial" w:cs="Arial"/>
          <w:sz w:val="24"/>
          <w:szCs w:val="24"/>
        </w:rPr>
        <w:t>Carreno, A., (2024) Strategic Alignment in Program Management: A Framework for Sustainable Business Transformation. DOI:</w:t>
      </w:r>
      <w:hyperlink r:id="rId29" w:tgtFrame="_blank" w:history="1">
        <w:r w:rsidRPr="00024755">
          <w:rPr>
            <w:rFonts w:ascii="Arial" w:eastAsia="Calibri" w:hAnsi="Arial" w:cs="Arial"/>
            <w:color w:val="0563C1" w:themeColor="hyperlink"/>
            <w:sz w:val="24"/>
            <w:szCs w:val="24"/>
            <w:u w:val="single"/>
          </w:rPr>
          <w:t>10.5281/zenodo.13922003</w:t>
        </w:r>
      </w:hyperlink>
    </w:p>
    <w:p w14:paraId="1D7BEF77"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Chen, R., Xie, Y., &amp; Liu, Y. (2021) Defining, Conceptualizing, and Measuring Organizational Resilience: A Multiple Case Study. </w:t>
      </w:r>
      <w:r w:rsidRPr="00024755">
        <w:rPr>
          <w:rFonts w:ascii="Arial" w:eastAsia="Calibri" w:hAnsi="Arial" w:cs="Arial"/>
          <w:i/>
          <w:iCs/>
          <w:sz w:val="24"/>
          <w:szCs w:val="24"/>
        </w:rPr>
        <w:t>Sustainability</w:t>
      </w:r>
      <w:r w:rsidRPr="00024755">
        <w:rPr>
          <w:rFonts w:ascii="Arial" w:eastAsia="Calibri" w:hAnsi="Arial" w:cs="Arial"/>
          <w:sz w:val="24"/>
          <w:szCs w:val="24"/>
        </w:rPr>
        <w:t>, </w:t>
      </w:r>
      <w:r w:rsidRPr="00024755">
        <w:rPr>
          <w:rFonts w:ascii="Arial" w:eastAsia="Calibri" w:hAnsi="Arial" w:cs="Arial"/>
          <w:i/>
          <w:iCs/>
          <w:sz w:val="24"/>
          <w:szCs w:val="24"/>
        </w:rPr>
        <w:t>13</w:t>
      </w:r>
      <w:r w:rsidRPr="00024755">
        <w:rPr>
          <w:rFonts w:ascii="Arial" w:eastAsia="Calibri" w:hAnsi="Arial" w:cs="Arial"/>
          <w:sz w:val="24"/>
          <w:szCs w:val="24"/>
        </w:rPr>
        <w:t xml:space="preserve">(5), 2517. </w:t>
      </w:r>
      <w:hyperlink r:id="rId30" w:history="1">
        <w:r w:rsidRPr="00024755">
          <w:rPr>
            <w:rFonts w:ascii="Arial" w:eastAsia="Calibri" w:hAnsi="Arial" w:cs="Arial"/>
            <w:color w:val="0563C1" w:themeColor="hyperlink"/>
            <w:sz w:val="24"/>
            <w:szCs w:val="24"/>
            <w:u w:val="single"/>
          </w:rPr>
          <w:t>https://doi.org/10.3390/su13052517</w:t>
        </w:r>
      </w:hyperlink>
    </w:p>
    <w:p w14:paraId="369E6D3E"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color w:val="0563C1" w:themeColor="hyperlink"/>
          <w:sz w:val="24"/>
          <w:szCs w:val="24"/>
          <w:u w:val="single"/>
        </w:rPr>
        <w:t xml:space="preserve">CIPD (2024) </w:t>
      </w:r>
      <w:r w:rsidRPr="00024755">
        <w:rPr>
          <w:rFonts w:ascii="Arial" w:eastAsia="Calibri" w:hAnsi="Arial" w:cs="Arial"/>
          <w:i/>
          <w:iCs/>
          <w:color w:val="0563C1" w:themeColor="hyperlink"/>
          <w:sz w:val="24"/>
          <w:szCs w:val="24"/>
          <w:u w:val="single"/>
        </w:rPr>
        <w:t xml:space="preserve">PESTLE analysis. </w:t>
      </w:r>
      <w:r w:rsidRPr="00024755">
        <w:rPr>
          <w:rFonts w:ascii="Arial" w:eastAsia="Calibri" w:hAnsi="Arial" w:cs="Arial"/>
          <w:color w:val="0563C1" w:themeColor="hyperlink"/>
          <w:sz w:val="24"/>
          <w:szCs w:val="24"/>
          <w:u w:val="single"/>
        </w:rPr>
        <w:t xml:space="preserve">Available at: </w:t>
      </w:r>
      <w:hyperlink r:id="rId31" w:history="1">
        <w:r w:rsidRPr="00024755">
          <w:rPr>
            <w:rFonts w:ascii="Arial" w:eastAsia="Calibri" w:hAnsi="Arial" w:cs="Arial"/>
            <w:color w:val="0563C1" w:themeColor="hyperlink"/>
            <w:sz w:val="24"/>
            <w:szCs w:val="24"/>
            <w:u w:val="single"/>
          </w:rPr>
          <w:t>PESTLE analysis | CIPD</w:t>
        </w:r>
      </w:hyperlink>
      <w:r w:rsidRPr="00024755">
        <w:rPr>
          <w:rFonts w:ascii="Arial" w:eastAsia="Calibri" w:hAnsi="Arial" w:cs="Arial"/>
          <w:sz w:val="24"/>
          <w:szCs w:val="24"/>
        </w:rPr>
        <w:t xml:space="preserve"> (Accessed Dec 13 2024).</w:t>
      </w:r>
    </w:p>
    <w:p w14:paraId="76D1A229"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CIPD (2024) </w:t>
      </w:r>
      <w:r w:rsidRPr="00024755">
        <w:rPr>
          <w:rFonts w:ascii="Arial" w:eastAsia="Calibri" w:hAnsi="Arial" w:cs="Arial"/>
          <w:i/>
          <w:iCs/>
          <w:sz w:val="24"/>
          <w:szCs w:val="24"/>
        </w:rPr>
        <w:t xml:space="preserve">Skilling up your organisation now and for the future. </w:t>
      </w:r>
      <w:r w:rsidRPr="00024755">
        <w:rPr>
          <w:rFonts w:ascii="Arial" w:eastAsia="Calibri" w:hAnsi="Arial" w:cs="Arial"/>
          <w:sz w:val="24"/>
          <w:szCs w:val="24"/>
        </w:rPr>
        <w:t xml:space="preserve">Available at: </w:t>
      </w:r>
      <w:hyperlink r:id="rId32" w:history="1">
        <w:r w:rsidRPr="00024755">
          <w:rPr>
            <w:rFonts w:ascii="Arial" w:eastAsia="Calibri" w:hAnsi="Arial" w:cs="Arial"/>
            <w:color w:val="0563C1" w:themeColor="hyperlink"/>
            <w:sz w:val="24"/>
            <w:szCs w:val="24"/>
            <w:u w:val="single"/>
          </w:rPr>
          <w:t>https://www.cipd.org/uk/knowledge/podcasts/skilling-up-now-and-for-the-future/</w:t>
        </w:r>
      </w:hyperlink>
      <w:r w:rsidRPr="00024755">
        <w:rPr>
          <w:rFonts w:ascii="Arial" w:eastAsia="Calibri" w:hAnsi="Arial" w:cs="Arial"/>
          <w:sz w:val="24"/>
          <w:szCs w:val="24"/>
        </w:rPr>
        <w:t xml:space="preserve"> (Accessed Dec 13 2024).</w:t>
      </w:r>
    </w:p>
    <w:p w14:paraId="6346F967" w14:textId="1D332158" w:rsidR="007B54B0" w:rsidRPr="00024755" w:rsidRDefault="007B54B0" w:rsidP="007B54B0">
      <w:pPr>
        <w:spacing w:before="100" w:beforeAutospacing="1" w:after="100" w:afterAutospacing="1" w:line="240" w:lineRule="auto"/>
        <w:jc w:val="both"/>
        <w:rPr>
          <w:rFonts w:ascii="Arial" w:eastAsia="Calibri" w:hAnsi="Arial" w:cs="Arial"/>
          <w:color w:val="FF0000"/>
          <w:sz w:val="24"/>
          <w:szCs w:val="24"/>
        </w:rPr>
      </w:pPr>
      <w:r w:rsidRPr="00024755">
        <w:rPr>
          <w:rFonts w:ascii="Arial" w:eastAsia="Calibri" w:hAnsi="Arial" w:cs="Arial"/>
          <w:sz w:val="24"/>
          <w:szCs w:val="24"/>
        </w:rPr>
        <w:t>Chakraborty, T. and Tripathi, M., (202</w:t>
      </w:r>
      <w:r w:rsidR="00F42F89" w:rsidRPr="00024755">
        <w:rPr>
          <w:rFonts w:ascii="Arial" w:eastAsia="Calibri" w:hAnsi="Arial" w:cs="Arial"/>
          <w:sz w:val="24"/>
          <w:szCs w:val="24"/>
        </w:rPr>
        <w:t>5</w:t>
      </w:r>
      <w:r w:rsidRPr="00024755">
        <w:rPr>
          <w:rFonts w:ascii="Arial" w:eastAsia="Calibri" w:hAnsi="Arial" w:cs="Arial"/>
          <w:sz w:val="24"/>
          <w:szCs w:val="24"/>
        </w:rPr>
        <w:t>) and Upskilling Among Future Employees. Revitalizing Student Skills for Workforce Preparation</w:t>
      </w:r>
      <w:proofErr w:type="gramStart"/>
      <w:r w:rsidRPr="00024755">
        <w:rPr>
          <w:rFonts w:ascii="Arial" w:eastAsia="Calibri" w:hAnsi="Arial" w:cs="Arial"/>
          <w:sz w:val="24"/>
          <w:szCs w:val="24"/>
        </w:rPr>
        <w:t>, ,</w:t>
      </w:r>
      <w:proofErr w:type="gramEnd"/>
      <w:r w:rsidRPr="00024755">
        <w:rPr>
          <w:rFonts w:ascii="Arial" w:eastAsia="Calibri" w:hAnsi="Arial" w:cs="Arial"/>
          <w:sz w:val="24"/>
          <w:szCs w:val="24"/>
        </w:rPr>
        <w:t xml:space="preserve"> pp. 37.</w:t>
      </w:r>
      <w:r w:rsidR="00103CBE" w:rsidRPr="00024755">
        <w:rPr>
          <w:rFonts w:ascii="Arial" w:eastAsia="Calibri" w:hAnsi="Arial" w:cs="Arial"/>
          <w:color w:val="FF0000"/>
          <w:sz w:val="24"/>
          <w:szCs w:val="24"/>
        </w:rPr>
        <w:t xml:space="preserve"> </w:t>
      </w:r>
      <w:hyperlink r:id="rId33" w:history="1">
        <w:r w:rsidR="00F70F69" w:rsidRPr="00024755">
          <w:rPr>
            <w:rFonts w:ascii="Arial" w:eastAsia="Calibri" w:hAnsi="Arial" w:cs="Arial"/>
            <w:color w:val="0563C1" w:themeColor="hyperlink"/>
            <w:sz w:val="24"/>
            <w:szCs w:val="24"/>
            <w:u w:val="single"/>
          </w:rPr>
          <w:t>https://doi.org/10.4018/979-8-3693-3856-8.ch002</w:t>
        </w:r>
      </w:hyperlink>
      <w:r w:rsidR="00A453AF" w:rsidRPr="00024755">
        <w:rPr>
          <w:rFonts w:ascii="Arial" w:eastAsia="Calibri" w:hAnsi="Arial" w:cs="Arial"/>
          <w:color w:val="FF0000"/>
          <w:sz w:val="24"/>
          <w:szCs w:val="24"/>
        </w:rPr>
        <w:t xml:space="preserve"> </w:t>
      </w:r>
    </w:p>
    <w:p w14:paraId="34DABDA9"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Cronin-Golomb, L.M. and Bauer, P.J., (2023) Self-motivated and directed learning across the lifespan. </w:t>
      </w:r>
      <w:r w:rsidRPr="00024755">
        <w:rPr>
          <w:rFonts w:ascii="Arial" w:eastAsia="Calibri" w:hAnsi="Arial" w:cs="Arial"/>
          <w:i/>
          <w:iCs/>
          <w:sz w:val="24"/>
          <w:szCs w:val="24"/>
        </w:rPr>
        <w:t xml:space="preserve">Acta </w:t>
      </w:r>
      <w:proofErr w:type="spellStart"/>
      <w:r w:rsidRPr="00024755">
        <w:rPr>
          <w:rFonts w:ascii="Arial" w:eastAsia="Calibri" w:hAnsi="Arial" w:cs="Arial"/>
          <w:i/>
          <w:iCs/>
          <w:sz w:val="24"/>
          <w:szCs w:val="24"/>
        </w:rPr>
        <w:t>Psychologica</w:t>
      </w:r>
      <w:proofErr w:type="spellEnd"/>
      <w:r w:rsidRPr="00024755">
        <w:rPr>
          <w:rFonts w:ascii="Arial" w:eastAsia="Calibri" w:hAnsi="Arial" w:cs="Arial"/>
          <w:sz w:val="24"/>
          <w:szCs w:val="24"/>
        </w:rPr>
        <w:t>, </w:t>
      </w:r>
      <w:r w:rsidRPr="00024755">
        <w:rPr>
          <w:rFonts w:ascii="Arial" w:eastAsia="Calibri" w:hAnsi="Arial" w:cs="Arial"/>
          <w:i/>
          <w:iCs/>
          <w:sz w:val="24"/>
          <w:szCs w:val="24"/>
        </w:rPr>
        <w:t>232</w:t>
      </w:r>
      <w:r w:rsidRPr="00024755">
        <w:rPr>
          <w:rFonts w:ascii="Arial" w:eastAsia="Calibri" w:hAnsi="Arial" w:cs="Arial"/>
          <w:sz w:val="24"/>
          <w:szCs w:val="24"/>
        </w:rPr>
        <w:t xml:space="preserve">, p.103816. </w:t>
      </w:r>
      <w:hyperlink r:id="rId34" w:tgtFrame="_blank" w:tooltip="Persistent link using digital object identifier" w:history="1">
        <w:r w:rsidRPr="00024755">
          <w:rPr>
            <w:rFonts w:ascii="Arial" w:eastAsia="Calibri" w:hAnsi="Arial" w:cs="Arial"/>
            <w:color w:val="0563C1" w:themeColor="hyperlink"/>
            <w:sz w:val="24"/>
            <w:szCs w:val="24"/>
            <w:u w:val="single"/>
          </w:rPr>
          <w:t>https://doi.org/10.1016/j.actpsy.2022.103816</w:t>
        </w:r>
      </w:hyperlink>
      <w:r w:rsidRPr="00024755">
        <w:rPr>
          <w:rFonts w:ascii="Arial" w:eastAsia="Calibri" w:hAnsi="Arial" w:cs="Arial"/>
          <w:sz w:val="24"/>
          <w:szCs w:val="24"/>
        </w:rPr>
        <w:t xml:space="preserve"> </w:t>
      </w:r>
    </w:p>
    <w:p w14:paraId="46AABCAF"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Davies, G. (2021) Addressing skills and labour shortages post-Brexit. London: Chartered Institute of Personnel and Development. Available at: Addressing skills and labour shortages post-Brexit research report (Accessed 21 Nov 2024)</w:t>
      </w:r>
    </w:p>
    <w:p w14:paraId="1F155992" w14:textId="77777777" w:rsidR="007B54B0"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lastRenderedPageBreak/>
        <w:t>De Grip, A., (2024) The importance of informal learning at work. </w:t>
      </w:r>
      <w:r w:rsidRPr="00024755">
        <w:rPr>
          <w:rFonts w:ascii="Arial" w:eastAsia="Calibri" w:hAnsi="Arial" w:cs="Arial"/>
          <w:i/>
          <w:iCs/>
          <w:sz w:val="24"/>
          <w:szCs w:val="24"/>
        </w:rPr>
        <w:t>IZA World of Labor</w:t>
      </w:r>
      <w:r w:rsidRPr="00024755">
        <w:rPr>
          <w:rFonts w:ascii="Arial" w:eastAsia="Calibri" w:hAnsi="Arial" w:cs="Arial"/>
          <w:sz w:val="24"/>
          <w:szCs w:val="24"/>
        </w:rPr>
        <w:t xml:space="preserve">. DOI </w:t>
      </w:r>
      <w:hyperlink r:id="rId35" w:tgtFrame="_blank" w:history="1">
        <w:r w:rsidRPr="00024755">
          <w:rPr>
            <w:rFonts w:ascii="Arial" w:eastAsia="Calibri" w:hAnsi="Arial" w:cs="Arial"/>
            <w:color w:val="0563C1" w:themeColor="hyperlink"/>
            <w:sz w:val="24"/>
            <w:szCs w:val="24"/>
            <w:u w:val="single"/>
          </w:rPr>
          <w:t>10.15185/</w:t>
        </w:r>
        <w:proofErr w:type="gramStart"/>
        <w:r w:rsidRPr="00024755">
          <w:rPr>
            <w:rFonts w:ascii="Arial" w:eastAsia="Calibri" w:hAnsi="Arial" w:cs="Arial"/>
            <w:color w:val="0563C1" w:themeColor="hyperlink"/>
            <w:sz w:val="24"/>
            <w:szCs w:val="24"/>
            <w:u w:val="single"/>
          </w:rPr>
          <w:t>izawol.162.v</w:t>
        </w:r>
        <w:proofErr w:type="gramEnd"/>
        <w:r w:rsidRPr="00024755">
          <w:rPr>
            <w:rFonts w:ascii="Arial" w:eastAsia="Calibri" w:hAnsi="Arial" w:cs="Arial"/>
            <w:color w:val="0563C1" w:themeColor="hyperlink"/>
            <w:sz w:val="24"/>
            <w:szCs w:val="24"/>
            <w:u w:val="single"/>
          </w:rPr>
          <w:t>2</w:t>
        </w:r>
      </w:hyperlink>
      <w:r w:rsidRPr="00024755">
        <w:rPr>
          <w:rFonts w:ascii="Arial" w:eastAsia="Calibri" w:hAnsi="Arial" w:cs="Arial"/>
          <w:sz w:val="24"/>
          <w:szCs w:val="24"/>
        </w:rPr>
        <w:t xml:space="preserve"> </w:t>
      </w:r>
    </w:p>
    <w:p w14:paraId="21B9839A" w14:textId="71832CF4" w:rsidR="006C1AC9" w:rsidRPr="00024755" w:rsidRDefault="006C1AC9" w:rsidP="007B54B0">
      <w:pPr>
        <w:spacing w:before="100" w:beforeAutospacing="1" w:after="100" w:afterAutospacing="1" w:line="240" w:lineRule="auto"/>
        <w:jc w:val="both"/>
        <w:rPr>
          <w:rFonts w:ascii="Arial" w:eastAsia="Calibri" w:hAnsi="Arial" w:cs="Arial"/>
          <w:sz w:val="24"/>
          <w:szCs w:val="24"/>
        </w:rPr>
      </w:pPr>
      <w:proofErr w:type="spellStart"/>
      <w:r w:rsidRPr="006C1AC9">
        <w:rPr>
          <w:rFonts w:ascii="Arial" w:eastAsia="Calibri" w:hAnsi="Arial" w:cs="Arial"/>
          <w:sz w:val="24"/>
          <w:szCs w:val="24"/>
        </w:rPr>
        <w:t>Fürstenau</w:t>
      </w:r>
      <w:proofErr w:type="spellEnd"/>
      <w:r w:rsidRPr="006C1AC9">
        <w:rPr>
          <w:rFonts w:ascii="Arial" w:eastAsia="Calibri" w:hAnsi="Arial" w:cs="Arial"/>
          <w:sz w:val="24"/>
          <w:szCs w:val="24"/>
        </w:rPr>
        <w:t>, B., Pilz, M., Gonon, P. (2014) The Dual System of Vocational Education and Training in Germany – What Can Be Learnt About Education for (Other) Professions. In: Billett, S., Harteis, C., Gruber, H. (eds) International Handbook of Research in Professional and Practice-based Learning. Springer International Handbooks of Education. Springer, Dordrecht. </w:t>
      </w:r>
      <w:hyperlink r:id="rId36" w:tgtFrame="_blank" w:tooltip="Original URL: https://doi.org/10.1007/978-94-017-8902-8_16. Click or tap if you trust this link." w:history="1">
        <w:r w:rsidRPr="006C1AC9">
          <w:rPr>
            <w:rStyle w:val="Hyperlink"/>
            <w:rFonts w:ascii="Arial" w:eastAsia="Calibri" w:hAnsi="Arial" w:cs="Arial"/>
            <w:sz w:val="24"/>
            <w:szCs w:val="24"/>
          </w:rPr>
          <w:t>https://doi.org/10.1007/978-94-017-8902-8_16</w:t>
        </w:r>
      </w:hyperlink>
    </w:p>
    <w:p w14:paraId="111A0145"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Gupta, M. and Gupta, M. (eds) (2021) </w:t>
      </w:r>
      <w:r w:rsidRPr="00024755">
        <w:rPr>
          <w:rFonts w:ascii="Arial" w:eastAsia="Calibri" w:hAnsi="Arial" w:cs="Arial"/>
          <w:i/>
          <w:iCs/>
          <w:sz w:val="24"/>
          <w:szCs w:val="24"/>
        </w:rPr>
        <w:t xml:space="preserve">Management practices for engaging a diverse </w:t>
      </w:r>
      <w:proofErr w:type="gramStart"/>
      <w:r w:rsidRPr="00024755">
        <w:rPr>
          <w:rFonts w:ascii="Arial" w:eastAsia="Calibri" w:hAnsi="Arial" w:cs="Arial"/>
          <w:i/>
          <w:iCs/>
          <w:sz w:val="24"/>
          <w:szCs w:val="24"/>
        </w:rPr>
        <w:t>workforce :</w:t>
      </w:r>
      <w:proofErr w:type="gramEnd"/>
      <w:r w:rsidRPr="00024755">
        <w:rPr>
          <w:rFonts w:ascii="Arial" w:eastAsia="Calibri" w:hAnsi="Arial" w:cs="Arial"/>
          <w:i/>
          <w:iCs/>
          <w:sz w:val="24"/>
          <w:szCs w:val="24"/>
        </w:rPr>
        <w:t xml:space="preserve"> tools to enhance workplace culture</w:t>
      </w:r>
      <w:r w:rsidRPr="00024755">
        <w:rPr>
          <w:rFonts w:ascii="Arial" w:eastAsia="Calibri" w:hAnsi="Arial" w:cs="Arial"/>
          <w:sz w:val="24"/>
          <w:szCs w:val="24"/>
        </w:rPr>
        <w:t xml:space="preserve">. Burlington, ON, </w:t>
      </w:r>
      <w:proofErr w:type="gramStart"/>
      <w:r w:rsidRPr="00024755">
        <w:rPr>
          <w:rFonts w:ascii="Arial" w:eastAsia="Calibri" w:hAnsi="Arial" w:cs="Arial"/>
          <w:sz w:val="24"/>
          <w:szCs w:val="24"/>
        </w:rPr>
        <w:t>Canada ;</w:t>
      </w:r>
      <w:proofErr w:type="gramEnd"/>
      <w:r w:rsidRPr="00024755">
        <w:rPr>
          <w:rFonts w:ascii="Arial" w:eastAsia="Calibri" w:hAnsi="Arial" w:cs="Arial"/>
          <w:sz w:val="24"/>
          <w:szCs w:val="24"/>
        </w:rPr>
        <w:t xml:space="preserve"> Apple Academic Press.</w:t>
      </w:r>
    </w:p>
    <w:p w14:paraId="2DAF75A1"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Helm, H. (2014) </w:t>
      </w:r>
      <w:r w:rsidRPr="00024755">
        <w:rPr>
          <w:rFonts w:ascii="Arial" w:eastAsia="Calibri" w:hAnsi="Arial" w:cs="Arial"/>
          <w:i/>
          <w:iCs/>
          <w:sz w:val="24"/>
          <w:szCs w:val="24"/>
        </w:rPr>
        <w:t>Defensive Driving Skills for Public Health - How Strategic Thinking Can Be an Effective Tool for Sustainability in a Shifting Environment.</w:t>
      </w:r>
      <w:r w:rsidRPr="00024755">
        <w:rPr>
          <w:rFonts w:ascii="Arial" w:eastAsia="Calibri" w:hAnsi="Arial" w:cs="Arial"/>
          <w:sz w:val="24"/>
          <w:szCs w:val="24"/>
        </w:rPr>
        <w:t> </w:t>
      </w:r>
      <w:hyperlink r:id="rId37" w:history="1">
        <w:r w:rsidRPr="00024755">
          <w:rPr>
            <w:rFonts w:ascii="Arial" w:eastAsia="Calibri" w:hAnsi="Arial" w:cs="Arial"/>
            <w:color w:val="0563C1" w:themeColor="hyperlink"/>
            <w:sz w:val="24"/>
            <w:szCs w:val="24"/>
            <w:u w:val="single"/>
          </w:rPr>
          <w:t>https://doi.org/10.17615/fj36-xy60</w:t>
        </w:r>
      </w:hyperlink>
      <w:r w:rsidRPr="00024755">
        <w:rPr>
          <w:rFonts w:ascii="Arial" w:eastAsia="Calibri" w:hAnsi="Arial" w:cs="Arial"/>
          <w:sz w:val="24"/>
          <w:szCs w:val="24"/>
        </w:rPr>
        <w:t xml:space="preserve">. </w:t>
      </w:r>
    </w:p>
    <w:p w14:paraId="27693B75" w14:textId="77777777" w:rsidR="007B54B0" w:rsidRPr="00D42221" w:rsidRDefault="007B54B0" w:rsidP="007B54B0">
      <w:pPr>
        <w:spacing w:before="100" w:beforeAutospacing="1" w:after="100" w:afterAutospacing="1" w:line="240" w:lineRule="auto"/>
        <w:jc w:val="both"/>
        <w:rPr>
          <w:rFonts w:ascii="Arial" w:eastAsia="Calibri" w:hAnsi="Arial" w:cs="Arial"/>
          <w:color w:val="4472C4" w:themeColor="accent1"/>
          <w:sz w:val="24"/>
          <w:szCs w:val="24"/>
          <w:u w:val="single"/>
        </w:rPr>
      </w:pPr>
      <w:r w:rsidRPr="00024755">
        <w:rPr>
          <w:rFonts w:ascii="Arial" w:eastAsia="Calibri" w:hAnsi="Arial" w:cs="Arial"/>
          <w:sz w:val="24"/>
          <w:szCs w:val="24"/>
        </w:rPr>
        <w:t>Hersch, J., (2024) Sexual harassment in the workplace. </w:t>
      </w:r>
      <w:r w:rsidRPr="00024755">
        <w:rPr>
          <w:rFonts w:ascii="Arial" w:eastAsia="Calibri" w:hAnsi="Arial" w:cs="Arial"/>
          <w:i/>
          <w:iCs/>
          <w:sz w:val="24"/>
          <w:szCs w:val="24"/>
        </w:rPr>
        <w:t>IZA world of labour</w:t>
      </w:r>
      <w:r w:rsidRPr="00024755">
        <w:rPr>
          <w:rFonts w:ascii="Arial" w:eastAsia="Calibri" w:hAnsi="Arial" w:cs="Arial"/>
          <w:sz w:val="24"/>
          <w:szCs w:val="24"/>
        </w:rPr>
        <w:t xml:space="preserve">.: 188 </w:t>
      </w:r>
      <w:proofErr w:type="spellStart"/>
      <w:r w:rsidRPr="00D42221">
        <w:rPr>
          <w:rFonts w:ascii="Arial" w:eastAsia="Calibri" w:hAnsi="Arial" w:cs="Arial"/>
          <w:color w:val="4472C4" w:themeColor="accent1"/>
          <w:sz w:val="24"/>
          <w:szCs w:val="24"/>
          <w:u w:val="single"/>
        </w:rPr>
        <w:t>doi</w:t>
      </w:r>
      <w:proofErr w:type="spellEnd"/>
      <w:r w:rsidRPr="00D42221">
        <w:rPr>
          <w:rFonts w:ascii="Arial" w:eastAsia="Calibri" w:hAnsi="Arial" w:cs="Arial"/>
          <w:color w:val="4472C4" w:themeColor="accent1"/>
          <w:sz w:val="24"/>
          <w:szCs w:val="24"/>
          <w:u w:val="single"/>
        </w:rPr>
        <w:t>: 10.15185/</w:t>
      </w:r>
      <w:proofErr w:type="gramStart"/>
      <w:r w:rsidRPr="00D42221">
        <w:rPr>
          <w:rFonts w:ascii="Arial" w:eastAsia="Calibri" w:hAnsi="Arial" w:cs="Arial"/>
          <w:color w:val="4472C4" w:themeColor="accent1"/>
          <w:sz w:val="24"/>
          <w:szCs w:val="24"/>
          <w:u w:val="single"/>
        </w:rPr>
        <w:t>izawol.188.v</w:t>
      </w:r>
      <w:proofErr w:type="gramEnd"/>
      <w:r w:rsidRPr="00D42221">
        <w:rPr>
          <w:rFonts w:ascii="Arial" w:eastAsia="Calibri" w:hAnsi="Arial" w:cs="Arial"/>
          <w:color w:val="4472C4" w:themeColor="accent1"/>
          <w:sz w:val="24"/>
          <w:szCs w:val="24"/>
          <w:u w:val="single"/>
        </w:rPr>
        <w:t>2</w:t>
      </w:r>
    </w:p>
    <w:p w14:paraId="0B1ABF70"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Hitt, M. A., Keats, B. W., &amp; DeMarie, S. M. (1998) Navigating in the New Competitive Landscape: Building Strategic Flexibility and Competitive Advantage in the 21st Century.</w:t>
      </w:r>
      <w:r w:rsidRPr="00024755">
        <w:rPr>
          <w:rFonts w:ascii="Arial" w:eastAsia="Calibri" w:hAnsi="Arial" w:cs="Arial"/>
          <w:i/>
          <w:iCs/>
          <w:sz w:val="24"/>
          <w:szCs w:val="24"/>
        </w:rPr>
        <w:t> Academy of Management Perspectives, 12</w:t>
      </w:r>
      <w:r w:rsidRPr="00024755">
        <w:rPr>
          <w:rFonts w:ascii="Arial" w:eastAsia="Calibri" w:hAnsi="Arial" w:cs="Arial"/>
          <w:sz w:val="24"/>
          <w:szCs w:val="24"/>
        </w:rPr>
        <w:t>(4)</w:t>
      </w:r>
      <w:r w:rsidRPr="00024755">
        <w:rPr>
          <w:rFonts w:ascii="Arial" w:eastAsia="Calibri" w:hAnsi="Arial" w:cs="Arial"/>
          <w:i/>
          <w:iCs/>
          <w:sz w:val="24"/>
          <w:szCs w:val="24"/>
        </w:rPr>
        <w:t>,</w:t>
      </w:r>
      <w:r w:rsidRPr="00024755">
        <w:rPr>
          <w:rFonts w:ascii="Arial" w:eastAsia="Calibri" w:hAnsi="Arial" w:cs="Arial"/>
          <w:sz w:val="24"/>
          <w:szCs w:val="24"/>
        </w:rPr>
        <w:t> p22-42.</w:t>
      </w:r>
      <w:hyperlink r:id="rId38" w:history="1">
        <w:r w:rsidRPr="00024755">
          <w:rPr>
            <w:rFonts w:ascii="Arial" w:eastAsia="Calibri" w:hAnsi="Arial" w:cs="Arial"/>
            <w:color w:val="0563C1" w:themeColor="hyperlink"/>
            <w:sz w:val="24"/>
            <w:szCs w:val="24"/>
            <w:u w:val="single"/>
          </w:rPr>
          <w:t>https://doi.org/10.5465/ame.1998.1333922</w:t>
        </w:r>
      </w:hyperlink>
      <w:r w:rsidRPr="00024755">
        <w:rPr>
          <w:rFonts w:ascii="Arial" w:eastAsia="Calibri" w:hAnsi="Arial" w:cs="Arial"/>
          <w:sz w:val="24"/>
          <w:szCs w:val="24"/>
        </w:rPr>
        <w:t xml:space="preserve"> </w:t>
      </w:r>
    </w:p>
    <w:p w14:paraId="1C2EED8D"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Hill, T. and Westbrook, R. (1997) SWOT Analysis: It’s Time for a Product Recall. </w:t>
      </w:r>
      <w:r w:rsidRPr="00024755">
        <w:rPr>
          <w:rFonts w:ascii="Arial" w:eastAsia="Calibri" w:hAnsi="Arial" w:cs="Arial"/>
          <w:i/>
          <w:iCs/>
          <w:sz w:val="24"/>
          <w:szCs w:val="24"/>
        </w:rPr>
        <w:t>Long Range Planning</w:t>
      </w:r>
      <w:r w:rsidRPr="00024755">
        <w:rPr>
          <w:rFonts w:ascii="Arial" w:eastAsia="Calibri" w:hAnsi="Arial" w:cs="Arial"/>
          <w:sz w:val="24"/>
          <w:szCs w:val="24"/>
        </w:rPr>
        <w:t xml:space="preserve">, 30 (1), pp.46-52. </w:t>
      </w:r>
      <w:hyperlink r:id="rId39" w:history="1">
        <w:r w:rsidRPr="00024755">
          <w:rPr>
            <w:rFonts w:ascii="Arial" w:eastAsia="Calibri" w:hAnsi="Arial" w:cs="Arial"/>
            <w:color w:val="0563C1" w:themeColor="hyperlink"/>
            <w:sz w:val="24"/>
            <w:szCs w:val="24"/>
            <w:u w:val="single"/>
          </w:rPr>
          <w:t>http://dx.doi.org/10.1016/S0024-6301(96)00095-7</w:t>
        </w:r>
      </w:hyperlink>
      <w:r w:rsidRPr="00024755">
        <w:rPr>
          <w:rFonts w:ascii="Arial" w:eastAsia="Calibri" w:hAnsi="Arial" w:cs="Arial"/>
          <w:sz w:val="24"/>
          <w:szCs w:val="24"/>
        </w:rPr>
        <w:t xml:space="preserve"> </w:t>
      </w:r>
    </w:p>
    <w:p w14:paraId="4F5C0719"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House of Commons (2024) </w:t>
      </w:r>
      <w:r w:rsidRPr="00024755">
        <w:rPr>
          <w:rFonts w:ascii="Arial" w:eastAsia="Calibri" w:hAnsi="Arial" w:cs="Arial"/>
          <w:i/>
          <w:iCs/>
          <w:sz w:val="24"/>
          <w:szCs w:val="24"/>
        </w:rPr>
        <w:t xml:space="preserve">Employment Rights Bill. </w:t>
      </w:r>
      <w:r w:rsidRPr="00024755">
        <w:rPr>
          <w:rFonts w:ascii="Arial" w:eastAsia="Calibri" w:hAnsi="Arial" w:cs="Arial"/>
          <w:sz w:val="24"/>
          <w:szCs w:val="24"/>
        </w:rPr>
        <w:t xml:space="preserve">Available at: </w:t>
      </w:r>
      <w:hyperlink r:id="rId40" w:history="1">
        <w:r w:rsidRPr="00024755">
          <w:rPr>
            <w:rFonts w:ascii="Arial" w:eastAsia="Calibri" w:hAnsi="Arial" w:cs="Arial"/>
            <w:color w:val="0563C1" w:themeColor="hyperlink"/>
            <w:sz w:val="24"/>
            <w:szCs w:val="24"/>
            <w:u w:val="single"/>
          </w:rPr>
          <w:t>https://publications.parliament.uk/pa/bills/cbill/59-01/0011/240011.pdf</w:t>
        </w:r>
      </w:hyperlink>
      <w:r w:rsidRPr="00024755">
        <w:rPr>
          <w:rFonts w:ascii="Arial" w:eastAsia="Calibri" w:hAnsi="Arial" w:cs="Arial"/>
          <w:sz w:val="24"/>
          <w:szCs w:val="24"/>
        </w:rPr>
        <w:t xml:space="preserve"> (Accessed 13 Dec 2024)</w:t>
      </w:r>
    </w:p>
    <w:p w14:paraId="188931DC"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Invest Northern Ireland (2024) </w:t>
      </w:r>
      <w:r w:rsidRPr="00024755">
        <w:rPr>
          <w:rFonts w:ascii="Arial" w:eastAsia="Calibri" w:hAnsi="Arial" w:cs="Arial"/>
          <w:i/>
          <w:iCs/>
          <w:sz w:val="24"/>
          <w:szCs w:val="24"/>
        </w:rPr>
        <w:t>New guidance to help eliminate workplace sexual harassment.</w:t>
      </w:r>
      <w:r w:rsidRPr="00024755">
        <w:rPr>
          <w:rFonts w:ascii="Arial" w:eastAsia="Calibri" w:hAnsi="Arial" w:cs="Arial"/>
          <w:sz w:val="24"/>
          <w:szCs w:val="24"/>
        </w:rPr>
        <w:t xml:space="preserve"> Available at: </w:t>
      </w:r>
      <w:hyperlink r:id="rId41" w:history="1">
        <w:r w:rsidRPr="00024755">
          <w:rPr>
            <w:rFonts w:ascii="Arial" w:eastAsia="Calibri" w:hAnsi="Arial" w:cs="Arial"/>
            <w:color w:val="0563C1" w:themeColor="hyperlink"/>
            <w:sz w:val="24"/>
            <w:szCs w:val="24"/>
            <w:u w:val="single"/>
          </w:rPr>
          <w:t>New guidance to help eliminate workplace sexual harassment</w:t>
        </w:r>
      </w:hyperlink>
      <w:r w:rsidRPr="00024755">
        <w:rPr>
          <w:rFonts w:ascii="Arial" w:eastAsia="Calibri" w:hAnsi="Arial" w:cs="Arial"/>
          <w:sz w:val="24"/>
          <w:szCs w:val="24"/>
        </w:rPr>
        <w:t xml:space="preserve"> (Accessed 14 Dec 2024).</w:t>
      </w:r>
    </w:p>
    <w:p w14:paraId="624A8E5A" w14:textId="77777777" w:rsidR="007B54B0" w:rsidRPr="00024755" w:rsidRDefault="007B54B0" w:rsidP="007B54B0">
      <w:pPr>
        <w:spacing w:before="100" w:beforeAutospacing="1" w:after="100" w:afterAutospacing="1" w:line="240" w:lineRule="auto"/>
        <w:jc w:val="both"/>
        <w:rPr>
          <w:rFonts w:ascii="Arial" w:eastAsia="Calibri" w:hAnsi="Arial" w:cs="Arial"/>
          <w:color w:val="4472C4" w:themeColor="accent1"/>
          <w:sz w:val="24"/>
          <w:szCs w:val="24"/>
        </w:rPr>
      </w:pPr>
      <w:proofErr w:type="spellStart"/>
      <w:r w:rsidRPr="002421D9">
        <w:rPr>
          <w:rFonts w:ascii="Arial" w:eastAsia="Calibri" w:hAnsi="Arial" w:cs="Arial"/>
          <w:sz w:val="24"/>
          <w:szCs w:val="24"/>
          <w:lang w:val="fr-FR"/>
        </w:rPr>
        <w:t>Involvement</w:t>
      </w:r>
      <w:proofErr w:type="spellEnd"/>
      <w:r w:rsidRPr="002421D9">
        <w:rPr>
          <w:rFonts w:ascii="Arial" w:eastAsia="Calibri" w:hAnsi="Arial" w:cs="Arial"/>
          <w:sz w:val="24"/>
          <w:szCs w:val="24"/>
          <w:lang w:val="fr-FR"/>
        </w:rPr>
        <w:t xml:space="preserve"> &amp; Participation Association (IPA) (</w:t>
      </w:r>
      <w:proofErr w:type="spellStart"/>
      <w:r w:rsidRPr="002421D9">
        <w:rPr>
          <w:rFonts w:ascii="Arial" w:eastAsia="Calibri" w:hAnsi="Arial" w:cs="Arial"/>
          <w:sz w:val="24"/>
          <w:szCs w:val="24"/>
          <w:lang w:val="fr-FR"/>
        </w:rPr>
        <w:t>n.d</w:t>
      </w:r>
      <w:proofErr w:type="spellEnd"/>
      <w:r w:rsidRPr="002421D9">
        <w:rPr>
          <w:rFonts w:ascii="Arial" w:eastAsia="Calibri" w:hAnsi="Arial" w:cs="Arial"/>
          <w:sz w:val="24"/>
          <w:szCs w:val="24"/>
          <w:lang w:val="fr-FR"/>
        </w:rPr>
        <w:t xml:space="preserve">.) </w:t>
      </w:r>
      <w:r w:rsidRPr="002421D9">
        <w:rPr>
          <w:rFonts w:ascii="Arial" w:eastAsia="Calibri" w:hAnsi="Arial" w:cs="Arial"/>
          <w:i/>
          <w:iCs/>
          <w:sz w:val="24"/>
          <w:szCs w:val="24"/>
        </w:rPr>
        <w:t xml:space="preserve">How to build better relationships with your Trade Unions. </w:t>
      </w:r>
      <w:r w:rsidRPr="002421D9">
        <w:rPr>
          <w:rFonts w:ascii="Arial" w:eastAsia="Calibri" w:hAnsi="Arial" w:cs="Arial"/>
          <w:sz w:val="24"/>
          <w:szCs w:val="24"/>
        </w:rPr>
        <w:t xml:space="preserve">Available at: </w:t>
      </w:r>
      <w:hyperlink r:id="rId42" w:history="1">
        <w:r w:rsidRPr="00D90745">
          <w:rPr>
            <w:rFonts w:ascii="Arial" w:eastAsia="Calibri" w:hAnsi="Arial" w:cs="Arial"/>
            <w:color w:val="4472C4" w:themeColor="accent1"/>
            <w:sz w:val="24"/>
            <w:szCs w:val="24"/>
            <w:u w:val="single"/>
          </w:rPr>
          <w:t>How to build better relationships with your Trade Unions | Involvement &amp; Participation Associatio</w:t>
        </w:r>
        <w:r w:rsidRPr="00024755">
          <w:rPr>
            <w:rFonts w:ascii="Arial" w:eastAsia="Calibri" w:hAnsi="Arial" w:cs="Arial"/>
            <w:color w:val="4472C4" w:themeColor="accent1"/>
            <w:sz w:val="24"/>
            <w:szCs w:val="24"/>
            <w:u w:val="single"/>
          </w:rPr>
          <w:t>n</w:t>
        </w:r>
      </w:hyperlink>
      <w:r w:rsidRPr="00024755">
        <w:rPr>
          <w:rFonts w:ascii="Arial" w:eastAsia="Calibri" w:hAnsi="Arial" w:cs="Arial"/>
          <w:color w:val="4472C4" w:themeColor="accent1"/>
          <w:sz w:val="24"/>
          <w:szCs w:val="24"/>
        </w:rPr>
        <w:t xml:space="preserve"> (Accessed 13 Dec 2024).</w:t>
      </w:r>
    </w:p>
    <w:p w14:paraId="6143ECD5" w14:textId="77777777" w:rsidR="007B54B0" w:rsidRPr="00024755" w:rsidRDefault="007B54B0" w:rsidP="007B54B0">
      <w:pPr>
        <w:spacing w:before="100" w:beforeAutospacing="1" w:after="100" w:afterAutospacing="1" w:line="240" w:lineRule="auto"/>
        <w:jc w:val="both"/>
        <w:rPr>
          <w:rFonts w:ascii="Arial" w:hAnsi="Arial" w:cs="Arial"/>
          <w:sz w:val="24"/>
          <w:szCs w:val="24"/>
        </w:rPr>
      </w:pPr>
      <w:r w:rsidRPr="00024755">
        <w:rPr>
          <w:rFonts w:ascii="Arial" w:eastAsia="Calibri" w:hAnsi="Arial" w:cs="Arial"/>
          <w:sz w:val="24"/>
          <w:szCs w:val="24"/>
        </w:rPr>
        <w:t xml:space="preserve">James Relly, S., &amp; Laczik, A. (2021) Apprenticeship, employer engagement and vocational formation: a process of collaboration. Journal of Education and Work, 35(1), 1–15. </w:t>
      </w:r>
      <w:hyperlink r:id="rId43" w:history="1">
        <w:r w:rsidRPr="00024755">
          <w:rPr>
            <w:rFonts w:ascii="Arial" w:eastAsia="Calibri" w:hAnsi="Arial" w:cs="Arial"/>
            <w:color w:val="0563C1" w:themeColor="hyperlink"/>
            <w:sz w:val="24"/>
            <w:szCs w:val="24"/>
            <w:u w:val="single"/>
          </w:rPr>
          <w:t>https://doi.org/10.1080/13639080.2021.1983524</w:t>
        </w:r>
      </w:hyperlink>
    </w:p>
    <w:p w14:paraId="05E194EE" w14:textId="77777777" w:rsidR="007B54B0" w:rsidRPr="00D90745" w:rsidRDefault="007B54B0" w:rsidP="007B54B0">
      <w:pPr>
        <w:jc w:val="both"/>
        <w:rPr>
          <w:rFonts w:ascii="Arial" w:hAnsi="Arial" w:cs="Arial"/>
          <w:sz w:val="24"/>
          <w:szCs w:val="24"/>
        </w:rPr>
      </w:pPr>
      <w:r w:rsidRPr="00D90745">
        <w:rPr>
          <w:rFonts w:ascii="Arial" w:hAnsi="Arial" w:cs="Arial"/>
          <w:sz w:val="24"/>
          <w:szCs w:val="24"/>
        </w:rPr>
        <w:t>Kaur, N., Sudhakar, K., Mohamed, M.R., Cuce, E. and Barbulescu, D., (2025). Floating solar sustainability on land and ocean: A strategic assessment using SWOT-TWOS-PESTLE analysis. </w:t>
      </w:r>
      <w:r w:rsidRPr="00D90745">
        <w:rPr>
          <w:rFonts w:ascii="Arial" w:hAnsi="Arial" w:cs="Arial"/>
          <w:i/>
          <w:iCs/>
          <w:sz w:val="24"/>
          <w:szCs w:val="24"/>
        </w:rPr>
        <w:t>Science and Technology for Energy Transition</w:t>
      </w:r>
      <w:r w:rsidRPr="00D90745">
        <w:rPr>
          <w:rFonts w:ascii="Arial" w:hAnsi="Arial" w:cs="Arial"/>
          <w:sz w:val="24"/>
          <w:szCs w:val="24"/>
        </w:rPr>
        <w:t>, </w:t>
      </w:r>
      <w:r w:rsidRPr="00D90745">
        <w:rPr>
          <w:rFonts w:ascii="Arial" w:hAnsi="Arial" w:cs="Arial"/>
          <w:i/>
          <w:iCs/>
          <w:sz w:val="24"/>
          <w:szCs w:val="24"/>
        </w:rPr>
        <w:t>80</w:t>
      </w:r>
      <w:r w:rsidRPr="00D90745">
        <w:rPr>
          <w:rFonts w:ascii="Arial" w:hAnsi="Arial" w:cs="Arial"/>
          <w:sz w:val="24"/>
          <w:szCs w:val="24"/>
        </w:rPr>
        <w:t>, p.27.</w:t>
      </w:r>
    </w:p>
    <w:p w14:paraId="3A1B1101" w14:textId="77777777" w:rsidR="007B54B0" w:rsidRPr="00024755" w:rsidRDefault="007B54B0" w:rsidP="007B54B0">
      <w:pPr>
        <w:jc w:val="both"/>
        <w:rPr>
          <w:rFonts w:ascii="Arial" w:hAnsi="Arial" w:cs="Arial"/>
          <w:color w:val="4472C4" w:themeColor="accent1"/>
          <w:sz w:val="24"/>
          <w:szCs w:val="24"/>
        </w:rPr>
      </w:pPr>
      <w:bookmarkStart w:id="9" w:name="_Hlk193357700"/>
      <w:proofErr w:type="spellStart"/>
      <w:r w:rsidRPr="00D90745">
        <w:rPr>
          <w:rFonts w:ascii="Arial" w:hAnsi="Arial" w:cs="Arial"/>
          <w:sz w:val="24"/>
          <w:szCs w:val="24"/>
        </w:rPr>
        <w:lastRenderedPageBreak/>
        <w:t>Karmańska</w:t>
      </w:r>
      <w:bookmarkEnd w:id="9"/>
      <w:proofErr w:type="spellEnd"/>
      <w:r w:rsidRPr="00D90745">
        <w:rPr>
          <w:rFonts w:ascii="Arial" w:hAnsi="Arial" w:cs="Arial"/>
          <w:sz w:val="24"/>
          <w:szCs w:val="24"/>
        </w:rPr>
        <w:t xml:space="preserve">, A., (2020) The benefits of HR analytics. </w:t>
      </w:r>
      <w:proofErr w:type="spellStart"/>
      <w:r w:rsidRPr="00D90745">
        <w:rPr>
          <w:rFonts w:ascii="Arial" w:hAnsi="Arial" w:cs="Arial"/>
          <w:i/>
          <w:iCs/>
          <w:sz w:val="24"/>
          <w:szCs w:val="24"/>
        </w:rPr>
        <w:t>Prace</w:t>
      </w:r>
      <w:proofErr w:type="spellEnd"/>
      <w:r w:rsidRPr="00D90745">
        <w:rPr>
          <w:rFonts w:ascii="Arial" w:hAnsi="Arial" w:cs="Arial"/>
          <w:i/>
          <w:iCs/>
          <w:sz w:val="24"/>
          <w:szCs w:val="24"/>
        </w:rPr>
        <w:t xml:space="preserve"> </w:t>
      </w:r>
      <w:proofErr w:type="spellStart"/>
      <w:r w:rsidRPr="00D90745">
        <w:rPr>
          <w:rFonts w:ascii="Arial" w:hAnsi="Arial" w:cs="Arial"/>
          <w:i/>
          <w:iCs/>
          <w:sz w:val="24"/>
          <w:szCs w:val="24"/>
        </w:rPr>
        <w:t>Naukowe</w:t>
      </w:r>
      <w:proofErr w:type="spellEnd"/>
      <w:r w:rsidRPr="00D90745">
        <w:rPr>
          <w:rFonts w:ascii="Arial" w:hAnsi="Arial" w:cs="Arial"/>
          <w:i/>
          <w:iCs/>
          <w:sz w:val="24"/>
          <w:szCs w:val="24"/>
        </w:rPr>
        <w:t xml:space="preserve"> </w:t>
      </w:r>
      <w:proofErr w:type="spellStart"/>
      <w:r w:rsidRPr="00D90745">
        <w:rPr>
          <w:rFonts w:ascii="Arial" w:hAnsi="Arial" w:cs="Arial"/>
          <w:i/>
          <w:iCs/>
          <w:sz w:val="24"/>
          <w:szCs w:val="24"/>
        </w:rPr>
        <w:t>Uniwersytetu</w:t>
      </w:r>
      <w:proofErr w:type="spellEnd"/>
      <w:r w:rsidRPr="00D90745">
        <w:rPr>
          <w:rFonts w:ascii="Arial" w:hAnsi="Arial" w:cs="Arial"/>
          <w:i/>
          <w:iCs/>
          <w:sz w:val="24"/>
          <w:szCs w:val="24"/>
        </w:rPr>
        <w:t xml:space="preserve"> </w:t>
      </w:r>
      <w:proofErr w:type="spellStart"/>
      <w:r w:rsidRPr="00D90745">
        <w:rPr>
          <w:rFonts w:ascii="Arial" w:hAnsi="Arial" w:cs="Arial"/>
          <w:i/>
          <w:iCs/>
          <w:sz w:val="24"/>
          <w:szCs w:val="24"/>
        </w:rPr>
        <w:t>Ekonomicznego</w:t>
      </w:r>
      <w:proofErr w:type="spellEnd"/>
      <w:r w:rsidRPr="00D90745">
        <w:rPr>
          <w:rFonts w:ascii="Arial" w:hAnsi="Arial" w:cs="Arial"/>
          <w:i/>
          <w:iCs/>
          <w:sz w:val="24"/>
          <w:szCs w:val="24"/>
        </w:rPr>
        <w:t xml:space="preserve"> we </w:t>
      </w:r>
      <w:proofErr w:type="spellStart"/>
      <w:r w:rsidRPr="00D90745">
        <w:rPr>
          <w:rFonts w:ascii="Arial" w:hAnsi="Arial" w:cs="Arial"/>
          <w:i/>
          <w:iCs/>
          <w:sz w:val="24"/>
          <w:szCs w:val="24"/>
        </w:rPr>
        <w:t>Wrocławiu</w:t>
      </w:r>
      <w:proofErr w:type="spellEnd"/>
      <w:r w:rsidRPr="00D90745">
        <w:rPr>
          <w:rFonts w:ascii="Arial" w:hAnsi="Arial" w:cs="Arial"/>
          <w:i/>
          <w:iCs/>
          <w:sz w:val="24"/>
          <w:szCs w:val="24"/>
        </w:rPr>
        <w:t>,</w:t>
      </w:r>
      <w:r w:rsidRPr="00D90745">
        <w:rPr>
          <w:rFonts w:ascii="Arial" w:hAnsi="Arial" w:cs="Arial"/>
          <w:sz w:val="24"/>
          <w:szCs w:val="24"/>
        </w:rPr>
        <w:t xml:space="preserve"> 64(8), pp.30-39.</w:t>
      </w:r>
      <w:r w:rsidRPr="00D42221">
        <w:rPr>
          <w:rFonts w:ascii="Arial" w:hAnsi="Arial" w:cs="Arial"/>
          <w:color w:val="4472C4" w:themeColor="accent1"/>
          <w:sz w:val="24"/>
          <w:szCs w:val="24"/>
          <w:u w:val="single"/>
        </w:rPr>
        <w:t>DOI: 10.15611/pn.2020.8.03</w:t>
      </w:r>
    </w:p>
    <w:p w14:paraId="3B682316"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bookmarkStart w:id="10" w:name="_Hlk183958553"/>
      <w:r w:rsidRPr="00024755">
        <w:rPr>
          <w:rFonts w:ascii="Arial" w:eastAsia="Calibri" w:hAnsi="Arial" w:cs="Arial"/>
          <w:sz w:val="24"/>
          <w:szCs w:val="24"/>
        </w:rPr>
        <w:t xml:space="preserve">Khan, A. S., Bibi, </w:t>
      </w:r>
      <w:proofErr w:type="gramStart"/>
      <w:r w:rsidRPr="00024755">
        <w:rPr>
          <w:rFonts w:ascii="Arial" w:eastAsia="Calibri" w:hAnsi="Arial" w:cs="Arial"/>
          <w:sz w:val="24"/>
          <w:szCs w:val="24"/>
        </w:rPr>
        <w:t>A. .</w:t>
      </w:r>
      <w:proofErr w:type="gramEnd"/>
      <w:r w:rsidRPr="00024755">
        <w:rPr>
          <w:rFonts w:ascii="Arial" w:eastAsia="Calibri" w:hAnsi="Arial" w:cs="Arial"/>
          <w:sz w:val="24"/>
          <w:szCs w:val="24"/>
        </w:rPr>
        <w:t>, Khan, A. . and Ahmad, I. (2023)</w:t>
      </w:r>
      <w:bookmarkEnd w:id="10"/>
      <w:r w:rsidRPr="00024755">
        <w:rPr>
          <w:rFonts w:ascii="Arial" w:eastAsia="Calibri" w:hAnsi="Arial" w:cs="Arial"/>
          <w:sz w:val="24"/>
          <w:szCs w:val="24"/>
        </w:rPr>
        <w:t xml:space="preserve"> “Responsibility of Sexual Violence Under International </w:t>
      </w:r>
      <w:proofErr w:type="gramStart"/>
      <w:r w:rsidRPr="00024755">
        <w:rPr>
          <w:rFonts w:ascii="Arial" w:eastAsia="Calibri" w:hAnsi="Arial" w:cs="Arial"/>
          <w:sz w:val="24"/>
          <w:szCs w:val="24"/>
        </w:rPr>
        <w:t>Law ”</w:t>
      </w:r>
      <w:proofErr w:type="gramEnd"/>
      <w:r w:rsidRPr="00024755">
        <w:rPr>
          <w:rFonts w:ascii="Arial" w:eastAsia="Calibri" w:hAnsi="Arial" w:cs="Arial"/>
          <w:sz w:val="24"/>
          <w:szCs w:val="24"/>
        </w:rPr>
        <w:t>, </w:t>
      </w:r>
      <w:r w:rsidRPr="00024755">
        <w:rPr>
          <w:rFonts w:ascii="Arial" w:eastAsia="Calibri" w:hAnsi="Arial" w:cs="Arial"/>
          <w:i/>
          <w:iCs/>
          <w:sz w:val="24"/>
          <w:szCs w:val="24"/>
        </w:rPr>
        <w:t>Journal of Social Sciences Review</w:t>
      </w:r>
      <w:r w:rsidRPr="00024755">
        <w:rPr>
          <w:rFonts w:ascii="Arial" w:eastAsia="Calibri" w:hAnsi="Arial" w:cs="Arial"/>
          <w:sz w:val="24"/>
          <w:szCs w:val="24"/>
        </w:rPr>
        <w:t xml:space="preserve">, 3(1), pp. 29–41. </w:t>
      </w:r>
      <w:proofErr w:type="spellStart"/>
      <w:r w:rsidRPr="00D42221">
        <w:rPr>
          <w:rFonts w:ascii="Arial" w:eastAsia="Calibri" w:hAnsi="Arial" w:cs="Arial"/>
          <w:color w:val="4472C4" w:themeColor="accent1"/>
          <w:sz w:val="24"/>
          <w:szCs w:val="24"/>
          <w:u w:val="single"/>
        </w:rPr>
        <w:t>doi</w:t>
      </w:r>
      <w:proofErr w:type="spellEnd"/>
      <w:r w:rsidRPr="00D42221">
        <w:rPr>
          <w:rFonts w:ascii="Arial" w:eastAsia="Calibri" w:hAnsi="Arial" w:cs="Arial"/>
          <w:color w:val="4472C4" w:themeColor="accent1"/>
          <w:sz w:val="24"/>
          <w:szCs w:val="24"/>
          <w:u w:val="single"/>
        </w:rPr>
        <w:t>: 10.54183/</w:t>
      </w:r>
      <w:proofErr w:type="gramStart"/>
      <w:r w:rsidRPr="00D42221">
        <w:rPr>
          <w:rFonts w:ascii="Arial" w:eastAsia="Calibri" w:hAnsi="Arial" w:cs="Arial"/>
          <w:color w:val="4472C4" w:themeColor="accent1"/>
          <w:sz w:val="24"/>
          <w:szCs w:val="24"/>
          <w:u w:val="single"/>
        </w:rPr>
        <w:t>jssr.v</w:t>
      </w:r>
      <w:proofErr w:type="gramEnd"/>
      <w:r w:rsidRPr="00D42221">
        <w:rPr>
          <w:rFonts w:ascii="Arial" w:eastAsia="Calibri" w:hAnsi="Arial" w:cs="Arial"/>
          <w:color w:val="4472C4" w:themeColor="accent1"/>
          <w:sz w:val="24"/>
          <w:szCs w:val="24"/>
          <w:u w:val="single"/>
        </w:rPr>
        <w:t>3i1.110.</w:t>
      </w:r>
    </w:p>
    <w:p w14:paraId="2516E706" w14:textId="77777777" w:rsidR="007B54B0" w:rsidRPr="00024755" w:rsidRDefault="007B54B0" w:rsidP="007B54B0">
      <w:pPr>
        <w:jc w:val="both"/>
        <w:rPr>
          <w:rFonts w:ascii="Arial" w:hAnsi="Arial" w:cs="Arial"/>
          <w:color w:val="4472C4" w:themeColor="accent1"/>
          <w:sz w:val="24"/>
          <w:szCs w:val="24"/>
        </w:rPr>
      </w:pPr>
      <w:proofErr w:type="spellStart"/>
      <w:r w:rsidRPr="00D42221">
        <w:rPr>
          <w:rFonts w:ascii="Arial" w:hAnsi="Arial" w:cs="Arial"/>
          <w:sz w:val="24"/>
          <w:szCs w:val="24"/>
        </w:rPr>
        <w:t>Khulbe</w:t>
      </w:r>
      <w:proofErr w:type="spellEnd"/>
      <w:r w:rsidRPr="00D42221">
        <w:rPr>
          <w:rFonts w:ascii="Arial" w:hAnsi="Arial" w:cs="Arial"/>
          <w:sz w:val="24"/>
          <w:szCs w:val="24"/>
        </w:rPr>
        <w:t>, M., (2022) Transforming human capital management: from HR expertise to AI-driven analytics. </w:t>
      </w:r>
      <w:r w:rsidRPr="00D42221">
        <w:rPr>
          <w:rFonts w:ascii="Arial" w:hAnsi="Arial" w:cs="Arial"/>
          <w:i/>
          <w:iCs/>
          <w:sz w:val="24"/>
          <w:szCs w:val="24"/>
        </w:rPr>
        <w:t>European Chemical Bulletin</w:t>
      </w:r>
      <w:r w:rsidRPr="00D42221">
        <w:rPr>
          <w:rFonts w:ascii="Arial" w:hAnsi="Arial" w:cs="Arial"/>
          <w:sz w:val="24"/>
          <w:szCs w:val="24"/>
        </w:rPr>
        <w:t xml:space="preserve">. </w:t>
      </w:r>
      <w:r w:rsidRPr="00D42221">
        <w:rPr>
          <w:rFonts w:ascii="Arial" w:hAnsi="Arial" w:cs="Arial"/>
          <w:color w:val="4472C4" w:themeColor="accent1"/>
          <w:sz w:val="24"/>
          <w:szCs w:val="24"/>
          <w:u w:val="single"/>
        </w:rPr>
        <w:t>DOI:10.53555/</w:t>
      </w:r>
      <w:proofErr w:type="spellStart"/>
      <w:r w:rsidRPr="00D42221">
        <w:rPr>
          <w:rFonts w:ascii="Arial" w:hAnsi="Arial" w:cs="Arial"/>
          <w:color w:val="4472C4" w:themeColor="accent1"/>
          <w:sz w:val="24"/>
          <w:szCs w:val="24"/>
          <w:u w:val="single"/>
        </w:rPr>
        <w:t>ecb</w:t>
      </w:r>
      <w:proofErr w:type="spellEnd"/>
      <w:r w:rsidRPr="00D42221">
        <w:rPr>
          <w:rFonts w:ascii="Arial" w:hAnsi="Arial" w:cs="Arial"/>
          <w:color w:val="4472C4" w:themeColor="accent1"/>
          <w:sz w:val="24"/>
          <w:szCs w:val="24"/>
          <w:u w:val="single"/>
        </w:rPr>
        <w:t>/2022.11.12.393</w:t>
      </w:r>
    </w:p>
    <w:p w14:paraId="7AA99776"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Kokemuller, N., (2019) Relationships Between PEST and SWOT. </w:t>
      </w:r>
      <w:proofErr w:type="gramStart"/>
      <w:r w:rsidRPr="00024755">
        <w:rPr>
          <w:rFonts w:ascii="Arial" w:eastAsia="Calibri" w:hAnsi="Arial" w:cs="Arial"/>
          <w:i/>
          <w:iCs/>
          <w:sz w:val="24"/>
          <w:szCs w:val="24"/>
        </w:rPr>
        <w:t>Chron </w:t>
      </w:r>
      <w:r w:rsidRPr="00024755">
        <w:rPr>
          <w:rFonts w:ascii="Arial" w:eastAsia="Calibri" w:hAnsi="Arial" w:cs="Arial"/>
          <w:sz w:val="24"/>
          <w:szCs w:val="24"/>
        </w:rPr>
        <w:t>,</w:t>
      </w:r>
      <w:proofErr w:type="gramEnd"/>
      <w:r w:rsidRPr="00024755">
        <w:rPr>
          <w:rFonts w:ascii="Arial" w:eastAsia="Calibri" w:hAnsi="Arial" w:cs="Arial"/>
          <w:sz w:val="24"/>
          <w:szCs w:val="24"/>
        </w:rPr>
        <w:t xml:space="preserve"> 11 Jan. Available at: smallbusiness.chron.com/relationships-between-pest-swot-10083.html  (Accessed 16 July 2024).</w:t>
      </w:r>
    </w:p>
    <w:p w14:paraId="5724723E"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Learned, E.P.; Christensen, C.R.; Andrews, K.E.; Guth, W.D. (1982) </w:t>
      </w:r>
      <w:r w:rsidRPr="00024755">
        <w:rPr>
          <w:rFonts w:ascii="Arial" w:eastAsia="Calibri" w:hAnsi="Arial" w:cs="Arial"/>
          <w:i/>
          <w:iCs/>
          <w:sz w:val="24"/>
          <w:szCs w:val="24"/>
        </w:rPr>
        <w:t>Business Policy: Text and Cases</w:t>
      </w:r>
      <w:r w:rsidRPr="00024755">
        <w:rPr>
          <w:rFonts w:ascii="Arial" w:eastAsia="Calibri" w:hAnsi="Arial" w:cs="Arial"/>
          <w:sz w:val="24"/>
          <w:szCs w:val="24"/>
        </w:rPr>
        <w:t>, 5th ed.; Richard, D., Ed.; Irwin: Homewood, IL, USA</w:t>
      </w:r>
      <w:bookmarkStart w:id="11" w:name="_Hlk183884198"/>
      <w:r w:rsidRPr="00024755">
        <w:rPr>
          <w:rFonts w:ascii="Arial" w:eastAsia="Calibri" w:hAnsi="Arial" w:cs="Arial"/>
          <w:sz w:val="24"/>
          <w:szCs w:val="24"/>
        </w:rPr>
        <w:t>.</w:t>
      </w:r>
    </w:p>
    <w:p w14:paraId="2C3F8F6A" w14:textId="77777777" w:rsidR="007B54B0" w:rsidRPr="00024755" w:rsidRDefault="007B54B0" w:rsidP="007B54B0">
      <w:pPr>
        <w:jc w:val="both"/>
        <w:rPr>
          <w:rFonts w:ascii="Arial" w:hAnsi="Arial" w:cs="Arial"/>
          <w:color w:val="4472C4" w:themeColor="accent1"/>
          <w:sz w:val="24"/>
          <w:szCs w:val="24"/>
        </w:rPr>
      </w:pPr>
      <w:r w:rsidRPr="00D90745">
        <w:rPr>
          <w:rFonts w:ascii="Arial" w:hAnsi="Arial" w:cs="Arial"/>
          <w:sz w:val="24"/>
          <w:szCs w:val="24"/>
        </w:rPr>
        <w:t xml:space="preserve">Lekshmi, R.S., Mary, V.S., </w:t>
      </w:r>
      <w:proofErr w:type="spellStart"/>
      <w:r w:rsidRPr="00D90745">
        <w:rPr>
          <w:rFonts w:ascii="Arial" w:hAnsi="Arial" w:cs="Arial"/>
          <w:sz w:val="24"/>
          <w:szCs w:val="24"/>
        </w:rPr>
        <w:t>Arasuraja</w:t>
      </w:r>
      <w:proofErr w:type="spellEnd"/>
      <w:r w:rsidRPr="00D90745">
        <w:rPr>
          <w:rFonts w:ascii="Arial" w:hAnsi="Arial" w:cs="Arial"/>
          <w:sz w:val="24"/>
          <w:szCs w:val="24"/>
        </w:rPr>
        <w:t xml:space="preserve">, G., Krishnamoorthy, V., Kaliappan, S. and </w:t>
      </w:r>
      <w:proofErr w:type="spellStart"/>
      <w:r w:rsidRPr="00D90745">
        <w:rPr>
          <w:rFonts w:ascii="Arial" w:hAnsi="Arial" w:cs="Arial"/>
          <w:sz w:val="24"/>
          <w:szCs w:val="24"/>
        </w:rPr>
        <w:t>Selvameena</w:t>
      </w:r>
      <w:proofErr w:type="spellEnd"/>
      <w:r w:rsidRPr="00D90745">
        <w:rPr>
          <w:rFonts w:ascii="Arial" w:hAnsi="Arial" w:cs="Arial"/>
          <w:sz w:val="24"/>
          <w:szCs w:val="24"/>
        </w:rPr>
        <w:t xml:space="preserve">, R., (2024) December. AI-Driven HR Optimization Strategies in Finance and Marketing: Methodological Framework and Applications. </w:t>
      </w:r>
      <w:r w:rsidRPr="00D90745">
        <w:rPr>
          <w:rFonts w:ascii="Arial" w:hAnsi="Arial" w:cs="Arial"/>
          <w:i/>
          <w:iCs/>
          <w:sz w:val="24"/>
          <w:szCs w:val="24"/>
        </w:rPr>
        <w:t>In 2024 International Conference on Innovative Computing, Intelligent Communication and Smart Electrical Systems (ICSES)</w:t>
      </w:r>
      <w:r w:rsidRPr="00D90745">
        <w:rPr>
          <w:rFonts w:ascii="Arial" w:hAnsi="Arial" w:cs="Arial"/>
          <w:sz w:val="24"/>
          <w:szCs w:val="24"/>
        </w:rPr>
        <w:t xml:space="preserve"> (pp. 1-7). </w:t>
      </w:r>
      <w:r w:rsidRPr="00D42221">
        <w:rPr>
          <w:rFonts w:ascii="Arial" w:hAnsi="Arial" w:cs="Arial"/>
          <w:color w:val="4472C4" w:themeColor="accent1"/>
          <w:sz w:val="24"/>
          <w:szCs w:val="24"/>
          <w:u w:val="single"/>
        </w:rPr>
        <w:t>IEEE. DOI: 10.1109/ICSES63760.2024.1091090</w:t>
      </w:r>
    </w:p>
    <w:bookmarkEnd w:id="11"/>
    <w:p w14:paraId="1D6D95A6"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LIN, H., (2006) Ethical Applications of Technology in HRD: A PEST Analysis and Implications. </w:t>
      </w:r>
      <w:r w:rsidRPr="00024755">
        <w:rPr>
          <w:rFonts w:ascii="Arial" w:eastAsia="Calibri" w:hAnsi="Arial" w:cs="Arial"/>
          <w:i/>
          <w:iCs/>
          <w:sz w:val="24"/>
          <w:szCs w:val="24"/>
        </w:rPr>
        <w:t>Performance Improvement Quarterly, </w:t>
      </w:r>
      <w:r w:rsidRPr="00024755">
        <w:rPr>
          <w:rFonts w:ascii="Arial" w:eastAsia="Calibri" w:hAnsi="Arial" w:cs="Arial"/>
          <w:b/>
          <w:bCs/>
          <w:sz w:val="24"/>
          <w:szCs w:val="24"/>
        </w:rPr>
        <w:t>19</w:t>
      </w:r>
      <w:r w:rsidRPr="00024755">
        <w:rPr>
          <w:rFonts w:ascii="Arial" w:eastAsia="Calibri" w:hAnsi="Arial" w:cs="Arial"/>
          <w:sz w:val="24"/>
          <w:szCs w:val="24"/>
        </w:rPr>
        <w:t xml:space="preserve">(4), pp. 91-105. </w:t>
      </w:r>
      <w:r w:rsidRPr="00D42221">
        <w:rPr>
          <w:rFonts w:ascii="Arial" w:eastAsia="Calibri" w:hAnsi="Arial" w:cs="Arial"/>
          <w:sz w:val="24"/>
          <w:szCs w:val="24"/>
          <w:u w:val="single"/>
        </w:rPr>
        <w:t> </w:t>
      </w:r>
      <w:hyperlink r:id="rId44" w:history="1">
        <w:r w:rsidRPr="00D42221">
          <w:rPr>
            <w:rFonts w:ascii="Arial" w:eastAsia="Calibri" w:hAnsi="Arial" w:cs="Arial"/>
            <w:color w:val="0563C1" w:themeColor="hyperlink"/>
            <w:sz w:val="24"/>
            <w:szCs w:val="24"/>
            <w:u w:val="single"/>
          </w:rPr>
          <w:t>https://doi.org/10.1111/j.1937-8327.2006.tb00386.x</w:t>
        </w:r>
      </w:hyperlink>
    </w:p>
    <w:p w14:paraId="1012C75E"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bookmarkStart w:id="12" w:name="_Hlk183881064"/>
      <w:r w:rsidRPr="00024755">
        <w:rPr>
          <w:rFonts w:ascii="Arial" w:eastAsia="Calibri" w:hAnsi="Arial" w:cs="Arial"/>
          <w:sz w:val="24"/>
          <w:szCs w:val="24"/>
        </w:rPr>
        <w:t xml:space="preserve">Lorenz, R. (2022) </w:t>
      </w:r>
      <w:r w:rsidRPr="00024755">
        <w:rPr>
          <w:rFonts w:ascii="Arial" w:eastAsia="Calibri" w:hAnsi="Arial" w:cs="Arial"/>
          <w:i/>
          <w:iCs/>
          <w:sz w:val="24"/>
          <w:szCs w:val="24"/>
        </w:rPr>
        <w:t>Technology Transfer Training Needs and Assessment: Manual and Toolkit</w:t>
      </w:r>
      <w:r w:rsidRPr="00024755">
        <w:rPr>
          <w:rFonts w:ascii="Arial" w:eastAsia="Calibri" w:hAnsi="Arial" w:cs="Arial"/>
          <w:sz w:val="24"/>
          <w:szCs w:val="24"/>
        </w:rPr>
        <w:t xml:space="preserve">. World Intellectual Property Organization. </w:t>
      </w:r>
      <w:hyperlink r:id="rId45" w:history="1">
        <w:r w:rsidRPr="00D42221">
          <w:rPr>
            <w:rFonts w:ascii="Arial" w:eastAsia="Calibri" w:hAnsi="Arial" w:cs="Arial"/>
            <w:color w:val="0563C1" w:themeColor="hyperlink"/>
            <w:sz w:val="24"/>
            <w:szCs w:val="24"/>
            <w:u w:val="single"/>
          </w:rPr>
          <w:t>https://doi.org/10.34667/tind.44906</w:t>
        </w:r>
      </w:hyperlink>
    </w:p>
    <w:p w14:paraId="3B770E42"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Lozano, M. and </w:t>
      </w:r>
      <w:proofErr w:type="spellStart"/>
      <w:r w:rsidRPr="00024755">
        <w:rPr>
          <w:rFonts w:ascii="Arial" w:eastAsia="Calibri" w:hAnsi="Arial" w:cs="Arial"/>
          <w:sz w:val="24"/>
          <w:szCs w:val="24"/>
        </w:rPr>
        <w:t>Vallés</w:t>
      </w:r>
      <w:proofErr w:type="spellEnd"/>
      <w:r w:rsidRPr="00024755">
        <w:rPr>
          <w:rFonts w:ascii="Arial" w:eastAsia="Calibri" w:hAnsi="Arial" w:cs="Arial"/>
          <w:sz w:val="24"/>
          <w:szCs w:val="24"/>
        </w:rPr>
        <w:t>, J., (2007</w:t>
      </w:r>
      <w:bookmarkEnd w:id="12"/>
      <w:r w:rsidRPr="00024755">
        <w:rPr>
          <w:rFonts w:ascii="Arial" w:eastAsia="Calibri" w:hAnsi="Arial" w:cs="Arial"/>
          <w:sz w:val="24"/>
          <w:szCs w:val="24"/>
        </w:rPr>
        <w:t>) An analysis of the implementation of an environmental management system in a local public administration. </w:t>
      </w:r>
      <w:r w:rsidRPr="00024755">
        <w:rPr>
          <w:rFonts w:ascii="Arial" w:eastAsia="Calibri" w:hAnsi="Arial" w:cs="Arial"/>
          <w:i/>
          <w:iCs/>
          <w:sz w:val="24"/>
          <w:szCs w:val="24"/>
        </w:rPr>
        <w:t>Journal of environmental management</w:t>
      </w:r>
      <w:r w:rsidRPr="00024755">
        <w:rPr>
          <w:rFonts w:ascii="Arial" w:eastAsia="Calibri" w:hAnsi="Arial" w:cs="Arial"/>
          <w:sz w:val="24"/>
          <w:szCs w:val="24"/>
        </w:rPr>
        <w:t>, </w:t>
      </w:r>
      <w:r w:rsidRPr="00024755">
        <w:rPr>
          <w:rFonts w:ascii="Arial" w:eastAsia="Calibri" w:hAnsi="Arial" w:cs="Arial"/>
          <w:i/>
          <w:iCs/>
          <w:sz w:val="24"/>
          <w:szCs w:val="24"/>
        </w:rPr>
        <w:t>82</w:t>
      </w:r>
      <w:r w:rsidRPr="00024755">
        <w:rPr>
          <w:rFonts w:ascii="Arial" w:eastAsia="Calibri" w:hAnsi="Arial" w:cs="Arial"/>
          <w:sz w:val="24"/>
          <w:szCs w:val="24"/>
        </w:rPr>
        <w:t xml:space="preserve">(4), pp.495-511. </w:t>
      </w:r>
      <w:hyperlink r:id="rId46" w:history="1">
        <w:r w:rsidRPr="00D42221">
          <w:rPr>
            <w:rFonts w:ascii="Arial" w:eastAsia="Calibri" w:hAnsi="Arial" w:cs="Arial"/>
            <w:color w:val="0563C1" w:themeColor="hyperlink"/>
            <w:sz w:val="24"/>
            <w:szCs w:val="24"/>
            <w:u w:val="single"/>
          </w:rPr>
          <w:t>https://doi.org/10.1016/j.jenvman.2006.01.013</w:t>
        </w:r>
      </w:hyperlink>
    </w:p>
    <w:p w14:paraId="616ABACA" w14:textId="77777777" w:rsidR="007B54B0" w:rsidRPr="00024755" w:rsidRDefault="007B54B0" w:rsidP="007B54B0">
      <w:pPr>
        <w:spacing w:before="100" w:beforeAutospacing="1" w:after="100" w:afterAutospacing="1" w:line="240" w:lineRule="auto"/>
        <w:jc w:val="both"/>
        <w:rPr>
          <w:rFonts w:ascii="Arial" w:hAnsi="Arial" w:cs="Arial"/>
          <w:sz w:val="24"/>
          <w:szCs w:val="24"/>
        </w:rPr>
      </w:pPr>
      <w:r w:rsidRPr="00024755">
        <w:rPr>
          <w:rFonts w:ascii="Arial" w:eastAsia="Calibri" w:hAnsi="Arial" w:cs="Arial"/>
          <w:sz w:val="24"/>
          <w:szCs w:val="24"/>
        </w:rPr>
        <w:t>Madureira, T., Nunes, F., Mata, F. and Vaz-Velho, M., (2024) A SWOT Analysis of Organizations in the Agri-Food Chain Sector from the Northern Region of Portugal Using the PESTEL and MEETHS Frameworks. </w:t>
      </w:r>
      <w:r w:rsidRPr="00024755">
        <w:rPr>
          <w:rFonts w:ascii="Arial" w:eastAsia="Calibri" w:hAnsi="Arial" w:cs="Arial"/>
          <w:i/>
          <w:iCs/>
          <w:sz w:val="24"/>
          <w:szCs w:val="24"/>
        </w:rPr>
        <w:t>Agriculture</w:t>
      </w:r>
      <w:r w:rsidRPr="00024755">
        <w:rPr>
          <w:rFonts w:ascii="Arial" w:eastAsia="Calibri" w:hAnsi="Arial" w:cs="Arial"/>
          <w:sz w:val="24"/>
          <w:szCs w:val="24"/>
        </w:rPr>
        <w:t>, </w:t>
      </w:r>
      <w:r w:rsidRPr="00024755">
        <w:rPr>
          <w:rFonts w:ascii="Arial" w:eastAsia="Calibri" w:hAnsi="Arial" w:cs="Arial"/>
          <w:i/>
          <w:iCs/>
          <w:sz w:val="24"/>
          <w:szCs w:val="24"/>
        </w:rPr>
        <w:t>14</w:t>
      </w:r>
      <w:r w:rsidRPr="00024755">
        <w:rPr>
          <w:rFonts w:ascii="Arial" w:eastAsia="Calibri" w:hAnsi="Arial" w:cs="Arial"/>
          <w:sz w:val="24"/>
          <w:szCs w:val="24"/>
        </w:rPr>
        <w:t xml:space="preserve">(9), p.1554. </w:t>
      </w:r>
      <w:hyperlink r:id="rId47" w:history="1">
        <w:r w:rsidRPr="00D42221">
          <w:rPr>
            <w:rFonts w:ascii="Arial" w:eastAsia="Calibri" w:hAnsi="Arial" w:cs="Arial"/>
            <w:color w:val="0563C1" w:themeColor="hyperlink"/>
            <w:sz w:val="24"/>
            <w:szCs w:val="24"/>
            <w:u w:val="single"/>
          </w:rPr>
          <w:t>https://doi.org/10.3390/agriculture14091554</w:t>
        </w:r>
      </w:hyperlink>
    </w:p>
    <w:p w14:paraId="568CB5CB"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Marmol, T. del </w:t>
      </w:r>
      <w:r w:rsidRPr="00D90745">
        <w:rPr>
          <w:rFonts w:ascii="Arial" w:eastAsia="Calibri" w:hAnsi="Arial" w:cs="Arial"/>
          <w:i/>
          <w:iCs/>
          <w:sz w:val="24"/>
          <w:szCs w:val="24"/>
        </w:rPr>
        <w:t>et al.</w:t>
      </w:r>
      <w:r w:rsidRPr="00D90745">
        <w:rPr>
          <w:rFonts w:ascii="Arial" w:eastAsia="Calibri" w:hAnsi="Arial" w:cs="Arial"/>
          <w:sz w:val="24"/>
          <w:szCs w:val="24"/>
        </w:rPr>
        <w:t xml:space="preserve"> (2015) </w:t>
      </w:r>
      <w:r w:rsidRPr="00D90745">
        <w:rPr>
          <w:rFonts w:ascii="Arial" w:eastAsia="Calibri" w:hAnsi="Arial" w:cs="Arial"/>
          <w:i/>
          <w:iCs/>
          <w:sz w:val="24"/>
          <w:szCs w:val="24"/>
        </w:rPr>
        <w:t>PESTLE analysis</w:t>
      </w:r>
      <w:r w:rsidRPr="00D90745">
        <w:rPr>
          <w:rFonts w:ascii="Arial" w:eastAsia="Calibri" w:hAnsi="Arial" w:cs="Arial"/>
          <w:sz w:val="24"/>
          <w:szCs w:val="24"/>
        </w:rPr>
        <w:t>. Translated by C. Probert. Namur: Lemaitre Publishing.</w:t>
      </w:r>
    </w:p>
    <w:p w14:paraId="6F27017D"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Mason, Roger. (2007) The external environment’s effect on management and strategy: A complexity theory approach. </w:t>
      </w:r>
      <w:r w:rsidRPr="00024755">
        <w:rPr>
          <w:rFonts w:ascii="Arial" w:eastAsia="Calibri" w:hAnsi="Arial" w:cs="Arial"/>
          <w:i/>
          <w:iCs/>
          <w:sz w:val="24"/>
          <w:szCs w:val="24"/>
        </w:rPr>
        <w:t xml:space="preserve">Management Decision. </w:t>
      </w:r>
      <w:r w:rsidRPr="00024755">
        <w:rPr>
          <w:rFonts w:ascii="Arial" w:eastAsia="Calibri" w:hAnsi="Arial" w:cs="Arial"/>
          <w:sz w:val="24"/>
          <w:szCs w:val="24"/>
        </w:rPr>
        <w:t xml:space="preserve">45. </w:t>
      </w:r>
      <w:r w:rsidRPr="00D42221">
        <w:rPr>
          <w:rFonts w:ascii="Arial" w:eastAsia="Calibri" w:hAnsi="Arial" w:cs="Arial"/>
          <w:color w:val="4472C4" w:themeColor="accent1"/>
          <w:sz w:val="24"/>
          <w:szCs w:val="24"/>
          <w:u w:val="single"/>
        </w:rPr>
        <w:t>Doi:10.1108/00251740710718935</w:t>
      </w:r>
    </w:p>
    <w:p w14:paraId="467102F5"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Mamula Nikolić, Tatjana. (2024) </w:t>
      </w:r>
      <w:r w:rsidRPr="00024755">
        <w:rPr>
          <w:rFonts w:ascii="Arial" w:eastAsia="Calibri" w:hAnsi="Arial" w:cs="Arial"/>
          <w:i/>
          <w:iCs/>
          <w:sz w:val="24"/>
          <w:szCs w:val="24"/>
        </w:rPr>
        <w:t>Business Reintegration Living with the Tsunami How to Thrive on the Waves of Change 2</w:t>
      </w:r>
      <w:r w:rsidRPr="00024755">
        <w:rPr>
          <w:rFonts w:ascii="Arial" w:eastAsia="Calibri" w:hAnsi="Arial" w:cs="Arial"/>
          <w:sz w:val="24"/>
          <w:szCs w:val="24"/>
        </w:rPr>
        <w:t>. Publisher: Hera Edu &amp; Metropolitan University</w:t>
      </w:r>
    </w:p>
    <w:p w14:paraId="788B563B"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lastRenderedPageBreak/>
        <w:t>Medeiros, K. and Griffith, J. (2019) #Ustoo: How I-O psychologists can extend the conversation on sexual harassment and sexual assault through workplace training, </w:t>
      </w:r>
      <w:r w:rsidRPr="00024755">
        <w:rPr>
          <w:rFonts w:ascii="Arial" w:eastAsia="Calibri" w:hAnsi="Arial" w:cs="Arial"/>
          <w:i/>
          <w:iCs/>
          <w:sz w:val="24"/>
          <w:szCs w:val="24"/>
        </w:rPr>
        <w:t>Industrial and Organizational Psychology</w:t>
      </w:r>
      <w:r w:rsidRPr="00024755">
        <w:rPr>
          <w:rFonts w:ascii="Arial" w:eastAsia="Calibri" w:hAnsi="Arial" w:cs="Arial"/>
          <w:sz w:val="24"/>
          <w:szCs w:val="24"/>
        </w:rPr>
        <w:t xml:space="preserve">, 12(1), pp. 1–19. </w:t>
      </w:r>
      <w:r w:rsidRPr="00D42221">
        <w:rPr>
          <w:rFonts w:ascii="Arial" w:eastAsia="Calibri" w:hAnsi="Arial" w:cs="Arial"/>
          <w:color w:val="4472C4" w:themeColor="accent1"/>
          <w:sz w:val="24"/>
          <w:szCs w:val="24"/>
          <w:u w:val="single"/>
        </w:rPr>
        <w:t>doi:10.1017/iop.2018.</w:t>
      </w:r>
      <w:proofErr w:type="gramStart"/>
      <w:r w:rsidRPr="00D42221">
        <w:rPr>
          <w:rFonts w:ascii="Arial" w:eastAsia="Calibri" w:hAnsi="Arial" w:cs="Arial"/>
          <w:color w:val="4472C4" w:themeColor="accent1"/>
          <w:sz w:val="24"/>
          <w:szCs w:val="24"/>
          <w:u w:val="single"/>
        </w:rPr>
        <w:t>155 .</w:t>
      </w:r>
      <w:proofErr w:type="gramEnd"/>
    </w:p>
    <w:p w14:paraId="1477FE7C"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Metcalf, E. and Heller, J. (2022) “Building a Deliberate and Repeatable Program for Developing Leaders of Character”, </w:t>
      </w:r>
      <w:r w:rsidRPr="00024755">
        <w:rPr>
          <w:rFonts w:ascii="Arial" w:eastAsia="Calibri" w:hAnsi="Arial" w:cs="Arial"/>
          <w:i/>
          <w:iCs/>
          <w:sz w:val="24"/>
          <w:szCs w:val="24"/>
        </w:rPr>
        <w:t>Journal of Character and Leadership Development</w:t>
      </w:r>
      <w:r w:rsidRPr="00024755">
        <w:rPr>
          <w:rFonts w:ascii="Arial" w:eastAsia="Calibri" w:hAnsi="Arial" w:cs="Arial"/>
          <w:sz w:val="24"/>
          <w:szCs w:val="24"/>
        </w:rPr>
        <w:t xml:space="preserve">, 10(1), pp. 58–64. </w:t>
      </w:r>
      <w:proofErr w:type="spellStart"/>
      <w:r w:rsidRPr="00D42221">
        <w:rPr>
          <w:rFonts w:ascii="Arial" w:eastAsia="Calibri" w:hAnsi="Arial" w:cs="Arial"/>
          <w:color w:val="4472C4" w:themeColor="accent1"/>
          <w:sz w:val="24"/>
          <w:szCs w:val="24"/>
          <w:u w:val="single"/>
        </w:rPr>
        <w:t>doi</w:t>
      </w:r>
      <w:proofErr w:type="spellEnd"/>
      <w:r w:rsidRPr="00D42221">
        <w:rPr>
          <w:rFonts w:ascii="Arial" w:eastAsia="Calibri" w:hAnsi="Arial" w:cs="Arial"/>
          <w:color w:val="4472C4" w:themeColor="accent1"/>
          <w:sz w:val="24"/>
          <w:szCs w:val="24"/>
          <w:u w:val="single"/>
        </w:rPr>
        <w:t>: 10.58315/</w:t>
      </w:r>
      <w:proofErr w:type="gramStart"/>
      <w:r w:rsidRPr="00D42221">
        <w:rPr>
          <w:rFonts w:ascii="Arial" w:eastAsia="Calibri" w:hAnsi="Arial" w:cs="Arial"/>
          <w:color w:val="4472C4" w:themeColor="accent1"/>
          <w:sz w:val="24"/>
          <w:szCs w:val="24"/>
          <w:u w:val="single"/>
        </w:rPr>
        <w:t>jcld.v</w:t>
      </w:r>
      <w:proofErr w:type="gramEnd"/>
      <w:r w:rsidRPr="00D42221">
        <w:rPr>
          <w:rFonts w:ascii="Arial" w:eastAsia="Calibri" w:hAnsi="Arial" w:cs="Arial"/>
          <w:color w:val="4472C4" w:themeColor="accent1"/>
          <w:sz w:val="24"/>
          <w:szCs w:val="24"/>
          <w:u w:val="single"/>
        </w:rPr>
        <w:t>10.252</w:t>
      </w:r>
      <w:r w:rsidRPr="00D42221">
        <w:rPr>
          <w:rFonts w:ascii="Arial" w:eastAsia="Calibri" w:hAnsi="Arial" w:cs="Arial"/>
          <w:color w:val="4472C4" w:themeColor="accent1"/>
          <w:sz w:val="24"/>
          <w:szCs w:val="24"/>
        </w:rPr>
        <w:t xml:space="preserve"> </w:t>
      </w:r>
    </w:p>
    <w:p w14:paraId="5A6AA7FF"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McDonald, P., Charlesworth, S., &amp; Graham, T. (2015) Action or inaction: bystander intervention in workplace sexual harassment. The International Journal of Human Resource Management, 27(5), 548-566. </w:t>
      </w:r>
      <w:hyperlink r:id="rId48" w:history="1">
        <w:r w:rsidRPr="00D42221">
          <w:rPr>
            <w:rFonts w:ascii="Arial" w:eastAsia="Calibri" w:hAnsi="Arial" w:cs="Arial"/>
            <w:color w:val="0563C1" w:themeColor="hyperlink"/>
            <w:sz w:val="24"/>
            <w:szCs w:val="24"/>
            <w:u w:val="single"/>
          </w:rPr>
          <w:t>https://doi.org/10.1080/09585192.2015.1023331</w:t>
        </w:r>
      </w:hyperlink>
    </w:p>
    <w:p w14:paraId="48BBD061"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McMahon, W.W. and Oketch, M., (2013) Education's Effects on Individual Life Chances and On Development: An Overview. </w:t>
      </w:r>
      <w:r w:rsidRPr="00D90745">
        <w:rPr>
          <w:rFonts w:ascii="Arial" w:eastAsia="Calibri" w:hAnsi="Arial" w:cs="Arial"/>
          <w:i/>
          <w:iCs/>
          <w:sz w:val="24"/>
          <w:szCs w:val="24"/>
        </w:rPr>
        <w:t>British Journal of Educational Studies, </w:t>
      </w:r>
      <w:r w:rsidRPr="00D90745">
        <w:rPr>
          <w:rFonts w:ascii="Arial" w:eastAsia="Calibri" w:hAnsi="Arial" w:cs="Arial"/>
          <w:sz w:val="24"/>
          <w:szCs w:val="24"/>
        </w:rPr>
        <w:t xml:space="preserve">61(1), pp. 79–107. </w:t>
      </w:r>
      <w:hyperlink r:id="rId49" w:history="1">
        <w:r w:rsidRPr="00D42221">
          <w:rPr>
            <w:rFonts w:ascii="Arial" w:eastAsia="Calibri" w:hAnsi="Arial" w:cs="Arial"/>
            <w:color w:val="0563C1" w:themeColor="hyperlink"/>
            <w:sz w:val="24"/>
            <w:szCs w:val="24"/>
            <w:u w:val="single"/>
          </w:rPr>
          <w:t>https://doi.org/10.1080/00071005.2012.756170</w:t>
        </w:r>
      </w:hyperlink>
      <w:r w:rsidRPr="00D90745">
        <w:rPr>
          <w:rFonts w:ascii="Arial" w:eastAsia="Calibri" w:hAnsi="Arial" w:cs="Arial"/>
          <w:sz w:val="24"/>
          <w:szCs w:val="24"/>
        </w:rPr>
        <w:t xml:space="preserve"> </w:t>
      </w:r>
    </w:p>
    <w:p w14:paraId="683604E8"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Menon, A., Bharadwaj, S.G., </w:t>
      </w:r>
      <w:proofErr w:type="spellStart"/>
      <w:r w:rsidRPr="00D90745">
        <w:rPr>
          <w:rFonts w:ascii="Arial" w:eastAsia="Calibri" w:hAnsi="Arial" w:cs="Arial"/>
          <w:sz w:val="24"/>
          <w:szCs w:val="24"/>
        </w:rPr>
        <w:t>Adidam</w:t>
      </w:r>
      <w:proofErr w:type="spellEnd"/>
      <w:r w:rsidRPr="00D90745">
        <w:rPr>
          <w:rFonts w:ascii="Arial" w:eastAsia="Calibri" w:hAnsi="Arial" w:cs="Arial"/>
          <w:sz w:val="24"/>
          <w:szCs w:val="24"/>
        </w:rPr>
        <w:t>, P.T. and Edison, S.W., (1999) Antecedents and consequences of marketing strategy making: a model and a test. </w:t>
      </w:r>
      <w:r w:rsidRPr="00D90745">
        <w:rPr>
          <w:rFonts w:ascii="Arial" w:eastAsia="Calibri" w:hAnsi="Arial" w:cs="Arial"/>
          <w:i/>
          <w:iCs/>
          <w:sz w:val="24"/>
          <w:szCs w:val="24"/>
        </w:rPr>
        <w:t>Journal of marketing</w:t>
      </w:r>
      <w:r w:rsidRPr="00D90745">
        <w:rPr>
          <w:rFonts w:ascii="Arial" w:eastAsia="Calibri" w:hAnsi="Arial" w:cs="Arial"/>
          <w:sz w:val="24"/>
          <w:szCs w:val="24"/>
        </w:rPr>
        <w:t>, </w:t>
      </w:r>
      <w:r w:rsidRPr="00D90745">
        <w:rPr>
          <w:rFonts w:ascii="Arial" w:eastAsia="Calibri" w:hAnsi="Arial" w:cs="Arial"/>
          <w:i/>
          <w:iCs/>
          <w:sz w:val="24"/>
          <w:szCs w:val="24"/>
        </w:rPr>
        <w:t>63</w:t>
      </w:r>
      <w:r w:rsidRPr="00D90745">
        <w:rPr>
          <w:rFonts w:ascii="Arial" w:eastAsia="Calibri" w:hAnsi="Arial" w:cs="Arial"/>
          <w:sz w:val="24"/>
          <w:szCs w:val="24"/>
        </w:rPr>
        <w:t xml:space="preserve">(2), pp.18-40. </w:t>
      </w:r>
      <w:hyperlink r:id="rId50" w:history="1">
        <w:r w:rsidRPr="00D42221">
          <w:rPr>
            <w:rFonts w:ascii="Arial" w:eastAsia="Calibri" w:hAnsi="Arial" w:cs="Arial"/>
            <w:color w:val="0563C1" w:themeColor="hyperlink"/>
            <w:sz w:val="24"/>
            <w:szCs w:val="24"/>
            <w:u w:val="single"/>
          </w:rPr>
          <w:t>https://doi.org/10.1177/002224299906300202</w:t>
        </w:r>
      </w:hyperlink>
      <w:r w:rsidRPr="00D90745">
        <w:rPr>
          <w:rFonts w:ascii="Arial" w:eastAsia="Calibri" w:hAnsi="Arial" w:cs="Arial"/>
          <w:sz w:val="24"/>
          <w:szCs w:val="24"/>
        </w:rPr>
        <w:t xml:space="preserve"> </w:t>
      </w:r>
    </w:p>
    <w:p w14:paraId="7B673928"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Mohammed, A., Ansah, E.W. and </w:t>
      </w:r>
      <w:proofErr w:type="spellStart"/>
      <w:r w:rsidRPr="00D90745">
        <w:rPr>
          <w:rFonts w:ascii="Arial" w:eastAsia="Calibri" w:hAnsi="Arial" w:cs="Arial"/>
          <w:sz w:val="24"/>
          <w:szCs w:val="24"/>
        </w:rPr>
        <w:t>Apaak</w:t>
      </w:r>
      <w:proofErr w:type="spellEnd"/>
      <w:r w:rsidRPr="00D90745">
        <w:rPr>
          <w:rFonts w:ascii="Arial" w:eastAsia="Calibri" w:hAnsi="Arial" w:cs="Arial"/>
          <w:sz w:val="24"/>
          <w:szCs w:val="24"/>
        </w:rPr>
        <w:t>, D., (2023) Sexual harassment as experienced by nurses from selected healthcare facilities in Ghana. </w:t>
      </w:r>
      <w:r w:rsidRPr="00D90745">
        <w:rPr>
          <w:rFonts w:ascii="Arial" w:eastAsia="Calibri" w:hAnsi="Arial" w:cs="Arial"/>
          <w:i/>
          <w:iCs/>
          <w:sz w:val="24"/>
          <w:szCs w:val="24"/>
        </w:rPr>
        <w:t>BMC nursing</w:t>
      </w:r>
      <w:r w:rsidRPr="00D90745">
        <w:rPr>
          <w:rFonts w:ascii="Arial" w:eastAsia="Calibri" w:hAnsi="Arial" w:cs="Arial"/>
          <w:sz w:val="24"/>
          <w:szCs w:val="24"/>
        </w:rPr>
        <w:t>, </w:t>
      </w:r>
      <w:r w:rsidRPr="00D90745">
        <w:rPr>
          <w:rFonts w:ascii="Arial" w:eastAsia="Calibri" w:hAnsi="Arial" w:cs="Arial"/>
          <w:i/>
          <w:iCs/>
          <w:sz w:val="24"/>
          <w:szCs w:val="24"/>
        </w:rPr>
        <w:t>22</w:t>
      </w:r>
      <w:r w:rsidRPr="00D90745">
        <w:rPr>
          <w:rFonts w:ascii="Arial" w:eastAsia="Calibri" w:hAnsi="Arial" w:cs="Arial"/>
          <w:sz w:val="24"/>
          <w:szCs w:val="24"/>
        </w:rPr>
        <w:t xml:space="preserve">(1), p.117. </w:t>
      </w:r>
      <w:hyperlink r:id="rId51" w:history="1">
        <w:r w:rsidRPr="00D42221">
          <w:rPr>
            <w:rFonts w:ascii="Arial" w:eastAsia="Calibri" w:hAnsi="Arial" w:cs="Arial"/>
            <w:color w:val="0563C1" w:themeColor="hyperlink"/>
            <w:sz w:val="24"/>
            <w:szCs w:val="24"/>
            <w:u w:val="single"/>
          </w:rPr>
          <w:t>https://doi.org/10.1186/s12912-023-01228-6</w:t>
        </w:r>
      </w:hyperlink>
      <w:r w:rsidRPr="00D90745">
        <w:rPr>
          <w:rFonts w:ascii="Arial" w:eastAsia="Calibri" w:hAnsi="Arial" w:cs="Arial"/>
          <w:sz w:val="24"/>
          <w:szCs w:val="24"/>
        </w:rPr>
        <w:t xml:space="preserve"> </w:t>
      </w:r>
    </w:p>
    <w:p w14:paraId="42089D8E"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Morris A., (2024) </w:t>
      </w:r>
      <w:r w:rsidRPr="00D90745">
        <w:rPr>
          <w:rFonts w:ascii="Arial" w:eastAsia="Calibri" w:hAnsi="Arial" w:cs="Arial"/>
          <w:i/>
          <w:iCs/>
          <w:sz w:val="24"/>
          <w:szCs w:val="24"/>
        </w:rPr>
        <w:t xml:space="preserve">Understanding the Trade Union Act 1992 for Employers. </w:t>
      </w:r>
      <w:r w:rsidRPr="00D90745">
        <w:rPr>
          <w:rFonts w:ascii="Arial" w:eastAsia="Calibri" w:hAnsi="Arial" w:cs="Arial"/>
          <w:sz w:val="24"/>
          <w:szCs w:val="24"/>
        </w:rPr>
        <w:t xml:space="preserve">Available at: </w:t>
      </w:r>
      <w:hyperlink r:id="rId52" w:history="1">
        <w:r w:rsidRPr="00D42221">
          <w:rPr>
            <w:rFonts w:ascii="Arial" w:eastAsia="Calibri" w:hAnsi="Arial" w:cs="Arial"/>
            <w:color w:val="4472C4" w:themeColor="accent1"/>
            <w:sz w:val="24"/>
            <w:szCs w:val="24"/>
            <w:u w:val="single"/>
          </w:rPr>
          <w:t>https://www.davidsonmorris.com/trade-union-act-1992/</w:t>
        </w:r>
      </w:hyperlink>
      <w:r w:rsidRPr="00D42221">
        <w:rPr>
          <w:rFonts w:ascii="Arial" w:eastAsia="Calibri" w:hAnsi="Arial" w:cs="Arial"/>
          <w:color w:val="4472C4" w:themeColor="accent1"/>
          <w:sz w:val="24"/>
          <w:szCs w:val="24"/>
          <w:u w:val="single"/>
        </w:rPr>
        <w:t xml:space="preserve"> (Accessed Dec 13</w:t>
      </w:r>
      <w:proofErr w:type="gramStart"/>
      <w:r w:rsidRPr="00D42221">
        <w:rPr>
          <w:rFonts w:ascii="Arial" w:eastAsia="Calibri" w:hAnsi="Arial" w:cs="Arial"/>
          <w:color w:val="4472C4" w:themeColor="accent1"/>
          <w:sz w:val="24"/>
          <w:szCs w:val="24"/>
          <w:u w:val="single"/>
        </w:rPr>
        <w:t xml:space="preserve"> 2024</w:t>
      </w:r>
      <w:proofErr w:type="gramEnd"/>
      <w:r w:rsidRPr="00D42221">
        <w:rPr>
          <w:rFonts w:ascii="Arial" w:eastAsia="Calibri" w:hAnsi="Arial" w:cs="Arial"/>
          <w:color w:val="4472C4" w:themeColor="accent1"/>
          <w:sz w:val="24"/>
          <w:szCs w:val="24"/>
          <w:u w:val="single"/>
        </w:rPr>
        <w:t>).</w:t>
      </w:r>
    </w:p>
    <w:p w14:paraId="5F912B53" w14:textId="77777777" w:rsidR="007B54B0" w:rsidRPr="00024755" w:rsidRDefault="007B54B0" w:rsidP="007B54B0">
      <w:pPr>
        <w:jc w:val="both"/>
        <w:rPr>
          <w:rFonts w:ascii="Arial" w:hAnsi="Arial" w:cs="Arial"/>
          <w:color w:val="4472C4" w:themeColor="accent1"/>
          <w:sz w:val="24"/>
          <w:szCs w:val="24"/>
        </w:rPr>
      </w:pPr>
      <w:r w:rsidRPr="00D90745">
        <w:rPr>
          <w:rFonts w:ascii="Arial" w:hAnsi="Arial" w:cs="Arial"/>
          <w:sz w:val="24"/>
          <w:szCs w:val="24"/>
        </w:rPr>
        <w:t xml:space="preserve">Neubauer, J.K. and Mohr, L., (2024) The impact of internal whistleblowing mechanisms. </w:t>
      </w:r>
      <w:r w:rsidRPr="00D90745">
        <w:rPr>
          <w:rFonts w:ascii="Arial" w:hAnsi="Arial" w:cs="Arial"/>
          <w:i/>
          <w:iCs/>
          <w:sz w:val="24"/>
          <w:szCs w:val="24"/>
        </w:rPr>
        <w:t xml:space="preserve">Lund University Libraries Open Access. </w:t>
      </w:r>
      <w:r w:rsidRPr="00D90745">
        <w:rPr>
          <w:rFonts w:ascii="Arial" w:hAnsi="Arial" w:cs="Arial"/>
          <w:sz w:val="24"/>
          <w:szCs w:val="24"/>
        </w:rPr>
        <w:t xml:space="preserve">Available at: </w:t>
      </w:r>
      <w:hyperlink r:id="rId53" w:history="1">
        <w:r w:rsidRPr="00D42221">
          <w:rPr>
            <w:rStyle w:val="Hyperlink"/>
            <w:rFonts w:ascii="Arial" w:hAnsi="Arial" w:cs="Arial"/>
            <w:color w:val="4472C4" w:themeColor="accent1"/>
            <w:sz w:val="24"/>
            <w:szCs w:val="24"/>
          </w:rPr>
          <w:t>The Impact of internal Whistleblowing Mechanisms</w:t>
        </w:r>
      </w:hyperlink>
      <w:r w:rsidRPr="00D42221">
        <w:rPr>
          <w:rFonts w:ascii="Arial" w:hAnsi="Arial" w:cs="Arial"/>
          <w:color w:val="4472C4" w:themeColor="accent1"/>
          <w:sz w:val="24"/>
          <w:szCs w:val="24"/>
          <w:u w:val="single"/>
        </w:rPr>
        <w:t xml:space="preserve"> (Accessed 20 March 2025).</w:t>
      </w:r>
    </w:p>
    <w:p w14:paraId="5F37E7B7"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u w:val="single"/>
        </w:rPr>
      </w:pPr>
      <w:r w:rsidRPr="00024755">
        <w:rPr>
          <w:rFonts w:ascii="Arial" w:eastAsia="Calibri" w:hAnsi="Arial" w:cs="Arial"/>
          <w:sz w:val="24"/>
          <w:szCs w:val="24"/>
        </w:rPr>
        <w:t>Nuraini, N., 2024. Creating Environments for Continuous Employee Development and Learning. </w:t>
      </w:r>
      <w:r w:rsidRPr="00024755">
        <w:rPr>
          <w:rFonts w:ascii="Arial" w:eastAsia="Calibri" w:hAnsi="Arial" w:cs="Arial"/>
          <w:i/>
          <w:iCs/>
          <w:sz w:val="24"/>
          <w:szCs w:val="24"/>
        </w:rPr>
        <w:t>Economics and Digital Business Review</w:t>
      </w:r>
      <w:r w:rsidRPr="00024755">
        <w:rPr>
          <w:rFonts w:ascii="Arial" w:eastAsia="Calibri" w:hAnsi="Arial" w:cs="Arial"/>
          <w:sz w:val="24"/>
          <w:szCs w:val="24"/>
        </w:rPr>
        <w:t>, </w:t>
      </w:r>
      <w:r w:rsidRPr="00024755">
        <w:rPr>
          <w:rFonts w:ascii="Arial" w:eastAsia="Calibri" w:hAnsi="Arial" w:cs="Arial"/>
          <w:i/>
          <w:iCs/>
          <w:sz w:val="24"/>
          <w:szCs w:val="24"/>
        </w:rPr>
        <w:t>5</w:t>
      </w:r>
      <w:r w:rsidRPr="00024755">
        <w:rPr>
          <w:rFonts w:ascii="Arial" w:eastAsia="Calibri" w:hAnsi="Arial" w:cs="Arial"/>
          <w:sz w:val="24"/>
          <w:szCs w:val="24"/>
        </w:rPr>
        <w:t xml:space="preserve">(1), pp.769-789. </w:t>
      </w:r>
      <w:hyperlink r:id="rId54" w:history="1">
        <w:r w:rsidRPr="00D42221">
          <w:rPr>
            <w:rFonts w:ascii="Arial" w:eastAsia="Calibri" w:hAnsi="Arial" w:cs="Arial"/>
            <w:color w:val="0563C1" w:themeColor="hyperlink"/>
            <w:sz w:val="24"/>
            <w:szCs w:val="24"/>
            <w:u w:val="single"/>
          </w:rPr>
          <w:t>https://doi.org/10.37531/ecotal.v5i1.1287</w:t>
        </w:r>
      </w:hyperlink>
    </w:p>
    <w:p w14:paraId="7EC14C24"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Office for National Statistics (2023) Population and migration statistics transformation, Ceredigion case study: 2023.Understanding the effectiveness of our administrative data in telling the story of Ceredigion</w:t>
      </w:r>
      <w:r w:rsidRPr="00D90745">
        <w:rPr>
          <w:rFonts w:ascii="Arial" w:eastAsia="Calibri" w:hAnsi="Arial" w:cs="Arial"/>
          <w:sz w:val="24"/>
          <w:szCs w:val="24"/>
        </w:rPr>
        <w:t xml:space="preserve">.  Available at: </w:t>
      </w:r>
      <w:hyperlink r:id="rId55" w:history="1">
        <w:r w:rsidRPr="00D42221">
          <w:rPr>
            <w:rFonts w:ascii="Arial" w:eastAsia="Calibri" w:hAnsi="Arial" w:cs="Arial"/>
            <w:color w:val="4472C4" w:themeColor="accent1"/>
            <w:sz w:val="24"/>
            <w:szCs w:val="24"/>
            <w:u w:val="single"/>
          </w:rPr>
          <w:t>Population and migration statistics transformation, Ceredigion case study - Office for National Statistics</w:t>
        </w:r>
      </w:hyperlink>
      <w:r w:rsidRPr="00D42221">
        <w:rPr>
          <w:rFonts w:ascii="Arial" w:eastAsia="Calibri" w:hAnsi="Arial" w:cs="Arial"/>
          <w:color w:val="4472C4" w:themeColor="accent1"/>
          <w:sz w:val="24"/>
          <w:szCs w:val="24"/>
          <w:u w:val="single"/>
        </w:rPr>
        <w:t xml:space="preserve"> (Accessed 12 December 2024).</w:t>
      </w:r>
    </w:p>
    <w:p w14:paraId="5892FA29"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Orr, L. (2021) ‘A review of the state of trade union-based worker education’, </w:t>
      </w:r>
      <w:r w:rsidRPr="00024755">
        <w:rPr>
          <w:rFonts w:ascii="Arial" w:eastAsia="Calibri" w:hAnsi="Arial" w:cs="Arial"/>
          <w:i/>
          <w:iCs/>
          <w:sz w:val="24"/>
          <w:szCs w:val="24"/>
        </w:rPr>
        <w:t>Social Dynamics</w:t>
      </w:r>
      <w:r w:rsidRPr="00024755">
        <w:rPr>
          <w:rFonts w:ascii="Arial" w:eastAsia="Calibri" w:hAnsi="Arial" w:cs="Arial"/>
          <w:sz w:val="24"/>
          <w:szCs w:val="24"/>
        </w:rPr>
        <w:t xml:space="preserve">, 47(3), pp. 498–515. </w:t>
      </w:r>
      <w:proofErr w:type="spellStart"/>
      <w:r w:rsidRPr="00024755">
        <w:rPr>
          <w:rFonts w:ascii="Arial" w:eastAsia="Calibri" w:hAnsi="Arial" w:cs="Arial"/>
          <w:sz w:val="24"/>
          <w:szCs w:val="24"/>
        </w:rPr>
        <w:t>doi</w:t>
      </w:r>
      <w:proofErr w:type="spellEnd"/>
      <w:r w:rsidRPr="00024755">
        <w:rPr>
          <w:rFonts w:ascii="Arial" w:eastAsia="Calibri" w:hAnsi="Arial" w:cs="Arial"/>
          <w:sz w:val="24"/>
          <w:szCs w:val="24"/>
        </w:rPr>
        <w:t xml:space="preserve">: 10.1080/02533952.2021.1997302 </w:t>
      </w:r>
    </w:p>
    <w:p w14:paraId="1993E51E" w14:textId="77777777" w:rsidR="007B54B0" w:rsidRPr="00D42221" w:rsidRDefault="007B54B0" w:rsidP="007B54B0">
      <w:pPr>
        <w:jc w:val="both"/>
        <w:rPr>
          <w:rFonts w:ascii="Arial" w:hAnsi="Arial" w:cs="Arial"/>
          <w:color w:val="4472C4" w:themeColor="accent1"/>
          <w:sz w:val="24"/>
          <w:szCs w:val="24"/>
          <w:u w:val="single"/>
        </w:rPr>
      </w:pPr>
      <w:proofErr w:type="spellStart"/>
      <w:r w:rsidRPr="00D90745">
        <w:rPr>
          <w:rFonts w:ascii="Arial" w:hAnsi="Arial" w:cs="Arial"/>
          <w:sz w:val="24"/>
          <w:szCs w:val="24"/>
        </w:rPr>
        <w:t>Patrignani</w:t>
      </w:r>
      <w:proofErr w:type="spellEnd"/>
      <w:r w:rsidRPr="00D90745">
        <w:rPr>
          <w:rFonts w:ascii="Arial" w:hAnsi="Arial" w:cs="Arial"/>
          <w:sz w:val="24"/>
          <w:szCs w:val="24"/>
        </w:rPr>
        <w:t xml:space="preserve">, P., Conlon, G., Dickerson, A. and McIntosh, S., (2021) The impact of the Apprenticeship Levy on Apprenticeships and other training outcomes. Discussion </w:t>
      </w:r>
      <w:r w:rsidRPr="00D90745">
        <w:rPr>
          <w:rFonts w:ascii="Arial" w:hAnsi="Arial" w:cs="Arial"/>
          <w:sz w:val="24"/>
          <w:szCs w:val="24"/>
        </w:rPr>
        <w:lastRenderedPageBreak/>
        <w:t xml:space="preserve">Paper 034. Available at: </w:t>
      </w:r>
      <w:hyperlink r:id="rId56" w:history="1">
        <w:r w:rsidRPr="00D42221">
          <w:rPr>
            <w:rStyle w:val="Hyperlink"/>
            <w:rFonts w:ascii="Arial" w:hAnsi="Arial" w:cs="Arial"/>
            <w:color w:val="4472C4" w:themeColor="accent1"/>
            <w:sz w:val="24"/>
            <w:szCs w:val="24"/>
          </w:rPr>
          <w:t>https://cver.lse.ac.uk/textonly/cver/pubs/cverdp034.pdf</w:t>
        </w:r>
      </w:hyperlink>
      <w:r w:rsidRPr="00D42221">
        <w:rPr>
          <w:rFonts w:ascii="Arial" w:hAnsi="Arial" w:cs="Arial"/>
          <w:color w:val="4472C4" w:themeColor="accent1"/>
          <w:sz w:val="24"/>
          <w:szCs w:val="24"/>
          <w:u w:val="single"/>
        </w:rPr>
        <w:t xml:space="preserve"> (Accessed 20 March 2025).</w:t>
      </w:r>
    </w:p>
    <w:p w14:paraId="59C96ACA"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Pérez Ahumada, P. (2024) Class, union membership, and organizational commitment: A multilevel analysis of 28 countries. Economic and Industrial Democracy, 45(1), 219-245. </w:t>
      </w:r>
      <w:hyperlink r:id="rId57" w:history="1">
        <w:r w:rsidRPr="00D42221">
          <w:rPr>
            <w:rFonts w:ascii="Arial" w:eastAsia="Calibri" w:hAnsi="Arial" w:cs="Arial"/>
            <w:color w:val="0563C1" w:themeColor="hyperlink"/>
            <w:sz w:val="24"/>
            <w:szCs w:val="24"/>
            <w:u w:val="single"/>
          </w:rPr>
          <w:t>https://doi.org/10.1177/0143831X221148235</w:t>
        </w:r>
      </w:hyperlink>
      <w:r w:rsidRPr="00D90745">
        <w:rPr>
          <w:rFonts w:ascii="Arial" w:eastAsia="Calibri" w:hAnsi="Arial" w:cs="Arial"/>
          <w:sz w:val="24"/>
          <w:szCs w:val="24"/>
        </w:rPr>
        <w:t xml:space="preserve"> </w:t>
      </w:r>
    </w:p>
    <w:p w14:paraId="1F12BEBF" w14:textId="1211EC7D" w:rsidR="007B54B0" w:rsidRPr="00024755" w:rsidRDefault="007B54B0" w:rsidP="007B54B0">
      <w:pPr>
        <w:spacing w:before="100" w:beforeAutospacing="1" w:after="100" w:afterAutospacing="1" w:line="240" w:lineRule="auto"/>
        <w:jc w:val="both"/>
        <w:rPr>
          <w:rFonts w:ascii="Arial" w:eastAsia="Calibri" w:hAnsi="Arial" w:cs="Arial"/>
          <w:sz w:val="24"/>
          <w:szCs w:val="24"/>
        </w:rPr>
      </w:pPr>
      <w:proofErr w:type="spellStart"/>
      <w:r w:rsidRPr="00D90745">
        <w:rPr>
          <w:rFonts w:ascii="Arial" w:eastAsia="Calibri" w:hAnsi="Arial" w:cs="Arial"/>
          <w:sz w:val="24"/>
          <w:szCs w:val="24"/>
        </w:rPr>
        <w:t>Perunova</w:t>
      </w:r>
      <w:proofErr w:type="spellEnd"/>
      <w:r w:rsidRPr="00D90745">
        <w:rPr>
          <w:rFonts w:ascii="Arial" w:eastAsia="Calibri" w:hAnsi="Arial" w:cs="Arial"/>
          <w:sz w:val="24"/>
          <w:szCs w:val="24"/>
        </w:rPr>
        <w:t xml:space="preserve">, O., (2024) </w:t>
      </w:r>
      <w:r w:rsidR="00FB352B" w:rsidRPr="00D90745">
        <w:rPr>
          <w:rFonts w:ascii="Arial" w:eastAsia="Calibri" w:hAnsi="Arial" w:cs="Arial"/>
          <w:sz w:val="24"/>
          <w:szCs w:val="24"/>
        </w:rPr>
        <w:t>Sexual harassment as a manifestation of gender discrimination and human rights violations</w:t>
      </w:r>
      <w:r w:rsidRPr="00D90745">
        <w:rPr>
          <w:rFonts w:ascii="Arial" w:eastAsia="Calibri" w:hAnsi="Arial" w:cs="Arial"/>
          <w:sz w:val="24"/>
          <w:szCs w:val="24"/>
        </w:rPr>
        <w:t>. </w:t>
      </w:r>
      <w:proofErr w:type="spellStart"/>
      <w:r w:rsidRPr="00D90745">
        <w:rPr>
          <w:rFonts w:ascii="Arial" w:eastAsia="Calibri" w:hAnsi="Arial" w:cs="Arial"/>
          <w:i/>
          <w:iCs/>
          <w:sz w:val="24"/>
          <w:szCs w:val="24"/>
        </w:rPr>
        <w:t>Європейські</w:t>
      </w:r>
      <w:proofErr w:type="spellEnd"/>
      <w:r w:rsidRPr="00D90745">
        <w:rPr>
          <w:rFonts w:ascii="Arial" w:eastAsia="Calibri" w:hAnsi="Arial" w:cs="Arial"/>
          <w:i/>
          <w:iCs/>
          <w:sz w:val="24"/>
          <w:szCs w:val="24"/>
        </w:rPr>
        <w:t xml:space="preserve"> </w:t>
      </w:r>
      <w:proofErr w:type="spellStart"/>
      <w:r w:rsidRPr="00D90745">
        <w:rPr>
          <w:rFonts w:ascii="Arial" w:eastAsia="Calibri" w:hAnsi="Arial" w:cs="Arial"/>
          <w:i/>
          <w:iCs/>
          <w:sz w:val="24"/>
          <w:szCs w:val="24"/>
        </w:rPr>
        <w:t>соціо-правові</w:t>
      </w:r>
      <w:proofErr w:type="spellEnd"/>
      <w:r w:rsidRPr="00D90745">
        <w:rPr>
          <w:rFonts w:ascii="Arial" w:eastAsia="Calibri" w:hAnsi="Arial" w:cs="Arial"/>
          <w:i/>
          <w:iCs/>
          <w:sz w:val="24"/>
          <w:szCs w:val="24"/>
        </w:rPr>
        <w:t xml:space="preserve"> </w:t>
      </w:r>
      <w:proofErr w:type="spellStart"/>
      <w:r w:rsidRPr="00D90745">
        <w:rPr>
          <w:rFonts w:ascii="Arial" w:eastAsia="Calibri" w:hAnsi="Arial" w:cs="Arial"/>
          <w:i/>
          <w:iCs/>
          <w:sz w:val="24"/>
          <w:szCs w:val="24"/>
        </w:rPr>
        <w:t>та</w:t>
      </w:r>
      <w:proofErr w:type="spellEnd"/>
      <w:r w:rsidRPr="00D90745">
        <w:rPr>
          <w:rFonts w:ascii="Arial" w:eastAsia="Calibri" w:hAnsi="Arial" w:cs="Arial"/>
          <w:i/>
          <w:iCs/>
          <w:sz w:val="24"/>
          <w:szCs w:val="24"/>
        </w:rPr>
        <w:t xml:space="preserve"> </w:t>
      </w:r>
      <w:proofErr w:type="spellStart"/>
      <w:r w:rsidRPr="00D90745">
        <w:rPr>
          <w:rFonts w:ascii="Arial" w:eastAsia="Calibri" w:hAnsi="Arial" w:cs="Arial"/>
          <w:i/>
          <w:iCs/>
          <w:sz w:val="24"/>
          <w:szCs w:val="24"/>
        </w:rPr>
        <w:t>гуманітарні</w:t>
      </w:r>
      <w:proofErr w:type="spellEnd"/>
      <w:r w:rsidRPr="00D90745">
        <w:rPr>
          <w:rFonts w:ascii="Arial" w:eastAsia="Calibri" w:hAnsi="Arial" w:cs="Arial"/>
          <w:i/>
          <w:iCs/>
          <w:sz w:val="24"/>
          <w:szCs w:val="24"/>
        </w:rPr>
        <w:t xml:space="preserve"> </w:t>
      </w:r>
      <w:proofErr w:type="spellStart"/>
      <w:r w:rsidRPr="00D90745">
        <w:rPr>
          <w:rFonts w:ascii="Arial" w:eastAsia="Calibri" w:hAnsi="Arial" w:cs="Arial"/>
          <w:i/>
          <w:iCs/>
          <w:sz w:val="24"/>
          <w:szCs w:val="24"/>
        </w:rPr>
        <w:t>студії</w:t>
      </w:r>
      <w:proofErr w:type="spellEnd"/>
      <w:r w:rsidRPr="00D90745">
        <w:rPr>
          <w:rFonts w:ascii="Arial" w:eastAsia="Calibri" w:hAnsi="Arial" w:cs="Arial"/>
          <w:sz w:val="24"/>
          <w:szCs w:val="24"/>
        </w:rPr>
        <w:t xml:space="preserve">, (1), pp.102-109. </w:t>
      </w:r>
      <w:hyperlink r:id="rId58" w:history="1">
        <w:r w:rsidRPr="00D42221">
          <w:rPr>
            <w:rFonts w:ascii="Arial" w:eastAsia="Calibri" w:hAnsi="Arial" w:cs="Arial"/>
            <w:color w:val="0563C1" w:themeColor="hyperlink"/>
            <w:sz w:val="24"/>
            <w:szCs w:val="24"/>
            <w:u w:val="single"/>
          </w:rPr>
          <w:t>https://doi.org/10.61345/2734-8873.2024.1.11</w:t>
        </w:r>
      </w:hyperlink>
      <w:r w:rsidRPr="00024755">
        <w:rPr>
          <w:rFonts w:ascii="Arial" w:eastAsia="Calibri" w:hAnsi="Arial" w:cs="Arial"/>
          <w:sz w:val="24"/>
          <w:szCs w:val="24"/>
        </w:rPr>
        <w:t xml:space="preserve"> </w:t>
      </w:r>
    </w:p>
    <w:p w14:paraId="1B62308D"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Rastogi, N. and Trivedi, M.K., (2016) PESTLE technique–a tool to identify external risks in construction projects. </w:t>
      </w:r>
      <w:r w:rsidRPr="00024755">
        <w:rPr>
          <w:rFonts w:ascii="Arial" w:eastAsia="Calibri" w:hAnsi="Arial" w:cs="Arial"/>
          <w:i/>
          <w:iCs/>
          <w:sz w:val="24"/>
          <w:szCs w:val="24"/>
        </w:rPr>
        <w:t>International Research Journal of Engineering and Technology (IRJET), </w:t>
      </w:r>
      <w:r w:rsidRPr="00024755">
        <w:rPr>
          <w:rFonts w:ascii="Arial" w:eastAsia="Calibri" w:hAnsi="Arial" w:cs="Arial"/>
          <w:sz w:val="24"/>
          <w:szCs w:val="24"/>
        </w:rPr>
        <w:t>3(1), pp. 384–388.</w:t>
      </w:r>
    </w:p>
    <w:p w14:paraId="20ED599B"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proofErr w:type="spellStart"/>
      <w:r w:rsidRPr="00024755">
        <w:rPr>
          <w:rFonts w:ascii="Arial" w:eastAsia="Calibri" w:hAnsi="Arial" w:cs="Arial"/>
          <w:sz w:val="24"/>
          <w:szCs w:val="24"/>
        </w:rPr>
        <w:t>Renesch</w:t>
      </w:r>
      <w:proofErr w:type="spellEnd"/>
      <w:r w:rsidRPr="00024755">
        <w:rPr>
          <w:rFonts w:ascii="Arial" w:eastAsia="Calibri" w:hAnsi="Arial" w:cs="Arial"/>
          <w:sz w:val="24"/>
          <w:szCs w:val="24"/>
        </w:rPr>
        <w:t xml:space="preserve">, J., &amp; Chawla, S. (2006) Learning Organizations: Developing Cultures for Tomorrow's Workplace (1st ed.). Productivity Press. </w:t>
      </w:r>
      <w:hyperlink r:id="rId59" w:history="1">
        <w:r w:rsidRPr="00D42221">
          <w:rPr>
            <w:rFonts w:ascii="Arial" w:eastAsia="Calibri" w:hAnsi="Arial" w:cs="Arial"/>
            <w:color w:val="0563C1" w:themeColor="hyperlink"/>
            <w:sz w:val="24"/>
            <w:szCs w:val="24"/>
            <w:u w:val="single"/>
          </w:rPr>
          <w:t>https://doi.org/10.4324/9781003578840</w:t>
        </w:r>
      </w:hyperlink>
    </w:p>
    <w:p w14:paraId="4C93549E"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Rudman, A., &amp; </w:t>
      </w:r>
      <w:proofErr w:type="spellStart"/>
      <w:r w:rsidRPr="00D90745">
        <w:rPr>
          <w:rFonts w:ascii="Arial" w:eastAsia="Calibri" w:hAnsi="Arial" w:cs="Arial"/>
          <w:sz w:val="24"/>
          <w:szCs w:val="24"/>
        </w:rPr>
        <w:t>Ellem</w:t>
      </w:r>
      <w:proofErr w:type="spellEnd"/>
      <w:r w:rsidRPr="00D90745">
        <w:rPr>
          <w:rFonts w:ascii="Arial" w:eastAsia="Calibri" w:hAnsi="Arial" w:cs="Arial"/>
          <w:sz w:val="24"/>
          <w:szCs w:val="24"/>
        </w:rPr>
        <w:t xml:space="preserve">, B. (2024) Union purpose and power: Regulating the fissured workplace. Economic and Industrial Democracy, 45(1), 200-218. </w:t>
      </w:r>
      <w:hyperlink r:id="rId60" w:history="1">
        <w:r w:rsidRPr="00D42221">
          <w:rPr>
            <w:rFonts w:ascii="Arial" w:eastAsia="Calibri" w:hAnsi="Arial" w:cs="Arial"/>
            <w:color w:val="0563C1" w:themeColor="hyperlink"/>
            <w:sz w:val="24"/>
            <w:szCs w:val="24"/>
            <w:u w:val="single"/>
          </w:rPr>
          <w:t>https://doi.org/10.1177/0143831X221139333</w:t>
        </w:r>
      </w:hyperlink>
    </w:p>
    <w:p w14:paraId="4B220BE9" w14:textId="77777777" w:rsidR="007B54B0" w:rsidRPr="00D42221" w:rsidRDefault="007B54B0" w:rsidP="007B54B0">
      <w:pPr>
        <w:spacing w:before="100" w:beforeAutospacing="1" w:after="100" w:afterAutospacing="1" w:line="240" w:lineRule="auto"/>
        <w:jc w:val="both"/>
        <w:rPr>
          <w:rFonts w:ascii="Arial" w:eastAsia="Calibri" w:hAnsi="Arial" w:cs="Arial"/>
          <w:sz w:val="24"/>
          <w:szCs w:val="24"/>
          <w:u w:val="single"/>
        </w:rPr>
      </w:pPr>
      <w:r w:rsidRPr="00D90745">
        <w:rPr>
          <w:rFonts w:ascii="Arial" w:eastAsia="Calibri" w:hAnsi="Arial" w:cs="Arial"/>
          <w:sz w:val="24"/>
          <w:szCs w:val="24"/>
        </w:rPr>
        <w:t xml:space="preserve">Shimada, G., (2024) Kaizen: Why is It so Difficult to </w:t>
      </w:r>
      <w:proofErr w:type="gramStart"/>
      <w:r w:rsidRPr="00D90745">
        <w:rPr>
          <w:rFonts w:ascii="Arial" w:eastAsia="Calibri" w:hAnsi="Arial" w:cs="Arial"/>
          <w:sz w:val="24"/>
          <w:szCs w:val="24"/>
        </w:rPr>
        <w:t>Understand?.</w:t>
      </w:r>
      <w:proofErr w:type="gramEnd"/>
      <w:r w:rsidRPr="00D90745">
        <w:rPr>
          <w:rFonts w:ascii="Arial" w:eastAsia="Calibri" w:hAnsi="Arial" w:cs="Arial"/>
          <w:sz w:val="24"/>
          <w:szCs w:val="24"/>
        </w:rPr>
        <w:t xml:space="preserve"> In </w:t>
      </w:r>
      <w:r w:rsidRPr="00D90745">
        <w:rPr>
          <w:rFonts w:ascii="Arial" w:eastAsia="Calibri" w:hAnsi="Arial" w:cs="Arial"/>
          <w:i/>
          <w:iCs/>
          <w:sz w:val="24"/>
          <w:szCs w:val="24"/>
        </w:rPr>
        <w:t>The Semantics of Development in Asia: Exploring ‘</w:t>
      </w:r>
      <w:proofErr w:type="spellStart"/>
      <w:r w:rsidRPr="00D90745">
        <w:rPr>
          <w:rFonts w:ascii="Arial" w:eastAsia="Calibri" w:hAnsi="Arial" w:cs="Arial"/>
          <w:i/>
          <w:iCs/>
          <w:sz w:val="24"/>
          <w:szCs w:val="24"/>
        </w:rPr>
        <w:t>Untranslatable’Ideas</w:t>
      </w:r>
      <w:proofErr w:type="spellEnd"/>
      <w:r w:rsidRPr="00D90745">
        <w:rPr>
          <w:rFonts w:ascii="Arial" w:eastAsia="Calibri" w:hAnsi="Arial" w:cs="Arial"/>
          <w:i/>
          <w:iCs/>
          <w:sz w:val="24"/>
          <w:szCs w:val="24"/>
        </w:rPr>
        <w:t xml:space="preserve"> Through Japan</w:t>
      </w:r>
      <w:r w:rsidRPr="00D90745">
        <w:rPr>
          <w:rFonts w:ascii="Arial" w:eastAsia="Calibri" w:hAnsi="Arial" w:cs="Arial"/>
          <w:sz w:val="24"/>
          <w:szCs w:val="24"/>
        </w:rPr>
        <w:t xml:space="preserve"> (pp. 29-43). </w:t>
      </w:r>
      <w:r w:rsidRPr="00D90745">
        <w:rPr>
          <w:rFonts w:ascii="Arial" w:eastAsia="Calibri" w:hAnsi="Arial" w:cs="Arial"/>
          <w:i/>
          <w:iCs/>
          <w:sz w:val="24"/>
          <w:szCs w:val="24"/>
        </w:rPr>
        <w:t>Singapore: Springer Nature Singapore</w:t>
      </w:r>
      <w:r w:rsidRPr="00D90745">
        <w:rPr>
          <w:rFonts w:ascii="Arial" w:eastAsia="Calibri" w:hAnsi="Arial" w:cs="Arial"/>
          <w:sz w:val="24"/>
          <w:szCs w:val="24"/>
        </w:rPr>
        <w:t xml:space="preserve">. </w:t>
      </w:r>
      <w:hyperlink r:id="rId61" w:history="1">
        <w:r w:rsidRPr="00D42221">
          <w:rPr>
            <w:rFonts w:ascii="Arial" w:eastAsia="Calibri" w:hAnsi="Arial" w:cs="Arial"/>
            <w:color w:val="0563C1" w:themeColor="hyperlink"/>
            <w:sz w:val="24"/>
            <w:szCs w:val="24"/>
            <w:u w:val="single"/>
          </w:rPr>
          <w:t>https://doi.org/10.1007/978-981-97-1215-1_3</w:t>
        </w:r>
      </w:hyperlink>
    </w:p>
    <w:p w14:paraId="742FD3AA"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Smidt, A., Adams-Clark, A., &amp; Freyd, J. (2023) Institutional courage buffers against institutional betrayal protects employee </w:t>
      </w:r>
      <w:proofErr w:type="gramStart"/>
      <w:r w:rsidRPr="00D90745">
        <w:rPr>
          <w:rFonts w:ascii="Arial" w:eastAsia="Calibri" w:hAnsi="Arial" w:cs="Arial"/>
          <w:sz w:val="24"/>
          <w:szCs w:val="24"/>
        </w:rPr>
        <w:t>health, and</w:t>
      </w:r>
      <w:proofErr w:type="gramEnd"/>
      <w:r w:rsidRPr="00D90745">
        <w:rPr>
          <w:rFonts w:ascii="Arial" w:eastAsia="Calibri" w:hAnsi="Arial" w:cs="Arial"/>
          <w:sz w:val="24"/>
          <w:szCs w:val="24"/>
        </w:rPr>
        <w:t xml:space="preserve"> fosters organizational commitment following workplace sexual harassment. </w:t>
      </w:r>
      <w:proofErr w:type="spellStart"/>
      <w:r w:rsidRPr="00D90745">
        <w:rPr>
          <w:rFonts w:ascii="Arial" w:eastAsia="Calibri" w:hAnsi="Arial" w:cs="Arial"/>
          <w:sz w:val="24"/>
          <w:szCs w:val="24"/>
        </w:rPr>
        <w:t>Plos</w:t>
      </w:r>
      <w:proofErr w:type="spellEnd"/>
      <w:r w:rsidRPr="00D90745">
        <w:rPr>
          <w:rFonts w:ascii="Arial" w:eastAsia="Calibri" w:hAnsi="Arial" w:cs="Arial"/>
          <w:sz w:val="24"/>
          <w:szCs w:val="24"/>
        </w:rPr>
        <w:t xml:space="preserve"> One, 18(1), e0278830. </w:t>
      </w:r>
      <w:hyperlink r:id="rId62" w:history="1">
        <w:r w:rsidRPr="00D42221">
          <w:rPr>
            <w:rFonts w:ascii="Arial" w:eastAsia="Calibri" w:hAnsi="Arial" w:cs="Arial"/>
            <w:color w:val="0563C1" w:themeColor="hyperlink"/>
            <w:sz w:val="24"/>
            <w:szCs w:val="24"/>
            <w:u w:val="single"/>
          </w:rPr>
          <w:t>https://doi.org/10.1371/journal.pone.0278830</w:t>
        </w:r>
      </w:hyperlink>
    </w:p>
    <w:p w14:paraId="69D821C8"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proofErr w:type="spellStart"/>
      <w:r w:rsidRPr="00024755">
        <w:rPr>
          <w:rFonts w:ascii="Arial" w:eastAsia="Calibri" w:hAnsi="Arial" w:cs="Arial"/>
          <w:sz w:val="24"/>
          <w:szCs w:val="24"/>
        </w:rPr>
        <w:t>Solotoff</w:t>
      </w:r>
      <w:proofErr w:type="spellEnd"/>
      <w:r w:rsidRPr="00024755">
        <w:rPr>
          <w:rFonts w:ascii="Arial" w:eastAsia="Calibri" w:hAnsi="Arial" w:cs="Arial"/>
          <w:sz w:val="24"/>
          <w:szCs w:val="24"/>
        </w:rPr>
        <w:t>, L. and Kramer, H.S., (2024) </w:t>
      </w:r>
      <w:r w:rsidRPr="00024755">
        <w:rPr>
          <w:rFonts w:ascii="Arial" w:eastAsia="Calibri" w:hAnsi="Arial" w:cs="Arial"/>
          <w:i/>
          <w:iCs/>
          <w:sz w:val="24"/>
          <w:szCs w:val="24"/>
        </w:rPr>
        <w:t xml:space="preserve">Sex Discrimination and Sexual Harassment in the </w:t>
      </w:r>
      <w:proofErr w:type="gramStart"/>
      <w:r w:rsidRPr="00024755">
        <w:rPr>
          <w:rFonts w:ascii="Arial" w:eastAsia="Calibri" w:hAnsi="Arial" w:cs="Arial"/>
          <w:i/>
          <w:iCs/>
          <w:sz w:val="24"/>
          <w:szCs w:val="24"/>
        </w:rPr>
        <w:t>Work Place</w:t>
      </w:r>
      <w:proofErr w:type="gramEnd"/>
      <w:r w:rsidRPr="00024755">
        <w:rPr>
          <w:rFonts w:ascii="Arial" w:eastAsia="Calibri" w:hAnsi="Arial" w:cs="Arial"/>
          <w:sz w:val="24"/>
          <w:szCs w:val="24"/>
        </w:rPr>
        <w:t>. Law Journal Press.</w:t>
      </w:r>
    </w:p>
    <w:p w14:paraId="2394EDC5"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proofErr w:type="spellStart"/>
      <w:r w:rsidRPr="00024755">
        <w:rPr>
          <w:rFonts w:ascii="Arial" w:eastAsia="Calibri" w:hAnsi="Arial" w:cs="Arial"/>
          <w:sz w:val="24"/>
          <w:szCs w:val="24"/>
        </w:rPr>
        <w:t>Srdjevic</w:t>
      </w:r>
      <w:proofErr w:type="spellEnd"/>
      <w:r w:rsidRPr="00024755">
        <w:rPr>
          <w:rFonts w:ascii="Arial" w:eastAsia="Calibri" w:hAnsi="Arial" w:cs="Arial"/>
          <w:sz w:val="24"/>
          <w:szCs w:val="24"/>
        </w:rPr>
        <w:t xml:space="preserve">, Z., </w:t>
      </w:r>
      <w:proofErr w:type="spellStart"/>
      <w:r w:rsidRPr="00024755">
        <w:rPr>
          <w:rFonts w:ascii="Arial" w:eastAsia="Calibri" w:hAnsi="Arial" w:cs="Arial"/>
          <w:sz w:val="24"/>
          <w:szCs w:val="24"/>
        </w:rPr>
        <w:t>Bajcetic</w:t>
      </w:r>
      <w:proofErr w:type="spellEnd"/>
      <w:r w:rsidRPr="00024755">
        <w:rPr>
          <w:rFonts w:ascii="Arial" w:eastAsia="Calibri" w:hAnsi="Arial" w:cs="Arial"/>
          <w:sz w:val="24"/>
          <w:szCs w:val="24"/>
        </w:rPr>
        <w:t xml:space="preserve">, R. and </w:t>
      </w:r>
      <w:proofErr w:type="spellStart"/>
      <w:r w:rsidRPr="00024755">
        <w:rPr>
          <w:rFonts w:ascii="Arial" w:eastAsia="Calibri" w:hAnsi="Arial" w:cs="Arial"/>
          <w:sz w:val="24"/>
          <w:szCs w:val="24"/>
        </w:rPr>
        <w:t>Srdjevic</w:t>
      </w:r>
      <w:proofErr w:type="spellEnd"/>
      <w:r w:rsidRPr="00024755">
        <w:rPr>
          <w:rFonts w:ascii="Arial" w:eastAsia="Calibri" w:hAnsi="Arial" w:cs="Arial"/>
          <w:sz w:val="24"/>
          <w:szCs w:val="24"/>
        </w:rPr>
        <w:t xml:space="preserve">, B., (2012) Identifying the criteria set for multicriteria decision making based on SWOT/PESTLE analysis: a case study of </w:t>
      </w:r>
      <w:r w:rsidRPr="00D90745">
        <w:rPr>
          <w:rFonts w:ascii="Arial" w:eastAsia="Calibri" w:hAnsi="Arial" w:cs="Arial"/>
          <w:sz w:val="24"/>
          <w:szCs w:val="24"/>
        </w:rPr>
        <w:t>reconstructing a water intake structure. </w:t>
      </w:r>
      <w:r w:rsidRPr="00D90745">
        <w:rPr>
          <w:rFonts w:ascii="Arial" w:eastAsia="Calibri" w:hAnsi="Arial" w:cs="Arial"/>
          <w:i/>
          <w:iCs/>
          <w:sz w:val="24"/>
          <w:szCs w:val="24"/>
        </w:rPr>
        <w:t>Water Resources Management, </w:t>
      </w:r>
      <w:r w:rsidRPr="00D90745">
        <w:rPr>
          <w:rFonts w:ascii="Arial" w:eastAsia="Calibri" w:hAnsi="Arial" w:cs="Arial"/>
          <w:sz w:val="24"/>
          <w:szCs w:val="24"/>
        </w:rPr>
        <w:t xml:space="preserve">26, pp. 3379–3393. </w:t>
      </w:r>
      <w:hyperlink r:id="rId63" w:history="1">
        <w:r w:rsidRPr="00D42221">
          <w:rPr>
            <w:rFonts w:ascii="Arial" w:eastAsia="Calibri" w:hAnsi="Arial" w:cs="Arial"/>
            <w:color w:val="0563C1" w:themeColor="hyperlink"/>
            <w:sz w:val="24"/>
            <w:szCs w:val="24"/>
            <w:u w:val="single"/>
          </w:rPr>
          <w:t>https://doi.org/10.1007/s11269-012-0077-2</w:t>
        </w:r>
      </w:hyperlink>
    </w:p>
    <w:p w14:paraId="23725890"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Sun, Z., Tavakoli, S., </w:t>
      </w:r>
      <w:proofErr w:type="spellStart"/>
      <w:r w:rsidRPr="00D90745">
        <w:rPr>
          <w:rFonts w:ascii="Arial" w:eastAsia="Calibri" w:hAnsi="Arial" w:cs="Arial"/>
          <w:sz w:val="24"/>
          <w:szCs w:val="24"/>
        </w:rPr>
        <w:t>Khalilpour</w:t>
      </w:r>
      <w:proofErr w:type="spellEnd"/>
      <w:r w:rsidRPr="00D90745">
        <w:rPr>
          <w:rFonts w:ascii="Arial" w:eastAsia="Calibri" w:hAnsi="Arial" w:cs="Arial"/>
          <w:sz w:val="24"/>
          <w:szCs w:val="24"/>
        </w:rPr>
        <w:t xml:space="preserve">, K., </w:t>
      </w:r>
      <w:proofErr w:type="spellStart"/>
      <w:r w:rsidRPr="00D90745">
        <w:rPr>
          <w:rFonts w:ascii="Arial" w:eastAsia="Calibri" w:hAnsi="Arial" w:cs="Arial"/>
          <w:sz w:val="24"/>
          <w:szCs w:val="24"/>
        </w:rPr>
        <w:t>Voinov</w:t>
      </w:r>
      <w:proofErr w:type="spellEnd"/>
      <w:r w:rsidRPr="00D90745">
        <w:rPr>
          <w:rFonts w:ascii="Arial" w:eastAsia="Calibri" w:hAnsi="Arial" w:cs="Arial"/>
          <w:sz w:val="24"/>
          <w:szCs w:val="24"/>
        </w:rPr>
        <w:t>, A., &amp; Marshall, J. P. (2024) Barriers to Peer-to-Peer Energy Trading Networks: A Multi-Dimensional PESTLE Analysis. </w:t>
      </w:r>
      <w:r w:rsidRPr="00D90745">
        <w:rPr>
          <w:rFonts w:ascii="Arial" w:eastAsia="Calibri" w:hAnsi="Arial" w:cs="Arial"/>
          <w:i/>
          <w:iCs/>
          <w:sz w:val="24"/>
          <w:szCs w:val="24"/>
        </w:rPr>
        <w:t>Sustainability</w:t>
      </w:r>
      <w:r w:rsidRPr="00D90745">
        <w:rPr>
          <w:rFonts w:ascii="Arial" w:eastAsia="Calibri" w:hAnsi="Arial" w:cs="Arial"/>
          <w:sz w:val="24"/>
          <w:szCs w:val="24"/>
        </w:rPr>
        <w:t>, </w:t>
      </w:r>
      <w:r w:rsidRPr="00D90745">
        <w:rPr>
          <w:rFonts w:ascii="Arial" w:eastAsia="Calibri" w:hAnsi="Arial" w:cs="Arial"/>
          <w:i/>
          <w:iCs/>
          <w:sz w:val="24"/>
          <w:szCs w:val="24"/>
        </w:rPr>
        <w:t>16</w:t>
      </w:r>
      <w:r w:rsidRPr="00D90745">
        <w:rPr>
          <w:rFonts w:ascii="Arial" w:eastAsia="Calibri" w:hAnsi="Arial" w:cs="Arial"/>
          <w:sz w:val="24"/>
          <w:szCs w:val="24"/>
        </w:rPr>
        <w:t xml:space="preserve">(4), 1517. </w:t>
      </w:r>
      <w:hyperlink r:id="rId64" w:history="1">
        <w:r w:rsidRPr="00D42221">
          <w:rPr>
            <w:rFonts w:ascii="Arial" w:eastAsia="Calibri" w:hAnsi="Arial" w:cs="Arial"/>
            <w:color w:val="0563C1" w:themeColor="hyperlink"/>
            <w:sz w:val="24"/>
            <w:szCs w:val="24"/>
            <w:u w:val="single"/>
          </w:rPr>
          <w:t>https://doi.org/10.3390/su16041517</w:t>
        </w:r>
      </w:hyperlink>
    </w:p>
    <w:p w14:paraId="74BC566A"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 xml:space="preserve">Supriyadi, T., Rahmi, K.H. and Fahrudin, A., (2024) </w:t>
      </w:r>
      <w:r w:rsidRPr="00024755">
        <w:rPr>
          <w:rFonts w:ascii="Arial" w:eastAsia="Calibri" w:hAnsi="Arial" w:cs="Arial"/>
          <w:i/>
          <w:iCs/>
          <w:sz w:val="24"/>
          <w:szCs w:val="24"/>
        </w:rPr>
        <w:t>Role of Organizational Psychology in Handling Sexual Harassment Cases in the Workplace.</w:t>
      </w:r>
      <w:r w:rsidRPr="00024755">
        <w:rPr>
          <w:rFonts w:ascii="Arial" w:eastAsia="Calibri" w:hAnsi="Arial" w:cs="Arial"/>
          <w:sz w:val="24"/>
          <w:szCs w:val="24"/>
        </w:rPr>
        <w:t xml:space="preserve"> Published By East African Scholars Publisher, Kenya.</w:t>
      </w:r>
    </w:p>
    <w:p w14:paraId="784C12FF"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t>Taylor, S., (2024) </w:t>
      </w:r>
      <w:r w:rsidRPr="00024755">
        <w:rPr>
          <w:rFonts w:ascii="Arial" w:eastAsia="Calibri" w:hAnsi="Arial" w:cs="Arial"/>
          <w:i/>
          <w:iCs/>
          <w:sz w:val="24"/>
          <w:szCs w:val="24"/>
        </w:rPr>
        <w:t>Resourcing and talent management: The theory and practice of recruiting and developing a workforce</w:t>
      </w:r>
      <w:r w:rsidRPr="00024755">
        <w:rPr>
          <w:rFonts w:ascii="Arial" w:eastAsia="Calibri" w:hAnsi="Arial" w:cs="Arial"/>
          <w:sz w:val="24"/>
          <w:szCs w:val="24"/>
        </w:rPr>
        <w:t>. Kogan Page Publishers.</w:t>
      </w:r>
    </w:p>
    <w:p w14:paraId="1981AF75" w14:textId="77777777" w:rsidR="007B54B0" w:rsidRPr="00024755" w:rsidRDefault="007B54B0" w:rsidP="007B54B0">
      <w:pPr>
        <w:spacing w:before="100" w:beforeAutospacing="1" w:after="100" w:afterAutospacing="1" w:line="240" w:lineRule="auto"/>
        <w:jc w:val="both"/>
        <w:rPr>
          <w:rFonts w:ascii="Arial" w:eastAsia="Calibri" w:hAnsi="Arial" w:cs="Arial"/>
          <w:sz w:val="24"/>
          <w:szCs w:val="24"/>
        </w:rPr>
      </w:pPr>
      <w:r w:rsidRPr="00024755">
        <w:rPr>
          <w:rFonts w:ascii="Arial" w:eastAsia="Calibri" w:hAnsi="Arial" w:cs="Arial"/>
          <w:sz w:val="24"/>
          <w:szCs w:val="24"/>
        </w:rPr>
        <w:lastRenderedPageBreak/>
        <w:t xml:space="preserve">Taylor, S. and Perkins, G. Graham M. (2021) </w:t>
      </w:r>
      <w:r w:rsidRPr="00024755">
        <w:rPr>
          <w:rFonts w:ascii="Arial" w:eastAsia="Calibri" w:hAnsi="Arial" w:cs="Arial"/>
          <w:i/>
          <w:iCs/>
          <w:sz w:val="24"/>
          <w:szCs w:val="24"/>
        </w:rPr>
        <w:t>Work and employment in a changing business environment</w:t>
      </w:r>
      <w:r w:rsidRPr="00024755">
        <w:rPr>
          <w:rFonts w:ascii="Arial" w:eastAsia="Calibri" w:hAnsi="Arial" w:cs="Arial"/>
          <w:sz w:val="24"/>
          <w:szCs w:val="24"/>
        </w:rPr>
        <w:t xml:space="preserve">. </w:t>
      </w:r>
      <w:proofErr w:type="gramStart"/>
      <w:r w:rsidRPr="00024755">
        <w:rPr>
          <w:rFonts w:ascii="Arial" w:eastAsia="Calibri" w:hAnsi="Arial" w:cs="Arial"/>
          <w:sz w:val="24"/>
          <w:szCs w:val="24"/>
        </w:rPr>
        <w:t>London ;</w:t>
      </w:r>
      <w:proofErr w:type="gramEnd"/>
      <w:r w:rsidRPr="00024755">
        <w:rPr>
          <w:rFonts w:ascii="Arial" w:eastAsia="Calibri" w:hAnsi="Arial" w:cs="Arial"/>
          <w:sz w:val="24"/>
          <w:szCs w:val="24"/>
        </w:rPr>
        <w:t xml:space="preserve"> Kogan Page.</w:t>
      </w:r>
    </w:p>
    <w:p w14:paraId="1F34E7DC" w14:textId="77777777" w:rsidR="007B54B0" w:rsidRPr="00024755" w:rsidRDefault="007B54B0" w:rsidP="007B54B0">
      <w:pPr>
        <w:jc w:val="both"/>
        <w:rPr>
          <w:rFonts w:ascii="Arial" w:hAnsi="Arial" w:cs="Arial"/>
          <w:sz w:val="24"/>
          <w:szCs w:val="24"/>
        </w:rPr>
      </w:pPr>
      <w:r w:rsidRPr="00024755">
        <w:rPr>
          <w:rFonts w:ascii="Arial" w:hAnsi="Arial" w:cs="Arial"/>
          <w:sz w:val="24"/>
          <w:szCs w:val="24"/>
        </w:rPr>
        <w:t xml:space="preserve">The Royal Society (2024) </w:t>
      </w:r>
      <w:r w:rsidRPr="00024755">
        <w:rPr>
          <w:rFonts w:ascii="Arial" w:hAnsi="Arial" w:cs="Arial"/>
          <w:i/>
          <w:iCs/>
          <w:sz w:val="24"/>
          <w:szCs w:val="24"/>
        </w:rPr>
        <w:t>Students want to do more science experiments at school but have less access to practical work, says Royal Society and Engineering UK survey</w:t>
      </w:r>
      <w:r w:rsidRPr="00024755">
        <w:rPr>
          <w:rFonts w:ascii="Arial" w:hAnsi="Arial" w:cs="Arial"/>
          <w:sz w:val="24"/>
          <w:szCs w:val="24"/>
        </w:rPr>
        <w:t xml:space="preserve"> Available at: </w:t>
      </w:r>
      <w:bookmarkStart w:id="13" w:name="_Hlk193356083"/>
      <w:r w:rsidRPr="00024755">
        <w:rPr>
          <w:rFonts w:ascii="Arial" w:hAnsi="Arial" w:cs="Arial"/>
          <w:sz w:val="24"/>
          <w:szCs w:val="24"/>
        </w:rPr>
        <w:fldChar w:fldCharType="begin"/>
      </w:r>
      <w:r w:rsidRPr="00024755">
        <w:rPr>
          <w:rFonts w:ascii="Arial" w:hAnsi="Arial" w:cs="Arial"/>
          <w:sz w:val="24"/>
          <w:szCs w:val="24"/>
        </w:rPr>
        <w:instrText>HYPERLINK "https://royalsociety.org/news/2024/04/science-education-tracker-2023/" \l ":~:text=Interest%20in%20science%20at%20school,fall%20to%2065%25%20for%20girls."</w:instrText>
      </w:r>
      <w:r w:rsidRPr="00024755">
        <w:rPr>
          <w:rFonts w:ascii="Arial" w:hAnsi="Arial" w:cs="Arial"/>
          <w:sz w:val="24"/>
          <w:szCs w:val="24"/>
        </w:rPr>
      </w:r>
      <w:r w:rsidRPr="00024755">
        <w:rPr>
          <w:rFonts w:ascii="Arial" w:hAnsi="Arial" w:cs="Arial"/>
          <w:sz w:val="24"/>
          <w:szCs w:val="24"/>
        </w:rPr>
        <w:fldChar w:fldCharType="separate"/>
      </w:r>
      <w:r w:rsidRPr="00024755">
        <w:rPr>
          <w:rStyle w:val="Hyperlink"/>
          <w:rFonts w:ascii="Arial" w:hAnsi="Arial" w:cs="Arial"/>
          <w:color w:val="auto"/>
          <w:sz w:val="24"/>
          <w:szCs w:val="24"/>
          <w:u w:val="none"/>
        </w:rPr>
        <w:t xml:space="preserve">Students want to do more science experiments at school but have less access to practical work, says Royal Society and </w:t>
      </w:r>
      <w:proofErr w:type="spellStart"/>
      <w:r w:rsidRPr="00024755">
        <w:rPr>
          <w:rStyle w:val="Hyperlink"/>
          <w:rFonts w:ascii="Arial" w:hAnsi="Arial" w:cs="Arial"/>
          <w:color w:val="auto"/>
          <w:sz w:val="24"/>
          <w:szCs w:val="24"/>
          <w:u w:val="none"/>
        </w:rPr>
        <w:t>EngineeringUK</w:t>
      </w:r>
      <w:proofErr w:type="spellEnd"/>
      <w:r w:rsidRPr="00024755">
        <w:rPr>
          <w:rStyle w:val="Hyperlink"/>
          <w:rFonts w:ascii="Arial" w:hAnsi="Arial" w:cs="Arial"/>
          <w:color w:val="auto"/>
          <w:sz w:val="24"/>
          <w:szCs w:val="24"/>
          <w:u w:val="none"/>
        </w:rPr>
        <w:t xml:space="preserve"> survey | Royal Society</w:t>
      </w:r>
      <w:r w:rsidRPr="00024755">
        <w:rPr>
          <w:rFonts w:ascii="Arial" w:hAnsi="Arial" w:cs="Arial"/>
          <w:sz w:val="24"/>
          <w:szCs w:val="24"/>
        </w:rPr>
        <w:fldChar w:fldCharType="end"/>
      </w:r>
      <w:bookmarkEnd w:id="13"/>
      <w:r w:rsidRPr="00024755">
        <w:rPr>
          <w:rFonts w:ascii="Arial" w:hAnsi="Arial" w:cs="Arial"/>
          <w:sz w:val="24"/>
          <w:szCs w:val="24"/>
        </w:rPr>
        <w:t xml:space="preserve"> (Accessed 20 March 2025)</w:t>
      </w:r>
    </w:p>
    <w:p w14:paraId="4BAF99EB" w14:textId="77777777" w:rsidR="007B54B0" w:rsidRPr="00D42221" w:rsidRDefault="007B54B0" w:rsidP="007B54B0">
      <w:pPr>
        <w:jc w:val="both"/>
        <w:rPr>
          <w:rFonts w:ascii="Arial" w:hAnsi="Arial" w:cs="Arial"/>
          <w:color w:val="4472C4" w:themeColor="accent1"/>
          <w:sz w:val="24"/>
          <w:szCs w:val="24"/>
          <w:u w:val="single"/>
        </w:rPr>
      </w:pPr>
      <w:r w:rsidRPr="00024755">
        <w:rPr>
          <w:rFonts w:ascii="Arial" w:hAnsi="Arial" w:cs="Arial"/>
          <w:sz w:val="24"/>
          <w:szCs w:val="24"/>
        </w:rPr>
        <w:t>Valiente, O., López-</w:t>
      </w:r>
      <w:proofErr w:type="spellStart"/>
      <w:r w:rsidRPr="00024755">
        <w:rPr>
          <w:rFonts w:ascii="Arial" w:hAnsi="Arial" w:cs="Arial"/>
          <w:sz w:val="24"/>
          <w:szCs w:val="24"/>
        </w:rPr>
        <w:t>Fogués</w:t>
      </w:r>
      <w:proofErr w:type="spellEnd"/>
      <w:r w:rsidRPr="00024755">
        <w:rPr>
          <w:rFonts w:ascii="Arial" w:hAnsi="Arial" w:cs="Arial"/>
          <w:sz w:val="24"/>
          <w:szCs w:val="24"/>
        </w:rPr>
        <w:t xml:space="preserve">, A., Fuentes, H., Rosado, R. (2020) Evaluating dual apprenticeship effects on youth employment: A focus on the mechanisms. In: Pilz, M., Li, J. (eds) Comparative Vocational Education </w:t>
      </w:r>
      <w:r w:rsidRPr="00024755">
        <w:rPr>
          <w:rFonts w:ascii="Arial" w:hAnsi="Arial" w:cs="Arial"/>
          <w:i/>
          <w:iCs/>
          <w:sz w:val="24"/>
          <w:szCs w:val="24"/>
        </w:rPr>
        <w:t xml:space="preserve">Research. Internationale </w:t>
      </w:r>
      <w:proofErr w:type="spellStart"/>
      <w:r w:rsidRPr="00D90745">
        <w:rPr>
          <w:rFonts w:ascii="Arial" w:hAnsi="Arial" w:cs="Arial"/>
          <w:i/>
          <w:iCs/>
          <w:sz w:val="24"/>
          <w:szCs w:val="24"/>
        </w:rPr>
        <w:t>Berufsbildungsforschung</w:t>
      </w:r>
      <w:proofErr w:type="spellEnd"/>
      <w:r w:rsidRPr="00D90745">
        <w:rPr>
          <w:rFonts w:ascii="Arial" w:hAnsi="Arial" w:cs="Arial"/>
          <w:i/>
          <w:iCs/>
          <w:sz w:val="24"/>
          <w:szCs w:val="24"/>
        </w:rPr>
        <w:t>. Springer VS, Wiesbaden</w:t>
      </w:r>
      <w:r w:rsidRPr="00D90745">
        <w:rPr>
          <w:rFonts w:ascii="Arial" w:hAnsi="Arial" w:cs="Arial"/>
          <w:sz w:val="24"/>
          <w:szCs w:val="24"/>
        </w:rPr>
        <w:t xml:space="preserve">. </w:t>
      </w:r>
      <w:hyperlink r:id="rId65" w:history="1">
        <w:r w:rsidRPr="00D42221">
          <w:rPr>
            <w:rStyle w:val="Hyperlink"/>
            <w:rFonts w:ascii="Arial" w:hAnsi="Arial" w:cs="Arial"/>
            <w:sz w:val="24"/>
            <w:szCs w:val="24"/>
          </w:rPr>
          <w:t>https://doi.org/10.1007/978-3-658-29924-8_10</w:t>
        </w:r>
      </w:hyperlink>
    </w:p>
    <w:p w14:paraId="2AB0B2A6" w14:textId="77777777" w:rsidR="007B54B0" w:rsidRPr="00D90745" w:rsidRDefault="007B54B0" w:rsidP="007B54B0">
      <w:pPr>
        <w:jc w:val="both"/>
        <w:rPr>
          <w:rFonts w:ascii="Arial" w:hAnsi="Arial" w:cs="Arial"/>
          <w:color w:val="4472C4" w:themeColor="accent1"/>
          <w:sz w:val="24"/>
          <w:szCs w:val="24"/>
        </w:rPr>
      </w:pPr>
      <w:r w:rsidRPr="00D90745">
        <w:rPr>
          <w:rFonts w:ascii="Arial" w:hAnsi="Arial" w:cs="Arial"/>
          <w:sz w:val="24"/>
          <w:szCs w:val="24"/>
        </w:rPr>
        <w:t xml:space="preserve">Vira, K.V. and Mulay, H.M., (2024) Study </w:t>
      </w:r>
      <w:proofErr w:type="gramStart"/>
      <w:r w:rsidRPr="00D90745">
        <w:rPr>
          <w:rFonts w:ascii="Arial" w:hAnsi="Arial" w:cs="Arial"/>
          <w:sz w:val="24"/>
          <w:szCs w:val="24"/>
        </w:rPr>
        <w:t>On</w:t>
      </w:r>
      <w:proofErr w:type="gramEnd"/>
      <w:r w:rsidRPr="00D90745">
        <w:rPr>
          <w:rFonts w:ascii="Arial" w:hAnsi="Arial" w:cs="Arial"/>
          <w:sz w:val="24"/>
          <w:szCs w:val="24"/>
        </w:rPr>
        <w:t xml:space="preserve"> HR Analytic Tools And Its Impact On HRM Functions At Workplace. </w:t>
      </w:r>
      <w:r w:rsidRPr="00D90745">
        <w:rPr>
          <w:rFonts w:ascii="Arial" w:hAnsi="Arial" w:cs="Arial"/>
          <w:i/>
          <w:iCs/>
          <w:sz w:val="24"/>
          <w:szCs w:val="24"/>
        </w:rPr>
        <w:t>Met Srujan,</w:t>
      </w:r>
      <w:r w:rsidRPr="00D90745">
        <w:rPr>
          <w:rFonts w:ascii="Arial" w:hAnsi="Arial" w:cs="Arial"/>
          <w:sz w:val="24"/>
          <w:szCs w:val="24"/>
        </w:rPr>
        <w:t xml:space="preserve"> 1(1), pp.38-48.Available at</w:t>
      </w:r>
      <w:r w:rsidRPr="00D90745">
        <w:rPr>
          <w:rFonts w:ascii="Arial" w:hAnsi="Arial" w:cs="Arial"/>
          <w:color w:val="4472C4" w:themeColor="accent1"/>
          <w:sz w:val="24"/>
          <w:szCs w:val="24"/>
        </w:rPr>
        <w:t xml:space="preserve">: </w:t>
      </w:r>
      <w:hyperlink r:id="rId66" w:history="1">
        <w:r w:rsidRPr="00D42221">
          <w:rPr>
            <w:rStyle w:val="Hyperlink"/>
            <w:rFonts w:ascii="Arial" w:hAnsi="Arial" w:cs="Arial"/>
            <w:color w:val="4472C4" w:themeColor="accent1"/>
            <w:sz w:val="24"/>
            <w:szCs w:val="24"/>
          </w:rPr>
          <w:t>https://metsrujan.com/index.php/description/article/view/5/6</w:t>
        </w:r>
      </w:hyperlink>
      <w:r w:rsidRPr="00D42221">
        <w:rPr>
          <w:rFonts w:ascii="Arial" w:hAnsi="Arial" w:cs="Arial"/>
          <w:color w:val="4472C4" w:themeColor="accent1"/>
          <w:sz w:val="24"/>
          <w:szCs w:val="24"/>
          <w:u w:val="single"/>
        </w:rPr>
        <w:t xml:space="preserve"> (Accessed 20 March 2025)</w:t>
      </w:r>
    </w:p>
    <w:p w14:paraId="0A6319EB" w14:textId="77777777" w:rsidR="00DD7F8A" w:rsidRPr="00DD7F8A" w:rsidRDefault="00DD7F8A" w:rsidP="00DD7F8A">
      <w:pPr>
        <w:jc w:val="both"/>
        <w:rPr>
          <w:rFonts w:ascii="Arial" w:hAnsi="Arial" w:cs="Arial"/>
          <w:color w:val="4472C4" w:themeColor="accent1"/>
          <w:sz w:val="24"/>
          <w:szCs w:val="24"/>
        </w:rPr>
      </w:pPr>
      <w:r w:rsidRPr="00DD7F8A">
        <w:rPr>
          <w:rFonts w:ascii="Arial" w:hAnsi="Arial" w:cs="Arial"/>
          <w:sz w:val="24"/>
          <w:szCs w:val="24"/>
        </w:rPr>
        <w:t xml:space="preserve">Walsh, B.M. and Magley, V.J. (2019) ‘Don’t forget the role of civility interventions in workplace sexual harassment’, </w:t>
      </w:r>
      <w:r w:rsidRPr="00DD7F8A">
        <w:rPr>
          <w:rFonts w:ascii="Arial" w:hAnsi="Arial" w:cs="Arial"/>
          <w:i/>
          <w:iCs/>
          <w:sz w:val="24"/>
          <w:szCs w:val="24"/>
        </w:rPr>
        <w:t>Industrial and organizational psychology</w:t>
      </w:r>
      <w:r w:rsidRPr="00DD7F8A">
        <w:rPr>
          <w:rFonts w:ascii="Arial" w:hAnsi="Arial" w:cs="Arial"/>
          <w:sz w:val="24"/>
          <w:szCs w:val="24"/>
        </w:rPr>
        <w:t xml:space="preserve">, 12(1), pp. 39–41. </w:t>
      </w:r>
      <w:r w:rsidRPr="00DD7F8A">
        <w:rPr>
          <w:rFonts w:ascii="Arial" w:hAnsi="Arial" w:cs="Arial"/>
          <w:color w:val="4472C4" w:themeColor="accent1"/>
          <w:sz w:val="24"/>
          <w:szCs w:val="24"/>
          <w:u w:val="single"/>
        </w:rPr>
        <w:t>Available at: https://doi.org/10.1017/iop.2019.5.</w:t>
      </w:r>
    </w:p>
    <w:p w14:paraId="572F951F" w14:textId="77777777" w:rsidR="007B54B0" w:rsidRPr="00D90745" w:rsidRDefault="007B54B0" w:rsidP="007B54B0">
      <w:pPr>
        <w:spacing w:before="100" w:beforeAutospacing="1" w:after="100" w:afterAutospacing="1" w:line="240" w:lineRule="auto"/>
        <w:jc w:val="both"/>
        <w:rPr>
          <w:rFonts w:ascii="Arial" w:eastAsia="Calibri" w:hAnsi="Arial" w:cs="Arial"/>
          <w:sz w:val="24"/>
          <w:szCs w:val="24"/>
        </w:rPr>
      </w:pPr>
      <w:r w:rsidRPr="00D90745">
        <w:rPr>
          <w:rFonts w:ascii="Arial" w:eastAsia="Calibri" w:hAnsi="Arial" w:cs="Arial"/>
          <w:sz w:val="24"/>
          <w:szCs w:val="24"/>
        </w:rPr>
        <w:t xml:space="preserve">Williams E., (2024) Employment law updates 2024. </w:t>
      </w:r>
      <w:r w:rsidRPr="00D90745">
        <w:rPr>
          <w:rFonts w:ascii="Arial" w:eastAsia="Calibri" w:hAnsi="Arial" w:cs="Arial"/>
          <w:i/>
          <w:iCs/>
          <w:sz w:val="24"/>
          <w:szCs w:val="24"/>
        </w:rPr>
        <w:t>Optician Vol. 269, No. 6941</w:t>
      </w:r>
      <w:r w:rsidRPr="00D90745">
        <w:rPr>
          <w:rFonts w:ascii="Arial" w:eastAsia="Calibri" w:hAnsi="Arial" w:cs="Arial"/>
          <w:sz w:val="24"/>
          <w:szCs w:val="24"/>
        </w:rPr>
        <w:t xml:space="preserve"> </w:t>
      </w:r>
      <w:hyperlink r:id="rId67" w:history="1">
        <w:r w:rsidRPr="00D42221">
          <w:rPr>
            <w:rFonts w:ascii="Arial" w:eastAsia="Calibri" w:hAnsi="Arial" w:cs="Arial"/>
            <w:color w:val="0563C1" w:themeColor="hyperlink"/>
            <w:sz w:val="24"/>
            <w:szCs w:val="24"/>
            <w:u w:val="single"/>
          </w:rPr>
          <w:t>https://doi.org/10.12968/opti.2024.269.6941.17</w:t>
        </w:r>
      </w:hyperlink>
    </w:p>
    <w:p w14:paraId="4B776209" w14:textId="77777777" w:rsidR="007B54B0" w:rsidRPr="00024755" w:rsidRDefault="007B54B0" w:rsidP="007B54B0">
      <w:pPr>
        <w:jc w:val="both"/>
        <w:rPr>
          <w:rFonts w:ascii="Arial" w:hAnsi="Arial" w:cs="Arial"/>
          <w:sz w:val="24"/>
          <w:szCs w:val="24"/>
        </w:rPr>
      </w:pPr>
      <w:proofErr w:type="spellStart"/>
      <w:r w:rsidRPr="00024755">
        <w:rPr>
          <w:rFonts w:ascii="Arial" w:hAnsi="Arial" w:cs="Arial"/>
          <w:sz w:val="24"/>
          <w:szCs w:val="24"/>
        </w:rPr>
        <w:t>Zaurez</w:t>
      </w:r>
      <w:proofErr w:type="spellEnd"/>
      <w:r w:rsidRPr="00024755">
        <w:rPr>
          <w:rFonts w:ascii="Arial" w:hAnsi="Arial" w:cs="Arial"/>
          <w:sz w:val="24"/>
          <w:szCs w:val="24"/>
        </w:rPr>
        <w:t xml:space="preserve"> Afshar, M. and Hussain Shah, D.M., (2025). Strategic Evaluation Using PESTLE and SWOT Frameworks: Public Sector Perspective. </w:t>
      </w:r>
      <w:r w:rsidRPr="00024755">
        <w:rPr>
          <w:rFonts w:ascii="Arial" w:hAnsi="Arial" w:cs="Arial"/>
          <w:i/>
          <w:iCs/>
          <w:sz w:val="24"/>
          <w:szCs w:val="24"/>
        </w:rPr>
        <w:t>Mutahir, Strategic Evaluation Using PESTLE and SWOT Frameworks: Public Sector Perspective (February 12, 2025)</w:t>
      </w:r>
      <w:r w:rsidRPr="00024755">
        <w:rPr>
          <w:rFonts w:ascii="Arial" w:hAnsi="Arial" w:cs="Arial"/>
          <w:sz w:val="24"/>
          <w:szCs w:val="24"/>
        </w:rPr>
        <w:t>.</w:t>
      </w:r>
    </w:p>
    <w:p w14:paraId="5DA24479" w14:textId="77777777" w:rsidR="007B54B0" w:rsidRPr="00024755" w:rsidRDefault="007B54B0" w:rsidP="00CD6AF6">
      <w:pPr>
        <w:jc w:val="both"/>
        <w:rPr>
          <w:rFonts w:ascii="Arial" w:hAnsi="Arial" w:cs="Arial"/>
          <w:sz w:val="24"/>
          <w:szCs w:val="24"/>
        </w:rPr>
      </w:pPr>
    </w:p>
    <w:p w14:paraId="3836F2E8" w14:textId="77777777" w:rsidR="00D832A6" w:rsidRPr="00024755" w:rsidRDefault="00D832A6" w:rsidP="00AF4F5D">
      <w:pPr>
        <w:spacing w:before="100" w:beforeAutospacing="1" w:after="100" w:afterAutospacing="1" w:line="240" w:lineRule="auto"/>
        <w:jc w:val="both"/>
        <w:rPr>
          <w:rFonts w:ascii="Arial" w:hAnsi="Arial" w:cs="Arial"/>
          <w:sz w:val="24"/>
          <w:szCs w:val="24"/>
        </w:rPr>
      </w:pPr>
    </w:p>
    <w:p w14:paraId="725B3B38" w14:textId="19193A21" w:rsidR="009542D4" w:rsidRPr="00DD7F8A" w:rsidRDefault="009542D4" w:rsidP="009542D4">
      <w:pPr>
        <w:spacing w:before="100" w:beforeAutospacing="1" w:after="100" w:afterAutospacing="1" w:line="240" w:lineRule="auto"/>
        <w:jc w:val="both"/>
        <w:rPr>
          <w:rFonts w:ascii="Arial" w:hAnsi="Arial" w:cs="Arial"/>
          <w:sz w:val="24"/>
          <w:szCs w:val="24"/>
        </w:rPr>
      </w:pPr>
    </w:p>
    <w:sectPr w:rsidR="009542D4" w:rsidRPr="00DD7F8A">
      <w:headerReference w:type="default" r:id="rId68"/>
      <w:footerReference w:type="default" r:id="rId6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hiannon Akers" w:date="2025-03-18T12:27:00Z" w:initials="RA">
    <w:p w14:paraId="63CA1903" w14:textId="77777777" w:rsidR="00E1516E" w:rsidRDefault="00E1516E" w:rsidP="00E1516E">
      <w:pPr>
        <w:pStyle w:val="CommentText"/>
      </w:pPr>
      <w:r>
        <w:rPr>
          <w:rStyle w:val="CommentReference"/>
        </w:rPr>
        <w:annotationRef/>
      </w:r>
      <w:r>
        <w:t xml:space="preserve">You have taken the feedback on board in relation to including relevant details. </w:t>
      </w:r>
    </w:p>
  </w:comment>
  <w:comment w:id="1" w:author="Rhiannon Akers" w:date="2025-03-18T12:27:00Z" w:initials="RA">
    <w:p w14:paraId="10BA0A89" w14:textId="77777777" w:rsidR="006F0C0A" w:rsidRDefault="006F0C0A" w:rsidP="006F0C0A">
      <w:pPr>
        <w:pStyle w:val="CommentText"/>
      </w:pPr>
      <w:r>
        <w:rPr>
          <w:rStyle w:val="CommentReference"/>
        </w:rPr>
        <w:annotationRef/>
      </w:r>
      <w:r>
        <w:t xml:space="preserve">Source to support? </w:t>
      </w:r>
    </w:p>
  </w:comment>
  <w:comment w:id="2" w:author="Rhiannon Akers" w:date="2025-03-18T12:28:00Z" w:initials="RA">
    <w:p w14:paraId="37C19368" w14:textId="77777777" w:rsidR="00A331B9" w:rsidRDefault="00A331B9" w:rsidP="00A331B9">
      <w:pPr>
        <w:pStyle w:val="CommentText"/>
      </w:pPr>
      <w:r>
        <w:rPr>
          <w:rStyle w:val="CommentReference"/>
        </w:rPr>
        <w:annotationRef/>
      </w:r>
      <w:r>
        <w:t xml:space="preserve">Source to support? </w:t>
      </w:r>
    </w:p>
  </w:comment>
  <w:comment w:id="3" w:author="Rhiannon Akers" w:date="2025-03-18T12:28:00Z" w:initials="RA">
    <w:p w14:paraId="18372BF8" w14:textId="77777777" w:rsidR="00A331B9" w:rsidRDefault="00A331B9" w:rsidP="00A331B9">
      <w:pPr>
        <w:pStyle w:val="CommentText"/>
      </w:pPr>
      <w:r>
        <w:rPr>
          <w:rStyle w:val="CommentReference"/>
        </w:rPr>
        <w:annotationRef/>
      </w:r>
      <w:r>
        <w:t xml:space="preserve">Source to support? </w:t>
      </w:r>
    </w:p>
  </w:comment>
  <w:comment w:id="4" w:author="Rhiannon Akers" w:date="2025-03-18T12:29:00Z" w:initials="RA">
    <w:p w14:paraId="41BFFDE2" w14:textId="77777777" w:rsidR="00A331B9" w:rsidRDefault="00A331B9" w:rsidP="00A331B9">
      <w:pPr>
        <w:pStyle w:val="CommentText"/>
      </w:pPr>
      <w:r>
        <w:rPr>
          <w:rStyle w:val="CommentReference"/>
        </w:rPr>
        <w:annotationRef/>
      </w:r>
      <w:r>
        <w:t xml:space="preserve">Source to support? </w:t>
      </w:r>
    </w:p>
  </w:comment>
  <w:comment w:id="5" w:author="Rhiannon Akers" w:date="2025-03-18T12:29:00Z" w:initials="RA">
    <w:p w14:paraId="48CAD314" w14:textId="77777777" w:rsidR="00A331B9" w:rsidRDefault="00A331B9" w:rsidP="00A331B9">
      <w:pPr>
        <w:pStyle w:val="CommentText"/>
      </w:pPr>
      <w:r>
        <w:rPr>
          <w:rStyle w:val="CommentReference"/>
        </w:rPr>
        <w:annotationRef/>
      </w:r>
      <w:r>
        <w:t xml:space="preserve">Source to support? </w:t>
      </w:r>
    </w:p>
  </w:comment>
  <w:comment w:id="6" w:author="Rhiannon Akers" w:date="2025-03-18T12:30:00Z" w:initials="RA">
    <w:p w14:paraId="104ECEEA" w14:textId="77777777" w:rsidR="00C46A5C" w:rsidRDefault="00C46A5C" w:rsidP="00C46A5C">
      <w:pPr>
        <w:pStyle w:val="CommentText"/>
      </w:pPr>
      <w:r>
        <w:rPr>
          <w:rStyle w:val="CommentReference"/>
        </w:rPr>
        <w:annotationRef/>
      </w:r>
      <w:r>
        <w:t xml:space="preserve">Source to support? </w:t>
      </w:r>
    </w:p>
  </w:comment>
  <w:comment w:id="7" w:author="Rhiannon Akers" w:date="2025-03-18T12:31:00Z" w:initials="RA">
    <w:p w14:paraId="05707819" w14:textId="77777777" w:rsidR="002910DB" w:rsidRDefault="002910DB" w:rsidP="002910DB">
      <w:pPr>
        <w:pStyle w:val="CommentText"/>
      </w:pPr>
      <w:r>
        <w:rPr>
          <w:rStyle w:val="CommentReference"/>
        </w:rPr>
        <w:annotationRef/>
      </w:r>
      <w:r>
        <w:t>Sources to support?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3CA1903" w15:done="0"/>
  <w15:commentEx w15:paraId="10BA0A89" w15:done="0"/>
  <w15:commentEx w15:paraId="37C19368" w15:done="0"/>
  <w15:commentEx w15:paraId="18372BF8" w15:done="0"/>
  <w15:commentEx w15:paraId="41BFFDE2" w15:done="0"/>
  <w15:commentEx w15:paraId="48CAD314" w15:done="0"/>
  <w15:commentEx w15:paraId="104ECEEA" w15:done="0"/>
  <w15:commentEx w15:paraId="057078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5FA5DC6" w16cex:dateUtc="2025-03-18T12:27:00Z"/>
  <w16cex:commentExtensible w16cex:durableId="657DA97B" w16cex:dateUtc="2025-03-18T12:27:00Z"/>
  <w16cex:commentExtensible w16cex:durableId="37AFDBDF" w16cex:dateUtc="2025-03-18T12:28:00Z"/>
  <w16cex:commentExtensible w16cex:durableId="6C5DB32D" w16cex:dateUtc="2025-03-18T12:28:00Z"/>
  <w16cex:commentExtensible w16cex:durableId="4D7AF4E3" w16cex:dateUtc="2025-03-18T12:29:00Z"/>
  <w16cex:commentExtensible w16cex:durableId="3079063A" w16cex:dateUtc="2025-03-18T12:29:00Z"/>
  <w16cex:commentExtensible w16cex:durableId="47E46332" w16cex:dateUtc="2025-03-18T12:30:00Z"/>
  <w16cex:commentExtensible w16cex:durableId="7E5347D3" w16cex:dateUtc="2025-03-18T1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3CA1903" w16cid:durableId="15FA5DC6"/>
  <w16cid:commentId w16cid:paraId="10BA0A89" w16cid:durableId="657DA97B"/>
  <w16cid:commentId w16cid:paraId="37C19368" w16cid:durableId="37AFDBDF"/>
  <w16cid:commentId w16cid:paraId="18372BF8" w16cid:durableId="6C5DB32D"/>
  <w16cid:commentId w16cid:paraId="41BFFDE2" w16cid:durableId="4D7AF4E3"/>
  <w16cid:commentId w16cid:paraId="48CAD314" w16cid:durableId="3079063A"/>
  <w16cid:commentId w16cid:paraId="104ECEEA" w16cid:durableId="47E46332"/>
  <w16cid:commentId w16cid:paraId="05707819" w16cid:durableId="7E5347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4F527" w14:textId="77777777" w:rsidR="00C836B8" w:rsidRDefault="00C836B8" w:rsidP="003B5D9A">
      <w:pPr>
        <w:spacing w:after="0" w:line="240" w:lineRule="auto"/>
      </w:pPr>
      <w:r>
        <w:separator/>
      </w:r>
    </w:p>
  </w:endnote>
  <w:endnote w:type="continuationSeparator" w:id="0">
    <w:p w14:paraId="265C4156" w14:textId="77777777" w:rsidR="00C836B8" w:rsidRDefault="00C836B8" w:rsidP="003B5D9A">
      <w:pPr>
        <w:spacing w:after="0" w:line="240" w:lineRule="auto"/>
      </w:pPr>
      <w:r>
        <w:continuationSeparator/>
      </w:r>
    </w:p>
  </w:endnote>
  <w:endnote w:type="continuationNotice" w:id="1">
    <w:p w14:paraId="7A3D9ED7" w14:textId="77777777" w:rsidR="00C836B8" w:rsidRDefault="00C836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12684" w14:textId="77777777" w:rsidR="002E0531" w:rsidRPr="002E0531" w:rsidRDefault="002E0531">
    <w:pPr>
      <w:pStyle w:val="Footer"/>
      <w:jc w:val="center"/>
      <w:rPr>
        <w:caps/>
      </w:rPr>
    </w:pPr>
    <w:r w:rsidRPr="002E0531">
      <w:rPr>
        <w:caps/>
      </w:rPr>
      <w:fldChar w:fldCharType="begin"/>
    </w:r>
    <w:r w:rsidRPr="002E0531">
      <w:rPr>
        <w:caps/>
      </w:rPr>
      <w:instrText>PAGE   \* MERGEFORMAT</w:instrText>
    </w:r>
    <w:r w:rsidRPr="002E0531">
      <w:rPr>
        <w:caps/>
      </w:rPr>
      <w:fldChar w:fldCharType="separate"/>
    </w:r>
    <w:r w:rsidRPr="002E0531">
      <w:rPr>
        <w:caps/>
      </w:rPr>
      <w:t>2</w:t>
    </w:r>
    <w:r w:rsidRPr="002E0531">
      <w:rPr>
        <w:caps/>
      </w:rPr>
      <w:fldChar w:fldCharType="end"/>
    </w:r>
  </w:p>
  <w:p w14:paraId="609DE5F2" w14:textId="745E8996" w:rsidR="003B5D9A" w:rsidRPr="002E0531" w:rsidRDefault="003B5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573EF" w14:textId="77777777" w:rsidR="00C836B8" w:rsidRDefault="00C836B8" w:rsidP="003B5D9A">
      <w:pPr>
        <w:spacing w:after="0" w:line="240" w:lineRule="auto"/>
      </w:pPr>
      <w:r>
        <w:separator/>
      </w:r>
    </w:p>
  </w:footnote>
  <w:footnote w:type="continuationSeparator" w:id="0">
    <w:p w14:paraId="60A34F53" w14:textId="77777777" w:rsidR="00C836B8" w:rsidRDefault="00C836B8" w:rsidP="003B5D9A">
      <w:pPr>
        <w:spacing w:after="0" w:line="240" w:lineRule="auto"/>
      </w:pPr>
      <w:r>
        <w:continuationSeparator/>
      </w:r>
    </w:p>
  </w:footnote>
  <w:footnote w:type="continuationNotice" w:id="1">
    <w:p w14:paraId="17400863" w14:textId="77777777" w:rsidR="00C836B8" w:rsidRDefault="00C836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E58D9" w14:textId="77777777" w:rsidR="00F92E21" w:rsidRPr="00F92E21" w:rsidRDefault="00F92E21" w:rsidP="00F92E21">
    <w:pPr>
      <w:tabs>
        <w:tab w:val="left" w:pos="2080"/>
      </w:tabs>
      <w:jc w:val="both"/>
      <w:rPr>
        <w:rFonts w:cstheme="minorHAnsi"/>
        <w:color w:val="7F7F7F" w:themeColor="text1" w:themeTint="80"/>
      </w:rPr>
    </w:pPr>
    <w:r w:rsidRPr="00F92E21">
      <w:rPr>
        <w:rFonts w:cstheme="minorHAnsi"/>
        <w:color w:val="7F7F7F" w:themeColor="text1" w:themeTint="80"/>
      </w:rPr>
      <w:t>Understanding the Business Context</w:t>
    </w:r>
  </w:p>
  <w:p w14:paraId="5B32B7E1" w14:textId="77777777" w:rsidR="00F92E21" w:rsidRDefault="00F9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DA8"/>
    <w:multiLevelType w:val="multilevel"/>
    <w:tmpl w:val="7A5C8AE6"/>
    <w:lvl w:ilvl="0">
      <w:start w:val="1"/>
      <w:numFmt w:val="decimal"/>
      <w:lvlText w:val="%1"/>
      <w:lvlJc w:val="left"/>
      <w:pPr>
        <w:ind w:left="480" w:hanging="480"/>
      </w:pPr>
      <w:rPr>
        <w:rFonts w:hint="default"/>
        <w:b/>
      </w:rPr>
    </w:lvl>
    <w:lvl w:ilvl="1">
      <w:start w:val="7"/>
      <w:numFmt w:val="decimal"/>
      <w:lvlText w:val="%1.%2"/>
      <w:lvlJc w:val="left"/>
      <w:pPr>
        <w:ind w:left="840" w:hanging="480"/>
      </w:pPr>
      <w:rPr>
        <w:rFonts w:hint="default"/>
        <w:b/>
      </w:rPr>
    </w:lvl>
    <w:lvl w:ilvl="2">
      <w:start w:val="3"/>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08C2E7A"/>
    <w:multiLevelType w:val="multilevel"/>
    <w:tmpl w:val="711A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63033"/>
    <w:multiLevelType w:val="multilevel"/>
    <w:tmpl w:val="9ED0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27C6B"/>
    <w:multiLevelType w:val="multilevel"/>
    <w:tmpl w:val="D59E87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43B5591"/>
    <w:multiLevelType w:val="hybridMultilevel"/>
    <w:tmpl w:val="BEA2F1C6"/>
    <w:lvl w:ilvl="0" w:tplc="11262BE8">
      <w:start w:val="31"/>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17F55292"/>
    <w:multiLevelType w:val="multilevel"/>
    <w:tmpl w:val="05107B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FE136C"/>
    <w:multiLevelType w:val="multilevel"/>
    <w:tmpl w:val="A39E4C5A"/>
    <w:lvl w:ilvl="0">
      <w:start w:val="1"/>
      <w:numFmt w:val="decimal"/>
      <w:lvlText w:val="%1"/>
      <w:lvlJc w:val="left"/>
      <w:pPr>
        <w:ind w:left="480" w:hanging="480"/>
      </w:pPr>
      <w:rPr>
        <w:rFonts w:hint="default"/>
        <w:b/>
      </w:rPr>
    </w:lvl>
    <w:lvl w:ilvl="1">
      <w:start w:val="7"/>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9392E6B"/>
    <w:multiLevelType w:val="multilevel"/>
    <w:tmpl w:val="F2DA1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4590F"/>
    <w:multiLevelType w:val="hybridMultilevel"/>
    <w:tmpl w:val="50367CBA"/>
    <w:lvl w:ilvl="0" w:tplc="A6EA0B3C">
      <w:start w:val="31"/>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9" w15:restartNumberingAfterBreak="0">
    <w:nsid w:val="2E2D3B6A"/>
    <w:multiLevelType w:val="multilevel"/>
    <w:tmpl w:val="17EC2C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A26348"/>
    <w:multiLevelType w:val="multilevel"/>
    <w:tmpl w:val="11C88D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EA748DF"/>
    <w:multiLevelType w:val="multilevel"/>
    <w:tmpl w:val="AD5046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FD539B"/>
    <w:multiLevelType w:val="multilevel"/>
    <w:tmpl w:val="40F44524"/>
    <w:lvl w:ilvl="0">
      <w:start w:val="1"/>
      <w:numFmt w:val="decimal"/>
      <w:lvlText w:val="%1"/>
      <w:lvlJc w:val="left"/>
      <w:pPr>
        <w:ind w:left="480" w:hanging="480"/>
      </w:pPr>
      <w:rPr>
        <w:rFonts w:hint="default"/>
        <w:b/>
      </w:rPr>
    </w:lvl>
    <w:lvl w:ilvl="1">
      <w:start w:val="6"/>
      <w:numFmt w:val="decimal"/>
      <w:lvlText w:val="%1.%2"/>
      <w:lvlJc w:val="left"/>
      <w:pPr>
        <w:ind w:left="660" w:hanging="48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3" w15:restartNumberingAfterBreak="0">
    <w:nsid w:val="44BD5337"/>
    <w:multiLevelType w:val="multilevel"/>
    <w:tmpl w:val="7DEAF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581209"/>
    <w:multiLevelType w:val="multilevel"/>
    <w:tmpl w:val="4FB429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E47374"/>
    <w:multiLevelType w:val="multilevel"/>
    <w:tmpl w:val="0DA8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20FF2"/>
    <w:multiLevelType w:val="multilevel"/>
    <w:tmpl w:val="B282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1D2D3B"/>
    <w:multiLevelType w:val="multilevel"/>
    <w:tmpl w:val="D49E53AE"/>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6C7E6AD8"/>
    <w:multiLevelType w:val="multilevel"/>
    <w:tmpl w:val="3F3C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34265"/>
    <w:multiLevelType w:val="multilevel"/>
    <w:tmpl w:val="B7B8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422FA4"/>
    <w:multiLevelType w:val="multilevel"/>
    <w:tmpl w:val="BBF06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D900E6"/>
    <w:multiLevelType w:val="multilevel"/>
    <w:tmpl w:val="69DCA16C"/>
    <w:lvl w:ilvl="0">
      <w:start w:val="1"/>
      <w:numFmt w:val="decimal"/>
      <w:lvlText w:val="%1"/>
      <w:lvlJc w:val="left"/>
      <w:pPr>
        <w:ind w:left="480" w:hanging="480"/>
      </w:pPr>
      <w:rPr>
        <w:rFonts w:hint="default"/>
        <w:b/>
      </w:rPr>
    </w:lvl>
    <w:lvl w:ilvl="1">
      <w:start w:val="7"/>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353192476">
    <w:abstractNumId w:val="2"/>
  </w:num>
  <w:num w:numId="2" w16cid:durableId="1180269761">
    <w:abstractNumId w:val="19"/>
  </w:num>
  <w:num w:numId="3" w16cid:durableId="2114081675">
    <w:abstractNumId w:val="15"/>
  </w:num>
  <w:num w:numId="4" w16cid:durableId="1748575703">
    <w:abstractNumId w:val="16"/>
  </w:num>
  <w:num w:numId="5" w16cid:durableId="1849563215">
    <w:abstractNumId w:val="1"/>
  </w:num>
  <w:num w:numId="6" w16cid:durableId="570623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041539">
    <w:abstractNumId w:val="8"/>
  </w:num>
  <w:num w:numId="8" w16cid:durableId="1839886310">
    <w:abstractNumId w:val="4"/>
  </w:num>
  <w:num w:numId="9" w16cid:durableId="1997419585">
    <w:abstractNumId w:val="3"/>
  </w:num>
  <w:num w:numId="10" w16cid:durableId="454953208">
    <w:abstractNumId w:val="13"/>
  </w:num>
  <w:num w:numId="11" w16cid:durableId="492257507">
    <w:abstractNumId w:val="20"/>
  </w:num>
  <w:num w:numId="12" w16cid:durableId="658654273">
    <w:abstractNumId w:val="7"/>
  </w:num>
  <w:num w:numId="13" w16cid:durableId="251360869">
    <w:abstractNumId w:val="9"/>
  </w:num>
  <w:num w:numId="14" w16cid:durableId="1077241317">
    <w:abstractNumId w:val="14"/>
  </w:num>
  <w:num w:numId="15" w16cid:durableId="374696050">
    <w:abstractNumId w:val="11"/>
  </w:num>
  <w:num w:numId="16" w16cid:durableId="1493328831">
    <w:abstractNumId w:val="5"/>
  </w:num>
  <w:num w:numId="17" w16cid:durableId="1947224787">
    <w:abstractNumId w:val="12"/>
  </w:num>
  <w:num w:numId="18" w16cid:durableId="1167551150">
    <w:abstractNumId w:val="17"/>
  </w:num>
  <w:num w:numId="19" w16cid:durableId="1210802743">
    <w:abstractNumId w:val="6"/>
  </w:num>
  <w:num w:numId="20" w16cid:durableId="474300764">
    <w:abstractNumId w:val="0"/>
  </w:num>
  <w:num w:numId="21" w16cid:durableId="412971732">
    <w:abstractNumId w:val="21"/>
  </w:num>
  <w:num w:numId="22" w16cid:durableId="31353105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hiannon Akers">
    <w15:presenceInfo w15:providerId="AD" w15:userId="S::r.akers@uwtsd.ac.uk::fb3c9d12-5c8c-42d7-8dc7-d872d7a3d2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1A6"/>
    <w:rsid w:val="000004E8"/>
    <w:rsid w:val="0000177C"/>
    <w:rsid w:val="000043A4"/>
    <w:rsid w:val="0000772F"/>
    <w:rsid w:val="000101CD"/>
    <w:rsid w:val="000105FB"/>
    <w:rsid w:val="000154A4"/>
    <w:rsid w:val="00023EC1"/>
    <w:rsid w:val="00024755"/>
    <w:rsid w:val="00025E91"/>
    <w:rsid w:val="0003098E"/>
    <w:rsid w:val="00032314"/>
    <w:rsid w:val="00037083"/>
    <w:rsid w:val="000375E0"/>
    <w:rsid w:val="00037DCC"/>
    <w:rsid w:val="000417E4"/>
    <w:rsid w:val="00042E44"/>
    <w:rsid w:val="00044DC7"/>
    <w:rsid w:val="0004772E"/>
    <w:rsid w:val="00052874"/>
    <w:rsid w:val="0005512E"/>
    <w:rsid w:val="000556A7"/>
    <w:rsid w:val="000561CB"/>
    <w:rsid w:val="00066A9F"/>
    <w:rsid w:val="00067D95"/>
    <w:rsid w:val="000726CE"/>
    <w:rsid w:val="00077522"/>
    <w:rsid w:val="00080633"/>
    <w:rsid w:val="0008314E"/>
    <w:rsid w:val="000859F4"/>
    <w:rsid w:val="0009177B"/>
    <w:rsid w:val="00091B72"/>
    <w:rsid w:val="000931EA"/>
    <w:rsid w:val="00093C8B"/>
    <w:rsid w:val="00093DF1"/>
    <w:rsid w:val="000954B4"/>
    <w:rsid w:val="00095EC4"/>
    <w:rsid w:val="00096DFE"/>
    <w:rsid w:val="000A7937"/>
    <w:rsid w:val="000B3A73"/>
    <w:rsid w:val="000C2621"/>
    <w:rsid w:val="000C3BE7"/>
    <w:rsid w:val="000C7261"/>
    <w:rsid w:val="000D42EA"/>
    <w:rsid w:val="000D4613"/>
    <w:rsid w:val="000D6B04"/>
    <w:rsid w:val="000E24D7"/>
    <w:rsid w:val="000E4470"/>
    <w:rsid w:val="000E51AB"/>
    <w:rsid w:val="000F27BD"/>
    <w:rsid w:val="000F3F2B"/>
    <w:rsid w:val="000F6599"/>
    <w:rsid w:val="000F77DE"/>
    <w:rsid w:val="00103CBE"/>
    <w:rsid w:val="00110564"/>
    <w:rsid w:val="0011517B"/>
    <w:rsid w:val="00120C2C"/>
    <w:rsid w:val="00121204"/>
    <w:rsid w:val="001239DE"/>
    <w:rsid w:val="0012442B"/>
    <w:rsid w:val="00124E94"/>
    <w:rsid w:val="00130EC7"/>
    <w:rsid w:val="00131520"/>
    <w:rsid w:val="001339B7"/>
    <w:rsid w:val="0013432D"/>
    <w:rsid w:val="0014215C"/>
    <w:rsid w:val="00143143"/>
    <w:rsid w:val="00146FEB"/>
    <w:rsid w:val="001472EF"/>
    <w:rsid w:val="00152368"/>
    <w:rsid w:val="00152BD1"/>
    <w:rsid w:val="0015309F"/>
    <w:rsid w:val="00153949"/>
    <w:rsid w:val="00157A39"/>
    <w:rsid w:val="0017098F"/>
    <w:rsid w:val="00171553"/>
    <w:rsid w:val="001719C1"/>
    <w:rsid w:val="001748A1"/>
    <w:rsid w:val="001762EE"/>
    <w:rsid w:val="00182918"/>
    <w:rsid w:val="00182F03"/>
    <w:rsid w:val="00187395"/>
    <w:rsid w:val="00191ACB"/>
    <w:rsid w:val="00193240"/>
    <w:rsid w:val="00193548"/>
    <w:rsid w:val="001A03C6"/>
    <w:rsid w:val="001A0F8B"/>
    <w:rsid w:val="001A1563"/>
    <w:rsid w:val="001A180C"/>
    <w:rsid w:val="001A475B"/>
    <w:rsid w:val="001B0973"/>
    <w:rsid w:val="001B1729"/>
    <w:rsid w:val="001B6481"/>
    <w:rsid w:val="001C2BBE"/>
    <w:rsid w:val="001C5CB6"/>
    <w:rsid w:val="001E004B"/>
    <w:rsid w:val="001E0A64"/>
    <w:rsid w:val="001E2A6D"/>
    <w:rsid w:val="001E2FCF"/>
    <w:rsid w:val="001E7F1B"/>
    <w:rsid w:val="001F65AE"/>
    <w:rsid w:val="0020114D"/>
    <w:rsid w:val="00201684"/>
    <w:rsid w:val="002029C9"/>
    <w:rsid w:val="002036F8"/>
    <w:rsid w:val="002043C6"/>
    <w:rsid w:val="002046CE"/>
    <w:rsid w:val="002054CE"/>
    <w:rsid w:val="00206F49"/>
    <w:rsid w:val="002074EC"/>
    <w:rsid w:val="00214FDF"/>
    <w:rsid w:val="00223562"/>
    <w:rsid w:val="00226029"/>
    <w:rsid w:val="0023344B"/>
    <w:rsid w:val="002364FB"/>
    <w:rsid w:val="002368CD"/>
    <w:rsid w:val="00236AD6"/>
    <w:rsid w:val="00237135"/>
    <w:rsid w:val="00241846"/>
    <w:rsid w:val="002421D9"/>
    <w:rsid w:val="00247F37"/>
    <w:rsid w:val="0025231D"/>
    <w:rsid w:val="00256CFB"/>
    <w:rsid w:val="00266349"/>
    <w:rsid w:val="00272DF0"/>
    <w:rsid w:val="00275FB3"/>
    <w:rsid w:val="0028048B"/>
    <w:rsid w:val="0029046A"/>
    <w:rsid w:val="002910DB"/>
    <w:rsid w:val="002924C4"/>
    <w:rsid w:val="002933BB"/>
    <w:rsid w:val="002A1380"/>
    <w:rsid w:val="002B1FEA"/>
    <w:rsid w:val="002B4CF9"/>
    <w:rsid w:val="002C0CBA"/>
    <w:rsid w:val="002C1FA9"/>
    <w:rsid w:val="002C479C"/>
    <w:rsid w:val="002C4F63"/>
    <w:rsid w:val="002C5C32"/>
    <w:rsid w:val="002E0531"/>
    <w:rsid w:val="002E2350"/>
    <w:rsid w:val="002E3554"/>
    <w:rsid w:val="002E73DA"/>
    <w:rsid w:val="002F1939"/>
    <w:rsid w:val="002F2344"/>
    <w:rsid w:val="002F555F"/>
    <w:rsid w:val="002F7DD6"/>
    <w:rsid w:val="00300761"/>
    <w:rsid w:val="00301F31"/>
    <w:rsid w:val="00301FDF"/>
    <w:rsid w:val="00302671"/>
    <w:rsid w:val="003031B8"/>
    <w:rsid w:val="00303FC9"/>
    <w:rsid w:val="00305F61"/>
    <w:rsid w:val="003070F0"/>
    <w:rsid w:val="003208E4"/>
    <w:rsid w:val="0032724C"/>
    <w:rsid w:val="00340177"/>
    <w:rsid w:val="00346BBE"/>
    <w:rsid w:val="00351E4E"/>
    <w:rsid w:val="00353493"/>
    <w:rsid w:val="00353F15"/>
    <w:rsid w:val="00355ECB"/>
    <w:rsid w:val="003632DC"/>
    <w:rsid w:val="00363660"/>
    <w:rsid w:val="00364D59"/>
    <w:rsid w:val="00364F13"/>
    <w:rsid w:val="00370FB0"/>
    <w:rsid w:val="00373298"/>
    <w:rsid w:val="0037467E"/>
    <w:rsid w:val="00377800"/>
    <w:rsid w:val="00377D08"/>
    <w:rsid w:val="0038181D"/>
    <w:rsid w:val="00394577"/>
    <w:rsid w:val="003972C4"/>
    <w:rsid w:val="003B5D9A"/>
    <w:rsid w:val="003B772A"/>
    <w:rsid w:val="003C2C2C"/>
    <w:rsid w:val="003D3908"/>
    <w:rsid w:val="003D3E0A"/>
    <w:rsid w:val="003D5280"/>
    <w:rsid w:val="003E4241"/>
    <w:rsid w:val="003F11FD"/>
    <w:rsid w:val="003F3889"/>
    <w:rsid w:val="003F6264"/>
    <w:rsid w:val="003F781B"/>
    <w:rsid w:val="004004F7"/>
    <w:rsid w:val="0041060A"/>
    <w:rsid w:val="0041112E"/>
    <w:rsid w:val="004133C6"/>
    <w:rsid w:val="00416DDF"/>
    <w:rsid w:val="0042097B"/>
    <w:rsid w:val="004229C1"/>
    <w:rsid w:val="004230C0"/>
    <w:rsid w:val="004246FE"/>
    <w:rsid w:val="00432D69"/>
    <w:rsid w:val="004332BA"/>
    <w:rsid w:val="00433576"/>
    <w:rsid w:val="00445858"/>
    <w:rsid w:val="0044747F"/>
    <w:rsid w:val="0045090F"/>
    <w:rsid w:val="00452397"/>
    <w:rsid w:val="004608B9"/>
    <w:rsid w:val="004617FF"/>
    <w:rsid w:val="00467424"/>
    <w:rsid w:val="004734E6"/>
    <w:rsid w:val="0047712E"/>
    <w:rsid w:val="00480BBB"/>
    <w:rsid w:val="00480E9E"/>
    <w:rsid w:val="00481002"/>
    <w:rsid w:val="00483325"/>
    <w:rsid w:val="00485C1D"/>
    <w:rsid w:val="00490FC1"/>
    <w:rsid w:val="00491CF3"/>
    <w:rsid w:val="00493E0A"/>
    <w:rsid w:val="004958F6"/>
    <w:rsid w:val="0049689F"/>
    <w:rsid w:val="004A1E38"/>
    <w:rsid w:val="004A5854"/>
    <w:rsid w:val="004B03DD"/>
    <w:rsid w:val="004B07DE"/>
    <w:rsid w:val="004B10CF"/>
    <w:rsid w:val="004B5D9D"/>
    <w:rsid w:val="004C31C1"/>
    <w:rsid w:val="004C5BE2"/>
    <w:rsid w:val="004C602D"/>
    <w:rsid w:val="004C62A3"/>
    <w:rsid w:val="004C68DD"/>
    <w:rsid w:val="004C6B02"/>
    <w:rsid w:val="004C6FA9"/>
    <w:rsid w:val="004E3295"/>
    <w:rsid w:val="004E719E"/>
    <w:rsid w:val="004F1C87"/>
    <w:rsid w:val="005004D8"/>
    <w:rsid w:val="00506636"/>
    <w:rsid w:val="00506E40"/>
    <w:rsid w:val="00510561"/>
    <w:rsid w:val="00511FF2"/>
    <w:rsid w:val="0051333C"/>
    <w:rsid w:val="00514FAC"/>
    <w:rsid w:val="005151D0"/>
    <w:rsid w:val="00516A6A"/>
    <w:rsid w:val="00516B4F"/>
    <w:rsid w:val="00517020"/>
    <w:rsid w:val="00517E0A"/>
    <w:rsid w:val="00521D78"/>
    <w:rsid w:val="00540583"/>
    <w:rsid w:val="0054193B"/>
    <w:rsid w:val="005454C4"/>
    <w:rsid w:val="00550443"/>
    <w:rsid w:val="00555853"/>
    <w:rsid w:val="00556C5A"/>
    <w:rsid w:val="00557B4D"/>
    <w:rsid w:val="00560A74"/>
    <w:rsid w:val="00566187"/>
    <w:rsid w:val="00566CBA"/>
    <w:rsid w:val="005672AB"/>
    <w:rsid w:val="00567572"/>
    <w:rsid w:val="00574640"/>
    <w:rsid w:val="00575737"/>
    <w:rsid w:val="00581DA7"/>
    <w:rsid w:val="00585703"/>
    <w:rsid w:val="00591477"/>
    <w:rsid w:val="00595BE5"/>
    <w:rsid w:val="005A23B7"/>
    <w:rsid w:val="005A63FC"/>
    <w:rsid w:val="005A775B"/>
    <w:rsid w:val="005B4713"/>
    <w:rsid w:val="005B5FAB"/>
    <w:rsid w:val="005C03FD"/>
    <w:rsid w:val="005D33B0"/>
    <w:rsid w:val="005D3EEC"/>
    <w:rsid w:val="005D3F82"/>
    <w:rsid w:val="005E248D"/>
    <w:rsid w:val="005F3BF0"/>
    <w:rsid w:val="005F5F14"/>
    <w:rsid w:val="005F6D4A"/>
    <w:rsid w:val="00602B45"/>
    <w:rsid w:val="00604F5E"/>
    <w:rsid w:val="006067E5"/>
    <w:rsid w:val="00614138"/>
    <w:rsid w:val="006216D7"/>
    <w:rsid w:val="00622045"/>
    <w:rsid w:val="00622C80"/>
    <w:rsid w:val="00625A1B"/>
    <w:rsid w:val="00626FC7"/>
    <w:rsid w:val="006400F9"/>
    <w:rsid w:val="00641325"/>
    <w:rsid w:val="00641B92"/>
    <w:rsid w:val="006438AD"/>
    <w:rsid w:val="00643B02"/>
    <w:rsid w:val="006457AF"/>
    <w:rsid w:val="00646B55"/>
    <w:rsid w:val="006477BA"/>
    <w:rsid w:val="006542C2"/>
    <w:rsid w:val="00655A4B"/>
    <w:rsid w:val="00660F0D"/>
    <w:rsid w:val="006637DF"/>
    <w:rsid w:val="00664854"/>
    <w:rsid w:val="00671629"/>
    <w:rsid w:val="006745C3"/>
    <w:rsid w:val="00681338"/>
    <w:rsid w:val="00681648"/>
    <w:rsid w:val="00681BEE"/>
    <w:rsid w:val="006978A3"/>
    <w:rsid w:val="006A4450"/>
    <w:rsid w:val="006B0716"/>
    <w:rsid w:val="006B5CCE"/>
    <w:rsid w:val="006B6C4A"/>
    <w:rsid w:val="006C0D3D"/>
    <w:rsid w:val="006C1AC9"/>
    <w:rsid w:val="006C2716"/>
    <w:rsid w:val="006C5707"/>
    <w:rsid w:val="006C69F0"/>
    <w:rsid w:val="006C6BFC"/>
    <w:rsid w:val="006D32DA"/>
    <w:rsid w:val="006E2178"/>
    <w:rsid w:val="006E21C7"/>
    <w:rsid w:val="006E3878"/>
    <w:rsid w:val="006E429B"/>
    <w:rsid w:val="006F0C0A"/>
    <w:rsid w:val="006F56F2"/>
    <w:rsid w:val="006F7445"/>
    <w:rsid w:val="0070434C"/>
    <w:rsid w:val="007158FC"/>
    <w:rsid w:val="00715CE8"/>
    <w:rsid w:val="00716252"/>
    <w:rsid w:val="00723A5D"/>
    <w:rsid w:val="0072407D"/>
    <w:rsid w:val="00725393"/>
    <w:rsid w:val="0072748E"/>
    <w:rsid w:val="00730051"/>
    <w:rsid w:val="00734285"/>
    <w:rsid w:val="00734D30"/>
    <w:rsid w:val="007379C8"/>
    <w:rsid w:val="007405E7"/>
    <w:rsid w:val="00744280"/>
    <w:rsid w:val="00744C47"/>
    <w:rsid w:val="00745376"/>
    <w:rsid w:val="00752A3A"/>
    <w:rsid w:val="00753628"/>
    <w:rsid w:val="00755C3B"/>
    <w:rsid w:val="00757AC6"/>
    <w:rsid w:val="007610B7"/>
    <w:rsid w:val="007618EB"/>
    <w:rsid w:val="00764299"/>
    <w:rsid w:val="007751A8"/>
    <w:rsid w:val="0077731A"/>
    <w:rsid w:val="007820D2"/>
    <w:rsid w:val="007861A6"/>
    <w:rsid w:val="00790E83"/>
    <w:rsid w:val="00796A7C"/>
    <w:rsid w:val="007A219B"/>
    <w:rsid w:val="007A73FB"/>
    <w:rsid w:val="007B251D"/>
    <w:rsid w:val="007B54B0"/>
    <w:rsid w:val="007B7FB6"/>
    <w:rsid w:val="007C38EE"/>
    <w:rsid w:val="007C5949"/>
    <w:rsid w:val="007C68BC"/>
    <w:rsid w:val="007C7DC6"/>
    <w:rsid w:val="007D1C86"/>
    <w:rsid w:val="007D4663"/>
    <w:rsid w:val="007D5A4C"/>
    <w:rsid w:val="007E0321"/>
    <w:rsid w:val="007E1A6D"/>
    <w:rsid w:val="007E5875"/>
    <w:rsid w:val="007E61E3"/>
    <w:rsid w:val="007E64A8"/>
    <w:rsid w:val="007E79F0"/>
    <w:rsid w:val="007F1FBC"/>
    <w:rsid w:val="007F260D"/>
    <w:rsid w:val="007F50B7"/>
    <w:rsid w:val="007F5ED5"/>
    <w:rsid w:val="008012DD"/>
    <w:rsid w:val="00810419"/>
    <w:rsid w:val="008249F3"/>
    <w:rsid w:val="0083398D"/>
    <w:rsid w:val="00834581"/>
    <w:rsid w:val="00842993"/>
    <w:rsid w:val="00843AD2"/>
    <w:rsid w:val="00846BA9"/>
    <w:rsid w:val="00846FDA"/>
    <w:rsid w:val="00855022"/>
    <w:rsid w:val="00867216"/>
    <w:rsid w:val="00871127"/>
    <w:rsid w:val="00875BEC"/>
    <w:rsid w:val="00877378"/>
    <w:rsid w:val="0088151C"/>
    <w:rsid w:val="00883D2E"/>
    <w:rsid w:val="00885F02"/>
    <w:rsid w:val="00886D29"/>
    <w:rsid w:val="008875EA"/>
    <w:rsid w:val="00887871"/>
    <w:rsid w:val="008878E9"/>
    <w:rsid w:val="00896B34"/>
    <w:rsid w:val="008A099C"/>
    <w:rsid w:val="008A10D7"/>
    <w:rsid w:val="008A2C6A"/>
    <w:rsid w:val="008A3433"/>
    <w:rsid w:val="008B3BDC"/>
    <w:rsid w:val="008C0DEC"/>
    <w:rsid w:val="008C391A"/>
    <w:rsid w:val="008F5342"/>
    <w:rsid w:val="008F6590"/>
    <w:rsid w:val="009012AD"/>
    <w:rsid w:val="009051FC"/>
    <w:rsid w:val="009073BA"/>
    <w:rsid w:val="00914198"/>
    <w:rsid w:val="00915B4F"/>
    <w:rsid w:val="00916442"/>
    <w:rsid w:val="00921196"/>
    <w:rsid w:val="0092495C"/>
    <w:rsid w:val="00925964"/>
    <w:rsid w:val="0093071B"/>
    <w:rsid w:val="00930845"/>
    <w:rsid w:val="00935473"/>
    <w:rsid w:val="0093657B"/>
    <w:rsid w:val="009367D8"/>
    <w:rsid w:val="00940817"/>
    <w:rsid w:val="009418EE"/>
    <w:rsid w:val="0094225D"/>
    <w:rsid w:val="00953DF5"/>
    <w:rsid w:val="009542D4"/>
    <w:rsid w:val="00971D5F"/>
    <w:rsid w:val="00972C7C"/>
    <w:rsid w:val="00977CBA"/>
    <w:rsid w:val="00987A22"/>
    <w:rsid w:val="00994689"/>
    <w:rsid w:val="00994B9F"/>
    <w:rsid w:val="00997EE6"/>
    <w:rsid w:val="009A15CE"/>
    <w:rsid w:val="009A39AF"/>
    <w:rsid w:val="009B18CC"/>
    <w:rsid w:val="009B1A62"/>
    <w:rsid w:val="009C1318"/>
    <w:rsid w:val="009C1D7D"/>
    <w:rsid w:val="009C2A05"/>
    <w:rsid w:val="009C6690"/>
    <w:rsid w:val="009D0E59"/>
    <w:rsid w:val="009D66AC"/>
    <w:rsid w:val="009D6AF0"/>
    <w:rsid w:val="009D7B09"/>
    <w:rsid w:val="009E1B7F"/>
    <w:rsid w:val="009F179A"/>
    <w:rsid w:val="009F2B96"/>
    <w:rsid w:val="009F3547"/>
    <w:rsid w:val="009F4B30"/>
    <w:rsid w:val="009F6771"/>
    <w:rsid w:val="00A002BF"/>
    <w:rsid w:val="00A0208C"/>
    <w:rsid w:val="00A05550"/>
    <w:rsid w:val="00A06DFD"/>
    <w:rsid w:val="00A10A05"/>
    <w:rsid w:val="00A16544"/>
    <w:rsid w:val="00A1691B"/>
    <w:rsid w:val="00A27CF5"/>
    <w:rsid w:val="00A315F7"/>
    <w:rsid w:val="00A331B9"/>
    <w:rsid w:val="00A34517"/>
    <w:rsid w:val="00A35F33"/>
    <w:rsid w:val="00A453AF"/>
    <w:rsid w:val="00A45D77"/>
    <w:rsid w:val="00A57987"/>
    <w:rsid w:val="00A57FF5"/>
    <w:rsid w:val="00A618E5"/>
    <w:rsid w:val="00A6422E"/>
    <w:rsid w:val="00A64619"/>
    <w:rsid w:val="00A66C6F"/>
    <w:rsid w:val="00A715B5"/>
    <w:rsid w:val="00A72B5E"/>
    <w:rsid w:val="00A74DFD"/>
    <w:rsid w:val="00A767D6"/>
    <w:rsid w:val="00A830E7"/>
    <w:rsid w:val="00A84AEE"/>
    <w:rsid w:val="00A876FF"/>
    <w:rsid w:val="00A9153C"/>
    <w:rsid w:val="00A94A60"/>
    <w:rsid w:val="00AA0BE5"/>
    <w:rsid w:val="00AA160C"/>
    <w:rsid w:val="00AA3663"/>
    <w:rsid w:val="00AA41D9"/>
    <w:rsid w:val="00AA5E8A"/>
    <w:rsid w:val="00AB6904"/>
    <w:rsid w:val="00AB7E85"/>
    <w:rsid w:val="00AC06FA"/>
    <w:rsid w:val="00AC1282"/>
    <w:rsid w:val="00AC1707"/>
    <w:rsid w:val="00AC3D4D"/>
    <w:rsid w:val="00AC662C"/>
    <w:rsid w:val="00AD1E88"/>
    <w:rsid w:val="00AD2C5D"/>
    <w:rsid w:val="00AD3808"/>
    <w:rsid w:val="00AD4DAA"/>
    <w:rsid w:val="00AD50F0"/>
    <w:rsid w:val="00AD5C00"/>
    <w:rsid w:val="00AD5C0F"/>
    <w:rsid w:val="00AD5E3C"/>
    <w:rsid w:val="00AE5E89"/>
    <w:rsid w:val="00AE630F"/>
    <w:rsid w:val="00AE7CFF"/>
    <w:rsid w:val="00AE7E75"/>
    <w:rsid w:val="00AF0506"/>
    <w:rsid w:val="00AF0697"/>
    <w:rsid w:val="00AF0F41"/>
    <w:rsid w:val="00AF4C9D"/>
    <w:rsid w:val="00AF4F5D"/>
    <w:rsid w:val="00AF6B67"/>
    <w:rsid w:val="00AF7D47"/>
    <w:rsid w:val="00B0022C"/>
    <w:rsid w:val="00B025CA"/>
    <w:rsid w:val="00B02BBC"/>
    <w:rsid w:val="00B02DD4"/>
    <w:rsid w:val="00B04784"/>
    <w:rsid w:val="00B05038"/>
    <w:rsid w:val="00B07973"/>
    <w:rsid w:val="00B1021B"/>
    <w:rsid w:val="00B108EB"/>
    <w:rsid w:val="00B1379A"/>
    <w:rsid w:val="00B15DE8"/>
    <w:rsid w:val="00B1646E"/>
    <w:rsid w:val="00B17F93"/>
    <w:rsid w:val="00B23CC5"/>
    <w:rsid w:val="00B263C0"/>
    <w:rsid w:val="00B31B79"/>
    <w:rsid w:val="00B37412"/>
    <w:rsid w:val="00B40323"/>
    <w:rsid w:val="00B43047"/>
    <w:rsid w:val="00B44176"/>
    <w:rsid w:val="00B502E9"/>
    <w:rsid w:val="00B56B06"/>
    <w:rsid w:val="00B57BF8"/>
    <w:rsid w:val="00B61F06"/>
    <w:rsid w:val="00B720F1"/>
    <w:rsid w:val="00B81281"/>
    <w:rsid w:val="00B86C53"/>
    <w:rsid w:val="00B876C0"/>
    <w:rsid w:val="00B87962"/>
    <w:rsid w:val="00B90CD6"/>
    <w:rsid w:val="00B9207D"/>
    <w:rsid w:val="00B9273B"/>
    <w:rsid w:val="00B9620D"/>
    <w:rsid w:val="00BA07D9"/>
    <w:rsid w:val="00BA36EA"/>
    <w:rsid w:val="00BA7CBD"/>
    <w:rsid w:val="00BB63FA"/>
    <w:rsid w:val="00BC059B"/>
    <w:rsid w:val="00BC3477"/>
    <w:rsid w:val="00BD2106"/>
    <w:rsid w:val="00BD3E96"/>
    <w:rsid w:val="00BD4C69"/>
    <w:rsid w:val="00BE1B07"/>
    <w:rsid w:val="00BE3606"/>
    <w:rsid w:val="00BF07D8"/>
    <w:rsid w:val="00BF6A8D"/>
    <w:rsid w:val="00C0612D"/>
    <w:rsid w:val="00C101F7"/>
    <w:rsid w:val="00C102DC"/>
    <w:rsid w:val="00C12729"/>
    <w:rsid w:val="00C17936"/>
    <w:rsid w:val="00C24B4D"/>
    <w:rsid w:val="00C301FD"/>
    <w:rsid w:val="00C30BBC"/>
    <w:rsid w:val="00C42C9F"/>
    <w:rsid w:val="00C42EE2"/>
    <w:rsid w:val="00C456A3"/>
    <w:rsid w:val="00C46A5C"/>
    <w:rsid w:val="00C46EE8"/>
    <w:rsid w:val="00C52AFF"/>
    <w:rsid w:val="00C55B4B"/>
    <w:rsid w:val="00C63FCC"/>
    <w:rsid w:val="00C65091"/>
    <w:rsid w:val="00C66F82"/>
    <w:rsid w:val="00C76679"/>
    <w:rsid w:val="00C80B00"/>
    <w:rsid w:val="00C836B8"/>
    <w:rsid w:val="00C83778"/>
    <w:rsid w:val="00C930F8"/>
    <w:rsid w:val="00CA705A"/>
    <w:rsid w:val="00CB0CE0"/>
    <w:rsid w:val="00CC0186"/>
    <w:rsid w:val="00CC0286"/>
    <w:rsid w:val="00CC14BA"/>
    <w:rsid w:val="00CC3441"/>
    <w:rsid w:val="00CC44A7"/>
    <w:rsid w:val="00CC7536"/>
    <w:rsid w:val="00CD15BE"/>
    <w:rsid w:val="00CD3716"/>
    <w:rsid w:val="00CD6AF6"/>
    <w:rsid w:val="00CF0AF8"/>
    <w:rsid w:val="00CF2934"/>
    <w:rsid w:val="00CF46CB"/>
    <w:rsid w:val="00D00C7B"/>
    <w:rsid w:val="00D01934"/>
    <w:rsid w:val="00D0264F"/>
    <w:rsid w:val="00D076B6"/>
    <w:rsid w:val="00D143EF"/>
    <w:rsid w:val="00D14CF2"/>
    <w:rsid w:val="00D15363"/>
    <w:rsid w:val="00D243F5"/>
    <w:rsid w:val="00D258D2"/>
    <w:rsid w:val="00D27937"/>
    <w:rsid w:val="00D30B18"/>
    <w:rsid w:val="00D3781B"/>
    <w:rsid w:val="00D42221"/>
    <w:rsid w:val="00D4353A"/>
    <w:rsid w:val="00D51C1E"/>
    <w:rsid w:val="00D56DA5"/>
    <w:rsid w:val="00D56F83"/>
    <w:rsid w:val="00D57D16"/>
    <w:rsid w:val="00D60369"/>
    <w:rsid w:val="00D60F33"/>
    <w:rsid w:val="00D6346A"/>
    <w:rsid w:val="00D6656D"/>
    <w:rsid w:val="00D66A0B"/>
    <w:rsid w:val="00D7445C"/>
    <w:rsid w:val="00D749B3"/>
    <w:rsid w:val="00D767E0"/>
    <w:rsid w:val="00D82A1F"/>
    <w:rsid w:val="00D832A6"/>
    <w:rsid w:val="00D846D1"/>
    <w:rsid w:val="00D85CB6"/>
    <w:rsid w:val="00D869C3"/>
    <w:rsid w:val="00D86F62"/>
    <w:rsid w:val="00D90745"/>
    <w:rsid w:val="00D95771"/>
    <w:rsid w:val="00D97A97"/>
    <w:rsid w:val="00D97E54"/>
    <w:rsid w:val="00DA366C"/>
    <w:rsid w:val="00DA41D9"/>
    <w:rsid w:val="00DB283D"/>
    <w:rsid w:val="00DB42B8"/>
    <w:rsid w:val="00DC0EAA"/>
    <w:rsid w:val="00DC7DC2"/>
    <w:rsid w:val="00DD025E"/>
    <w:rsid w:val="00DD05F7"/>
    <w:rsid w:val="00DD2BD5"/>
    <w:rsid w:val="00DD7F8A"/>
    <w:rsid w:val="00DE04D7"/>
    <w:rsid w:val="00DE6F99"/>
    <w:rsid w:val="00DF331B"/>
    <w:rsid w:val="00DF43D1"/>
    <w:rsid w:val="00E0455A"/>
    <w:rsid w:val="00E06B84"/>
    <w:rsid w:val="00E10FC8"/>
    <w:rsid w:val="00E1516E"/>
    <w:rsid w:val="00E221BC"/>
    <w:rsid w:val="00E22EEB"/>
    <w:rsid w:val="00E27B4F"/>
    <w:rsid w:val="00E30170"/>
    <w:rsid w:val="00E32EEF"/>
    <w:rsid w:val="00E42FEF"/>
    <w:rsid w:val="00E46916"/>
    <w:rsid w:val="00E5044D"/>
    <w:rsid w:val="00E53261"/>
    <w:rsid w:val="00E61457"/>
    <w:rsid w:val="00E6638D"/>
    <w:rsid w:val="00E710E6"/>
    <w:rsid w:val="00E73F75"/>
    <w:rsid w:val="00E85A17"/>
    <w:rsid w:val="00E972D5"/>
    <w:rsid w:val="00EA0996"/>
    <w:rsid w:val="00EA0BE3"/>
    <w:rsid w:val="00EA5D33"/>
    <w:rsid w:val="00EA6E14"/>
    <w:rsid w:val="00EB032A"/>
    <w:rsid w:val="00EB38B0"/>
    <w:rsid w:val="00EB3A48"/>
    <w:rsid w:val="00EB5769"/>
    <w:rsid w:val="00EB5790"/>
    <w:rsid w:val="00EB7682"/>
    <w:rsid w:val="00EC056C"/>
    <w:rsid w:val="00EC0C91"/>
    <w:rsid w:val="00EC3133"/>
    <w:rsid w:val="00EC48B8"/>
    <w:rsid w:val="00EC601F"/>
    <w:rsid w:val="00EC6588"/>
    <w:rsid w:val="00ED4115"/>
    <w:rsid w:val="00ED565F"/>
    <w:rsid w:val="00ED6DE7"/>
    <w:rsid w:val="00EE00F3"/>
    <w:rsid w:val="00EE3095"/>
    <w:rsid w:val="00EE4412"/>
    <w:rsid w:val="00EE5930"/>
    <w:rsid w:val="00EE5C19"/>
    <w:rsid w:val="00EF6DF5"/>
    <w:rsid w:val="00EF7477"/>
    <w:rsid w:val="00EF7F86"/>
    <w:rsid w:val="00F031D5"/>
    <w:rsid w:val="00F0462D"/>
    <w:rsid w:val="00F0521E"/>
    <w:rsid w:val="00F13F4B"/>
    <w:rsid w:val="00F278D5"/>
    <w:rsid w:val="00F27F46"/>
    <w:rsid w:val="00F35E6E"/>
    <w:rsid w:val="00F37B35"/>
    <w:rsid w:val="00F42F89"/>
    <w:rsid w:val="00F46B87"/>
    <w:rsid w:val="00F54584"/>
    <w:rsid w:val="00F56314"/>
    <w:rsid w:val="00F61E0B"/>
    <w:rsid w:val="00F6345A"/>
    <w:rsid w:val="00F64FCA"/>
    <w:rsid w:val="00F70F69"/>
    <w:rsid w:val="00F73795"/>
    <w:rsid w:val="00F81B44"/>
    <w:rsid w:val="00F82060"/>
    <w:rsid w:val="00F82B70"/>
    <w:rsid w:val="00F82F0F"/>
    <w:rsid w:val="00F8703D"/>
    <w:rsid w:val="00F87994"/>
    <w:rsid w:val="00F92E21"/>
    <w:rsid w:val="00FA1257"/>
    <w:rsid w:val="00FA15CF"/>
    <w:rsid w:val="00FA1828"/>
    <w:rsid w:val="00FA4C00"/>
    <w:rsid w:val="00FB089C"/>
    <w:rsid w:val="00FB1E2D"/>
    <w:rsid w:val="00FB352B"/>
    <w:rsid w:val="00FB4043"/>
    <w:rsid w:val="00FC0522"/>
    <w:rsid w:val="00FC3CC4"/>
    <w:rsid w:val="00FC6D29"/>
    <w:rsid w:val="00FD52FB"/>
    <w:rsid w:val="00FE2031"/>
    <w:rsid w:val="00FE320F"/>
    <w:rsid w:val="00FE6052"/>
    <w:rsid w:val="00FE6534"/>
    <w:rsid w:val="00FE6737"/>
    <w:rsid w:val="00FF2074"/>
    <w:rsid w:val="00FF364C"/>
    <w:rsid w:val="00FF7F6D"/>
    <w:rsid w:val="0D7AEE28"/>
    <w:rsid w:val="234A6D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FA743D"/>
  <w15:chartTrackingRefBased/>
  <w15:docId w15:val="{C814E610-7B1D-41DA-B34C-71AB246FB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1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61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61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61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61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6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1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61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61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61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61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6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1A6"/>
    <w:rPr>
      <w:rFonts w:eastAsiaTheme="majorEastAsia" w:cstheme="majorBidi"/>
      <w:color w:val="272727" w:themeColor="text1" w:themeTint="D8"/>
    </w:rPr>
  </w:style>
  <w:style w:type="paragraph" w:styleId="Title">
    <w:name w:val="Title"/>
    <w:basedOn w:val="Normal"/>
    <w:next w:val="Normal"/>
    <w:link w:val="TitleChar"/>
    <w:uiPriority w:val="10"/>
    <w:qFormat/>
    <w:rsid w:val="00786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1A6"/>
    <w:pPr>
      <w:spacing w:before="160"/>
      <w:jc w:val="center"/>
    </w:pPr>
    <w:rPr>
      <w:i/>
      <w:iCs/>
      <w:color w:val="404040" w:themeColor="text1" w:themeTint="BF"/>
    </w:rPr>
  </w:style>
  <w:style w:type="character" w:customStyle="1" w:styleId="QuoteChar">
    <w:name w:val="Quote Char"/>
    <w:basedOn w:val="DefaultParagraphFont"/>
    <w:link w:val="Quote"/>
    <w:uiPriority w:val="29"/>
    <w:rsid w:val="007861A6"/>
    <w:rPr>
      <w:i/>
      <w:iCs/>
      <w:color w:val="404040" w:themeColor="text1" w:themeTint="BF"/>
    </w:rPr>
  </w:style>
  <w:style w:type="paragraph" w:styleId="ListParagraph">
    <w:name w:val="List Paragraph"/>
    <w:basedOn w:val="Normal"/>
    <w:uiPriority w:val="34"/>
    <w:qFormat/>
    <w:rsid w:val="007861A6"/>
    <w:pPr>
      <w:ind w:left="720"/>
      <w:contextualSpacing/>
    </w:pPr>
  </w:style>
  <w:style w:type="character" w:styleId="IntenseEmphasis">
    <w:name w:val="Intense Emphasis"/>
    <w:basedOn w:val="DefaultParagraphFont"/>
    <w:uiPriority w:val="21"/>
    <w:qFormat/>
    <w:rsid w:val="007861A6"/>
    <w:rPr>
      <w:i/>
      <w:iCs/>
      <w:color w:val="2F5496" w:themeColor="accent1" w:themeShade="BF"/>
    </w:rPr>
  </w:style>
  <w:style w:type="paragraph" w:styleId="IntenseQuote">
    <w:name w:val="Intense Quote"/>
    <w:basedOn w:val="Normal"/>
    <w:next w:val="Normal"/>
    <w:link w:val="IntenseQuoteChar"/>
    <w:uiPriority w:val="30"/>
    <w:qFormat/>
    <w:rsid w:val="007861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61A6"/>
    <w:rPr>
      <w:i/>
      <w:iCs/>
      <w:color w:val="2F5496" w:themeColor="accent1" w:themeShade="BF"/>
    </w:rPr>
  </w:style>
  <w:style w:type="character" w:styleId="IntenseReference">
    <w:name w:val="Intense Reference"/>
    <w:basedOn w:val="DefaultParagraphFont"/>
    <w:uiPriority w:val="32"/>
    <w:qFormat/>
    <w:rsid w:val="007861A6"/>
    <w:rPr>
      <w:b/>
      <w:bCs/>
      <w:smallCaps/>
      <w:color w:val="2F5496" w:themeColor="accent1" w:themeShade="BF"/>
      <w:spacing w:val="5"/>
    </w:rPr>
  </w:style>
  <w:style w:type="paragraph" w:styleId="NormalWeb">
    <w:name w:val="Normal (Web)"/>
    <w:basedOn w:val="Normal"/>
    <w:uiPriority w:val="99"/>
    <w:semiHidden/>
    <w:unhideWhenUsed/>
    <w:rsid w:val="00052874"/>
    <w:rPr>
      <w:rFonts w:ascii="Times New Roman" w:hAnsi="Times New Roman" w:cs="Times New Roman"/>
      <w:sz w:val="24"/>
      <w:szCs w:val="24"/>
    </w:rPr>
  </w:style>
  <w:style w:type="paragraph" w:styleId="Header">
    <w:name w:val="header"/>
    <w:basedOn w:val="Normal"/>
    <w:link w:val="HeaderChar"/>
    <w:uiPriority w:val="99"/>
    <w:unhideWhenUsed/>
    <w:rsid w:val="003B5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D9A"/>
  </w:style>
  <w:style w:type="paragraph" w:styleId="Footer">
    <w:name w:val="footer"/>
    <w:basedOn w:val="Normal"/>
    <w:link w:val="FooterChar"/>
    <w:uiPriority w:val="99"/>
    <w:unhideWhenUsed/>
    <w:rsid w:val="003B5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D9A"/>
  </w:style>
  <w:style w:type="character" w:styleId="Hyperlink">
    <w:name w:val="Hyperlink"/>
    <w:basedOn w:val="DefaultParagraphFont"/>
    <w:uiPriority w:val="99"/>
    <w:unhideWhenUsed/>
    <w:rsid w:val="004B07DE"/>
    <w:rPr>
      <w:color w:val="0563C1" w:themeColor="hyperlink"/>
      <w:u w:val="single"/>
    </w:rPr>
  </w:style>
  <w:style w:type="character" w:styleId="UnresolvedMention">
    <w:name w:val="Unresolved Mention"/>
    <w:basedOn w:val="DefaultParagraphFont"/>
    <w:uiPriority w:val="99"/>
    <w:semiHidden/>
    <w:unhideWhenUsed/>
    <w:rsid w:val="004B07DE"/>
    <w:rPr>
      <w:color w:val="605E5C"/>
      <w:shd w:val="clear" w:color="auto" w:fill="E1DFDD"/>
    </w:rPr>
  </w:style>
  <w:style w:type="character" w:styleId="FollowedHyperlink">
    <w:name w:val="FollowedHyperlink"/>
    <w:basedOn w:val="DefaultParagraphFont"/>
    <w:uiPriority w:val="99"/>
    <w:semiHidden/>
    <w:unhideWhenUsed/>
    <w:rsid w:val="000375E0"/>
    <w:rPr>
      <w:color w:val="954F72" w:themeColor="followedHyperlink"/>
      <w:u w:val="single"/>
    </w:rPr>
  </w:style>
  <w:style w:type="character" w:styleId="CommentReference">
    <w:name w:val="annotation reference"/>
    <w:basedOn w:val="DefaultParagraphFont"/>
    <w:uiPriority w:val="99"/>
    <w:semiHidden/>
    <w:unhideWhenUsed/>
    <w:rsid w:val="00E1516E"/>
    <w:rPr>
      <w:sz w:val="16"/>
      <w:szCs w:val="16"/>
    </w:rPr>
  </w:style>
  <w:style w:type="paragraph" w:styleId="CommentText">
    <w:name w:val="annotation text"/>
    <w:basedOn w:val="Normal"/>
    <w:link w:val="CommentTextChar"/>
    <w:uiPriority w:val="99"/>
    <w:unhideWhenUsed/>
    <w:rsid w:val="00E1516E"/>
    <w:pPr>
      <w:spacing w:line="240" w:lineRule="auto"/>
    </w:pPr>
    <w:rPr>
      <w:sz w:val="20"/>
      <w:szCs w:val="20"/>
    </w:rPr>
  </w:style>
  <w:style w:type="character" w:customStyle="1" w:styleId="CommentTextChar">
    <w:name w:val="Comment Text Char"/>
    <w:basedOn w:val="DefaultParagraphFont"/>
    <w:link w:val="CommentText"/>
    <w:uiPriority w:val="99"/>
    <w:rsid w:val="00E1516E"/>
    <w:rPr>
      <w:sz w:val="20"/>
      <w:szCs w:val="20"/>
    </w:rPr>
  </w:style>
  <w:style w:type="paragraph" w:styleId="CommentSubject">
    <w:name w:val="annotation subject"/>
    <w:basedOn w:val="CommentText"/>
    <w:next w:val="CommentText"/>
    <w:link w:val="CommentSubjectChar"/>
    <w:uiPriority w:val="99"/>
    <w:semiHidden/>
    <w:unhideWhenUsed/>
    <w:rsid w:val="00E1516E"/>
    <w:rPr>
      <w:b/>
      <w:bCs/>
    </w:rPr>
  </w:style>
  <w:style w:type="character" w:customStyle="1" w:styleId="CommentSubjectChar">
    <w:name w:val="Comment Subject Char"/>
    <w:basedOn w:val="CommentTextChar"/>
    <w:link w:val="CommentSubject"/>
    <w:uiPriority w:val="99"/>
    <w:semiHidden/>
    <w:rsid w:val="00E151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72113">
      <w:bodyDiv w:val="1"/>
      <w:marLeft w:val="0"/>
      <w:marRight w:val="0"/>
      <w:marTop w:val="0"/>
      <w:marBottom w:val="0"/>
      <w:divBdr>
        <w:top w:val="none" w:sz="0" w:space="0" w:color="auto"/>
        <w:left w:val="none" w:sz="0" w:space="0" w:color="auto"/>
        <w:bottom w:val="none" w:sz="0" w:space="0" w:color="auto"/>
        <w:right w:val="none" w:sz="0" w:space="0" w:color="auto"/>
      </w:divBdr>
    </w:div>
    <w:div w:id="50085708">
      <w:bodyDiv w:val="1"/>
      <w:marLeft w:val="0"/>
      <w:marRight w:val="0"/>
      <w:marTop w:val="0"/>
      <w:marBottom w:val="0"/>
      <w:divBdr>
        <w:top w:val="none" w:sz="0" w:space="0" w:color="auto"/>
        <w:left w:val="none" w:sz="0" w:space="0" w:color="auto"/>
        <w:bottom w:val="none" w:sz="0" w:space="0" w:color="auto"/>
        <w:right w:val="none" w:sz="0" w:space="0" w:color="auto"/>
      </w:divBdr>
    </w:div>
    <w:div w:id="52581441">
      <w:bodyDiv w:val="1"/>
      <w:marLeft w:val="0"/>
      <w:marRight w:val="0"/>
      <w:marTop w:val="0"/>
      <w:marBottom w:val="0"/>
      <w:divBdr>
        <w:top w:val="none" w:sz="0" w:space="0" w:color="auto"/>
        <w:left w:val="none" w:sz="0" w:space="0" w:color="auto"/>
        <w:bottom w:val="none" w:sz="0" w:space="0" w:color="auto"/>
        <w:right w:val="none" w:sz="0" w:space="0" w:color="auto"/>
      </w:divBdr>
    </w:div>
    <w:div w:id="94595012">
      <w:bodyDiv w:val="1"/>
      <w:marLeft w:val="0"/>
      <w:marRight w:val="0"/>
      <w:marTop w:val="0"/>
      <w:marBottom w:val="0"/>
      <w:divBdr>
        <w:top w:val="none" w:sz="0" w:space="0" w:color="auto"/>
        <w:left w:val="none" w:sz="0" w:space="0" w:color="auto"/>
        <w:bottom w:val="none" w:sz="0" w:space="0" w:color="auto"/>
        <w:right w:val="none" w:sz="0" w:space="0" w:color="auto"/>
      </w:divBdr>
    </w:div>
    <w:div w:id="100733869">
      <w:bodyDiv w:val="1"/>
      <w:marLeft w:val="0"/>
      <w:marRight w:val="0"/>
      <w:marTop w:val="0"/>
      <w:marBottom w:val="0"/>
      <w:divBdr>
        <w:top w:val="none" w:sz="0" w:space="0" w:color="auto"/>
        <w:left w:val="none" w:sz="0" w:space="0" w:color="auto"/>
        <w:bottom w:val="none" w:sz="0" w:space="0" w:color="auto"/>
        <w:right w:val="none" w:sz="0" w:space="0" w:color="auto"/>
      </w:divBdr>
    </w:div>
    <w:div w:id="107899796">
      <w:bodyDiv w:val="1"/>
      <w:marLeft w:val="0"/>
      <w:marRight w:val="0"/>
      <w:marTop w:val="0"/>
      <w:marBottom w:val="0"/>
      <w:divBdr>
        <w:top w:val="none" w:sz="0" w:space="0" w:color="auto"/>
        <w:left w:val="none" w:sz="0" w:space="0" w:color="auto"/>
        <w:bottom w:val="none" w:sz="0" w:space="0" w:color="auto"/>
        <w:right w:val="none" w:sz="0" w:space="0" w:color="auto"/>
      </w:divBdr>
    </w:div>
    <w:div w:id="119501041">
      <w:bodyDiv w:val="1"/>
      <w:marLeft w:val="0"/>
      <w:marRight w:val="0"/>
      <w:marTop w:val="0"/>
      <w:marBottom w:val="0"/>
      <w:divBdr>
        <w:top w:val="none" w:sz="0" w:space="0" w:color="auto"/>
        <w:left w:val="none" w:sz="0" w:space="0" w:color="auto"/>
        <w:bottom w:val="none" w:sz="0" w:space="0" w:color="auto"/>
        <w:right w:val="none" w:sz="0" w:space="0" w:color="auto"/>
      </w:divBdr>
      <w:divsChild>
        <w:div w:id="1250583532">
          <w:marLeft w:val="0"/>
          <w:marRight w:val="0"/>
          <w:marTop w:val="0"/>
          <w:marBottom w:val="0"/>
          <w:divBdr>
            <w:top w:val="none" w:sz="0" w:space="0" w:color="auto"/>
            <w:left w:val="none" w:sz="0" w:space="0" w:color="auto"/>
            <w:bottom w:val="none" w:sz="0" w:space="0" w:color="auto"/>
            <w:right w:val="none" w:sz="0" w:space="0" w:color="auto"/>
          </w:divBdr>
          <w:divsChild>
            <w:div w:id="98527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01777">
      <w:bodyDiv w:val="1"/>
      <w:marLeft w:val="0"/>
      <w:marRight w:val="0"/>
      <w:marTop w:val="0"/>
      <w:marBottom w:val="0"/>
      <w:divBdr>
        <w:top w:val="none" w:sz="0" w:space="0" w:color="auto"/>
        <w:left w:val="none" w:sz="0" w:space="0" w:color="auto"/>
        <w:bottom w:val="none" w:sz="0" w:space="0" w:color="auto"/>
        <w:right w:val="none" w:sz="0" w:space="0" w:color="auto"/>
      </w:divBdr>
    </w:div>
    <w:div w:id="128323048">
      <w:bodyDiv w:val="1"/>
      <w:marLeft w:val="0"/>
      <w:marRight w:val="0"/>
      <w:marTop w:val="0"/>
      <w:marBottom w:val="0"/>
      <w:divBdr>
        <w:top w:val="none" w:sz="0" w:space="0" w:color="auto"/>
        <w:left w:val="none" w:sz="0" w:space="0" w:color="auto"/>
        <w:bottom w:val="none" w:sz="0" w:space="0" w:color="auto"/>
        <w:right w:val="none" w:sz="0" w:space="0" w:color="auto"/>
      </w:divBdr>
    </w:div>
    <w:div w:id="129713808">
      <w:bodyDiv w:val="1"/>
      <w:marLeft w:val="0"/>
      <w:marRight w:val="0"/>
      <w:marTop w:val="0"/>
      <w:marBottom w:val="0"/>
      <w:divBdr>
        <w:top w:val="none" w:sz="0" w:space="0" w:color="auto"/>
        <w:left w:val="none" w:sz="0" w:space="0" w:color="auto"/>
        <w:bottom w:val="none" w:sz="0" w:space="0" w:color="auto"/>
        <w:right w:val="none" w:sz="0" w:space="0" w:color="auto"/>
      </w:divBdr>
    </w:div>
    <w:div w:id="157305101">
      <w:bodyDiv w:val="1"/>
      <w:marLeft w:val="0"/>
      <w:marRight w:val="0"/>
      <w:marTop w:val="0"/>
      <w:marBottom w:val="0"/>
      <w:divBdr>
        <w:top w:val="none" w:sz="0" w:space="0" w:color="auto"/>
        <w:left w:val="none" w:sz="0" w:space="0" w:color="auto"/>
        <w:bottom w:val="none" w:sz="0" w:space="0" w:color="auto"/>
        <w:right w:val="none" w:sz="0" w:space="0" w:color="auto"/>
      </w:divBdr>
    </w:div>
    <w:div w:id="158816231">
      <w:bodyDiv w:val="1"/>
      <w:marLeft w:val="0"/>
      <w:marRight w:val="0"/>
      <w:marTop w:val="0"/>
      <w:marBottom w:val="0"/>
      <w:divBdr>
        <w:top w:val="none" w:sz="0" w:space="0" w:color="auto"/>
        <w:left w:val="none" w:sz="0" w:space="0" w:color="auto"/>
        <w:bottom w:val="none" w:sz="0" w:space="0" w:color="auto"/>
        <w:right w:val="none" w:sz="0" w:space="0" w:color="auto"/>
      </w:divBdr>
    </w:div>
    <w:div w:id="194857086">
      <w:bodyDiv w:val="1"/>
      <w:marLeft w:val="0"/>
      <w:marRight w:val="0"/>
      <w:marTop w:val="0"/>
      <w:marBottom w:val="0"/>
      <w:divBdr>
        <w:top w:val="none" w:sz="0" w:space="0" w:color="auto"/>
        <w:left w:val="none" w:sz="0" w:space="0" w:color="auto"/>
        <w:bottom w:val="none" w:sz="0" w:space="0" w:color="auto"/>
        <w:right w:val="none" w:sz="0" w:space="0" w:color="auto"/>
      </w:divBdr>
    </w:div>
    <w:div w:id="198471659">
      <w:bodyDiv w:val="1"/>
      <w:marLeft w:val="0"/>
      <w:marRight w:val="0"/>
      <w:marTop w:val="0"/>
      <w:marBottom w:val="0"/>
      <w:divBdr>
        <w:top w:val="none" w:sz="0" w:space="0" w:color="auto"/>
        <w:left w:val="none" w:sz="0" w:space="0" w:color="auto"/>
        <w:bottom w:val="none" w:sz="0" w:space="0" w:color="auto"/>
        <w:right w:val="none" w:sz="0" w:space="0" w:color="auto"/>
      </w:divBdr>
    </w:div>
    <w:div w:id="212205886">
      <w:bodyDiv w:val="1"/>
      <w:marLeft w:val="0"/>
      <w:marRight w:val="0"/>
      <w:marTop w:val="0"/>
      <w:marBottom w:val="0"/>
      <w:divBdr>
        <w:top w:val="none" w:sz="0" w:space="0" w:color="auto"/>
        <w:left w:val="none" w:sz="0" w:space="0" w:color="auto"/>
        <w:bottom w:val="none" w:sz="0" w:space="0" w:color="auto"/>
        <w:right w:val="none" w:sz="0" w:space="0" w:color="auto"/>
      </w:divBdr>
      <w:divsChild>
        <w:div w:id="90972366">
          <w:marLeft w:val="0"/>
          <w:marRight w:val="0"/>
          <w:marTop w:val="0"/>
          <w:marBottom w:val="0"/>
          <w:divBdr>
            <w:top w:val="none" w:sz="0" w:space="0" w:color="auto"/>
            <w:left w:val="none" w:sz="0" w:space="0" w:color="auto"/>
            <w:bottom w:val="none" w:sz="0" w:space="0" w:color="auto"/>
            <w:right w:val="none" w:sz="0" w:space="0" w:color="auto"/>
          </w:divBdr>
          <w:divsChild>
            <w:div w:id="180931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8055">
      <w:bodyDiv w:val="1"/>
      <w:marLeft w:val="0"/>
      <w:marRight w:val="0"/>
      <w:marTop w:val="0"/>
      <w:marBottom w:val="0"/>
      <w:divBdr>
        <w:top w:val="none" w:sz="0" w:space="0" w:color="auto"/>
        <w:left w:val="none" w:sz="0" w:space="0" w:color="auto"/>
        <w:bottom w:val="none" w:sz="0" w:space="0" w:color="auto"/>
        <w:right w:val="none" w:sz="0" w:space="0" w:color="auto"/>
      </w:divBdr>
    </w:div>
    <w:div w:id="283081142">
      <w:bodyDiv w:val="1"/>
      <w:marLeft w:val="0"/>
      <w:marRight w:val="0"/>
      <w:marTop w:val="0"/>
      <w:marBottom w:val="0"/>
      <w:divBdr>
        <w:top w:val="none" w:sz="0" w:space="0" w:color="auto"/>
        <w:left w:val="none" w:sz="0" w:space="0" w:color="auto"/>
        <w:bottom w:val="none" w:sz="0" w:space="0" w:color="auto"/>
        <w:right w:val="none" w:sz="0" w:space="0" w:color="auto"/>
      </w:divBdr>
    </w:div>
    <w:div w:id="340007103">
      <w:bodyDiv w:val="1"/>
      <w:marLeft w:val="0"/>
      <w:marRight w:val="0"/>
      <w:marTop w:val="0"/>
      <w:marBottom w:val="0"/>
      <w:divBdr>
        <w:top w:val="none" w:sz="0" w:space="0" w:color="auto"/>
        <w:left w:val="none" w:sz="0" w:space="0" w:color="auto"/>
        <w:bottom w:val="none" w:sz="0" w:space="0" w:color="auto"/>
        <w:right w:val="none" w:sz="0" w:space="0" w:color="auto"/>
      </w:divBdr>
    </w:div>
    <w:div w:id="358556903">
      <w:bodyDiv w:val="1"/>
      <w:marLeft w:val="0"/>
      <w:marRight w:val="0"/>
      <w:marTop w:val="0"/>
      <w:marBottom w:val="0"/>
      <w:divBdr>
        <w:top w:val="none" w:sz="0" w:space="0" w:color="auto"/>
        <w:left w:val="none" w:sz="0" w:space="0" w:color="auto"/>
        <w:bottom w:val="none" w:sz="0" w:space="0" w:color="auto"/>
        <w:right w:val="none" w:sz="0" w:space="0" w:color="auto"/>
      </w:divBdr>
    </w:div>
    <w:div w:id="421222019">
      <w:bodyDiv w:val="1"/>
      <w:marLeft w:val="0"/>
      <w:marRight w:val="0"/>
      <w:marTop w:val="0"/>
      <w:marBottom w:val="0"/>
      <w:divBdr>
        <w:top w:val="none" w:sz="0" w:space="0" w:color="auto"/>
        <w:left w:val="none" w:sz="0" w:space="0" w:color="auto"/>
        <w:bottom w:val="none" w:sz="0" w:space="0" w:color="auto"/>
        <w:right w:val="none" w:sz="0" w:space="0" w:color="auto"/>
      </w:divBdr>
    </w:div>
    <w:div w:id="440346249">
      <w:bodyDiv w:val="1"/>
      <w:marLeft w:val="0"/>
      <w:marRight w:val="0"/>
      <w:marTop w:val="0"/>
      <w:marBottom w:val="0"/>
      <w:divBdr>
        <w:top w:val="none" w:sz="0" w:space="0" w:color="auto"/>
        <w:left w:val="none" w:sz="0" w:space="0" w:color="auto"/>
        <w:bottom w:val="none" w:sz="0" w:space="0" w:color="auto"/>
        <w:right w:val="none" w:sz="0" w:space="0" w:color="auto"/>
      </w:divBdr>
    </w:div>
    <w:div w:id="441732500">
      <w:bodyDiv w:val="1"/>
      <w:marLeft w:val="0"/>
      <w:marRight w:val="0"/>
      <w:marTop w:val="0"/>
      <w:marBottom w:val="0"/>
      <w:divBdr>
        <w:top w:val="none" w:sz="0" w:space="0" w:color="auto"/>
        <w:left w:val="none" w:sz="0" w:space="0" w:color="auto"/>
        <w:bottom w:val="none" w:sz="0" w:space="0" w:color="auto"/>
        <w:right w:val="none" w:sz="0" w:space="0" w:color="auto"/>
      </w:divBdr>
      <w:divsChild>
        <w:div w:id="860316299">
          <w:marLeft w:val="0"/>
          <w:marRight w:val="0"/>
          <w:marTop w:val="0"/>
          <w:marBottom w:val="0"/>
          <w:divBdr>
            <w:top w:val="none" w:sz="0" w:space="0" w:color="auto"/>
            <w:left w:val="none" w:sz="0" w:space="0" w:color="auto"/>
            <w:bottom w:val="none" w:sz="0" w:space="0" w:color="auto"/>
            <w:right w:val="none" w:sz="0" w:space="0" w:color="auto"/>
          </w:divBdr>
          <w:divsChild>
            <w:div w:id="195251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234550">
      <w:bodyDiv w:val="1"/>
      <w:marLeft w:val="0"/>
      <w:marRight w:val="0"/>
      <w:marTop w:val="0"/>
      <w:marBottom w:val="0"/>
      <w:divBdr>
        <w:top w:val="none" w:sz="0" w:space="0" w:color="auto"/>
        <w:left w:val="none" w:sz="0" w:space="0" w:color="auto"/>
        <w:bottom w:val="none" w:sz="0" w:space="0" w:color="auto"/>
        <w:right w:val="none" w:sz="0" w:space="0" w:color="auto"/>
      </w:divBdr>
      <w:divsChild>
        <w:div w:id="1001615185">
          <w:marLeft w:val="0"/>
          <w:marRight w:val="0"/>
          <w:marTop w:val="0"/>
          <w:marBottom w:val="0"/>
          <w:divBdr>
            <w:top w:val="none" w:sz="0" w:space="0" w:color="auto"/>
            <w:left w:val="none" w:sz="0" w:space="0" w:color="auto"/>
            <w:bottom w:val="none" w:sz="0" w:space="0" w:color="auto"/>
            <w:right w:val="none" w:sz="0" w:space="0" w:color="auto"/>
          </w:divBdr>
          <w:divsChild>
            <w:div w:id="192252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85569">
      <w:bodyDiv w:val="1"/>
      <w:marLeft w:val="0"/>
      <w:marRight w:val="0"/>
      <w:marTop w:val="0"/>
      <w:marBottom w:val="0"/>
      <w:divBdr>
        <w:top w:val="none" w:sz="0" w:space="0" w:color="auto"/>
        <w:left w:val="none" w:sz="0" w:space="0" w:color="auto"/>
        <w:bottom w:val="none" w:sz="0" w:space="0" w:color="auto"/>
        <w:right w:val="none" w:sz="0" w:space="0" w:color="auto"/>
      </w:divBdr>
    </w:div>
    <w:div w:id="458181382">
      <w:bodyDiv w:val="1"/>
      <w:marLeft w:val="0"/>
      <w:marRight w:val="0"/>
      <w:marTop w:val="0"/>
      <w:marBottom w:val="0"/>
      <w:divBdr>
        <w:top w:val="none" w:sz="0" w:space="0" w:color="auto"/>
        <w:left w:val="none" w:sz="0" w:space="0" w:color="auto"/>
        <w:bottom w:val="none" w:sz="0" w:space="0" w:color="auto"/>
        <w:right w:val="none" w:sz="0" w:space="0" w:color="auto"/>
      </w:divBdr>
    </w:div>
    <w:div w:id="465389089">
      <w:bodyDiv w:val="1"/>
      <w:marLeft w:val="0"/>
      <w:marRight w:val="0"/>
      <w:marTop w:val="0"/>
      <w:marBottom w:val="0"/>
      <w:divBdr>
        <w:top w:val="none" w:sz="0" w:space="0" w:color="auto"/>
        <w:left w:val="none" w:sz="0" w:space="0" w:color="auto"/>
        <w:bottom w:val="none" w:sz="0" w:space="0" w:color="auto"/>
        <w:right w:val="none" w:sz="0" w:space="0" w:color="auto"/>
      </w:divBdr>
    </w:div>
    <w:div w:id="465900848">
      <w:bodyDiv w:val="1"/>
      <w:marLeft w:val="0"/>
      <w:marRight w:val="0"/>
      <w:marTop w:val="0"/>
      <w:marBottom w:val="0"/>
      <w:divBdr>
        <w:top w:val="none" w:sz="0" w:space="0" w:color="auto"/>
        <w:left w:val="none" w:sz="0" w:space="0" w:color="auto"/>
        <w:bottom w:val="none" w:sz="0" w:space="0" w:color="auto"/>
        <w:right w:val="none" w:sz="0" w:space="0" w:color="auto"/>
      </w:divBdr>
    </w:div>
    <w:div w:id="471026884">
      <w:bodyDiv w:val="1"/>
      <w:marLeft w:val="0"/>
      <w:marRight w:val="0"/>
      <w:marTop w:val="0"/>
      <w:marBottom w:val="0"/>
      <w:divBdr>
        <w:top w:val="none" w:sz="0" w:space="0" w:color="auto"/>
        <w:left w:val="none" w:sz="0" w:space="0" w:color="auto"/>
        <w:bottom w:val="none" w:sz="0" w:space="0" w:color="auto"/>
        <w:right w:val="none" w:sz="0" w:space="0" w:color="auto"/>
      </w:divBdr>
      <w:divsChild>
        <w:div w:id="933368280">
          <w:marLeft w:val="0"/>
          <w:marRight w:val="0"/>
          <w:marTop w:val="0"/>
          <w:marBottom w:val="0"/>
          <w:divBdr>
            <w:top w:val="none" w:sz="0" w:space="0" w:color="auto"/>
            <w:left w:val="none" w:sz="0" w:space="0" w:color="auto"/>
            <w:bottom w:val="none" w:sz="0" w:space="0" w:color="auto"/>
            <w:right w:val="none" w:sz="0" w:space="0" w:color="auto"/>
          </w:divBdr>
          <w:divsChild>
            <w:div w:id="141527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26194">
      <w:bodyDiv w:val="1"/>
      <w:marLeft w:val="0"/>
      <w:marRight w:val="0"/>
      <w:marTop w:val="0"/>
      <w:marBottom w:val="0"/>
      <w:divBdr>
        <w:top w:val="none" w:sz="0" w:space="0" w:color="auto"/>
        <w:left w:val="none" w:sz="0" w:space="0" w:color="auto"/>
        <w:bottom w:val="none" w:sz="0" w:space="0" w:color="auto"/>
        <w:right w:val="none" w:sz="0" w:space="0" w:color="auto"/>
      </w:divBdr>
    </w:div>
    <w:div w:id="476458948">
      <w:bodyDiv w:val="1"/>
      <w:marLeft w:val="0"/>
      <w:marRight w:val="0"/>
      <w:marTop w:val="0"/>
      <w:marBottom w:val="0"/>
      <w:divBdr>
        <w:top w:val="none" w:sz="0" w:space="0" w:color="auto"/>
        <w:left w:val="none" w:sz="0" w:space="0" w:color="auto"/>
        <w:bottom w:val="none" w:sz="0" w:space="0" w:color="auto"/>
        <w:right w:val="none" w:sz="0" w:space="0" w:color="auto"/>
      </w:divBdr>
    </w:div>
    <w:div w:id="484125049">
      <w:bodyDiv w:val="1"/>
      <w:marLeft w:val="0"/>
      <w:marRight w:val="0"/>
      <w:marTop w:val="0"/>
      <w:marBottom w:val="0"/>
      <w:divBdr>
        <w:top w:val="none" w:sz="0" w:space="0" w:color="auto"/>
        <w:left w:val="none" w:sz="0" w:space="0" w:color="auto"/>
        <w:bottom w:val="none" w:sz="0" w:space="0" w:color="auto"/>
        <w:right w:val="none" w:sz="0" w:space="0" w:color="auto"/>
      </w:divBdr>
      <w:divsChild>
        <w:div w:id="702512634">
          <w:marLeft w:val="0"/>
          <w:marRight w:val="0"/>
          <w:marTop w:val="0"/>
          <w:marBottom w:val="0"/>
          <w:divBdr>
            <w:top w:val="none" w:sz="0" w:space="0" w:color="auto"/>
            <w:left w:val="none" w:sz="0" w:space="0" w:color="auto"/>
            <w:bottom w:val="none" w:sz="0" w:space="0" w:color="auto"/>
            <w:right w:val="none" w:sz="0" w:space="0" w:color="auto"/>
          </w:divBdr>
          <w:divsChild>
            <w:div w:id="17157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1716">
      <w:bodyDiv w:val="1"/>
      <w:marLeft w:val="0"/>
      <w:marRight w:val="0"/>
      <w:marTop w:val="0"/>
      <w:marBottom w:val="0"/>
      <w:divBdr>
        <w:top w:val="none" w:sz="0" w:space="0" w:color="auto"/>
        <w:left w:val="none" w:sz="0" w:space="0" w:color="auto"/>
        <w:bottom w:val="none" w:sz="0" w:space="0" w:color="auto"/>
        <w:right w:val="none" w:sz="0" w:space="0" w:color="auto"/>
      </w:divBdr>
      <w:divsChild>
        <w:div w:id="2080638557">
          <w:marLeft w:val="0"/>
          <w:marRight w:val="0"/>
          <w:marTop w:val="0"/>
          <w:marBottom w:val="0"/>
          <w:divBdr>
            <w:top w:val="none" w:sz="0" w:space="0" w:color="auto"/>
            <w:left w:val="none" w:sz="0" w:space="0" w:color="auto"/>
            <w:bottom w:val="none" w:sz="0" w:space="0" w:color="auto"/>
            <w:right w:val="none" w:sz="0" w:space="0" w:color="auto"/>
          </w:divBdr>
          <w:divsChild>
            <w:div w:id="186720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755437">
      <w:bodyDiv w:val="1"/>
      <w:marLeft w:val="0"/>
      <w:marRight w:val="0"/>
      <w:marTop w:val="0"/>
      <w:marBottom w:val="0"/>
      <w:divBdr>
        <w:top w:val="none" w:sz="0" w:space="0" w:color="auto"/>
        <w:left w:val="none" w:sz="0" w:space="0" w:color="auto"/>
        <w:bottom w:val="none" w:sz="0" w:space="0" w:color="auto"/>
        <w:right w:val="none" w:sz="0" w:space="0" w:color="auto"/>
      </w:divBdr>
    </w:div>
    <w:div w:id="506331935">
      <w:bodyDiv w:val="1"/>
      <w:marLeft w:val="0"/>
      <w:marRight w:val="0"/>
      <w:marTop w:val="0"/>
      <w:marBottom w:val="0"/>
      <w:divBdr>
        <w:top w:val="none" w:sz="0" w:space="0" w:color="auto"/>
        <w:left w:val="none" w:sz="0" w:space="0" w:color="auto"/>
        <w:bottom w:val="none" w:sz="0" w:space="0" w:color="auto"/>
        <w:right w:val="none" w:sz="0" w:space="0" w:color="auto"/>
      </w:divBdr>
    </w:div>
    <w:div w:id="511528244">
      <w:bodyDiv w:val="1"/>
      <w:marLeft w:val="0"/>
      <w:marRight w:val="0"/>
      <w:marTop w:val="0"/>
      <w:marBottom w:val="0"/>
      <w:divBdr>
        <w:top w:val="none" w:sz="0" w:space="0" w:color="auto"/>
        <w:left w:val="none" w:sz="0" w:space="0" w:color="auto"/>
        <w:bottom w:val="none" w:sz="0" w:space="0" w:color="auto"/>
        <w:right w:val="none" w:sz="0" w:space="0" w:color="auto"/>
      </w:divBdr>
      <w:divsChild>
        <w:div w:id="949167287">
          <w:marLeft w:val="0"/>
          <w:marRight w:val="0"/>
          <w:marTop w:val="0"/>
          <w:marBottom w:val="30"/>
          <w:divBdr>
            <w:top w:val="none" w:sz="0" w:space="0" w:color="auto"/>
            <w:left w:val="none" w:sz="0" w:space="0" w:color="auto"/>
            <w:bottom w:val="none" w:sz="0" w:space="0" w:color="auto"/>
            <w:right w:val="none" w:sz="0" w:space="0" w:color="auto"/>
          </w:divBdr>
        </w:div>
      </w:divsChild>
    </w:div>
    <w:div w:id="539048847">
      <w:bodyDiv w:val="1"/>
      <w:marLeft w:val="0"/>
      <w:marRight w:val="0"/>
      <w:marTop w:val="0"/>
      <w:marBottom w:val="0"/>
      <w:divBdr>
        <w:top w:val="none" w:sz="0" w:space="0" w:color="auto"/>
        <w:left w:val="none" w:sz="0" w:space="0" w:color="auto"/>
        <w:bottom w:val="none" w:sz="0" w:space="0" w:color="auto"/>
        <w:right w:val="none" w:sz="0" w:space="0" w:color="auto"/>
      </w:divBdr>
    </w:div>
    <w:div w:id="550463560">
      <w:bodyDiv w:val="1"/>
      <w:marLeft w:val="0"/>
      <w:marRight w:val="0"/>
      <w:marTop w:val="0"/>
      <w:marBottom w:val="0"/>
      <w:divBdr>
        <w:top w:val="none" w:sz="0" w:space="0" w:color="auto"/>
        <w:left w:val="none" w:sz="0" w:space="0" w:color="auto"/>
        <w:bottom w:val="none" w:sz="0" w:space="0" w:color="auto"/>
        <w:right w:val="none" w:sz="0" w:space="0" w:color="auto"/>
      </w:divBdr>
      <w:divsChild>
        <w:div w:id="17196897">
          <w:marLeft w:val="0"/>
          <w:marRight w:val="0"/>
          <w:marTop w:val="0"/>
          <w:marBottom w:val="0"/>
          <w:divBdr>
            <w:top w:val="none" w:sz="0" w:space="0" w:color="auto"/>
            <w:left w:val="none" w:sz="0" w:space="0" w:color="auto"/>
            <w:bottom w:val="none" w:sz="0" w:space="0" w:color="auto"/>
            <w:right w:val="none" w:sz="0" w:space="0" w:color="auto"/>
          </w:divBdr>
          <w:divsChild>
            <w:div w:id="193130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884449">
      <w:bodyDiv w:val="1"/>
      <w:marLeft w:val="0"/>
      <w:marRight w:val="0"/>
      <w:marTop w:val="0"/>
      <w:marBottom w:val="0"/>
      <w:divBdr>
        <w:top w:val="none" w:sz="0" w:space="0" w:color="auto"/>
        <w:left w:val="none" w:sz="0" w:space="0" w:color="auto"/>
        <w:bottom w:val="none" w:sz="0" w:space="0" w:color="auto"/>
        <w:right w:val="none" w:sz="0" w:space="0" w:color="auto"/>
      </w:divBdr>
    </w:div>
    <w:div w:id="574900454">
      <w:bodyDiv w:val="1"/>
      <w:marLeft w:val="0"/>
      <w:marRight w:val="0"/>
      <w:marTop w:val="0"/>
      <w:marBottom w:val="0"/>
      <w:divBdr>
        <w:top w:val="none" w:sz="0" w:space="0" w:color="auto"/>
        <w:left w:val="none" w:sz="0" w:space="0" w:color="auto"/>
        <w:bottom w:val="none" w:sz="0" w:space="0" w:color="auto"/>
        <w:right w:val="none" w:sz="0" w:space="0" w:color="auto"/>
      </w:divBdr>
    </w:div>
    <w:div w:id="581835382">
      <w:bodyDiv w:val="1"/>
      <w:marLeft w:val="0"/>
      <w:marRight w:val="0"/>
      <w:marTop w:val="0"/>
      <w:marBottom w:val="0"/>
      <w:divBdr>
        <w:top w:val="none" w:sz="0" w:space="0" w:color="auto"/>
        <w:left w:val="none" w:sz="0" w:space="0" w:color="auto"/>
        <w:bottom w:val="none" w:sz="0" w:space="0" w:color="auto"/>
        <w:right w:val="none" w:sz="0" w:space="0" w:color="auto"/>
      </w:divBdr>
    </w:div>
    <w:div w:id="586770790">
      <w:bodyDiv w:val="1"/>
      <w:marLeft w:val="0"/>
      <w:marRight w:val="0"/>
      <w:marTop w:val="0"/>
      <w:marBottom w:val="0"/>
      <w:divBdr>
        <w:top w:val="none" w:sz="0" w:space="0" w:color="auto"/>
        <w:left w:val="none" w:sz="0" w:space="0" w:color="auto"/>
        <w:bottom w:val="none" w:sz="0" w:space="0" w:color="auto"/>
        <w:right w:val="none" w:sz="0" w:space="0" w:color="auto"/>
      </w:divBdr>
      <w:divsChild>
        <w:div w:id="1205021603">
          <w:marLeft w:val="0"/>
          <w:marRight w:val="0"/>
          <w:marTop w:val="0"/>
          <w:marBottom w:val="0"/>
          <w:divBdr>
            <w:top w:val="none" w:sz="0" w:space="0" w:color="auto"/>
            <w:left w:val="none" w:sz="0" w:space="0" w:color="auto"/>
            <w:bottom w:val="none" w:sz="0" w:space="0" w:color="auto"/>
            <w:right w:val="none" w:sz="0" w:space="0" w:color="auto"/>
          </w:divBdr>
          <w:divsChild>
            <w:div w:id="127686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85237">
      <w:bodyDiv w:val="1"/>
      <w:marLeft w:val="0"/>
      <w:marRight w:val="0"/>
      <w:marTop w:val="0"/>
      <w:marBottom w:val="0"/>
      <w:divBdr>
        <w:top w:val="none" w:sz="0" w:space="0" w:color="auto"/>
        <w:left w:val="none" w:sz="0" w:space="0" w:color="auto"/>
        <w:bottom w:val="none" w:sz="0" w:space="0" w:color="auto"/>
        <w:right w:val="none" w:sz="0" w:space="0" w:color="auto"/>
      </w:divBdr>
      <w:divsChild>
        <w:div w:id="144589769">
          <w:marLeft w:val="0"/>
          <w:marRight w:val="0"/>
          <w:marTop w:val="0"/>
          <w:marBottom w:val="0"/>
          <w:divBdr>
            <w:top w:val="none" w:sz="0" w:space="0" w:color="auto"/>
            <w:left w:val="none" w:sz="0" w:space="0" w:color="auto"/>
            <w:bottom w:val="none" w:sz="0" w:space="0" w:color="auto"/>
            <w:right w:val="none" w:sz="0" w:space="0" w:color="auto"/>
          </w:divBdr>
        </w:div>
      </w:divsChild>
    </w:div>
    <w:div w:id="617446042">
      <w:bodyDiv w:val="1"/>
      <w:marLeft w:val="0"/>
      <w:marRight w:val="0"/>
      <w:marTop w:val="0"/>
      <w:marBottom w:val="0"/>
      <w:divBdr>
        <w:top w:val="none" w:sz="0" w:space="0" w:color="auto"/>
        <w:left w:val="none" w:sz="0" w:space="0" w:color="auto"/>
        <w:bottom w:val="none" w:sz="0" w:space="0" w:color="auto"/>
        <w:right w:val="none" w:sz="0" w:space="0" w:color="auto"/>
      </w:divBdr>
    </w:div>
    <w:div w:id="630672274">
      <w:bodyDiv w:val="1"/>
      <w:marLeft w:val="0"/>
      <w:marRight w:val="0"/>
      <w:marTop w:val="0"/>
      <w:marBottom w:val="0"/>
      <w:divBdr>
        <w:top w:val="none" w:sz="0" w:space="0" w:color="auto"/>
        <w:left w:val="none" w:sz="0" w:space="0" w:color="auto"/>
        <w:bottom w:val="none" w:sz="0" w:space="0" w:color="auto"/>
        <w:right w:val="none" w:sz="0" w:space="0" w:color="auto"/>
      </w:divBdr>
    </w:div>
    <w:div w:id="652220127">
      <w:bodyDiv w:val="1"/>
      <w:marLeft w:val="0"/>
      <w:marRight w:val="0"/>
      <w:marTop w:val="0"/>
      <w:marBottom w:val="0"/>
      <w:divBdr>
        <w:top w:val="none" w:sz="0" w:space="0" w:color="auto"/>
        <w:left w:val="none" w:sz="0" w:space="0" w:color="auto"/>
        <w:bottom w:val="none" w:sz="0" w:space="0" w:color="auto"/>
        <w:right w:val="none" w:sz="0" w:space="0" w:color="auto"/>
      </w:divBdr>
      <w:divsChild>
        <w:div w:id="137188949">
          <w:marLeft w:val="0"/>
          <w:marRight w:val="0"/>
          <w:marTop w:val="0"/>
          <w:marBottom w:val="0"/>
          <w:divBdr>
            <w:top w:val="none" w:sz="0" w:space="0" w:color="auto"/>
            <w:left w:val="none" w:sz="0" w:space="0" w:color="auto"/>
            <w:bottom w:val="none" w:sz="0" w:space="0" w:color="auto"/>
            <w:right w:val="none" w:sz="0" w:space="0" w:color="auto"/>
          </w:divBdr>
          <w:divsChild>
            <w:div w:id="148022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79444">
      <w:bodyDiv w:val="1"/>
      <w:marLeft w:val="0"/>
      <w:marRight w:val="0"/>
      <w:marTop w:val="0"/>
      <w:marBottom w:val="0"/>
      <w:divBdr>
        <w:top w:val="none" w:sz="0" w:space="0" w:color="auto"/>
        <w:left w:val="none" w:sz="0" w:space="0" w:color="auto"/>
        <w:bottom w:val="none" w:sz="0" w:space="0" w:color="auto"/>
        <w:right w:val="none" w:sz="0" w:space="0" w:color="auto"/>
      </w:divBdr>
      <w:divsChild>
        <w:div w:id="1882084292">
          <w:marLeft w:val="0"/>
          <w:marRight w:val="0"/>
          <w:marTop w:val="0"/>
          <w:marBottom w:val="0"/>
          <w:divBdr>
            <w:top w:val="none" w:sz="0" w:space="0" w:color="auto"/>
            <w:left w:val="none" w:sz="0" w:space="0" w:color="auto"/>
            <w:bottom w:val="none" w:sz="0" w:space="0" w:color="auto"/>
            <w:right w:val="none" w:sz="0" w:space="0" w:color="auto"/>
          </w:divBdr>
          <w:divsChild>
            <w:div w:id="118655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066700">
      <w:bodyDiv w:val="1"/>
      <w:marLeft w:val="0"/>
      <w:marRight w:val="0"/>
      <w:marTop w:val="0"/>
      <w:marBottom w:val="0"/>
      <w:divBdr>
        <w:top w:val="none" w:sz="0" w:space="0" w:color="auto"/>
        <w:left w:val="none" w:sz="0" w:space="0" w:color="auto"/>
        <w:bottom w:val="none" w:sz="0" w:space="0" w:color="auto"/>
        <w:right w:val="none" w:sz="0" w:space="0" w:color="auto"/>
      </w:divBdr>
    </w:div>
    <w:div w:id="679548423">
      <w:bodyDiv w:val="1"/>
      <w:marLeft w:val="0"/>
      <w:marRight w:val="0"/>
      <w:marTop w:val="0"/>
      <w:marBottom w:val="0"/>
      <w:divBdr>
        <w:top w:val="none" w:sz="0" w:space="0" w:color="auto"/>
        <w:left w:val="none" w:sz="0" w:space="0" w:color="auto"/>
        <w:bottom w:val="none" w:sz="0" w:space="0" w:color="auto"/>
        <w:right w:val="none" w:sz="0" w:space="0" w:color="auto"/>
      </w:divBdr>
    </w:div>
    <w:div w:id="682785439">
      <w:bodyDiv w:val="1"/>
      <w:marLeft w:val="0"/>
      <w:marRight w:val="0"/>
      <w:marTop w:val="0"/>
      <w:marBottom w:val="0"/>
      <w:divBdr>
        <w:top w:val="none" w:sz="0" w:space="0" w:color="auto"/>
        <w:left w:val="none" w:sz="0" w:space="0" w:color="auto"/>
        <w:bottom w:val="none" w:sz="0" w:space="0" w:color="auto"/>
        <w:right w:val="none" w:sz="0" w:space="0" w:color="auto"/>
      </w:divBdr>
      <w:divsChild>
        <w:div w:id="984240782">
          <w:marLeft w:val="0"/>
          <w:marRight w:val="0"/>
          <w:marTop w:val="0"/>
          <w:marBottom w:val="0"/>
          <w:divBdr>
            <w:top w:val="none" w:sz="0" w:space="0" w:color="auto"/>
            <w:left w:val="none" w:sz="0" w:space="0" w:color="auto"/>
            <w:bottom w:val="none" w:sz="0" w:space="0" w:color="auto"/>
            <w:right w:val="none" w:sz="0" w:space="0" w:color="auto"/>
          </w:divBdr>
          <w:divsChild>
            <w:div w:id="19247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652">
      <w:bodyDiv w:val="1"/>
      <w:marLeft w:val="0"/>
      <w:marRight w:val="0"/>
      <w:marTop w:val="0"/>
      <w:marBottom w:val="0"/>
      <w:divBdr>
        <w:top w:val="none" w:sz="0" w:space="0" w:color="auto"/>
        <w:left w:val="none" w:sz="0" w:space="0" w:color="auto"/>
        <w:bottom w:val="none" w:sz="0" w:space="0" w:color="auto"/>
        <w:right w:val="none" w:sz="0" w:space="0" w:color="auto"/>
      </w:divBdr>
      <w:divsChild>
        <w:div w:id="1059593579">
          <w:marLeft w:val="0"/>
          <w:marRight w:val="0"/>
          <w:marTop w:val="0"/>
          <w:marBottom w:val="0"/>
          <w:divBdr>
            <w:top w:val="none" w:sz="0" w:space="0" w:color="auto"/>
            <w:left w:val="none" w:sz="0" w:space="0" w:color="auto"/>
            <w:bottom w:val="none" w:sz="0" w:space="0" w:color="auto"/>
            <w:right w:val="none" w:sz="0" w:space="0" w:color="auto"/>
          </w:divBdr>
        </w:div>
      </w:divsChild>
    </w:div>
    <w:div w:id="744691024">
      <w:bodyDiv w:val="1"/>
      <w:marLeft w:val="0"/>
      <w:marRight w:val="0"/>
      <w:marTop w:val="0"/>
      <w:marBottom w:val="0"/>
      <w:divBdr>
        <w:top w:val="none" w:sz="0" w:space="0" w:color="auto"/>
        <w:left w:val="none" w:sz="0" w:space="0" w:color="auto"/>
        <w:bottom w:val="none" w:sz="0" w:space="0" w:color="auto"/>
        <w:right w:val="none" w:sz="0" w:space="0" w:color="auto"/>
      </w:divBdr>
    </w:div>
    <w:div w:id="772821651">
      <w:bodyDiv w:val="1"/>
      <w:marLeft w:val="0"/>
      <w:marRight w:val="0"/>
      <w:marTop w:val="0"/>
      <w:marBottom w:val="0"/>
      <w:divBdr>
        <w:top w:val="none" w:sz="0" w:space="0" w:color="auto"/>
        <w:left w:val="none" w:sz="0" w:space="0" w:color="auto"/>
        <w:bottom w:val="none" w:sz="0" w:space="0" w:color="auto"/>
        <w:right w:val="none" w:sz="0" w:space="0" w:color="auto"/>
      </w:divBdr>
    </w:div>
    <w:div w:id="773401606">
      <w:bodyDiv w:val="1"/>
      <w:marLeft w:val="0"/>
      <w:marRight w:val="0"/>
      <w:marTop w:val="0"/>
      <w:marBottom w:val="0"/>
      <w:divBdr>
        <w:top w:val="none" w:sz="0" w:space="0" w:color="auto"/>
        <w:left w:val="none" w:sz="0" w:space="0" w:color="auto"/>
        <w:bottom w:val="none" w:sz="0" w:space="0" w:color="auto"/>
        <w:right w:val="none" w:sz="0" w:space="0" w:color="auto"/>
      </w:divBdr>
      <w:divsChild>
        <w:div w:id="2069528005">
          <w:marLeft w:val="0"/>
          <w:marRight w:val="0"/>
          <w:marTop w:val="0"/>
          <w:marBottom w:val="0"/>
          <w:divBdr>
            <w:top w:val="none" w:sz="0" w:space="0" w:color="auto"/>
            <w:left w:val="none" w:sz="0" w:space="0" w:color="auto"/>
            <w:bottom w:val="none" w:sz="0" w:space="0" w:color="auto"/>
            <w:right w:val="none" w:sz="0" w:space="0" w:color="auto"/>
          </w:divBdr>
          <w:divsChild>
            <w:div w:id="184058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76920">
      <w:bodyDiv w:val="1"/>
      <w:marLeft w:val="0"/>
      <w:marRight w:val="0"/>
      <w:marTop w:val="0"/>
      <w:marBottom w:val="0"/>
      <w:divBdr>
        <w:top w:val="none" w:sz="0" w:space="0" w:color="auto"/>
        <w:left w:val="none" w:sz="0" w:space="0" w:color="auto"/>
        <w:bottom w:val="none" w:sz="0" w:space="0" w:color="auto"/>
        <w:right w:val="none" w:sz="0" w:space="0" w:color="auto"/>
      </w:divBdr>
      <w:divsChild>
        <w:div w:id="641426760">
          <w:marLeft w:val="0"/>
          <w:marRight w:val="0"/>
          <w:marTop w:val="0"/>
          <w:marBottom w:val="0"/>
          <w:divBdr>
            <w:top w:val="none" w:sz="0" w:space="0" w:color="auto"/>
            <w:left w:val="none" w:sz="0" w:space="0" w:color="auto"/>
            <w:bottom w:val="none" w:sz="0" w:space="0" w:color="auto"/>
            <w:right w:val="none" w:sz="0" w:space="0" w:color="auto"/>
          </w:divBdr>
          <w:divsChild>
            <w:div w:id="99680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2419">
      <w:bodyDiv w:val="1"/>
      <w:marLeft w:val="0"/>
      <w:marRight w:val="0"/>
      <w:marTop w:val="0"/>
      <w:marBottom w:val="0"/>
      <w:divBdr>
        <w:top w:val="none" w:sz="0" w:space="0" w:color="auto"/>
        <w:left w:val="none" w:sz="0" w:space="0" w:color="auto"/>
        <w:bottom w:val="none" w:sz="0" w:space="0" w:color="auto"/>
        <w:right w:val="none" w:sz="0" w:space="0" w:color="auto"/>
      </w:divBdr>
      <w:divsChild>
        <w:div w:id="772823027">
          <w:marLeft w:val="0"/>
          <w:marRight w:val="0"/>
          <w:marTop w:val="0"/>
          <w:marBottom w:val="0"/>
          <w:divBdr>
            <w:top w:val="none" w:sz="0" w:space="0" w:color="auto"/>
            <w:left w:val="none" w:sz="0" w:space="0" w:color="auto"/>
            <w:bottom w:val="none" w:sz="0" w:space="0" w:color="auto"/>
            <w:right w:val="none" w:sz="0" w:space="0" w:color="auto"/>
          </w:divBdr>
          <w:divsChild>
            <w:div w:id="189176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20832">
      <w:bodyDiv w:val="1"/>
      <w:marLeft w:val="0"/>
      <w:marRight w:val="0"/>
      <w:marTop w:val="0"/>
      <w:marBottom w:val="0"/>
      <w:divBdr>
        <w:top w:val="none" w:sz="0" w:space="0" w:color="auto"/>
        <w:left w:val="none" w:sz="0" w:space="0" w:color="auto"/>
        <w:bottom w:val="none" w:sz="0" w:space="0" w:color="auto"/>
        <w:right w:val="none" w:sz="0" w:space="0" w:color="auto"/>
      </w:divBdr>
      <w:divsChild>
        <w:div w:id="1400638059">
          <w:marLeft w:val="0"/>
          <w:marRight w:val="0"/>
          <w:marTop w:val="0"/>
          <w:marBottom w:val="0"/>
          <w:divBdr>
            <w:top w:val="none" w:sz="0" w:space="0" w:color="auto"/>
            <w:left w:val="none" w:sz="0" w:space="0" w:color="auto"/>
            <w:bottom w:val="none" w:sz="0" w:space="0" w:color="auto"/>
            <w:right w:val="none" w:sz="0" w:space="0" w:color="auto"/>
          </w:divBdr>
          <w:divsChild>
            <w:div w:id="149730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266264">
      <w:bodyDiv w:val="1"/>
      <w:marLeft w:val="0"/>
      <w:marRight w:val="0"/>
      <w:marTop w:val="0"/>
      <w:marBottom w:val="0"/>
      <w:divBdr>
        <w:top w:val="none" w:sz="0" w:space="0" w:color="auto"/>
        <w:left w:val="none" w:sz="0" w:space="0" w:color="auto"/>
        <w:bottom w:val="none" w:sz="0" w:space="0" w:color="auto"/>
        <w:right w:val="none" w:sz="0" w:space="0" w:color="auto"/>
      </w:divBdr>
    </w:div>
    <w:div w:id="818304760">
      <w:bodyDiv w:val="1"/>
      <w:marLeft w:val="0"/>
      <w:marRight w:val="0"/>
      <w:marTop w:val="0"/>
      <w:marBottom w:val="0"/>
      <w:divBdr>
        <w:top w:val="none" w:sz="0" w:space="0" w:color="auto"/>
        <w:left w:val="none" w:sz="0" w:space="0" w:color="auto"/>
        <w:bottom w:val="none" w:sz="0" w:space="0" w:color="auto"/>
        <w:right w:val="none" w:sz="0" w:space="0" w:color="auto"/>
      </w:divBdr>
    </w:div>
    <w:div w:id="831336534">
      <w:bodyDiv w:val="1"/>
      <w:marLeft w:val="0"/>
      <w:marRight w:val="0"/>
      <w:marTop w:val="0"/>
      <w:marBottom w:val="0"/>
      <w:divBdr>
        <w:top w:val="none" w:sz="0" w:space="0" w:color="auto"/>
        <w:left w:val="none" w:sz="0" w:space="0" w:color="auto"/>
        <w:bottom w:val="none" w:sz="0" w:space="0" w:color="auto"/>
        <w:right w:val="none" w:sz="0" w:space="0" w:color="auto"/>
      </w:divBdr>
    </w:div>
    <w:div w:id="835070016">
      <w:bodyDiv w:val="1"/>
      <w:marLeft w:val="0"/>
      <w:marRight w:val="0"/>
      <w:marTop w:val="0"/>
      <w:marBottom w:val="0"/>
      <w:divBdr>
        <w:top w:val="none" w:sz="0" w:space="0" w:color="auto"/>
        <w:left w:val="none" w:sz="0" w:space="0" w:color="auto"/>
        <w:bottom w:val="none" w:sz="0" w:space="0" w:color="auto"/>
        <w:right w:val="none" w:sz="0" w:space="0" w:color="auto"/>
      </w:divBdr>
    </w:div>
    <w:div w:id="864170496">
      <w:bodyDiv w:val="1"/>
      <w:marLeft w:val="0"/>
      <w:marRight w:val="0"/>
      <w:marTop w:val="0"/>
      <w:marBottom w:val="0"/>
      <w:divBdr>
        <w:top w:val="none" w:sz="0" w:space="0" w:color="auto"/>
        <w:left w:val="none" w:sz="0" w:space="0" w:color="auto"/>
        <w:bottom w:val="none" w:sz="0" w:space="0" w:color="auto"/>
        <w:right w:val="none" w:sz="0" w:space="0" w:color="auto"/>
      </w:divBdr>
    </w:div>
    <w:div w:id="866480856">
      <w:bodyDiv w:val="1"/>
      <w:marLeft w:val="0"/>
      <w:marRight w:val="0"/>
      <w:marTop w:val="0"/>
      <w:marBottom w:val="0"/>
      <w:divBdr>
        <w:top w:val="none" w:sz="0" w:space="0" w:color="auto"/>
        <w:left w:val="none" w:sz="0" w:space="0" w:color="auto"/>
        <w:bottom w:val="none" w:sz="0" w:space="0" w:color="auto"/>
        <w:right w:val="none" w:sz="0" w:space="0" w:color="auto"/>
      </w:divBdr>
    </w:div>
    <w:div w:id="896937054">
      <w:bodyDiv w:val="1"/>
      <w:marLeft w:val="0"/>
      <w:marRight w:val="0"/>
      <w:marTop w:val="0"/>
      <w:marBottom w:val="0"/>
      <w:divBdr>
        <w:top w:val="none" w:sz="0" w:space="0" w:color="auto"/>
        <w:left w:val="none" w:sz="0" w:space="0" w:color="auto"/>
        <w:bottom w:val="none" w:sz="0" w:space="0" w:color="auto"/>
        <w:right w:val="none" w:sz="0" w:space="0" w:color="auto"/>
      </w:divBdr>
      <w:divsChild>
        <w:div w:id="1207644228">
          <w:marLeft w:val="0"/>
          <w:marRight w:val="0"/>
          <w:marTop w:val="0"/>
          <w:marBottom w:val="0"/>
          <w:divBdr>
            <w:top w:val="none" w:sz="0" w:space="0" w:color="auto"/>
            <w:left w:val="none" w:sz="0" w:space="0" w:color="auto"/>
            <w:bottom w:val="none" w:sz="0" w:space="0" w:color="auto"/>
            <w:right w:val="none" w:sz="0" w:space="0" w:color="auto"/>
          </w:divBdr>
          <w:divsChild>
            <w:div w:id="157184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76779">
      <w:bodyDiv w:val="1"/>
      <w:marLeft w:val="0"/>
      <w:marRight w:val="0"/>
      <w:marTop w:val="0"/>
      <w:marBottom w:val="0"/>
      <w:divBdr>
        <w:top w:val="none" w:sz="0" w:space="0" w:color="auto"/>
        <w:left w:val="none" w:sz="0" w:space="0" w:color="auto"/>
        <w:bottom w:val="none" w:sz="0" w:space="0" w:color="auto"/>
        <w:right w:val="none" w:sz="0" w:space="0" w:color="auto"/>
      </w:divBdr>
      <w:divsChild>
        <w:div w:id="235743413">
          <w:marLeft w:val="0"/>
          <w:marRight w:val="0"/>
          <w:marTop w:val="0"/>
          <w:marBottom w:val="0"/>
          <w:divBdr>
            <w:top w:val="none" w:sz="0" w:space="0" w:color="auto"/>
            <w:left w:val="none" w:sz="0" w:space="0" w:color="auto"/>
            <w:bottom w:val="none" w:sz="0" w:space="0" w:color="auto"/>
            <w:right w:val="none" w:sz="0" w:space="0" w:color="auto"/>
          </w:divBdr>
          <w:divsChild>
            <w:div w:id="4474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30292">
      <w:bodyDiv w:val="1"/>
      <w:marLeft w:val="0"/>
      <w:marRight w:val="0"/>
      <w:marTop w:val="0"/>
      <w:marBottom w:val="0"/>
      <w:divBdr>
        <w:top w:val="none" w:sz="0" w:space="0" w:color="auto"/>
        <w:left w:val="none" w:sz="0" w:space="0" w:color="auto"/>
        <w:bottom w:val="none" w:sz="0" w:space="0" w:color="auto"/>
        <w:right w:val="none" w:sz="0" w:space="0" w:color="auto"/>
      </w:divBdr>
    </w:div>
    <w:div w:id="936405362">
      <w:bodyDiv w:val="1"/>
      <w:marLeft w:val="0"/>
      <w:marRight w:val="0"/>
      <w:marTop w:val="0"/>
      <w:marBottom w:val="0"/>
      <w:divBdr>
        <w:top w:val="none" w:sz="0" w:space="0" w:color="auto"/>
        <w:left w:val="none" w:sz="0" w:space="0" w:color="auto"/>
        <w:bottom w:val="none" w:sz="0" w:space="0" w:color="auto"/>
        <w:right w:val="none" w:sz="0" w:space="0" w:color="auto"/>
      </w:divBdr>
      <w:divsChild>
        <w:div w:id="796142920">
          <w:marLeft w:val="0"/>
          <w:marRight w:val="0"/>
          <w:marTop w:val="0"/>
          <w:marBottom w:val="0"/>
          <w:divBdr>
            <w:top w:val="none" w:sz="0" w:space="0" w:color="auto"/>
            <w:left w:val="none" w:sz="0" w:space="0" w:color="auto"/>
            <w:bottom w:val="none" w:sz="0" w:space="0" w:color="auto"/>
            <w:right w:val="none" w:sz="0" w:space="0" w:color="auto"/>
          </w:divBdr>
          <w:divsChild>
            <w:div w:id="207461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031873">
      <w:bodyDiv w:val="1"/>
      <w:marLeft w:val="0"/>
      <w:marRight w:val="0"/>
      <w:marTop w:val="0"/>
      <w:marBottom w:val="0"/>
      <w:divBdr>
        <w:top w:val="none" w:sz="0" w:space="0" w:color="auto"/>
        <w:left w:val="none" w:sz="0" w:space="0" w:color="auto"/>
        <w:bottom w:val="none" w:sz="0" w:space="0" w:color="auto"/>
        <w:right w:val="none" w:sz="0" w:space="0" w:color="auto"/>
      </w:divBdr>
      <w:divsChild>
        <w:div w:id="1009480260">
          <w:marLeft w:val="0"/>
          <w:marRight w:val="0"/>
          <w:marTop w:val="0"/>
          <w:marBottom w:val="0"/>
          <w:divBdr>
            <w:top w:val="none" w:sz="0" w:space="0" w:color="auto"/>
            <w:left w:val="none" w:sz="0" w:space="0" w:color="auto"/>
            <w:bottom w:val="none" w:sz="0" w:space="0" w:color="auto"/>
            <w:right w:val="none" w:sz="0" w:space="0" w:color="auto"/>
          </w:divBdr>
          <w:divsChild>
            <w:div w:id="75597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99175">
      <w:bodyDiv w:val="1"/>
      <w:marLeft w:val="0"/>
      <w:marRight w:val="0"/>
      <w:marTop w:val="0"/>
      <w:marBottom w:val="0"/>
      <w:divBdr>
        <w:top w:val="none" w:sz="0" w:space="0" w:color="auto"/>
        <w:left w:val="none" w:sz="0" w:space="0" w:color="auto"/>
        <w:bottom w:val="none" w:sz="0" w:space="0" w:color="auto"/>
        <w:right w:val="none" w:sz="0" w:space="0" w:color="auto"/>
      </w:divBdr>
    </w:div>
    <w:div w:id="1005672069">
      <w:bodyDiv w:val="1"/>
      <w:marLeft w:val="0"/>
      <w:marRight w:val="0"/>
      <w:marTop w:val="0"/>
      <w:marBottom w:val="0"/>
      <w:divBdr>
        <w:top w:val="none" w:sz="0" w:space="0" w:color="auto"/>
        <w:left w:val="none" w:sz="0" w:space="0" w:color="auto"/>
        <w:bottom w:val="none" w:sz="0" w:space="0" w:color="auto"/>
        <w:right w:val="none" w:sz="0" w:space="0" w:color="auto"/>
      </w:divBdr>
      <w:divsChild>
        <w:div w:id="73866851">
          <w:marLeft w:val="0"/>
          <w:marRight w:val="0"/>
          <w:marTop w:val="0"/>
          <w:marBottom w:val="0"/>
          <w:divBdr>
            <w:top w:val="none" w:sz="0" w:space="0" w:color="auto"/>
            <w:left w:val="none" w:sz="0" w:space="0" w:color="auto"/>
            <w:bottom w:val="none" w:sz="0" w:space="0" w:color="auto"/>
            <w:right w:val="none" w:sz="0" w:space="0" w:color="auto"/>
          </w:divBdr>
          <w:divsChild>
            <w:div w:id="118740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17746">
      <w:bodyDiv w:val="1"/>
      <w:marLeft w:val="0"/>
      <w:marRight w:val="0"/>
      <w:marTop w:val="0"/>
      <w:marBottom w:val="0"/>
      <w:divBdr>
        <w:top w:val="none" w:sz="0" w:space="0" w:color="auto"/>
        <w:left w:val="none" w:sz="0" w:space="0" w:color="auto"/>
        <w:bottom w:val="none" w:sz="0" w:space="0" w:color="auto"/>
        <w:right w:val="none" w:sz="0" w:space="0" w:color="auto"/>
      </w:divBdr>
    </w:div>
    <w:div w:id="1042946832">
      <w:bodyDiv w:val="1"/>
      <w:marLeft w:val="0"/>
      <w:marRight w:val="0"/>
      <w:marTop w:val="0"/>
      <w:marBottom w:val="0"/>
      <w:divBdr>
        <w:top w:val="none" w:sz="0" w:space="0" w:color="auto"/>
        <w:left w:val="none" w:sz="0" w:space="0" w:color="auto"/>
        <w:bottom w:val="none" w:sz="0" w:space="0" w:color="auto"/>
        <w:right w:val="none" w:sz="0" w:space="0" w:color="auto"/>
      </w:divBdr>
    </w:div>
    <w:div w:id="1049302496">
      <w:bodyDiv w:val="1"/>
      <w:marLeft w:val="0"/>
      <w:marRight w:val="0"/>
      <w:marTop w:val="0"/>
      <w:marBottom w:val="0"/>
      <w:divBdr>
        <w:top w:val="none" w:sz="0" w:space="0" w:color="auto"/>
        <w:left w:val="none" w:sz="0" w:space="0" w:color="auto"/>
        <w:bottom w:val="none" w:sz="0" w:space="0" w:color="auto"/>
        <w:right w:val="none" w:sz="0" w:space="0" w:color="auto"/>
      </w:divBdr>
    </w:div>
    <w:div w:id="1066222152">
      <w:bodyDiv w:val="1"/>
      <w:marLeft w:val="0"/>
      <w:marRight w:val="0"/>
      <w:marTop w:val="0"/>
      <w:marBottom w:val="0"/>
      <w:divBdr>
        <w:top w:val="none" w:sz="0" w:space="0" w:color="auto"/>
        <w:left w:val="none" w:sz="0" w:space="0" w:color="auto"/>
        <w:bottom w:val="none" w:sz="0" w:space="0" w:color="auto"/>
        <w:right w:val="none" w:sz="0" w:space="0" w:color="auto"/>
      </w:divBdr>
    </w:div>
    <w:div w:id="1092970796">
      <w:bodyDiv w:val="1"/>
      <w:marLeft w:val="0"/>
      <w:marRight w:val="0"/>
      <w:marTop w:val="0"/>
      <w:marBottom w:val="0"/>
      <w:divBdr>
        <w:top w:val="none" w:sz="0" w:space="0" w:color="auto"/>
        <w:left w:val="none" w:sz="0" w:space="0" w:color="auto"/>
        <w:bottom w:val="none" w:sz="0" w:space="0" w:color="auto"/>
        <w:right w:val="none" w:sz="0" w:space="0" w:color="auto"/>
      </w:divBdr>
      <w:divsChild>
        <w:div w:id="1163204161">
          <w:marLeft w:val="0"/>
          <w:marRight w:val="0"/>
          <w:marTop w:val="0"/>
          <w:marBottom w:val="0"/>
          <w:divBdr>
            <w:top w:val="none" w:sz="0" w:space="0" w:color="auto"/>
            <w:left w:val="none" w:sz="0" w:space="0" w:color="auto"/>
            <w:bottom w:val="none" w:sz="0" w:space="0" w:color="auto"/>
            <w:right w:val="none" w:sz="0" w:space="0" w:color="auto"/>
          </w:divBdr>
          <w:divsChild>
            <w:div w:id="90865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08861">
      <w:bodyDiv w:val="1"/>
      <w:marLeft w:val="0"/>
      <w:marRight w:val="0"/>
      <w:marTop w:val="0"/>
      <w:marBottom w:val="0"/>
      <w:divBdr>
        <w:top w:val="none" w:sz="0" w:space="0" w:color="auto"/>
        <w:left w:val="none" w:sz="0" w:space="0" w:color="auto"/>
        <w:bottom w:val="none" w:sz="0" w:space="0" w:color="auto"/>
        <w:right w:val="none" w:sz="0" w:space="0" w:color="auto"/>
      </w:divBdr>
      <w:divsChild>
        <w:div w:id="382801203">
          <w:marLeft w:val="0"/>
          <w:marRight w:val="0"/>
          <w:marTop w:val="0"/>
          <w:marBottom w:val="0"/>
          <w:divBdr>
            <w:top w:val="none" w:sz="0" w:space="0" w:color="auto"/>
            <w:left w:val="none" w:sz="0" w:space="0" w:color="auto"/>
            <w:bottom w:val="none" w:sz="0" w:space="0" w:color="auto"/>
            <w:right w:val="none" w:sz="0" w:space="0" w:color="auto"/>
          </w:divBdr>
          <w:divsChild>
            <w:div w:id="7676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85324">
      <w:bodyDiv w:val="1"/>
      <w:marLeft w:val="0"/>
      <w:marRight w:val="0"/>
      <w:marTop w:val="0"/>
      <w:marBottom w:val="0"/>
      <w:divBdr>
        <w:top w:val="none" w:sz="0" w:space="0" w:color="auto"/>
        <w:left w:val="none" w:sz="0" w:space="0" w:color="auto"/>
        <w:bottom w:val="none" w:sz="0" w:space="0" w:color="auto"/>
        <w:right w:val="none" w:sz="0" w:space="0" w:color="auto"/>
      </w:divBdr>
    </w:div>
    <w:div w:id="1144008443">
      <w:bodyDiv w:val="1"/>
      <w:marLeft w:val="0"/>
      <w:marRight w:val="0"/>
      <w:marTop w:val="0"/>
      <w:marBottom w:val="0"/>
      <w:divBdr>
        <w:top w:val="none" w:sz="0" w:space="0" w:color="auto"/>
        <w:left w:val="none" w:sz="0" w:space="0" w:color="auto"/>
        <w:bottom w:val="none" w:sz="0" w:space="0" w:color="auto"/>
        <w:right w:val="none" w:sz="0" w:space="0" w:color="auto"/>
      </w:divBdr>
      <w:divsChild>
        <w:div w:id="1944650374">
          <w:marLeft w:val="0"/>
          <w:marRight w:val="0"/>
          <w:marTop w:val="0"/>
          <w:marBottom w:val="0"/>
          <w:divBdr>
            <w:top w:val="none" w:sz="0" w:space="0" w:color="auto"/>
            <w:left w:val="none" w:sz="0" w:space="0" w:color="auto"/>
            <w:bottom w:val="none" w:sz="0" w:space="0" w:color="auto"/>
            <w:right w:val="none" w:sz="0" w:space="0" w:color="auto"/>
          </w:divBdr>
        </w:div>
      </w:divsChild>
    </w:div>
    <w:div w:id="1145246112">
      <w:bodyDiv w:val="1"/>
      <w:marLeft w:val="0"/>
      <w:marRight w:val="0"/>
      <w:marTop w:val="0"/>
      <w:marBottom w:val="0"/>
      <w:divBdr>
        <w:top w:val="none" w:sz="0" w:space="0" w:color="auto"/>
        <w:left w:val="none" w:sz="0" w:space="0" w:color="auto"/>
        <w:bottom w:val="none" w:sz="0" w:space="0" w:color="auto"/>
        <w:right w:val="none" w:sz="0" w:space="0" w:color="auto"/>
      </w:divBdr>
    </w:div>
    <w:div w:id="1212768849">
      <w:bodyDiv w:val="1"/>
      <w:marLeft w:val="0"/>
      <w:marRight w:val="0"/>
      <w:marTop w:val="0"/>
      <w:marBottom w:val="0"/>
      <w:divBdr>
        <w:top w:val="none" w:sz="0" w:space="0" w:color="auto"/>
        <w:left w:val="none" w:sz="0" w:space="0" w:color="auto"/>
        <w:bottom w:val="none" w:sz="0" w:space="0" w:color="auto"/>
        <w:right w:val="none" w:sz="0" w:space="0" w:color="auto"/>
      </w:divBdr>
    </w:div>
    <w:div w:id="1240402285">
      <w:bodyDiv w:val="1"/>
      <w:marLeft w:val="0"/>
      <w:marRight w:val="0"/>
      <w:marTop w:val="0"/>
      <w:marBottom w:val="0"/>
      <w:divBdr>
        <w:top w:val="none" w:sz="0" w:space="0" w:color="auto"/>
        <w:left w:val="none" w:sz="0" w:space="0" w:color="auto"/>
        <w:bottom w:val="none" w:sz="0" w:space="0" w:color="auto"/>
        <w:right w:val="none" w:sz="0" w:space="0" w:color="auto"/>
      </w:divBdr>
    </w:div>
    <w:div w:id="1248686390">
      <w:bodyDiv w:val="1"/>
      <w:marLeft w:val="0"/>
      <w:marRight w:val="0"/>
      <w:marTop w:val="0"/>
      <w:marBottom w:val="0"/>
      <w:divBdr>
        <w:top w:val="none" w:sz="0" w:space="0" w:color="auto"/>
        <w:left w:val="none" w:sz="0" w:space="0" w:color="auto"/>
        <w:bottom w:val="none" w:sz="0" w:space="0" w:color="auto"/>
        <w:right w:val="none" w:sz="0" w:space="0" w:color="auto"/>
      </w:divBdr>
    </w:div>
    <w:div w:id="1275013753">
      <w:bodyDiv w:val="1"/>
      <w:marLeft w:val="0"/>
      <w:marRight w:val="0"/>
      <w:marTop w:val="0"/>
      <w:marBottom w:val="0"/>
      <w:divBdr>
        <w:top w:val="none" w:sz="0" w:space="0" w:color="auto"/>
        <w:left w:val="none" w:sz="0" w:space="0" w:color="auto"/>
        <w:bottom w:val="none" w:sz="0" w:space="0" w:color="auto"/>
        <w:right w:val="none" w:sz="0" w:space="0" w:color="auto"/>
      </w:divBdr>
    </w:div>
    <w:div w:id="1280330500">
      <w:bodyDiv w:val="1"/>
      <w:marLeft w:val="0"/>
      <w:marRight w:val="0"/>
      <w:marTop w:val="0"/>
      <w:marBottom w:val="0"/>
      <w:divBdr>
        <w:top w:val="none" w:sz="0" w:space="0" w:color="auto"/>
        <w:left w:val="none" w:sz="0" w:space="0" w:color="auto"/>
        <w:bottom w:val="none" w:sz="0" w:space="0" w:color="auto"/>
        <w:right w:val="none" w:sz="0" w:space="0" w:color="auto"/>
      </w:divBdr>
    </w:div>
    <w:div w:id="1283922375">
      <w:bodyDiv w:val="1"/>
      <w:marLeft w:val="0"/>
      <w:marRight w:val="0"/>
      <w:marTop w:val="0"/>
      <w:marBottom w:val="0"/>
      <w:divBdr>
        <w:top w:val="none" w:sz="0" w:space="0" w:color="auto"/>
        <w:left w:val="none" w:sz="0" w:space="0" w:color="auto"/>
        <w:bottom w:val="none" w:sz="0" w:space="0" w:color="auto"/>
        <w:right w:val="none" w:sz="0" w:space="0" w:color="auto"/>
      </w:divBdr>
    </w:div>
    <w:div w:id="1323899181">
      <w:bodyDiv w:val="1"/>
      <w:marLeft w:val="0"/>
      <w:marRight w:val="0"/>
      <w:marTop w:val="0"/>
      <w:marBottom w:val="0"/>
      <w:divBdr>
        <w:top w:val="none" w:sz="0" w:space="0" w:color="auto"/>
        <w:left w:val="none" w:sz="0" w:space="0" w:color="auto"/>
        <w:bottom w:val="none" w:sz="0" w:space="0" w:color="auto"/>
        <w:right w:val="none" w:sz="0" w:space="0" w:color="auto"/>
      </w:divBdr>
    </w:div>
    <w:div w:id="1325551447">
      <w:bodyDiv w:val="1"/>
      <w:marLeft w:val="0"/>
      <w:marRight w:val="0"/>
      <w:marTop w:val="0"/>
      <w:marBottom w:val="0"/>
      <w:divBdr>
        <w:top w:val="none" w:sz="0" w:space="0" w:color="auto"/>
        <w:left w:val="none" w:sz="0" w:space="0" w:color="auto"/>
        <w:bottom w:val="none" w:sz="0" w:space="0" w:color="auto"/>
        <w:right w:val="none" w:sz="0" w:space="0" w:color="auto"/>
      </w:divBdr>
      <w:divsChild>
        <w:div w:id="625744750">
          <w:marLeft w:val="0"/>
          <w:marRight w:val="0"/>
          <w:marTop w:val="0"/>
          <w:marBottom w:val="0"/>
          <w:divBdr>
            <w:top w:val="none" w:sz="0" w:space="0" w:color="auto"/>
            <w:left w:val="none" w:sz="0" w:space="0" w:color="auto"/>
            <w:bottom w:val="none" w:sz="0" w:space="0" w:color="auto"/>
            <w:right w:val="none" w:sz="0" w:space="0" w:color="auto"/>
          </w:divBdr>
          <w:divsChild>
            <w:div w:id="33773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91312">
      <w:bodyDiv w:val="1"/>
      <w:marLeft w:val="0"/>
      <w:marRight w:val="0"/>
      <w:marTop w:val="0"/>
      <w:marBottom w:val="0"/>
      <w:divBdr>
        <w:top w:val="none" w:sz="0" w:space="0" w:color="auto"/>
        <w:left w:val="none" w:sz="0" w:space="0" w:color="auto"/>
        <w:bottom w:val="none" w:sz="0" w:space="0" w:color="auto"/>
        <w:right w:val="none" w:sz="0" w:space="0" w:color="auto"/>
      </w:divBdr>
    </w:div>
    <w:div w:id="1337197316">
      <w:bodyDiv w:val="1"/>
      <w:marLeft w:val="0"/>
      <w:marRight w:val="0"/>
      <w:marTop w:val="0"/>
      <w:marBottom w:val="0"/>
      <w:divBdr>
        <w:top w:val="none" w:sz="0" w:space="0" w:color="auto"/>
        <w:left w:val="none" w:sz="0" w:space="0" w:color="auto"/>
        <w:bottom w:val="none" w:sz="0" w:space="0" w:color="auto"/>
        <w:right w:val="none" w:sz="0" w:space="0" w:color="auto"/>
      </w:divBdr>
    </w:div>
    <w:div w:id="1343312231">
      <w:bodyDiv w:val="1"/>
      <w:marLeft w:val="0"/>
      <w:marRight w:val="0"/>
      <w:marTop w:val="0"/>
      <w:marBottom w:val="0"/>
      <w:divBdr>
        <w:top w:val="none" w:sz="0" w:space="0" w:color="auto"/>
        <w:left w:val="none" w:sz="0" w:space="0" w:color="auto"/>
        <w:bottom w:val="none" w:sz="0" w:space="0" w:color="auto"/>
        <w:right w:val="none" w:sz="0" w:space="0" w:color="auto"/>
      </w:divBdr>
    </w:div>
    <w:div w:id="1357196763">
      <w:bodyDiv w:val="1"/>
      <w:marLeft w:val="0"/>
      <w:marRight w:val="0"/>
      <w:marTop w:val="0"/>
      <w:marBottom w:val="0"/>
      <w:divBdr>
        <w:top w:val="none" w:sz="0" w:space="0" w:color="auto"/>
        <w:left w:val="none" w:sz="0" w:space="0" w:color="auto"/>
        <w:bottom w:val="none" w:sz="0" w:space="0" w:color="auto"/>
        <w:right w:val="none" w:sz="0" w:space="0" w:color="auto"/>
      </w:divBdr>
    </w:div>
    <w:div w:id="1377579792">
      <w:bodyDiv w:val="1"/>
      <w:marLeft w:val="0"/>
      <w:marRight w:val="0"/>
      <w:marTop w:val="0"/>
      <w:marBottom w:val="0"/>
      <w:divBdr>
        <w:top w:val="none" w:sz="0" w:space="0" w:color="auto"/>
        <w:left w:val="none" w:sz="0" w:space="0" w:color="auto"/>
        <w:bottom w:val="none" w:sz="0" w:space="0" w:color="auto"/>
        <w:right w:val="none" w:sz="0" w:space="0" w:color="auto"/>
      </w:divBdr>
    </w:div>
    <w:div w:id="1387608001">
      <w:bodyDiv w:val="1"/>
      <w:marLeft w:val="0"/>
      <w:marRight w:val="0"/>
      <w:marTop w:val="0"/>
      <w:marBottom w:val="0"/>
      <w:divBdr>
        <w:top w:val="none" w:sz="0" w:space="0" w:color="auto"/>
        <w:left w:val="none" w:sz="0" w:space="0" w:color="auto"/>
        <w:bottom w:val="none" w:sz="0" w:space="0" w:color="auto"/>
        <w:right w:val="none" w:sz="0" w:space="0" w:color="auto"/>
      </w:divBdr>
    </w:div>
    <w:div w:id="1402868854">
      <w:bodyDiv w:val="1"/>
      <w:marLeft w:val="0"/>
      <w:marRight w:val="0"/>
      <w:marTop w:val="0"/>
      <w:marBottom w:val="0"/>
      <w:divBdr>
        <w:top w:val="none" w:sz="0" w:space="0" w:color="auto"/>
        <w:left w:val="none" w:sz="0" w:space="0" w:color="auto"/>
        <w:bottom w:val="none" w:sz="0" w:space="0" w:color="auto"/>
        <w:right w:val="none" w:sz="0" w:space="0" w:color="auto"/>
      </w:divBdr>
    </w:div>
    <w:div w:id="1411854479">
      <w:bodyDiv w:val="1"/>
      <w:marLeft w:val="0"/>
      <w:marRight w:val="0"/>
      <w:marTop w:val="0"/>
      <w:marBottom w:val="0"/>
      <w:divBdr>
        <w:top w:val="none" w:sz="0" w:space="0" w:color="auto"/>
        <w:left w:val="none" w:sz="0" w:space="0" w:color="auto"/>
        <w:bottom w:val="none" w:sz="0" w:space="0" w:color="auto"/>
        <w:right w:val="none" w:sz="0" w:space="0" w:color="auto"/>
      </w:divBdr>
    </w:div>
    <w:div w:id="1414082321">
      <w:bodyDiv w:val="1"/>
      <w:marLeft w:val="0"/>
      <w:marRight w:val="0"/>
      <w:marTop w:val="0"/>
      <w:marBottom w:val="0"/>
      <w:divBdr>
        <w:top w:val="none" w:sz="0" w:space="0" w:color="auto"/>
        <w:left w:val="none" w:sz="0" w:space="0" w:color="auto"/>
        <w:bottom w:val="none" w:sz="0" w:space="0" w:color="auto"/>
        <w:right w:val="none" w:sz="0" w:space="0" w:color="auto"/>
      </w:divBdr>
    </w:div>
    <w:div w:id="1421680086">
      <w:bodyDiv w:val="1"/>
      <w:marLeft w:val="0"/>
      <w:marRight w:val="0"/>
      <w:marTop w:val="0"/>
      <w:marBottom w:val="0"/>
      <w:divBdr>
        <w:top w:val="none" w:sz="0" w:space="0" w:color="auto"/>
        <w:left w:val="none" w:sz="0" w:space="0" w:color="auto"/>
        <w:bottom w:val="none" w:sz="0" w:space="0" w:color="auto"/>
        <w:right w:val="none" w:sz="0" w:space="0" w:color="auto"/>
      </w:divBdr>
      <w:divsChild>
        <w:div w:id="1423643992">
          <w:marLeft w:val="0"/>
          <w:marRight w:val="0"/>
          <w:marTop w:val="0"/>
          <w:marBottom w:val="0"/>
          <w:divBdr>
            <w:top w:val="none" w:sz="0" w:space="0" w:color="auto"/>
            <w:left w:val="none" w:sz="0" w:space="0" w:color="auto"/>
            <w:bottom w:val="none" w:sz="0" w:space="0" w:color="auto"/>
            <w:right w:val="none" w:sz="0" w:space="0" w:color="auto"/>
          </w:divBdr>
          <w:divsChild>
            <w:div w:id="99919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43107">
      <w:bodyDiv w:val="1"/>
      <w:marLeft w:val="0"/>
      <w:marRight w:val="0"/>
      <w:marTop w:val="0"/>
      <w:marBottom w:val="0"/>
      <w:divBdr>
        <w:top w:val="none" w:sz="0" w:space="0" w:color="auto"/>
        <w:left w:val="none" w:sz="0" w:space="0" w:color="auto"/>
        <w:bottom w:val="none" w:sz="0" w:space="0" w:color="auto"/>
        <w:right w:val="none" w:sz="0" w:space="0" w:color="auto"/>
      </w:divBdr>
    </w:div>
    <w:div w:id="1444572586">
      <w:bodyDiv w:val="1"/>
      <w:marLeft w:val="0"/>
      <w:marRight w:val="0"/>
      <w:marTop w:val="0"/>
      <w:marBottom w:val="0"/>
      <w:divBdr>
        <w:top w:val="none" w:sz="0" w:space="0" w:color="auto"/>
        <w:left w:val="none" w:sz="0" w:space="0" w:color="auto"/>
        <w:bottom w:val="none" w:sz="0" w:space="0" w:color="auto"/>
        <w:right w:val="none" w:sz="0" w:space="0" w:color="auto"/>
      </w:divBdr>
    </w:div>
    <w:div w:id="1453983220">
      <w:bodyDiv w:val="1"/>
      <w:marLeft w:val="0"/>
      <w:marRight w:val="0"/>
      <w:marTop w:val="0"/>
      <w:marBottom w:val="0"/>
      <w:divBdr>
        <w:top w:val="none" w:sz="0" w:space="0" w:color="auto"/>
        <w:left w:val="none" w:sz="0" w:space="0" w:color="auto"/>
        <w:bottom w:val="none" w:sz="0" w:space="0" w:color="auto"/>
        <w:right w:val="none" w:sz="0" w:space="0" w:color="auto"/>
      </w:divBdr>
    </w:div>
    <w:div w:id="1461993608">
      <w:bodyDiv w:val="1"/>
      <w:marLeft w:val="0"/>
      <w:marRight w:val="0"/>
      <w:marTop w:val="0"/>
      <w:marBottom w:val="0"/>
      <w:divBdr>
        <w:top w:val="none" w:sz="0" w:space="0" w:color="auto"/>
        <w:left w:val="none" w:sz="0" w:space="0" w:color="auto"/>
        <w:bottom w:val="none" w:sz="0" w:space="0" w:color="auto"/>
        <w:right w:val="none" w:sz="0" w:space="0" w:color="auto"/>
      </w:divBdr>
    </w:div>
    <w:div w:id="1472822892">
      <w:bodyDiv w:val="1"/>
      <w:marLeft w:val="0"/>
      <w:marRight w:val="0"/>
      <w:marTop w:val="0"/>
      <w:marBottom w:val="0"/>
      <w:divBdr>
        <w:top w:val="none" w:sz="0" w:space="0" w:color="auto"/>
        <w:left w:val="none" w:sz="0" w:space="0" w:color="auto"/>
        <w:bottom w:val="none" w:sz="0" w:space="0" w:color="auto"/>
        <w:right w:val="none" w:sz="0" w:space="0" w:color="auto"/>
      </w:divBdr>
    </w:div>
    <w:div w:id="1476753600">
      <w:bodyDiv w:val="1"/>
      <w:marLeft w:val="0"/>
      <w:marRight w:val="0"/>
      <w:marTop w:val="0"/>
      <w:marBottom w:val="0"/>
      <w:divBdr>
        <w:top w:val="none" w:sz="0" w:space="0" w:color="auto"/>
        <w:left w:val="none" w:sz="0" w:space="0" w:color="auto"/>
        <w:bottom w:val="none" w:sz="0" w:space="0" w:color="auto"/>
        <w:right w:val="none" w:sz="0" w:space="0" w:color="auto"/>
      </w:divBdr>
    </w:div>
    <w:div w:id="1480346937">
      <w:bodyDiv w:val="1"/>
      <w:marLeft w:val="0"/>
      <w:marRight w:val="0"/>
      <w:marTop w:val="0"/>
      <w:marBottom w:val="0"/>
      <w:divBdr>
        <w:top w:val="none" w:sz="0" w:space="0" w:color="auto"/>
        <w:left w:val="none" w:sz="0" w:space="0" w:color="auto"/>
        <w:bottom w:val="none" w:sz="0" w:space="0" w:color="auto"/>
        <w:right w:val="none" w:sz="0" w:space="0" w:color="auto"/>
      </w:divBdr>
    </w:div>
    <w:div w:id="1495952210">
      <w:bodyDiv w:val="1"/>
      <w:marLeft w:val="0"/>
      <w:marRight w:val="0"/>
      <w:marTop w:val="0"/>
      <w:marBottom w:val="0"/>
      <w:divBdr>
        <w:top w:val="none" w:sz="0" w:space="0" w:color="auto"/>
        <w:left w:val="none" w:sz="0" w:space="0" w:color="auto"/>
        <w:bottom w:val="none" w:sz="0" w:space="0" w:color="auto"/>
        <w:right w:val="none" w:sz="0" w:space="0" w:color="auto"/>
      </w:divBdr>
    </w:div>
    <w:div w:id="1540897367">
      <w:bodyDiv w:val="1"/>
      <w:marLeft w:val="0"/>
      <w:marRight w:val="0"/>
      <w:marTop w:val="0"/>
      <w:marBottom w:val="0"/>
      <w:divBdr>
        <w:top w:val="none" w:sz="0" w:space="0" w:color="auto"/>
        <w:left w:val="none" w:sz="0" w:space="0" w:color="auto"/>
        <w:bottom w:val="none" w:sz="0" w:space="0" w:color="auto"/>
        <w:right w:val="none" w:sz="0" w:space="0" w:color="auto"/>
      </w:divBdr>
    </w:div>
    <w:div w:id="1568802483">
      <w:bodyDiv w:val="1"/>
      <w:marLeft w:val="0"/>
      <w:marRight w:val="0"/>
      <w:marTop w:val="0"/>
      <w:marBottom w:val="0"/>
      <w:divBdr>
        <w:top w:val="none" w:sz="0" w:space="0" w:color="auto"/>
        <w:left w:val="none" w:sz="0" w:space="0" w:color="auto"/>
        <w:bottom w:val="none" w:sz="0" w:space="0" w:color="auto"/>
        <w:right w:val="none" w:sz="0" w:space="0" w:color="auto"/>
      </w:divBdr>
    </w:div>
    <w:div w:id="1569002665">
      <w:bodyDiv w:val="1"/>
      <w:marLeft w:val="0"/>
      <w:marRight w:val="0"/>
      <w:marTop w:val="0"/>
      <w:marBottom w:val="0"/>
      <w:divBdr>
        <w:top w:val="none" w:sz="0" w:space="0" w:color="auto"/>
        <w:left w:val="none" w:sz="0" w:space="0" w:color="auto"/>
        <w:bottom w:val="none" w:sz="0" w:space="0" w:color="auto"/>
        <w:right w:val="none" w:sz="0" w:space="0" w:color="auto"/>
      </w:divBdr>
    </w:div>
    <w:div w:id="1570311720">
      <w:bodyDiv w:val="1"/>
      <w:marLeft w:val="0"/>
      <w:marRight w:val="0"/>
      <w:marTop w:val="0"/>
      <w:marBottom w:val="0"/>
      <w:divBdr>
        <w:top w:val="none" w:sz="0" w:space="0" w:color="auto"/>
        <w:left w:val="none" w:sz="0" w:space="0" w:color="auto"/>
        <w:bottom w:val="none" w:sz="0" w:space="0" w:color="auto"/>
        <w:right w:val="none" w:sz="0" w:space="0" w:color="auto"/>
      </w:divBdr>
      <w:divsChild>
        <w:div w:id="378748751">
          <w:marLeft w:val="0"/>
          <w:marRight w:val="0"/>
          <w:marTop w:val="0"/>
          <w:marBottom w:val="0"/>
          <w:divBdr>
            <w:top w:val="none" w:sz="0" w:space="0" w:color="auto"/>
            <w:left w:val="none" w:sz="0" w:space="0" w:color="auto"/>
            <w:bottom w:val="none" w:sz="0" w:space="0" w:color="auto"/>
            <w:right w:val="none" w:sz="0" w:space="0" w:color="auto"/>
          </w:divBdr>
        </w:div>
      </w:divsChild>
    </w:div>
    <w:div w:id="1608393205">
      <w:bodyDiv w:val="1"/>
      <w:marLeft w:val="0"/>
      <w:marRight w:val="0"/>
      <w:marTop w:val="0"/>
      <w:marBottom w:val="0"/>
      <w:divBdr>
        <w:top w:val="none" w:sz="0" w:space="0" w:color="auto"/>
        <w:left w:val="none" w:sz="0" w:space="0" w:color="auto"/>
        <w:bottom w:val="none" w:sz="0" w:space="0" w:color="auto"/>
        <w:right w:val="none" w:sz="0" w:space="0" w:color="auto"/>
      </w:divBdr>
    </w:div>
    <w:div w:id="1643120967">
      <w:bodyDiv w:val="1"/>
      <w:marLeft w:val="0"/>
      <w:marRight w:val="0"/>
      <w:marTop w:val="0"/>
      <w:marBottom w:val="0"/>
      <w:divBdr>
        <w:top w:val="none" w:sz="0" w:space="0" w:color="auto"/>
        <w:left w:val="none" w:sz="0" w:space="0" w:color="auto"/>
        <w:bottom w:val="none" w:sz="0" w:space="0" w:color="auto"/>
        <w:right w:val="none" w:sz="0" w:space="0" w:color="auto"/>
      </w:divBdr>
    </w:div>
    <w:div w:id="1714188101">
      <w:bodyDiv w:val="1"/>
      <w:marLeft w:val="0"/>
      <w:marRight w:val="0"/>
      <w:marTop w:val="0"/>
      <w:marBottom w:val="0"/>
      <w:divBdr>
        <w:top w:val="none" w:sz="0" w:space="0" w:color="auto"/>
        <w:left w:val="none" w:sz="0" w:space="0" w:color="auto"/>
        <w:bottom w:val="none" w:sz="0" w:space="0" w:color="auto"/>
        <w:right w:val="none" w:sz="0" w:space="0" w:color="auto"/>
      </w:divBdr>
    </w:div>
    <w:div w:id="1716192874">
      <w:bodyDiv w:val="1"/>
      <w:marLeft w:val="0"/>
      <w:marRight w:val="0"/>
      <w:marTop w:val="0"/>
      <w:marBottom w:val="0"/>
      <w:divBdr>
        <w:top w:val="none" w:sz="0" w:space="0" w:color="auto"/>
        <w:left w:val="none" w:sz="0" w:space="0" w:color="auto"/>
        <w:bottom w:val="none" w:sz="0" w:space="0" w:color="auto"/>
        <w:right w:val="none" w:sz="0" w:space="0" w:color="auto"/>
      </w:divBdr>
    </w:div>
    <w:div w:id="1717199149">
      <w:bodyDiv w:val="1"/>
      <w:marLeft w:val="0"/>
      <w:marRight w:val="0"/>
      <w:marTop w:val="0"/>
      <w:marBottom w:val="0"/>
      <w:divBdr>
        <w:top w:val="none" w:sz="0" w:space="0" w:color="auto"/>
        <w:left w:val="none" w:sz="0" w:space="0" w:color="auto"/>
        <w:bottom w:val="none" w:sz="0" w:space="0" w:color="auto"/>
        <w:right w:val="none" w:sz="0" w:space="0" w:color="auto"/>
      </w:divBdr>
    </w:div>
    <w:div w:id="1728608251">
      <w:bodyDiv w:val="1"/>
      <w:marLeft w:val="0"/>
      <w:marRight w:val="0"/>
      <w:marTop w:val="0"/>
      <w:marBottom w:val="0"/>
      <w:divBdr>
        <w:top w:val="none" w:sz="0" w:space="0" w:color="auto"/>
        <w:left w:val="none" w:sz="0" w:space="0" w:color="auto"/>
        <w:bottom w:val="none" w:sz="0" w:space="0" w:color="auto"/>
        <w:right w:val="none" w:sz="0" w:space="0" w:color="auto"/>
      </w:divBdr>
      <w:divsChild>
        <w:div w:id="777330372">
          <w:marLeft w:val="0"/>
          <w:marRight w:val="0"/>
          <w:marTop w:val="0"/>
          <w:marBottom w:val="0"/>
          <w:divBdr>
            <w:top w:val="none" w:sz="0" w:space="0" w:color="auto"/>
            <w:left w:val="none" w:sz="0" w:space="0" w:color="auto"/>
            <w:bottom w:val="none" w:sz="0" w:space="0" w:color="auto"/>
            <w:right w:val="none" w:sz="0" w:space="0" w:color="auto"/>
          </w:divBdr>
          <w:divsChild>
            <w:div w:id="47548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94662">
      <w:bodyDiv w:val="1"/>
      <w:marLeft w:val="0"/>
      <w:marRight w:val="0"/>
      <w:marTop w:val="0"/>
      <w:marBottom w:val="0"/>
      <w:divBdr>
        <w:top w:val="none" w:sz="0" w:space="0" w:color="auto"/>
        <w:left w:val="none" w:sz="0" w:space="0" w:color="auto"/>
        <w:bottom w:val="none" w:sz="0" w:space="0" w:color="auto"/>
        <w:right w:val="none" w:sz="0" w:space="0" w:color="auto"/>
      </w:divBdr>
    </w:div>
    <w:div w:id="1746564230">
      <w:bodyDiv w:val="1"/>
      <w:marLeft w:val="0"/>
      <w:marRight w:val="0"/>
      <w:marTop w:val="0"/>
      <w:marBottom w:val="0"/>
      <w:divBdr>
        <w:top w:val="none" w:sz="0" w:space="0" w:color="auto"/>
        <w:left w:val="none" w:sz="0" w:space="0" w:color="auto"/>
        <w:bottom w:val="none" w:sz="0" w:space="0" w:color="auto"/>
        <w:right w:val="none" w:sz="0" w:space="0" w:color="auto"/>
      </w:divBdr>
    </w:div>
    <w:div w:id="1795128047">
      <w:bodyDiv w:val="1"/>
      <w:marLeft w:val="0"/>
      <w:marRight w:val="0"/>
      <w:marTop w:val="0"/>
      <w:marBottom w:val="0"/>
      <w:divBdr>
        <w:top w:val="none" w:sz="0" w:space="0" w:color="auto"/>
        <w:left w:val="none" w:sz="0" w:space="0" w:color="auto"/>
        <w:bottom w:val="none" w:sz="0" w:space="0" w:color="auto"/>
        <w:right w:val="none" w:sz="0" w:space="0" w:color="auto"/>
      </w:divBdr>
    </w:div>
    <w:div w:id="1798252398">
      <w:bodyDiv w:val="1"/>
      <w:marLeft w:val="0"/>
      <w:marRight w:val="0"/>
      <w:marTop w:val="0"/>
      <w:marBottom w:val="0"/>
      <w:divBdr>
        <w:top w:val="none" w:sz="0" w:space="0" w:color="auto"/>
        <w:left w:val="none" w:sz="0" w:space="0" w:color="auto"/>
        <w:bottom w:val="none" w:sz="0" w:space="0" w:color="auto"/>
        <w:right w:val="none" w:sz="0" w:space="0" w:color="auto"/>
      </w:divBdr>
    </w:div>
    <w:div w:id="1832941623">
      <w:bodyDiv w:val="1"/>
      <w:marLeft w:val="0"/>
      <w:marRight w:val="0"/>
      <w:marTop w:val="0"/>
      <w:marBottom w:val="0"/>
      <w:divBdr>
        <w:top w:val="none" w:sz="0" w:space="0" w:color="auto"/>
        <w:left w:val="none" w:sz="0" w:space="0" w:color="auto"/>
        <w:bottom w:val="none" w:sz="0" w:space="0" w:color="auto"/>
        <w:right w:val="none" w:sz="0" w:space="0" w:color="auto"/>
      </w:divBdr>
      <w:divsChild>
        <w:div w:id="1747727663">
          <w:marLeft w:val="0"/>
          <w:marRight w:val="0"/>
          <w:marTop w:val="0"/>
          <w:marBottom w:val="0"/>
          <w:divBdr>
            <w:top w:val="none" w:sz="0" w:space="0" w:color="auto"/>
            <w:left w:val="none" w:sz="0" w:space="0" w:color="auto"/>
            <w:bottom w:val="none" w:sz="0" w:space="0" w:color="auto"/>
            <w:right w:val="none" w:sz="0" w:space="0" w:color="auto"/>
          </w:divBdr>
        </w:div>
      </w:divsChild>
    </w:div>
    <w:div w:id="1834107363">
      <w:bodyDiv w:val="1"/>
      <w:marLeft w:val="0"/>
      <w:marRight w:val="0"/>
      <w:marTop w:val="0"/>
      <w:marBottom w:val="0"/>
      <w:divBdr>
        <w:top w:val="none" w:sz="0" w:space="0" w:color="auto"/>
        <w:left w:val="none" w:sz="0" w:space="0" w:color="auto"/>
        <w:bottom w:val="none" w:sz="0" w:space="0" w:color="auto"/>
        <w:right w:val="none" w:sz="0" w:space="0" w:color="auto"/>
      </w:divBdr>
    </w:div>
    <w:div w:id="1835487578">
      <w:bodyDiv w:val="1"/>
      <w:marLeft w:val="0"/>
      <w:marRight w:val="0"/>
      <w:marTop w:val="0"/>
      <w:marBottom w:val="0"/>
      <w:divBdr>
        <w:top w:val="none" w:sz="0" w:space="0" w:color="auto"/>
        <w:left w:val="none" w:sz="0" w:space="0" w:color="auto"/>
        <w:bottom w:val="none" w:sz="0" w:space="0" w:color="auto"/>
        <w:right w:val="none" w:sz="0" w:space="0" w:color="auto"/>
      </w:divBdr>
    </w:div>
    <w:div w:id="1881165654">
      <w:bodyDiv w:val="1"/>
      <w:marLeft w:val="0"/>
      <w:marRight w:val="0"/>
      <w:marTop w:val="0"/>
      <w:marBottom w:val="0"/>
      <w:divBdr>
        <w:top w:val="none" w:sz="0" w:space="0" w:color="auto"/>
        <w:left w:val="none" w:sz="0" w:space="0" w:color="auto"/>
        <w:bottom w:val="none" w:sz="0" w:space="0" w:color="auto"/>
        <w:right w:val="none" w:sz="0" w:space="0" w:color="auto"/>
      </w:divBdr>
      <w:divsChild>
        <w:div w:id="160510642">
          <w:marLeft w:val="0"/>
          <w:marRight w:val="0"/>
          <w:marTop w:val="0"/>
          <w:marBottom w:val="0"/>
          <w:divBdr>
            <w:top w:val="none" w:sz="0" w:space="0" w:color="auto"/>
            <w:left w:val="none" w:sz="0" w:space="0" w:color="auto"/>
            <w:bottom w:val="none" w:sz="0" w:space="0" w:color="auto"/>
            <w:right w:val="none" w:sz="0" w:space="0" w:color="auto"/>
          </w:divBdr>
          <w:divsChild>
            <w:div w:id="106333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719766">
      <w:bodyDiv w:val="1"/>
      <w:marLeft w:val="0"/>
      <w:marRight w:val="0"/>
      <w:marTop w:val="0"/>
      <w:marBottom w:val="0"/>
      <w:divBdr>
        <w:top w:val="none" w:sz="0" w:space="0" w:color="auto"/>
        <w:left w:val="none" w:sz="0" w:space="0" w:color="auto"/>
        <w:bottom w:val="none" w:sz="0" w:space="0" w:color="auto"/>
        <w:right w:val="none" w:sz="0" w:space="0" w:color="auto"/>
      </w:divBdr>
    </w:div>
    <w:div w:id="1909731107">
      <w:bodyDiv w:val="1"/>
      <w:marLeft w:val="0"/>
      <w:marRight w:val="0"/>
      <w:marTop w:val="0"/>
      <w:marBottom w:val="0"/>
      <w:divBdr>
        <w:top w:val="none" w:sz="0" w:space="0" w:color="auto"/>
        <w:left w:val="none" w:sz="0" w:space="0" w:color="auto"/>
        <w:bottom w:val="none" w:sz="0" w:space="0" w:color="auto"/>
        <w:right w:val="none" w:sz="0" w:space="0" w:color="auto"/>
      </w:divBdr>
    </w:div>
    <w:div w:id="1918634949">
      <w:bodyDiv w:val="1"/>
      <w:marLeft w:val="0"/>
      <w:marRight w:val="0"/>
      <w:marTop w:val="0"/>
      <w:marBottom w:val="0"/>
      <w:divBdr>
        <w:top w:val="none" w:sz="0" w:space="0" w:color="auto"/>
        <w:left w:val="none" w:sz="0" w:space="0" w:color="auto"/>
        <w:bottom w:val="none" w:sz="0" w:space="0" w:color="auto"/>
        <w:right w:val="none" w:sz="0" w:space="0" w:color="auto"/>
      </w:divBdr>
    </w:div>
    <w:div w:id="1930772735">
      <w:bodyDiv w:val="1"/>
      <w:marLeft w:val="0"/>
      <w:marRight w:val="0"/>
      <w:marTop w:val="0"/>
      <w:marBottom w:val="0"/>
      <w:divBdr>
        <w:top w:val="none" w:sz="0" w:space="0" w:color="auto"/>
        <w:left w:val="none" w:sz="0" w:space="0" w:color="auto"/>
        <w:bottom w:val="none" w:sz="0" w:space="0" w:color="auto"/>
        <w:right w:val="none" w:sz="0" w:space="0" w:color="auto"/>
      </w:divBdr>
      <w:divsChild>
        <w:div w:id="897786658">
          <w:marLeft w:val="0"/>
          <w:marRight w:val="0"/>
          <w:marTop w:val="0"/>
          <w:marBottom w:val="0"/>
          <w:divBdr>
            <w:top w:val="none" w:sz="0" w:space="0" w:color="auto"/>
            <w:left w:val="none" w:sz="0" w:space="0" w:color="auto"/>
            <w:bottom w:val="none" w:sz="0" w:space="0" w:color="auto"/>
            <w:right w:val="none" w:sz="0" w:space="0" w:color="auto"/>
          </w:divBdr>
          <w:divsChild>
            <w:div w:id="151206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037131">
      <w:bodyDiv w:val="1"/>
      <w:marLeft w:val="0"/>
      <w:marRight w:val="0"/>
      <w:marTop w:val="0"/>
      <w:marBottom w:val="0"/>
      <w:divBdr>
        <w:top w:val="none" w:sz="0" w:space="0" w:color="auto"/>
        <w:left w:val="none" w:sz="0" w:space="0" w:color="auto"/>
        <w:bottom w:val="none" w:sz="0" w:space="0" w:color="auto"/>
        <w:right w:val="none" w:sz="0" w:space="0" w:color="auto"/>
      </w:divBdr>
    </w:div>
    <w:div w:id="1953629093">
      <w:bodyDiv w:val="1"/>
      <w:marLeft w:val="0"/>
      <w:marRight w:val="0"/>
      <w:marTop w:val="0"/>
      <w:marBottom w:val="0"/>
      <w:divBdr>
        <w:top w:val="none" w:sz="0" w:space="0" w:color="auto"/>
        <w:left w:val="none" w:sz="0" w:space="0" w:color="auto"/>
        <w:bottom w:val="none" w:sz="0" w:space="0" w:color="auto"/>
        <w:right w:val="none" w:sz="0" w:space="0" w:color="auto"/>
      </w:divBdr>
    </w:div>
    <w:div w:id="1954093707">
      <w:bodyDiv w:val="1"/>
      <w:marLeft w:val="0"/>
      <w:marRight w:val="0"/>
      <w:marTop w:val="0"/>
      <w:marBottom w:val="0"/>
      <w:divBdr>
        <w:top w:val="none" w:sz="0" w:space="0" w:color="auto"/>
        <w:left w:val="none" w:sz="0" w:space="0" w:color="auto"/>
        <w:bottom w:val="none" w:sz="0" w:space="0" w:color="auto"/>
        <w:right w:val="none" w:sz="0" w:space="0" w:color="auto"/>
      </w:divBdr>
    </w:div>
    <w:div w:id="1970742487">
      <w:bodyDiv w:val="1"/>
      <w:marLeft w:val="0"/>
      <w:marRight w:val="0"/>
      <w:marTop w:val="0"/>
      <w:marBottom w:val="0"/>
      <w:divBdr>
        <w:top w:val="none" w:sz="0" w:space="0" w:color="auto"/>
        <w:left w:val="none" w:sz="0" w:space="0" w:color="auto"/>
        <w:bottom w:val="none" w:sz="0" w:space="0" w:color="auto"/>
        <w:right w:val="none" w:sz="0" w:space="0" w:color="auto"/>
      </w:divBdr>
      <w:divsChild>
        <w:div w:id="2028437399">
          <w:marLeft w:val="0"/>
          <w:marRight w:val="0"/>
          <w:marTop w:val="0"/>
          <w:marBottom w:val="0"/>
          <w:divBdr>
            <w:top w:val="none" w:sz="0" w:space="0" w:color="auto"/>
            <w:left w:val="none" w:sz="0" w:space="0" w:color="auto"/>
            <w:bottom w:val="none" w:sz="0" w:space="0" w:color="auto"/>
            <w:right w:val="none" w:sz="0" w:space="0" w:color="auto"/>
          </w:divBdr>
          <w:divsChild>
            <w:div w:id="107219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939447">
      <w:bodyDiv w:val="1"/>
      <w:marLeft w:val="0"/>
      <w:marRight w:val="0"/>
      <w:marTop w:val="0"/>
      <w:marBottom w:val="0"/>
      <w:divBdr>
        <w:top w:val="none" w:sz="0" w:space="0" w:color="auto"/>
        <w:left w:val="none" w:sz="0" w:space="0" w:color="auto"/>
        <w:bottom w:val="none" w:sz="0" w:space="0" w:color="auto"/>
        <w:right w:val="none" w:sz="0" w:space="0" w:color="auto"/>
      </w:divBdr>
    </w:div>
    <w:div w:id="2049407102">
      <w:bodyDiv w:val="1"/>
      <w:marLeft w:val="0"/>
      <w:marRight w:val="0"/>
      <w:marTop w:val="0"/>
      <w:marBottom w:val="0"/>
      <w:divBdr>
        <w:top w:val="none" w:sz="0" w:space="0" w:color="auto"/>
        <w:left w:val="none" w:sz="0" w:space="0" w:color="auto"/>
        <w:bottom w:val="none" w:sz="0" w:space="0" w:color="auto"/>
        <w:right w:val="none" w:sz="0" w:space="0" w:color="auto"/>
      </w:divBdr>
      <w:divsChild>
        <w:div w:id="2126119472">
          <w:marLeft w:val="0"/>
          <w:marRight w:val="0"/>
          <w:marTop w:val="0"/>
          <w:marBottom w:val="0"/>
          <w:divBdr>
            <w:top w:val="none" w:sz="0" w:space="0" w:color="auto"/>
            <w:left w:val="none" w:sz="0" w:space="0" w:color="auto"/>
            <w:bottom w:val="none" w:sz="0" w:space="0" w:color="auto"/>
            <w:right w:val="none" w:sz="0" w:space="0" w:color="auto"/>
          </w:divBdr>
          <w:divsChild>
            <w:div w:id="1738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985249">
      <w:bodyDiv w:val="1"/>
      <w:marLeft w:val="0"/>
      <w:marRight w:val="0"/>
      <w:marTop w:val="0"/>
      <w:marBottom w:val="0"/>
      <w:divBdr>
        <w:top w:val="none" w:sz="0" w:space="0" w:color="auto"/>
        <w:left w:val="none" w:sz="0" w:space="0" w:color="auto"/>
        <w:bottom w:val="none" w:sz="0" w:space="0" w:color="auto"/>
        <w:right w:val="none" w:sz="0" w:space="0" w:color="auto"/>
      </w:divBdr>
    </w:div>
    <w:div w:id="213532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6481/umarep.2014003" TargetMode="External"/><Relationship Id="rId21" Type="http://schemas.openxmlformats.org/officeDocument/2006/relationships/hyperlink" Target="https://doi.org/10.1108/SHR-01-2025-0008" TargetMode="External"/><Relationship Id="rId42" Type="http://schemas.openxmlformats.org/officeDocument/2006/relationships/hyperlink" Target="https://www.ipa-involve.com/Pages/FAQs/Category/working-with-trade-us" TargetMode="External"/><Relationship Id="rId47" Type="http://schemas.openxmlformats.org/officeDocument/2006/relationships/hyperlink" Target="https://doi.org/10.3390/agriculture14091554" TargetMode="External"/><Relationship Id="rId63" Type="http://schemas.openxmlformats.org/officeDocument/2006/relationships/hyperlink" Target="https://doi.org/10.1007/s11269-012-0077-2" TargetMode="External"/><Relationship Id="rId68" Type="http://schemas.openxmlformats.org/officeDocument/2006/relationships/header" Target="header1.xml"/><Relationship Id="rId7" Type="http://schemas.openxmlformats.org/officeDocument/2006/relationships/endnotes" Target="endnotes.xml"/><Relationship Id="rId71"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doi.org/10.1016/j.heliyon.2024.e33018" TargetMode="External"/><Relationship Id="rId29" Type="http://schemas.openxmlformats.org/officeDocument/2006/relationships/hyperlink" Target="http://dx.doi.org/10.5281/zenodo.13922003" TargetMode="External"/><Relationship Id="rId11" Type="http://schemas.microsoft.com/office/2016/09/relationships/commentsIds" Target="commentsIds.xml"/><Relationship Id="rId24" Type="http://schemas.openxmlformats.org/officeDocument/2006/relationships/hyperlink" Target="https://books.google.co.uk/books?hl=en&amp;lr=&amp;id=UlzXDwAAQBAJ&amp;oi=fnd&amp;pg=PA445&amp;dq=The+implementation+of+an+anonymous+reporting+system+and+the+appointment+of+an+internal+ombudsman+will+further+strengthen+the+organisation%E2%80%99s+ability+to+address+workplace+misconduct+effectively&amp;ots=GTP4l3x9eO&amp;sig=k9nPIhCKSBFOmr-vwxNG2K-eG1g" TargetMode="External"/><Relationship Id="rId32" Type="http://schemas.openxmlformats.org/officeDocument/2006/relationships/hyperlink" Target="https://www.cipd.org/uk/knowledge/podcasts/skilling-up-now-and-for-the-future/" TargetMode="External"/><Relationship Id="rId37" Type="http://schemas.openxmlformats.org/officeDocument/2006/relationships/hyperlink" Target="https://doi.org/10.17615/fj36-xy60" TargetMode="External"/><Relationship Id="rId40" Type="http://schemas.openxmlformats.org/officeDocument/2006/relationships/hyperlink" Target="https://publications.parliament.uk/pa/bills/cbill/59-01/0011/240011.pdf" TargetMode="External"/><Relationship Id="rId45" Type="http://schemas.openxmlformats.org/officeDocument/2006/relationships/hyperlink" Target="https://doi.org/10.34667/tind.44906" TargetMode="External"/><Relationship Id="rId53" Type="http://schemas.openxmlformats.org/officeDocument/2006/relationships/hyperlink" Target="https://lup.lub.lu.se/luur/download?func=downloadFile&amp;recordOId=9167376&amp;fileOId=9167379" TargetMode="External"/><Relationship Id="rId58" Type="http://schemas.openxmlformats.org/officeDocument/2006/relationships/hyperlink" Target="https://doi.org/10.61345/2734-8873.2024.1.11" TargetMode="External"/><Relationship Id="rId66" Type="http://schemas.openxmlformats.org/officeDocument/2006/relationships/hyperlink" Target="https://metsrujan.com/index.php/description/article/view/5/6" TargetMode="External"/><Relationship Id="rId5" Type="http://schemas.openxmlformats.org/officeDocument/2006/relationships/webSettings" Target="webSettings.xml"/><Relationship Id="rId61" Type="http://schemas.openxmlformats.org/officeDocument/2006/relationships/hyperlink" Target="https://doi.org/10.1007/978-981-97-1215-1_3" TargetMode="External"/><Relationship Id="rId19" Type="http://schemas.openxmlformats.org/officeDocument/2006/relationships/hyperlink" Target="https://www.emerald.com/insight/search?q=Emmanuel%20Senior%20Tenakwah" TargetMode="External"/><Relationship Id="rId14" Type="http://schemas.openxmlformats.org/officeDocument/2006/relationships/hyperlink" Target="https://www.acas.org.uk/acas-welcomes-governments-focus-on-workforce-relations" TargetMode="External"/><Relationship Id="rId22" Type="http://schemas.openxmlformats.org/officeDocument/2006/relationships/hyperlink" Target="https://www.abs.gov.au/statistics/labour/earnings-and-working-conditions/trade-union-membership/latest-release" TargetMode="External"/><Relationship Id="rId27" Type="http://schemas.openxmlformats.org/officeDocument/2006/relationships/hyperlink" Target="https://doi.org/10.1177/23970022241239257" TargetMode="External"/><Relationship Id="rId30" Type="http://schemas.openxmlformats.org/officeDocument/2006/relationships/hyperlink" Target="https://doi.org/10.3390/su13052517" TargetMode="External"/><Relationship Id="rId35" Type="http://schemas.openxmlformats.org/officeDocument/2006/relationships/hyperlink" Target="http://dx.doi.org/10.15185/izawol.162.v2" TargetMode="External"/><Relationship Id="rId43" Type="http://schemas.openxmlformats.org/officeDocument/2006/relationships/hyperlink" Target="https://doi.org/10.1080/13639080.2021.1983524" TargetMode="External"/><Relationship Id="rId48" Type="http://schemas.openxmlformats.org/officeDocument/2006/relationships/hyperlink" Target="https://doi.org/10.1080/09585192.2015.1023331" TargetMode="External"/><Relationship Id="rId56" Type="http://schemas.openxmlformats.org/officeDocument/2006/relationships/hyperlink" Target="https://cver.lse.ac.uk/textonly/cver/pubs/cverdp034.pdf" TargetMode="External"/><Relationship Id="rId64" Type="http://schemas.openxmlformats.org/officeDocument/2006/relationships/hyperlink" Target="https://doi.org/10.3390/su16041517" TargetMode="External"/><Relationship Id="rId69" Type="http://schemas.openxmlformats.org/officeDocument/2006/relationships/footer" Target="footer1.xml"/><Relationship Id="rId8" Type="http://schemas.openxmlformats.org/officeDocument/2006/relationships/hyperlink" Target="https://www.emerald.com/insight/search?q=Esther%20Asiedu" TargetMode="External"/><Relationship Id="rId51" Type="http://schemas.openxmlformats.org/officeDocument/2006/relationships/hyperlink" Target="https://doi.org/10.1186/s12912-023-01228-6" TargetMode="External"/><Relationship Id="rId72" Type="http://schemas.openxmlformats.org/officeDocument/2006/relationships/theme" Target="theme/theme1.xm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hyperlink" Target="https://doi.org/10.1080/09585192.2012.722118" TargetMode="External"/><Relationship Id="rId25" Type="http://schemas.openxmlformats.org/officeDocument/2006/relationships/hyperlink" Target="http://dx.doi.org/10.1016/j.ijproman.2022.05.006" TargetMode="External"/><Relationship Id="rId33" Type="http://schemas.openxmlformats.org/officeDocument/2006/relationships/hyperlink" Target="https://doi.org/10.4018/979-8-3693-3856-8.ch002" TargetMode="External"/><Relationship Id="rId38" Type="http://schemas.openxmlformats.org/officeDocument/2006/relationships/hyperlink" Target="https://doi.org/10.5465/ame.1998.1333922" TargetMode="External"/><Relationship Id="rId46" Type="http://schemas.openxmlformats.org/officeDocument/2006/relationships/hyperlink" Target="https://doi.org/10.1016/j.jenvman.2006.01.013" TargetMode="External"/><Relationship Id="rId59" Type="http://schemas.openxmlformats.org/officeDocument/2006/relationships/hyperlink" Target="https://doi.org/10.4324/9781003578840" TargetMode="External"/><Relationship Id="rId67" Type="http://schemas.openxmlformats.org/officeDocument/2006/relationships/hyperlink" Target="https://doi.org/10.12968/opti.2024.269.6941.17" TargetMode="External"/><Relationship Id="rId20" Type="http://schemas.openxmlformats.org/officeDocument/2006/relationships/hyperlink" Target="https://www.emerald.com/insight/publication/issn/1475-4398" TargetMode="External"/><Relationship Id="rId41" Type="http://schemas.openxmlformats.org/officeDocument/2006/relationships/hyperlink" Target="https://www.nibusinessinfo.co.uk/content/new-guidance-help-eliminate-workplace-sexual-harassment" TargetMode="External"/><Relationship Id="rId54" Type="http://schemas.openxmlformats.org/officeDocument/2006/relationships/hyperlink" Target="https://doi.org/10.37531/ecotal.v5i1.1287" TargetMode="External"/><Relationship Id="rId62" Type="http://schemas.openxmlformats.org/officeDocument/2006/relationships/hyperlink" Target="https://doi.org/10.1371/journal.pone.0278830"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gitalcommons.pepperdine.edu/drlj/vol24/iss1/6" TargetMode="External"/><Relationship Id="rId23" Type="http://schemas.openxmlformats.org/officeDocument/2006/relationships/hyperlink" Target="https://www.bbc.co.uk/news/business-65388445" TargetMode="External"/><Relationship Id="rId28" Type="http://schemas.openxmlformats.org/officeDocument/2006/relationships/hyperlink" Target="https://doi.org/10.1136/inpract.31.1.37" TargetMode="External"/><Relationship Id="rId36" Type="http://schemas.openxmlformats.org/officeDocument/2006/relationships/hyperlink" Target="https://eur01.safelinks.protection.outlook.com/?url=https%3A%2F%2Fdoi.org%2F10.1007%2F978-94-017-8902-8_16&amp;data=05%7C02%7C0600733%40student.uwtsd.ac.uk%7C2d27d838bc2346d138bb08dd6891d120%7C4e0f11f9046e45059cb8db2152311e21%7C0%7C0%7C638781697937285943%7CUnknown%7CTWFpbGZsb3d8eyJFbXB0eU1hcGkiOnRydWUsIlYiOiIwLjAuMDAwMCIsIlAiOiJXaW4zMiIsIkFOIjoiTWFpbCIsIldUIjoyfQ%3D%3D%7C0%7C%7C%7C&amp;sdata=ubdUst16QTGx5erXSaDxI1qz7pep1OZJZl4MQhy5Zrg%3D&amp;reserved=0" TargetMode="External"/><Relationship Id="rId49" Type="http://schemas.openxmlformats.org/officeDocument/2006/relationships/hyperlink" Target="https://doi.org/10.1080/00071005.2012.756170" TargetMode="External"/><Relationship Id="rId57" Type="http://schemas.openxmlformats.org/officeDocument/2006/relationships/hyperlink" Target="https://doi.org/10.1177/0143831X221148235" TargetMode="External"/><Relationship Id="rId10" Type="http://schemas.microsoft.com/office/2011/relationships/commentsExtended" Target="commentsExtended.xml"/><Relationship Id="rId31" Type="http://schemas.openxmlformats.org/officeDocument/2006/relationships/hyperlink" Target="https://www.cipd.org/en/knowledge/factsheets/pestle-analysis-factsheet/" TargetMode="External"/><Relationship Id="rId44" Type="http://schemas.openxmlformats.org/officeDocument/2006/relationships/hyperlink" Target="https://doi.org/10.1111/j.1937-8327.2006.tb00386.x" TargetMode="External"/><Relationship Id="rId52" Type="http://schemas.openxmlformats.org/officeDocument/2006/relationships/hyperlink" Target="https://www.davidsonmorris.com/trade-union-act-1992/" TargetMode="External"/><Relationship Id="rId60" Type="http://schemas.openxmlformats.org/officeDocument/2006/relationships/hyperlink" Target="https://doi.org/10.1177/0143831X221139333" TargetMode="External"/><Relationship Id="rId65" Type="http://schemas.openxmlformats.org/officeDocument/2006/relationships/hyperlink" Target="https://doi.org/10.1007/978-3-658-29924-8_10" TargetMode="Externa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yperlink" Target="https://www.acas.org.uk/about-us" TargetMode="External"/><Relationship Id="rId18" Type="http://schemas.openxmlformats.org/officeDocument/2006/relationships/hyperlink" Target="https://www.emerald.com/insight/search?q=Esther%20Asiedu" TargetMode="External"/><Relationship Id="rId39" Type="http://schemas.openxmlformats.org/officeDocument/2006/relationships/hyperlink" Target="http://dx.doi.org/10.1016/S0024-6301(96)00095-7" TargetMode="External"/><Relationship Id="rId34" Type="http://schemas.openxmlformats.org/officeDocument/2006/relationships/hyperlink" Target="https://doi.org/10.1016/j.actpsy.2022.103816" TargetMode="External"/><Relationship Id="rId50" Type="http://schemas.openxmlformats.org/officeDocument/2006/relationships/hyperlink" Target="https://doi.org/10.1177/002224299906300202" TargetMode="External"/><Relationship Id="rId55" Type="http://schemas.openxmlformats.org/officeDocument/2006/relationships/hyperlink" Target="https://www.ons.gov.uk/peoplepopulationandcommunity/populationandmigration/populationestimates/articles/populationandmigrationstatisticstransformationceredigioncasestudy/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707AD-CFEC-44CE-BA04-8ACE6E57F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7713</Words>
  <Characters>43970</Characters>
  <Application>Microsoft Office Word</Application>
  <DocSecurity>0</DocSecurity>
  <Lines>366</Lines>
  <Paragraphs>103</Paragraphs>
  <ScaleCrop>false</ScaleCrop>
  <Company/>
  <LinksUpToDate>false</LinksUpToDate>
  <CharactersWithSpaces>51580</CharactersWithSpaces>
  <SharedDoc>false</SharedDoc>
  <HLinks>
    <vt:vector size="336" baseType="variant">
      <vt:variant>
        <vt:i4>2883687</vt:i4>
      </vt:variant>
      <vt:variant>
        <vt:i4>165</vt:i4>
      </vt:variant>
      <vt:variant>
        <vt:i4>0</vt:i4>
      </vt:variant>
      <vt:variant>
        <vt:i4>5</vt:i4>
      </vt:variant>
      <vt:variant>
        <vt:lpwstr>https://doi.org/10.12968/opti.2024.269.6941.17</vt:lpwstr>
      </vt:variant>
      <vt:variant>
        <vt:lpwstr/>
      </vt:variant>
      <vt:variant>
        <vt:i4>7143467</vt:i4>
      </vt:variant>
      <vt:variant>
        <vt:i4>162</vt:i4>
      </vt:variant>
      <vt:variant>
        <vt:i4>0</vt:i4>
      </vt:variant>
      <vt:variant>
        <vt:i4>5</vt:i4>
      </vt:variant>
      <vt:variant>
        <vt:lpwstr>https://doi.org/10.3390/su16041517</vt:lpwstr>
      </vt:variant>
      <vt:variant>
        <vt:lpwstr/>
      </vt:variant>
      <vt:variant>
        <vt:i4>65567</vt:i4>
      </vt:variant>
      <vt:variant>
        <vt:i4>159</vt:i4>
      </vt:variant>
      <vt:variant>
        <vt:i4>0</vt:i4>
      </vt:variant>
      <vt:variant>
        <vt:i4>5</vt:i4>
      </vt:variant>
      <vt:variant>
        <vt:lpwstr>https://doi.org/10.1007/s11269-012-0077-2</vt:lpwstr>
      </vt:variant>
      <vt:variant>
        <vt:lpwstr/>
      </vt:variant>
      <vt:variant>
        <vt:i4>4390988</vt:i4>
      </vt:variant>
      <vt:variant>
        <vt:i4>156</vt:i4>
      </vt:variant>
      <vt:variant>
        <vt:i4>0</vt:i4>
      </vt:variant>
      <vt:variant>
        <vt:i4>5</vt:i4>
      </vt:variant>
      <vt:variant>
        <vt:lpwstr>https://doi.org/10.1371/journal.pone.0278830</vt:lpwstr>
      </vt:variant>
      <vt:variant>
        <vt:lpwstr/>
      </vt:variant>
      <vt:variant>
        <vt:i4>5832822</vt:i4>
      </vt:variant>
      <vt:variant>
        <vt:i4>153</vt:i4>
      </vt:variant>
      <vt:variant>
        <vt:i4>0</vt:i4>
      </vt:variant>
      <vt:variant>
        <vt:i4>5</vt:i4>
      </vt:variant>
      <vt:variant>
        <vt:lpwstr>https://doi.org/10.1007/978-981-97-1215-1_3</vt:lpwstr>
      </vt:variant>
      <vt:variant>
        <vt:lpwstr/>
      </vt:variant>
      <vt:variant>
        <vt:i4>5505106</vt:i4>
      </vt:variant>
      <vt:variant>
        <vt:i4>150</vt:i4>
      </vt:variant>
      <vt:variant>
        <vt:i4>0</vt:i4>
      </vt:variant>
      <vt:variant>
        <vt:i4>5</vt:i4>
      </vt:variant>
      <vt:variant>
        <vt:lpwstr>https://doi.org/10.1177/0143831X221139333</vt:lpwstr>
      </vt:variant>
      <vt:variant>
        <vt:lpwstr/>
      </vt:variant>
      <vt:variant>
        <vt:i4>1769552</vt:i4>
      </vt:variant>
      <vt:variant>
        <vt:i4>147</vt:i4>
      </vt:variant>
      <vt:variant>
        <vt:i4>0</vt:i4>
      </vt:variant>
      <vt:variant>
        <vt:i4>5</vt:i4>
      </vt:variant>
      <vt:variant>
        <vt:lpwstr>https://doi.org/10.4324/9781003578840</vt:lpwstr>
      </vt:variant>
      <vt:variant>
        <vt:lpwstr/>
      </vt:variant>
      <vt:variant>
        <vt:i4>1769558</vt:i4>
      </vt:variant>
      <vt:variant>
        <vt:i4>144</vt:i4>
      </vt:variant>
      <vt:variant>
        <vt:i4>0</vt:i4>
      </vt:variant>
      <vt:variant>
        <vt:i4>5</vt:i4>
      </vt:variant>
      <vt:variant>
        <vt:lpwstr>https://doi.org/10.61345/2734-8873.2024.1.11</vt:lpwstr>
      </vt:variant>
      <vt:variant>
        <vt:lpwstr/>
      </vt:variant>
      <vt:variant>
        <vt:i4>5570644</vt:i4>
      </vt:variant>
      <vt:variant>
        <vt:i4>141</vt:i4>
      </vt:variant>
      <vt:variant>
        <vt:i4>0</vt:i4>
      </vt:variant>
      <vt:variant>
        <vt:i4>5</vt:i4>
      </vt:variant>
      <vt:variant>
        <vt:lpwstr>https://doi.org/10.1177/0143831X221148235</vt:lpwstr>
      </vt:variant>
      <vt:variant>
        <vt:lpwstr/>
      </vt:variant>
      <vt:variant>
        <vt:i4>7667833</vt:i4>
      </vt:variant>
      <vt:variant>
        <vt:i4>138</vt:i4>
      </vt:variant>
      <vt:variant>
        <vt:i4>0</vt:i4>
      </vt:variant>
      <vt:variant>
        <vt:i4>5</vt:i4>
      </vt:variant>
      <vt:variant>
        <vt:lpwstr>https://www.ons.gov.uk/peoplepopulationandcommunity/populationandmigration/populationestimates/articles/populationandmigrationstatisticstransformationceredigioncasestudy/2023</vt:lpwstr>
      </vt:variant>
      <vt:variant>
        <vt:lpwstr/>
      </vt:variant>
      <vt:variant>
        <vt:i4>4325385</vt:i4>
      </vt:variant>
      <vt:variant>
        <vt:i4>135</vt:i4>
      </vt:variant>
      <vt:variant>
        <vt:i4>0</vt:i4>
      </vt:variant>
      <vt:variant>
        <vt:i4>5</vt:i4>
      </vt:variant>
      <vt:variant>
        <vt:lpwstr>https://doi.org/10.37531/ecotal.v5i1.1287</vt:lpwstr>
      </vt:variant>
      <vt:variant>
        <vt:lpwstr/>
      </vt:variant>
      <vt:variant>
        <vt:i4>851987</vt:i4>
      </vt:variant>
      <vt:variant>
        <vt:i4>132</vt:i4>
      </vt:variant>
      <vt:variant>
        <vt:i4>0</vt:i4>
      </vt:variant>
      <vt:variant>
        <vt:i4>5</vt:i4>
      </vt:variant>
      <vt:variant>
        <vt:lpwstr>https://www.davidsonmorris.com/trade-union-act-1992/</vt:lpwstr>
      </vt:variant>
      <vt:variant>
        <vt:lpwstr/>
      </vt:variant>
      <vt:variant>
        <vt:i4>3014705</vt:i4>
      </vt:variant>
      <vt:variant>
        <vt:i4>129</vt:i4>
      </vt:variant>
      <vt:variant>
        <vt:i4>0</vt:i4>
      </vt:variant>
      <vt:variant>
        <vt:i4>5</vt:i4>
      </vt:variant>
      <vt:variant>
        <vt:lpwstr>https://doi.org/10.1186/s12912-023-01228-6</vt:lpwstr>
      </vt:variant>
      <vt:variant>
        <vt:lpwstr/>
      </vt:variant>
      <vt:variant>
        <vt:i4>2359396</vt:i4>
      </vt:variant>
      <vt:variant>
        <vt:i4>126</vt:i4>
      </vt:variant>
      <vt:variant>
        <vt:i4>0</vt:i4>
      </vt:variant>
      <vt:variant>
        <vt:i4>5</vt:i4>
      </vt:variant>
      <vt:variant>
        <vt:lpwstr>https://doi.org/10.1177/002224299906300202</vt:lpwstr>
      </vt:variant>
      <vt:variant>
        <vt:lpwstr/>
      </vt:variant>
      <vt:variant>
        <vt:i4>65</vt:i4>
      </vt:variant>
      <vt:variant>
        <vt:i4>123</vt:i4>
      </vt:variant>
      <vt:variant>
        <vt:i4>0</vt:i4>
      </vt:variant>
      <vt:variant>
        <vt:i4>5</vt:i4>
      </vt:variant>
      <vt:variant>
        <vt:lpwstr>https://doi.org/10.1080/00071005.2012.756170</vt:lpwstr>
      </vt:variant>
      <vt:variant>
        <vt:lpwstr/>
      </vt:variant>
      <vt:variant>
        <vt:i4>262216</vt:i4>
      </vt:variant>
      <vt:variant>
        <vt:i4>120</vt:i4>
      </vt:variant>
      <vt:variant>
        <vt:i4>0</vt:i4>
      </vt:variant>
      <vt:variant>
        <vt:i4>5</vt:i4>
      </vt:variant>
      <vt:variant>
        <vt:lpwstr>https://doi.org/10.1080/09585192.2015.1023331</vt:lpwstr>
      </vt:variant>
      <vt:variant>
        <vt:lpwstr/>
      </vt:variant>
      <vt:variant>
        <vt:i4>6291565</vt:i4>
      </vt:variant>
      <vt:variant>
        <vt:i4>117</vt:i4>
      </vt:variant>
      <vt:variant>
        <vt:i4>0</vt:i4>
      </vt:variant>
      <vt:variant>
        <vt:i4>5</vt:i4>
      </vt:variant>
      <vt:variant>
        <vt:lpwstr>https://doi.org/10.3390/agriculture14091554</vt:lpwstr>
      </vt:variant>
      <vt:variant>
        <vt:lpwstr/>
      </vt:variant>
      <vt:variant>
        <vt:i4>4784156</vt:i4>
      </vt:variant>
      <vt:variant>
        <vt:i4>114</vt:i4>
      </vt:variant>
      <vt:variant>
        <vt:i4>0</vt:i4>
      </vt:variant>
      <vt:variant>
        <vt:i4>5</vt:i4>
      </vt:variant>
      <vt:variant>
        <vt:lpwstr>https://doi.org/10.1016/j.jenvman.2006.01.013</vt:lpwstr>
      </vt:variant>
      <vt:variant>
        <vt:lpwstr/>
      </vt:variant>
      <vt:variant>
        <vt:i4>4128887</vt:i4>
      </vt:variant>
      <vt:variant>
        <vt:i4>111</vt:i4>
      </vt:variant>
      <vt:variant>
        <vt:i4>0</vt:i4>
      </vt:variant>
      <vt:variant>
        <vt:i4>5</vt:i4>
      </vt:variant>
      <vt:variant>
        <vt:lpwstr>https://doi.org/10.34667/tind.44906</vt:lpwstr>
      </vt:variant>
      <vt:variant>
        <vt:lpwstr/>
      </vt:variant>
      <vt:variant>
        <vt:i4>2687091</vt:i4>
      </vt:variant>
      <vt:variant>
        <vt:i4>108</vt:i4>
      </vt:variant>
      <vt:variant>
        <vt:i4>0</vt:i4>
      </vt:variant>
      <vt:variant>
        <vt:i4>5</vt:i4>
      </vt:variant>
      <vt:variant>
        <vt:lpwstr>https://doi.org/10.1111/j.1937-8327.2006.tb00386.x</vt:lpwstr>
      </vt:variant>
      <vt:variant>
        <vt:lpwstr/>
      </vt:variant>
      <vt:variant>
        <vt:i4>852047</vt:i4>
      </vt:variant>
      <vt:variant>
        <vt:i4>105</vt:i4>
      </vt:variant>
      <vt:variant>
        <vt:i4>0</vt:i4>
      </vt:variant>
      <vt:variant>
        <vt:i4>5</vt:i4>
      </vt:variant>
      <vt:variant>
        <vt:lpwstr>https://doi.org/10.1080/13639080.2021.1983524</vt:lpwstr>
      </vt:variant>
      <vt:variant>
        <vt:lpwstr/>
      </vt:variant>
      <vt:variant>
        <vt:i4>5963776</vt:i4>
      </vt:variant>
      <vt:variant>
        <vt:i4>102</vt:i4>
      </vt:variant>
      <vt:variant>
        <vt:i4>0</vt:i4>
      </vt:variant>
      <vt:variant>
        <vt:i4>5</vt:i4>
      </vt:variant>
      <vt:variant>
        <vt:lpwstr>https://www.ipa-involve.com/Pages/FAQs/Category/working-with-trade-us</vt:lpwstr>
      </vt:variant>
      <vt:variant>
        <vt:lpwstr/>
      </vt:variant>
      <vt:variant>
        <vt:i4>524305</vt:i4>
      </vt:variant>
      <vt:variant>
        <vt:i4>99</vt:i4>
      </vt:variant>
      <vt:variant>
        <vt:i4>0</vt:i4>
      </vt:variant>
      <vt:variant>
        <vt:i4>5</vt:i4>
      </vt:variant>
      <vt:variant>
        <vt:lpwstr>https://www.nibusinessinfo.co.uk/content/new-guidance-help-eliminate-workplace-sexual-harassment</vt:lpwstr>
      </vt:variant>
      <vt:variant>
        <vt:lpwstr/>
      </vt:variant>
      <vt:variant>
        <vt:i4>2359404</vt:i4>
      </vt:variant>
      <vt:variant>
        <vt:i4>96</vt:i4>
      </vt:variant>
      <vt:variant>
        <vt:i4>0</vt:i4>
      </vt:variant>
      <vt:variant>
        <vt:i4>5</vt:i4>
      </vt:variant>
      <vt:variant>
        <vt:lpwstr>https://publications.parliament.uk/pa/bills/cbill/59-01/0011/240011.pdf</vt:lpwstr>
      </vt:variant>
      <vt:variant>
        <vt:lpwstr/>
      </vt:variant>
      <vt:variant>
        <vt:i4>8060983</vt:i4>
      </vt:variant>
      <vt:variant>
        <vt:i4>93</vt:i4>
      </vt:variant>
      <vt:variant>
        <vt:i4>0</vt:i4>
      </vt:variant>
      <vt:variant>
        <vt:i4>5</vt:i4>
      </vt:variant>
      <vt:variant>
        <vt:lpwstr>http://dx.doi.org/10.1016/S0024-6301(96)00095-7</vt:lpwstr>
      </vt:variant>
      <vt:variant>
        <vt:lpwstr/>
      </vt:variant>
      <vt:variant>
        <vt:i4>5898315</vt:i4>
      </vt:variant>
      <vt:variant>
        <vt:i4>90</vt:i4>
      </vt:variant>
      <vt:variant>
        <vt:i4>0</vt:i4>
      </vt:variant>
      <vt:variant>
        <vt:i4>5</vt:i4>
      </vt:variant>
      <vt:variant>
        <vt:lpwstr>https://doi.org/10.5465/ame.1998.1333922</vt:lpwstr>
      </vt:variant>
      <vt:variant>
        <vt:lpwstr/>
      </vt:variant>
      <vt:variant>
        <vt:i4>4063329</vt:i4>
      </vt:variant>
      <vt:variant>
        <vt:i4>87</vt:i4>
      </vt:variant>
      <vt:variant>
        <vt:i4>0</vt:i4>
      </vt:variant>
      <vt:variant>
        <vt:i4>5</vt:i4>
      </vt:variant>
      <vt:variant>
        <vt:lpwstr>https://doi.org/10.17615/fj36-xy60</vt:lpwstr>
      </vt:variant>
      <vt:variant>
        <vt:lpwstr/>
      </vt:variant>
      <vt:variant>
        <vt:i4>1769565</vt:i4>
      </vt:variant>
      <vt:variant>
        <vt:i4>84</vt:i4>
      </vt:variant>
      <vt:variant>
        <vt:i4>0</vt:i4>
      </vt:variant>
      <vt:variant>
        <vt:i4>5</vt:i4>
      </vt:variant>
      <vt:variant>
        <vt:lpwstr>http://dx.doi.org/10.15185/izawol.162.v2</vt:lpwstr>
      </vt:variant>
      <vt:variant>
        <vt:lpwstr/>
      </vt:variant>
      <vt:variant>
        <vt:i4>4587599</vt:i4>
      </vt:variant>
      <vt:variant>
        <vt:i4>81</vt:i4>
      </vt:variant>
      <vt:variant>
        <vt:i4>0</vt:i4>
      </vt:variant>
      <vt:variant>
        <vt:i4>5</vt:i4>
      </vt:variant>
      <vt:variant>
        <vt:lpwstr>https://doi.org/10.1016/j.actpsy.2022.103816</vt:lpwstr>
      </vt:variant>
      <vt:variant>
        <vt:lpwstr/>
      </vt:variant>
      <vt:variant>
        <vt:i4>3932222</vt:i4>
      </vt:variant>
      <vt:variant>
        <vt:i4>78</vt:i4>
      </vt:variant>
      <vt:variant>
        <vt:i4>0</vt:i4>
      </vt:variant>
      <vt:variant>
        <vt:i4>5</vt:i4>
      </vt:variant>
      <vt:variant>
        <vt:lpwstr>https://www.cipd.org/uk/knowledge/podcasts/skilling-up-now-and-for-the-future/</vt:lpwstr>
      </vt:variant>
      <vt:variant>
        <vt:lpwstr/>
      </vt:variant>
      <vt:variant>
        <vt:i4>8323134</vt:i4>
      </vt:variant>
      <vt:variant>
        <vt:i4>75</vt:i4>
      </vt:variant>
      <vt:variant>
        <vt:i4>0</vt:i4>
      </vt:variant>
      <vt:variant>
        <vt:i4>5</vt:i4>
      </vt:variant>
      <vt:variant>
        <vt:lpwstr>https://www.cipd.org/en/knowledge/factsheets/pestle-analysis-factsheet/</vt:lpwstr>
      </vt:variant>
      <vt:variant>
        <vt:lpwstr/>
      </vt:variant>
      <vt:variant>
        <vt:i4>6881320</vt:i4>
      </vt:variant>
      <vt:variant>
        <vt:i4>72</vt:i4>
      </vt:variant>
      <vt:variant>
        <vt:i4>0</vt:i4>
      </vt:variant>
      <vt:variant>
        <vt:i4>5</vt:i4>
      </vt:variant>
      <vt:variant>
        <vt:lpwstr>https://doi.org/10.3390/su13052517</vt:lpwstr>
      </vt:variant>
      <vt:variant>
        <vt:lpwstr/>
      </vt:variant>
      <vt:variant>
        <vt:i4>7</vt:i4>
      </vt:variant>
      <vt:variant>
        <vt:i4>69</vt:i4>
      </vt:variant>
      <vt:variant>
        <vt:i4>0</vt:i4>
      </vt:variant>
      <vt:variant>
        <vt:i4>5</vt:i4>
      </vt:variant>
      <vt:variant>
        <vt:lpwstr>http://dx.doi.org/10.5281/zenodo.13922003</vt:lpwstr>
      </vt:variant>
      <vt:variant>
        <vt:lpwstr/>
      </vt:variant>
      <vt:variant>
        <vt:i4>7471202</vt:i4>
      </vt:variant>
      <vt:variant>
        <vt:i4>66</vt:i4>
      </vt:variant>
      <vt:variant>
        <vt:i4>0</vt:i4>
      </vt:variant>
      <vt:variant>
        <vt:i4>5</vt:i4>
      </vt:variant>
      <vt:variant>
        <vt:lpwstr>https://doi.org/10.1136/inpract.31.1.37</vt:lpwstr>
      </vt:variant>
      <vt:variant>
        <vt:lpwstr/>
      </vt:variant>
      <vt:variant>
        <vt:i4>1572951</vt:i4>
      </vt:variant>
      <vt:variant>
        <vt:i4>63</vt:i4>
      </vt:variant>
      <vt:variant>
        <vt:i4>0</vt:i4>
      </vt:variant>
      <vt:variant>
        <vt:i4>5</vt:i4>
      </vt:variant>
      <vt:variant>
        <vt:lpwstr>https://doi.org/10.1177/23970022241239257</vt:lpwstr>
      </vt:variant>
      <vt:variant>
        <vt:lpwstr/>
      </vt:variant>
      <vt:variant>
        <vt:i4>6357031</vt:i4>
      </vt:variant>
      <vt:variant>
        <vt:i4>60</vt:i4>
      </vt:variant>
      <vt:variant>
        <vt:i4>0</vt:i4>
      </vt:variant>
      <vt:variant>
        <vt:i4>5</vt:i4>
      </vt:variant>
      <vt:variant>
        <vt:lpwstr>https://doi.org/10.26481/umarep.2014003</vt:lpwstr>
      </vt:variant>
      <vt:variant>
        <vt:lpwstr/>
      </vt:variant>
      <vt:variant>
        <vt:i4>4849682</vt:i4>
      </vt:variant>
      <vt:variant>
        <vt:i4>57</vt:i4>
      </vt:variant>
      <vt:variant>
        <vt:i4>0</vt:i4>
      </vt:variant>
      <vt:variant>
        <vt:i4>5</vt:i4>
      </vt:variant>
      <vt:variant>
        <vt:lpwstr>http://dx.doi.org/10.1016/j.ijproman.2022.05.006</vt:lpwstr>
      </vt:variant>
      <vt:variant>
        <vt:lpwstr/>
      </vt:variant>
      <vt:variant>
        <vt:i4>655442</vt:i4>
      </vt:variant>
      <vt:variant>
        <vt:i4>54</vt:i4>
      </vt:variant>
      <vt:variant>
        <vt:i4>0</vt:i4>
      </vt:variant>
      <vt:variant>
        <vt:i4>5</vt:i4>
      </vt:variant>
      <vt:variant>
        <vt:lpwstr>https://www.bbc.co.uk/news/business-65388445</vt:lpwstr>
      </vt:variant>
      <vt:variant>
        <vt:lpwstr/>
      </vt:variant>
      <vt:variant>
        <vt:i4>6553647</vt:i4>
      </vt:variant>
      <vt:variant>
        <vt:i4>51</vt:i4>
      </vt:variant>
      <vt:variant>
        <vt:i4>0</vt:i4>
      </vt:variant>
      <vt:variant>
        <vt:i4>5</vt:i4>
      </vt:variant>
      <vt:variant>
        <vt:lpwstr>https://www.abs.gov.au/statistics/labour/earnings-and-working-conditions/trade-union-membership/latest-release</vt:lpwstr>
      </vt:variant>
      <vt:variant>
        <vt:lpwstr/>
      </vt:variant>
      <vt:variant>
        <vt:i4>983115</vt:i4>
      </vt:variant>
      <vt:variant>
        <vt:i4>48</vt:i4>
      </vt:variant>
      <vt:variant>
        <vt:i4>0</vt:i4>
      </vt:variant>
      <vt:variant>
        <vt:i4>5</vt:i4>
      </vt:variant>
      <vt:variant>
        <vt:lpwstr>https://doi.org/10.1080/09585192.2012.722118</vt:lpwstr>
      </vt:variant>
      <vt:variant>
        <vt:lpwstr/>
      </vt:variant>
      <vt:variant>
        <vt:i4>1179656</vt:i4>
      </vt:variant>
      <vt:variant>
        <vt:i4>45</vt:i4>
      </vt:variant>
      <vt:variant>
        <vt:i4>0</vt:i4>
      </vt:variant>
      <vt:variant>
        <vt:i4>5</vt:i4>
      </vt:variant>
      <vt:variant>
        <vt:lpwstr>https://doi.org/10.1016/j.heliyon.2024.e33018</vt:lpwstr>
      </vt:variant>
      <vt:variant>
        <vt:lpwstr/>
      </vt:variant>
      <vt:variant>
        <vt:i4>7012469</vt:i4>
      </vt:variant>
      <vt:variant>
        <vt:i4>42</vt:i4>
      </vt:variant>
      <vt:variant>
        <vt:i4>0</vt:i4>
      </vt:variant>
      <vt:variant>
        <vt:i4>5</vt:i4>
      </vt:variant>
      <vt:variant>
        <vt:lpwstr>https://digitalcommons.pepperdine.edu/drlj/vol24/iss1/6</vt:lpwstr>
      </vt:variant>
      <vt:variant>
        <vt:lpwstr/>
      </vt:variant>
      <vt:variant>
        <vt:i4>2424941</vt:i4>
      </vt:variant>
      <vt:variant>
        <vt:i4>39</vt:i4>
      </vt:variant>
      <vt:variant>
        <vt:i4>0</vt:i4>
      </vt:variant>
      <vt:variant>
        <vt:i4>5</vt:i4>
      </vt:variant>
      <vt:variant>
        <vt:lpwstr>https://www.acas.org.uk/acas-welcomes-governments-focus-on-workforce-relations</vt:lpwstr>
      </vt:variant>
      <vt:variant>
        <vt:lpwstr/>
      </vt:variant>
      <vt:variant>
        <vt:i4>4390998</vt:i4>
      </vt:variant>
      <vt:variant>
        <vt:i4>36</vt:i4>
      </vt:variant>
      <vt:variant>
        <vt:i4>0</vt:i4>
      </vt:variant>
      <vt:variant>
        <vt:i4>5</vt:i4>
      </vt:variant>
      <vt:variant>
        <vt:lpwstr>https://www.acas.org.uk/about-us</vt:lpwstr>
      </vt:variant>
      <vt:variant>
        <vt:lpwstr/>
      </vt:variant>
      <vt:variant>
        <vt:i4>1441806</vt:i4>
      </vt:variant>
      <vt:variant>
        <vt:i4>33</vt:i4>
      </vt:variant>
      <vt:variant>
        <vt:i4>0</vt:i4>
      </vt:variant>
      <vt:variant>
        <vt:i4>5</vt:i4>
      </vt:variant>
      <vt:variant>
        <vt:lpwstr>https://books.google.co.uk/books?hl=en&amp;lr=&amp;id=UlzXDwAAQBAJ&amp;oi=fnd&amp;pg=PA445&amp;dq=The+implementation+of+an+anonymous+reporting+system+and+the+appointment+of+an+internal+ombudsman+will+further+strengthen+the+organisation%E2%80%99s+ability+to+address+workplace+misconduct+effectively&amp;ots=GTP4l3x9eO&amp;sig=k9nPIhCKSBFOmr-vwxNG2K-eG1g</vt:lpwstr>
      </vt:variant>
      <vt:variant>
        <vt:lpwstr>v=onepage&amp;q&amp;f=false</vt:lpwstr>
      </vt:variant>
      <vt:variant>
        <vt:i4>8257573</vt:i4>
      </vt:variant>
      <vt:variant>
        <vt:i4>30</vt:i4>
      </vt:variant>
      <vt:variant>
        <vt:i4>0</vt:i4>
      </vt:variant>
      <vt:variant>
        <vt:i4>5</vt:i4>
      </vt:variant>
      <vt:variant>
        <vt:lpwstr>https://lup.lub.lu.se/luur/download?func=downloadFile&amp;recordOId=9167376&amp;fileOId=9167379</vt:lpwstr>
      </vt:variant>
      <vt:variant>
        <vt:lpwstr/>
      </vt:variant>
      <vt:variant>
        <vt:i4>65606</vt:i4>
      </vt:variant>
      <vt:variant>
        <vt:i4>27</vt:i4>
      </vt:variant>
      <vt:variant>
        <vt:i4>0</vt:i4>
      </vt:variant>
      <vt:variant>
        <vt:i4>5</vt:i4>
      </vt:variant>
      <vt:variant>
        <vt:lpwstr>https://metsrujan.com/index.php/description/article/view/5/6</vt:lpwstr>
      </vt:variant>
      <vt:variant>
        <vt:lpwstr/>
      </vt:variant>
      <vt:variant>
        <vt:i4>2883635</vt:i4>
      </vt:variant>
      <vt:variant>
        <vt:i4>24</vt:i4>
      </vt:variant>
      <vt:variant>
        <vt:i4>0</vt:i4>
      </vt:variant>
      <vt:variant>
        <vt:i4>5</vt:i4>
      </vt:variant>
      <vt:variant>
        <vt:lpwstr>https://cver.lse.ac.uk/textonly/cver/pubs/cverdp034.pdf</vt:lpwstr>
      </vt:variant>
      <vt:variant>
        <vt:lpwstr/>
      </vt:variant>
      <vt:variant>
        <vt:i4>4325450</vt:i4>
      </vt:variant>
      <vt:variant>
        <vt:i4>21</vt:i4>
      </vt:variant>
      <vt:variant>
        <vt:i4>0</vt:i4>
      </vt:variant>
      <vt:variant>
        <vt:i4>5</vt:i4>
      </vt:variant>
      <vt:variant>
        <vt:lpwstr>https://doi.org/10.1108/SHR-01-2025-0008</vt:lpwstr>
      </vt:variant>
      <vt:variant>
        <vt:lpwstr/>
      </vt:variant>
      <vt:variant>
        <vt:i4>6684774</vt:i4>
      </vt:variant>
      <vt:variant>
        <vt:i4>18</vt:i4>
      </vt:variant>
      <vt:variant>
        <vt:i4>0</vt:i4>
      </vt:variant>
      <vt:variant>
        <vt:i4>5</vt:i4>
      </vt:variant>
      <vt:variant>
        <vt:lpwstr>https://www.emerald.com/insight/publication/issn/1475-4398</vt:lpwstr>
      </vt:variant>
      <vt:variant>
        <vt:lpwstr/>
      </vt:variant>
      <vt:variant>
        <vt:i4>5308418</vt:i4>
      </vt:variant>
      <vt:variant>
        <vt:i4>15</vt:i4>
      </vt:variant>
      <vt:variant>
        <vt:i4>0</vt:i4>
      </vt:variant>
      <vt:variant>
        <vt:i4>5</vt:i4>
      </vt:variant>
      <vt:variant>
        <vt:lpwstr>https://www.emerald.com/insight/search?q=Emmanuel%20Senior%20Tenakwah</vt:lpwstr>
      </vt:variant>
      <vt:variant>
        <vt:lpwstr/>
      </vt:variant>
      <vt:variant>
        <vt:i4>1638406</vt:i4>
      </vt:variant>
      <vt:variant>
        <vt:i4>12</vt:i4>
      </vt:variant>
      <vt:variant>
        <vt:i4>0</vt:i4>
      </vt:variant>
      <vt:variant>
        <vt:i4>5</vt:i4>
      </vt:variant>
      <vt:variant>
        <vt:lpwstr>https://www.emerald.com/insight/search?q=Esther%20Asiedu</vt:lpwstr>
      </vt:variant>
      <vt:variant>
        <vt:lpwstr/>
      </vt:variant>
      <vt:variant>
        <vt:i4>5308418</vt:i4>
      </vt:variant>
      <vt:variant>
        <vt:i4>9</vt:i4>
      </vt:variant>
      <vt:variant>
        <vt:i4>0</vt:i4>
      </vt:variant>
      <vt:variant>
        <vt:i4>5</vt:i4>
      </vt:variant>
      <vt:variant>
        <vt:lpwstr>https://www.emerald.com/insight/search?q=Emmanuel%20Senior%20Tenakwah</vt:lpwstr>
      </vt:variant>
      <vt:variant>
        <vt:lpwstr/>
      </vt:variant>
      <vt:variant>
        <vt:i4>1638406</vt:i4>
      </vt:variant>
      <vt:variant>
        <vt:i4>6</vt:i4>
      </vt:variant>
      <vt:variant>
        <vt:i4>0</vt:i4>
      </vt:variant>
      <vt:variant>
        <vt:i4>5</vt:i4>
      </vt:variant>
      <vt:variant>
        <vt:lpwstr>https://www.emerald.com/insight/search?q=Esther%20Asiedu</vt:lpwstr>
      </vt:variant>
      <vt:variant>
        <vt:lpwstr/>
      </vt:variant>
      <vt:variant>
        <vt:i4>8192037</vt:i4>
      </vt:variant>
      <vt:variant>
        <vt:i4>3</vt:i4>
      </vt:variant>
      <vt:variant>
        <vt:i4>0</vt:i4>
      </vt:variant>
      <vt:variant>
        <vt:i4>5</vt:i4>
      </vt:variant>
      <vt:variant>
        <vt:lpwstr>https://royalsociety.org/news/2024/04/science-education-tracker-2023/</vt:lpwstr>
      </vt:variant>
      <vt:variant>
        <vt:lpwstr>:~:text=Interest%20in%20science%20at%20school,fall%20to%2065%25%20for%20girls.</vt:lpwstr>
      </vt:variant>
      <vt:variant>
        <vt:i4>524396</vt:i4>
      </vt:variant>
      <vt:variant>
        <vt:i4>0</vt:i4>
      </vt:variant>
      <vt:variant>
        <vt:i4>0</vt:i4>
      </vt:variant>
      <vt:variant>
        <vt:i4>5</vt:i4>
      </vt:variant>
      <vt:variant>
        <vt:lpwstr>https://ijarasem.com/admin/img/33_Strategic Integration.pdf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Milcoy</dc:creator>
  <cp:keywords/>
  <dc:description/>
  <cp:lastModifiedBy>Nia Milcoy</cp:lastModifiedBy>
  <cp:revision>3</cp:revision>
  <cp:lastPrinted>2024-12-05T06:22:00Z</cp:lastPrinted>
  <dcterms:created xsi:type="dcterms:W3CDTF">2025-03-21T16:30:00Z</dcterms:created>
  <dcterms:modified xsi:type="dcterms:W3CDTF">2025-03-21T16:32:00Z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2024-12-01T16:22:49Z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d2f14136-4bfd-4f9d-98f3-c302531f6bfa</vt:lpwstr>
  </property>
  <property fmtid="{D5CDD505-2E9C-101B-9397-08002B2CF9AE}" pid="7" name="MSIP_Label_defa4170-0d19-0005-0004-bc88714345d2_ActionId">
    <vt:lpwstr>aa1026c6-2eca-4c46-bb9f-a0e3a3d37075</vt:lpwstr>
  </property>
  <property fmtid="{D5CDD505-2E9C-101B-9397-08002B2CF9AE}" pid="8" name="MSIP_Label_defa4170-0d19-0005-0004-bc88714345d2_ContentBits">
    <vt:lpwstr>0</vt:lpwstr>
  </property>
</Properties>
</file>