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11953178"/>
        <w:docPartObj>
          <w:docPartGallery w:val="Cover Pages"/>
          <w:docPartUnique/>
        </w:docPartObj>
      </w:sdtPr>
      <w:sdtContent>
        <w:p w14:paraId="12D83B80" w14:textId="1872B354" w:rsidR="004647AE" w:rsidRPr="00762C0B" w:rsidRDefault="004647AE" w:rsidP="00762C0B">
          <w:pPr>
            <w:jc w:val="both"/>
            <w:rPr>
              <w:rFonts w:ascii="Arial" w:hAnsi="Arial" w:cs="Arial"/>
            </w:rPr>
          </w:pPr>
        </w:p>
        <w:p w14:paraId="477C3E6E" w14:textId="757C675F" w:rsidR="004647AE" w:rsidRPr="00762C0B" w:rsidRDefault="00000000" w:rsidP="00762C0B">
          <w:pPr>
            <w:jc w:val="both"/>
            <w:rPr>
              <w:rFonts w:ascii="Arial" w:hAnsi="Arial" w:cs="Arial"/>
            </w:rPr>
          </w:pPr>
        </w:p>
      </w:sdtContent>
    </w:sdt>
    <w:p w14:paraId="6D0531B1" w14:textId="77777777" w:rsidR="004343DF" w:rsidRPr="00762C0B" w:rsidRDefault="004343DF" w:rsidP="00762C0B">
      <w:pPr>
        <w:jc w:val="both"/>
        <w:rPr>
          <w:rFonts w:ascii="Arial" w:hAnsi="Arial" w:cs="Arial"/>
        </w:rPr>
      </w:pPr>
    </w:p>
    <w:p w14:paraId="0473E578" w14:textId="77777777" w:rsidR="004343DF" w:rsidRPr="00762C0B" w:rsidRDefault="004343DF" w:rsidP="00762C0B">
      <w:pPr>
        <w:jc w:val="both"/>
        <w:rPr>
          <w:rFonts w:ascii="Arial" w:hAnsi="Arial" w:cs="Arial"/>
        </w:rPr>
      </w:pPr>
    </w:p>
    <w:p w14:paraId="6D36E876" w14:textId="77777777" w:rsidR="004343DF" w:rsidRPr="00762C0B" w:rsidRDefault="004343DF" w:rsidP="00762C0B">
      <w:pPr>
        <w:jc w:val="both"/>
        <w:rPr>
          <w:rFonts w:ascii="Arial" w:hAnsi="Arial" w:cs="Arial"/>
        </w:rPr>
      </w:pPr>
    </w:p>
    <w:p w14:paraId="6E80D5B9" w14:textId="77777777" w:rsidR="004343DF" w:rsidRPr="00762C0B" w:rsidRDefault="004343DF" w:rsidP="00762C0B">
      <w:pPr>
        <w:jc w:val="both"/>
        <w:rPr>
          <w:rFonts w:ascii="Arial" w:hAnsi="Arial" w:cs="Arial"/>
        </w:rPr>
      </w:pPr>
    </w:p>
    <w:p w14:paraId="5F9418E9" w14:textId="77777777" w:rsidR="004343DF" w:rsidRPr="00762C0B" w:rsidRDefault="004343DF" w:rsidP="00762C0B">
      <w:pPr>
        <w:jc w:val="both"/>
        <w:rPr>
          <w:rFonts w:ascii="Arial" w:hAnsi="Arial" w:cs="Arial"/>
        </w:rPr>
      </w:pPr>
    </w:p>
    <w:p w14:paraId="4F8C827A" w14:textId="77777777" w:rsidR="004343DF" w:rsidRPr="00762C0B" w:rsidRDefault="004343DF" w:rsidP="00762C0B">
      <w:pPr>
        <w:jc w:val="both"/>
        <w:rPr>
          <w:rFonts w:ascii="Arial" w:hAnsi="Arial" w:cs="Arial"/>
        </w:rPr>
      </w:pPr>
    </w:p>
    <w:p w14:paraId="5C76685F" w14:textId="77777777" w:rsidR="004343DF" w:rsidRPr="00762C0B" w:rsidRDefault="004343DF" w:rsidP="00762C0B">
      <w:pPr>
        <w:jc w:val="both"/>
        <w:rPr>
          <w:rFonts w:ascii="Arial" w:hAnsi="Arial" w:cs="Arial"/>
        </w:rPr>
      </w:pPr>
    </w:p>
    <w:p w14:paraId="458EED7C" w14:textId="77777777" w:rsidR="004343DF" w:rsidRPr="00762C0B" w:rsidRDefault="004343DF" w:rsidP="00762C0B">
      <w:pPr>
        <w:jc w:val="both"/>
        <w:rPr>
          <w:rFonts w:ascii="Arial" w:hAnsi="Arial" w:cs="Arial"/>
        </w:rPr>
      </w:pPr>
    </w:p>
    <w:p w14:paraId="17399A3F" w14:textId="77777777" w:rsidR="004343DF" w:rsidRPr="00762C0B" w:rsidRDefault="004343DF" w:rsidP="00762C0B">
      <w:pPr>
        <w:jc w:val="both"/>
        <w:rPr>
          <w:rFonts w:ascii="Arial" w:hAnsi="Arial" w:cs="Arial"/>
        </w:rPr>
      </w:pPr>
    </w:p>
    <w:p w14:paraId="17DF2174" w14:textId="77777777" w:rsidR="004343DF" w:rsidRPr="00762C0B" w:rsidRDefault="004343DF" w:rsidP="00762C0B">
      <w:pPr>
        <w:jc w:val="both"/>
        <w:rPr>
          <w:rFonts w:ascii="Arial" w:hAnsi="Arial" w:cs="Arial"/>
        </w:rPr>
      </w:pPr>
    </w:p>
    <w:p w14:paraId="66132C51" w14:textId="77777777" w:rsidR="004343DF" w:rsidRPr="00762C0B" w:rsidRDefault="004343DF" w:rsidP="00762C0B">
      <w:pPr>
        <w:jc w:val="both"/>
        <w:rPr>
          <w:rFonts w:ascii="Arial" w:hAnsi="Arial" w:cs="Arial"/>
        </w:rPr>
      </w:pPr>
    </w:p>
    <w:p w14:paraId="0897FCB7" w14:textId="77777777" w:rsidR="004343DF" w:rsidRPr="00762C0B" w:rsidRDefault="004343DF" w:rsidP="00762C0B">
      <w:pPr>
        <w:jc w:val="both"/>
        <w:rPr>
          <w:rFonts w:ascii="Arial" w:hAnsi="Arial" w:cs="Arial"/>
        </w:rPr>
      </w:pPr>
    </w:p>
    <w:p w14:paraId="49C6B16D" w14:textId="77777777" w:rsidR="004343DF" w:rsidRPr="00762C0B" w:rsidRDefault="004343DF" w:rsidP="00762C0B">
      <w:pPr>
        <w:jc w:val="both"/>
        <w:rPr>
          <w:rFonts w:ascii="Arial" w:hAnsi="Arial" w:cs="Arial"/>
        </w:rPr>
      </w:pPr>
    </w:p>
    <w:p w14:paraId="66917E3C" w14:textId="77777777" w:rsidR="004343DF" w:rsidRPr="00762C0B" w:rsidRDefault="004343DF" w:rsidP="00762C0B">
      <w:pPr>
        <w:jc w:val="both"/>
        <w:rPr>
          <w:rFonts w:ascii="Arial" w:hAnsi="Arial" w:cs="Arial"/>
        </w:rPr>
      </w:pPr>
    </w:p>
    <w:p w14:paraId="4B4306DD" w14:textId="77777777" w:rsidR="004343DF" w:rsidRPr="00762C0B" w:rsidRDefault="004343DF" w:rsidP="00762C0B">
      <w:pPr>
        <w:jc w:val="both"/>
        <w:rPr>
          <w:rFonts w:ascii="Arial" w:hAnsi="Arial" w:cs="Arial"/>
        </w:rPr>
      </w:pPr>
    </w:p>
    <w:p w14:paraId="1AC49682" w14:textId="77777777" w:rsidR="00887226" w:rsidRPr="00762C0B" w:rsidRDefault="00887226" w:rsidP="00762C0B">
      <w:pPr>
        <w:jc w:val="both"/>
        <w:rPr>
          <w:rFonts w:ascii="Arial" w:hAnsi="Arial" w:cs="Arial"/>
        </w:rPr>
      </w:pPr>
    </w:p>
    <w:p w14:paraId="2B426144" w14:textId="77777777" w:rsidR="001C0DD5" w:rsidRPr="00762C0B" w:rsidRDefault="001C0DD5" w:rsidP="00762C0B">
      <w:pPr>
        <w:jc w:val="both"/>
        <w:rPr>
          <w:rFonts w:ascii="Arial" w:hAnsi="Arial" w:cs="Arial"/>
        </w:rPr>
      </w:pPr>
    </w:p>
    <w:p w14:paraId="2C9A2500" w14:textId="77777777" w:rsidR="001C0DD5" w:rsidRPr="00762C0B" w:rsidRDefault="001C0DD5" w:rsidP="00762C0B">
      <w:pPr>
        <w:jc w:val="both"/>
        <w:rPr>
          <w:rFonts w:ascii="Arial" w:hAnsi="Arial" w:cs="Arial"/>
        </w:rPr>
      </w:pPr>
    </w:p>
    <w:p w14:paraId="308A4CCA" w14:textId="77777777" w:rsidR="001C0DD5" w:rsidRPr="00762C0B" w:rsidRDefault="001C0DD5" w:rsidP="00762C0B">
      <w:pPr>
        <w:jc w:val="both"/>
        <w:rPr>
          <w:rFonts w:ascii="Arial" w:hAnsi="Arial" w:cs="Arial"/>
        </w:rPr>
      </w:pPr>
    </w:p>
    <w:p w14:paraId="44B0A86A" w14:textId="77777777" w:rsidR="001C0DD5" w:rsidRPr="00762C0B" w:rsidRDefault="001C0DD5" w:rsidP="00762C0B">
      <w:pPr>
        <w:jc w:val="both"/>
        <w:rPr>
          <w:rFonts w:ascii="Arial" w:hAnsi="Arial" w:cs="Arial"/>
        </w:rPr>
      </w:pPr>
    </w:p>
    <w:p w14:paraId="4839CBD7" w14:textId="77777777" w:rsidR="001C0DD5" w:rsidRPr="00762C0B" w:rsidRDefault="001C0DD5" w:rsidP="00762C0B">
      <w:pPr>
        <w:jc w:val="both"/>
        <w:rPr>
          <w:rFonts w:ascii="Arial" w:hAnsi="Arial" w:cs="Arial"/>
        </w:rPr>
      </w:pPr>
    </w:p>
    <w:p w14:paraId="6C4DCF12" w14:textId="4C7CC259" w:rsidR="001C0DD5" w:rsidRPr="00762C0B" w:rsidRDefault="001C0DD5" w:rsidP="00762C0B">
      <w:pPr>
        <w:jc w:val="both"/>
        <w:rPr>
          <w:rFonts w:ascii="Arial" w:hAnsi="Arial" w:cs="Arial"/>
          <w:sz w:val="40"/>
          <w:szCs w:val="40"/>
        </w:rPr>
      </w:pPr>
      <w:r w:rsidRPr="00762C0B">
        <w:rPr>
          <w:rFonts w:ascii="Arial" w:hAnsi="Arial" w:cs="Arial"/>
          <w:sz w:val="40"/>
          <w:szCs w:val="40"/>
        </w:rPr>
        <w:t xml:space="preserve">Independent Study Module: </w:t>
      </w:r>
      <w:r w:rsidR="00E53993" w:rsidRPr="00762C0B">
        <w:rPr>
          <w:rFonts w:ascii="Arial" w:hAnsi="Arial" w:cs="Arial"/>
          <w:sz w:val="40"/>
          <w:szCs w:val="40"/>
        </w:rPr>
        <w:t>Literature Review</w:t>
      </w:r>
    </w:p>
    <w:p w14:paraId="000DC8D3" w14:textId="631DCDBC" w:rsidR="001C0DD5" w:rsidRPr="00762C0B" w:rsidRDefault="001C0DD5" w:rsidP="00762C0B">
      <w:pPr>
        <w:jc w:val="both"/>
        <w:rPr>
          <w:rFonts w:ascii="Arial" w:hAnsi="Arial" w:cs="Arial"/>
          <w:sz w:val="40"/>
          <w:szCs w:val="40"/>
        </w:rPr>
      </w:pPr>
      <w:r w:rsidRPr="00762C0B">
        <w:rPr>
          <w:rFonts w:ascii="Arial" w:hAnsi="Arial" w:cs="Arial"/>
          <w:i/>
          <w:iCs/>
          <w:sz w:val="28"/>
          <w:szCs w:val="28"/>
        </w:rPr>
        <w:t>Word Count:</w:t>
      </w:r>
      <w:r w:rsidR="00E53993" w:rsidRPr="00762C0B">
        <w:rPr>
          <w:rFonts w:ascii="Arial" w:hAnsi="Arial" w:cs="Arial"/>
          <w:i/>
          <w:iCs/>
          <w:sz w:val="28"/>
          <w:szCs w:val="28"/>
        </w:rPr>
        <w:t>1</w:t>
      </w:r>
      <w:r w:rsidR="00927999">
        <w:rPr>
          <w:rFonts w:ascii="Arial" w:hAnsi="Arial" w:cs="Arial"/>
          <w:i/>
          <w:iCs/>
          <w:sz w:val="28"/>
          <w:szCs w:val="28"/>
        </w:rPr>
        <w:t>098</w:t>
      </w:r>
    </w:p>
    <w:p w14:paraId="2BDDEDB1" w14:textId="77777777" w:rsidR="001C0DD5" w:rsidRPr="00762C0B" w:rsidRDefault="001C0DD5" w:rsidP="00762C0B">
      <w:pPr>
        <w:jc w:val="both"/>
        <w:rPr>
          <w:rFonts w:ascii="Arial" w:hAnsi="Arial" w:cs="Arial"/>
        </w:rPr>
      </w:pPr>
      <w:r w:rsidRPr="00762C0B">
        <w:rPr>
          <w:rFonts w:ascii="Arial" w:hAnsi="Arial" w:cs="Arial"/>
          <w:noProof/>
        </w:rPr>
        <mc:AlternateContent>
          <mc:Choice Requires="wps">
            <w:drawing>
              <wp:anchor distT="0" distB="0" distL="114300" distR="114300" simplePos="0" relativeHeight="251658240" behindDoc="0" locked="0" layoutInCell="1" allowOverlap="1" wp14:anchorId="26FA2610" wp14:editId="6592F8E5">
                <wp:simplePos x="0" y="0"/>
                <wp:positionH relativeFrom="column">
                  <wp:posOffset>-4336</wp:posOffset>
                </wp:positionH>
                <wp:positionV relativeFrom="paragraph">
                  <wp:posOffset>71755</wp:posOffset>
                </wp:positionV>
                <wp:extent cx="4783016" cy="0"/>
                <wp:effectExtent l="0" t="12700" r="17780" b="12700"/>
                <wp:wrapNone/>
                <wp:docPr id="612584682" name="Straight Connector 4"/>
                <wp:cNvGraphicFramePr/>
                <a:graphic xmlns:a="http://schemas.openxmlformats.org/drawingml/2006/main">
                  <a:graphicData uri="http://schemas.microsoft.com/office/word/2010/wordprocessingShape">
                    <wps:wsp>
                      <wps:cNvCnPr/>
                      <wps:spPr>
                        <a:xfrm>
                          <a:off x="0" y="0"/>
                          <a:ext cx="4783016" cy="0"/>
                        </a:xfrm>
                        <a:prstGeom prst="line">
                          <a:avLst/>
                        </a:prstGeom>
                        <a:ln w="254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arto="http://schemas.microsoft.com/office/word/2006/arto">
            <w:pict w14:anchorId="2122E915">
              <v:line id="Straight Connector 4" style="position:absolute;z-index:251658240;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2pt" from="-.35pt,5.65pt" to="376.25pt,5.65pt" w14:anchorId="5070CFF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">
                <v:stroke joinstyle="miter"/>
              </v:line>
            </w:pict>
          </mc:Fallback>
        </mc:AlternateContent>
      </w:r>
    </w:p>
    <w:p w14:paraId="7BF46B20" w14:textId="77777777" w:rsidR="001C0DD5" w:rsidRPr="00762C0B" w:rsidRDefault="001C0DD5" w:rsidP="00762C0B">
      <w:pPr>
        <w:jc w:val="both"/>
        <w:rPr>
          <w:rFonts w:ascii="Arial" w:hAnsi="Arial" w:cs="Arial"/>
          <w:sz w:val="28"/>
          <w:szCs w:val="28"/>
        </w:rPr>
      </w:pPr>
      <w:r w:rsidRPr="00762C0B">
        <w:rPr>
          <w:rFonts w:ascii="Arial" w:hAnsi="Arial" w:cs="Arial"/>
          <w:sz w:val="28"/>
          <w:szCs w:val="28"/>
        </w:rPr>
        <w:t>Student Name: James Nicholl</w:t>
      </w:r>
    </w:p>
    <w:p w14:paraId="6ABEB192" w14:textId="77777777" w:rsidR="001C0DD5" w:rsidRPr="00762C0B" w:rsidRDefault="001C0DD5" w:rsidP="00762C0B">
      <w:pPr>
        <w:jc w:val="both"/>
        <w:rPr>
          <w:rFonts w:ascii="Arial" w:hAnsi="Arial" w:cs="Arial"/>
          <w:sz w:val="28"/>
          <w:szCs w:val="28"/>
        </w:rPr>
      </w:pPr>
      <w:r w:rsidRPr="00762C0B">
        <w:rPr>
          <w:rFonts w:ascii="Arial" w:hAnsi="Arial" w:cs="Arial"/>
          <w:sz w:val="28"/>
          <w:szCs w:val="28"/>
        </w:rPr>
        <w:t>Student Number: 2319769</w:t>
      </w:r>
    </w:p>
    <w:p w14:paraId="30AF0D20" w14:textId="77777777" w:rsidR="001C0DD5" w:rsidRPr="00762C0B" w:rsidRDefault="001C0DD5" w:rsidP="00762C0B">
      <w:pPr>
        <w:jc w:val="both"/>
        <w:rPr>
          <w:rFonts w:ascii="Arial" w:hAnsi="Arial" w:cs="Arial"/>
        </w:rPr>
      </w:pPr>
    </w:p>
    <w:p w14:paraId="46974B5B" w14:textId="77777777" w:rsidR="001C0DD5" w:rsidRPr="00762C0B" w:rsidRDefault="001C0DD5" w:rsidP="00762C0B">
      <w:pPr>
        <w:jc w:val="both"/>
        <w:rPr>
          <w:rFonts w:ascii="Arial" w:hAnsi="Arial" w:cs="Arial"/>
        </w:rPr>
      </w:pPr>
    </w:p>
    <w:p w14:paraId="3532CDE2" w14:textId="77777777" w:rsidR="001C0DD5" w:rsidRPr="00762C0B" w:rsidRDefault="001C0DD5" w:rsidP="00762C0B">
      <w:pPr>
        <w:jc w:val="both"/>
        <w:rPr>
          <w:rFonts w:ascii="Arial" w:hAnsi="Arial" w:cs="Arial"/>
        </w:rPr>
      </w:pPr>
    </w:p>
    <w:p w14:paraId="7911192F" w14:textId="77777777" w:rsidR="001C0DD5" w:rsidRPr="00762C0B" w:rsidRDefault="001C0DD5" w:rsidP="00762C0B">
      <w:pPr>
        <w:jc w:val="both"/>
        <w:rPr>
          <w:rFonts w:ascii="Arial" w:hAnsi="Arial" w:cs="Arial"/>
        </w:rPr>
      </w:pPr>
    </w:p>
    <w:p w14:paraId="20002839" w14:textId="77777777" w:rsidR="001C0DD5" w:rsidRPr="00762C0B" w:rsidRDefault="001C0DD5" w:rsidP="00762C0B">
      <w:pPr>
        <w:jc w:val="both"/>
        <w:rPr>
          <w:rFonts w:ascii="Arial" w:hAnsi="Arial" w:cs="Arial"/>
        </w:rPr>
      </w:pPr>
    </w:p>
    <w:p w14:paraId="4113C7D5" w14:textId="77777777" w:rsidR="001C0DD5" w:rsidRPr="00762C0B" w:rsidRDefault="001C0DD5" w:rsidP="00762C0B">
      <w:pPr>
        <w:jc w:val="both"/>
        <w:rPr>
          <w:rFonts w:ascii="Arial" w:hAnsi="Arial" w:cs="Arial"/>
          <w:highlight w:val="yellow"/>
        </w:rPr>
      </w:pPr>
    </w:p>
    <w:p w14:paraId="2EE607E7" w14:textId="77777777" w:rsidR="001C0DD5" w:rsidRPr="00762C0B" w:rsidRDefault="001C0DD5" w:rsidP="00762C0B">
      <w:pPr>
        <w:jc w:val="both"/>
        <w:rPr>
          <w:rFonts w:ascii="Arial" w:hAnsi="Arial" w:cs="Arial"/>
          <w:highlight w:val="yellow"/>
        </w:rPr>
      </w:pPr>
    </w:p>
    <w:p w14:paraId="49C9F45F" w14:textId="77777777" w:rsidR="001C0DD5" w:rsidRPr="00762C0B" w:rsidRDefault="001C0DD5" w:rsidP="00762C0B">
      <w:pPr>
        <w:jc w:val="both"/>
        <w:rPr>
          <w:rFonts w:ascii="Arial" w:hAnsi="Arial" w:cs="Arial"/>
          <w:highlight w:val="yellow"/>
        </w:rPr>
      </w:pPr>
    </w:p>
    <w:p w14:paraId="63B0B6FA" w14:textId="77777777" w:rsidR="001C0DD5" w:rsidRPr="00762C0B" w:rsidRDefault="001C0DD5" w:rsidP="00762C0B">
      <w:pPr>
        <w:jc w:val="both"/>
        <w:rPr>
          <w:rFonts w:ascii="Arial" w:hAnsi="Arial" w:cs="Arial"/>
          <w:highlight w:val="yellow"/>
        </w:rPr>
      </w:pPr>
    </w:p>
    <w:p w14:paraId="0D688631" w14:textId="77777777" w:rsidR="001C0DD5" w:rsidRPr="00762C0B" w:rsidRDefault="001C0DD5" w:rsidP="00762C0B">
      <w:pPr>
        <w:jc w:val="both"/>
        <w:rPr>
          <w:rFonts w:ascii="Arial" w:hAnsi="Arial" w:cs="Arial"/>
          <w:highlight w:val="yellow"/>
        </w:rPr>
      </w:pPr>
    </w:p>
    <w:p w14:paraId="7DF0B274" w14:textId="77777777" w:rsidR="001C0DD5" w:rsidRPr="00762C0B" w:rsidRDefault="001C0DD5" w:rsidP="00762C0B">
      <w:pPr>
        <w:jc w:val="both"/>
        <w:rPr>
          <w:rFonts w:ascii="Arial" w:hAnsi="Arial" w:cs="Arial"/>
          <w:highlight w:val="yellow"/>
        </w:rPr>
      </w:pPr>
    </w:p>
    <w:p w14:paraId="15FB163D" w14:textId="77777777" w:rsidR="001C0DD5" w:rsidRPr="00762C0B" w:rsidRDefault="001C0DD5" w:rsidP="00762C0B">
      <w:pPr>
        <w:jc w:val="both"/>
        <w:rPr>
          <w:rFonts w:ascii="Arial" w:hAnsi="Arial" w:cs="Arial"/>
          <w:highlight w:val="yellow"/>
        </w:rPr>
      </w:pPr>
    </w:p>
    <w:p w14:paraId="5C90CCA5" w14:textId="77777777" w:rsidR="001C0DD5" w:rsidRPr="00762C0B" w:rsidRDefault="001C0DD5" w:rsidP="00762C0B">
      <w:pPr>
        <w:jc w:val="both"/>
        <w:rPr>
          <w:rFonts w:ascii="Arial" w:hAnsi="Arial" w:cs="Arial"/>
          <w:highlight w:val="yellow"/>
        </w:rPr>
      </w:pPr>
    </w:p>
    <w:p w14:paraId="3A07AF68" w14:textId="77777777" w:rsidR="001C0DD5" w:rsidRPr="00762C0B" w:rsidRDefault="001C0DD5" w:rsidP="00762C0B">
      <w:pPr>
        <w:jc w:val="both"/>
        <w:rPr>
          <w:rFonts w:ascii="Arial" w:hAnsi="Arial" w:cs="Arial"/>
          <w:highlight w:val="yellow"/>
        </w:rPr>
      </w:pPr>
    </w:p>
    <w:p w14:paraId="53E0FDF9" w14:textId="77777777" w:rsidR="001C0DD5" w:rsidRPr="00762C0B" w:rsidRDefault="001C0DD5" w:rsidP="00762C0B">
      <w:pPr>
        <w:jc w:val="both"/>
        <w:rPr>
          <w:rFonts w:ascii="Arial" w:hAnsi="Arial" w:cs="Arial"/>
          <w:highlight w:val="yellow"/>
        </w:rPr>
      </w:pPr>
    </w:p>
    <w:p w14:paraId="797C2773" w14:textId="77777777" w:rsidR="001C0DD5" w:rsidRPr="00762C0B" w:rsidRDefault="001C0DD5" w:rsidP="00762C0B">
      <w:pPr>
        <w:jc w:val="both"/>
        <w:rPr>
          <w:rFonts w:ascii="Arial" w:hAnsi="Arial" w:cs="Arial"/>
          <w:highlight w:val="yellow"/>
        </w:rPr>
      </w:pPr>
    </w:p>
    <w:p w14:paraId="2B02597F" w14:textId="77777777" w:rsidR="001C0DD5" w:rsidRPr="00762C0B" w:rsidRDefault="001C0DD5" w:rsidP="00762C0B">
      <w:pPr>
        <w:jc w:val="both"/>
        <w:rPr>
          <w:rFonts w:ascii="Arial" w:hAnsi="Arial" w:cs="Arial"/>
          <w:highlight w:val="yellow"/>
        </w:rPr>
      </w:pPr>
    </w:p>
    <w:p w14:paraId="14301436" w14:textId="77777777" w:rsidR="001C0DD5" w:rsidRPr="00762C0B" w:rsidRDefault="001C0DD5" w:rsidP="00762C0B">
      <w:pPr>
        <w:jc w:val="both"/>
        <w:rPr>
          <w:rFonts w:ascii="Arial" w:hAnsi="Arial" w:cs="Arial"/>
          <w:highlight w:val="yellow"/>
        </w:rPr>
      </w:pPr>
    </w:p>
    <w:p w14:paraId="4F2C5BE5" w14:textId="77777777" w:rsidR="001C0DD5" w:rsidRPr="00762C0B" w:rsidRDefault="001C0DD5" w:rsidP="00762C0B">
      <w:pPr>
        <w:jc w:val="both"/>
        <w:rPr>
          <w:rFonts w:ascii="Arial" w:hAnsi="Arial" w:cs="Arial"/>
        </w:rPr>
      </w:pPr>
    </w:p>
    <w:p w14:paraId="39D88C1D" w14:textId="77D77A81" w:rsidR="00E53993" w:rsidRDefault="00E53993" w:rsidP="00762C0B">
      <w:pPr>
        <w:jc w:val="both"/>
        <w:rPr>
          <w:rFonts w:ascii="Arial" w:hAnsi="Arial" w:cs="Arial"/>
        </w:rPr>
      </w:pPr>
      <w:r w:rsidRPr="00762C0B">
        <w:rPr>
          <w:rFonts w:ascii="Arial" w:hAnsi="Arial" w:cs="Arial"/>
          <w:b/>
          <w:bCs/>
        </w:rPr>
        <w:lastRenderedPageBreak/>
        <w:t>Introduction</w:t>
      </w:r>
      <w:r w:rsidRPr="00762C0B">
        <w:rPr>
          <w:rFonts w:ascii="Arial" w:hAnsi="Arial" w:cs="Arial"/>
        </w:rPr>
        <w:br/>
      </w:r>
      <w:r w:rsidR="00C50CA6" w:rsidRPr="00C50CA6">
        <w:rPr>
          <w:rFonts w:ascii="Arial" w:hAnsi="Arial" w:cs="Arial"/>
        </w:rPr>
        <w:t>This literature review combines research on employee retention and engagement to identify key psychological, relational and contextual factors that influence staff commitment.</w:t>
      </w:r>
      <w:r w:rsidR="00C50CA6">
        <w:rPr>
          <w:rFonts w:ascii="Arial" w:hAnsi="Arial" w:cs="Arial"/>
        </w:rPr>
        <w:t xml:space="preserve"> </w:t>
      </w:r>
      <w:r w:rsidR="00C50CA6" w:rsidRPr="00C50CA6">
        <w:rPr>
          <w:rFonts w:ascii="Arial" w:hAnsi="Arial" w:cs="Arial"/>
        </w:rPr>
        <w:t>By linking these debates to the Tribus–TSG setting, it develops a theoretically informed and practically useful framework for understanding why employees stay or leave</w:t>
      </w:r>
      <w:r w:rsidRPr="00762C0B">
        <w:rPr>
          <w:rFonts w:ascii="Arial" w:hAnsi="Arial" w:cs="Arial"/>
        </w:rPr>
        <w:t>.</w:t>
      </w:r>
    </w:p>
    <w:p w14:paraId="4F3F52AE" w14:textId="77777777" w:rsidR="00C50CA6" w:rsidRPr="00C50CA6" w:rsidRDefault="00C50CA6" w:rsidP="00C50CA6">
      <w:pPr>
        <w:jc w:val="both"/>
        <w:rPr>
          <w:rFonts w:ascii="Arial" w:hAnsi="Arial" w:cs="Arial"/>
        </w:rPr>
      </w:pPr>
    </w:p>
    <w:p w14:paraId="3924A0F6" w14:textId="77777777" w:rsidR="009D4DC7" w:rsidRDefault="009D4DC7" w:rsidP="00762C0B">
      <w:pPr>
        <w:jc w:val="both"/>
        <w:rPr>
          <w:rFonts w:ascii="Arial" w:hAnsi="Arial" w:cs="Arial"/>
        </w:rPr>
      </w:pPr>
      <w:r w:rsidRPr="009D4DC7">
        <w:rPr>
          <w:rFonts w:ascii="Arial" w:hAnsi="Arial" w:cs="Arial"/>
        </w:rPr>
        <w:t>The review has three sections. The first examines international and national research on turnover and engagement and how core theoretical perspectives explain employees’ decisions to remain with or exit organisations. The second considers the Kenyan labour market and the private security sector in which Tribus operates, drawing on African and Global South scholarship on employment relations. The third links these literatures to the design of the Tribus employee survey, with attention to survey methodology and limitations of previous internal engagement exercises.</w:t>
      </w:r>
    </w:p>
    <w:p w14:paraId="003610FA" w14:textId="373CF8E1" w:rsidR="00E53993" w:rsidRPr="00762C0B" w:rsidRDefault="00E53993" w:rsidP="00762C0B">
      <w:pPr>
        <w:jc w:val="both"/>
        <w:rPr>
          <w:rFonts w:ascii="Arial" w:hAnsi="Arial" w:cs="Arial"/>
        </w:rPr>
      </w:pPr>
      <w:r w:rsidRPr="00762C0B">
        <w:rPr>
          <w:rFonts w:ascii="Arial" w:hAnsi="Arial" w:cs="Arial"/>
        </w:rPr>
        <w:br/>
      </w:r>
      <w:r w:rsidRPr="00762C0B">
        <w:rPr>
          <w:rFonts w:ascii="Arial" w:hAnsi="Arial" w:cs="Arial"/>
          <w:b/>
          <w:bCs/>
        </w:rPr>
        <w:t>International and National research</w:t>
      </w:r>
    </w:p>
    <w:p w14:paraId="3F45567A" w14:textId="452DAD8F" w:rsidR="00460C27" w:rsidRDefault="009D4DC7" w:rsidP="00460C27">
      <w:pPr>
        <w:jc w:val="both"/>
        <w:rPr>
          <w:rFonts w:ascii="Arial" w:hAnsi="Arial" w:cs="Arial"/>
        </w:rPr>
      </w:pPr>
      <w:r w:rsidRPr="009D4DC7">
        <w:rPr>
          <w:rFonts w:ascii="Arial" w:hAnsi="Arial" w:cs="Arial"/>
        </w:rPr>
        <w:t xml:space="preserve">International research shows that voluntary turnover is a strategic concern across sectors. Despite institutional variation, common psychological mechanisms such as job satisfaction, organisational commitment and perceived alternatives shape decisions to stay or leave (Hom et al., 2017). </w:t>
      </w:r>
      <w:r w:rsidR="00B66E72" w:rsidRPr="00B66E72">
        <w:rPr>
          <w:rFonts w:ascii="Arial" w:hAnsi="Arial" w:cs="Arial"/>
        </w:rPr>
        <w:t>Contemporary models view turnover as a process in which dissatisfaction initiates job search</w:t>
      </w:r>
      <w:r w:rsidR="00927999">
        <w:rPr>
          <w:rFonts w:ascii="Arial" w:hAnsi="Arial" w:cs="Arial"/>
        </w:rPr>
        <w:t>.</w:t>
      </w:r>
      <w:r w:rsidR="00B66E72" w:rsidRPr="00B66E72">
        <w:rPr>
          <w:rFonts w:ascii="Arial" w:hAnsi="Arial" w:cs="Arial"/>
        </w:rPr>
        <w:t xml:space="preserve"> </w:t>
      </w:r>
    </w:p>
    <w:p w14:paraId="19E9BFD2" w14:textId="77777777" w:rsidR="00B66E72" w:rsidRPr="00762C0B" w:rsidRDefault="00B66E72" w:rsidP="00460C27">
      <w:pPr>
        <w:jc w:val="both"/>
        <w:rPr>
          <w:rFonts w:ascii="Arial" w:hAnsi="Arial" w:cs="Arial"/>
        </w:rPr>
      </w:pPr>
    </w:p>
    <w:p w14:paraId="661846F5" w14:textId="7007F285" w:rsidR="00905AA4" w:rsidRDefault="00FE374D" w:rsidP="00762C0B">
      <w:pPr>
        <w:jc w:val="both"/>
        <w:rPr>
          <w:rFonts w:ascii="Arial" w:hAnsi="Arial" w:cs="Arial"/>
          <w:color w:val="000000" w:themeColor="text1"/>
        </w:rPr>
      </w:pPr>
      <w:r w:rsidRPr="00FE374D">
        <w:rPr>
          <w:rFonts w:ascii="Arial" w:hAnsi="Arial" w:cs="Arial"/>
          <w:color w:val="000000" w:themeColor="text1"/>
        </w:rPr>
        <w:t>Social Exchange Theory (Cropanzano et al., 2017) proposes that where employees perceive organisational support, fair treatment and investment in their development, they reciprocate with commitment and discretionary effort. Retention is strengthened when staff experience high</w:t>
      </w:r>
      <w:r w:rsidRPr="00FE374D">
        <w:rPr>
          <w:rFonts w:ascii="Cambria Math" w:hAnsi="Cambria Math" w:cs="Cambria Math"/>
          <w:color w:val="000000" w:themeColor="text1"/>
        </w:rPr>
        <w:t>‑</w:t>
      </w:r>
      <w:r w:rsidRPr="00FE374D">
        <w:rPr>
          <w:rFonts w:ascii="Arial" w:hAnsi="Arial" w:cs="Arial"/>
          <w:color w:val="000000" w:themeColor="text1"/>
        </w:rPr>
        <w:t>quality leader–member exchanges, trust in management and access to development. However, critics argue that this perspective assumes relatively stable employment and underestimates power imbalances in low</w:t>
      </w:r>
      <w:r w:rsidRPr="00FE374D">
        <w:rPr>
          <w:rFonts w:ascii="Cambria Math" w:hAnsi="Cambria Math" w:cs="Cambria Math"/>
          <w:color w:val="000000" w:themeColor="text1"/>
        </w:rPr>
        <w:t>‑</w:t>
      </w:r>
      <w:r w:rsidRPr="00FE374D">
        <w:rPr>
          <w:rFonts w:ascii="Arial" w:hAnsi="Arial" w:cs="Arial"/>
          <w:color w:val="000000" w:themeColor="text1"/>
        </w:rPr>
        <w:t>wage or outsourced work, where employees may feel obliged to stay despite poor conditions or limited alternatives. In private security settings, this challenges simple assumptions that perceived support will naturally translate into voluntary commitment</w:t>
      </w:r>
      <w:r w:rsidR="00460C27" w:rsidRPr="00460C27">
        <w:rPr>
          <w:rFonts w:ascii="Arial" w:hAnsi="Arial" w:cs="Arial"/>
        </w:rPr>
        <w:t>.</w:t>
      </w:r>
    </w:p>
    <w:p w14:paraId="05E10C14" w14:textId="77777777" w:rsidR="00460C27" w:rsidRDefault="00460C27" w:rsidP="00762C0B">
      <w:pPr>
        <w:jc w:val="both"/>
        <w:rPr>
          <w:rFonts w:ascii="Arial" w:hAnsi="Arial" w:cs="Arial"/>
          <w:color w:val="000000" w:themeColor="text1"/>
        </w:rPr>
      </w:pPr>
    </w:p>
    <w:p w14:paraId="54B64D1E" w14:textId="54355F42" w:rsidR="002527AA" w:rsidRDefault="009D4DC7" w:rsidP="00762C0B">
      <w:pPr>
        <w:jc w:val="both"/>
        <w:rPr>
          <w:rFonts w:ascii="Arial" w:hAnsi="Arial" w:cs="Arial"/>
        </w:rPr>
      </w:pPr>
      <w:r w:rsidRPr="009D4DC7">
        <w:rPr>
          <w:rFonts w:ascii="Arial" w:hAnsi="Arial" w:cs="Arial"/>
        </w:rPr>
        <w:t>Engagement research builds on these insights. Studies in Europe and North America link engagement to meaningful work, autonomy, recognition and psychological safety</w:t>
      </w:r>
      <w:r w:rsidR="00222233">
        <w:rPr>
          <w:rFonts w:ascii="Arial" w:hAnsi="Arial" w:cs="Arial"/>
        </w:rPr>
        <w:t xml:space="preserve"> </w:t>
      </w:r>
      <w:r w:rsidRPr="009D4DC7">
        <w:rPr>
          <w:rFonts w:ascii="Arial" w:hAnsi="Arial" w:cs="Arial"/>
        </w:rPr>
        <w:t>and to outcomes such as performance, advocacy and lower turnover intentions. Meta</w:t>
      </w:r>
      <w:r w:rsidRPr="009D4DC7">
        <w:rPr>
          <w:rFonts w:ascii="Cambria Math" w:hAnsi="Cambria Math" w:cs="Cambria Math"/>
        </w:rPr>
        <w:t>‑</w:t>
      </w:r>
      <w:r w:rsidRPr="009D4DC7">
        <w:rPr>
          <w:rFonts w:ascii="Arial" w:hAnsi="Arial" w:cs="Arial"/>
        </w:rPr>
        <w:t>analyses highlight boundary conditions such as labour</w:t>
      </w:r>
      <w:r w:rsidRPr="009D4DC7">
        <w:rPr>
          <w:rFonts w:ascii="Cambria Math" w:hAnsi="Cambria Math" w:cs="Cambria Math"/>
        </w:rPr>
        <w:t>‑</w:t>
      </w:r>
      <w:r w:rsidRPr="009D4DC7">
        <w:rPr>
          <w:rFonts w:ascii="Arial" w:hAnsi="Arial" w:cs="Arial"/>
        </w:rPr>
        <w:t xml:space="preserve">market tightness, contract type and organisational justice climates, which can strengthen or weaken the engagement–retention link. In more precarious labour markets, employees may report engagement yet still intend to leave if they see better external opportunities. </w:t>
      </w:r>
      <w:r w:rsidR="00101BCB" w:rsidRPr="00101BCB">
        <w:rPr>
          <w:rFonts w:ascii="Arial" w:hAnsi="Arial" w:cs="Arial"/>
        </w:rPr>
        <w:t>For Tribus–TSG, engagement scores alone may be a weak proxy for retention risk if external opportunities and security conditions vary by site</w:t>
      </w:r>
      <w:r w:rsidR="00101BCB">
        <w:rPr>
          <w:rFonts w:ascii="Arial" w:hAnsi="Arial" w:cs="Arial"/>
        </w:rPr>
        <w:t xml:space="preserve">. </w:t>
      </w:r>
    </w:p>
    <w:p w14:paraId="658F8F57" w14:textId="77777777" w:rsidR="009D4DC7" w:rsidRPr="00762C0B" w:rsidRDefault="009D4DC7" w:rsidP="00762C0B">
      <w:pPr>
        <w:jc w:val="both"/>
        <w:rPr>
          <w:rFonts w:ascii="Arial" w:hAnsi="Arial" w:cs="Arial"/>
        </w:rPr>
      </w:pPr>
    </w:p>
    <w:p w14:paraId="6799590B" w14:textId="34DCE0BA" w:rsidR="00905AA4" w:rsidRPr="00701BE9" w:rsidRDefault="00905AA4" w:rsidP="00762C0B">
      <w:pPr>
        <w:jc w:val="both"/>
        <w:rPr>
          <w:rFonts w:ascii="Arial" w:hAnsi="Arial" w:cs="Arial"/>
          <w:b/>
          <w:bCs/>
        </w:rPr>
      </w:pPr>
      <w:r w:rsidRPr="00762C0B">
        <w:rPr>
          <w:rFonts w:ascii="Arial" w:hAnsi="Arial" w:cs="Arial"/>
          <w:b/>
          <w:bCs/>
        </w:rPr>
        <w:t>Critiquing and contextualising dominant theories</w:t>
      </w:r>
    </w:p>
    <w:p w14:paraId="538EF816" w14:textId="15E84B6C" w:rsidR="00414CF5" w:rsidRDefault="009D02AC" w:rsidP="00762C0B">
      <w:pPr>
        <w:jc w:val="both"/>
        <w:rPr>
          <w:rFonts w:ascii="Arial" w:hAnsi="Arial" w:cs="Arial"/>
        </w:rPr>
      </w:pPr>
      <w:r w:rsidRPr="009D02AC">
        <w:rPr>
          <w:rFonts w:ascii="Arial" w:hAnsi="Arial" w:cs="Arial"/>
        </w:rPr>
        <w:t xml:space="preserve">Much of the retention and engagement literature is grounded in Western, formally regulated labour markets. Research on human resource management in developing countries shows that weak enforcement of labour standards, limited social protection and high unemployment can constrain employees’ choices, sometimes leading them to tolerate poor conditions for the sake of income security (Cooke et al., 2019). Analyses of informal and precarious work in the Global South similarly highlight how </w:t>
      </w:r>
      <w:r w:rsidRPr="009D02AC">
        <w:rPr>
          <w:rFonts w:ascii="Arial" w:hAnsi="Arial" w:cs="Arial"/>
        </w:rPr>
        <w:lastRenderedPageBreak/>
        <w:t>household survival strategies and access to informal networks shape decisions to stay or leave, alongside job satisfaction (International Labour Organisation, 2018). For a context such as Kenya, where underemployment and informality are prevalent, dominant models that assume plentiful alternatives and effective legal protections may overstate individual agency.</w:t>
      </w:r>
    </w:p>
    <w:p w14:paraId="39A2D0FA" w14:textId="77777777" w:rsidR="009D02AC" w:rsidRPr="00762C0B" w:rsidRDefault="009D02AC" w:rsidP="00762C0B">
      <w:pPr>
        <w:jc w:val="both"/>
        <w:rPr>
          <w:rFonts w:ascii="Arial" w:hAnsi="Arial" w:cs="Arial"/>
        </w:rPr>
      </w:pPr>
    </w:p>
    <w:p w14:paraId="3CB12024" w14:textId="77777777" w:rsidR="00E53993" w:rsidRPr="00762C0B" w:rsidRDefault="00E53993" w:rsidP="00762C0B">
      <w:pPr>
        <w:jc w:val="both"/>
        <w:rPr>
          <w:rFonts w:ascii="Arial" w:hAnsi="Arial" w:cs="Arial"/>
        </w:rPr>
      </w:pPr>
      <w:r w:rsidRPr="00762C0B">
        <w:rPr>
          <w:rFonts w:ascii="Arial" w:hAnsi="Arial" w:cs="Arial"/>
          <w:b/>
          <w:bCs/>
        </w:rPr>
        <w:t>Kenyan context and sectoral considerations</w:t>
      </w:r>
    </w:p>
    <w:p w14:paraId="570C18C6" w14:textId="526C0AD4" w:rsidR="00825FE8" w:rsidRPr="00825FE8" w:rsidRDefault="00825FE8" w:rsidP="00825FE8">
      <w:pPr>
        <w:jc w:val="both"/>
        <w:rPr>
          <w:rFonts w:ascii="Arial" w:hAnsi="Arial" w:cs="Arial"/>
        </w:rPr>
      </w:pPr>
      <w:r w:rsidRPr="00825FE8">
        <w:rPr>
          <w:rFonts w:ascii="Arial" w:hAnsi="Arial" w:cs="Arial"/>
        </w:rPr>
        <w:t xml:space="preserve">The Kenyan labour market is characterised by high youth unemployment, extensive informal employment and regional inequalities. Within this context, the private security industry has expanded rapidly as organisations outsource guarding and risk management. </w:t>
      </w:r>
      <w:r w:rsidR="00D103EC" w:rsidRPr="00D103EC">
        <w:rPr>
          <w:rFonts w:ascii="Arial" w:hAnsi="Arial" w:cs="Arial"/>
        </w:rPr>
        <w:t>Employment in the sector is often associated with low wages, long irregular shifts and limited advancement opportunities, although there is variation between firms</w:t>
      </w:r>
      <w:r w:rsidRPr="00825FE8">
        <w:rPr>
          <w:rFonts w:ascii="Arial" w:hAnsi="Arial" w:cs="Arial"/>
        </w:rPr>
        <w:t>. Studies of private security in Africa show how companies operate at the intersection of public and private authority, with guards bearing the risks of this hybrid role in terms of exposure to violence and client pressure (Abrahamsen and Williams, 2015). For</w:t>
      </w:r>
      <w:r w:rsidR="00927999">
        <w:rPr>
          <w:rFonts w:ascii="Arial" w:hAnsi="Arial" w:cs="Arial"/>
        </w:rPr>
        <w:t xml:space="preserve"> </w:t>
      </w:r>
      <w:r w:rsidRPr="00825FE8">
        <w:rPr>
          <w:rFonts w:ascii="Arial" w:hAnsi="Arial" w:cs="Arial"/>
        </w:rPr>
        <w:t>employees, perceptions of physical safety, respect and procedural fairness may therefore be as salient as pay when deciding whether to remain.</w:t>
      </w:r>
    </w:p>
    <w:p w14:paraId="061F3CB9" w14:textId="77777777" w:rsidR="00825FE8" w:rsidRPr="00825FE8" w:rsidRDefault="00825FE8" w:rsidP="00825FE8">
      <w:pPr>
        <w:jc w:val="both"/>
        <w:rPr>
          <w:rFonts w:ascii="Arial" w:hAnsi="Arial" w:cs="Arial"/>
        </w:rPr>
      </w:pPr>
    </w:p>
    <w:p w14:paraId="543DF5AF" w14:textId="0168A0D1" w:rsidR="00825FE8" w:rsidRDefault="00825FE8" w:rsidP="00825FE8">
      <w:pPr>
        <w:jc w:val="both"/>
        <w:rPr>
          <w:rFonts w:ascii="Arial" w:hAnsi="Arial" w:cs="Arial"/>
        </w:rPr>
      </w:pPr>
      <w:r w:rsidRPr="00825FE8">
        <w:rPr>
          <w:rFonts w:ascii="Arial" w:hAnsi="Arial" w:cs="Arial"/>
        </w:rPr>
        <w:t>Kenyan labour law sets standards for wages, working time, leave, safety and protection from unfair dismissal</w:t>
      </w:r>
      <w:r w:rsidR="00222233">
        <w:rPr>
          <w:rFonts w:ascii="Arial" w:hAnsi="Arial" w:cs="Arial"/>
        </w:rPr>
        <w:t xml:space="preserve"> </w:t>
      </w:r>
      <w:r w:rsidRPr="00825FE8">
        <w:rPr>
          <w:rFonts w:ascii="Arial" w:hAnsi="Arial" w:cs="Arial"/>
        </w:rPr>
        <w:t xml:space="preserve">and the Private Security Regulation Act introduces licensing requirements and basic sectoral norms (Republic of Kenya, 2016). In principle, these frameworks should support decent work, but research suggests that compliance is uneven where enforcement is weak and firms face intense price competition (Cooke et al., 2019). </w:t>
      </w:r>
      <w:r w:rsidR="00B66E72" w:rsidRPr="00B66E72">
        <w:rPr>
          <w:rFonts w:ascii="Arial" w:hAnsi="Arial" w:cs="Arial"/>
        </w:rPr>
        <w:t>For Tribus–TSG, this indicates that engagement and retention strategies must consider both formal regulation and its implementation.</w:t>
      </w:r>
    </w:p>
    <w:p w14:paraId="676A19D7" w14:textId="77777777" w:rsidR="00B66E72" w:rsidRPr="00762C0B" w:rsidRDefault="00B66E72" w:rsidP="00825FE8">
      <w:pPr>
        <w:jc w:val="both"/>
        <w:rPr>
          <w:rFonts w:ascii="Arial" w:hAnsi="Arial" w:cs="Arial"/>
          <w:b/>
          <w:bCs/>
        </w:rPr>
      </w:pPr>
    </w:p>
    <w:p w14:paraId="765B8FE0" w14:textId="5051D537" w:rsidR="00E53993" w:rsidRPr="00762C0B" w:rsidRDefault="00905AA4" w:rsidP="00762C0B">
      <w:pPr>
        <w:jc w:val="both"/>
        <w:rPr>
          <w:rFonts w:ascii="Arial" w:hAnsi="Arial" w:cs="Arial"/>
        </w:rPr>
      </w:pPr>
      <w:r w:rsidRPr="00762C0B">
        <w:rPr>
          <w:rFonts w:ascii="Arial" w:hAnsi="Arial" w:cs="Arial"/>
          <w:b/>
          <w:bCs/>
        </w:rPr>
        <w:t>Linking the literature review to the Tribus Survey</w:t>
      </w:r>
    </w:p>
    <w:p w14:paraId="66E72123" w14:textId="2D6A4E4C" w:rsidR="00905AA4" w:rsidRPr="00762C0B" w:rsidRDefault="00905AA4" w:rsidP="00762C0B">
      <w:pPr>
        <w:jc w:val="both"/>
        <w:rPr>
          <w:rFonts w:ascii="Arial" w:hAnsi="Arial" w:cs="Arial"/>
        </w:rPr>
      </w:pPr>
      <w:r w:rsidRPr="00762C0B">
        <w:rPr>
          <w:rFonts w:ascii="Arial" w:hAnsi="Arial" w:cs="Arial"/>
        </w:rPr>
        <w:t xml:space="preserve">The design of employee surveys shapes how engagement and retention are conceptualised and how subsequent decisions are justified. Previous internal surveys at Tribus, including the 2021 engagement survey and an employee Net Promoter Score </w:t>
      </w:r>
      <w:r w:rsidR="00101BCB">
        <w:rPr>
          <w:rFonts w:ascii="Arial" w:hAnsi="Arial" w:cs="Arial"/>
        </w:rPr>
        <w:t xml:space="preserve">(NPS) </w:t>
      </w:r>
      <w:r w:rsidRPr="00762C0B">
        <w:rPr>
          <w:rFonts w:ascii="Arial" w:hAnsi="Arial" w:cs="Arial"/>
        </w:rPr>
        <w:t xml:space="preserve">exercise, offered initial insights but had key limitations. Response rates were relatively low, especially among guards in rural or high risk locations, which reduced the robustness of findings. Question wording and scale design made it difficult to distinguish between different dimensions of engagement, such as affective commitment, satisfaction with working conditions and perceptions of procedural justice. </w:t>
      </w:r>
      <w:r w:rsidR="00101BCB" w:rsidRPr="00101BCB">
        <w:rPr>
          <w:rFonts w:ascii="Arial" w:hAnsi="Arial" w:cs="Arial"/>
        </w:rPr>
        <w:t>Therefore, the 2025 survey should prioritise validated multi-item scales for justice/support/commitment and use collection methods that reach guards in rural/high-risk locations</w:t>
      </w:r>
      <w:r w:rsidR="00101BCB">
        <w:rPr>
          <w:rFonts w:ascii="Arial" w:hAnsi="Arial" w:cs="Arial"/>
        </w:rPr>
        <w:t xml:space="preserve">. </w:t>
      </w:r>
      <w:r w:rsidRPr="00762C0B">
        <w:rPr>
          <w:rFonts w:ascii="Arial" w:hAnsi="Arial" w:cs="Arial"/>
        </w:rPr>
        <w:t>Practitioner tools such as N</w:t>
      </w:r>
      <w:r w:rsidR="00101BCB">
        <w:rPr>
          <w:rFonts w:ascii="Arial" w:hAnsi="Arial" w:cs="Arial"/>
        </w:rPr>
        <w:t>PS</w:t>
      </w:r>
      <w:r w:rsidRPr="00762C0B">
        <w:rPr>
          <w:rFonts w:ascii="Arial" w:hAnsi="Arial" w:cs="Arial"/>
        </w:rPr>
        <w:t xml:space="preserve"> can be useful but risk oversimplifying complex attitudes if not embedded within a broader, theory informed measurement framework (Keiningham et al., 2015; de Haan et al., 2015).</w:t>
      </w:r>
    </w:p>
    <w:p w14:paraId="29F93096" w14:textId="77777777" w:rsidR="00E53993" w:rsidRPr="00762C0B" w:rsidRDefault="00E53993" w:rsidP="00762C0B">
      <w:pPr>
        <w:jc w:val="both"/>
        <w:rPr>
          <w:rFonts w:ascii="Arial" w:hAnsi="Arial" w:cs="Arial"/>
        </w:rPr>
      </w:pPr>
    </w:p>
    <w:p w14:paraId="01A688E4" w14:textId="77777777" w:rsidR="007C5727" w:rsidRDefault="00905AA4" w:rsidP="00762C0B">
      <w:pPr>
        <w:jc w:val="both"/>
        <w:rPr>
          <w:rFonts w:ascii="Arial" w:hAnsi="Arial" w:cs="Arial"/>
        </w:rPr>
      </w:pPr>
      <w:r w:rsidRPr="00762C0B">
        <w:rPr>
          <w:rFonts w:ascii="Arial" w:hAnsi="Arial" w:cs="Arial"/>
        </w:rPr>
        <w:t xml:space="preserve">Survey methodology literature recommends using validated multi item scales to capture complex constructs and reduce measurement error, while also emphasising the importance of administration mode, communication and assurances of confidentiality (Tourangeau et al., 2017; de Leeuw et al., 2018). Informed by this work and by the contextual literature, the proposed Tribus survey will assess perceptions of organisational support and fairness, supervisor relationships, communication, access to training, physical safety and satisfaction with pay and benefits relative to market </w:t>
      </w:r>
      <w:r w:rsidRPr="00762C0B">
        <w:rPr>
          <w:rFonts w:ascii="Arial" w:hAnsi="Arial" w:cs="Arial"/>
        </w:rPr>
        <w:lastRenderedPageBreak/>
        <w:t xml:space="preserve">alternatives. Items will be adapted from established scales and carefully reworded to reflect the language and experiences of Tribus employees, including </w:t>
      </w:r>
      <w:r w:rsidR="00087C1B">
        <w:rPr>
          <w:rFonts w:ascii="Arial" w:hAnsi="Arial" w:cs="Arial"/>
        </w:rPr>
        <w:t xml:space="preserve">cleaners, </w:t>
      </w:r>
      <w:r w:rsidRPr="00762C0B">
        <w:rPr>
          <w:rFonts w:ascii="Arial" w:hAnsi="Arial" w:cs="Arial"/>
        </w:rPr>
        <w:t xml:space="preserve">guards </w:t>
      </w:r>
      <w:r w:rsidR="00087C1B">
        <w:rPr>
          <w:rFonts w:ascii="Arial" w:hAnsi="Arial" w:cs="Arial"/>
        </w:rPr>
        <w:t xml:space="preserve">and tailors </w:t>
      </w:r>
      <w:r w:rsidRPr="00762C0B">
        <w:rPr>
          <w:rFonts w:ascii="Arial" w:hAnsi="Arial" w:cs="Arial"/>
        </w:rPr>
        <w:t xml:space="preserve">with limited formal education. </w:t>
      </w:r>
    </w:p>
    <w:p w14:paraId="25A0B6FF" w14:textId="77777777" w:rsidR="007C5727" w:rsidRDefault="007C5727" w:rsidP="00762C0B">
      <w:pPr>
        <w:jc w:val="both"/>
        <w:rPr>
          <w:rFonts w:ascii="Arial" w:hAnsi="Arial" w:cs="Arial"/>
        </w:rPr>
      </w:pPr>
    </w:p>
    <w:p w14:paraId="6F72C598" w14:textId="13F26589" w:rsidR="00E53993" w:rsidRDefault="00905AA4" w:rsidP="00762C0B">
      <w:pPr>
        <w:jc w:val="both"/>
        <w:rPr>
          <w:rFonts w:ascii="Arial" w:hAnsi="Arial" w:cs="Arial"/>
        </w:rPr>
      </w:pPr>
      <w:r w:rsidRPr="00762C0B">
        <w:rPr>
          <w:rFonts w:ascii="Arial" w:hAnsi="Arial" w:cs="Arial"/>
        </w:rPr>
        <w:t xml:space="preserve">The survey will be </w:t>
      </w:r>
      <w:r w:rsidR="00B66E72">
        <w:rPr>
          <w:rFonts w:ascii="Arial" w:hAnsi="Arial" w:cs="Arial"/>
        </w:rPr>
        <w:t>a</w:t>
      </w:r>
      <w:r w:rsidR="00B66E72" w:rsidRPr="00B66E72">
        <w:rPr>
          <w:rFonts w:ascii="Arial" w:hAnsi="Arial" w:cs="Arial"/>
        </w:rPr>
        <w:t>dministered anonymously using online and paper</w:t>
      </w:r>
      <w:r w:rsidR="00B66E72" w:rsidRPr="00B66E72">
        <w:rPr>
          <w:rFonts w:ascii="Cambria Math" w:hAnsi="Cambria Math" w:cs="Cambria Math"/>
        </w:rPr>
        <w:t>‑</w:t>
      </w:r>
      <w:r w:rsidR="00B66E72" w:rsidRPr="00B66E72">
        <w:rPr>
          <w:rFonts w:ascii="Arial" w:hAnsi="Arial" w:cs="Arial"/>
        </w:rPr>
        <w:t>based modes to reach remote sites</w:t>
      </w:r>
      <w:r w:rsidRPr="00762C0B">
        <w:rPr>
          <w:rFonts w:ascii="Arial" w:hAnsi="Arial" w:cs="Arial"/>
        </w:rPr>
        <w:t>.</w:t>
      </w:r>
      <w:r w:rsidR="00E53993" w:rsidRPr="00762C0B">
        <w:rPr>
          <w:rFonts w:ascii="Arial" w:hAnsi="Arial" w:cs="Arial"/>
        </w:rPr>
        <w:t xml:space="preserve"> </w:t>
      </w:r>
    </w:p>
    <w:p w14:paraId="6095DE7C" w14:textId="77777777" w:rsidR="00B66E72" w:rsidRDefault="00B66E72" w:rsidP="00762C0B">
      <w:pPr>
        <w:jc w:val="both"/>
        <w:rPr>
          <w:rFonts w:ascii="Arial" w:hAnsi="Arial" w:cs="Arial"/>
        </w:rPr>
      </w:pPr>
    </w:p>
    <w:p w14:paraId="7B345466" w14:textId="77777777" w:rsidR="00701BE9" w:rsidRDefault="00E53993" w:rsidP="00701BE9">
      <w:pPr>
        <w:jc w:val="both"/>
        <w:rPr>
          <w:rFonts w:ascii="Arial" w:hAnsi="Arial" w:cs="Arial"/>
        </w:rPr>
      </w:pPr>
      <w:r w:rsidRPr="00762C0B">
        <w:rPr>
          <w:rFonts w:ascii="Arial" w:hAnsi="Arial" w:cs="Arial"/>
          <w:b/>
          <w:bCs/>
        </w:rPr>
        <w:t>Conclusion</w:t>
      </w:r>
      <w:r w:rsidRPr="00762C0B">
        <w:rPr>
          <w:rFonts w:ascii="Arial" w:hAnsi="Arial" w:cs="Arial"/>
        </w:rPr>
        <w:br/>
      </w:r>
      <w:r w:rsidR="00701BE9" w:rsidRPr="00701BE9">
        <w:rPr>
          <w:rFonts w:ascii="Arial" w:hAnsi="Arial" w:cs="Arial"/>
        </w:rPr>
        <w:t>Overall, the literature suggests that engagement and retention are shaped by individual attitudes, perceived organisational support and wider labour</w:t>
      </w:r>
      <w:r w:rsidR="00701BE9" w:rsidRPr="00701BE9">
        <w:rPr>
          <w:rFonts w:ascii="Cambria Math" w:hAnsi="Cambria Math" w:cs="Cambria Math"/>
        </w:rPr>
        <w:t>‑</w:t>
      </w:r>
      <w:r w:rsidR="00701BE9" w:rsidRPr="00701BE9">
        <w:rPr>
          <w:rFonts w:ascii="Arial" w:hAnsi="Arial" w:cs="Arial"/>
        </w:rPr>
        <w:t xml:space="preserve">market conditions. Dominant turnover and engagement theories offer useful insights but are limited when applied to contexts with weaker regulation, high unemployment and widespread informality. Kenyan and African studies of private security highlight how low pay, long and insecure hours, physical risk and uneven enforcement of labour standards interact with perceptions of fairness and respect. </w:t>
      </w:r>
    </w:p>
    <w:p w14:paraId="2FEB9E8F" w14:textId="77777777" w:rsidR="00701BE9" w:rsidRDefault="00701BE9" w:rsidP="00701BE9">
      <w:pPr>
        <w:jc w:val="both"/>
        <w:rPr>
          <w:rFonts w:ascii="Arial" w:hAnsi="Arial" w:cs="Arial"/>
        </w:rPr>
      </w:pPr>
    </w:p>
    <w:p w14:paraId="0CC9F7BE" w14:textId="1AD6C4E8" w:rsidR="00E53993" w:rsidRPr="00762C0B" w:rsidRDefault="00701BE9" w:rsidP="00701BE9">
      <w:pPr>
        <w:jc w:val="both"/>
        <w:rPr>
          <w:rFonts w:ascii="Arial" w:hAnsi="Arial" w:cs="Arial"/>
        </w:rPr>
      </w:pPr>
      <w:r w:rsidRPr="00701BE9">
        <w:rPr>
          <w:rFonts w:ascii="Arial" w:hAnsi="Arial" w:cs="Arial"/>
        </w:rPr>
        <w:t>These insights inform the design of the Tribus–TSG employee survey by identifying constructs to measure and contextual constraints to consider when interpreting results. A theoretically grounded and context</w:t>
      </w:r>
      <w:r w:rsidRPr="00701BE9">
        <w:rPr>
          <w:rFonts w:ascii="Cambria Math" w:hAnsi="Cambria Math" w:cs="Cambria Math"/>
        </w:rPr>
        <w:t>‑</w:t>
      </w:r>
      <w:r w:rsidRPr="00701BE9">
        <w:rPr>
          <w:rFonts w:ascii="Arial" w:hAnsi="Arial" w:cs="Arial"/>
        </w:rPr>
        <w:t>sensitive survey should provide a stronger basis for understanding employee decisions to stay or leave for developing realistic retention and engagement strategies</w:t>
      </w:r>
      <w:r w:rsidR="00905AA4" w:rsidRPr="00762C0B">
        <w:rPr>
          <w:rFonts w:ascii="Arial" w:hAnsi="Arial" w:cs="Arial"/>
        </w:rPr>
        <w:t>.</w:t>
      </w:r>
    </w:p>
    <w:p w14:paraId="3B31D8E4" w14:textId="77777777" w:rsidR="00E53993" w:rsidRPr="00762C0B" w:rsidRDefault="00E53993" w:rsidP="00762C0B">
      <w:pPr>
        <w:jc w:val="both"/>
        <w:rPr>
          <w:rFonts w:ascii="Arial" w:hAnsi="Arial" w:cs="Arial"/>
        </w:rPr>
      </w:pPr>
    </w:p>
    <w:p w14:paraId="025A6465" w14:textId="77777777" w:rsidR="00E53993" w:rsidRPr="00762C0B" w:rsidRDefault="00E53993" w:rsidP="00762C0B">
      <w:pPr>
        <w:jc w:val="both"/>
        <w:rPr>
          <w:rFonts w:ascii="Arial" w:hAnsi="Arial" w:cs="Arial"/>
          <w:b/>
          <w:bCs/>
        </w:rPr>
      </w:pPr>
      <w:r w:rsidRPr="00762C0B">
        <w:rPr>
          <w:rFonts w:ascii="Arial" w:hAnsi="Arial" w:cs="Arial"/>
          <w:b/>
          <w:bCs/>
        </w:rPr>
        <w:t>References</w:t>
      </w:r>
    </w:p>
    <w:p w14:paraId="60CA27B1" w14:textId="70A74959" w:rsidR="00E53993" w:rsidRPr="00871332" w:rsidRDefault="00762C0B" w:rsidP="00762C0B">
      <w:pPr>
        <w:jc w:val="both"/>
        <w:rPr>
          <w:rFonts w:ascii="Arial" w:hAnsi="Arial" w:cs="Arial"/>
        </w:rPr>
      </w:pPr>
      <w:r w:rsidRPr="00871332">
        <w:rPr>
          <w:rFonts w:ascii="Arial" w:hAnsi="Arial" w:cs="Arial"/>
        </w:rPr>
        <w:t>Abrahamsen, R. and Williams, M.C. (2015) The international political sociology of private security: From the global to the everyday. International Political Sociology, 9(4), pp. 335-351</w:t>
      </w:r>
      <w:r w:rsidR="00E53993" w:rsidRPr="00871332">
        <w:rPr>
          <w:rFonts w:ascii="Arial" w:hAnsi="Arial" w:cs="Arial"/>
        </w:rPr>
        <w:t>.</w:t>
      </w:r>
      <w:r w:rsidRPr="00871332">
        <w:rPr>
          <w:rFonts w:ascii="Arial" w:hAnsi="Arial" w:cs="Arial"/>
        </w:rPr>
        <w:t xml:space="preserve">      </w:t>
      </w:r>
    </w:p>
    <w:p w14:paraId="75177687" w14:textId="77777777" w:rsidR="00905AA4" w:rsidRDefault="00905AA4" w:rsidP="00762C0B">
      <w:pPr>
        <w:jc w:val="both"/>
        <w:rPr>
          <w:rFonts w:ascii="Arial" w:hAnsi="Arial" w:cs="Arial"/>
        </w:rPr>
      </w:pPr>
      <w:r w:rsidRPr="00871332">
        <w:rPr>
          <w:rFonts w:ascii="Arial" w:hAnsi="Arial" w:cs="Arial"/>
        </w:rPr>
        <w:t>Cooke, F.L., Schuler, R. and Varma, A. (2019) Human Resource Management in Asia and Emerging Markets. London: Routledge.</w:t>
      </w:r>
    </w:p>
    <w:p w14:paraId="42334593" w14:textId="590DA5C4" w:rsidR="006A02D0" w:rsidRPr="00871332" w:rsidRDefault="006A02D0" w:rsidP="00762C0B">
      <w:pPr>
        <w:jc w:val="both"/>
        <w:rPr>
          <w:rFonts w:ascii="Arial" w:hAnsi="Arial" w:cs="Arial"/>
        </w:rPr>
      </w:pPr>
      <w:r w:rsidRPr="006A02D0">
        <w:rPr>
          <w:rFonts w:ascii="Arial" w:hAnsi="Arial" w:cs="Arial"/>
        </w:rPr>
        <w:t>Cropanzano, R., Anthony, E.L., Daniels, S.R. and Hall, A.V. (2017) Social exchange theory: A critical review with theoretical remedies. Academy of Management Annals, 11(1), pp. 479–516</w:t>
      </w:r>
    </w:p>
    <w:p w14:paraId="202B0205" w14:textId="77777777" w:rsidR="00905AA4" w:rsidRPr="00871332" w:rsidRDefault="00905AA4" w:rsidP="00762C0B">
      <w:pPr>
        <w:jc w:val="both"/>
        <w:rPr>
          <w:rFonts w:ascii="Arial" w:hAnsi="Arial" w:cs="Arial"/>
        </w:rPr>
      </w:pPr>
      <w:r w:rsidRPr="00871332">
        <w:rPr>
          <w:rFonts w:ascii="Arial" w:hAnsi="Arial" w:cs="Arial"/>
        </w:rPr>
        <w:t>de Haan, E., Verhoef, P.C. and Wiesel, T. (2015) The predictive ability of different customer feedback metrics for retention. International Journal of Research in Marketing, 32(2), pp. 195-206.</w:t>
      </w:r>
    </w:p>
    <w:p w14:paraId="2CF93FBA" w14:textId="77777777" w:rsidR="00905AA4" w:rsidRPr="00871332" w:rsidRDefault="00905AA4" w:rsidP="00762C0B">
      <w:pPr>
        <w:jc w:val="both"/>
        <w:rPr>
          <w:rFonts w:ascii="Arial" w:hAnsi="Arial" w:cs="Arial"/>
        </w:rPr>
      </w:pPr>
      <w:r w:rsidRPr="00871332">
        <w:rPr>
          <w:rFonts w:ascii="Arial" w:hAnsi="Arial" w:cs="Arial"/>
        </w:rPr>
        <w:t>de Leeuw, E.D., Hox, J.J. and Dillman, D.A. (2018) International Handbook of Survey Methodology. 2nd edn. New York: Taylor and Francis.</w:t>
      </w:r>
    </w:p>
    <w:p w14:paraId="710E881A" w14:textId="77777777" w:rsidR="00905AA4" w:rsidRPr="00871332" w:rsidRDefault="00905AA4" w:rsidP="00762C0B">
      <w:pPr>
        <w:jc w:val="both"/>
        <w:rPr>
          <w:rFonts w:ascii="Arial" w:hAnsi="Arial" w:cs="Arial"/>
        </w:rPr>
      </w:pPr>
      <w:r w:rsidRPr="00871332">
        <w:rPr>
          <w:rFonts w:ascii="Arial" w:hAnsi="Arial" w:cs="Arial"/>
        </w:rPr>
        <w:t>Hom, P.W., Lee, T.W., Shaw, J.D. and Hausknecht, J.P. (2017) One hundred years of employee turnover theory and research. Journal of Applied Psychology, 102(3), pp. 530-545.</w:t>
      </w:r>
    </w:p>
    <w:p w14:paraId="55883CDD" w14:textId="77777777" w:rsidR="00905AA4" w:rsidRPr="00871332" w:rsidRDefault="00905AA4" w:rsidP="00762C0B">
      <w:pPr>
        <w:jc w:val="both"/>
        <w:rPr>
          <w:rFonts w:ascii="Arial" w:hAnsi="Arial" w:cs="Arial"/>
        </w:rPr>
      </w:pPr>
      <w:r w:rsidRPr="00871332">
        <w:rPr>
          <w:rFonts w:ascii="Arial" w:hAnsi="Arial" w:cs="Arial"/>
        </w:rPr>
        <w:t>International Labour Organisation (2018) Women and Men in the Informal Economy: A Statistical Picture. 3rd edn. Geneva: International Labour Office.</w:t>
      </w:r>
    </w:p>
    <w:p w14:paraId="6693C805" w14:textId="77777777" w:rsidR="00905AA4" w:rsidRPr="00871332" w:rsidRDefault="00905AA4" w:rsidP="00762C0B">
      <w:pPr>
        <w:jc w:val="both"/>
        <w:rPr>
          <w:rFonts w:ascii="Arial" w:hAnsi="Arial" w:cs="Arial"/>
        </w:rPr>
      </w:pPr>
      <w:r w:rsidRPr="00871332">
        <w:rPr>
          <w:rFonts w:ascii="Arial" w:hAnsi="Arial" w:cs="Arial"/>
        </w:rPr>
        <w:t>Keiningham, T.L., Aksoy, L., Williams, L. and Buoye, A. (2015) Does Net Promoter Score really predict business growth? Journal of Service Management, 26(3), pp. 1-20.</w:t>
      </w:r>
    </w:p>
    <w:p w14:paraId="51D2AC50" w14:textId="77777777" w:rsidR="00905AA4" w:rsidRPr="00871332" w:rsidRDefault="00905AA4" w:rsidP="00762C0B">
      <w:pPr>
        <w:jc w:val="both"/>
        <w:rPr>
          <w:rFonts w:ascii="Arial" w:hAnsi="Arial" w:cs="Arial"/>
        </w:rPr>
      </w:pPr>
      <w:r w:rsidRPr="00871332">
        <w:rPr>
          <w:rFonts w:ascii="Arial" w:hAnsi="Arial" w:cs="Arial"/>
        </w:rPr>
        <w:t>Republic of Kenya (2016) The Private Security Regulation Act, 2016. Nairobi: Government Printer.</w:t>
      </w:r>
    </w:p>
    <w:p w14:paraId="1A295AC6" w14:textId="77777777" w:rsidR="00905AA4" w:rsidRPr="00762C0B" w:rsidRDefault="00905AA4" w:rsidP="00762C0B">
      <w:pPr>
        <w:jc w:val="both"/>
        <w:rPr>
          <w:rFonts w:ascii="Arial" w:hAnsi="Arial" w:cs="Arial"/>
        </w:rPr>
      </w:pPr>
      <w:r w:rsidRPr="00871332">
        <w:rPr>
          <w:rFonts w:ascii="Arial" w:hAnsi="Arial" w:cs="Arial"/>
        </w:rPr>
        <w:t>Tourangeau, R., Edwards, B. and Johnson, T.P. (eds) (2017) Hard-to-Survey Populations. Cambridge: Cambridge University Press.</w:t>
      </w:r>
    </w:p>
    <w:p w14:paraId="29698F8C" w14:textId="601C543D" w:rsidR="007D4A35" w:rsidRDefault="007D4A35" w:rsidP="00762C0B">
      <w:pPr>
        <w:jc w:val="both"/>
        <w:rPr>
          <w:rFonts w:ascii="Arial" w:hAnsi="Arial" w:cs="Arial"/>
        </w:rPr>
      </w:pPr>
    </w:p>
    <w:sdt>
      <w:sdtPr>
        <w:rPr>
          <w:rFonts w:ascii="Arial" w:hAnsi="Arial" w:cs="Arial"/>
        </w:rPr>
        <w:id w:val="1874499021"/>
        <w:docPartObj>
          <w:docPartGallery w:val="Cover Pages"/>
          <w:docPartUnique/>
        </w:docPartObj>
      </w:sdtPr>
      <w:sdtContent>
        <w:p w14:paraId="1B91A2CF" w14:textId="77777777" w:rsidR="00185BCF" w:rsidRPr="00B97A47" w:rsidRDefault="00185BCF" w:rsidP="00185BCF">
          <w:pPr>
            <w:jc w:val="both"/>
            <w:rPr>
              <w:rFonts w:ascii="Arial" w:hAnsi="Arial" w:cs="Arial"/>
            </w:rPr>
          </w:pPr>
        </w:p>
        <w:p w14:paraId="3D1FB01F" w14:textId="77777777" w:rsidR="00185BCF" w:rsidRPr="00B97A47" w:rsidRDefault="00185BCF" w:rsidP="00185BCF">
          <w:pPr>
            <w:jc w:val="both"/>
            <w:rPr>
              <w:rFonts w:ascii="Arial" w:hAnsi="Arial" w:cs="Arial"/>
            </w:rPr>
          </w:pPr>
        </w:p>
      </w:sdtContent>
    </w:sdt>
    <w:p w14:paraId="03B475B3" w14:textId="77777777" w:rsidR="00185BCF" w:rsidRPr="00B97A47" w:rsidRDefault="00185BCF" w:rsidP="00185BCF">
      <w:pPr>
        <w:jc w:val="both"/>
        <w:rPr>
          <w:rFonts w:ascii="Arial" w:hAnsi="Arial" w:cs="Arial"/>
        </w:rPr>
      </w:pPr>
    </w:p>
    <w:p w14:paraId="3D13FEBD" w14:textId="77777777" w:rsidR="00185BCF" w:rsidRPr="00B97A47" w:rsidRDefault="00185BCF" w:rsidP="00185BCF">
      <w:pPr>
        <w:jc w:val="both"/>
        <w:rPr>
          <w:rFonts w:ascii="Arial" w:hAnsi="Arial" w:cs="Arial"/>
        </w:rPr>
      </w:pPr>
    </w:p>
    <w:p w14:paraId="432060AB" w14:textId="77777777" w:rsidR="00185BCF" w:rsidRPr="00B97A47" w:rsidRDefault="00185BCF" w:rsidP="00185BCF">
      <w:pPr>
        <w:jc w:val="both"/>
        <w:rPr>
          <w:rFonts w:ascii="Arial" w:hAnsi="Arial" w:cs="Arial"/>
        </w:rPr>
      </w:pPr>
    </w:p>
    <w:p w14:paraId="4C2948F3" w14:textId="77777777" w:rsidR="00185BCF" w:rsidRPr="00B97A47" w:rsidRDefault="00185BCF" w:rsidP="00185BCF">
      <w:pPr>
        <w:jc w:val="both"/>
        <w:rPr>
          <w:rFonts w:ascii="Arial" w:hAnsi="Arial" w:cs="Arial"/>
        </w:rPr>
      </w:pPr>
    </w:p>
    <w:p w14:paraId="66E08165" w14:textId="77777777" w:rsidR="00185BCF" w:rsidRPr="00B97A47" w:rsidRDefault="00185BCF" w:rsidP="00185BCF">
      <w:pPr>
        <w:jc w:val="both"/>
        <w:rPr>
          <w:rFonts w:ascii="Arial" w:hAnsi="Arial" w:cs="Arial"/>
        </w:rPr>
      </w:pPr>
    </w:p>
    <w:p w14:paraId="4DD0E7D7" w14:textId="77777777" w:rsidR="00185BCF" w:rsidRPr="00B97A47" w:rsidRDefault="00185BCF" w:rsidP="00185BCF">
      <w:pPr>
        <w:jc w:val="both"/>
        <w:rPr>
          <w:rFonts w:ascii="Arial" w:hAnsi="Arial" w:cs="Arial"/>
        </w:rPr>
      </w:pPr>
    </w:p>
    <w:p w14:paraId="625B0F60" w14:textId="77777777" w:rsidR="00185BCF" w:rsidRPr="00B97A47" w:rsidRDefault="00185BCF" w:rsidP="00185BCF">
      <w:pPr>
        <w:jc w:val="both"/>
        <w:rPr>
          <w:rFonts w:ascii="Arial" w:hAnsi="Arial" w:cs="Arial"/>
        </w:rPr>
      </w:pPr>
    </w:p>
    <w:p w14:paraId="5A69C1C5" w14:textId="77777777" w:rsidR="00185BCF" w:rsidRPr="00B97A47" w:rsidRDefault="00185BCF" w:rsidP="00185BCF">
      <w:pPr>
        <w:jc w:val="both"/>
        <w:rPr>
          <w:rFonts w:ascii="Arial" w:hAnsi="Arial" w:cs="Arial"/>
        </w:rPr>
      </w:pPr>
    </w:p>
    <w:p w14:paraId="263B91FD" w14:textId="77777777" w:rsidR="00185BCF" w:rsidRPr="00B97A47" w:rsidRDefault="00185BCF" w:rsidP="00185BCF">
      <w:pPr>
        <w:jc w:val="both"/>
        <w:rPr>
          <w:rFonts w:ascii="Arial" w:hAnsi="Arial" w:cs="Arial"/>
        </w:rPr>
      </w:pPr>
    </w:p>
    <w:p w14:paraId="565C4E35" w14:textId="77777777" w:rsidR="00185BCF" w:rsidRPr="00B97A47" w:rsidRDefault="00185BCF" w:rsidP="00185BCF">
      <w:pPr>
        <w:jc w:val="both"/>
        <w:rPr>
          <w:rFonts w:ascii="Arial" w:hAnsi="Arial" w:cs="Arial"/>
        </w:rPr>
      </w:pPr>
    </w:p>
    <w:p w14:paraId="2E31230B" w14:textId="77777777" w:rsidR="00185BCF" w:rsidRPr="00B97A47" w:rsidRDefault="00185BCF" w:rsidP="00185BCF">
      <w:pPr>
        <w:jc w:val="both"/>
        <w:rPr>
          <w:rFonts w:ascii="Arial" w:hAnsi="Arial" w:cs="Arial"/>
        </w:rPr>
      </w:pPr>
    </w:p>
    <w:p w14:paraId="2E1A2408" w14:textId="77777777" w:rsidR="00185BCF" w:rsidRPr="00B97A47" w:rsidRDefault="00185BCF" w:rsidP="00185BCF">
      <w:pPr>
        <w:jc w:val="both"/>
        <w:rPr>
          <w:rFonts w:ascii="Arial" w:hAnsi="Arial" w:cs="Arial"/>
        </w:rPr>
      </w:pPr>
    </w:p>
    <w:p w14:paraId="3BE501E0" w14:textId="77777777" w:rsidR="00185BCF" w:rsidRPr="00B97A47" w:rsidRDefault="00185BCF" w:rsidP="00185BCF">
      <w:pPr>
        <w:jc w:val="both"/>
        <w:rPr>
          <w:rFonts w:ascii="Arial" w:hAnsi="Arial" w:cs="Arial"/>
        </w:rPr>
      </w:pPr>
    </w:p>
    <w:p w14:paraId="5B85C657" w14:textId="77777777" w:rsidR="00185BCF" w:rsidRPr="00B97A47" w:rsidRDefault="00185BCF" w:rsidP="00185BCF">
      <w:pPr>
        <w:jc w:val="both"/>
        <w:rPr>
          <w:rFonts w:ascii="Arial" w:hAnsi="Arial" w:cs="Arial"/>
        </w:rPr>
      </w:pPr>
    </w:p>
    <w:p w14:paraId="3616DAE3" w14:textId="77777777" w:rsidR="00185BCF" w:rsidRPr="00B97A47" w:rsidRDefault="00185BCF" w:rsidP="00185BCF">
      <w:pPr>
        <w:jc w:val="both"/>
        <w:rPr>
          <w:rFonts w:ascii="Arial" w:hAnsi="Arial" w:cs="Arial"/>
        </w:rPr>
      </w:pPr>
    </w:p>
    <w:p w14:paraId="25D803CB" w14:textId="77777777" w:rsidR="00185BCF" w:rsidRPr="00B97A47" w:rsidRDefault="00185BCF" w:rsidP="00185BCF">
      <w:pPr>
        <w:jc w:val="both"/>
        <w:rPr>
          <w:rFonts w:ascii="Arial" w:hAnsi="Arial" w:cs="Arial"/>
        </w:rPr>
      </w:pPr>
    </w:p>
    <w:p w14:paraId="6B16479A" w14:textId="77777777" w:rsidR="00185BCF" w:rsidRPr="00B97A47" w:rsidRDefault="00185BCF" w:rsidP="00185BCF">
      <w:pPr>
        <w:jc w:val="both"/>
        <w:rPr>
          <w:rFonts w:ascii="Arial" w:hAnsi="Arial" w:cs="Arial"/>
        </w:rPr>
      </w:pPr>
    </w:p>
    <w:p w14:paraId="50C5DC60" w14:textId="77777777" w:rsidR="00185BCF" w:rsidRPr="00B97A47" w:rsidRDefault="00185BCF" w:rsidP="00185BCF">
      <w:pPr>
        <w:jc w:val="both"/>
        <w:rPr>
          <w:rFonts w:ascii="Arial" w:hAnsi="Arial" w:cs="Arial"/>
        </w:rPr>
      </w:pPr>
    </w:p>
    <w:p w14:paraId="51A42B69" w14:textId="77777777" w:rsidR="00185BCF" w:rsidRPr="00B97A47" w:rsidRDefault="00185BCF" w:rsidP="00185BCF">
      <w:pPr>
        <w:jc w:val="both"/>
        <w:rPr>
          <w:rFonts w:ascii="Arial" w:hAnsi="Arial" w:cs="Arial"/>
        </w:rPr>
      </w:pPr>
    </w:p>
    <w:p w14:paraId="22224180" w14:textId="77777777" w:rsidR="00185BCF" w:rsidRPr="00B97A47" w:rsidRDefault="00185BCF" w:rsidP="00185BCF">
      <w:pPr>
        <w:jc w:val="both"/>
        <w:rPr>
          <w:rFonts w:ascii="Arial" w:hAnsi="Arial" w:cs="Arial"/>
        </w:rPr>
      </w:pPr>
    </w:p>
    <w:p w14:paraId="173783A0" w14:textId="77777777" w:rsidR="00185BCF" w:rsidRPr="00B97A47" w:rsidRDefault="00185BCF" w:rsidP="00185BCF">
      <w:pPr>
        <w:jc w:val="both"/>
        <w:rPr>
          <w:rFonts w:ascii="Arial" w:hAnsi="Arial" w:cs="Arial"/>
        </w:rPr>
      </w:pPr>
    </w:p>
    <w:p w14:paraId="47C14679" w14:textId="77777777" w:rsidR="00185BCF" w:rsidRDefault="00185BCF" w:rsidP="00185BCF">
      <w:pPr>
        <w:jc w:val="both"/>
        <w:rPr>
          <w:rFonts w:ascii="Arial" w:hAnsi="Arial" w:cs="Arial"/>
          <w:sz w:val="40"/>
          <w:szCs w:val="40"/>
        </w:rPr>
      </w:pPr>
      <w:r w:rsidRPr="00B97A47">
        <w:rPr>
          <w:rFonts w:ascii="Arial" w:hAnsi="Arial" w:cs="Arial"/>
          <w:sz w:val="40"/>
          <w:szCs w:val="40"/>
        </w:rPr>
        <w:t xml:space="preserve">Independent Study Module: </w:t>
      </w:r>
      <w:r>
        <w:rPr>
          <w:rFonts w:ascii="Arial" w:hAnsi="Arial" w:cs="Arial"/>
          <w:sz w:val="40"/>
          <w:szCs w:val="40"/>
        </w:rPr>
        <w:t>Findings</w:t>
      </w:r>
    </w:p>
    <w:p w14:paraId="5CB97662" w14:textId="77777777" w:rsidR="00185BCF" w:rsidRPr="009D7A38" w:rsidRDefault="00185BCF" w:rsidP="00185BCF">
      <w:pPr>
        <w:jc w:val="both"/>
        <w:rPr>
          <w:rFonts w:ascii="Arial" w:hAnsi="Arial" w:cs="Arial"/>
          <w:sz w:val="28"/>
          <w:szCs w:val="28"/>
        </w:rPr>
      </w:pPr>
      <w:r w:rsidRPr="009D7A38">
        <w:rPr>
          <w:rFonts w:ascii="Arial" w:hAnsi="Arial" w:cs="Arial"/>
          <w:sz w:val="28"/>
          <w:szCs w:val="28"/>
        </w:rPr>
        <w:t>Tribus-TSG Employee Survey: Critical Analysis and Improvement Plan</w:t>
      </w:r>
    </w:p>
    <w:p w14:paraId="51FF730E" w14:textId="77777777" w:rsidR="00185BCF" w:rsidRDefault="00185BCF" w:rsidP="00185BCF">
      <w:pPr>
        <w:jc w:val="both"/>
        <w:rPr>
          <w:rFonts w:ascii="Arial" w:hAnsi="Arial" w:cs="Arial"/>
          <w:i/>
          <w:iCs/>
          <w:sz w:val="28"/>
          <w:szCs w:val="28"/>
        </w:rPr>
      </w:pPr>
    </w:p>
    <w:p w14:paraId="4FEDB7AD" w14:textId="77777777" w:rsidR="00185BCF" w:rsidRPr="00B97A47" w:rsidRDefault="00185BCF" w:rsidP="00185BCF">
      <w:pPr>
        <w:jc w:val="both"/>
        <w:rPr>
          <w:rFonts w:ascii="Arial" w:hAnsi="Arial" w:cs="Arial"/>
          <w:sz w:val="40"/>
          <w:szCs w:val="40"/>
        </w:rPr>
      </w:pPr>
      <w:r w:rsidRPr="00B97A47">
        <w:rPr>
          <w:rFonts w:ascii="Arial" w:hAnsi="Arial" w:cs="Arial"/>
          <w:i/>
          <w:iCs/>
          <w:sz w:val="28"/>
          <w:szCs w:val="28"/>
        </w:rPr>
        <w:t>Word Count:</w:t>
      </w:r>
      <w:r>
        <w:rPr>
          <w:rFonts w:ascii="Arial" w:hAnsi="Arial" w:cs="Arial"/>
          <w:i/>
          <w:iCs/>
          <w:sz w:val="28"/>
          <w:szCs w:val="28"/>
        </w:rPr>
        <w:t>2745</w:t>
      </w:r>
    </w:p>
    <w:p w14:paraId="6DAC4EA6" w14:textId="77777777" w:rsidR="00185BCF" w:rsidRPr="00B97A47" w:rsidRDefault="00185BCF" w:rsidP="00185BCF">
      <w:pPr>
        <w:jc w:val="both"/>
        <w:rPr>
          <w:rFonts w:ascii="Arial" w:hAnsi="Arial" w:cs="Arial"/>
        </w:rPr>
      </w:pPr>
      <w:r w:rsidRPr="00B97A47">
        <w:rPr>
          <w:rFonts w:ascii="Arial" w:hAnsi="Arial" w:cs="Arial"/>
          <w:noProof/>
        </w:rPr>
        <mc:AlternateContent>
          <mc:Choice Requires="wps">
            <w:drawing>
              <wp:anchor distT="0" distB="0" distL="114300" distR="114300" simplePos="0" relativeHeight="251660288" behindDoc="0" locked="0" layoutInCell="1" allowOverlap="1" wp14:anchorId="714D1206" wp14:editId="34B95C4D">
                <wp:simplePos x="0" y="0"/>
                <wp:positionH relativeFrom="column">
                  <wp:posOffset>-4336</wp:posOffset>
                </wp:positionH>
                <wp:positionV relativeFrom="paragraph">
                  <wp:posOffset>71755</wp:posOffset>
                </wp:positionV>
                <wp:extent cx="4783016" cy="0"/>
                <wp:effectExtent l="0" t="12700" r="17780" b="12700"/>
                <wp:wrapNone/>
                <wp:docPr id="1995945318" name="Straight Connector 4"/>
                <wp:cNvGraphicFramePr/>
                <a:graphic xmlns:a="http://schemas.openxmlformats.org/drawingml/2006/main">
                  <a:graphicData uri="http://schemas.microsoft.com/office/word/2010/wordprocessingShape">
                    <wps:wsp>
                      <wps:cNvCnPr/>
                      <wps:spPr>
                        <a:xfrm>
                          <a:off x="0" y="0"/>
                          <a:ext cx="4783016" cy="0"/>
                        </a:xfrm>
                        <a:prstGeom prst="line">
                          <a:avLst/>
                        </a:prstGeom>
                        <a:ln w="254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59D0BF1" id="Straight Connector 4"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35pt,5.65pt" to="376.25pt,5.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" strokecolor="#156082 [3204]" strokeweight="2pt">
                <v:stroke joinstyle="miter"/>
              </v:line>
            </w:pict>
          </mc:Fallback>
        </mc:AlternateContent>
      </w:r>
    </w:p>
    <w:p w14:paraId="0652183D" w14:textId="77777777" w:rsidR="00185BCF" w:rsidRPr="00B97A47" w:rsidRDefault="00185BCF" w:rsidP="00185BCF">
      <w:pPr>
        <w:jc w:val="both"/>
        <w:rPr>
          <w:rFonts w:ascii="Arial" w:hAnsi="Arial" w:cs="Arial"/>
          <w:sz w:val="28"/>
          <w:szCs w:val="28"/>
        </w:rPr>
      </w:pPr>
      <w:r w:rsidRPr="00B97A47">
        <w:rPr>
          <w:rFonts w:ascii="Arial" w:hAnsi="Arial" w:cs="Arial"/>
          <w:sz w:val="28"/>
          <w:szCs w:val="28"/>
        </w:rPr>
        <w:t>Student Name: James Nicholl</w:t>
      </w:r>
    </w:p>
    <w:p w14:paraId="16789F39" w14:textId="77777777" w:rsidR="00185BCF" w:rsidRPr="00B97A47" w:rsidRDefault="00185BCF" w:rsidP="00185BCF">
      <w:pPr>
        <w:jc w:val="both"/>
        <w:rPr>
          <w:rFonts w:ascii="Arial" w:hAnsi="Arial" w:cs="Arial"/>
          <w:sz w:val="28"/>
          <w:szCs w:val="28"/>
        </w:rPr>
      </w:pPr>
      <w:r w:rsidRPr="00B97A47">
        <w:rPr>
          <w:rFonts w:ascii="Arial" w:hAnsi="Arial" w:cs="Arial"/>
          <w:sz w:val="28"/>
          <w:szCs w:val="28"/>
        </w:rPr>
        <w:t>Student Number: 2319769</w:t>
      </w:r>
    </w:p>
    <w:p w14:paraId="2C8116FD" w14:textId="77777777" w:rsidR="00185BCF" w:rsidRPr="00B97A47" w:rsidRDefault="00185BCF" w:rsidP="00185BCF">
      <w:pPr>
        <w:jc w:val="both"/>
        <w:rPr>
          <w:rFonts w:ascii="Arial" w:hAnsi="Arial" w:cs="Arial"/>
        </w:rPr>
      </w:pPr>
    </w:p>
    <w:p w14:paraId="6F5BB41C" w14:textId="77777777" w:rsidR="00185BCF" w:rsidRPr="00B97A47" w:rsidRDefault="00185BCF" w:rsidP="00185BCF">
      <w:pPr>
        <w:jc w:val="both"/>
        <w:rPr>
          <w:rFonts w:ascii="Arial" w:hAnsi="Arial" w:cs="Arial"/>
        </w:rPr>
      </w:pPr>
    </w:p>
    <w:p w14:paraId="2C198BF6" w14:textId="77777777" w:rsidR="00185BCF" w:rsidRPr="00B97A47" w:rsidRDefault="00185BCF" w:rsidP="00185BCF">
      <w:pPr>
        <w:jc w:val="both"/>
        <w:rPr>
          <w:rFonts w:ascii="Arial" w:hAnsi="Arial" w:cs="Arial"/>
        </w:rPr>
      </w:pPr>
    </w:p>
    <w:p w14:paraId="6B1B2485" w14:textId="77777777" w:rsidR="00185BCF" w:rsidRPr="00B97A47" w:rsidRDefault="00185BCF" w:rsidP="00185BCF">
      <w:pPr>
        <w:jc w:val="both"/>
        <w:rPr>
          <w:rFonts w:ascii="Arial" w:hAnsi="Arial" w:cs="Arial"/>
        </w:rPr>
      </w:pPr>
    </w:p>
    <w:p w14:paraId="0B54FF73" w14:textId="77777777" w:rsidR="00185BCF" w:rsidRPr="00B97A47" w:rsidRDefault="00185BCF" w:rsidP="00185BCF">
      <w:pPr>
        <w:jc w:val="both"/>
        <w:rPr>
          <w:rFonts w:ascii="Arial" w:hAnsi="Arial" w:cs="Arial"/>
          <w:highlight w:val="yellow"/>
        </w:rPr>
      </w:pPr>
    </w:p>
    <w:p w14:paraId="56D89F70" w14:textId="77777777" w:rsidR="00185BCF" w:rsidRPr="00B97A47" w:rsidRDefault="00185BCF" w:rsidP="00185BCF">
      <w:pPr>
        <w:jc w:val="both"/>
        <w:rPr>
          <w:rFonts w:ascii="Arial" w:hAnsi="Arial" w:cs="Arial"/>
          <w:highlight w:val="yellow"/>
        </w:rPr>
      </w:pPr>
    </w:p>
    <w:p w14:paraId="4F698286" w14:textId="77777777" w:rsidR="00185BCF" w:rsidRPr="00B97A47" w:rsidRDefault="00185BCF" w:rsidP="00185BCF">
      <w:pPr>
        <w:jc w:val="both"/>
        <w:rPr>
          <w:rFonts w:ascii="Arial" w:hAnsi="Arial" w:cs="Arial"/>
          <w:highlight w:val="yellow"/>
        </w:rPr>
      </w:pPr>
    </w:p>
    <w:p w14:paraId="1DC12BAB" w14:textId="77777777" w:rsidR="00185BCF" w:rsidRPr="00B97A47" w:rsidRDefault="00185BCF" w:rsidP="00185BCF">
      <w:pPr>
        <w:jc w:val="both"/>
        <w:rPr>
          <w:rFonts w:ascii="Arial" w:hAnsi="Arial" w:cs="Arial"/>
          <w:highlight w:val="yellow"/>
        </w:rPr>
      </w:pPr>
    </w:p>
    <w:p w14:paraId="16B5028F" w14:textId="77777777" w:rsidR="00185BCF" w:rsidRPr="00B97A47" w:rsidRDefault="00185BCF" w:rsidP="00185BCF">
      <w:pPr>
        <w:jc w:val="both"/>
        <w:rPr>
          <w:rFonts w:ascii="Arial" w:hAnsi="Arial" w:cs="Arial"/>
          <w:highlight w:val="yellow"/>
        </w:rPr>
      </w:pPr>
    </w:p>
    <w:p w14:paraId="392FEDB5" w14:textId="77777777" w:rsidR="00185BCF" w:rsidRDefault="00185BCF" w:rsidP="00185BCF">
      <w:pPr>
        <w:jc w:val="both"/>
        <w:rPr>
          <w:rFonts w:ascii="Arial" w:hAnsi="Arial" w:cs="Arial"/>
          <w:highlight w:val="yellow"/>
        </w:rPr>
      </w:pPr>
    </w:p>
    <w:p w14:paraId="7EBF16B6" w14:textId="77777777" w:rsidR="00185BCF" w:rsidRDefault="00185BCF" w:rsidP="00185BCF">
      <w:pPr>
        <w:jc w:val="both"/>
        <w:rPr>
          <w:rFonts w:ascii="Arial" w:hAnsi="Arial" w:cs="Arial"/>
          <w:highlight w:val="yellow"/>
        </w:rPr>
      </w:pPr>
    </w:p>
    <w:p w14:paraId="03D73BC8" w14:textId="77777777" w:rsidR="00185BCF" w:rsidRPr="00B97A47" w:rsidRDefault="00185BCF" w:rsidP="00185BCF">
      <w:pPr>
        <w:jc w:val="both"/>
        <w:rPr>
          <w:rFonts w:ascii="Arial" w:hAnsi="Arial" w:cs="Arial"/>
          <w:highlight w:val="yellow"/>
        </w:rPr>
      </w:pPr>
    </w:p>
    <w:p w14:paraId="731D1E47" w14:textId="77777777" w:rsidR="00185BCF" w:rsidRPr="00B97A47" w:rsidRDefault="00185BCF" w:rsidP="00185BCF">
      <w:pPr>
        <w:jc w:val="both"/>
        <w:rPr>
          <w:rFonts w:ascii="Arial" w:hAnsi="Arial" w:cs="Arial"/>
          <w:highlight w:val="yellow"/>
        </w:rPr>
      </w:pPr>
    </w:p>
    <w:p w14:paraId="3F1F7398" w14:textId="77777777" w:rsidR="00185BCF" w:rsidRPr="00B97A47" w:rsidRDefault="00185BCF" w:rsidP="00185BCF">
      <w:pPr>
        <w:jc w:val="both"/>
        <w:rPr>
          <w:rFonts w:ascii="Arial" w:hAnsi="Arial" w:cs="Arial"/>
          <w:highlight w:val="yellow"/>
        </w:rPr>
      </w:pPr>
    </w:p>
    <w:p w14:paraId="34A253FA" w14:textId="77777777" w:rsidR="00185BCF" w:rsidRPr="00B97A47" w:rsidRDefault="00185BCF" w:rsidP="00185BCF">
      <w:pPr>
        <w:jc w:val="both"/>
        <w:rPr>
          <w:rFonts w:ascii="Arial" w:hAnsi="Arial" w:cs="Arial"/>
          <w:highlight w:val="yellow"/>
        </w:rPr>
      </w:pPr>
    </w:p>
    <w:p w14:paraId="527C7BC8" w14:textId="77777777" w:rsidR="00185BCF" w:rsidRPr="00B97A47" w:rsidRDefault="00185BCF" w:rsidP="00185BCF">
      <w:pPr>
        <w:jc w:val="both"/>
        <w:rPr>
          <w:rFonts w:ascii="Arial" w:hAnsi="Arial" w:cs="Arial"/>
          <w:highlight w:val="yellow"/>
        </w:rPr>
      </w:pPr>
    </w:p>
    <w:p w14:paraId="0CA578F5" w14:textId="77777777" w:rsidR="00185BCF" w:rsidRPr="00B97A47" w:rsidRDefault="00185BCF" w:rsidP="00185BCF">
      <w:pPr>
        <w:jc w:val="both"/>
        <w:rPr>
          <w:rFonts w:ascii="Arial" w:hAnsi="Arial" w:cs="Arial"/>
          <w:highlight w:val="yellow"/>
        </w:rPr>
      </w:pPr>
    </w:p>
    <w:p w14:paraId="431E058D" w14:textId="77777777" w:rsidR="00185BCF" w:rsidRPr="00715F3B" w:rsidRDefault="00185BCF" w:rsidP="00185BCF">
      <w:pPr>
        <w:jc w:val="both"/>
        <w:rPr>
          <w:rFonts w:ascii="Arial" w:hAnsi="Arial" w:cs="Arial"/>
        </w:rPr>
      </w:pPr>
    </w:p>
    <w:p w14:paraId="71C7D50D" w14:textId="77777777" w:rsidR="00185BCF" w:rsidRPr="00541F15" w:rsidRDefault="00185BCF" w:rsidP="00185BCF">
      <w:pPr>
        <w:jc w:val="both"/>
        <w:rPr>
          <w:rFonts w:ascii="Arial" w:hAnsi="Arial" w:cs="Arial"/>
          <w:b/>
          <w:bCs/>
        </w:rPr>
      </w:pPr>
      <w:r w:rsidRPr="00541F15">
        <w:rPr>
          <w:rFonts w:ascii="Arial" w:hAnsi="Arial" w:cs="Arial"/>
          <w:b/>
          <w:bCs/>
        </w:rPr>
        <w:lastRenderedPageBreak/>
        <w:t>Executive Summary</w:t>
      </w:r>
    </w:p>
    <w:p w14:paraId="1A4543F8" w14:textId="77777777" w:rsidR="00185BCF" w:rsidRPr="00541F15" w:rsidRDefault="00185BCF" w:rsidP="00185BCF">
      <w:pPr>
        <w:jc w:val="both"/>
        <w:rPr>
          <w:rFonts w:ascii="Arial" w:hAnsi="Arial" w:cs="Arial"/>
        </w:rPr>
      </w:pPr>
      <w:r w:rsidRPr="00541F15">
        <w:rPr>
          <w:rFonts w:ascii="Arial" w:hAnsi="Arial" w:cs="Arial"/>
        </w:rPr>
        <w:t xml:space="preserve">This </w:t>
      </w:r>
      <w:r>
        <w:rPr>
          <w:rFonts w:ascii="Arial" w:hAnsi="Arial" w:cs="Arial"/>
        </w:rPr>
        <w:t xml:space="preserve">findings </w:t>
      </w:r>
      <w:r w:rsidRPr="00541F15">
        <w:rPr>
          <w:rFonts w:ascii="Arial" w:hAnsi="Arial" w:cs="Arial"/>
        </w:rPr>
        <w:t>report presents a critical analysis of the Tribus</w:t>
      </w:r>
      <w:r w:rsidRPr="00541F15">
        <w:rPr>
          <w:rFonts w:ascii="Cambria Math" w:hAnsi="Cambria Math" w:cs="Cambria Math"/>
        </w:rPr>
        <w:t>‑</w:t>
      </w:r>
      <w:r w:rsidRPr="00541F15">
        <w:rPr>
          <w:rFonts w:ascii="Arial" w:hAnsi="Arial" w:cs="Arial"/>
        </w:rPr>
        <w:t>TSG Employee Survey and post</w:t>
      </w:r>
      <w:r w:rsidRPr="00541F15">
        <w:rPr>
          <w:rFonts w:ascii="Cambria Math" w:hAnsi="Cambria Math" w:cs="Cambria Math"/>
        </w:rPr>
        <w:t>‑</w:t>
      </w:r>
      <w:r w:rsidRPr="00541F15">
        <w:rPr>
          <w:rFonts w:ascii="Arial" w:hAnsi="Arial" w:cs="Arial"/>
        </w:rPr>
        <w:t>survey group sessions and translates the findings into evidence</w:t>
      </w:r>
      <w:r w:rsidRPr="00541F15">
        <w:rPr>
          <w:rFonts w:ascii="Cambria Math" w:hAnsi="Cambria Math" w:cs="Cambria Math"/>
        </w:rPr>
        <w:t>‑</w:t>
      </w:r>
      <w:r w:rsidRPr="00541F15">
        <w:rPr>
          <w:rFonts w:ascii="Arial" w:hAnsi="Arial" w:cs="Arial"/>
        </w:rPr>
        <w:t>based actions to strengthen staff experience and retention.</w:t>
      </w:r>
    </w:p>
    <w:p w14:paraId="6E4D3877" w14:textId="77777777" w:rsidR="00185BCF" w:rsidRPr="00541F15" w:rsidRDefault="00185BCF" w:rsidP="00185BCF">
      <w:pPr>
        <w:jc w:val="both"/>
        <w:rPr>
          <w:rFonts w:ascii="Arial" w:hAnsi="Arial" w:cs="Arial"/>
        </w:rPr>
      </w:pPr>
    </w:p>
    <w:p w14:paraId="237C0FFD" w14:textId="77777777" w:rsidR="00185BCF" w:rsidRDefault="00185BCF" w:rsidP="00185BCF">
      <w:pPr>
        <w:jc w:val="both"/>
        <w:rPr>
          <w:rFonts w:ascii="Arial" w:hAnsi="Arial" w:cs="Arial"/>
        </w:rPr>
      </w:pPr>
      <w:r w:rsidRPr="00541F15">
        <w:rPr>
          <w:rFonts w:ascii="Arial" w:hAnsi="Arial" w:cs="Arial"/>
        </w:rPr>
        <w:t xml:space="preserve">The quantitative survey used a 1–5 composite scoring approach across four indices: Satisfaction, Communication </w:t>
      </w:r>
      <w:r>
        <w:rPr>
          <w:rFonts w:ascii="Arial" w:hAnsi="Arial" w:cs="Arial"/>
        </w:rPr>
        <w:t>and</w:t>
      </w:r>
      <w:r w:rsidRPr="00541F15">
        <w:rPr>
          <w:rFonts w:ascii="Arial" w:hAnsi="Arial" w:cs="Arial"/>
        </w:rPr>
        <w:t xml:space="preserve"> Voice, Development and Wellbeing &amp; Flexibility. </w:t>
      </w:r>
    </w:p>
    <w:p w14:paraId="697E1FF8" w14:textId="77777777" w:rsidR="00185BCF" w:rsidRDefault="00185BCF" w:rsidP="00185BCF">
      <w:pPr>
        <w:jc w:val="both"/>
        <w:rPr>
          <w:rFonts w:ascii="Arial" w:hAnsi="Arial" w:cs="Arial"/>
        </w:rPr>
      </w:pPr>
    </w:p>
    <w:p w14:paraId="269D5CBD" w14:textId="77777777" w:rsidR="00185BCF" w:rsidRPr="00541F15" w:rsidRDefault="00185BCF" w:rsidP="00185BCF">
      <w:pPr>
        <w:jc w:val="both"/>
        <w:rPr>
          <w:rFonts w:ascii="Arial" w:hAnsi="Arial" w:cs="Arial"/>
        </w:rPr>
      </w:pPr>
      <w:r w:rsidRPr="00541F15">
        <w:rPr>
          <w:rFonts w:ascii="Arial" w:hAnsi="Arial" w:cs="Arial"/>
        </w:rPr>
        <w:t>Overall averages indicate a broadly positive</w:t>
      </w:r>
      <w:r>
        <w:rPr>
          <w:rFonts w:ascii="Arial" w:hAnsi="Arial" w:cs="Arial"/>
        </w:rPr>
        <w:t>,</w:t>
      </w:r>
      <w:r w:rsidRPr="00541F15">
        <w:rPr>
          <w:rFonts w:ascii="Arial" w:hAnsi="Arial" w:cs="Arial"/>
        </w:rPr>
        <w:t xml:space="preserve"> but improvable employee experience. Teamwork, motivation and clarity of role emerge as strengths, while internal communication consistency, perceived career pathways and day</w:t>
      </w:r>
      <w:r w:rsidRPr="00541F15">
        <w:rPr>
          <w:rFonts w:ascii="Cambria Math" w:hAnsi="Cambria Math" w:cs="Cambria Math"/>
        </w:rPr>
        <w:t>‑</w:t>
      </w:r>
      <w:r w:rsidRPr="00541F15">
        <w:rPr>
          <w:rFonts w:ascii="Arial" w:hAnsi="Arial" w:cs="Arial"/>
        </w:rPr>
        <w:t>to</w:t>
      </w:r>
      <w:r w:rsidRPr="00541F15">
        <w:rPr>
          <w:rFonts w:ascii="Cambria Math" w:hAnsi="Cambria Math" w:cs="Cambria Math"/>
        </w:rPr>
        <w:t>‑</w:t>
      </w:r>
      <w:r w:rsidRPr="00541F15">
        <w:rPr>
          <w:rFonts w:ascii="Arial" w:hAnsi="Arial" w:cs="Arial"/>
        </w:rPr>
        <w:t xml:space="preserve">day enabling conditions for wellbeing and flexibility appear as </w:t>
      </w:r>
      <w:r w:rsidRPr="00EC0CF1">
        <w:rPr>
          <w:rFonts w:ascii="Arial" w:hAnsi="Arial" w:cs="Arial"/>
        </w:rPr>
        <w:t>priority constraints</w:t>
      </w:r>
      <w:r w:rsidRPr="00541F15">
        <w:rPr>
          <w:rFonts w:ascii="Arial" w:hAnsi="Arial" w:cs="Arial"/>
        </w:rPr>
        <w:t>.</w:t>
      </w:r>
    </w:p>
    <w:p w14:paraId="7DFB8ADC" w14:textId="77777777" w:rsidR="00185BCF" w:rsidRPr="00541F15" w:rsidRDefault="00185BCF" w:rsidP="00185BCF">
      <w:pPr>
        <w:jc w:val="both"/>
        <w:rPr>
          <w:rFonts w:ascii="Arial" w:hAnsi="Arial" w:cs="Arial"/>
        </w:rPr>
      </w:pPr>
    </w:p>
    <w:p w14:paraId="360B0FB6" w14:textId="77777777" w:rsidR="00185BCF" w:rsidRPr="00541F15" w:rsidRDefault="00185BCF" w:rsidP="00185BCF">
      <w:pPr>
        <w:jc w:val="both"/>
        <w:rPr>
          <w:rFonts w:ascii="Arial" w:hAnsi="Arial" w:cs="Arial"/>
        </w:rPr>
      </w:pPr>
      <w:r w:rsidRPr="00541F15">
        <w:rPr>
          <w:rFonts w:ascii="Arial" w:hAnsi="Arial" w:cs="Arial"/>
        </w:rPr>
        <w:t>Headline composite means are</w:t>
      </w:r>
      <w:r>
        <w:rPr>
          <w:rFonts w:ascii="Arial" w:hAnsi="Arial" w:cs="Arial"/>
        </w:rPr>
        <w:t>:</w:t>
      </w:r>
      <w:r w:rsidRPr="00541F15">
        <w:rPr>
          <w:rFonts w:ascii="Arial" w:hAnsi="Arial" w:cs="Arial"/>
        </w:rPr>
        <w:t xml:space="preserve"> Satisfaction 4.07, Communication &amp; Voice 3.5, Development 3.87</w:t>
      </w:r>
      <w:r>
        <w:rPr>
          <w:rFonts w:ascii="Arial" w:hAnsi="Arial" w:cs="Arial"/>
        </w:rPr>
        <w:t xml:space="preserve"> </w:t>
      </w:r>
      <w:r w:rsidRPr="00541F15">
        <w:rPr>
          <w:rFonts w:ascii="Arial" w:hAnsi="Arial" w:cs="Arial"/>
        </w:rPr>
        <w:t>and Wellbeing &amp; Flexibility 4.13. Inter</w:t>
      </w:r>
      <w:r w:rsidRPr="00541F15">
        <w:rPr>
          <w:rFonts w:ascii="Cambria Math" w:hAnsi="Cambria Math" w:cs="Cambria Math"/>
        </w:rPr>
        <w:t>‑</w:t>
      </w:r>
      <w:r w:rsidRPr="00541F15">
        <w:rPr>
          <w:rFonts w:ascii="Arial" w:hAnsi="Arial" w:cs="Arial"/>
        </w:rPr>
        <w:t>vertical comparisons show meaningful variation, with some functions outperforming others on teamwork and motivation. These patterns are triangulated with staff open comments and post</w:t>
      </w:r>
      <w:r w:rsidRPr="00541F15">
        <w:rPr>
          <w:rFonts w:ascii="Cambria Math" w:hAnsi="Cambria Math" w:cs="Cambria Math"/>
        </w:rPr>
        <w:t>‑</w:t>
      </w:r>
      <w:r w:rsidRPr="00541F15">
        <w:rPr>
          <w:rFonts w:ascii="Arial" w:hAnsi="Arial" w:cs="Arial"/>
        </w:rPr>
        <w:t>survey focus groups across all four verticals to strengthen confidence in the priorities and sequencing of actions and in the associated operational KPIs (attrition, absenteeism and time</w:t>
      </w:r>
      <w:r w:rsidRPr="00541F15">
        <w:rPr>
          <w:rFonts w:ascii="Cambria Math" w:hAnsi="Cambria Math" w:cs="Cambria Math"/>
        </w:rPr>
        <w:t>‑</w:t>
      </w:r>
      <w:r w:rsidRPr="00541F15">
        <w:rPr>
          <w:rFonts w:ascii="Arial" w:hAnsi="Arial" w:cs="Arial"/>
        </w:rPr>
        <w:t>to</w:t>
      </w:r>
      <w:r w:rsidRPr="00541F15">
        <w:rPr>
          <w:rFonts w:ascii="Cambria Math" w:hAnsi="Cambria Math" w:cs="Cambria Math"/>
        </w:rPr>
        <w:t>‑</w:t>
      </w:r>
      <w:r w:rsidRPr="00541F15">
        <w:rPr>
          <w:rFonts w:ascii="Arial" w:hAnsi="Arial" w:cs="Arial"/>
        </w:rPr>
        <w:t>productivity). A pragmatic risk</w:t>
      </w:r>
      <w:r w:rsidRPr="00541F15">
        <w:rPr>
          <w:rFonts w:ascii="Cambria Math" w:hAnsi="Cambria Math" w:cs="Cambria Math"/>
        </w:rPr>
        <w:t>‑</w:t>
      </w:r>
      <w:r w:rsidRPr="00541F15">
        <w:rPr>
          <w:rFonts w:ascii="Arial" w:hAnsi="Arial" w:cs="Arial"/>
        </w:rPr>
        <w:t>aware improvement plan is included in this report.</w:t>
      </w:r>
    </w:p>
    <w:p w14:paraId="61668145" w14:textId="77777777" w:rsidR="00185BCF" w:rsidRPr="00541F15" w:rsidRDefault="00185BCF" w:rsidP="00185BCF">
      <w:pPr>
        <w:jc w:val="both"/>
        <w:rPr>
          <w:rFonts w:ascii="Arial" w:hAnsi="Arial" w:cs="Arial"/>
        </w:rPr>
      </w:pPr>
    </w:p>
    <w:p w14:paraId="347A3133" w14:textId="77777777" w:rsidR="00185BCF" w:rsidRDefault="00185BCF" w:rsidP="00185BCF">
      <w:pPr>
        <w:jc w:val="both"/>
        <w:rPr>
          <w:rFonts w:ascii="Arial" w:hAnsi="Arial" w:cs="Arial"/>
        </w:rPr>
      </w:pPr>
      <w:r w:rsidRPr="00E146CB">
        <w:rPr>
          <w:rFonts w:ascii="Arial" w:hAnsi="Arial" w:cs="Arial"/>
          <w:b/>
          <w:bCs/>
        </w:rPr>
        <w:t xml:space="preserve">Figure </w:t>
      </w:r>
      <w:r>
        <w:rPr>
          <w:rFonts w:ascii="Arial" w:hAnsi="Arial" w:cs="Arial"/>
          <w:b/>
          <w:bCs/>
        </w:rPr>
        <w:t>1:</w:t>
      </w:r>
      <w:r w:rsidRPr="00541F15">
        <w:rPr>
          <w:rFonts w:ascii="Arial" w:hAnsi="Arial" w:cs="Arial"/>
        </w:rPr>
        <w:t xml:space="preserve"> </w:t>
      </w:r>
      <w:r>
        <w:rPr>
          <w:rFonts w:ascii="Arial" w:hAnsi="Arial" w:cs="Arial"/>
        </w:rPr>
        <w:t>Re</w:t>
      </w:r>
      <w:r w:rsidRPr="00541F15">
        <w:rPr>
          <w:rFonts w:ascii="Arial" w:hAnsi="Arial" w:cs="Arial"/>
        </w:rPr>
        <w:t>presents responses to the question: “Would you recommend Tribus</w:t>
      </w:r>
      <w:r w:rsidRPr="00541F15">
        <w:rPr>
          <w:rFonts w:ascii="Cambria Math" w:hAnsi="Cambria Math" w:cs="Cambria Math"/>
        </w:rPr>
        <w:t>‑</w:t>
      </w:r>
      <w:r w:rsidRPr="00541F15">
        <w:rPr>
          <w:rFonts w:ascii="Arial" w:hAnsi="Arial" w:cs="Arial"/>
        </w:rPr>
        <w:t>TSG as a great place to work?”</w:t>
      </w:r>
    </w:p>
    <w:p w14:paraId="4EBE320A" w14:textId="77777777" w:rsidR="00185BCF" w:rsidRPr="00541F15" w:rsidRDefault="00185BCF" w:rsidP="00185BCF">
      <w:pPr>
        <w:jc w:val="both"/>
        <w:rPr>
          <w:rFonts w:ascii="Arial" w:hAnsi="Arial" w:cs="Arial"/>
        </w:rPr>
      </w:pPr>
      <w:r>
        <w:rPr>
          <w:noProof/>
        </w:rPr>
        <w:drawing>
          <wp:anchor distT="0" distB="0" distL="114300" distR="114300" simplePos="0" relativeHeight="251664384" behindDoc="1" locked="0" layoutInCell="1" allowOverlap="1" wp14:anchorId="4616D402" wp14:editId="74D028FD">
            <wp:simplePos x="0" y="0"/>
            <wp:positionH relativeFrom="column">
              <wp:posOffset>-87630</wp:posOffset>
            </wp:positionH>
            <wp:positionV relativeFrom="paragraph">
              <wp:posOffset>222635</wp:posOffset>
            </wp:positionV>
            <wp:extent cx="5876144" cy="4157345"/>
            <wp:effectExtent l="0" t="0" r="4445" b="0"/>
            <wp:wrapNone/>
            <wp:docPr id="1580480156" name="Picture 1580480156"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480156" name="Picture 1580480156" descr="A graph with blue rectangle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876144" cy="4157345"/>
                    </a:xfrm>
                    <a:prstGeom prst="rect">
                      <a:avLst/>
                    </a:prstGeom>
                  </pic:spPr>
                </pic:pic>
              </a:graphicData>
            </a:graphic>
            <wp14:sizeRelH relativeFrom="page">
              <wp14:pctWidth>0</wp14:pctWidth>
            </wp14:sizeRelH>
            <wp14:sizeRelV relativeFrom="page">
              <wp14:pctHeight>0</wp14:pctHeight>
            </wp14:sizeRelV>
          </wp:anchor>
        </w:drawing>
      </w:r>
    </w:p>
    <w:p w14:paraId="71929288" w14:textId="77777777" w:rsidR="00185BCF" w:rsidRDefault="00185BCF" w:rsidP="00185BCF">
      <w:pPr>
        <w:jc w:val="both"/>
        <w:rPr>
          <w:rFonts w:ascii="Arial" w:hAnsi="Arial" w:cs="Arial"/>
        </w:rPr>
      </w:pPr>
    </w:p>
    <w:p w14:paraId="1F0C50A3" w14:textId="77777777" w:rsidR="00185BCF" w:rsidRDefault="00185BCF" w:rsidP="00185BCF">
      <w:pPr>
        <w:jc w:val="both"/>
        <w:rPr>
          <w:rFonts w:ascii="Arial" w:hAnsi="Arial" w:cs="Arial"/>
        </w:rPr>
      </w:pPr>
    </w:p>
    <w:p w14:paraId="367E3FFA" w14:textId="77777777" w:rsidR="00185BCF" w:rsidRDefault="00185BCF" w:rsidP="00185BCF">
      <w:pPr>
        <w:jc w:val="both"/>
        <w:rPr>
          <w:rFonts w:ascii="Arial" w:hAnsi="Arial" w:cs="Arial"/>
        </w:rPr>
      </w:pPr>
    </w:p>
    <w:p w14:paraId="24692D98" w14:textId="77777777" w:rsidR="00185BCF" w:rsidRDefault="00185BCF" w:rsidP="00185BCF">
      <w:pPr>
        <w:jc w:val="both"/>
        <w:rPr>
          <w:rFonts w:ascii="Arial" w:hAnsi="Arial" w:cs="Arial"/>
        </w:rPr>
      </w:pPr>
    </w:p>
    <w:p w14:paraId="7206D68A" w14:textId="77777777" w:rsidR="00185BCF" w:rsidRDefault="00185BCF" w:rsidP="00185BCF">
      <w:pPr>
        <w:jc w:val="both"/>
        <w:rPr>
          <w:rFonts w:ascii="Arial" w:hAnsi="Arial" w:cs="Arial"/>
        </w:rPr>
      </w:pPr>
    </w:p>
    <w:p w14:paraId="0B61606D" w14:textId="77777777" w:rsidR="00185BCF" w:rsidRDefault="00185BCF" w:rsidP="00185BCF">
      <w:pPr>
        <w:jc w:val="both"/>
        <w:rPr>
          <w:rFonts w:ascii="Arial" w:hAnsi="Arial" w:cs="Arial"/>
        </w:rPr>
      </w:pPr>
    </w:p>
    <w:p w14:paraId="31BCE57A" w14:textId="77777777" w:rsidR="00185BCF" w:rsidRDefault="00185BCF" w:rsidP="00185BCF">
      <w:pPr>
        <w:jc w:val="both"/>
        <w:rPr>
          <w:rFonts w:ascii="Arial" w:hAnsi="Arial" w:cs="Arial"/>
        </w:rPr>
      </w:pPr>
    </w:p>
    <w:p w14:paraId="36BC55C8" w14:textId="77777777" w:rsidR="00185BCF" w:rsidRDefault="00185BCF" w:rsidP="00185BCF">
      <w:pPr>
        <w:jc w:val="both"/>
        <w:rPr>
          <w:rFonts w:ascii="Arial" w:hAnsi="Arial" w:cs="Arial"/>
        </w:rPr>
      </w:pPr>
    </w:p>
    <w:p w14:paraId="7233B90A" w14:textId="77777777" w:rsidR="00185BCF" w:rsidRDefault="00185BCF" w:rsidP="00185BCF">
      <w:pPr>
        <w:jc w:val="both"/>
        <w:rPr>
          <w:rFonts w:ascii="Arial" w:hAnsi="Arial" w:cs="Arial"/>
        </w:rPr>
      </w:pPr>
    </w:p>
    <w:p w14:paraId="454E973D" w14:textId="77777777" w:rsidR="00185BCF" w:rsidRDefault="00185BCF" w:rsidP="00185BCF">
      <w:pPr>
        <w:jc w:val="both"/>
        <w:rPr>
          <w:rFonts w:ascii="Arial" w:hAnsi="Arial" w:cs="Arial"/>
        </w:rPr>
      </w:pPr>
    </w:p>
    <w:p w14:paraId="730CDA7F" w14:textId="77777777" w:rsidR="00185BCF" w:rsidRDefault="00185BCF" w:rsidP="00185BCF">
      <w:pPr>
        <w:jc w:val="both"/>
        <w:rPr>
          <w:rFonts w:ascii="Arial" w:hAnsi="Arial" w:cs="Arial"/>
        </w:rPr>
      </w:pPr>
    </w:p>
    <w:p w14:paraId="4F272416" w14:textId="77777777" w:rsidR="00185BCF" w:rsidRDefault="00185BCF" w:rsidP="00185BCF">
      <w:pPr>
        <w:jc w:val="both"/>
        <w:rPr>
          <w:rFonts w:ascii="Arial" w:hAnsi="Arial" w:cs="Arial"/>
        </w:rPr>
      </w:pPr>
    </w:p>
    <w:p w14:paraId="2BA033D7" w14:textId="77777777" w:rsidR="00185BCF" w:rsidRDefault="00185BCF" w:rsidP="00185BCF">
      <w:pPr>
        <w:jc w:val="both"/>
        <w:rPr>
          <w:rFonts w:ascii="Arial" w:hAnsi="Arial" w:cs="Arial"/>
        </w:rPr>
      </w:pPr>
    </w:p>
    <w:p w14:paraId="3BF17C66" w14:textId="77777777" w:rsidR="00185BCF" w:rsidRDefault="00185BCF" w:rsidP="00185BCF">
      <w:pPr>
        <w:jc w:val="both"/>
        <w:rPr>
          <w:rFonts w:ascii="Arial" w:hAnsi="Arial" w:cs="Arial"/>
        </w:rPr>
      </w:pPr>
    </w:p>
    <w:p w14:paraId="3A3E1EDC" w14:textId="77777777" w:rsidR="00185BCF" w:rsidRDefault="00185BCF" w:rsidP="00185BCF">
      <w:pPr>
        <w:jc w:val="both"/>
        <w:rPr>
          <w:rFonts w:ascii="Arial" w:hAnsi="Arial" w:cs="Arial"/>
        </w:rPr>
      </w:pPr>
    </w:p>
    <w:p w14:paraId="7C32B489" w14:textId="77777777" w:rsidR="00185BCF" w:rsidRDefault="00185BCF" w:rsidP="00185BCF">
      <w:pPr>
        <w:jc w:val="both"/>
        <w:rPr>
          <w:rFonts w:ascii="Arial" w:hAnsi="Arial" w:cs="Arial"/>
        </w:rPr>
      </w:pPr>
    </w:p>
    <w:p w14:paraId="4044EB13" w14:textId="77777777" w:rsidR="00185BCF" w:rsidRDefault="00185BCF" w:rsidP="00185BCF">
      <w:pPr>
        <w:jc w:val="both"/>
        <w:rPr>
          <w:rFonts w:ascii="Arial" w:hAnsi="Arial" w:cs="Arial"/>
        </w:rPr>
      </w:pPr>
    </w:p>
    <w:p w14:paraId="2EFB02C2" w14:textId="77777777" w:rsidR="00185BCF" w:rsidRDefault="00185BCF" w:rsidP="00185BCF">
      <w:pPr>
        <w:jc w:val="both"/>
        <w:rPr>
          <w:rFonts w:ascii="Arial" w:hAnsi="Arial" w:cs="Arial"/>
        </w:rPr>
      </w:pPr>
    </w:p>
    <w:p w14:paraId="6EA5918F" w14:textId="77777777" w:rsidR="00185BCF" w:rsidRDefault="00185BCF" w:rsidP="00185BCF">
      <w:pPr>
        <w:jc w:val="both"/>
        <w:rPr>
          <w:rFonts w:ascii="Arial" w:hAnsi="Arial" w:cs="Arial"/>
        </w:rPr>
      </w:pPr>
    </w:p>
    <w:p w14:paraId="60CE06EB" w14:textId="77777777" w:rsidR="00185BCF" w:rsidRDefault="00185BCF" w:rsidP="00185BCF">
      <w:pPr>
        <w:jc w:val="both"/>
        <w:rPr>
          <w:rFonts w:ascii="Arial" w:hAnsi="Arial" w:cs="Arial"/>
        </w:rPr>
      </w:pPr>
    </w:p>
    <w:p w14:paraId="5AEC5BD5" w14:textId="77777777" w:rsidR="00185BCF" w:rsidRDefault="00185BCF" w:rsidP="00185BCF">
      <w:pPr>
        <w:jc w:val="both"/>
        <w:rPr>
          <w:rFonts w:ascii="Arial" w:hAnsi="Arial" w:cs="Arial"/>
        </w:rPr>
      </w:pPr>
    </w:p>
    <w:p w14:paraId="388BDAE3" w14:textId="77777777" w:rsidR="00185BCF" w:rsidRDefault="00185BCF" w:rsidP="00185BCF">
      <w:pPr>
        <w:jc w:val="both"/>
        <w:rPr>
          <w:rFonts w:ascii="Arial" w:hAnsi="Arial" w:cs="Arial"/>
        </w:rPr>
      </w:pPr>
    </w:p>
    <w:p w14:paraId="68590E81" w14:textId="77777777" w:rsidR="00185BCF" w:rsidRDefault="00185BCF" w:rsidP="00185BCF">
      <w:pPr>
        <w:jc w:val="both"/>
        <w:rPr>
          <w:rFonts w:ascii="Arial" w:hAnsi="Arial" w:cs="Arial"/>
        </w:rPr>
      </w:pPr>
    </w:p>
    <w:p w14:paraId="3B8E551D" w14:textId="77777777" w:rsidR="00185BCF" w:rsidRPr="00715F3B" w:rsidRDefault="00185BCF" w:rsidP="00185BCF">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72"/>
        <w:gridCol w:w="2788"/>
        <w:gridCol w:w="3166"/>
      </w:tblGrid>
      <w:tr w:rsidR="00185BCF" w:rsidRPr="00DE065C" w14:paraId="79370F75" w14:textId="77777777" w:rsidTr="00737D38">
        <w:tc>
          <w:tcPr>
            <w:tcW w:w="2972" w:type="dxa"/>
            <w:shd w:val="clear" w:color="auto" w:fill="4582B4"/>
          </w:tcPr>
          <w:p w14:paraId="5E6402BD" w14:textId="77777777" w:rsidR="00185BCF" w:rsidRPr="00DE065C" w:rsidRDefault="00185BCF" w:rsidP="00737D38">
            <w:pPr>
              <w:jc w:val="center"/>
              <w:rPr>
                <w:rFonts w:ascii="Arial" w:hAnsi="Arial" w:cs="Arial"/>
                <w:color w:val="FFFFFF" w:themeColor="background1"/>
              </w:rPr>
            </w:pPr>
            <w:r w:rsidRPr="00DE065C">
              <w:rPr>
                <w:rFonts w:ascii="Arial" w:hAnsi="Arial" w:cs="Arial"/>
                <w:color w:val="FFFFFF" w:themeColor="background1"/>
              </w:rPr>
              <w:lastRenderedPageBreak/>
              <w:t>Response</w:t>
            </w:r>
          </w:p>
        </w:tc>
        <w:tc>
          <w:tcPr>
            <w:tcW w:w="2788" w:type="dxa"/>
            <w:shd w:val="clear" w:color="auto" w:fill="4582B4"/>
          </w:tcPr>
          <w:p w14:paraId="3DC9F842" w14:textId="77777777" w:rsidR="00185BCF" w:rsidRPr="00DE065C" w:rsidRDefault="00185BCF" w:rsidP="00737D38">
            <w:pPr>
              <w:jc w:val="center"/>
              <w:rPr>
                <w:rFonts w:ascii="Arial" w:hAnsi="Arial" w:cs="Arial"/>
                <w:color w:val="FFFFFF" w:themeColor="background1"/>
              </w:rPr>
            </w:pPr>
            <w:r w:rsidRPr="00DE065C">
              <w:rPr>
                <w:rFonts w:ascii="Arial" w:hAnsi="Arial" w:cs="Arial"/>
                <w:color w:val="FFFFFF" w:themeColor="background1"/>
              </w:rPr>
              <w:t>Count</w:t>
            </w:r>
          </w:p>
        </w:tc>
        <w:tc>
          <w:tcPr>
            <w:tcW w:w="3166" w:type="dxa"/>
            <w:shd w:val="clear" w:color="auto" w:fill="4582B4"/>
          </w:tcPr>
          <w:p w14:paraId="0845CF86" w14:textId="77777777" w:rsidR="00185BCF" w:rsidRPr="00DE065C" w:rsidRDefault="00185BCF" w:rsidP="00737D38">
            <w:pPr>
              <w:jc w:val="center"/>
              <w:rPr>
                <w:rFonts w:ascii="Arial" w:hAnsi="Arial" w:cs="Arial"/>
                <w:color w:val="FFFFFF" w:themeColor="background1"/>
              </w:rPr>
            </w:pPr>
            <w:r w:rsidRPr="00DE065C">
              <w:rPr>
                <w:rFonts w:ascii="Arial" w:hAnsi="Arial" w:cs="Arial"/>
                <w:color w:val="FFFFFF" w:themeColor="background1"/>
              </w:rPr>
              <w:t>Percent</w:t>
            </w:r>
          </w:p>
        </w:tc>
      </w:tr>
      <w:tr w:rsidR="00185BCF" w:rsidRPr="00DE065C" w14:paraId="60CED93E" w14:textId="77777777" w:rsidTr="00737D38">
        <w:tc>
          <w:tcPr>
            <w:tcW w:w="2972" w:type="dxa"/>
          </w:tcPr>
          <w:p w14:paraId="5058FC28" w14:textId="77777777" w:rsidR="00185BCF" w:rsidRPr="00DE065C" w:rsidRDefault="00185BCF" w:rsidP="00737D38">
            <w:pPr>
              <w:rPr>
                <w:rFonts w:ascii="Arial" w:hAnsi="Arial" w:cs="Arial"/>
              </w:rPr>
            </w:pPr>
            <w:r w:rsidRPr="00DE065C">
              <w:rPr>
                <w:rFonts w:ascii="Arial" w:hAnsi="Arial" w:cs="Arial"/>
              </w:rPr>
              <w:t>Most likely</w:t>
            </w:r>
          </w:p>
        </w:tc>
        <w:tc>
          <w:tcPr>
            <w:tcW w:w="2788" w:type="dxa"/>
          </w:tcPr>
          <w:p w14:paraId="00CE5FBB" w14:textId="77777777" w:rsidR="00185BCF" w:rsidRPr="00DE065C" w:rsidRDefault="00185BCF" w:rsidP="00737D38">
            <w:pPr>
              <w:jc w:val="center"/>
              <w:rPr>
                <w:rFonts w:ascii="Arial" w:hAnsi="Arial" w:cs="Arial"/>
              </w:rPr>
            </w:pPr>
            <w:r w:rsidRPr="00DE065C">
              <w:rPr>
                <w:rFonts w:ascii="Arial" w:hAnsi="Arial" w:cs="Arial"/>
              </w:rPr>
              <w:t>97</w:t>
            </w:r>
          </w:p>
        </w:tc>
        <w:tc>
          <w:tcPr>
            <w:tcW w:w="3166" w:type="dxa"/>
          </w:tcPr>
          <w:p w14:paraId="083B2A35" w14:textId="77777777" w:rsidR="00185BCF" w:rsidRPr="00DE065C" w:rsidRDefault="00185BCF" w:rsidP="00737D38">
            <w:pPr>
              <w:jc w:val="center"/>
              <w:rPr>
                <w:rFonts w:ascii="Arial" w:hAnsi="Arial" w:cs="Arial"/>
              </w:rPr>
            </w:pPr>
            <w:r w:rsidRPr="00DE065C">
              <w:rPr>
                <w:rFonts w:ascii="Arial" w:hAnsi="Arial" w:cs="Arial"/>
              </w:rPr>
              <w:t>47.8 %</w:t>
            </w:r>
          </w:p>
        </w:tc>
      </w:tr>
      <w:tr w:rsidR="00185BCF" w:rsidRPr="00DE065C" w14:paraId="7EFB5E1F" w14:textId="77777777" w:rsidTr="00737D38">
        <w:tc>
          <w:tcPr>
            <w:tcW w:w="2972" w:type="dxa"/>
          </w:tcPr>
          <w:p w14:paraId="7A710862" w14:textId="77777777" w:rsidR="00185BCF" w:rsidRPr="00DE065C" w:rsidRDefault="00185BCF" w:rsidP="00737D38">
            <w:pPr>
              <w:rPr>
                <w:rFonts w:ascii="Arial" w:hAnsi="Arial" w:cs="Arial"/>
              </w:rPr>
            </w:pPr>
            <w:r w:rsidRPr="00DE065C">
              <w:rPr>
                <w:rFonts w:ascii="Arial" w:hAnsi="Arial" w:cs="Arial"/>
              </w:rPr>
              <w:t>Likely</w:t>
            </w:r>
          </w:p>
        </w:tc>
        <w:tc>
          <w:tcPr>
            <w:tcW w:w="2788" w:type="dxa"/>
          </w:tcPr>
          <w:p w14:paraId="5D5B8C7D" w14:textId="77777777" w:rsidR="00185BCF" w:rsidRPr="00DE065C" w:rsidRDefault="00185BCF" w:rsidP="00737D38">
            <w:pPr>
              <w:jc w:val="center"/>
              <w:rPr>
                <w:rFonts w:ascii="Arial" w:hAnsi="Arial" w:cs="Arial"/>
              </w:rPr>
            </w:pPr>
            <w:r w:rsidRPr="00DE065C">
              <w:rPr>
                <w:rFonts w:ascii="Arial" w:hAnsi="Arial" w:cs="Arial"/>
              </w:rPr>
              <w:t>73</w:t>
            </w:r>
          </w:p>
        </w:tc>
        <w:tc>
          <w:tcPr>
            <w:tcW w:w="3166" w:type="dxa"/>
          </w:tcPr>
          <w:p w14:paraId="1C297F0A" w14:textId="77777777" w:rsidR="00185BCF" w:rsidRPr="00DE065C" w:rsidRDefault="00185BCF" w:rsidP="00737D38">
            <w:pPr>
              <w:jc w:val="center"/>
              <w:rPr>
                <w:rFonts w:ascii="Arial" w:hAnsi="Arial" w:cs="Arial"/>
              </w:rPr>
            </w:pPr>
            <w:r w:rsidRPr="00DE065C">
              <w:rPr>
                <w:rFonts w:ascii="Arial" w:hAnsi="Arial" w:cs="Arial"/>
              </w:rPr>
              <w:t>36.0 %</w:t>
            </w:r>
          </w:p>
        </w:tc>
      </w:tr>
      <w:tr w:rsidR="00185BCF" w:rsidRPr="00DE065C" w14:paraId="102B4DEF" w14:textId="77777777" w:rsidTr="00737D38">
        <w:tc>
          <w:tcPr>
            <w:tcW w:w="2972" w:type="dxa"/>
          </w:tcPr>
          <w:p w14:paraId="0C56D402" w14:textId="77777777" w:rsidR="00185BCF" w:rsidRPr="00DE065C" w:rsidRDefault="00185BCF" w:rsidP="00737D38">
            <w:pPr>
              <w:rPr>
                <w:rFonts w:ascii="Arial" w:hAnsi="Arial" w:cs="Arial"/>
              </w:rPr>
            </w:pPr>
            <w:r w:rsidRPr="00DE065C">
              <w:rPr>
                <w:rFonts w:ascii="Arial" w:hAnsi="Arial" w:cs="Arial"/>
              </w:rPr>
              <w:t>Maybe</w:t>
            </w:r>
          </w:p>
        </w:tc>
        <w:tc>
          <w:tcPr>
            <w:tcW w:w="2788" w:type="dxa"/>
          </w:tcPr>
          <w:p w14:paraId="7A10173B" w14:textId="77777777" w:rsidR="00185BCF" w:rsidRPr="00DE065C" w:rsidRDefault="00185BCF" w:rsidP="00737D38">
            <w:pPr>
              <w:jc w:val="center"/>
              <w:rPr>
                <w:rFonts w:ascii="Arial" w:hAnsi="Arial" w:cs="Arial"/>
              </w:rPr>
            </w:pPr>
            <w:r w:rsidRPr="00DE065C">
              <w:rPr>
                <w:rFonts w:ascii="Arial" w:hAnsi="Arial" w:cs="Arial"/>
              </w:rPr>
              <w:t>17</w:t>
            </w:r>
          </w:p>
        </w:tc>
        <w:tc>
          <w:tcPr>
            <w:tcW w:w="3166" w:type="dxa"/>
          </w:tcPr>
          <w:p w14:paraId="56582FB6" w14:textId="77777777" w:rsidR="00185BCF" w:rsidRPr="00DE065C" w:rsidRDefault="00185BCF" w:rsidP="00737D38">
            <w:pPr>
              <w:jc w:val="center"/>
              <w:rPr>
                <w:rFonts w:ascii="Arial" w:hAnsi="Arial" w:cs="Arial"/>
              </w:rPr>
            </w:pPr>
            <w:r w:rsidRPr="00DE065C">
              <w:rPr>
                <w:rFonts w:ascii="Arial" w:hAnsi="Arial" w:cs="Arial"/>
              </w:rPr>
              <w:t>8.4 %</w:t>
            </w:r>
          </w:p>
        </w:tc>
      </w:tr>
      <w:tr w:rsidR="00185BCF" w:rsidRPr="00DE065C" w14:paraId="5868588E" w14:textId="77777777" w:rsidTr="00737D38">
        <w:tc>
          <w:tcPr>
            <w:tcW w:w="2972" w:type="dxa"/>
          </w:tcPr>
          <w:p w14:paraId="6859841E" w14:textId="77777777" w:rsidR="00185BCF" w:rsidRPr="00DE065C" w:rsidRDefault="00185BCF" w:rsidP="00737D38">
            <w:pPr>
              <w:rPr>
                <w:rFonts w:ascii="Arial" w:hAnsi="Arial" w:cs="Arial"/>
              </w:rPr>
            </w:pPr>
            <w:r w:rsidRPr="00DE065C">
              <w:rPr>
                <w:rFonts w:ascii="Arial" w:hAnsi="Arial" w:cs="Arial"/>
              </w:rPr>
              <w:t>Unlikely</w:t>
            </w:r>
          </w:p>
        </w:tc>
        <w:tc>
          <w:tcPr>
            <w:tcW w:w="2788" w:type="dxa"/>
          </w:tcPr>
          <w:p w14:paraId="4D2E58E0" w14:textId="77777777" w:rsidR="00185BCF" w:rsidRPr="00DE065C" w:rsidRDefault="00185BCF" w:rsidP="00737D38">
            <w:pPr>
              <w:jc w:val="center"/>
              <w:rPr>
                <w:rFonts w:ascii="Arial" w:hAnsi="Arial" w:cs="Arial"/>
              </w:rPr>
            </w:pPr>
            <w:r w:rsidRPr="00DE065C">
              <w:rPr>
                <w:rFonts w:ascii="Arial" w:hAnsi="Arial" w:cs="Arial"/>
              </w:rPr>
              <w:t>15</w:t>
            </w:r>
          </w:p>
        </w:tc>
        <w:tc>
          <w:tcPr>
            <w:tcW w:w="3166" w:type="dxa"/>
          </w:tcPr>
          <w:p w14:paraId="06146B63" w14:textId="77777777" w:rsidR="00185BCF" w:rsidRPr="00DE065C" w:rsidRDefault="00185BCF" w:rsidP="00737D38">
            <w:pPr>
              <w:jc w:val="center"/>
              <w:rPr>
                <w:rFonts w:ascii="Arial" w:hAnsi="Arial" w:cs="Arial"/>
              </w:rPr>
            </w:pPr>
            <w:r w:rsidRPr="00DE065C">
              <w:rPr>
                <w:rFonts w:ascii="Arial" w:hAnsi="Arial" w:cs="Arial"/>
              </w:rPr>
              <w:t>7.4 %</w:t>
            </w:r>
          </w:p>
        </w:tc>
      </w:tr>
      <w:tr w:rsidR="00185BCF" w:rsidRPr="00DE065C" w14:paraId="3104AFBA" w14:textId="77777777" w:rsidTr="00737D38">
        <w:tc>
          <w:tcPr>
            <w:tcW w:w="2972" w:type="dxa"/>
          </w:tcPr>
          <w:p w14:paraId="361A2424" w14:textId="77777777" w:rsidR="00185BCF" w:rsidRPr="00DE065C" w:rsidRDefault="00185BCF" w:rsidP="00737D38">
            <w:pPr>
              <w:rPr>
                <w:rFonts w:ascii="Arial" w:hAnsi="Arial" w:cs="Arial"/>
              </w:rPr>
            </w:pPr>
            <w:r w:rsidRPr="00DE065C">
              <w:rPr>
                <w:rFonts w:ascii="Arial" w:hAnsi="Arial" w:cs="Arial"/>
              </w:rPr>
              <w:t>Most unlikely</w:t>
            </w:r>
          </w:p>
        </w:tc>
        <w:tc>
          <w:tcPr>
            <w:tcW w:w="2788" w:type="dxa"/>
          </w:tcPr>
          <w:p w14:paraId="23E949C7" w14:textId="77777777" w:rsidR="00185BCF" w:rsidRPr="00DE065C" w:rsidRDefault="00185BCF" w:rsidP="00737D38">
            <w:pPr>
              <w:jc w:val="center"/>
              <w:rPr>
                <w:rFonts w:ascii="Arial" w:hAnsi="Arial" w:cs="Arial"/>
              </w:rPr>
            </w:pPr>
            <w:r w:rsidRPr="00DE065C">
              <w:rPr>
                <w:rFonts w:ascii="Arial" w:hAnsi="Arial" w:cs="Arial"/>
              </w:rPr>
              <w:t>1</w:t>
            </w:r>
          </w:p>
        </w:tc>
        <w:tc>
          <w:tcPr>
            <w:tcW w:w="3166" w:type="dxa"/>
          </w:tcPr>
          <w:p w14:paraId="47C022D2" w14:textId="77777777" w:rsidR="00185BCF" w:rsidRPr="00DE065C" w:rsidRDefault="00185BCF" w:rsidP="00737D38">
            <w:pPr>
              <w:jc w:val="center"/>
              <w:rPr>
                <w:rFonts w:ascii="Arial" w:hAnsi="Arial" w:cs="Arial"/>
              </w:rPr>
            </w:pPr>
            <w:r w:rsidRPr="00DE065C">
              <w:rPr>
                <w:rFonts w:ascii="Arial" w:hAnsi="Arial" w:cs="Arial"/>
              </w:rPr>
              <w:t>0.5 %</w:t>
            </w:r>
          </w:p>
        </w:tc>
      </w:tr>
    </w:tbl>
    <w:p w14:paraId="1BD63974" w14:textId="77777777" w:rsidR="00185BCF" w:rsidRPr="00715F3B" w:rsidRDefault="00185BCF" w:rsidP="00185BCF">
      <w:pPr>
        <w:jc w:val="both"/>
        <w:rPr>
          <w:rFonts w:ascii="Arial" w:hAnsi="Arial" w:cs="Arial"/>
        </w:rPr>
      </w:pPr>
    </w:p>
    <w:p w14:paraId="0466EA8A" w14:textId="77777777" w:rsidR="00185BCF" w:rsidRPr="00DE065C" w:rsidRDefault="00185BCF" w:rsidP="00185BCF">
      <w:pPr>
        <w:jc w:val="both"/>
        <w:rPr>
          <w:rFonts w:ascii="Arial" w:hAnsi="Arial" w:cs="Arial"/>
          <w:b/>
          <w:bCs/>
        </w:rPr>
      </w:pPr>
      <w:r w:rsidRPr="00DE065C">
        <w:rPr>
          <w:rFonts w:ascii="Arial" w:hAnsi="Arial" w:cs="Arial"/>
          <w:b/>
          <w:bCs/>
        </w:rPr>
        <w:t>Methodology</w:t>
      </w:r>
    </w:p>
    <w:p w14:paraId="7B4069F9" w14:textId="77777777" w:rsidR="00185BCF" w:rsidRPr="00324CC3" w:rsidRDefault="00185BCF" w:rsidP="00185BCF">
      <w:pPr>
        <w:jc w:val="both"/>
        <w:rPr>
          <w:rFonts w:ascii="Arial" w:hAnsi="Arial" w:cs="Arial"/>
        </w:rPr>
      </w:pPr>
      <w:r w:rsidRPr="00324CC3">
        <w:rPr>
          <w:rFonts w:ascii="Arial" w:hAnsi="Arial" w:cs="Arial"/>
        </w:rPr>
        <w:t>This project drew on the Tribus</w:t>
      </w:r>
      <w:r w:rsidRPr="00324CC3">
        <w:rPr>
          <w:rFonts w:ascii="Cambria Math" w:hAnsi="Cambria Math" w:cs="Cambria Math"/>
        </w:rPr>
        <w:t>‑</w:t>
      </w:r>
      <w:r w:rsidRPr="00324CC3">
        <w:rPr>
          <w:rFonts w:ascii="Arial" w:hAnsi="Arial" w:cs="Arial"/>
        </w:rPr>
        <w:t xml:space="preserve">TSG employee survey and </w:t>
      </w:r>
      <w:r>
        <w:rPr>
          <w:rFonts w:ascii="Arial" w:hAnsi="Arial" w:cs="Arial"/>
        </w:rPr>
        <w:t>group</w:t>
      </w:r>
      <w:r w:rsidRPr="00324CC3">
        <w:rPr>
          <w:rFonts w:ascii="Arial" w:hAnsi="Arial" w:cs="Arial"/>
        </w:rPr>
        <w:t xml:space="preserve"> activity administered in late 2025 across all operational verticals. Responses were collected online over a four</w:t>
      </w:r>
      <w:r w:rsidRPr="00324CC3">
        <w:rPr>
          <w:rFonts w:ascii="Cambria Math" w:hAnsi="Cambria Math" w:cs="Cambria Math"/>
        </w:rPr>
        <w:t>‑</w:t>
      </w:r>
      <w:r w:rsidRPr="00324CC3">
        <w:rPr>
          <w:rFonts w:ascii="Arial" w:hAnsi="Arial" w:cs="Arial"/>
        </w:rPr>
        <w:t>week window using a confidential link shared via internal channels. A total of 20</w:t>
      </w:r>
      <w:r>
        <w:rPr>
          <w:rFonts w:ascii="Arial" w:hAnsi="Arial" w:cs="Arial"/>
        </w:rPr>
        <w:t>7</w:t>
      </w:r>
      <w:r w:rsidRPr="00324CC3">
        <w:rPr>
          <w:rFonts w:ascii="Arial" w:hAnsi="Arial" w:cs="Arial"/>
        </w:rPr>
        <w:t xml:space="preserve"> employees provided usable responses, representing approximately three quarters of the workforce and covering junior, mid</w:t>
      </w:r>
      <w:r w:rsidRPr="00324CC3">
        <w:rPr>
          <w:rFonts w:ascii="Cambria Math" w:hAnsi="Cambria Math" w:cs="Cambria Math"/>
        </w:rPr>
        <w:t>‑</w:t>
      </w:r>
      <w:r w:rsidRPr="00324CC3">
        <w:rPr>
          <w:rFonts w:ascii="Arial" w:hAnsi="Arial" w:cs="Arial"/>
        </w:rPr>
        <w:t>level and senior roles. The analysis therefore reflects a broad cross</w:t>
      </w:r>
      <w:r w:rsidRPr="00324CC3">
        <w:rPr>
          <w:rFonts w:ascii="Cambria Math" w:hAnsi="Cambria Math" w:cs="Cambria Math"/>
        </w:rPr>
        <w:t>‑</w:t>
      </w:r>
      <w:r w:rsidRPr="00324CC3">
        <w:rPr>
          <w:rFonts w:ascii="Arial" w:hAnsi="Arial" w:cs="Arial"/>
        </w:rPr>
        <w:t>section of the organisation rather than a single team or function.</w:t>
      </w:r>
    </w:p>
    <w:p w14:paraId="712E7E59" w14:textId="77777777" w:rsidR="00185BCF" w:rsidRPr="00324CC3" w:rsidRDefault="00185BCF" w:rsidP="00185BCF">
      <w:pPr>
        <w:jc w:val="both"/>
        <w:rPr>
          <w:rFonts w:ascii="Arial" w:hAnsi="Arial" w:cs="Arial"/>
        </w:rPr>
      </w:pPr>
    </w:p>
    <w:p w14:paraId="1FB21724" w14:textId="77777777" w:rsidR="00185BCF" w:rsidRDefault="00185BCF" w:rsidP="00185BCF">
      <w:pPr>
        <w:jc w:val="both"/>
        <w:rPr>
          <w:rFonts w:ascii="Arial" w:hAnsi="Arial" w:cs="Arial"/>
        </w:rPr>
      </w:pPr>
      <w:r w:rsidRPr="355EFD67">
        <w:rPr>
          <w:rFonts w:ascii="Arial" w:hAnsi="Arial" w:cs="Arial"/>
        </w:rPr>
        <w:t>The responses were critically analysed and captured across Tribus</w:t>
      </w:r>
      <w:r w:rsidRPr="355EFD67">
        <w:rPr>
          <w:rFonts w:ascii="Cambria Math" w:hAnsi="Cambria Math" w:cs="Cambria Math"/>
        </w:rPr>
        <w:t>‑</w:t>
      </w:r>
      <w:r w:rsidRPr="355EFD67">
        <w:rPr>
          <w:rFonts w:ascii="Arial" w:hAnsi="Arial" w:cs="Arial"/>
        </w:rPr>
        <w:t xml:space="preserve">TSG functions. Items were harmonised to a 1–5 scale using standard mappings for agreement, satisfaction and likelihood questions, consistent with established survey methodology (de Leeuw et al., 2018). Composite indices </w:t>
      </w:r>
      <w:r w:rsidRPr="00C40797">
        <w:rPr>
          <w:rFonts w:ascii="Arial" w:hAnsi="Arial" w:cs="Arial"/>
        </w:rPr>
        <w:t>were created to operationalise latent constructs using multiple indicators, improving construct coverage and analytic parsimony; aggregation is recommended where items are theoretically aligned and internally consistent (Boateng et al., 2018; Hair et al., 2022).</w:t>
      </w:r>
    </w:p>
    <w:p w14:paraId="0E2E8ED5" w14:textId="77777777" w:rsidR="00185BCF" w:rsidRPr="00324CC3" w:rsidRDefault="00185BCF" w:rsidP="00185BCF">
      <w:pPr>
        <w:jc w:val="both"/>
        <w:rPr>
          <w:rFonts w:ascii="Arial" w:hAnsi="Arial" w:cs="Arial"/>
        </w:rPr>
      </w:pPr>
    </w:p>
    <w:p w14:paraId="2B2A312F" w14:textId="77777777" w:rsidR="00185BCF" w:rsidRDefault="00185BCF" w:rsidP="00185BCF">
      <w:pPr>
        <w:jc w:val="both"/>
        <w:rPr>
          <w:rFonts w:ascii="Arial" w:hAnsi="Arial" w:cs="Arial"/>
        </w:rPr>
      </w:pPr>
      <w:r w:rsidRPr="00324CC3">
        <w:rPr>
          <w:rFonts w:ascii="Arial" w:hAnsi="Arial" w:cs="Arial"/>
        </w:rPr>
        <w:t xml:space="preserve">In terms of uptake, 207 employees responded out of a workforce of just over 650, equating </w:t>
      </w:r>
      <w:r w:rsidRPr="00362F1E">
        <w:rPr>
          <w:rFonts w:ascii="Arial" w:hAnsi="Arial" w:cs="Arial"/>
        </w:rPr>
        <w:t>31.8% of the workforce</w:t>
      </w:r>
      <w:r w:rsidRPr="00324CC3">
        <w:rPr>
          <w:rFonts w:ascii="Arial" w:hAnsi="Arial" w:cs="Arial"/>
        </w:rPr>
        <w:t>. Informal feedback from post</w:t>
      </w:r>
      <w:r w:rsidRPr="00324CC3">
        <w:rPr>
          <w:rFonts w:ascii="Cambria Math" w:hAnsi="Cambria Math" w:cs="Cambria Math"/>
        </w:rPr>
        <w:t>‑</w:t>
      </w:r>
      <w:r w:rsidRPr="00324CC3">
        <w:rPr>
          <w:rFonts w:ascii="Arial" w:hAnsi="Arial" w:cs="Arial"/>
        </w:rPr>
        <w:t>survey group sessions indicated that some non</w:t>
      </w:r>
      <w:r w:rsidRPr="00324CC3">
        <w:rPr>
          <w:rFonts w:ascii="Cambria Math" w:hAnsi="Cambria Math" w:cs="Cambria Math"/>
        </w:rPr>
        <w:t>‑</w:t>
      </w:r>
      <w:r w:rsidRPr="00324CC3">
        <w:rPr>
          <w:rFonts w:ascii="Arial" w:hAnsi="Arial" w:cs="Arial"/>
        </w:rPr>
        <w:t>respondents were on leave or otherwise unavailable during fieldwork, while others felt disengaged after perceiving limited visible impact from the 2023 survey. This context is important when interpreting results: although the sample covers a broad spread of roles and verticals, the views presented may under</w:t>
      </w:r>
      <w:r w:rsidRPr="00324CC3">
        <w:rPr>
          <w:rFonts w:ascii="Cambria Math" w:hAnsi="Cambria Math" w:cs="Cambria Math"/>
        </w:rPr>
        <w:t>‑</w:t>
      </w:r>
      <w:r w:rsidRPr="00324CC3">
        <w:rPr>
          <w:rFonts w:ascii="Arial" w:hAnsi="Arial" w:cs="Arial"/>
        </w:rPr>
        <w:t>represent more disengaged segments of the workforce who chose not to participate.</w:t>
      </w:r>
    </w:p>
    <w:p w14:paraId="0CADAD92" w14:textId="77777777" w:rsidR="00185BCF" w:rsidRPr="00715F3B" w:rsidRDefault="00185BCF" w:rsidP="00185BCF">
      <w:pPr>
        <w:jc w:val="both"/>
        <w:rPr>
          <w:rFonts w:ascii="Arial" w:hAnsi="Arial" w:cs="Arial"/>
        </w:rPr>
      </w:pPr>
    </w:p>
    <w:p w14:paraId="7DE8772D" w14:textId="77777777" w:rsidR="00185BCF" w:rsidRPr="00DE065C" w:rsidRDefault="00185BCF" w:rsidP="00185BCF">
      <w:pPr>
        <w:jc w:val="both"/>
        <w:rPr>
          <w:rFonts w:ascii="Arial" w:hAnsi="Arial" w:cs="Arial"/>
          <w:b/>
          <w:bCs/>
        </w:rPr>
      </w:pPr>
      <w:r w:rsidRPr="00DE065C">
        <w:rPr>
          <w:rFonts w:ascii="Arial" w:hAnsi="Arial" w:cs="Arial"/>
          <w:b/>
          <w:bCs/>
        </w:rPr>
        <w:t>Post-survey Qualitative Sessions</w:t>
      </w:r>
    </w:p>
    <w:p w14:paraId="5A3101F1" w14:textId="77777777" w:rsidR="00185BCF" w:rsidRDefault="00185BCF" w:rsidP="00185BCF">
      <w:pPr>
        <w:jc w:val="both"/>
        <w:rPr>
          <w:rFonts w:ascii="Arial" w:hAnsi="Arial" w:cs="Arial"/>
        </w:rPr>
      </w:pPr>
      <w:r w:rsidRPr="00E03B5C">
        <w:rPr>
          <w:rFonts w:ascii="Arial" w:hAnsi="Arial" w:cs="Arial"/>
        </w:rPr>
        <w:t>To contextualise survey patterns, three short group discussions were held across verticals and levels, with participants drawn from line</w:t>
      </w:r>
      <w:r w:rsidRPr="00E03B5C">
        <w:rPr>
          <w:rFonts w:ascii="Cambria Math" w:hAnsi="Cambria Math" w:cs="Cambria Math"/>
        </w:rPr>
        <w:t>‑</w:t>
      </w:r>
      <w:r w:rsidRPr="00E03B5C">
        <w:rPr>
          <w:rFonts w:ascii="Arial" w:hAnsi="Arial" w:cs="Arial"/>
        </w:rPr>
        <w:t>manager nominations, volunteers and ERC members. However, mixed seniority and manager nomination may create power asymmetry, inhibiting candour and encouraging socially desirable accounts, so findings should be treated as interpretive context for the survey, not unconstrained “voice” (Wilkinson, Donaghey and Dundon, 2020).</w:t>
      </w:r>
      <w:r w:rsidRPr="355EFD67">
        <w:rPr>
          <w:rFonts w:ascii="Arial" w:hAnsi="Arial" w:cs="Arial"/>
        </w:rPr>
        <w:t xml:space="preserve"> </w:t>
      </w:r>
    </w:p>
    <w:p w14:paraId="2524597D" w14:textId="77777777" w:rsidR="00185BCF" w:rsidRDefault="00185BCF" w:rsidP="00185BCF">
      <w:pPr>
        <w:jc w:val="both"/>
        <w:rPr>
          <w:rFonts w:ascii="Arial" w:hAnsi="Arial" w:cs="Arial"/>
        </w:rPr>
      </w:pPr>
    </w:p>
    <w:p w14:paraId="7E89C934" w14:textId="77777777" w:rsidR="00185BCF" w:rsidRPr="0049018D" w:rsidRDefault="00185BCF" w:rsidP="00185BCF">
      <w:pPr>
        <w:jc w:val="both"/>
        <w:rPr>
          <w:rFonts w:ascii="Arial" w:hAnsi="Arial" w:cs="Arial"/>
        </w:rPr>
      </w:pPr>
      <w:r w:rsidRPr="355EFD67">
        <w:rPr>
          <w:rFonts w:ascii="Arial" w:hAnsi="Arial" w:cs="Arial"/>
        </w:rPr>
        <w:t>Sessions lasted 90 minutes and used a semi</w:t>
      </w:r>
      <w:r w:rsidRPr="355EFD67">
        <w:rPr>
          <w:rFonts w:ascii="Cambria Math" w:hAnsi="Cambria Math" w:cs="Cambria Math"/>
        </w:rPr>
        <w:t>‑</w:t>
      </w:r>
      <w:r w:rsidRPr="355EFD67">
        <w:rPr>
          <w:rFonts w:ascii="Arial" w:hAnsi="Arial" w:cs="Arial"/>
        </w:rPr>
        <w:t>structured guide to interpret headline scores and explore reasons for differences between teams and verticals.</w:t>
      </w:r>
    </w:p>
    <w:p w14:paraId="06F8C3F5" w14:textId="77777777" w:rsidR="00185BCF" w:rsidRPr="0049018D" w:rsidRDefault="00185BCF" w:rsidP="00185BCF">
      <w:pPr>
        <w:jc w:val="both"/>
        <w:rPr>
          <w:rFonts w:ascii="Arial" w:hAnsi="Arial" w:cs="Arial"/>
        </w:rPr>
      </w:pPr>
    </w:p>
    <w:p w14:paraId="10824F6B" w14:textId="77777777" w:rsidR="00185BCF" w:rsidRPr="006035A8" w:rsidRDefault="00185BCF" w:rsidP="00185BCF">
      <w:pPr>
        <w:jc w:val="both"/>
        <w:rPr>
          <w:rFonts w:ascii="Arial" w:hAnsi="Arial" w:cs="Arial"/>
        </w:rPr>
      </w:pPr>
      <w:r w:rsidRPr="0049018D">
        <w:rPr>
          <w:rFonts w:ascii="Arial" w:hAnsi="Arial" w:cs="Arial"/>
        </w:rPr>
        <w:t>Participants were invited to give concrete examples of what helped or hindered engagement and advocacy. Notes were captured contemporaneously rather than audio</w:t>
      </w:r>
      <w:r w:rsidRPr="0049018D">
        <w:rPr>
          <w:rFonts w:ascii="Cambria Math" w:hAnsi="Cambria Math" w:cs="Cambria Math"/>
        </w:rPr>
        <w:t>‑</w:t>
      </w:r>
      <w:r w:rsidRPr="0049018D">
        <w:rPr>
          <w:rFonts w:ascii="Arial" w:hAnsi="Arial" w:cs="Arial"/>
        </w:rPr>
        <w:t>recorded and were thematically coded against the four survey indices and any emerging integrity concerns, following basic qualitative procedures on anonymity, consent and triangulation (Bryman and Bell, 2015). This approach limits verbatim detail but strengthens interpretation of the survey findings by showing how numerical patterns align with</w:t>
      </w:r>
      <w:r>
        <w:rPr>
          <w:rFonts w:ascii="Arial" w:hAnsi="Arial" w:cs="Arial"/>
        </w:rPr>
        <w:t xml:space="preserve"> the Tribus</w:t>
      </w:r>
      <w:r w:rsidRPr="0049018D">
        <w:rPr>
          <w:rFonts w:ascii="Arial" w:hAnsi="Arial" w:cs="Arial"/>
        </w:rPr>
        <w:t xml:space="preserve"> staff </w:t>
      </w:r>
      <w:r>
        <w:rPr>
          <w:rFonts w:ascii="Arial" w:hAnsi="Arial" w:cs="Arial"/>
        </w:rPr>
        <w:t xml:space="preserve">members </w:t>
      </w:r>
      <w:r w:rsidRPr="0049018D">
        <w:rPr>
          <w:rFonts w:ascii="Arial" w:hAnsi="Arial" w:cs="Arial"/>
        </w:rPr>
        <w:t>narratives.</w:t>
      </w:r>
    </w:p>
    <w:p w14:paraId="722D854C" w14:textId="77777777" w:rsidR="00185BCF" w:rsidRDefault="00185BCF" w:rsidP="00185BCF">
      <w:pPr>
        <w:jc w:val="both"/>
        <w:rPr>
          <w:rFonts w:ascii="Arial" w:hAnsi="Arial" w:cs="Arial"/>
          <w:b/>
          <w:bCs/>
        </w:rPr>
      </w:pPr>
    </w:p>
    <w:p w14:paraId="575FB51C" w14:textId="77777777" w:rsidR="00185BCF" w:rsidRPr="00DE065C" w:rsidRDefault="00185BCF" w:rsidP="00185BCF">
      <w:pPr>
        <w:jc w:val="both"/>
        <w:rPr>
          <w:rFonts w:ascii="Arial" w:hAnsi="Arial" w:cs="Arial"/>
          <w:b/>
          <w:bCs/>
        </w:rPr>
      </w:pPr>
      <w:r>
        <w:rPr>
          <w:rFonts w:ascii="Arial" w:hAnsi="Arial" w:cs="Arial"/>
          <w:b/>
          <w:bCs/>
        </w:rPr>
        <w:t xml:space="preserve">Survey </w:t>
      </w:r>
      <w:r w:rsidRPr="00DE065C">
        <w:rPr>
          <w:rFonts w:ascii="Arial" w:hAnsi="Arial" w:cs="Arial"/>
          <w:b/>
          <w:bCs/>
        </w:rPr>
        <w:t xml:space="preserve">Open Comments </w:t>
      </w:r>
      <w:r>
        <w:rPr>
          <w:rFonts w:ascii="Arial" w:hAnsi="Arial" w:cs="Arial"/>
          <w:b/>
          <w:bCs/>
        </w:rPr>
        <w:t xml:space="preserve">and Group Sessions: </w:t>
      </w:r>
      <w:r w:rsidRPr="00DE065C">
        <w:rPr>
          <w:rFonts w:ascii="Arial" w:hAnsi="Arial" w:cs="Arial"/>
          <w:b/>
          <w:bCs/>
        </w:rPr>
        <w:t>Integrity Signals</w:t>
      </w:r>
    </w:p>
    <w:p w14:paraId="0DB3E0CC" w14:textId="77777777" w:rsidR="00185BCF" w:rsidRPr="003C1EDF" w:rsidRDefault="00185BCF" w:rsidP="00185BCF">
      <w:pPr>
        <w:jc w:val="both"/>
        <w:rPr>
          <w:rFonts w:ascii="Arial" w:hAnsi="Arial" w:cs="Arial"/>
        </w:rPr>
      </w:pPr>
      <w:r w:rsidRPr="003C1EDF">
        <w:rPr>
          <w:rFonts w:ascii="Arial" w:hAnsi="Arial" w:cs="Arial"/>
        </w:rPr>
        <w:t>In addition to scaled items, the survey captured 179 free</w:t>
      </w:r>
      <w:r w:rsidRPr="003C1EDF">
        <w:rPr>
          <w:rFonts w:ascii="Cambria Math" w:hAnsi="Cambria Math" w:cs="Cambria Math"/>
        </w:rPr>
        <w:t>‑</w:t>
      </w:r>
      <w:r w:rsidRPr="003C1EDF">
        <w:rPr>
          <w:rFonts w:ascii="Arial" w:hAnsi="Arial" w:cs="Arial"/>
        </w:rPr>
        <w:t xml:space="preserve">text responses in the additional comments field. These comments provided richer colour on the lived experience behind the indices. Many respondents used this space to reinforce strengths around teamwork, operational discipline and leadership accessibility. Others highlighted recurring pain points, particularly around communication cadence, visibility of progression and perceived inconsistency in how policies are applied across </w:t>
      </w:r>
      <w:r>
        <w:rPr>
          <w:rFonts w:ascii="Arial" w:hAnsi="Arial" w:cs="Arial"/>
        </w:rPr>
        <w:t>verticals</w:t>
      </w:r>
      <w:r w:rsidRPr="003C1EDF">
        <w:rPr>
          <w:rFonts w:ascii="Arial" w:hAnsi="Arial" w:cs="Arial"/>
        </w:rPr>
        <w:t>.</w:t>
      </w:r>
    </w:p>
    <w:p w14:paraId="48C39B9F" w14:textId="77777777" w:rsidR="00185BCF" w:rsidRPr="003C1EDF" w:rsidRDefault="00185BCF" w:rsidP="00185BCF">
      <w:pPr>
        <w:jc w:val="both"/>
        <w:rPr>
          <w:rFonts w:ascii="Arial" w:hAnsi="Arial" w:cs="Arial"/>
        </w:rPr>
      </w:pPr>
    </w:p>
    <w:p w14:paraId="1335EE5E" w14:textId="77777777" w:rsidR="00185BCF" w:rsidRDefault="00185BCF" w:rsidP="00185BCF">
      <w:pPr>
        <w:jc w:val="both"/>
        <w:rPr>
          <w:rFonts w:ascii="Arial" w:hAnsi="Arial" w:cs="Arial"/>
        </w:rPr>
      </w:pPr>
      <w:r w:rsidRPr="355EFD67">
        <w:rPr>
          <w:rFonts w:ascii="Arial" w:hAnsi="Arial" w:cs="Arial"/>
        </w:rPr>
        <w:t>A</w:t>
      </w:r>
      <w:r>
        <w:rPr>
          <w:rFonts w:ascii="Arial" w:hAnsi="Arial" w:cs="Arial"/>
        </w:rPr>
        <w:t xml:space="preserve"> </w:t>
      </w:r>
      <w:r w:rsidRPr="009515F2">
        <w:rPr>
          <w:rFonts w:ascii="Arial" w:hAnsi="Arial" w:cs="Arial"/>
        </w:rPr>
        <w:t>Free</w:t>
      </w:r>
      <w:r w:rsidRPr="009515F2">
        <w:rPr>
          <w:rFonts w:ascii="Cambria Math" w:hAnsi="Cambria Math" w:cs="Cambria Math"/>
        </w:rPr>
        <w:t>‑</w:t>
      </w:r>
      <w:r w:rsidRPr="009515F2">
        <w:rPr>
          <w:rFonts w:ascii="Arial" w:hAnsi="Arial" w:cs="Arial"/>
        </w:rPr>
        <w:t>text survey comments and post</w:t>
      </w:r>
      <w:r w:rsidRPr="009515F2">
        <w:rPr>
          <w:rFonts w:ascii="Cambria Math" w:hAnsi="Cambria Math" w:cs="Cambria Math"/>
        </w:rPr>
        <w:t>‑</w:t>
      </w:r>
      <w:r w:rsidRPr="009515F2">
        <w:rPr>
          <w:rFonts w:ascii="Arial" w:hAnsi="Arial" w:cs="Arial"/>
        </w:rPr>
        <w:t>survey discussions added nuance beyond mean scores, reinforcing patterns on teamwork, motivation and flexibility. However, as an insider researcher and Managing Director, I acknowledge risks of power dynamics, social desirability and inhibited disclosure. To mitigate this, participation was voluntary, survey responses were anonymised</w:t>
      </w:r>
      <w:r>
        <w:rPr>
          <w:rFonts w:ascii="Arial" w:hAnsi="Arial" w:cs="Arial"/>
        </w:rPr>
        <w:t xml:space="preserve"> </w:t>
      </w:r>
      <w:r w:rsidRPr="009515F2">
        <w:rPr>
          <w:rFonts w:ascii="Arial" w:hAnsi="Arial" w:cs="Arial"/>
        </w:rPr>
        <w:t>and discussion outputs were reported only in aggregated, non</w:t>
      </w:r>
      <w:r w:rsidRPr="009515F2">
        <w:rPr>
          <w:rFonts w:ascii="Cambria Math" w:hAnsi="Cambria Math" w:cs="Cambria Math"/>
        </w:rPr>
        <w:t>‑</w:t>
      </w:r>
      <w:r w:rsidRPr="009515F2">
        <w:rPr>
          <w:rFonts w:ascii="Arial" w:hAnsi="Arial" w:cs="Arial"/>
        </w:rPr>
        <w:t>attributable form. A subset of respondents raised concerns about favouritism, unfair overtime/opportunity allocation and alleged informal payments. These accounts are one</w:t>
      </w:r>
      <w:r w:rsidRPr="009515F2">
        <w:rPr>
          <w:rFonts w:ascii="Cambria Math" w:hAnsi="Cambria Math" w:cs="Cambria Math"/>
        </w:rPr>
        <w:t>‑</w:t>
      </w:r>
      <w:r w:rsidRPr="009515F2">
        <w:rPr>
          <w:rFonts w:ascii="Arial" w:hAnsi="Arial" w:cs="Arial"/>
        </w:rPr>
        <w:t>sided and unverified, but their recurrence suggests a potential integrity risk affecting culture and psychological safety (Berger, 2015; Brannick and Coghlan, 2007; Schein, 2017)</w:t>
      </w:r>
      <w:r>
        <w:rPr>
          <w:rFonts w:ascii="Arial" w:hAnsi="Arial" w:cs="Arial"/>
        </w:rPr>
        <w:t>.</w:t>
      </w:r>
    </w:p>
    <w:p w14:paraId="17064A31" w14:textId="77777777" w:rsidR="00185BCF" w:rsidRDefault="00185BCF" w:rsidP="00185BCF">
      <w:pPr>
        <w:jc w:val="both"/>
        <w:rPr>
          <w:rFonts w:ascii="Arial" w:hAnsi="Arial" w:cs="Arial"/>
        </w:rPr>
      </w:pPr>
      <w:r>
        <w:rPr>
          <w:rFonts w:ascii="Arial" w:hAnsi="Arial" w:cs="Arial"/>
        </w:rPr>
        <w:t xml:space="preserve"> </w:t>
      </w:r>
    </w:p>
    <w:p w14:paraId="6758FC8F" w14:textId="77777777" w:rsidR="00185BCF" w:rsidRPr="003C1EDF" w:rsidRDefault="00185BCF" w:rsidP="00185BCF">
      <w:pPr>
        <w:jc w:val="both"/>
        <w:rPr>
          <w:rFonts w:ascii="Arial" w:hAnsi="Arial" w:cs="Arial"/>
        </w:rPr>
      </w:pPr>
      <w:r w:rsidRPr="003C1EDF">
        <w:rPr>
          <w:rFonts w:ascii="Arial" w:hAnsi="Arial" w:cs="Arial"/>
        </w:rPr>
        <w:t>Several employees also described a reluctance to speak up formally because they doubted that issues would be addressed or feared negative consequences, which helps explain relatively modest scores on ERC awareness and effectiveness.</w:t>
      </w:r>
    </w:p>
    <w:p w14:paraId="5BDDF415" w14:textId="77777777" w:rsidR="00185BCF" w:rsidRPr="003C1EDF" w:rsidRDefault="00185BCF" w:rsidP="00185BCF">
      <w:pPr>
        <w:jc w:val="both"/>
        <w:rPr>
          <w:rFonts w:ascii="Arial" w:hAnsi="Arial" w:cs="Arial"/>
        </w:rPr>
      </w:pPr>
    </w:p>
    <w:p w14:paraId="6CE9A650" w14:textId="77777777" w:rsidR="00185BCF" w:rsidRDefault="00185BCF" w:rsidP="00185BCF">
      <w:pPr>
        <w:jc w:val="both"/>
        <w:rPr>
          <w:rFonts w:ascii="Arial" w:hAnsi="Arial" w:cs="Arial"/>
        </w:rPr>
      </w:pPr>
      <w:r w:rsidRPr="003C1EDF">
        <w:rPr>
          <w:rFonts w:ascii="Arial" w:hAnsi="Arial" w:cs="Arial"/>
        </w:rPr>
        <w:t xml:space="preserve">A smaller but important subset of comments raised more serious integrity concerns. Several respondents and group session members alleged that supervisors in specific branches were requesting informal payments from guards for deployment opportunities. They further alleged that recruitment into the company and some sites is influenced by personal connections and bribes rather than transparent criteria. These comments are consistent with quantitative signals from the dedicated bribery item and represent a material cultural and compliance risk, even if not all allegations can be independently verified from survey data alone. In response, the company followed </w:t>
      </w:r>
      <w:r>
        <w:rPr>
          <w:rFonts w:ascii="Arial" w:hAnsi="Arial" w:cs="Arial"/>
        </w:rPr>
        <w:t xml:space="preserve">the </w:t>
      </w:r>
      <w:r w:rsidRPr="003C1EDF">
        <w:rPr>
          <w:rFonts w:ascii="Arial" w:hAnsi="Arial" w:cs="Arial"/>
        </w:rPr>
        <w:t>HR policy</w:t>
      </w:r>
      <w:r>
        <w:rPr>
          <w:rFonts w:ascii="Arial" w:hAnsi="Arial" w:cs="Arial"/>
        </w:rPr>
        <w:t xml:space="preserve"> </w:t>
      </w:r>
      <w:r w:rsidRPr="003C1EDF">
        <w:rPr>
          <w:rFonts w:ascii="Arial" w:hAnsi="Arial" w:cs="Arial"/>
        </w:rPr>
        <w:t>and two staff members were terminated for gross misconduct.</w:t>
      </w:r>
    </w:p>
    <w:p w14:paraId="5A9E3F5A" w14:textId="77777777" w:rsidR="00185BCF" w:rsidRDefault="00185BCF" w:rsidP="00185BCF">
      <w:pPr>
        <w:jc w:val="both"/>
        <w:rPr>
          <w:rFonts w:ascii="Arial" w:hAnsi="Arial" w:cs="Arial"/>
        </w:rPr>
      </w:pPr>
    </w:p>
    <w:p w14:paraId="03F135F1" w14:textId="77777777" w:rsidR="00185BCF" w:rsidRPr="008A13E0" w:rsidRDefault="00185BCF" w:rsidP="00185BCF">
      <w:pPr>
        <w:jc w:val="both"/>
        <w:rPr>
          <w:rFonts w:ascii="Arial" w:hAnsi="Arial" w:cs="Arial"/>
        </w:rPr>
      </w:pPr>
      <w:r w:rsidRPr="355EFD67">
        <w:rPr>
          <w:rFonts w:ascii="Arial" w:hAnsi="Arial" w:cs="Arial"/>
        </w:rPr>
        <w:t>To manage this ethically, the inside</w:t>
      </w:r>
      <w:r>
        <w:rPr>
          <w:rFonts w:ascii="Arial" w:hAnsi="Arial" w:cs="Arial"/>
        </w:rPr>
        <w:t>r</w:t>
      </w:r>
      <w:r w:rsidRPr="355EFD67">
        <w:rPr>
          <w:rFonts w:ascii="Arial" w:hAnsi="Arial" w:cs="Arial"/>
        </w:rPr>
        <w:t xml:space="preserve"> researcher anonymised all examples in this report and separately from the analysis, shared a high-level summary of concerns with the HR department, so that follow-up could be coordinated without exposing individual respondents.</w:t>
      </w:r>
    </w:p>
    <w:p w14:paraId="57AF14A6" w14:textId="77777777" w:rsidR="00185BCF" w:rsidRDefault="00185BCF" w:rsidP="00185BCF">
      <w:pPr>
        <w:jc w:val="both"/>
        <w:rPr>
          <w:rFonts w:ascii="Arial" w:hAnsi="Arial" w:cs="Arial"/>
        </w:rPr>
      </w:pPr>
    </w:p>
    <w:p w14:paraId="72B803B0" w14:textId="77777777" w:rsidR="00185BCF" w:rsidRDefault="00185BCF" w:rsidP="00185BCF">
      <w:pPr>
        <w:jc w:val="both"/>
        <w:rPr>
          <w:rFonts w:ascii="Arial" w:hAnsi="Arial" w:cs="Arial"/>
        </w:rPr>
      </w:pPr>
    </w:p>
    <w:p w14:paraId="1872598C" w14:textId="77777777" w:rsidR="00185BCF" w:rsidRDefault="00185BCF" w:rsidP="00185BCF">
      <w:pPr>
        <w:jc w:val="both"/>
        <w:rPr>
          <w:rFonts w:ascii="Arial" w:hAnsi="Arial" w:cs="Arial"/>
        </w:rPr>
      </w:pPr>
    </w:p>
    <w:p w14:paraId="75E204D5" w14:textId="77777777" w:rsidR="00185BCF" w:rsidRDefault="00185BCF" w:rsidP="00185BCF">
      <w:pPr>
        <w:jc w:val="both"/>
        <w:rPr>
          <w:rFonts w:ascii="Arial" w:hAnsi="Arial" w:cs="Arial"/>
        </w:rPr>
      </w:pPr>
    </w:p>
    <w:p w14:paraId="7AE04953" w14:textId="77777777" w:rsidR="00185BCF" w:rsidRDefault="00185BCF" w:rsidP="00185BCF">
      <w:pPr>
        <w:jc w:val="both"/>
        <w:rPr>
          <w:rFonts w:ascii="Arial" w:hAnsi="Arial" w:cs="Arial"/>
        </w:rPr>
      </w:pPr>
    </w:p>
    <w:p w14:paraId="0969EF5D" w14:textId="77777777" w:rsidR="00185BCF" w:rsidRDefault="00185BCF" w:rsidP="00185BCF">
      <w:pPr>
        <w:jc w:val="both"/>
        <w:rPr>
          <w:rFonts w:ascii="Arial" w:hAnsi="Arial" w:cs="Arial"/>
        </w:rPr>
      </w:pPr>
    </w:p>
    <w:p w14:paraId="40108027" w14:textId="77777777" w:rsidR="00185BCF" w:rsidRDefault="00185BCF" w:rsidP="00185BCF">
      <w:pPr>
        <w:jc w:val="both"/>
        <w:rPr>
          <w:rFonts w:ascii="Arial" w:hAnsi="Arial" w:cs="Arial"/>
        </w:rPr>
      </w:pPr>
    </w:p>
    <w:p w14:paraId="541128F1" w14:textId="77777777" w:rsidR="00185BCF" w:rsidRDefault="00185BCF" w:rsidP="00185BCF">
      <w:pPr>
        <w:jc w:val="both"/>
        <w:rPr>
          <w:rFonts w:ascii="Arial" w:hAnsi="Arial" w:cs="Arial"/>
        </w:rPr>
      </w:pPr>
    </w:p>
    <w:p w14:paraId="315C780C" w14:textId="77777777" w:rsidR="00185BCF" w:rsidRDefault="00185BCF" w:rsidP="00185BCF">
      <w:pPr>
        <w:jc w:val="both"/>
        <w:rPr>
          <w:rFonts w:ascii="Arial" w:hAnsi="Arial" w:cs="Arial"/>
        </w:rPr>
      </w:pPr>
    </w:p>
    <w:p w14:paraId="43763DAD" w14:textId="77777777" w:rsidR="00185BCF" w:rsidRDefault="00185BCF" w:rsidP="00185BCF">
      <w:pPr>
        <w:jc w:val="both"/>
        <w:rPr>
          <w:rFonts w:ascii="Arial" w:hAnsi="Arial" w:cs="Arial"/>
        </w:rPr>
      </w:pPr>
    </w:p>
    <w:p w14:paraId="2A28DD1B" w14:textId="77777777" w:rsidR="00185BCF" w:rsidRPr="00DE065C" w:rsidRDefault="00185BCF" w:rsidP="00185BCF">
      <w:pPr>
        <w:jc w:val="both"/>
        <w:rPr>
          <w:rFonts w:ascii="Arial" w:hAnsi="Arial" w:cs="Arial"/>
          <w:b/>
          <w:bCs/>
        </w:rPr>
      </w:pPr>
      <w:r w:rsidRPr="00DE065C">
        <w:rPr>
          <w:rFonts w:ascii="Arial" w:hAnsi="Arial" w:cs="Arial"/>
          <w:b/>
          <w:bCs/>
        </w:rPr>
        <w:lastRenderedPageBreak/>
        <w:t>Visual Insights</w:t>
      </w:r>
    </w:p>
    <w:p w14:paraId="7CB724AE" w14:textId="77777777" w:rsidR="00185BCF" w:rsidRDefault="00185BCF" w:rsidP="00185BCF">
      <w:pPr>
        <w:jc w:val="both"/>
        <w:rPr>
          <w:rFonts w:ascii="Arial" w:hAnsi="Arial" w:cs="Arial"/>
        </w:rPr>
      </w:pPr>
      <w:r w:rsidRPr="00715F3B">
        <w:rPr>
          <w:rFonts w:ascii="Arial" w:hAnsi="Arial" w:cs="Arial"/>
        </w:rPr>
        <w:t>The following visuals summarise overall performance</w:t>
      </w:r>
    </w:p>
    <w:p w14:paraId="1907192E" w14:textId="77777777" w:rsidR="00185BCF" w:rsidRDefault="00185BCF" w:rsidP="00185BCF">
      <w:pPr>
        <w:jc w:val="both"/>
        <w:rPr>
          <w:rFonts w:ascii="Arial" w:hAnsi="Arial" w:cs="Arial"/>
        </w:rPr>
      </w:pPr>
    </w:p>
    <w:p w14:paraId="405DB7D4" w14:textId="77777777" w:rsidR="00185BCF" w:rsidRDefault="00185BCF" w:rsidP="00185BCF">
      <w:pPr>
        <w:jc w:val="both"/>
        <w:rPr>
          <w:rFonts w:ascii="Arial" w:hAnsi="Arial" w:cs="Arial"/>
        </w:rPr>
      </w:pPr>
      <w:r w:rsidRPr="00B8297B">
        <w:rPr>
          <w:rFonts w:ascii="Arial" w:hAnsi="Arial" w:cs="Arial"/>
          <w:b/>
          <w:bCs/>
        </w:rPr>
        <w:t>Figure 2.</w:t>
      </w:r>
      <w:r w:rsidRPr="0024408F">
        <w:rPr>
          <w:rFonts w:ascii="Arial" w:hAnsi="Arial" w:cs="Arial"/>
        </w:rPr>
        <w:t xml:space="preserve"> Percentage of employees in each vertical indicating a favourable recommendation of Tribus</w:t>
      </w:r>
      <w:r>
        <w:rPr>
          <w:rFonts w:ascii="Arial" w:hAnsi="Arial" w:cs="Arial"/>
        </w:rPr>
        <w:t>-</w:t>
      </w:r>
      <w:r w:rsidRPr="0024408F">
        <w:rPr>
          <w:rFonts w:ascii="Arial" w:hAnsi="Arial" w:cs="Arial"/>
        </w:rPr>
        <w:t>TSG (responses "Likely" or "Most likely").</w:t>
      </w:r>
    </w:p>
    <w:p w14:paraId="666209BE" w14:textId="77777777" w:rsidR="00185BCF" w:rsidRDefault="00185BCF" w:rsidP="00185BCF">
      <w:pPr>
        <w:jc w:val="both"/>
        <w:rPr>
          <w:rFonts w:ascii="Arial" w:hAnsi="Arial" w:cs="Arial"/>
        </w:rPr>
      </w:pPr>
      <w:r>
        <w:rPr>
          <w:noProof/>
        </w:rPr>
        <w:drawing>
          <wp:anchor distT="0" distB="0" distL="114300" distR="114300" simplePos="0" relativeHeight="251663360" behindDoc="0" locked="0" layoutInCell="1" allowOverlap="1" wp14:anchorId="70C17110" wp14:editId="49094A76">
            <wp:simplePos x="0" y="0"/>
            <wp:positionH relativeFrom="column">
              <wp:posOffset>-85060</wp:posOffset>
            </wp:positionH>
            <wp:positionV relativeFrom="paragraph">
              <wp:posOffset>117401</wp:posOffset>
            </wp:positionV>
            <wp:extent cx="5849620" cy="3723640"/>
            <wp:effectExtent l="0" t="0" r="5080" b="0"/>
            <wp:wrapNone/>
            <wp:docPr id="3" name="Picture 3"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of a number of peopl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49620" cy="3723640"/>
                    </a:xfrm>
                    <a:prstGeom prst="rect">
                      <a:avLst/>
                    </a:prstGeom>
                  </pic:spPr>
                </pic:pic>
              </a:graphicData>
            </a:graphic>
            <wp14:sizeRelH relativeFrom="page">
              <wp14:pctWidth>0</wp14:pctWidth>
            </wp14:sizeRelH>
            <wp14:sizeRelV relativeFrom="page">
              <wp14:pctHeight>0</wp14:pctHeight>
            </wp14:sizeRelV>
          </wp:anchor>
        </w:drawing>
      </w:r>
    </w:p>
    <w:p w14:paraId="5A1CB409" w14:textId="77777777" w:rsidR="00185BCF" w:rsidRDefault="00185BCF" w:rsidP="00185BCF">
      <w:pPr>
        <w:jc w:val="both"/>
        <w:rPr>
          <w:rFonts w:ascii="Arial" w:hAnsi="Arial" w:cs="Arial"/>
        </w:rPr>
      </w:pPr>
    </w:p>
    <w:p w14:paraId="1A339A55" w14:textId="77777777" w:rsidR="00185BCF" w:rsidRDefault="00185BCF" w:rsidP="00185BCF">
      <w:pPr>
        <w:jc w:val="both"/>
        <w:rPr>
          <w:rFonts w:ascii="Arial" w:hAnsi="Arial" w:cs="Arial"/>
        </w:rPr>
      </w:pPr>
    </w:p>
    <w:p w14:paraId="48B47948" w14:textId="77777777" w:rsidR="00185BCF" w:rsidRDefault="00185BCF" w:rsidP="00185BCF">
      <w:pPr>
        <w:jc w:val="both"/>
        <w:rPr>
          <w:rFonts w:ascii="Arial" w:hAnsi="Arial" w:cs="Arial"/>
        </w:rPr>
      </w:pPr>
    </w:p>
    <w:p w14:paraId="4E9DA728" w14:textId="77777777" w:rsidR="00185BCF" w:rsidRDefault="00185BCF" w:rsidP="00185BCF">
      <w:pPr>
        <w:jc w:val="both"/>
        <w:rPr>
          <w:rFonts w:ascii="Arial" w:hAnsi="Arial" w:cs="Arial"/>
        </w:rPr>
      </w:pPr>
    </w:p>
    <w:p w14:paraId="112287DF" w14:textId="77777777" w:rsidR="00185BCF" w:rsidRDefault="00185BCF" w:rsidP="00185BCF">
      <w:pPr>
        <w:jc w:val="both"/>
        <w:rPr>
          <w:rFonts w:ascii="Arial" w:hAnsi="Arial" w:cs="Arial"/>
        </w:rPr>
      </w:pPr>
    </w:p>
    <w:p w14:paraId="74C31D6C" w14:textId="77777777" w:rsidR="00185BCF" w:rsidRDefault="00185BCF" w:rsidP="00185BCF">
      <w:pPr>
        <w:jc w:val="both"/>
        <w:rPr>
          <w:rFonts w:ascii="Arial" w:hAnsi="Arial" w:cs="Arial"/>
        </w:rPr>
      </w:pPr>
    </w:p>
    <w:p w14:paraId="7C4CA6E6" w14:textId="77777777" w:rsidR="00185BCF" w:rsidRDefault="00185BCF" w:rsidP="00185BCF">
      <w:pPr>
        <w:jc w:val="both"/>
        <w:rPr>
          <w:rFonts w:ascii="Arial" w:hAnsi="Arial" w:cs="Arial"/>
        </w:rPr>
      </w:pPr>
    </w:p>
    <w:p w14:paraId="23ABD0B3" w14:textId="77777777" w:rsidR="00185BCF" w:rsidRDefault="00185BCF" w:rsidP="00185BCF">
      <w:pPr>
        <w:jc w:val="both"/>
        <w:rPr>
          <w:rFonts w:ascii="Arial" w:hAnsi="Arial" w:cs="Arial"/>
        </w:rPr>
      </w:pPr>
    </w:p>
    <w:p w14:paraId="11722258" w14:textId="77777777" w:rsidR="00185BCF" w:rsidRDefault="00185BCF" w:rsidP="00185BCF">
      <w:pPr>
        <w:jc w:val="both"/>
        <w:rPr>
          <w:rFonts w:ascii="Arial" w:hAnsi="Arial" w:cs="Arial"/>
        </w:rPr>
      </w:pPr>
    </w:p>
    <w:p w14:paraId="629C501A" w14:textId="77777777" w:rsidR="00185BCF" w:rsidRDefault="00185BCF" w:rsidP="00185BCF">
      <w:pPr>
        <w:jc w:val="both"/>
        <w:rPr>
          <w:rFonts w:ascii="Arial" w:hAnsi="Arial" w:cs="Arial"/>
        </w:rPr>
      </w:pPr>
    </w:p>
    <w:p w14:paraId="21B9CFE3" w14:textId="77777777" w:rsidR="00185BCF" w:rsidRDefault="00185BCF" w:rsidP="00185BCF">
      <w:pPr>
        <w:jc w:val="both"/>
        <w:rPr>
          <w:rFonts w:ascii="Arial" w:hAnsi="Arial" w:cs="Arial"/>
        </w:rPr>
      </w:pPr>
    </w:p>
    <w:p w14:paraId="7068F427" w14:textId="77777777" w:rsidR="00185BCF" w:rsidRDefault="00185BCF" w:rsidP="00185BCF">
      <w:pPr>
        <w:jc w:val="both"/>
        <w:rPr>
          <w:rFonts w:ascii="Arial" w:hAnsi="Arial" w:cs="Arial"/>
        </w:rPr>
      </w:pPr>
    </w:p>
    <w:p w14:paraId="056B8152" w14:textId="77777777" w:rsidR="00185BCF" w:rsidRDefault="00185BCF" w:rsidP="00185BCF">
      <w:pPr>
        <w:jc w:val="both"/>
        <w:rPr>
          <w:rFonts w:ascii="Arial" w:hAnsi="Arial" w:cs="Arial"/>
        </w:rPr>
      </w:pPr>
    </w:p>
    <w:p w14:paraId="084CD1BA" w14:textId="77777777" w:rsidR="00185BCF" w:rsidRDefault="00185BCF" w:rsidP="00185BCF">
      <w:pPr>
        <w:jc w:val="both"/>
        <w:rPr>
          <w:rFonts w:ascii="Arial" w:hAnsi="Arial" w:cs="Arial"/>
        </w:rPr>
      </w:pPr>
    </w:p>
    <w:p w14:paraId="0616831F" w14:textId="77777777" w:rsidR="00185BCF" w:rsidRDefault="00185BCF" w:rsidP="00185BCF">
      <w:pPr>
        <w:jc w:val="both"/>
        <w:rPr>
          <w:rFonts w:ascii="Arial" w:hAnsi="Arial" w:cs="Arial"/>
        </w:rPr>
      </w:pPr>
    </w:p>
    <w:p w14:paraId="28B0F8BB" w14:textId="77777777" w:rsidR="00185BCF" w:rsidRDefault="00185BCF" w:rsidP="00185BCF">
      <w:pPr>
        <w:jc w:val="both"/>
        <w:rPr>
          <w:rFonts w:ascii="Arial" w:hAnsi="Arial" w:cs="Arial"/>
        </w:rPr>
      </w:pPr>
    </w:p>
    <w:p w14:paraId="2842E7D1" w14:textId="77777777" w:rsidR="00185BCF" w:rsidRDefault="00185BCF" w:rsidP="00185BCF">
      <w:pPr>
        <w:jc w:val="both"/>
        <w:rPr>
          <w:rFonts w:ascii="Arial" w:hAnsi="Arial" w:cs="Arial"/>
        </w:rPr>
      </w:pPr>
    </w:p>
    <w:p w14:paraId="29C3F426" w14:textId="77777777" w:rsidR="00185BCF" w:rsidRDefault="00185BCF" w:rsidP="00185BCF">
      <w:pPr>
        <w:jc w:val="both"/>
        <w:rPr>
          <w:rFonts w:ascii="Arial" w:hAnsi="Arial" w:cs="Arial"/>
        </w:rPr>
      </w:pPr>
    </w:p>
    <w:p w14:paraId="5D7A2A9F" w14:textId="77777777" w:rsidR="00185BCF" w:rsidRDefault="00185BCF" w:rsidP="00185BCF">
      <w:pPr>
        <w:jc w:val="both"/>
        <w:rPr>
          <w:rFonts w:ascii="Arial" w:hAnsi="Arial" w:cs="Arial"/>
        </w:rPr>
      </w:pPr>
    </w:p>
    <w:p w14:paraId="32C20747" w14:textId="77777777" w:rsidR="00185BCF" w:rsidRDefault="00185BCF" w:rsidP="00185BCF">
      <w:pPr>
        <w:jc w:val="both"/>
        <w:rPr>
          <w:rFonts w:ascii="Arial" w:hAnsi="Arial" w:cs="Arial"/>
        </w:rPr>
      </w:pPr>
    </w:p>
    <w:p w14:paraId="589E0FC0" w14:textId="77777777" w:rsidR="00185BCF" w:rsidRDefault="00185BCF" w:rsidP="00185BCF">
      <w:pPr>
        <w:jc w:val="both"/>
        <w:rPr>
          <w:rFonts w:ascii="Arial" w:hAnsi="Arial" w:cs="Arial"/>
        </w:rPr>
      </w:pPr>
    </w:p>
    <w:p w14:paraId="42CF143D" w14:textId="77777777" w:rsidR="00185BCF" w:rsidRPr="00B8297B" w:rsidRDefault="00185BCF" w:rsidP="00185BCF">
      <w:pPr>
        <w:jc w:val="both"/>
        <w:rPr>
          <w:rFonts w:ascii="Arial" w:hAnsi="Arial" w:cs="Arial"/>
          <w:b/>
          <w:bCs/>
        </w:rPr>
      </w:pPr>
      <w:r w:rsidRPr="00B8297B">
        <w:rPr>
          <w:b/>
          <w:bCs/>
          <w:noProof/>
        </w:rPr>
        <w:drawing>
          <wp:anchor distT="0" distB="0" distL="114300" distR="114300" simplePos="0" relativeHeight="251662336" behindDoc="0" locked="0" layoutInCell="1" allowOverlap="1" wp14:anchorId="5BC2A41E" wp14:editId="551F0517">
            <wp:simplePos x="0" y="0"/>
            <wp:positionH relativeFrom="column">
              <wp:posOffset>-83127</wp:posOffset>
            </wp:positionH>
            <wp:positionV relativeFrom="paragraph">
              <wp:posOffset>222654</wp:posOffset>
            </wp:positionV>
            <wp:extent cx="5849620" cy="4128655"/>
            <wp:effectExtent l="0" t="0" r="5080" b="0"/>
            <wp:wrapNone/>
            <wp:docPr id="8" name="Picture 8"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aph of different colored bars&#10;&#10;AI-generated content may be incorrect."/>
                    <pic:cNvPicPr/>
                  </pic:nvPicPr>
                  <pic:blipFill rotWithShape="1">
                    <a:blip r:embed="rId13" cstate="print">
                      <a:extLst>
                        <a:ext uri="{28A0092B-C50C-407E-A947-70E740481C1C}">
                          <a14:useLocalDpi xmlns:a14="http://schemas.microsoft.com/office/drawing/2010/main" val="0"/>
                        </a:ext>
                      </a:extLst>
                    </a:blip>
                    <a:srcRect r="3477"/>
                    <a:stretch>
                      <a:fillRect/>
                    </a:stretch>
                  </pic:blipFill>
                  <pic:spPr bwMode="auto">
                    <a:xfrm>
                      <a:off x="0" y="0"/>
                      <a:ext cx="5849620" cy="4128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8297B">
        <w:rPr>
          <w:rFonts w:ascii="Arial" w:hAnsi="Arial" w:cs="Arial"/>
          <w:b/>
          <w:bCs/>
        </w:rPr>
        <w:t>Figure 3: Composite Indices by vertical</w:t>
      </w:r>
    </w:p>
    <w:p w14:paraId="1D4839AF" w14:textId="77777777" w:rsidR="00185BCF" w:rsidRDefault="00185BCF" w:rsidP="00185BCF">
      <w:pPr>
        <w:jc w:val="both"/>
        <w:rPr>
          <w:rFonts w:ascii="Arial" w:hAnsi="Arial" w:cs="Arial"/>
        </w:rPr>
      </w:pPr>
    </w:p>
    <w:p w14:paraId="76D9BA06" w14:textId="77777777" w:rsidR="00185BCF" w:rsidRDefault="00185BCF" w:rsidP="00185BCF">
      <w:pPr>
        <w:jc w:val="both"/>
        <w:rPr>
          <w:rFonts w:ascii="Arial" w:hAnsi="Arial" w:cs="Arial"/>
        </w:rPr>
      </w:pPr>
    </w:p>
    <w:p w14:paraId="19C27503" w14:textId="77777777" w:rsidR="00185BCF" w:rsidRDefault="00185BCF" w:rsidP="00185BCF">
      <w:pPr>
        <w:jc w:val="both"/>
        <w:rPr>
          <w:rFonts w:ascii="Arial" w:hAnsi="Arial" w:cs="Arial"/>
        </w:rPr>
      </w:pPr>
    </w:p>
    <w:p w14:paraId="540FBF3E" w14:textId="77777777" w:rsidR="00185BCF" w:rsidRDefault="00185BCF" w:rsidP="00185BCF">
      <w:pPr>
        <w:jc w:val="both"/>
        <w:rPr>
          <w:rFonts w:ascii="Arial" w:hAnsi="Arial" w:cs="Arial"/>
        </w:rPr>
      </w:pPr>
    </w:p>
    <w:p w14:paraId="7B288E7A" w14:textId="77777777" w:rsidR="00185BCF" w:rsidRDefault="00185BCF" w:rsidP="00185BCF">
      <w:pPr>
        <w:jc w:val="both"/>
        <w:rPr>
          <w:rFonts w:ascii="Arial" w:hAnsi="Arial" w:cs="Arial"/>
        </w:rPr>
      </w:pPr>
    </w:p>
    <w:p w14:paraId="5DEEE02B" w14:textId="77777777" w:rsidR="00185BCF" w:rsidRDefault="00185BCF" w:rsidP="00185BCF">
      <w:pPr>
        <w:jc w:val="both"/>
        <w:rPr>
          <w:rFonts w:ascii="Arial" w:hAnsi="Arial" w:cs="Arial"/>
        </w:rPr>
      </w:pPr>
    </w:p>
    <w:p w14:paraId="301AC995" w14:textId="77777777" w:rsidR="00185BCF" w:rsidRDefault="00185BCF" w:rsidP="00185BCF">
      <w:pPr>
        <w:jc w:val="both"/>
        <w:rPr>
          <w:rFonts w:ascii="Arial" w:hAnsi="Arial" w:cs="Arial"/>
        </w:rPr>
      </w:pPr>
    </w:p>
    <w:p w14:paraId="0EB42B8E" w14:textId="77777777" w:rsidR="00185BCF" w:rsidRDefault="00185BCF" w:rsidP="00185BCF">
      <w:pPr>
        <w:jc w:val="both"/>
        <w:rPr>
          <w:rFonts w:ascii="Arial" w:hAnsi="Arial" w:cs="Arial"/>
        </w:rPr>
      </w:pPr>
    </w:p>
    <w:p w14:paraId="30F79292" w14:textId="77777777" w:rsidR="00185BCF" w:rsidRDefault="00185BCF" w:rsidP="00185BCF">
      <w:pPr>
        <w:jc w:val="both"/>
        <w:rPr>
          <w:rFonts w:ascii="Arial" w:hAnsi="Arial" w:cs="Arial"/>
        </w:rPr>
      </w:pPr>
    </w:p>
    <w:p w14:paraId="24BEB66B" w14:textId="77777777" w:rsidR="00185BCF" w:rsidRDefault="00185BCF" w:rsidP="00185BCF">
      <w:pPr>
        <w:jc w:val="both"/>
        <w:rPr>
          <w:rFonts w:ascii="Arial" w:hAnsi="Arial" w:cs="Arial"/>
        </w:rPr>
      </w:pPr>
    </w:p>
    <w:p w14:paraId="4368F65F" w14:textId="77777777" w:rsidR="00185BCF" w:rsidRDefault="00185BCF" w:rsidP="00185BCF">
      <w:pPr>
        <w:jc w:val="both"/>
        <w:rPr>
          <w:rFonts w:ascii="Arial" w:hAnsi="Arial" w:cs="Arial"/>
        </w:rPr>
      </w:pPr>
    </w:p>
    <w:p w14:paraId="2CC069A3" w14:textId="77777777" w:rsidR="00185BCF" w:rsidRDefault="00185BCF" w:rsidP="00185BCF">
      <w:pPr>
        <w:jc w:val="both"/>
        <w:rPr>
          <w:rFonts w:ascii="Arial" w:hAnsi="Arial" w:cs="Arial"/>
        </w:rPr>
      </w:pPr>
    </w:p>
    <w:p w14:paraId="6CA164DC" w14:textId="77777777" w:rsidR="00185BCF" w:rsidRDefault="00185BCF" w:rsidP="00185BCF">
      <w:pPr>
        <w:jc w:val="both"/>
        <w:rPr>
          <w:rFonts w:ascii="Arial" w:hAnsi="Arial" w:cs="Arial"/>
        </w:rPr>
      </w:pPr>
    </w:p>
    <w:p w14:paraId="06A7332D" w14:textId="77777777" w:rsidR="00185BCF" w:rsidRDefault="00185BCF" w:rsidP="00185BCF">
      <w:pPr>
        <w:jc w:val="both"/>
        <w:rPr>
          <w:rFonts w:ascii="Arial" w:hAnsi="Arial" w:cs="Arial"/>
        </w:rPr>
      </w:pPr>
    </w:p>
    <w:p w14:paraId="57630483" w14:textId="77777777" w:rsidR="00185BCF" w:rsidRDefault="00185BCF" w:rsidP="00185BCF">
      <w:pPr>
        <w:jc w:val="both"/>
        <w:rPr>
          <w:rFonts w:ascii="Arial" w:hAnsi="Arial" w:cs="Arial"/>
        </w:rPr>
      </w:pPr>
    </w:p>
    <w:p w14:paraId="0CB0F427" w14:textId="77777777" w:rsidR="00185BCF" w:rsidRDefault="00185BCF" w:rsidP="00185BCF">
      <w:pPr>
        <w:jc w:val="both"/>
        <w:rPr>
          <w:rFonts w:ascii="Arial" w:hAnsi="Arial" w:cs="Arial"/>
        </w:rPr>
      </w:pPr>
    </w:p>
    <w:p w14:paraId="7B93387B" w14:textId="77777777" w:rsidR="00185BCF" w:rsidRDefault="00185BCF" w:rsidP="00185BCF">
      <w:pPr>
        <w:jc w:val="both"/>
        <w:rPr>
          <w:rFonts w:ascii="Arial" w:hAnsi="Arial" w:cs="Arial"/>
        </w:rPr>
      </w:pPr>
    </w:p>
    <w:p w14:paraId="59EACF5A" w14:textId="77777777" w:rsidR="00185BCF" w:rsidRDefault="00185BCF" w:rsidP="00185BCF">
      <w:pPr>
        <w:jc w:val="both"/>
        <w:rPr>
          <w:rFonts w:ascii="Arial" w:hAnsi="Arial" w:cs="Arial"/>
        </w:rPr>
      </w:pPr>
    </w:p>
    <w:p w14:paraId="20219586" w14:textId="77777777" w:rsidR="00185BCF" w:rsidRDefault="00185BCF" w:rsidP="00185BCF">
      <w:pPr>
        <w:jc w:val="both"/>
        <w:rPr>
          <w:rFonts w:ascii="Arial" w:hAnsi="Arial" w:cs="Arial"/>
        </w:rPr>
      </w:pPr>
    </w:p>
    <w:p w14:paraId="437209C0" w14:textId="77777777" w:rsidR="00185BCF" w:rsidRDefault="00185BCF" w:rsidP="00185BCF">
      <w:pPr>
        <w:jc w:val="both"/>
        <w:rPr>
          <w:rFonts w:ascii="Arial" w:hAnsi="Arial" w:cs="Arial"/>
        </w:rPr>
      </w:pPr>
    </w:p>
    <w:p w14:paraId="08ECDCF3" w14:textId="77777777" w:rsidR="00185BCF" w:rsidRPr="008A13E0" w:rsidRDefault="00185BCF" w:rsidP="00185BCF">
      <w:pPr>
        <w:jc w:val="both"/>
        <w:rPr>
          <w:rFonts w:ascii="Arial" w:hAnsi="Arial" w:cs="Arial"/>
        </w:rPr>
      </w:pPr>
    </w:p>
    <w:p w14:paraId="01E513B9" w14:textId="77777777" w:rsidR="00185BCF" w:rsidRDefault="00185BCF" w:rsidP="00185BCF">
      <w:pPr>
        <w:jc w:val="both"/>
        <w:rPr>
          <w:rFonts w:ascii="Arial" w:hAnsi="Arial" w:cs="Arial"/>
        </w:rPr>
      </w:pPr>
      <w:r w:rsidRPr="00614A19">
        <w:rPr>
          <w:rFonts w:ascii="Arial" w:hAnsi="Arial" w:cs="Arial"/>
        </w:rPr>
        <w:lastRenderedPageBreak/>
        <w:t>The four indices reflect established retention drivers. Satisfaction captures early socialisation and daily motivation, both associated with turnover intentions. Communication and Voice draws on psychological safety and organisational justice, where perceived fairness and safe speaking-up support effort and staying. Development reflects role clarity and perceived mobility, linked to commitment. However, these are self-reported, overlapping constructs, so findings indicate perceived experience rather than objective practice (Frazier et al., 2017; Colquitt et al., 2013; Jiang and Messersmith, 2018)</w:t>
      </w:r>
      <w:r w:rsidRPr="355EFD67">
        <w:rPr>
          <w:rFonts w:ascii="Arial" w:hAnsi="Arial" w:cs="Arial"/>
        </w:rPr>
        <w:t xml:space="preserve">. </w:t>
      </w:r>
    </w:p>
    <w:p w14:paraId="4C325196" w14:textId="77777777" w:rsidR="00185BCF" w:rsidRDefault="00185BCF" w:rsidP="00185BCF">
      <w:pPr>
        <w:jc w:val="both"/>
        <w:rPr>
          <w:rFonts w:ascii="Arial" w:hAnsi="Arial" w:cs="Arial"/>
        </w:rPr>
      </w:pPr>
    </w:p>
    <w:p w14:paraId="4170B5DF" w14:textId="77777777" w:rsidR="00185BCF" w:rsidRPr="00DF0A29" w:rsidRDefault="00185BCF" w:rsidP="00185BCF">
      <w:pPr>
        <w:jc w:val="both"/>
        <w:rPr>
          <w:rFonts w:ascii="Arial" w:hAnsi="Arial" w:cs="Arial"/>
          <w:b/>
          <w:bCs/>
        </w:rPr>
      </w:pPr>
      <w:r w:rsidRPr="00DF0A29">
        <w:rPr>
          <w:rFonts w:ascii="Arial" w:hAnsi="Arial" w:cs="Arial"/>
          <w:b/>
          <w:bCs/>
        </w:rPr>
        <w:t>Wellbeing &amp; Flexibility</w:t>
      </w:r>
    </w:p>
    <w:p w14:paraId="1BFDF658" w14:textId="77777777" w:rsidR="00185BCF" w:rsidRDefault="00185BCF" w:rsidP="00185BCF">
      <w:pPr>
        <w:jc w:val="both"/>
        <w:rPr>
          <w:rFonts w:ascii="Arial" w:hAnsi="Arial" w:cs="Arial"/>
        </w:rPr>
      </w:pPr>
      <w:r w:rsidRPr="008A2631">
        <w:rPr>
          <w:rFonts w:ascii="Arial" w:hAnsi="Arial" w:cs="Arial"/>
        </w:rPr>
        <w:t>Wellbeing sentiment is generally positive but uneven. This aligns with Social Exchange Theory in that when employees perceive practical supervisor support they tend to reciprocate through higher commitment, motivation and intent to stay (Cropanzano et al., 2017). However, the Tribus findings extend beyond the theory by showing that micro-level, routine managerial behaviours appear to be the mechanism through which support is experienced in high-load, multi-site teams. In particular, “micro-flex” (shift swaps, start/finish windows, task rotation) and simple routines such as weekly workload checks and realistic deadline setting may reduce time pressure more effectively than broad wellbeing policy statements alone, suggesting that consistency of everyday support may matter more than policy visibility for perceived wellbeing and retention.</w:t>
      </w:r>
    </w:p>
    <w:p w14:paraId="78E048A2" w14:textId="77777777" w:rsidR="00185BCF" w:rsidRDefault="00185BCF" w:rsidP="00185BCF">
      <w:pPr>
        <w:jc w:val="both"/>
        <w:rPr>
          <w:rFonts w:ascii="Arial" w:hAnsi="Arial" w:cs="Arial"/>
        </w:rPr>
      </w:pPr>
    </w:p>
    <w:p w14:paraId="4F4F77AC" w14:textId="77777777" w:rsidR="00185BCF" w:rsidRPr="0005552E" w:rsidRDefault="00185BCF" w:rsidP="00185BCF">
      <w:pPr>
        <w:jc w:val="both"/>
        <w:rPr>
          <w:rFonts w:ascii="Arial" w:hAnsi="Arial" w:cs="Arial"/>
          <w:b/>
          <w:bCs/>
        </w:rPr>
      </w:pPr>
      <w:r w:rsidRPr="0005552E">
        <w:rPr>
          <w:rFonts w:ascii="Arial" w:hAnsi="Arial" w:cs="Arial"/>
          <w:b/>
          <w:bCs/>
        </w:rPr>
        <w:t>Development</w:t>
      </w:r>
    </w:p>
    <w:p w14:paraId="36AECF09" w14:textId="77777777" w:rsidR="00185BCF" w:rsidRDefault="00185BCF" w:rsidP="00185BCF">
      <w:pPr>
        <w:jc w:val="both"/>
        <w:rPr>
          <w:rFonts w:ascii="Arial" w:hAnsi="Arial" w:cs="Arial"/>
        </w:rPr>
      </w:pPr>
      <w:r w:rsidRPr="008A13E0">
        <w:rPr>
          <w:rFonts w:ascii="Arial" w:hAnsi="Arial" w:cs="Arial"/>
        </w:rPr>
        <w:t>Signals on development trail the other indices, mainly around perceived advancement routes and basic JD/KPI hygiene. Employees want to see how they can grow without guesswork or perceived favouritism or corruption, consistent with social exchange perspectives that link fair treatment to retention (Cropanzano et al., 2017; Hom et al., 2017). Two</w:t>
      </w:r>
      <w:r w:rsidRPr="008A13E0">
        <w:rPr>
          <w:rFonts w:ascii="Cambria Math" w:hAnsi="Cambria Math" w:cs="Cambria Math"/>
        </w:rPr>
        <w:t>‑</w:t>
      </w:r>
      <w:r w:rsidRPr="008A13E0">
        <w:rPr>
          <w:rFonts w:ascii="Arial" w:hAnsi="Arial" w:cs="Arial"/>
        </w:rPr>
        <w:t xml:space="preserve">track maps (individual contributor and manager) with concrete skill milestones, paired with quarterly growth conversations are reported in the literature to lift perceived development quickly and are recommended for Tribus. </w:t>
      </w:r>
      <w:r>
        <w:rPr>
          <w:rFonts w:ascii="Arial" w:hAnsi="Arial" w:cs="Arial"/>
        </w:rPr>
        <w:t>C</w:t>
      </w:r>
      <w:r w:rsidRPr="008A13E0">
        <w:rPr>
          <w:rFonts w:ascii="Arial" w:hAnsi="Arial" w:cs="Arial"/>
        </w:rPr>
        <w:t>entrally stored, signed</w:t>
      </w:r>
      <w:r w:rsidRPr="008A13E0">
        <w:rPr>
          <w:rFonts w:ascii="Cambria Math" w:hAnsi="Cambria Math" w:cs="Cambria Math"/>
        </w:rPr>
        <w:t>‑</w:t>
      </w:r>
      <w:r w:rsidRPr="008A13E0">
        <w:rPr>
          <w:rFonts w:ascii="Arial" w:hAnsi="Arial" w:cs="Arial"/>
        </w:rPr>
        <w:t>off JDs and KPIs would create accountability and reduce role drift, especially in multi</w:t>
      </w:r>
      <w:r w:rsidRPr="008A13E0">
        <w:rPr>
          <w:rFonts w:ascii="Cambria Math" w:hAnsi="Cambria Math" w:cs="Cambria Math"/>
        </w:rPr>
        <w:t>‑</w:t>
      </w:r>
      <w:r w:rsidRPr="008A13E0">
        <w:rPr>
          <w:rFonts w:ascii="Arial" w:hAnsi="Arial" w:cs="Arial"/>
        </w:rPr>
        <w:t>site accounts. Together, these practices can convert Tribus’s ambition around growth into a visible and credible path for staff</w:t>
      </w:r>
      <w:r>
        <w:rPr>
          <w:rFonts w:ascii="Arial" w:hAnsi="Arial" w:cs="Arial"/>
        </w:rPr>
        <w:t>.</w:t>
      </w:r>
    </w:p>
    <w:p w14:paraId="6B496608" w14:textId="77777777" w:rsidR="00185BCF" w:rsidRDefault="00185BCF" w:rsidP="00185BCF">
      <w:pPr>
        <w:jc w:val="both"/>
        <w:rPr>
          <w:rFonts w:ascii="Arial" w:hAnsi="Arial" w:cs="Arial"/>
        </w:rPr>
      </w:pPr>
    </w:p>
    <w:p w14:paraId="79DC31F8" w14:textId="77777777" w:rsidR="00185BCF" w:rsidRDefault="00185BCF" w:rsidP="00185BCF">
      <w:pPr>
        <w:jc w:val="both"/>
        <w:rPr>
          <w:rFonts w:ascii="Arial" w:hAnsi="Arial" w:cs="Arial"/>
        </w:rPr>
      </w:pPr>
      <w:r w:rsidRPr="008A13E0">
        <w:rPr>
          <w:rFonts w:ascii="Arial" w:hAnsi="Arial" w:cs="Arial"/>
        </w:rPr>
        <w:t>The Development index reflects role clarity and perceived career pathways, which recent studies associate with medium-term retention risk. The Wellbeing and Flexibility index connects to sustainable performance: modest but reliable gains in perceived wellbeing support energy management, reduce burnout risk and stabilise attendance. Together, these indices provide a concise dashboard for monitoring how people experience Tr</w:t>
      </w:r>
      <w:r>
        <w:rPr>
          <w:rFonts w:ascii="Arial" w:hAnsi="Arial" w:cs="Arial"/>
        </w:rPr>
        <w:t>i</w:t>
      </w:r>
      <w:r w:rsidRPr="008A13E0">
        <w:rPr>
          <w:rFonts w:ascii="Arial" w:hAnsi="Arial" w:cs="Arial"/>
        </w:rPr>
        <w:t>bus-TSG and for prioritising interventions likely to reduce unwanted turnover and support consistent client delivery. Figure 4 shows the distribution of the Satisfaction index, confirming moderate variability between respondents and supporting the use of non-parametric tests.</w:t>
      </w:r>
    </w:p>
    <w:p w14:paraId="0F75FB0C" w14:textId="77777777" w:rsidR="00185BCF" w:rsidRDefault="00185BCF" w:rsidP="00185BCF">
      <w:pPr>
        <w:jc w:val="both"/>
        <w:rPr>
          <w:rFonts w:ascii="Arial" w:hAnsi="Arial" w:cs="Arial"/>
        </w:rPr>
      </w:pPr>
    </w:p>
    <w:p w14:paraId="3C2CA9E4" w14:textId="77777777" w:rsidR="00185BCF" w:rsidRPr="008A13E0" w:rsidRDefault="00185BCF" w:rsidP="00185BCF">
      <w:pPr>
        <w:jc w:val="both"/>
        <w:rPr>
          <w:rFonts w:ascii="Arial" w:hAnsi="Arial" w:cs="Arial"/>
        </w:rPr>
      </w:pPr>
      <w:r w:rsidRPr="008A13E0">
        <w:rPr>
          <w:rFonts w:ascii="Arial" w:hAnsi="Arial" w:cs="Arial"/>
        </w:rPr>
        <w:t>Communication and Voice links to constructs such as psychological safety and perceived organisational justice; where information flows are predictable and employees see that concerns are heard and acted upon, engagement and advocacy typically strengthen.</w:t>
      </w:r>
    </w:p>
    <w:p w14:paraId="187E61F4" w14:textId="77777777" w:rsidR="00185BCF" w:rsidRPr="008A13E0" w:rsidRDefault="00185BCF" w:rsidP="00185BCF">
      <w:pPr>
        <w:jc w:val="both"/>
        <w:rPr>
          <w:rFonts w:ascii="Arial" w:hAnsi="Arial" w:cs="Arial"/>
        </w:rPr>
      </w:pPr>
    </w:p>
    <w:p w14:paraId="4380841D" w14:textId="77777777" w:rsidR="00185BCF" w:rsidRDefault="00185BCF" w:rsidP="00185BCF">
      <w:pPr>
        <w:jc w:val="both"/>
        <w:rPr>
          <w:rFonts w:ascii="Arial" w:hAnsi="Arial" w:cs="Arial"/>
        </w:rPr>
      </w:pPr>
      <w:r w:rsidRPr="008A13E0">
        <w:rPr>
          <w:rFonts w:ascii="Arial" w:hAnsi="Arial" w:cs="Arial"/>
        </w:rPr>
        <w:lastRenderedPageBreak/>
        <w:t xml:space="preserve">The Satisfaction index captures early-journey experience and day-to-day collaboration, both of which shape initial commitment and discretionary effort. </w:t>
      </w:r>
    </w:p>
    <w:p w14:paraId="34592866" w14:textId="77777777" w:rsidR="00185BCF" w:rsidRDefault="00185BCF" w:rsidP="00185BCF">
      <w:pPr>
        <w:jc w:val="both"/>
        <w:rPr>
          <w:rFonts w:ascii="Arial" w:hAnsi="Arial" w:cs="Arial"/>
        </w:rPr>
      </w:pPr>
    </w:p>
    <w:p w14:paraId="5B6F9F0E" w14:textId="77777777" w:rsidR="00185BCF" w:rsidRPr="00B8297B" w:rsidRDefault="00185BCF" w:rsidP="00185BCF">
      <w:pPr>
        <w:jc w:val="both"/>
        <w:rPr>
          <w:rFonts w:ascii="Arial" w:hAnsi="Arial" w:cs="Arial"/>
          <w:b/>
          <w:bCs/>
        </w:rPr>
      </w:pPr>
      <w:r w:rsidRPr="00B8297B">
        <w:rPr>
          <w:rFonts w:ascii="Arial" w:hAnsi="Arial" w:cs="Arial"/>
          <w:b/>
          <w:bCs/>
        </w:rPr>
        <w:t>Figure 4: Distribution of Satisfaction Index</w:t>
      </w:r>
    </w:p>
    <w:p w14:paraId="6435B94B" w14:textId="77777777" w:rsidR="00185BCF" w:rsidRDefault="00185BCF" w:rsidP="00185BCF">
      <w:pPr>
        <w:jc w:val="both"/>
        <w:rPr>
          <w:rFonts w:ascii="Arial" w:hAnsi="Arial" w:cs="Arial"/>
        </w:rPr>
      </w:pPr>
      <w:r w:rsidRPr="00B8297B">
        <w:rPr>
          <w:b/>
          <w:bCs/>
          <w:noProof/>
        </w:rPr>
        <w:drawing>
          <wp:anchor distT="0" distB="0" distL="114300" distR="114300" simplePos="0" relativeHeight="251661312" behindDoc="1" locked="0" layoutInCell="1" allowOverlap="1" wp14:anchorId="2213164E" wp14:editId="730CB1AE">
            <wp:simplePos x="0" y="0"/>
            <wp:positionH relativeFrom="column">
              <wp:posOffset>567055</wp:posOffset>
            </wp:positionH>
            <wp:positionV relativeFrom="paragraph">
              <wp:posOffset>57059</wp:posOffset>
            </wp:positionV>
            <wp:extent cx="4447401" cy="5439104"/>
            <wp:effectExtent l="0" t="0" r="0" b="0"/>
            <wp:wrapNone/>
            <wp:docPr id="5" name="Picture 5" descr="A graph with a blue rect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ph with a blue rectangle&#10;&#10;AI-generated content may be incorrect."/>
                    <pic:cNvPicPr/>
                  </pic:nvPicPr>
                  <pic:blipFill rotWithShape="1">
                    <a:blip r:embed="rId14" cstate="print">
                      <a:extLst>
                        <a:ext uri="{28A0092B-C50C-407E-A947-70E740481C1C}">
                          <a14:useLocalDpi xmlns:a14="http://schemas.microsoft.com/office/drawing/2010/main" val="0"/>
                        </a:ext>
                      </a:extLst>
                    </a:blip>
                    <a:srcRect b="2591"/>
                    <a:stretch>
                      <a:fillRect/>
                    </a:stretch>
                  </pic:blipFill>
                  <pic:spPr bwMode="auto">
                    <a:xfrm>
                      <a:off x="0" y="0"/>
                      <a:ext cx="4447401" cy="54391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1270F2" w14:textId="77777777" w:rsidR="00185BCF" w:rsidRDefault="00185BCF" w:rsidP="00185BCF">
      <w:pPr>
        <w:jc w:val="both"/>
        <w:rPr>
          <w:rFonts w:ascii="Arial" w:hAnsi="Arial" w:cs="Arial"/>
        </w:rPr>
      </w:pPr>
    </w:p>
    <w:p w14:paraId="6A83FA09" w14:textId="77777777" w:rsidR="00185BCF" w:rsidRDefault="00185BCF" w:rsidP="00185BCF">
      <w:pPr>
        <w:jc w:val="both"/>
        <w:rPr>
          <w:rFonts w:ascii="Arial" w:hAnsi="Arial" w:cs="Arial"/>
        </w:rPr>
      </w:pPr>
    </w:p>
    <w:p w14:paraId="641C0A80" w14:textId="77777777" w:rsidR="00185BCF" w:rsidRDefault="00185BCF" w:rsidP="00185BCF">
      <w:pPr>
        <w:jc w:val="both"/>
        <w:rPr>
          <w:rFonts w:ascii="Arial" w:hAnsi="Arial" w:cs="Arial"/>
        </w:rPr>
      </w:pPr>
    </w:p>
    <w:p w14:paraId="22CBCB89" w14:textId="77777777" w:rsidR="00185BCF" w:rsidRDefault="00185BCF" w:rsidP="00185BCF">
      <w:pPr>
        <w:jc w:val="both"/>
        <w:rPr>
          <w:rFonts w:ascii="Arial" w:hAnsi="Arial" w:cs="Arial"/>
        </w:rPr>
      </w:pPr>
    </w:p>
    <w:p w14:paraId="7F4C03FB" w14:textId="77777777" w:rsidR="00185BCF" w:rsidRDefault="00185BCF" w:rsidP="00185BCF">
      <w:pPr>
        <w:jc w:val="both"/>
        <w:rPr>
          <w:rFonts w:ascii="Arial" w:hAnsi="Arial" w:cs="Arial"/>
        </w:rPr>
      </w:pPr>
    </w:p>
    <w:p w14:paraId="2241C3C0" w14:textId="77777777" w:rsidR="00185BCF" w:rsidRDefault="00185BCF" w:rsidP="00185BCF">
      <w:pPr>
        <w:jc w:val="both"/>
        <w:rPr>
          <w:rFonts w:ascii="Arial" w:hAnsi="Arial" w:cs="Arial"/>
        </w:rPr>
      </w:pPr>
    </w:p>
    <w:p w14:paraId="4FFF5120" w14:textId="77777777" w:rsidR="00185BCF" w:rsidRDefault="00185BCF" w:rsidP="00185BCF">
      <w:pPr>
        <w:jc w:val="both"/>
        <w:rPr>
          <w:rFonts w:ascii="Arial" w:hAnsi="Arial" w:cs="Arial"/>
        </w:rPr>
      </w:pPr>
    </w:p>
    <w:p w14:paraId="10D81132" w14:textId="77777777" w:rsidR="00185BCF" w:rsidRDefault="00185BCF" w:rsidP="00185BCF">
      <w:pPr>
        <w:jc w:val="both"/>
        <w:rPr>
          <w:rFonts w:ascii="Arial" w:hAnsi="Arial" w:cs="Arial"/>
        </w:rPr>
      </w:pPr>
    </w:p>
    <w:p w14:paraId="4C18531A" w14:textId="77777777" w:rsidR="00185BCF" w:rsidRDefault="00185BCF" w:rsidP="00185BCF">
      <w:pPr>
        <w:jc w:val="both"/>
        <w:rPr>
          <w:rFonts w:ascii="Arial" w:hAnsi="Arial" w:cs="Arial"/>
        </w:rPr>
      </w:pPr>
    </w:p>
    <w:p w14:paraId="5C38DF2A" w14:textId="77777777" w:rsidR="00185BCF" w:rsidRDefault="00185BCF" w:rsidP="00185BCF">
      <w:pPr>
        <w:jc w:val="both"/>
        <w:rPr>
          <w:rFonts w:ascii="Arial" w:hAnsi="Arial" w:cs="Arial"/>
        </w:rPr>
      </w:pPr>
    </w:p>
    <w:p w14:paraId="0CD63C7B" w14:textId="77777777" w:rsidR="00185BCF" w:rsidRDefault="00185BCF" w:rsidP="00185BCF">
      <w:pPr>
        <w:jc w:val="both"/>
        <w:rPr>
          <w:rFonts w:ascii="Arial" w:hAnsi="Arial" w:cs="Arial"/>
        </w:rPr>
      </w:pPr>
    </w:p>
    <w:p w14:paraId="11DAF595" w14:textId="77777777" w:rsidR="00185BCF" w:rsidRDefault="00185BCF" w:rsidP="00185BCF">
      <w:pPr>
        <w:jc w:val="both"/>
        <w:rPr>
          <w:rFonts w:ascii="Arial" w:hAnsi="Arial" w:cs="Arial"/>
        </w:rPr>
      </w:pPr>
    </w:p>
    <w:p w14:paraId="180BFFC4" w14:textId="77777777" w:rsidR="00185BCF" w:rsidRDefault="00185BCF" w:rsidP="00185BCF">
      <w:pPr>
        <w:jc w:val="both"/>
        <w:rPr>
          <w:rFonts w:ascii="Arial" w:hAnsi="Arial" w:cs="Arial"/>
        </w:rPr>
      </w:pPr>
    </w:p>
    <w:p w14:paraId="1F5FC33E" w14:textId="77777777" w:rsidR="00185BCF" w:rsidRDefault="00185BCF" w:rsidP="00185BCF">
      <w:pPr>
        <w:jc w:val="both"/>
        <w:rPr>
          <w:rFonts w:ascii="Arial" w:hAnsi="Arial" w:cs="Arial"/>
        </w:rPr>
      </w:pPr>
    </w:p>
    <w:p w14:paraId="37D1EE7A" w14:textId="77777777" w:rsidR="00185BCF" w:rsidRDefault="00185BCF" w:rsidP="00185BCF">
      <w:pPr>
        <w:jc w:val="both"/>
        <w:rPr>
          <w:rFonts w:ascii="Arial" w:hAnsi="Arial" w:cs="Arial"/>
        </w:rPr>
      </w:pPr>
    </w:p>
    <w:p w14:paraId="0BB686B4" w14:textId="77777777" w:rsidR="00185BCF" w:rsidRDefault="00185BCF" w:rsidP="00185BCF">
      <w:pPr>
        <w:jc w:val="both"/>
        <w:rPr>
          <w:rFonts w:ascii="Arial" w:hAnsi="Arial" w:cs="Arial"/>
        </w:rPr>
      </w:pPr>
    </w:p>
    <w:p w14:paraId="745A6CB2" w14:textId="77777777" w:rsidR="00185BCF" w:rsidRDefault="00185BCF" w:rsidP="00185BCF">
      <w:pPr>
        <w:jc w:val="both"/>
        <w:rPr>
          <w:rFonts w:ascii="Arial" w:hAnsi="Arial" w:cs="Arial"/>
        </w:rPr>
      </w:pPr>
    </w:p>
    <w:p w14:paraId="4C08E98A" w14:textId="77777777" w:rsidR="00185BCF" w:rsidRDefault="00185BCF" w:rsidP="00185BCF">
      <w:pPr>
        <w:jc w:val="both"/>
        <w:rPr>
          <w:rFonts w:ascii="Arial" w:hAnsi="Arial" w:cs="Arial"/>
        </w:rPr>
      </w:pPr>
    </w:p>
    <w:p w14:paraId="0CF43D29" w14:textId="77777777" w:rsidR="00185BCF" w:rsidRDefault="00185BCF" w:rsidP="00185BCF">
      <w:pPr>
        <w:jc w:val="both"/>
        <w:rPr>
          <w:rFonts w:ascii="Arial" w:hAnsi="Arial" w:cs="Arial"/>
        </w:rPr>
      </w:pPr>
    </w:p>
    <w:p w14:paraId="10DB0233" w14:textId="77777777" w:rsidR="00185BCF" w:rsidRDefault="00185BCF" w:rsidP="00185BCF">
      <w:pPr>
        <w:jc w:val="both"/>
        <w:rPr>
          <w:rFonts w:ascii="Arial" w:hAnsi="Arial" w:cs="Arial"/>
        </w:rPr>
      </w:pPr>
    </w:p>
    <w:p w14:paraId="3CF009C3" w14:textId="77777777" w:rsidR="00185BCF" w:rsidRDefault="00185BCF" w:rsidP="00185BCF">
      <w:pPr>
        <w:jc w:val="both"/>
        <w:rPr>
          <w:rFonts w:ascii="Arial" w:hAnsi="Arial" w:cs="Arial"/>
        </w:rPr>
      </w:pPr>
    </w:p>
    <w:p w14:paraId="5FB35042" w14:textId="77777777" w:rsidR="00185BCF" w:rsidRDefault="00185BCF" w:rsidP="00185BCF">
      <w:pPr>
        <w:jc w:val="both"/>
        <w:rPr>
          <w:rFonts w:ascii="Arial" w:hAnsi="Arial" w:cs="Arial"/>
        </w:rPr>
      </w:pPr>
    </w:p>
    <w:p w14:paraId="7D1AECAF" w14:textId="77777777" w:rsidR="00185BCF" w:rsidRDefault="00185BCF" w:rsidP="00185BCF">
      <w:pPr>
        <w:jc w:val="both"/>
        <w:rPr>
          <w:rFonts w:ascii="Arial" w:hAnsi="Arial" w:cs="Arial"/>
        </w:rPr>
      </w:pPr>
    </w:p>
    <w:p w14:paraId="0CF6E752" w14:textId="77777777" w:rsidR="00185BCF" w:rsidRDefault="00185BCF" w:rsidP="00185BCF">
      <w:pPr>
        <w:jc w:val="both"/>
        <w:rPr>
          <w:rFonts w:ascii="Arial" w:hAnsi="Arial" w:cs="Arial"/>
        </w:rPr>
      </w:pPr>
    </w:p>
    <w:p w14:paraId="7714DE12" w14:textId="77777777" w:rsidR="00185BCF" w:rsidRDefault="00185BCF" w:rsidP="00185BCF">
      <w:pPr>
        <w:jc w:val="both"/>
        <w:rPr>
          <w:rFonts w:ascii="Arial" w:hAnsi="Arial" w:cs="Arial"/>
        </w:rPr>
      </w:pPr>
    </w:p>
    <w:p w14:paraId="76985BF6" w14:textId="77777777" w:rsidR="00185BCF" w:rsidRDefault="00185BCF" w:rsidP="00185BCF">
      <w:pPr>
        <w:jc w:val="both"/>
        <w:rPr>
          <w:rFonts w:ascii="Arial" w:hAnsi="Arial" w:cs="Arial"/>
        </w:rPr>
      </w:pPr>
    </w:p>
    <w:p w14:paraId="4E0CDD49" w14:textId="77777777" w:rsidR="00185BCF" w:rsidRDefault="00185BCF" w:rsidP="00185BCF">
      <w:pPr>
        <w:jc w:val="both"/>
        <w:rPr>
          <w:rFonts w:ascii="Arial" w:hAnsi="Arial" w:cs="Arial"/>
        </w:rPr>
      </w:pPr>
    </w:p>
    <w:p w14:paraId="5E92092B" w14:textId="77777777" w:rsidR="00185BCF" w:rsidRDefault="00185BCF" w:rsidP="00185BCF">
      <w:pPr>
        <w:jc w:val="both"/>
        <w:rPr>
          <w:rFonts w:ascii="Arial" w:hAnsi="Arial" w:cs="Arial"/>
        </w:rPr>
      </w:pPr>
    </w:p>
    <w:p w14:paraId="237693AF" w14:textId="77777777" w:rsidR="00185BCF" w:rsidRDefault="00185BCF" w:rsidP="00185BCF">
      <w:pPr>
        <w:jc w:val="both"/>
        <w:rPr>
          <w:rFonts w:ascii="Arial" w:hAnsi="Arial" w:cs="Arial"/>
        </w:rPr>
      </w:pPr>
    </w:p>
    <w:p w14:paraId="170C6AFB" w14:textId="77777777" w:rsidR="00185BCF" w:rsidRPr="00715F3B" w:rsidRDefault="00185BCF" w:rsidP="00185BCF">
      <w:pPr>
        <w:jc w:val="both"/>
        <w:rPr>
          <w:rFonts w:ascii="Arial" w:hAnsi="Arial" w:cs="Arial"/>
        </w:rPr>
      </w:pPr>
    </w:p>
    <w:p w14:paraId="5270E0D2" w14:textId="77777777" w:rsidR="00185BCF" w:rsidRPr="00715F3B" w:rsidRDefault="00185BCF" w:rsidP="00185BCF">
      <w:pPr>
        <w:jc w:val="both"/>
        <w:rPr>
          <w:rFonts w:ascii="Arial" w:hAnsi="Arial" w:cs="Arial"/>
        </w:rPr>
      </w:pPr>
    </w:p>
    <w:p w14:paraId="4F6DB6A0" w14:textId="77777777" w:rsidR="00185BCF" w:rsidRPr="0043495F" w:rsidRDefault="00185BCF" w:rsidP="00185BCF">
      <w:pPr>
        <w:jc w:val="both"/>
        <w:rPr>
          <w:rFonts w:ascii="Arial" w:hAnsi="Arial" w:cs="Arial"/>
          <w:b/>
          <w:bCs/>
        </w:rPr>
      </w:pPr>
      <w:r w:rsidRPr="0043495F">
        <w:rPr>
          <w:rFonts w:ascii="Arial" w:hAnsi="Arial" w:cs="Arial"/>
          <w:b/>
          <w:bCs/>
        </w:rPr>
        <w:t>Satisfaction</w:t>
      </w:r>
    </w:p>
    <w:p w14:paraId="3F03E5E7" w14:textId="77777777" w:rsidR="00185BCF" w:rsidRDefault="00185BCF" w:rsidP="00185BCF">
      <w:pPr>
        <w:jc w:val="both"/>
        <w:rPr>
          <w:rFonts w:ascii="Arial" w:hAnsi="Arial" w:cs="Arial"/>
        </w:rPr>
      </w:pPr>
      <w:r w:rsidRPr="0049018D">
        <w:rPr>
          <w:rFonts w:ascii="Arial" w:hAnsi="Arial" w:cs="Arial"/>
        </w:rPr>
        <w:t>Satisfaction appears to be buoyed by strong teamwork and motivation. Qualitative comments praise professionalism and reliability among peers, suggesting solid social capital within teams. Where satisfaction softens, the causes are typically onboarding friction or process ambiguity, especially for new joiners. In Social Exchange terms, unclear expectations and slow access to basic information can weaken early perceptions that Tribus is organised and fair. Addressing this does not require wholesale change; focused improvements in first</w:t>
      </w:r>
      <w:r w:rsidRPr="0049018D">
        <w:rPr>
          <w:rFonts w:ascii="Cambria Math" w:hAnsi="Cambria Math" w:cs="Cambria Math"/>
        </w:rPr>
        <w:t>‑</w:t>
      </w:r>
      <w:r w:rsidRPr="0049018D">
        <w:rPr>
          <w:rFonts w:ascii="Arial" w:hAnsi="Arial" w:cs="Arial"/>
        </w:rPr>
        <w:t>90</w:t>
      </w:r>
      <w:r w:rsidRPr="0049018D">
        <w:rPr>
          <w:rFonts w:ascii="Cambria Math" w:hAnsi="Cambria Math" w:cs="Cambria Math"/>
        </w:rPr>
        <w:t>‑</w:t>
      </w:r>
      <w:r w:rsidRPr="0049018D">
        <w:rPr>
          <w:rFonts w:ascii="Arial" w:hAnsi="Arial" w:cs="Arial"/>
        </w:rPr>
        <w:t>day check</w:t>
      </w:r>
      <w:r w:rsidRPr="0049018D">
        <w:rPr>
          <w:rFonts w:ascii="Cambria Math" w:hAnsi="Cambria Math" w:cs="Cambria Math"/>
        </w:rPr>
        <w:t>‑</w:t>
      </w:r>
      <w:r w:rsidRPr="0049018D">
        <w:rPr>
          <w:rFonts w:ascii="Arial" w:hAnsi="Arial" w:cs="Arial"/>
        </w:rPr>
        <w:t>ins, access to SOPs and clear escalation paths are likely to protect momentum for new staff.</w:t>
      </w:r>
    </w:p>
    <w:p w14:paraId="1397973A" w14:textId="77777777" w:rsidR="00185BCF" w:rsidRDefault="00185BCF" w:rsidP="00185BCF">
      <w:pPr>
        <w:jc w:val="both"/>
        <w:rPr>
          <w:rFonts w:ascii="Arial" w:hAnsi="Arial" w:cs="Arial"/>
        </w:rPr>
      </w:pPr>
    </w:p>
    <w:p w14:paraId="39914A69" w14:textId="77777777" w:rsidR="00185BCF" w:rsidRPr="0043495F" w:rsidRDefault="00185BCF" w:rsidP="00185BCF">
      <w:pPr>
        <w:jc w:val="both"/>
        <w:rPr>
          <w:rFonts w:ascii="Arial" w:hAnsi="Arial" w:cs="Arial"/>
          <w:b/>
          <w:bCs/>
        </w:rPr>
      </w:pPr>
      <w:r w:rsidRPr="0043495F">
        <w:rPr>
          <w:rFonts w:ascii="Arial" w:hAnsi="Arial" w:cs="Arial"/>
          <w:b/>
          <w:bCs/>
        </w:rPr>
        <w:t>Communication &amp; Voice</w:t>
      </w:r>
    </w:p>
    <w:p w14:paraId="15E07CC8" w14:textId="77777777" w:rsidR="00185BCF" w:rsidRDefault="00185BCF" w:rsidP="00185BCF">
      <w:pPr>
        <w:jc w:val="both"/>
        <w:rPr>
          <w:rFonts w:ascii="Arial" w:hAnsi="Arial" w:cs="Arial"/>
        </w:rPr>
      </w:pPr>
      <w:r w:rsidRPr="0049018D">
        <w:rPr>
          <w:rFonts w:ascii="Arial" w:hAnsi="Arial" w:cs="Arial"/>
        </w:rPr>
        <w:t xml:space="preserve">Internal communication varies by vertical. Employees respond not just to the presence of information, but to its rhythm and closure: predictable updates, clear ownership and </w:t>
      </w:r>
      <w:r w:rsidRPr="0049018D">
        <w:rPr>
          <w:rFonts w:ascii="Arial" w:hAnsi="Arial" w:cs="Arial"/>
        </w:rPr>
        <w:lastRenderedPageBreak/>
        <w:t>visible “you said, we did” loops, as highlighted in Figures 5 and 6. Where these loops are weak, comments suggest staff infer a lack of follow</w:t>
      </w:r>
      <w:r w:rsidRPr="0049018D">
        <w:rPr>
          <w:rFonts w:ascii="Cambria Math" w:hAnsi="Cambria Math" w:cs="Cambria Math"/>
        </w:rPr>
        <w:t>‑</w:t>
      </w:r>
      <w:r w:rsidRPr="0049018D">
        <w:rPr>
          <w:rFonts w:ascii="Arial" w:hAnsi="Arial" w:cs="Arial"/>
        </w:rPr>
        <w:t>through and care. The Employee Relations Council (ERC) can amplify voice when intake, triage and feedback are transparent. Where ERC awareness is high but effectiveness feels unclear, the issue seems less its existence and more the visibility and timeliness of responses. Simple service levels (for example, acknowledge within 48 hours and give an initial decision within two weeks) could reset expectations and rebuild trust in this channel.</w:t>
      </w:r>
    </w:p>
    <w:p w14:paraId="601FC7F1" w14:textId="77777777" w:rsidR="00185BCF" w:rsidRDefault="00185BCF" w:rsidP="00185BCF">
      <w:pPr>
        <w:jc w:val="both"/>
        <w:rPr>
          <w:rFonts w:ascii="Arial" w:hAnsi="Arial" w:cs="Arial"/>
        </w:rPr>
      </w:pPr>
    </w:p>
    <w:p w14:paraId="3E4646BC" w14:textId="77777777" w:rsidR="00185BCF" w:rsidRPr="00B8297B" w:rsidRDefault="00185BCF" w:rsidP="00185BCF">
      <w:pPr>
        <w:jc w:val="both"/>
        <w:rPr>
          <w:rFonts w:ascii="Arial" w:hAnsi="Arial" w:cs="Arial"/>
          <w:b/>
          <w:bCs/>
        </w:rPr>
      </w:pPr>
      <w:r w:rsidRPr="00B8297B">
        <w:rPr>
          <w:rFonts w:ascii="Arial" w:hAnsi="Arial" w:cs="Arial"/>
          <w:b/>
          <w:bCs/>
        </w:rPr>
        <w:t>Figure 5: ERC overall findings</w:t>
      </w:r>
    </w:p>
    <w:p w14:paraId="29148080" w14:textId="77777777" w:rsidR="00185BCF" w:rsidRDefault="00185BCF" w:rsidP="00185BCF">
      <w:pPr>
        <w:jc w:val="both"/>
        <w:rPr>
          <w:rFonts w:ascii="Arial" w:hAnsi="Arial" w:cs="Arial"/>
        </w:rPr>
      </w:pPr>
      <w:r w:rsidRPr="00B8297B">
        <w:rPr>
          <w:b/>
          <w:bCs/>
          <w:noProof/>
        </w:rPr>
        <w:drawing>
          <wp:anchor distT="0" distB="0" distL="114300" distR="114300" simplePos="0" relativeHeight="251665408" behindDoc="1" locked="0" layoutInCell="1" allowOverlap="1" wp14:anchorId="54645531" wp14:editId="28250AED">
            <wp:simplePos x="0" y="0"/>
            <wp:positionH relativeFrom="column">
              <wp:posOffset>-141605</wp:posOffset>
            </wp:positionH>
            <wp:positionV relativeFrom="paragraph">
              <wp:posOffset>135124</wp:posOffset>
            </wp:positionV>
            <wp:extent cx="5911215" cy="4177862"/>
            <wp:effectExtent l="0" t="0" r="0" b="635"/>
            <wp:wrapNone/>
            <wp:docPr id="1" name="Picture 1" descr="A bar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ar graph with different colored bar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911215" cy="4177862"/>
                    </a:xfrm>
                    <a:prstGeom prst="rect">
                      <a:avLst/>
                    </a:prstGeom>
                  </pic:spPr>
                </pic:pic>
              </a:graphicData>
            </a:graphic>
            <wp14:sizeRelH relativeFrom="page">
              <wp14:pctWidth>0</wp14:pctWidth>
            </wp14:sizeRelH>
            <wp14:sizeRelV relativeFrom="page">
              <wp14:pctHeight>0</wp14:pctHeight>
            </wp14:sizeRelV>
          </wp:anchor>
        </w:drawing>
      </w:r>
    </w:p>
    <w:p w14:paraId="12927F0D" w14:textId="77777777" w:rsidR="00185BCF" w:rsidRDefault="00185BCF" w:rsidP="00185BCF">
      <w:pPr>
        <w:jc w:val="both"/>
        <w:rPr>
          <w:rFonts w:ascii="Arial" w:hAnsi="Arial" w:cs="Arial"/>
        </w:rPr>
      </w:pPr>
    </w:p>
    <w:p w14:paraId="1920D351" w14:textId="77777777" w:rsidR="00185BCF" w:rsidRDefault="00185BCF" w:rsidP="00185BCF">
      <w:pPr>
        <w:jc w:val="both"/>
        <w:rPr>
          <w:rFonts w:ascii="Arial" w:hAnsi="Arial" w:cs="Arial"/>
        </w:rPr>
      </w:pPr>
    </w:p>
    <w:p w14:paraId="1B5789BE" w14:textId="77777777" w:rsidR="00185BCF" w:rsidRDefault="00185BCF" w:rsidP="00185BCF">
      <w:pPr>
        <w:jc w:val="both"/>
        <w:rPr>
          <w:rFonts w:ascii="Arial" w:hAnsi="Arial" w:cs="Arial"/>
        </w:rPr>
      </w:pPr>
    </w:p>
    <w:p w14:paraId="084C0429" w14:textId="77777777" w:rsidR="00185BCF" w:rsidRDefault="00185BCF" w:rsidP="00185BCF">
      <w:pPr>
        <w:jc w:val="both"/>
        <w:rPr>
          <w:rFonts w:ascii="Arial" w:hAnsi="Arial" w:cs="Arial"/>
        </w:rPr>
      </w:pPr>
    </w:p>
    <w:p w14:paraId="67484CF8" w14:textId="77777777" w:rsidR="00185BCF" w:rsidRDefault="00185BCF" w:rsidP="00185BCF">
      <w:pPr>
        <w:jc w:val="both"/>
        <w:rPr>
          <w:rFonts w:ascii="Arial" w:hAnsi="Arial" w:cs="Arial"/>
        </w:rPr>
      </w:pPr>
    </w:p>
    <w:p w14:paraId="5BBDA926" w14:textId="77777777" w:rsidR="00185BCF" w:rsidRDefault="00185BCF" w:rsidP="00185BCF">
      <w:pPr>
        <w:jc w:val="both"/>
        <w:rPr>
          <w:rFonts w:ascii="Arial" w:hAnsi="Arial" w:cs="Arial"/>
        </w:rPr>
      </w:pPr>
    </w:p>
    <w:p w14:paraId="160EF598" w14:textId="77777777" w:rsidR="00185BCF" w:rsidRDefault="00185BCF" w:rsidP="00185BCF">
      <w:pPr>
        <w:jc w:val="both"/>
        <w:rPr>
          <w:rFonts w:ascii="Arial" w:hAnsi="Arial" w:cs="Arial"/>
        </w:rPr>
      </w:pPr>
    </w:p>
    <w:p w14:paraId="56F07314" w14:textId="77777777" w:rsidR="00185BCF" w:rsidRDefault="00185BCF" w:rsidP="00185BCF">
      <w:pPr>
        <w:jc w:val="both"/>
        <w:rPr>
          <w:rFonts w:ascii="Arial" w:hAnsi="Arial" w:cs="Arial"/>
        </w:rPr>
      </w:pPr>
    </w:p>
    <w:p w14:paraId="617B9C35" w14:textId="77777777" w:rsidR="00185BCF" w:rsidRDefault="00185BCF" w:rsidP="00185BCF">
      <w:pPr>
        <w:jc w:val="both"/>
        <w:rPr>
          <w:rFonts w:ascii="Arial" w:hAnsi="Arial" w:cs="Arial"/>
        </w:rPr>
      </w:pPr>
    </w:p>
    <w:p w14:paraId="5E248434" w14:textId="77777777" w:rsidR="00185BCF" w:rsidRDefault="00185BCF" w:rsidP="00185BCF">
      <w:pPr>
        <w:jc w:val="both"/>
        <w:rPr>
          <w:rFonts w:ascii="Arial" w:hAnsi="Arial" w:cs="Arial"/>
        </w:rPr>
      </w:pPr>
    </w:p>
    <w:p w14:paraId="39F0AEC2" w14:textId="77777777" w:rsidR="00185BCF" w:rsidRDefault="00185BCF" w:rsidP="00185BCF">
      <w:pPr>
        <w:jc w:val="both"/>
        <w:rPr>
          <w:rFonts w:ascii="Arial" w:hAnsi="Arial" w:cs="Arial"/>
        </w:rPr>
      </w:pPr>
    </w:p>
    <w:p w14:paraId="616D2995" w14:textId="77777777" w:rsidR="00185BCF" w:rsidRDefault="00185BCF" w:rsidP="00185BCF">
      <w:pPr>
        <w:jc w:val="both"/>
        <w:rPr>
          <w:rFonts w:ascii="Arial" w:hAnsi="Arial" w:cs="Arial"/>
        </w:rPr>
      </w:pPr>
    </w:p>
    <w:p w14:paraId="33E1228E" w14:textId="77777777" w:rsidR="00185BCF" w:rsidRDefault="00185BCF" w:rsidP="00185BCF">
      <w:pPr>
        <w:jc w:val="both"/>
        <w:rPr>
          <w:rFonts w:ascii="Arial" w:hAnsi="Arial" w:cs="Arial"/>
        </w:rPr>
      </w:pPr>
    </w:p>
    <w:p w14:paraId="5EF76ADD" w14:textId="77777777" w:rsidR="00185BCF" w:rsidRDefault="00185BCF" w:rsidP="00185BCF">
      <w:pPr>
        <w:jc w:val="both"/>
        <w:rPr>
          <w:rFonts w:ascii="Arial" w:hAnsi="Arial" w:cs="Arial"/>
        </w:rPr>
      </w:pPr>
    </w:p>
    <w:p w14:paraId="54CB92D9" w14:textId="77777777" w:rsidR="00185BCF" w:rsidRDefault="00185BCF" w:rsidP="00185BCF">
      <w:pPr>
        <w:jc w:val="both"/>
        <w:rPr>
          <w:rFonts w:ascii="Arial" w:hAnsi="Arial" w:cs="Arial"/>
        </w:rPr>
      </w:pPr>
    </w:p>
    <w:p w14:paraId="20CD849F" w14:textId="77777777" w:rsidR="00185BCF" w:rsidRDefault="00185BCF" w:rsidP="00185BCF">
      <w:pPr>
        <w:jc w:val="both"/>
        <w:rPr>
          <w:rFonts w:ascii="Arial" w:hAnsi="Arial" w:cs="Arial"/>
        </w:rPr>
      </w:pPr>
    </w:p>
    <w:p w14:paraId="07658FEC" w14:textId="77777777" w:rsidR="00185BCF" w:rsidRDefault="00185BCF" w:rsidP="00185BCF">
      <w:pPr>
        <w:jc w:val="both"/>
        <w:rPr>
          <w:rFonts w:ascii="Arial" w:hAnsi="Arial" w:cs="Arial"/>
        </w:rPr>
      </w:pPr>
    </w:p>
    <w:p w14:paraId="5E4F0123" w14:textId="77777777" w:rsidR="00185BCF" w:rsidRDefault="00185BCF" w:rsidP="00185BCF">
      <w:pPr>
        <w:jc w:val="both"/>
        <w:rPr>
          <w:rFonts w:ascii="Arial" w:hAnsi="Arial" w:cs="Arial"/>
        </w:rPr>
      </w:pPr>
    </w:p>
    <w:p w14:paraId="17EB8298" w14:textId="77777777" w:rsidR="00185BCF" w:rsidRDefault="00185BCF" w:rsidP="00185BCF">
      <w:pPr>
        <w:jc w:val="both"/>
        <w:rPr>
          <w:rFonts w:ascii="Arial" w:hAnsi="Arial" w:cs="Arial"/>
        </w:rPr>
      </w:pPr>
    </w:p>
    <w:p w14:paraId="40FDC3C1" w14:textId="77777777" w:rsidR="00185BCF" w:rsidRDefault="00185BCF" w:rsidP="00185BCF">
      <w:pPr>
        <w:jc w:val="both"/>
        <w:rPr>
          <w:rFonts w:ascii="Arial" w:hAnsi="Arial" w:cs="Arial"/>
        </w:rPr>
      </w:pPr>
    </w:p>
    <w:p w14:paraId="624BA857" w14:textId="77777777" w:rsidR="00185BCF" w:rsidRDefault="00185BCF" w:rsidP="00185BCF">
      <w:pPr>
        <w:jc w:val="both"/>
        <w:rPr>
          <w:rFonts w:ascii="Arial" w:hAnsi="Arial" w:cs="Arial"/>
        </w:rPr>
      </w:pPr>
    </w:p>
    <w:p w14:paraId="0B85FAA9" w14:textId="77777777" w:rsidR="00185BCF" w:rsidRDefault="00185BCF" w:rsidP="00185BCF">
      <w:pPr>
        <w:jc w:val="both"/>
        <w:rPr>
          <w:rFonts w:ascii="Arial" w:hAnsi="Arial" w:cs="Arial"/>
        </w:rPr>
      </w:pPr>
    </w:p>
    <w:p w14:paraId="2DEDCBD6" w14:textId="77777777" w:rsidR="00185BCF" w:rsidRDefault="00185BCF" w:rsidP="00185BCF">
      <w:pPr>
        <w:jc w:val="both"/>
        <w:rPr>
          <w:rFonts w:ascii="Arial" w:hAnsi="Arial" w:cs="Arial"/>
        </w:rPr>
      </w:pPr>
    </w:p>
    <w:p w14:paraId="16B18B30" w14:textId="77777777" w:rsidR="00185BCF" w:rsidRDefault="00185BCF" w:rsidP="00185BCF">
      <w:pPr>
        <w:jc w:val="both"/>
        <w:rPr>
          <w:rFonts w:ascii="Arial" w:hAnsi="Arial" w:cs="Arial"/>
        </w:rPr>
      </w:pPr>
    </w:p>
    <w:p w14:paraId="34357DFD" w14:textId="77777777" w:rsidR="00185BCF" w:rsidRDefault="00185BCF" w:rsidP="00185BCF">
      <w:pPr>
        <w:jc w:val="both"/>
        <w:rPr>
          <w:rFonts w:ascii="Arial" w:hAnsi="Arial" w:cs="Arial"/>
        </w:rPr>
      </w:pPr>
    </w:p>
    <w:tbl>
      <w:tblPr>
        <w:tblW w:w="9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9"/>
        <w:gridCol w:w="2392"/>
        <w:gridCol w:w="2288"/>
        <w:gridCol w:w="2288"/>
      </w:tblGrid>
      <w:tr w:rsidR="00185BCF" w14:paraId="29AAB861" w14:textId="77777777" w:rsidTr="00737D38">
        <w:trPr>
          <w:trHeight w:val="342"/>
        </w:trPr>
        <w:tc>
          <w:tcPr>
            <w:tcW w:w="2179" w:type="dxa"/>
            <w:shd w:val="clear" w:color="auto" w:fill="0070C0"/>
            <w:vAlign w:val="center"/>
          </w:tcPr>
          <w:p w14:paraId="032F2CAE" w14:textId="77777777" w:rsidR="00185BCF" w:rsidRPr="0005552E" w:rsidRDefault="00185BCF" w:rsidP="00737D38">
            <w:pPr>
              <w:rPr>
                <w:color w:val="FFFFFF" w:themeColor="background1"/>
              </w:rPr>
            </w:pPr>
            <w:r w:rsidRPr="0005552E">
              <w:rPr>
                <w:color w:val="FFFFFF" w:themeColor="background1"/>
              </w:rPr>
              <w:t>Department</w:t>
            </w:r>
          </w:p>
        </w:tc>
        <w:tc>
          <w:tcPr>
            <w:tcW w:w="2392" w:type="dxa"/>
            <w:shd w:val="clear" w:color="auto" w:fill="0070C0"/>
            <w:vAlign w:val="center"/>
          </w:tcPr>
          <w:p w14:paraId="43D1B38D" w14:textId="77777777" w:rsidR="00185BCF" w:rsidRPr="0005552E" w:rsidRDefault="00185BCF" w:rsidP="00737D38">
            <w:pPr>
              <w:rPr>
                <w:color w:val="FFFFFF" w:themeColor="background1"/>
              </w:rPr>
            </w:pPr>
            <w:r w:rsidRPr="0005552E">
              <w:rPr>
                <w:color w:val="FFFFFF" w:themeColor="background1"/>
              </w:rPr>
              <w:t>Yes %</w:t>
            </w:r>
          </w:p>
        </w:tc>
        <w:tc>
          <w:tcPr>
            <w:tcW w:w="2288" w:type="dxa"/>
            <w:shd w:val="clear" w:color="auto" w:fill="0070C0"/>
            <w:vAlign w:val="center"/>
          </w:tcPr>
          <w:p w14:paraId="5EE205BC" w14:textId="77777777" w:rsidR="00185BCF" w:rsidRPr="0005552E" w:rsidRDefault="00185BCF" w:rsidP="00737D38">
            <w:pPr>
              <w:rPr>
                <w:color w:val="FFFFFF" w:themeColor="background1"/>
              </w:rPr>
            </w:pPr>
            <w:r w:rsidRPr="0005552E">
              <w:rPr>
                <w:color w:val="FFFFFF" w:themeColor="background1"/>
              </w:rPr>
              <w:t>No %</w:t>
            </w:r>
          </w:p>
        </w:tc>
        <w:tc>
          <w:tcPr>
            <w:tcW w:w="2288" w:type="dxa"/>
            <w:shd w:val="clear" w:color="auto" w:fill="0070C0"/>
            <w:vAlign w:val="center"/>
          </w:tcPr>
          <w:p w14:paraId="2002E227" w14:textId="77777777" w:rsidR="00185BCF" w:rsidRPr="0005552E" w:rsidRDefault="00185BCF" w:rsidP="00737D38">
            <w:pPr>
              <w:rPr>
                <w:color w:val="FFFFFF" w:themeColor="background1"/>
              </w:rPr>
            </w:pPr>
            <w:r w:rsidRPr="0005552E">
              <w:rPr>
                <w:color w:val="FFFFFF" w:themeColor="background1"/>
              </w:rPr>
              <w:t>Somewhat %</w:t>
            </w:r>
          </w:p>
        </w:tc>
      </w:tr>
      <w:tr w:rsidR="00185BCF" w14:paraId="70FFD171" w14:textId="77777777" w:rsidTr="00737D38">
        <w:trPr>
          <w:trHeight w:val="733"/>
        </w:trPr>
        <w:tc>
          <w:tcPr>
            <w:tcW w:w="2179" w:type="dxa"/>
            <w:vAlign w:val="center"/>
          </w:tcPr>
          <w:p w14:paraId="15701C49" w14:textId="77777777" w:rsidR="00185BCF" w:rsidRDefault="00185BCF" w:rsidP="00737D38">
            <w:r>
              <w:t>EdTech &amp; Specialist Training</w:t>
            </w:r>
          </w:p>
        </w:tc>
        <w:tc>
          <w:tcPr>
            <w:tcW w:w="2392" w:type="dxa"/>
            <w:vAlign w:val="center"/>
          </w:tcPr>
          <w:p w14:paraId="08F9D518" w14:textId="77777777" w:rsidR="00185BCF" w:rsidRDefault="00185BCF" w:rsidP="00737D38">
            <w:r>
              <w:t>50.0</w:t>
            </w:r>
          </w:p>
        </w:tc>
        <w:tc>
          <w:tcPr>
            <w:tcW w:w="2288" w:type="dxa"/>
            <w:vAlign w:val="center"/>
          </w:tcPr>
          <w:p w14:paraId="7370B283" w14:textId="77777777" w:rsidR="00185BCF" w:rsidRDefault="00185BCF" w:rsidP="00737D38">
            <w:r>
              <w:t>10.0</w:t>
            </w:r>
          </w:p>
        </w:tc>
        <w:tc>
          <w:tcPr>
            <w:tcW w:w="2288" w:type="dxa"/>
            <w:vAlign w:val="center"/>
          </w:tcPr>
          <w:p w14:paraId="457D3FA7" w14:textId="77777777" w:rsidR="00185BCF" w:rsidRDefault="00185BCF" w:rsidP="00737D38">
            <w:r>
              <w:t>40.0</w:t>
            </w:r>
          </w:p>
        </w:tc>
      </w:tr>
      <w:tr w:rsidR="00185BCF" w14:paraId="4C600907" w14:textId="77777777" w:rsidTr="00737D38">
        <w:trPr>
          <w:trHeight w:val="684"/>
        </w:trPr>
        <w:tc>
          <w:tcPr>
            <w:tcW w:w="2179" w:type="dxa"/>
            <w:vAlign w:val="center"/>
          </w:tcPr>
          <w:p w14:paraId="2112CBD9" w14:textId="77777777" w:rsidR="00185BCF" w:rsidRDefault="00185BCF" w:rsidP="00737D38">
            <w:r>
              <w:t>Facilities Management</w:t>
            </w:r>
          </w:p>
        </w:tc>
        <w:tc>
          <w:tcPr>
            <w:tcW w:w="2392" w:type="dxa"/>
            <w:vAlign w:val="center"/>
          </w:tcPr>
          <w:p w14:paraId="6922F79B" w14:textId="77777777" w:rsidR="00185BCF" w:rsidRDefault="00185BCF" w:rsidP="00737D38">
            <w:r>
              <w:t>45.6</w:t>
            </w:r>
          </w:p>
        </w:tc>
        <w:tc>
          <w:tcPr>
            <w:tcW w:w="2288" w:type="dxa"/>
            <w:vAlign w:val="center"/>
          </w:tcPr>
          <w:p w14:paraId="7D81E2DA" w14:textId="77777777" w:rsidR="00185BCF" w:rsidRDefault="00185BCF" w:rsidP="00737D38">
            <w:r>
              <w:t>32.0</w:t>
            </w:r>
          </w:p>
        </w:tc>
        <w:tc>
          <w:tcPr>
            <w:tcW w:w="2288" w:type="dxa"/>
            <w:vAlign w:val="center"/>
          </w:tcPr>
          <w:p w14:paraId="7AE8B476" w14:textId="77777777" w:rsidR="00185BCF" w:rsidRDefault="00185BCF" w:rsidP="00737D38">
            <w:r>
              <w:t>22.3</w:t>
            </w:r>
          </w:p>
        </w:tc>
      </w:tr>
      <w:tr w:rsidR="00185BCF" w14:paraId="49A4A693" w14:textId="77777777" w:rsidTr="00737D38">
        <w:trPr>
          <w:trHeight w:val="433"/>
        </w:trPr>
        <w:tc>
          <w:tcPr>
            <w:tcW w:w="2179" w:type="dxa"/>
            <w:vAlign w:val="center"/>
          </w:tcPr>
          <w:p w14:paraId="1B473C9E" w14:textId="77777777" w:rsidR="00185BCF" w:rsidRDefault="00185BCF" w:rsidP="00737D38">
            <w:r>
              <w:t>Headquarters</w:t>
            </w:r>
          </w:p>
        </w:tc>
        <w:tc>
          <w:tcPr>
            <w:tcW w:w="2392" w:type="dxa"/>
            <w:vAlign w:val="center"/>
          </w:tcPr>
          <w:p w14:paraId="16ED4288" w14:textId="77777777" w:rsidR="00185BCF" w:rsidRDefault="00185BCF" w:rsidP="00737D38">
            <w:r>
              <w:t>27.3</w:t>
            </w:r>
          </w:p>
        </w:tc>
        <w:tc>
          <w:tcPr>
            <w:tcW w:w="2288" w:type="dxa"/>
            <w:vAlign w:val="center"/>
          </w:tcPr>
          <w:p w14:paraId="271E19AC" w14:textId="77777777" w:rsidR="00185BCF" w:rsidRDefault="00185BCF" w:rsidP="00737D38">
            <w:r>
              <w:t>45.5</w:t>
            </w:r>
          </w:p>
        </w:tc>
        <w:tc>
          <w:tcPr>
            <w:tcW w:w="2288" w:type="dxa"/>
            <w:vAlign w:val="center"/>
          </w:tcPr>
          <w:p w14:paraId="48CBB326" w14:textId="77777777" w:rsidR="00185BCF" w:rsidRDefault="00185BCF" w:rsidP="00737D38">
            <w:r>
              <w:t>27.3</w:t>
            </w:r>
          </w:p>
        </w:tc>
      </w:tr>
      <w:tr w:rsidR="00185BCF" w14:paraId="31D068DF" w14:textId="77777777" w:rsidTr="00737D38">
        <w:trPr>
          <w:trHeight w:val="490"/>
        </w:trPr>
        <w:tc>
          <w:tcPr>
            <w:tcW w:w="2179" w:type="dxa"/>
            <w:vAlign w:val="center"/>
          </w:tcPr>
          <w:p w14:paraId="4C973336" w14:textId="77777777" w:rsidR="00185BCF" w:rsidRDefault="00185BCF" w:rsidP="00737D38">
            <w:r>
              <w:t>Manufacturing</w:t>
            </w:r>
          </w:p>
        </w:tc>
        <w:tc>
          <w:tcPr>
            <w:tcW w:w="2392" w:type="dxa"/>
            <w:vAlign w:val="center"/>
          </w:tcPr>
          <w:p w14:paraId="5F948857" w14:textId="77777777" w:rsidR="00185BCF" w:rsidRDefault="00185BCF" w:rsidP="00737D38">
            <w:r>
              <w:t>50.0</w:t>
            </w:r>
          </w:p>
        </w:tc>
        <w:tc>
          <w:tcPr>
            <w:tcW w:w="2288" w:type="dxa"/>
            <w:vAlign w:val="center"/>
          </w:tcPr>
          <w:p w14:paraId="603F56C2" w14:textId="77777777" w:rsidR="00185BCF" w:rsidRDefault="00185BCF" w:rsidP="00737D38">
            <w:r>
              <w:t>10.0</w:t>
            </w:r>
          </w:p>
        </w:tc>
        <w:tc>
          <w:tcPr>
            <w:tcW w:w="2288" w:type="dxa"/>
            <w:vAlign w:val="center"/>
          </w:tcPr>
          <w:p w14:paraId="78F0328E" w14:textId="77777777" w:rsidR="00185BCF" w:rsidRDefault="00185BCF" w:rsidP="00737D38">
            <w:r>
              <w:t>40.0</w:t>
            </w:r>
          </w:p>
        </w:tc>
      </w:tr>
      <w:tr w:rsidR="00185BCF" w14:paraId="08AB6B05" w14:textId="77777777" w:rsidTr="00737D38">
        <w:trPr>
          <w:trHeight w:val="684"/>
        </w:trPr>
        <w:tc>
          <w:tcPr>
            <w:tcW w:w="2179" w:type="dxa"/>
            <w:vAlign w:val="center"/>
          </w:tcPr>
          <w:p w14:paraId="23541372" w14:textId="77777777" w:rsidR="00185BCF" w:rsidRDefault="00185BCF" w:rsidP="00737D38">
            <w:r>
              <w:t>Tribus Integrated Technologies</w:t>
            </w:r>
          </w:p>
        </w:tc>
        <w:tc>
          <w:tcPr>
            <w:tcW w:w="2392" w:type="dxa"/>
            <w:vAlign w:val="center"/>
          </w:tcPr>
          <w:p w14:paraId="6B7ACD7C" w14:textId="77777777" w:rsidR="00185BCF" w:rsidRDefault="00185BCF" w:rsidP="00737D38">
            <w:r>
              <w:t>56.9</w:t>
            </w:r>
          </w:p>
        </w:tc>
        <w:tc>
          <w:tcPr>
            <w:tcW w:w="2288" w:type="dxa"/>
            <w:vAlign w:val="center"/>
          </w:tcPr>
          <w:p w14:paraId="6129FC6A" w14:textId="77777777" w:rsidR="00185BCF" w:rsidRDefault="00185BCF" w:rsidP="00737D38">
            <w:r>
              <w:t>27.6</w:t>
            </w:r>
          </w:p>
        </w:tc>
        <w:tc>
          <w:tcPr>
            <w:tcW w:w="2288" w:type="dxa"/>
            <w:vAlign w:val="center"/>
          </w:tcPr>
          <w:p w14:paraId="22C55DC7" w14:textId="77777777" w:rsidR="00185BCF" w:rsidRDefault="00185BCF" w:rsidP="00737D38">
            <w:r>
              <w:t>15.5</w:t>
            </w:r>
          </w:p>
        </w:tc>
      </w:tr>
    </w:tbl>
    <w:p w14:paraId="33355C7C" w14:textId="77777777" w:rsidR="00185BCF" w:rsidRDefault="00185BCF" w:rsidP="00185BCF">
      <w:pPr>
        <w:jc w:val="both"/>
        <w:rPr>
          <w:rFonts w:ascii="Arial" w:hAnsi="Arial" w:cs="Arial"/>
        </w:rPr>
      </w:pPr>
    </w:p>
    <w:p w14:paraId="2129C755" w14:textId="77777777" w:rsidR="00185BCF" w:rsidRPr="00B8297B" w:rsidRDefault="00185BCF" w:rsidP="00185BCF">
      <w:pPr>
        <w:jc w:val="both"/>
        <w:rPr>
          <w:rFonts w:ascii="Arial" w:hAnsi="Arial" w:cs="Arial"/>
          <w:b/>
          <w:bCs/>
        </w:rPr>
      </w:pPr>
      <w:r w:rsidRPr="00B8297B">
        <w:rPr>
          <w:rFonts w:ascii="Arial" w:hAnsi="Arial" w:cs="Arial"/>
          <w:b/>
          <w:bCs/>
        </w:rPr>
        <w:lastRenderedPageBreak/>
        <w:t>Figure 6: ERC Effectiveness findings per department</w:t>
      </w:r>
    </w:p>
    <w:p w14:paraId="5AD0C9E4" w14:textId="77777777" w:rsidR="00185BCF" w:rsidRDefault="00185BCF" w:rsidP="00185BCF">
      <w:pPr>
        <w:jc w:val="both"/>
        <w:rPr>
          <w:rFonts w:ascii="Arial" w:hAnsi="Arial" w:cs="Arial"/>
        </w:rPr>
      </w:pPr>
      <w:r>
        <w:rPr>
          <w:noProof/>
        </w:rPr>
        <w:drawing>
          <wp:anchor distT="0" distB="0" distL="114300" distR="114300" simplePos="0" relativeHeight="251666432" behindDoc="1" locked="0" layoutInCell="1" allowOverlap="1" wp14:anchorId="3020DC92" wp14:editId="652FB1F6">
            <wp:simplePos x="0" y="0"/>
            <wp:positionH relativeFrom="column">
              <wp:posOffset>-62230</wp:posOffset>
            </wp:positionH>
            <wp:positionV relativeFrom="paragraph">
              <wp:posOffset>41715</wp:posOffset>
            </wp:positionV>
            <wp:extent cx="5911215" cy="4181231"/>
            <wp:effectExtent l="0" t="0" r="0" b="0"/>
            <wp:wrapNone/>
            <wp:docPr id="2" name="Picture 2" descr="A graph with green and 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with green and red bar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911215" cy="4181231"/>
                    </a:xfrm>
                    <a:prstGeom prst="rect">
                      <a:avLst/>
                    </a:prstGeom>
                  </pic:spPr>
                </pic:pic>
              </a:graphicData>
            </a:graphic>
            <wp14:sizeRelH relativeFrom="page">
              <wp14:pctWidth>0</wp14:pctWidth>
            </wp14:sizeRelH>
            <wp14:sizeRelV relativeFrom="page">
              <wp14:pctHeight>0</wp14:pctHeight>
            </wp14:sizeRelV>
          </wp:anchor>
        </w:drawing>
      </w:r>
    </w:p>
    <w:p w14:paraId="16DE0AA5" w14:textId="77777777" w:rsidR="00185BCF" w:rsidRDefault="00185BCF" w:rsidP="00185BCF">
      <w:pPr>
        <w:jc w:val="both"/>
        <w:rPr>
          <w:rFonts w:ascii="Arial" w:hAnsi="Arial" w:cs="Arial"/>
        </w:rPr>
      </w:pPr>
    </w:p>
    <w:p w14:paraId="5F4B151C" w14:textId="77777777" w:rsidR="00185BCF" w:rsidRDefault="00185BCF" w:rsidP="00185BCF">
      <w:pPr>
        <w:jc w:val="both"/>
        <w:rPr>
          <w:rFonts w:ascii="Arial" w:hAnsi="Arial" w:cs="Arial"/>
        </w:rPr>
      </w:pPr>
    </w:p>
    <w:p w14:paraId="5E75C3B6" w14:textId="77777777" w:rsidR="00185BCF" w:rsidRDefault="00185BCF" w:rsidP="00185BCF">
      <w:pPr>
        <w:jc w:val="both"/>
        <w:rPr>
          <w:rFonts w:ascii="Arial" w:hAnsi="Arial" w:cs="Arial"/>
        </w:rPr>
      </w:pPr>
    </w:p>
    <w:p w14:paraId="66E21693" w14:textId="77777777" w:rsidR="00185BCF" w:rsidRDefault="00185BCF" w:rsidP="00185BCF">
      <w:pPr>
        <w:jc w:val="both"/>
        <w:rPr>
          <w:rFonts w:ascii="Arial" w:hAnsi="Arial" w:cs="Arial"/>
        </w:rPr>
      </w:pPr>
    </w:p>
    <w:p w14:paraId="0A88F01B" w14:textId="77777777" w:rsidR="00185BCF" w:rsidRDefault="00185BCF" w:rsidP="00185BCF">
      <w:pPr>
        <w:jc w:val="both"/>
        <w:rPr>
          <w:rFonts w:ascii="Arial" w:hAnsi="Arial" w:cs="Arial"/>
        </w:rPr>
      </w:pPr>
    </w:p>
    <w:p w14:paraId="426FE219" w14:textId="77777777" w:rsidR="00185BCF" w:rsidRDefault="00185BCF" w:rsidP="00185BCF">
      <w:pPr>
        <w:jc w:val="both"/>
        <w:rPr>
          <w:rFonts w:ascii="Arial" w:hAnsi="Arial" w:cs="Arial"/>
        </w:rPr>
      </w:pPr>
    </w:p>
    <w:p w14:paraId="5941ABF4" w14:textId="77777777" w:rsidR="00185BCF" w:rsidRDefault="00185BCF" w:rsidP="00185BCF">
      <w:pPr>
        <w:jc w:val="both"/>
        <w:rPr>
          <w:rFonts w:ascii="Arial" w:hAnsi="Arial" w:cs="Arial"/>
        </w:rPr>
      </w:pPr>
    </w:p>
    <w:p w14:paraId="476E856F" w14:textId="77777777" w:rsidR="00185BCF" w:rsidRDefault="00185BCF" w:rsidP="00185BCF">
      <w:pPr>
        <w:jc w:val="both"/>
        <w:rPr>
          <w:rFonts w:ascii="Arial" w:hAnsi="Arial" w:cs="Arial"/>
        </w:rPr>
      </w:pPr>
    </w:p>
    <w:p w14:paraId="7601CC56" w14:textId="77777777" w:rsidR="00185BCF" w:rsidRDefault="00185BCF" w:rsidP="00185BCF">
      <w:pPr>
        <w:jc w:val="both"/>
        <w:rPr>
          <w:rFonts w:ascii="Arial" w:hAnsi="Arial" w:cs="Arial"/>
        </w:rPr>
      </w:pPr>
    </w:p>
    <w:p w14:paraId="3E08F75A" w14:textId="77777777" w:rsidR="00185BCF" w:rsidRDefault="00185BCF" w:rsidP="00185BCF">
      <w:pPr>
        <w:jc w:val="both"/>
        <w:rPr>
          <w:rFonts w:ascii="Arial" w:hAnsi="Arial" w:cs="Arial"/>
        </w:rPr>
      </w:pPr>
    </w:p>
    <w:p w14:paraId="79061820" w14:textId="77777777" w:rsidR="00185BCF" w:rsidRDefault="00185BCF" w:rsidP="00185BCF">
      <w:pPr>
        <w:jc w:val="both"/>
        <w:rPr>
          <w:rFonts w:ascii="Arial" w:hAnsi="Arial" w:cs="Arial"/>
        </w:rPr>
      </w:pPr>
    </w:p>
    <w:p w14:paraId="79D87B0F" w14:textId="77777777" w:rsidR="00185BCF" w:rsidRDefault="00185BCF" w:rsidP="00185BCF">
      <w:pPr>
        <w:jc w:val="both"/>
        <w:rPr>
          <w:rFonts w:ascii="Arial" w:hAnsi="Arial" w:cs="Arial"/>
        </w:rPr>
      </w:pPr>
    </w:p>
    <w:p w14:paraId="00F5DCF9" w14:textId="77777777" w:rsidR="00185BCF" w:rsidRDefault="00185BCF" w:rsidP="00185BCF">
      <w:pPr>
        <w:jc w:val="both"/>
        <w:rPr>
          <w:rFonts w:ascii="Arial" w:hAnsi="Arial" w:cs="Arial"/>
        </w:rPr>
      </w:pPr>
    </w:p>
    <w:p w14:paraId="732AECEF" w14:textId="77777777" w:rsidR="00185BCF" w:rsidRDefault="00185BCF" w:rsidP="00185BCF">
      <w:pPr>
        <w:jc w:val="both"/>
        <w:rPr>
          <w:rFonts w:ascii="Arial" w:hAnsi="Arial" w:cs="Arial"/>
        </w:rPr>
      </w:pPr>
    </w:p>
    <w:p w14:paraId="50D07AAB" w14:textId="77777777" w:rsidR="00185BCF" w:rsidRDefault="00185BCF" w:rsidP="00185BCF">
      <w:pPr>
        <w:jc w:val="both"/>
        <w:rPr>
          <w:rFonts w:ascii="Arial" w:hAnsi="Arial" w:cs="Arial"/>
        </w:rPr>
      </w:pPr>
    </w:p>
    <w:p w14:paraId="68FEE270" w14:textId="77777777" w:rsidR="00185BCF" w:rsidRDefault="00185BCF" w:rsidP="00185BCF">
      <w:pPr>
        <w:jc w:val="both"/>
        <w:rPr>
          <w:rFonts w:ascii="Arial" w:hAnsi="Arial" w:cs="Arial"/>
        </w:rPr>
      </w:pPr>
    </w:p>
    <w:p w14:paraId="1541C73F" w14:textId="77777777" w:rsidR="00185BCF" w:rsidRDefault="00185BCF" w:rsidP="00185BCF">
      <w:pPr>
        <w:jc w:val="both"/>
        <w:rPr>
          <w:rFonts w:ascii="Arial" w:hAnsi="Arial" w:cs="Arial"/>
        </w:rPr>
      </w:pPr>
    </w:p>
    <w:p w14:paraId="17856639" w14:textId="77777777" w:rsidR="00185BCF" w:rsidRDefault="00185BCF" w:rsidP="00185BCF">
      <w:pPr>
        <w:jc w:val="both"/>
        <w:rPr>
          <w:rFonts w:ascii="Arial" w:hAnsi="Arial" w:cs="Arial"/>
        </w:rPr>
      </w:pPr>
    </w:p>
    <w:p w14:paraId="73AF643B" w14:textId="77777777" w:rsidR="00185BCF" w:rsidRDefault="00185BCF" w:rsidP="00185BCF">
      <w:pPr>
        <w:jc w:val="both"/>
        <w:rPr>
          <w:rFonts w:ascii="Arial" w:hAnsi="Arial" w:cs="Arial"/>
        </w:rPr>
      </w:pPr>
    </w:p>
    <w:p w14:paraId="2AA52F3C" w14:textId="77777777" w:rsidR="00185BCF" w:rsidRDefault="00185BCF" w:rsidP="00185BCF">
      <w:pPr>
        <w:jc w:val="both"/>
        <w:rPr>
          <w:rFonts w:ascii="Arial" w:hAnsi="Arial" w:cs="Arial"/>
        </w:rPr>
      </w:pPr>
    </w:p>
    <w:p w14:paraId="1E11D7C2" w14:textId="77777777" w:rsidR="00185BCF" w:rsidRDefault="00185BCF" w:rsidP="00185BCF">
      <w:pPr>
        <w:jc w:val="both"/>
        <w:rPr>
          <w:rFonts w:ascii="Arial" w:hAnsi="Arial" w:cs="Arial"/>
        </w:rPr>
      </w:pPr>
    </w:p>
    <w:p w14:paraId="2D8EE17A" w14:textId="77777777" w:rsidR="00185BCF" w:rsidRDefault="00185BCF" w:rsidP="00185BCF">
      <w:pPr>
        <w:jc w:val="both"/>
        <w:rPr>
          <w:rFonts w:ascii="Arial" w:hAnsi="Arial" w:cs="Arial"/>
        </w:rPr>
      </w:pPr>
    </w:p>
    <w:p w14:paraId="5D6CE168" w14:textId="77777777" w:rsidR="00185BCF" w:rsidRDefault="00185BCF" w:rsidP="00185BCF">
      <w:pPr>
        <w:jc w:val="both"/>
        <w:rPr>
          <w:rFonts w:ascii="Arial" w:hAnsi="Arial" w:cs="Arial"/>
        </w:rPr>
      </w:pPr>
    </w:p>
    <w:p w14:paraId="351035B0" w14:textId="77777777" w:rsidR="00185BCF" w:rsidRPr="00584CDE" w:rsidRDefault="00185BCF" w:rsidP="00185BCF">
      <w:pPr>
        <w:ind w:right="-52"/>
        <w:jc w:val="both"/>
        <w:rPr>
          <w:rFonts w:ascii="Arial" w:hAnsi="Arial" w:cs="Arial"/>
        </w:rPr>
      </w:pPr>
      <w:r w:rsidRPr="00584CDE">
        <w:rPr>
          <w:rFonts w:ascii="Arial" w:hAnsi="Arial" w:cs="Arial"/>
        </w:rPr>
        <w:t>Overall, most respondents feel that the ERC is effective, but a sizeable minority either do not experience it that way or are unsure. This suggests that while the ERC is known and seen as helpful by many, its impact is not yet consistent or highly visible across the workforce. In terms of organisational justice, this uneven visibility risks creating pockets of scepticism about whether concerns are heard and acted on.</w:t>
      </w:r>
    </w:p>
    <w:p w14:paraId="49E871C9" w14:textId="77777777" w:rsidR="00185BCF" w:rsidRPr="00584CDE" w:rsidRDefault="00185BCF" w:rsidP="00185BCF">
      <w:pPr>
        <w:jc w:val="both"/>
        <w:rPr>
          <w:rFonts w:ascii="Arial" w:hAnsi="Arial" w:cs="Arial"/>
        </w:rPr>
      </w:pPr>
    </w:p>
    <w:p w14:paraId="7562057B" w14:textId="77777777" w:rsidR="00185BCF" w:rsidRDefault="00185BCF" w:rsidP="00185BCF">
      <w:pPr>
        <w:jc w:val="both"/>
        <w:rPr>
          <w:rFonts w:ascii="Arial" w:hAnsi="Arial" w:cs="Arial"/>
        </w:rPr>
      </w:pPr>
      <w:r w:rsidRPr="00584CDE">
        <w:rPr>
          <w:rFonts w:ascii="Arial" w:hAnsi="Arial" w:cs="Arial"/>
        </w:rPr>
        <w:t>For improvement, the ERC should focus on strengthening communication about what it does, making case outcomes more visible in an anonymised way and engaging more systematically with departments where confidence is lower. Sharing concrete examples of issues raised and changes made and doing so on a regular cadence, is likely to convert Somewhat and Neutral views into clearer Yes responses over time and reinforce trust in formal voice mechanisms.</w:t>
      </w:r>
    </w:p>
    <w:p w14:paraId="4C793B3D" w14:textId="77777777" w:rsidR="00185BCF" w:rsidRDefault="00185BCF" w:rsidP="00185BCF">
      <w:pPr>
        <w:jc w:val="both"/>
        <w:rPr>
          <w:rFonts w:ascii="Arial" w:hAnsi="Arial" w:cs="Arial"/>
        </w:rPr>
      </w:pPr>
    </w:p>
    <w:p w14:paraId="61E2813A" w14:textId="77777777" w:rsidR="00185BCF" w:rsidRPr="00DF0A29" w:rsidRDefault="00185BCF" w:rsidP="00185BCF">
      <w:pPr>
        <w:jc w:val="both"/>
        <w:rPr>
          <w:rFonts w:ascii="Arial" w:hAnsi="Arial" w:cs="Arial"/>
          <w:b/>
          <w:bCs/>
        </w:rPr>
      </w:pPr>
      <w:r w:rsidRPr="00DF0A29">
        <w:rPr>
          <w:rFonts w:ascii="Arial" w:hAnsi="Arial" w:cs="Arial"/>
          <w:b/>
          <w:bCs/>
        </w:rPr>
        <w:t>Vertical Drill-Down and Practical Implications</w:t>
      </w:r>
    </w:p>
    <w:p w14:paraId="498487C1" w14:textId="77777777" w:rsidR="00185BCF" w:rsidRDefault="00185BCF" w:rsidP="00185BCF">
      <w:pPr>
        <w:jc w:val="both"/>
        <w:rPr>
          <w:rFonts w:ascii="Arial" w:hAnsi="Arial" w:cs="Arial"/>
        </w:rPr>
      </w:pPr>
      <w:r>
        <w:rPr>
          <w:rFonts w:ascii="Arial" w:hAnsi="Arial" w:cs="Arial"/>
        </w:rPr>
        <w:t>The survey and group session activities</w:t>
      </w:r>
      <w:r w:rsidRPr="00715F3B">
        <w:rPr>
          <w:rFonts w:ascii="Arial" w:hAnsi="Arial" w:cs="Arial"/>
        </w:rPr>
        <w:t xml:space="preserve"> validate that some verticals consistently outperform others on Communication &amp; Voice and Development. Where dispersion is wide, leaders should treat this as an opportunity for peer learning: surface the routines of higher-scoring teams (meeting cadence, decision logs, coaching habits) and standardise two or three practices across the function. </w:t>
      </w:r>
    </w:p>
    <w:p w14:paraId="7C58D059" w14:textId="77777777" w:rsidR="00185BCF" w:rsidRPr="00715F3B" w:rsidRDefault="00185BCF" w:rsidP="00185BCF">
      <w:pPr>
        <w:jc w:val="both"/>
        <w:rPr>
          <w:rFonts w:ascii="Arial" w:hAnsi="Arial" w:cs="Arial"/>
        </w:rPr>
      </w:pPr>
    </w:p>
    <w:p w14:paraId="763DF358" w14:textId="77777777" w:rsidR="00185BCF" w:rsidRDefault="00185BCF" w:rsidP="00185BCF">
      <w:pPr>
        <w:jc w:val="both"/>
        <w:rPr>
          <w:rFonts w:ascii="Arial" w:hAnsi="Arial" w:cs="Arial"/>
        </w:rPr>
      </w:pPr>
      <w:r w:rsidRPr="00715F3B">
        <w:rPr>
          <w:rFonts w:ascii="Arial" w:hAnsi="Arial" w:cs="Arial"/>
        </w:rPr>
        <w:t>A pragmatic approach is to run focused sprints in the two lowest-scoring verticals for Communication &amp; Voice and Development, while maintaining light-touch support elsewhere. This sequencing concentrates managerial attention where returns are greatest without stalling broader progress.</w:t>
      </w:r>
    </w:p>
    <w:p w14:paraId="41AD717A" w14:textId="77777777" w:rsidR="00185BCF" w:rsidRPr="00DF0A29" w:rsidRDefault="00185BCF" w:rsidP="00185BCF">
      <w:pPr>
        <w:jc w:val="both"/>
        <w:rPr>
          <w:rFonts w:ascii="Arial" w:hAnsi="Arial" w:cs="Arial"/>
          <w:b/>
          <w:bCs/>
        </w:rPr>
      </w:pPr>
      <w:r w:rsidRPr="00DF0A29">
        <w:rPr>
          <w:rFonts w:ascii="Arial" w:hAnsi="Arial" w:cs="Arial"/>
          <w:b/>
          <w:bCs/>
        </w:rPr>
        <w:lastRenderedPageBreak/>
        <w:t>Risks and Mitigations</w:t>
      </w:r>
    </w:p>
    <w:p w14:paraId="35E72E90" w14:textId="77777777" w:rsidR="00185BCF" w:rsidRDefault="00185BCF" w:rsidP="00185BCF">
      <w:pPr>
        <w:jc w:val="both"/>
        <w:rPr>
          <w:rFonts w:ascii="Arial" w:hAnsi="Arial" w:cs="Arial"/>
        </w:rPr>
      </w:pPr>
      <w:r w:rsidRPr="00715F3B">
        <w:rPr>
          <w:rFonts w:ascii="Arial" w:hAnsi="Arial" w:cs="Arial"/>
        </w:rPr>
        <w:t>Implementation risks include change overload, inconsistent manager capability</w:t>
      </w:r>
      <w:r>
        <w:rPr>
          <w:rFonts w:ascii="Arial" w:hAnsi="Arial" w:cs="Arial"/>
        </w:rPr>
        <w:t xml:space="preserve"> </w:t>
      </w:r>
      <w:r w:rsidRPr="00715F3B">
        <w:rPr>
          <w:rFonts w:ascii="Arial" w:hAnsi="Arial" w:cs="Arial"/>
        </w:rPr>
        <w:t xml:space="preserve">and limited time for process improvements. </w:t>
      </w:r>
      <w:r>
        <w:rPr>
          <w:rFonts w:ascii="Arial" w:hAnsi="Arial" w:cs="Arial"/>
        </w:rPr>
        <w:t xml:space="preserve">For Tribus to </w:t>
      </w:r>
      <w:r w:rsidRPr="00715F3B">
        <w:rPr>
          <w:rFonts w:ascii="Arial" w:hAnsi="Arial" w:cs="Arial"/>
        </w:rPr>
        <w:t xml:space="preserve">mitigate: (1) reduce scope by prioritising a few high-leverage routines; (2) equip managers </w:t>
      </w:r>
      <w:r>
        <w:rPr>
          <w:rFonts w:ascii="Arial" w:hAnsi="Arial" w:cs="Arial"/>
        </w:rPr>
        <w:t xml:space="preserve">and potentially the ERC </w:t>
      </w:r>
      <w:r w:rsidRPr="00715F3B">
        <w:rPr>
          <w:rFonts w:ascii="Arial" w:hAnsi="Arial" w:cs="Arial"/>
        </w:rPr>
        <w:t>with scripts, templates</w:t>
      </w:r>
      <w:r>
        <w:rPr>
          <w:rFonts w:ascii="Arial" w:hAnsi="Arial" w:cs="Arial"/>
        </w:rPr>
        <w:t xml:space="preserve"> </w:t>
      </w:r>
      <w:r w:rsidRPr="00715F3B">
        <w:rPr>
          <w:rFonts w:ascii="Arial" w:hAnsi="Arial" w:cs="Arial"/>
        </w:rPr>
        <w:t>and examples rather than abstract guidance; (3) timebox efforts into six two-week sprints with clear deliverables</w:t>
      </w:r>
      <w:r>
        <w:rPr>
          <w:rFonts w:ascii="Arial" w:hAnsi="Arial" w:cs="Arial"/>
        </w:rPr>
        <w:t xml:space="preserve">. </w:t>
      </w:r>
      <w:r w:rsidRPr="00715F3B">
        <w:rPr>
          <w:rFonts w:ascii="Arial" w:hAnsi="Arial" w:cs="Arial"/>
        </w:rPr>
        <w:t>(4) keep a visible scoreboard so progress is public and momentum is self-reinforcing. For ERC, the primary risk is becoming a suggestion box without teeth; publishing SLA compliance and monthly close-out rates addresses this head-on</w:t>
      </w:r>
      <w:r>
        <w:rPr>
          <w:rFonts w:ascii="Arial" w:hAnsi="Arial" w:cs="Arial"/>
        </w:rPr>
        <w:t xml:space="preserve">, as well as communicating investigations and actions that positively reinforce the message that staff members are being listened to. </w:t>
      </w:r>
    </w:p>
    <w:p w14:paraId="00F20A9B" w14:textId="77777777" w:rsidR="00185BCF" w:rsidRDefault="00185BCF" w:rsidP="00185BCF">
      <w:pPr>
        <w:jc w:val="both"/>
        <w:rPr>
          <w:rFonts w:ascii="Arial" w:hAnsi="Arial" w:cs="Arial"/>
        </w:rPr>
      </w:pPr>
    </w:p>
    <w:p w14:paraId="608D89F0" w14:textId="77777777" w:rsidR="00185BCF" w:rsidRDefault="00185BCF" w:rsidP="00185BCF">
      <w:pPr>
        <w:jc w:val="both"/>
        <w:rPr>
          <w:rFonts w:ascii="Arial" w:hAnsi="Arial" w:cs="Arial"/>
          <w:b/>
          <w:bCs/>
        </w:rPr>
      </w:pPr>
      <w:r w:rsidRPr="00DF0A29">
        <w:rPr>
          <w:rFonts w:ascii="Arial" w:hAnsi="Arial" w:cs="Arial"/>
          <w:b/>
          <w:bCs/>
        </w:rPr>
        <w:t xml:space="preserve">Detailed </w:t>
      </w:r>
      <w:r>
        <w:rPr>
          <w:rFonts w:ascii="Arial" w:hAnsi="Arial" w:cs="Arial"/>
          <w:b/>
          <w:bCs/>
        </w:rPr>
        <w:t xml:space="preserve">6 Month </w:t>
      </w:r>
      <w:r w:rsidRPr="00DF0A29">
        <w:rPr>
          <w:rFonts w:ascii="Arial" w:hAnsi="Arial" w:cs="Arial"/>
          <w:b/>
          <w:bCs/>
        </w:rPr>
        <w:t>Implementation Plan</w:t>
      </w:r>
    </w:p>
    <w:p w14:paraId="30F1ADC8" w14:textId="77777777" w:rsidR="00185BCF" w:rsidRPr="00DF0A29" w:rsidRDefault="00185BCF" w:rsidP="00185BCF">
      <w:pPr>
        <w:jc w:val="both"/>
        <w:rPr>
          <w:rFonts w:ascii="Arial" w:hAnsi="Arial" w:cs="Arial"/>
          <w:b/>
          <w:bCs/>
        </w:rPr>
      </w:pPr>
    </w:p>
    <w:p w14:paraId="42A49EAF" w14:textId="77777777" w:rsidR="00185BCF" w:rsidRPr="007022D7" w:rsidRDefault="00185BCF" w:rsidP="00185BCF">
      <w:pPr>
        <w:jc w:val="both"/>
        <w:rPr>
          <w:rFonts w:ascii="Arial" w:hAnsi="Arial" w:cs="Arial"/>
          <w:b/>
          <w:bCs/>
        </w:rPr>
      </w:pPr>
      <w:r w:rsidRPr="007022D7">
        <w:rPr>
          <w:rFonts w:ascii="Arial" w:hAnsi="Arial" w:cs="Arial"/>
          <w:b/>
          <w:bCs/>
        </w:rPr>
        <w:t>Workstream 1: Communication &amp; Voice</w:t>
      </w:r>
    </w:p>
    <w:p w14:paraId="40686EEC" w14:textId="77777777" w:rsidR="00185BCF" w:rsidRPr="00F40D08" w:rsidRDefault="00185BCF" w:rsidP="00185BCF">
      <w:pPr>
        <w:jc w:val="both"/>
        <w:rPr>
          <w:rFonts w:ascii="Arial" w:hAnsi="Arial" w:cs="Arial"/>
        </w:rPr>
      </w:pPr>
      <w:r w:rsidRPr="00F40D08">
        <w:rPr>
          <w:rFonts w:ascii="Arial" w:hAnsi="Arial" w:cs="Arial"/>
        </w:rPr>
        <w:t>Objective: Increase predictability and trust in internal communication and strengthen employee voice mechanisms.</w:t>
      </w:r>
    </w:p>
    <w:p w14:paraId="01743B4A" w14:textId="77777777" w:rsidR="00185BCF" w:rsidRPr="00F40D08" w:rsidRDefault="00185BCF" w:rsidP="00185BCF">
      <w:pPr>
        <w:jc w:val="both"/>
        <w:rPr>
          <w:rFonts w:ascii="Arial" w:hAnsi="Arial" w:cs="Arial"/>
        </w:rPr>
      </w:pPr>
      <w:r w:rsidRPr="00F40D08">
        <w:rPr>
          <w:rFonts w:ascii="Arial" w:hAnsi="Arial" w:cs="Arial"/>
        </w:rPr>
        <w:t>Scope: monthly vertical huddles, decision summaries and ERC operating rhythm. Cadence: monthly huddle (30 minutes) and “you said, we did” updates. Owners: vertical heads; ERC chair for council rhythm.</w:t>
      </w:r>
    </w:p>
    <w:p w14:paraId="63133A68" w14:textId="77777777" w:rsidR="00185BCF" w:rsidRPr="00F40D08" w:rsidRDefault="00185BCF" w:rsidP="00185BCF">
      <w:pPr>
        <w:jc w:val="both"/>
        <w:rPr>
          <w:rFonts w:ascii="Arial" w:hAnsi="Arial" w:cs="Arial"/>
        </w:rPr>
      </w:pPr>
    </w:p>
    <w:p w14:paraId="73B48E48" w14:textId="77777777" w:rsidR="00185BCF" w:rsidRPr="00F40D08" w:rsidRDefault="00185BCF" w:rsidP="00185BCF">
      <w:pPr>
        <w:jc w:val="both"/>
        <w:rPr>
          <w:rFonts w:ascii="Arial" w:hAnsi="Arial" w:cs="Arial"/>
        </w:rPr>
      </w:pPr>
      <w:r w:rsidRPr="00F40D08">
        <w:rPr>
          <w:rFonts w:ascii="Arial" w:hAnsi="Arial" w:cs="Arial"/>
        </w:rPr>
        <w:t>Key deliverables by month: Month 1: define huddle agenda template and decision log; publish first “you said, we did.” Month 2: baseline ERC intake-to-close SLA; publish dashboard. Month 3: coach leads and ERC members on concise written updates; audit adherence. Months 4–6: stabilise cadence, address backlog and showcase exemplars in leadership forum and the Tribus newsletter.</w:t>
      </w:r>
    </w:p>
    <w:p w14:paraId="70C3580A" w14:textId="77777777" w:rsidR="00185BCF" w:rsidRPr="00F40D08" w:rsidRDefault="00185BCF" w:rsidP="00185BCF">
      <w:pPr>
        <w:jc w:val="both"/>
        <w:rPr>
          <w:rFonts w:ascii="Arial" w:hAnsi="Arial" w:cs="Arial"/>
        </w:rPr>
      </w:pPr>
    </w:p>
    <w:p w14:paraId="11156974" w14:textId="77777777" w:rsidR="00185BCF" w:rsidRPr="007022D7" w:rsidRDefault="00185BCF" w:rsidP="00185BCF">
      <w:pPr>
        <w:jc w:val="both"/>
        <w:rPr>
          <w:rFonts w:ascii="Arial" w:hAnsi="Arial" w:cs="Arial"/>
          <w:b/>
          <w:bCs/>
        </w:rPr>
      </w:pPr>
      <w:r w:rsidRPr="007022D7">
        <w:rPr>
          <w:rFonts w:ascii="Arial" w:hAnsi="Arial" w:cs="Arial"/>
          <w:b/>
          <w:bCs/>
        </w:rPr>
        <w:t>Workstream 2: Role Clarity &amp; Growth</w:t>
      </w:r>
    </w:p>
    <w:p w14:paraId="7D7B3751" w14:textId="77777777" w:rsidR="00185BCF" w:rsidRPr="00F40D08" w:rsidRDefault="00185BCF" w:rsidP="00185BCF">
      <w:pPr>
        <w:jc w:val="both"/>
        <w:rPr>
          <w:rFonts w:ascii="Arial" w:hAnsi="Arial" w:cs="Arial"/>
        </w:rPr>
      </w:pPr>
      <w:r w:rsidRPr="00F40D08">
        <w:rPr>
          <w:rFonts w:ascii="Arial" w:hAnsi="Arial" w:cs="Arial"/>
        </w:rPr>
        <w:t>Objective: Make roles and growth paths unambiguous. Scope: JD/KPI hygiene, progression maps (IC/manager tracks), quarterly growth conversations. Cadence: JD/KPI completion by Week 8; progression maps by Week 10; growth conversations each quarter. Owners: HR/People for templates; line managers for execution; VPs for oversight.</w:t>
      </w:r>
    </w:p>
    <w:p w14:paraId="7B0616C2" w14:textId="77777777" w:rsidR="00185BCF" w:rsidRPr="00F40D08" w:rsidRDefault="00185BCF" w:rsidP="00185BCF">
      <w:pPr>
        <w:jc w:val="both"/>
        <w:rPr>
          <w:rFonts w:ascii="Arial" w:hAnsi="Arial" w:cs="Arial"/>
        </w:rPr>
      </w:pPr>
    </w:p>
    <w:p w14:paraId="33A405E4" w14:textId="77777777" w:rsidR="00185BCF" w:rsidRPr="00F40D08" w:rsidRDefault="00185BCF" w:rsidP="00185BCF">
      <w:pPr>
        <w:jc w:val="both"/>
        <w:rPr>
          <w:rFonts w:ascii="Arial" w:hAnsi="Arial" w:cs="Arial"/>
        </w:rPr>
      </w:pPr>
      <w:r w:rsidRPr="00F40D08">
        <w:rPr>
          <w:rFonts w:ascii="Arial" w:hAnsi="Arial" w:cs="Arial"/>
        </w:rPr>
        <w:t>Key deliverables by month: Month 1: finalise JD/KPI templates and e-sign flow; pilot in two verticals. Month 2: complete 90% JD/KPI sign-off; publish progression maps. Month 3: run first growth conversations; collect completion stats. Months 4–6: targeted coaching for outlier teams; refine maps with examples.</w:t>
      </w:r>
    </w:p>
    <w:p w14:paraId="3682C795" w14:textId="77777777" w:rsidR="00185BCF" w:rsidRPr="00F40D08" w:rsidRDefault="00185BCF" w:rsidP="00185BCF">
      <w:pPr>
        <w:jc w:val="both"/>
        <w:rPr>
          <w:rFonts w:ascii="Arial" w:hAnsi="Arial" w:cs="Arial"/>
        </w:rPr>
      </w:pPr>
    </w:p>
    <w:p w14:paraId="522F6B1B" w14:textId="77777777" w:rsidR="00185BCF" w:rsidRPr="007022D7" w:rsidRDefault="00185BCF" w:rsidP="00185BCF">
      <w:pPr>
        <w:jc w:val="both"/>
        <w:rPr>
          <w:rFonts w:ascii="Arial" w:hAnsi="Arial" w:cs="Arial"/>
          <w:b/>
          <w:bCs/>
        </w:rPr>
      </w:pPr>
      <w:r w:rsidRPr="007022D7">
        <w:rPr>
          <w:rFonts w:ascii="Arial" w:hAnsi="Arial" w:cs="Arial"/>
          <w:b/>
          <w:bCs/>
        </w:rPr>
        <w:t>Workstream 3: Wellbeing &amp; Flexibility</w:t>
      </w:r>
    </w:p>
    <w:p w14:paraId="002CCBB2" w14:textId="77777777" w:rsidR="00185BCF" w:rsidRPr="00F40D08" w:rsidRDefault="00185BCF" w:rsidP="00185BCF">
      <w:pPr>
        <w:jc w:val="both"/>
        <w:rPr>
          <w:rFonts w:ascii="Arial" w:hAnsi="Arial" w:cs="Arial"/>
        </w:rPr>
      </w:pPr>
      <w:r w:rsidRPr="00F40D08">
        <w:rPr>
          <w:rFonts w:ascii="Arial" w:hAnsi="Arial" w:cs="Arial"/>
        </w:rPr>
        <w:t>Objective: Reduce friction and protect energy. Scope: team workload checks, micro-flex pilots, manager signposting scripts. Cadence: weekly team routines; pilots launched by Month 2. Owners: Operations for rota mechanics; HR for policy guardrails; managers for day-to-day routines.</w:t>
      </w:r>
    </w:p>
    <w:p w14:paraId="518F19D2" w14:textId="77777777" w:rsidR="00185BCF" w:rsidRPr="00F40D08" w:rsidRDefault="00185BCF" w:rsidP="00185BCF">
      <w:pPr>
        <w:jc w:val="both"/>
        <w:rPr>
          <w:rFonts w:ascii="Arial" w:hAnsi="Arial" w:cs="Arial"/>
        </w:rPr>
      </w:pPr>
    </w:p>
    <w:p w14:paraId="79DE62EE" w14:textId="77777777" w:rsidR="00185BCF" w:rsidRDefault="00185BCF" w:rsidP="00185BCF">
      <w:pPr>
        <w:jc w:val="both"/>
        <w:rPr>
          <w:rFonts w:ascii="Arial" w:hAnsi="Arial" w:cs="Arial"/>
        </w:rPr>
      </w:pPr>
      <w:r w:rsidRPr="00F40D08">
        <w:rPr>
          <w:rFonts w:ascii="Arial" w:hAnsi="Arial" w:cs="Arial"/>
        </w:rPr>
        <w:t>Key deliverables by month: Month 1: publish manager micro-guide; choose two micro-flex pilots. Month 2: launch pilots; train managers on workload checks. Month 3: review utilisation and outcomes; expand successful pilots. Months 4–6: embed routines; publish quarterly wellbeing snapshot and brief monthly updates.</w:t>
      </w:r>
    </w:p>
    <w:p w14:paraId="63864449" w14:textId="77777777" w:rsidR="00185BCF" w:rsidRPr="00F40D08" w:rsidRDefault="00185BCF" w:rsidP="00185BCF">
      <w:pPr>
        <w:jc w:val="both"/>
        <w:rPr>
          <w:rFonts w:ascii="Arial" w:hAnsi="Arial" w:cs="Arial"/>
        </w:rPr>
      </w:pPr>
    </w:p>
    <w:p w14:paraId="30F6A03A" w14:textId="77777777" w:rsidR="00185BCF" w:rsidRPr="00DF0A29" w:rsidRDefault="00185BCF" w:rsidP="00185BCF">
      <w:pPr>
        <w:jc w:val="both"/>
        <w:rPr>
          <w:rFonts w:ascii="Arial" w:hAnsi="Arial" w:cs="Arial"/>
          <w:b/>
          <w:bCs/>
        </w:rPr>
      </w:pPr>
      <w:r w:rsidRPr="00DF0A29">
        <w:rPr>
          <w:rFonts w:ascii="Arial" w:hAnsi="Arial" w:cs="Arial"/>
          <w:b/>
          <w:bCs/>
        </w:rPr>
        <w:lastRenderedPageBreak/>
        <w:t>Limitations</w:t>
      </w:r>
      <w:r>
        <w:rPr>
          <w:rFonts w:ascii="Arial" w:hAnsi="Arial" w:cs="Arial"/>
          <w:b/>
          <w:bCs/>
        </w:rPr>
        <w:t xml:space="preserve">, </w:t>
      </w:r>
      <w:r w:rsidRPr="00DF0A29">
        <w:rPr>
          <w:rFonts w:ascii="Arial" w:hAnsi="Arial" w:cs="Arial"/>
          <w:b/>
          <w:bCs/>
        </w:rPr>
        <w:t>Assumptions</w:t>
      </w:r>
      <w:r>
        <w:rPr>
          <w:rFonts w:ascii="Arial" w:hAnsi="Arial" w:cs="Arial"/>
          <w:b/>
          <w:bCs/>
        </w:rPr>
        <w:t xml:space="preserve"> and Close Out</w:t>
      </w:r>
    </w:p>
    <w:p w14:paraId="006DA6A5" w14:textId="77777777" w:rsidR="00185BCF" w:rsidRPr="0035525E" w:rsidRDefault="00185BCF" w:rsidP="00185BCF">
      <w:pPr>
        <w:jc w:val="both"/>
        <w:rPr>
          <w:rFonts w:ascii="Arial" w:hAnsi="Arial" w:cs="Arial"/>
        </w:rPr>
      </w:pPr>
      <w:r w:rsidRPr="355EFD67">
        <w:rPr>
          <w:rFonts w:ascii="Arial" w:hAnsi="Arial" w:cs="Arial"/>
        </w:rPr>
        <w:t xml:space="preserve">Uptake was </w:t>
      </w:r>
      <w:r>
        <w:rPr>
          <w:rFonts w:ascii="Arial" w:hAnsi="Arial" w:cs="Arial"/>
        </w:rPr>
        <w:t>31.8% of the workforce</w:t>
      </w:r>
      <w:r w:rsidRPr="355EFD67">
        <w:rPr>
          <w:rFonts w:ascii="Arial" w:hAnsi="Arial" w:cs="Arial"/>
        </w:rPr>
        <w:t xml:space="preserve"> (207</w:t>
      </w:r>
      <w:r>
        <w:rPr>
          <w:rFonts w:ascii="Arial" w:hAnsi="Arial" w:cs="Arial"/>
        </w:rPr>
        <w:t xml:space="preserve"> </w:t>
      </w:r>
      <w:r w:rsidRPr="355EFD67">
        <w:rPr>
          <w:rFonts w:ascii="Arial" w:hAnsi="Arial" w:cs="Arial"/>
        </w:rPr>
        <w:t>of 650 staff) and it is plausible that non</w:t>
      </w:r>
      <w:r w:rsidRPr="355EFD67">
        <w:rPr>
          <w:rFonts w:ascii="Cambria Math" w:hAnsi="Cambria Math" w:cs="Cambria Math"/>
        </w:rPr>
        <w:t>‑</w:t>
      </w:r>
      <w:r w:rsidRPr="355EFD67">
        <w:rPr>
          <w:rFonts w:ascii="Arial" w:hAnsi="Arial" w:cs="Arial"/>
        </w:rPr>
        <w:t>respondents include more disengaged employees who did not see visible impact from the 2023 survey or were unavailable during fieldwork. Some pockets of lower engagement may therefore be under</w:t>
      </w:r>
      <w:r w:rsidRPr="355EFD67">
        <w:rPr>
          <w:rFonts w:ascii="Cambria Math" w:hAnsi="Cambria Math" w:cs="Cambria Math"/>
        </w:rPr>
        <w:t>‑</w:t>
      </w:r>
      <w:r w:rsidRPr="355EFD67">
        <w:rPr>
          <w:rFonts w:ascii="Arial" w:hAnsi="Arial" w:cs="Arial"/>
        </w:rPr>
        <w:t>represented.</w:t>
      </w:r>
    </w:p>
    <w:p w14:paraId="099EA5B1" w14:textId="77777777" w:rsidR="00185BCF" w:rsidRPr="0035525E" w:rsidRDefault="00185BCF" w:rsidP="00185BCF">
      <w:pPr>
        <w:jc w:val="both"/>
        <w:rPr>
          <w:rFonts w:ascii="Arial" w:hAnsi="Arial" w:cs="Arial"/>
        </w:rPr>
      </w:pPr>
    </w:p>
    <w:p w14:paraId="26472F0D" w14:textId="77777777" w:rsidR="00185BCF" w:rsidRPr="0035525E" w:rsidRDefault="00185BCF" w:rsidP="00185BCF">
      <w:pPr>
        <w:jc w:val="both"/>
        <w:rPr>
          <w:rFonts w:ascii="Arial" w:hAnsi="Arial" w:cs="Arial"/>
        </w:rPr>
      </w:pPr>
      <w:r w:rsidRPr="0035525E">
        <w:rPr>
          <w:rFonts w:ascii="Arial" w:hAnsi="Arial" w:cs="Arial"/>
        </w:rPr>
        <w:t>Based on informal feedback gathered during the group sessions, practical steps could include clearer leadership communication about how results from the 2023 and 2025 surveys are acted on, visible follow</w:t>
      </w:r>
      <w:r w:rsidRPr="0035525E">
        <w:rPr>
          <w:rFonts w:ascii="Cambria Math" w:hAnsi="Cambria Math" w:cs="Cambria Math"/>
        </w:rPr>
        <w:t>‑</w:t>
      </w:r>
      <w:r w:rsidRPr="0035525E">
        <w:rPr>
          <w:rFonts w:ascii="Arial" w:hAnsi="Arial" w:cs="Arial"/>
        </w:rPr>
        <w:t>through on agreed actions and targeted reminders in hard</w:t>
      </w:r>
      <w:r w:rsidRPr="0035525E">
        <w:rPr>
          <w:rFonts w:ascii="Cambria Math" w:hAnsi="Cambria Math" w:cs="Cambria Math"/>
        </w:rPr>
        <w:t>‑</w:t>
      </w:r>
      <w:r w:rsidRPr="0035525E">
        <w:rPr>
          <w:rFonts w:ascii="Arial" w:hAnsi="Arial" w:cs="Arial"/>
        </w:rPr>
        <w:t>to</w:t>
      </w:r>
      <w:r w:rsidRPr="0035525E">
        <w:rPr>
          <w:rFonts w:ascii="Cambria Math" w:hAnsi="Cambria Math" w:cs="Cambria Math"/>
        </w:rPr>
        <w:t>‑</w:t>
      </w:r>
      <w:r w:rsidRPr="0035525E">
        <w:rPr>
          <w:rFonts w:ascii="Arial" w:hAnsi="Arial" w:cs="Arial"/>
        </w:rPr>
        <w:t>reach locations. Emphasising anonymity, giving simple examples of changes made because of previous feedback and allowing time within shifts to complete the survey are likely to increase participation, particularly among more sceptical or fatigued staff. For example, several disciplinary and contract decisions were taken forward where survey feedback highlighted concerns and subsequent HR investigation substantiated them; making such follow</w:t>
      </w:r>
      <w:r w:rsidRPr="0035525E">
        <w:rPr>
          <w:rFonts w:ascii="Cambria Math" w:hAnsi="Cambria Math" w:cs="Cambria Math"/>
        </w:rPr>
        <w:t>‑</w:t>
      </w:r>
      <w:r w:rsidRPr="0035525E">
        <w:rPr>
          <w:rFonts w:ascii="Arial" w:hAnsi="Arial" w:cs="Arial"/>
        </w:rPr>
        <w:t>through visible in an anonymised way can help demonstrate that staff input leads to real consequences.</w:t>
      </w:r>
    </w:p>
    <w:p w14:paraId="13E4CA19" w14:textId="77777777" w:rsidR="00185BCF" w:rsidRPr="0035525E" w:rsidRDefault="00185BCF" w:rsidP="00185BCF">
      <w:pPr>
        <w:jc w:val="both"/>
        <w:rPr>
          <w:rFonts w:ascii="Arial" w:hAnsi="Arial" w:cs="Arial"/>
        </w:rPr>
      </w:pPr>
    </w:p>
    <w:p w14:paraId="4B29DE09" w14:textId="77777777" w:rsidR="00185BCF" w:rsidRPr="0035525E" w:rsidRDefault="00185BCF" w:rsidP="00185BCF">
      <w:pPr>
        <w:jc w:val="both"/>
        <w:rPr>
          <w:rFonts w:ascii="Arial" w:hAnsi="Arial" w:cs="Arial"/>
        </w:rPr>
      </w:pPr>
      <w:r w:rsidRPr="0035525E">
        <w:rPr>
          <w:rFonts w:ascii="Arial" w:hAnsi="Arial" w:cs="Arial"/>
        </w:rPr>
        <w:t>The analysis is based on a cross</w:t>
      </w:r>
      <w:r w:rsidRPr="0035525E">
        <w:rPr>
          <w:rFonts w:ascii="Cambria Math" w:hAnsi="Cambria Math" w:cs="Cambria Math"/>
        </w:rPr>
        <w:t>‑</w:t>
      </w:r>
      <w:r w:rsidRPr="0035525E">
        <w:rPr>
          <w:rFonts w:ascii="Arial" w:hAnsi="Arial" w:cs="Arial"/>
        </w:rPr>
        <w:t>sectional, self</w:t>
      </w:r>
      <w:r w:rsidRPr="0035525E">
        <w:rPr>
          <w:rFonts w:ascii="Cambria Math" w:hAnsi="Cambria Math" w:cs="Cambria Math"/>
        </w:rPr>
        <w:t>‑</w:t>
      </w:r>
      <w:r w:rsidRPr="0035525E">
        <w:rPr>
          <w:rFonts w:ascii="Arial" w:hAnsi="Arial" w:cs="Arial"/>
        </w:rPr>
        <w:t>report survey and is therefore subject to the usual limitations of perceptual data, including potential recency effects, localised issues and social desirability bias. Although mapping ordinal responses onto a 1–5 numerical scale supports comparability and index construction, it does not convert the data into interval</w:t>
      </w:r>
      <w:r w:rsidRPr="0035525E">
        <w:rPr>
          <w:rFonts w:ascii="Cambria Math" w:hAnsi="Cambria Math" w:cs="Cambria Math"/>
        </w:rPr>
        <w:t>‑</w:t>
      </w:r>
      <w:r w:rsidRPr="0035525E">
        <w:rPr>
          <w:rFonts w:ascii="Arial" w:hAnsi="Arial" w:cs="Arial"/>
        </w:rPr>
        <w:t>level measurements. For this reason, the researcher prioritised non</w:t>
      </w:r>
      <w:r w:rsidRPr="0035525E">
        <w:rPr>
          <w:rFonts w:ascii="Cambria Math" w:hAnsi="Cambria Math" w:cs="Cambria Math"/>
        </w:rPr>
        <w:t>‑</w:t>
      </w:r>
      <w:r w:rsidRPr="0035525E">
        <w:rPr>
          <w:rFonts w:ascii="Arial" w:hAnsi="Arial" w:cs="Arial"/>
        </w:rPr>
        <w:t>parametric techniques and placed greater emphasis on the size and stability of differences than on marginal p</w:t>
      </w:r>
      <w:r w:rsidRPr="0035525E">
        <w:rPr>
          <w:rFonts w:ascii="Cambria Math" w:hAnsi="Cambria Math" w:cs="Cambria Math"/>
        </w:rPr>
        <w:t>‑</w:t>
      </w:r>
      <w:r w:rsidRPr="0035525E">
        <w:rPr>
          <w:rFonts w:ascii="Arial" w:hAnsi="Arial" w:cs="Arial"/>
        </w:rPr>
        <w:t>values. Some functions and tenure segments are relatively small and were interpreted cautiously during the group sessions. The survey also captures perceptions at a single point in time prior to implementation of the proposed roadmap; follow</w:t>
      </w:r>
      <w:r w:rsidRPr="0035525E">
        <w:rPr>
          <w:rFonts w:ascii="Cambria Math" w:hAnsi="Cambria Math" w:cs="Cambria Math"/>
        </w:rPr>
        <w:t>‑</w:t>
      </w:r>
      <w:r w:rsidRPr="0035525E">
        <w:rPr>
          <w:rFonts w:ascii="Arial" w:hAnsi="Arial" w:cs="Arial"/>
        </w:rPr>
        <w:t>up measurement will be required to attribute observed changes in satisfaction, retention or performance to specific interventions with greater confidence. As the researcher is also the MD of the company, there is a clear line of sight to implementing these changes and commissioning follow</w:t>
      </w:r>
      <w:r w:rsidRPr="0035525E">
        <w:rPr>
          <w:rFonts w:ascii="Cambria Math" w:hAnsi="Cambria Math" w:cs="Cambria Math"/>
        </w:rPr>
        <w:t>‑</w:t>
      </w:r>
      <w:r w:rsidRPr="0035525E">
        <w:rPr>
          <w:rFonts w:ascii="Arial" w:hAnsi="Arial" w:cs="Arial"/>
        </w:rPr>
        <w:t>up studies.</w:t>
      </w:r>
    </w:p>
    <w:p w14:paraId="2037E343" w14:textId="77777777" w:rsidR="00185BCF" w:rsidRPr="0035525E" w:rsidRDefault="00185BCF" w:rsidP="00185BCF">
      <w:pPr>
        <w:jc w:val="both"/>
        <w:rPr>
          <w:rFonts w:ascii="Arial" w:hAnsi="Arial" w:cs="Arial"/>
        </w:rPr>
      </w:pPr>
    </w:p>
    <w:p w14:paraId="1B16575C" w14:textId="77777777" w:rsidR="00185BCF" w:rsidRPr="0035525E" w:rsidRDefault="00185BCF" w:rsidP="00185BCF">
      <w:pPr>
        <w:jc w:val="both"/>
        <w:rPr>
          <w:rFonts w:ascii="Arial" w:hAnsi="Arial" w:cs="Arial"/>
        </w:rPr>
      </w:pPr>
      <w:r w:rsidRPr="0035525E">
        <w:rPr>
          <w:rFonts w:ascii="Arial" w:hAnsi="Arial" w:cs="Arial"/>
        </w:rPr>
        <w:t>Overall, the findings suggest that Tribus has a broadly engaged workforce that values teamwork, flexibility and the core value proposition, but is increasingly sensitive to gaps in communication closure, progression clarity and consistent application of standards. The four indices, plus the ERC insights, point to a small number of high</w:t>
      </w:r>
      <w:r w:rsidRPr="0035525E">
        <w:rPr>
          <w:rFonts w:ascii="Cambria Math" w:hAnsi="Cambria Math" w:cs="Cambria Math"/>
        </w:rPr>
        <w:t>‑</w:t>
      </w:r>
      <w:r w:rsidRPr="0035525E">
        <w:rPr>
          <w:rFonts w:ascii="Arial" w:hAnsi="Arial" w:cs="Arial"/>
        </w:rPr>
        <w:t>leverage levers rather than a need for wholesale redesign. In particular, how Tribus onboards, listens and follows through on concerns appears as important as the underlying terms and conditions.</w:t>
      </w:r>
    </w:p>
    <w:p w14:paraId="43222BFB" w14:textId="77777777" w:rsidR="00185BCF" w:rsidRPr="0035525E" w:rsidRDefault="00185BCF" w:rsidP="00185BCF">
      <w:pPr>
        <w:jc w:val="both"/>
        <w:rPr>
          <w:rFonts w:ascii="Arial" w:hAnsi="Arial" w:cs="Arial"/>
        </w:rPr>
      </w:pPr>
    </w:p>
    <w:p w14:paraId="10FE0192" w14:textId="77777777" w:rsidR="00185BCF" w:rsidRDefault="00185BCF" w:rsidP="00185BCF">
      <w:pPr>
        <w:jc w:val="both"/>
        <w:rPr>
          <w:rFonts w:ascii="Arial" w:hAnsi="Arial" w:cs="Arial"/>
        </w:rPr>
      </w:pPr>
      <w:r w:rsidRPr="0035525E">
        <w:rPr>
          <w:rFonts w:ascii="Arial" w:hAnsi="Arial" w:cs="Arial"/>
        </w:rPr>
        <w:t>These themes directly informed the suggested improvement plan and the proposed measures for tracking progress over the next year.</w:t>
      </w:r>
    </w:p>
    <w:p w14:paraId="7B8EF927" w14:textId="77777777" w:rsidR="00185BCF" w:rsidRDefault="00185BCF" w:rsidP="00185BCF">
      <w:pPr>
        <w:jc w:val="both"/>
        <w:rPr>
          <w:rFonts w:ascii="Arial" w:hAnsi="Arial" w:cs="Arial"/>
        </w:rPr>
      </w:pPr>
    </w:p>
    <w:p w14:paraId="36F9596F" w14:textId="77777777" w:rsidR="00185BCF" w:rsidRDefault="00185BCF" w:rsidP="00185BCF">
      <w:pPr>
        <w:jc w:val="both"/>
        <w:rPr>
          <w:rFonts w:ascii="Arial" w:hAnsi="Arial" w:cs="Arial"/>
        </w:rPr>
      </w:pPr>
    </w:p>
    <w:p w14:paraId="16E8D25D" w14:textId="77777777" w:rsidR="00185BCF" w:rsidRDefault="00185BCF" w:rsidP="00185BCF">
      <w:pPr>
        <w:jc w:val="both"/>
        <w:rPr>
          <w:rFonts w:ascii="Arial" w:hAnsi="Arial" w:cs="Arial"/>
        </w:rPr>
      </w:pPr>
    </w:p>
    <w:p w14:paraId="7CDB07DB" w14:textId="77777777" w:rsidR="00185BCF" w:rsidRDefault="00185BCF" w:rsidP="00185BCF">
      <w:pPr>
        <w:jc w:val="both"/>
        <w:rPr>
          <w:rFonts w:ascii="Arial" w:hAnsi="Arial" w:cs="Arial"/>
        </w:rPr>
      </w:pPr>
    </w:p>
    <w:p w14:paraId="79C96719" w14:textId="77777777" w:rsidR="00185BCF" w:rsidRDefault="00185BCF" w:rsidP="00185BCF">
      <w:pPr>
        <w:jc w:val="both"/>
        <w:rPr>
          <w:rFonts w:ascii="Arial" w:hAnsi="Arial" w:cs="Arial"/>
        </w:rPr>
      </w:pPr>
    </w:p>
    <w:p w14:paraId="3E8524BD" w14:textId="77777777" w:rsidR="00185BCF" w:rsidRDefault="00185BCF" w:rsidP="00185BCF">
      <w:pPr>
        <w:jc w:val="both"/>
        <w:rPr>
          <w:rFonts w:ascii="Arial" w:hAnsi="Arial" w:cs="Arial"/>
        </w:rPr>
      </w:pPr>
    </w:p>
    <w:p w14:paraId="14DF4DD7" w14:textId="77777777" w:rsidR="00185BCF" w:rsidRDefault="00185BCF" w:rsidP="00185BCF">
      <w:pPr>
        <w:jc w:val="both"/>
        <w:rPr>
          <w:rFonts w:ascii="Arial" w:hAnsi="Arial" w:cs="Arial"/>
        </w:rPr>
      </w:pPr>
    </w:p>
    <w:p w14:paraId="55B9E927" w14:textId="77777777" w:rsidR="00185BCF" w:rsidRDefault="00185BCF" w:rsidP="00185BCF">
      <w:pPr>
        <w:jc w:val="both"/>
        <w:rPr>
          <w:rFonts w:ascii="Arial" w:hAnsi="Arial" w:cs="Arial"/>
        </w:rPr>
      </w:pPr>
    </w:p>
    <w:p w14:paraId="583251E9" w14:textId="77777777" w:rsidR="00185BCF" w:rsidRPr="0088699A" w:rsidRDefault="00185BCF" w:rsidP="00185BCF">
      <w:pPr>
        <w:jc w:val="both"/>
        <w:rPr>
          <w:rFonts w:ascii="Arial" w:hAnsi="Arial" w:cs="Arial"/>
          <w:b/>
          <w:bCs/>
        </w:rPr>
      </w:pPr>
      <w:r w:rsidRPr="0088699A">
        <w:rPr>
          <w:rFonts w:ascii="Arial" w:hAnsi="Arial" w:cs="Arial"/>
          <w:b/>
          <w:bCs/>
        </w:rPr>
        <w:lastRenderedPageBreak/>
        <w:t>References</w:t>
      </w:r>
    </w:p>
    <w:p w14:paraId="1D7D4232" w14:textId="77777777" w:rsidR="00185BCF" w:rsidRDefault="00185BCF" w:rsidP="00185BCF">
      <w:pPr>
        <w:jc w:val="both"/>
        <w:rPr>
          <w:rFonts w:ascii="Arial" w:hAnsi="Arial" w:cs="Arial"/>
        </w:rPr>
      </w:pPr>
      <w:r w:rsidRPr="00813ED1">
        <w:rPr>
          <w:rFonts w:ascii="Arial" w:hAnsi="Arial" w:cs="Arial"/>
        </w:rPr>
        <w:t>Berger, R. (2015) ‘Now I see it, now I don’t: Researcher’s position and reflexivity in qualitative research’, Qualitative Research, 15(2), pp. 219–234.</w:t>
      </w:r>
    </w:p>
    <w:p w14:paraId="696136E0" w14:textId="77777777" w:rsidR="00185BCF" w:rsidRDefault="00185BCF" w:rsidP="00185BCF">
      <w:pPr>
        <w:jc w:val="both"/>
        <w:rPr>
          <w:rFonts w:ascii="Arial" w:hAnsi="Arial" w:cs="Arial"/>
        </w:rPr>
      </w:pPr>
      <w:r w:rsidRPr="00C40797">
        <w:rPr>
          <w:rFonts w:ascii="Arial" w:hAnsi="Arial" w:cs="Arial"/>
        </w:rPr>
        <w:t>Boateng, G.O., Neilands, T.B., Frongillo, E.A., Melgar-Quiñonez, H.R. and Young, S.L. (2018) ‘Best practices for developing and validating scales for health, social, and behavioral research: A primer’, Frontiers in Public Health, 6, pp. 1–18. Available at:</w:t>
      </w:r>
      <w:r w:rsidRPr="00C40797">
        <w:t xml:space="preserve"> </w:t>
      </w:r>
      <w:r w:rsidRPr="00C40797">
        <w:rPr>
          <w:rFonts w:ascii="Arial" w:hAnsi="Arial" w:cs="Arial"/>
        </w:rPr>
        <w:t>https://www.frontiersin.org/articles/10.3389/fpubh.2018.00149/full (Accessed: 16 January 2026).</w:t>
      </w:r>
    </w:p>
    <w:p w14:paraId="518330DA" w14:textId="77777777" w:rsidR="00185BCF" w:rsidRPr="00813ED1" w:rsidRDefault="00185BCF" w:rsidP="00185BCF">
      <w:pPr>
        <w:jc w:val="both"/>
        <w:rPr>
          <w:rFonts w:ascii="Arial" w:hAnsi="Arial" w:cs="Arial"/>
        </w:rPr>
      </w:pPr>
      <w:r w:rsidRPr="00813ED1">
        <w:rPr>
          <w:rFonts w:ascii="Arial" w:hAnsi="Arial" w:cs="Arial"/>
        </w:rPr>
        <w:t>Brannick, T. and Coghlan, D. (2007) ‘In defense of being “native”: The case for insider academic research’, Organizational Research Methods, 10(1), pp. 59–74.</w:t>
      </w:r>
    </w:p>
    <w:p w14:paraId="30F5F03D" w14:textId="77777777" w:rsidR="00185BCF" w:rsidRDefault="00185BCF" w:rsidP="00185BCF">
      <w:pPr>
        <w:jc w:val="both"/>
        <w:rPr>
          <w:rFonts w:ascii="Arial" w:hAnsi="Arial" w:cs="Arial"/>
        </w:rPr>
      </w:pPr>
      <w:r w:rsidRPr="00813ED1">
        <w:rPr>
          <w:rFonts w:ascii="Arial" w:hAnsi="Arial" w:cs="Arial"/>
        </w:rPr>
        <w:t>Braun, V. and Clarke, V. (2019) Reflecting on reflexive thematic analysis. Qualitative Research in Sport, Exercise and Health, 11(4), pp. 589–597.</w:t>
      </w:r>
    </w:p>
    <w:p w14:paraId="660E3437" w14:textId="77777777" w:rsidR="00185BCF" w:rsidRPr="00715F3B" w:rsidRDefault="00185BCF" w:rsidP="00185BCF">
      <w:pPr>
        <w:jc w:val="both"/>
        <w:rPr>
          <w:rFonts w:ascii="Arial" w:hAnsi="Arial" w:cs="Arial"/>
        </w:rPr>
      </w:pPr>
      <w:r w:rsidRPr="00715F3B">
        <w:rPr>
          <w:rFonts w:ascii="Arial" w:hAnsi="Arial" w:cs="Arial"/>
        </w:rPr>
        <w:t>Bryman, A. and Bell, E. (2015) Business Research Methods. 4th edn. Oxford: Oxford University Press.</w:t>
      </w:r>
    </w:p>
    <w:p w14:paraId="49F61CF0" w14:textId="77777777" w:rsidR="00185BCF" w:rsidRDefault="00185BCF" w:rsidP="00185BCF">
      <w:pPr>
        <w:jc w:val="both"/>
        <w:rPr>
          <w:rFonts w:ascii="Arial" w:hAnsi="Arial" w:cs="Arial"/>
        </w:rPr>
      </w:pPr>
      <w:r w:rsidRPr="00715F3B">
        <w:rPr>
          <w:rFonts w:ascii="Arial" w:hAnsi="Arial" w:cs="Arial"/>
        </w:rPr>
        <w:t>CIPD (2023) Employee engagement and motivation. Available at: https://www.cipd.org (Accessed: 24 October 2025).</w:t>
      </w:r>
    </w:p>
    <w:p w14:paraId="01C0FFCE" w14:textId="77777777" w:rsidR="00185BCF" w:rsidRDefault="00185BCF" w:rsidP="00185BCF">
      <w:pPr>
        <w:jc w:val="both"/>
        <w:rPr>
          <w:rFonts w:ascii="Arial" w:hAnsi="Arial" w:cs="Arial"/>
        </w:rPr>
      </w:pPr>
      <w:r w:rsidRPr="00614A19">
        <w:rPr>
          <w:rFonts w:ascii="Arial" w:hAnsi="Arial" w:cs="Arial"/>
        </w:rPr>
        <w:t>Colquitt, J.A., LePine, J.A., Piccolo, R.F., Zapata, C.P. and Rich, B.L. (2013) ‘Explaining the justice–performance relationship: Trust as exchange deepener or trust as uncertainty reducer?’, Journal of Applied Psychology, 98(1), pp. 1–15.</w:t>
      </w:r>
    </w:p>
    <w:p w14:paraId="6422226E" w14:textId="77777777" w:rsidR="00185BCF" w:rsidRDefault="00185BCF" w:rsidP="00185BCF">
      <w:pPr>
        <w:jc w:val="both"/>
        <w:rPr>
          <w:rFonts w:ascii="Arial" w:hAnsi="Arial" w:cs="Arial"/>
        </w:rPr>
      </w:pPr>
      <w:r w:rsidRPr="00D03AA8">
        <w:rPr>
          <w:rFonts w:ascii="Arial" w:hAnsi="Arial" w:cs="Arial"/>
        </w:rPr>
        <w:t>Cropanzano, R., Anthony, E.L., Daniels, S.R. and Hall, A.V. (2017) ‘Social exchange theory: A critical review with theoretical remedies’, Academy of Management Annals, 11(1), pp. 479–516.</w:t>
      </w:r>
    </w:p>
    <w:p w14:paraId="0C8FB055" w14:textId="77777777" w:rsidR="00185BCF" w:rsidRDefault="00185BCF" w:rsidP="00185BCF">
      <w:pPr>
        <w:jc w:val="both"/>
        <w:rPr>
          <w:rFonts w:ascii="Arial" w:hAnsi="Arial" w:cs="Arial"/>
        </w:rPr>
      </w:pPr>
      <w:r w:rsidRPr="0008140A">
        <w:rPr>
          <w:rFonts w:ascii="Arial" w:hAnsi="Arial" w:cs="Arial"/>
        </w:rPr>
        <w:t>de Leeuw, E.D., Hox, J.J. and Dillman, D.A. (2018) International handbook of survey methodology. 2nd edn. New York: Taylor and Francis.</w:t>
      </w:r>
    </w:p>
    <w:p w14:paraId="7F6C533D" w14:textId="77777777" w:rsidR="00185BCF" w:rsidRDefault="00185BCF" w:rsidP="00185BCF">
      <w:pPr>
        <w:jc w:val="both"/>
        <w:rPr>
          <w:rFonts w:ascii="Arial" w:hAnsi="Arial" w:cs="Arial"/>
        </w:rPr>
      </w:pPr>
      <w:r w:rsidRPr="00614A19">
        <w:rPr>
          <w:rFonts w:ascii="Arial" w:hAnsi="Arial" w:cs="Arial"/>
        </w:rPr>
        <w:t>Frazier, M.L., Fainshmidt, S., Klinger, R.L., Pezeshkan, A. and Vracheva, V. (2017) ‘Psychological safety: A meta-analytic review and extension’, Personnel Psychology, 70(1), pp. 113–165.</w:t>
      </w:r>
    </w:p>
    <w:p w14:paraId="79C24B5C" w14:textId="77777777" w:rsidR="00185BCF" w:rsidRDefault="00185BCF" w:rsidP="00185BCF">
      <w:pPr>
        <w:jc w:val="both"/>
        <w:rPr>
          <w:rFonts w:ascii="Arial" w:hAnsi="Arial" w:cs="Arial"/>
        </w:rPr>
      </w:pPr>
      <w:r w:rsidRPr="00C40797">
        <w:rPr>
          <w:rFonts w:ascii="Arial" w:hAnsi="Arial" w:cs="Arial"/>
        </w:rPr>
        <w:t>Hair, J.F., Hult, G.T.M., Ringle, C.M. and Sarstedt, M. (2022) A Primer on Partial Least Squares Structural Equation Modeling (PLS-SEM). 3rd edn. Thousand Oaks, CA: Sage.</w:t>
      </w:r>
    </w:p>
    <w:p w14:paraId="2DD20089" w14:textId="77777777" w:rsidR="00185BCF" w:rsidRPr="00715F3B" w:rsidRDefault="00185BCF" w:rsidP="00185BCF">
      <w:pPr>
        <w:jc w:val="both"/>
        <w:rPr>
          <w:rFonts w:ascii="Arial" w:hAnsi="Arial" w:cs="Arial"/>
        </w:rPr>
      </w:pPr>
      <w:r w:rsidRPr="00614A19">
        <w:rPr>
          <w:rFonts w:ascii="Arial" w:hAnsi="Arial" w:cs="Arial"/>
        </w:rPr>
        <w:t>Jiang, K. and Messersmith, J. (2018) ‘On the shoulders of giants: A meta-review of strategic human resource management and employee outcomes’, International Journal of Human Resource Management, 29(1), pp. 6–33.</w:t>
      </w:r>
    </w:p>
    <w:p w14:paraId="6C6B41D6" w14:textId="77777777" w:rsidR="00185BCF" w:rsidRPr="00715F3B" w:rsidRDefault="00185BCF" w:rsidP="00185BCF">
      <w:pPr>
        <w:jc w:val="both"/>
        <w:rPr>
          <w:rFonts w:ascii="Arial" w:hAnsi="Arial" w:cs="Arial"/>
        </w:rPr>
      </w:pPr>
      <w:r w:rsidRPr="00715F3B">
        <w:rPr>
          <w:rFonts w:ascii="Arial" w:hAnsi="Arial" w:cs="Arial"/>
        </w:rPr>
        <w:t>Schein, E. H. (2017) Organizational Culture and Leadership. 5th edn. Hoboken, NJ: Wiley.</w:t>
      </w:r>
    </w:p>
    <w:p w14:paraId="69C9A62D" w14:textId="77777777" w:rsidR="00185BCF" w:rsidRDefault="00185BCF" w:rsidP="00185BCF">
      <w:pPr>
        <w:jc w:val="both"/>
        <w:rPr>
          <w:rFonts w:ascii="Arial" w:hAnsi="Arial" w:cs="Arial"/>
        </w:rPr>
      </w:pPr>
      <w:r w:rsidRPr="00715F3B">
        <w:rPr>
          <w:rFonts w:ascii="Arial" w:hAnsi="Arial" w:cs="Arial"/>
        </w:rPr>
        <w:t>Van der Voort, J., Vermeulen, P. and Lau, C. (2015) When does transformational leadership enhance team performance? The moderating role of teamwork competence. Academy of Management Proceedings, 2015(1), 12292.</w:t>
      </w:r>
    </w:p>
    <w:p w14:paraId="77F8FADD" w14:textId="77777777" w:rsidR="00185BCF" w:rsidRPr="00715F3B" w:rsidRDefault="00185BCF" w:rsidP="00185BCF">
      <w:pPr>
        <w:jc w:val="both"/>
        <w:rPr>
          <w:rFonts w:ascii="Arial" w:hAnsi="Arial" w:cs="Arial"/>
        </w:rPr>
      </w:pPr>
      <w:r w:rsidRPr="00E03B5C">
        <w:rPr>
          <w:rFonts w:ascii="Arial" w:hAnsi="Arial" w:cs="Arial"/>
        </w:rPr>
        <w:t>Wilkinson, A., Donaghey, J. and Dundon, T. (2020) ‘New directions in employee voice’, in Wilkinson, A., Donaghey, J., Dundon, T. and Freeman, R.B. (eds.) The Handbook of Research on Employee Voice. Cheltenham: Edward Elgar Publishing, pp. 1–18.</w:t>
      </w:r>
    </w:p>
    <w:p w14:paraId="25BCED6B" w14:textId="77777777" w:rsidR="00185BCF" w:rsidRPr="00715F3B" w:rsidRDefault="00185BCF" w:rsidP="00185BCF">
      <w:pPr>
        <w:jc w:val="both"/>
        <w:rPr>
          <w:rFonts w:ascii="Arial" w:hAnsi="Arial" w:cs="Arial"/>
        </w:rPr>
      </w:pPr>
    </w:p>
    <w:p w14:paraId="5BECE288" w14:textId="77777777" w:rsidR="00185BCF" w:rsidRPr="00001186" w:rsidRDefault="00185BCF" w:rsidP="00185BCF">
      <w:pPr>
        <w:jc w:val="both"/>
        <w:rPr>
          <w:rFonts w:ascii="Arial" w:hAnsi="Arial" w:cs="Arial"/>
          <w:highlight w:val="red"/>
        </w:rPr>
      </w:pPr>
    </w:p>
    <w:p w14:paraId="29BB723F" w14:textId="77777777" w:rsidR="00185BCF" w:rsidRPr="00001186" w:rsidRDefault="00185BCF" w:rsidP="00185BCF">
      <w:pPr>
        <w:jc w:val="both"/>
        <w:rPr>
          <w:rFonts w:ascii="Arial" w:hAnsi="Arial" w:cs="Arial"/>
          <w:highlight w:val="red"/>
        </w:rPr>
      </w:pPr>
    </w:p>
    <w:p w14:paraId="171A9183" w14:textId="77777777" w:rsidR="00185BCF" w:rsidRPr="00B97A47" w:rsidRDefault="00185BCF" w:rsidP="00185BCF">
      <w:pPr>
        <w:jc w:val="both"/>
        <w:rPr>
          <w:rFonts w:ascii="Arial" w:hAnsi="Arial" w:cs="Arial"/>
        </w:rPr>
      </w:pPr>
    </w:p>
    <w:p w14:paraId="7C55B92C" w14:textId="77777777" w:rsidR="00185BCF" w:rsidRDefault="00185BCF" w:rsidP="00762C0B">
      <w:pPr>
        <w:jc w:val="both"/>
        <w:rPr>
          <w:rFonts w:ascii="Arial" w:hAnsi="Arial" w:cs="Arial"/>
        </w:rPr>
      </w:pPr>
    </w:p>
    <w:p w14:paraId="4B8E3D20" w14:textId="77777777" w:rsidR="00185BCF" w:rsidRDefault="00185BCF" w:rsidP="00762C0B">
      <w:pPr>
        <w:jc w:val="both"/>
        <w:rPr>
          <w:rFonts w:ascii="Arial" w:hAnsi="Arial" w:cs="Arial"/>
        </w:rPr>
      </w:pPr>
    </w:p>
    <w:p w14:paraId="39A25F8E" w14:textId="77777777" w:rsidR="00185BCF" w:rsidRDefault="00185BCF" w:rsidP="00762C0B">
      <w:pPr>
        <w:jc w:val="both"/>
        <w:rPr>
          <w:rFonts w:ascii="Arial" w:hAnsi="Arial" w:cs="Arial"/>
        </w:rPr>
      </w:pPr>
    </w:p>
    <w:p w14:paraId="08C3BE61" w14:textId="77777777" w:rsidR="00185BCF" w:rsidRDefault="00185BCF" w:rsidP="00762C0B">
      <w:pPr>
        <w:jc w:val="both"/>
        <w:rPr>
          <w:rFonts w:ascii="Arial" w:hAnsi="Arial" w:cs="Arial"/>
        </w:rPr>
      </w:pPr>
    </w:p>
    <w:sdt>
      <w:sdtPr>
        <w:rPr>
          <w:rFonts w:ascii="Arial" w:hAnsi="Arial" w:cs="Arial"/>
        </w:rPr>
        <w:id w:val="575480069"/>
        <w:docPartObj>
          <w:docPartGallery w:val="Cover Pages"/>
          <w:docPartUnique/>
        </w:docPartObj>
      </w:sdtPr>
      <w:sdtContent>
        <w:p w14:paraId="0622A1FD" w14:textId="77777777" w:rsidR="00185BCF" w:rsidRPr="00B97A47" w:rsidRDefault="00185BCF" w:rsidP="00185BCF">
          <w:pPr>
            <w:jc w:val="both"/>
            <w:rPr>
              <w:rFonts w:ascii="Arial" w:hAnsi="Arial" w:cs="Arial"/>
            </w:rPr>
          </w:pPr>
        </w:p>
        <w:p w14:paraId="79AD276C" w14:textId="77777777" w:rsidR="00185BCF" w:rsidRPr="00B97A47" w:rsidRDefault="00185BCF" w:rsidP="00185BCF">
          <w:pPr>
            <w:jc w:val="both"/>
            <w:rPr>
              <w:rFonts w:ascii="Arial" w:hAnsi="Arial" w:cs="Arial"/>
            </w:rPr>
          </w:pPr>
        </w:p>
      </w:sdtContent>
    </w:sdt>
    <w:p w14:paraId="02CE4323" w14:textId="77777777" w:rsidR="00185BCF" w:rsidRPr="00B97A47" w:rsidRDefault="00185BCF" w:rsidP="00185BCF">
      <w:pPr>
        <w:jc w:val="both"/>
        <w:rPr>
          <w:rFonts w:ascii="Arial" w:hAnsi="Arial" w:cs="Arial"/>
        </w:rPr>
      </w:pPr>
    </w:p>
    <w:p w14:paraId="3DF25495" w14:textId="77777777" w:rsidR="00185BCF" w:rsidRPr="00B97A47" w:rsidRDefault="00185BCF" w:rsidP="00185BCF">
      <w:pPr>
        <w:jc w:val="both"/>
        <w:rPr>
          <w:rFonts w:ascii="Arial" w:hAnsi="Arial" w:cs="Arial"/>
        </w:rPr>
      </w:pPr>
    </w:p>
    <w:p w14:paraId="14A39AD2" w14:textId="77777777" w:rsidR="00185BCF" w:rsidRPr="00B97A47" w:rsidRDefault="00185BCF" w:rsidP="00185BCF">
      <w:pPr>
        <w:jc w:val="both"/>
        <w:rPr>
          <w:rFonts w:ascii="Arial" w:hAnsi="Arial" w:cs="Arial"/>
        </w:rPr>
      </w:pPr>
    </w:p>
    <w:p w14:paraId="637727BA" w14:textId="77777777" w:rsidR="00185BCF" w:rsidRPr="00B97A47" w:rsidRDefault="00185BCF" w:rsidP="00185BCF">
      <w:pPr>
        <w:jc w:val="both"/>
        <w:rPr>
          <w:rFonts w:ascii="Arial" w:hAnsi="Arial" w:cs="Arial"/>
        </w:rPr>
      </w:pPr>
    </w:p>
    <w:p w14:paraId="6D3C08AC" w14:textId="77777777" w:rsidR="00185BCF" w:rsidRPr="00B97A47" w:rsidRDefault="00185BCF" w:rsidP="00185BCF">
      <w:pPr>
        <w:jc w:val="both"/>
        <w:rPr>
          <w:rFonts w:ascii="Arial" w:hAnsi="Arial" w:cs="Arial"/>
        </w:rPr>
      </w:pPr>
    </w:p>
    <w:p w14:paraId="3325A339" w14:textId="77777777" w:rsidR="00185BCF" w:rsidRPr="00B97A47" w:rsidRDefault="00185BCF" w:rsidP="00185BCF">
      <w:pPr>
        <w:jc w:val="both"/>
        <w:rPr>
          <w:rFonts w:ascii="Arial" w:hAnsi="Arial" w:cs="Arial"/>
        </w:rPr>
      </w:pPr>
    </w:p>
    <w:p w14:paraId="45F39B8C" w14:textId="77777777" w:rsidR="00185BCF" w:rsidRPr="00B97A47" w:rsidRDefault="00185BCF" w:rsidP="00185BCF">
      <w:pPr>
        <w:jc w:val="both"/>
        <w:rPr>
          <w:rFonts w:ascii="Arial" w:hAnsi="Arial" w:cs="Arial"/>
        </w:rPr>
      </w:pPr>
    </w:p>
    <w:p w14:paraId="2DA31B88" w14:textId="77777777" w:rsidR="00185BCF" w:rsidRPr="00B97A47" w:rsidRDefault="00185BCF" w:rsidP="00185BCF">
      <w:pPr>
        <w:jc w:val="both"/>
        <w:rPr>
          <w:rFonts w:ascii="Arial" w:hAnsi="Arial" w:cs="Arial"/>
        </w:rPr>
      </w:pPr>
    </w:p>
    <w:p w14:paraId="656409CB" w14:textId="77777777" w:rsidR="00185BCF" w:rsidRPr="00B97A47" w:rsidRDefault="00185BCF" w:rsidP="00185BCF">
      <w:pPr>
        <w:jc w:val="both"/>
        <w:rPr>
          <w:rFonts w:ascii="Arial" w:hAnsi="Arial" w:cs="Arial"/>
        </w:rPr>
      </w:pPr>
    </w:p>
    <w:p w14:paraId="49D8A556" w14:textId="77777777" w:rsidR="00185BCF" w:rsidRPr="00B97A47" w:rsidRDefault="00185BCF" w:rsidP="00185BCF">
      <w:pPr>
        <w:jc w:val="both"/>
        <w:rPr>
          <w:rFonts w:ascii="Arial" w:hAnsi="Arial" w:cs="Arial"/>
        </w:rPr>
      </w:pPr>
    </w:p>
    <w:p w14:paraId="174B9FFF" w14:textId="77777777" w:rsidR="00185BCF" w:rsidRPr="00B97A47" w:rsidRDefault="00185BCF" w:rsidP="00185BCF">
      <w:pPr>
        <w:jc w:val="both"/>
        <w:rPr>
          <w:rFonts w:ascii="Arial" w:hAnsi="Arial" w:cs="Arial"/>
        </w:rPr>
      </w:pPr>
    </w:p>
    <w:p w14:paraId="4B45C59D" w14:textId="77777777" w:rsidR="00185BCF" w:rsidRPr="00B97A47" w:rsidRDefault="00185BCF" w:rsidP="00185BCF">
      <w:pPr>
        <w:jc w:val="both"/>
        <w:rPr>
          <w:rFonts w:ascii="Arial" w:hAnsi="Arial" w:cs="Arial"/>
        </w:rPr>
      </w:pPr>
    </w:p>
    <w:p w14:paraId="4EBAF8EB" w14:textId="77777777" w:rsidR="00185BCF" w:rsidRPr="00B97A47" w:rsidRDefault="00185BCF" w:rsidP="00185BCF">
      <w:pPr>
        <w:jc w:val="both"/>
        <w:rPr>
          <w:rFonts w:ascii="Arial" w:hAnsi="Arial" w:cs="Arial"/>
        </w:rPr>
      </w:pPr>
    </w:p>
    <w:p w14:paraId="75EC23E3" w14:textId="77777777" w:rsidR="00185BCF" w:rsidRPr="00B97A47" w:rsidRDefault="00185BCF" w:rsidP="00185BCF">
      <w:pPr>
        <w:jc w:val="both"/>
        <w:rPr>
          <w:rFonts w:ascii="Arial" w:hAnsi="Arial" w:cs="Arial"/>
        </w:rPr>
      </w:pPr>
    </w:p>
    <w:p w14:paraId="7F29B778" w14:textId="77777777" w:rsidR="00185BCF" w:rsidRPr="00B97A47" w:rsidRDefault="00185BCF" w:rsidP="00185BCF">
      <w:pPr>
        <w:jc w:val="both"/>
        <w:rPr>
          <w:rFonts w:ascii="Arial" w:hAnsi="Arial" w:cs="Arial"/>
        </w:rPr>
      </w:pPr>
    </w:p>
    <w:p w14:paraId="7E70681B" w14:textId="77777777" w:rsidR="00185BCF" w:rsidRPr="00B97A47" w:rsidRDefault="00185BCF" w:rsidP="00185BCF">
      <w:pPr>
        <w:jc w:val="both"/>
        <w:rPr>
          <w:rFonts w:ascii="Arial" w:hAnsi="Arial" w:cs="Arial"/>
        </w:rPr>
      </w:pPr>
    </w:p>
    <w:p w14:paraId="3956DB34" w14:textId="77777777" w:rsidR="00185BCF" w:rsidRPr="00B97A47" w:rsidRDefault="00185BCF" w:rsidP="00185BCF">
      <w:pPr>
        <w:jc w:val="both"/>
        <w:rPr>
          <w:rFonts w:ascii="Arial" w:hAnsi="Arial" w:cs="Arial"/>
        </w:rPr>
      </w:pPr>
    </w:p>
    <w:p w14:paraId="54243C6C" w14:textId="77777777" w:rsidR="00185BCF" w:rsidRPr="00B97A47" w:rsidRDefault="00185BCF" w:rsidP="00185BCF">
      <w:pPr>
        <w:jc w:val="both"/>
        <w:rPr>
          <w:rFonts w:ascii="Arial" w:hAnsi="Arial" w:cs="Arial"/>
        </w:rPr>
      </w:pPr>
    </w:p>
    <w:p w14:paraId="0D2ECF9B" w14:textId="77777777" w:rsidR="00185BCF" w:rsidRPr="00B97A47" w:rsidRDefault="00185BCF" w:rsidP="00185BCF">
      <w:pPr>
        <w:jc w:val="both"/>
        <w:rPr>
          <w:rFonts w:ascii="Arial" w:hAnsi="Arial" w:cs="Arial"/>
        </w:rPr>
      </w:pPr>
    </w:p>
    <w:p w14:paraId="57DF3504" w14:textId="77777777" w:rsidR="00185BCF" w:rsidRPr="00B97A47" w:rsidRDefault="00185BCF" w:rsidP="00185BCF">
      <w:pPr>
        <w:jc w:val="both"/>
        <w:rPr>
          <w:rFonts w:ascii="Arial" w:hAnsi="Arial" w:cs="Arial"/>
        </w:rPr>
      </w:pPr>
    </w:p>
    <w:p w14:paraId="2901ADC6" w14:textId="77777777" w:rsidR="00185BCF" w:rsidRPr="00B97A47" w:rsidRDefault="00185BCF" w:rsidP="00185BCF">
      <w:pPr>
        <w:jc w:val="both"/>
        <w:rPr>
          <w:rFonts w:ascii="Arial" w:hAnsi="Arial" w:cs="Arial"/>
        </w:rPr>
      </w:pPr>
    </w:p>
    <w:p w14:paraId="40745E2B" w14:textId="77777777" w:rsidR="00185BCF" w:rsidRPr="00B97A47" w:rsidRDefault="00185BCF" w:rsidP="00185BCF">
      <w:pPr>
        <w:jc w:val="both"/>
        <w:rPr>
          <w:rFonts w:ascii="Arial" w:hAnsi="Arial" w:cs="Arial"/>
          <w:sz w:val="40"/>
          <w:szCs w:val="40"/>
        </w:rPr>
      </w:pPr>
      <w:r w:rsidRPr="00B97A47">
        <w:rPr>
          <w:rFonts w:ascii="Arial" w:hAnsi="Arial" w:cs="Arial"/>
          <w:sz w:val="40"/>
          <w:szCs w:val="40"/>
        </w:rPr>
        <w:t xml:space="preserve">Independent Study Module: </w:t>
      </w:r>
    </w:p>
    <w:p w14:paraId="4B4D7E46" w14:textId="77777777" w:rsidR="00185BCF" w:rsidRPr="00B97A47" w:rsidRDefault="00185BCF" w:rsidP="00185BCF">
      <w:pPr>
        <w:jc w:val="both"/>
        <w:rPr>
          <w:rFonts w:ascii="Arial" w:hAnsi="Arial" w:cs="Arial"/>
          <w:sz w:val="40"/>
          <w:szCs w:val="40"/>
        </w:rPr>
      </w:pPr>
      <w:r w:rsidRPr="00B97A47">
        <w:rPr>
          <w:rFonts w:ascii="Arial" w:hAnsi="Arial" w:cs="Arial"/>
          <w:sz w:val="40"/>
          <w:szCs w:val="40"/>
        </w:rPr>
        <w:t xml:space="preserve">Conclusions and Recommendations </w:t>
      </w:r>
    </w:p>
    <w:p w14:paraId="76F2176C" w14:textId="77777777" w:rsidR="00185BCF" w:rsidRPr="00B97A47" w:rsidRDefault="00185BCF" w:rsidP="00185BCF">
      <w:pPr>
        <w:jc w:val="both"/>
        <w:rPr>
          <w:rFonts w:ascii="Arial" w:hAnsi="Arial" w:cs="Arial"/>
          <w:sz w:val="40"/>
          <w:szCs w:val="40"/>
        </w:rPr>
      </w:pPr>
      <w:r w:rsidRPr="00B97A47">
        <w:rPr>
          <w:rFonts w:ascii="Arial" w:hAnsi="Arial" w:cs="Arial"/>
          <w:i/>
          <w:iCs/>
          <w:sz w:val="28"/>
          <w:szCs w:val="28"/>
        </w:rPr>
        <w:t>Word Count:</w:t>
      </w:r>
      <w:r>
        <w:rPr>
          <w:rFonts w:ascii="Arial" w:hAnsi="Arial" w:cs="Arial"/>
          <w:i/>
          <w:iCs/>
          <w:sz w:val="28"/>
          <w:szCs w:val="28"/>
        </w:rPr>
        <w:t>550</w:t>
      </w:r>
    </w:p>
    <w:p w14:paraId="40797BD3" w14:textId="77777777" w:rsidR="00185BCF" w:rsidRPr="00B97A47" w:rsidRDefault="00185BCF" w:rsidP="00185BCF">
      <w:pPr>
        <w:jc w:val="both"/>
        <w:rPr>
          <w:rFonts w:ascii="Arial" w:hAnsi="Arial" w:cs="Arial"/>
        </w:rPr>
      </w:pPr>
      <w:r w:rsidRPr="00B97A47">
        <w:rPr>
          <w:rFonts w:ascii="Arial" w:hAnsi="Arial" w:cs="Arial"/>
          <w:noProof/>
        </w:rPr>
        <mc:AlternateContent>
          <mc:Choice Requires="wps">
            <w:drawing>
              <wp:anchor distT="0" distB="0" distL="114300" distR="114300" simplePos="0" relativeHeight="251668480" behindDoc="0" locked="0" layoutInCell="1" allowOverlap="1" wp14:anchorId="40643A86" wp14:editId="6025F295">
                <wp:simplePos x="0" y="0"/>
                <wp:positionH relativeFrom="column">
                  <wp:posOffset>-4336</wp:posOffset>
                </wp:positionH>
                <wp:positionV relativeFrom="paragraph">
                  <wp:posOffset>71755</wp:posOffset>
                </wp:positionV>
                <wp:extent cx="4783016" cy="0"/>
                <wp:effectExtent l="0" t="12700" r="17780" b="12700"/>
                <wp:wrapNone/>
                <wp:docPr id="1078750055" name="Straight Connector 4"/>
                <wp:cNvGraphicFramePr/>
                <a:graphic xmlns:a="http://schemas.openxmlformats.org/drawingml/2006/main">
                  <a:graphicData uri="http://schemas.microsoft.com/office/word/2010/wordprocessingShape">
                    <wps:wsp>
                      <wps:cNvCnPr/>
                      <wps:spPr>
                        <a:xfrm>
                          <a:off x="0" y="0"/>
                          <a:ext cx="4783016" cy="0"/>
                        </a:xfrm>
                        <a:prstGeom prst="line">
                          <a:avLst/>
                        </a:prstGeom>
                        <a:ln w="254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543DC9E" id="Straight Connector 4"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35pt,5.65pt" to="376.25pt,5.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" strokecolor="#156082 [3204]" strokeweight="2pt">
                <v:stroke joinstyle="miter"/>
              </v:line>
            </w:pict>
          </mc:Fallback>
        </mc:AlternateContent>
      </w:r>
    </w:p>
    <w:p w14:paraId="0F903595" w14:textId="77777777" w:rsidR="00185BCF" w:rsidRPr="00B97A47" w:rsidRDefault="00185BCF" w:rsidP="00185BCF">
      <w:pPr>
        <w:jc w:val="both"/>
        <w:rPr>
          <w:rFonts w:ascii="Arial" w:hAnsi="Arial" w:cs="Arial"/>
          <w:sz w:val="28"/>
          <w:szCs w:val="28"/>
        </w:rPr>
      </w:pPr>
      <w:r w:rsidRPr="00B97A47">
        <w:rPr>
          <w:rFonts w:ascii="Arial" w:hAnsi="Arial" w:cs="Arial"/>
          <w:sz w:val="28"/>
          <w:szCs w:val="28"/>
        </w:rPr>
        <w:t>Student Name: James Nicholl</w:t>
      </w:r>
    </w:p>
    <w:p w14:paraId="2A644622" w14:textId="77777777" w:rsidR="00185BCF" w:rsidRPr="00B97A47" w:rsidRDefault="00185BCF" w:rsidP="00185BCF">
      <w:pPr>
        <w:jc w:val="both"/>
        <w:rPr>
          <w:rFonts w:ascii="Arial" w:hAnsi="Arial" w:cs="Arial"/>
          <w:sz w:val="28"/>
          <w:szCs w:val="28"/>
        </w:rPr>
      </w:pPr>
      <w:r w:rsidRPr="00B97A47">
        <w:rPr>
          <w:rFonts w:ascii="Arial" w:hAnsi="Arial" w:cs="Arial"/>
          <w:sz w:val="28"/>
          <w:szCs w:val="28"/>
        </w:rPr>
        <w:t>Student Number: 2319769</w:t>
      </w:r>
    </w:p>
    <w:p w14:paraId="63E3583F" w14:textId="77777777" w:rsidR="00185BCF" w:rsidRPr="00B97A47" w:rsidRDefault="00185BCF" w:rsidP="00185BCF">
      <w:pPr>
        <w:jc w:val="both"/>
        <w:rPr>
          <w:rFonts w:ascii="Arial" w:hAnsi="Arial" w:cs="Arial"/>
        </w:rPr>
      </w:pPr>
    </w:p>
    <w:p w14:paraId="23BD572F" w14:textId="77777777" w:rsidR="00185BCF" w:rsidRPr="00B97A47" w:rsidRDefault="00185BCF" w:rsidP="00185BCF">
      <w:pPr>
        <w:jc w:val="both"/>
        <w:rPr>
          <w:rFonts w:ascii="Arial" w:hAnsi="Arial" w:cs="Arial"/>
        </w:rPr>
      </w:pPr>
    </w:p>
    <w:p w14:paraId="31C667F0" w14:textId="77777777" w:rsidR="00185BCF" w:rsidRPr="00B97A47" w:rsidRDefault="00185BCF" w:rsidP="00185BCF">
      <w:pPr>
        <w:jc w:val="both"/>
        <w:rPr>
          <w:rFonts w:ascii="Arial" w:hAnsi="Arial" w:cs="Arial"/>
        </w:rPr>
      </w:pPr>
    </w:p>
    <w:p w14:paraId="238E2F11" w14:textId="77777777" w:rsidR="00185BCF" w:rsidRPr="00B97A47" w:rsidRDefault="00185BCF" w:rsidP="00185BCF">
      <w:pPr>
        <w:jc w:val="both"/>
        <w:rPr>
          <w:rFonts w:ascii="Arial" w:hAnsi="Arial" w:cs="Arial"/>
        </w:rPr>
      </w:pPr>
    </w:p>
    <w:p w14:paraId="20B06097" w14:textId="77777777" w:rsidR="00185BCF" w:rsidRPr="00B97A47" w:rsidRDefault="00185BCF" w:rsidP="00185BCF">
      <w:pPr>
        <w:jc w:val="both"/>
        <w:rPr>
          <w:rFonts w:ascii="Arial" w:hAnsi="Arial" w:cs="Arial"/>
        </w:rPr>
      </w:pPr>
    </w:p>
    <w:p w14:paraId="29764A49" w14:textId="77777777" w:rsidR="00185BCF" w:rsidRPr="00B97A47" w:rsidRDefault="00185BCF" w:rsidP="00185BCF">
      <w:pPr>
        <w:jc w:val="both"/>
        <w:rPr>
          <w:rFonts w:ascii="Arial" w:hAnsi="Arial" w:cs="Arial"/>
          <w:highlight w:val="yellow"/>
        </w:rPr>
      </w:pPr>
    </w:p>
    <w:p w14:paraId="3A0CACA9" w14:textId="77777777" w:rsidR="00185BCF" w:rsidRPr="00B97A47" w:rsidRDefault="00185BCF" w:rsidP="00185BCF">
      <w:pPr>
        <w:jc w:val="both"/>
        <w:rPr>
          <w:rFonts w:ascii="Arial" w:hAnsi="Arial" w:cs="Arial"/>
          <w:highlight w:val="yellow"/>
        </w:rPr>
      </w:pPr>
    </w:p>
    <w:p w14:paraId="13489694" w14:textId="77777777" w:rsidR="00185BCF" w:rsidRPr="00B97A47" w:rsidRDefault="00185BCF" w:rsidP="00185BCF">
      <w:pPr>
        <w:jc w:val="both"/>
        <w:rPr>
          <w:rFonts w:ascii="Arial" w:hAnsi="Arial" w:cs="Arial"/>
          <w:highlight w:val="yellow"/>
        </w:rPr>
      </w:pPr>
    </w:p>
    <w:p w14:paraId="62C574AB" w14:textId="77777777" w:rsidR="00185BCF" w:rsidRPr="00B97A47" w:rsidRDefault="00185BCF" w:rsidP="00185BCF">
      <w:pPr>
        <w:jc w:val="both"/>
        <w:rPr>
          <w:rFonts w:ascii="Arial" w:hAnsi="Arial" w:cs="Arial"/>
          <w:highlight w:val="yellow"/>
        </w:rPr>
      </w:pPr>
    </w:p>
    <w:p w14:paraId="4C19BA35" w14:textId="77777777" w:rsidR="00185BCF" w:rsidRPr="00B97A47" w:rsidRDefault="00185BCF" w:rsidP="00185BCF">
      <w:pPr>
        <w:jc w:val="both"/>
        <w:rPr>
          <w:rFonts w:ascii="Arial" w:hAnsi="Arial" w:cs="Arial"/>
          <w:highlight w:val="yellow"/>
        </w:rPr>
      </w:pPr>
    </w:p>
    <w:p w14:paraId="12096749" w14:textId="77777777" w:rsidR="00185BCF" w:rsidRPr="00B97A47" w:rsidRDefault="00185BCF" w:rsidP="00185BCF">
      <w:pPr>
        <w:jc w:val="both"/>
        <w:rPr>
          <w:rFonts w:ascii="Arial" w:hAnsi="Arial" w:cs="Arial"/>
          <w:highlight w:val="yellow"/>
        </w:rPr>
      </w:pPr>
    </w:p>
    <w:p w14:paraId="0DCC21CE" w14:textId="77777777" w:rsidR="00185BCF" w:rsidRPr="00B97A47" w:rsidRDefault="00185BCF" w:rsidP="00185BCF">
      <w:pPr>
        <w:jc w:val="both"/>
        <w:rPr>
          <w:rFonts w:ascii="Arial" w:hAnsi="Arial" w:cs="Arial"/>
          <w:highlight w:val="yellow"/>
        </w:rPr>
      </w:pPr>
    </w:p>
    <w:p w14:paraId="6B399DD8" w14:textId="77777777" w:rsidR="00185BCF" w:rsidRPr="00B97A47" w:rsidRDefault="00185BCF" w:rsidP="00185BCF">
      <w:pPr>
        <w:jc w:val="both"/>
        <w:rPr>
          <w:rFonts w:ascii="Arial" w:hAnsi="Arial" w:cs="Arial"/>
          <w:highlight w:val="yellow"/>
        </w:rPr>
      </w:pPr>
    </w:p>
    <w:p w14:paraId="1C6968A6" w14:textId="77777777" w:rsidR="00185BCF" w:rsidRPr="00B97A47" w:rsidRDefault="00185BCF" w:rsidP="00185BCF">
      <w:pPr>
        <w:jc w:val="both"/>
        <w:rPr>
          <w:rFonts w:ascii="Arial" w:hAnsi="Arial" w:cs="Arial"/>
          <w:highlight w:val="yellow"/>
        </w:rPr>
      </w:pPr>
    </w:p>
    <w:p w14:paraId="12E0617A" w14:textId="77777777" w:rsidR="00185BCF" w:rsidRPr="00B97A47" w:rsidRDefault="00185BCF" w:rsidP="00185BCF">
      <w:pPr>
        <w:jc w:val="both"/>
        <w:rPr>
          <w:rFonts w:ascii="Arial" w:hAnsi="Arial" w:cs="Arial"/>
          <w:highlight w:val="yellow"/>
        </w:rPr>
      </w:pPr>
    </w:p>
    <w:p w14:paraId="45084F80" w14:textId="77777777" w:rsidR="00185BCF" w:rsidRPr="00B97A47" w:rsidRDefault="00185BCF" w:rsidP="00185BCF">
      <w:pPr>
        <w:jc w:val="both"/>
        <w:rPr>
          <w:rFonts w:ascii="Arial" w:hAnsi="Arial" w:cs="Arial"/>
          <w:highlight w:val="yellow"/>
        </w:rPr>
      </w:pPr>
    </w:p>
    <w:p w14:paraId="6ADEB498" w14:textId="77777777" w:rsidR="00185BCF" w:rsidRPr="00B97A47" w:rsidRDefault="00185BCF" w:rsidP="00185BCF">
      <w:pPr>
        <w:jc w:val="both"/>
        <w:rPr>
          <w:rFonts w:ascii="Arial" w:hAnsi="Arial" w:cs="Arial"/>
          <w:highlight w:val="yellow"/>
        </w:rPr>
      </w:pPr>
    </w:p>
    <w:p w14:paraId="7CC315EA" w14:textId="77777777" w:rsidR="00185BCF" w:rsidRDefault="00185BCF" w:rsidP="00185BCF">
      <w:pPr>
        <w:jc w:val="both"/>
        <w:rPr>
          <w:rFonts w:ascii="Arial" w:hAnsi="Arial" w:cs="Arial"/>
        </w:rPr>
      </w:pPr>
    </w:p>
    <w:p w14:paraId="632CA505" w14:textId="77777777" w:rsidR="00185BCF" w:rsidRPr="00B10229" w:rsidRDefault="00185BCF" w:rsidP="00185BCF">
      <w:pPr>
        <w:jc w:val="both"/>
        <w:rPr>
          <w:rFonts w:ascii="Arial" w:hAnsi="Arial" w:cs="Arial"/>
          <w:b/>
          <w:bCs/>
          <w:color w:val="000000" w:themeColor="text1"/>
        </w:rPr>
      </w:pPr>
      <w:r w:rsidRPr="00B10229">
        <w:rPr>
          <w:rFonts w:ascii="Arial" w:hAnsi="Arial" w:cs="Arial"/>
          <w:b/>
          <w:bCs/>
          <w:color w:val="000000" w:themeColor="text1"/>
        </w:rPr>
        <w:lastRenderedPageBreak/>
        <w:t>Learning</w:t>
      </w:r>
    </w:p>
    <w:p w14:paraId="42C3AA20" w14:textId="77777777" w:rsidR="00185BCF" w:rsidRPr="00B10229" w:rsidRDefault="00185BCF" w:rsidP="00185BCF">
      <w:pPr>
        <w:jc w:val="both"/>
        <w:rPr>
          <w:rFonts w:ascii="Arial" w:hAnsi="Arial" w:cs="Arial"/>
          <w:color w:val="000000" w:themeColor="text1"/>
        </w:rPr>
      </w:pPr>
      <w:r w:rsidRPr="00B10229">
        <w:rPr>
          <w:rFonts w:ascii="Arial" w:hAnsi="Arial" w:cs="Arial"/>
          <w:color w:val="000000" w:themeColor="text1"/>
        </w:rPr>
        <w:t>At the outset, I aimed to use the 2025 Tribus</w:t>
      </w:r>
      <w:r w:rsidRPr="00B10229">
        <w:rPr>
          <w:rFonts w:ascii="Cambria Math" w:hAnsi="Cambria Math" w:cs="Cambria Math"/>
          <w:color w:val="000000" w:themeColor="text1"/>
        </w:rPr>
        <w:t>‑</w:t>
      </w:r>
      <w:r w:rsidRPr="00B10229">
        <w:rPr>
          <w:rFonts w:ascii="Arial" w:hAnsi="Arial" w:cs="Arial"/>
          <w:color w:val="000000" w:themeColor="text1"/>
        </w:rPr>
        <w:t>TSG Employee Survey to analyse engagement, communication, teamwork and awareness of the Employee Relations Council (ERC) across the four verticals and turn these insights into a realistic improvement plan. I wanted to test whether Tribus</w:t>
      </w:r>
      <w:r w:rsidRPr="00B10229">
        <w:rPr>
          <w:rFonts w:ascii="Cambria Math" w:hAnsi="Cambria Math" w:cs="Cambria Math"/>
          <w:color w:val="000000" w:themeColor="text1"/>
        </w:rPr>
        <w:t>‑</w:t>
      </w:r>
      <w:r w:rsidRPr="00B10229">
        <w:rPr>
          <w:rFonts w:ascii="Arial" w:hAnsi="Arial" w:cs="Arial"/>
          <w:color w:val="000000" w:themeColor="text1"/>
        </w:rPr>
        <w:t>TSG had learned from their 2023 survey, where limited follow-up undermined trust and reduced participation (Bryman and Bell, 2015).</w:t>
      </w:r>
    </w:p>
    <w:p w14:paraId="67626A62" w14:textId="77777777" w:rsidR="00185BCF" w:rsidRPr="00B10229" w:rsidRDefault="00185BCF" w:rsidP="00185BCF">
      <w:pPr>
        <w:jc w:val="both"/>
        <w:rPr>
          <w:rFonts w:ascii="Arial" w:hAnsi="Arial" w:cs="Arial"/>
          <w:color w:val="000000" w:themeColor="text1"/>
        </w:rPr>
      </w:pPr>
    </w:p>
    <w:p w14:paraId="45982CDC" w14:textId="77777777" w:rsidR="00185BCF" w:rsidRPr="00B10229" w:rsidRDefault="00185BCF" w:rsidP="00185BCF">
      <w:pPr>
        <w:jc w:val="both"/>
        <w:rPr>
          <w:rFonts w:ascii="Arial" w:hAnsi="Arial" w:cs="Arial"/>
          <w:b/>
          <w:bCs/>
          <w:color w:val="000000" w:themeColor="text1"/>
        </w:rPr>
      </w:pPr>
      <w:r w:rsidRPr="00B10229">
        <w:rPr>
          <w:rFonts w:ascii="Arial" w:hAnsi="Arial" w:cs="Arial"/>
          <w:b/>
          <w:bCs/>
          <w:color w:val="000000" w:themeColor="text1"/>
        </w:rPr>
        <w:t>Analysis</w:t>
      </w:r>
    </w:p>
    <w:p w14:paraId="79FDC60A" w14:textId="77777777" w:rsidR="00185BCF" w:rsidRPr="00B10229" w:rsidRDefault="00185BCF" w:rsidP="00185BCF">
      <w:pPr>
        <w:jc w:val="both"/>
        <w:rPr>
          <w:rFonts w:ascii="Arial" w:hAnsi="Arial" w:cs="Arial"/>
          <w:color w:val="000000" w:themeColor="text1"/>
        </w:rPr>
      </w:pPr>
      <w:r w:rsidRPr="00B10229">
        <w:rPr>
          <w:rFonts w:ascii="Arial" w:hAnsi="Arial" w:cs="Arial"/>
          <w:color w:val="000000" w:themeColor="text1"/>
        </w:rPr>
        <w:t>In practice, these aims were only partly achieved. Findings indicate uneven engagement and ERC awareness across verticals, with concerns most salient in Facilities Management. However, uneven response rates and reliance on limited channels introduce response bias; employees with stronger views may be more likely to participate, meaning the survey may overstate issues in high-response areas and understate them elsewhere. Cross-vertical comparisons should therefore be treated as indicative, not definitive (Bryman and Bell, 2015).</w:t>
      </w:r>
    </w:p>
    <w:p w14:paraId="17A370D6" w14:textId="77777777" w:rsidR="00185BCF" w:rsidRPr="00B10229" w:rsidRDefault="00185BCF" w:rsidP="00185BCF">
      <w:pPr>
        <w:jc w:val="both"/>
        <w:rPr>
          <w:rFonts w:ascii="Arial" w:hAnsi="Arial" w:cs="Arial"/>
          <w:color w:val="000000" w:themeColor="text1"/>
        </w:rPr>
      </w:pPr>
    </w:p>
    <w:p w14:paraId="742C7750" w14:textId="77777777" w:rsidR="00185BCF" w:rsidRPr="00B10229" w:rsidRDefault="00185BCF" w:rsidP="00185BCF">
      <w:pPr>
        <w:jc w:val="both"/>
        <w:rPr>
          <w:rFonts w:ascii="Arial" w:hAnsi="Arial" w:cs="Arial"/>
          <w:color w:val="000000" w:themeColor="text1"/>
        </w:rPr>
      </w:pPr>
      <w:r w:rsidRPr="00B10229">
        <w:rPr>
          <w:rFonts w:ascii="Arial" w:hAnsi="Arial" w:cs="Arial"/>
          <w:color w:val="000000" w:themeColor="text1"/>
        </w:rPr>
        <w:t>Post-survey HR action provides partial triangulation. Two employees were investigated, found to have accepted bribes and dismissed for gross misconduct, suggesting escalation mechanisms can function once concerns are surfaced. Nevertheless, limited communication of outcomes risks reproducing the 2023 “opacity” problem. This is not solely a communications issue but one of procedural justice and trust, with implications for employee voice, psychological safety and willingness to disclose concerns.</w:t>
      </w:r>
    </w:p>
    <w:p w14:paraId="68EA3364" w14:textId="77777777" w:rsidR="00185BCF" w:rsidRPr="00B10229" w:rsidRDefault="00185BCF" w:rsidP="00185BCF">
      <w:pPr>
        <w:jc w:val="both"/>
        <w:rPr>
          <w:rFonts w:ascii="Arial" w:hAnsi="Arial" w:cs="Arial"/>
          <w:color w:val="000000" w:themeColor="text1"/>
        </w:rPr>
      </w:pPr>
    </w:p>
    <w:p w14:paraId="7BC282ED" w14:textId="77777777" w:rsidR="00185BCF" w:rsidRPr="00B10229" w:rsidRDefault="00185BCF" w:rsidP="00185BCF">
      <w:pPr>
        <w:jc w:val="both"/>
        <w:rPr>
          <w:rFonts w:ascii="Arial" w:hAnsi="Arial" w:cs="Arial"/>
          <w:b/>
          <w:bCs/>
          <w:color w:val="000000" w:themeColor="text1"/>
        </w:rPr>
      </w:pPr>
      <w:r w:rsidRPr="00B10229">
        <w:rPr>
          <w:rFonts w:ascii="Arial" w:hAnsi="Arial" w:cs="Arial"/>
          <w:b/>
          <w:bCs/>
          <w:color w:val="000000" w:themeColor="text1"/>
        </w:rPr>
        <w:t>Reflection</w:t>
      </w:r>
    </w:p>
    <w:p w14:paraId="7025CB1C" w14:textId="77777777" w:rsidR="00185BCF" w:rsidRPr="00B10229" w:rsidRDefault="00185BCF" w:rsidP="00185BCF">
      <w:pPr>
        <w:jc w:val="both"/>
        <w:rPr>
          <w:rFonts w:ascii="Arial" w:hAnsi="Arial" w:cs="Arial"/>
          <w:color w:val="000000" w:themeColor="text1"/>
        </w:rPr>
      </w:pPr>
      <w:r w:rsidRPr="00B10229">
        <w:rPr>
          <w:rFonts w:ascii="Arial" w:hAnsi="Arial" w:cs="Arial"/>
          <w:color w:val="000000" w:themeColor="text1"/>
        </w:rPr>
        <w:t>Personally, this project has been challenging. Acting as an insider researcher and company MD required me to balance organisational loyalty with critical scrutiny when analysing sensitive integrity and culture issues, highlighting tension between practitioner and researcher roles in organisational research. I became aware of how my assumptions about leadership, fairness and risk shape interpretation and of the importance of being explicit about methodological and ethical limitations, such as the risk that silence after employees raise serious issues can be as damaging as inaction.</w:t>
      </w:r>
    </w:p>
    <w:p w14:paraId="74EDEBAD" w14:textId="77777777" w:rsidR="00185BCF" w:rsidRPr="00B10229" w:rsidRDefault="00185BCF" w:rsidP="00185BCF">
      <w:pPr>
        <w:jc w:val="both"/>
        <w:rPr>
          <w:rFonts w:ascii="Arial" w:hAnsi="Arial" w:cs="Arial"/>
          <w:color w:val="000000" w:themeColor="text1"/>
        </w:rPr>
      </w:pPr>
    </w:p>
    <w:p w14:paraId="66774B73" w14:textId="77777777" w:rsidR="00185BCF" w:rsidRPr="00B10229" w:rsidRDefault="00185BCF" w:rsidP="00185BCF">
      <w:pPr>
        <w:jc w:val="both"/>
        <w:rPr>
          <w:rFonts w:ascii="Arial" w:hAnsi="Arial" w:cs="Arial"/>
          <w:color w:val="000000" w:themeColor="text1"/>
        </w:rPr>
      </w:pPr>
      <w:r w:rsidRPr="00B10229">
        <w:rPr>
          <w:rFonts w:ascii="Arial" w:hAnsi="Arial" w:cs="Arial"/>
          <w:color w:val="000000" w:themeColor="text1"/>
        </w:rPr>
        <w:t>The project strengthened my skills in handling survey data, facilitating discussion and integrating qualitative insight. It moved me through Kolb’s experiential learning cycle (Kolb, 1984), prompting me to redesign internal evaluation and plan future cycles deliberately.</w:t>
      </w:r>
    </w:p>
    <w:p w14:paraId="09966182" w14:textId="77777777" w:rsidR="00185BCF" w:rsidRPr="00B10229" w:rsidRDefault="00185BCF" w:rsidP="00185BCF">
      <w:pPr>
        <w:jc w:val="both"/>
        <w:rPr>
          <w:rFonts w:ascii="Arial" w:hAnsi="Arial" w:cs="Arial"/>
          <w:color w:val="000000" w:themeColor="text1"/>
        </w:rPr>
      </w:pPr>
    </w:p>
    <w:p w14:paraId="69276CD3" w14:textId="77777777" w:rsidR="00185BCF" w:rsidRPr="00B10229" w:rsidRDefault="00185BCF" w:rsidP="00185BCF">
      <w:pPr>
        <w:jc w:val="both"/>
        <w:rPr>
          <w:rFonts w:ascii="Arial" w:hAnsi="Arial" w:cs="Arial"/>
          <w:b/>
          <w:bCs/>
          <w:color w:val="000000" w:themeColor="text1"/>
        </w:rPr>
      </w:pPr>
      <w:r w:rsidRPr="00B10229">
        <w:rPr>
          <w:rFonts w:ascii="Arial" w:hAnsi="Arial" w:cs="Arial"/>
          <w:b/>
          <w:bCs/>
          <w:color w:val="000000" w:themeColor="text1"/>
        </w:rPr>
        <w:t>Recommendations</w:t>
      </w:r>
    </w:p>
    <w:p w14:paraId="2886C820" w14:textId="77777777" w:rsidR="00185BCF" w:rsidRPr="00B10229" w:rsidRDefault="00185BCF" w:rsidP="00185BCF">
      <w:pPr>
        <w:jc w:val="both"/>
        <w:rPr>
          <w:rFonts w:ascii="Arial" w:hAnsi="Arial" w:cs="Arial"/>
          <w:color w:val="000000" w:themeColor="text1"/>
        </w:rPr>
      </w:pPr>
      <w:r w:rsidRPr="00B10229">
        <w:rPr>
          <w:rFonts w:ascii="Arial" w:hAnsi="Arial" w:cs="Arial"/>
          <w:color w:val="000000" w:themeColor="text1"/>
        </w:rPr>
        <w:t>It is recommended for Tribus to adopt an organisational development cycle rather than a one-off action plan. This continuous learning approach is consistent with Kolb’s experiential cycle (Kolb, 1984).</w:t>
      </w:r>
    </w:p>
    <w:p w14:paraId="55B83590" w14:textId="77777777" w:rsidR="00185BCF" w:rsidRPr="00B10229" w:rsidRDefault="00185BCF" w:rsidP="00185BCF">
      <w:pPr>
        <w:jc w:val="both"/>
        <w:rPr>
          <w:rFonts w:ascii="Arial" w:hAnsi="Arial" w:cs="Arial"/>
          <w:color w:val="000000" w:themeColor="text1"/>
        </w:rPr>
      </w:pPr>
    </w:p>
    <w:p w14:paraId="16EBA929" w14:textId="77777777" w:rsidR="00185BCF" w:rsidRPr="00B10229" w:rsidRDefault="00185BCF" w:rsidP="00185BCF">
      <w:pPr>
        <w:jc w:val="both"/>
        <w:rPr>
          <w:rFonts w:ascii="Arial" w:hAnsi="Arial" w:cs="Arial"/>
          <w:color w:val="000000" w:themeColor="text1"/>
        </w:rPr>
      </w:pPr>
      <w:r w:rsidRPr="00B10229">
        <w:rPr>
          <w:rFonts w:ascii="Arial" w:hAnsi="Arial" w:cs="Arial"/>
          <w:color w:val="000000" w:themeColor="text1"/>
        </w:rPr>
        <w:t>The project found uneven participation, reliance on email and informal prompts and opacity following the 2023 survey suggest a weakened “voice climate” and limited confidence that speaking up leads to visible change. Strategically, Tribus-TSG should prioritise building a credible listening and action system that increases data quality and trust.</w:t>
      </w:r>
    </w:p>
    <w:p w14:paraId="69C5472F" w14:textId="77777777" w:rsidR="00185BCF" w:rsidRPr="006D3DB7" w:rsidRDefault="00185BCF" w:rsidP="00185BCF">
      <w:pPr>
        <w:jc w:val="both"/>
        <w:rPr>
          <w:rFonts w:ascii="Arial" w:hAnsi="Arial" w:cs="Arial"/>
        </w:rPr>
      </w:pPr>
    </w:p>
    <w:p w14:paraId="5048C63E" w14:textId="77777777" w:rsidR="00185BCF" w:rsidRPr="00B10229" w:rsidRDefault="00185BCF" w:rsidP="00185BCF">
      <w:pPr>
        <w:jc w:val="both"/>
        <w:rPr>
          <w:rFonts w:ascii="Arial" w:hAnsi="Arial" w:cs="Arial"/>
          <w:color w:val="000000" w:themeColor="text1"/>
        </w:rPr>
      </w:pPr>
      <w:r w:rsidRPr="00B10229">
        <w:rPr>
          <w:rFonts w:ascii="Arial" w:hAnsi="Arial" w:cs="Arial"/>
          <w:color w:val="000000" w:themeColor="text1"/>
        </w:rPr>
        <w:t>First, redesign the research cycle to reduce self-selection effects and strengthen cross-vertical inference through multi-channel collection, sampling and clearer benchmarking, recognising that survey conclusions are only as robust as their design and participation (Bryman and Bell, 2015).</w:t>
      </w:r>
    </w:p>
    <w:p w14:paraId="12EA0F25" w14:textId="77777777" w:rsidR="00185BCF" w:rsidRPr="00B10229" w:rsidRDefault="00185BCF" w:rsidP="00185BCF">
      <w:pPr>
        <w:jc w:val="both"/>
        <w:rPr>
          <w:rFonts w:ascii="Arial" w:hAnsi="Arial" w:cs="Arial"/>
          <w:color w:val="000000" w:themeColor="text1"/>
        </w:rPr>
      </w:pPr>
    </w:p>
    <w:p w14:paraId="3853B105" w14:textId="77777777" w:rsidR="00185BCF" w:rsidRPr="00B10229" w:rsidRDefault="00185BCF" w:rsidP="00185BCF">
      <w:pPr>
        <w:jc w:val="both"/>
        <w:rPr>
          <w:rFonts w:ascii="Arial" w:hAnsi="Arial" w:cs="Arial"/>
          <w:color w:val="000000" w:themeColor="text1"/>
        </w:rPr>
      </w:pPr>
      <w:r w:rsidRPr="00B10229">
        <w:rPr>
          <w:rFonts w:ascii="Arial" w:hAnsi="Arial" w:cs="Arial"/>
          <w:color w:val="000000" w:themeColor="text1"/>
        </w:rPr>
        <w:t>Second, implement a standardised post-survey communication protocol (“you said, we did, what changed”) with defined timelines and owners. This directly addresses the finding that outcomes were not shared, which risks repeating earlier opacity and suppressing future engagement.</w:t>
      </w:r>
    </w:p>
    <w:p w14:paraId="7DBAD797" w14:textId="77777777" w:rsidR="00185BCF" w:rsidRPr="00B10229" w:rsidRDefault="00185BCF" w:rsidP="00185BCF">
      <w:pPr>
        <w:jc w:val="both"/>
        <w:rPr>
          <w:rFonts w:ascii="Arial" w:hAnsi="Arial" w:cs="Arial"/>
          <w:color w:val="000000" w:themeColor="text1"/>
        </w:rPr>
      </w:pPr>
    </w:p>
    <w:p w14:paraId="03EDC6B4" w14:textId="77777777" w:rsidR="00185BCF" w:rsidRPr="00B10229" w:rsidRDefault="00185BCF" w:rsidP="00185BCF">
      <w:pPr>
        <w:jc w:val="both"/>
        <w:rPr>
          <w:rFonts w:ascii="Arial" w:hAnsi="Arial" w:cs="Arial"/>
          <w:color w:val="000000" w:themeColor="text1"/>
        </w:rPr>
      </w:pPr>
      <w:r w:rsidRPr="00B10229">
        <w:rPr>
          <w:rFonts w:ascii="Arial" w:hAnsi="Arial" w:cs="Arial"/>
          <w:color w:val="000000" w:themeColor="text1"/>
        </w:rPr>
        <w:t>Third, concentrate diagnostic effort on Facilities Management while also validating whether low-response areas are silent due to access/fear, using ERC-facilitated focus groups and short pulse checks to convert high-level concerns into root-cause insights and targeted interventions.</w:t>
      </w:r>
    </w:p>
    <w:p w14:paraId="53EC8AD5" w14:textId="77777777" w:rsidR="00185BCF" w:rsidRPr="00B10229" w:rsidRDefault="00185BCF" w:rsidP="00185BCF">
      <w:pPr>
        <w:jc w:val="both"/>
        <w:rPr>
          <w:rFonts w:ascii="Arial" w:hAnsi="Arial" w:cs="Arial"/>
          <w:color w:val="000000" w:themeColor="text1"/>
        </w:rPr>
      </w:pPr>
    </w:p>
    <w:p w14:paraId="3496E3FF" w14:textId="77777777" w:rsidR="00185BCF" w:rsidRPr="00B10229" w:rsidRDefault="00185BCF" w:rsidP="00185BCF">
      <w:pPr>
        <w:jc w:val="both"/>
        <w:rPr>
          <w:rFonts w:ascii="Arial" w:hAnsi="Arial" w:cs="Arial"/>
          <w:color w:val="000000" w:themeColor="text1"/>
        </w:rPr>
      </w:pPr>
      <w:r w:rsidRPr="00B10229">
        <w:rPr>
          <w:rFonts w:ascii="Arial" w:hAnsi="Arial" w:cs="Arial"/>
          <w:color w:val="000000" w:themeColor="text1"/>
        </w:rPr>
        <w:t>Finally, evaluate impact beyond immediate reaction by tracking behaviour and results measures (Kirkpatrick Levels 3–4), rather than participation alone (Kirkpatrick and Kirkpatrick, 2006). Appendix 1 summarises the delivery plan, including priorities, owners, indicative timings and success measures.</w:t>
      </w:r>
    </w:p>
    <w:p w14:paraId="1BB58694" w14:textId="77777777" w:rsidR="00185BCF" w:rsidRDefault="00185BCF" w:rsidP="00185BCF">
      <w:pPr>
        <w:jc w:val="both"/>
        <w:rPr>
          <w:rFonts w:ascii="Arial" w:hAnsi="Arial" w:cs="Arial"/>
        </w:rPr>
      </w:pPr>
    </w:p>
    <w:p w14:paraId="1DF8A68C" w14:textId="77777777" w:rsidR="00185BCF" w:rsidRDefault="00185BCF" w:rsidP="00185BCF">
      <w:pPr>
        <w:jc w:val="both"/>
        <w:rPr>
          <w:rFonts w:ascii="Arial" w:hAnsi="Arial" w:cs="Arial"/>
        </w:rPr>
      </w:pPr>
    </w:p>
    <w:p w14:paraId="671A06F9" w14:textId="77777777" w:rsidR="00185BCF" w:rsidRDefault="00185BCF" w:rsidP="00185BCF">
      <w:pPr>
        <w:jc w:val="both"/>
        <w:rPr>
          <w:rFonts w:ascii="Arial" w:hAnsi="Arial" w:cs="Arial"/>
        </w:rPr>
      </w:pPr>
    </w:p>
    <w:p w14:paraId="6C8A6E8C" w14:textId="77777777" w:rsidR="00185BCF" w:rsidRDefault="00185BCF" w:rsidP="00185BCF">
      <w:pPr>
        <w:jc w:val="both"/>
        <w:rPr>
          <w:rFonts w:ascii="Arial" w:hAnsi="Arial" w:cs="Arial"/>
        </w:rPr>
      </w:pPr>
    </w:p>
    <w:p w14:paraId="15BFE6E0" w14:textId="77777777" w:rsidR="00185BCF" w:rsidRDefault="00185BCF" w:rsidP="00185BCF">
      <w:pPr>
        <w:jc w:val="both"/>
        <w:rPr>
          <w:rFonts w:ascii="Arial" w:hAnsi="Arial" w:cs="Arial"/>
        </w:rPr>
      </w:pPr>
    </w:p>
    <w:p w14:paraId="7E08D625" w14:textId="77777777" w:rsidR="00185BCF" w:rsidRDefault="00185BCF" w:rsidP="00185BCF">
      <w:pPr>
        <w:jc w:val="both"/>
        <w:rPr>
          <w:rFonts w:ascii="Arial" w:hAnsi="Arial" w:cs="Arial"/>
        </w:rPr>
      </w:pPr>
    </w:p>
    <w:p w14:paraId="340C412E" w14:textId="77777777" w:rsidR="00185BCF" w:rsidRDefault="00185BCF" w:rsidP="00185BCF">
      <w:pPr>
        <w:jc w:val="both"/>
        <w:rPr>
          <w:rFonts w:ascii="Arial" w:hAnsi="Arial" w:cs="Arial"/>
        </w:rPr>
      </w:pPr>
    </w:p>
    <w:p w14:paraId="552D3F60" w14:textId="77777777" w:rsidR="00185BCF" w:rsidRDefault="00185BCF" w:rsidP="00185BCF">
      <w:pPr>
        <w:jc w:val="both"/>
        <w:rPr>
          <w:rFonts w:ascii="Arial" w:hAnsi="Arial" w:cs="Arial"/>
        </w:rPr>
      </w:pPr>
    </w:p>
    <w:p w14:paraId="43E53285" w14:textId="77777777" w:rsidR="00185BCF" w:rsidRDefault="00185BCF" w:rsidP="00185BCF">
      <w:pPr>
        <w:jc w:val="both"/>
        <w:rPr>
          <w:rFonts w:ascii="Arial" w:hAnsi="Arial" w:cs="Arial"/>
        </w:rPr>
      </w:pPr>
    </w:p>
    <w:p w14:paraId="4AD000B1" w14:textId="77777777" w:rsidR="00185BCF" w:rsidRDefault="00185BCF" w:rsidP="00185BCF">
      <w:pPr>
        <w:jc w:val="both"/>
        <w:rPr>
          <w:rFonts w:ascii="Arial" w:hAnsi="Arial" w:cs="Arial"/>
        </w:rPr>
      </w:pPr>
    </w:p>
    <w:p w14:paraId="28B7611E" w14:textId="77777777" w:rsidR="00185BCF" w:rsidRDefault="00185BCF" w:rsidP="00185BCF">
      <w:pPr>
        <w:jc w:val="both"/>
        <w:rPr>
          <w:rFonts w:ascii="Arial" w:hAnsi="Arial" w:cs="Arial"/>
        </w:rPr>
      </w:pPr>
    </w:p>
    <w:p w14:paraId="1E157512" w14:textId="77777777" w:rsidR="00185BCF" w:rsidRDefault="00185BCF" w:rsidP="00185BCF">
      <w:pPr>
        <w:jc w:val="both"/>
        <w:rPr>
          <w:rFonts w:ascii="Arial" w:hAnsi="Arial" w:cs="Arial"/>
        </w:rPr>
      </w:pPr>
    </w:p>
    <w:p w14:paraId="3838FDB8" w14:textId="77777777" w:rsidR="00185BCF" w:rsidRDefault="00185BCF" w:rsidP="00185BCF">
      <w:pPr>
        <w:jc w:val="both"/>
        <w:rPr>
          <w:rFonts w:ascii="Arial" w:hAnsi="Arial" w:cs="Arial"/>
        </w:rPr>
      </w:pPr>
    </w:p>
    <w:p w14:paraId="7D6A4EF0" w14:textId="77777777" w:rsidR="00185BCF" w:rsidRDefault="00185BCF" w:rsidP="00185BCF">
      <w:pPr>
        <w:jc w:val="both"/>
        <w:rPr>
          <w:rFonts w:ascii="Arial" w:hAnsi="Arial" w:cs="Arial"/>
        </w:rPr>
      </w:pPr>
    </w:p>
    <w:p w14:paraId="726337E2" w14:textId="77777777" w:rsidR="00185BCF" w:rsidRDefault="00185BCF" w:rsidP="00185BCF">
      <w:pPr>
        <w:jc w:val="both"/>
        <w:rPr>
          <w:rFonts w:ascii="Arial" w:hAnsi="Arial" w:cs="Arial"/>
        </w:rPr>
      </w:pPr>
    </w:p>
    <w:p w14:paraId="6363CC1D" w14:textId="77777777" w:rsidR="00185BCF" w:rsidRDefault="00185BCF" w:rsidP="00185BCF">
      <w:pPr>
        <w:jc w:val="both"/>
        <w:rPr>
          <w:rFonts w:ascii="Arial" w:hAnsi="Arial" w:cs="Arial"/>
        </w:rPr>
      </w:pPr>
    </w:p>
    <w:p w14:paraId="069A6DD9" w14:textId="77777777" w:rsidR="00185BCF" w:rsidRDefault="00185BCF" w:rsidP="00185BCF">
      <w:pPr>
        <w:jc w:val="both"/>
        <w:rPr>
          <w:rFonts w:ascii="Arial" w:hAnsi="Arial" w:cs="Arial"/>
        </w:rPr>
      </w:pPr>
    </w:p>
    <w:p w14:paraId="6D74D43A" w14:textId="77777777" w:rsidR="00185BCF" w:rsidRDefault="00185BCF" w:rsidP="00185BCF">
      <w:pPr>
        <w:jc w:val="both"/>
        <w:rPr>
          <w:rFonts w:ascii="Arial" w:hAnsi="Arial" w:cs="Arial"/>
        </w:rPr>
      </w:pPr>
    </w:p>
    <w:p w14:paraId="35FEB054" w14:textId="77777777" w:rsidR="00185BCF" w:rsidRDefault="00185BCF" w:rsidP="00185BCF">
      <w:pPr>
        <w:jc w:val="both"/>
        <w:rPr>
          <w:rFonts w:ascii="Arial" w:hAnsi="Arial" w:cs="Arial"/>
        </w:rPr>
      </w:pPr>
    </w:p>
    <w:p w14:paraId="06BF58B7" w14:textId="77777777" w:rsidR="00185BCF" w:rsidRDefault="00185BCF" w:rsidP="00185BCF">
      <w:pPr>
        <w:jc w:val="both"/>
        <w:rPr>
          <w:rFonts w:ascii="Arial" w:hAnsi="Arial" w:cs="Arial"/>
        </w:rPr>
      </w:pPr>
    </w:p>
    <w:p w14:paraId="75BB21EB" w14:textId="77777777" w:rsidR="00185BCF" w:rsidRDefault="00185BCF" w:rsidP="00185BCF">
      <w:pPr>
        <w:jc w:val="both"/>
        <w:rPr>
          <w:rFonts w:ascii="Arial" w:hAnsi="Arial" w:cs="Arial"/>
        </w:rPr>
      </w:pPr>
    </w:p>
    <w:p w14:paraId="2711327A" w14:textId="77777777" w:rsidR="00185BCF" w:rsidRDefault="00185BCF" w:rsidP="00185BCF">
      <w:pPr>
        <w:jc w:val="both"/>
        <w:rPr>
          <w:rFonts w:ascii="Arial" w:hAnsi="Arial" w:cs="Arial"/>
        </w:rPr>
      </w:pPr>
    </w:p>
    <w:p w14:paraId="59CA40C5" w14:textId="77777777" w:rsidR="00185BCF" w:rsidRDefault="00185BCF" w:rsidP="00185BCF">
      <w:pPr>
        <w:jc w:val="both"/>
        <w:rPr>
          <w:rFonts w:ascii="Arial" w:hAnsi="Arial" w:cs="Arial"/>
        </w:rPr>
      </w:pPr>
    </w:p>
    <w:p w14:paraId="3F23A639" w14:textId="77777777" w:rsidR="00185BCF" w:rsidRDefault="00185BCF" w:rsidP="00185BCF">
      <w:pPr>
        <w:jc w:val="both"/>
        <w:rPr>
          <w:rFonts w:ascii="Arial" w:hAnsi="Arial" w:cs="Arial"/>
        </w:rPr>
      </w:pPr>
    </w:p>
    <w:p w14:paraId="55ACBEAF" w14:textId="77777777" w:rsidR="00185BCF" w:rsidRDefault="00185BCF" w:rsidP="00185BCF">
      <w:pPr>
        <w:jc w:val="both"/>
        <w:rPr>
          <w:rFonts w:ascii="Arial" w:hAnsi="Arial" w:cs="Arial"/>
        </w:rPr>
      </w:pPr>
    </w:p>
    <w:p w14:paraId="5F1C2194" w14:textId="77777777" w:rsidR="00185BCF" w:rsidRDefault="00185BCF" w:rsidP="00185BCF">
      <w:pPr>
        <w:jc w:val="both"/>
        <w:rPr>
          <w:rFonts w:ascii="Arial" w:hAnsi="Arial" w:cs="Arial"/>
        </w:rPr>
      </w:pPr>
    </w:p>
    <w:p w14:paraId="55411B15" w14:textId="77777777" w:rsidR="00185BCF" w:rsidRDefault="00185BCF" w:rsidP="00185BCF">
      <w:pPr>
        <w:jc w:val="both"/>
        <w:rPr>
          <w:rFonts w:ascii="Arial" w:hAnsi="Arial" w:cs="Arial"/>
        </w:rPr>
      </w:pPr>
    </w:p>
    <w:p w14:paraId="3DB8D92F" w14:textId="77777777" w:rsidR="00185BCF" w:rsidRDefault="00185BCF" w:rsidP="00185BCF">
      <w:pPr>
        <w:jc w:val="both"/>
        <w:rPr>
          <w:rFonts w:ascii="Arial" w:hAnsi="Arial" w:cs="Arial"/>
        </w:rPr>
      </w:pPr>
    </w:p>
    <w:p w14:paraId="7770B0C5" w14:textId="77777777" w:rsidR="00185BCF" w:rsidRDefault="00185BCF" w:rsidP="00185BCF">
      <w:pPr>
        <w:jc w:val="both"/>
        <w:rPr>
          <w:rFonts w:ascii="Arial" w:hAnsi="Arial" w:cs="Arial"/>
        </w:rPr>
      </w:pPr>
    </w:p>
    <w:p w14:paraId="393A6775" w14:textId="77777777" w:rsidR="00185BCF" w:rsidRPr="00D21132" w:rsidRDefault="00185BCF" w:rsidP="00185BCF">
      <w:pPr>
        <w:ind w:right="-52"/>
        <w:jc w:val="both"/>
        <w:rPr>
          <w:rFonts w:ascii="Arial" w:hAnsi="Arial" w:cs="Arial"/>
          <w:b/>
          <w:bCs/>
        </w:rPr>
      </w:pPr>
      <w:r w:rsidRPr="00D21132">
        <w:rPr>
          <w:rFonts w:ascii="Arial" w:hAnsi="Arial" w:cs="Arial"/>
          <w:b/>
          <w:bCs/>
        </w:rPr>
        <w:lastRenderedPageBreak/>
        <w:t>A</w:t>
      </w:r>
      <w:r>
        <w:rPr>
          <w:rFonts w:ascii="Arial" w:hAnsi="Arial" w:cs="Arial"/>
          <w:b/>
          <w:bCs/>
        </w:rPr>
        <w:t xml:space="preserve">ppendix 1 - </w:t>
      </w:r>
      <w:r w:rsidRPr="00370CFD">
        <w:rPr>
          <w:rFonts w:ascii="Arial" w:hAnsi="Arial" w:cs="Arial"/>
          <w:b/>
          <w:bCs/>
        </w:rPr>
        <w:t>Appendix 1:</w:t>
      </w:r>
      <w:r w:rsidRPr="0047036C">
        <w:rPr>
          <w:rFonts w:ascii="Arial" w:hAnsi="Arial" w:cs="Arial"/>
          <w:b/>
          <w:bCs/>
        </w:rPr>
        <w:t xml:space="preserve"> Implementation Plan - Priorities, Accountabilities, Indicative Timeframes and Success Measures</w:t>
      </w:r>
    </w:p>
    <w:p w14:paraId="109FD0F1" w14:textId="77777777" w:rsidR="00185BCF" w:rsidRDefault="00185BCF" w:rsidP="00185BCF">
      <w:pPr>
        <w:jc w:val="both"/>
        <w:rPr>
          <w:rFonts w:ascii="Arial" w:hAnsi="Arial" w:cs="Arial"/>
        </w:rPr>
      </w:pPr>
    </w:p>
    <w:tbl>
      <w:tblPr>
        <w:tblStyle w:val="TableGrid"/>
        <w:tblW w:w="9008" w:type="dxa"/>
        <w:tblLook w:val="04A0" w:firstRow="1" w:lastRow="0" w:firstColumn="1" w:lastColumn="0" w:noHBand="0" w:noVBand="1"/>
      </w:tblPr>
      <w:tblGrid>
        <w:gridCol w:w="2252"/>
        <w:gridCol w:w="2252"/>
        <w:gridCol w:w="2252"/>
        <w:gridCol w:w="2252"/>
      </w:tblGrid>
      <w:tr w:rsidR="00185BCF" w14:paraId="19163B0F" w14:textId="77777777" w:rsidTr="00737D38">
        <w:trPr>
          <w:trHeight w:val="551"/>
        </w:trPr>
        <w:tc>
          <w:tcPr>
            <w:tcW w:w="2252" w:type="dxa"/>
            <w:shd w:val="clear" w:color="auto" w:fill="0070C0"/>
            <w:vAlign w:val="center"/>
          </w:tcPr>
          <w:p w14:paraId="5E1F746E" w14:textId="77777777" w:rsidR="00185BCF" w:rsidRPr="0047036C" w:rsidRDefault="00185BCF" w:rsidP="00737D38">
            <w:pPr>
              <w:jc w:val="center"/>
              <w:rPr>
                <w:color w:val="FFFFFF" w:themeColor="background1"/>
              </w:rPr>
            </w:pPr>
            <w:r w:rsidRPr="0047036C">
              <w:rPr>
                <w:color w:val="FFFFFF" w:themeColor="background1"/>
              </w:rPr>
              <w:t>Planned intervention</w:t>
            </w:r>
          </w:p>
        </w:tc>
        <w:tc>
          <w:tcPr>
            <w:tcW w:w="2252" w:type="dxa"/>
            <w:shd w:val="clear" w:color="auto" w:fill="0070C0"/>
            <w:vAlign w:val="center"/>
          </w:tcPr>
          <w:p w14:paraId="77C299B7" w14:textId="77777777" w:rsidR="00185BCF" w:rsidRPr="0047036C" w:rsidRDefault="00185BCF" w:rsidP="00737D38">
            <w:pPr>
              <w:jc w:val="center"/>
              <w:rPr>
                <w:color w:val="FFFFFF" w:themeColor="background1"/>
              </w:rPr>
            </w:pPr>
            <w:r w:rsidRPr="0047036C">
              <w:rPr>
                <w:color w:val="FFFFFF" w:themeColor="background1"/>
              </w:rPr>
              <w:t>Accountable owner(s)</w:t>
            </w:r>
          </w:p>
        </w:tc>
        <w:tc>
          <w:tcPr>
            <w:tcW w:w="2252" w:type="dxa"/>
            <w:shd w:val="clear" w:color="auto" w:fill="0070C0"/>
            <w:vAlign w:val="center"/>
          </w:tcPr>
          <w:p w14:paraId="7F90080C" w14:textId="77777777" w:rsidR="00185BCF" w:rsidRPr="0047036C" w:rsidRDefault="00185BCF" w:rsidP="00737D38">
            <w:pPr>
              <w:jc w:val="center"/>
              <w:rPr>
                <w:color w:val="FFFFFF" w:themeColor="background1"/>
              </w:rPr>
            </w:pPr>
            <w:r w:rsidRPr="0047036C">
              <w:rPr>
                <w:color w:val="FFFFFF" w:themeColor="background1"/>
              </w:rPr>
              <w:t>Indicative timeframe</w:t>
            </w:r>
          </w:p>
        </w:tc>
        <w:tc>
          <w:tcPr>
            <w:tcW w:w="2252" w:type="dxa"/>
            <w:shd w:val="clear" w:color="auto" w:fill="0070C0"/>
            <w:vAlign w:val="center"/>
          </w:tcPr>
          <w:p w14:paraId="5391BD41" w14:textId="77777777" w:rsidR="00185BCF" w:rsidRPr="0047036C" w:rsidRDefault="00185BCF" w:rsidP="00737D38">
            <w:pPr>
              <w:jc w:val="center"/>
              <w:rPr>
                <w:color w:val="FFFFFF" w:themeColor="background1"/>
              </w:rPr>
            </w:pPr>
            <w:r w:rsidRPr="0047036C">
              <w:rPr>
                <w:color w:val="FFFFFF" w:themeColor="background1"/>
              </w:rPr>
              <w:t>Success indicator(s)</w:t>
            </w:r>
          </w:p>
        </w:tc>
      </w:tr>
      <w:tr w:rsidR="00185BCF" w14:paraId="545FFF21" w14:textId="77777777" w:rsidTr="00737D38">
        <w:trPr>
          <w:trHeight w:val="817"/>
        </w:trPr>
        <w:tc>
          <w:tcPr>
            <w:tcW w:w="2252" w:type="dxa"/>
            <w:vAlign w:val="center"/>
          </w:tcPr>
          <w:p w14:paraId="04E47D21" w14:textId="77777777" w:rsidR="00185BCF" w:rsidRDefault="00185BCF" w:rsidP="00737D38">
            <w:r>
              <w:t>Close the survey feedback loop</w:t>
            </w:r>
          </w:p>
        </w:tc>
        <w:tc>
          <w:tcPr>
            <w:tcW w:w="2252" w:type="dxa"/>
            <w:vAlign w:val="center"/>
          </w:tcPr>
          <w:p w14:paraId="4CA103D3" w14:textId="77777777" w:rsidR="00185BCF" w:rsidRDefault="00185BCF" w:rsidP="00737D38">
            <w:r>
              <w:t>HR + Managing Director</w:t>
            </w:r>
          </w:p>
        </w:tc>
        <w:tc>
          <w:tcPr>
            <w:tcW w:w="2252" w:type="dxa"/>
            <w:vAlign w:val="center"/>
          </w:tcPr>
          <w:p w14:paraId="581C8F44" w14:textId="77777777" w:rsidR="00185BCF" w:rsidRDefault="00185BCF" w:rsidP="00737D38">
            <w:r>
              <w:t>0–30 days</w:t>
            </w:r>
          </w:p>
        </w:tc>
        <w:tc>
          <w:tcPr>
            <w:tcW w:w="2252" w:type="dxa"/>
            <w:vAlign w:val="center"/>
          </w:tcPr>
          <w:p w14:paraId="5AB106D5" w14:textId="77777777" w:rsidR="00185BCF" w:rsidRDefault="00185BCF" w:rsidP="00737D38">
            <w:r>
              <w:t>Update issued; subsequent pulse response rate</w:t>
            </w:r>
          </w:p>
        </w:tc>
      </w:tr>
      <w:tr w:rsidR="00185BCF" w14:paraId="73D34644" w14:textId="77777777" w:rsidTr="00737D38">
        <w:trPr>
          <w:trHeight w:val="1104"/>
        </w:trPr>
        <w:tc>
          <w:tcPr>
            <w:tcW w:w="2252" w:type="dxa"/>
            <w:vAlign w:val="center"/>
          </w:tcPr>
          <w:p w14:paraId="01CB8875" w14:textId="77777777" w:rsidR="00185BCF" w:rsidRDefault="00185BCF" w:rsidP="00737D38">
            <w:r>
              <w:t>Establish a consistent site communications cadence</w:t>
            </w:r>
          </w:p>
        </w:tc>
        <w:tc>
          <w:tcPr>
            <w:tcW w:w="2252" w:type="dxa"/>
            <w:vAlign w:val="center"/>
          </w:tcPr>
          <w:p w14:paraId="783EA074" w14:textId="77777777" w:rsidR="00185BCF" w:rsidRDefault="00185BCF" w:rsidP="00737D38">
            <w:r>
              <w:t>Operations + Department Heads o</w:t>
            </w:r>
          </w:p>
        </w:tc>
        <w:tc>
          <w:tcPr>
            <w:tcW w:w="2252" w:type="dxa"/>
            <w:vAlign w:val="center"/>
          </w:tcPr>
          <w:p w14:paraId="159E8BF0" w14:textId="77777777" w:rsidR="00185BCF" w:rsidRDefault="00185BCF" w:rsidP="00737D38">
            <w:r>
              <w:t>30–60 days</w:t>
            </w:r>
          </w:p>
        </w:tc>
        <w:tc>
          <w:tcPr>
            <w:tcW w:w="2252" w:type="dxa"/>
            <w:vAlign w:val="center"/>
          </w:tcPr>
          <w:p w14:paraId="7E6B4216" w14:textId="77777777" w:rsidR="00185BCF" w:rsidRDefault="00185BCF" w:rsidP="00737D38">
            <w:r>
              <w:t>Monthly brief delivered; message recall</w:t>
            </w:r>
          </w:p>
        </w:tc>
      </w:tr>
      <w:tr w:rsidR="00185BCF" w14:paraId="732F3C66" w14:textId="77777777" w:rsidTr="00737D38">
        <w:trPr>
          <w:trHeight w:val="839"/>
        </w:trPr>
        <w:tc>
          <w:tcPr>
            <w:tcW w:w="2252" w:type="dxa"/>
            <w:vAlign w:val="center"/>
          </w:tcPr>
          <w:p w14:paraId="0B3B9DB6" w14:textId="77777777" w:rsidR="00185BCF" w:rsidRDefault="00185BCF" w:rsidP="00737D38">
            <w:r>
              <w:t>Improve ERC visibility and access routes</w:t>
            </w:r>
          </w:p>
        </w:tc>
        <w:tc>
          <w:tcPr>
            <w:tcW w:w="2252" w:type="dxa"/>
            <w:vAlign w:val="center"/>
          </w:tcPr>
          <w:p w14:paraId="091DFE1A" w14:textId="77777777" w:rsidR="00185BCF" w:rsidRDefault="00185BCF" w:rsidP="00737D38">
            <w:r>
              <w:t>Employee Relations Council + HR</w:t>
            </w:r>
          </w:p>
        </w:tc>
        <w:tc>
          <w:tcPr>
            <w:tcW w:w="2252" w:type="dxa"/>
            <w:vAlign w:val="center"/>
          </w:tcPr>
          <w:p w14:paraId="5EA9DAA6" w14:textId="77777777" w:rsidR="00185BCF" w:rsidRDefault="00185BCF" w:rsidP="00737D38">
            <w:r>
              <w:t>30–90 days</w:t>
            </w:r>
          </w:p>
        </w:tc>
        <w:tc>
          <w:tcPr>
            <w:tcW w:w="2252" w:type="dxa"/>
            <w:vAlign w:val="center"/>
          </w:tcPr>
          <w:p w14:paraId="3535FCC7" w14:textId="77777777" w:rsidR="00185BCF" w:rsidRDefault="00185BCF" w:rsidP="00737D38">
            <w:r>
              <w:t>ERC awareness (%); case cycle time</w:t>
            </w:r>
          </w:p>
        </w:tc>
      </w:tr>
      <w:tr w:rsidR="00185BCF" w14:paraId="06BF843F" w14:textId="77777777" w:rsidTr="00737D38">
        <w:trPr>
          <w:trHeight w:val="1104"/>
        </w:trPr>
        <w:tc>
          <w:tcPr>
            <w:tcW w:w="2252" w:type="dxa"/>
            <w:vAlign w:val="center"/>
          </w:tcPr>
          <w:p w14:paraId="762D1AA6" w14:textId="77777777" w:rsidR="00185BCF" w:rsidRDefault="00185BCF" w:rsidP="00737D38">
            <w:r>
              <w:t>Clarify career pathways and strengthen internal mobility</w:t>
            </w:r>
          </w:p>
        </w:tc>
        <w:tc>
          <w:tcPr>
            <w:tcW w:w="2252" w:type="dxa"/>
            <w:vAlign w:val="center"/>
          </w:tcPr>
          <w:p w14:paraId="3B644D6A" w14:textId="77777777" w:rsidR="00185BCF" w:rsidRDefault="00185BCF" w:rsidP="00737D38">
            <w:r>
              <w:t>HR + Learning and Development</w:t>
            </w:r>
          </w:p>
        </w:tc>
        <w:tc>
          <w:tcPr>
            <w:tcW w:w="2252" w:type="dxa"/>
            <w:vAlign w:val="center"/>
          </w:tcPr>
          <w:p w14:paraId="11FA9FC5" w14:textId="77777777" w:rsidR="00185BCF" w:rsidRDefault="00185BCF" w:rsidP="00737D38">
            <w:r>
              <w:t>60–120 days</w:t>
            </w:r>
          </w:p>
        </w:tc>
        <w:tc>
          <w:tcPr>
            <w:tcW w:w="2252" w:type="dxa"/>
            <w:vAlign w:val="center"/>
          </w:tcPr>
          <w:p w14:paraId="56D00E40" w14:textId="77777777" w:rsidR="00185BCF" w:rsidRDefault="00185BCF" w:rsidP="00737D38">
            <w:r>
              <w:t>Pathways published; internal fill rate (%)</w:t>
            </w:r>
          </w:p>
        </w:tc>
      </w:tr>
      <w:tr w:rsidR="00185BCF" w14:paraId="1B9B64BF" w14:textId="77777777" w:rsidTr="00737D38">
        <w:trPr>
          <w:trHeight w:val="817"/>
        </w:trPr>
        <w:tc>
          <w:tcPr>
            <w:tcW w:w="2252" w:type="dxa"/>
            <w:vAlign w:val="center"/>
          </w:tcPr>
          <w:p w14:paraId="7C4113F0" w14:textId="77777777" w:rsidR="00185BCF" w:rsidRDefault="00185BCF" w:rsidP="00737D38">
            <w:r>
              <w:t>Build dispersed management fundamentals</w:t>
            </w:r>
          </w:p>
        </w:tc>
        <w:tc>
          <w:tcPr>
            <w:tcW w:w="2252" w:type="dxa"/>
            <w:vAlign w:val="center"/>
          </w:tcPr>
          <w:p w14:paraId="67A6E116" w14:textId="77777777" w:rsidR="00185BCF" w:rsidRDefault="00185BCF" w:rsidP="00737D38">
            <w:r>
              <w:t>Learning and Development + Line Managers</w:t>
            </w:r>
          </w:p>
        </w:tc>
        <w:tc>
          <w:tcPr>
            <w:tcW w:w="2252" w:type="dxa"/>
            <w:vAlign w:val="center"/>
          </w:tcPr>
          <w:p w14:paraId="0815EF6C" w14:textId="77777777" w:rsidR="00185BCF" w:rsidRDefault="00185BCF" w:rsidP="00737D38">
            <w:r>
              <w:t>60–180 days</w:t>
            </w:r>
          </w:p>
        </w:tc>
        <w:tc>
          <w:tcPr>
            <w:tcW w:w="2252" w:type="dxa"/>
            <w:vAlign w:val="center"/>
          </w:tcPr>
          <w:p w14:paraId="4C8EC153" w14:textId="77777777" w:rsidR="00185BCF" w:rsidRDefault="00185BCF" w:rsidP="00737D38">
            <w:r>
              <w:t>Completion rate (%); manager pulse score</w:t>
            </w:r>
          </w:p>
        </w:tc>
      </w:tr>
    </w:tbl>
    <w:p w14:paraId="3374B3D3" w14:textId="77777777" w:rsidR="00185BCF" w:rsidRDefault="00185BCF" w:rsidP="00185BCF">
      <w:pPr>
        <w:jc w:val="both"/>
        <w:rPr>
          <w:rFonts w:ascii="Arial" w:hAnsi="Arial" w:cs="Arial"/>
          <w:b/>
          <w:bCs/>
        </w:rPr>
      </w:pPr>
    </w:p>
    <w:p w14:paraId="1F238796" w14:textId="77777777" w:rsidR="00185BCF" w:rsidRPr="00C02BBA" w:rsidRDefault="00185BCF" w:rsidP="00185BCF">
      <w:pPr>
        <w:jc w:val="both"/>
        <w:rPr>
          <w:rFonts w:ascii="Arial" w:hAnsi="Arial" w:cs="Arial"/>
          <w:b/>
          <w:bCs/>
        </w:rPr>
      </w:pPr>
      <w:r w:rsidRPr="00C02BBA">
        <w:rPr>
          <w:rFonts w:ascii="Arial" w:hAnsi="Arial" w:cs="Arial"/>
          <w:b/>
          <w:bCs/>
        </w:rPr>
        <w:t>Appendix 1 commentary: evaluation considerations and measurement limitations</w:t>
      </w:r>
    </w:p>
    <w:p w14:paraId="3115487B" w14:textId="77777777" w:rsidR="00185BCF" w:rsidRDefault="00185BCF" w:rsidP="00185BCF">
      <w:pPr>
        <w:jc w:val="both"/>
        <w:rPr>
          <w:rFonts w:ascii="Arial" w:hAnsi="Arial" w:cs="Arial"/>
        </w:rPr>
      </w:pPr>
    </w:p>
    <w:p w14:paraId="188A58FF" w14:textId="77777777" w:rsidR="00185BCF" w:rsidRPr="00B10229" w:rsidRDefault="00185BCF" w:rsidP="00185BCF">
      <w:pPr>
        <w:jc w:val="both"/>
        <w:rPr>
          <w:rFonts w:ascii="Arial" w:hAnsi="Arial" w:cs="Arial"/>
          <w:color w:val="000000" w:themeColor="text1"/>
        </w:rPr>
      </w:pPr>
      <w:r w:rsidRPr="00B10229">
        <w:rPr>
          <w:rFonts w:ascii="Arial" w:hAnsi="Arial" w:cs="Arial"/>
          <w:color w:val="000000" w:themeColor="text1"/>
        </w:rPr>
        <w:t>Appendix 1 operationalises the recommendations into an implementable delivery plan by specifying actions, accountable owners, indicative timescales and success measures. This supports governance by clarifying accountability and providing a practical basis for monitoring progress across Tribus-TSG. The table also highlights evaluation considerations that should be acknowledged when interpreting progress and drawing conclusions about effectiveness.</w:t>
      </w:r>
    </w:p>
    <w:p w14:paraId="0E84FEF7" w14:textId="77777777" w:rsidR="00185BCF" w:rsidRPr="00B10229" w:rsidRDefault="00185BCF" w:rsidP="00185BCF">
      <w:pPr>
        <w:jc w:val="both"/>
        <w:rPr>
          <w:rFonts w:ascii="Arial" w:hAnsi="Arial" w:cs="Arial"/>
          <w:color w:val="000000" w:themeColor="text1"/>
        </w:rPr>
      </w:pPr>
    </w:p>
    <w:p w14:paraId="1F35F26B" w14:textId="77777777" w:rsidR="00185BCF" w:rsidRPr="00B10229" w:rsidRDefault="00185BCF" w:rsidP="00185BCF">
      <w:pPr>
        <w:jc w:val="both"/>
        <w:rPr>
          <w:rFonts w:ascii="Arial" w:hAnsi="Arial" w:cs="Arial"/>
          <w:color w:val="000000" w:themeColor="text1"/>
        </w:rPr>
      </w:pPr>
      <w:r w:rsidRPr="00B10229">
        <w:rPr>
          <w:rFonts w:ascii="Arial" w:hAnsi="Arial" w:cs="Arial"/>
          <w:color w:val="000000" w:themeColor="text1"/>
        </w:rPr>
        <w:t>Several indicators function primarily as process or communications proxies (for example, an update being issued, a monthly brief delivered, or message recall). These can evidence completion and reach, but they do not, in isolation, demonstrate sustained behaviour change or improved organisational outcomes. Some measures are also likely to be lagging and/or confounded (for example, internal fill percentage), as variation may reflect labour market conditions, vacancy mix, pay constraints or organisational controls such as hiring restrictions rather than the intervention itself; consequently, causal attribution will remain limited without contextual analysis and corroborating evidence.</w:t>
      </w:r>
    </w:p>
    <w:p w14:paraId="73A1BE8C" w14:textId="77777777" w:rsidR="00185BCF" w:rsidRPr="00B10229" w:rsidRDefault="00185BCF" w:rsidP="00185BCF">
      <w:pPr>
        <w:jc w:val="both"/>
        <w:rPr>
          <w:rFonts w:ascii="Arial" w:hAnsi="Arial" w:cs="Arial"/>
          <w:color w:val="000000" w:themeColor="text1"/>
        </w:rPr>
      </w:pPr>
    </w:p>
    <w:p w14:paraId="1F17EC3C" w14:textId="77777777" w:rsidR="00185BCF" w:rsidRPr="00B10229" w:rsidRDefault="00185BCF" w:rsidP="00185BCF">
      <w:pPr>
        <w:jc w:val="both"/>
        <w:rPr>
          <w:rFonts w:ascii="Arial" w:hAnsi="Arial" w:cs="Arial"/>
          <w:color w:val="000000" w:themeColor="text1"/>
        </w:rPr>
      </w:pPr>
      <w:r w:rsidRPr="00B10229">
        <w:rPr>
          <w:rFonts w:ascii="Arial" w:hAnsi="Arial" w:cs="Arial"/>
          <w:color w:val="000000" w:themeColor="text1"/>
        </w:rPr>
        <w:t xml:space="preserve">The plan combines leading indicators (awareness and completion rates) with outcome-oriented measures (pulse scores and case cycle time), but it does not specify baselines, target ranges, or decision thresholds. This reduces the ability to distinguish meaningful improvement from normal variation and creates ambiguity about when corrective action should be triggered. Reliance on pulse survey metrics also introduces risks of response bias and survey fatigue; improved response rates or </w:t>
      </w:r>
      <w:r w:rsidRPr="00B10229">
        <w:rPr>
          <w:rFonts w:ascii="Arial" w:hAnsi="Arial" w:cs="Arial"/>
          <w:color w:val="000000" w:themeColor="text1"/>
        </w:rPr>
        <w:lastRenderedPageBreak/>
        <w:t>sentiment may reflect increased communications activity rather than substantive change. Triangulation with operational metrics and structured qualitative feedback would therefore strengthen interpretive validity.</w:t>
      </w:r>
    </w:p>
    <w:p w14:paraId="73CE7882" w14:textId="77777777" w:rsidR="00185BCF" w:rsidRPr="00B10229" w:rsidRDefault="00185BCF" w:rsidP="00185BCF">
      <w:pPr>
        <w:jc w:val="both"/>
        <w:rPr>
          <w:rFonts w:ascii="Arial" w:hAnsi="Arial" w:cs="Arial"/>
          <w:color w:val="000000" w:themeColor="text1"/>
        </w:rPr>
      </w:pPr>
    </w:p>
    <w:p w14:paraId="52F214B4" w14:textId="77777777" w:rsidR="00185BCF" w:rsidRPr="00B10229" w:rsidRDefault="00185BCF" w:rsidP="00185BCF">
      <w:pPr>
        <w:jc w:val="both"/>
        <w:rPr>
          <w:rFonts w:ascii="Arial" w:hAnsi="Arial" w:cs="Arial"/>
          <w:color w:val="000000" w:themeColor="text1"/>
        </w:rPr>
      </w:pPr>
      <w:r w:rsidRPr="00B10229">
        <w:rPr>
          <w:rFonts w:ascii="Arial" w:hAnsi="Arial" w:cs="Arial"/>
          <w:color w:val="000000" w:themeColor="text1"/>
        </w:rPr>
        <w:t>Finally, although accountability is allocated at functional level, effective execution within Tribus-TSG will depend on the capability and capacity of local line managers, particularly for dispersed management basics. Without protected time, reinforcement mechanisms and visible senior sponsorship, completion may increase without consistent transfer into managerial practice. In this context, the Managing Director’s role as senior sponsor is pivotal in setting expectations, modelling desired behaviours</w:t>
      </w:r>
      <w:r>
        <w:rPr>
          <w:rFonts w:ascii="Arial" w:hAnsi="Arial" w:cs="Arial"/>
          <w:color w:val="000000" w:themeColor="text1"/>
        </w:rPr>
        <w:t xml:space="preserve"> </w:t>
      </w:r>
      <w:r w:rsidRPr="00B10229">
        <w:rPr>
          <w:rFonts w:ascii="Arial" w:hAnsi="Arial" w:cs="Arial"/>
          <w:color w:val="000000" w:themeColor="text1"/>
        </w:rPr>
        <w:t xml:space="preserve">and ensuring that line managers are enabled and held accountable for implementation. </w:t>
      </w:r>
    </w:p>
    <w:p w14:paraId="2C111270" w14:textId="77777777" w:rsidR="00185BCF" w:rsidRPr="00B10229" w:rsidRDefault="00185BCF" w:rsidP="00185BCF">
      <w:pPr>
        <w:jc w:val="both"/>
        <w:rPr>
          <w:rFonts w:ascii="Arial" w:hAnsi="Arial" w:cs="Arial"/>
          <w:color w:val="000000" w:themeColor="text1"/>
        </w:rPr>
      </w:pPr>
    </w:p>
    <w:p w14:paraId="25FD0C62" w14:textId="77777777" w:rsidR="00185BCF" w:rsidRPr="00B10229" w:rsidRDefault="00185BCF" w:rsidP="00185BCF">
      <w:pPr>
        <w:jc w:val="both"/>
        <w:rPr>
          <w:rFonts w:ascii="Arial" w:hAnsi="Arial" w:cs="Arial"/>
          <w:color w:val="000000" w:themeColor="text1"/>
        </w:rPr>
      </w:pPr>
      <w:r w:rsidRPr="00B10229">
        <w:rPr>
          <w:rFonts w:ascii="Arial" w:hAnsi="Arial" w:cs="Arial"/>
          <w:color w:val="000000" w:themeColor="text1"/>
        </w:rPr>
        <w:t>Interpreting the table’s measures as evidence of Kirkpatrick Levels 3–4 will therefore require tighter measurement specification (baselines and targets), triangulation across data sources and explicit recognition of attribution and implementation constraints (Kirkpatrick and Kirkpatrick, 2006).</w:t>
      </w:r>
    </w:p>
    <w:p w14:paraId="77D0E031" w14:textId="77777777" w:rsidR="00185BCF" w:rsidRDefault="00185BCF" w:rsidP="00185BCF">
      <w:pPr>
        <w:jc w:val="both"/>
        <w:rPr>
          <w:rFonts w:ascii="Arial" w:hAnsi="Arial" w:cs="Arial"/>
          <w:b/>
          <w:bCs/>
        </w:rPr>
      </w:pPr>
    </w:p>
    <w:p w14:paraId="2335BAC7" w14:textId="77777777" w:rsidR="00185BCF" w:rsidRDefault="00185BCF" w:rsidP="00185BCF">
      <w:pPr>
        <w:jc w:val="both"/>
        <w:rPr>
          <w:rFonts w:ascii="Arial" w:hAnsi="Arial" w:cs="Arial"/>
          <w:b/>
          <w:bCs/>
        </w:rPr>
      </w:pPr>
    </w:p>
    <w:p w14:paraId="5F4B2B40" w14:textId="77777777" w:rsidR="00185BCF" w:rsidRDefault="00185BCF" w:rsidP="00185BCF">
      <w:pPr>
        <w:jc w:val="both"/>
        <w:rPr>
          <w:rFonts w:ascii="Arial" w:hAnsi="Arial" w:cs="Arial"/>
          <w:b/>
          <w:bCs/>
        </w:rPr>
      </w:pPr>
    </w:p>
    <w:p w14:paraId="61C7109D" w14:textId="77777777" w:rsidR="00185BCF" w:rsidRDefault="00185BCF" w:rsidP="00185BCF">
      <w:pPr>
        <w:jc w:val="both"/>
        <w:rPr>
          <w:rFonts w:ascii="Arial" w:hAnsi="Arial" w:cs="Arial"/>
          <w:b/>
          <w:bCs/>
        </w:rPr>
      </w:pPr>
    </w:p>
    <w:p w14:paraId="2CD53320" w14:textId="77777777" w:rsidR="00185BCF" w:rsidRDefault="00185BCF" w:rsidP="00185BCF">
      <w:pPr>
        <w:jc w:val="both"/>
        <w:rPr>
          <w:rFonts w:ascii="Arial" w:hAnsi="Arial" w:cs="Arial"/>
          <w:b/>
          <w:bCs/>
        </w:rPr>
      </w:pPr>
    </w:p>
    <w:p w14:paraId="0A170F2C" w14:textId="77777777" w:rsidR="00185BCF" w:rsidRDefault="00185BCF" w:rsidP="00185BCF">
      <w:pPr>
        <w:jc w:val="both"/>
        <w:rPr>
          <w:rFonts w:ascii="Arial" w:hAnsi="Arial" w:cs="Arial"/>
          <w:b/>
          <w:bCs/>
        </w:rPr>
      </w:pPr>
    </w:p>
    <w:p w14:paraId="31ADB578" w14:textId="77777777" w:rsidR="00185BCF" w:rsidRDefault="00185BCF" w:rsidP="00185BCF">
      <w:pPr>
        <w:jc w:val="both"/>
        <w:rPr>
          <w:rFonts w:ascii="Arial" w:hAnsi="Arial" w:cs="Arial"/>
          <w:b/>
          <w:bCs/>
        </w:rPr>
      </w:pPr>
    </w:p>
    <w:p w14:paraId="7017960E" w14:textId="77777777" w:rsidR="00185BCF" w:rsidRDefault="00185BCF" w:rsidP="00185BCF">
      <w:pPr>
        <w:jc w:val="both"/>
        <w:rPr>
          <w:rFonts w:ascii="Arial" w:hAnsi="Arial" w:cs="Arial"/>
          <w:b/>
          <w:bCs/>
        </w:rPr>
      </w:pPr>
    </w:p>
    <w:p w14:paraId="53E492A4" w14:textId="77777777" w:rsidR="00185BCF" w:rsidRDefault="00185BCF" w:rsidP="00185BCF">
      <w:pPr>
        <w:jc w:val="both"/>
        <w:rPr>
          <w:rFonts w:ascii="Arial" w:hAnsi="Arial" w:cs="Arial"/>
          <w:b/>
          <w:bCs/>
        </w:rPr>
      </w:pPr>
    </w:p>
    <w:p w14:paraId="02DA8BA7" w14:textId="77777777" w:rsidR="00185BCF" w:rsidRDefault="00185BCF" w:rsidP="00185BCF">
      <w:pPr>
        <w:jc w:val="both"/>
        <w:rPr>
          <w:rFonts w:ascii="Arial" w:hAnsi="Arial" w:cs="Arial"/>
          <w:b/>
          <w:bCs/>
        </w:rPr>
      </w:pPr>
    </w:p>
    <w:p w14:paraId="152C32A1" w14:textId="77777777" w:rsidR="00185BCF" w:rsidRDefault="00185BCF" w:rsidP="00185BCF">
      <w:pPr>
        <w:jc w:val="both"/>
        <w:rPr>
          <w:rFonts w:ascii="Arial" w:hAnsi="Arial" w:cs="Arial"/>
          <w:b/>
          <w:bCs/>
        </w:rPr>
      </w:pPr>
    </w:p>
    <w:p w14:paraId="5B9EFD5E" w14:textId="77777777" w:rsidR="00185BCF" w:rsidRDefault="00185BCF" w:rsidP="00185BCF">
      <w:pPr>
        <w:jc w:val="both"/>
        <w:rPr>
          <w:rFonts w:ascii="Arial" w:hAnsi="Arial" w:cs="Arial"/>
          <w:b/>
          <w:bCs/>
        </w:rPr>
      </w:pPr>
    </w:p>
    <w:p w14:paraId="7D6AD670" w14:textId="77777777" w:rsidR="00185BCF" w:rsidRDefault="00185BCF" w:rsidP="00185BCF">
      <w:pPr>
        <w:jc w:val="both"/>
        <w:rPr>
          <w:rFonts w:ascii="Arial" w:hAnsi="Arial" w:cs="Arial"/>
          <w:b/>
          <w:bCs/>
        </w:rPr>
      </w:pPr>
    </w:p>
    <w:p w14:paraId="06B177FC" w14:textId="77777777" w:rsidR="00185BCF" w:rsidRDefault="00185BCF" w:rsidP="00185BCF">
      <w:pPr>
        <w:jc w:val="both"/>
        <w:rPr>
          <w:rFonts w:ascii="Arial" w:hAnsi="Arial" w:cs="Arial"/>
          <w:b/>
          <w:bCs/>
        </w:rPr>
      </w:pPr>
    </w:p>
    <w:p w14:paraId="6154A43C" w14:textId="77777777" w:rsidR="00185BCF" w:rsidRDefault="00185BCF" w:rsidP="00185BCF">
      <w:pPr>
        <w:jc w:val="both"/>
        <w:rPr>
          <w:rFonts w:ascii="Arial" w:hAnsi="Arial" w:cs="Arial"/>
          <w:b/>
          <w:bCs/>
        </w:rPr>
      </w:pPr>
    </w:p>
    <w:p w14:paraId="072D79A7" w14:textId="77777777" w:rsidR="00185BCF" w:rsidRDefault="00185BCF" w:rsidP="00185BCF">
      <w:pPr>
        <w:jc w:val="both"/>
        <w:rPr>
          <w:rFonts w:ascii="Arial" w:hAnsi="Arial" w:cs="Arial"/>
          <w:b/>
          <w:bCs/>
        </w:rPr>
      </w:pPr>
    </w:p>
    <w:p w14:paraId="76A0A5B3" w14:textId="77777777" w:rsidR="00185BCF" w:rsidRDefault="00185BCF" w:rsidP="00185BCF">
      <w:pPr>
        <w:jc w:val="both"/>
        <w:rPr>
          <w:rFonts w:ascii="Arial" w:hAnsi="Arial" w:cs="Arial"/>
          <w:b/>
          <w:bCs/>
        </w:rPr>
      </w:pPr>
    </w:p>
    <w:p w14:paraId="0C01C069" w14:textId="77777777" w:rsidR="00185BCF" w:rsidRDefault="00185BCF" w:rsidP="00185BCF">
      <w:pPr>
        <w:jc w:val="both"/>
        <w:rPr>
          <w:rFonts w:ascii="Arial" w:hAnsi="Arial" w:cs="Arial"/>
          <w:b/>
          <w:bCs/>
        </w:rPr>
      </w:pPr>
    </w:p>
    <w:p w14:paraId="3A3F43B4" w14:textId="77777777" w:rsidR="00185BCF" w:rsidRDefault="00185BCF" w:rsidP="00185BCF">
      <w:pPr>
        <w:jc w:val="both"/>
        <w:rPr>
          <w:rFonts w:ascii="Arial" w:hAnsi="Arial" w:cs="Arial"/>
          <w:b/>
          <w:bCs/>
        </w:rPr>
      </w:pPr>
    </w:p>
    <w:p w14:paraId="281515C7" w14:textId="77777777" w:rsidR="00185BCF" w:rsidRDefault="00185BCF" w:rsidP="00185BCF">
      <w:pPr>
        <w:jc w:val="both"/>
        <w:rPr>
          <w:rFonts w:ascii="Arial" w:hAnsi="Arial" w:cs="Arial"/>
          <w:b/>
          <w:bCs/>
        </w:rPr>
      </w:pPr>
    </w:p>
    <w:p w14:paraId="4BF12E69" w14:textId="77777777" w:rsidR="00185BCF" w:rsidRDefault="00185BCF" w:rsidP="00185BCF">
      <w:pPr>
        <w:jc w:val="both"/>
        <w:rPr>
          <w:rFonts w:ascii="Arial" w:hAnsi="Arial" w:cs="Arial"/>
          <w:b/>
          <w:bCs/>
        </w:rPr>
      </w:pPr>
    </w:p>
    <w:p w14:paraId="7E8E580B" w14:textId="77777777" w:rsidR="00185BCF" w:rsidRDefault="00185BCF" w:rsidP="00185BCF">
      <w:pPr>
        <w:jc w:val="both"/>
        <w:rPr>
          <w:rFonts w:ascii="Arial" w:hAnsi="Arial" w:cs="Arial"/>
          <w:b/>
          <w:bCs/>
        </w:rPr>
      </w:pPr>
    </w:p>
    <w:p w14:paraId="35D49F66" w14:textId="77777777" w:rsidR="00185BCF" w:rsidRDefault="00185BCF" w:rsidP="00185BCF">
      <w:pPr>
        <w:jc w:val="both"/>
        <w:rPr>
          <w:rFonts w:ascii="Arial" w:hAnsi="Arial" w:cs="Arial"/>
          <w:b/>
          <w:bCs/>
        </w:rPr>
      </w:pPr>
    </w:p>
    <w:p w14:paraId="38F3DA35" w14:textId="77777777" w:rsidR="00185BCF" w:rsidRDefault="00185BCF" w:rsidP="00185BCF">
      <w:pPr>
        <w:jc w:val="both"/>
        <w:rPr>
          <w:rFonts w:ascii="Arial" w:hAnsi="Arial" w:cs="Arial"/>
          <w:b/>
          <w:bCs/>
        </w:rPr>
      </w:pPr>
    </w:p>
    <w:p w14:paraId="7E06E809" w14:textId="77777777" w:rsidR="00185BCF" w:rsidRDefault="00185BCF" w:rsidP="00185BCF">
      <w:pPr>
        <w:jc w:val="both"/>
        <w:rPr>
          <w:rFonts w:ascii="Arial" w:hAnsi="Arial" w:cs="Arial"/>
          <w:b/>
          <w:bCs/>
        </w:rPr>
      </w:pPr>
    </w:p>
    <w:p w14:paraId="6A0097BB" w14:textId="77777777" w:rsidR="00185BCF" w:rsidRDefault="00185BCF" w:rsidP="00185BCF">
      <w:pPr>
        <w:jc w:val="both"/>
        <w:rPr>
          <w:rFonts w:ascii="Arial" w:hAnsi="Arial" w:cs="Arial"/>
          <w:b/>
          <w:bCs/>
        </w:rPr>
      </w:pPr>
    </w:p>
    <w:p w14:paraId="33C9C184" w14:textId="77777777" w:rsidR="00185BCF" w:rsidRDefault="00185BCF" w:rsidP="00185BCF">
      <w:pPr>
        <w:jc w:val="both"/>
        <w:rPr>
          <w:rFonts w:ascii="Arial" w:hAnsi="Arial" w:cs="Arial"/>
          <w:b/>
          <w:bCs/>
        </w:rPr>
      </w:pPr>
    </w:p>
    <w:p w14:paraId="5E11C3F6" w14:textId="77777777" w:rsidR="00185BCF" w:rsidRDefault="00185BCF" w:rsidP="00185BCF">
      <w:pPr>
        <w:jc w:val="both"/>
        <w:rPr>
          <w:rFonts w:ascii="Arial" w:hAnsi="Arial" w:cs="Arial"/>
          <w:b/>
          <w:bCs/>
        </w:rPr>
      </w:pPr>
    </w:p>
    <w:p w14:paraId="6A979A7E" w14:textId="77777777" w:rsidR="00185BCF" w:rsidRDefault="00185BCF" w:rsidP="00185BCF">
      <w:pPr>
        <w:jc w:val="both"/>
        <w:rPr>
          <w:rFonts w:ascii="Arial" w:hAnsi="Arial" w:cs="Arial"/>
          <w:b/>
          <w:bCs/>
        </w:rPr>
      </w:pPr>
    </w:p>
    <w:p w14:paraId="550EC3B7" w14:textId="77777777" w:rsidR="00185BCF" w:rsidRDefault="00185BCF" w:rsidP="00185BCF">
      <w:pPr>
        <w:jc w:val="both"/>
        <w:rPr>
          <w:rFonts w:ascii="Arial" w:hAnsi="Arial" w:cs="Arial"/>
          <w:b/>
          <w:bCs/>
        </w:rPr>
      </w:pPr>
    </w:p>
    <w:p w14:paraId="32772B8F" w14:textId="77777777" w:rsidR="00185BCF" w:rsidRDefault="00185BCF" w:rsidP="00185BCF">
      <w:pPr>
        <w:jc w:val="both"/>
        <w:rPr>
          <w:rFonts w:ascii="Arial" w:hAnsi="Arial" w:cs="Arial"/>
          <w:b/>
          <w:bCs/>
        </w:rPr>
      </w:pPr>
    </w:p>
    <w:p w14:paraId="20CECBE4" w14:textId="77777777" w:rsidR="00185BCF" w:rsidRDefault="00185BCF" w:rsidP="00185BCF">
      <w:pPr>
        <w:jc w:val="both"/>
        <w:rPr>
          <w:rFonts w:ascii="Arial" w:hAnsi="Arial" w:cs="Arial"/>
          <w:b/>
          <w:bCs/>
        </w:rPr>
      </w:pPr>
    </w:p>
    <w:p w14:paraId="3870B37C" w14:textId="77777777" w:rsidR="00185BCF" w:rsidRPr="00B97A47" w:rsidRDefault="00185BCF" w:rsidP="00185BCF">
      <w:pPr>
        <w:jc w:val="both"/>
        <w:rPr>
          <w:rFonts w:ascii="Arial" w:hAnsi="Arial" w:cs="Arial"/>
          <w:b/>
          <w:bCs/>
        </w:rPr>
      </w:pPr>
      <w:r w:rsidRPr="00B97A47">
        <w:rPr>
          <w:rFonts w:ascii="Arial" w:hAnsi="Arial" w:cs="Arial"/>
          <w:b/>
          <w:bCs/>
        </w:rPr>
        <w:lastRenderedPageBreak/>
        <w:t>References</w:t>
      </w:r>
    </w:p>
    <w:p w14:paraId="56A264BA" w14:textId="77777777" w:rsidR="00185BCF" w:rsidRPr="00B97A47" w:rsidRDefault="00185BCF" w:rsidP="00185BCF">
      <w:pPr>
        <w:jc w:val="both"/>
        <w:rPr>
          <w:rFonts w:ascii="Arial" w:hAnsi="Arial" w:cs="Arial"/>
        </w:rPr>
      </w:pPr>
      <w:r w:rsidRPr="00B97A47">
        <w:rPr>
          <w:rFonts w:ascii="Arial" w:hAnsi="Arial" w:cs="Arial"/>
        </w:rPr>
        <w:t>Bryman, A. and Bell, E. (2015) Business Research Methods. 4th edn. Oxford: Oxford University Press.</w:t>
      </w:r>
    </w:p>
    <w:p w14:paraId="2EFF14C1" w14:textId="77777777" w:rsidR="00185BCF" w:rsidRPr="00B97A47" w:rsidRDefault="00185BCF" w:rsidP="00185BCF">
      <w:pPr>
        <w:jc w:val="both"/>
        <w:rPr>
          <w:rFonts w:ascii="Arial" w:hAnsi="Arial" w:cs="Arial"/>
        </w:rPr>
      </w:pPr>
      <w:r w:rsidRPr="00B97A47">
        <w:rPr>
          <w:rFonts w:ascii="Arial" w:hAnsi="Arial" w:cs="Arial"/>
        </w:rPr>
        <w:t>Kirkpatrick, D.L. and Kirkpatrick, J.D. (2006) Evaluating Training Programs: The Four Levels. 3rd edn. San Francisco: Berrett-Koehler.</w:t>
      </w:r>
    </w:p>
    <w:p w14:paraId="0ACBFA25" w14:textId="77777777" w:rsidR="00185BCF" w:rsidRPr="00B97A47" w:rsidRDefault="00185BCF" w:rsidP="00185BCF">
      <w:pPr>
        <w:jc w:val="both"/>
        <w:rPr>
          <w:rFonts w:ascii="Arial" w:hAnsi="Arial" w:cs="Arial"/>
        </w:rPr>
      </w:pPr>
      <w:r w:rsidRPr="00B97A47">
        <w:rPr>
          <w:rFonts w:ascii="Arial" w:hAnsi="Arial" w:cs="Arial"/>
        </w:rPr>
        <w:t>Kolb, D.A. (1984) Experiential Learning: Experience as the Source of Learning and Development. Englewood Cliffs, NJ: Prentice-Hall.</w:t>
      </w:r>
    </w:p>
    <w:p w14:paraId="4E48229A" w14:textId="77777777" w:rsidR="00185BCF" w:rsidRPr="00B97A47" w:rsidRDefault="00185BCF" w:rsidP="00185BCF">
      <w:pPr>
        <w:jc w:val="both"/>
        <w:rPr>
          <w:rFonts w:ascii="Arial" w:hAnsi="Arial" w:cs="Arial"/>
        </w:rPr>
      </w:pPr>
    </w:p>
    <w:p w14:paraId="110BF42A" w14:textId="77777777" w:rsidR="00185BCF" w:rsidRPr="00762C0B" w:rsidRDefault="00185BCF" w:rsidP="00762C0B">
      <w:pPr>
        <w:jc w:val="both"/>
        <w:rPr>
          <w:rFonts w:ascii="Arial" w:hAnsi="Arial" w:cs="Arial"/>
        </w:rPr>
      </w:pPr>
    </w:p>
    <w:sectPr w:rsidR="00185BCF" w:rsidRPr="00762C0B" w:rsidSect="00F65AE1">
      <w:footerReference w:type="even" r:id="rId17"/>
      <w:footerReference w:type="default" r:id="rId18"/>
      <w:pgSz w:w="11900" w:h="16840"/>
      <w:pgMar w:top="165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1072EF" w14:textId="77777777" w:rsidR="00582A23" w:rsidRDefault="00582A23" w:rsidP="003A4032">
      <w:r>
        <w:separator/>
      </w:r>
    </w:p>
  </w:endnote>
  <w:endnote w:type="continuationSeparator" w:id="0">
    <w:p w14:paraId="68C22AD8" w14:textId="77777777" w:rsidR="00582A23" w:rsidRDefault="00582A23" w:rsidP="003A40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notTrueType/>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7215131"/>
      <w:docPartObj>
        <w:docPartGallery w:val="Page Numbers (Bottom of Page)"/>
        <w:docPartUnique/>
      </w:docPartObj>
    </w:sdtPr>
    <w:sdtContent>
      <w:p w14:paraId="42BF1D8B" w14:textId="19FF8BA6" w:rsidR="003A4032" w:rsidRDefault="003A40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084D3D3" w14:textId="77777777" w:rsidR="003A4032" w:rsidRDefault="003A4032" w:rsidP="003A40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43343441"/>
      <w:docPartObj>
        <w:docPartGallery w:val="Page Numbers (Bottom of Page)"/>
        <w:docPartUnique/>
      </w:docPartObj>
    </w:sdtPr>
    <w:sdtContent>
      <w:p w14:paraId="0A047EA3" w14:textId="50853D2C" w:rsidR="003A4032" w:rsidRDefault="003A40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70D768" w14:textId="77777777" w:rsidR="003A4032" w:rsidRDefault="003A4032" w:rsidP="003A40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0DCBE2" w14:textId="77777777" w:rsidR="00582A23" w:rsidRDefault="00582A23" w:rsidP="003A4032">
      <w:r>
        <w:separator/>
      </w:r>
    </w:p>
  </w:footnote>
  <w:footnote w:type="continuationSeparator" w:id="0">
    <w:p w14:paraId="31AE0841" w14:textId="77777777" w:rsidR="00582A23" w:rsidRDefault="00582A23" w:rsidP="003A40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80A9A"/>
    <w:multiLevelType w:val="multilevel"/>
    <w:tmpl w:val="C83AE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272761"/>
    <w:multiLevelType w:val="hybridMultilevel"/>
    <w:tmpl w:val="CD62AF7A"/>
    <w:lvl w:ilvl="0" w:tplc="1A22D964">
      <w:start w:val="1"/>
      <w:numFmt w:val="decimal"/>
      <w:lvlText w:val="%1."/>
      <w:lvlJc w:val="left"/>
      <w:pPr>
        <w:ind w:left="720" w:hanging="360"/>
      </w:pPr>
    </w:lvl>
    <w:lvl w:ilvl="1" w:tplc="7A521708" w:tentative="1">
      <w:start w:val="1"/>
      <w:numFmt w:val="lowerLetter"/>
      <w:lvlText w:val="%2."/>
      <w:lvlJc w:val="left"/>
      <w:pPr>
        <w:ind w:left="1440" w:hanging="360"/>
      </w:pPr>
    </w:lvl>
    <w:lvl w:ilvl="2" w:tplc="E62A985C" w:tentative="1">
      <w:start w:val="1"/>
      <w:numFmt w:val="lowerRoman"/>
      <w:lvlText w:val="%3."/>
      <w:lvlJc w:val="right"/>
      <w:pPr>
        <w:ind w:left="2160" w:hanging="180"/>
      </w:pPr>
    </w:lvl>
    <w:lvl w:ilvl="3" w:tplc="8C3EC848" w:tentative="1">
      <w:start w:val="1"/>
      <w:numFmt w:val="decimal"/>
      <w:lvlText w:val="%4."/>
      <w:lvlJc w:val="left"/>
      <w:pPr>
        <w:ind w:left="2880" w:hanging="360"/>
      </w:pPr>
    </w:lvl>
    <w:lvl w:ilvl="4" w:tplc="2E582FB6" w:tentative="1">
      <w:start w:val="1"/>
      <w:numFmt w:val="lowerLetter"/>
      <w:lvlText w:val="%5."/>
      <w:lvlJc w:val="left"/>
      <w:pPr>
        <w:ind w:left="3600" w:hanging="360"/>
      </w:pPr>
    </w:lvl>
    <w:lvl w:ilvl="5" w:tplc="D548D50E" w:tentative="1">
      <w:start w:val="1"/>
      <w:numFmt w:val="lowerRoman"/>
      <w:lvlText w:val="%6."/>
      <w:lvlJc w:val="right"/>
      <w:pPr>
        <w:ind w:left="4320" w:hanging="180"/>
      </w:pPr>
    </w:lvl>
    <w:lvl w:ilvl="6" w:tplc="FF587C7E" w:tentative="1">
      <w:start w:val="1"/>
      <w:numFmt w:val="decimal"/>
      <w:lvlText w:val="%7."/>
      <w:lvlJc w:val="left"/>
      <w:pPr>
        <w:ind w:left="5040" w:hanging="360"/>
      </w:pPr>
    </w:lvl>
    <w:lvl w:ilvl="7" w:tplc="5C046B2C" w:tentative="1">
      <w:start w:val="1"/>
      <w:numFmt w:val="lowerLetter"/>
      <w:lvlText w:val="%8."/>
      <w:lvlJc w:val="left"/>
      <w:pPr>
        <w:ind w:left="5760" w:hanging="360"/>
      </w:pPr>
    </w:lvl>
    <w:lvl w:ilvl="8" w:tplc="D674BF04" w:tentative="1">
      <w:start w:val="1"/>
      <w:numFmt w:val="lowerRoman"/>
      <w:lvlText w:val="%9."/>
      <w:lvlJc w:val="right"/>
      <w:pPr>
        <w:ind w:left="6480" w:hanging="180"/>
      </w:pPr>
    </w:lvl>
  </w:abstractNum>
  <w:abstractNum w:abstractNumId="2" w15:restartNumberingAfterBreak="0">
    <w:nsid w:val="06C14301"/>
    <w:multiLevelType w:val="multilevel"/>
    <w:tmpl w:val="901890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9A5756"/>
    <w:multiLevelType w:val="hybridMultilevel"/>
    <w:tmpl w:val="CD62AF7A"/>
    <w:lvl w:ilvl="0" w:tplc="7AB848D2">
      <w:start w:val="1"/>
      <w:numFmt w:val="decimal"/>
      <w:lvlText w:val="%1."/>
      <w:lvlJc w:val="left"/>
      <w:pPr>
        <w:ind w:left="720" w:hanging="360"/>
      </w:pPr>
    </w:lvl>
    <w:lvl w:ilvl="1" w:tplc="0914C190" w:tentative="1">
      <w:start w:val="1"/>
      <w:numFmt w:val="lowerLetter"/>
      <w:lvlText w:val="%2."/>
      <w:lvlJc w:val="left"/>
      <w:pPr>
        <w:ind w:left="1440" w:hanging="360"/>
      </w:pPr>
    </w:lvl>
    <w:lvl w:ilvl="2" w:tplc="2AD20B54" w:tentative="1">
      <w:start w:val="1"/>
      <w:numFmt w:val="lowerRoman"/>
      <w:lvlText w:val="%3."/>
      <w:lvlJc w:val="right"/>
      <w:pPr>
        <w:ind w:left="2160" w:hanging="180"/>
      </w:pPr>
    </w:lvl>
    <w:lvl w:ilvl="3" w:tplc="17E4EEF4" w:tentative="1">
      <w:start w:val="1"/>
      <w:numFmt w:val="decimal"/>
      <w:lvlText w:val="%4."/>
      <w:lvlJc w:val="left"/>
      <w:pPr>
        <w:ind w:left="2880" w:hanging="360"/>
      </w:pPr>
    </w:lvl>
    <w:lvl w:ilvl="4" w:tplc="98A0A72A" w:tentative="1">
      <w:start w:val="1"/>
      <w:numFmt w:val="lowerLetter"/>
      <w:lvlText w:val="%5."/>
      <w:lvlJc w:val="left"/>
      <w:pPr>
        <w:ind w:left="3600" w:hanging="360"/>
      </w:pPr>
    </w:lvl>
    <w:lvl w:ilvl="5" w:tplc="83E66CF4" w:tentative="1">
      <w:start w:val="1"/>
      <w:numFmt w:val="lowerRoman"/>
      <w:lvlText w:val="%6."/>
      <w:lvlJc w:val="right"/>
      <w:pPr>
        <w:ind w:left="4320" w:hanging="180"/>
      </w:pPr>
    </w:lvl>
    <w:lvl w:ilvl="6" w:tplc="5396F33C" w:tentative="1">
      <w:start w:val="1"/>
      <w:numFmt w:val="decimal"/>
      <w:lvlText w:val="%7."/>
      <w:lvlJc w:val="left"/>
      <w:pPr>
        <w:ind w:left="5040" w:hanging="360"/>
      </w:pPr>
    </w:lvl>
    <w:lvl w:ilvl="7" w:tplc="DC0C7CD6" w:tentative="1">
      <w:start w:val="1"/>
      <w:numFmt w:val="lowerLetter"/>
      <w:lvlText w:val="%8."/>
      <w:lvlJc w:val="left"/>
      <w:pPr>
        <w:ind w:left="5760" w:hanging="360"/>
      </w:pPr>
    </w:lvl>
    <w:lvl w:ilvl="8" w:tplc="B65452E0" w:tentative="1">
      <w:start w:val="1"/>
      <w:numFmt w:val="lowerRoman"/>
      <w:lvlText w:val="%9."/>
      <w:lvlJc w:val="right"/>
      <w:pPr>
        <w:ind w:left="6480" w:hanging="180"/>
      </w:pPr>
    </w:lvl>
  </w:abstractNum>
  <w:abstractNum w:abstractNumId="4" w15:restartNumberingAfterBreak="0">
    <w:nsid w:val="0E796EA9"/>
    <w:multiLevelType w:val="hybridMultilevel"/>
    <w:tmpl w:val="FC66662A"/>
    <w:lvl w:ilvl="0" w:tplc="40C09AC0">
      <w:start w:val="3"/>
      <w:numFmt w:val="decimal"/>
      <w:lvlText w:val="%1."/>
      <w:lvlJc w:val="left"/>
      <w:pPr>
        <w:ind w:left="720" w:hanging="360"/>
      </w:pPr>
    </w:lvl>
    <w:lvl w:ilvl="1" w:tplc="45A8BEBC" w:tentative="1">
      <w:start w:val="1"/>
      <w:numFmt w:val="lowerLetter"/>
      <w:lvlText w:val="%2."/>
      <w:lvlJc w:val="left"/>
      <w:pPr>
        <w:ind w:left="1440" w:hanging="360"/>
      </w:pPr>
    </w:lvl>
    <w:lvl w:ilvl="2" w:tplc="BCA6AA62" w:tentative="1">
      <w:start w:val="1"/>
      <w:numFmt w:val="lowerRoman"/>
      <w:lvlText w:val="%3."/>
      <w:lvlJc w:val="right"/>
      <w:pPr>
        <w:ind w:left="2160" w:hanging="180"/>
      </w:pPr>
    </w:lvl>
    <w:lvl w:ilvl="3" w:tplc="0676309C" w:tentative="1">
      <w:start w:val="1"/>
      <w:numFmt w:val="decimal"/>
      <w:lvlText w:val="%4."/>
      <w:lvlJc w:val="left"/>
      <w:pPr>
        <w:ind w:left="2880" w:hanging="360"/>
      </w:pPr>
    </w:lvl>
    <w:lvl w:ilvl="4" w:tplc="2B20D032" w:tentative="1">
      <w:start w:val="1"/>
      <w:numFmt w:val="lowerLetter"/>
      <w:lvlText w:val="%5."/>
      <w:lvlJc w:val="left"/>
      <w:pPr>
        <w:ind w:left="3600" w:hanging="360"/>
      </w:pPr>
    </w:lvl>
    <w:lvl w:ilvl="5" w:tplc="B3C66262" w:tentative="1">
      <w:start w:val="1"/>
      <w:numFmt w:val="lowerRoman"/>
      <w:lvlText w:val="%6."/>
      <w:lvlJc w:val="right"/>
      <w:pPr>
        <w:ind w:left="4320" w:hanging="180"/>
      </w:pPr>
    </w:lvl>
    <w:lvl w:ilvl="6" w:tplc="A6326122" w:tentative="1">
      <w:start w:val="1"/>
      <w:numFmt w:val="decimal"/>
      <w:lvlText w:val="%7."/>
      <w:lvlJc w:val="left"/>
      <w:pPr>
        <w:ind w:left="5040" w:hanging="360"/>
      </w:pPr>
    </w:lvl>
    <w:lvl w:ilvl="7" w:tplc="D826BFE6" w:tentative="1">
      <w:start w:val="1"/>
      <w:numFmt w:val="lowerLetter"/>
      <w:lvlText w:val="%8."/>
      <w:lvlJc w:val="left"/>
      <w:pPr>
        <w:ind w:left="5760" w:hanging="360"/>
      </w:pPr>
    </w:lvl>
    <w:lvl w:ilvl="8" w:tplc="8BF6FE98" w:tentative="1">
      <w:start w:val="1"/>
      <w:numFmt w:val="lowerRoman"/>
      <w:lvlText w:val="%9."/>
      <w:lvlJc w:val="right"/>
      <w:pPr>
        <w:ind w:left="6480" w:hanging="180"/>
      </w:pPr>
    </w:lvl>
  </w:abstractNum>
  <w:abstractNum w:abstractNumId="5" w15:restartNumberingAfterBreak="0">
    <w:nsid w:val="11A5261C"/>
    <w:multiLevelType w:val="hybridMultilevel"/>
    <w:tmpl w:val="D682B3F0"/>
    <w:lvl w:ilvl="0" w:tplc="EB9E8FE2">
      <w:start w:val="1"/>
      <w:numFmt w:val="decimal"/>
      <w:lvlText w:val="%1."/>
      <w:lvlJc w:val="left"/>
      <w:pPr>
        <w:ind w:left="1080" w:hanging="720"/>
      </w:pPr>
    </w:lvl>
    <w:lvl w:ilvl="1" w:tplc="624A1384" w:tentative="1">
      <w:start w:val="1"/>
      <w:numFmt w:val="lowerLetter"/>
      <w:lvlText w:val="%2."/>
      <w:lvlJc w:val="left"/>
      <w:pPr>
        <w:ind w:left="1440" w:hanging="360"/>
      </w:pPr>
    </w:lvl>
    <w:lvl w:ilvl="2" w:tplc="1D3007B2" w:tentative="1">
      <w:start w:val="1"/>
      <w:numFmt w:val="lowerRoman"/>
      <w:lvlText w:val="%3."/>
      <w:lvlJc w:val="right"/>
      <w:pPr>
        <w:ind w:left="2160" w:hanging="180"/>
      </w:pPr>
    </w:lvl>
    <w:lvl w:ilvl="3" w:tplc="72CC5A72" w:tentative="1">
      <w:start w:val="1"/>
      <w:numFmt w:val="decimal"/>
      <w:lvlText w:val="%4."/>
      <w:lvlJc w:val="left"/>
      <w:pPr>
        <w:ind w:left="2880" w:hanging="360"/>
      </w:pPr>
    </w:lvl>
    <w:lvl w:ilvl="4" w:tplc="5706D202" w:tentative="1">
      <w:start w:val="1"/>
      <w:numFmt w:val="lowerLetter"/>
      <w:lvlText w:val="%5."/>
      <w:lvlJc w:val="left"/>
      <w:pPr>
        <w:ind w:left="3600" w:hanging="360"/>
      </w:pPr>
    </w:lvl>
    <w:lvl w:ilvl="5" w:tplc="1C1826EA" w:tentative="1">
      <w:start w:val="1"/>
      <w:numFmt w:val="lowerRoman"/>
      <w:lvlText w:val="%6."/>
      <w:lvlJc w:val="right"/>
      <w:pPr>
        <w:ind w:left="4320" w:hanging="180"/>
      </w:pPr>
    </w:lvl>
    <w:lvl w:ilvl="6" w:tplc="2256BA20" w:tentative="1">
      <w:start w:val="1"/>
      <w:numFmt w:val="decimal"/>
      <w:lvlText w:val="%7."/>
      <w:lvlJc w:val="left"/>
      <w:pPr>
        <w:ind w:left="5040" w:hanging="360"/>
      </w:pPr>
    </w:lvl>
    <w:lvl w:ilvl="7" w:tplc="ECC00216" w:tentative="1">
      <w:start w:val="1"/>
      <w:numFmt w:val="lowerLetter"/>
      <w:lvlText w:val="%8."/>
      <w:lvlJc w:val="left"/>
      <w:pPr>
        <w:ind w:left="5760" w:hanging="360"/>
      </w:pPr>
    </w:lvl>
    <w:lvl w:ilvl="8" w:tplc="4D74B306" w:tentative="1">
      <w:start w:val="1"/>
      <w:numFmt w:val="lowerRoman"/>
      <w:lvlText w:val="%9."/>
      <w:lvlJc w:val="right"/>
      <w:pPr>
        <w:ind w:left="6480" w:hanging="180"/>
      </w:pPr>
    </w:lvl>
  </w:abstractNum>
  <w:abstractNum w:abstractNumId="6" w15:restartNumberingAfterBreak="0">
    <w:nsid w:val="12A60F20"/>
    <w:multiLevelType w:val="multilevel"/>
    <w:tmpl w:val="C630B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110B01"/>
    <w:multiLevelType w:val="hybridMultilevel"/>
    <w:tmpl w:val="83746816"/>
    <w:lvl w:ilvl="0" w:tplc="CD4E9D3E">
      <w:start w:val="1"/>
      <w:numFmt w:val="decimal"/>
      <w:lvlText w:val="%1."/>
      <w:lvlJc w:val="left"/>
      <w:pPr>
        <w:ind w:left="720" w:hanging="360"/>
      </w:pPr>
    </w:lvl>
    <w:lvl w:ilvl="1" w:tplc="EF0ADDB0" w:tentative="1">
      <w:start w:val="1"/>
      <w:numFmt w:val="lowerLetter"/>
      <w:lvlText w:val="%2."/>
      <w:lvlJc w:val="left"/>
      <w:pPr>
        <w:ind w:left="1440" w:hanging="360"/>
      </w:pPr>
    </w:lvl>
    <w:lvl w:ilvl="2" w:tplc="69A09A0E" w:tentative="1">
      <w:start w:val="1"/>
      <w:numFmt w:val="lowerRoman"/>
      <w:lvlText w:val="%3."/>
      <w:lvlJc w:val="right"/>
      <w:pPr>
        <w:ind w:left="2160" w:hanging="180"/>
      </w:pPr>
    </w:lvl>
    <w:lvl w:ilvl="3" w:tplc="71D0BB64" w:tentative="1">
      <w:start w:val="1"/>
      <w:numFmt w:val="decimal"/>
      <w:lvlText w:val="%4."/>
      <w:lvlJc w:val="left"/>
      <w:pPr>
        <w:ind w:left="2880" w:hanging="360"/>
      </w:pPr>
    </w:lvl>
    <w:lvl w:ilvl="4" w:tplc="8E20047C" w:tentative="1">
      <w:start w:val="1"/>
      <w:numFmt w:val="lowerLetter"/>
      <w:lvlText w:val="%5."/>
      <w:lvlJc w:val="left"/>
      <w:pPr>
        <w:ind w:left="3600" w:hanging="360"/>
      </w:pPr>
    </w:lvl>
    <w:lvl w:ilvl="5" w:tplc="53BE01C2" w:tentative="1">
      <w:start w:val="1"/>
      <w:numFmt w:val="lowerRoman"/>
      <w:lvlText w:val="%6."/>
      <w:lvlJc w:val="right"/>
      <w:pPr>
        <w:ind w:left="4320" w:hanging="180"/>
      </w:pPr>
    </w:lvl>
    <w:lvl w:ilvl="6" w:tplc="CE7015FA" w:tentative="1">
      <w:start w:val="1"/>
      <w:numFmt w:val="decimal"/>
      <w:lvlText w:val="%7."/>
      <w:lvlJc w:val="left"/>
      <w:pPr>
        <w:ind w:left="5040" w:hanging="360"/>
      </w:pPr>
    </w:lvl>
    <w:lvl w:ilvl="7" w:tplc="5C90962C" w:tentative="1">
      <w:start w:val="1"/>
      <w:numFmt w:val="lowerLetter"/>
      <w:lvlText w:val="%8."/>
      <w:lvlJc w:val="left"/>
      <w:pPr>
        <w:ind w:left="5760" w:hanging="360"/>
      </w:pPr>
    </w:lvl>
    <w:lvl w:ilvl="8" w:tplc="C46856B0" w:tentative="1">
      <w:start w:val="1"/>
      <w:numFmt w:val="lowerRoman"/>
      <w:lvlText w:val="%9."/>
      <w:lvlJc w:val="right"/>
      <w:pPr>
        <w:ind w:left="6480" w:hanging="180"/>
      </w:pPr>
    </w:lvl>
  </w:abstractNum>
  <w:abstractNum w:abstractNumId="8" w15:restartNumberingAfterBreak="0">
    <w:nsid w:val="381A059B"/>
    <w:multiLevelType w:val="hybridMultilevel"/>
    <w:tmpl w:val="B4C8DAEC"/>
    <w:lvl w:ilvl="0" w:tplc="C0504E1A">
      <w:start w:val="1"/>
      <w:numFmt w:val="decimal"/>
      <w:lvlText w:val="%1."/>
      <w:lvlJc w:val="left"/>
      <w:pPr>
        <w:ind w:left="720" w:hanging="360"/>
      </w:pPr>
    </w:lvl>
    <w:lvl w:ilvl="1" w:tplc="9FAE583A" w:tentative="1">
      <w:start w:val="1"/>
      <w:numFmt w:val="lowerLetter"/>
      <w:lvlText w:val="%2."/>
      <w:lvlJc w:val="left"/>
      <w:pPr>
        <w:ind w:left="1440" w:hanging="360"/>
      </w:pPr>
    </w:lvl>
    <w:lvl w:ilvl="2" w:tplc="07A83772" w:tentative="1">
      <w:start w:val="1"/>
      <w:numFmt w:val="lowerRoman"/>
      <w:lvlText w:val="%3."/>
      <w:lvlJc w:val="right"/>
      <w:pPr>
        <w:ind w:left="2160" w:hanging="180"/>
      </w:pPr>
    </w:lvl>
    <w:lvl w:ilvl="3" w:tplc="583A29EC" w:tentative="1">
      <w:start w:val="1"/>
      <w:numFmt w:val="decimal"/>
      <w:lvlText w:val="%4."/>
      <w:lvlJc w:val="left"/>
      <w:pPr>
        <w:ind w:left="2880" w:hanging="360"/>
      </w:pPr>
    </w:lvl>
    <w:lvl w:ilvl="4" w:tplc="8A16FC6E" w:tentative="1">
      <w:start w:val="1"/>
      <w:numFmt w:val="lowerLetter"/>
      <w:lvlText w:val="%5."/>
      <w:lvlJc w:val="left"/>
      <w:pPr>
        <w:ind w:left="3600" w:hanging="360"/>
      </w:pPr>
    </w:lvl>
    <w:lvl w:ilvl="5" w:tplc="B15CA7D2" w:tentative="1">
      <w:start w:val="1"/>
      <w:numFmt w:val="lowerRoman"/>
      <w:lvlText w:val="%6."/>
      <w:lvlJc w:val="right"/>
      <w:pPr>
        <w:ind w:left="4320" w:hanging="180"/>
      </w:pPr>
    </w:lvl>
    <w:lvl w:ilvl="6" w:tplc="A1F01D54" w:tentative="1">
      <w:start w:val="1"/>
      <w:numFmt w:val="decimal"/>
      <w:lvlText w:val="%7."/>
      <w:lvlJc w:val="left"/>
      <w:pPr>
        <w:ind w:left="5040" w:hanging="360"/>
      </w:pPr>
    </w:lvl>
    <w:lvl w:ilvl="7" w:tplc="8062953E" w:tentative="1">
      <w:start w:val="1"/>
      <w:numFmt w:val="lowerLetter"/>
      <w:lvlText w:val="%8."/>
      <w:lvlJc w:val="left"/>
      <w:pPr>
        <w:ind w:left="5760" w:hanging="360"/>
      </w:pPr>
    </w:lvl>
    <w:lvl w:ilvl="8" w:tplc="06E4C10C" w:tentative="1">
      <w:start w:val="1"/>
      <w:numFmt w:val="lowerRoman"/>
      <w:lvlText w:val="%9."/>
      <w:lvlJc w:val="right"/>
      <w:pPr>
        <w:ind w:left="6480" w:hanging="180"/>
      </w:pPr>
    </w:lvl>
  </w:abstractNum>
  <w:abstractNum w:abstractNumId="9" w15:restartNumberingAfterBreak="0">
    <w:nsid w:val="3A9A67DD"/>
    <w:multiLevelType w:val="hybridMultilevel"/>
    <w:tmpl w:val="C8D408E0"/>
    <w:lvl w:ilvl="0" w:tplc="2530F93C">
      <w:start w:val="1"/>
      <w:numFmt w:val="bullet"/>
      <w:lvlText w:val=""/>
      <w:lvlJc w:val="left"/>
      <w:pPr>
        <w:ind w:left="720" w:hanging="360"/>
      </w:pPr>
      <w:rPr>
        <w:rFonts w:ascii="Symbol" w:hAnsi="Symbol" w:hint="default"/>
      </w:rPr>
    </w:lvl>
    <w:lvl w:ilvl="1" w:tplc="264CA15C" w:tentative="1">
      <w:start w:val="1"/>
      <w:numFmt w:val="bullet"/>
      <w:lvlText w:val="o"/>
      <w:lvlJc w:val="left"/>
      <w:pPr>
        <w:ind w:left="1440" w:hanging="360"/>
      </w:pPr>
      <w:rPr>
        <w:rFonts w:ascii="Courier New" w:hAnsi="Courier New" w:hint="default"/>
      </w:rPr>
    </w:lvl>
    <w:lvl w:ilvl="2" w:tplc="DBA859F4" w:tentative="1">
      <w:start w:val="1"/>
      <w:numFmt w:val="bullet"/>
      <w:lvlText w:val=""/>
      <w:lvlJc w:val="left"/>
      <w:pPr>
        <w:ind w:left="2160" w:hanging="360"/>
      </w:pPr>
      <w:rPr>
        <w:rFonts w:ascii="Wingdings" w:hAnsi="Wingdings" w:hint="default"/>
      </w:rPr>
    </w:lvl>
    <w:lvl w:ilvl="3" w:tplc="3ED4C02E" w:tentative="1">
      <w:start w:val="1"/>
      <w:numFmt w:val="bullet"/>
      <w:lvlText w:val=""/>
      <w:lvlJc w:val="left"/>
      <w:pPr>
        <w:ind w:left="2880" w:hanging="360"/>
      </w:pPr>
      <w:rPr>
        <w:rFonts w:ascii="Symbol" w:hAnsi="Symbol" w:hint="default"/>
      </w:rPr>
    </w:lvl>
    <w:lvl w:ilvl="4" w:tplc="2778854A" w:tentative="1">
      <w:start w:val="1"/>
      <w:numFmt w:val="bullet"/>
      <w:lvlText w:val="o"/>
      <w:lvlJc w:val="left"/>
      <w:pPr>
        <w:ind w:left="3600" w:hanging="360"/>
      </w:pPr>
      <w:rPr>
        <w:rFonts w:ascii="Courier New" w:hAnsi="Courier New" w:hint="default"/>
      </w:rPr>
    </w:lvl>
    <w:lvl w:ilvl="5" w:tplc="FC9CAFBC" w:tentative="1">
      <w:start w:val="1"/>
      <w:numFmt w:val="bullet"/>
      <w:lvlText w:val=""/>
      <w:lvlJc w:val="left"/>
      <w:pPr>
        <w:ind w:left="4320" w:hanging="360"/>
      </w:pPr>
      <w:rPr>
        <w:rFonts w:ascii="Wingdings" w:hAnsi="Wingdings" w:hint="default"/>
      </w:rPr>
    </w:lvl>
    <w:lvl w:ilvl="6" w:tplc="3D3E089C" w:tentative="1">
      <w:start w:val="1"/>
      <w:numFmt w:val="bullet"/>
      <w:lvlText w:val=""/>
      <w:lvlJc w:val="left"/>
      <w:pPr>
        <w:ind w:left="5040" w:hanging="360"/>
      </w:pPr>
      <w:rPr>
        <w:rFonts w:ascii="Symbol" w:hAnsi="Symbol" w:hint="default"/>
      </w:rPr>
    </w:lvl>
    <w:lvl w:ilvl="7" w:tplc="B6402BB2" w:tentative="1">
      <w:start w:val="1"/>
      <w:numFmt w:val="bullet"/>
      <w:lvlText w:val="o"/>
      <w:lvlJc w:val="left"/>
      <w:pPr>
        <w:ind w:left="5760" w:hanging="360"/>
      </w:pPr>
      <w:rPr>
        <w:rFonts w:ascii="Courier New" w:hAnsi="Courier New" w:hint="default"/>
      </w:rPr>
    </w:lvl>
    <w:lvl w:ilvl="8" w:tplc="D7E28F56" w:tentative="1">
      <w:start w:val="1"/>
      <w:numFmt w:val="bullet"/>
      <w:lvlText w:val=""/>
      <w:lvlJc w:val="left"/>
      <w:pPr>
        <w:ind w:left="6480" w:hanging="360"/>
      </w:pPr>
      <w:rPr>
        <w:rFonts w:ascii="Wingdings" w:hAnsi="Wingdings" w:hint="default"/>
      </w:rPr>
    </w:lvl>
  </w:abstractNum>
  <w:abstractNum w:abstractNumId="10" w15:restartNumberingAfterBreak="0">
    <w:nsid w:val="475AD9F9"/>
    <w:multiLevelType w:val="hybridMultilevel"/>
    <w:tmpl w:val="FFFFFFFF"/>
    <w:lvl w:ilvl="0" w:tplc="2AECE7E2">
      <w:start w:val="1"/>
      <w:numFmt w:val="decimal"/>
      <w:lvlText w:val="%1."/>
      <w:lvlJc w:val="left"/>
      <w:pPr>
        <w:ind w:left="720" w:hanging="360"/>
      </w:pPr>
    </w:lvl>
    <w:lvl w:ilvl="1" w:tplc="6C3E11D6">
      <w:start w:val="1"/>
      <w:numFmt w:val="lowerLetter"/>
      <w:lvlText w:val="%2."/>
      <w:lvlJc w:val="left"/>
      <w:pPr>
        <w:ind w:left="1440" w:hanging="360"/>
      </w:pPr>
    </w:lvl>
    <w:lvl w:ilvl="2" w:tplc="A340354C">
      <w:start w:val="1"/>
      <w:numFmt w:val="lowerRoman"/>
      <w:lvlText w:val="%3."/>
      <w:lvlJc w:val="right"/>
      <w:pPr>
        <w:ind w:left="2160" w:hanging="180"/>
      </w:pPr>
    </w:lvl>
    <w:lvl w:ilvl="3" w:tplc="EBF0E1CA">
      <w:start w:val="1"/>
      <w:numFmt w:val="decimal"/>
      <w:lvlText w:val="%4."/>
      <w:lvlJc w:val="left"/>
      <w:pPr>
        <w:ind w:left="2880" w:hanging="360"/>
      </w:pPr>
    </w:lvl>
    <w:lvl w:ilvl="4" w:tplc="BE543712">
      <w:start w:val="1"/>
      <w:numFmt w:val="lowerLetter"/>
      <w:lvlText w:val="%5."/>
      <w:lvlJc w:val="left"/>
      <w:pPr>
        <w:ind w:left="3600" w:hanging="360"/>
      </w:pPr>
    </w:lvl>
    <w:lvl w:ilvl="5" w:tplc="38268230">
      <w:start w:val="1"/>
      <w:numFmt w:val="lowerRoman"/>
      <w:lvlText w:val="%6."/>
      <w:lvlJc w:val="right"/>
      <w:pPr>
        <w:ind w:left="4320" w:hanging="180"/>
      </w:pPr>
    </w:lvl>
    <w:lvl w:ilvl="6" w:tplc="D3D29978">
      <w:start w:val="1"/>
      <w:numFmt w:val="decimal"/>
      <w:lvlText w:val="%7."/>
      <w:lvlJc w:val="left"/>
      <w:pPr>
        <w:ind w:left="5040" w:hanging="360"/>
      </w:pPr>
    </w:lvl>
    <w:lvl w:ilvl="7" w:tplc="0F9E61F2">
      <w:start w:val="1"/>
      <w:numFmt w:val="lowerLetter"/>
      <w:lvlText w:val="%8."/>
      <w:lvlJc w:val="left"/>
      <w:pPr>
        <w:ind w:left="5760" w:hanging="360"/>
      </w:pPr>
    </w:lvl>
    <w:lvl w:ilvl="8" w:tplc="06CE6820">
      <w:start w:val="1"/>
      <w:numFmt w:val="lowerRoman"/>
      <w:lvlText w:val="%9."/>
      <w:lvlJc w:val="right"/>
      <w:pPr>
        <w:ind w:left="6480" w:hanging="180"/>
      </w:pPr>
    </w:lvl>
  </w:abstractNum>
  <w:abstractNum w:abstractNumId="11" w15:restartNumberingAfterBreak="0">
    <w:nsid w:val="578C54FA"/>
    <w:multiLevelType w:val="multilevel"/>
    <w:tmpl w:val="928EE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DF37F2"/>
    <w:multiLevelType w:val="hybridMultilevel"/>
    <w:tmpl w:val="47D6487E"/>
    <w:lvl w:ilvl="0" w:tplc="3B0ED0C0">
      <w:start w:val="1"/>
      <w:numFmt w:val="decimal"/>
      <w:lvlText w:val="%1."/>
      <w:lvlJc w:val="left"/>
      <w:pPr>
        <w:ind w:left="720" w:hanging="360"/>
      </w:pPr>
    </w:lvl>
    <w:lvl w:ilvl="1" w:tplc="0B24B000" w:tentative="1">
      <w:start w:val="1"/>
      <w:numFmt w:val="lowerLetter"/>
      <w:lvlText w:val="%2."/>
      <w:lvlJc w:val="left"/>
      <w:pPr>
        <w:ind w:left="1440" w:hanging="360"/>
      </w:pPr>
    </w:lvl>
    <w:lvl w:ilvl="2" w:tplc="A13E6816" w:tentative="1">
      <w:start w:val="1"/>
      <w:numFmt w:val="lowerRoman"/>
      <w:lvlText w:val="%3."/>
      <w:lvlJc w:val="right"/>
      <w:pPr>
        <w:ind w:left="2160" w:hanging="180"/>
      </w:pPr>
    </w:lvl>
    <w:lvl w:ilvl="3" w:tplc="9356BFC8" w:tentative="1">
      <w:start w:val="1"/>
      <w:numFmt w:val="decimal"/>
      <w:lvlText w:val="%4."/>
      <w:lvlJc w:val="left"/>
      <w:pPr>
        <w:ind w:left="2880" w:hanging="360"/>
      </w:pPr>
    </w:lvl>
    <w:lvl w:ilvl="4" w:tplc="0CDCB144" w:tentative="1">
      <w:start w:val="1"/>
      <w:numFmt w:val="lowerLetter"/>
      <w:lvlText w:val="%5."/>
      <w:lvlJc w:val="left"/>
      <w:pPr>
        <w:ind w:left="3600" w:hanging="360"/>
      </w:pPr>
    </w:lvl>
    <w:lvl w:ilvl="5" w:tplc="2E4ED0CE" w:tentative="1">
      <w:start w:val="1"/>
      <w:numFmt w:val="lowerRoman"/>
      <w:lvlText w:val="%6."/>
      <w:lvlJc w:val="right"/>
      <w:pPr>
        <w:ind w:left="4320" w:hanging="180"/>
      </w:pPr>
    </w:lvl>
    <w:lvl w:ilvl="6" w:tplc="EE0E54C0" w:tentative="1">
      <w:start w:val="1"/>
      <w:numFmt w:val="decimal"/>
      <w:lvlText w:val="%7."/>
      <w:lvlJc w:val="left"/>
      <w:pPr>
        <w:ind w:left="5040" w:hanging="360"/>
      </w:pPr>
    </w:lvl>
    <w:lvl w:ilvl="7" w:tplc="B31A9B02" w:tentative="1">
      <w:start w:val="1"/>
      <w:numFmt w:val="lowerLetter"/>
      <w:lvlText w:val="%8."/>
      <w:lvlJc w:val="left"/>
      <w:pPr>
        <w:ind w:left="5760" w:hanging="360"/>
      </w:pPr>
    </w:lvl>
    <w:lvl w:ilvl="8" w:tplc="14DC7A52" w:tentative="1">
      <w:start w:val="1"/>
      <w:numFmt w:val="lowerRoman"/>
      <w:lvlText w:val="%9."/>
      <w:lvlJc w:val="right"/>
      <w:pPr>
        <w:ind w:left="6480" w:hanging="180"/>
      </w:pPr>
    </w:lvl>
  </w:abstractNum>
  <w:abstractNum w:abstractNumId="13" w15:restartNumberingAfterBreak="0">
    <w:nsid w:val="60A90EB8"/>
    <w:multiLevelType w:val="multilevel"/>
    <w:tmpl w:val="DB26F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B326F20"/>
    <w:multiLevelType w:val="hybridMultilevel"/>
    <w:tmpl w:val="FFFFFFFF"/>
    <w:lvl w:ilvl="0" w:tplc="64B4CCE6">
      <w:start w:val="1"/>
      <w:numFmt w:val="bullet"/>
      <w:lvlText w:val=""/>
      <w:lvlJc w:val="left"/>
      <w:pPr>
        <w:ind w:left="720" w:hanging="360"/>
      </w:pPr>
      <w:rPr>
        <w:rFonts w:ascii="Symbol" w:hAnsi="Symbol" w:hint="default"/>
      </w:rPr>
    </w:lvl>
    <w:lvl w:ilvl="1" w:tplc="0E3C52F6">
      <w:start w:val="1"/>
      <w:numFmt w:val="bullet"/>
      <w:lvlText w:val="o"/>
      <w:lvlJc w:val="left"/>
      <w:pPr>
        <w:ind w:left="1440" w:hanging="360"/>
      </w:pPr>
      <w:rPr>
        <w:rFonts w:ascii="Courier New" w:hAnsi="Courier New" w:hint="default"/>
      </w:rPr>
    </w:lvl>
    <w:lvl w:ilvl="2" w:tplc="16C84CE6">
      <w:start w:val="1"/>
      <w:numFmt w:val="bullet"/>
      <w:lvlText w:val=""/>
      <w:lvlJc w:val="left"/>
      <w:pPr>
        <w:ind w:left="2160" w:hanging="360"/>
      </w:pPr>
      <w:rPr>
        <w:rFonts w:ascii="Wingdings" w:hAnsi="Wingdings" w:hint="default"/>
      </w:rPr>
    </w:lvl>
    <w:lvl w:ilvl="3" w:tplc="8BDE6382">
      <w:start w:val="1"/>
      <w:numFmt w:val="bullet"/>
      <w:lvlText w:val=""/>
      <w:lvlJc w:val="left"/>
      <w:pPr>
        <w:ind w:left="2880" w:hanging="360"/>
      </w:pPr>
      <w:rPr>
        <w:rFonts w:ascii="Symbol" w:hAnsi="Symbol" w:hint="default"/>
      </w:rPr>
    </w:lvl>
    <w:lvl w:ilvl="4" w:tplc="F8C09A7C">
      <w:start w:val="1"/>
      <w:numFmt w:val="bullet"/>
      <w:lvlText w:val="o"/>
      <w:lvlJc w:val="left"/>
      <w:pPr>
        <w:ind w:left="3600" w:hanging="360"/>
      </w:pPr>
      <w:rPr>
        <w:rFonts w:ascii="Courier New" w:hAnsi="Courier New" w:hint="default"/>
      </w:rPr>
    </w:lvl>
    <w:lvl w:ilvl="5" w:tplc="3516DD00">
      <w:start w:val="1"/>
      <w:numFmt w:val="bullet"/>
      <w:lvlText w:val=""/>
      <w:lvlJc w:val="left"/>
      <w:pPr>
        <w:ind w:left="4320" w:hanging="360"/>
      </w:pPr>
      <w:rPr>
        <w:rFonts w:ascii="Wingdings" w:hAnsi="Wingdings" w:hint="default"/>
      </w:rPr>
    </w:lvl>
    <w:lvl w:ilvl="6" w:tplc="F600ED4A">
      <w:start w:val="1"/>
      <w:numFmt w:val="bullet"/>
      <w:lvlText w:val=""/>
      <w:lvlJc w:val="left"/>
      <w:pPr>
        <w:ind w:left="5040" w:hanging="360"/>
      </w:pPr>
      <w:rPr>
        <w:rFonts w:ascii="Symbol" w:hAnsi="Symbol" w:hint="default"/>
      </w:rPr>
    </w:lvl>
    <w:lvl w:ilvl="7" w:tplc="D3FE5AC2">
      <w:start w:val="1"/>
      <w:numFmt w:val="bullet"/>
      <w:lvlText w:val="o"/>
      <w:lvlJc w:val="left"/>
      <w:pPr>
        <w:ind w:left="5760" w:hanging="360"/>
      </w:pPr>
      <w:rPr>
        <w:rFonts w:ascii="Courier New" w:hAnsi="Courier New" w:hint="default"/>
      </w:rPr>
    </w:lvl>
    <w:lvl w:ilvl="8" w:tplc="53C07EA2">
      <w:start w:val="1"/>
      <w:numFmt w:val="bullet"/>
      <w:lvlText w:val=""/>
      <w:lvlJc w:val="left"/>
      <w:pPr>
        <w:ind w:left="6480" w:hanging="360"/>
      </w:pPr>
      <w:rPr>
        <w:rFonts w:ascii="Wingdings" w:hAnsi="Wingdings" w:hint="default"/>
      </w:rPr>
    </w:lvl>
  </w:abstractNum>
  <w:num w:numId="1" w16cid:durableId="1551185997">
    <w:abstractNumId w:val="10"/>
  </w:num>
  <w:num w:numId="2" w16cid:durableId="2089496429">
    <w:abstractNumId w:val="14"/>
  </w:num>
  <w:num w:numId="3" w16cid:durableId="77870228">
    <w:abstractNumId w:val="5"/>
  </w:num>
  <w:num w:numId="4" w16cid:durableId="461846940">
    <w:abstractNumId w:val="1"/>
  </w:num>
  <w:num w:numId="5" w16cid:durableId="1376273025">
    <w:abstractNumId w:val="3"/>
  </w:num>
  <w:num w:numId="6" w16cid:durableId="759450666">
    <w:abstractNumId w:val="9"/>
  </w:num>
  <w:num w:numId="7" w16cid:durableId="1795367323">
    <w:abstractNumId w:val="2"/>
  </w:num>
  <w:num w:numId="8" w16cid:durableId="1909261692">
    <w:abstractNumId w:val="11"/>
  </w:num>
  <w:num w:numId="9" w16cid:durableId="1982541981">
    <w:abstractNumId w:val="0"/>
  </w:num>
  <w:num w:numId="10" w16cid:durableId="2091267000">
    <w:abstractNumId w:val="12"/>
  </w:num>
  <w:num w:numId="11" w16cid:durableId="2026860452">
    <w:abstractNumId w:val="7"/>
  </w:num>
  <w:num w:numId="12" w16cid:durableId="668405646">
    <w:abstractNumId w:val="8"/>
  </w:num>
  <w:num w:numId="13" w16cid:durableId="254217320">
    <w:abstractNumId w:val="4"/>
  </w:num>
  <w:num w:numId="14" w16cid:durableId="1224021276">
    <w:abstractNumId w:val="6"/>
  </w:num>
  <w:num w:numId="15" w16cid:durableId="118332110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3DF"/>
    <w:rsid w:val="000023F9"/>
    <w:rsid w:val="0000464A"/>
    <w:rsid w:val="00041B2D"/>
    <w:rsid w:val="00045831"/>
    <w:rsid w:val="00062530"/>
    <w:rsid w:val="00087C1B"/>
    <w:rsid w:val="000B1BCA"/>
    <w:rsid w:val="000D6737"/>
    <w:rsid w:val="00101BCB"/>
    <w:rsid w:val="00134467"/>
    <w:rsid w:val="001345C8"/>
    <w:rsid w:val="00134AE7"/>
    <w:rsid w:val="0014357D"/>
    <w:rsid w:val="00150867"/>
    <w:rsid w:val="001560E8"/>
    <w:rsid w:val="00175CD8"/>
    <w:rsid w:val="001779D9"/>
    <w:rsid w:val="00185BCF"/>
    <w:rsid w:val="00192E77"/>
    <w:rsid w:val="001A27B2"/>
    <w:rsid w:val="001A5AFF"/>
    <w:rsid w:val="001C0DD5"/>
    <w:rsid w:val="001E6A9F"/>
    <w:rsid w:val="001F13E5"/>
    <w:rsid w:val="00204558"/>
    <w:rsid w:val="00205724"/>
    <w:rsid w:val="00222233"/>
    <w:rsid w:val="00250CF0"/>
    <w:rsid w:val="00251BC9"/>
    <w:rsid w:val="002527AA"/>
    <w:rsid w:val="00257185"/>
    <w:rsid w:val="002574F8"/>
    <w:rsid w:val="0027166C"/>
    <w:rsid w:val="00277B4D"/>
    <w:rsid w:val="002908F7"/>
    <w:rsid w:val="00293A51"/>
    <w:rsid w:val="002B349C"/>
    <w:rsid w:val="002D2946"/>
    <w:rsid w:val="002D4259"/>
    <w:rsid w:val="002D7C9F"/>
    <w:rsid w:val="002D7CA9"/>
    <w:rsid w:val="002F3344"/>
    <w:rsid w:val="00301A81"/>
    <w:rsid w:val="00302E35"/>
    <w:rsid w:val="003437B2"/>
    <w:rsid w:val="00367214"/>
    <w:rsid w:val="003747B5"/>
    <w:rsid w:val="003852B8"/>
    <w:rsid w:val="00392717"/>
    <w:rsid w:val="003A4032"/>
    <w:rsid w:val="003A4626"/>
    <w:rsid w:val="003A73AE"/>
    <w:rsid w:val="003C2561"/>
    <w:rsid w:val="003C6EF2"/>
    <w:rsid w:val="003E2E49"/>
    <w:rsid w:val="003E33B8"/>
    <w:rsid w:val="003E6B06"/>
    <w:rsid w:val="00412AB5"/>
    <w:rsid w:val="00414CF5"/>
    <w:rsid w:val="00417B22"/>
    <w:rsid w:val="004343DF"/>
    <w:rsid w:val="00437097"/>
    <w:rsid w:val="00437491"/>
    <w:rsid w:val="00445430"/>
    <w:rsid w:val="00460C27"/>
    <w:rsid w:val="004647AE"/>
    <w:rsid w:val="00474264"/>
    <w:rsid w:val="00477BE8"/>
    <w:rsid w:val="004A2976"/>
    <w:rsid w:val="004A7A42"/>
    <w:rsid w:val="004B09ED"/>
    <w:rsid w:val="004D0A42"/>
    <w:rsid w:val="00504CE3"/>
    <w:rsid w:val="00522FD5"/>
    <w:rsid w:val="00523635"/>
    <w:rsid w:val="0052428D"/>
    <w:rsid w:val="00561CBD"/>
    <w:rsid w:val="005720C3"/>
    <w:rsid w:val="00573EFC"/>
    <w:rsid w:val="00580393"/>
    <w:rsid w:val="00582A23"/>
    <w:rsid w:val="005C5243"/>
    <w:rsid w:val="005C539B"/>
    <w:rsid w:val="005E09CC"/>
    <w:rsid w:val="006004DB"/>
    <w:rsid w:val="00614B0A"/>
    <w:rsid w:val="0063211B"/>
    <w:rsid w:val="006366A8"/>
    <w:rsid w:val="006375DB"/>
    <w:rsid w:val="00652965"/>
    <w:rsid w:val="006673A9"/>
    <w:rsid w:val="00683CF9"/>
    <w:rsid w:val="006856E4"/>
    <w:rsid w:val="006868FD"/>
    <w:rsid w:val="006A02D0"/>
    <w:rsid w:val="006B628F"/>
    <w:rsid w:val="006C5DA8"/>
    <w:rsid w:val="006F3BB6"/>
    <w:rsid w:val="00701BE9"/>
    <w:rsid w:val="007172DF"/>
    <w:rsid w:val="0072342F"/>
    <w:rsid w:val="007348D4"/>
    <w:rsid w:val="007457DA"/>
    <w:rsid w:val="007478DB"/>
    <w:rsid w:val="00762C0B"/>
    <w:rsid w:val="00762EB1"/>
    <w:rsid w:val="00776390"/>
    <w:rsid w:val="00786469"/>
    <w:rsid w:val="007938A0"/>
    <w:rsid w:val="007A46D7"/>
    <w:rsid w:val="007C49FD"/>
    <w:rsid w:val="007C5727"/>
    <w:rsid w:val="007D4A35"/>
    <w:rsid w:val="007F4301"/>
    <w:rsid w:val="008109E9"/>
    <w:rsid w:val="00814848"/>
    <w:rsid w:val="00815DD3"/>
    <w:rsid w:val="008169A8"/>
    <w:rsid w:val="00825FE8"/>
    <w:rsid w:val="0084211A"/>
    <w:rsid w:val="00844337"/>
    <w:rsid w:val="00871332"/>
    <w:rsid w:val="00873A65"/>
    <w:rsid w:val="00882A53"/>
    <w:rsid w:val="00887226"/>
    <w:rsid w:val="008935D6"/>
    <w:rsid w:val="008E3CD6"/>
    <w:rsid w:val="008F72FC"/>
    <w:rsid w:val="00905AA4"/>
    <w:rsid w:val="00921925"/>
    <w:rsid w:val="0092617E"/>
    <w:rsid w:val="00927999"/>
    <w:rsid w:val="00962FBF"/>
    <w:rsid w:val="0098670A"/>
    <w:rsid w:val="00994F2D"/>
    <w:rsid w:val="009C21FE"/>
    <w:rsid w:val="009D02AC"/>
    <w:rsid w:val="009D4378"/>
    <w:rsid w:val="009D4DC7"/>
    <w:rsid w:val="009E2FE9"/>
    <w:rsid w:val="00A0125A"/>
    <w:rsid w:val="00A07AC1"/>
    <w:rsid w:val="00A10199"/>
    <w:rsid w:val="00A123AA"/>
    <w:rsid w:val="00A1703A"/>
    <w:rsid w:val="00A2368D"/>
    <w:rsid w:val="00A90DAF"/>
    <w:rsid w:val="00A92A49"/>
    <w:rsid w:val="00AB01D7"/>
    <w:rsid w:val="00B056FA"/>
    <w:rsid w:val="00B14011"/>
    <w:rsid w:val="00B20DE3"/>
    <w:rsid w:val="00B26961"/>
    <w:rsid w:val="00B3153A"/>
    <w:rsid w:val="00B413CC"/>
    <w:rsid w:val="00B66E72"/>
    <w:rsid w:val="00B7423A"/>
    <w:rsid w:val="00B8058A"/>
    <w:rsid w:val="00B8156D"/>
    <w:rsid w:val="00B90A85"/>
    <w:rsid w:val="00BA38F2"/>
    <w:rsid w:val="00BF1F21"/>
    <w:rsid w:val="00C029A1"/>
    <w:rsid w:val="00C02F76"/>
    <w:rsid w:val="00C459BE"/>
    <w:rsid w:val="00C472D0"/>
    <w:rsid w:val="00C50CA6"/>
    <w:rsid w:val="00C63B4F"/>
    <w:rsid w:val="00C8690D"/>
    <w:rsid w:val="00C92ADB"/>
    <w:rsid w:val="00CA1BFF"/>
    <w:rsid w:val="00CD7501"/>
    <w:rsid w:val="00CE72BE"/>
    <w:rsid w:val="00D103EC"/>
    <w:rsid w:val="00D31408"/>
    <w:rsid w:val="00D52A3B"/>
    <w:rsid w:val="00D60AE5"/>
    <w:rsid w:val="00D84B81"/>
    <w:rsid w:val="00D90E91"/>
    <w:rsid w:val="00DA4FEC"/>
    <w:rsid w:val="00DB18F8"/>
    <w:rsid w:val="00DC2684"/>
    <w:rsid w:val="00DC2F54"/>
    <w:rsid w:val="00DC57DA"/>
    <w:rsid w:val="00DD0D82"/>
    <w:rsid w:val="00DE5229"/>
    <w:rsid w:val="00DF554B"/>
    <w:rsid w:val="00E02F84"/>
    <w:rsid w:val="00E14974"/>
    <w:rsid w:val="00E21602"/>
    <w:rsid w:val="00E27762"/>
    <w:rsid w:val="00E36725"/>
    <w:rsid w:val="00E50BE8"/>
    <w:rsid w:val="00E53993"/>
    <w:rsid w:val="00E559F3"/>
    <w:rsid w:val="00E639D1"/>
    <w:rsid w:val="00E666AD"/>
    <w:rsid w:val="00E85325"/>
    <w:rsid w:val="00E859D1"/>
    <w:rsid w:val="00E8779E"/>
    <w:rsid w:val="00E90F46"/>
    <w:rsid w:val="00E96139"/>
    <w:rsid w:val="00E97C24"/>
    <w:rsid w:val="00ED683D"/>
    <w:rsid w:val="00F000BF"/>
    <w:rsid w:val="00F22F3B"/>
    <w:rsid w:val="00F64C45"/>
    <w:rsid w:val="00F65AE1"/>
    <w:rsid w:val="00F92CC8"/>
    <w:rsid w:val="00F9718B"/>
    <w:rsid w:val="00FB5BB5"/>
    <w:rsid w:val="00FC58D4"/>
    <w:rsid w:val="00FC7E1C"/>
    <w:rsid w:val="00FE374D"/>
    <w:rsid w:val="2453DBE2"/>
    <w:rsid w:val="25B148B5"/>
    <w:rsid w:val="31622A75"/>
    <w:rsid w:val="5C5CD4CA"/>
    <w:rsid w:val="7054D4A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4727F"/>
  <w15:chartTrackingRefBased/>
  <w15:docId w15:val="{E799BCE3-2592-48F1-9B7C-F83E3F812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226"/>
    <w:rPr>
      <w:lang w:val="en-GB"/>
    </w:rPr>
  </w:style>
  <w:style w:type="paragraph" w:styleId="Heading1">
    <w:name w:val="heading 1"/>
    <w:basedOn w:val="Normal"/>
    <w:next w:val="Normal"/>
    <w:link w:val="Heading1Char"/>
    <w:uiPriority w:val="9"/>
    <w:qFormat/>
    <w:rsid w:val="004343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43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343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43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43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43D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43D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43D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43D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3DF"/>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4343DF"/>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4343DF"/>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343DF"/>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343DF"/>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343D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343D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343D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343D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343D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3D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343D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43D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343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343DF"/>
    <w:rPr>
      <w:i/>
      <w:iCs/>
      <w:color w:val="404040" w:themeColor="text1" w:themeTint="BF"/>
      <w:lang w:val="en-GB"/>
    </w:rPr>
  </w:style>
  <w:style w:type="paragraph" w:styleId="ListParagraph">
    <w:name w:val="List Paragraph"/>
    <w:basedOn w:val="Normal"/>
    <w:uiPriority w:val="34"/>
    <w:qFormat/>
    <w:rsid w:val="004343DF"/>
    <w:pPr>
      <w:ind w:left="720"/>
      <w:contextualSpacing/>
    </w:pPr>
  </w:style>
  <w:style w:type="character" w:styleId="IntenseEmphasis">
    <w:name w:val="Intense Emphasis"/>
    <w:basedOn w:val="DefaultParagraphFont"/>
    <w:uiPriority w:val="21"/>
    <w:qFormat/>
    <w:rsid w:val="004343DF"/>
    <w:rPr>
      <w:i/>
      <w:iCs/>
      <w:color w:val="0F4761" w:themeColor="accent1" w:themeShade="BF"/>
    </w:rPr>
  </w:style>
  <w:style w:type="paragraph" w:styleId="IntenseQuote">
    <w:name w:val="Intense Quote"/>
    <w:basedOn w:val="Normal"/>
    <w:next w:val="Normal"/>
    <w:link w:val="IntenseQuoteChar"/>
    <w:uiPriority w:val="30"/>
    <w:qFormat/>
    <w:rsid w:val="004343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43DF"/>
    <w:rPr>
      <w:i/>
      <w:iCs/>
      <w:color w:val="0F4761" w:themeColor="accent1" w:themeShade="BF"/>
      <w:lang w:val="en-GB"/>
    </w:rPr>
  </w:style>
  <w:style w:type="character" w:styleId="IntenseReference">
    <w:name w:val="Intense Reference"/>
    <w:basedOn w:val="DefaultParagraphFont"/>
    <w:uiPriority w:val="32"/>
    <w:qFormat/>
    <w:rsid w:val="004343DF"/>
    <w:rPr>
      <w:b/>
      <w:bCs/>
      <w:smallCaps/>
      <w:color w:val="0F4761" w:themeColor="accent1" w:themeShade="BF"/>
      <w:spacing w:val="5"/>
    </w:rPr>
  </w:style>
  <w:style w:type="paragraph" w:styleId="TOCHeading">
    <w:name w:val="TOC Heading"/>
    <w:basedOn w:val="Heading1"/>
    <w:next w:val="Normal"/>
    <w:uiPriority w:val="39"/>
    <w:unhideWhenUsed/>
    <w:qFormat/>
    <w:rsid w:val="00E2776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27762"/>
    <w:pPr>
      <w:spacing w:before="120"/>
    </w:pPr>
    <w:rPr>
      <w:b/>
      <w:bCs/>
      <w:i/>
      <w:iCs/>
    </w:rPr>
  </w:style>
  <w:style w:type="paragraph" w:styleId="TOC2">
    <w:name w:val="toc 2"/>
    <w:basedOn w:val="Normal"/>
    <w:next w:val="Normal"/>
    <w:autoRedefine/>
    <w:uiPriority w:val="39"/>
    <w:unhideWhenUsed/>
    <w:rsid w:val="00E27762"/>
    <w:pPr>
      <w:spacing w:before="120"/>
      <w:ind w:left="240"/>
    </w:pPr>
    <w:rPr>
      <w:b/>
      <w:bCs/>
      <w:sz w:val="22"/>
      <w:szCs w:val="22"/>
    </w:rPr>
  </w:style>
  <w:style w:type="paragraph" w:styleId="TOC3">
    <w:name w:val="toc 3"/>
    <w:basedOn w:val="Normal"/>
    <w:next w:val="Normal"/>
    <w:autoRedefine/>
    <w:uiPriority w:val="39"/>
    <w:unhideWhenUsed/>
    <w:rsid w:val="00E27762"/>
    <w:pPr>
      <w:ind w:left="480"/>
    </w:pPr>
    <w:rPr>
      <w:sz w:val="20"/>
      <w:szCs w:val="20"/>
    </w:rPr>
  </w:style>
  <w:style w:type="character" w:styleId="Hyperlink">
    <w:name w:val="Hyperlink"/>
    <w:basedOn w:val="DefaultParagraphFont"/>
    <w:uiPriority w:val="99"/>
    <w:unhideWhenUsed/>
    <w:rsid w:val="00E27762"/>
    <w:rPr>
      <w:color w:val="467886" w:themeColor="hyperlink"/>
      <w:u w:val="single"/>
    </w:rPr>
  </w:style>
  <w:style w:type="paragraph" w:styleId="TOC4">
    <w:name w:val="toc 4"/>
    <w:basedOn w:val="Normal"/>
    <w:next w:val="Normal"/>
    <w:autoRedefine/>
    <w:uiPriority w:val="39"/>
    <w:semiHidden/>
    <w:unhideWhenUsed/>
    <w:rsid w:val="00E27762"/>
    <w:pPr>
      <w:ind w:left="720"/>
    </w:pPr>
    <w:rPr>
      <w:sz w:val="20"/>
      <w:szCs w:val="20"/>
    </w:rPr>
  </w:style>
  <w:style w:type="paragraph" w:styleId="TOC5">
    <w:name w:val="toc 5"/>
    <w:basedOn w:val="Normal"/>
    <w:next w:val="Normal"/>
    <w:autoRedefine/>
    <w:uiPriority w:val="39"/>
    <w:semiHidden/>
    <w:unhideWhenUsed/>
    <w:rsid w:val="00E27762"/>
    <w:pPr>
      <w:ind w:left="960"/>
    </w:pPr>
    <w:rPr>
      <w:sz w:val="20"/>
      <w:szCs w:val="20"/>
    </w:rPr>
  </w:style>
  <w:style w:type="paragraph" w:styleId="TOC6">
    <w:name w:val="toc 6"/>
    <w:basedOn w:val="Normal"/>
    <w:next w:val="Normal"/>
    <w:autoRedefine/>
    <w:uiPriority w:val="39"/>
    <w:semiHidden/>
    <w:unhideWhenUsed/>
    <w:rsid w:val="00E27762"/>
    <w:pPr>
      <w:ind w:left="1200"/>
    </w:pPr>
    <w:rPr>
      <w:sz w:val="20"/>
      <w:szCs w:val="20"/>
    </w:rPr>
  </w:style>
  <w:style w:type="paragraph" w:styleId="TOC7">
    <w:name w:val="toc 7"/>
    <w:basedOn w:val="Normal"/>
    <w:next w:val="Normal"/>
    <w:autoRedefine/>
    <w:uiPriority w:val="39"/>
    <w:semiHidden/>
    <w:unhideWhenUsed/>
    <w:rsid w:val="00E27762"/>
    <w:pPr>
      <w:ind w:left="1440"/>
    </w:pPr>
    <w:rPr>
      <w:sz w:val="20"/>
      <w:szCs w:val="20"/>
    </w:rPr>
  </w:style>
  <w:style w:type="paragraph" w:styleId="TOC8">
    <w:name w:val="toc 8"/>
    <w:basedOn w:val="Normal"/>
    <w:next w:val="Normal"/>
    <w:autoRedefine/>
    <w:uiPriority w:val="39"/>
    <w:semiHidden/>
    <w:unhideWhenUsed/>
    <w:rsid w:val="00E27762"/>
    <w:pPr>
      <w:ind w:left="1680"/>
    </w:pPr>
    <w:rPr>
      <w:sz w:val="20"/>
      <w:szCs w:val="20"/>
    </w:rPr>
  </w:style>
  <w:style w:type="paragraph" w:styleId="TOC9">
    <w:name w:val="toc 9"/>
    <w:basedOn w:val="Normal"/>
    <w:next w:val="Normal"/>
    <w:autoRedefine/>
    <w:uiPriority w:val="39"/>
    <w:semiHidden/>
    <w:unhideWhenUsed/>
    <w:rsid w:val="00E27762"/>
    <w:pPr>
      <w:ind w:left="1920"/>
    </w:pPr>
    <w:rPr>
      <w:sz w:val="20"/>
      <w:szCs w:val="20"/>
    </w:rPr>
  </w:style>
  <w:style w:type="paragraph" w:styleId="NormalWeb">
    <w:name w:val="Normal (Web)"/>
    <w:basedOn w:val="Normal"/>
    <w:uiPriority w:val="99"/>
    <w:semiHidden/>
    <w:unhideWhenUsed/>
    <w:rsid w:val="00887226"/>
    <w:rPr>
      <w:rFonts w:ascii="Times New Roman" w:hAnsi="Times New Roman" w:cs="Times New Roman"/>
    </w:rPr>
  </w:style>
  <w:style w:type="character" w:styleId="UnresolvedMention">
    <w:name w:val="Unresolved Mention"/>
    <w:basedOn w:val="DefaultParagraphFont"/>
    <w:uiPriority w:val="99"/>
    <w:semiHidden/>
    <w:unhideWhenUsed/>
    <w:rsid w:val="00887226"/>
    <w:rPr>
      <w:color w:val="605E5C"/>
      <w:shd w:val="clear" w:color="auto" w:fill="E1DFDD"/>
    </w:rPr>
  </w:style>
  <w:style w:type="character" w:styleId="FollowedHyperlink">
    <w:name w:val="FollowedHyperlink"/>
    <w:basedOn w:val="DefaultParagraphFont"/>
    <w:uiPriority w:val="99"/>
    <w:semiHidden/>
    <w:unhideWhenUsed/>
    <w:rsid w:val="00887226"/>
    <w:rPr>
      <w:color w:val="96607D" w:themeColor="followedHyperlink"/>
      <w:u w:val="single"/>
    </w:rPr>
  </w:style>
  <w:style w:type="character" w:styleId="CommentReference">
    <w:name w:val="annotation reference"/>
    <w:basedOn w:val="DefaultParagraphFont"/>
    <w:uiPriority w:val="99"/>
    <w:semiHidden/>
    <w:unhideWhenUsed/>
    <w:rsid w:val="003E2E49"/>
    <w:rPr>
      <w:sz w:val="16"/>
      <w:szCs w:val="16"/>
    </w:rPr>
  </w:style>
  <w:style w:type="paragraph" w:styleId="CommentText">
    <w:name w:val="annotation text"/>
    <w:basedOn w:val="Normal"/>
    <w:link w:val="CommentTextChar"/>
    <w:uiPriority w:val="99"/>
    <w:unhideWhenUsed/>
    <w:rsid w:val="003E2E49"/>
    <w:rPr>
      <w:sz w:val="20"/>
      <w:szCs w:val="20"/>
    </w:rPr>
  </w:style>
  <w:style w:type="character" w:customStyle="1" w:styleId="CommentTextChar">
    <w:name w:val="Comment Text Char"/>
    <w:basedOn w:val="DefaultParagraphFont"/>
    <w:link w:val="CommentText"/>
    <w:uiPriority w:val="99"/>
    <w:rsid w:val="003E2E49"/>
    <w:rPr>
      <w:sz w:val="20"/>
      <w:szCs w:val="20"/>
      <w:lang w:val="en-GB"/>
    </w:rPr>
  </w:style>
  <w:style w:type="paragraph" w:styleId="CommentSubject">
    <w:name w:val="annotation subject"/>
    <w:basedOn w:val="CommentText"/>
    <w:next w:val="CommentText"/>
    <w:link w:val="CommentSubjectChar"/>
    <w:uiPriority w:val="99"/>
    <w:semiHidden/>
    <w:unhideWhenUsed/>
    <w:rsid w:val="003E2E49"/>
    <w:rPr>
      <w:b/>
      <w:bCs/>
    </w:rPr>
  </w:style>
  <w:style w:type="character" w:customStyle="1" w:styleId="CommentSubjectChar">
    <w:name w:val="Comment Subject Char"/>
    <w:basedOn w:val="CommentTextChar"/>
    <w:link w:val="CommentSubject"/>
    <w:uiPriority w:val="99"/>
    <w:semiHidden/>
    <w:rsid w:val="003E2E49"/>
    <w:rPr>
      <w:b/>
      <w:bCs/>
      <w:sz w:val="20"/>
      <w:szCs w:val="20"/>
      <w:lang w:val="en-GB"/>
    </w:rPr>
  </w:style>
  <w:style w:type="paragraph" w:styleId="Footer">
    <w:name w:val="footer"/>
    <w:basedOn w:val="Normal"/>
    <w:link w:val="FooterChar"/>
    <w:uiPriority w:val="99"/>
    <w:unhideWhenUsed/>
    <w:rsid w:val="003A4032"/>
    <w:pPr>
      <w:tabs>
        <w:tab w:val="center" w:pos="4513"/>
        <w:tab w:val="right" w:pos="9026"/>
      </w:tabs>
    </w:pPr>
  </w:style>
  <w:style w:type="character" w:customStyle="1" w:styleId="FooterChar">
    <w:name w:val="Footer Char"/>
    <w:basedOn w:val="DefaultParagraphFont"/>
    <w:link w:val="Footer"/>
    <w:uiPriority w:val="99"/>
    <w:rsid w:val="003A4032"/>
    <w:rPr>
      <w:lang w:val="en-GB"/>
    </w:rPr>
  </w:style>
  <w:style w:type="character" w:styleId="PageNumber">
    <w:name w:val="page number"/>
    <w:basedOn w:val="DefaultParagraphFont"/>
    <w:uiPriority w:val="99"/>
    <w:semiHidden/>
    <w:unhideWhenUsed/>
    <w:rsid w:val="003A4032"/>
  </w:style>
  <w:style w:type="paragraph" w:styleId="NoSpacing">
    <w:name w:val="No Spacing"/>
    <w:link w:val="NoSpacingChar"/>
    <w:uiPriority w:val="1"/>
    <w:qFormat/>
    <w:rsid w:val="004647AE"/>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4647AE"/>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962FBF"/>
    <w:pPr>
      <w:tabs>
        <w:tab w:val="center" w:pos="4513"/>
        <w:tab w:val="right" w:pos="9026"/>
      </w:tabs>
    </w:pPr>
  </w:style>
  <w:style w:type="character" w:customStyle="1" w:styleId="HeaderChar">
    <w:name w:val="Header Char"/>
    <w:basedOn w:val="DefaultParagraphFont"/>
    <w:link w:val="Header"/>
    <w:uiPriority w:val="99"/>
    <w:rsid w:val="00962FBF"/>
    <w:rPr>
      <w:lang w:val="en-GB"/>
    </w:rPr>
  </w:style>
  <w:style w:type="table" w:styleId="TableGrid">
    <w:name w:val="Table Grid"/>
    <w:basedOn w:val="TableNormal"/>
    <w:uiPriority w:val="59"/>
    <w:rsid w:val="00185BCF"/>
    <w:rPr>
      <w:rFonts w:eastAsiaTheme="minorEastAsia"/>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6" ma:contentTypeDescription="Create a new document." ma:contentTypeScope="" ma:versionID="b1481578239326cace2117bde3b6ac5d">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f464cc2d2d19200475f7ea128de5a757"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60db6a8c-efda-4272-8663-afd250168057" xsi:nil="true"/>
    <lcf76f155ced4ddcb4097134ff3c332f xmlns="9dc4d116-a27b-41af-91e9-8a518f1eb27e">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CD56B-BD15-4677-BDCE-EDBABE48A7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589FB0C-6B77-414E-A286-CC0FF996C919}">
  <ds:schemaRefs>
    <ds:schemaRef ds:uri="http://schemas.microsoft.com/sharepoint/v3/contenttype/forms"/>
  </ds:schemaRefs>
</ds:datastoreItem>
</file>

<file path=customXml/itemProps3.xml><?xml version="1.0" encoding="utf-8"?>
<ds:datastoreItem xmlns:ds="http://schemas.openxmlformats.org/officeDocument/2006/customXml" ds:itemID="{6371F9C2-B936-45F7-B9CE-2DEFE7AB87A2}">
  <ds:schemaRefs>
    <ds:schemaRef ds:uri="http://schemas.microsoft.com/office/2006/metadata/properties"/>
    <ds:schemaRef ds:uri="http://schemas.microsoft.com/office/infopath/2007/PartnerControls"/>
    <ds:schemaRef ds:uri="60db6a8c-efda-4272-8663-afd250168057"/>
    <ds:schemaRef ds:uri="9dc4d116-a27b-41af-91e9-8a518f1eb27e"/>
  </ds:schemaRefs>
</ds:datastoreItem>
</file>

<file path=customXml/itemProps4.xml><?xml version="1.0" encoding="utf-8"?>
<ds:datastoreItem xmlns:ds="http://schemas.openxmlformats.org/officeDocument/2006/customXml" ds:itemID="{FADCE4CA-700F-2942-8196-7945C76EA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TotalTime>
  <Pages>22</Pages>
  <Words>5455</Words>
  <Characters>35568</Characters>
  <Application>Microsoft Office Word</Application>
  <DocSecurity>0</DocSecurity>
  <Lines>1422</Lines>
  <Paragraphs>315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Nicholl</dc:creator>
  <cp:keywords/>
  <dc:description/>
  <cp:lastModifiedBy>James Nicholl</cp:lastModifiedBy>
  <cp:revision>43</cp:revision>
  <dcterms:created xsi:type="dcterms:W3CDTF">2026-01-02T10:20:00Z</dcterms:created>
  <dcterms:modified xsi:type="dcterms:W3CDTF">2026-01-19T11:21:00Z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