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Основний текст A"/>
        <w:jc w:val="center"/>
        <w:rPr>
          <w:sz w:val="52"/>
          <w:szCs w:val="52"/>
        </w:rPr>
      </w:pPr>
      <w:r>
        <w:rPr>
          <w:sz w:val="52"/>
          <w:szCs w:val="52"/>
        </w:rPr>
        <w:drawing xmlns:a="http://schemas.openxmlformats.org/drawingml/2006/main">
          <wp:inline distT="0" distB="0" distL="0" distR="0">
            <wp:extent cx="2895599" cy="960374"/>
            <wp:effectExtent l="0" t="0" r="0" b="0"/>
            <wp:docPr id="1073741825" name="officeArt object"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TextDescription automatically generated" descr="TextDescription automatically generated"/>
                    <pic:cNvPicPr>
                      <a:picLocks noChangeAspect="1"/>
                    </pic:cNvPicPr>
                  </pic:nvPicPr>
                  <pic:blipFill>
                    <a:blip r:embed="rId4">
                      <a:extLst/>
                    </a:blip>
                    <a:stretch>
                      <a:fillRect/>
                    </a:stretch>
                  </pic:blipFill>
                  <pic:spPr>
                    <a:xfrm>
                      <a:off x="0" y="0"/>
                      <a:ext cx="2895599" cy="960374"/>
                    </a:xfrm>
                    <a:prstGeom prst="rect">
                      <a:avLst/>
                    </a:prstGeom>
                    <a:ln w="12700" cap="flat">
                      <a:noFill/>
                      <a:miter lim="400000"/>
                    </a:ln>
                    <a:effectLst/>
                  </pic:spPr>
                </pic:pic>
              </a:graphicData>
            </a:graphic>
          </wp:inline>
        </w:drawing>
      </w:r>
    </w:p>
    <w:p>
      <w:pPr>
        <w:pStyle w:val="Основний текст A"/>
        <w:jc w:val="center"/>
        <w:rPr>
          <w:outline w:val="0"/>
          <w:color w:val="ff0000"/>
          <w:u w:color="ff0000"/>
          <w14:textFill>
            <w14:solidFill>
              <w14:srgbClr w14:val="FF0000"/>
            </w14:solidFill>
          </w14:textFill>
        </w:rPr>
      </w:pPr>
    </w:p>
    <w:p>
      <w:pPr>
        <w:pStyle w:val="Основний текст A"/>
        <w:rPr>
          <w:outline w:val="0"/>
          <w:color w:val="ff0000"/>
          <w:u w:color="ff0000"/>
          <w14:textFill>
            <w14:solidFill>
              <w14:srgbClr w14:val="FF0000"/>
            </w14:solidFill>
          </w14:textFill>
        </w:rPr>
      </w:pPr>
    </w:p>
    <w:p>
      <w:pPr>
        <w:pStyle w:val="Основний текст A"/>
        <w:rPr>
          <w:outline w:val="0"/>
          <w:color w:val="ff0000"/>
          <w:u w:color="ff0000"/>
          <w14:textFill>
            <w14:solidFill>
              <w14:srgbClr w14:val="FF0000"/>
            </w14:solidFill>
          </w14:textFill>
        </w:rPr>
      </w:pPr>
    </w:p>
    <w:p>
      <w:pPr>
        <w:pStyle w:val="Основний текст A"/>
        <w:rPr>
          <w:outline w:val="0"/>
          <w:color w:val="ff0000"/>
          <w:u w:color="ff0000"/>
          <w14:textFill>
            <w14:solidFill>
              <w14:srgbClr w14:val="FF0000"/>
            </w14:solidFill>
          </w14:textFill>
        </w:rPr>
      </w:pPr>
    </w:p>
    <w:p>
      <w:pPr>
        <w:pStyle w:val="Основний текст A"/>
        <w:rPr>
          <w:outline w:val="0"/>
          <w:color w:val="ff0000"/>
          <w:u w:color="ff0000"/>
          <w14:textFill>
            <w14:solidFill>
              <w14:srgbClr w14:val="FF0000"/>
            </w14:solidFill>
          </w14:textFill>
        </w:rPr>
      </w:pPr>
    </w:p>
    <w:p>
      <w:pPr>
        <w:pStyle w:val="Основний текст A"/>
        <w:rPr>
          <w:outline w:val="0"/>
          <w:color w:val="ff0000"/>
          <w:u w:color="ff0000"/>
          <w14:textFill>
            <w14:solidFill>
              <w14:srgbClr w14:val="FF0000"/>
            </w14:solidFill>
          </w14:textFill>
        </w:rPr>
      </w:pPr>
    </w:p>
    <w:p>
      <w:pPr>
        <w:pStyle w:val="Основний текст A"/>
      </w:pPr>
    </w:p>
    <w:p>
      <w:pPr>
        <w:pStyle w:val="Основний текст A"/>
        <w:jc w:val="center"/>
        <w:rPr>
          <w:b w:val="1"/>
          <w:bCs w:val="1"/>
          <w:sz w:val="32"/>
          <w:szCs w:val="32"/>
          <w:lang w:val="en-US"/>
        </w:rPr>
      </w:pPr>
      <w:r>
        <w:rPr>
          <w:b w:val="1"/>
          <w:bCs w:val="1"/>
          <w:rtl w:val="0"/>
          <w:lang w:val="en-US"/>
        </w:rPr>
        <w:t xml:space="preserve">   </w:t>
      </w:r>
      <w:r>
        <w:rPr>
          <w:b w:val="1"/>
          <w:bCs w:val="1"/>
          <w:sz w:val="32"/>
          <w:szCs w:val="32"/>
          <w:rtl w:val="0"/>
          <w:lang w:val="en-US"/>
        </w:rPr>
        <w:t xml:space="preserve"> Understanding and Engaging Stakeholders</w:t>
      </w:r>
    </w:p>
    <w:p>
      <w:pPr>
        <w:pStyle w:val="Основний текст A"/>
        <w:jc w:val="center"/>
        <w:rPr>
          <w:b w:val="1"/>
          <w:bCs w:val="1"/>
          <w:lang w:val="en-US"/>
        </w:rPr>
      </w:pPr>
      <w:r>
        <w:rPr>
          <w:b w:val="1"/>
          <w:bCs w:val="1"/>
          <w:sz w:val="32"/>
          <w:szCs w:val="32"/>
          <w:rtl w:val="0"/>
          <w:lang w:val="en-US"/>
        </w:rPr>
        <w:t>Marks &amp; Spencer</w:t>
      </w:r>
      <w:r>
        <w:rPr>
          <w:b w:val="1"/>
          <w:bCs w:val="1"/>
          <w:sz w:val="32"/>
          <w:szCs w:val="32"/>
          <w:rtl w:val="0"/>
          <w:lang w:val="en-US"/>
        </w:rPr>
        <w:t xml:space="preserve"> LCLM5001</w:t>
      </w: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r>
        <w:rPr>
          <w:rFonts w:cs="Arial Unicode MS" w:eastAsia="Arial Unicode MS"/>
          <w:b w:val="1"/>
          <w:bCs w:val="1"/>
          <w:rtl w:val="0"/>
          <w:lang w:val="en-US"/>
        </w:rPr>
        <w:t xml:space="preserve"> Student Name:</w:t>
      </w:r>
      <w:r>
        <w:rPr>
          <w:rFonts w:cs="Arial Unicode MS" w:eastAsia="Arial Unicode MS"/>
          <w:b w:val="1"/>
          <w:bCs w:val="1"/>
          <w:rtl w:val="0"/>
          <w:lang w:val="en-US"/>
        </w:rPr>
        <w:t xml:space="preserve"> Andriana Chemodurova</w:t>
      </w:r>
    </w:p>
    <w:p>
      <w:pPr>
        <w:pStyle w:val="Основний текст A"/>
        <w:rPr>
          <w:b w:val="1"/>
          <w:bCs w:val="1"/>
          <w:lang w:val="en-US"/>
        </w:rPr>
      </w:pPr>
      <w:r>
        <w:rPr>
          <w:rFonts w:cs="Arial Unicode MS" w:eastAsia="Arial Unicode MS"/>
          <w:b w:val="1"/>
          <w:bCs w:val="1"/>
          <w:rtl w:val="0"/>
          <w:lang w:val="en-US"/>
        </w:rPr>
        <w:t xml:space="preserve"> Student Number :</w:t>
      </w:r>
      <w:r>
        <w:rPr>
          <w:rFonts w:cs="Arial Unicode MS" w:eastAsia="Arial Unicode MS"/>
          <w:b w:val="1"/>
          <w:bCs w:val="1"/>
          <w:rtl w:val="0"/>
          <w:lang w:val="en-US"/>
        </w:rPr>
        <w:t xml:space="preserve"> 2441784</w:t>
      </w:r>
    </w:p>
    <w:p>
      <w:pPr>
        <w:pStyle w:val="Основний текст A"/>
        <w:rPr>
          <w:b w:val="1"/>
          <w:bCs w:val="1"/>
          <w:lang w:val="en-US"/>
        </w:rPr>
      </w:pPr>
      <w:r>
        <w:rPr>
          <w:rFonts w:cs="Arial Unicode MS" w:eastAsia="Arial Unicode MS"/>
          <w:b w:val="1"/>
          <w:bCs w:val="1"/>
          <w:rtl w:val="0"/>
          <w:lang w:val="en-US"/>
        </w:rPr>
        <w:t xml:space="preserve"> Lecturer Name: Dr Lakshani Mendis </w:t>
      </w:r>
    </w:p>
    <w:p>
      <w:pPr>
        <w:pStyle w:val="Основний текст A"/>
        <w:rPr>
          <w:b w:val="1"/>
          <w:bCs w:val="1"/>
          <w:lang w:val="en-US"/>
        </w:rPr>
      </w:pPr>
      <w:r>
        <w:rPr>
          <w:rFonts w:cs="Arial Unicode MS" w:eastAsia="Arial Unicode MS"/>
          <w:b w:val="1"/>
          <w:bCs w:val="1"/>
          <w:rtl w:val="0"/>
          <w:lang w:val="en-US"/>
        </w:rPr>
        <w:t xml:space="preserve"> </w:t>
      </w:r>
      <w:r>
        <w:rPr>
          <w:rFonts w:cs="Arial Unicode MS" w:eastAsia="Arial Unicode MS"/>
          <w:b w:val="1"/>
          <w:bCs w:val="1"/>
          <w:rtl w:val="0"/>
          <w:lang w:val="en-US"/>
        </w:rPr>
        <w:t>Session: June 2026</w:t>
      </w:r>
    </w:p>
    <w:p>
      <w:pPr>
        <w:pStyle w:val="Типовий"/>
        <w:suppressAutoHyphens w:val="1"/>
        <w:spacing w:before="0" w:line="240" w:lineRule="auto"/>
        <w:jc w:val="left"/>
        <w:rPr>
          <w:rFonts w:ascii="Arial" w:cs="Arial" w:hAnsi="Arial" w:eastAsia="Arial"/>
          <w:b w:val="1"/>
          <w:bCs w:val="1"/>
          <w:lang w:val="en-US"/>
        </w:rPr>
      </w:pPr>
    </w:p>
    <w:p>
      <w:pPr>
        <w:pStyle w:val="Типовий"/>
        <w:suppressAutoHyphens w:val="1"/>
        <w:spacing w:before="0" w:after="322" w:line="240" w:lineRule="auto"/>
        <w:jc w:val="left"/>
        <w:rPr>
          <w:rFonts w:ascii="Arial" w:cs="Arial" w:hAnsi="Arial" w:eastAsia="Arial"/>
          <w:b w:val="1"/>
          <w:bCs w:val="1"/>
          <w:sz w:val="48"/>
          <w:szCs w:val="48"/>
          <w:lang w:val="en-US"/>
        </w:rPr>
      </w:pPr>
      <w:r>
        <w:rPr>
          <w:rFonts w:ascii="Arial" w:hAnsi="Arial"/>
          <w:b w:val="1"/>
          <w:bCs w:val="1"/>
          <w:sz w:val="48"/>
          <w:szCs w:val="48"/>
          <w:rtl w:val="0"/>
          <w:lang w:val="en-US"/>
        </w:rPr>
        <w:t>Table of Contents</w:t>
      </w:r>
    </w:p>
    <w:p>
      <w:pPr>
        <w:pStyle w:val="Типовий"/>
        <w:suppressAutoHyphens w:val="1"/>
        <w:spacing w:before="0" w:line="240" w:lineRule="auto"/>
        <w:jc w:val="left"/>
        <w:rPr>
          <w:rFonts w:ascii="Arial" w:cs="Arial" w:hAnsi="Arial" w:eastAsia="Arial"/>
          <w:b w:val="1"/>
          <w:bCs w:val="1"/>
          <w:lang w:val="en-US"/>
        </w:rPr>
      </w:pPr>
    </w:p>
    <w:tbl>
      <w:tblPr>
        <w:tblW w:w="934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e0e0e0"/>
        <w:tblLayout w:type="fixed"/>
      </w:tblPr>
      <w:tblGrid>
        <w:gridCol w:w="8788"/>
        <w:gridCol w:w="553"/>
      </w:tblGrid>
      <w:tr>
        <w:tblPrEx>
          <w:shd w:val="clear" w:color="auto" w:fill="e0e0e0"/>
        </w:tblPrEx>
        <w:trPr>
          <w:trHeight w:val="580"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pStyle w:val="Типовий"/>
            </w:pPr>
            <w:r>
              <w:rPr>
                <w:rFonts w:ascii="Helvetica Neue" w:hAnsi="Helvetica Neue"/>
                <w:b w:val="1"/>
                <w:bCs w:val="1"/>
                <w:rtl w:val="0"/>
              </w:rPr>
              <w:t>Section</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Page</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pStyle w:val="Типовий"/>
            </w:pPr>
            <w:r>
              <w:rPr>
                <w:rFonts w:ascii="Helvetica Neue" w:hAnsi="Helvetica Neue"/>
                <w:b w:val="1"/>
                <w:bCs w:val="1"/>
                <w:rtl w:val="0"/>
              </w:rPr>
              <w:t>Title Page</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pStyle w:val="Типовий"/>
            </w:pPr>
            <w:r>
              <w:rPr>
                <w:rFonts w:ascii="Helvetica Neue" w:hAnsi="Helvetica Neue"/>
                <w:b w:val="1"/>
                <w:bCs w:val="1"/>
                <w:rtl w:val="0"/>
              </w:rPr>
              <w:t>Table of Contents</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2</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pStyle w:val="Типовий"/>
            </w:pPr>
            <w:r>
              <w:rPr>
                <w:rFonts w:ascii="Helvetica Neue" w:hAnsi="Helvetica Neue"/>
                <w:b w:val="1"/>
                <w:bCs w:val="1"/>
                <w:rtl w:val="0"/>
              </w:rPr>
              <w:t>Executive Summary</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pStyle w:val="Типовий"/>
            </w:pPr>
            <w:r>
              <w:rPr>
                <w:rFonts w:ascii="Helvetica Neue" w:hAnsi="Helvetica Neue"/>
                <w:b w:val="1"/>
                <w:bCs w:val="1"/>
                <w:rtl w:val="0"/>
              </w:rPr>
              <w:t>1. Introduction</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3</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pStyle w:val="Типовий"/>
            </w:pPr>
            <w:r>
              <w:rPr>
                <w:rFonts w:ascii="Helvetica Neue" w:hAnsi="Helvetica Neue"/>
                <w:b w:val="1"/>
                <w:bCs w:val="1"/>
                <w:rtl w:val="0"/>
              </w:rPr>
              <w:t>2. SMART Project Objectives</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4</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pStyle w:val="Типовий"/>
            </w:pPr>
            <w:r>
              <w:rPr>
                <w:rFonts w:ascii="Helvetica Neue" w:hAnsi="Helvetica Neue"/>
                <w:b w:val="1"/>
                <w:bCs w:val="1"/>
                <w:rtl w:val="0"/>
              </w:rPr>
              <w:t>3. Identification and Analysis of Stakeholders</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pStyle w:val="Типовий"/>
            </w:pPr>
            <w:r>
              <w:rPr>
                <w:rFonts w:ascii="Helvetica Neue" w:hAnsi="Helvetica Neue"/>
                <w:b w:val="1"/>
                <w:bCs w:val="1"/>
                <w:rtl w:val="0"/>
              </w:rPr>
              <w:t>3.1 Identification of Internal and External Stakeholders</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5</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pStyle w:val="Типовий"/>
            </w:pPr>
            <w:r>
              <w:rPr>
                <w:rFonts w:ascii="Helvetica Neue" w:hAnsi="Helvetica Neue"/>
                <w:b w:val="1"/>
                <w:bCs w:val="1"/>
                <w:rtl w:val="0"/>
              </w:rPr>
              <w:t>3.2 Stakeholder Analysis Using Mendelow's Power</w:t>
            </w:r>
            <w:r>
              <w:rPr>
                <w:rFonts w:ascii="Helvetica Neue" w:hAnsi="Helvetica Neue" w:hint="default"/>
                <w:b w:val="1"/>
                <w:bCs w:val="1"/>
                <w:rtl w:val="0"/>
              </w:rPr>
              <w:t>–</w:t>
            </w:r>
            <w:r>
              <w:rPr>
                <w:rFonts w:ascii="Helvetica Neue" w:hAnsi="Helvetica Neue"/>
                <w:b w:val="1"/>
                <w:bCs w:val="1"/>
                <w:rtl w:val="0"/>
              </w:rPr>
              <w:t>Interest Matrix</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6</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pStyle w:val="Типовий"/>
            </w:pPr>
            <w:r>
              <w:rPr>
                <w:rFonts w:ascii="Helvetica Neue" w:hAnsi="Helvetica Neue"/>
                <w:b w:val="1"/>
                <w:bCs w:val="1"/>
                <w:rtl w:val="0"/>
              </w:rPr>
              <w:t>4. Roles and Responsibilities of Key Stakeholders</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7</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pStyle w:val="Типовий"/>
            </w:pPr>
            <w:r>
              <w:rPr>
                <w:rFonts w:ascii="Helvetica Neue" w:hAnsi="Helvetica Neue"/>
                <w:b w:val="1"/>
                <w:bCs w:val="1"/>
                <w:rtl w:val="0"/>
              </w:rPr>
              <w:t>5. Stakeholder Engagement Strategy</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10</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pStyle w:val="Типовий"/>
            </w:pPr>
            <w:r>
              <w:rPr>
                <w:rFonts w:ascii="Helvetica Neue" w:hAnsi="Helvetica Neue"/>
                <w:b w:val="1"/>
                <w:bCs w:val="1"/>
                <w:rtl w:val="0"/>
              </w:rPr>
              <w:t>5.1 Stakeholder Engagement Strategy</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11</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pStyle w:val="Типовий"/>
            </w:pPr>
            <w:r>
              <w:rPr>
                <w:rFonts w:ascii="Helvetica Neue" w:hAnsi="Helvetica Neue"/>
                <w:b w:val="1"/>
                <w:bCs w:val="1"/>
                <w:rtl w:val="0"/>
              </w:rPr>
              <w:t>5.2 Communication Plan</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12</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pStyle w:val="Типовий"/>
            </w:pPr>
            <w:r>
              <w:rPr>
                <w:rFonts w:ascii="Helvetica Neue" w:hAnsi="Helvetica Neue"/>
                <w:b w:val="1"/>
                <w:bCs w:val="1"/>
                <w:rtl w:val="0"/>
              </w:rPr>
              <w:t>5.3 Managing Conflict and Stakeholder Expectations</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12</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pStyle w:val="Типовий"/>
            </w:pPr>
            <w:r>
              <w:rPr>
                <w:rFonts w:ascii="Helvetica Neue" w:hAnsi="Helvetica Neue"/>
                <w:b w:val="1"/>
                <w:bCs w:val="1"/>
                <w:rtl w:val="0"/>
              </w:rPr>
              <w:t>5.4 Stakeholder Engagement in International Markets</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13</w:t>
            </w:r>
          </w:p>
        </w:tc>
      </w:tr>
      <w:tr>
        <w:tblPrEx>
          <w:shd w:val="clear" w:color="auto" w:fill="e0e0e0"/>
        </w:tblPrEx>
        <w:trPr>
          <w:trHeight w:val="672"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pStyle w:val="Типовий"/>
            </w:pPr>
            <w:r>
              <w:rPr>
                <w:rFonts w:ascii="Helvetica Neue" w:hAnsi="Helvetica Neue"/>
                <w:b w:val="1"/>
                <w:bCs w:val="1"/>
                <w:rtl w:val="0"/>
              </w:rPr>
              <w:t>6. Impact of Sustainable Stakeholder Engagement on Business Performance</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14</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pStyle w:val="Типовий"/>
            </w:pPr>
            <w:r>
              <w:rPr>
                <w:rFonts w:ascii="Helvetica Neue" w:hAnsi="Helvetica Neue"/>
                <w:b w:val="1"/>
                <w:bCs w:val="1"/>
                <w:rtl w:val="0"/>
              </w:rPr>
              <w:t>6.1 Benefits of Sustainable Stakeholder Engagement</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15</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pStyle w:val="Типовий"/>
            </w:pPr>
            <w:r>
              <w:rPr>
                <w:rFonts w:ascii="Helvetica Neue" w:hAnsi="Helvetica Neue"/>
                <w:b w:val="1"/>
                <w:bCs w:val="1"/>
                <w:rtl w:val="0"/>
              </w:rPr>
              <w:t>6.2 Challenges of Sustainable Stakeholder Engagement</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16</w:t>
            </w:r>
          </w:p>
        </w:tc>
      </w:tr>
      <w:tr>
        <w:tblPrEx>
          <w:shd w:val="clear" w:color="auto" w:fill="e0e0e0"/>
        </w:tblPrEx>
        <w:trPr>
          <w:trHeight w:val="672"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pStyle w:val="Типовий"/>
            </w:pPr>
            <w:r>
              <w:rPr>
                <w:rFonts w:ascii="Helvetica Neue" w:hAnsi="Helvetica Neue"/>
                <w:b w:val="1"/>
                <w:bCs w:val="1"/>
                <w:rtl w:val="0"/>
              </w:rPr>
              <w:t>6.3 Contribution of Sustainable Stakeholder Engagement to Long-Term Business Success</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17</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pStyle w:val="Типовий"/>
            </w:pPr>
            <w:r>
              <w:rPr>
                <w:b w:val="1"/>
                <w:bCs w:val="1"/>
                <w:sz w:val="28"/>
                <w:szCs w:val="28"/>
                <w:rtl w:val="0"/>
                <w:lang w:val="en-US"/>
              </w:rPr>
              <w:t>6.4 Measuring Stakeholder Engagement Performance</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17</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pStyle w:val="Типовий"/>
            </w:pPr>
            <w:r>
              <w:rPr>
                <w:rFonts w:ascii="Helvetica Neue" w:hAnsi="Helvetica Neue"/>
                <w:b w:val="1"/>
                <w:bCs w:val="1"/>
                <w:rtl w:val="0"/>
              </w:rPr>
              <w:t>7. Recommendations</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18</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pStyle w:val="Типовий"/>
            </w:pPr>
            <w:r>
              <w:rPr>
                <w:rFonts w:ascii="Helvetica Neue" w:hAnsi="Helvetica Neue"/>
                <w:b w:val="1"/>
                <w:bCs w:val="1"/>
                <w:rtl w:val="0"/>
              </w:rPr>
              <w:t>8. Conclusion</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19</w:t>
            </w:r>
          </w:p>
        </w:tc>
      </w:tr>
      <w:tr>
        <w:tblPrEx>
          <w:shd w:val="clear" w:color="auto" w:fill="e0e0e0"/>
        </w:tblPrEx>
        <w:trPr>
          <w:trHeight w:val="409" w:hRule="atLeast"/>
        </w:trPr>
        <w:tc>
          <w:tcPr>
            <w:tcW w:type="dxa" w:w="878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pStyle w:val="Типовий"/>
            </w:pPr>
            <w:r>
              <w:rPr>
                <w:rFonts w:ascii="Helvetica Neue" w:hAnsi="Helvetica Neue"/>
                <w:b w:val="1"/>
                <w:bCs w:val="1"/>
                <w:rtl w:val="0"/>
              </w:rPr>
              <w:t>References</w:t>
            </w:r>
          </w:p>
        </w:tc>
        <w:tc>
          <w:tcPr>
            <w:tcW w:type="dxa" w:w="55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righ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20</w:t>
            </w:r>
          </w:p>
        </w:tc>
      </w:tr>
    </w:tbl>
    <w:p>
      <w:pPr>
        <w:pStyle w:val="Типовий"/>
        <w:suppressAutoHyphens w:val="1"/>
        <w:spacing w:before="0" w:line="240" w:lineRule="auto"/>
        <w:jc w:val="left"/>
        <w:rPr>
          <w:rFonts w:ascii="Arial" w:cs="Arial" w:hAnsi="Arial" w:eastAsia="Arial"/>
          <w:b w:val="1"/>
          <w:bCs w:val="1"/>
          <w:lang w:val="en-US"/>
        </w:rPr>
      </w:pPr>
    </w:p>
    <w:p>
      <w:pPr>
        <w:pStyle w:val="Основний текст A"/>
        <w:rPr>
          <w:b w:val="1"/>
          <w:bCs w:val="1"/>
          <w:lang w:val="en-US"/>
        </w:rPr>
      </w:pPr>
    </w:p>
    <w:p>
      <w:pPr>
        <w:pStyle w:val="Основний текст A"/>
        <w:rPr>
          <w:b w:val="1"/>
          <w:bCs w:val="1"/>
          <w:lang w:val="en-US"/>
        </w:rPr>
      </w:pPr>
    </w:p>
    <w:p>
      <w:pPr>
        <w:pStyle w:val="Основний текст A"/>
        <w:rPr>
          <w:b w:val="1"/>
          <w:bCs w:val="1"/>
          <w:lang w:val="en-US"/>
        </w:rPr>
      </w:pPr>
    </w:p>
    <w:p>
      <w:pPr>
        <w:pStyle w:val="Типовий"/>
        <w:suppressAutoHyphens w:val="1"/>
        <w:spacing w:before="0" w:after="299" w:line="360" w:lineRule="auto"/>
        <w:jc w:val="left"/>
        <w:rPr>
          <w:rFonts w:ascii="Arial" w:cs="Arial" w:hAnsi="Arial" w:eastAsia="Arial"/>
          <w:b w:val="1"/>
          <w:bCs w:val="1"/>
          <w:sz w:val="36"/>
          <w:szCs w:val="36"/>
        </w:rPr>
      </w:pPr>
      <w:r>
        <w:rPr>
          <w:rFonts w:ascii="Arial" w:hAnsi="Arial"/>
          <w:b w:val="1"/>
          <w:bCs w:val="1"/>
          <w:sz w:val="36"/>
          <w:szCs w:val="36"/>
          <w:rtl w:val="0"/>
          <w:lang w:val="en-US"/>
        </w:rPr>
        <w:t>Executive Summary</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This report examines the importance of stakeholder engagement in the successful implementation of the ConnectPlus project at Marks &amp; Spencer (M&amp;S). ConnectPlus is an AI-powered customer engagement platform designed to improve customer experience through personalised recommendations, data-driven decision-making, and enhanced digital services. The report explores how effective stakeholder engagement contributes to project success and supports the organisation's long-term strategic objectives.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The report identifies the project's key internal and external stakeholders and analyses their influence using recognised stakeholder management frameworks, including </w:t>
      </w:r>
      <w:r>
        <w:rPr>
          <w:rFonts w:ascii="Arial" w:hAnsi="Arial"/>
          <w:b w:val="1"/>
          <w:bCs w:val="1"/>
          <w:rtl w:val="0"/>
          <w:lang w:val="en-US"/>
        </w:rPr>
        <w:t>Freeman's Stakeholder Theory (1984)</w:t>
      </w:r>
      <w:r>
        <w:rPr>
          <w:rFonts w:ascii="Arial" w:hAnsi="Arial"/>
          <w:rtl w:val="0"/>
          <w:lang w:val="en-US"/>
        </w:rPr>
        <w:t xml:space="preserve">, </w:t>
      </w:r>
      <w:r>
        <w:rPr>
          <w:rFonts w:ascii="Arial" w:hAnsi="Arial"/>
          <w:b w:val="1"/>
          <w:bCs w:val="1"/>
          <w:rtl w:val="0"/>
          <w:lang w:val="en-US"/>
        </w:rPr>
        <w:t>Mendelow's Power</w:t>
      </w:r>
      <w:r>
        <w:rPr>
          <w:rFonts w:ascii="Arial" w:hAnsi="Arial" w:hint="default"/>
          <w:b w:val="1"/>
          <w:bCs w:val="1"/>
          <w:rtl w:val="0"/>
          <w:lang w:val="en-US"/>
        </w:rPr>
        <w:t>–</w:t>
      </w:r>
      <w:r>
        <w:rPr>
          <w:rFonts w:ascii="Arial" w:hAnsi="Arial"/>
          <w:b w:val="1"/>
          <w:bCs w:val="1"/>
          <w:rtl w:val="0"/>
          <w:lang w:val="en-US"/>
        </w:rPr>
        <w:t>Interest Matrix (1991)</w:t>
      </w:r>
      <w:r>
        <w:rPr>
          <w:rFonts w:ascii="Arial" w:hAnsi="Arial"/>
          <w:rtl w:val="0"/>
          <w:lang w:val="en-US"/>
        </w:rPr>
        <w:t xml:space="preserve">, and the </w:t>
      </w:r>
      <w:r>
        <w:rPr>
          <w:rFonts w:ascii="Arial" w:hAnsi="Arial"/>
          <w:b w:val="1"/>
          <w:bCs w:val="1"/>
          <w:rtl w:val="0"/>
          <w:lang w:val="en-US"/>
        </w:rPr>
        <w:t>RACI Matrix</w:t>
      </w:r>
      <w:r>
        <w:rPr>
          <w:rFonts w:ascii="Arial" w:hAnsi="Arial"/>
          <w:rtl w:val="0"/>
          <w:lang w:val="en-US"/>
        </w:rPr>
        <w:t>. It also evaluates communication strategies, conflict management approaches, and stakeholder engagement practices within an international retail environment.</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Furthermore, the report examines the benefits and challenges of sustainable stakeholder engagement and assesses its contribution to organisational performance and long-term business success. Finally, recommendations are provided to improve communication, employee engagement, stakeholder collaboration, and project governance. Overall, the report demonstrates that effective stakeholder engagement is essential for delivering the ConnectPlus project successfully while strengthening Marks &amp; Spencer's competitive position and supporting sustainable growth.</w:t>
      </w:r>
    </w:p>
    <w:p>
      <w:pPr>
        <w:pStyle w:val="Типовий"/>
        <w:suppressAutoHyphens w:val="1"/>
        <w:spacing w:before="0" w:after="240" w:line="360" w:lineRule="auto"/>
        <w:jc w:val="left"/>
        <w:rPr>
          <w:rFonts w:ascii="Arial" w:cs="Arial" w:hAnsi="Arial" w:eastAsia="Arial"/>
          <w:b w:val="1"/>
          <w:bCs w:val="1"/>
        </w:rPr>
      </w:pPr>
    </w:p>
    <w:p>
      <w:pPr>
        <w:pStyle w:val="Типовий"/>
        <w:suppressAutoHyphens w:val="1"/>
        <w:spacing w:before="0" w:after="322" w:line="360" w:lineRule="auto"/>
        <w:jc w:val="left"/>
        <w:rPr>
          <w:rFonts w:ascii="Arial" w:cs="Arial" w:hAnsi="Arial" w:eastAsia="Arial"/>
          <w:b w:val="1"/>
          <w:bCs w:val="1"/>
          <w:sz w:val="30"/>
          <w:szCs w:val="30"/>
        </w:rPr>
      </w:pPr>
      <w:r>
        <w:rPr>
          <w:rFonts w:ascii="Arial" w:hAnsi="Arial"/>
          <w:b w:val="1"/>
          <w:bCs w:val="1"/>
          <w:sz w:val="30"/>
          <w:szCs w:val="30"/>
          <w:rtl w:val="0"/>
          <w:lang w:val="en-US"/>
        </w:rPr>
        <w:t>1. Introduction</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Marks &amp; Spencer (M&amp;S) is one of the United Kingdom's leading multinational retailers, recognised for offering high-quality clothing, food, home, and beauty products. Established in </w:t>
      </w:r>
      <w:r>
        <w:rPr>
          <w:rFonts w:ascii="Arial" w:hAnsi="Arial"/>
          <w:b w:val="1"/>
          <w:bCs w:val="1"/>
          <w:rtl w:val="0"/>
          <w:lang w:val="en-US"/>
        </w:rPr>
        <w:t>1884</w:t>
      </w:r>
      <w:r>
        <w:rPr>
          <w:rFonts w:ascii="Arial" w:hAnsi="Arial"/>
          <w:rtl w:val="0"/>
          <w:lang w:val="en-US"/>
        </w:rPr>
        <w:t xml:space="preserve"> by Michael Marks and Thomas Spencer, the company has developed into a globally recognised retail organisation operating in more than 70 international markets. Through its extensive network of physical stores, online platforms, and franchise partnerships, M&amp;S serves millions of customers each year while continuing to invest in innovation and digital transformation to maintain its competitive position within the retail industry.The information presented about Marks &amp; Spencer is based on the company's Annual Report (Marks &amp; Spencer plc, 2025).</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As consumer expectations continue to evolve, retailers are increasingly adopting digital technologies to deliver personalised shopping experiences and strengthen customer relationships. For the purpose of this report, Marks &amp; Spencer is planning to introduce </w:t>
      </w:r>
      <w:r>
        <w:rPr>
          <w:rFonts w:ascii="Arial" w:hAnsi="Arial"/>
          <w:b w:val="1"/>
          <w:bCs w:val="1"/>
          <w:rtl w:val="0"/>
          <w:lang w:val="en-US"/>
        </w:rPr>
        <w:t>ConnectPlus</w:t>
      </w:r>
      <w:r>
        <w:rPr>
          <w:rFonts w:ascii="Arial" w:hAnsi="Arial"/>
          <w:rtl w:val="0"/>
          <w:lang w:val="en-US"/>
        </w:rPr>
        <w:t>, an Artificial Intelligence (AI)-powered customer engagement platform. The system is designed to enhance customer interactions through personalised product recommendations, real-time customer support, predictive analytics, and data-driven decision-making. The implementation of ConnectPlus supports the company's digital transformation strategy by improving operational efficiency and increasing customer loyalty across both domestic and international markets.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The successful implementation of ConnectPlus depends not only on technological capabilities but also on effective stakeholder engagement. </w:t>
      </w:r>
      <w:r>
        <w:rPr>
          <w:rFonts w:ascii="Arial" w:hAnsi="Arial"/>
          <w:b w:val="1"/>
          <w:bCs w:val="1"/>
          <w:rtl w:val="0"/>
          <w:lang w:val="en-US"/>
        </w:rPr>
        <w:t>Freeman's Stakeholder Theory (1984)</w:t>
      </w:r>
      <w:r>
        <w:rPr>
          <w:rFonts w:ascii="Arial" w:hAnsi="Arial"/>
          <w:rtl w:val="0"/>
          <w:lang w:val="en-US"/>
        </w:rPr>
        <w:t xml:space="preserve"> argues that organisations achieve sustainable success by considering the interests of all stakeholder groups rather than focusing solely on shareholders. Consequently, engaging stakeholders throughout the project lifecycle is essential for managing expectations, reducing resistance to change, and supporting informed decision-making.</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The aim of this report is to evaluate the role of stakeholder engagement in the successful implementation of the ConnectPlus project at Marks &amp; Spencer. The report identifies and analyses key internal and external stakeholders, applies recognised stakeholder management theories and project management frameworks, and evaluates how effective stakeholder engagement contributes to project success, organisational performance, and long-term business sustainability.</w:t>
      </w:r>
    </w:p>
    <w:p>
      <w:pPr>
        <w:pStyle w:val="Типовий"/>
        <w:suppressAutoHyphens w:val="1"/>
        <w:spacing w:before="0" w:after="322" w:line="360" w:lineRule="auto"/>
        <w:jc w:val="left"/>
        <w:rPr>
          <w:rFonts w:ascii="Arial" w:cs="Arial" w:hAnsi="Arial" w:eastAsia="Arial"/>
          <w:b w:val="1"/>
          <w:bCs w:val="1"/>
          <w:sz w:val="28"/>
          <w:szCs w:val="28"/>
        </w:rPr>
      </w:pPr>
      <w:r>
        <w:rPr>
          <w:rFonts w:ascii="Arial" w:hAnsi="Arial"/>
          <w:b w:val="1"/>
          <w:bCs w:val="1"/>
          <w:sz w:val="28"/>
          <w:szCs w:val="28"/>
          <w:rtl w:val="0"/>
          <w:lang w:val="en-US"/>
        </w:rPr>
        <w:t xml:space="preserve">2. SMART Project Objectives </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To ensure the successful implementation of ConnectPlus, Marks &amp; Spencer has established a set of objectives based on the </w:t>
      </w:r>
      <w:r>
        <w:rPr>
          <w:rFonts w:ascii="Arial" w:hAnsi="Arial"/>
          <w:b w:val="1"/>
          <w:bCs w:val="1"/>
          <w:rtl w:val="0"/>
          <w:lang w:val="en-US"/>
        </w:rPr>
        <w:t>SMART framework</w:t>
      </w:r>
      <w:r>
        <w:rPr>
          <w:rFonts w:ascii="Arial" w:hAnsi="Arial"/>
          <w:rtl w:val="0"/>
          <w:lang w:val="en-US"/>
        </w:rPr>
        <w:t xml:space="preserve"> developed by </w:t>
      </w:r>
      <w:r>
        <w:rPr>
          <w:rFonts w:ascii="Arial" w:hAnsi="Arial"/>
          <w:b w:val="1"/>
          <w:bCs w:val="1"/>
          <w:rtl w:val="0"/>
          <w:lang w:val="en-US"/>
        </w:rPr>
        <w:t>Doran (1981)</w:t>
      </w:r>
      <w:r>
        <w:rPr>
          <w:rFonts w:ascii="Arial" w:hAnsi="Arial"/>
          <w:rtl w:val="0"/>
          <w:lang w:val="en-US"/>
        </w:rPr>
        <w:t xml:space="preserve">. The SMART model states that project objectives should be </w:t>
      </w:r>
      <w:r>
        <w:rPr>
          <w:rFonts w:ascii="Arial" w:hAnsi="Arial"/>
          <w:b w:val="1"/>
          <w:bCs w:val="1"/>
          <w:rtl w:val="0"/>
          <w:lang w:val="en-US"/>
        </w:rPr>
        <w:t>Specific, Measurable, Achievable, Relevant, and Time-bound</w:t>
      </w:r>
      <w:r>
        <w:rPr>
          <w:rFonts w:ascii="Arial" w:hAnsi="Arial"/>
          <w:rtl w:val="0"/>
          <w:lang w:val="en-US"/>
        </w:rPr>
        <w:t>, providing a structured approach for planning and evaluating project performance.</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The primary objective is to launch the ConnectPlus platform across Marks &amp; Spencer's UK operations and selected international markets within six months. The project also aims to increase customer retention by </w:t>
      </w:r>
      <w:r>
        <w:rPr>
          <w:rFonts w:ascii="Arial" w:hAnsi="Arial"/>
          <w:b w:val="1"/>
          <w:bCs w:val="1"/>
          <w:rtl w:val="0"/>
          <w:lang w:val="en-US"/>
        </w:rPr>
        <w:t>20%</w:t>
      </w:r>
      <w:r>
        <w:rPr>
          <w:rFonts w:ascii="Arial" w:hAnsi="Arial"/>
          <w:rtl w:val="0"/>
          <w:lang w:val="en-US"/>
        </w:rPr>
        <w:t xml:space="preserve"> and improve online sales by </w:t>
      </w:r>
      <w:r>
        <w:rPr>
          <w:rFonts w:ascii="Arial" w:hAnsi="Arial"/>
          <w:b w:val="1"/>
          <w:bCs w:val="1"/>
          <w:rtl w:val="0"/>
          <w:lang w:val="en-US"/>
        </w:rPr>
        <w:t>15%</w:t>
      </w:r>
      <w:r>
        <w:rPr>
          <w:rFonts w:ascii="Arial" w:hAnsi="Arial"/>
          <w:rtl w:val="0"/>
          <w:lang w:val="en-US"/>
        </w:rPr>
        <w:t xml:space="preserve"> during the first year through AI-driven personalised recommendations. Furthermore, customer service response times are expected to decrease by </w:t>
      </w:r>
      <w:r>
        <w:rPr>
          <w:rFonts w:ascii="Arial" w:hAnsi="Arial"/>
          <w:b w:val="1"/>
          <w:bCs w:val="1"/>
          <w:rtl w:val="0"/>
          <w:lang w:val="en-US"/>
        </w:rPr>
        <w:t>30%</w:t>
      </w:r>
      <w:r>
        <w:rPr>
          <w:rFonts w:ascii="Arial" w:hAnsi="Arial"/>
          <w:rtl w:val="0"/>
          <w:lang w:val="en-US"/>
        </w:rPr>
        <w:t>, while full compliance with UK GDPR and international data protection regulations must be achieved before the platform is launched. Finally, all employees involved in the project will complete training programmes before implementation to ensure the effective adoption of the new technology and support long-term project success.</w:t>
      </w:r>
    </w:p>
    <w:p>
      <w:pPr>
        <w:pStyle w:val="Типовий"/>
        <w:suppressAutoHyphens w:val="1"/>
        <w:spacing w:before="0" w:after="322" w:line="360" w:lineRule="auto"/>
        <w:jc w:val="left"/>
        <w:rPr>
          <w:rFonts w:ascii="Arial" w:cs="Arial" w:hAnsi="Arial" w:eastAsia="Arial"/>
          <w:b w:val="1"/>
          <w:bCs w:val="1"/>
          <w:sz w:val="28"/>
          <w:szCs w:val="28"/>
        </w:rPr>
      </w:pPr>
      <w:r>
        <w:rPr>
          <w:rFonts w:ascii="Arial" w:hAnsi="Arial"/>
          <w:b w:val="1"/>
          <w:bCs w:val="1"/>
          <w:sz w:val="28"/>
          <w:szCs w:val="28"/>
          <w:rtl w:val="0"/>
          <w:lang w:val="en-US"/>
        </w:rPr>
        <w:t>3. Identification and Analysis of Stakeholders</w:t>
      </w:r>
    </w:p>
    <w:p>
      <w:pPr>
        <w:pStyle w:val="Типовий"/>
        <w:suppressAutoHyphens w:val="1"/>
        <w:spacing w:before="0" w:after="322" w:line="360" w:lineRule="auto"/>
        <w:jc w:val="left"/>
        <w:rPr>
          <w:rFonts w:ascii="Arial" w:cs="Arial" w:hAnsi="Arial" w:eastAsia="Arial"/>
          <w:b w:val="1"/>
          <w:bCs w:val="1"/>
        </w:rPr>
      </w:pPr>
      <w:r>
        <w:rPr>
          <w:rFonts w:ascii="Arial" w:hAnsi="Arial"/>
          <w:b w:val="1"/>
          <w:bCs w:val="1"/>
          <w:rtl w:val="0"/>
          <w:lang w:val="en-US"/>
        </w:rPr>
        <w:t>3.1 Identification of Internal and External Stakeholders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Stakeholder identification is a fundamental stage of project management because it enables organisations to recognise individuals and groups that can influence or be influenced by project activities. According to </w:t>
      </w:r>
      <w:r>
        <w:rPr>
          <w:rFonts w:ascii="Arial" w:hAnsi="Arial"/>
          <w:b w:val="1"/>
          <w:bCs w:val="1"/>
          <w:rtl w:val="0"/>
          <w:lang w:val="en-US"/>
        </w:rPr>
        <w:t>Freeman's Stakeholder Theory (1984)</w:t>
      </w:r>
      <w:r>
        <w:rPr>
          <w:rFonts w:ascii="Arial" w:hAnsi="Arial"/>
          <w:rtl w:val="0"/>
          <w:lang w:val="en-US"/>
        </w:rPr>
        <w:t>, stakeholders include any individual or organisation with an interest in achieving organisational objectives. Early stakeholder identification allows project managers to understand stakeholder expectations, assess potential risks, and develop appropriate engagement strategies.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For the ConnectPlus project, Marks &amp; Spencer has both internal and external stakeholders who contribute to project success. Internal stakeholders are directly responsible for planning, implementing, and managing the platform. These include the Executive Board, Project Manager, IT Department, Marketing Department, Customer Service Team, Human Resources, Finance Department, and Legal and Compliance Team. Each of these groups contributes specialist knowledge and resources that are essential for delivering the project successfully.</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External stakeholders include customers, technology vendors, suppliers, investors, shareholders, regulatory authorities, and business partners. Customers influence the project's success through their feedback and acceptance of the new platform, while technology vendors provide the technical expertise and AI solutions required for implementation. Regulatory authorities ensure compliance with legal and ethical standards, particularly regarding data protection and cybersecurity. Investors and shareholders expect the project to improve organisational performance and create long-term business value.</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Identifying these stakeholder groups enables Marks &amp; Spencer to understand their different expectations and levels of influence. This provides the foundation for selecting appropriate communication and engagement strategies throughout the project lifecycle.</w:t>
      </w:r>
    </w:p>
    <w:p>
      <w:pPr>
        <w:pStyle w:val="Типовий"/>
        <w:suppressAutoHyphens w:val="1"/>
        <w:spacing w:before="0" w:after="322" w:line="360" w:lineRule="auto"/>
        <w:jc w:val="left"/>
        <w:rPr>
          <w:rFonts w:ascii="Arial" w:cs="Arial" w:hAnsi="Arial" w:eastAsia="Arial"/>
          <w:b w:val="1"/>
          <w:bCs w:val="1"/>
          <w:sz w:val="28"/>
          <w:szCs w:val="28"/>
        </w:rPr>
      </w:pPr>
      <w:r>
        <w:rPr>
          <w:rFonts w:ascii="Arial" w:hAnsi="Arial"/>
          <w:b w:val="1"/>
          <w:bCs w:val="1"/>
          <w:sz w:val="28"/>
          <w:szCs w:val="28"/>
          <w:rtl w:val="0"/>
          <w:lang w:val="en-US"/>
        </w:rPr>
        <w:t>3.2 Stakeholder Analysis Using Mendelow's Power</w:t>
      </w:r>
      <w:r>
        <w:rPr>
          <w:rFonts w:ascii="Arial" w:hAnsi="Arial" w:hint="default"/>
          <w:b w:val="1"/>
          <w:bCs w:val="1"/>
          <w:sz w:val="28"/>
          <w:szCs w:val="28"/>
          <w:rtl w:val="0"/>
          <w:lang w:val="en-US"/>
        </w:rPr>
        <w:t>–</w:t>
      </w:r>
      <w:r>
        <w:rPr>
          <w:rFonts w:ascii="Arial" w:hAnsi="Arial"/>
          <w:b w:val="1"/>
          <w:bCs w:val="1"/>
          <w:sz w:val="28"/>
          <w:szCs w:val="28"/>
          <w:rtl w:val="0"/>
          <w:lang w:val="en-US"/>
        </w:rPr>
        <w:t xml:space="preserve">Interest Matrix </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After identifying the key stakeholders, it is important to evaluate their influence on the ConnectPlus project and determine the most appropriate engagement approach. </w:t>
      </w:r>
      <w:r>
        <w:rPr>
          <w:rFonts w:ascii="Arial" w:hAnsi="Arial"/>
          <w:b w:val="1"/>
          <w:bCs w:val="1"/>
          <w:rtl w:val="0"/>
          <w:lang w:val="en-US"/>
        </w:rPr>
        <w:t>Mendelow's Power</w:t>
      </w:r>
      <w:r>
        <w:rPr>
          <w:rFonts w:ascii="Arial" w:hAnsi="Arial" w:hint="default"/>
          <w:b w:val="1"/>
          <w:bCs w:val="1"/>
          <w:rtl w:val="0"/>
          <w:lang w:val="en-US"/>
        </w:rPr>
        <w:t>–</w:t>
      </w:r>
      <w:r>
        <w:rPr>
          <w:rFonts w:ascii="Arial" w:hAnsi="Arial"/>
          <w:b w:val="1"/>
          <w:bCs w:val="1"/>
          <w:rtl w:val="0"/>
          <w:lang w:val="en-US"/>
        </w:rPr>
        <w:t>Interest Matrix (1991)</w:t>
      </w:r>
      <w:r>
        <w:rPr>
          <w:rFonts w:ascii="Arial" w:hAnsi="Arial"/>
          <w:rtl w:val="0"/>
          <w:lang w:val="en-US"/>
        </w:rPr>
        <w:t xml:space="preserve"> is a widely used stakeholder management tool that classifies stakeholders according to their level of power over a project and their degree of interest in its outcomes. This framework enables project managers to prioritise stakeholder engagement activities and allocate communication resources more effectively.</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Within the ConnectPlus project, the </w:t>
      </w:r>
      <w:r>
        <w:rPr>
          <w:rFonts w:ascii="Arial" w:hAnsi="Arial"/>
          <w:b w:val="1"/>
          <w:bCs w:val="1"/>
          <w:rtl w:val="0"/>
          <w:lang w:val="en-US"/>
        </w:rPr>
        <w:t>Executive Board</w:t>
      </w:r>
      <w:r>
        <w:rPr>
          <w:rFonts w:ascii="Arial" w:hAnsi="Arial"/>
          <w:rtl w:val="0"/>
          <w:lang w:val="en-US"/>
        </w:rPr>
        <w:t xml:space="preserve">, </w:t>
      </w:r>
      <w:r>
        <w:rPr>
          <w:rFonts w:ascii="Arial" w:hAnsi="Arial"/>
          <w:b w:val="1"/>
          <w:bCs w:val="1"/>
          <w:rtl w:val="0"/>
          <w:lang w:val="en-US"/>
        </w:rPr>
        <w:t>Project Manager</w:t>
      </w:r>
      <w:r>
        <w:rPr>
          <w:rFonts w:ascii="Arial" w:hAnsi="Arial"/>
          <w:rtl w:val="0"/>
          <w:lang w:val="en-US"/>
        </w:rPr>
        <w:t xml:space="preserve">, and </w:t>
      </w:r>
      <w:r>
        <w:rPr>
          <w:rFonts w:ascii="Arial" w:hAnsi="Arial"/>
          <w:b w:val="1"/>
          <w:bCs w:val="1"/>
          <w:rtl w:val="0"/>
          <w:lang w:val="en-US"/>
        </w:rPr>
        <w:t>IT Department</w:t>
      </w:r>
      <w:r>
        <w:rPr>
          <w:rFonts w:ascii="Arial" w:hAnsi="Arial"/>
          <w:rtl w:val="0"/>
          <w:lang w:val="en-US"/>
        </w:rPr>
        <w:t xml:space="preserve"> are classified as stakeholders with </w:t>
      </w:r>
      <w:r>
        <w:rPr>
          <w:rFonts w:ascii="Arial" w:hAnsi="Arial"/>
          <w:b w:val="1"/>
          <w:bCs w:val="1"/>
          <w:rtl w:val="0"/>
          <w:lang w:val="en-US"/>
        </w:rPr>
        <w:t>high power and high interest</w:t>
      </w:r>
      <w:r>
        <w:rPr>
          <w:rFonts w:ascii="Arial" w:hAnsi="Arial"/>
          <w:rtl w:val="0"/>
          <w:lang w:val="en-US"/>
        </w:rPr>
        <w:t>. These stakeholders are responsible for strategic decision-making, resource allocation, and project delivery. Consequently, they should be managed closely through regular meetings, detailed progress reports, and active involvement in major project decisions.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Stakeholders with </w:t>
      </w:r>
      <w:r>
        <w:rPr>
          <w:rFonts w:ascii="Arial" w:hAnsi="Arial"/>
          <w:b w:val="1"/>
          <w:bCs w:val="1"/>
          <w:rtl w:val="0"/>
          <w:lang w:val="en-US"/>
        </w:rPr>
        <w:t>high power but lower interest</w:t>
      </w:r>
      <w:r>
        <w:rPr>
          <w:rFonts w:ascii="Arial" w:hAnsi="Arial"/>
          <w:rtl w:val="0"/>
          <w:lang w:val="en-US"/>
        </w:rPr>
        <w:t xml:space="preserve">, including </w:t>
      </w:r>
      <w:r>
        <w:rPr>
          <w:rFonts w:ascii="Arial" w:hAnsi="Arial"/>
          <w:b w:val="1"/>
          <w:bCs w:val="1"/>
          <w:rtl w:val="0"/>
          <w:lang w:val="en-US"/>
        </w:rPr>
        <w:t>investors, shareholders, and regulatory authorities</w:t>
      </w:r>
      <w:r>
        <w:rPr>
          <w:rFonts w:ascii="Arial" w:hAnsi="Arial"/>
          <w:rtl w:val="0"/>
          <w:lang w:val="en-US"/>
        </w:rPr>
        <w:t>, should be kept satisfied. Although they are not directly involved in the project's daily activities, they influence its success through financial investment, governance, and regulatory oversight. Providing regular financial updates, compliance reports, and project summaries helps maintain their confidence and support.</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Employees, marketing teams, customer service staff, and customers generally have </w:t>
      </w:r>
      <w:r>
        <w:rPr>
          <w:rFonts w:ascii="Arial" w:hAnsi="Arial"/>
          <w:b w:val="1"/>
          <w:bCs w:val="1"/>
          <w:rtl w:val="0"/>
          <w:lang w:val="en-US"/>
        </w:rPr>
        <w:t>high interest but lower power</w:t>
      </w:r>
      <w:r>
        <w:rPr>
          <w:rFonts w:ascii="Arial" w:hAnsi="Arial"/>
          <w:rtl w:val="0"/>
          <w:lang w:val="en-US"/>
        </w:rPr>
        <w:t>. These stakeholders should be kept informed through training programmes, workshops, surveys, and continuous feedback mechanisms. Their participation is particularly valuable because they influence customer adoption and the overall effectiveness of the ConnectPlus platform.</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Finally, stakeholders with </w:t>
      </w:r>
      <w:r>
        <w:rPr>
          <w:rFonts w:ascii="Arial" w:hAnsi="Arial"/>
          <w:b w:val="1"/>
          <w:bCs w:val="1"/>
          <w:rtl w:val="0"/>
          <w:lang w:val="en-US"/>
        </w:rPr>
        <w:t>low power and low interest</w:t>
      </w:r>
      <w:r>
        <w:rPr>
          <w:rFonts w:ascii="Arial" w:hAnsi="Arial"/>
          <w:rtl w:val="0"/>
          <w:lang w:val="en-US"/>
        </w:rPr>
        <w:t>, such as local communities and some business partners, require periodic communication to maintain positive relationships and support Marks &amp; Spencer's corporate reputation.</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Although Mendelow's model provides an effective method for stakeholder prioritisation, it does not consider that stakeholder influence and interests may change during the project lifecycle. Therefore, stakeholder analysis should be reviewed regularly to ensure that engagement strategies remain appropriate throughout the implementation of ConnectPlus.</w:t>
      </w:r>
    </w:p>
    <w:p>
      <w:pPr>
        <w:pStyle w:val="Типовий"/>
        <w:suppressAutoHyphens w:val="1"/>
        <w:spacing w:before="0" w:after="281" w:line="360" w:lineRule="auto"/>
        <w:jc w:val="left"/>
        <w:rPr>
          <w:rFonts w:ascii="Arial" w:cs="Arial" w:hAnsi="Arial" w:eastAsia="Arial"/>
          <w:b w:val="1"/>
          <w:bCs w:val="1"/>
        </w:rPr>
      </w:pPr>
      <w:r>
        <w:rPr>
          <w:rFonts w:ascii="Arial" w:hAnsi="Arial"/>
          <w:b w:val="1"/>
          <w:bCs w:val="1"/>
          <w:rtl w:val="0"/>
          <w:lang w:val="en-US"/>
        </w:rPr>
        <w:t>Figure 1. Mendelow's Power</w:t>
      </w:r>
      <w:r>
        <w:rPr>
          <w:rFonts w:ascii="Arial" w:hAnsi="Arial" w:hint="default"/>
          <w:b w:val="1"/>
          <w:bCs w:val="1"/>
          <w:rtl w:val="0"/>
          <w:lang w:val="en-US"/>
        </w:rPr>
        <w:t>–</w:t>
      </w:r>
      <w:r>
        <w:rPr>
          <w:rFonts w:ascii="Arial" w:hAnsi="Arial"/>
          <w:b w:val="1"/>
          <w:bCs w:val="1"/>
          <w:rtl w:val="0"/>
          <w:lang w:val="en-US"/>
        </w:rPr>
        <w:t>Interest Matrix</w:t>
      </w:r>
    </w:p>
    <w:tbl>
      <w:tblPr>
        <w:tblW w:w="759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e0e0e0"/>
        <w:tblLayout w:type="fixed"/>
      </w:tblPr>
      <w:tblGrid>
        <w:gridCol w:w="3168"/>
        <w:gridCol w:w="4430"/>
      </w:tblGrid>
      <w:tr>
        <w:tblPrEx>
          <w:shd w:val="clear" w:color="auto" w:fill="e0e0e0"/>
        </w:tblPrEx>
        <w:trPr>
          <w:trHeight w:val="409" w:hRule="atLeast"/>
        </w:trPr>
        <w:tc>
          <w:tcPr>
            <w:tcW w:type="dxa" w:w="316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High Power</w:t>
            </w:r>
          </w:p>
        </w:tc>
        <w:tc>
          <w:tcPr>
            <w:tcW w:type="dxa" w:w="442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Low Power</w:t>
            </w:r>
          </w:p>
        </w:tc>
      </w:tr>
      <w:tr>
        <w:tblPrEx>
          <w:shd w:val="clear" w:color="auto" w:fill="e0e0e0"/>
        </w:tblPrEx>
        <w:trPr>
          <w:trHeight w:val="1420" w:hRule="atLeast"/>
        </w:trPr>
        <w:tc>
          <w:tcPr>
            <w:tcW w:type="dxa" w:w="316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lang w:val="en-US"/>
                <w14:textOutline w14:w="12700" w14:cap="flat">
                  <w14:noFill/>
                  <w14:miter w14:lim="400000"/>
                </w14:textOutline>
                <w14:textFill>
                  <w14:solidFill>
                    <w14:srgbClr w14:val="000000"/>
                  </w14:solidFill>
                </w14:textFill>
              </w:rPr>
              <w:t>Manage Closely</w:t>
            </w:r>
          </w:p>
          <w:p>
            <w:pPr>
              <w:keepNext w:val="0"/>
              <w:keepLines w:val="0"/>
              <w:pageBreakBefore w:val="0"/>
              <w:widowControl w:val="1"/>
              <w:shd w:val="clear" w:color="auto" w:fill="auto"/>
              <w:suppressAutoHyphens w:val="1"/>
              <w:bidi w:val="0"/>
              <w:spacing w:before="0" w:after="0" w:line="240" w:lineRule="auto"/>
              <w:ind w:left="0" w:right="0" w:firstLine="0"/>
              <w:jc w:val="left"/>
              <w:outlineLvl w:val="0"/>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en-US"/>
                <w14:textOutline w14:w="12700" w14:cap="flat">
                  <w14:noFill/>
                  <w14:miter w14:lim="400000"/>
                </w14:textOutline>
                <w14:textFill>
                  <w14:solidFill>
                    <w14:srgbClr w14:val="000000"/>
                  </w14:solidFill>
                </w14:textFill>
              </w:rPr>
              <w:t>Executive Board</w:t>
            </w:r>
          </w:p>
          <w:p>
            <w:pPr>
              <w:keepNext w:val="0"/>
              <w:keepLines w:val="0"/>
              <w:pageBreakBefore w:val="0"/>
              <w:widowControl w:val="1"/>
              <w:shd w:val="clear" w:color="auto" w:fill="auto"/>
              <w:suppressAutoHyphens w:val="1"/>
              <w:bidi w:val="0"/>
              <w:spacing w:before="0" w:after="0" w:line="240" w:lineRule="auto"/>
              <w:ind w:left="0" w:right="0" w:firstLine="0"/>
              <w:jc w:val="left"/>
              <w:outlineLvl w:val="0"/>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en-US"/>
                <w14:textOutline w14:w="12700" w14:cap="flat">
                  <w14:noFill/>
                  <w14:miter w14:lim="400000"/>
                </w14:textOutline>
                <w14:textFill>
                  <w14:solidFill>
                    <w14:srgbClr w14:val="000000"/>
                  </w14:solidFill>
                </w14:textFill>
              </w:rPr>
              <w:t>Project Manager</w:t>
            </w:r>
          </w:p>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en-US"/>
                <w14:textOutline w14:w="12700" w14:cap="flat">
                  <w14:noFill/>
                  <w14:miter w14:lim="400000"/>
                </w14:textOutline>
                <w14:textFill>
                  <w14:solidFill>
                    <w14:srgbClr w14:val="000000"/>
                  </w14:solidFill>
                </w14:textFill>
              </w:rPr>
              <w:t>IT Department</w:t>
            </w:r>
          </w:p>
        </w:tc>
        <w:tc>
          <w:tcPr>
            <w:tcW w:type="dxa" w:w="442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f0f0f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lang w:val="en-US"/>
                <w14:textOutline w14:w="12700" w14:cap="flat">
                  <w14:noFill/>
                  <w14:miter w14:lim="400000"/>
                </w14:textOutline>
                <w14:textFill>
                  <w14:solidFill>
                    <w14:srgbClr w14:val="000000"/>
                  </w14:solidFill>
                </w14:textFill>
              </w:rPr>
              <w:t>Keep Informed</w:t>
            </w:r>
          </w:p>
          <w:p>
            <w:pPr>
              <w:keepNext w:val="0"/>
              <w:keepLines w:val="0"/>
              <w:pageBreakBefore w:val="0"/>
              <w:widowControl w:val="1"/>
              <w:shd w:val="clear" w:color="auto" w:fill="auto"/>
              <w:suppressAutoHyphens w:val="1"/>
              <w:bidi w:val="0"/>
              <w:spacing w:before="0" w:after="0" w:line="240" w:lineRule="auto"/>
              <w:ind w:left="0" w:right="0" w:firstLine="0"/>
              <w:jc w:val="left"/>
              <w:outlineLvl w:val="0"/>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en-US"/>
                <w14:textOutline w14:w="12700" w14:cap="flat">
                  <w14:noFill/>
                  <w14:miter w14:lim="400000"/>
                </w14:textOutline>
                <w14:textFill>
                  <w14:solidFill>
                    <w14:srgbClr w14:val="000000"/>
                  </w14:solidFill>
                </w14:textFill>
              </w:rPr>
              <w:t>Customers</w:t>
            </w:r>
          </w:p>
          <w:p>
            <w:pPr>
              <w:keepNext w:val="0"/>
              <w:keepLines w:val="0"/>
              <w:pageBreakBefore w:val="0"/>
              <w:widowControl w:val="1"/>
              <w:shd w:val="clear" w:color="auto" w:fill="auto"/>
              <w:suppressAutoHyphens w:val="1"/>
              <w:bidi w:val="0"/>
              <w:spacing w:before="0" w:after="0" w:line="240" w:lineRule="auto"/>
              <w:ind w:left="0" w:right="0" w:firstLine="0"/>
              <w:jc w:val="left"/>
              <w:outlineLvl w:val="0"/>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en-US"/>
                <w14:textOutline w14:w="12700" w14:cap="flat">
                  <w14:noFill/>
                  <w14:miter w14:lim="400000"/>
                </w14:textOutline>
                <w14:textFill>
                  <w14:solidFill>
                    <w14:srgbClr w14:val="000000"/>
                  </w14:solidFill>
                </w14:textFill>
              </w:rPr>
              <w:t>Marketing Team</w:t>
            </w:r>
          </w:p>
          <w:p>
            <w:pPr>
              <w:keepNext w:val="0"/>
              <w:keepLines w:val="0"/>
              <w:pageBreakBefore w:val="0"/>
              <w:widowControl w:val="1"/>
              <w:shd w:val="clear" w:color="auto" w:fill="auto"/>
              <w:suppressAutoHyphens w:val="1"/>
              <w:bidi w:val="0"/>
              <w:spacing w:before="0" w:after="0" w:line="240" w:lineRule="auto"/>
              <w:ind w:left="0" w:right="0" w:firstLine="0"/>
              <w:jc w:val="left"/>
              <w:outlineLvl w:val="0"/>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en-US"/>
                <w14:textOutline w14:w="12700" w14:cap="flat">
                  <w14:noFill/>
                  <w14:miter w14:lim="400000"/>
                </w14:textOutline>
                <w14:textFill>
                  <w14:solidFill>
                    <w14:srgbClr w14:val="000000"/>
                  </w14:solidFill>
                </w14:textFill>
              </w:rPr>
              <w:t>Customer Service</w:t>
            </w:r>
          </w:p>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en-US"/>
                <w14:textOutline w14:w="12700" w14:cap="flat">
                  <w14:noFill/>
                  <w14:miter w14:lim="400000"/>
                </w14:textOutline>
                <w14:textFill>
                  <w14:solidFill>
                    <w14:srgbClr w14:val="000000"/>
                  </w14:solidFill>
                </w14:textFill>
              </w:rPr>
              <w:t>Employees</w:t>
            </w:r>
          </w:p>
        </w:tc>
      </w:tr>
      <w:tr>
        <w:tblPrEx>
          <w:shd w:val="clear" w:color="auto" w:fill="e0e0e0"/>
        </w:tblPrEx>
        <w:trPr>
          <w:trHeight w:val="1140" w:hRule="atLeast"/>
        </w:trPr>
        <w:tc>
          <w:tcPr>
            <w:tcW w:type="dxa" w:w="316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lang w:val="en-US"/>
                <w14:textOutline w14:w="12700" w14:cap="flat">
                  <w14:noFill/>
                  <w14:miter w14:lim="400000"/>
                </w14:textOutline>
                <w14:textFill>
                  <w14:solidFill>
                    <w14:srgbClr w14:val="000000"/>
                  </w14:solidFill>
                </w14:textFill>
              </w:rPr>
              <w:t>Keep Satisfied</w:t>
            </w:r>
          </w:p>
          <w:p>
            <w:pPr>
              <w:keepNext w:val="0"/>
              <w:keepLines w:val="0"/>
              <w:pageBreakBefore w:val="0"/>
              <w:widowControl w:val="1"/>
              <w:shd w:val="clear" w:color="auto" w:fill="auto"/>
              <w:suppressAutoHyphens w:val="1"/>
              <w:bidi w:val="0"/>
              <w:spacing w:before="0" w:after="0" w:line="240" w:lineRule="auto"/>
              <w:ind w:left="0" w:right="0" w:firstLine="0"/>
              <w:jc w:val="left"/>
              <w:outlineLvl w:val="0"/>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Investors</w:t>
            </w:r>
          </w:p>
          <w:p>
            <w:pPr>
              <w:keepNext w:val="0"/>
              <w:keepLines w:val="0"/>
              <w:pageBreakBefore w:val="0"/>
              <w:widowControl w:val="1"/>
              <w:shd w:val="clear" w:color="auto" w:fill="auto"/>
              <w:suppressAutoHyphens w:val="1"/>
              <w:bidi w:val="0"/>
              <w:spacing w:before="0" w:after="0" w:line="240" w:lineRule="auto"/>
              <w:ind w:left="0" w:right="0" w:firstLine="0"/>
              <w:jc w:val="left"/>
              <w:outlineLvl w:val="0"/>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Shareholders</w:t>
            </w:r>
          </w:p>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en-US"/>
                <w14:textOutline w14:w="12700" w14:cap="flat">
                  <w14:noFill/>
                  <w14:miter w14:lim="400000"/>
                </w14:textOutline>
                <w14:textFill>
                  <w14:solidFill>
                    <w14:srgbClr w14:val="000000"/>
                  </w14:solidFill>
                </w14:textFill>
              </w:rPr>
              <w:t>Regulators</w:t>
            </w:r>
          </w:p>
        </w:tc>
        <w:tc>
          <w:tcPr>
            <w:tcW w:type="dxa" w:w="442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0e0e0"/>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Monitor</w:t>
            </w:r>
          </w:p>
          <w:p>
            <w:pPr>
              <w:keepNext w:val="0"/>
              <w:keepLines w:val="0"/>
              <w:pageBreakBefore w:val="0"/>
              <w:widowControl w:val="1"/>
              <w:shd w:val="clear" w:color="auto" w:fill="auto"/>
              <w:suppressAutoHyphens w:val="1"/>
              <w:bidi w:val="0"/>
              <w:spacing w:before="0" w:after="0" w:line="240" w:lineRule="auto"/>
              <w:ind w:left="0" w:right="0" w:firstLine="0"/>
              <w:jc w:val="left"/>
              <w:outlineLvl w:val="0"/>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en-US"/>
                <w14:textOutline w14:w="12700" w14:cap="flat">
                  <w14:noFill/>
                  <w14:miter w14:lim="400000"/>
                </w14:textOutline>
                <w14:textFill>
                  <w14:solidFill>
                    <w14:srgbClr w14:val="000000"/>
                  </w14:solidFill>
                </w14:textFill>
              </w:rPr>
              <w:t>Local Communities</w:t>
            </w:r>
          </w:p>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lang w:val="en-US"/>
                <w14:textOutline w14:w="12700" w14:cap="flat">
                  <w14:noFill/>
                  <w14:miter w14:lim="400000"/>
                </w14:textOutline>
                <w14:textFill>
                  <w14:solidFill>
                    <w14:srgbClr w14:val="000000"/>
                  </w14:solidFill>
                </w14:textFill>
              </w:rPr>
              <w:t>Some Business Partners</w:t>
            </w:r>
          </w:p>
        </w:tc>
      </w:tr>
    </w:tbl>
    <w:p>
      <w:pPr>
        <w:pStyle w:val="Типовий"/>
        <w:suppressAutoHyphens w:val="1"/>
        <w:spacing w:before="0" w:line="360" w:lineRule="auto"/>
        <w:jc w:val="left"/>
        <w:rPr>
          <w:rFonts w:ascii="Arial" w:cs="Arial" w:hAnsi="Arial" w:eastAsia="Arial"/>
        </w:rPr>
      </w:pPr>
    </w:p>
    <w:p>
      <w:pPr>
        <w:pStyle w:val="Типовий"/>
        <w:suppressAutoHyphens w:val="1"/>
        <w:spacing w:before="0" w:after="240" w:line="360" w:lineRule="auto"/>
        <w:jc w:val="left"/>
        <w:rPr>
          <w:rFonts w:ascii="Arial" w:cs="Arial" w:hAnsi="Arial" w:eastAsia="Arial"/>
          <w:b w:val="1"/>
          <w:bCs w:val="1"/>
        </w:rPr>
      </w:pPr>
    </w:p>
    <w:p>
      <w:pPr>
        <w:pStyle w:val="Типовий"/>
        <w:suppressAutoHyphens w:val="1"/>
        <w:spacing w:before="0" w:after="322" w:line="360" w:lineRule="auto"/>
        <w:jc w:val="left"/>
        <w:rPr>
          <w:rFonts w:ascii="Arial" w:cs="Arial" w:hAnsi="Arial" w:eastAsia="Arial"/>
          <w:b w:val="1"/>
          <w:bCs w:val="1"/>
          <w:sz w:val="28"/>
          <w:szCs w:val="28"/>
        </w:rPr>
      </w:pPr>
      <w:r>
        <w:rPr>
          <w:rFonts w:ascii="Arial" w:hAnsi="Arial"/>
          <w:b w:val="1"/>
          <w:bCs w:val="1"/>
          <w:sz w:val="28"/>
          <w:szCs w:val="28"/>
          <w:rtl w:val="0"/>
          <w:lang w:val="en-US"/>
        </w:rPr>
        <w:t>4. Roles and Responsibilities of Key Stakeholders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The successful implementation of the ConnectPlus project requires effective collaboration between a wide range of internal and external stakeholders. Clearly defining stakeholder roles and responsibilities is essential for improving accountability, facilitating communication, and ensuring that project activities are completed efficiently. According to the </w:t>
      </w:r>
      <w:r>
        <w:rPr>
          <w:rFonts w:ascii="Arial" w:hAnsi="Arial"/>
          <w:b w:val="1"/>
          <w:bCs w:val="1"/>
          <w:rtl w:val="0"/>
          <w:lang w:val="en-US"/>
        </w:rPr>
        <w:t>Project Management Institute (PMI, 2021)</w:t>
      </w:r>
      <w:r>
        <w:rPr>
          <w:rFonts w:ascii="Arial" w:hAnsi="Arial"/>
          <w:rtl w:val="0"/>
          <w:lang w:val="en-US"/>
        </w:rPr>
        <w:t xml:space="preserve">, assigning clear responsibilities helps organisations coordinate resources more effectively, minimise project risks, and achieve project objectives. One of the most commonly used tools for clarifying stakeholder responsibilities is the </w:t>
      </w:r>
      <w:r>
        <w:rPr>
          <w:rFonts w:ascii="Arial" w:hAnsi="Arial"/>
          <w:b w:val="1"/>
          <w:bCs w:val="1"/>
          <w:rtl w:val="0"/>
          <w:lang w:val="en-US"/>
        </w:rPr>
        <w:t>RACI Matrix</w:t>
      </w:r>
      <w:r>
        <w:rPr>
          <w:rFonts w:ascii="Arial" w:hAnsi="Arial"/>
          <w:rtl w:val="0"/>
          <w:lang w:val="en-US"/>
        </w:rPr>
        <w:t xml:space="preserve">, which identifies who is </w:t>
      </w:r>
      <w:r>
        <w:rPr>
          <w:rFonts w:ascii="Arial" w:hAnsi="Arial"/>
          <w:b w:val="1"/>
          <w:bCs w:val="1"/>
          <w:rtl w:val="0"/>
          <w:lang w:val="en-US"/>
        </w:rPr>
        <w:t>Responsible</w:t>
      </w:r>
      <w:r>
        <w:rPr>
          <w:rFonts w:ascii="Arial" w:hAnsi="Arial"/>
          <w:rtl w:val="0"/>
          <w:lang w:val="en-US"/>
        </w:rPr>
        <w:t xml:space="preserve">, </w:t>
      </w:r>
      <w:r>
        <w:rPr>
          <w:rFonts w:ascii="Arial" w:hAnsi="Arial"/>
          <w:b w:val="1"/>
          <w:bCs w:val="1"/>
          <w:rtl w:val="0"/>
          <w:lang w:val="en-US"/>
        </w:rPr>
        <w:t>Accountable</w:t>
      </w:r>
      <w:r>
        <w:rPr>
          <w:rFonts w:ascii="Arial" w:hAnsi="Arial"/>
          <w:rtl w:val="0"/>
          <w:lang w:val="en-US"/>
        </w:rPr>
        <w:t xml:space="preserve">, </w:t>
      </w:r>
      <w:r>
        <w:rPr>
          <w:rFonts w:ascii="Arial" w:hAnsi="Arial"/>
          <w:b w:val="1"/>
          <w:bCs w:val="1"/>
          <w:rtl w:val="0"/>
          <w:lang w:val="en-US"/>
        </w:rPr>
        <w:t>Consulted</w:t>
      </w:r>
      <w:r>
        <w:rPr>
          <w:rFonts w:ascii="Arial" w:hAnsi="Arial"/>
          <w:rtl w:val="0"/>
          <w:lang w:val="en-US"/>
        </w:rPr>
        <w:t xml:space="preserve">, and </w:t>
      </w:r>
      <w:r>
        <w:rPr>
          <w:rFonts w:ascii="Arial" w:hAnsi="Arial"/>
          <w:b w:val="1"/>
          <w:bCs w:val="1"/>
          <w:rtl w:val="0"/>
          <w:lang w:val="en-US"/>
        </w:rPr>
        <w:t>Informed</w:t>
      </w:r>
      <w:r>
        <w:rPr>
          <w:rFonts w:ascii="Arial" w:hAnsi="Arial"/>
          <w:rtl w:val="0"/>
          <w:lang w:val="en-US"/>
        </w:rPr>
        <w:t xml:space="preserve"> throughout the project lifecycle.</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The </w:t>
      </w:r>
      <w:r>
        <w:rPr>
          <w:rFonts w:ascii="Arial" w:hAnsi="Arial"/>
          <w:b w:val="1"/>
          <w:bCs w:val="1"/>
          <w:rtl w:val="0"/>
          <w:lang w:val="en-US"/>
        </w:rPr>
        <w:t>Executive Board</w:t>
      </w:r>
      <w:r>
        <w:rPr>
          <w:rFonts w:ascii="Arial" w:hAnsi="Arial"/>
          <w:rtl w:val="0"/>
          <w:lang w:val="en-US"/>
        </w:rPr>
        <w:t xml:space="preserve"> is responsible for providing strategic leadership and ensuring that the ConnectPlus project supports Marks &amp; Spencer's long-term business objectives. Senior executives approve the project budget, allocate organisational resources, and oversee overall project performance. They are also accountable for making key strategic decisions that may influence the project's direction.</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The </w:t>
      </w:r>
      <w:r>
        <w:rPr>
          <w:rFonts w:ascii="Arial" w:hAnsi="Arial"/>
          <w:b w:val="1"/>
          <w:bCs w:val="1"/>
          <w:rtl w:val="0"/>
          <w:lang w:val="en-US"/>
        </w:rPr>
        <w:t>Project Manager</w:t>
      </w:r>
      <w:r>
        <w:rPr>
          <w:rFonts w:ascii="Arial" w:hAnsi="Arial"/>
          <w:rtl w:val="0"/>
          <w:lang w:val="en-US"/>
        </w:rPr>
        <w:t xml:space="preserve"> is responsible for coordinating all aspects of the project, including planning, scheduling, resource management, risk control, and stakeholder communication. By monitoring project progress and resolving operational issues, the Project Manager ensures that ConnectPlus is delivered within the agreed timeframe, budget, and scope while maintaining effective collaboration between all stakeholder groups.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The </w:t>
      </w:r>
      <w:r>
        <w:rPr>
          <w:rFonts w:ascii="Arial" w:hAnsi="Arial"/>
          <w:b w:val="1"/>
          <w:bCs w:val="1"/>
          <w:rtl w:val="0"/>
          <w:lang w:val="en-US"/>
        </w:rPr>
        <w:t>IT Department</w:t>
      </w:r>
      <w:r>
        <w:rPr>
          <w:rFonts w:ascii="Arial" w:hAnsi="Arial"/>
          <w:rtl w:val="0"/>
          <w:lang w:val="en-US"/>
        </w:rPr>
        <w:t xml:space="preserve"> is responsible for designing, developing, testing, and maintaining the AI-powered platform. Working closely with external technology providers, the department ensures that ConnectPlus operates securely, integrates effectively with existing business systems, and complies with cybersecurity and data protection requirements. The </w:t>
      </w:r>
      <w:r>
        <w:rPr>
          <w:rFonts w:ascii="Arial" w:hAnsi="Arial"/>
          <w:b w:val="1"/>
          <w:bCs w:val="1"/>
          <w:rtl w:val="0"/>
          <w:lang w:val="en-US"/>
        </w:rPr>
        <w:t>Marketing Department</w:t>
      </w:r>
      <w:r>
        <w:rPr>
          <w:rFonts w:ascii="Arial" w:hAnsi="Arial"/>
          <w:rtl w:val="0"/>
          <w:lang w:val="en-US"/>
        </w:rPr>
        <w:t xml:space="preserve"> supports the project by developing promotional campaigns and customer engagement strategies that encourage platform adoption. Meanwhile, the </w:t>
      </w:r>
      <w:r>
        <w:rPr>
          <w:rFonts w:ascii="Arial" w:hAnsi="Arial"/>
          <w:b w:val="1"/>
          <w:bCs w:val="1"/>
          <w:rtl w:val="0"/>
          <w:lang w:val="en-US"/>
        </w:rPr>
        <w:t>Customer Service Team</w:t>
      </w:r>
      <w:r>
        <w:rPr>
          <w:rFonts w:ascii="Arial" w:hAnsi="Arial"/>
          <w:rtl w:val="0"/>
          <w:lang w:val="en-US"/>
        </w:rPr>
        <w:t xml:space="preserve"> provides ongoing support to users and collects customer feedback that contributes to future platform improvements.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The </w:t>
      </w:r>
      <w:r>
        <w:rPr>
          <w:rFonts w:ascii="Arial" w:hAnsi="Arial"/>
          <w:b w:val="1"/>
          <w:bCs w:val="1"/>
          <w:rtl w:val="0"/>
          <w:lang w:val="en-US"/>
        </w:rPr>
        <w:t>Human Resources Department</w:t>
      </w:r>
      <w:r>
        <w:rPr>
          <w:rFonts w:ascii="Arial" w:hAnsi="Arial"/>
          <w:rtl w:val="0"/>
          <w:lang w:val="en-US"/>
        </w:rPr>
        <w:t xml:space="preserve"> plays an important role in managing organisational change by coordinating employee training and developing the digital skills required to use the new platform effectively. This approach reflects </w:t>
      </w:r>
      <w:r>
        <w:rPr>
          <w:rFonts w:ascii="Arial" w:hAnsi="Arial"/>
          <w:b w:val="1"/>
          <w:bCs w:val="1"/>
          <w:rtl w:val="0"/>
          <w:lang w:val="en-US"/>
        </w:rPr>
        <w:t>Kotter's Eight-Step Change Model (1996)</w:t>
      </w:r>
      <w:r>
        <w:rPr>
          <w:rFonts w:ascii="Arial" w:hAnsi="Arial"/>
          <w:rtl w:val="0"/>
          <w:lang w:val="en-US"/>
        </w:rPr>
        <w:t xml:space="preserve">, which highlights the importance of communication, employee involvement, and continuous support during organisational transformation. In addition, the </w:t>
      </w:r>
      <w:r>
        <w:rPr>
          <w:rFonts w:ascii="Arial" w:hAnsi="Arial"/>
          <w:b w:val="1"/>
          <w:bCs w:val="1"/>
          <w:rtl w:val="0"/>
          <w:lang w:val="en-US"/>
        </w:rPr>
        <w:t>Finance Department</w:t>
      </w:r>
      <w:r>
        <w:rPr>
          <w:rFonts w:ascii="Arial" w:hAnsi="Arial"/>
          <w:rtl w:val="0"/>
          <w:lang w:val="en-US"/>
        </w:rPr>
        <w:t xml:space="preserve"> is responsible for controlling project expenditure and monitoring financial performance to ensure that resources are used efficiently.</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External stakeholders also influence the success of ConnectPlus. </w:t>
      </w:r>
      <w:r>
        <w:rPr>
          <w:rFonts w:ascii="Arial" w:hAnsi="Arial"/>
          <w:b w:val="1"/>
          <w:bCs w:val="1"/>
          <w:rtl w:val="0"/>
          <w:lang w:val="en-US"/>
        </w:rPr>
        <w:t>Customers</w:t>
      </w:r>
      <w:r>
        <w:rPr>
          <w:rFonts w:ascii="Arial" w:hAnsi="Arial"/>
          <w:rtl w:val="0"/>
          <w:lang w:val="en-US"/>
        </w:rPr>
        <w:t xml:space="preserve"> provide valuable feedback that supports continuous improvement, while </w:t>
      </w:r>
      <w:r>
        <w:rPr>
          <w:rFonts w:ascii="Arial" w:hAnsi="Arial"/>
          <w:b w:val="1"/>
          <w:bCs w:val="1"/>
          <w:rtl w:val="0"/>
          <w:lang w:val="en-US"/>
        </w:rPr>
        <w:t>technology vendors</w:t>
      </w:r>
      <w:r>
        <w:rPr>
          <w:rFonts w:ascii="Arial" w:hAnsi="Arial"/>
          <w:rtl w:val="0"/>
          <w:lang w:val="en-US"/>
        </w:rPr>
        <w:t xml:space="preserve"> contribute specialist knowledge and digital infrastructure. </w:t>
      </w:r>
      <w:r>
        <w:rPr>
          <w:rFonts w:ascii="Arial" w:hAnsi="Arial"/>
          <w:b w:val="1"/>
          <w:bCs w:val="1"/>
          <w:rtl w:val="0"/>
          <w:lang w:val="en-US"/>
        </w:rPr>
        <w:t>Investors and shareholders</w:t>
      </w:r>
      <w:r>
        <w:rPr>
          <w:rFonts w:ascii="Arial" w:hAnsi="Arial"/>
          <w:rtl w:val="0"/>
          <w:lang w:val="en-US"/>
        </w:rPr>
        <w:t xml:space="preserve"> expect the project to improve organisational performance and create long-term value, whereas </w:t>
      </w:r>
      <w:r>
        <w:rPr>
          <w:rFonts w:ascii="Arial" w:hAnsi="Arial"/>
          <w:b w:val="1"/>
          <w:bCs w:val="1"/>
          <w:rtl w:val="0"/>
          <w:lang w:val="en-US"/>
        </w:rPr>
        <w:t>government regulators</w:t>
      </w:r>
      <w:r>
        <w:rPr>
          <w:rFonts w:ascii="Arial" w:hAnsi="Arial"/>
          <w:rtl w:val="0"/>
          <w:lang w:val="en-US"/>
        </w:rPr>
        <w:t xml:space="preserve"> ensure that the project complies with legal, ethical, and data protection requirements.</w:t>
      </w:r>
    </w:p>
    <w:p>
      <w:pPr>
        <w:pStyle w:val="Типовий"/>
        <w:suppressAutoHyphens w:val="1"/>
        <w:spacing w:before="0" w:after="240" w:line="360" w:lineRule="auto"/>
        <w:jc w:val="left"/>
        <w:rPr>
          <w:rFonts w:ascii="Arial" w:cs="Arial" w:hAnsi="Arial" w:eastAsia="Arial"/>
          <w:b w:val="1"/>
          <w:bCs w:val="1"/>
        </w:rPr>
      </w:pPr>
      <w:r>
        <w:rPr>
          <w:rFonts w:ascii="Arial" w:hAnsi="Arial"/>
          <w:rtl w:val="0"/>
        </w:rPr>
        <w:t xml:space="preserve"> </w:t>
      </w:r>
      <w:r>
        <w:rPr>
          <w:rFonts w:ascii="Arial" w:hAnsi="Arial"/>
          <w:rtl w:val="0"/>
          <w:lang w:val="en-US"/>
        </w:rPr>
        <w:t>Although clearly assigning stakeholder responsibilities improves coordination and accountability, responsibilities may change as the project progresses. Consequently, Marks &amp; Spencer should regularly review stakeholder roles to ensure they remain aligned with project objectives and respond effectively to changing business and stakeholder requirements.</w:t>
      </w:r>
    </w:p>
    <w:p>
      <w:pPr>
        <w:pStyle w:val="Типовий"/>
        <w:suppressAutoHyphens w:val="1"/>
        <w:spacing w:before="0" w:after="281" w:line="360" w:lineRule="auto"/>
        <w:jc w:val="left"/>
        <w:rPr>
          <w:rFonts w:ascii="Arial" w:cs="Arial" w:hAnsi="Arial" w:eastAsia="Arial"/>
          <w:b w:val="1"/>
          <w:bCs w:val="1"/>
          <w:sz w:val="28"/>
          <w:szCs w:val="28"/>
        </w:rPr>
      </w:pPr>
      <w:r>
        <w:rPr>
          <w:rFonts w:ascii="Arial" w:hAnsi="Arial"/>
          <w:b w:val="1"/>
          <w:bCs w:val="1"/>
          <w:sz w:val="28"/>
          <w:szCs w:val="28"/>
          <w:rtl w:val="0"/>
          <w:lang w:val="en-US"/>
        </w:rPr>
        <w:t>Table 2. RACI Matrix for the ConnectPlus Project</w:t>
      </w:r>
    </w:p>
    <w:tbl>
      <w:tblPr>
        <w:tblW w:w="902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446"/>
        <w:gridCol w:w="1157"/>
        <w:gridCol w:w="1181"/>
        <w:gridCol w:w="1058"/>
        <w:gridCol w:w="1613"/>
        <w:gridCol w:w="1131"/>
        <w:gridCol w:w="1434"/>
      </w:tblGrid>
      <w:tr>
        <w:tblPrEx>
          <w:shd w:val="clear" w:color="auto" w:fill="cdd4e9"/>
        </w:tblPrEx>
        <w:trPr>
          <w:trHeight w:val="860" w:hRule="atLeast"/>
        </w:trPr>
        <w:tc>
          <w:tcPr>
            <w:tcW w:type="dxa" w:w="144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Project Activity</w:t>
            </w:r>
          </w:p>
        </w:tc>
        <w:tc>
          <w:tcPr>
            <w:tcW w:type="dxa" w:w="115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Executive Board</w:t>
            </w:r>
          </w:p>
        </w:tc>
        <w:tc>
          <w:tcPr>
            <w:tcW w:type="dxa" w:w="11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Project Manager</w:t>
            </w:r>
          </w:p>
        </w:tc>
        <w:tc>
          <w:tcPr>
            <w:tcW w:type="dxa" w:w="105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IT Department</w:t>
            </w:r>
          </w:p>
        </w:tc>
        <w:tc>
          <w:tcPr>
            <w:tcW w:type="dxa" w:w="16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Marketing Department</w:t>
            </w:r>
          </w:p>
        </w:tc>
        <w:tc>
          <w:tcPr>
            <w:tcW w:type="dxa" w:w="11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HR Department</w:t>
            </w:r>
          </w:p>
        </w:tc>
        <w:tc>
          <w:tcPr>
            <w:tcW w:type="dxa" w:w="143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center"/>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Legal &amp; Compliance</w:t>
            </w:r>
          </w:p>
        </w:tc>
      </w:tr>
      <w:tr>
        <w:tblPrEx>
          <w:shd w:val="clear" w:color="auto" w:fill="cdd4e9"/>
        </w:tblPrEx>
        <w:trPr>
          <w:trHeight w:val="580" w:hRule="atLeast"/>
        </w:trPr>
        <w:tc>
          <w:tcPr>
            <w:tcW w:type="dxa" w:w="144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Project approval</w:t>
            </w:r>
          </w:p>
        </w:tc>
        <w:tc>
          <w:tcPr>
            <w:tcW w:type="dxa" w:w="115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A</w:t>
            </w:r>
          </w:p>
        </w:tc>
        <w:tc>
          <w:tcPr>
            <w:tcW w:type="dxa" w:w="11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R</w:t>
            </w:r>
          </w:p>
        </w:tc>
        <w:tc>
          <w:tcPr>
            <w:tcW w:type="dxa" w:w="105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6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1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43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C</w:t>
            </w:r>
          </w:p>
        </w:tc>
      </w:tr>
      <w:tr>
        <w:tblPrEx>
          <w:shd w:val="clear" w:color="auto" w:fill="cdd4e9"/>
        </w:tblPrEx>
        <w:trPr>
          <w:trHeight w:val="580" w:hRule="atLeast"/>
        </w:trPr>
        <w:tc>
          <w:tcPr>
            <w:tcW w:type="dxa" w:w="144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Budget allocation</w:t>
            </w:r>
          </w:p>
        </w:tc>
        <w:tc>
          <w:tcPr>
            <w:tcW w:type="dxa" w:w="115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A</w:t>
            </w:r>
          </w:p>
        </w:tc>
        <w:tc>
          <w:tcPr>
            <w:tcW w:type="dxa" w:w="11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R</w:t>
            </w:r>
          </w:p>
        </w:tc>
        <w:tc>
          <w:tcPr>
            <w:tcW w:type="dxa" w:w="105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6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1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43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C</w:t>
            </w:r>
          </w:p>
        </w:tc>
      </w:tr>
      <w:tr>
        <w:tblPrEx>
          <w:shd w:val="clear" w:color="auto" w:fill="cdd4e9"/>
        </w:tblPrEx>
        <w:trPr>
          <w:trHeight w:val="693" w:hRule="atLeast"/>
        </w:trPr>
        <w:tc>
          <w:tcPr>
            <w:tcW w:type="dxa" w:w="144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Platform development</w:t>
            </w:r>
          </w:p>
        </w:tc>
        <w:tc>
          <w:tcPr>
            <w:tcW w:type="dxa" w:w="115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1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A</w:t>
            </w:r>
          </w:p>
        </w:tc>
        <w:tc>
          <w:tcPr>
            <w:tcW w:type="dxa" w:w="105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R</w:t>
            </w:r>
          </w:p>
        </w:tc>
        <w:tc>
          <w:tcPr>
            <w:tcW w:type="dxa" w:w="16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C</w:t>
            </w:r>
          </w:p>
        </w:tc>
        <w:tc>
          <w:tcPr>
            <w:tcW w:type="dxa" w:w="11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43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C</w:t>
            </w:r>
          </w:p>
        </w:tc>
      </w:tr>
      <w:tr>
        <w:tblPrEx>
          <w:shd w:val="clear" w:color="auto" w:fill="cdd4e9"/>
        </w:tblPrEx>
        <w:trPr>
          <w:trHeight w:val="580" w:hRule="atLeast"/>
        </w:trPr>
        <w:tc>
          <w:tcPr>
            <w:tcW w:type="dxa" w:w="144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AI system testing</w:t>
            </w:r>
          </w:p>
        </w:tc>
        <w:tc>
          <w:tcPr>
            <w:tcW w:type="dxa" w:w="115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1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A</w:t>
            </w:r>
          </w:p>
        </w:tc>
        <w:tc>
          <w:tcPr>
            <w:tcW w:type="dxa" w:w="105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R</w:t>
            </w:r>
          </w:p>
        </w:tc>
        <w:tc>
          <w:tcPr>
            <w:tcW w:type="dxa" w:w="16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1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43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C</w:t>
            </w:r>
          </w:p>
        </w:tc>
      </w:tr>
      <w:tr>
        <w:tblPrEx>
          <w:shd w:val="clear" w:color="auto" w:fill="cdd4e9"/>
        </w:tblPrEx>
        <w:trPr>
          <w:trHeight w:val="580" w:hRule="atLeast"/>
        </w:trPr>
        <w:tc>
          <w:tcPr>
            <w:tcW w:type="dxa" w:w="144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Employee training</w:t>
            </w:r>
          </w:p>
        </w:tc>
        <w:tc>
          <w:tcPr>
            <w:tcW w:type="dxa" w:w="115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1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A</w:t>
            </w:r>
          </w:p>
        </w:tc>
        <w:tc>
          <w:tcPr>
            <w:tcW w:type="dxa" w:w="105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C</w:t>
            </w:r>
          </w:p>
        </w:tc>
        <w:tc>
          <w:tcPr>
            <w:tcW w:type="dxa" w:w="16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1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R</w:t>
            </w:r>
          </w:p>
        </w:tc>
        <w:tc>
          <w:tcPr>
            <w:tcW w:type="dxa" w:w="143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r>
      <w:tr>
        <w:tblPrEx>
          <w:shd w:val="clear" w:color="auto" w:fill="cdd4e9"/>
        </w:tblPrEx>
        <w:trPr>
          <w:trHeight w:val="580" w:hRule="atLeast"/>
        </w:trPr>
        <w:tc>
          <w:tcPr>
            <w:tcW w:type="dxa" w:w="144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Marketing campaign</w:t>
            </w:r>
          </w:p>
        </w:tc>
        <w:tc>
          <w:tcPr>
            <w:tcW w:type="dxa" w:w="115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1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A</w:t>
            </w:r>
          </w:p>
        </w:tc>
        <w:tc>
          <w:tcPr>
            <w:tcW w:type="dxa" w:w="105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C</w:t>
            </w:r>
          </w:p>
        </w:tc>
        <w:tc>
          <w:tcPr>
            <w:tcW w:type="dxa" w:w="16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R</w:t>
            </w:r>
          </w:p>
        </w:tc>
        <w:tc>
          <w:tcPr>
            <w:tcW w:type="dxa" w:w="11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43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r>
      <w:tr>
        <w:tblPrEx>
          <w:shd w:val="clear" w:color="auto" w:fill="cdd4e9"/>
        </w:tblPrEx>
        <w:trPr>
          <w:trHeight w:val="580" w:hRule="atLeast"/>
        </w:trPr>
        <w:tc>
          <w:tcPr>
            <w:tcW w:type="dxa" w:w="144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GDPR compliance</w:t>
            </w:r>
          </w:p>
        </w:tc>
        <w:tc>
          <w:tcPr>
            <w:tcW w:type="dxa" w:w="115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1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A</w:t>
            </w:r>
          </w:p>
        </w:tc>
        <w:tc>
          <w:tcPr>
            <w:tcW w:type="dxa" w:w="105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C</w:t>
            </w:r>
          </w:p>
        </w:tc>
        <w:tc>
          <w:tcPr>
            <w:tcW w:type="dxa" w:w="16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1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43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R</w:t>
            </w:r>
          </w:p>
        </w:tc>
      </w:tr>
      <w:tr>
        <w:tblPrEx>
          <w:shd w:val="clear" w:color="auto" w:fill="cdd4e9"/>
        </w:tblPrEx>
        <w:trPr>
          <w:trHeight w:val="580" w:hRule="atLeast"/>
        </w:trPr>
        <w:tc>
          <w:tcPr>
            <w:tcW w:type="dxa" w:w="144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Platform launch</w:t>
            </w:r>
          </w:p>
        </w:tc>
        <w:tc>
          <w:tcPr>
            <w:tcW w:type="dxa" w:w="115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A</w:t>
            </w:r>
          </w:p>
        </w:tc>
        <w:tc>
          <w:tcPr>
            <w:tcW w:type="dxa" w:w="11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R</w:t>
            </w:r>
          </w:p>
        </w:tc>
        <w:tc>
          <w:tcPr>
            <w:tcW w:type="dxa" w:w="105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R</w:t>
            </w:r>
          </w:p>
        </w:tc>
        <w:tc>
          <w:tcPr>
            <w:tcW w:type="dxa" w:w="16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R</w:t>
            </w:r>
          </w:p>
        </w:tc>
        <w:tc>
          <w:tcPr>
            <w:tcW w:type="dxa" w:w="11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C</w:t>
            </w:r>
          </w:p>
        </w:tc>
        <w:tc>
          <w:tcPr>
            <w:tcW w:type="dxa" w:w="143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C</w:t>
            </w:r>
          </w:p>
        </w:tc>
      </w:tr>
      <w:tr>
        <w:tblPrEx>
          <w:shd w:val="clear" w:color="auto" w:fill="cdd4e9"/>
        </w:tblPrEx>
        <w:trPr>
          <w:trHeight w:val="580" w:hRule="atLeast"/>
        </w:trPr>
        <w:tc>
          <w:tcPr>
            <w:tcW w:type="dxa" w:w="1446"/>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Project monitoring</w:t>
            </w:r>
          </w:p>
        </w:tc>
        <w:tc>
          <w:tcPr>
            <w:tcW w:type="dxa" w:w="115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A</w:t>
            </w:r>
          </w:p>
        </w:tc>
        <w:tc>
          <w:tcPr>
            <w:tcW w:type="dxa" w:w="118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1"/>
                <w:bCs w:val="1"/>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R</w:t>
            </w:r>
          </w:p>
        </w:tc>
        <w:tc>
          <w:tcPr>
            <w:tcW w:type="dxa" w:w="105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C</w:t>
            </w:r>
          </w:p>
        </w:tc>
        <w:tc>
          <w:tcPr>
            <w:tcW w:type="dxa" w:w="16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C</w:t>
            </w:r>
          </w:p>
        </w:tc>
        <w:tc>
          <w:tcPr>
            <w:tcW w:type="dxa" w:w="11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c>
          <w:tcPr>
            <w:tcW w:type="dxa" w:w="143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20"/>
              <w:left w:type="dxa" w:w="20"/>
              <w:bottom w:type="dxa" w:w="20"/>
              <w:right w:type="dxa" w:w="20"/>
            </w:tcMar>
            <w:vAlign w:val="center"/>
          </w:tcPr>
          <w:p>
            <w:pPr>
              <w:keepNext w:val="0"/>
              <w:keepLines w:val="0"/>
              <w:pageBreakBefore w:val="0"/>
              <w:widowControl w:val="1"/>
              <w:shd w:val="clear" w:color="auto" w:fill="auto"/>
              <w:suppressAutoHyphens w:val="1"/>
              <w:bidi w:val="0"/>
              <w:spacing w:before="0" w:after="0" w:line="240" w:lineRule="auto"/>
              <w:ind w:left="0" w:right="0" w:firstLine="0"/>
              <w:jc w:val="left"/>
              <w:outlineLvl w:val="0"/>
              <w:rPr>
                <w:rtl w:val="0"/>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w="12700" w14:cap="flat">
                  <w14:noFill/>
                  <w14:miter w14:lim="400000"/>
                </w14:textOutline>
                <w14:textFill>
                  <w14:solidFill>
                    <w14:srgbClr w14:val="000000"/>
                  </w14:solidFill>
                </w14:textFill>
              </w:rPr>
              <w:t>I</w:t>
            </w:r>
          </w:p>
        </w:tc>
      </w:tr>
    </w:tbl>
    <w:p>
      <w:pPr>
        <w:pStyle w:val="Типовий"/>
        <w:suppressAutoHyphens w:val="1"/>
        <w:spacing w:before="0" w:line="360" w:lineRule="auto"/>
        <w:jc w:val="left"/>
        <w:rPr>
          <w:rFonts w:ascii="Arial" w:cs="Arial" w:hAnsi="Arial" w:eastAsia="Arial"/>
        </w:rPr>
      </w:pPr>
    </w:p>
    <w:p>
      <w:pPr>
        <w:pStyle w:val="Типовий"/>
        <w:suppressAutoHyphens w:val="1"/>
        <w:spacing w:before="0" w:line="360" w:lineRule="auto"/>
        <w:jc w:val="left"/>
        <w:rPr>
          <w:rFonts w:ascii="Arial" w:cs="Arial" w:hAnsi="Arial" w:eastAsia="Arial"/>
        </w:rPr>
      </w:pPr>
    </w:p>
    <w:p>
      <w:pPr>
        <w:pStyle w:val="Типовий"/>
        <w:suppressAutoHyphens w:val="1"/>
        <w:spacing w:before="0" w:after="240" w:line="360" w:lineRule="auto"/>
        <w:jc w:val="left"/>
        <w:rPr>
          <w:rFonts w:ascii="Arial" w:cs="Arial" w:hAnsi="Arial" w:eastAsia="Arial"/>
          <w:b w:val="1"/>
          <w:bCs w:val="1"/>
        </w:rPr>
      </w:pPr>
    </w:p>
    <w:p>
      <w:pPr>
        <w:pStyle w:val="Типовий"/>
        <w:suppressAutoHyphens w:val="1"/>
        <w:spacing w:before="0" w:after="240" w:line="360" w:lineRule="auto"/>
        <w:jc w:val="left"/>
        <w:rPr>
          <w:rFonts w:ascii="Arial" w:cs="Arial" w:hAnsi="Arial" w:eastAsia="Arial"/>
          <w:b w:val="0"/>
          <w:bCs w:val="0"/>
        </w:rPr>
      </w:pPr>
      <w:r>
        <w:rPr>
          <w:rFonts w:ascii="Arial" w:hAnsi="Arial"/>
          <w:b w:val="1"/>
          <w:bCs w:val="1"/>
          <w:rtl w:val="0"/>
          <w:lang w:val="en-US"/>
        </w:rPr>
        <w:t>Key:</w:t>
      </w:r>
    </w:p>
    <w:p>
      <w:pPr>
        <w:pStyle w:val="Типовий"/>
        <w:numPr>
          <w:ilvl w:val="0"/>
          <w:numId w:val="2"/>
        </w:numPr>
        <w:suppressAutoHyphens w:val="1"/>
        <w:spacing w:before="0" w:line="360" w:lineRule="auto"/>
        <w:rPr>
          <w:rFonts w:ascii="Arial" w:hAnsi="Arial"/>
          <w:lang w:val="en-US"/>
        </w:rPr>
      </w:pPr>
      <w:r>
        <w:rPr>
          <w:rFonts w:ascii="Arial" w:hAnsi="Arial"/>
          <w:b w:val="1"/>
          <w:bCs w:val="1"/>
          <w:rtl w:val="0"/>
          <w:lang w:val="en-US"/>
        </w:rPr>
        <w:t>R (Responsible)</w:t>
      </w:r>
      <w:r>
        <w:rPr>
          <w:rFonts w:ascii="Arial" w:hAnsi="Arial" w:hint="default"/>
          <w:rtl w:val="0"/>
          <w:lang w:val="en-US"/>
        </w:rPr>
        <w:t xml:space="preserve"> – </w:t>
      </w:r>
      <w:r>
        <w:rPr>
          <w:rFonts w:ascii="Arial" w:hAnsi="Arial"/>
          <w:rtl w:val="0"/>
          <w:lang w:val="en-US"/>
        </w:rPr>
        <w:t>Performs the work.</w:t>
      </w:r>
    </w:p>
    <w:p>
      <w:pPr>
        <w:pStyle w:val="Типовий"/>
        <w:numPr>
          <w:ilvl w:val="0"/>
          <w:numId w:val="2"/>
        </w:numPr>
        <w:suppressAutoHyphens w:val="1"/>
        <w:spacing w:before="0" w:line="360" w:lineRule="auto"/>
        <w:rPr>
          <w:rFonts w:ascii="Arial" w:hAnsi="Arial"/>
          <w:lang w:val="en-US"/>
        </w:rPr>
      </w:pPr>
      <w:r>
        <w:rPr>
          <w:rFonts w:ascii="Arial" w:hAnsi="Arial"/>
          <w:b w:val="1"/>
          <w:bCs w:val="1"/>
          <w:rtl w:val="0"/>
          <w:lang w:val="en-US"/>
        </w:rPr>
        <w:t>A (Accountable)</w:t>
      </w:r>
      <w:r>
        <w:rPr>
          <w:rFonts w:ascii="Arial" w:hAnsi="Arial" w:hint="default"/>
          <w:rtl w:val="0"/>
          <w:lang w:val="en-US"/>
        </w:rPr>
        <w:t xml:space="preserve"> – </w:t>
      </w:r>
      <w:r>
        <w:rPr>
          <w:rFonts w:ascii="Arial" w:hAnsi="Arial"/>
          <w:rtl w:val="0"/>
          <w:lang w:val="en-US"/>
        </w:rPr>
        <w:t>Has overall responsibility and approves decisions.</w:t>
      </w:r>
    </w:p>
    <w:p>
      <w:pPr>
        <w:pStyle w:val="Типовий"/>
        <w:numPr>
          <w:ilvl w:val="0"/>
          <w:numId w:val="2"/>
        </w:numPr>
        <w:suppressAutoHyphens w:val="1"/>
        <w:spacing w:before="0" w:line="360" w:lineRule="auto"/>
        <w:rPr>
          <w:rFonts w:ascii="Arial" w:hAnsi="Arial"/>
          <w:lang w:val="en-US"/>
        </w:rPr>
      </w:pPr>
      <w:r>
        <w:rPr>
          <w:rFonts w:ascii="Arial" w:hAnsi="Arial"/>
          <w:b w:val="1"/>
          <w:bCs w:val="1"/>
          <w:rtl w:val="0"/>
          <w:lang w:val="en-US"/>
        </w:rPr>
        <w:t>C (Consulted)</w:t>
      </w:r>
      <w:r>
        <w:rPr>
          <w:rFonts w:ascii="Arial" w:hAnsi="Arial" w:hint="default"/>
          <w:rtl w:val="0"/>
          <w:lang w:val="en-US"/>
        </w:rPr>
        <w:t xml:space="preserve"> – </w:t>
      </w:r>
      <w:r>
        <w:rPr>
          <w:rFonts w:ascii="Arial" w:hAnsi="Arial"/>
          <w:rtl w:val="0"/>
          <w:lang w:val="en-US"/>
        </w:rPr>
        <w:t>Provides advice or specialist expertise.</w:t>
      </w:r>
    </w:p>
    <w:p>
      <w:pPr>
        <w:pStyle w:val="Типовий"/>
        <w:numPr>
          <w:ilvl w:val="0"/>
          <w:numId w:val="2"/>
        </w:numPr>
        <w:suppressAutoHyphens w:val="1"/>
        <w:spacing w:before="0" w:line="360" w:lineRule="auto"/>
        <w:rPr>
          <w:rFonts w:ascii="Arial" w:hAnsi="Arial"/>
          <w:lang w:val="en-US"/>
        </w:rPr>
      </w:pPr>
      <w:r>
        <w:rPr>
          <w:rFonts w:ascii="Arial" w:hAnsi="Arial"/>
          <w:b w:val="1"/>
          <w:bCs w:val="1"/>
          <w:rtl w:val="0"/>
          <w:lang w:val="en-US"/>
        </w:rPr>
        <w:t>I (Informed)</w:t>
      </w:r>
      <w:r>
        <w:rPr>
          <w:rFonts w:ascii="Arial" w:hAnsi="Arial" w:hint="default"/>
          <w:rtl w:val="0"/>
          <w:lang w:val="en-US"/>
        </w:rPr>
        <w:t xml:space="preserve"> – </w:t>
      </w:r>
      <w:r>
        <w:rPr>
          <w:rFonts w:ascii="Arial" w:hAnsi="Arial"/>
          <w:rtl w:val="0"/>
          <w:lang w:val="en-US"/>
        </w:rPr>
        <w:t>Receives updates on project progress.</w:t>
      </w:r>
    </w:p>
    <w:p>
      <w:pPr>
        <w:pStyle w:val="Типовий"/>
        <w:suppressAutoHyphens w:val="1"/>
        <w:spacing w:before="0" w:line="360" w:lineRule="auto"/>
        <w:rPr>
          <w:rFonts w:ascii="Arial" w:cs="Arial" w:hAnsi="Arial" w:eastAsia="Arial"/>
        </w:rPr>
      </w:pPr>
    </w:p>
    <w:p>
      <w:pPr>
        <w:pStyle w:val="Типовий"/>
        <w:suppressAutoHyphens w:val="1"/>
        <w:spacing w:before="0" w:line="360" w:lineRule="auto"/>
        <w:jc w:val="left"/>
        <w:rPr>
          <w:rFonts w:ascii="Arial" w:cs="Arial" w:hAnsi="Arial" w:eastAsia="Arial"/>
        </w:rPr>
      </w:pPr>
      <w:r>
        <w:rPr>
          <w:rFonts w:ascii="Arial" w:hAnsi="Arial"/>
          <w:rtl w:val="0"/>
        </w:rPr>
        <w:t xml:space="preserve"> </w:t>
      </w:r>
      <w:r>
        <w:rPr>
          <w:rFonts w:ascii="Arial" w:hAnsi="Arial"/>
          <w:b w:val="1"/>
          <w:bCs w:val="1"/>
          <w:rtl w:val="0"/>
          <w:lang w:val="en-US"/>
        </w:rPr>
        <w:t>Table 2</w:t>
      </w:r>
      <w:r>
        <w:rPr>
          <w:rFonts w:ascii="Arial" w:hAnsi="Arial"/>
          <w:rtl w:val="0"/>
          <w:lang w:val="en-US"/>
        </w:rPr>
        <w:t xml:space="preserve"> demonstrates that responsibility for the ConnectPlus project is distributed across multiple stakeholder groups. The RACI Matrix helps clarify decision-making authority, minimise role ambiguity, and improve coordination between departments. However, because stakeholder responsibilities may evolve during the project lifecycle, the matrix should be reviewed regularly to ensure it remains aligned with project objectives and organisational priorities.</w:t>
      </w:r>
    </w:p>
    <w:p>
      <w:pPr>
        <w:pStyle w:val="Типовий"/>
        <w:suppressAutoHyphens w:val="1"/>
        <w:spacing w:before="0" w:line="360" w:lineRule="auto"/>
        <w:jc w:val="left"/>
        <w:rPr>
          <w:rFonts w:ascii="Arial" w:cs="Arial" w:hAnsi="Arial" w:eastAsia="Arial"/>
        </w:rPr>
      </w:pPr>
    </w:p>
    <w:p>
      <w:pPr>
        <w:pStyle w:val="Типовий"/>
        <w:suppressAutoHyphens w:val="1"/>
        <w:spacing w:before="0" w:after="322" w:line="360" w:lineRule="auto"/>
        <w:jc w:val="left"/>
        <w:rPr>
          <w:rFonts w:ascii="Arial" w:cs="Arial" w:hAnsi="Arial" w:eastAsia="Arial"/>
          <w:b w:val="1"/>
          <w:bCs w:val="1"/>
          <w:sz w:val="28"/>
          <w:szCs w:val="28"/>
        </w:rPr>
      </w:pPr>
      <w:r>
        <w:rPr>
          <w:rFonts w:ascii="Arial" w:hAnsi="Arial"/>
          <w:b w:val="1"/>
          <w:bCs w:val="1"/>
          <w:sz w:val="28"/>
          <w:szCs w:val="28"/>
          <w:rtl w:val="0"/>
          <w:lang w:val="en-US"/>
        </w:rPr>
        <w:t>5. Stakeholder Engagement Strategy</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Effective stakeholder engagement is fundamental to the successful implementation of the ConnectPlus project at Marks &amp; Spencer. As a large international retailer, the company must manage relationships with stakeholders who possess different levels of influence, expectations, and interests. According to </w:t>
      </w:r>
      <w:r>
        <w:rPr>
          <w:rFonts w:ascii="Arial" w:hAnsi="Arial"/>
          <w:b w:val="1"/>
          <w:bCs w:val="1"/>
          <w:rtl w:val="0"/>
          <w:lang w:val="en-US"/>
        </w:rPr>
        <w:t>Freeman's Stakeholder Theory (1984)</w:t>
      </w:r>
      <w:r>
        <w:rPr>
          <w:rFonts w:ascii="Arial" w:hAnsi="Arial"/>
          <w:rtl w:val="0"/>
          <w:lang w:val="en-US"/>
        </w:rPr>
        <w:t>, organisations create long-term value by considering the interests of all stakeholder groups rather than focusing solely on shareholders. Therefore, stakeholder engagement should be integrated throughout the entire project lifecycle, from planning and implementation to evaluation and continuous improvement.</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To achieve successful stakeholder engagement, Marks &amp; Spencer should adopt structured communication, encourage stakeholder participation in decision-making, and continuously monitor stakeholder expectations. Applying recognised stakeholder management theories and communication frameworks enables the organisation to minimise resistance to change, strengthen collaboration, and improve project performance. The following sections discuss the key stakeholder engagement strategies, communication approaches, conflict management techniques, and international considerations that support the successful implementation of ConnectPlus.</w:t>
      </w:r>
    </w:p>
    <w:p>
      <w:pPr>
        <w:pStyle w:val="Типовий"/>
        <w:suppressAutoHyphens w:val="1"/>
        <w:spacing w:before="0" w:after="281" w:line="360" w:lineRule="auto"/>
        <w:jc w:val="left"/>
        <w:rPr>
          <w:rFonts w:ascii="Arial" w:cs="Arial" w:hAnsi="Arial" w:eastAsia="Arial"/>
          <w:b w:val="1"/>
          <w:bCs w:val="1"/>
          <w:sz w:val="28"/>
          <w:szCs w:val="28"/>
        </w:rPr>
      </w:pPr>
      <w:r>
        <w:rPr>
          <w:rFonts w:ascii="Arial" w:hAnsi="Arial"/>
          <w:b w:val="1"/>
          <w:bCs w:val="1"/>
          <w:sz w:val="28"/>
          <w:szCs w:val="28"/>
          <w:rtl w:val="0"/>
          <w:lang w:val="en-US"/>
        </w:rPr>
        <w:t>5.1 Stakeholder Engagement Strategy</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An effective stakeholder engagement strategy is fundamental to the successful delivery of the ConnectPlus project at Marks &amp; Spencer. Stakeholder engagement refers to the process of building and maintaining constructive relationships with individuals and organisations that can influence, or are influenced by, the project. </w:t>
      </w:r>
      <w:r>
        <w:rPr>
          <w:rFonts w:ascii="Arial" w:hAnsi="Arial"/>
          <w:b w:val="1"/>
          <w:bCs w:val="1"/>
          <w:rtl w:val="0"/>
          <w:lang w:val="en-US"/>
        </w:rPr>
        <w:t>Freeman's Stakeholder Theory (1984)</w:t>
      </w:r>
      <w:r>
        <w:rPr>
          <w:rFonts w:ascii="Arial" w:hAnsi="Arial"/>
          <w:rtl w:val="0"/>
          <w:lang w:val="en-US"/>
        </w:rPr>
        <w:t xml:space="preserve"> argues that long-term organisational success depends on creating value for all stakeholder groups rather than focusing exclusively on shareholders. Therefore, stakeholder engagement should be integrated into every stage of the project to support both successful implementation and sustainable organisational growth.</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The </w:t>
      </w:r>
      <w:r>
        <w:rPr>
          <w:rFonts w:ascii="Arial" w:hAnsi="Arial"/>
          <w:b w:val="1"/>
          <w:bCs w:val="1"/>
          <w:rtl w:val="0"/>
          <w:lang w:val="en-US"/>
        </w:rPr>
        <w:t>Project Management Institute (PMI, 2021)</w:t>
      </w:r>
      <w:r>
        <w:rPr>
          <w:rFonts w:ascii="Arial" w:hAnsi="Arial"/>
          <w:rtl w:val="0"/>
          <w:lang w:val="en-US"/>
        </w:rPr>
        <w:t xml:space="preserve"> highlights that stakeholder engagement is an ongoing activity that should continue throughout the entire project lifecycle. Maintaining regular communication and consultation enables project managers to identify stakeholder concerns, manage changing expectations, and minimise the risk of conflict or resistance. Furthermore, involving stakeholders in key decisions promotes transparency, strengthens trust, and encourages greater collaboration.</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Within the ConnectPlus project, Marks &amp; Spencer should adopt tailored engagement approaches for different stakeholder groups. Senior leaders should participate in strategic planning sessions and project governance activities to provide direction and oversight. Employees should receive continuous training and development opportunities to build the skills required to work effectively with AI-enabled technologies. Customers should be actively involved through surveys, pilot programmes, digital feedback platforms, and user testing to support the continuous improvement of the system. Meanwhile, investors and regulatory authorities should be kept informed through regular progress reports, financial updates, and compliance reviews.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By implementing a structured and flexible stakeholder engagement strategy, Marks &amp; Spencer can strengthen stakeholder confidence, improve collaboration between internal and external parties, and increase the likelihood of delivering the ConnectPlus project successfully while supporting long-term organisational objectives.</w:t>
      </w:r>
    </w:p>
    <w:p>
      <w:pPr>
        <w:pStyle w:val="Типовий"/>
        <w:suppressAutoHyphens w:val="1"/>
        <w:spacing w:before="0" w:after="299" w:line="360" w:lineRule="auto"/>
        <w:jc w:val="left"/>
        <w:rPr>
          <w:rFonts w:ascii="Arial" w:cs="Arial" w:hAnsi="Arial" w:eastAsia="Arial"/>
          <w:b w:val="1"/>
          <w:bCs w:val="1"/>
          <w:sz w:val="28"/>
          <w:szCs w:val="28"/>
        </w:rPr>
      </w:pPr>
    </w:p>
    <w:p>
      <w:pPr>
        <w:pStyle w:val="Типовий"/>
        <w:suppressAutoHyphens w:val="1"/>
        <w:spacing w:before="0" w:after="299" w:line="360" w:lineRule="auto"/>
        <w:jc w:val="left"/>
        <w:rPr>
          <w:rFonts w:ascii="Arial" w:cs="Arial" w:hAnsi="Arial" w:eastAsia="Arial"/>
          <w:b w:val="1"/>
          <w:bCs w:val="1"/>
          <w:sz w:val="28"/>
          <w:szCs w:val="28"/>
        </w:rPr>
      </w:pPr>
      <w:r>
        <w:rPr>
          <w:rFonts w:ascii="Arial" w:hAnsi="Arial"/>
          <w:b w:val="1"/>
          <w:bCs w:val="1"/>
          <w:sz w:val="28"/>
          <w:szCs w:val="28"/>
          <w:rtl w:val="0"/>
          <w:lang w:val="en-US"/>
        </w:rPr>
        <w:t>5.2 Communication Plan</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A well-designed communication plan is fundamental to effective stakeholder engagement and the successful delivery of the ConnectPlus project. Effective communication enables stakeholders to receive relevant, accurate, and timely information, helping them understand project objectives, monitor progress, and participate in decision-making processes. </w:t>
      </w:r>
      <w:r>
        <w:rPr>
          <w:rFonts w:ascii="Arial" w:hAnsi="Arial"/>
          <w:b w:val="1"/>
          <w:bCs w:val="1"/>
          <w:rtl w:val="0"/>
          <w:lang w:val="en-US"/>
        </w:rPr>
        <w:t>Shannon and Weaver's Communication Model (1949)</w:t>
      </w:r>
      <w:r>
        <w:rPr>
          <w:rFonts w:ascii="Arial" w:hAnsi="Arial"/>
          <w:rtl w:val="0"/>
          <w:lang w:val="en-US"/>
        </w:rPr>
        <w:t xml:space="preserve"> suggests that communication is most effective when information is transmitted clearly and potential barriers, or "noise", are minimised. Applying this model can improve information flow and strengthen relationships between stakeholders.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For the ConnectPlus project, Marks &amp; Spencer should tailor communication methods to the needs of different stakeholder groups. The </w:t>
      </w:r>
      <w:r>
        <w:rPr>
          <w:rFonts w:ascii="Arial" w:hAnsi="Arial"/>
          <w:b w:val="1"/>
          <w:bCs w:val="1"/>
          <w:rtl w:val="0"/>
          <w:lang w:val="en-US"/>
        </w:rPr>
        <w:t>Executive Board</w:t>
      </w:r>
      <w:r>
        <w:rPr>
          <w:rFonts w:ascii="Arial" w:hAnsi="Arial"/>
          <w:rtl w:val="0"/>
          <w:lang w:val="en-US"/>
        </w:rPr>
        <w:t xml:space="preserve"> and </w:t>
      </w:r>
      <w:r>
        <w:rPr>
          <w:rFonts w:ascii="Arial" w:hAnsi="Arial"/>
          <w:b w:val="1"/>
          <w:bCs w:val="1"/>
          <w:rtl w:val="0"/>
          <w:lang w:val="en-US"/>
        </w:rPr>
        <w:t>Project Manager</w:t>
      </w:r>
      <w:r>
        <w:rPr>
          <w:rFonts w:ascii="Arial" w:hAnsi="Arial"/>
          <w:rtl w:val="0"/>
          <w:lang w:val="en-US"/>
        </w:rPr>
        <w:t xml:space="preserve"> should receive regular progress reports and participate in project review meetings to support strategic planning and informed decision-making. Employees should be kept informed through training sessions, workshops, team meetings, and internal communication platforms to facilitate the adoption of the new AI system. Customers should be engaged through surveys, email campaigns, social media, and customer service channels, enabling the organisation to gather valuable feedback and improve the platform. In addition, investors and regulatory authorities should receive periodic reports on project performance, financial outcomes, and regulatory compliance.</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By implementing an effective communication plan, Marks &amp; Spencer can promote transparency, encourage stakeholder participation, and reduce the likelihood of misunderstandings. This approach supports stronger stakeholder relationships and contributes to the successful implementation of the ConnectPlus project</w:t>
      </w:r>
      <w:r>
        <w:rPr>
          <w:rFonts w:ascii="Arial" w:hAnsi="Arial"/>
          <w:rtl w:val="0"/>
        </w:rPr>
        <w:t>.</w:t>
      </w:r>
    </w:p>
    <w:p>
      <w:pPr>
        <w:pStyle w:val="Типовий"/>
        <w:suppressAutoHyphens w:val="1"/>
        <w:spacing w:before="0" w:after="299" w:line="360" w:lineRule="auto"/>
        <w:jc w:val="left"/>
        <w:rPr>
          <w:rFonts w:ascii="Arial" w:cs="Arial" w:hAnsi="Arial" w:eastAsia="Arial"/>
          <w:b w:val="1"/>
          <w:bCs w:val="1"/>
          <w:sz w:val="28"/>
          <w:szCs w:val="28"/>
        </w:rPr>
      </w:pPr>
      <w:r>
        <w:rPr>
          <w:rFonts w:ascii="Arial" w:hAnsi="Arial"/>
          <w:b w:val="1"/>
          <w:bCs w:val="1"/>
          <w:sz w:val="28"/>
          <w:szCs w:val="28"/>
          <w:rtl w:val="0"/>
          <w:lang w:val="en-US"/>
        </w:rPr>
        <w:t>5.3 Managing Conflict and Stakeholder Expectations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Managing stakeholder expectations is a critical aspect of project management, particularly in large-scale digital transformation projects such as ConnectPlus. Stakeholders often have different priorities, objectives, and levels of influence, which may result in disagreements during the project lifecycle. According to the </w:t>
      </w:r>
      <w:r>
        <w:rPr>
          <w:rFonts w:ascii="Arial" w:hAnsi="Arial"/>
          <w:b w:val="1"/>
          <w:bCs w:val="1"/>
          <w:rtl w:val="0"/>
          <w:lang w:val="en-US"/>
        </w:rPr>
        <w:t>Thomas</w:t>
      </w:r>
      <w:r>
        <w:rPr>
          <w:rFonts w:ascii="Arial" w:hAnsi="Arial" w:hint="default"/>
          <w:b w:val="1"/>
          <w:bCs w:val="1"/>
          <w:rtl w:val="0"/>
          <w:lang w:val="en-US"/>
        </w:rPr>
        <w:t>–</w:t>
      </w:r>
      <w:r>
        <w:rPr>
          <w:rFonts w:ascii="Arial" w:hAnsi="Arial"/>
          <w:b w:val="1"/>
          <w:bCs w:val="1"/>
          <w:rtl w:val="0"/>
          <w:lang w:val="en-US"/>
        </w:rPr>
        <w:t>Kilmann Conflict Mode Instrument (Thomas and Kilmann, 1974)</w:t>
      </w:r>
      <w:r>
        <w:rPr>
          <w:rFonts w:ascii="Arial" w:hAnsi="Arial"/>
          <w:rtl w:val="0"/>
          <w:lang w:val="en-US"/>
        </w:rPr>
        <w:t>, conflicts can be managed through five approaches: competing, accommodating, avoiding, compromising, and collaborating. Among these approaches, collaboration is considered the most appropriate for projects involving multiple stakeholder groups because it encourages open communication and the development of mutually beneficial solutions.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For the ConnectPlus project, Marks &amp; Spencer should establish regular meetings and feedback sessions to identify stakeholder concerns at an early stage. Employees should be encouraged to discuss challenges associated with adopting AI technologies, while customers should have opportunities to share their experiences through surveys and digital support channels. Addressing concerns promptly can reduce resistance to change and improve stakeholder confidence.</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In addition, </w:t>
      </w:r>
      <w:r>
        <w:rPr>
          <w:rFonts w:ascii="Arial" w:hAnsi="Arial"/>
          <w:b w:val="1"/>
          <w:bCs w:val="1"/>
          <w:rtl w:val="0"/>
          <w:lang w:val="en-US"/>
        </w:rPr>
        <w:t>Kotter's Eight-Step Change Model (1996)</w:t>
      </w:r>
      <w:r>
        <w:rPr>
          <w:rFonts w:ascii="Arial" w:hAnsi="Arial"/>
          <w:rtl w:val="0"/>
          <w:lang w:val="en-US"/>
        </w:rPr>
        <w:t xml:space="preserve"> highlights the importance of communicating a clear vision and involving employees throughout organisational change. Applying this approach will help Marks &amp; Spencer encourage stakeholder commitment, minimise conflict, and support the successful implementation of the ConnectPlus platform.</w:t>
      </w:r>
    </w:p>
    <w:p>
      <w:pPr>
        <w:pStyle w:val="Типовий"/>
        <w:suppressAutoHyphens w:val="1"/>
        <w:spacing w:before="0" w:after="240" w:line="360" w:lineRule="auto"/>
        <w:jc w:val="left"/>
        <w:rPr>
          <w:rFonts w:ascii="Arial" w:cs="Arial" w:hAnsi="Arial" w:eastAsia="Arial"/>
        </w:rPr>
      </w:pPr>
    </w:p>
    <w:p>
      <w:pPr>
        <w:pStyle w:val="Типовий"/>
        <w:suppressAutoHyphens w:val="1"/>
        <w:spacing w:before="0" w:after="299" w:line="360" w:lineRule="auto"/>
        <w:jc w:val="left"/>
        <w:rPr>
          <w:rFonts w:ascii="Arial" w:cs="Arial" w:hAnsi="Arial" w:eastAsia="Arial"/>
          <w:b w:val="1"/>
          <w:bCs w:val="1"/>
          <w:sz w:val="28"/>
          <w:szCs w:val="28"/>
        </w:rPr>
      </w:pPr>
      <w:r>
        <w:rPr>
          <w:rFonts w:ascii="Arial" w:hAnsi="Arial"/>
          <w:b w:val="1"/>
          <w:bCs w:val="1"/>
          <w:sz w:val="28"/>
          <w:szCs w:val="28"/>
          <w:rtl w:val="0"/>
          <w:lang w:val="en-US"/>
        </w:rPr>
        <w:t>5.4 Stakeholder Engagement in International Markets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As a multinational retailer, Marks &amp; Spencer operates across a diverse range of international markets, making stakeholder engagement more complex. Differences in culture, legal systems, and business practices influence how stakeholders communicate and participate in projects. </w:t>
      </w:r>
      <w:r>
        <w:rPr>
          <w:rFonts w:ascii="Arial" w:hAnsi="Arial"/>
          <w:b w:val="1"/>
          <w:bCs w:val="1"/>
          <w:rtl w:val="0"/>
          <w:lang w:val="en-US"/>
        </w:rPr>
        <w:t>Hofstede's Cultural Dimensions Theory (1980)</w:t>
      </w:r>
      <w:r>
        <w:rPr>
          <w:rFonts w:ascii="Arial" w:hAnsi="Arial"/>
          <w:rtl w:val="0"/>
          <w:lang w:val="en-US"/>
        </w:rPr>
        <w:t xml:space="preserve"> suggests that cultural values affect communication styles, leadership preferences, and decision-making processes. Therefore, organisations should adapt their engagement strategies to meet the expectations of stakeholders in different countries.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For the ConnectPlus project, effective stakeholder engagement requires collaboration with international customers, suppliers, technology providers, and regulatory authorities. Communication should be tailored to local languages and cultural preferences to improve understanding and encourage stakeholder participation. In addition, the organisation must ensure compliance with national regulations relating to data protection, consumer rights, and digital technologies to reduce legal risks and maintain stakeholder confidence.</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Digital communication tools, including video conferencing, collaboration platforms, and online feedback systems, can facilitate communication between geographically dispersed stakeholders. Regular monitoring of stakeholder feedback also enables Marks &amp; Spencer to identify emerging issues and respond quickly to changing expectations.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Overall, adopting a flexible stakeholder engagement approach across international markets strengthens stakeholder relationships, supports effective project implementation, and contributes to the long-term success of the ConnectPlus platform.</w:t>
      </w:r>
    </w:p>
    <w:p>
      <w:pPr>
        <w:pStyle w:val="Типовий"/>
        <w:suppressAutoHyphens w:val="1"/>
        <w:spacing w:before="0" w:after="322" w:line="360" w:lineRule="auto"/>
        <w:jc w:val="left"/>
        <w:rPr>
          <w:rFonts w:ascii="Arial" w:cs="Arial" w:hAnsi="Arial" w:eastAsia="Arial"/>
          <w:b w:val="1"/>
          <w:bCs w:val="1"/>
          <w:sz w:val="28"/>
          <w:szCs w:val="28"/>
        </w:rPr>
      </w:pPr>
      <w:r>
        <w:rPr>
          <w:rFonts w:ascii="Arial" w:hAnsi="Arial"/>
          <w:b w:val="1"/>
          <w:bCs w:val="1"/>
          <w:sz w:val="28"/>
          <w:szCs w:val="28"/>
          <w:rtl w:val="0"/>
          <w:lang w:val="en-US"/>
        </w:rPr>
        <w:t>6. Impact of Sustainable Stakeholder Engagement on Business Performance</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Sustainable stakeholder engagement is widely recognised as a key driver of organisational performance and long-term business success. In today's competitive retail environment, organisations must build and maintain strong relationships with stakeholders to improve decision-making, encourage innovation, and support sustainable growth. According to </w:t>
      </w:r>
      <w:r>
        <w:rPr>
          <w:rFonts w:ascii="Arial" w:hAnsi="Arial"/>
          <w:b w:val="1"/>
          <w:bCs w:val="1"/>
          <w:rtl w:val="0"/>
          <w:lang w:val="en-US"/>
        </w:rPr>
        <w:t>Freeman's Stakeholder Theory (1984)</w:t>
      </w:r>
      <w:r>
        <w:rPr>
          <w:rFonts w:ascii="Arial" w:hAnsi="Arial"/>
          <w:rtl w:val="0"/>
          <w:lang w:val="en-US"/>
        </w:rPr>
        <w:t xml:space="preserve">, organisations that effectively balance the interests of different stakeholder groups are more likely to achieve strategic objectives and create long-term value. Similarly, the </w:t>
      </w:r>
      <w:r>
        <w:rPr>
          <w:rFonts w:ascii="Arial" w:hAnsi="Arial"/>
          <w:b w:val="1"/>
          <w:bCs w:val="1"/>
          <w:rtl w:val="0"/>
          <w:lang w:val="en-US"/>
        </w:rPr>
        <w:t>Project Management Institute (PMI, 2021)</w:t>
      </w:r>
      <w:r>
        <w:rPr>
          <w:rFonts w:ascii="Arial" w:hAnsi="Arial"/>
          <w:rtl w:val="0"/>
          <w:lang w:val="en-US"/>
        </w:rPr>
        <w:t xml:space="preserve"> emphasises that continuous stakeholder engagement contributes to improved project performance by reducing risks, strengthening collaboration, and increasing stakeholder commitment.</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For the ConnectPlus project, sustainable stakeholder engagement is expected to improve customer satisfaction, enhance employee commitment, support regulatory compliance, and strengthen relationships with investors and business partners. However, organisations must also address challenges such as conflicting stakeholder expectations, cultural differences, and changing market conditions. Therefore, this section evaluates both the benefits and challenges of sustainable stakeholder engagement and examines how effective stakeholder management contributes to the long-term business performance of Marks &amp; Spencer.</w:t>
      </w:r>
    </w:p>
    <w:p>
      <w:pPr>
        <w:pStyle w:val="Типовий"/>
        <w:suppressAutoHyphens w:val="1"/>
        <w:spacing w:before="0" w:after="240" w:line="360" w:lineRule="auto"/>
        <w:jc w:val="left"/>
        <w:rPr>
          <w:rFonts w:ascii="Arial" w:cs="Arial" w:hAnsi="Arial" w:eastAsia="Arial"/>
        </w:rPr>
      </w:pPr>
    </w:p>
    <w:p>
      <w:pPr>
        <w:pStyle w:val="Типовий"/>
        <w:suppressAutoHyphens w:val="1"/>
        <w:spacing w:before="0" w:after="299" w:line="360" w:lineRule="auto"/>
        <w:jc w:val="left"/>
        <w:rPr>
          <w:rFonts w:ascii="Arial" w:cs="Arial" w:hAnsi="Arial" w:eastAsia="Arial"/>
          <w:b w:val="1"/>
          <w:bCs w:val="1"/>
          <w:sz w:val="28"/>
          <w:szCs w:val="28"/>
        </w:rPr>
      </w:pPr>
      <w:r>
        <w:rPr>
          <w:rFonts w:ascii="Arial" w:hAnsi="Arial"/>
          <w:b w:val="1"/>
          <w:bCs w:val="1"/>
          <w:sz w:val="28"/>
          <w:szCs w:val="28"/>
          <w:rtl w:val="0"/>
          <w:lang w:val="en-US"/>
        </w:rPr>
        <w:t>6.1 Benefits of Sustainable Stakeholder Engagement</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Sustainable stakeholder engagement plays a vital role in enhancing organisational performance and supporting long-term business success. According to </w:t>
      </w:r>
      <w:r>
        <w:rPr>
          <w:rFonts w:ascii="Arial" w:hAnsi="Arial"/>
          <w:b w:val="1"/>
          <w:bCs w:val="1"/>
          <w:rtl w:val="0"/>
          <w:lang w:val="en-US"/>
        </w:rPr>
        <w:t>Freeman's Stakeholder Theory (1984)</w:t>
      </w:r>
      <w:r>
        <w:rPr>
          <w:rFonts w:ascii="Arial" w:hAnsi="Arial"/>
          <w:rtl w:val="0"/>
          <w:lang w:val="en-US"/>
        </w:rPr>
        <w:t>, organisations that actively engage with their stakeholders are more likely to achieve sustainable competitive advantage by creating value for both the business and its stakeholders. Strong stakeholder relationships improve trust, encourage collaboration, and support more effective decision-making throughout the project lifecycle.</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For the ConnectPlus project, continuous stakeholder engagement enables Marks &amp; Spencer to better understand customer needs and expectations. Regular customer feedback can be used to improve the platform's functionality, personalise shopping experiences, and strengthen customer loyalty. In addition, involving employees in the implementation process through training and consultation increases their confidence in using AI technologies and reduces resistance to organisational change.</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Sustainable engagement also benefits relationships with investors, suppliers, and regulatory authorities by promoting transparency and accountability. Open communication and regular performance reporting help maintain stakeholder confidence while reducing potential project risks. Consequently, effective stakeholder engagement contributes not only to the successful implementation of ConnectPlus but also to improved organisational performance, stronger stakeholder relationships, and enhanced long-term competitiveness.</w:t>
      </w:r>
    </w:p>
    <w:p>
      <w:pPr>
        <w:pStyle w:val="Типовий"/>
        <w:suppressAutoHyphens w:val="1"/>
        <w:spacing w:before="0" w:after="299" w:line="360" w:lineRule="auto"/>
        <w:jc w:val="left"/>
        <w:rPr>
          <w:rFonts w:ascii="Arial" w:cs="Arial" w:hAnsi="Arial" w:eastAsia="Arial"/>
          <w:b w:val="1"/>
          <w:bCs w:val="1"/>
          <w:sz w:val="28"/>
          <w:szCs w:val="28"/>
        </w:rPr>
      </w:pPr>
      <w:r>
        <w:rPr>
          <w:rFonts w:ascii="Arial" w:hAnsi="Arial"/>
          <w:b w:val="1"/>
          <w:bCs w:val="1"/>
          <w:sz w:val="28"/>
          <w:szCs w:val="28"/>
          <w:rtl w:val="0"/>
          <w:lang w:val="en-US"/>
        </w:rPr>
        <w:t>6.2 Challenges of Sustainable Stakeholder Engagement</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Although sustainable stakeholder engagement offers significant advantages, organisations often encounter challenges when managing the diverse interests of different stakeholder groups. Stakeholders may have conflicting priorities, making it difficult to meet their expectations while maintaining project objectives. </w:t>
      </w:r>
      <w:r>
        <w:rPr>
          <w:rFonts w:ascii="Arial" w:hAnsi="Arial"/>
          <w:b w:val="1"/>
          <w:bCs w:val="1"/>
          <w:rtl w:val="0"/>
          <w:lang w:val="en-US"/>
        </w:rPr>
        <w:t>Freeman's Stakeholder Theory (1984)</w:t>
      </w:r>
      <w:r>
        <w:rPr>
          <w:rFonts w:ascii="Arial" w:hAnsi="Arial"/>
          <w:rtl w:val="0"/>
          <w:lang w:val="en-US"/>
        </w:rPr>
        <w:t>recognises that balancing these competing interests is essential for achieving long-term organisational success.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In the ConnectPlus project, Marks &amp; Spencer must consider the differing expectations of its stakeholders. Customers expect secure and personalised digital services, whereas investors are primarily concerned with financial performance and the project's return on investment. Employees may require additional support and training to adapt to AI-powered technologies, while regulatory authorities focus on ensuring compliance with data protection legislation and ethical standards. These competing demands can complicate decision-making and increase the risk of delays during project implementation.</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Operating across international markets introduces further challenges. Variations in cultural values, communication styles, and legal frameworks may influence stakeholder expectations and the effectiveness of engagement activities. According to </w:t>
      </w:r>
      <w:r>
        <w:rPr>
          <w:rFonts w:ascii="Arial" w:hAnsi="Arial"/>
          <w:b w:val="1"/>
          <w:bCs w:val="1"/>
          <w:rtl w:val="0"/>
          <w:lang w:val="en-US"/>
        </w:rPr>
        <w:t>Hofstede's Cultural Dimensions Theory (1980)</w:t>
      </w:r>
      <w:r>
        <w:rPr>
          <w:rFonts w:ascii="Arial" w:hAnsi="Arial"/>
          <w:rtl w:val="0"/>
          <w:lang w:val="en-US"/>
        </w:rPr>
        <w:t>, organisations should adapt their communication and management approaches to suit different cultural environments.</w:t>
      </w:r>
    </w:p>
    <w:p>
      <w:pPr>
        <w:pStyle w:val="Типовий"/>
        <w:suppressAutoHyphens w:val="1"/>
        <w:spacing w:before="0" w:line="360" w:lineRule="auto"/>
        <w:jc w:val="left"/>
        <w:rPr>
          <w:rFonts w:ascii="Arial" w:cs="Arial" w:hAnsi="Arial" w:eastAsia="Arial"/>
        </w:rPr>
      </w:pPr>
      <w:r>
        <w:rPr>
          <w:rFonts w:ascii="Arial" w:hAnsi="Arial"/>
          <w:rtl w:val="0"/>
        </w:rPr>
        <w:t xml:space="preserve"> </w:t>
      </w:r>
      <w:r>
        <w:rPr>
          <w:rFonts w:ascii="Arial" w:hAnsi="Arial"/>
          <w:rtl w:val="0"/>
          <w:lang w:val="en-US"/>
        </w:rPr>
        <w:t>To overcome these challenges, Marks &amp; Spencer should maintain regular communication with stakeholders, monitor changes in stakeholder expectations, and respond proactively to emerging concerns throughout the project lifecycle. Continuous engagement enables the organisation to identify potential issues at an early stage, minimise conflicts, and strengthen stakeholder confidence. Adopting a flexible stakeholder engagement strategy will therefore support effective collaboration, reduce project risks, and contribute to the successful implementation of the ConnectPlus platform.</w:t>
      </w:r>
    </w:p>
    <w:p>
      <w:pPr>
        <w:pStyle w:val="Типовий"/>
        <w:suppressAutoHyphens w:val="1"/>
        <w:spacing w:before="0" w:line="360" w:lineRule="auto"/>
        <w:jc w:val="left"/>
        <w:rPr>
          <w:rFonts w:ascii="Arial" w:cs="Arial" w:hAnsi="Arial" w:eastAsia="Arial"/>
        </w:rPr>
      </w:pPr>
    </w:p>
    <w:p>
      <w:pPr>
        <w:pStyle w:val="Типовий"/>
        <w:suppressAutoHyphens w:val="1"/>
        <w:spacing w:before="0" w:after="299" w:line="360" w:lineRule="auto"/>
        <w:jc w:val="left"/>
        <w:rPr>
          <w:rFonts w:ascii="Arial" w:cs="Arial" w:hAnsi="Arial" w:eastAsia="Arial"/>
          <w:b w:val="1"/>
          <w:bCs w:val="1"/>
          <w:sz w:val="28"/>
          <w:szCs w:val="28"/>
        </w:rPr>
      </w:pPr>
      <w:r>
        <w:rPr>
          <w:rFonts w:ascii="Arial" w:hAnsi="Arial"/>
          <w:b w:val="1"/>
          <w:bCs w:val="1"/>
          <w:sz w:val="28"/>
          <w:szCs w:val="28"/>
          <w:rtl w:val="0"/>
          <w:lang w:val="en-US"/>
        </w:rPr>
        <w:t>6.3 Contribution of Sustainable Stakeholder Engagement to Long-Term Business Success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Sustainable stakeholder engagement is an important factor in achieving long-term organisational success and maintaining a competitive advantage. </w:t>
      </w:r>
      <w:r>
        <w:rPr>
          <w:rFonts w:ascii="Arial" w:hAnsi="Arial"/>
          <w:b w:val="1"/>
          <w:bCs w:val="1"/>
          <w:rtl w:val="0"/>
          <w:lang w:val="en-US"/>
        </w:rPr>
        <w:t>Elkington's Triple Bottom Line Theory (1997)</w:t>
      </w:r>
      <w:r>
        <w:rPr>
          <w:rFonts w:ascii="Arial" w:hAnsi="Arial"/>
          <w:rtl w:val="0"/>
          <w:lang w:val="en-US"/>
        </w:rPr>
        <w:t xml:space="preserve"> argues that organisations should balance economic, social, and environmental responsibilities to achieve sustainable development. By maintaining positive relationships with stakeholders, Marks &amp; Spencer can improve project performance while creating long-term value for both the organisation and society.</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For the ConnectPlus project, continuous stakeholder engagement allows the company to respond effectively to changing customer expectations, technological developments, and regulatory requirements. Customer feedback supports the ongoing improvement of the AI-powered platform, while employee involvement encourages innovation and increases the successful adoption of new technologies. Collaboration with suppliers, technology partners, and regulatory authorities also strengthens operational efficiency and helps ensure compliance with legal and ethical standards.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Furthermore, maintaining strong stakeholder relationships enhances organisational reputation and builds trust among customers, investors, and business partners. These relationships support future business opportunities, encourage innovation, and improve organisational resilience in a highly competitive retail environment. Therefore, by embedding stakeholder engagement into its long-term business strategy, Marks &amp; Spencer can maximise the benefits of the ConnectPlus project while supporting sustainable growth and continued organisational success.</w:t>
      </w:r>
    </w:p>
    <w:p>
      <w:pPr>
        <w:pStyle w:val="Типовий"/>
        <w:suppressAutoHyphens w:val="1"/>
        <w:spacing w:before="0" w:after="240" w:line="360" w:lineRule="auto"/>
        <w:jc w:val="left"/>
        <w:rPr>
          <w:rFonts w:ascii="Arial" w:cs="Arial" w:hAnsi="Arial" w:eastAsia="Arial"/>
        </w:rPr>
      </w:pPr>
      <w:r>
        <w:rPr>
          <w:rFonts w:ascii="Arial" w:hAnsi="Arial"/>
          <w:b w:val="1"/>
          <w:bCs w:val="1"/>
          <w:sz w:val="28"/>
          <w:szCs w:val="28"/>
          <w:rtl w:val="0"/>
          <w:lang w:val="en-US"/>
        </w:rPr>
        <w:t>6.4 Measuring Stakeholder Engagement Performance</w:t>
      </w:r>
    </w:p>
    <w:p>
      <w:pPr>
        <w:pStyle w:val="Типовий"/>
        <w:suppressAutoHyphens w:val="1"/>
        <w:spacing w:before="0" w:after="240" w:line="360" w:lineRule="auto"/>
        <w:jc w:val="left"/>
        <w:rPr>
          <w:rFonts w:ascii="Arial" w:cs="Arial" w:hAnsi="Arial" w:eastAsia="Arial"/>
        </w:rPr>
      </w:pPr>
      <w:r>
        <w:rPr>
          <w:rFonts w:ascii="Arial" w:hAnsi="Arial"/>
          <w:rtl w:val="0"/>
          <w:lang w:val="en-US"/>
        </w:rPr>
        <w:t xml:space="preserve">Measuring the effectiveness of stakeholder engagement is essential to determine whether project objectives have been achieved and whether engagement strategies have delivered the expected outcomes. According to the </w:t>
      </w:r>
      <w:r>
        <w:rPr>
          <w:rFonts w:ascii="Arial" w:hAnsi="Arial"/>
          <w:b w:val="1"/>
          <w:bCs w:val="1"/>
          <w:rtl w:val="0"/>
          <w:lang w:val="en-US"/>
        </w:rPr>
        <w:t>Project Management Institute (PMI, 2021)</w:t>
      </w:r>
      <w:r>
        <w:rPr>
          <w:rFonts w:ascii="Arial" w:hAnsi="Arial"/>
          <w:rtl w:val="0"/>
          <w:lang w:val="en-US"/>
        </w:rPr>
        <w:t>, stakeholder engagement should be continuously monitored using clearly defined performance indicators. Regular evaluation enables organisations to identify areas for improvement, strengthen stakeholder relationships, and ensure that project activities remain aligned with organisational objectives.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For the ConnectPlus project, Marks &amp; Spencer should establish a range of </w:t>
      </w:r>
      <w:r>
        <w:rPr>
          <w:rFonts w:ascii="Arial" w:hAnsi="Arial"/>
          <w:b w:val="1"/>
          <w:bCs w:val="1"/>
          <w:rtl w:val="0"/>
          <w:lang w:val="en-US"/>
        </w:rPr>
        <w:t>Key Performance Indicators (KPIs)</w:t>
      </w:r>
      <w:r>
        <w:rPr>
          <w:rFonts w:ascii="Arial" w:hAnsi="Arial"/>
          <w:rtl w:val="0"/>
          <w:lang w:val="en-US"/>
        </w:rPr>
        <w:t xml:space="preserve"> to assess stakeholder engagement. These may include customer satisfaction scores, employee engagement levels, stakeholder participation in meetings and training sessions, customer retention rates, and the number of issues resolved through stakeholder feedback. Monitoring these indicators enables project managers to evaluate whether engagement activities are improving communication, supporting collaboration, and contributing to project success.</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In addition to quantitative measures, qualitative feedback obtained through interviews, surveys, and focus groups provides valuable insights into stakeholder perceptions and expectations. Combining quantitative and qualitative evaluation methods allows Marks &amp; Spencer to gain a comprehensive understanding of stakeholder satisfaction and identify opportunities for continuous improvement. By regularly reviewing stakeholder engagement performance, the organisation can adapt its strategies, respond to changing stakeholder needs, and enhance the long-term success of the ConnectPlus project while strengthening overall business performance.</w:t>
      </w:r>
    </w:p>
    <w:p>
      <w:pPr>
        <w:pStyle w:val="Типовий"/>
        <w:suppressAutoHyphens w:val="1"/>
        <w:spacing w:before="0" w:after="299" w:line="360" w:lineRule="auto"/>
        <w:jc w:val="left"/>
        <w:rPr>
          <w:rFonts w:ascii="Arial" w:cs="Arial" w:hAnsi="Arial" w:eastAsia="Arial"/>
          <w:b w:val="1"/>
          <w:bCs w:val="1"/>
          <w:sz w:val="28"/>
          <w:szCs w:val="28"/>
        </w:rPr>
      </w:pPr>
      <w:r>
        <w:rPr>
          <w:rFonts w:ascii="Arial" w:hAnsi="Arial"/>
          <w:b w:val="1"/>
          <w:bCs w:val="1"/>
          <w:sz w:val="28"/>
          <w:szCs w:val="28"/>
          <w:rtl w:val="0"/>
          <w:lang w:val="en-US"/>
        </w:rPr>
        <w:t>7. Recommendation</w:t>
      </w:r>
      <w:r>
        <w:rPr>
          <w:rFonts w:ascii="Arial" w:hAnsi="Arial"/>
          <w:b w:val="1"/>
          <w:bCs w:val="1"/>
          <w:sz w:val="28"/>
          <w:szCs w:val="28"/>
          <w:rtl w:val="0"/>
          <w:lang w:val="en-US"/>
        </w:rPr>
        <w:t>s</w:t>
      </w:r>
      <w:r>
        <w:rPr>
          <w:rFonts w:ascii="Arial" w:hAnsi="Arial"/>
          <w:b w:val="1"/>
          <w:bCs w:val="1"/>
          <w:sz w:val="28"/>
          <w:szCs w:val="28"/>
          <w:rtl w:val="0"/>
        </w:rPr>
        <w:t xml:space="preserve"> </w:t>
      </w:r>
    </w:p>
    <w:p>
      <w:pPr>
        <w:pStyle w:val="Типовий"/>
        <w:suppressAutoHyphens w:val="1"/>
        <w:spacing w:before="0" w:after="240" w:line="360" w:lineRule="auto"/>
        <w:jc w:val="left"/>
        <w:rPr>
          <w:rFonts w:ascii="Arial" w:cs="Arial" w:hAnsi="Arial" w:eastAsia="Arial"/>
        </w:rPr>
      </w:pPr>
      <w:r>
        <w:rPr>
          <w:rFonts w:ascii="Arial" w:hAnsi="Arial"/>
          <w:rtl w:val="0"/>
        </w:rPr>
        <w:t xml:space="preserve"> </w:t>
      </w:r>
      <w:r>
        <w:rPr>
          <w:rFonts w:ascii="Arial" w:hAnsi="Arial"/>
          <w:rtl w:val="0"/>
          <w:lang w:val="en-US"/>
        </w:rPr>
        <w:t xml:space="preserve">Based on the findings of this report, Marks &amp; Spencer should adopt a proactive approach to stakeholder engagement throughout the ConnectPlus project. First, the organisation should establish regular communication with all stakeholder groups to ensure that expectations are effectively managed and any concerns are addressed promptly. Second, continuous employee training should be provided to develop digital skills and improve confidence in using AI-powered technologies. Third, Marks &amp; Spencer should strengthen data protection and cybersecurity measures to ensure compliance with UK GDPR and maintain customer trust. Finally, the company should regularly monitor stakeholder satisfaction through surveys, feedback sessions, and performance reviews. According to the </w:t>
      </w:r>
      <w:r>
        <w:rPr>
          <w:rFonts w:ascii="Arial" w:hAnsi="Arial"/>
          <w:b w:val="1"/>
          <w:bCs w:val="1"/>
          <w:rtl w:val="0"/>
          <w:lang w:val="en-US"/>
        </w:rPr>
        <w:t>Project Management Institute (PMI, 2021)</w:t>
      </w:r>
      <w:r>
        <w:rPr>
          <w:rFonts w:ascii="Arial" w:hAnsi="Arial"/>
          <w:rtl w:val="0"/>
          <w:lang w:val="en-US"/>
        </w:rPr>
        <w:t>, continuous stakeholder monitoring enables organisations to identify emerging risks, improve engagement strategies, and support informed decision-making. Implementing these recommendations will strengthen stakeholder relationships, reduce project risks, and contribute to the successful delivery and long-term sustainability of the ConnectPlus platform.</w:t>
      </w:r>
    </w:p>
    <w:p>
      <w:pPr>
        <w:pStyle w:val="Типовий"/>
        <w:suppressAutoHyphens w:val="1"/>
        <w:spacing w:before="0" w:after="322" w:line="360" w:lineRule="auto"/>
        <w:jc w:val="left"/>
        <w:rPr>
          <w:rFonts w:ascii="Arial" w:cs="Arial" w:hAnsi="Arial" w:eastAsia="Arial"/>
          <w:b w:val="1"/>
          <w:bCs w:val="1"/>
          <w:sz w:val="28"/>
          <w:szCs w:val="28"/>
        </w:rPr>
      </w:pPr>
      <w:r>
        <w:rPr>
          <w:rFonts w:ascii="Arial" w:hAnsi="Arial"/>
          <w:b w:val="1"/>
          <w:bCs w:val="1"/>
          <w:sz w:val="28"/>
          <w:szCs w:val="28"/>
          <w:rtl w:val="0"/>
          <w:lang w:val="en-US"/>
        </w:rPr>
        <w:t>8. Conclusion</w:t>
      </w:r>
    </w:p>
    <w:p>
      <w:pPr>
        <w:pStyle w:val="Типовий"/>
        <w:suppressAutoHyphens w:val="1"/>
        <w:spacing w:before="0" w:line="360" w:lineRule="auto"/>
        <w:jc w:val="left"/>
        <w:rPr>
          <w:rFonts w:ascii="Arial" w:cs="Arial" w:hAnsi="Arial" w:eastAsia="Arial"/>
        </w:rPr>
      </w:pPr>
      <w:r>
        <w:rPr>
          <w:rFonts w:ascii="Arial" w:hAnsi="Arial"/>
          <w:rtl w:val="0"/>
        </w:rPr>
        <w:t xml:space="preserve"> </w:t>
      </w:r>
      <w:r>
        <w:rPr>
          <w:rFonts w:ascii="Arial" w:hAnsi="Arial"/>
          <w:rtl w:val="0"/>
          <w:lang w:val="en-US"/>
        </w:rPr>
        <w:t>In conclusion, stakeholder engagement is a critical success factor in delivering complex digital transformation projects such as ConnectPlus. Applying recognised stakeholder management theories and maintaining continuous collaboration with both internal and external stakeholders enables Marks &amp; Spencer to improve project performance, strengthen customer relationships, and enhance organisational resilience. By embedding stakeholder engagement into its strategic decision-making processes, the organisation will be better positioned to achieve sustainable growth and maintain a competitive advantage within the international retail sector.</w:t>
      </w:r>
    </w:p>
    <w:p>
      <w:pPr>
        <w:pStyle w:val="Типовий"/>
        <w:suppressAutoHyphens w:val="1"/>
        <w:spacing w:before="0" w:after="322" w:line="360" w:lineRule="auto"/>
        <w:jc w:val="left"/>
        <w:rPr>
          <w:rFonts w:ascii="Arial" w:cs="Arial" w:hAnsi="Arial" w:eastAsia="Arial"/>
          <w:b w:val="1"/>
          <w:bCs w:val="1"/>
          <w:sz w:val="28"/>
          <w:szCs w:val="28"/>
        </w:rPr>
      </w:pPr>
    </w:p>
    <w:p>
      <w:pPr>
        <w:pStyle w:val="Типовий"/>
        <w:suppressAutoHyphens w:val="1"/>
        <w:spacing w:before="0" w:after="322" w:line="360" w:lineRule="auto"/>
        <w:jc w:val="left"/>
        <w:rPr>
          <w:rFonts w:ascii="Arial" w:cs="Arial" w:hAnsi="Arial" w:eastAsia="Arial"/>
          <w:b w:val="1"/>
          <w:bCs w:val="1"/>
          <w:sz w:val="28"/>
          <w:szCs w:val="28"/>
        </w:rPr>
      </w:pPr>
    </w:p>
    <w:p>
      <w:pPr>
        <w:pStyle w:val="Типовий"/>
        <w:suppressAutoHyphens w:val="1"/>
        <w:spacing w:before="0" w:after="322" w:line="360" w:lineRule="auto"/>
        <w:jc w:val="left"/>
        <w:rPr>
          <w:rFonts w:ascii="Arial" w:cs="Arial" w:hAnsi="Arial" w:eastAsia="Arial"/>
          <w:b w:val="1"/>
          <w:bCs w:val="1"/>
          <w:sz w:val="28"/>
          <w:szCs w:val="28"/>
        </w:rPr>
      </w:pPr>
    </w:p>
    <w:p>
      <w:pPr>
        <w:pStyle w:val="Типовий"/>
        <w:suppressAutoHyphens w:val="1"/>
        <w:spacing w:before="0" w:after="322" w:line="360" w:lineRule="auto"/>
        <w:jc w:val="left"/>
        <w:rPr>
          <w:rFonts w:ascii="Arial" w:cs="Arial" w:hAnsi="Arial" w:eastAsia="Arial"/>
          <w:b w:val="1"/>
          <w:bCs w:val="1"/>
          <w:sz w:val="28"/>
          <w:szCs w:val="28"/>
        </w:rPr>
      </w:pPr>
    </w:p>
    <w:p>
      <w:pPr>
        <w:pStyle w:val="Типовий"/>
        <w:suppressAutoHyphens w:val="1"/>
        <w:spacing w:before="0" w:after="322" w:line="360" w:lineRule="auto"/>
        <w:jc w:val="left"/>
        <w:rPr>
          <w:rFonts w:ascii="Arial" w:cs="Arial" w:hAnsi="Arial" w:eastAsia="Arial"/>
          <w:b w:val="1"/>
          <w:bCs w:val="1"/>
          <w:sz w:val="28"/>
          <w:szCs w:val="28"/>
        </w:rPr>
      </w:pPr>
    </w:p>
    <w:p>
      <w:pPr>
        <w:pStyle w:val="Типовий"/>
        <w:suppressAutoHyphens w:val="1"/>
        <w:spacing w:before="0" w:after="322" w:line="360" w:lineRule="auto"/>
        <w:jc w:val="left"/>
        <w:rPr>
          <w:rFonts w:ascii="Arial" w:cs="Arial" w:hAnsi="Arial" w:eastAsia="Arial"/>
          <w:b w:val="1"/>
          <w:bCs w:val="1"/>
          <w:sz w:val="28"/>
          <w:szCs w:val="28"/>
        </w:rPr>
      </w:pPr>
    </w:p>
    <w:p>
      <w:pPr>
        <w:pStyle w:val="Типовий"/>
        <w:suppressAutoHyphens w:val="1"/>
        <w:spacing w:before="0" w:after="322" w:line="360" w:lineRule="auto"/>
        <w:jc w:val="left"/>
        <w:rPr>
          <w:rFonts w:ascii="Arial" w:cs="Arial" w:hAnsi="Arial" w:eastAsia="Arial"/>
          <w:b w:val="1"/>
          <w:bCs w:val="1"/>
          <w:sz w:val="28"/>
          <w:szCs w:val="28"/>
        </w:rPr>
      </w:pPr>
    </w:p>
    <w:p>
      <w:pPr>
        <w:pStyle w:val="Типовий"/>
        <w:suppressAutoHyphens w:val="1"/>
        <w:spacing w:before="0" w:after="322" w:line="360" w:lineRule="auto"/>
        <w:jc w:val="left"/>
        <w:rPr>
          <w:rFonts w:ascii="Arial" w:cs="Arial" w:hAnsi="Arial" w:eastAsia="Arial"/>
          <w:b w:val="1"/>
          <w:bCs w:val="1"/>
          <w:sz w:val="28"/>
          <w:szCs w:val="28"/>
        </w:rPr>
      </w:pPr>
    </w:p>
    <w:p>
      <w:pPr>
        <w:pStyle w:val="Типовий"/>
        <w:suppressAutoHyphens w:val="1"/>
        <w:spacing w:before="0" w:after="322" w:line="360" w:lineRule="auto"/>
        <w:jc w:val="left"/>
        <w:rPr>
          <w:rFonts w:ascii="Arial" w:cs="Arial" w:hAnsi="Arial" w:eastAsia="Arial"/>
          <w:b w:val="1"/>
          <w:bCs w:val="1"/>
          <w:sz w:val="28"/>
          <w:szCs w:val="28"/>
        </w:rPr>
      </w:pPr>
      <w:r>
        <w:rPr>
          <w:rFonts w:ascii="Arial" w:hAnsi="Arial"/>
          <w:b w:val="1"/>
          <w:bCs w:val="1"/>
          <w:sz w:val="28"/>
          <w:szCs w:val="28"/>
          <w:rtl w:val="0"/>
          <w:lang w:val="en-US"/>
        </w:rPr>
        <w:t>References</w:t>
      </w:r>
    </w:p>
    <w:p>
      <w:pPr>
        <w:pStyle w:val="Типовий"/>
        <w:suppressAutoHyphens w:val="1"/>
        <w:spacing w:before="0" w:after="240" w:line="360" w:lineRule="auto"/>
        <w:jc w:val="left"/>
        <w:rPr>
          <w:rFonts w:ascii="Arial" w:cs="Arial" w:hAnsi="Arial" w:eastAsia="Arial"/>
        </w:rPr>
      </w:pPr>
      <w:r>
        <w:rPr>
          <w:rFonts w:ascii="Arial" w:hAnsi="Arial"/>
          <w:rtl w:val="0"/>
          <w:lang w:val="en-US"/>
        </w:rPr>
        <w:t xml:space="preserve">Aaltonen, K. and Kujala, J. (2016) </w:t>
      </w:r>
      <w:r>
        <w:rPr>
          <w:rFonts w:ascii="Arial" w:hAnsi="Arial"/>
          <w:i w:val="1"/>
          <w:iCs w:val="1"/>
          <w:rtl w:val="0"/>
          <w:lang w:val="en-US"/>
        </w:rPr>
        <w:t>Towards an improved understanding of project stakeholder landscapes</w:t>
      </w:r>
      <w:r>
        <w:rPr>
          <w:rFonts w:ascii="Arial" w:hAnsi="Arial"/>
          <w:rtl w:val="0"/>
          <w:lang w:val="en-US"/>
        </w:rPr>
        <w:t>. International Journal of Project Management, 34(8), pp.1537</w:t>
      </w:r>
      <w:r>
        <w:rPr>
          <w:rFonts w:ascii="Arial" w:hAnsi="Arial" w:hint="default"/>
          <w:rtl w:val="0"/>
          <w:lang w:val="en-US"/>
        </w:rPr>
        <w:t>–</w:t>
      </w:r>
      <w:r>
        <w:rPr>
          <w:rFonts w:ascii="Arial" w:hAnsi="Arial"/>
          <w:rtl w:val="0"/>
          <w:lang w:val="en-US"/>
        </w:rPr>
        <w:t>1552.</w:t>
      </w:r>
    </w:p>
    <w:p>
      <w:pPr>
        <w:pStyle w:val="Типовий"/>
        <w:suppressAutoHyphens w:val="1"/>
        <w:spacing w:before="0" w:after="240" w:line="360" w:lineRule="auto"/>
        <w:jc w:val="left"/>
        <w:rPr>
          <w:rFonts w:ascii="Arial" w:cs="Arial" w:hAnsi="Arial" w:eastAsia="Arial"/>
          <w:i w:val="0"/>
          <w:iCs w:val="0"/>
        </w:rPr>
      </w:pPr>
      <w:r>
        <w:rPr>
          <w:rFonts w:ascii="Arial" w:hAnsi="Arial"/>
          <w:i w:val="0"/>
          <w:iCs w:val="0"/>
          <w:rtl w:val="0"/>
          <w:lang w:val="en-US"/>
        </w:rPr>
        <w:t xml:space="preserve">Bourne, L. (2015) </w:t>
      </w:r>
      <w:r>
        <w:rPr>
          <w:rFonts w:ascii="Arial" w:hAnsi="Arial"/>
          <w:i w:val="1"/>
          <w:iCs w:val="1"/>
          <w:rtl w:val="0"/>
          <w:lang w:val="en-US"/>
        </w:rPr>
        <w:t>Stakeholder Relationship Management: A Maturity Model for Organisational Implementation</w:t>
      </w:r>
      <w:r>
        <w:rPr>
          <w:rFonts w:ascii="Arial" w:hAnsi="Arial"/>
          <w:i w:val="0"/>
          <w:iCs w:val="0"/>
          <w:rtl w:val="0"/>
          <w:lang w:val="en-US"/>
        </w:rPr>
        <w:t>. London: Routledge.</w:t>
      </w:r>
    </w:p>
    <w:p>
      <w:pPr>
        <w:pStyle w:val="Типовий"/>
        <w:suppressAutoHyphens w:val="1"/>
        <w:spacing w:before="0" w:after="240" w:line="360" w:lineRule="auto"/>
        <w:jc w:val="left"/>
        <w:rPr>
          <w:rFonts w:ascii="Arial" w:cs="Arial" w:hAnsi="Arial" w:eastAsia="Arial"/>
          <w:i w:val="0"/>
          <w:iCs w:val="0"/>
        </w:rPr>
      </w:pPr>
      <w:r>
        <w:rPr>
          <w:rFonts w:ascii="Arial" w:hAnsi="Arial"/>
          <w:i w:val="0"/>
          <w:iCs w:val="0"/>
          <w:rtl w:val="0"/>
          <w:lang w:val="en-US"/>
        </w:rPr>
        <w:t xml:space="preserve">Bryson, J.M. (2018) </w:t>
      </w:r>
      <w:r>
        <w:rPr>
          <w:rFonts w:ascii="Arial" w:hAnsi="Arial"/>
          <w:i w:val="1"/>
          <w:iCs w:val="1"/>
          <w:rtl w:val="0"/>
          <w:lang w:val="en-US"/>
        </w:rPr>
        <w:t>Strategic Planning for Public and Nonprofit Organizations</w:t>
      </w:r>
      <w:r>
        <w:rPr>
          <w:rFonts w:ascii="Arial" w:hAnsi="Arial"/>
          <w:i w:val="0"/>
          <w:iCs w:val="0"/>
          <w:rtl w:val="0"/>
          <w:lang w:val="en-US"/>
        </w:rPr>
        <w:t>. 5th edn. Hoboken: John Wiley &amp; Sons.</w:t>
      </w:r>
    </w:p>
    <w:p>
      <w:pPr>
        <w:pStyle w:val="Типовий"/>
        <w:suppressAutoHyphens w:val="1"/>
        <w:spacing w:before="0" w:after="240" w:line="360" w:lineRule="auto"/>
        <w:jc w:val="left"/>
        <w:rPr>
          <w:rFonts w:ascii="Arial" w:cs="Arial" w:hAnsi="Arial" w:eastAsia="Arial"/>
        </w:rPr>
      </w:pPr>
      <w:r>
        <w:rPr>
          <w:rFonts w:ascii="Arial" w:hAnsi="Arial"/>
          <w:rtl w:val="0"/>
          <w:lang w:val="en-US"/>
        </w:rPr>
        <w:t xml:space="preserve">Carroll, A.B. (1991) 'The Pyramid of Corporate Social Responsibility: Toward the Moral Management of Organizational Stakeholders', </w:t>
      </w:r>
      <w:r>
        <w:rPr>
          <w:rFonts w:ascii="Arial" w:hAnsi="Arial"/>
          <w:i w:val="1"/>
          <w:iCs w:val="1"/>
          <w:rtl w:val="0"/>
          <w:lang w:val="en-US"/>
        </w:rPr>
        <w:t>Business Horizons</w:t>
      </w:r>
      <w:r>
        <w:rPr>
          <w:rFonts w:ascii="Arial" w:hAnsi="Arial"/>
          <w:rtl w:val="0"/>
          <w:lang w:val="en-US"/>
        </w:rPr>
        <w:t>, 34(4), pp.39</w:t>
      </w:r>
      <w:r>
        <w:rPr>
          <w:rFonts w:ascii="Arial" w:hAnsi="Arial" w:hint="default"/>
          <w:rtl w:val="0"/>
          <w:lang w:val="en-US"/>
        </w:rPr>
        <w:t>–</w:t>
      </w:r>
      <w:r>
        <w:rPr>
          <w:rFonts w:ascii="Arial" w:hAnsi="Arial"/>
          <w:rtl w:val="0"/>
          <w:lang w:val="en-US"/>
        </w:rPr>
        <w:t>48.</w:t>
      </w:r>
    </w:p>
    <w:p>
      <w:pPr>
        <w:pStyle w:val="Типовий"/>
        <w:suppressAutoHyphens w:val="1"/>
        <w:spacing w:before="0" w:after="240" w:line="360" w:lineRule="auto"/>
        <w:jc w:val="left"/>
        <w:rPr>
          <w:rFonts w:ascii="Arial" w:cs="Arial" w:hAnsi="Arial" w:eastAsia="Arial"/>
        </w:rPr>
      </w:pPr>
      <w:r>
        <w:rPr>
          <w:rFonts w:ascii="Arial" w:hAnsi="Arial"/>
          <w:rtl w:val="0"/>
          <w:lang w:val="en-US"/>
        </w:rPr>
        <w:t xml:space="preserve">Clarkson, M.B.E. (1995) 'A Stakeholder Framework for Analysing and Evaluating Corporate Social Performance', </w:t>
      </w:r>
      <w:r>
        <w:rPr>
          <w:rFonts w:ascii="Arial" w:hAnsi="Arial"/>
          <w:i w:val="1"/>
          <w:iCs w:val="1"/>
          <w:rtl w:val="0"/>
          <w:lang w:val="en-US"/>
        </w:rPr>
        <w:t>Academy of Management Review</w:t>
      </w:r>
      <w:r>
        <w:rPr>
          <w:rFonts w:ascii="Arial" w:hAnsi="Arial"/>
          <w:rtl w:val="0"/>
          <w:lang w:val="en-US"/>
        </w:rPr>
        <w:t>, 20(1), pp.92</w:t>
      </w:r>
      <w:r>
        <w:rPr>
          <w:rFonts w:ascii="Arial" w:hAnsi="Arial" w:hint="default"/>
          <w:rtl w:val="0"/>
          <w:lang w:val="en-US"/>
        </w:rPr>
        <w:t>–</w:t>
      </w:r>
      <w:r>
        <w:rPr>
          <w:rFonts w:ascii="Arial" w:hAnsi="Arial"/>
          <w:rtl w:val="0"/>
          <w:lang w:val="en-US"/>
        </w:rPr>
        <w:t>117.</w:t>
      </w:r>
    </w:p>
    <w:p>
      <w:pPr>
        <w:pStyle w:val="Типовий"/>
        <w:suppressAutoHyphens w:val="1"/>
        <w:spacing w:before="0" w:after="240" w:line="360" w:lineRule="auto"/>
        <w:jc w:val="left"/>
        <w:rPr>
          <w:rFonts w:ascii="Arial" w:cs="Arial" w:hAnsi="Arial" w:eastAsia="Arial"/>
        </w:rPr>
      </w:pPr>
      <w:r>
        <w:rPr>
          <w:rFonts w:ascii="Arial" w:hAnsi="Arial"/>
          <w:rtl w:val="0"/>
          <w:lang w:val="en-US"/>
        </w:rPr>
        <w:t xml:space="preserve">Doran, G.T. (1981) 'There's a S.M.A.R.T. Way to Write Management's Goals and Objectives', </w:t>
      </w:r>
      <w:r>
        <w:rPr>
          <w:rFonts w:ascii="Arial" w:hAnsi="Arial"/>
          <w:i w:val="1"/>
          <w:iCs w:val="1"/>
          <w:rtl w:val="0"/>
          <w:lang w:val="en-US"/>
        </w:rPr>
        <w:t>Management Review</w:t>
      </w:r>
      <w:r>
        <w:rPr>
          <w:rFonts w:ascii="Arial" w:hAnsi="Arial"/>
          <w:rtl w:val="0"/>
          <w:lang w:val="en-US"/>
        </w:rPr>
        <w:t>, 70(11), pp.35</w:t>
      </w:r>
      <w:r>
        <w:rPr>
          <w:rFonts w:ascii="Arial" w:hAnsi="Arial" w:hint="default"/>
          <w:rtl w:val="0"/>
          <w:lang w:val="en-US"/>
        </w:rPr>
        <w:t>–</w:t>
      </w:r>
      <w:r>
        <w:rPr>
          <w:rFonts w:ascii="Arial" w:hAnsi="Arial"/>
          <w:rtl w:val="0"/>
          <w:lang w:val="en-US"/>
        </w:rPr>
        <w:t>36.</w:t>
      </w:r>
    </w:p>
    <w:p>
      <w:pPr>
        <w:pStyle w:val="Типовий"/>
        <w:suppressAutoHyphens w:val="1"/>
        <w:spacing w:before="0" w:after="240" w:line="360" w:lineRule="auto"/>
        <w:jc w:val="left"/>
        <w:rPr>
          <w:rFonts w:ascii="Arial" w:cs="Arial" w:hAnsi="Arial" w:eastAsia="Arial"/>
          <w:i w:val="0"/>
          <w:iCs w:val="0"/>
        </w:rPr>
      </w:pPr>
      <w:r>
        <w:rPr>
          <w:rFonts w:ascii="Arial" w:hAnsi="Arial"/>
          <w:i w:val="0"/>
          <w:iCs w:val="0"/>
          <w:rtl w:val="0"/>
          <w:lang w:val="en-US"/>
        </w:rPr>
        <w:t xml:space="preserve">Elkington, J. (1997) </w:t>
      </w:r>
      <w:r>
        <w:rPr>
          <w:rFonts w:ascii="Arial" w:hAnsi="Arial"/>
          <w:i w:val="1"/>
          <w:iCs w:val="1"/>
          <w:rtl w:val="0"/>
          <w:lang w:val="en-US"/>
        </w:rPr>
        <w:t>Cannibals with Forks: The Triple Bottom Line of 21st Century Business</w:t>
      </w:r>
      <w:r>
        <w:rPr>
          <w:rFonts w:ascii="Arial" w:hAnsi="Arial"/>
          <w:i w:val="0"/>
          <w:iCs w:val="0"/>
          <w:rtl w:val="0"/>
          <w:lang w:val="en-US"/>
        </w:rPr>
        <w:t>. Oxford: Capstone.</w:t>
      </w:r>
    </w:p>
    <w:p>
      <w:pPr>
        <w:pStyle w:val="Типовий"/>
        <w:suppressAutoHyphens w:val="1"/>
        <w:spacing w:before="0" w:after="240" w:line="360" w:lineRule="auto"/>
        <w:jc w:val="left"/>
        <w:rPr>
          <w:rFonts w:ascii="Arial" w:cs="Arial" w:hAnsi="Arial" w:eastAsia="Arial"/>
          <w:i w:val="0"/>
          <w:iCs w:val="0"/>
        </w:rPr>
      </w:pPr>
      <w:r>
        <w:rPr>
          <w:rFonts w:ascii="Arial" w:hAnsi="Arial"/>
          <w:i w:val="0"/>
          <w:iCs w:val="0"/>
          <w:rtl w:val="0"/>
          <w:lang w:val="en-US"/>
        </w:rPr>
        <w:t xml:space="preserve">Freeman, R.E. (1984) </w:t>
      </w:r>
      <w:r>
        <w:rPr>
          <w:rFonts w:ascii="Arial" w:hAnsi="Arial"/>
          <w:i w:val="1"/>
          <w:iCs w:val="1"/>
          <w:rtl w:val="0"/>
          <w:lang w:val="en-US"/>
        </w:rPr>
        <w:t>Strategic Management: A Stakeholder Approach</w:t>
      </w:r>
      <w:r>
        <w:rPr>
          <w:rFonts w:ascii="Arial" w:hAnsi="Arial"/>
          <w:i w:val="0"/>
          <w:iCs w:val="0"/>
          <w:rtl w:val="0"/>
          <w:lang w:val="en-US"/>
        </w:rPr>
        <w:t>. Boston: Pitman.</w:t>
      </w:r>
    </w:p>
    <w:p>
      <w:pPr>
        <w:pStyle w:val="Типовий"/>
        <w:suppressAutoHyphens w:val="1"/>
        <w:spacing w:before="0" w:after="240" w:line="360" w:lineRule="auto"/>
        <w:jc w:val="left"/>
        <w:rPr>
          <w:rFonts w:ascii="Arial" w:cs="Arial" w:hAnsi="Arial" w:eastAsia="Arial"/>
          <w:i w:val="0"/>
          <w:iCs w:val="0"/>
        </w:rPr>
      </w:pPr>
      <w:r>
        <w:rPr>
          <w:rFonts w:ascii="Arial" w:hAnsi="Arial"/>
          <w:i w:val="0"/>
          <w:iCs w:val="0"/>
          <w:rtl w:val="0"/>
          <w:lang w:val="en-US"/>
        </w:rPr>
        <w:t xml:space="preserve">Hofstede, G. (1980) </w:t>
      </w:r>
      <w:r>
        <w:rPr>
          <w:rFonts w:ascii="Arial" w:hAnsi="Arial"/>
          <w:i w:val="1"/>
          <w:iCs w:val="1"/>
          <w:rtl w:val="0"/>
          <w:lang w:val="en-US"/>
        </w:rPr>
        <w:t>Culture's Consequences: International Differences in Work-Related Values</w:t>
      </w:r>
      <w:r>
        <w:rPr>
          <w:rFonts w:ascii="Arial" w:hAnsi="Arial"/>
          <w:i w:val="0"/>
          <w:iCs w:val="0"/>
          <w:rtl w:val="0"/>
          <w:lang w:val="en-US"/>
        </w:rPr>
        <w:t>. Beverly Hills: Sage Publications.</w:t>
      </w:r>
    </w:p>
    <w:p>
      <w:pPr>
        <w:pStyle w:val="Типовий"/>
        <w:suppressAutoHyphens w:val="1"/>
        <w:spacing w:before="0" w:after="240" w:line="360" w:lineRule="auto"/>
        <w:jc w:val="left"/>
        <w:rPr>
          <w:rFonts w:ascii="Arial" w:cs="Arial" w:hAnsi="Arial" w:eastAsia="Arial"/>
          <w:i w:val="0"/>
          <w:iCs w:val="0"/>
        </w:rPr>
      </w:pPr>
      <w:r>
        <w:rPr>
          <w:rFonts w:ascii="Arial" w:hAnsi="Arial"/>
          <w:i w:val="0"/>
          <w:iCs w:val="0"/>
          <w:rtl w:val="0"/>
          <w:lang w:val="en-US"/>
        </w:rPr>
        <w:t xml:space="preserve">Kerzner, H. (2022) </w:t>
      </w:r>
      <w:r>
        <w:rPr>
          <w:rFonts w:ascii="Arial" w:hAnsi="Arial"/>
          <w:i w:val="1"/>
          <w:iCs w:val="1"/>
          <w:rtl w:val="0"/>
          <w:lang w:val="en-US"/>
        </w:rPr>
        <w:t>Project Management: A Systems Approach to Planning, Scheduling, and Controlling</w:t>
      </w:r>
      <w:r>
        <w:rPr>
          <w:rFonts w:ascii="Arial" w:hAnsi="Arial"/>
          <w:i w:val="0"/>
          <w:iCs w:val="0"/>
          <w:rtl w:val="0"/>
          <w:lang w:val="en-US"/>
        </w:rPr>
        <w:t>. 13th edn. Hoboken: John Wiley &amp; Sons.</w:t>
      </w:r>
    </w:p>
    <w:p>
      <w:pPr>
        <w:pStyle w:val="Типовий"/>
        <w:suppressAutoHyphens w:val="1"/>
        <w:spacing w:before="0" w:after="240" w:line="360" w:lineRule="auto"/>
        <w:jc w:val="left"/>
        <w:rPr>
          <w:rFonts w:ascii="Arial" w:cs="Arial" w:hAnsi="Arial" w:eastAsia="Arial"/>
        </w:rPr>
      </w:pPr>
      <w:r>
        <w:rPr>
          <w:rFonts w:ascii="Arial" w:hAnsi="Arial"/>
          <w:rtl w:val="0"/>
          <w:lang w:val="en-US"/>
        </w:rPr>
        <w:t xml:space="preserve">Kotter, J.P. (1996) </w:t>
      </w:r>
      <w:r>
        <w:rPr>
          <w:rFonts w:ascii="Arial" w:hAnsi="Arial"/>
          <w:i w:val="1"/>
          <w:iCs w:val="1"/>
          <w:rtl w:val="0"/>
          <w:lang w:val="en-US"/>
        </w:rPr>
        <w:t>Leading Change</w:t>
      </w:r>
      <w:r>
        <w:rPr>
          <w:rFonts w:ascii="Arial" w:hAnsi="Arial"/>
          <w:rtl w:val="0"/>
          <w:lang w:val="en-US"/>
        </w:rPr>
        <w:t>. Boston: Harvard Business School Press.</w:t>
      </w:r>
    </w:p>
    <w:p>
      <w:pPr>
        <w:pStyle w:val="Типовий"/>
        <w:suppressAutoHyphens w:val="1"/>
        <w:spacing w:before="0" w:after="240" w:line="360" w:lineRule="auto"/>
        <w:jc w:val="left"/>
        <w:rPr>
          <w:rFonts w:ascii="Arial" w:cs="Arial" w:hAnsi="Arial" w:eastAsia="Arial"/>
        </w:rPr>
      </w:pPr>
      <w:r>
        <w:rPr>
          <w:rFonts w:ascii="Arial" w:hAnsi="Arial"/>
          <w:rtl w:val="0"/>
          <w:lang w:val="en-US"/>
        </w:rPr>
        <w:t xml:space="preserve">Mendelow, A.L. (1991) 'Environmental Scanning: The Impact of the Stakeholder Concept'. In: </w:t>
      </w:r>
      <w:r>
        <w:rPr>
          <w:rFonts w:ascii="Arial" w:hAnsi="Arial"/>
          <w:i w:val="1"/>
          <w:iCs w:val="1"/>
          <w:rtl w:val="0"/>
          <w:lang w:val="en-US"/>
        </w:rPr>
        <w:t>Proceedings of the Second International Conference on Information Systems</w:t>
      </w:r>
      <w:r>
        <w:rPr>
          <w:rFonts w:ascii="Arial" w:hAnsi="Arial"/>
          <w:rtl w:val="0"/>
          <w:lang w:val="en-US"/>
        </w:rPr>
        <w:t>. Cambridge, MA.</w:t>
      </w:r>
    </w:p>
    <w:p>
      <w:pPr>
        <w:pStyle w:val="Типовий"/>
        <w:suppressAutoHyphens w:val="1"/>
        <w:spacing w:before="0" w:after="240" w:line="360" w:lineRule="auto"/>
        <w:jc w:val="left"/>
        <w:rPr>
          <w:rFonts w:ascii="Arial" w:cs="Arial" w:hAnsi="Arial" w:eastAsia="Arial"/>
        </w:rPr>
      </w:pPr>
      <w:r>
        <w:rPr>
          <w:rFonts w:ascii="Arial" w:hAnsi="Arial"/>
          <w:rtl w:val="0"/>
          <w:lang w:val="en-US"/>
        </w:rPr>
        <w:t xml:space="preserve">Mitchell, R.K., Agle, B.R. and Wood, D.J. (1997) 'Toward a Theory of Stakeholder Identification and Salience: Defining the Principle of Who and What Really Counts', </w:t>
      </w:r>
      <w:r>
        <w:rPr>
          <w:rFonts w:ascii="Arial" w:hAnsi="Arial"/>
          <w:i w:val="1"/>
          <w:iCs w:val="1"/>
          <w:rtl w:val="0"/>
          <w:lang w:val="en-US"/>
        </w:rPr>
        <w:t>Academy of Management Review</w:t>
      </w:r>
      <w:r>
        <w:rPr>
          <w:rFonts w:ascii="Arial" w:hAnsi="Arial"/>
          <w:rtl w:val="0"/>
          <w:lang w:val="en-US"/>
        </w:rPr>
        <w:t>, 22(4), pp.853</w:t>
      </w:r>
      <w:r>
        <w:rPr>
          <w:rFonts w:ascii="Arial" w:hAnsi="Arial" w:hint="default"/>
          <w:rtl w:val="0"/>
          <w:lang w:val="en-US"/>
        </w:rPr>
        <w:t>–</w:t>
      </w:r>
      <w:r>
        <w:rPr>
          <w:rFonts w:ascii="Arial" w:hAnsi="Arial"/>
          <w:rtl w:val="0"/>
          <w:lang w:val="en-US"/>
        </w:rPr>
        <w:t>886.</w:t>
      </w:r>
    </w:p>
    <w:p>
      <w:pPr>
        <w:pStyle w:val="Типовий"/>
        <w:suppressAutoHyphens w:val="1"/>
        <w:spacing w:before="0" w:after="240" w:line="360" w:lineRule="auto"/>
        <w:jc w:val="left"/>
        <w:rPr>
          <w:rFonts w:ascii="Arial" w:cs="Arial" w:hAnsi="Arial" w:eastAsia="Arial"/>
          <w:i w:val="0"/>
          <w:iCs w:val="0"/>
        </w:rPr>
      </w:pPr>
      <w:r>
        <w:rPr>
          <w:rFonts w:ascii="Arial" w:hAnsi="Arial"/>
          <w:i w:val="0"/>
          <w:iCs w:val="0"/>
          <w:rtl w:val="0"/>
          <w:lang w:val="en-US"/>
        </w:rPr>
        <w:t xml:space="preserve">Project Management Institute (PMI) (2021) </w:t>
      </w:r>
      <w:r>
        <w:rPr>
          <w:rFonts w:ascii="Arial" w:hAnsi="Arial"/>
          <w:i w:val="1"/>
          <w:iCs w:val="1"/>
          <w:rtl w:val="0"/>
          <w:lang w:val="en-US"/>
        </w:rPr>
        <w:t>A Guide to the Project Management Body of Knowledge (PMBOK Guide)</w:t>
      </w:r>
      <w:r>
        <w:rPr>
          <w:rFonts w:ascii="Arial" w:hAnsi="Arial"/>
          <w:i w:val="0"/>
          <w:iCs w:val="0"/>
          <w:rtl w:val="0"/>
          <w:lang w:val="en-US"/>
        </w:rPr>
        <w:t>. 7th edn. Newtown Square, PA: Project Management Institute.</w:t>
      </w:r>
    </w:p>
    <w:p>
      <w:pPr>
        <w:pStyle w:val="Типовий"/>
        <w:suppressAutoHyphens w:val="1"/>
        <w:spacing w:before="0" w:after="240" w:line="360" w:lineRule="auto"/>
        <w:jc w:val="left"/>
        <w:rPr>
          <w:rFonts w:ascii="Arial" w:cs="Arial" w:hAnsi="Arial" w:eastAsia="Arial"/>
          <w:i w:val="0"/>
          <w:iCs w:val="0"/>
        </w:rPr>
      </w:pPr>
      <w:r>
        <w:rPr>
          <w:rFonts w:ascii="Arial" w:hAnsi="Arial"/>
          <w:i w:val="0"/>
          <w:iCs w:val="0"/>
          <w:rtl w:val="0"/>
          <w:lang w:val="en-US"/>
        </w:rPr>
        <w:t xml:space="preserve">Schwalbe, K. (2021) </w:t>
      </w:r>
      <w:r>
        <w:rPr>
          <w:rFonts w:ascii="Arial" w:hAnsi="Arial"/>
          <w:i w:val="1"/>
          <w:iCs w:val="1"/>
          <w:rtl w:val="0"/>
          <w:lang w:val="en-US"/>
        </w:rPr>
        <w:t>Information Technology Project Management</w:t>
      </w:r>
      <w:r>
        <w:rPr>
          <w:rFonts w:ascii="Arial" w:hAnsi="Arial"/>
          <w:i w:val="0"/>
          <w:iCs w:val="0"/>
          <w:rtl w:val="0"/>
          <w:lang w:val="en-US"/>
        </w:rPr>
        <w:t>. 10th edn. Boston: Cengage Learning.</w:t>
      </w:r>
    </w:p>
    <w:p>
      <w:pPr>
        <w:pStyle w:val="Типовий"/>
        <w:suppressAutoHyphens w:val="1"/>
        <w:spacing w:before="0" w:after="240" w:line="360" w:lineRule="auto"/>
        <w:jc w:val="left"/>
        <w:rPr>
          <w:rFonts w:ascii="Arial" w:cs="Arial" w:hAnsi="Arial" w:eastAsia="Arial"/>
          <w:i w:val="0"/>
          <w:iCs w:val="0"/>
        </w:rPr>
      </w:pPr>
      <w:r>
        <w:rPr>
          <w:rFonts w:ascii="Arial" w:hAnsi="Arial"/>
          <w:i w:val="0"/>
          <w:iCs w:val="0"/>
          <w:rtl w:val="0"/>
          <w:lang w:val="en-US"/>
        </w:rPr>
        <w:t xml:space="preserve">Shannon, C.E. and Weaver, W. (1949) </w:t>
      </w:r>
      <w:r>
        <w:rPr>
          <w:rFonts w:ascii="Arial" w:hAnsi="Arial"/>
          <w:i w:val="1"/>
          <w:iCs w:val="1"/>
          <w:rtl w:val="0"/>
          <w:lang w:val="en-US"/>
        </w:rPr>
        <w:t>The Mathematical Theory of Communication</w:t>
      </w:r>
      <w:r>
        <w:rPr>
          <w:rFonts w:ascii="Arial" w:hAnsi="Arial"/>
          <w:i w:val="0"/>
          <w:iCs w:val="0"/>
          <w:rtl w:val="0"/>
          <w:lang w:val="en-US"/>
        </w:rPr>
        <w:t>. Urbana: University of Illinois Press.</w:t>
      </w:r>
    </w:p>
    <w:p>
      <w:pPr>
        <w:pStyle w:val="Типовий"/>
        <w:suppressAutoHyphens w:val="1"/>
        <w:spacing w:before="0" w:after="240" w:line="360" w:lineRule="auto"/>
        <w:jc w:val="left"/>
        <w:rPr>
          <w:rFonts w:ascii="Arial" w:cs="Arial" w:hAnsi="Arial" w:eastAsia="Arial"/>
          <w:i w:val="0"/>
          <w:iCs w:val="0"/>
        </w:rPr>
      </w:pPr>
      <w:r>
        <w:rPr>
          <w:rFonts w:ascii="Arial" w:hAnsi="Arial"/>
          <w:i w:val="0"/>
          <w:iCs w:val="0"/>
          <w:rtl w:val="0"/>
          <w:lang w:val="en-US"/>
        </w:rPr>
        <w:t xml:space="preserve">Thomas, K.W. and Kilmann, R.H. (1974) </w:t>
      </w:r>
      <w:r>
        <w:rPr>
          <w:rFonts w:ascii="Arial" w:hAnsi="Arial"/>
          <w:i w:val="1"/>
          <w:iCs w:val="1"/>
          <w:rtl w:val="0"/>
          <w:lang w:val="en-US"/>
        </w:rPr>
        <w:t>Thomas</w:t>
      </w:r>
      <w:r>
        <w:rPr>
          <w:rFonts w:ascii="Arial" w:hAnsi="Arial" w:hint="default"/>
          <w:i w:val="1"/>
          <w:iCs w:val="1"/>
          <w:rtl w:val="0"/>
          <w:lang w:val="en-US"/>
        </w:rPr>
        <w:t>–</w:t>
      </w:r>
      <w:r>
        <w:rPr>
          <w:rFonts w:ascii="Arial" w:hAnsi="Arial"/>
          <w:i w:val="1"/>
          <w:iCs w:val="1"/>
          <w:rtl w:val="0"/>
          <w:lang w:val="en-US"/>
        </w:rPr>
        <w:t>Kilmann Conflict Mode Instrument</w:t>
      </w:r>
      <w:r>
        <w:rPr>
          <w:rFonts w:ascii="Arial" w:hAnsi="Arial"/>
          <w:i w:val="0"/>
          <w:iCs w:val="0"/>
          <w:rtl w:val="0"/>
          <w:lang w:val="en-US"/>
        </w:rPr>
        <w:t>. Tuxedo, NY: Xicom.</w:t>
      </w:r>
    </w:p>
    <w:p>
      <w:pPr>
        <w:pStyle w:val="Типовий"/>
        <w:suppressAutoHyphens w:val="1"/>
        <w:spacing w:before="0" w:line="360" w:lineRule="auto"/>
        <w:jc w:val="left"/>
      </w:pPr>
      <w:r>
        <w:rPr>
          <w:rFonts w:ascii="Arial" w:hAnsi="Arial"/>
          <w:i w:val="0"/>
          <w:iCs w:val="0"/>
          <w:rtl w:val="0"/>
          <w:lang w:val="en-US"/>
        </w:rPr>
        <w:t xml:space="preserve">Marks &amp; Spencer plc (2025) </w:t>
      </w:r>
      <w:r>
        <w:rPr>
          <w:rFonts w:ascii="Arial" w:hAnsi="Arial"/>
          <w:i w:val="1"/>
          <w:iCs w:val="1"/>
          <w:rtl w:val="0"/>
          <w:lang w:val="en-US"/>
        </w:rPr>
        <w:t>Annual Report and Financial Statements 2025</w:t>
      </w:r>
      <w:r>
        <w:rPr>
          <w:rFonts w:ascii="Arial" w:hAnsi="Arial"/>
          <w:i w:val="0"/>
          <w:iCs w:val="0"/>
          <w:rtl w:val="0"/>
          <w:lang w:val="en-US"/>
        </w:rPr>
        <w:t>. London: Marks &amp; Spencer plc.</w:t>
      </w:r>
      <w:r>
        <w:rPr>
          <w:rFonts w:ascii="Arial" w:cs="Arial" w:hAnsi="Arial" w:eastAsia="Arial"/>
          <w:i w:val="1"/>
          <w:iCs w:val="1"/>
        </w:rPr>
      </w:r>
    </w:p>
    <w:sectPr>
      <w:headerReference w:type="default" r:id="rId5"/>
      <w:footerReference w:type="default" r:id="rId6"/>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Bdr>
        <w:top w:val="single" w:color="d9d9d9" w:sz="4" w:space="0" w:shadow="0" w:frame="0"/>
        <w:left w:val="nil"/>
        <w:bottom w:val="nil"/>
        <w:right w:val="nil"/>
      </w:pBdr>
      <w:tabs>
        <w:tab w:val="right" w:pos="9000"/>
        <w:tab w:val="clear" w:pos="9026"/>
      </w:tabs>
      <w:jc w:val="right"/>
    </w:pPr>
    <w:r>
      <w:rPr/>
      <w:fldChar w:fldCharType="begin" w:fldLock="0"/>
    </w:r>
    <w:r>
      <w:instrText xml:space="preserve"> PAGE </w:instrText>
    </w:r>
    <w:r>
      <w:rPr/>
      <w:fldChar w:fldCharType="separate" w:fldLock="0"/>
    </w:r>
    <w:r/>
    <w:r>
      <w:rPr/>
      <w:fldChar w:fldCharType="end" w:fldLock="0"/>
    </w:r>
    <w:r>
      <w:rPr>
        <w:rtl w:val="0"/>
        <w:lang w:val="en-US"/>
      </w:rPr>
      <w:t xml:space="preserve"> | </w:t>
    </w:r>
    <w:r>
      <w:rPr>
        <w:outline w:val="0"/>
        <w:color w:val="7f7f7f"/>
        <w:spacing w:val="0"/>
        <w:u w:color="7f7f7f"/>
        <w:rtl w:val="0"/>
        <w:lang w:val="en-US"/>
        <w14:textFill>
          <w14:solidFill>
            <w14:srgbClr w14:val="7F7F7F"/>
          </w14:solidFill>
        </w14:textFill>
      </w:rPr>
      <w:t>Page</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Колонтитули"/>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Маркери"/>
  </w:abstractNum>
  <w:abstractNum w:abstractNumId="1">
    <w:multiLevelType w:val="hybridMultilevel"/>
    <w:styleLink w:val="Маркери"/>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українська" w:val="‘“(〔[{〈《「『【⦅〘〖«〝︵︷︹︻︽︿﹁﹃﹇﹙﹛﹝｢"/>
  <w:noLineBreaksBefore w:lang="українська"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Колонтитули">
    <w:name w:val="Колонтитули"/>
    <w:next w:val="Колонтитули"/>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Основний текст A">
    <w:name w:val="Основний текст A"/>
    <w:next w:val="Основний текст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Типовий">
    <w:name w:val="Типовий"/>
    <w:next w:val="Типовий"/>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Маркери">
    <w:name w:val="Маркери"/>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