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86DCE8">
      <w:pPr>
        <w:spacing w:line="480" w:lineRule="auto"/>
        <w:jc w:val="center"/>
        <w:rPr>
          <w:b/>
          <w:bCs/>
          <w:sz w:val="32"/>
          <w:szCs w:val="32"/>
          <w:lang w:val="en-GB"/>
        </w:rPr>
      </w:pPr>
      <w:r>
        <w:rPr>
          <w:b/>
          <w:bCs/>
          <w:sz w:val="32"/>
          <w:szCs w:val="32"/>
          <w:lang w:val="en-GB" w:eastAsia="en-US"/>
        </w:rPr>
        <w:drawing>
          <wp:inline distT="0" distB="0" distL="0" distR="0">
            <wp:extent cx="2289810" cy="787400"/>
            <wp:effectExtent l="1905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pic:cNvPicPr>
                      <a:picLocks noChangeAspect="1" noChangeArrowheads="1"/>
                    </pic:cNvPicPr>
                  </pic:nvPicPr>
                  <pic:blipFill>
                    <a:blip r:embed="rId7"/>
                    <a:srcRect/>
                    <a:stretch>
                      <a:fillRect/>
                    </a:stretch>
                  </pic:blipFill>
                  <pic:spPr>
                    <a:xfrm>
                      <a:off x="0" y="0"/>
                      <a:ext cx="2289810" cy="787695"/>
                    </a:xfrm>
                    <a:prstGeom prst="rect">
                      <a:avLst/>
                    </a:prstGeom>
                    <a:noFill/>
                    <a:ln w="9525">
                      <a:noFill/>
                      <a:miter lim="800000"/>
                      <a:headEnd/>
                      <a:tailEnd/>
                    </a:ln>
                  </pic:spPr>
                </pic:pic>
              </a:graphicData>
            </a:graphic>
          </wp:inline>
        </w:drawing>
      </w:r>
    </w:p>
    <w:p w14:paraId="1BD5986F">
      <w:pPr>
        <w:spacing w:line="480" w:lineRule="auto"/>
        <w:jc w:val="center"/>
        <w:rPr>
          <w:b/>
          <w:bCs/>
          <w:sz w:val="32"/>
          <w:szCs w:val="32"/>
          <w:lang w:val="en-GB"/>
        </w:rPr>
      </w:pPr>
      <w:r>
        <w:rPr>
          <w:b/>
          <w:bCs/>
          <w:sz w:val="32"/>
          <w:szCs w:val="32"/>
          <w:lang w:val="en-GB"/>
        </w:rPr>
        <w:t>PROGRAMME: MSC PUBLIC HEALTH AND SOCIAL CARE IN PRACTICE</w:t>
      </w:r>
    </w:p>
    <w:p w14:paraId="6C45A03B">
      <w:pPr>
        <w:spacing w:line="480" w:lineRule="auto"/>
        <w:jc w:val="center"/>
        <w:rPr>
          <w:b/>
          <w:bCs/>
          <w:sz w:val="32"/>
          <w:szCs w:val="32"/>
          <w:lang w:val="en-GB"/>
        </w:rPr>
      </w:pPr>
      <w:r>
        <w:rPr>
          <w:b/>
          <w:bCs/>
          <w:sz w:val="32"/>
          <w:szCs w:val="32"/>
          <w:lang w:val="en-GB"/>
        </w:rPr>
        <w:t>MODULE: SOCIAL EPIDEMIOLOGY AND PUBLIC HEALTH DEVELOPMENT</w:t>
      </w:r>
    </w:p>
    <w:p w14:paraId="4620E355">
      <w:pPr>
        <w:spacing w:line="480" w:lineRule="auto"/>
        <w:jc w:val="center"/>
        <w:rPr>
          <w:b/>
          <w:bCs/>
          <w:sz w:val="32"/>
          <w:szCs w:val="32"/>
          <w:lang w:val="en-GB"/>
        </w:rPr>
      </w:pPr>
      <w:r>
        <w:rPr>
          <w:b/>
          <w:bCs/>
          <w:sz w:val="32"/>
          <w:szCs w:val="32"/>
          <w:lang w:val="en-GB"/>
        </w:rPr>
        <w:t>MODULE CODE: LCHS7000</w:t>
      </w:r>
    </w:p>
    <w:p w14:paraId="044E2DFE">
      <w:pPr>
        <w:spacing w:line="480" w:lineRule="auto"/>
        <w:jc w:val="center"/>
        <w:rPr>
          <w:rFonts w:hint="default"/>
          <w:b/>
          <w:bCs/>
          <w:sz w:val="32"/>
          <w:szCs w:val="32"/>
          <w:lang w:val="en-GB"/>
        </w:rPr>
      </w:pPr>
      <w:r>
        <w:rPr>
          <w:rFonts w:hint="default"/>
          <w:b/>
          <w:bCs/>
          <w:sz w:val="32"/>
          <w:szCs w:val="32"/>
          <w:lang w:val="en-GB"/>
        </w:rPr>
        <w:t>Name</w:t>
      </w:r>
      <w:r>
        <w:rPr>
          <w:rFonts w:hint="default"/>
          <w:b/>
          <w:bCs/>
          <w:sz w:val="32"/>
          <w:szCs w:val="32"/>
          <w:lang w:val="en-IN"/>
        </w:rPr>
        <w:t>:</w:t>
      </w:r>
      <w:r>
        <w:rPr>
          <w:rFonts w:hint="default"/>
          <w:b/>
          <w:bCs/>
          <w:sz w:val="32"/>
          <w:szCs w:val="32"/>
          <w:lang w:val="en-GB"/>
        </w:rPr>
        <w:t xml:space="preserve"> Rajput Kajalsingh Rajendra</w:t>
      </w:r>
    </w:p>
    <w:p w14:paraId="199FDA36">
      <w:pPr>
        <w:spacing w:line="480" w:lineRule="auto"/>
        <w:jc w:val="center"/>
        <w:rPr>
          <w:rFonts w:hint="default"/>
          <w:b/>
          <w:bCs/>
          <w:sz w:val="32"/>
          <w:szCs w:val="32"/>
          <w:lang w:val="en-GB"/>
        </w:rPr>
      </w:pPr>
      <w:r>
        <w:rPr>
          <w:rFonts w:hint="default"/>
          <w:b/>
          <w:bCs/>
          <w:sz w:val="32"/>
          <w:szCs w:val="32"/>
          <w:lang w:val="en-GB"/>
        </w:rPr>
        <w:t>Student id</w:t>
      </w:r>
      <w:r>
        <w:rPr>
          <w:rFonts w:hint="default"/>
          <w:b/>
          <w:bCs/>
          <w:sz w:val="32"/>
          <w:szCs w:val="32"/>
          <w:lang w:val="en-IN"/>
        </w:rPr>
        <w:t>:</w:t>
      </w:r>
      <w:r>
        <w:rPr>
          <w:rFonts w:hint="default"/>
          <w:b/>
          <w:bCs/>
          <w:sz w:val="32"/>
          <w:szCs w:val="32"/>
          <w:lang w:val="en-GB"/>
        </w:rPr>
        <w:t xml:space="preserve"> 2534452</w:t>
      </w:r>
    </w:p>
    <w:p w14:paraId="3420CA8D">
      <w:pPr>
        <w:spacing w:line="480" w:lineRule="auto"/>
        <w:jc w:val="center"/>
        <w:rPr>
          <w:rFonts w:hint="default"/>
          <w:b/>
          <w:bCs/>
          <w:sz w:val="32"/>
          <w:szCs w:val="32"/>
          <w:lang w:val="en-GB"/>
        </w:rPr>
      </w:pPr>
      <w:r>
        <w:rPr>
          <w:rFonts w:hint="default"/>
          <w:b/>
          <w:bCs/>
          <w:sz w:val="32"/>
          <w:szCs w:val="32"/>
          <w:lang w:val="en-GB"/>
        </w:rPr>
        <w:t>Lectuter name</w:t>
      </w:r>
      <w:r>
        <w:rPr>
          <w:rFonts w:hint="default"/>
          <w:b/>
          <w:bCs/>
          <w:sz w:val="32"/>
          <w:szCs w:val="32"/>
          <w:lang w:val="en-IN"/>
        </w:rPr>
        <w:t>:</w:t>
      </w:r>
      <w:bookmarkStart w:id="56" w:name="_GoBack"/>
      <w:bookmarkEnd w:id="56"/>
      <w:r>
        <w:rPr>
          <w:rFonts w:hint="default"/>
          <w:b/>
          <w:bCs/>
          <w:sz w:val="32"/>
          <w:szCs w:val="32"/>
          <w:lang w:val="en-GB"/>
        </w:rPr>
        <w:t xml:space="preserve"> Muhammad Aliyu</w:t>
      </w:r>
    </w:p>
    <w:p w14:paraId="76BDFCEE">
      <w:pPr>
        <w:spacing w:line="480" w:lineRule="auto"/>
        <w:jc w:val="center"/>
        <w:rPr>
          <w:b/>
          <w:bCs/>
          <w:sz w:val="32"/>
          <w:szCs w:val="32"/>
          <w:lang w:val="en-GB"/>
        </w:rPr>
      </w:pPr>
      <w:r>
        <w:rPr>
          <w:b/>
          <w:bCs/>
          <w:sz w:val="32"/>
          <w:szCs w:val="32"/>
          <w:lang w:val="en-GB"/>
        </w:rPr>
        <w:t>ASSIGNMENT TITLE: COMPONENT 2 ANALYTICAL REPORT</w:t>
      </w:r>
    </w:p>
    <w:p w14:paraId="719D3A7B">
      <w:pPr>
        <w:pStyle w:val="17"/>
      </w:pPr>
      <w:r>
        <w:t>TASK 1: TOPIC: DISABILITY AND HEALTH INEQUALITIES</w:t>
      </w:r>
    </w:p>
    <w:p w14:paraId="37D982FC">
      <w:pPr>
        <w:pStyle w:val="17"/>
      </w:pPr>
      <w:r>
        <w:t>TARGET GROUP: ADULTS WITH LEARNING DISABILITIES IN ENGLAND</w:t>
      </w:r>
    </w:p>
    <w:p w14:paraId="2E82D298">
      <w:pPr>
        <w:pStyle w:val="17"/>
      </w:pPr>
      <w:r>
        <w:t>TITLE: HEALTH INEQUALITIES AMONG ADULTS WITH LEARNING DISABILITIES IN ENGLAND</w:t>
      </w:r>
    </w:p>
    <w:p w14:paraId="6BD5CAE9">
      <w:pPr>
        <w:pStyle w:val="17"/>
      </w:pPr>
      <w:r>
        <w:t>TASK 2: NON-COMMUNICABLE DISEASE: HYPERTENSION</w:t>
      </w:r>
    </w:p>
    <w:p w14:paraId="03D6479B">
      <w:pPr>
        <w:pStyle w:val="17"/>
      </w:pPr>
      <w:r>
        <w:t>POPULATION: BLACK AFRICAN AND CARIBBEAN ADULT IN LAMBETH</w:t>
      </w:r>
    </w:p>
    <w:p w14:paraId="4E85BBA2">
      <w:pPr>
        <w:pStyle w:val="17"/>
      </w:pPr>
      <w:r>
        <w:t>TITLE: HYPERTENSION AMONG BLACK AFRICAN AND CARIBBEAN ADULTS IN LAMBETH</w:t>
      </w:r>
    </w:p>
    <w:p w14:paraId="7B7C03C6">
      <w:pPr>
        <w:spacing w:after="160" w:line="259" w:lineRule="auto"/>
        <w:rPr>
          <w:rFonts w:eastAsiaTheme="majorEastAsia"/>
          <w:b/>
          <w:bCs/>
          <w:color w:val="000000" w:themeColor="text1"/>
          <w:lang w:val="en-GB"/>
        </w:rPr>
      </w:pPr>
      <w:bookmarkStart w:id="0" w:name="_q0rmq578ostl" w:colFirst="0" w:colLast="0"/>
      <w:bookmarkEnd w:id="0"/>
      <w:r>
        <w:rPr>
          <w:bCs/>
          <w:lang w:val="en-GB"/>
        </w:rPr>
        <w:br w:type="page"/>
      </w:r>
    </w:p>
    <w:p w14:paraId="5FA9BF89">
      <w:pPr>
        <w:pStyle w:val="17"/>
      </w:pPr>
      <w:r>
        <w:t>Executive Summary</w:t>
      </w:r>
    </w:p>
    <w:p w14:paraId="0E25C74F">
      <w:pPr>
        <w:spacing w:line="480" w:lineRule="auto"/>
        <w:jc w:val="both"/>
        <w:rPr>
          <w:lang w:val="en-GB"/>
        </w:rPr>
      </w:pPr>
      <w:r>
        <w:rPr>
          <w:lang w:val="en-GB"/>
        </w:rPr>
        <w:t>Task 1 examines health inequality experienced by adults with learning disabilities in England. It analyses major social and health disparities, including premature mortality, obesity, isolation, healthcare accessibility and employment disadvantage. National responses including RADF and LeDeR, alongside the work of Mencap demonstrator approaches to improve equitable healthcare accessibility and reduce inequality.</w:t>
      </w:r>
    </w:p>
    <w:p w14:paraId="5A5BE1B0">
      <w:pPr>
        <w:spacing w:line="480" w:lineRule="auto"/>
        <w:jc w:val="both"/>
        <w:rPr>
          <w:lang w:val="en-GB"/>
        </w:rPr>
      </w:pPr>
      <w:r>
        <w:rPr>
          <w:lang w:val="en-GB"/>
        </w:rPr>
        <w:t>Task 2 examines hypertension among Black African and black Caribbean adults in Lambeth. It analyses epidemiology, health requirements, determinants, public health consequences and the surveillance system. It also evaluates existing management and prevention approaches and proposes targeted intervention combining community screening, improved monitoring and culturally responsive care while recognising limitations affecting epistemological evaluation and accuracy.</w:t>
      </w:r>
    </w:p>
    <w:p w14:paraId="11EDFB6D">
      <w:pPr>
        <w:spacing w:after="160" w:line="480" w:lineRule="auto"/>
        <w:rPr>
          <w:lang w:val="en-GB"/>
        </w:rPr>
      </w:pPr>
      <w:r>
        <w:rPr>
          <w:lang w:val="en-GB"/>
        </w:rPr>
        <w:br w:type="page"/>
      </w:r>
    </w:p>
    <w:sdt>
      <w:sdtPr>
        <w:rPr>
          <w:rFonts w:ascii="Arial" w:hAnsi="Arial" w:eastAsia="Arial" w:cs="Arial"/>
          <w:color w:val="auto"/>
          <w:sz w:val="22"/>
          <w:szCs w:val="22"/>
          <w:lang w:val="en-GB" w:eastAsia="en-IN"/>
        </w:rPr>
        <w:id w:val="42412974"/>
        <w:docPartObj>
          <w:docPartGallery w:val="Table of Contents"/>
          <w:docPartUnique/>
        </w:docPartObj>
      </w:sdtPr>
      <w:sdtEndPr>
        <w:rPr>
          <w:rFonts w:ascii="Arial" w:hAnsi="Arial" w:eastAsia="Arial" w:cs="Arial"/>
          <w:b/>
          <w:bCs/>
          <w:color w:val="auto"/>
          <w:sz w:val="22"/>
          <w:szCs w:val="22"/>
          <w:lang w:val="en-GB" w:eastAsia="en-IN"/>
        </w:rPr>
      </w:sdtEndPr>
      <w:sdtContent>
        <w:p w14:paraId="71D339F2">
          <w:pPr>
            <w:pStyle w:val="22"/>
            <w:jc w:val="center"/>
            <w:rPr>
              <w:rFonts w:ascii="Arial" w:hAnsi="Arial" w:cs="Arial"/>
              <w:lang w:val="en-GB"/>
            </w:rPr>
          </w:pPr>
          <w:r>
            <w:rPr>
              <w:rFonts w:ascii="Arial" w:hAnsi="Arial" w:cs="Arial"/>
              <w:b/>
              <w:color w:val="000000" w:themeColor="text1"/>
              <w:sz w:val="22"/>
              <w:szCs w:val="22"/>
              <w:lang w:val="en-GB"/>
            </w:rPr>
            <w:t>Table of Contents</w:t>
          </w:r>
        </w:p>
        <w:p w14:paraId="4F62DF57">
          <w:pPr>
            <w:pStyle w:val="12"/>
            <w:tabs>
              <w:tab w:val="right" w:leader="dot" w:pos="9350"/>
            </w:tabs>
            <w:spacing w:line="480" w:lineRule="auto"/>
            <w:rPr>
              <w:rFonts w:eastAsiaTheme="minorEastAsia"/>
              <w:lang w:val="en-GB"/>
            </w:rPr>
          </w:pPr>
          <w:r>
            <w:rPr>
              <w:b/>
              <w:bCs/>
              <w:lang w:val="en-GB"/>
            </w:rPr>
            <w:fldChar w:fldCharType="begin"/>
          </w:r>
          <w:r>
            <w:rPr>
              <w:b/>
              <w:bCs/>
              <w:lang w:val="en-GB"/>
            </w:rPr>
            <w:instrText xml:space="preserve"> TOC \o "1-3" \h \z \u </w:instrText>
          </w:r>
          <w:r>
            <w:rPr>
              <w:b/>
              <w:bCs/>
              <w:lang w:val="en-GB"/>
            </w:rPr>
            <w:fldChar w:fldCharType="separate"/>
          </w:r>
          <w:r>
            <w:fldChar w:fldCharType="begin"/>
          </w:r>
          <w:r>
            <w:instrText xml:space="preserve"> HYPERLINK \l "_Toc237270614" </w:instrText>
          </w:r>
          <w:r>
            <w:fldChar w:fldCharType="separate"/>
          </w:r>
          <w:r>
            <w:rPr>
              <w:rStyle w:val="11"/>
              <w:bCs/>
              <w:lang w:val="en-GB"/>
            </w:rPr>
            <w:t>Task 1: Social Epidemiological Analysis</w:t>
          </w:r>
          <w:r>
            <w:rPr>
              <w:lang w:val="en-GB"/>
            </w:rPr>
            <w:tab/>
          </w:r>
          <w:r>
            <w:rPr>
              <w:lang w:val="en-GB"/>
            </w:rPr>
            <w:fldChar w:fldCharType="begin"/>
          </w:r>
          <w:r>
            <w:rPr>
              <w:lang w:val="en-GB"/>
            </w:rPr>
            <w:instrText xml:space="preserve"> PAGEREF _Toc237270614 \h </w:instrText>
          </w:r>
          <w:r>
            <w:rPr>
              <w:lang w:val="en-GB"/>
            </w:rPr>
            <w:fldChar w:fldCharType="separate"/>
          </w:r>
          <w:r>
            <w:rPr>
              <w:lang w:val="en-GB"/>
            </w:rPr>
            <w:t>4</w:t>
          </w:r>
          <w:r>
            <w:rPr>
              <w:lang w:val="en-GB"/>
            </w:rPr>
            <w:fldChar w:fldCharType="end"/>
          </w:r>
          <w:r>
            <w:rPr>
              <w:lang w:val="en-GB"/>
            </w:rPr>
            <w:fldChar w:fldCharType="end"/>
          </w:r>
        </w:p>
        <w:p w14:paraId="1F1EF223">
          <w:pPr>
            <w:pStyle w:val="13"/>
            <w:tabs>
              <w:tab w:val="right" w:leader="dot" w:pos="9350"/>
            </w:tabs>
            <w:spacing w:line="480" w:lineRule="auto"/>
            <w:rPr>
              <w:rFonts w:eastAsiaTheme="minorEastAsia"/>
              <w:lang w:val="en-GB"/>
            </w:rPr>
          </w:pPr>
          <w:r>
            <w:fldChar w:fldCharType="begin"/>
          </w:r>
          <w:r>
            <w:instrText xml:space="preserve"> HYPERLINK \l "_Toc237270615" </w:instrText>
          </w:r>
          <w:r>
            <w:fldChar w:fldCharType="separate"/>
          </w:r>
          <w:r>
            <w:rPr>
              <w:rStyle w:val="11"/>
              <w:bCs/>
              <w:lang w:val="en-GB"/>
            </w:rPr>
            <w:t>Introduction</w:t>
          </w:r>
          <w:r>
            <w:rPr>
              <w:lang w:val="en-GB"/>
            </w:rPr>
            <w:tab/>
          </w:r>
          <w:r>
            <w:rPr>
              <w:lang w:val="en-GB"/>
            </w:rPr>
            <w:fldChar w:fldCharType="begin"/>
          </w:r>
          <w:r>
            <w:rPr>
              <w:lang w:val="en-GB"/>
            </w:rPr>
            <w:instrText xml:space="preserve"> PAGEREF _Toc237270615 \h </w:instrText>
          </w:r>
          <w:r>
            <w:rPr>
              <w:lang w:val="en-GB"/>
            </w:rPr>
            <w:fldChar w:fldCharType="separate"/>
          </w:r>
          <w:r>
            <w:rPr>
              <w:lang w:val="en-GB"/>
            </w:rPr>
            <w:t>4</w:t>
          </w:r>
          <w:r>
            <w:rPr>
              <w:lang w:val="en-GB"/>
            </w:rPr>
            <w:fldChar w:fldCharType="end"/>
          </w:r>
          <w:r>
            <w:rPr>
              <w:lang w:val="en-GB"/>
            </w:rPr>
            <w:fldChar w:fldCharType="end"/>
          </w:r>
        </w:p>
        <w:p w14:paraId="013BE0EA">
          <w:pPr>
            <w:pStyle w:val="13"/>
            <w:tabs>
              <w:tab w:val="right" w:leader="dot" w:pos="9350"/>
            </w:tabs>
            <w:spacing w:line="480" w:lineRule="auto"/>
            <w:rPr>
              <w:rFonts w:eastAsiaTheme="minorEastAsia"/>
              <w:lang w:val="en-GB"/>
            </w:rPr>
          </w:pPr>
          <w:r>
            <w:fldChar w:fldCharType="begin"/>
          </w:r>
          <w:r>
            <w:instrText xml:space="preserve"> HYPERLINK \l "_Toc237270616" </w:instrText>
          </w:r>
          <w:r>
            <w:fldChar w:fldCharType="separate"/>
          </w:r>
          <w:r>
            <w:rPr>
              <w:rStyle w:val="11"/>
              <w:bCs/>
              <w:lang w:val="en-GB"/>
            </w:rPr>
            <w:t>Contextual background and underlying factors</w:t>
          </w:r>
          <w:r>
            <w:rPr>
              <w:lang w:val="en-GB"/>
            </w:rPr>
            <w:tab/>
          </w:r>
          <w:r>
            <w:rPr>
              <w:lang w:val="en-GB"/>
            </w:rPr>
            <w:fldChar w:fldCharType="begin"/>
          </w:r>
          <w:r>
            <w:rPr>
              <w:lang w:val="en-GB"/>
            </w:rPr>
            <w:instrText xml:space="preserve"> PAGEREF _Toc237270616 \h </w:instrText>
          </w:r>
          <w:r>
            <w:rPr>
              <w:lang w:val="en-GB"/>
            </w:rPr>
            <w:fldChar w:fldCharType="separate"/>
          </w:r>
          <w:r>
            <w:rPr>
              <w:lang w:val="en-GB"/>
            </w:rPr>
            <w:t>4</w:t>
          </w:r>
          <w:r>
            <w:rPr>
              <w:lang w:val="en-GB"/>
            </w:rPr>
            <w:fldChar w:fldCharType="end"/>
          </w:r>
          <w:r>
            <w:rPr>
              <w:lang w:val="en-GB"/>
            </w:rPr>
            <w:fldChar w:fldCharType="end"/>
          </w:r>
        </w:p>
        <w:p w14:paraId="71302D53">
          <w:pPr>
            <w:pStyle w:val="14"/>
            <w:tabs>
              <w:tab w:val="right" w:leader="dot" w:pos="9350"/>
            </w:tabs>
            <w:spacing w:line="480" w:lineRule="auto"/>
            <w:rPr>
              <w:rFonts w:eastAsiaTheme="minorEastAsia"/>
              <w:lang w:val="en-GB"/>
            </w:rPr>
          </w:pPr>
          <w:r>
            <w:fldChar w:fldCharType="begin"/>
          </w:r>
          <w:r>
            <w:instrText xml:space="preserve"> HYPERLINK \l "_Toc237270617" </w:instrText>
          </w:r>
          <w:r>
            <w:fldChar w:fldCharType="separate"/>
          </w:r>
          <w:r>
            <w:rPr>
              <w:rStyle w:val="11"/>
              <w:bCs/>
              <w:lang w:val="en-GB"/>
            </w:rPr>
            <w:t>3 diseases/illness</w:t>
          </w:r>
          <w:r>
            <w:rPr>
              <w:lang w:val="en-GB"/>
            </w:rPr>
            <w:tab/>
          </w:r>
          <w:r>
            <w:rPr>
              <w:lang w:val="en-GB"/>
            </w:rPr>
            <w:fldChar w:fldCharType="begin"/>
          </w:r>
          <w:r>
            <w:rPr>
              <w:lang w:val="en-GB"/>
            </w:rPr>
            <w:instrText xml:space="preserve"> PAGEREF _Toc237270617 \h </w:instrText>
          </w:r>
          <w:r>
            <w:rPr>
              <w:lang w:val="en-GB"/>
            </w:rPr>
            <w:fldChar w:fldCharType="separate"/>
          </w:r>
          <w:r>
            <w:rPr>
              <w:lang w:val="en-GB"/>
            </w:rPr>
            <w:t>4</w:t>
          </w:r>
          <w:r>
            <w:rPr>
              <w:lang w:val="en-GB"/>
            </w:rPr>
            <w:fldChar w:fldCharType="end"/>
          </w:r>
          <w:r>
            <w:rPr>
              <w:lang w:val="en-GB"/>
            </w:rPr>
            <w:fldChar w:fldCharType="end"/>
          </w:r>
        </w:p>
        <w:p w14:paraId="6047AB75">
          <w:pPr>
            <w:pStyle w:val="14"/>
            <w:tabs>
              <w:tab w:val="right" w:leader="dot" w:pos="9350"/>
            </w:tabs>
            <w:spacing w:line="480" w:lineRule="auto"/>
            <w:rPr>
              <w:rFonts w:eastAsiaTheme="minorEastAsia"/>
              <w:lang w:val="en-GB"/>
            </w:rPr>
          </w:pPr>
          <w:r>
            <w:fldChar w:fldCharType="begin"/>
          </w:r>
          <w:r>
            <w:instrText xml:space="preserve"> HYPERLINK \l "_Toc237270618" </w:instrText>
          </w:r>
          <w:r>
            <w:fldChar w:fldCharType="separate"/>
          </w:r>
          <w:r>
            <w:rPr>
              <w:rStyle w:val="11"/>
              <w:bCs/>
              <w:lang w:val="en-GB"/>
            </w:rPr>
            <w:t>3 social issues</w:t>
          </w:r>
          <w:r>
            <w:rPr>
              <w:lang w:val="en-GB"/>
            </w:rPr>
            <w:tab/>
          </w:r>
          <w:r>
            <w:rPr>
              <w:lang w:val="en-GB"/>
            </w:rPr>
            <w:fldChar w:fldCharType="begin"/>
          </w:r>
          <w:r>
            <w:rPr>
              <w:lang w:val="en-GB"/>
            </w:rPr>
            <w:instrText xml:space="preserve"> PAGEREF _Toc237270618 \h </w:instrText>
          </w:r>
          <w:r>
            <w:rPr>
              <w:lang w:val="en-GB"/>
            </w:rPr>
            <w:fldChar w:fldCharType="separate"/>
          </w:r>
          <w:r>
            <w:rPr>
              <w:lang w:val="en-GB"/>
            </w:rPr>
            <w:t>5</w:t>
          </w:r>
          <w:r>
            <w:rPr>
              <w:lang w:val="en-GB"/>
            </w:rPr>
            <w:fldChar w:fldCharType="end"/>
          </w:r>
          <w:r>
            <w:rPr>
              <w:lang w:val="en-GB"/>
            </w:rPr>
            <w:fldChar w:fldCharType="end"/>
          </w:r>
        </w:p>
        <w:p w14:paraId="388998DF">
          <w:pPr>
            <w:pStyle w:val="13"/>
            <w:tabs>
              <w:tab w:val="right" w:leader="dot" w:pos="9350"/>
            </w:tabs>
            <w:spacing w:line="480" w:lineRule="auto"/>
            <w:rPr>
              <w:rFonts w:eastAsiaTheme="minorEastAsia"/>
              <w:lang w:val="en-GB"/>
            </w:rPr>
          </w:pPr>
          <w:r>
            <w:fldChar w:fldCharType="begin"/>
          </w:r>
          <w:r>
            <w:instrText xml:space="preserve"> HYPERLINK \l "_Toc237270619" </w:instrText>
          </w:r>
          <w:r>
            <w:fldChar w:fldCharType="separate"/>
          </w:r>
          <w:r>
            <w:rPr>
              <w:rStyle w:val="11"/>
              <w:bCs/>
              <w:lang w:val="en-GB"/>
            </w:rPr>
            <w:t>National Response to reduce health inequalities in your chosen group</w:t>
          </w:r>
          <w:r>
            <w:rPr>
              <w:lang w:val="en-GB"/>
            </w:rPr>
            <w:tab/>
          </w:r>
          <w:r>
            <w:rPr>
              <w:lang w:val="en-GB"/>
            </w:rPr>
            <w:fldChar w:fldCharType="begin"/>
          </w:r>
          <w:r>
            <w:rPr>
              <w:lang w:val="en-GB"/>
            </w:rPr>
            <w:instrText xml:space="preserve"> PAGEREF _Toc237270619 \h </w:instrText>
          </w:r>
          <w:r>
            <w:rPr>
              <w:lang w:val="en-GB"/>
            </w:rPr>
            <w:fldChar w:fldCharType="separate"/>
          </w:r>
          <w:r>
            <w:rPr>
              <w:lang w:val="en-GB"/>
            </w:rPr>
            <w:t>7</w:t>
          </w:r>
          <w:r>
            <w:rPr>
              <w:lang w:val="en-GB"/>
            </w:rPr>
            <w:fldChar w:fldCharType="end"/>
          </w:r>
          <w:r>
            <w:rPr>
              <w:lang w:val="en-GB"/>
            </w:rPr>
            <w:fldChar w:fldCharType="end"/>
          </w:r>
        </w:p>
        <w:p w14:paraId="11BA7609">
          <w:pPr>
            <w:pStyle w:val="13"/>
            <w:tabs>
              <w:tab w:val="right" w:leader="dot" w:pos="9350"/>
            </w:tabs>
            <w:spacing w:line="480" w:lineRule="auto"/>
            <w:rPr>
              <w:rFonts w:eastAsiaTheme="minorEastAsia"/>
              <w:lang w:val="en-GB"/>
            </w:rPr>
          </w:pPr>
          <w:r>
            <w:fldChar w:fldCharType="begin"/>
          </w:r>
          <w:r>
            <w:instrText xml:space="preserve"> HYPERLINK \l "_Toc237270620" </w:instrText>
          </w:r>
          <w:r>
            <w:fldChar w:fldCharType="separate"/>
          </w:r>
          <w:r>
            <w:rPr>
              <w:rStyle w:val="11"/>
              <w:bCs/>
              <w:lang w:val="en-GB"/>
            </w:rPr>
            <w:t>Organisations that support chosen group</w:t>
          </w:r>
          <w:r>
            <w:rPr>
              <w:lang w:val="en-GB"/>
            </w:rPr>
            <w:tab/>
          </w:r>
          <w:r>
            <w:rPr>
              <w:lang w:val="en-GB"/>
            </w:rPr>
            <w:fldChar w:fldCharType="begin"/>
          </w:r>
          <w:r>
            <w:rPr>
              <w:lang w:val="en-GB"/>
            </w:rPr>
            <w:instrText xml:space="preserve"> PAGEREF _Toc237270620 \h </w:instrText>
          </w:r>
          <w:r>
            <w:rPr>
              <w:lang w:val="en-GB"/>
            </w:rPr>
            <w:fldChar w:fldCharType="separate"/>
          </w:r>
          <w:r>
            <w:rPr>
              <w:lang w:val="en-GB"/>
            </w:rPr>
            <w:t>8</w:t>
          </w:r>
          <w:r>
            <w:rPr>
              <w:lang w:val="en-GB"/>
            </w:rPr>
            <w:fldChar w:fldCharType="end"/>
          </w:r>
          <w:r>
            <w:rPr>
              <w:lang w:val="en-GB"/>
            </w:rPr>
            <w:fldChar w:fldCharType="end"/>
          </w:r>
        </w:p>
        <w:p w14:paraId="394EF4A3">
          <w:pPr>
            <w:pStyle w:val="13"/>
            <w:tabs>
              <w:tab w:val="right" w:leader="dot" w:pos="9350"/>
            </w:tabs>
            <w:spacing w:line="480" w:lineRule="auto"/>
            <w:rPr>
              <w:rFonts w:eastAsiaTheme="minorEastAsia"/>
              <w:lang w:val="en-GB"/>
            </w:rPr>
          </w:pPr>
          <w:r>
            <w:fldChar w:fldCharType="begin"/>
          </w:r>
          <w:r>
            <w:instrText xml:space="preserve"> HYPERLINK \l "_Toc237270621" </w:instrText>
          </w:r>
          <w:r>
            <w:fldChar w:fldCharType="separate"/>
          </w:r>
          <w:r>
            <w:rPr>
              <w:rStyle w:val="11"/>
              <w:bCs/>
              <w:lang w:val="en-GB"/>
            </w:rPr>
            <w:t>Conclusion</w:t>
          </w:r>
          <w:r>
            <w:rPr>
              <w:lang w:val="en-GB"/>
            </w:rPr>
            <w:tab/>
          </w:r>
          <w:r>
            <w:rPr>
              <w:lang w:val="en-GB"/>
            </w:rPr>
            <w:fldChar w:fldCharType="begin"/>
          </w:r>
          <w:r>
            <w:rPr>
              <w:lang w:val="en-GB"/>
            </w:rPr>
            <w:instrText xml:space="preserve"> PAGEREF _Toc237270621 \h </w:instrText>
          </w:r>
          <w:r>
            <w:rPr>
              <w:lang w:val="en-GB"/>
            </w:rPr>
            <w:fldChar w:fldCharType="separate"/>
          </w:r>
          <w:r>
            <w:rPr>
              <w:lang w:val="en-GB"/>
            </w:rPr>
            <w:t>9</w:t>
          </w:r>
          <w:r>
            <w:rPr>
              <w:lang w:val="en-GB"/>
            </w:rPr>
            <w:fldChar w:fldCharType="end"/>
          </w:r>
          <w:r>
            <w:rPr>
              <w:lang w:val="en-GB"/>
            </w:rPr>
            <w:fldChar w:fldCharType="end"/>
          </w:r>
        </w:p>
        <w:p w14:paraId="250BE1FD">
          <w:pPr>
            <w:pStyle w:val="12"/>
            <w:tabs>
              <w:tab w:val="right" w:leader="dot" w:pos="9350"/>
            </w:tabs>
            <w:spacing w:line="480" w:lineRule="auto"/>
            <w:rPr>
              <w:rFonts w:eastAsiaTheme="minorEastAsia"/>
              <w:lang w:val="en-GB"/>
            </w:rPr>
          </w:pPr>
          <w:r>
            <w:fldChar w:fldCharType="begin"/>
          </w:r>
          <w:r>
            <w:instrText xml:space="preserve"> HYPERLINK \l "_Toc237270622" </w:instrText>
          </w:r>
          <w:r>
            <w:fldChar w:fldCharType="separate"/>
          </w:r>
          <w:r>
            <w:rPr>
              <w:rStyle w:val="11"/>
              <w:bCs/>
              <w:lang w:val="en-GB"/>
            </w:rPr>
            <w:t>Task 2:  Epidemiological Analysis</w:t>
          </w:r>
          <w:r>
            <w:rPr>
              <w:lang w:val="en-GB"/>
            </w:rPr>
            <w:tab/>
          </w:r>
          <w:r>
            <w:rPr>
              <w:lang w:val="en-GB"/>
            </w:rPr>
            <w:fldChar w:fldCharType="begin"/>
          </w:r>
          <w:r>
            <w:rPr>
              <w:lang w:val="en-GB"/>
            </w:rPr>
            <w:instrText xml:space="preserve"> PAGEREF _Toc237270622 \h </w:instrText>
          </w:r>
          <w:r>
            <w:rPr>
              <w:lang w:val="en-GB"/>
            </w:rPr>
            <w:fldChar w:fldCharType="separate"/>
          </w:r>
          <w:r>
            <w:rPr>
              <w:lang w:val="en-GB"/>
            </w:rPr>
            <w:t>11</w:t>
          </w:r>
          <w:r>
            <w:rPr>
              <w:lang w:val="en-GB"/>
            </w:rPr>
            <w:fldChar w:fldCharType="end"/>
          </w:r>
          <w:r>
            <w:rPr>
              <w:lang w:val="en-GB"/>
            </w:rPr>
            <w:fldChar w:fldCharType="end"/>
          </w:r>
        </w:p>
        <w:p w14:paraId="53E97968">
          <w:pPr>
            <w:pStyle w:val="13"/>
            <w:tabs>
              <w:tab w:val="right" w:leader="dot" w:pos="9350"/>
            </w:tabs>
            <w:spacing w:line="480" w:lineRule="auto"/>
            <w:rPr>
              <w:rFonts w:eastAsiaTheme="minorEastAsia"/>
              <w:lang w:val="en-GB"/>
            </w:rPr>
          </w:pPr>
          <w:r>
            <w:fldChar w:fldCharType="begin"/>
          </w:r>
          <w:r>
            <w:instrText xml:space="preserve"> HYPERLINK \l "_Toc237270623" </w:instrText>
          </w:r>
          <w:r>
            <w:fldChar w:fldCharType="separate"/>
          </w:r>
          <w:r>
            <w:rPr>
              <w:rStyle w:val="11"/>
              <w:bCs/>
              <w:lang w:val="en-GB"/>
            </w:rPr>
            <w:t>Introduction</w:t>
          </w:r>
          <w:r>
            <w:rPr>
              <w:lang w:val="en-GB"/>
            </w:rPr>
            <w:tab/>
          </w:r>
          <w:r>
            <w:rPr>
              <w:lang w:val="en-GB"/>
            </w:rPr>
            <w:fldChar w:fldCharType="begin"/>
          </w:r>
          <w:r>
            <w:rPr>
              <w:lang w:val="en-GB"/>
            </w:rPr>
            <w:instrText xml:space="preserve"> PAGEREF _Toc237270623 \h </w:instrText>
          </w:r>
          <w:r>
            <w:rPr>
              <w:lang w:val="en-GB"/>
            </w:rPr>
            <w:fldChar w:fldCharType="separate"/>
          </w:r>
          <w:r>
            <w:rPr>
              <w:lang w:val="en-GB"/>
            </w:rPr>
            <w:t>11</w:t>
          </w:r>
          <w:r>
            <w:rPr>
              <w:lang w:val="en-GB"/>
            </w:rPr>
            <w:fldChar w:fldCharType="end"/>
          </w:r>
          <w:r>
            <w:rPr>
              <w:lang w:val="en-GB"/>
            </w:rPr>
            <w:fldChar w:fldCharType="end"/>
          </w:r>
        </w:p>
        <w:p w14:paraId="3EE36419">
          <w:pPr>
            <w:pStyle w:val="14"/>
            <w:tabs>
              <w:tab w:val="right" w:leader="dot" w:pos="9350"/>
            </w:tabs>
            <w:spacing w:line="480" w:lineRule="auto"/>
            <w:rPr>
              <w:rFonts w:eastAsiaTheme="minorEastAsia"/>
              <w:lang w:val="en-GB"/>
            </w:rPr>
          </w:pPr>
          <w:r>
            <w:fldChar w:fldCharType="begin"/>
          </w:r>
          <w:r>
            <w:instrText xml:space="preserve"> HYPERLINK \l "_Toc237270624" </w:instrText>
          </w:r>
          <w:r>
            <w:fldChar w:fldCharType="separate"/>
          </w:r>
          <w:r>
            <w:rPr>
              <w:rStyle w:val="11"/>
              <w:bCs/>
              <w:iCs/>
              <w:lang w:val="en-GB"/>
            </w:rPr>
            <w:t>Consequences and definition</w:t>
          </w:r>
          <w:r>
            <w:rPr>
              <w:lang w:val="en-GB"/>
            </w:rPr>
            <w:tab/>
          </w:r>
          <w:r>
            <w:rPr>
              <w:lang w:val="en-GB"/>
            </w:rPr>
            <w:fldChar w:fldCharType="begin"/>
          </w:r>
          <w:r>
            <w:rPr>
              <w:lang w:val="en-GB"/>
            </w:rPr>
            <w:instrText xml:space="preserve"> PAGEREF _Toc237270624 \h </w:instrText>
          </w:r>
          <w:r>
            <w:rPr>
              <w:lang w:val="en-GB"/>
            </w:rPr>
            <w:fldChar w:fldCharType="separate"/>
          </w:r>
          <w:r>
            <w:rPr>
              <w:lang w:val="en-GB"/>
            </w:rPr>
            <w:t>11</w:t>
          </w:r>
          <w:r>
            <w:rPr>
              <w:lang w:val="en-GB"/>
            </w:rPr>
            <w:fldChar w:fldCharType="end"/>
          </w:r>
          <w:r>
            <w:rPr>
              <w:lang w:val="en-GB"/>
            </w:rPr>
            <w:fldChar w:fldCharType="end"/>
          </w:r>
        </w:p>
        <w:p w14:paraId="3483DA57">
          <w:pPr>
            <w:pStyle w:val="14"/>
            <w:tabs>
              <w:tab w:val="right" w:leader="dot" w:pos="9350"/>
            </w:tabs>
            <w:spacing w:line="480" w:lineRule="auto"/>
            <w:rPr>
              <w:rFonts w:eastAsiaTheme="minorEastAsia"/>
              <w:lang w:val="en-GB"/>
            </w:rPr>
          </w:pPr>
          <w:r>
            <w:fldChar w:fldCharType="begin"/>
          </w:r>
          <w:r>
            <w:instrText xml:space="preserve"> HYPERLINK \l "_Toc237270625" </w:instrText>
          </w:r>
          <w:r>
            <w:fldChar w:fldCharType="separate"/>
          </w:r>
          <w:r>
            <w:rPr>
              <w:rStyle w:val="11"/>
              <w:bCs/>
              <w:iCs/>
              <w:lang w:val="en-GB"/>
            </w:rPr>
            <w:t>UK and global prevalence</w:t>
          </w:r>
          <w:r>
            <w:rPr>
              <w:lang w:val="en-GB"/>
            </w:rPr>
            <w:tab/>
          </w:r>
          <w:r>
            <w:rPr>
              <w:lang w:val="en-GB"/>
            </w:rPr>
            <w:fldChar w:fldCharType="begin"/>
          </w:r>
          <w:r>
            <w:rPr>
              <w:lang w:val="en-GB"/>
            </w:rPr>
            <w:instrText xml:space="preserve"> PAGEREF _Toc237270625 \h </w:instrText>
          </w:r>
          <w:r>
            <w:rPr>
              <w:lang w:val="en-GB"/>
            </w:rPr>
            <w:fldChar w:fldCharType="separate"/>
          </w:r>
          <w:r>
            <w:rPr>
              <w:lang w:val="en-GB"/>
            </w:rPr>
            <w:t>11</w:t>
          </w:r>
          <w:r>
            <w:rPr>
              <w:lang w:val="en-GB"/>
            </w:rPr>
            <w:fldChar w:fldCharType="end"/>
          </w:r>
          <w:r>
            <w:rPr>
              <w:lang w:val="en-GB"/>
            </w:rPr>
            <w:fldChar w:fldCharType="end"/>
          </w:r>
        </w:p>
        <w:p w14:paraId="415C0B7B">
          <w:pPr>
            <w:pStyle w:val="13"/>
            <w:tabs>
              <w:tab w:val="right" w:leader="dot" w:pos="9350"/>
            </w:tabs>
            <w:spacing w:line="480" w:lineRule="auto"/>
            <w:rPr>
              <w:rFonts w:eastAsiaTheme="minorEastAsia"/>
              <w:lang w:val="en-GB"/>
            </w:rPr>
          </w:pPr>
          <w:r>
            <w:fldChar w:fldCharType="begin"/>
          </w:r>
          <w:r>
            <w:instrText xml:space="preserve"> HYPERLINK \l "_Toc237270626" </w:instrText>
          </w:r>
          <w:r>
            <w:fldChar w:fldCharType="separate"/>
          </w:r>
          <w:r>
            <w:rPr>
              <w:rStyle w:val="11"/>
              <w:bCs/>
              <w:lang w:val="en-GB"/>
            </w:rPr>
            <w:t>Main Body</w:t>
          </w:r>
          <w:r>
            <w:rPr>
              <w:lang w:val="en-GB"/>
            </w:rPr>
            <w:tab/>
          </w:r>
          <w:r>
            <w:rPr>
              <w:lang w:val="en-GB"/>
            </w:rPr>
            <w:fldChar w:fldCharType="begin"/>
          </w:r>
          <w:r>
            <w:rPr>
              <w:lang w:val="en-GB"/>
            </w:rPr>
            <w:instrText xml:space="preserve"> PAGEREF _Toc237270626 \h </w:instrText>
          </w:r>
          <w:r>
            <w:rPr>
              <w:lang w:val="en-GB"/>
            </w:rPr>
            <w:fldChar w:fldCharType="separate"/>
          </w:r>
          <w:r>
            <w:rPr>
              <w:lang w:val="en-GB"/>
            </w:rPr>
            <w:t>11</w:t>
          </w:r>
          <w:r>
            <w:rPr>
              <w:lang w:val="en-GB"/>
            </w:rPr>
            <w:fldChar w:fldCharType="end"/>
          </w:r>
          <w:r>
            <w:rPr>
              <w:lang w:val="en-GB"/>
            </w:rPr>
            <w:fldChar w:fldCharType="end"/>
          </w:r>
        </w:p>
        <w:p w14:paraId="0331394A">
          <w:pPr>
            <w:pStyle w:val="14"/>
            <w:tabs>
              <w:tab w:val="right" w:leader="dot" w:pos="9350"/>
            </w:tabs>
            <w:spacing w:line="480" w:lineRule="auto"/>
            <w:rPr>
              <w:rFonts w:eastAsiaTheme="minorEastAsia"/>
              <w:lang w:val="en-GB"/>
            </w:rPr>
          </w:pPr>
          <w:r>
            <w:fldChar w:fldCharType="begin"/>
          </w:r>
          <w:r>
            <w:instrText xml:space="preserve"> HYPERLINK \l "_Toc237270627" </w:instrText>
          </w:r>
          <w:r>
            <w:fldChar w:fldCharType="separate"/>
          </w:r>
          <w:r>
            <w:rPr>
              <w:rStyle w:val="11"/>
              <w:bCs/>
              <w:iCs/>
              <w:lang w:val="en-GB"/>
            </w:rPr>
            <w:t>Public Health measures applying 3Ps</w:t>
          </w:r>
          <w:r>
            <w:rPr>
              <w:lang w:val="en-GB"/>
            </w:rPr>
            <w:tab/>
          </w:r>
          <w:r>
            <w:rPr>
              <w:lang w:val="en-GB"/>
            </w:rPr>
            <w:fldChar w:fldCharType="begin"/>
          </w:r>
          <w:r>
            <w:rPr>
              <w:lang w:val="en-GB"/>
            </w:rPr>
            <w:instrText xml:space="preserve"> PAGEREF _Toc237270627 \h </w:instrText>
          </w:r>
          <w:r>
            <w:rPr>
              <w:lang w:val="en-GB"/>
            </w:rPr>
            <w:fldChar w:fldCharType="separate"/>
          </w:r>
          <w:r>
            <w:rPr>
              <w:lang w:val="en-GB"/>
            </w:rPr>
            <w:t>11</w:t>
          </w:r>
          <w:r>
            <w:rPr>
              <w:lang w:val="en-GB"/>
            </w:rPr>
            <w:fldChar w:fldCharType="end"/>
          </w:r>
          <w:r>
            <w:rPr>
              <w:lang w:val="en-GB"/>
            </w:rPr>
            <w:fldChar w:fldCharType="end"/>
          </w:r>
        </w:p>
        <w:p w14:paraId="126F89ED">
          <w:pPr>
            <w:pStyle w:val="14"/>
            <w:tabs>
              <w:tab w:val="right" w:leader="dot" w:pos="9350"/>
            </w:tabs>
            <w:spacing w:line="480" w:lineRule="auto"/>
            <w:rPr>
              <w:rFonts w:eastAsiaTheme="minorEastAsia"/>
              <w:lang w:val="en-GB"/>
            </w:rPr>
          </w:pPr>
          <w:r>
            <w:fldChar w:fldCharType="begin"/>
          </w:r>
          <w:r>
            <w:instrText xml:space="preserve"> HYPERLINK \l "_Toc237270628" </w:instrText>
          </w:r>
          <w:r>
            <w:fldChar w:fldCharType="separate"/>
          </w:r>
          <w:r>
            <w:rPr>
              <w:rStyle w:val="11"/>
              <w:bCs/>
              <w:iCs/>
              <w:lang w:val="en-GB"/>
            </w:rPr>
            <w:t>Major risk factor and determinant</w:t>
          </w:r>
          <w:r>
            <w:rPr>
              <w:lang w:val="en-GB"/>
            </w:rPr>
            <w:tab/>
          </w:r>
          <w:r>
            <w:rPr>
              <w:lang w:val="en-GB"/>
            </w:rPr>
            <w:fldChar w:fldCharType="begin"/>
          </w:r>
          <w:r>
            <w:rPr>
              <w:lang w:val="en-GB"/>
            </w:rPr>
            <w:instrText xml:space="preserve"> PAGEREF _Toc237270628 \h </w:instrText>
          </w:r>
          <w:r>
            <w:rPr>
              <w:lang w:val="en-GB"/>
            </w:rPr>
            <w:fldChar w:fldCharType="separate"/>
          </w:r>
          <w:r>
            <w:rPr>
              <w:lang w:val="en-GB"/>
            </w:rPr>
            <w:t>12</w:t>
          </w:r>
          <w:r>
            <w:rPr>
              <w:lang w:val="en-GB"/>
            </w:rPr>
            <w:fldChar w:fldCharType="end"/>
          </w:r>
          <w:r>
            <w:rPr>
              <w:lang w:val="en-GB"/>
            </w:rPr>
            <w:fldChar w:fldCharType="end"/>
          </w:r>
        </w:p>
        <w:p w14:paraId="5C0B0BDC">
          <w:pPr>
            <w:pStyle w:val="14"/>
            <w:tabs>
              <w:tab w:val="right" w:leader="dot" w:pos="9350"/>
            </w:tabs>
            <w:spacing w:line="480" w:lineRule="auto"/>
            <w:rPr>
              <w:rFonts w:eastAsiaTheme="minorEastAsia"/>
              <w:lang w:val="en-GB"/>
            </w:rPr>
          </w:pPr>
          <w:r>
            <w:fldChar w:fldCharType="begin"/>
          </w:r>
          <w:r>
            <w:instrText xml:space="preserve"> HYPERLINK \l "_Toc237270629" </w:instrText>
          </w:r>
          <w:r>
            <w:fldChar w:fldCharType="separate"/>
          </w:r>
          <w:r>
            <w:rPr>
              <w:rStyle w:val="11"/>
              <w:bCs/>
              <w:iCs/>
              <w:lang w:val="en-GB"/>
            </w:rPr>
            <w:t>Health need assessment and epistemological studies</w:t>
          </w:r>
          <w:r>
            <w:rPr>
              <w:lang w:val="en-GB"/>
            </w:rPr>
            <w:tab/>
          </w:r>
          <w:r>
            <w:rPr>
              <w:lang w:val="en-GB"/>
            </w:rPr>
            <w:fldChar w:fldCharType="begin"/>
          </w:r>
          <w:r>
            <w:rPr>
              <w:lang w:val="en-GB"/>
            </w:rPr>
            <w:instrText xml:space="preserve"> PAGEREF _Toc237270629 \h </w:instrText>
          </w:r>
          <w:r>
            <w:rPr>
              <w:lang w:val="en-GB"/>
            </w:rPr>
            <w:fldChar w:fldCharType="separate"/>
          </w:r>
          <w:r>
            <w:rPr>
              <w:lang w:val="en-GB"/>
            </w:rPr>
            <w:t>13</w:t>
          </w:r>
          <w:r>
            <w:rPr>
              <w:lang w:val="en-GB"/>
            </w:rPr>
            <w:fldChar w:fldCharType="end"/>
          </w:r>
          <w:r>
            <w:rPr>
              <w:lang w:val="en-GB"/>
            </w:rPr>
            <w:fldChar w:fldCharType="end"/>
          </w:r>
        </w:p>
        <w:p w14:paraId="2ED2E1B2">
          <w:pPr>
            <w:pStyle w:val="14"/>
            <w:tabs>
              <w:tab w:val="right" w:leader="dot" w:pos="9350"/>
            </w:tabs>
            <w:spacing w:line="480" w:lineRule="auto"/>
            <w:rPr>
              <w:rFonts w:eastAsiaTheme="minorEastAsia"/>
              <w:lang w:val="en-GB"/>
            </w:rPr>
          </w:pPr>
          <w:r>
            <w:fldChar w:fldCharType="begin"/>
          </w:r>
          <w:r>
            <w:instrText xml:space="preserve"> HYPERLINK \l "_Toc237270630" </w:instrText>
          </w:r>
          <w:r>
            <w:fldChar w:fldCharType="separate"/>
          </w:r>
          <w:r>
            <w:rPr>
              <w:rStyle w:val="11"/>
              <w:bCs/>
              <w:iCs/>
              <w:lang w:val="en-GB"/>
            </w:rPr>
            <w:t>Servillians system and epistemological monitoring</w:t>
          </w:r>
          <w:r>
            <w:rPr>
              <w:lang w:val="en-GB"/>
            </w:rPr>
            <w:tab/>
          </w:r>
          <w:r>
            <w:rPr>
              <w:lang w:val="en-GB"/>
            </w:rPr>
            <w:fldChar w:fldCharType="begin"/>
          </w:r>
          <w:r>
            <w:rPr>
              <w:lang w:val="en-GB"/>
            </w:rPr>
            <w:instrText xml:space="preserve"> PAGEREF _Toc237270630 \h </w:instrText>
          </w:r>
          <w:r>
            <w:rPr>
              <w:lang w:val="en-GB"/>
            </w:rPr>
            <w:fldChar w:fldCharType="separate"/>
          </w:r>
          <w:r>
            <w:rPr>
              <w:lang w:val="en-GB"/>
            </w:rPr>
            <w:t>14</w:t>
          </w:r>
          <w:r>
            <w:rPr>
              <w:lang w:val="en-GB"/>
            </w:rPr>
            <w:fldChar w:fldCharType="end"/>
          </w:r>
          <w:r>
            <w:rPr>
              <w:lang w:val="en-GB"/>
            </w:rPr>
            <w:fldChar w:fldCharType="end"/>
          </w:r>
        </w:p>
        <w:p w14:paraId="6B293D48">
          <w:pPr>
            <w:pStyle w:val="14"/>
            <w:tabs>
              <w:tab w:val="right" w:leader="dot" w:pos="9350"/>
            </w:tabs>
            <w:spacing w:line="480" w:lineRule="auto"/>
            <w:rPr>
              <w:rFonts w:eastAsiaTheme="minorEastAsia"/>
              <w:lang w:val="en-GB"/>
            </w:rPr>
          </w:pPr>
          <w:r>
            <w:fldChar w:fldCharType="begin"/>
          </w:r>
          <w:r>
            <w:instrText xml:space="preserve"> HYPERLINK \l "_Toc237270631" </w:instrText>
          </w:r>
          <w:r>
            <w:fldChar w:fldCharType="separate"/>
          </w:r>
          <w:r>
            <w:rPr>
              <w:rStyle w:val="11"/>
              <w:bCs/>
              <w:iCs/>
              <w:lang w:val="en-GB"/>
            </w:rPr>
            <w:t>Public Health consequences and impact</w:t>
          </w:r>
          <w:r>
            <w:rPr>
              <w:lang w:val="en-GB"/>
            </w:rPr>
            <w:tab/>
          </w:r>
          <w:r>
            <w:rPr>
              <w:lang w:val="en-GB"/>
            </w:rPr>
            <w:fldChar w:fldCharType="begin"/>
          </w:r>
          <w:r>
            <w:rPr>
              <w:lang w:val="en-GB"/>
            </w:rPr>
            <w:instrText xml:space="preserve"> PAGEREF _Toc237270631 \h </w:instrText>
          </w:r>
          <w:r>
            <w:rPr>
              <w:lang w:val="en-GB"/>
            </w:rPr>
            <w:fldChar w:fldCharType="separate"/>
          </w:r>
          <w:r>
            <w:rPr>
              <w:lang w:val="en-GB"/>
            </w:rPr>
            <w:t>14</w:t>
          </w:r>
          <w:r>
            <w:rPr>
              <w:lang w:val="en-GB"/>
            </w:rPr>
            <w:fldChar w:fldCharType="end"/>
          </w:r>
          <w:r>
            <w:rPr>
              <w:lang w:val="en-GB"/>
            </w:rPr>
            <w:fldChar w:fldCharType="end"/>
          </w:r>
        </w:p>
        <w:p w14:paraId="2820E845">
          <w:pPr>
            <w:pStyle w:val="14"/>
            <w:tabs>
              <w:tab w:val="right" w:leader="dot" w:pos="9350"/>
            </w:tabs>
            <w:spacing w:line="480" w:lineRule="auto"/>
            <w:rPr>
              <w:rFonts w:eastAsiaTheme="minorEastAsia"/>
              <w:lang w:val="en-GB"/>
            </w:rPr>
          </w:pPr>
          <w:r>
            <w:fldChar w:fldCharType="begin"/>
          </w:r>
          <w:r>
            <w:instrText xml:space="preserve"> HYPERLINK \l "_Toc237270632" </w:instrText>
          </w:r>
          <w:r>
            <w:fldChar w:fldCharType="separate"/>
          </w:r>
          <w:r>
            <w:rPr>
              <w:rStyle w:val="11"/>
              <w:bCs/>
              <w:iCs/>
              <w:lang w:val="en-GB"/>
            </w:rPr>
            <w:t>Proposed health intervention and evaluation</w:t>
          </w:r>
          <w:r>
            <w:rPr>
              <w:lang w:val="en-GB"/>
            </w:rPr>
            <w:tab/>
          </w:r>
          <w:r>
            <w:rPr>
              <w:lang w:val="en-GB"/>
            </w:rPr>
            <w:fldChar w:fldCharType="begin"/>
          </w:r>
          <w:r>
            <w:rPr>
              <w:lang w:val="en-GB"/>
            </w:rPr>
            <w:instrText xml:space="preserve"> PAGEREF _Toc237270632 \h </w:instrText>
          </w:r>
          <w:r>
            <w:rPr>
              <w:lang w:val="en-GB"/>
            </w:rPr>
            <w:fldChar w:fldCharType="separate"/>
          </w:r>
          <w:r>
            <w:rPr>
              <w:lang w:val="en-GB"/>
            </w:rPr>
            <w:t>15</w:t>
          </w:r>
          <w:r>
            <w:rPr>
              <w:lang w:val="en-GB"/>
            </w:rPr>
            <w:fldChar w:fldCharType="end"/>
          </w:r>
          <w:r>
            <w:rPr>
              <w:lang w:val="en-GB"/>
            </w:rPr>
            <w:fldChar w:fldCharType="end"/>
          </w:r>
        </w:p>
        <w:p w14:paraId="117B7550">
          <w:pPr>
            <w:pStyle w:val="14"/>
            <w:tabs>
              <w:tab w:val="right" w:leader="dot" w:pos="9350"/>
            </w:tabs>
            <w:spacing w:line="480" w:lineRule="auto"/>
            <w:rPr>
              <w:rFonts w:eastAsiaTheme="minorEastAsia"/>
              <w:lang w:val="en-GB"/>
            </w:rPr>
          </w:pPr>
          <w:r>
            <w:fldChar w:fldCharType="begin"/>
          </w:r>
          <w:r>
            <w:instrText xml:space="preserve"> HYPERLINK \l "_Toc237270633" </w:instrText>
          </w:r>
          <w:r>
            <w:fldChar w:fldCharType="separate"/>
          </w:r>
          <w:r>
            <w:rPr>
              <w:rStyle w:val="11"/>
              <w:bCs/>
              <w:iCs/>
              <w:lang w:val="en-GB"/>
            </w:rPr>
            <w:t>Epistemological limitations, strengths, and weaknesses</w:t>
          </w:r>
          <w:r>
            <w:rPr>
              <w:lang w:val="en-GB"/>
            </w:rPr>
            <w:tab/>
          </w:r>
          <w:r>
            <w:rPr>
              <w:lang w:val="en-GB"/>
            </w:rPr>
            <w:fldChar w:fldCharType="begin"/>
          </w:r>
          <w:r>
            <w:rPr>
              <w:lang w:val="en-GB"/>
            </w:rPr>
            <w:instrText xml:space="preserve"> PAGEREF _Toc237270633 \h </w:instrText>
          </w:r>
          <w:r>
            <w:rPr>
              <w:lang w:val="en-GB"/>
            </w:rPr>
            <w:fldChar w:fldCharType="separate"/>
          </w:r>
          <w:r>
            <w:rPr>
              <w:lang w:val="en-GB"/>
            </w:rPr>
            <w:t>18</w:t>
          </w:r>
          <w:r>
            <w:rPr>
              <w:lang w:val="en-GB"/>
            </w:rPr>
            <w:fldChar w:fldCharType="end"/>
          </w:r>
          <w:r>
            <w:rPr>
              <w:lang w:val="en-GB"/>
            </w:rPr>
            <w:fldChar w:fldCharType="end"/>
          </w:r>
        </w:p>
        <w:p w14:paraId="48503429">
          <w:pPr>
            <w:pStyle w:val="13"/>
            <w:tabs>
              <w:tab w:val="right" w:leader="dot" w:pos="9350"/>
            </w:tabs>
            <w:spacing w:line="480" w:lineRule="auto"/>
            <w:rPr>
              <w:rFonts w:eastAsiaTheme="minorEastAsia"/>
              <w:lang w:val="en-GB"/>
            </w:rPr>
          </w:pPr>
          <w:r>
            <w:fldChar w:fldCharType="begin"/>
          </w:r>
          <w:r>
            <w:instrText xml:space="preserve"> HYPERLINK \l "_Toc237270634" </w:instrText>
          </w:r>
          <w:r>
            <w:fldChar w:fldCharType="separate"/>
          </w:r>
          <w:r>
            <w:rPr>
              <w:rStyle w:val="11"/>
              <w:bCs/>
              <w:lang w:val="en-GB"/>
            </w:rPr>
            <w:t>Conclusion</w:t>
          </w:r>
          <w:r>
            <w:rPr>
              <w:lang w:val="en-GB"/>
            </w:rPr>
            <w:tab/>
          </w:r>
          <w:r>
            <w:rPr>
              <w:lang w:val="en-GB"/>
            </w:rPr>
            <w:fldChar w:fldCharType="begin"/>
          </w:r>
          <w:r>
            <w:rPr>
              <w:lang w:val="en-GB"/>
            </w:rPr>
            <w:instrText xml:space="preserve"> PAGEREF _Toc237270634 \h </w:instrText>
          </w:r>
          <w:r>
            <w:rPr>
              <w:lang w:val="en-GB"/>
            </w:rPr>
            <w:fldChar w:fldCharType="separate"/>
          </w:r>
          <w:r>
            <w:rPr>
              <w:lang w:val="en-GB"/>
            </w:rPr>
            <w:t>19</w:t>
          </w:r>
          <w:r>
            <w:rPr>
              <w:lang w:val="en-GB"/>
            </w:rPr>
            <w:fldChar w:fldCharType="end"/>
          </w:r>
          <w:r>
            <w:rPr>
              <w:lang w:val="en-GB"/>
            </w:rPr>
            <w:fldChar w:fldCharType="end"/>
          </w:r>
        </w:p>
        <w:p w14:paraId="47EDE847">
          <w:pPr>
            <w:pStyle w:val="13"/>
            <w:tabs>
              <w:tab w:val="right" w:leader="dot" w:pos="9350"/>
            </w:tabs>
            <w:spacing w:line="480" w:lineRule="auto"/>
            <w:rPr>
              <w:rFonts w:eastAsiaTheme="minorEastAsia"/>
              <w:lang w:val="en-GB"/>
            </w:rPr>
          </w:pPr>
          <w:r>
            <w:fldChar w:fldCharType="begin"/>
          </w:r>
          <w:r>
            <w:instrText xml:space="preserve"> HYPERLINK \l "_Toc237270635" </w:instrText>
          </w:r>
          <w:r>
            <w:fldChar w:fldCharType="separate"/>
          </w:r>
          <w:r>
            <w:rPr>
              <w:rStyle w:val="11"/>
              <w:bCs/>
              <w:lang w:val="en-GB"/>
            </w:rPr>
            <w:t>Task 1</w:t>
          </w:r>
          <w:r>
            <w:rPr>
              <w:lang w:val="en-GB"/>
            </w:rPr>
            <w:tab/>
          </w:r>
          <w:r>
            <w:rPr>
              <w:lang w:val="en-GB"/>
            </w:rPr>
            <w:fldChar w:fldCharType="begin"/>
          </w:r>
          <w:r>
            <w:rPr>
              <w:lang w:val="en-GB"/>
            </w:rPr>
            <w:instrText xml:space="preserve"> PAGEREF _Toc237270635 \h </w:instrText>
          </w:r>
          <w:r>
            <w:rPr>
              <w:lang w:val="en-GB"/>
            </w:rPr>
            <w:fldChar w:fldCharType="separate"/>
          </w:r>
          <w:r>
            <w:rPr>
              <w:lang w:val="en-GB"/>
            </w:rPr>
            <w:t>21</w:t>
          </w:r>
          <w:r>
            <w:rPr>
              <w:lang w:val="en-GB"/>
            </w:rPr>
            <w:fldChar w:fldCharType="end"/>
          </w:r>
          <w:r>
            <w:rPr>
              <w:lang w:val="en-GB"/>
            </w:rPr>
            <w:fldChar w:fldCharType="end"/>
          </w:r>
        </w:p>
        <w:p w14:paraId="0CF4CE67">
          <w:pPr>
            <w:pStyle w:val="13"/>
            <w:tabs>
              <w:tab w:val="right" w:leader="dot" w:pos="9350"/>
            </w:tabs>
            <w:spacing w:line="480" w:lineRule="auto"/>
            <w:rPr>
              <w:rFonts w:eastAsiaTheme="minorEastAsia"/>
              <w:lang w:val="en-GB"/>
            </w:rPr>
          </w:pPr>
          <w:r>
            <w:fldChar w:fldCharType="begin"/>
          </w:r>
          <w:r>
            <w:instrText xml:space="preserve"> HYPERLINK \l "_Toc237270636" </w:instrText>
          </w:r>
          <w:r>
            <w:fldChar w:fldCharType="separate"/>
          </w:r>
          <w:r>
            <w:rPr>
              <w:rStyle w:val="11"/>
              <w:bCs/>
              <w:lang w:val="en-GB"/>
            </w:rPr>
            <w:t>Task 2</w:t>
          </w:r>
          <w:r>
            <w:rPr>
              <w:lang w:val="en-GB"/>
            </w:rPr>
            <w:tab/>
          </w:r>
          <w:r>
            <w:rPr>
              <w:lang w:val="en-GB"/>
            </w:rPr>
            <w:fldChar w:fldCharType="begin"/>
          </w:r>
          <w:r>
            <w:rPr>
              <w:lang w:val="en-GB"/>
            </w:rPr>
            <w:instrText xml:space="preserve"> PAGEREF _Toc237270636 \h </w:instrText>
          </w:r>
          <w:r>
            <w:rPr>
              <w:lang w:val="en-GB"/>
            </w:rPr>
            <w:fldChar w:fldCharType="separate"/>
          </w:r>
          <w:r>
            <w:rPr>
              <w:lang w:val="en-GB"/>
            </w:rPr>
            <w:t>23</w:t>
          </w:r>
          <w:r>
            <w:rPr>
              <w:lang w:val="en-GB"/>
            </w:rPr>
            <w:fldChar w:fldCharType="end"/>
          </w:r>
          <w:r>
            <w:rPr>
              <w:lang w:val="en-GB"/>
            </w:rPr>
            <w:fldChar w:fldCharType="end"/>
          </w:r>
        </w:p>
        <w:p w14:paraId="269EFA65">
          <w:pPr>
            <w:rPr>
              <w:lang w:val="en-GB"/>
            </w:rPr>
          </w:pPr>
          <w:r>
            <w:rPr>
              <w:b/>
              <w:bCs/>
              <w:lang w:val="en-GB"/>
            </w:rPr>
            <w:fldChar w:fldCharType="end"/>
          </w:r>
        </w:p>
      </w:sdtContent>
    </w:sdt>
    <w:p w14:paraId="3BF8B847">
      <w:pPr>
        <w:spacing w:line="480" w:lineRule="auto"/>
        <w:jc w:val="both"/>
        <w:rPr>
          <w:lang w:val="en-GB"/>
        </w:rPr>
      </w:pPr>
    </w:p>
    <w:p w14:paraId="4FC24F7D">
      <w:pPr>
        <w:spacing w:after="160" w:line="480" w:lineRule="auto"/>
        <w:rPr>
          <w:rFonts w:eastAsiaTheme="majorEastAsia"/>
          <w:b/>
          <w:bCs/>
          <w:color w:val="000000" w:themeColor="text1"/>
          <w:lang w:val="en-GB"/>
        </w:rPr>
      </w:pPr>
      <w:bookmarkStart w:id="1" w:name="_fr8r469kigx7" w:colFirst="0" w:colLast="0"/>
      <w:bookmarkEnd w:id="1"/>
      <w:r>
        <w:rPr>
          <w:bCs/>
          <w:lang w:val="en-GB"/>
        </w:rPr>
        <w:br w:type="page"/>
      </w:r>
    </w:p>
    <w:p w14:paraId="6C704420">
      <w:pPr>
        <w:pStyle w:val="2"/>
        <w:spacing w:line="480" w:lineRule="auto"/>
        <w:rPr>
          <w:rFonts w:ascii="Arial" w:hAnsi="Arial" w:cs="Arial"/>
          <w:b w:val="0"/>
          <w:bCs/>
          <w:sz w:val="22"/>
          <w:szCs w:val="22"/>
          <w:lang w:val="en-GB"/>
        </w:rPr>
      </w:pPr>
      <w:bookmarkStart w:id="2" w:name="_Toc237270614"/>
      <w:r>
        <w:rPr>
          <w:rFonts w:ascii="Arial" w:hAnsi="Arial" w:cs="Arial"/>
          <w:bCs/>
          <w:sz w:val="22"/>
          <w:szCs w:val="22"/>
          <w:lang w:val="en-GB"/>
        </w:rPr>
        <w:t>Task 1: Social Epidemiological Analysis</w:t>
      </w:r>
      <w:bookmarkEnd w:id="2"/>
    </w:p>
    <w:p w14:paraId="29F27809">
      <w:pPr>
        <w:pStyle w:val="3"/>
        <w:spacing w:line="480" w:lineRule="auto"/>
        <w:rPr>
          <w:rFonts w:ascii="Arial" w:hAnsi="Arial" w:cs="Arial"/>
          <w:b w:val="0"/>
          <w:bCs/>
          <w:sz w:val="22"/>
          <w:szCs w:val="22"/>
          <w:lang w:val="en-GB"/>
        </w:rPr>
      </w:pPr>
      <w:bookmarkStart w:id="3" w:name="_sttcabx3u7y9" w:colFirst="0" w:colLast="0"/>
      <w:bookmarkEnd w:id="3"/>
      <w:bookmarkStart w:id="4" w:name="_Toc237270615"/>
      <w:r>
        <w:rPr>
          <w:rFonts w:ascii="Arial" w:hAnsi="Arial" w:cs="Arial"/>
          <w:bCs/>
          <w:sz w:val="22"/>
          <w:szCs w:val="22"/>
          <w:lang w:val="en-GB"/>
        </w:rPr>
        <w:t>Introduction</w:t>
      </w:r>
      <w:bookmarkEnd w:id="4"/>
    </w:p>
    <w:p w14:paraId="55F3C736">
      <w:pPr>
        <w:spacing w:line="480" w:lineRule="auto"/>
        <w:jc w:val="both"/>
        <w:rPr>
          <w:lang w:val="en-GB"/>
        </w:rPr>
      </w:pPr>
      <w:r>
        <w:rPr>
          <w:lang w:val="en-GB"/>
        </w:rPr>
        <w:t>Adults with learning disabilities are people aged 18 and above experiencing significant difficulty with adaptive skills and intellectual functioning. It impacts independence and everyday activities (NHS England, 2024). The group in England faces a lack of proportionate health equality because social exclusion, communication barriers, difficulty in accessing appropriate health care and socioeconomic disadvantage increase exposure to health risks. The inequality contributes to poor mental and physical health, unmet healthcare requirements and premature mortality. As a result, examining health outcomes, social determinants and national responses affecting adults with learning disabilities is important for reducing avoidable inequality.</w:t>
      </w:r>
    </w:p>
    <w:p w14:paraId="042E4993">
      <w:pPr>
        <w:pStyle w:val="3"/>
        <w:spacing w:line="480" w:lineRule="auto"/>
        <w:rPr>
          <w:rFonts w:ascii="Arial" w:hAnsi="Arial" w:cs="Arial"/>
          <w:b w:val="0"/>
          <w:bCs/>
          <w:sz w:val="22"/>
          <w:szCs w:val="22"/>
          <w:lang w:val="en-GB"/>
        </w:rPr>
      </w:pPr>
      <w:bookmarkStart w:id="5" w:name="_a9ia8pbkqcle" w:colFirst="0" w:colLast="0"/>
      <w:bookmarkEnd w:id="5"/>
      <w:bookmarkStart w:id="6" w:name="_Toc237270616"/>
      <w:r>
        <w:rPr>
          <w:rFonts w:ascii="Arial" w:hAnsi="Arial" w:cs="Arial"/>
          <w:bCs/>
          <w:sz w:val="22"/>
          <w:szCs w:val="22"/>
          <w:lang w:val="en-GB"/>
        </w:rPr>
        <w:t>Contextual background and underlying factors</w:t>
      </w:r>
      <w:bookmarkEnd w:id="6"/>
    </w:p>
    <w:p w14:paraId="7EC92F8A">
      <w:pPr>
        <w:pStyle w:val="4"/>
        <w:spacing w:line="480" w:lineRule="auto"/>
        <w:rPr>
          <w:rFonts w:ascii="Arial" w:hAnsi="Arial" w:cs="Arial"/>
          <w:b w:val="0"/>
          <w:bCs/>
          <w:color w:val="000000"/>
          <w:sz w:val="22"/>
          <w:szCs w:val="22"/>
          <w:lang w:val="en-GB"/>
        </w:rPr>
      </w:pPr>
      <w:bookmarkStart w:id="7" w:name="_gm85goh5dzmq" w:colFirst="0" w:colLast="0"/>
      <w:bookmarkEnd w:id="7"/>
      <w:bookmarkStart w:id="8" w:name="_Toc237270617"/>
      <w:r>
        <w:rPr>
          <w:rFonts w:ascii="Arial" w:hAnsi="Arial" w:cs="Arial"/>
          <w:bCs/>
          <w:color w:val="000000"/>
          <w:sz w:val="22"/>
          <w:szCs w:val="22"/>
          <w:lang w:val="en-GB"/>
        </w:rPr>
        <w:t>3 diseases/illness</w:t>
      </w:r>
      <w:bookmarkEnd w:id="8"/>
    </w:p>
    <w:p w14:paraId="0731C89B">
      <w:pPr>
        <w:pStyle w:val="5"/>
        <w:spacing w:line="480" w:lineRule="auto"/>
        <w:jc w:val="both"/>
        <w:rPr>
          <w:b/>
          <w:bCs/>
          <w:i/>
          <w:iCs/>
          <w:color w:val="000000"/>
          <w:sz w:val="22"/>
          <w:szCs w:val="22"/>
          <w:u w:val="single"/>
          <w:lang w:val="en-GB"/>
        </w:rPr>
      </w:pPr>
      <w:bookmarkStart w:id="9" w:name="_h4zxcx9t0pch" w:colFirst="0" w:colLast="0"/>
      <w:bookmarkEnd w:id="9"/>
      <w:r>
        <w:rPr>
          <w:b/>
          <w:bCs/>
          <w:i/>
          <w:iCs/>
          <w:color w:val="000000"/>
          <w:sz w:val="22"/>
          <w:szCs w:val="22"/>
          <w:u w:val="single"/>
          <w:lang w:val="en-GB"/>
        </w:rPr>
        <w:t xml:space="preserve">Higher rate of obesity </w:t>
      </w:r>
    </w:p>
    <w:p w14:paraId="1BE9A55F">
      <w:pPr>
        <w:spacing w:line="480" w:lineRule="auto"/>
        <w:jc w:val="both"/>
        <w:rPr>
          <w:lang w:val="en-GB"/>
        </w:rPr>
      </w:pPr>
      <w:r>
        <w:rPr>
          <w:lang w:val="en-GB"/>
        </w:rPr>
        <w:t>Obesity impacts 37% of adults with learning disability compared to 30.1% without the disability (Public Health England, 2020). It reflects the reduced opportunity for physical activity, difficulty understanding health information and limited accessibility to healthy food. Accessible dietary advice, routine weight management through annual health checks, and supported physical activity can help in reducing the inequality.</w:t>
      </w:r>
    </w:p>
    <w:p w14:paraId="6D79F6CA">
      <w:pPr>
        <w:pStyle w:val="5"/>
        <w:spacing w:line="480" w:lineRule="auto"/>
        <w:jc w:val="both"/>
        <w:rPr>
          <w:b/>
          <w:bCs/>
          <w:i/>
          <w:iCs/>
          <w:color w:val="000000"/>
          <w:sz w:val="22"/>
          <w:szCs w:val="22"/>
          <w:u w:val="single"/>
          <w:lang w:val="en-GB"/>
        </w:rPr>
      </w:pPr>
      <w:bookmarkStart w:id="10" w:name="_7ob1l0ypg0y4" w:colFirst="0" w:colLast="0"/>
      <w:bookmarkEnd w:id="10"/>
      <w:r>
        <w:rPr>
          <w:b/>
          <w:bCs/>
          <w:i/>
          <w:iCs/>
          <w:color w:val="000000"/>
          <w:sz w:val="22"/>
          <w:szCs w:val="22"/>
          <w:u w:val="single"/>
          <w:lang w:val="en-GB"/>
        </w:rPr>
        <w:t xml:space="preserve">Higher avoidable and premature mortality </w:t>
      </w:r>
    </w:p>
    <w:p w14:paraId="7AFD95F2">
      <w:pPr>
        <w:spacing w:line="480" w:lineRule="auto"/>
        <w:jc w:val="both"/>
        <w:rPr>
          <w:lang w:val="en-GB"/>
        </w:rPr>
      </w:pPr>
      <w:r>
        <w:rPr>
          <w:lang w:val="en-GB"/>
        </w:rPr>
        <w:t>The median age at death in 2023 for people with learning disability was 62.3 years compared to approximately 82 years among the general population (NHS England, 2025). It highlights that 39% of the deaths were considered avoidable. Diagnostic overshadowing, communication difficulties, and delays in treatment collectively contributed to poor health outcomes. Reasonable adjustments, better annual health checkups, and professional training are effective to support earlier treatment and diagnosis.</w:t>
      </w:r>
    </w:p>
    <w:p w14:paraId="6D6E5AC6">
      <w:pPr>
        <w:pStyle w:val="5"/>
        <w:spacing w:line="480" w:lineRule="auto"/>
        <w:jc w:val="both"/>
        <w:rPr>
          <w:b/>
          <w:bCs/>
          <w:i/>
          <w:iCs/>
          <w:color w:val="000000"/>
          <w:sz w:val="22"/>
          <w:szCs w:val="22"/>
          <w:u w:val="single"/>
          <w:lang w:val="en-GB"/>
        </w:rPr>
      </w:pPr>
      <w:bookmarkStart w:id="11" w:name="_26pgmkv7ney2" w:colFirst="0" w:colLast="0"/>
      <w:bookmarkEnd w:id="11"/>
      <w:r>
        <w:rPr>
          <w:b/>
          <w:bCs/>
          <w:i/>
          <w:iCs/>
          <w:color w:val="000000"/>
          <w:sz w:val="22"/>
          <w:szCs w:val="22"/>
          <w:u w:val="single"/>
          <w:lang w:val="en-GB"/>
        </w:rPr>
        <w:t xml:space="preserve">Lower accessibility to preventive healthcare </w:t>
      </w:r>
    </w:p>
    <w:p w14:paraId="3D9D537E">
      <w:pPr>
        <w:spacing w:line="480" w:lineRule="auto"/>
        <w:jc w:val="both"/>
        <w:rPr>
          <w:lang w:val="en-GB"/>
        </w:rPr>
      </w:pPr>
      <w:r>
        <w:rPr>
          <w:lang w:val="en-GB"/>
        </w:rPr>
        <w:t>Inaccessible communication, difficulties arranging appointments and limited awareness can contribute to reduced accessibility to preventive healthcare. Only 34.5% of eligible people aged 14 and above receive annual health checks as of 2023 (NHS England, 2024). The practices should proactively invite patients, followed by providing them with accessible information and offering reasonable adjustments.</w:t>
      </w:r>
    </w:p>
    <w:p w14:paraId="5798E276">
      <w:pPr>
        <w:pStyle w:val="4"/>
        <w:spacing w:line="480" w:lineRule="auto"/>
        <w:rPr>
          <w:rFonts w:ascii="Arial" w:hAnsi="Arial" w:cs="Arial"/>
          <w:b w:val="0"/>
          <w:bCs/>
          <w:color w:val="000000"/>
          <w:sz w:val="22"/>
          <w:szCs w:val="22"/>
          <w:lang w:val="en-GB"/>
        </w:rPr>
      </w:pPr>
      <w:bookmarkStart w:id="12" w:name="_snk25lu68lel" w:colFirst="0" w:colLast="0"/>
      <w:bookmarkEnd w:id="12"/>
      <w:bookmarkStart w:id="13" w:name="_Toc237270618"/>
      <w:r>
        <w:rPr>
          <w:rFonts w:ascii="Arial" w:hAnsi="Arial" w:cs="Arial"/>
          <w:bCs/>
          <w:color w:val="000000"/>
          <w:sz w:val="22"/>
          <w:szCs w:val="22"/>
          <w:lang w:val="en-GB"/>
        </w:rPr>
        <w:t>3 social issues</w:t>
      </w:r>
      <w:bookmarkEnd w:id="13"/>
    </w:p>
    <w:p w14:paraId="1F34B2F8">
      <w:pPr>
        <w:pStyle w:val="5"/>
        <w:spacing w:line="480" w:lineRule="auto"/>
        <w:jc w:val="both"/>
        <w:rPr>
          <w:b/>
          <w:bCs/>
          <w:i/>
          <w:iCs/>
          <w:color w:val="000000"/>
          <w:sz w:val="22"/>
          <w:szCs w:val="22"/>
          <w:u w:val="single"/>
          <w:lang w:val="en-GB"/>
        </w:rPr>
      </w:pPr>
      <w:bookmarkStart w:id="14" w:name="_frmz76fbthu0" w:colFirst="0" w:colLast="0"/>
      <w:bookmarkEnd w:id="14"/>
      <w:r>
        <w:rPr>
          <w:b/>
          <w:bCs/>
          <w:i/>
          <w:iCs/>
          <w:color w:val="000000"/>
          <w:sz w:val="22"/>
          <w:szCs w:val="22"/>
          <w:u w:val="single"/>
          <w:lang w:val="en-GB"/>
        </w:rPr>
        <w:t xml:space="preserve">Higher level of social isolation and loneliness </w:t>
      </w:r>
    </w:p>
    <w:p w14:paraId="43C28F5D">
      <w:pPr>
        <w:spacing w:line="480" w:lineRule="auto"/>
        <w:jc w:val="both"/>
        <w:rPr>
          <w:lang w:val="en-GB"/>
        </w:rPr>
      </w:pPr>
      <w:r>
        <w:rPr>
          <w:lang w:val="en-GB"/>
        </w:rPr>
        <w:t>Adults with learning disabilities can experience greater social exclusion because of dependence on service providers, communication difficulty and limited opportunity for community participation and employment. 15% of disabled adults reported feeling lonely often in 2023 and 2024 compared to only 3% of non-disabled adults (DCMS, 2024). Inclusive community service, supported social activities, and peer-supported programs can improve social connections.</w:t>
      </w:r>
    </w:p>
    <w:p w14:paraId="1A02B043">
      <w:pPr>
        <w:spacing w:line="480" w:lineRule="auto"/>
        <w:jc w:val="center"/>
        <w:rPr>
          <w:lang w:val="en-GB"/>
        </w:rPr>
      </w:pPr>
      <w:r>
        <w:rPr>
          <w:lang w:val="en-GB" w:eastAsia="en-US"/>
        </w:rPr>
        <w:drawing>
          <wp:inline distT="114300" distB="114300" distL="114300" distR="114300">
            <wp:extent cx="5943600" cy="2540000"/>
            <wp:effectExtent l="76200" t="76200" r="133350" b="12700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referRelativeResize="0"/>
                  </pic:nvPicPr>
                  <pic:blipFill>
                    <a:blip r:embed="rId8"/>
                    <a:srcRect/>
                    <a:stretch>
                      <a:fillRect/>
                    </a:stretch>
                  </pic:blipFill>
                  <pic:spPr>
                    <a:xfrm>
                      <a:off x="0" y="0"/>
                      <a:ext cx="5943600" cy="254000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7430CD22">
      <w:pPr>
        <w:spacing w:line="480" w:lineRule="auto"/>
        <w:jc w:val="center"/>
        <w:rPr>
          <w:b/>
          <w:bCs/>
          <w:lang w:val="en-GB"/>
        </w:rPr>
      </w:pPr>
      <w:r>
        <w:rPr>
          <w:b/>
          <w:bCs/>
          <w:lang w:val="en-GB"/>
        </w:rPr>
        <w:t>Figure 1: Adults feeling lonely in England</w:t>
      </w:r>
    </w:p>
    <w:p w14:paraId="0F3A868B">
      <w:pPr>
        <w:spacing w:line="480" w:lineRule="auto"/>
        <w:jc w:val="center"/>
        <w:rPr>
          <w:lang w:val="en-GB"/>
        </w:rPr>
      </w:pPr>
      <w:r>
        <w:rPr>
          <w:lang w:val="en-GB"/>
        </w:rPr>
        <w:t>(Source: Department for Culture, Media and Sport, 2024)</w:t>
      </w:r>
    </w:p>
    <w:p w14:paraId="53483945">
      <w:pPr>
        <w:pStyle w:val="5"/>
        <w:spacing w:line="480" w:lineRule="auto"/>
        <w:jc w:val="both"/>
        <w:rPr>
          <w:b/>
          <w:bCs/>
          <w:i/>
          <w:iCs/>
          <w:color w:val="000000"/>
          <w:sz w:val="22"/>
          <w:szCs w:val="22"/>
          <w:u w:val="single"/>
          <w:lang w:val="en-GB"/>
        </w:rPr>
      </w:pPr>
      <w:bookmarkStart w:id="15" w:name="_kn1pks4oc6k0" w:colFirst="0" w:colLast="0"/>
      <w:bookmarkEnd w:id="15"/>
      <w:r>
        <w:rPr>
          <w:b/>
          <w:bCs/>
          <w:i/>
          <w:iCs/>
          <w:color w:val="000000"/>
          <w:sz w:val="22"/>
          <w:szCs w:val="22"/>
          <w:u w:val="single"/>
          <w:lang w:val="en-GB"/>
        </w:rPr>
        <w:t xml:space="preserve">Lower employment and economic disadvantage </w:t>
      </w:r>
    </w:p>
    <w:p w14:paraId="14C9DD71">
      <w:pPr>
        <w:spacing w:line="480" w:lineRule="auto"/>
        <w:jc w:val="both"/>
        <w:rPr>
          <w:lang w:val="en-GB"/>
        </w:rPr>
      </w:pPr>
      <w:r>
        <w:rPr>
          <w:lang w:val="en-GB"/>
        </w:rPr>
        <w:t>Limited employment reduces income and opportunity for social participation. Only 6% of working-age adults with learning disability receiving long-term social care support were in self-employed or paid employment between 2017 and 2018 (Public Health England, 2020). The lack of employment and income opportunities potentially makes wider health inequality even worse. Vocational training, supported employment and reasonable workplace adjustment improve social and economic inclusion.</w:t>
      </w:r>
    </w:p>
    <w:p w14:paraId="1F40F592">
      <w:pPr>
        <w:spacing w:line="480" w:lineRule="auto"/>
        <w:jc w:val="center"/>
        <w:rPr>
          <w:lang w:val="en-GB"/>
        </w:rPr>
      </w:pPr>
      <w:r>
        <w:rPr>
          <w:lang w:val="en-GB" w:eastAsia="en-US"/>
        </w:rPr>
        <w:drawing>
          <wp:inline distT="114300" distB="114300" distL="114300" distR="114300">
            <wp:extent cx="5943600" cy="3733800"/>
            <wp:effectExtent l="76200" t="76200" r="133350" b="133350"/>
            <wp:docPr id="6" name="image6.png"/>
            <wp:cNvGraphicFramePr/>
            <a:graphic xmlns:a="http://schemas.openxmlformats.org/drawingml/2006/main">
              <a:graphicData uri="http://schemas.openxmlformats.org/drawingml/2006/picture">
                <pic:pic xmlns:pic="http://schemas.openxmlformats.org/drawingml/2006/picture">
                  <pic:nvPicPr>
                    <pic:cNvPr id="6" name="image6.png"/>
                    <pic:cNvPicPr preferRelativeResize="0"/>
                  </pic:nvPicPr>
                  <pic:blipFill>
                    <a:blip r:embed="rId9"/>
                    <a:srcRect/>
                    <a:stretch>
                      <a:fillRect/>
                    </a:stretch>
                  </pic:blipFill>
                  <pic:spPr>
                    <a:xfrm>
                      <a:off x="0" y="0"/>
                      <a:ext cx="5943600" cy="373380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1A199A63">
      <w:pPr>
        <w:spacing w:line="480" w:lineRule="auto"/>
        <w:jc w:val="center"/>
        <w:rPr>
          <w:b/>
          <w:bCs/>
          <w:lang w:val="en-GB"/>
        </w:rPr>
      </w:pPr>
      <w:r>
        <w:rPr>
          <w:b/>
          <w:bCs/>
          <w:lang w:val="en-GB"/>
        </w:rPr>
        <w:t>Figure 2: Number of disabled people in employment</w:t>
      </w:r>
    </w:p>
    <w:p w14:paraId="63449238">
      <w:pPr>
        <w:spacing w:line="480" w:lineRule="auto"/>
        <w:jc w:val="center"/>
        <w:rPr>
          <w:lang w:val="en-GB"/>
        </w:rPr>
      </w:pPr>
      <w:r>
        <w:rPr>
          <w:lang w:val="en-GB"/>
        </w:rPr>
        <w:t>(Source: Department for Work and Pensions, 2023)</w:t>
      </w:r>
    </w:p>
    <w:p w14:paraId="58AA4868">
      <w:pPr>
        <w:pStyle w:val="5"/>
        <w:spacing w:line="480" w:lineRule="auto"/>
        <w:jc w:val="both"/>
        <w:rPr>
          <w:b/>
          <w:bCs/>
          <w:i/>
          <w:iCs/>
          <w:color w:val="000000"/>
          <w:sz w:val="22"/>
          <w:szCs w:val="22"/>
          <w:u w:val="single"/>
          <w:lang w:val="en-GB"/>
        </w:rPr>
      </w:pPr>
      <w:bookmarkStart w:id="16" w:name="_hjxd6wsjl097" w:colFirst="0" w:colLast="0"/>
      <w:bookmarkEnd w:id="16"/>
      <w:r>
        <w:rPr>
          <w:b/>
          <w:bCs/>
          <w:i/>
          <w:iCs/>
          <w:color w:val="000000"/>
          <w:sz w:val="22"/>
          <w:szCs w:val="22"/>
          <w:u w:val="single"/>
          <w:lang w:val="en-GB"/>
        </w:rPr>
        <w:t xml:space="preserve">Disability related employment inequality </w:t>
      </w:r>
    </w:p>
    <w:p w14:paraId="17A8A45C">
      <w:pPr>
        <w:spacing w:line="480" w:lineRule="auto"/>
        <w:jc w:val="both"/>
        <w:rPr>
          <w:lang w:val="en-GB"/>
        </w:rPr>
      </w:pPr>
      <w:r>
        <w:rPr>
          <w:lang w:val="en-GB"/>
        </w:rPr>
        <w:t>The employment rate of disabled people was 53.6% in 2023 compared to 82.5% of non-disabled people (Department for Work and Pensions, 2023). Anti-discrimination measures, stronger employer support, disability inclusive recruitment and flexible working can reduce the gap.</w:t>
      </w:r>
    </w:p>
    <w:p w14:paraId="3BB62A73">
      <w:pPr>
        <w:spacing w:line="480" w:lineRule="auto"/>
        <w:jc w:val="center"/>
        <w:rPr>
          <w:lang w:val="en-GB"/>
        </w:rPr>
      </w:pPr>
      <w:r>
        <w:rPr>
          <w:lang w:val="en-GB" w:eastAsia="en-US"/>
        </w:rPr>
        <w:drawing>
          <wp:inline distT="114300" distB="114300" distL="114300" distR="114300">
            <wp:extent cx="5943600" cy="3670300"/>
            <wp:effectExtent l="76200" t="76200" r="133350" b="139700"/>
            <wp:docPr id="5" name="image7.png"/>
            <wp:cNvGraphicFramePr/>
            <a:graphic xmlns:a="http://schemas.openxmlformats.org/drawingml/2006/main">
              <a:graphicData uri="http://schemas.openxmlformats.org/drawingml/2006/picture">
                <pic:pic xmlns:pic="http://schemas.openxmlformats.org/drawingml/2006/picture">
                  <pic:nvPicPr>
                    <pic:cNvPr id="5" name="image7.png"/>
                    <pic:cNvPicPr preferRelativeResize="0"/>
                  </pic:nvPicPr>
                  <pic:blipFill>
                    <a:blip r:embed="rId10"/>
                    <a:srcRect/>
                    <a:stretch>
                      <a:fillRect/>
                    </a:stretch>
                  </pic:blipFill>
                  <pic:spPr>
                    <a:xfrm>
                      <a:off x="0" y="0"/>
                      <a:ext cx="5943600" cy="367030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56874D20">
      <w:pPr>
        <w:spacing w:line="480" w:lineRule="auto"/>
        <w:jc w:val="center"/>
        <w:rPr>
          <w:b/>
          <w:bCs/>
          <w:lang w:val="en-GB"/>
        </w:rPr>
      </w:pPr>
      <w:r>
        <w:rPr>
          <w:b/>
          <w:bCs/>
          <w:lang w:val="en-GB"/>
        </w:rPr>
        <w:t>Figure 3: Disabled population class with long-term health complications</w:t>
      </w:r>
    </w:p>
    <w:p w14:paraId="1FA6AC2E">
      <w:pPr>
        <w:spacing w:line="480" w:lineRule="auto"/>
        <w:jc w:val="center"/>
        <w:rPr>
          <w:lang w:val="en-GB"/>
        </w:rPr>
      </w:pPr>
      <w:r>
        <w:rPr>
          <w:lang w:val="en-GB"/>
        </w:rPr>
        <w:t>(Source: Department for Work and Pensions, 2023)</w:t>
      </w:r>
    </w:p>
    <w:p w14:paraId="5828153C">
      <w:pPr>
        <w:pStyle w:val="3"/>
        <w:spacing w:line="480" w:lineRule="auto"/>
        <w:rPr>
          <w:rFonts w:ascii="Arial" w:hAnsi="Arial" w:cs="Arial"/>
          <w:b w:val="0"/>
          <w:bCs/>
          <w:sz w:val="22"/>
          <w:szCs w:val="22"/>
          <w:lang w:val="en-GB"/>
        </w:rPr>
      </w:pPr>
      <w:bookmarkStart w:id="17" w:name="_98dp3y45k078" w:colFirst="0" w:colLast="0"/>
      <w:bookmarkEnd w:id="17"/>
      <w:bookmarkStart w:id="18" w:name="_Toc237270619"/>
      <w:r>
        <w:rPr>
          <w:rFonts w:ascii="Arial" w:hAnsi="Arial" w:cs="Arial"/>
          <w:bCs/>
          <w:sz w:val="22"/>
          <w:szCs w:val="22"/>
          <w:lang w:val="en-GB"/>
        </w:rPr>
        <w:t>National Response to reduce health inequalities in your chosen group</w:t>
      </w:r>
      <w:bookmarkEnd w:id="18"/>
    </w:p>
    <w:p w14:paraId="14C3854D">
      <w:pPr>
        <w:pStyle w:val="5"/>
        <w:spacing w:line="480" w:lineRule="auto"/>
        <w:jc w:val="both"/>
        <w:rPr>
          <w:b/>
          <w:bCs/>
          <w:i/>
          <w:iCs/>
          <w:color w:val="000000"/>
          <w:sz w:val="22"/>
          <w:szCs w:val="22"/>
          <w:u w:val="single"/>
          <w:lang w:val="en-GB"/>
        </w:rPr>
      </w:pPr>
      <w:bookmarkStart w:id="19" w:name="_vc7fxqmdojl" w:colFirst="0" w:colLast="0"/>
      <w:bookmarkEnd w:id="19"/>
      <w:r>
        <w:rPr>
          <w:b/>
          <w:bCs/>
          <w:i/>
          <w:iCs/>
          <w:color w:val="000000"/>
          <w:sz w:val="22"/>
          <w:szCs w:val="22"/>
          <w:u w:val="single"/>
          <w:lang w:val="en-GB"/>
        </w:rPr>
        <w:t>Learning from Lives and Deaths of people with learning disability (LeDeR)</w:t>
      </w:r>
    </w:p>
    <w:p w14:paraId="2BDDA108">
      <w:pPr>
        <w:spacing w:line="480" w:lineRule="auto"/>
        <w:jc w:val="both"/>
        <w:rPr>
          <w:lang w:val="en-GB"/>
        </w:rPr>
      </w:pPr>
      <w:r>
        <w:rPr>
          <w:lang w:val="en-GB"/>
        </w:rPr>
        <w:t>The LeDeR program is a national NHS England mortality review program that examines the deaths of people with learning disability to identify avoidable causes and improve services. The avoidable mortality between 2021 and 2023 fell from 46% to 39% (NHS England, 2025). Even though the percentage remained substantially higher compared to 22% recorded for the general population, converting to system-level learning helped in identifying recurring failures in the system (NHS England, 2025). Therefore, the program supports service improvement, action plan and accountability by identifying the treatable and preventable conditions requiring earlier intervention.</w:t>
      </w:r>
    </w:p>
    <w:p w14:paraId="70778360">
      <w:pPr>
        <w:pStyle w:val="5"/>
        <w:spacing w:line="480" w:lineRule="auto"/>
        <w:jc w:val="both"/>
        <w:rPr>
          <w:b/>
          <w:bCs/>
          <w:i/>
          <w:iCs/>
          <w:color w:val="000000"/>
          <w:sz w:val="22"/>
          <w:szCs w:val="22"/>
          <w:u w:val="single"/>
          <w:lang w:val="en-GB"/>
        </w:rPr>
      </w:pPr>
      <w:bookmarkStart w:id="20" w:name="_harv324b5gin" w:colFirst="0" w:colLast="0"/>
      <w:bookmarkEnd w:id="20"/>
      <w:r>
        <w:rPr>
          <w:b/>
          <w:bCs/>
          <w:i/>
          <w:iCs/>
          <w:color w:val="000000"/>
          <w:sz w:val="22"/>
          <w:szCs w:val="22"/>
          <w:u w:val="single"/>
          <w:lang w:val="en-GB"/>
        </w:rPr>
        <w:t xml:space="preserve">Reasonable adjustment digital flag </w:t>
      </w:r>
    </w:p>
    <w:p w14:paraId="33F7E10D">
      <w:pPr>
        <w:spacing w:line="480" w:lineRule="auto"/>
        <w:jc w:val="both"/>
        <w:rPr>
          <w:lang w:val="en-GB"/>
        </w:rPr>
      </w:pPr>
      <w:r>
        <w:rPr>
          <w:lang w:val="en-GB"/>
        </w:rPr>
        <w:t>The reasonable adjustment digital flag, or RADF, was nationally introduced for improving equitable accessibility to social and healthcare. The National Information Standard requires all publicly funded health and social care providers and the NHS to achieve complete compliance by September 2026 (NHS England, 2026). It addresses structural inequality because people with learning disabilities should not have to explain accessibility and communication need repeatedly. Consistently sharing and recording can make health care more accessible and reduce missed opportunities for treatment and diagnosis.</w:t>
      </w:r>
    </w:p>
    <w:p w14:paraId="47818E35">
      <w:pPr>
        <w:pStyle w:val="3"/>
        <w:spacing w:line="480" w:lineRule="auto"/>
        <w:rPr>
          <w:rFonts w:ascii="Arial" w:hAnsi="Arial" w:cs="Arial"/>
          <w:b w:val="0"/>
          <w:bCs/>
          <w:sz w:val="22"/>
          <w:szCs w:val="22"/>
          <w:lang w:val="en-GB"/>
        </w:rPr>
      </w:pPr>
      <w:bookmarkStart w:id="21" w:name="_43jl2hlcp8o4" w:colFirst="0" w:colLast="0"/>
      <w:bookmarkEnd w:id="21"/>
      <w:bookmarkStart w:id="22" w:name="_Toc237270620"/>
      <w:r>
        <w:rPr>
          <w:rFonts w:ascii="Arial" w:hAnsi="Arial" w:cs="Arial"/>
          <w:bCs/>
          <w:sz w:val="22"/>
          <w:szCs w:val="22"/>
          <w:lang w:val="en-GB"/>
        </w:rPr>
        <w:t>Organisations that support chosen group</w:t>
      </w:r>
      <w:bookmarkEnd w:id="22"/>
    </w:p>
    <w:p w14:paraId="503962F7">
      <w:pPr>
        <w:spacing w:line="480" w:lineRule="auto"/>
        <w:jc w:val="both"/>
        <w:rPr>
          <w:lang w:val="en-GB"/>
        </w:rPr>
      </w:pPr>
      <w:r>
        <w:rPr>
          <w:lang w:val="en-GB"/>
        </w:rPr>
        <w:t xml:space="preserve">Mencap is a significant learning disability charity based in the UK whose wider role extends beyond direct support to research, public awareness, organising campaigns, challenging discrimination and policy advocacy. The ‘Treat me Well’ campaign of Mencap specifically focuses on tackling health inequalities and transforming NHS treatment through practical changes including reasonable adjustments, better communication and improved staff training (Mencap, 2024). A significant achievement has been the charity's contribution to securing mandatory training on learning disability and autism for Oliver McGowan. </w:t>
      </w:r>
    </w:p>
    <w:p w14:paraId="44968428">
      <w:pPr>
        <w:spacing w:line="480" w:lineRule="auto"/>
        <w:jc w:val="center"/>
        <w:rPr>
          <w:lang w:val="en-GB"/>
        </w:rPr>
      </w:pPr>
      <w:r>
        <w:rPr>
          <w:lang w:val="en-GB" w:eastAsia="en-US"/>
        </w:rPr>
        <w:drawing>
          <wp:inline distT="114300" distB="114300" distL="114300" distR="114300">
            <wp:extent cx="5943600" cy="2705100"/>
            <wp:effectExtent l="76200" t="76200" r="133350" b="133350"/>
            <wp:docPr id="3" name="image5.png"/>
            <wp:cNvGraphicFramePr/>
            <a:graphic xmlns:a="http://schemas.openxmlformats.org/drawingml/2006/main">
              <a:graphicData uri="http://schemas.openxmlformats.org/drawingml/2006/picture">
                <pic:pic xmlns:pic="http://schemas.openxmlformats.org/drawingml/2006/picture">
                  <pic:nvPicPr>
                    <pic:cNvPr id="3" name="image5.png"/>
                    <pic:cNvPicPr preferRelativeResize="0"/>
                  </pic:nvPicPr>
                  <pic:blipFill>
                    <a:blip r:embed="rId11"/>
                    <a:srcRect/>
                    <a:stretch>
                      <a:fillRect/>
                    </a:stretch>
                  </pic:blipFill>
                  <pic:spPr>
                    <a:xfrm>
                      <a:off x="0" y="0"/>
                      <a:ext cx="5943600" cy="270510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5D58D7FC">
      <w:pPr>
        <w:spacing w:line="480" w:lineRule="auto"/>
        <w:jc w:val="center"/>
        <w:rPr>
          <w:b/>
          <w:bCs/>
          <w:lang w:val="en-GB"/>
        </w:rPr>
      </w:pPr>
      <w:r>
        <w:rPr>
          <w:b/>
          <w:bCs/>
          <w:lang w:val="en-GB"/>
        </w:rPr>
        <w:t>Figure 4: Percentage of people with learning disability registering for annual health check</w:t>
      </w:r>
    </w:p>
    <w:p w14:paraId="3462B624">
      <w:pPr>
        <w:spacing w:line="480" w:lineRule="auto"/>
        <w:jc w:val="center"/>
        <w:rPr>
          <w:lang w:val="en-GB"/>
        </w:rPr>
      </w:pPr>
      <w:r>
        <w:rPr>
          <w:lang w:val="en-GB"/>
        </w:rPr>
        <w:t>(Source: Mencap, 2024)</w:t>
      </w:r>
    </w:p>
    <w:p w14:paraId="49F24384">
      <w:pPr>
        <w:spacing w:line="480" w:lineRule="auto"/>
        <w:jc w:val="both"/>
        <w:rPr>
          <w:lang w:val="en-GB"/>
        </w:rPr>
      </w:pPr>
      <w:r>
        <w:rPr>
          <w:lang w:val="en-GB"/>
        </w:rPr>
        <w:t>The charity conducted a campaign for mandatory training after the research found that one in four healthcare professionals have never received learning disability training (Mencap, 2026). The program therefore focuses on improving staff confidence and knowledge so that healthcare professionals and service providers can recognise the need and provide adequate care to the individual. The recent analysis of LeDeR highlighted evidence which reports that only 4 in 10 people with a learning disability reach their 65th birthday, and it also highlights failure to provide required reasonable adjustments (Mencap, 2024). The charity also enables people with learning disabilities and their families to influence national decision-making and report problems.</w:t>
      </w:r>
    </w:p>
    <w:p w14:paraId="6E1500E2">
      <w:pPr>
        <w:pStyle w:val="3"/>
        <w:spacing w:line="480" w:lineRule="auto"/>
        <w:rPr>
          <w:rFonts w:ascii="Arial" w:hAnsi="Arial" w:cs="Arial"/>
          <w:b w:val="0"/>
          <w:bCs/>
          <w:sz w:val="22"/>
          <w:szCs w:val="22"/>
          <w:lang w:val="en-GB"/>
        </w:rPr>
      </w:pPr>
      <w:bookmarkStart w:id="23" w:name="_h35wyqwj1ebv" w:colFirst="0" w:colLast="0"/>
      <w:bookmarkEnd w:id="23"/>
      <w:bookmarkStart w:id="24" w:name="_Toc237270621"/>
      <w:r>
        <w:rPr>
          <w:rFonts w:ascii="Arial" w:hAnsi="Arial" w:cs="Arial"/>
          <w:bCs/>
          <w:sz w:val="22"/>
          <w:szCs w:val="22"/>
          <w:lang w:val="en-GB"/>
        </w:rPr>
        <w:t>Conclusion</w:t>
      </w:r>
      <w:bookmarkEnd w:id="24"/>
    </w:p>
    <w:p w14:paraId="36CFC774">
      <w:pPr>
        <w:spacing w:line="480" w:lineRule="auto"/>
        <w:jc w:val="both"/>
        <w:rPr>
          <w:lang w:val="en-GB"/>
        </w:rPr>
      </w:pPr>
      <w:r>
        <w:rPr>
          <w:lang w:val="en-GB"/>
        </w:rPr>
        <w:t>In England, adults with learning disabilities experience substantial inequality in healthcare service provision that is influenced by socio-economic disadvantage, preventable health risks, and barriers to health care and social isolation. National initiatives, including RADF and LeDeR, focus on improving health care equality. Organisations like Mencap further support change through research, awareness and campaigning, which highlight the importance of coordinated actions for fair health outcomes.</w:t>
      </w:r>
    </w:p>
    <w:p w14:paraId="5C236F9A">
      <w:pPr>
        <w:pStyle w:val="2"/>
        <w:spacing w:line="480" w:lineRule="auto"/>
        <w:rPr>
          <w:rFonts w:ascii="Arial" w:hAnsi="Arial" w:cs="Arial"/>
          <w:b w:val="0"/>
          <w:bCs/>
          <w:szCs w:val="24"/>
          <w:lang w:val="en-GB"/>
        </w:rPr>
      </w:pPr>
      <w:bookmarkStart w:id="25" w:name="_52l5ndk9pfn4" w:colFirst="0" w:colLast="0"/>
      <w:bookmarkEnd w:id="25"/>
      <w:r>
        <w:rPr>
          <w:rFonts w:ascii="Arial" w:hAnsi="Arial" w:cs="Arial"/>
          <w:lang w:val="en-GB"/>
        </w:rPr>
        <w:br w:type="page"/>
      </w:r>
    </w:p>
    <w:p w14:paraId="567D4534">
      <w:pPr>
        <w:pStyle w:val="2"/>
        <w:spacing w:line="480" w:lineRule="auto"/>
        <w:rPr>
          <w:rFonts w:ascii="Arial" w:hAnsi="Arial" w:cs="Arial"/>
          <w:b w:val="0"/>
          <w:bCs/>
          <w:szCs w:val="24"/>
          <w:lang w:val="en-GB"/>
        </w:rPr>
      </w:pPr>
      <w:bookmarkStart w:id="26" w:name="_fr0j88h5rij" w:colFirst="0" w:colLast="0"/>
      <w:bookmarkEnd w:id="26"/>
      <w:bookmarkStart w:id="27" w:name="_Toc237270622"/>
      <w:r>
        <w:rPr>
          <w:rFonts w:ascii="Arial" w:hAnsi="Arial" w:cs="Arial"/>
          <w:bCs/>
          <w:szCs w:val="24"/>
          <w:lang w:val="en-GB"/>
        </w:rPr>
        <w:t>Task 2:  Epidemiological Analysis</w:t>
      </w:r>
      <w:bookmarkEnd w:id="27"/>
    </w:p>
    <w:p w14:paraId="1ED4C910">
      <w:pPr>
        <w:pStyle w:val="3"/>
        <w:spacing w:line="480" w:lineRule="auto"/>
        <w:rPr>
          <w:rFonts w:ascii="Arial" w:hAnsi="Arial" w:cs="Arial"/>
          <w:b w:val="0"/>
          <w:bCs/>
          <w:sz w:val="22"/>
          <w:szCs w:val="22"/>
          <w:lang w:val="en-GB"/>
        </w:rPr>
      </w:pPr>
      <w:bookmarkStart w:id="28" w:name="_ebdkp27om5ti" w:colFirst="0" w:colLast="0"/>
      <w:bookmarkEnd w:id="28"/>
      <w:bookmarkStart w:id="29" w:name="_Toc237270623"/>
      <w:r>
        <w:rPr>
          <w:rFonts w:ascii="Arial" w:hAnsi="Arial" w:cs="Arial"/>
          <w:bCs/>
          <w:sz w:val="22"/>
          <w:szCs w:val="22"/>
          <w:lang w:val="en-GB"/>
        </w:rPr>
        <w:t>Introduction</w:t>
      </w:r>
      <w:bookmarkEnd w:id="29"/>
    </w:p>
    <w:p w14:paraId="6432373D">
      <w:pPr>
        <w:pStyle w:val="4"/>
        <w:spacing w:line="480" w:lineRule="auto"/>
        <w:rPr>
          <w:rFonts w:ascii="Arial" w:hAnsi="Arial" w:cs="Arial"/>
          <w:b w:val="0"/>
          <w:bCs/>
          <w:i w:val="0"/>
          <w:iCs/>
          <w:color w:val="000000"/>
          <w:sz w:val="22"/>
          <w:szCs w:val="22"/>
          <w:lang w:val="en-GB"/>
        </w:rPr>
      </w:pPr>
      <w:bookmarkStart w:id="30" w:name="_ybb29bh6j58m" w:colFirst="0" w:colLast="0"/>
      <w:bookmarkEnd w:id="30"/>
      <w:bookmarkStart w:id="31" w:name="_Toc237270624"/>
      <w:r>
        <w:rPr>
          <w:rFonts w:ascii="Arial" w:hAnsi="Arial" w:cs="Arial"/>
          <w:bCs/>
          <w:iCs/>
          <w:color w:val="000000"/>
          <w:sz w:val="22"/>
          <w:szCs w:val="22"/>
          <w:lang w:val="en-GB"/>
        </w:rPr>
        <w:t>Consequences and definition</w:t>
      </w:r>
      <w:bookmarkEnd w:id="31"/>
    </w:p>
    <w:p w14:paraId="757E037C">
      <w:pPr>
        <w:spacing w:line="480" w:lineRule="auto"/>
        <w:jc w:val="both"/>
        <w:rPr>
          <w:lang w:val="en-GB"/>
        </w:rPr>
      </w:pPr>
      <w:r>
        <w:rPr>
          <w:rFonts w:eastAsia="Arial Unicode MS"/>
          <w:lang w:val="en-GB"/>
        </w:rPr>
        <w:t>Hypertension is persistently elevated blood pressure generally defined as ≥140/90 mmHg. Being usually asymptomatic, it increases the risk of heart disease, stroke, heart failure and kidney disease, creating substantial social and health consequences (WHO, 2025). Caribbean and black African populations experience disproportionate hypertension burden and associated cardiovascular inequalities.</w:t>
      </w:r>
    </w:p>
    <w:p w14:paraId="7E58B490">
      <w:pPr>
        <w:pStyle w:val="4"/>
        <w:spacing w:line="480" w:lineRule="auto"/>
        <w:rPr>
          <w:rFonts w:ascii="Arial" w:hAnsi="Arial" w:cs="Arial"/>
          <w:b w:val="0"/>
          <w:bCs/>
          <w:i w:val="0"/>
          <w:iCs/>
          <w:color w:val="000000"/>
          <w:sz w:val="22"/>
          <w:szCs w:val="22"/>
          <w:lang w:val="en-GB"/>
        </w:rPr>
      </w:pPr>
      <w:bookmarkStart w:id="32" w:name="_wp37huojx2u2" w:colFirst="0" w:colLast="0"/>
      <w:bookmarkEnd w:id="32"/>
      <w:bookmarkStart w:id="33" w:name="_Toc237270625"/>
      <w:r>
        <w:rPr>
          <w:rFonts w:ascii="Arial" w:hAnsi="Arial" w:cs="Arial"/>
          <w:bCs/>
          <w:iCs/>
          <w:color w:val="000000"/>
          <w:sz w:val="22"/>
          <w:szCs w:val="22"/>
          <w:lang w:val="en-GB"/>
        </w:rPr>
        <w:t>UK and global prevalence</w:t>
      </w:r>
      <w:bookmarkEnd w:id="33"/>
    </w:p>
    <w:p w14:paraId="2C13F6B8">
      <w:pPr>
        <w:spacing w:line="480" w:lineRule="auto"/>
        <w:jc w:val="both"/>
        <w:rPr>
          <w:lang w:val="en-GB"/>
        </w:rPr>
      </w:pPr>
      <w:r>
        <w:rPr>
          <w:lang w:val="en-GB"/>
        </w:rPr>
        <w:t>An estimated 1.4 billion adults aged 30 to 79, which is approximately 33%, had hypertension in 2024, globally (WHO, 2025). On the other hand, only 23% had controlled blood pressure (WHO, 2025). 30% of adults in England aged above 16 years had hypertension in 2024 (Lambeth Council, 2023). The Lambeth inequality is particularly pronounced due to registered hypertension prevalence of 19% black residence as compared to only 8% among white residents (Lambeth Council, 2025). It highlights the severity of the issue within the selected population.</w:t>
      </w:r>
    </w:p>
    <w:p w14:paraId="14ECB4CF">
      <w:pPr>
        <w:pStyle w:val="3"/>
        <w:spacing w:line="480" w:lineRule="auto"/>
        <w:ind w:right="100"/>
        <w:rPr>
          <w:rFonts w:ascii="Arial" w:hAnsi="Arial" w:cs="Arial"/>
          <w:b w:val="0"/>
          <w:bCs/>
          <w:sz w:val="22"/>
          <w:szCs w:val="22"/>
          <w:lang w:val="en-GB"/>
        </w:rPr>
      </w:pPr>
      <w:bookmarkStart w:id="34" w:name="_d08wpkrl877w" w:colFirst="0" w:colLast="0"/>
      <w:bookmarkEnd w:id="34"/>
      <w:bookmarkStart w:id="35" w:name="_Toc237270626"/>
      <w:r>
        <w:rPr>
          <w:rFonts w:ascii="Arial" w:hAnsi="Arial" w:cs="Arial"/>
          <w:bCs/>
          <w:sz w:val="22"/>
          <w:szCs w:val="22"/>
          <w:lang w:val="en-GB"/>
        </w:rPr>
        <w:t>Main Body</w:t>
      </w:r>
      <w:bookmarkEnd w:id="35"/>
    </w:p>
    <w:p w14:paraId="57E11302">
      <w:pPr>
        <w:pStyle w:val="4"/>
        <w:spacing w:line="480" w:lineRule="auto"/>
        <w:rPr>
          <w:rFonts w:ascii="Arial" w:hAnsi="Arial" w:cs="Arial"/>
          <w:b w:val="0"/>
          <w:bCs/>
          <w:i w:val="0"/>
          <w:iCs/>
          <w:color w:val="000000"/>
          <w:sz w:val="22"/>
          <w:szCs w:val="22"/>
          <w:lang w:val="en-GB"/>
        </w:rPr>
      </w:pPr>
      <w:bookmarkStart w:id="36" w:name="_qsyq6njrkx9v" w:colFirst="0" w:colLast="0"/>
      <w:bookmarkEnd w:id="36"/>
      <w:bookmarkStart w:id="37" w:name="_Toc237270627"/>
      <w:r>
        <w:rPr>
          <w:rFonts w:ascii="Arial" w:hAnsi="Arial" w:cs="Arial"/>
          <w:bCs/>
          <w:iCs/>
          <w:color w:val="000000"/>
          <w:sz w:val="22"/>
          <w:szCs w:val="22"/>
          <w:lang w:val="en-GB"/>
        </w:rPr>
        <w:t>Public Health measures applying 3Ps</w:t>
      </w:r>
      <w:bookmarkEnd w:id="37"/>
    </w:p>
    <w:p w14:paraId="70A31B33">
      <w:pPr>
        <w:spacing w:line="480" w:lineRule="auto"/>
        <w:jc w:val="both"/>
        <w:rPr>
          <w:lang w:val="en-GB"/>
        </w:rPr>
      </w:pPr>
      <w:r>
        <w:rPr>
          <w:lang w:val="en-GB"/>
        </w:rPr>
        <w:t xml:space="preserve">Hypertension is a major public Health issue because it is usually asymptomatic but substantially increases the risk of heart failure, stroke and chronic kidney diseases. Over 34% of adults in Lambeth have higher than average blood pressure, while black Caribbean and black African residents experience particularly poor control over blood pressure (Lambeth Together, 2024). The 3 Ps-primary, secondary and tertiary prevention provide a framework for reducing and containing the burden. Primary prevention focuses on reducing exposure to modifiable risk factors through reduced salt intake, a healthy diet, physical activity, limited smoking, weight management and reduced consumption of alcohol. Secondary prevention involves early detection through GP blood pressure management, NHS health check, and ambulatory blood pressure monitoring and community pharmacy check. The NHS community pharmacy blood pressure check service specifically provides checks to adult aging over 40 years without previously identified hypertension (NHS England, 2025). Calcium channel blockers are first-line treatment for adults of African Caribbean and black African family origin without T2DM, recognising differences in the treatment responses (NICE, 2026). The tertiary prevention focuses on preventing complications through appropriate antihypertensive medication, regular monitoring and adherence support. </w:t>
      </w:r>
    </w:p>
    <w:p w14:paraId="3C576DD0">
      <w:pPr>
        <w:pStyle w:val="4"/>
        <w:spacing w:line="480" w:lineRule="auto"/>
        <w:rPr>
          <w:rFonts w:ascii="Arial" w:hAnsi="Arial" w:cs="Arial"/>
          <w:b w:val="0"/>
          <w:bCs/>
          <w:i w:val="0"/>
          <w:iCs/>
          <w:color w:val="000000"/>
          <w:sz w:val="22"/>
          <w:szCs w:val="22"/>
          <w:lang w:val="en-GB"/>
        </w:rPr>
      </w:pPr>
      <w:bookmarkStart w:id="38" w:name="_bvgf9pjjsgdu" w:colFirst="0" w:colLast="0"/>
      <w:bookmarkEnd w:id="38"/>
      <w:bookmarkStart w:id="39" w:name="_Toc237270628"/>
      <w:r>
        <w:rPr>
          <w:rFonts w:ascii="Arial" w:hAnsi="Arial" w:cs="Arial"/>
          <w:bCs/>
          <w:iCs/>
          <w:color w:val="000000"/>
          <w:sz w:val="22"/>
          <w:szCs w:val="22"/>
          <w:lang w:val="en-GB"/>
        </w:rPr>
        <w:t>Major risk factor and determinant</w:t>
      </w:r>
      <w:bookmarkEnd w:id="39"/>
    </w:p>
    <w:p w14:paraId="011C88D4">
      <w:pPr>
        <w:spacing w:line="480" w:lineRule="auto"/>
        <w:jc w:val="both"/>
        <w:rPr>
          <w:lang w:val="en-GB"/>
        </w:rPr>
      </w:pPr>
      <w:r>
        <w:rPr>
          <w:lang w:val="en-GB"/>
        </w:rPr>
        <w:t>The epidemiology reflects interaction between behavioural, biological and social determinants rather than ethnicity itself being a simple causal factor. The black Caribbean and black African populations have higher prevalence of hypertension. However, white British prevalence is approximately one third of the Caribbean prevalence and almost half of the African prevalence (Lambeth Council, 2022). Modifiable determinants include higher intake of salt, obesity, overweight, smoking, lack of physical activity and alcohol consumption (Lambeth Together, 2025). Social determinants are also important, as South East London evidence identifies overcrowded housing, deprivation, educational barriers, lack of employment and racism as major contributors to inequalities in treating hypertension (South East London ICB, 2023). Therefore, attributing the disparity completely to biological and genetic differences risks overlooking the wider social environment and also leads to a lack of effective intervention.</w:t>
      </w:r>
    </w:p>
    <w:p w14:paraId="3EB9CC56">
      <w:pPr>
        <w:spacing w:line="480" w:lineRule="auto"/>
        <w:jc w:val="center"/>
        <w:rPr>
          <w:lang w:val="en-GB"/>
        </w:rPr>
      </w:pPr>
      <w:r>
        <w:rPr>
          <w:lang w:val="en-GB" w:eastAsia="en-US"/>
        </w:rPr>
        <w:drawing>
          <wp:inline distT="114300" distB="114300" distL="114300" distR="114300">
            <wp:extent cx="5010150" cy="3429000"/>
            <wp:effectExtent l="76200" t="76200" r="133350" b="13335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referRelativeResize="0"/>
                  </pic:nvPicPr>
                  <pic:blipFill>
                    <a:blip r:embed="rId12"/>
                    <a:srcRect/>
                    <a:stretch>
                      <a:fillRect/>
                    </a:stretch>
                  </pic:blipFill>
                  <pic:spPr>
                    <a:xfrm>
                      <a:off x="0" y="0"/>
                      <a:ext cx="5010150" cy="342900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78E0D63B">
      <w:pPr>
        <w:spacing w:line="480" w:lineRule="auto"/>
        <w:jc w:val="center"/>
        <w:rPr>
          <w:b/>
          <w:bCs/>
          <w:lang w:val="en-GB"/>
        </w:rPr>
      </w:pPr>
      <w:r>
        <w:rPr>
          <w:b/>
          <w:bCs/>
          <w:lang w:val="en-GB"/>
        </w:rPr>
        <w:t>Figure 5: Major risk factors</w:t>
      </w:r>
    </w:p>
    <w:p w14:paraId="64879CAD">
      <w:pPr>
        <w:spacing w:line="480" w:lineRule="auto"/>
        <w:jc w:val="center"/>
        <w:rPr>
          <w:lang w:val="en-GB"/>
        </w:rPr>
      </w:pPr>
      <w:r>
        <w:rPr>
          <w:lang w:val="en-GB"/>
        </w:rPr>
        <w:t>(Source: Lambeth Council, 2022)</w:t>
      </w:r>
    </w:p>
    <w:p w14:paraId="419293CE">
      <w:pPr>
        <w:pStyle w:val="4"/>
        <w:spacing w:line="480" w:lineRule="auto"/>
        <w:rPr>
          <w:rFonts w:ascii="Arial" w:hAnsi="Arial" w:cs="Arial"/>
          <w:b w:val="0"/>
          <w:bCs/>
          <w:i w:val="0"/>
          <w:iCs/>
          <w:color w:val="000000"/>
          <w:sz w:val="22"/>
          <w:szCs w:val="22"/>
          <w:lang w:val="en-GB"/>
        </w:rPr>
      </w:pPr>
      <w:bookmarkStart w:id="40" w:name="_7yzkrs2p59tc" w:colFirst="0" w:colLast="0"/>
      <w:bookmarkEnd w:id="40"/>
      <w:bookmarkStart w:id="41" w:name="_Toc237270629"/>
      <w:r>
        <w:rPr>
          <w:rFonts w:ascii="Arial" w:hAnsi="Arial" w:cs="Arial"/>
          <w:bCs/>
          <w:iCs/>
          <w:color w:val="000000"/>
          <w:sz w:val="22"/>
          <w:szCs w:val="22"/>
          <w:lang w:val="en-GB"/>
        </w:rPr>
        <w:t>Health need assessment and epistemological studies</w:t>
      </w:r>
      <w:bookmarkEnd w:id="41"/>
    </w:p>
    <w:p w14:paraId="2F3D2273">
      <w:pPr>
        <w:spacing w:line="480" w:lineRule="auto"/>
        <w:jc w:val="both"/>
        <w:rPr>
          <w:lang w:val="en-GB"/>
        </w:rPr>
      </w:pPr>
      <w:r>
        <w:rPr>
          <w:lang w:val="en-GB"/>
        </w:rPr>
        <w:t xml:space="preserve">A Lambeth health need assessment highlights a clear local requirement for targeted action. 28000 residents were estimated to have hypertension, with black Caribbean and black African residents less likely to monitor and reduce their blood pressure (Lambeth Together, 2023). The local profile found that the prevalence of hypertension was higher among African, Caribbean, Asian and other black patients compared to other ethnic groups and was also higher among residents from more deprived neighbourhood localities (Lambeth Council, 2022). A UK retrospective cohort study that used 30379 South Asian, 731506 European and 20256 African Caribbean and African population primary care patients found ethnic differences in the management of hypertension (Eastwood </w:t>
      </w:r>
      <w:r>
        <w:rPr>
          <w:i/>
          <w:iCs/>
          <w:lang w:val="en-GB"/>
        </w:rPr>
        <w:t>et al.</w:t>
      </w:r>
      <w:r>
        <w:rPr>
          <w:lang w:val="en-GB"/>
        </w:rPr>
        <w:t xml:space="preserve"> 2022). Thus, registered prevalence should not automatically be interpreted as true population prevalence.</w:t>
      </w:r>
    </w:p>
    <w:p w14:paraId="575F5CBC">
      <w:pPr>
        <w:pStyle w:val="4"/>
        <w:spacing w:line="480" w:lineRule="auto"/>
        <w:rPr>
          <w:rFonts w:ascii="Arial" w:hAnsi="Arial" w:cs="Arial"/>
          <w:b w:val="0"/>
          <w:bCs/>
          <w:i w:val="0"/>
          <w:iCs/>
          <w:color w:val="000000"/>
          <w:sz w:val="22"/>
          <w:szCs w:val="22"/>
          <w:lang w:val="en-GB"/>
        </w:rPr>
      </w:pPr>
      <w:bookmarkStart w:id="42" w:name="_pw0aey5q8cqs" w:colFirst="0" w:colLast="0"/>
      <w:bookmarkEnd w:id="42"/>
      <w:bookmarkStart w:id="43" w:name="_Toc237270630"/>
      <w:r>
        <w:rPr>
          <w:rFonts w:ascii="Arial" w:hAnsi="Arial" w:cs="Arial"/>
          <w:bCs/>
          <w:iCs/>
          <w:color w:val="000000"/>
          <w:sz w:val="22"/>
          <w:szCs w:val="22"/>
          <w:lang w:val="en-GB"/>
        </w:rPr>
        <w:t>Servillians system and epistemological monitoring</w:t>
      </w:r>
      <w:bookmarkEnd w:id="43"/>
    </w:p>
    <w:p w14:paraId="007572AA">
      <w:pPr>
        <w:spacing w:line="480" w:lineRule="auto"/>
        <w:jc w:val="both"/>
        <w:rPr>
          <w:lang w:val="en-GB"/>
        </w:rPr>
      </w:pPr>
      <w:r>
        <w:rPr>
          <w:lang w:val="en-GB"/>
        </w:rPr>
        <w:t xml:space="preserve">A combination of surveillance systems is required because no single system captures the complete burden. QOF is effective in identifying changes in diagnosed prevalence and management but excludes undiagnosed cases and cannot completely explain inequality in ethnic factors. Active case finding is provided through community pharmacy blood pressure check service and NHS health check where the pharmacist identifies raised readings and arranges ABPM (NHS England, 2025). Community surveillance or sentinel is demonstrated by health and well-being bus and community engagement research of Lambeth involving black Caribbean and black African residents (Lambeth Together, 2024). Stroke, hospital and cardiovascular data sets provide outcome surveillance. Collectively using the system improves triangulation, even though differences in recording practice, definition and coverage reduce comparability. </w:t>
      </w:r>
    </w:p>
    <w:p w14:paraId="34BC997B">
      <w:pPr>
        <w:pStyle w:val="4"/>
        <w:spacing w:line="480" w:lineRule="auto"/>
        <w:rPr>
          <w:rFonts w:ascii="Arial" w:hAnsi="Arial" w:cs="Arial"/>
          <w:b w:val="0"/>
          <w:bCs/>
          <w:i w:val="0"/>
          <w:iCs/>
          <w:color w:val="000000"/>
          <w:sz w:val="22"/>
          <w:szCs w:val="22"/>
          <w:lang w:val="en-GB"/>
        </w:rPr>
      </w:pPr>
      <w:bookmarkStart w:id="44" w:name="_xuhduascrztg" w:colFirst="0" w:colLast="0"/>
      <w:bookmarkEnd w:id="44"/>
      <w:bookmarkStart w:id="45" w:name="_Toc237270631"/>
      <w:r>
        <w:rPr>
          <w:rFonts w:ascii="Arial" w:hAnsi="Arial" w:cs="Arial"/>
          <w:bCs/>
          <w:iCs/>
          <w:color w:val="000000"/>
          <w:sz w:val="22"/>
          <w:szCs w:val="22"/>
          <w:lang w:val="en-GB"/>
        </w:rPr>
        <w:t>Public Health consequences and impact</w:t>
      </w:r>
      <w:bookmarkEnd w:id="45"/>
    </w:p>
    <w:p w14:paraId="4258E697">
      <w:pPr>
        <w:spacing w:line="480" w:lineRule="auto"/>
        <w:jc w:val="both"/>
        <w:rPr>
          <w:lang w:val="en-GB"/>
        </w:rPr>
      </w:pPr>
      <w:r>
        <w:rPr>
          <w:lang w:val="en-GB"/>
        </w:rPr>
        <w:t xml:space="preserve">The immediate public Health impact includes increased demand for medication, primary care and monitoring, while uncontrolled hypertension increases the probability of acute cardiovascular events. People of African Caribbean descent present with acute stroke around 10 years younger compared to White stroke patients in South London (Lambeth Together, 2024). Uncontrolled hypertension in the short term, therefore, increases healthcare costs and emergency admissions. On the other hand, the long-term consequences include chronic kidney disease, stroke disabilities, dementia, heart failure and premature mortality. </w:t>
      </w:r>
    </w:p>
    <w:p w14:paraId="67930B34">
      <w:pPr>
        <w:spacing w:line="480" w:lineRule="auto"/>
        <w:jc w:val="center"/>
        <w:rPr>
          <w:lang w:val="en-GB"/>
        </w:rPr>
      </w:pPr>
      <w:r>
        <w:rPr>
          <w:lang w:val="en-GB" w:eastAsia="en-US"/>
        </w:rPr>
        <w:drawing>
          <wp:inline distT="114300" distB="114300" distL="114300" distR="114300">
            <wp:extent cx="5943600" cy="2679700"/>
            <wp:effectExtent l="76200" t="76200" r="133350" b="139700"/>
            <wp:docPr id="7" name="image1.png"/>
            <wp:cNvGraphicFramePr/>
            <a:graphic xmlns:a="http://schemas.openxmlformats.org/drawingml/2006/main">
              <a:graphicData uri="http://schemas.openxmlformats.org/drawingml/2006/picture">
                <pic:pic xmlns:pic="http://schemas.openxmlformats.org/drawingml/2006/picture">
                  <pic:nvPicPr>
                    <pic:cNvPr id="7" name="image1.png"/>
                    <pic:cNvPicPr preferRelativeResize="0"/>
                  </pic:nvPicPr>
                  <pic:blipFill>
                    <a:blip r:embed="rId13"/>
                    <a:srcRect/>
                    <a:stretch>
                      <a:fillRect/>
                    </a:stretch>
                  </pic:blipFill>
                  <pic:spPr>
                    <a:xfrm>
                      <a:off x="0" y="0"/>
                      <a:ext cx="5943600" cy="267970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0F21B20B">
      <w:pPr>
        <w:spacing w:line="480" w:lineRule="auto"/>
        <w:jc w:val="center"/>
        <w:rPr>
          <w:b/>
          <w:bCs/>
          <w:lang w:val="en-GB"/>
        </w:rPr>
      </w:pPr>
      <w:r>
        <w:rPr>
          <w:b/>
          <w:bCs/>
          <w:lang w:val="en-GB"/>
        </w:rPr>
        <w:t>Figure 6: Prevalence of longstanding conditions</w:t>
      </w:r>
    </w:p>
    <w:p w14:paraId="1AB815E8">
      <w:pPr>
        <w:spacing w:line="480" w:lineRule="auto"/>
        <w:jc w:val="center"/>
        <w:rPr>
          <w:lang w:val="en-GB"/>
        </w:rPr>
      </w:pPr>
      <w:r>
        <w:rPr>
          <w:lang w:val="en-GB"/>
        </w:rPr>
        <w:t>(Source: NHS England, 2026)</w:t>
      </w:r>
    </w:p>
    <w:p w14:paraId="232D2AD1">
      <w:pPr>
        <w:pStyle w:val="4"/>
        <w:spacing w:line="480" w:lineRule="auto"/>
        <w:rPr>
          <w:rFonts w:ascii="Arial" w:hAnsi="Arial" w:cs="Arial"/>
          <w:b w:val="0"/>
          <w:bCs/>
          <w:i w:val="0"/>
          <w:iCs/>
          <w:color w:val="000000"/>
          <w:sz w:val="22"/>
          <w:szCs w:val="22"/>
          <w:lang w:val="en-GB"/>
        </w:rPr>
      </w:pPr>
      <w:bookmarkStart w:id="46" w:name="_xpxi2s150w2" w:colFirst="0" w:colLast="0"/>
      <w:bookmarkEnd w:id="46"/>
      <w:bookmarkStart w:id="47" w:name="_Toc237270632"/>
      <w:r>
        <w:rPr>
          <w:rFonts w:ascii="Arial" w:hAnsi="Arial" w:cs="Arial"/>
          <w:bCs/>
          <w:iCs/>
          <w:color w:val="000000"/>
          <w:sz w:val="22"/>
          <w:szCs w:val="22"/>
          <w:lang w:val="en-GB"/>
        </w:rPr>
        <w:t>Proposed health intervention and evaluation</w:t>
      </w:r>
      <w:bookmarkEnd w:id="47"/>
    </w:p>
    <w:p w14:paraId="16D05CFC">
      <w:pPr>
        <w:spacing w:line="480" w:lineRule="auto"/>
        <w:jc w:val="both"/>
        <w:rPr>
          <w:lang w:val="en-GB"/>
        </w:rPr>
      </w:pPr>
      <w:r>
        <w:rPr>
          <w:lang w:val="en-GB"/>
        </w:rPr>
        <w:t xml:space="preserve">Lambeth blood pressure equity program should combine community case finding with culturally responsive primary Care management. The Lambeth health and well-being bus and community pharmacy should firstly provide free blood pressure checks in locations used by Black Caribbean and black African communities, including faith settings and community centres. Secondly, patients with raised readings should receive rapid GP follow-up and ABPM. It then needs to be followed by practices using ethnicity-stratified registers for identifying patients with uncontrolled hypertension and proactively recalling them for medication review. Fourthly, culturally appropriate education needs to address physical activity, diet, salt intake, and self-monitoring and medication adherence. The proposed strategy builds on an existing project of Lambeth where 2 GP practices eliminated a 12% Black-White control gap and diagnosed more than 300 previously identified patients (NHS England, 2024). Evaluation should compare 12-month outcomes and baseline for ABPM-confirmed diagnosis, detection rate, medication adherence, treatment initiation and the proportion achieving target blood pressure. Deprivation stratification and ethnicity outcomes should determine whether intervention reduces inequality rather than only improving overall outcome. </w:t>
      </w:r>
    </w:p>
    <w:tbl>
      <w:tblPr>
        <w:tblStyle w:val="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8496B0" w:themeFill="text2" w:themeFillTint="99"/>
        <w:tblLayout w:type="autofit"/>
        <w:tblCellMar>
          <w:top w:w="0" w:type="dxa"/>
          <w:left w:w="108" w:type="dxa"/>
          <w:bottom w:w="0" w:type="dxa"/>
          <w:right w:w="108" w:type="dxa"/>
        </w:tblCellMar>
      </w:tblPr>
      <w:tblGrid>
        <w:gridCol w:w="2390"/>
        <w:gridCol w:w="2390"/>
        <w:gridCol w:w="2390"/>
        <w:gridCol w:w="2390"/>
      </w:tblGrid>
      <w:tr w14:paraId="12AAF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8496B0" w:themeFill="text2" w:themeFillTint="99"/>
          <w:tblCellMar>
            <w:top w:w="0" w:type="dxa"/>
            <w:left w:w="108" w:type="dxa"/>
            <w:bottom w:w="0" w:type="dxa"/>
            <w:right w:w="108" w:type="dxa"/>
          </w:tblCellMar>
        </w:tblPrEx>
        <w:trPr>
          <w:trHeight w:val="375" w:hRule="atLeast"/>
        </w:trPr>
        <w:tc>
          <w:tcPr>
            <w:tcW w:w="1250" w:type="pct"/>
            <w:tcBorders>
              <w:top w:val="single" w:color="000000" w:sz="4" w:space="0"/>
              <w:left w:val="single" w:color="000000" w:sz="4" w:space="0"/>
              <w:bottom w:val="single" w:color="000000" w:sz="4" w:space="0"/>
              <w:right w:val="single" w:color="000000" w:sz="4" w:space="0"/>
            </w:tcBorders>
            <w:shd w:val="clear" w:color="auto" w:fill="8496B0" w:themeFill="text2" w:themeFillTint="99"/>
            <w:tcMar>
              <w:top w:w="0" w:type="dxa"/>
              <w:left w:w="100" w:type="dxa"/>
              <w:bottom w:w="0" w:type="dxa"/>
              <w:right w:w="100" w:type="dxa"/>
            </w:tcMar>
          </w:tcPr>
          <w:p w14:paraId="528BE6D8">
            <w:pPr>
              <w:spacing w:line="480" w:lineRule="auto"/>
              <w:jc w:val="both"/>
              <w:rPr>
                <w:b/>
                <w:bCs/>
                <w:i/>
                <w:iCs/>
                <w:lang w:val="en-GB"/>
              </w:rPr>
            </w:pPr>
            <w:r>
              <w:rPr>
                <w:b/>
                <w:bCs/>
                <w:i/>
                <w:iCs/>
                <w:lang w:val="en-GB"/>
              </w:rPr>
              <w:t>Intervention competent</w:t>
            </w:r>
          </w:p>
        </w:tc>
        <w:tc>
          <w:tcPr>
            <w:tcW w:w="1250" w:type="pct"/>
            <w:tcBorders>
              <w:top w:val="single" w:color="000000" w:sz="4" w:space="0"/>
              <w:left w:val="nil"/>
              <w:bottom w:val="single" w:color="000000" w:sz="4" w:space="0"/>
              <w:right w:val="single" w:color="000000" w:sz="4" w:space="0"/>
            </w:tcBorders>
            <w:shd w:val="clear" w:color="auto" w:fill="8496B0" w:themeFill="text2" w:themeFillTint="99"/>
            <w:tcMar>
              <w:top w:w="0" w:type="dxa"/>
              <w:left w:w="100" w:type="dxa"/>
              <w:bottom w:w="0" w:type="dxa"/>
              <w:right w:w="100" w:type="dxa"/>
            </w:tcMar>
          </w:tcPr>
          <w:p w14:paraId="5C23C841">
            <w:pPr>
              <w:spacing w:line="480" w:lineRule="auto"/>
              <w:jc w:val="both"/>
              <w:rPr>
                <w:b/>
                <w:bCs/>
                <w:i/>
                <w:iCs/>
                <w:lang w:val="en-GB"/>
              </w:rPr>
            </w:pPr>
            <w:r>
              <w:rPr>
                <w:b/>
                <w:bCs/>
                <w:i/>
                <w:iCs/>
                <w:lang w:val="en-GB"/>
              </w:rPr>
              <w:t xml:space="preserve"> Activities</w:t>
            </w:r>
          </w:p>
        </w:tc>
        <w:tc>
          <w:tcPr>
            <w:tcW w:w="1250" w:type="pct"/>
            <w:tcBorders>
              <w:top w:val="single" w:color="000000" w:sz="4" w:space="0"/>
              <w:left w:val="nil"/>
              <w:bottom w:val="single" w:color="000000" w:sz="4" w:space="0"/>
              <w:right w:val="single" w:color="000000" w:sz="4" w:space="0"/>
            </w:tcBorders>
            <w:shd w:val="clear" w:color="auto" w:fill="8496B0" w:themeFill="text2" w:themeFillTint="99"/>
            <w:tcMar>
              <w:top w:w="0" w:type="dxa"/>
              <w:left w:w="100" w:type="dxa"/>
              <w:bottom w:w="0" w:type="dxa"/>
              <w:right w:w="100" w:type="dxa"/>
            </w:tcMar>
          </w:tcPr>
          <w:p w14:paraId="63C65302">
            <w:pPr>
              <w:spacing w:line="480" w:lineRule="auto"/>
              <w:jc w:val="both"/>
              <w:rPr>
                <w:b/>
                <w:bCs/>
                <w:i/>
                <w:iCs/>
                <w:lang w:val="en-GB"/>
              </w:rPr>
            </w:pPr>
            <w:r>
              <w:rPr>
                <w:b/>
                <w:bCs/>
                <w:i/>
                <w:iCs/>
                <w:lang w:val="en-GB"/>
              </w:rPr>
              <w:t xml:space="preserve"> Target population</w:t>
            </w:r>
          </w:p>
        </w:tc>
        <w:tc>
          <w:tcPr>
            <w:tcW w:w="1250" w:type="pct"/>
            <w:tcBorders>
              <w:top w:val="single" w:color="000000" w:sz="4" w:space="0"/>
              <w:left w:val="nil"/>
              <w:bottom w:val="single" w:color="000000" w:sz="4" w:space="0"/>
              <w:right w:val="single" w:color="000000" w:sz="4" w:space="0"/>
            </w:tcBorders>
            <w:shd w:val="clear" w:color="auto" w:fill="8496B0" w:themeFill="text2" w:themeFillTint="99"/>
            <w:tcMar>
              <w:top w:w="0" w:type="dxa"/>
              <w:left w:w="100" w:type="dxa"/>
              <w:bottom w:w="0" w:type="dxa"/>
              <w:right w:w="100" w:type="dxa"/>
            </w:tcMar>
          </w:tcPr>
          <w:p w14:paraId="4A6B550F">
            <w:pPr>
              <w:spacing w:line="480" w:lineRule="auto"/>
              <w:jc w:val="both"/>
              <w:rPr>
                <w:b/>
                <w:bCs/>
                <w:i/>
                <w:iCs/>
                <w:lang w:val="en-GB"/>
              </w:rPr>
            </w:pPr>
            <w:r>
              <w:rPr>
                <w:b/>
                <w:bCs/>
                <w:i/>
                <w:iCs/>
                <w:lang w:val="en-GB"/>
              </w:rPr>
              <w:t>KPI/expected outcome</w:t>
            </w:r>
          </w:p>
        </w:tc>
      </w:tr>
      <w:tr w14:paraId="0BC37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8496B0" w:themeFill="text2" w:themeFillTint="99"/>
          <w:tblCellMar>
            <w:top w:w="0" w:type="dxa"/>
            <w:left w:w="108" w:type="dxa"/>
            <w:bottom w:w="0" w:type="dxa"/>
            <w:right w:w="108" w:type="dxa"/>
          </w:tblCellMar>
        </w:tblPrEx>
        <w:trPr>
          <w:trHeight w:val="375" w:hRule="atLeast"/>
        </w:trPr>
        <w:tc>
          <w:tcPr>
            <w:tcW w:w="1250" w:type="pct"/>
            <w:tcBorders>
              <w:top w:val="nil"/>
              <w:left w:val="single" w:color="000000" w:sz="4" w:space="0"/>
              <w:bottom w:val="single" w:color="000000" w:sz="4" w:space="0"/>
              <w:right w:val="single" w:color="000000" w:sz="4" w:space="0"/>
            </w:tcBorders>
            <w:shd w:val="clear" w:color="auto" w:fill="8496B0" w:themeFill="text2" w:themeFillTint="99"/>
            <w:tcMar>
              <w:top w:w="0" w:type="dxa"/>
              <w:left w:w="100" w:type="dxa"/>
              <w:bottom w:w="0" w:type="dxa"/>
              <w:right w:w="100" w:type="dxa"/>
            </w:tcMar>
          </w:tcPr>
          <w:p w14:paraId="4408DDCA">
            <w:pPr>
              <w:spacing w:line="480" w:lineRule="auto"/>
              <w:jc w:val="both"/>
              <w:rPr>
                <w:lang w:val="en-GB"/>
              </w:rPr>
            </w:pPr>
            <w:r>
              <w:rPr>
                <w:lang w:val="en-GB"/>
              </w:rPr>
              <w:t>Community screening</w:t>
            </w:r>
          </w:p>
        </w:tc>
        <w:tc>
          <w:tcPr>
            <w:tcW w:w="1250" w:type="pct"/>
            <w:tcBorders>
              <w:top w:val="nil"/>
              <w:left w:val="nil"/>
              <w:bottom w:val="single" w:color="000000" w:sz="4" w:space="0"/>
              <w:right w:val="single" w:color="000000" w:sz="4" w:space="0"/>
            </w:tcBorders>
            <w:shd w:val="clear" w:color="auto" w:fill="8496B0" w:themeFill="text2" w:themeFillTint="99"/>
            <w:tcMar>
              <w:top w:w="0" w:type="dxa"/>
              <w:left w:w="100" w:type="dxa"/>
              <w:bottom w:w="0" w:type="dxa"/>
              <w:right w:w="100" w:type="dxa"/>
            </w:tcMar>
          </w:tcPr>
          <w:p w14:paraId="23315BB6">
            <w:pPr>
              <w:spacing w:line="480" w:lineRule="auto"/>
              <w:jc w:val="both"/>
              <w:rPr>
                <w:lang w:val="en-GB"/>
              </w:rPr>
            </w:pPr>
            <w:r>
              <w:rPr>
                <w:lang w:val="en-GB"/>
              </w:rPr>
              <w:t xml:space="preserve"> Providing free check-up through community pharmacy, health and well-being bus, faith organisations and community centres</w:t>
            </w:r>
          </w:p>
        </w:tc>
        <w:tc>
          <w:tcPr>
            <w:tcW w:w="1250" w:type="pct"/>
            <w:tcBorders>
              <w:top w:val="nil"/>
              <w:left w:val="nil"/>
              <w:bottom w:val="single" w:color="000000" w:sz="4" w:space="0"/>
              <w:right w:val="single" w:color="000000" w:sz="4" w:space="0"/>
            </w:tcBorders>
            <w:shd w:val="clear" w:color="auto" w:fill="8496B0" w:themeFill="text2" w:themeFillTint="99"/>
            <w:tcMar>
              <w:top w:w="0" w:type="dxa"/>
              <w:left w:w="100" w:type="dxa"/>
              <w:bottom w:w="0" w:type="dxa"/>
              <w:right w:w="100" w:type="dxa"/>
            </w:tcMar>
          </w:tcPr>
          <w:p w14:paraId="379819FA">
            <w:pPr>
              <w:spacing w:line="480" w:lineRule="auto"/>
              <w:jc w:val="both"/>
              <w:rPr>
                <w:lang w:val="en-GB"/>
              </w:rPr>
            </w:pPr>
            <w:r>
              <w:rPr>
                <w:lang w:val="en-GB"/>
              </w:rPr>
              <w:t xml:space="preserve"> Black Caribbean and black African adults, particularly in deprived locations</w:t>
            </w:r>
          </w:p>
        </w:tc>
        <w:tc>
          <w:tcPr>
            <w:tcW w:w="1250" w:type="pct"/>
            <w:tcBorders>
              <w:top w:val="nil"/>
              <w:left w:val="nil"/>
              <w:bottom w:val="single" w:color="000000" w:sz="4" w:space="0"/>
              <w:right w:val="single" w:color="000000" w:sz="4" w:space="0"/>
            </w:tcBorders>
            <w:shd w:val="clear" w:color="auto" w:fill="8496B0" w:themeFill="text2" w:themeFillTint="99"/>
            <w:tcMar>
              <w:top w:w="0" w:type="dxa"/>
              <w:left w:w="100" w:type="dxa"/>
              <w:bottom w:w="0" w:type="dxa"/>
              <w:right w:w="100" w:type="dxa"/>
            </w:tcMar>
          </w:tcPr>
          <w:p w14:paraId="612962E3">
            <w:pPr>
              <w:spacing w:line="480" w:lineRule="auto"/>
              <w:jc w:val="both"/>
              <w:rPr>
                <w:lang w:val="en-GB"/>
              </w:rPr>
            </w:pPr>
            <w:r>
              <w:rPr>
                <w:lang w:val="en-GB"/>
              </w:rPr>
              <w:t xml:space="preserve"> Increased identification and screening uptake of undiagnosed hypertension</w:t>
            </w:r>
          </w:p>
        </w:tc>
      </w:tr>
      <w:tr w14:paraId="7E448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8496B0" w:themeFill="text2" w:themeFillTint="99"/>
          <w:tblCellMar>
            <w:top w:w="0" w:type="dxa"/>
            <w:left w:w="108" w:type="dxa"/>
            <w:bottom w:w="0" w:type="dxa"/>
            <w:right w:w="108" w:type="dxa"/>
          </w:tblCellMar>
        </w:tblPrEx>
        <w:trPr>
          <w:trHeight w:val="375" w:hRule="atLeast"/>
        </w:trPr>
        <w:tc>
          <w:tcPr>
            <w:tcW w:w="1250" w:type="pct"/>
            <w:tcBorders>
              <w:top w:val="nil"/>
              <w:left w:val="single" w:color="000000" w:sz="4" w:space="0"/>
              <w:bottom w:val="single" w:color="000000" w:sz="4" w:space="0"/>
              <w:right w:val="single" w:color="000000" w:sz="4" w:space="0"/>
            </w:tcBorders>
            <w:shd w:val="clear" w:color="auto" w:fill="8496B0" w:themeFill="text2" w:themeFillTint="99"/>
            <w:tcMar>
              <w:top w:w="0" w:type="dxa"/>
              <w:left w:w="100" w:type="dxa"/>
              <w:bottom w:w="0" w:type="dxa"/>
              <w:right w:w="100" w:type="dxa"/>
            </w:tcMar>
          </w:tcPr>
          <w:p w14:paraId="654CD59C">
            <w:pPr>
              <w:spacing w:line="480" w:lineRule="auto"/>
              <w:jc w:val="both"/>
              <w:rPr>
                <w:lang w:val="en-GB"/>
              </w:rPr>
            </w:pPr>
            <w:r>
              <w:rPr>
                <w:lang w:val="en-GB"/>
              </w:rPr>
              <w:t>Confirming diagnosis</w:t>
            </w:r>
          </w:p>
        </w:tc>
        <w:tc>
          <w:tcPr>
            <w:tcW w:w="1250" w:type="pct"/>
            <w:tcBorders>
              <w:top w:val="nil"/>
              <w:left w:val="nil"/>
              <w:bottom w:val="single" w:color="000000" w:sz="4" w:space="0"/>
              <w:right w:val="single" w:color="000000" w:sz="4" w:space="0"/>
            </w:tcBorders>
            <w:shd w:val="clear" w:color="auto" w:fill="8496B0" w:themeFill="text2" w:themeFillTint="99"/>
            <w:tcMar>
              <w:top w:w="0" w:type="dxa"/>
              <w:left w:w="100" w:type="dxa"/>
              <w:bottom w:w="0" w:type="dxa"/>
              <w:right w:w="100" w:type="dxa"/>
            </w:tcMar>
          </w:tcPr>
          <w:p w14:paraId="4FABA866">
            <w:pPr>
              <w:spacing w:line="480" w:lineRule="auto"/>
              <w:jc w:val="both"/>
              <w:rPr>
                <w:lang w:val="en-GB"/>
              </w:rPr>
            </w:pPr>
            <w:r>
              <w:rPr>
                <w:lang w:val="en-GB"/>
              </w:rPr>
              <w:t xml:space="preserve"> Refer people with increased readings for ABPM and GP assessment</w:t>
            </w:r>
          </w:p>
        </w:tc>
        <w:tc>
          <w:tcPr>
            <w:tcW w:w="1250" w:type="pct"/>
            <w:tcBorders>
              <w:top w:val="nil"/>
              <w:left w:val="nil"/>
              <w:bottom w:val="single" w:color="000000" w:sz="4" w:space="0"/>
              <w:right w:val="single" w:color="000000" w:sz="4" w:space="0"/>
            </w:tcBorders>
            <w:shd w:val="clear" w:color="auto" w:fill="8496B0" w:themeFill="text2" w:themeFillTint="99"/>
            <w:tcMar>
              <w:top w:w="0" w:type="dxa"/>
              <w:left w:w="100" w:type="dxa"/>
              <w:bottom w:w="0" w:type="dxa"/>
              <w:right w:w="100" w:type="dxa"/>
            </w:tcMar>
          </w:tcPr>
          <w:p w14:paraId="07682C05">
            <w:pPr>
              <w:spacing w:line="480" w:lineRule="auto"/>
              <w:jc w:val="both"/>
              <w:rPr>
                <w:lang w:val="en-GB"/>
              </w:rPr>
            </w:pPr>
            <w:r>
              <w:rPr>
                <w:lang w:val="en-GB"/>
              </w:rPr>
              <w:t xml:space="preserve"> Adult with repeated raised BP reading</w:t>
            </w:r>
          </w:p>
        </w:tc>
        <w:tc>
          <w:tcPr>
            <w:tcW w:w="1250" w:type="pct"/>
            <w:tcBorders>
              <w:top w:val="nil"/>
              <w:left w:val="nil"/>
              <w:bottom w:val="single" w:color="000000" w:sz="4" w:space="0"/>
              <w:right w:val="single" w:color="000000" w:sz="4" w:space="0"/>
            </w:tcBorders>
            <w:shd w:val="clear" w:color="auto" w:fill="8496B0" w:themeFill="text2" w:themeFillTint="99"/>
            <w:tcMar>
              <w:top w:w="0" w:type="dxa"/>
              <w:left w:w="100" w:type="dxa"/>
              <w:bottom w:w="0" w:type="dxa"/>
              <w:right w:w="100" w:type="dxa"/>
            </w:tcMar>
          </w:tcPr>
          <w:p w14:paraId="426D82EC">
            <w:pPr>
              <w:spacing w:line="480" w:lineRule="auto"/>
              <w:jc w:val="both"/>
              <w:rPr>
                <w:lang w:val="en-GB"/>
              </w:rPr>
            </w:pPr>
            <w:r>
              <w:rPr>
                <w:lang w:val="en-GB"/>
              </w:rPr>
              <w:t xml:space="preserve"> Increased proportion receiving confirmed diagnosis in appropriate time frame</w:t>
            </w:r>
          </w:p>
        </w:tc>
      </w:tr>
      <w:tr w14:paraId="236FC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8496B0" w:themeFill="text2" w:themeFillTint="99"/>
          <w:tblCellMar>
            <w:top w:w="0" w:type="dxa"/>
            <w:left w:w="108" w:type="dxa"/>
            <w:bottom w:w="0" w:type="dxa"/>
            <w:right w:w="108" w:type="dxa"/>
          </w:tblCellMar>
        </w:tblPrEx>
        <w:trPr>
          <w:trHeight w:val="375" w:hRule="atLeast"/>
        </w:trPr>
        <w:tc>
          <w:tcPr>
            <w:tcW w:w="1250" w:type="pct"/>
            <w:tcBorders>
              <w:top w:val="nil"/>
              <w:left w:val="single" w:color="000000" w:sz="4" w:space="0"/>
              <w:bottom w:val="single" w:color="000000" w:sz="4" w:space="0"/>
              <w:right w:val="single" w:color="000000" w:sz="4" w:space="0"/>
            </w:tcBorders>
            <w:shd w:val="clear" w:color="auto" w:fill="8496B0" w:themeFill="text2" w:themeFillTint="99"/>
            <w:tcMar>
              <w:top w:w="0" w:type="dxa"/>
              <w:left w:w="100" w:type="dxa"/>
              <w:bottom w:w="0" w:type="dxa"/>
              <w:right w:w="100" w:type="dxa"/>
            </w:tcMar>
          </w:tcPr>
          <w:p w14:paraId="24F0AD1E">
            <w:pPr>
              <w:spacing w:line="480" w:lineRule="auto"/>
              <w:jc w:val="both"/>
              <w:rPr>
                <w:lang w:val="en-GB"/>
              </w:rPr>
            </w:pPr>
            <w:r>
              <w:rPr>
                <w:lang w:val="en-GB"/>
              </w:rPr>
              <w:t>Medication and treatment management</w:t>
            </w:r>
          </w:p>
        </w:tc>
        <w:tc>
          <w:tcPr>
            <w:tcW w:w="1250" w:type="pct"/>
            <w:tcBorders>
              <w:top w:val="nil"/>
              <w:left w:val="nil"/>
              <w:bottom w:val="single" w:color="000000" w:sz="4" w:space="0"/>
              <w:right w:val="single" w:color="000000" w:sz="4" w:space="0"/>
            </w:tcBorders>
            <w:shd w:val="clear" w:color="auto" w:fill="8496B0" w:themeFill="text2" w:themeFillTint="99"/>
            <w:tcMar>
              <w:top w:w="0" w:type="dxa"/>
              <w:left w:w="100" w:type="dxa"/>
              <w:bottom w:w="0" w:type="dxa"/>
              <w:right w:w="100" w:type="dxa"/>
            </w:tcMar>
          </w:tcPr>
          <w:p w14:paraId="402E1544">
            <w:pPr>
              <w:spacing w:line="480" w:lineRule="auto"/>
              <w:jc w:val="both"/>
              <w:rPr>
                <w:lang w:val="en-GB"/>
              </w:rPr>
            </w:pPr>
            <w:r>
              <w:rPr>
                <w:lang w:val="en-GB"/>
              </w:rPr>
              <w:t xml:space="preserve"> Provide NICE-guided antihypertensive treatment, adherence support and medication review</w:t>
            </w:r>
          </w:p>
        </w:tc>
        <w:tc>
          <w:tcPr>
            <w:tcW w:w="1250" w:type="pct"/>
            <w:tcBorders>
              <w:top w:val="nil"/>
              <w:left w:val="nil"/>
              <w:bottom w:val="single" w:color="000000" w:sz="4" w:space="0"/>
              <w:right w:val="single" w:color="000000" w:sz="4" w:space="0"/>
            </w:tcBorders>
            <w:shd w:val="clear" w:color="auto" w:fill="8496B0" w:themeFill="text2" w:themeFillTint="99"/>
            <w:tcMar>
              <w:top w:w="0" w:type="dxa"/>
              <w:left w:w="100" w:type="dxa"/>
              <w:bottom w:w="0" w:type="dxa"/>
              <w:right w:w="100" w:type="dxa"/>
            </w:tcMar>
          </w:tcPr>
          <w:p w14:paraId="42F2A27A">
            <w:pPr>
              <w:spacing w:line="480" w:lineRule="auto"/>
              <w:jc w:val="both"/>
              <w:rPr>
                <w:lang w:val="en-GB"/>
              </w:rPr>
            </w:pPr>
            <w:r>
              <w:rPr>
                <w:lang w:val="en-GB"/>
              </w:rPr>
              <w:t xml:space="preserve"> Adult diagnosed with hypertension</w:t>
            </w:r>
          </w:p>
        </w:tc>
        <w:tc>
          <w:tcPr>
            <w:tcW w:w="1250" w:type="pct"/>
            <w:tcBorders>
              <w:top w:val="nil"/>
              <w:left w:val="nil"/>
              <w:bottom w:val="single" w:color="000000" w:sz="4" w:space="0"/>
              <w:right w:val="single" w:color="000000" w:sz="4" w:space="0"/>
            </w:tcBorders>
            <w:shd w:val="clear" w:color="auto" w:fill="8496B0" w:themeFill="text2" w:themeFillTint="99"/>
            <w:tcMar>
              <w:top w:w="0" w:type="dxa"/>
              <w:left w:w="100" w:type="dxa"/>
              <w:bottom w:w="0" w:type="dxa"/>
              <w:right w:w="100" w:type="dxa"/>
            </w:tcMar>
          </w:tcPr>
          <w:p w14:paraId="714FF4D0">
            <w:pPr>
              <w:spacing w:line="480" w:lineRule="auto"/>
              <w:jc w:val="both"/>
              <w:rPr>
                <w:lang w:val="en-GB"/>
              </w:rPr>
            </w:pPr>
            <w:r>
              <w:rPr>
                <w:lang w:val="en-GB"/>
              </w:rPr>
              <w:t xml:space="preserve"> Increased medication adherence and treatment initiation</w:t>
            </w:r>
          </w:p>
        </w:tc>
      </w:tr>
      <w:tr w14:paraId="48DF6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250" w:type="pct"/>
            <w:tcBorders>
              <w:top w:val="nil"/>
              <w:left w:val="single" w:color="000000" w:sz="4" w:space="0"/>
              <w:bottom w:val="single" w:color="000000" w:sz="4" w:space="0"/>
              <w:right w:val="single" w:color="000000" w:sz="4" w:space="0"/>
            </w:tcBorders>
            <w:shd w:val="clear" w:color="auto" w:fill="8496B0" w:themeFill="text2" w:themeFillTint="99"/>
            <w:tcMar>
              <w:top w:w="0" w:type="dxa"/>
              <w:left w:w="100" w:type="dxa"/>
              <w:bottom w:w="0" w:type="dxa"/>
              <w:right w:w="100" w:type="dxa"/>
            </w:tcMar>
          </w:tcPr>
          <w:p w14:paraId="136E44C9">
            <w:pPr>
              <w:spacing w:line="480" w:lineRule="auto"/>
              <w:jc w:val="both"/>
              <w:rPr>
                <w:lang w:val="en-GB"/>
              </w:rPr>
            </w:pPr>
            <w:r>
              <w:rPr>
                <w:lang w:val="en-GB"/>
              </w:rPr>
              <w:t xml:space="preserve"> Lifestyle intervention</w:t>
            </w:r>
          </w:p>
        </w:tc>
        <w:tc>
          <w:tcPr>
            <w:tcW w:w="1250" w:type="pct"/>
            <w:tcBorders>
              <w:top w:val="nil"/>
              <w:left w:val="nil"/>
              <w:bottom w:val="single" w:color="000000" w:sz="4" w:space="0"/>
              <w:right w:val="single" w:color="000000" w:sz="4" w:space="0"/>
            </w:tcBorders>
            <w:shd w:val="clear" w:color="auto" w:fill="8496B0" w:themeFill="text2" w:themeFillTint="99"/>
            <w:tcMar>
              <w:top w:w="0" w:type="dxa"/>
              <w:left w:w="100" w:type="dxa"/>
              <w:bottom w:w="0" w:type="dxa"/>
              <w:right w:w="100" w:type="dxa"/>
            </w:tcMar>
          </w:tcPr>
          <w:p w14:paraId="08517C89">
            <w:pPr>
              <w:spacing w:line="480" w:lineRule="auto"/>
              <w:jc w:val="both"/>
              <w:rPr>
                <w:lang w:val="en-GB"/>
              </w:rPr>
            </w:pPr>
            <w:r>
              <w:rPr>
                <w:lang w:val="en-GB"/>
              </w:rPr>
              <w:t xml:space="preserve"> Providing culturally appropriate advice on healthy diet, salt reduction, weight management, physical activity, alcohol reduction</w:t>
            </w:r>
          </w:p>
        </w:tc>
        <w:tc>
          <w:tcPr>
            <w:tcW w:w="1250" w:type="pct"/>
            <w:tcBorders>
              <w:top w:val="nil"/>
              <w:left w:val="nil"/>
              <w:bottom w:val="single" w:color="000000" w:sz="4" w:space="0"/>
              <w:right w:val="single" w:color="000000" w:sz="4" w:space="0"/>
            </w:tcBorders>
            <w:shd w:val="clear" w:color="auto" w:fill="8496B0" w:themeFill="text2" w:themeFillTint="99"/>
            <w:tcMar>
              <w:top w:w="0" w:type="dxa"/>
              <w:left w:w="100" w:type="dxa"/>
              <w:bottom w:w="0" w:type="dxa"/>
              <w:right w:w="100" w:type="dxa"/>
            </w:tcMar>
          </w:tcPr>
          <w:p w14:paraId="39233902">
            <w:pPr>
              <w:spacing w:line="480" w:lineRule="auto"/>
              <w:jc w:val="both"/>
              <w:rPr>
                <w:lang w:val="en-GB"/>
              </w:rPr>
            </w:pPr>
            <w:r>
              <w:rPr>
                <w:lang w:val="en-GB"/>
              </w:rPr>
              <w:t xml:space="preserve"> Adult with high cardiovascular risk or hypertension</w:t>
            </w:r>
          </w:p>
        </w:tc>
        <w:tc>
          <w:tcPr>
            <w:tcW w:w="1250" w:type="pct"/>
            <w:tcBorders>
              <w:top w:val="nil"/>
              <w:left w:val="nil"/>
              <w:bottom w:val="single" w:color="000000" w:sz="4" w:space="0"/>
              <w:right w:val="single" w:color="000000" w:sz="4" w:space="0"/>
            </w:tcBorders>
            <w:shd w:val="clear" w:color="auto" w:fill="8496B0" w:themeFill="text2" w:themeFillTint="99"/>
            <w:tcMar>
              <w:top w:w="0" w:type="dxa"/>
              <w:left w:w="100" w:type="dxa"/>
              <w:bottom w:w="0" w:type="dxa"/>
              <w:right w:w="100" w:type="dxa"/>
            </w:tcMar>
          </w:tcPr>
          <w:p w14:paraId="174EE622">
            <w:pPr>
              <w:spacing w:line="480" w:lineRule="auto"/>
              <w:jc w:val="both"/>
              <w:rPr>
                <w:lang w:val="en-GB"/>
              </w:rPr>
            </w:pPr>
            <w:r>
              <w:rPr>
                <w:lang w:val="en-GB"/>
              </w:rPr>
              <w:t xml:space="preserve"> Improve lifestyle behaviour and reduce cardiovascular risk factors</w:t>
            </w:r>
          </w:p>
        </w:tc>
      </w:tr>
      <w:tr w14:paraId="6DAF1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250" w:type="pct"/>
            <w:tcBorders>
              <w:top w:val="nil"/>
              <w:left w:val="single" w:color="000000" w:sz="4" w:space="0"/>
              <w:bottom w:val="single" w:color="000000" w:sz="4" w:space="0"/>
              <w:right w:val="single" w:color="000000" w:sz="4" w:space="0"/>
            </w:tcBorders>
            <w:shd w:val="clear" w:color="auto" w:fill="8496B0" w:themeFill="text2" w:themeFillTint="99"/>
            <w:tcMar>
              <w:top w:w="0" w:type="dxa"/>
              <w:left w:w="100" w:type="dxa"/>
              <w:bottom w:w="0" w:type="dxa"/>
              <w:right w:w="100" w:type="dxa"/>
            </w:tcMar>
          </w:tcPr>
          <w:p w14:paraId="3DD0514E">
            <w:pPr>
              <w:spacing w:line="480" w:lineRule="auto"/>
              <w:jc w:val="both"/>
              <w:rPr>
                <w:lang w:val="en-GB"/>
              </w:rPr>
            </w:pPr>
            <w:r>
              <w:rPr>
                <w:lang w:val="en-GB"/>
              </w:rPr>
              <w:t xml:space="preserve"> Culturally responsive support</w:t>
            </w:r>
          </w:p>
        </w:tc>
        <w:tc>
          <w:tcPr>
            <w:tcW w:w="1250" w:type="pct"/>
            <w:tcBorders>
              <w:top w:val="nil"/>
              <w:left w:val="nil"/>
              <w:bottom w:val="single" w:color="000000" w:sz="4" w:space="0"/>
              <w:right w:val="single" w:color="000000" w:sz="4" w:space="0"/>
            </w:tcBorders>
            <w:shd w:val="clear" w:color="auto" w:fill="8496B0" w:themeFill="text2" w:themeFillTint="99"/>
            <w:tcMar>
              <w:top w:w="0" w:type="dxa"/>
              <w:left w:w="100" w:type="dxa"/>
              <w:bottom w:w="0" w:type="dxa"/>
              <w:right w:w="100" w:type="dxa"/>
            </w:tcMar>
          </w:tcPr>
          <w:p w14:paraId="7BCBFA05">
            <w:pPr>
              <w:spacing w:line="480" w:lineRule="auto"/>
              <w:jc w:val="both"/>
              <w:rPr>
                <w:lang w:val="en-GB"/>
              </w:rPr>
            </w:pPr>
            <w:r>
              <w:rPr>
                <w:lang w:val="en-GB"/>
              </w:rPr>
              <w:t xml:space="preserve"> Work with faith groups, community leaders and voluntary organisations for addressing health literacy, language, healthcare accessibility and trust barriers</w:t>
            </w:r>
          </w:p>
        </w:tc>
        <w:tc>
          <w:tcPr>
            <w:tcW w:w="1250" w:type="pct"/>
            <w:tcBorders>
              <w:top w:val="nil"/>
              <w:left w:val="nil"/>
              <w:bottom w:val="single" w:color="000000" w:sz="4" w:space="0"/>
              <w:right w:val="single" w:color="000000" w:sz="4" w:space="0"/>
            </w:tcBorders>
            <w:shd w:val="clear" w:color="auto" w:fill="8496B0" w:themeFill="text2" w:themeFillTint="99"/>
            <w:tcMar>
              <w:top w:w="0" w:type="dxa"/>
              <w:left w:w="100" w:type="dxa"/>
              <w:bottom w:w="0" w:type="dxa"/>
              <w:right w:w="100" w:type="dxa"/>
            </w:tcMar>
          </w:tcPr>
          <w:p w14:paraId="5B43861B">
            <w:pPr>
              <w:spacing w:line="480" w:lineRule="auto"/>
              <w:jc w:val="both"/>
              <w:rPr>
                <w:lang w:val="en-GB"/>
              </w:rPr>
            </w:pPr>
            <w:r>
              <w:rPr>
                <w:lang w:val="en-GB"/>
              </w:rPr>
              <w:t xml:space="preserve"> Black Caribbean and black African community</w:t>
            </w:r>
          </w:p>
        </w:tc>
        <w:tc>
          <w:tcPr>
            <w:tcW w:w="1250" w:type="pct"/>
            <w:tcBorders>
              <w:top w:val="nil"/>
              <w:left w:val="nil"/>
              <w:bottom w:val="single" w:color="000000" w:sz="4" w:space="0"/>
              <w:right w:val="single" w:color="000000" w:sz="4" w:space="0"/>
            </w:tcBorders>
            <w:shd w:val="clear" w:color="auto" w:fill="8496B0" w:themeFill="text2" w:themeFillTint="99"/>
            <w:tcMar>
              <w:top w:w="0" w:type="dxa"/>
              <w:left w:w="100" w:type="dxa"/>
              <w:bottom w:w="0" w:type="dxa"/>
              <w:right w:w="100" w:type="dxa"/>
            </w:tcMar>
          </w:tcPr>
          <w:p w14:paraId="487C900D">
            <w:pPr>
              <w:spacing w:line="480" w:lineRule="auto"/>
              <w:jc w:val="both"/>
              <w:rPr>
                <w:lang w:val="en-GB"/>
              </w:rPr>
            </w:pPr>
            <w:r>
              <w:rPr>
                <w:lang w:val="en-GB"/>
              </w:rPr>
              <w:t>Improved engagement with primary care, screening and hypertension management</w:t>
            </w:r>
          </w:p>
        </w:tc>
      </w:tr>
      <w:tr w14:paraId="52E3E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8496B0" w:themeFill="text2" w:themeFillTint="99"/>
          <w:tblCellMar>
            <w:top w:w="0" w:type="dxa"/>
            <w:left w:w="108" w:type="dxa"/>
            <w:bottom w:w="0" w:type="dxa"/>
            <w:right w:w="108" w:type="dxa"/>
          </w:tblCellMar>
        </w:tblPrEx>
        <w:trPr>
          <w:trHeight w:val="375" w:hRule="atLeast"/>
        </w:trPr>
        <w:tc>
          <w:tcPr>
            <w:tcW w:w="1250" w:type="pct"/>
            <w:tcBorders>
              <w:top w:val="nil"/>
              <w:left w:val="single" w:color="000000" w:sz="4" w:space="0"/>
              <w:bottom w:val="single" w:color="000000" w:sz="4" w:space="0"/>
              <w:right w:val="single" w:color="000000" w:sz="4" w:space="0"/>
            </w:tcBorders>
            <w:shd w:val="clear" w:color="auto" w:fill="8496B0" w:themeFill="text2" w:themeFillTint="99"/>
            <w:tcMar>
              <w:top w:w="0" w:type="dxa"/>
              <w:left w:w="100" w:type="dxa"/>
              <w:bottom w:w="0" w:type="dxa"/>
              <w:right w:w="100" w:type="dxa"/>
            </w:tcMar>
          </w:tcPr>
          <w:p w14:paraId="724C2D75">
            <w:pPr>
              <w:spacing w:line="480" w:lineRule="auto"/>
              <w:jc w:val="both"/>
              <w:rPr>
                <w:lang w:val="en-GB"/>
              </w:rPr>
            </w:pPr>
            <w:r>
              <w:rPr>
                <w:lang w:val="en-GB"/>
              </w:rPr>
              <w:t xml:space="preserve"> Evaluation and monitoring</w:t>
            </w:r>
          </w:p>
        </w:tc>
        <w:tc>
          <w:tcPr>
            <w:tcW w:w="1250" w:type="pct"/>
            <w:tcBorders>
              <w:top w:val="nil"/>
              <w:left w:val="nil"/>
              <w:bottom w:val="single" w:color="000000" w:sz="4" w:space="0"/>
              <w:right w:val="single" w:color="000000" w:sz="4" w:space="0"/>
            </w:tcBorders>
            <w:shd w:val="clear" w:color="auto" w:fill="8496B0" w:themeFill="text2" w:themeFillTint="99"/>
            <w:tcMar>
              <w:top w:w="0" w:type="dxa"/>
              <w:left w:w="100" w:type="dxa"/>
              <w:bottom w:w="0" w:type="dxa"/>
              <w:right w:w="100" w:type="dxa"/>
            </w:tcMar>
          </w:tcPr>
          <w:p w14:paraId="6F78C42F">
            <w:pPr>
              <w:spacing w:line="480" w:lineRule="auto"/>
              <w:jc w:val="both"/>
              <w:rPr>
                <w:lang w:val="en-GB"/>
              </w:rPr>
            </w:pPr>
            <w:r>
              <w:rPr>
                <w:lang w:val="en-GB"/>
              </w:rPr>
              <w:t xml:space="preserve"> Compare diagnosis, BP control and treatment outcome before and 12 months after implementation</w:t>
            </w:r>
          </w:p>
        </w:tc>
        <w:tc>
          <w:tcPr>
            <w:tcW w:w="1250" w:type="pct"/>
            <w:tcBorders>
              <w:top w:val="nil"/>
              <w:left w:val="nil"/>
              <w:bottom w:val="single" w:color="000000" w:sz="4" w:space="0"/>
              <w:right w:val="single" w:color="000000" w:sz="4" w:space="0"/>
            </w:tcBorders>
            <w:shd w:val="clear" w:color="auto" w:fill="8496B0" w:themeFill="text2" w:themeFillTint="99"/>
            <w:tcMar>
              <w:top w:w="0" w:type="dxa"/>
              <w:left w:w="100" w:type="dxa"/>
              <w:bottom w:w="0" w:type="dxa"/>
              <w:right w:w="100" w:type="dxa"/>
            </w:tcMar>
          </w:tcPr>
          <w:p w14:paraId="070B2175">
            <w:pPr>
              <w:spacing w:line="480" w:lineRule="auto"/>
              <w:jc w:val="both"/>
              <w:rPr>
                <w:lang w:val="en-GB"/>
              </w:rPr>
            </w:pPr>
            <w:r>
              <w:rPr>
                <w:lang w:val="en-GB"/>
              </w:rPr>
              <w:t xml:space="preserve"> All program participants</w:t>
            </w:r>
          </w:p>
        </w:tc>
        <w:tc>
          <w:tcPr>
            <w:tcW w:w="1250" w:type="pct"/>
            <w:tcBorders>
              <w:top w:val="nil"/>
              <w:left w:val="nil"/>
              <w:bottom w:val="single" w:color="000000" w:sz="4" w:space="0"/>
              <w:right w:val="single" w:color="000000" w:sz="4" w:space="0"/>
            </w:tcBorders>
            <w:shd w:val="clear" w:color="auto" w:fill="8496B0" w:themeFill="text2" w:themeFillTint="99"/>
            <w:tcMar>
              <w:top w:w="0" w:type="dxa"/>
              <w:left w:w="100" w:type="dxa"/>
              <w:bottom w:w="0" w:type="dxa"/>
              <w:right w:w="100" w:type="dxa"/>
            </w:tcMar>
          </w:tcPr>
          <w:p w14:paraId="510F4C03">
            <w:pPr>
              <w:spacing w:line="480" w:lineRule="auto"/>
              <w:jc w:val="both"/>
              <w:rPr>
                <w:lang w:val="en-GB"/>
              </w:rPr>
            </w:pPr>
            <w:r>
              <w:rPr>
                <w:lang w:val="en-GB"/>
              </w:rPr>
              <w:t xml:space="preserve"> Reduction in black-white blood pressure control gap and improved overall BP control</w:t>
            </w:r>
          </w:p>
        </w:tc>
      </w:tr>
    </w:tbl>
    <w:p w14:paraId="0BFBA92E">
      <w:pPr>
        <w:spacing w:line="480" w:lineRule="auto"/>
        <w:jc w:val="center"/>
        <w:rPr>
          <w:b/>
          <w:bCs/>
          <w:lang w:val="en-GB"/>
        </w:rPr>
      </w:pPr>
      <w:r>
        <w:rPr>
          <w:b/>
          <w:bCs/>
          <w:lang w:val="en-GB"/>
        </w:rPr>
        <w:t xml:space="preserve">Table 1: Evaluation framework and Intervention pathway </w:t>
      </w:r>
    </w:p>
    <w:p w14:paraId="50960401">
      <w:pPr>
        <w:spacing w:line="480" w:lineRule="auto"/>
        <w:jc w:val="center"/>
        <w:rPr>
          <w:lang w:val="en-GB"/>
        </w:rPr>
      </w:pPr>
      <w:r>
        <w:rPr>
          <w:lang w:val="en-GB"/>
        </w:rPr>
        <w:t>(Source: Self-created)</w:t>
      </w:r>
    </w:p>
    <w:p w14:paraId="26248058">
      <w:pPr>
        <w:pStyle w:val="4"/>
        <w:spacing w:line="480" w:lineRule="auto"/>
        <w:rPr>
          <w:rFonts w:ascii="Arial" w:hAnsi="Arial" w:cs="Arial"/>
          <w:b w:val="0"/>
          <w:bCs/>
          <w:i w:val="0"/>
          <w:iCs/>
          <w:color w:val="000000"/>
          <w:sz w:val="22"/>
          <w:szCs w:val="22"/>
          <w:lang w:val="en-GB"/>
        </w:rPr>
      </w:pPr>
      <w:bookmarkStart w:id="48" w:name="_2z27d07evpih" w:colFirst="0" w:colLast="0"/>
      <w:bookmarkEnd w:id="48"/>
      <w:bookmarkStart w:id="49" w:name="_Toc237270633"/>
      <w:r>
        <w:rPr>
          <w:rFonts w:ascii="Arial" w:hAnsi="Arial" w:cs="Arial"/>
          <w:bCs/>
          <w:iCs/>
          <w:color w:val="000000"/>
          <w:sz w:val="22"/>
          <w:szCs w:val="22"/>
          <w:lang w:val="en-GB"/>
        </w:rPr>
        <w:t>Epistemological limitations, strengths, and weaknesses</w:t>
      </w:r>
      <w:bookmarkEnd w:id="49"/>
    </w:p>
    <w:p w14:paraId="615C6B9C">
      <w:pPr>
        <w:spacing w:line="480" w:lineRule="auto"/>
        <w:jc w:val="both"/>
        <w:rPr>
          <w:lang w:val="en-GB"/>
        </w:rPr>
      </w:pPr>
      <w:r>
        <w:rPr>
          <w:lang w:val="en-GB"/>
        </w:rPr>
        <w:t>The approach benefits from multiple data sources, routine primary care records, local population evidence and existing Lambeth intervention with measurable outcomes. Combining cohort evidence with descriptive epidemiology also allows possible determinants and scale of inequality to be examined. Observational and ecological data, however, cannot establish that ethnicity independently causes hypertension. Confounding by deprivation, age, healthcare accessibility and obesity can partly explain observed differences. Passive surveillance occurs through quality and outcome framework and GP recording. Hypertension in 2024 and 2025 was the most prevalent QOF-recorded condition nationally, accounting for 15.2% (NHS England Digital, 2025). QOF measures diagnosed patients and can miss undiagnosed diseases, and ethnicity categories will be effective in concealing substantial heterogeneity in Caribbean and African populations. Community intervention can also experience selection bias because people who voluntarily attend screening can be more health conscious. Lastly, improving detection initially can increase recorded prevalence, making the prevalence trend difficult to interpret. Lambeth therefore should triangulate surveillance data and use sex, age, deprivation and ethnicity-adjusted measures while evaluating progress.</w:t>
      </w:r>
    </w:p>
    <w:p w14:paraId="31992FFE">
      <w:pPr>
        <w:spacing w:line="480" w:lineRule="auto"/>
        <w:jc w:val="center"/>
        <w:rPr>
          <w:lang w:val="en-GB"/>
        </w:rPr>
      </w:pPr>
      <w:r>
        <w:rPr>
          <w:lang w:val="en-GB" w:eastAsia="en-US"/>
        </w:rPr>
        <w:drawing>
          <wp:inline distT="114300" distB="114300" distL="114300" distR="114300">
            <wp:extent cx="5943600" cy="5765800"/>
            <wp:effectExtent l="76200" t="76200" r="133350" b="1397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referRelativeResize="0"/>
                  </pic:nvPicPr>
                  <pic:blipFill>
                    <a:blip r:embed="rId14"/>
                    <a:srcRect/>
                    <a:stretch>
                      <a:fillRect/>
                    </a:stretch>
                  </pic:blipFill>
                  <pic:spPr>
                    <a:xfrm>
                      <a:off x="0" y="0"/>
                      <a:ext cx="5943600" cy="576580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5CD2E176">
      <w:pPr>
        <w:spacing w:line="480" w:lineRule="auto"/>
        <w:jc w:val="center"/>
        <w:rPr>
          <w:b/>
          <w:bCs/>
          <w:lang w:val="en-GB"/>
        </w:rPr>
      </w:pPr>
      <w:r>
        <w:rPr>
          <w:b/>
          <w:bCs/>
          <w:lang w:val="en-GB"/>
        </w:rPr>
        <w:t>Figure 7: Lambeth Targeted Blood Pressure Equity Programme</w:t>
      </w:r>
    </w:p>
    <w:p w14:paraId="212062EE">
      <w:pPr>
        <w:spacing w:line="480" w:lineRule="auto"/>
        <w:jc w:val="center"/>
        <w:rPr>
          <w:lang w:val="en-GB"/>
        </w:rPr>
      </w:pPr>
      <w:r>
        <w:rPr>
          <w:lang w:val="en-GB"/>
        </w:rPr>
        <w:t>(Source: Self-created)</w:t>
      </w:r>
    </w:p>
    <w:p w14:paraId="72800FFC">
      <w:pPr>
        <w:pStyle w:val="3"/>
        <w:spacing w:line="480" w:lineRule="auto"/>
        <w:ind w:right="100"/>
        <w:rPr>
          <w:rFonts w:ascii="Arial" w:hAnsi="Arial" w:cs="Arial"/>
          <w:b w:val="0"/>
          <w:bCs/>
          <w:sz w:val="22"/>
          <w:szCs w:val="22"/>
          <w:lang w:val="en-GB"/>
        </w:rPr>
      </w:pPr>
      <w:bookmarkStart w:id="50" w:name="_qqhdrlpgd3pb" w:colFirst="0" w:colLast="0"/>
      <w:bookmarkEnd w:id="50"/>
      <w:bookmarkStart w:id="51" w:name="_Toc237270634"/>
      <w:r>
        <w:rPr>
          <w:rFonts w:ascii="Arial" w:hAnsi="Arial" w:cs="Arial"/>
          <w:bCs/>
          <w:sz w:val="22"/>
          <w:szCs w:val="22"/>
          <w:lang w:val="en-GB"/>
        </w:rPr>
        <w:t>Conclusion</w:t>
      </w:r>
      <w:bookmarkEnd w:id="51"/>
    </w:p>
    <w:p w14:paraId="35F23A59">
      <w:pPr>
        <w:spacing w:line="480" w:lineRule="auto"/>
        <w:jc w:val="both"/>
        <w:rPr>
          <w:b/>
          <w:bCs/>
          <w:lang w:val="en-GB"/>
        </w:rPr>
      </w:pPr>
      <w:r>
        <w:rPr>
          <w:lang w:val="en-GB"/>
        </w:rPr>
        <w:t>Hypertension represents a preventable and significant public health issue among Black African and black Caribbean adults in Lambeth. According to the evidence, substantial ethnic inequality in prevalence, blood pressure control and diagnosis reflects an interaction between behavioural, biological, healthcare accessibility and socioeconomic factors. Epistemological surveillance using community, primary care and outcome data is essential to identify unmet requirements and monitor inequality. Early detection, targeted prevention, appropriate treatment and culturally responsive management are effective in reducing cardiovascular complications. Limitations, including confounding, under diagnosis, selection bias and incomplete ethnicity recording, however, need to be recognised. Combining routine surveillance with targeted community intervention therefore is effective to support a more equitable hypertension outcome in Lambeth.</w:t>
      </w:r>
      <w:r>
        <w:rPr>
          <w:lang w:val="en-GB"/>
        </w:rPr>
        <w:br w:type="page"/>
      </w:r>
    </w:p>
    <w:p w14:paraId="28B52F4A">
      <w:pPr>
        <w:spacing w:line="480" w:lineRule="auto"/>
        <w:jc w:val="both"/>
        <w:rPr>
          <w:b/>
          <w:bCs/>
          <w:lang w:val="en-GB"/>
        </w:rPr>
      </w:pPr>
      <w:r>
        <w:rPr>
          <w:b/>
          <w:bCs/>
          <w:lang w:val="en-GB"/>
        </w:rPr>
        <w:t>References</w:t>
      </w:r>
    </w:p>
    <w:p w14:paraId="49E4043F">
      <w:pPr>
        <w:pStyle w:val="3"/>
        <w:spacing w:line="480" w:lineRule="auto"/>
        <w:rPr>
          <w:rFonts w:ascii="Arial" w:hAnsi="Arial" w:cs="Arial"/>
          <w:b w:val="0"/>
          <w:bCs/>
          <w:sz w:val="22"/>
          <w:szCs w:val="22"/>
          <w:lang w:val="en-GB"/>
        </w:rPr>
      </w:pPr>
      <w:bookmarkStart w:id="52" w:name="_a5xn93o2jvmf" w:colFirst="0" w:colLast="0"/>
      <w:bookmarkEnd w:id="52"/>
      <w:bookmarkStart w:id="53" w:name="_Toc237270635"/>
      <w:r>
        <w:rPr>
          <w:rFonts w:ascii="Arial" w:hAnsi="Arial" w:cs="Arial"/>
          <w:bCs/>
          <w:sz w:val="22"/>
          <w:szCs w:val="22"/>
          <w:lang w:val="en-GB"/>
        </w:rPr>
        <w:t>Task 1</w:t>
      </w:r>
      <w:bookmarkEnd w:id="53"/>
    </w:p>
    <w:p w14:paraId="4B83C0F9">
      <w:pPr>
        <w:spacing w:before="240" w:after="240" w:line="480" w:lineRule="auto"/>
        <w:jc w:val="both"/>
        <w:rPr>
          <w:lang w:val="en-GB"/>
        </w:rPr>
      </w:pPr>
      <w:r>
        <w:rPr>
          <w:lang w:val="en-GB"/>
        </w:rPr>
        <w:t xml:space="preserve">Department for Culture, Media and Sport (2024) </w:t>
      </w:r>
      <w:r>
        <w:rPr>
          <w:i/>
          <w:iCs/>
          <w:lang w:val="en-GB"/>
        </w:rPr>
        <w:t>Community Life Survey 2023/24: Loneliness and support networks</w:t>
      </w:r>
      <w:r>
        <w:rPr>
          <w:lang w:val="en-GB"/>
        </w:rPr>
        <w:t>. Available at:</w:t>
      </w:r>
      <w:r>
        <w:fldChar w:fldCharType="begin"/>
      </w:r>
      <w:r>
        <w:instrText xml:space="preserve"> HYPERLINK "https://www.gov.uk/government/statistics/community-life-survey-202324-annual-publication/community-life-survey-202324-loneliness-and-support-networks--2" \h </w:instrText>
      </w:r>
      <w:r>
        <w:fldChar w:fldCharType="separate"/>
      </w:r>
      <w:r>
        <w:fldChar w:fldCharType="end"/>
      </w:r>
      <w:r>
        <w:fldChar w:fldCharType="begin"/>
      </w:r>
      <w:r>
        <w:instrText xml:space="preserve"> HYPERLINK "https://www.gov.uk/government/statistics/community-life-survey-202324-annual-publication/community-life-survey-202324-loneliness-and-support-networks--2" \h </w:instrText>
      </w:r>
      <w:r>
        <w:fldChar w:fldCharType="separate"/>
      </w:r>
      <w:r>
        <w:rPr>
          <w:color w:val="1155CC"/>
          <w:u w:val="single"/>
          <w:lang w:val="en-GB"/>
        </w:rPr>
        <w:t>https://www.gov.uk/government/statistics/community-life-survey-202324-annual-publication/community-life-survey-202324-loneliness-and-support-networks--2</w:t>
      </w:r>
      <w:r>
        <w:rPr>
          <w:color w:val="1155CC"/>
          <w:u w:val="single"/>
          <w:lang w:val="en-GB"/>
        </w:rPr>
        <w:fldChar w:fldCharType="end"/>
      </w:r>
      <w:r>
        <w:rPr>
          <w:lang w:val="en-GB"/>
        </w:rPr>
        <w:t xml:space="preserve"> (Accessed: 8 August 2026).</w:t>
      </w:r>
    </w:p>
    <w:p w14:paraId="188EF35D">
      <w:pPr>
        <w:spacing w:before="240" w:after="240" w:line="480" w:lineRule="auto"/>
        <w:jc w:val="both"/>
        <w:rPr>
          <w:lang w:val="en-GB"/>
        </w:rPr>
      </w:pPr>
      <w:r>
        <w:rPr>
          <w:lang w:val="en-GB"/>
        </w:rPr>
        <w:t xml:space="preserve">Department for Work and Pensions (2023) </w:t>
      </w:r>
      <w:r>
        <w:rPr>
          <w:i/>
          <w:iCs/>
          <w:lang w:val="en-GB"/>
        </w:rPr>
        <w:t>The employment of disabled people 2023</w:t>
      </w:r>
      <w:r>
        <w:rPr>
          <w:lang w:val="en-GB"/>
        </w:rPr>
        <w:t>. Available at:</w:t>
      </w:r>
      <w:r>
        <w:fldChar w:fldCharType="begin"/>
      </w:r>
      <w:r>
        <w:instrText xml:space="preserve"> HYPERLINK "https://www.gov.uk/government/statistics/the-employment-of-disabled-people-2023/employment-of-disabled-people-2023" \h </w:instrText>
      </w:r>
      <w:r>
        <w:fldChar w:fldCharType="separate"/>
      </w:r>
      <w:r>
        <w:fldChar w:fldCharType="end"/>
      </w:r>
      <w:r>
        <w:fldChar w:fldCharType="begin"/>
      </w:r>
      <w:r>
        <w:instrText xml:space="preserve"> HYPERLINK "https://www.gov.uk/government/statistics/the-employment-of-disabled-people-2023/employment-of-disabled-people-2023" \h </w:instrText>
      </w:r>
      <w:r>
        <w:fldChar w:fldCharType="separate"/>
      </w:r>
      <w:r>
        <w:rPr>
          <w:color w:val="1155CC"/>
          <w:u w:val="single"/>
          <w:lang w:val="en-GB"/>
        </w:rPr>
        <w:t>https://www.gov.uk/government/statistics/the-employment-of-disabled-people-2023/employment-of-disabled-people-2023</w:t>
      </w:r>
      <w:r>
        <w:rPr>
          <w:color w:val="1155CC"/>
          <w:u w:val="single"/>
          <w:lang w:val="en-GB"/>
        </w:rPr>
        <w:fldChar w:fldCharType="end"/>
      </w:r>
      <w:r>
        <w:rPr>
          <w:lang w:val="en-GB"/>
        </w:rPr>
        <w:t xml:space="preserve"> (Accessed: 8 August 2026).</w:t>
      </w:r>
    </w:p>
    <w:p w14:paraId="3F1B07A2">
      <w:pPr>
        <w:spacing w:before="240" w:after="240" w:line="480" w:lineRule="auto"/>
        <w:jc w:val="both"/>
        <w:rPr>
          <w:lang w:val="en-GB"/>
        </w:rPr>
      </w:pPr>
      <w:r>
        <w:rPr>
          <w:lang w:val="en-GB"/>
        </w:rPr>
        <w:t xml:space="preserve">Mencap (2024) </w:t>
      </w:r>
      <w:r>
        <w:rPr>
          <w:i/>
          <w:iCs/>
          <w:lang w:val="en-GB"/>
        </w:rPr>
        <w:t>Health inequalities for people with a learning disability</w:t>
      </w:r>
      <w:r>
        <w:rPr>
          <w:lang w:val="en-GB"/>
        </w:rPr>
        <w:t>. Available at:</w:t>
      </w:r>
      <w:r>
        <w:fldChar w:fldCharType="begin"/>
      </w:r>
      <w:r>
        <w:instrText xml:space="preserve"> HYPERLINK "https://www.mencap.org.uk/what-we-do/campaigns-and-activism/our-campaign-reports/health-inequalities-people-learning" \h </w:instrText>
      </w:r>
      <w:r>
        <w:fldChar w:fldCharType="separate"/>
      </w:r>
      <w:r>
        <w:fldChar w:fldCharType="end"/>
      </w:r>
      <w:r>
        <w:fldChar w:fldCharType="begin"/>
      </w:r>
      <w:r>
        <w:instrText xml:space="preserve"> HYPERLINK "https://www.mencap.org.uk/what-we-do/campaigns-and-activism/our-campaign-reports/health-inequalities-people-learning" \h </w:instrText>
      </w:r>
      <w:r>
        <w:fldChar w:fldCharType="separate"/>
      </w:r>
      <w:r>
        <w:rPr>
          <w:color w:val="1155CC"/>
          <w:u w:val="single"/>
          <w:lang w:val="en-GB"/>
        </w:rPr>
        <w:t>https://www.mencap.org.uk/what-we-do/campaigns-and-activism/our-campaign-reports/health-inequalities-people-learning</w:t>
      </w:r>
      <w:r>
        <w:rPr>
          <w:color w:val="1155CC"/>
          <w:u w:val="single"/>
          <w:lang w:val="en-GB"/>
        </w:rPr>
        <w:fldChar w:fldCharType="end"/>
      </w:r>
      <w:r>
        <w:rPr>
          <w:lang w:val="en-GB"/>
        </w:rPr>
        <w:t xml:space="preserve"> (Accessed: 8 August 2026).</w:t>
      </w:r>
    </w:p>
    <w:p w14:paraId="0B00AB52">
      <w:pPr>
        <w:spacing w:before="240" w:after="240" w:line="480" w:lineRule="auto"/>
        <w:jc w:val="both"/>
        <w:rPr>
          <w:lang w:val="en-GB"/>
        </w:rPr>
      </w:pPr>
      <w:r>
        <w:rPr>
          <w:lang w:val="en-GB"/>
        </w:rPr>
        <w:t xml:space="preserve">Mencap (2024) </w:t>
      </w:r>
      <w:r>
        <w:rPr>
          <w:i/>
          <w:iCs/>
          <w:lang w:val="en-GB"/>
        </w:rPr>
        <w:t>Learning disability and autism training for health and care staff</w:t>
      </w:r>
      <w:r>
        <w:rPr>
          <w:lang w:val="en-GB"/>
        </w:rPr>
        <w:t>. Available at:</w:t>
      </w:r>
      <w:r>
        <w:fldChar w:fldCharType="begin"/>
      </w:r>
      <w:r>
        <w:instrText xml:space="preserve"> HYPERLINK "https://www.mencap.org.uk/get-involved/campaign-mencap/treat-me-well/learning-disability-and-autism-training-health-and-care" \h </w:instrText>
      </w:r>
      <w:r>
        <w:fldChar w:fldCharType="separate"/>
      </w:r>
      <w:r>
        <w:fldChar w:fldCharType="end"/>
      </w:r>
      <w:r>
        <w:fldChar w:fldCharType="begin"/>
      </w:r>
      <w:r>
        <w:instrText xml:space="preserve"> HYPERLINK "https://www.mencap.org.uk/get-involved/campaign-mencap/treat-me-well/learning-disability-and-autism-training-health-and-care" \h </w:instrText>
      </w:r>
      <w:r>
        <w:fldChar w:fldCharType="separate"/>
      </w:r>
      <w:r>
        <w:rPr>
          <w:color w:val="1155CC"/>
          <w:u w:val="single"/>
          <w:lang w:val="en-GB"/>
        </w:rPr>
        <w:t>https://www.mencap.org.uk/get-involved/campaign-mencap/treat-me-well/learning-disability-and-autism-training-health-and-care</w:t>
      </w:r>
      <w:r>
        <w:rPr>
          <w:color w:val="1155CC"/>
          <w:u w:val="single"/>
          <w:lang w:val="en-GB"/>
        </w:rPr>
        <w:fldChar w:fldCharType="end"/>
      </w:r>
      <w:r>
        <w:rPr>
          <w:lang w:val="en-GB"/>
        </w:rPr>
        <w:t xml:space="preserve"> (Accessed: 8 August 2026).</w:t>
      </w:r>
    </w:p>
    <w:p w14:paraId="33B9179F">
      <w:pPr>
        <w:spacing w:before="240" w:after="240" w:line="480" w:lineRule="auto"/>
        <w:jc w:val="both"/>
        <w:rPr>
          <w:lang w:val="en-GB"/>
        </w:rPr>
      </w:pPr>
      <w:r>
        <w:rPr>
          <w:lang w:val="en-GB"/>
        </w:rPr>
        <w:t xml:space="preserve">Mencap (2025) </w:t>
      </w:r>
      <w:r>
        <w:rPr>
          <w:i/>
          <w:iCs/>
          <w:lang w:val="en-GB"/>
        </w:rPr>
        <w:t>NHS – Do you include me?</w:t>
      </w:r>
      <w:r>
        <w:rPr>
          <w:lang w:val="en-GB"/>
        </w:rPr>
        <w:t xml:space="preserve"> Available at:</w:t>
      </w:r>
      <w:r>
        <w:fldChar w:fldCharType="begin"/>
      </w:r>
      <w:r>
        <w:instrText xml:space="preserve"> HYPERLINK "https://www.mencap.org.uk/get-involved/campaigns-and-activism/nhs-do-you-include-me" \h </w:instrText>
      </w:r>
      <w:r>
        <w:fldChar w:fldCharType="separate"/>
      </w:r>
      <w:r>
        <w:fldChar w:fldCharType="end"/>
      </w:r>
      <w:r>
        <w:fldChar w:fldCharType="begin"/>
      </w:r>
      <w:r>
        <w:instrText xml:space="preserve"> HYPERLINK "https://www.mencap.org.uk/get-involved/campaigns-and-activism/nhs-do-you-include-me" \h </w:instrText>
      </w:r>
      <w:r>
        <w:fldChar w:fldCharType="separate"/>
      </w:r>
      <w:r>
        <w:rPr>
          <w:color w:val="1155CC"/>
          <w:u w:val="single"/>
          <w:lang w:val="en-GB"/>
        </w:rPr>
        <w:t>https://www.mencap.org.uk/get-involved/campaigns-and-activism/nhs-do-you-include-me</w:t>
      </w:r>
      <w:r>
        <w:rPr>
          <w:color w:val="1155CC"/>
          <w:u w:val="single"/>
          <w:lang w:val="en-GB"/>
        </w:rPr>
        <w:fldChar w:fldCharType="end"/>
      </w:r>
      <w:r>
        <w:rPr>
          <w:lang w:val="en-GB"/>
        </w:rPr>
        <w:t xml:space="preserve"> (Accessed: 8 August 2026).</w:t>
      </w:r>
    </w:p>
    <w:p w14:paraId="5ECBF664">
      <w:pPr>
        <w:spacing w:before="240" w:after="240" w:line="480" w:lineRule="auto"/>
        <w:jc w:val="both"/>
        <w:rPr>
          <w:lang w:val="en-GB"/>
        </w:rPr>
      </w:pPr>
      <w:r>
        <w:rPr>
          <w:lang w:val="en-GB"/>
        </w:rPr>
        <w:t xml:space="preserve">Mencap (2026) </w:t>
      </w:r>
      <w:r>
        <w:rPr>
          <w:i/>
          <w:iCs/>
          <w:lang w:val="en-GB"/>
        </w:rPr>
        <w:t>Learning disability: health inequalities research</w:t>
      </w:r>
      <w:r>
        <w:rPr>
          <w:lang w:val="en-GB"/>
        </w:rPr>
        <w:t>. Available at:</w:t>
      </w:r>
      <w:r>
        <w:fldChar w:fldCharType="begin"/>
      </w:r>
      <w:r>
        <w:instrText xml:space="preserve"> HYPERLINK "https://www.mencap.org.uk/learning-disability-explained/research-and-statistics/health/health-inequalities-research-and-statistics" \h </w:instrText>
      </w:r>
      <w:r>
        <w:fldChar w:fldCharType="separate"/>
      </w:r>
      <w:r>
        <w:fldChar w:fldCharType="end"/>
      </w:r>
      <w:r>
        <w:fldChar w:fldCharType="begin"/>
      </w:r>
      <w:r>
        <w:instrText xml:space="preserve"> HYPERLINK "https://www.mencap.org.uk/learning-disability-explained/research-and-statistics/health/health-inequalities-research-and-statistics" \h </w:instrText>
      </w:r>
      <w:r>
        <w:fldChar w:fldCharType="separate"/>
      </w:r>
      <w:r>
        <w:rPr>
          <w:color w:val="1155CC"/>
          <w:u w:val="single"/>
          <w:lang w:val="en-GB"/>
        </w:rPr>
        <w:t>https://www.mencap.org.uk/learning-disability-explained/research-and-statistics/health/health-inequalities-research-and-statistics</w:t>
      </w:r>
      <w:r>
        <w:rPr>
          <w:color w:val="1155CC"/>
          <w:u w:val="single"/>
          <w:lang w:val="en-GB"/>
        </w:rPr>
        <w:fldChar w:fldCharType="end"/>
      </w:r>
      <w:r>
        <w:rPr>
          <w:lang w:val="en-GB"/>
        </w:rPr>
        <w:t xml:space="preserve"> (Accessed: 8 August 2026).</w:t>
      </w:r>
    </w:p>
    <w:p w14:paraId="51B84D0B">
      <w:pPr>
        <w:spacing w:before="240" w:after="240" w:line="480" w:lineRule="auto"/>
        <w:jc w:val="both"/>
        <w:rPr>
          <w:lang w:val="en-GB"/>
        </w:rPr>
      </w:pPr>
      <w:r>
        <w:rPr>
          <w:lang w:val="en-GB"/>
        </w:rPr>
        <w:t xml:space="preserve">NHS England (2024) </w:t>
      </w:r>
      <w:r>
        <w:rPr>
          <w:i/>
          <w:iCs/>
          <w:lang w:val="en-GB"/>
        </w:rPr>
        <w:t>Health and care passports: implementation guidance</w:t>
      </w:r>
      <w:r>
        <w:rPr>
          <w:lang w:val="en-GB"/>
        </w:rPr>
        <w:t>. Available at:</w:t>
      </w:r>
      <w:r>
        <w:fldChar w:fldCharType="begin"/>
      </w:r>
      <w:r>
        <w:instrText xml:space="preserve"> HYPERLINK "https://www.england.nhs.uk/long-read/health-and-care-passports-implementation-guidance" \h </w:instrText>
      </w:r>
      <w:r>
        <w:fldChar w:fldCharType="separate"/>
      </w:r>
      <w:r>
        <w:fldChar w:fldCharType="end"/>
      </w:r>
      <w:r>
        <w:fldChar w:fldCharType="begin"/>
      </w:r>
      <w:r>
        <w:instrText xml:space="preserve"> HYPERLINK "https://www.england.nhs.uk/long-read/health-and-care-passports-implementation-guidance" \h </w:instrText>
      </w:r>
      <w:r>
        <w:fldChar w:fldCharType="separate"/>
      </w:r>
      <w:r>
        <w:rPr>
          <w:color w:val="1155CC"/>
          <w:u w:val="single"/>
          <w:lang w:val="en-GB"/>
        </w:rPr>
        <w:t>https://www.england.nhs.uk/long-read/health-and-care-passports-implementation-guidance</w:t>
      </w:r>
      <w:r>
        <w:rPr>
          <w:color w:val="1155CC"/>
          <w:u w:val="single"/>
          <w:lang w:val="en-GB"/>
        </w:rPr>
        <w:fldChar w:fldCharType="end"/>
      </w:r>
      <w:r>
        <w:rPr>
          <w:lang w:val="en-GB"/>
        </w:rPr>
        <w:t xml:space="preserve"> (Accessed: 8 August 2026).</w:t>
      </w:r>
    </w:p>
    <w:p w14:paraId="26707C5C">
      <w:pPr>
        <w:spacing w:before="240" w:after="240" w:line="480" w:lineRule="auto"/>
        <w:jc w:val="both"/>
        <w:rPr>
          <w:lang w:val="en-GB"/>
        </w:rPr>
      </w:pPr>
      <w:r>
        <w:rPr>
          <w:lang w:val="en-GB"/>
        </w:rPr>
        <w:t xml:space="preserve">NHS England (2024) </w:t>
      </w:r>
      <w:r>
        <w:rPr>
          <w:i/>
          <w:iCs/>
          <w:lang w:val="en-GB"/>
        </w:rPr>
        <w:t>Learning disability and autism programme</w:t>
      </w:r>
      <w:r>
        <w:rPr>
          <w:lang w:val="en-GB"/>
        </w:rPr>
        <w:t>. Available at:</w:t>
      </w:r>
      <w:r>
        <w:fldChar w:fldCharType="begin"/>
      </w:r>
      <w:r>
        <w:instrText xml:space="preserve"> HYPERLINK "https://www.england.nhs.uk/learning-disabilities/improving-health/annual-health-checks" \h </w:instrText>
      </w:r>
      <w:r>
        <w:fldChar w:fldCharType="separate"/>
      </w:r>
      <w:r>
        <w:fldChar w:fldCharType="end"/>
      </w:r>
      <w:r>
        <w:fldChar w:fldCharType="begin"/>
      </w:r>
      <w:r>
        <w:instrText xml:space="preserve"> HYPERLINK "https://www.england.nhs.uk/learning-disabilities/improving-health/annual-health-checks" \h </w:instrText>
      </w:r>
      <w:r>
        <w:fldChar w:fldCharType="separate"/>
      </w:r>
      <w:r>
        <w:rPr>
          <w:color w:val="1155CC"/>
          <w:u w:val="single"/>
          <w:lang w:val="en-GB"/>
        </w:rPr>
        <w:t>https://www.england.nhs.uk/learning-disabilities/improving-health/annual-health-checks</w:t>
      </w:r>
      <w:r>
        <w:rPr>
          <w:color w:val="1155CC"/>
          <w:u w:val="single"/>
          <w:lang w:val="en-GB"/>
        </w:rPr>
        <w:fldChar w:fldCharType="end"/>
      </w:r>
      <w:r>
        <w:rPr>
          <w:lang w:val="en-GB"/>
        </w:rPr>
        <w:t xml:space="preserve"> (Accessed: 8 August 2026).</w:t>
      </w:r>
    </w:p>
    <w:p w14:paraId="445F9556">
      <w:pPr>
        <w:spacing w:before="240" w:after="240" w:line="480" w:lineRule="auto"/>
        <w:jc w:val="both"/>
        <w:rPr>
          <w:lang w:val="en-GB"/>
        </w:rPr>
      </w:pPr>
      <w:r>
        <w:rPr>
          <w:lang w:val="en-GB"/>
        </w:rPr>
        <w:t xml:space="preserve">NHS England (2025) </w:t>
      </w:r>
      <w:r>
        <w:rPr>
          <w:i/>
          <w:iCs/>
          <w:lang w:val="en-GB"/>
        </w:rPr>
        <w:t>Learning from lives and deaths – people with a learning disability (LeDeR) annual report</w:t>
      </w:r>
      <w:r>
        <w:rPr>
          <w:lang w:val="en-GB"/>
        </w:rPr>
        <w:t>. Available at:</w:t>
      </w:r>
      <w:r>
        <w:fldChar w:fldCharType="begin"/>
      </w:r>
      <w:r>
        <w:instrText xml:space="preserve"> HYPERLINK "https://www.england.nhs.uk/learning-disabilities/improving-health/learning-from-lives-and-deaths" \h </w:instrText>
      </w:r>
      <w:r>
        <w:fldChar w:fldCharType="separate"/>
      </w:r>
      <w:r>
        <w:fldChar w:fldCharType="end"/>
      </w:r>
      <w:r>
        <w:fldChar w:fldCharType="begin"/>
      </w:r>
      <w:r>
        <w:instrText xml:space="preserve"> HYPERLINK "https://www.england.nhs.uk/learning-disabilities/improving-health/learning-from-lives-and-deaths" \h </w:instrText>
      </w:r>
      <w:r>
        <w:fldChar w:fldCharType="separate"/>
      </w:r>
      <w:r>
        <w:rPr>
          <w:color w:val="1155CC"/>
          <w:u w:val="single"/>
          <w:lang w:val="en-GB"/>
        </w:rPr>
        <w:t>https://www.england.nhs.uk/learning-disabilities/improving-health/learning-from-lives-and-deaths</w:t>
      </w:r>
      <w:r>
        <w:rPr>
          <w:color w:val="1155CC"/>
          <w:u w:val="single"/>
          <w:lang w:val="en-GB"/>
        </w:rPr>
        <w:fldChar w:fldCharType="end"/>
      </w:r>
      <w:r>
        <w:rPr>
          <w:lang w:val="en-GB"/>
        </w:rPr>
        <w:t xml:space="preserve"> (Accessed: 8 August 2026).</w:t>
      </w:r>
    </w:p>
    <w:p w14:paraId="21F0DBC3">
      <w:pPr>
        <w:spacing w:before="240" w:after="240" w:line="480" w:lineRule="auto"/>
        <w:jc w:val="both"/>
        <w:rPr>
          <w:lang w:val="en-GB"/>
        </w:rPr>
      </w:pPr>
      <w:r>
        <w:rPr>
          <w:lang w:val="en-GB"/>
        </w:rPr>
        <w:t xml:space="preserve">NHS England (2025) </w:t>
      </w:r>
      <w:r>
        <w:rPr>
          <w:i/>
          <w:iCs/>
          <w:lang w:val="en-GB"/>
        </w:rPr>
        <w:t>Update on Learning Disability and Autism Programme</w:t>
      </w:r>
      <w:r>
        <w:rPr>
          <w:lang w:val="en-GB"/>
        </w:rPr>
        <w:t>. Available at:</w:t>
      </w:r>
      <w:r>
        <w:fldChar w:fldCharType="begin"/>
      </w:r>
      <w:r>
        <w:instrText xml:space="preserve"> HYPERLINK "https://www.england.nhs.uk/long-read/update-on-learning-disability-and-autism-programme" \h </w:instrText>
      </w:r>
      <w:r>
        <w:fldChar w:fldCharType="separate"/>
      </w:r>
      <w:r>
        <w:fldChar w:fldCharType="end"/>
      </w:r>
      <w:r>
        <w:fldChar w:fldCharType="begin"/>
      </w:r>
      <w:r>
        <w:instrText xml:space="preserve"> HYPERLINK "https://www.england.nhs.uk/long-read/update-on-learning-disability-and-autism-programme" \h </w:instrText>
      </w:r>
      <w:r>
        <w:fldChar w:fldCharType="separate"/>
      </w:r>
      <w:r>
        <w:rPr>
          <w:color w:val="1155CC"/>
          <w:u w:val="single"/>
          <w:lang w:val="en-GB"/>
        </w:rPr>
        <w:t>https://www.england.nhs.uk/long-read/update-on-learning-disability-and-autism-programme</w:t>
      </w:r>
      <w:r>
        <w:rPr>
          <w:color w:val="1155CC"/>
          <w:u w:val="single"/>
          <w:lang w:val="en-GB"/>
        </w:rPr>
        <w:fldChar w:fldCharType="end"/>
      </w:r>
      <w:r>
        <w:rPr>
          <w:lang w:val="en-GB"/>
        </w:rPr>
        <w:t xml:space="preserve"> (Accessed: 8 August 2026).</w:t>
      </w:r>
    </w:p>
    <w:p w14:paraId="302B8150">
      <w:pPr>
        <w:spacing w:before="240" w:after="240" w:line="480" w:lineRule="auto"/>
        <w:jc w:val="both"/>
        <w:rPr>
          <w:lang w:val="en-GB"/>
        </w:rPr>
      </w:pPr>
      <w:r>
        <w:rPr>
          <w:lang w:val="en-GB"/>
        </w:rPr>
        <w:t xml:space="preserve">NHS England (2026) </w:t>
      </w:r>
      <w:r>
        <w:rPr>
          <w:i/>
          <w:iCs/>
          <w:lang w:val="en-GB"/>
        </w:rPr>
        <w:t>Reasonable Adjustment Digital Flag action checklist</w:t>
      </w:r>
      <w:r>
        <w:rPr>
          <w:lang w:val="en-GB"/>
        </w:rPr>
        <w:t>. Available at:</w:t>
      </w:r>
      <w:r>
        <w:fldChar w:fldCharType="begin"/>
      </w:r>
      <w:r>
        <w:instrText xml:space="preserve"> HYPERLINK "https://www.england.nhs.uk/long-read/the-reasonable-adjustment-digital-flag-action-checklist-what-you-need-to-do-to-achieve-compliance/" \h </w:instrText>
      </w:r>
      <w:r>
        <w:fldChar w:fldCharType="separate"/>
      </w:r>
      <w:r>
        <w:fldChar w:fldCharType="end"/>
      </w:r>
      <w:r>
        <w:fldChar w:fldCharType="begin"/>
      </w:r>
      <w:r>
        <w:instrText xml:space="preserve"> HYPERLINK "https://www.england.nhs.uk/long-read/the-reasonable-adjustment-digital-flag-action-checklist-what-you-need-to-do-to-achieve-compliance/" \h </w:instrText>
      </w:r>
      <w:r>
        <w:fldChar w:fldCharType="separate"/>
      </w:r>
      <w:r>
        <w:rPr>
          <w:color w:val="1155CC"/>
          <w:u w:val="single"/>
          <w:lang w:val="en-GB"/>
        </w:rPr>
        <w:t>https://www.england.nhs.uk/long-read/the-reasonable-adjustment-digital-flag-action-checklist-what-you-need-to-do-to-achieve-compliance/</w:t>
      </w:r>
      <w:r>
        <w:rPr>
          <w:color w:val="1155CC"/>
          <w:u w:val="single"/>
          <w:lang w:val="en-GB"/>
        </w:rPr>
        <w:fldChar w:fldCharType="end"/>
      </w:r>
      <w:r>
        <w:rPr>
          <w:lang w:val="en-GB"/>
        </w:rPr>
        <w:t xml:space="preserve"> (Accessed: 8 August 2026).</w:t>
      </w:r>
    </w:p>
    <w:p w14:paraId="100C99C1">
      <w:pPr>
        <w:spacing w:before="240" w:after="240" w:line="480" w:lineRule="auto"/>
        <w:jc w:val="both"/>
        <w:rPr>
          <w:lang w:val="en-GB"/>
        </w:rPr>
      </w:pPr>
      <w:r>
        <w:rPr>
          <w:lang w:val="en-GB"/>
        </w:rPr>
        <w:t xml:space="preserve">NHS England (2026) </w:t>
      </w:r>
      <w:r>
        <w:rPr>
          <w:i/>
          <w:iCs/>
          <w:lang w:val="en-GB"/>
        </w:rPr>
        <w:t>What is the Reasonable Adjustment Digital Flag?</w:t>
      </w:r>
      <w:r>
        <w:rPr>
          <w:lang w:val="en-GB"/>
        </w:rPr>
        <w:t xml:space="preserve"> Available at:</w:t>
      </w:r>
      <w:r>
        <w:fldChar w:fldCharType="begin"/>
      </w:r>
      <w:r>
        <w:instrText xml:space="preserve"> HYPERLINK "https://www.england.nhs.uk/learning-disabilities/improving-health/what-is-the-reasonable-adjustment-digital-flag" \h </w:instrText>
      </w:r>
      <w:r>
        <w:fldChar w:fldCharType="separate"/>
      </w:r>
      <w:r>
        <w:fldChar w:fldCharType="end"/>
      </w:r>
      <w:r>
        <w:fldChar w:fldCharType="begin"/>
      </w:r>
      <w:r>
        <w:instrText xml:space="preserve"> HYPERLINK "https://www.england.nhs.uk/learning-disabilities/improving-health/what-is-the-reasonable-adjustment-digital-flag" \h </w:instrText>
      </w:r>
      <w:r>
        <w:fldChar w:fldCharType="separate"/>
      </w:r>
      <w:r>
        <w:rPr>
          <w:color w:val="1155CC"/>
          <w:u w:val="single"/>
          <w:lang w:val="en-GB"/>
        </w:rPr>
        <w:t>https://www.england.nhs.uk/learning-disabilities/improving-health/what-is-the-reasonable-adjustment-digital-flag</w:t>
      </w:r>
      <w:r>
        <w:rPr>
          <w:color w:val="1155CC"/>
          <w:u w:val="single"/>
          <w:lang w:val="en-GB"/>
        </w:rPr>
        <w:fldChar w:fldCharType="end"/>
      </w:r>
      <w:r>
        <w:rPr>
          <w:lang w:val="en-GB"/>
        </w:rPr>
        <w:t xml:space="preserve"> (Accessed: 8 August 2026).</w:t>
      </w:r>
    </w:p>
    <w:p w14:paraId="4E7343B9">
      <w:pPr>
        <w:spacing w:before="240" w:after="240" w:line="480" w:lineRule="auto"/>
        <w:jc w:val="both"/>
        <w:rPr>
          <w:lang w:val="en-GB"/>
        </w:rPr>
      </w:pPr>
      <w:r>
        <w:rPr>
          <w:lang w:val="en-GB"/>
        </w:rPr>
        <w:t xml:space="preserve">Public Health England (2020) </w:t>
      </w:r>
      <w:r>
        <w:rPr>
          <w:i/>
          <w:iCs/>
          <w:lang w:val="en-GB"/>
        </w:rPr>
        <w:t>Obesity and weight management for people with learning disabilities</w:t>
      </w:r>
      <w:r>
        <w:rPr>
          <w:lang w:val="en-GB"/>
        </w:rPr>
        <w:t>. Available at:</w:t>
      </w:r>
      <w:r>
        <w:fldChar w:fldCharType="begin"/>
      </w:r>
      <w:r>
        <w:instrText xml:space="preserve"> HYPERLINK "https://www.gov.uk/government/publications/obesity-weight-management-and-people-with-learning-disabilities/obesity-and-weight-management-for-people-with-learning-disabilities-guidance" \h </w:instrText>
      </w:r>
      <w:r>
        <w:fldChar w:fldCharType="separate"/>
      </w:r>
      <w:r>
        <w:fldChar w:fldCharType="end"/>
      </w:r>
      <w:r>
        <w:fldChar w:fldCharType="begin"/>
      </w:r>
      <w:r>
        <w:instrText xml:space="preserve"> HYPERLINK "https://www.gov.uk/government/publications/obesity-weight-management-and-people-with-learning-disabilities/obesity-and-weight-management-for-people-with-learning-disabilities-guidance" \h </w:instrText>
      </w:r>
      <w:r>
        <w:fldChar w:fldCharType="separate"/>
      </w:r>
      <w:r>
        <w:rPr>
          <w:color w:val="1155CC"/>
          <w:u w:val="single"/>
          <w:lang w:val="en-GB"/>
        </w:rPr>
        <w:t>https://www.gov.uk/government/publications/obesity-weight-management-and-people-with-learning-disabilities/obesity-and-weight-management-for-people-with-learning-disabilities-guidance</w:t>
      </w:r>
      <w:r>
        <w:rPr>
          <w:color w:val="1155CC"/>
          <w:u w:val="single"/>
          <w:lang w:val="en-GB"/>
        </w:rPr>
        <w:fldChar w:fldCharType="end"/>
      </w:r>
      <w:r>
        <w:rPr>
          <w:lang w:val="en-GB"/>
        </w:rPr>
        <w:t xml:space="preserve">  (Accessed: 8 August 2026).</w:t>
      </w:r>
    </w:p>
    <w:p w14:paraId="36F9FC68">
      <w:pPr>
        <w:spacing w:before="240" w:after="240" w:line="480" w:lineRule="auto"/>
        <w:jc w:val="both"/>
        <w:rPr>
          <w:lang w:val="en-GB"/>
        </w:rPr>
      </w:pPr>
      <w:r>
        <w:rPr>
          <w:lang w:val="en-GB"/>
        </w:rPr>
        <w:t xml:space="preserve">Public Health England (2020) </w:t>
      </w:r>
      <w:r>
        <w:rPr>
          <w:i/>
          <w:iCs/>
          <w:lang w:val="en-GB"/>
        </w:rPr>
        <w:t>People with learning disabilities in England: employment</w:t>
      </w:r>
      <w:r>
        <w:rPr>
          <w:lang w:val="en-GB"/>
        </w:rPr>
        <w:t>. Available at:</w:t>
      </w:r>
      <w:r>
        <w:fldChar w:fldCharType="begin"/>
      </w:r>
      <w:r>
        <w:instrText xml:space="preserve"> HYPERLINK "https://www.gov.uk/government/publications/people-with-learning-disabilities-in-england/chapter-2-employment" \h </w:instrText>
      </w:r>
      <w:r>
        <w:fldChar w:fldCharType="separate"/>
      </w:r>
      <w:r>
        <w:fldChar w:fldCharType="end"/>
      </w:r>
      <w:r>
        <w:fldChar w:fldCharType="begin"/>
      </w:r>
      <w:r>
        <w:instrText xml:space="preserve"> HYPERLINK "https://www.gov.uk/government/publications/people-with-learning-disabilities-in-england/chapter-2-employment" \h </w:instrText>
      </w:r>
      <w:r>
        <w:fldChar w:fldCharType="separate"/>
      </w:r>
      <w:r>
        <w:rPr>
          <w:color w:val="1155CC"/>
          <w:u w:val="single"/>
          <w:lang w:val="en-GB"/>
        </w:rPr>
        <w:t>https://www.gov.uk/government/publications/people-with-learning-disabilities-in-england/chapter-2-employment</w:t>
      </w:r>
      <w:r>
        <w:rPr>
          <w:color w:val="1155CC"/>
          <w:u w:val="single"/>
          <w:lang w:val="en-GB"/>
        </w:rPr>
        <w:fldChar w:fldCharType="end"/>
      </w:r>
      <w:r>
        <w:rPr>
          <w:lang w:val="en-GB"/>
        </w:rPr>
        <w:t xml:space="preserve"> (Accessed: 8 August 2026).</w:t>
      </w:r>
    </w:p>
    <w:p w14:paraId="2F54E059">
      <w:pPr>
        <w:pStyle w:val="3"/>
        <w:spacing w:line="480" w:lineRule="auto"/>
        <w:rPr>
          <w:rFonts w:ascii="Arial" w:hAnsi="Arial" w:cs="Arial"/>
          <w:b w:val="0"/>
          <w:bCs/>
          <w:sz w:val="22"/>
          <w:szCs w:val="22"/>
          <w:lang w:val="en-GB"/>
        </w:rPr>
      </w:pPr>
      <w:bookmarkStart w:id="54" w:name="_enyn6373nhq9" w:colFirst="0" w:colLast="0"/>
      <w:bookmarkEnd w:id="54"/>
      <w:bookmarkStart w:id="55" w:name="_Toc237270636"/>
      <w:r>
        <w:rPr>
          <w:rFonts w:ascii="Arial" w:hAnsi="Arial" w:cs="Arial"/>
          <w:bCs/>
          <w:sz w:val="22"/>
          <w:szCs w:val="22"/>
          <w:lang w:val="en-GB"/>
        </w:rPr>
        <w:t>Task 2</w:t>
      </w:r>
      <w:bookmarkEnd w:id="55"/>
    </w:p>
    <w:p w14:paraId="662F8382">
      <w:pPr>
        <w:spacing w:before="240" w:after="240" w:line="480" w:lineRule="auto"/>
        <w:jc w:val="both"/>
        <w:rPr>
          <w:lang w:val="en-GB"/>
        </w:rPr>
      </w:pPr>
      <w:r>
        <w:rPr>
          <w:lang w:val="en-GB"/>
        </w:rPr>
        <w:t xml:space="preserve">Department of Health and Social Care (2021) </w:t>
      </w:r>
      <w:r>
        <w:rPr>
          <w:i/>
          <w:iCs/>
          <w:lang w:val="en-GB"/>
        </w:rPr>
        <w:t>Health: Commission on Race and Ethnic Disparities</w:t>
      </w:r>
      <w:r>
        <w:rPr>
          <w:lang w:val="en-GB"/>
        </w:rPr>
        <w:t>. Available at:</w:t>
      </w:r>
      <w:r>
        <w:fldChar w:fldCharType="begin"/>
      </w:r>
      <w:r>
        <w:instrText xml:space="preserve"> HYPERLINK "https://www.gov.uk/government/publications/the-report-of-the-commission-on-race-and-ethnic-disparities/health" \h </w:instrText>
      </w:r>
      <w:r>
        <w:fldChar w:fldCharType="separate"/>
      </w:r>
      <w:r>
        <w:fldChar w:fldCharType="end"/>
      </w:r>
      <w:r>
        <w:fldChar w:fldCharType="begin"/>
      </w:r>
      <w:r>
        <w:instrText xml:space="preserve"> HYPERLINK "https://www.gov.uk/government/publications/the-report-of-the-commission-on-race-and-ethnic-disparities/health" \h </w:instrText>
      </w:r>
      <w:r>
        <w:fldChar w:fldCharType="separate"/>
      </w:r>
      <w:r>
        <w:rPr>
          <w:color w:val="1155CC"/>
          <w:u w:val="single"/>
          <w:lang w:val="en-GB"/>
        </w:rPr>
        <w:t>https://www.gov.uk/government/publications/the-report-of-the-commission-on-race-and-ethnic-disparities/health</w:t>
      </w:r>
      <w:r>
        <w:rPr>
          <w:color w:val="1155CC"/>
          <w:u w:val="single"/>
          <w:lang w:val="en-GB"/>
        </w:rPr>
        <w:fldChar w:fldCharType="end"/>
      </w:r>
      <w:r>
        <w:rPr>
          <w:lang w:val="en-GB"/>
        </w:rPr>
        <w:t xml:space="preserve"> (Accessed: 8 August 2026).</w:t>
      </w:r>
    </w:p>
    <w:p w14:paraId="47D4EF83">
      <w:pPr>
        <w:spacing w:before="240" w:after="240" w:line="480" w:lineRule="auto"/>
        <w:jc w:val="both"/>
        <w:rPr>
          <w:lang w:val="en-GB"/>
        </w:rPr>
      </w:pPr>
      <w:r>
        <w:rPr>
          <w:lang w:val="en-GB"/>
        </w:rPr>
        <w:t>Eastwood, S.V.,</w:t>
      </w:r>
      <w:r>
        <w:fldChar w:fldCharType="begin"/>
      </w:r>
      <w:r>
        <w:instrText xml:space="preserve"> HYPERLINK "https://pubmed.ncbi.nlm.nih.gov/?term=Hughes+AD&amp;cauthor_id=36818236" \h </w:instrText>
      </w:r>
      <w:r>
        <w:fldChar w:fldCharType="separate"/>
      </w:r>
      <w:r>
        <w:fldChar w:fldCharType="end"/>
      </w:r>
      <w:r>
        <w:fldChar w:fldCharType="begin"/>
      </w:r>
      <w:r>
        <w:instrText xml:space="preserve"> HYPERLINK "https://pubmed.ncbi.nlm.nih.gov/?term=Hughes+AD&amp;cauthor_id=36818236" \h </w:instrText>
      </w:r>
      <w:r>
        <w:fldChar w:fldCharType="separate"/>
      </w:r>
      <w:r>
        <w:rPr>
          <w:lang w:val="en-GB"/>
        </w:rPr>
        <w:t>Hughes</w:t>
      </w:r>
      <w:r>
        <w:rPr>
          <w:lang w:val="en-GB"/>
        </w:rPr>
        <w:fldChar w:fldCharType="end"/>
      </w:r>
      <w:r>
        <w:rPr>
          <w:lang w:val="en-GB"/>
        </w:rPr>
        <w:t>, A.D,</w:t>
      </w:r>
      <w:r>
        <w:fldChar w:fldCharType="begin"/>
      </w:r>
      <w:r>
        <w:instrText xml:space="preserve"> HYPERLINK "https://pubmed.ncbi.nlm.nih.gov/?term=Tomlinson+L&amp;cauthor_id=36818236" \h </w:instrText>
      </w:r>
      <w:r>
        <w:fldChar w:fldCharType="separate"/>
      </w:r>
      <w:r>
        <w:fldChar w:fldCharType="end"/>
      </w:r>
      <w:r>
        <w:fldChar w:fldCharType="begin"/>
      </w:r>
      <w:r>
        <w:instrText xml:space="preserve"> HYPERLINK "https://pubmed.ncbi.nlm.nih.gov/?term=Tomlinson+L&amp;cauthor_id=36818236" \h </w:instrText>
      </w:r>
      <w:r>
        <w:fldChar w:fldCharType="separate"/>
      </w:r>
      <w:r>
        <w:rPr>
          <w:lang w:val="en-GB"/>
        </w:rPr>
        <w:t>Tomlinson</w:t>
      </w:r>
      <w:r>
        <w:rPr>
          <w:lang w:val="en-GB"/>
        </w:rPr>
        <w:fldChar w:fldCharType="end"/>
      </w:r>
      <w:r>
        <w:rPr>
          <w:lang w:val="en-GB"/>
        </w:rPr>
        <w:t>, L.,</w:t>
      </w:r>
      <w:r>
        <w:fldChar w:fldCharType="begin"/>
      </w:r>
      <w:r>
        <w:instrText xml:space="preserve"> HYPERLINK "https://pubmed.ncbi.nlm.nih.gov/?term=Mathur+R&amp;cauthor_id=36818236" \h </w:instrText>
      </w:r>
      <w:r>
        <w:fldChar w:fldCharType="separate"/>
      </w:r>
      <w:r>
        <w:fldChar w:fldCharType="end"/>
      </w:r>
      <w:r>
        <w:fldChar w:fldCharType="begin"/>
      </w:r>
      <w:r>
        <w:instrText xml:space="preserve"> HYPERLINK "https://pubmed.ncbi.nlm.nih.gov/?term=Mathur+R&amp;cauthor_id=36818236" \h </w:instrText>
      </w:r>
      <w:r>
        <w:fldChar w:fldCharType="separate"/>
      </w:r>
      <w:r>
        <w:rPr>
          <w:lang w:val="en-GB"/>
        </w:rPr>
        <w:t>Mathur</w:t>
      </w:r>
      <w:r>
        <w:rPr>
          <w:lang w:val="en-GB"/>
        </w:rPr>
        <w:fldChar w:fldCharType="end"/>
      </w:r>
      <w:r>
        <w:rPr>
          <w:lang w:val="en-GB"/>
        </w:rPr>
        <w:t>, R.,</w:t>
      </w:r>
      <w:r>
        <w:fldChar w:fldCharType="begin"/>
      </w:r>
      <w:r>
        <w:instrText xml:space="preserve"> HYPERLINK "https://pubmed.ncbi.nlm.nih.gov/?term=Smeeth+L&amp;cauthor_id=36818236" \h </w:instrText>
      </w:r>
      <w:r>
        <w:fldChar w:fldCharType="separate"/>
      </w:r>
      <w:r>
        <w:fldChar w:fldCharType="end"/>
      </w:r>
      <w:r>
        <w:fldChar w:fldCharType="begin"/>
      </w:r>
      <w:r>
        <w:instrText xml:space="preserve"> HYPERLINK "https://pubmed.ncbi.nlm.nih.gov/?term=Smeeth+L&amp;cauthor_id=36818236" \h </w:instrText>
      </w:r>
      <w:r>
        <w:fldChar w:fldCharType="separate"/>
      </w:r>
      <w:r>
        <w:rPr>
          <w:lang w:val="en-GB"/>
        </w:rPr>
        <w:t>Smeeth</w:t>
      </w:r>
      <w:r>
        <w:rPr>
          <w:lang w:val="en-GB"/>
        </w:rPr>
        <w:fldChar w:fldCharType="end"/>
      </w:r>
      <w:r>
        <w:rPr>
          <w:lang w:val="en-GB"/>
        </w:rPr>
        <w:t>, L.,</w:t>
      </w:r>
      <w:r>
        <w:fldChar w:fldCharType="begin"/>
      </w:r>
      <w:r>
        <w:instrText xml:space="preserve"> HYPERLINK "https://pubmed.ncbi.nlm.nih.gov/?term=Bhaskaran+K&amp;cauthor_id=36818236" \h </w:instrText>
      </w:r>
      <w:r>
        <w:fldChar w:fldCharType="separate"/>
      </w:r>
      <w:r>
        <w:fldChar w:fldCharType="end"/>
      </w:r>
      <w:r>
        <w:fldChar w:fldCharType="begin"/>
      </w:r>
      <w:r>
        <w:instrText xml:space="preserve"> HYPERLINK "https://pubmed.ncbi.nlm.nih.gov/?term=Bhaskaran+K&amp;cauthor_id=36818236" \h </w:instrText>
      </w:r>
      <w:r>
        <w:fldChar w:fldCharType="separate"/>
      </w:r>
      <w:r>
        <w:rPr>
          <w:lang w:val="en-GB"/>
        </w:rPr>
        <w:t>Bhaskaran</w:t>
      </w:r>
      <w:r>
        <w:rPr>
          <w:lang w:val="en-GB"/>
        </w:rPr>
        <w:fldChar w:fldCharType="end"/>
      </w:r>
      <w:r>
        <w:rPr>
          <w:lang w:val="en-GB"/>
        </w:rPr>
        <w:t xml:space="preserve">, K., Chaturvedi, N. (2022) ‘Ethnic differences in hypertension management, medication use and blood pressure control in UK primary care, 2006–2019: a retrospective cohort study’, </w:t>
      </w:r>
      <w:r>
        <w:rPr>
          <w:i/>
          <w:iCs/>
          <w:lang w:val="en-GB"/>
        </w:rPr>
        <w:t>The Lancet Regional Health – Europe</w:t>
      </w:r>
      <w:r>
        <w:rPr>
          <w:lang w:val="en-GB"/>
        </w:rPr>
        <w:t>, 18. Available at:</w:t>
      </w:r>
      <w:r>
        <w:fldChar w:fldCharType="begin"/>
      </w:r>
      <w:r>
        <w:instrText xml:space="preserve"> HYPERLINK "https://pubmed.ncbi.nlm.nih.gov/36818236/" \h </w:instrText>
      </w:r>
      <w:r>
        <w:fldChar w:fldCharType="separate"/>
      </w:r>
      <w:r>
        <w:fldChar w:fldCharType="end"/>
      </w:r>
      <w:r>
        <w:fldChar w:fldCharType="begin"/>
      </w:r>
      <w:r>
        <w:instrText xml:space="preserve"> HYPERLINK "https://pubmed.ncbi.nlm.nih.gov/36818236/" \h </w:instrText>
      </w:r>
      <w:r>
        <w:fldChar w:fldCharType="separate"/>
      </w:r>
      <w:r>
        <w:rPr>
          <w:color w:val="1155CC"/>
          <w:u w:val="single"/>
          <w:lang w:val="en-GB"/>
        </w:rPr>
        <w:t>https://pubmed.ncbi.nlm.nih.gov/36818236/</w:t>
      </w:r>
      <w:r>
        <w:rPr>
          <w:color w:val="1155CC"/>
          <w:u w:val="single"/>
          <w:lang w:val="en-GB"/>
        </w:rPr>
        <w:fldChar w:fldCharType="end"/>
      </w:r>
      <w:r>
        <w:rPr>
          <w:lang w:val="en-GB"/>
        </w:rPr>
        <w:t xml:space="preserve"> </w:t>
      </w:r>
    </w:p>
    <w:p w14:paraId="4EF553E6">
      <w:pPr>
        <w:spacing w:before="240" w:after="240" w:line="480" w:lineRule="auto"/>
        <w:jc w:val="both"/>
        <w:rPr>
          <w:lang w:val="en-GB"/>
        </w:rPr>
      </w:pPr>
      <w:r>
        <w:rPr>
          <w:lang w:val="en-GB"/>
        </w:rPr>
        <w:t xml:space="preserve">Lambeth Council (2022) </w:t>
      </w:r>
      <w:r>
        <w:rPr>
          <w:i/>
          <w:iCs/>
          <w:lang w:val="en-GB"/>
        </w:rPr>
        <w:t>Health Profile for Lambeth 2022: Metabolic – Hypertension</w:t>
      </w:r>
      <w:r>
        <w:rPr>
          <w:lang w:val="en-GB"/>
        </w:rPr>
        <w:t>. Available at:</w:t>
      </w:r>
      <w:r>
        <w:fldChar w:fldCharType="begin"/>
      </w:r>
      <w:r>
        <w:instrText xml:space="preserve"> HYPERLINK "https://www.lambeth.gov.uk/sites/default/files/2022-10/health-profile-for-lambeth-2022-section-6.pdf" \h </w:instrText>
      </w:r>
      <w:r>
        <w:fldChar w:fldCharType="separate"/>
      </w:r>
      <w:r>
        <w:fldChar w:fldCharType="end"/>
      </w:r>
      <w:r>
        <w:fldChar w:fldCharType="begin"/>
      </w:r>
      <w:r>
        <w:instrText xml:space="preserve"> HYPERLINK "https://www.lambeth.gov.uk/sites/default/files/2022-10/health-profile-for-lambeth-2022-section-6.pdf" \h </w:instrText>
      </w:r>
      <w:r>
        <w:fldChar w:fldCharType="separate"/>
      </w:r>
      <w:r>
        <w:rPr>
          <w:color w:val="1155CC"/>
          <w:u w:val="single"/>
          <w:lang w:val="en-GB"/>
        </w:rPr>
        <w:t>https://www.lambeth.gov.uk/sites/default/files/2022-10/health-profile-for-lambeth-2022-section-6.pdf</w:t>
      </w:r>
      <w:r>
        <w:rPr>
          <w:color w:val="1155CC"/>
          <w:u w:val="single"/>
          <w:lang w:val="en-GB"/>
        </w:rPr>
        <w:fldChar w:fldCharType="end"/>
      </w:r>
      <w:r>
        <w:rPr>
          <w:lang w:val="en-GB"/>
        </w:rPr>
        <w:t xml:space="preserve"> (Accessed: 8 August 2026).</w:t>
      </w:r>
    </w:p>
    <w:p w14:paraId="34A07A31">
      <w:pPr>
        <w:spacing w:before="240" w:after="240" w:line="480" w:lineRule="auto"/>
        <w:jc w:val="both"/>
        <w:rPr>
          <w:lang w:val="en-GB"/>
        </w:rPr>
      </w:pPr>
      <w:r>
        <w:rPr>
          <w:lang w:val="en-GB"/>
        </w:rPr>
        <w:t xml:space="preserve">Lambeth Council (2023) </w:t>
      </w:r>
      <w:r>
        <w:rPr>
          <w:i/>
          <w:iCs/>
          <w:lang w:val="en-GB"/>
        </w:rPr>
        <w:t>Help us research hypertension and heart health in Lambeth</w:t>
      </w:r>
      <w:r>
        <w:rPr>
          <w:lang w:val="en-GB"/>
        </w:rPr>
        <w:t>. Available at:</w:t>
      </w:r>
      <w:r>
        <w:fldChar w:fldCharType="begin"/>
      </w:r>
      <w:r>
        <w:instrText xml:space="preserve"> HYPERLINK "https://love.lambeth.gov.uk/help-us-research-hypertension-and-heart-health-in-lambeth" \h </w:instrText>
      </w:r>
      <w:r>
        <w:fldChar w:fldCharType="separate"/>
      </w:r>
      <w:r>
        <w:fldChar w:fldCharType="end"/>
      </w:r>
      <w:r>
        <w:fldChar w:fldCharType="begin"/>
      </w:r>
      <w:r>
        <w:instrText xml:space="preserve"> HYPERLINK "https://love.lambeth.gov.uk/help-us-research-hypertension-and-heart-health-in-lambeth" \h </w:instrText>
      </w:r>
      <w:r>
        <w:fldChar w:fldCharType="separate"/>
      </w:r>
      <w:r>
        <w:rPr>
          <w:color w:val="1155CC"/>
          <w:u w:val="single"/>
          <w:lang w:val="en-GB"/>
        </w:rPr>
        <w:t>https://love.lambeth.gov.uk/help-us-research-hypertension-and-heart-health-in-lambeth</w:t>
      </w:r>
      <w:r>
        <w:rPr>
          <w:color w:val="1155CC"/>
          <w:u w:val="single"/>
          <w:lang w:val="en-GB"/>
        </w:rPr>
        <w:fldChar w:fldCharType="end"/>
      </w:r>
      <w:r>
        <w:rPr>
          <w:lang w:val="en-GB"/>
        </w:rPr>
        <w:t xml:space="preserve"> (Accessed: 8 August 2026).</w:t>
      </w:r>
    </w:p>
    <w:p w14:paraId="0B7C8943">
      <w:pPr>
        <w:spacing w:before="240" w:after="240" w:line="480" w:lineRule="auto"/>
        <w:jc w:val="both"/>
        <w:rPr>
          <w:lang w:val="en-GB"/>
        </w:rPr>
      </w:pPr>
      <w:r>
        <w:rPr>
          <w:lang w:val="en-GB"/>
        </w:rPr>
        <w:t xml:space="preserve">Lambeth Council (2025) </w:t>
      </w:r>
      <w:r>
        <w:rPr>
          <w:i/>
          <w:iCs/>
          <w:lang w:val="en-GB"/>
        </w:rPr>
        <w:t>Lambeth Pharmaceutical Needs Assessment 2025</w:t>
      </w:r>
      <w:r>
        <w:rPr>
          <w:lang w:val="en-GB"/>
        </w:rPr>
        <w:t>. Available at:</w:t>
      </w:r>
      <w:r>
        <w:fldChar w:fldCharType="begin"/>
      </w:r>
      <w:r>
        <w:instrText xml:space="preserve"> HYPERLINK "https://www.lambethtogether.net/long-read/neighbourhood-and-wellbeing-delivery-alliance-progress-report-2022-23/strategic-priority-1-prevention" \h </w:instrText>
      </w:r>
      <w:r>
        <w:fldChar w:fldCharType="separate"/>
      </w:r>
      <w:r>
        <w:fldChar w:fldCharType="end"/>
      </w:r>
      <w:r>
        <w:fldChar w:fldCharType="begin"/>
      </w:r>
      <w:r>
        <w:instrText xml:space="preserve"> HYPERLINK "https://www.lambethtogether.net/long-read/neighbourhood-and-wellbeing-delivery-alliance-progress-report-2022-23/strategic-priority-1-prevention" \h </w:instrText>
      </w:r>
      <w:r>
        <w:fldChar w:fldCharType="separate"/>
      </w:r>
      <w:r>
        <w:rPr>
          <w:color w:val="1155CC"/>
          <w:u w:val="single"/>
          <w:lang w:val="en-GB"/>
        </w:rPr>
        <w:t>https://www.lambethtogether.net/long-read/neighbourhood-and-wellbeing-delivery-alliance-progress-report-2022-23/strategic-priority-1-prevention</w:t>
      </w:r>
      <w:r>
        <w:rPr>
          <w:color w:val="1155CC"/>
          <w:u w:val="single"/>
          <w:lang w:val="en-GB"/>
        </w:rPr>
        <w:fldChar w:fldCharType="end"/>
      </w:r>
      <w:r>
        <w:rPr>
          <w:lang w:val="en-GB"/>
        </w:rPr>
        <w:t xml:space="preserve"> (Accessed: 8 August 2026).</w:t>
      </w:r>
    </w:p>
    <w:p w14:paraId="43AA928D">
      <w:pPr>
        <w:spacing w:before="240" w:after="240" w:line="480" w:lineRule="auto"/>
        <w:jc w:val="both"/>
        <w:rPr>
          <w:lang w:val="en-GB"/>
        </w:rPr>
      </w:pPr>
      <w:r>
        <w:rPr>
          <w:lang w:val="en-GB"/>
        </w:rPr>
        <w:t xml:space="preserve">Lambeth Together (2023) </w:t>
      </w:r>
      <w:r>
        <w:rPr>
          <w:i/>
          <w:iCs/>
          <w:lang w:val="en-GB"/>
        </w:rPr>
        <w:t>Strategic Priority 1: Prevention</w:t>
      </w:r>
      <w:r>
        <w:rPr>
          <w:lang w:val="en-GB"/>
        </w:rPr>
        <w:t>. Available at:</w:t>
      </w:r>
      <w:r>
        <w:fldChar w:fldCharType="begin"/>
      </w:r>
      <w:r>
        <w:instrText xml:space="preserve"> HYPERLINK "https://www.lambethtogether.net/long-read/neighbourhood-and-wellbeing-delivery-alliance-progress-report-2022-23/strategic-priority-1-prevention" \h </w:instrText>
      </w:r>
      <w:r>
        <w:fldChar w:fldCharType="separate"/>
      </w:r>
      <w:r>
        <w:fldChar w:fldCharType="end"/>
      </w:r>
      <w:r>
        <w:fldChar w:fldCharType="begin"/>
      </w:r>
      <w:r>
        <w:instrText xml:space="preserve"> HYPERLINK "https://www.lambethtogether.net/long-read/neighbourhood-and-wellbeing-delivery-alliance-progress-report-2022-23/strategic-priority-1-prevention" \h </w:instrText>
      </w:r>
      <w:r>
        <w:fldChar w:fldCharType="separate"/>
      </w:r>
      <w:r>
        <w:rPr>
          <w:color w:val="1155CC"/>
          <w:u w:val="single"/>
          <w:lang w:val="en-GB"/>
        </w:rPr>
        <w:t>https://www.lambethtogether.net/long-read/neighbourhood-and-wellbeing-delivery-alliance-progress-report-2022-23/strategic-priority-1-prevention</w:t>
      </w:r>
      <w:r>
        <w:rPr>
          <w:color w:val="1155CC"/>
          <w:u w:val="single"/>
          <w:lang w:val="en-GB"/>
        </w:rPr>
        <w:fldChar w:fldCharType="end"/>
      </w:r>
      <w:r>
        <w:rPr>
          <w:lang w:val="en-GB"/>
        </w:rPr>
        <w:t xml:space="preserve"> (Accessed: 8 August 2026).</w:t>
      </w:r>
    </w:p>
    <w:p w14:paraId="01C50271">
      <w:pPr>
        <w:spacing w:before="240" w:after="240" w:line="480" w:lineRule="auto"/>
        <w:jc w:val="both"/>
        <w:rPr>
          <w:lang w:val="en-GB"/>
        </w:rPr>
      </w:pPr>
      <w:r>
        <w:rPr>
          <w:lang w:val="en-GB"/>
        </w:rPr>
        <w:t xml:space="preserve">Lambeth Together (2024) </w:t>
      </w:r>
      <w:r>
        <w:rPr>
          <w:i/>
          <w:iCs/>
          <w:lang w:val="en-GB"/>
        </w:rPr>
        <w:t>NWDA project: high blood pressure</w:t>
      </w:r>
      <w:r>
        <w:rPr>
          <w:lang w:val="en-GB"/>
        </w:rPr>
        <w:t>. Available at:</w:t>
      </w:r>
      <w:r>
        <w:fldChar w:fldCharType="begin"/>
      </w:r>
      <w:r>
        <w:instrText xml:space="preserve"> HYPERLINK "https://www.lambethtogether.net/delivery-alliances/nwda/nwda-projects/nwda-project-high-blood-pressure" \h </w:instrText>
      </w:r>
      <w:r>
        <w:fldChar w:fldCharType="separate"/>
      </w:r>
      <w:r>
        <w:fldChar w:fldCharType="end"/>
      </w:r>
      <w:r>
        <w:fldChar w:fldCharType="begin"/>
      </w:r>
      <w:r>
        <w:instrText xml:space="preserve"> HYPERLINK "https://www.lambethtogether.net/delivery-alliances/nwda/nwda-projects/nwda-project-high-blood-pressure" \h </w:instrText>
      </w:r>
      <w:r>
        <w:fldChar w:fldCharType="separate"/>
      </w:r>
      <w:r>
        <w:rPr>
          <w:color w:val="1155CC"/>
          <w:u w:val="single"/>
          <w:lang w:val="en-GB"/>
        </w:rPr>
        <w:t>https://www.lambethtogether.net/delivery-alliances/nwda/nwda-projects/nwda-project-high-blood-pressure</w:t>
      </w:r>
      <w:r>
        <w:rPr>
          <w:color w:val="1155CC"/>
          <w:u w:val="single"/>
          <w:lang w:val="en-GB"/>
        </w:rPr>
        <w:fldChar w:fldCharType="end"/>
      </w:r>
      <w:r>
        <w:rPr>
          <w:lang w:val="en-GB"/>
        </w:rPr>
        <w:t xml:space="preserve"> (Accessed: 8 August 2026).</w:t>
      </w:r>
    </w:p>
    <w:p w14:paraId="7DFB6D02">
      <w:pPr>
        <w:spacing w:before="240" w:after="240" w:line="480" w:lineRule="auto"/>
        <w:jc w:val="both"/>
        <w:rPr>
          <w:lang w:val="en-GB"/>
        </w:rPr>
      </w:pPr>
      <w:r>
        <w:rPr>
          <w:lang w:val="en-GB"/>
        </w:rPr>
        <w:t xml:space="preserve">Lambeth Together (2024) </w:t>
      </w:r>
      <w:r>
        <w:rPr>
          <w:i/>
          <w:iCs/>
          <w:lang w:val="en-GB"/>
        </w:rPr>
        <w:t>Strategic Priority 3: Living well for longer</w:t>
      </w:r>
      <w:r>
        <w:rPr>
          <w:lang w:val="en-GB"/>
        </w:rPr>
        <w:t>. Available at:</w:t>
      </w:r>
      <w:r>
        <w:fldChar w:fldCharType="begin"/>
      </w:r>
      <w:r>
        <w:instrText xml:space="preserve"> HYPERLINK "https://www.lambethtogether.net/long-read/neighbourhood-and-wellbeing-delivery-alliance-progress-report-2023-24/strategic-priority-3-living-well-for-longer" \h </w:instrText>
      </w:r>
      <w:r>
        <w:fldChar w:fldCharType="separate"/>
      </w:r>
      <w:r>
        <w:fldChar w:fldCharType="end"/>
      </w:r>
      <w:r>
        <w:fldChar w:fldCharType="begin"/>
      </w:r>
      <w:r>
        <w:instrText xml:space="preserve"> HYPERLINK "https://www.lambethtogether.net/long-read/neighbourhood-and-wellbeing-delivery-alliance-progress-report-2023-24/strategic-priority-3-living-well-for-longer" \h </w:instrText>
      </w:r>
      <w:r>
        <w:fldChar w:fldCharType="separate"/>
      </w:r>
      <w:r>
        <w:rPr>
          <w:color w:val="1155CC"/>
          <w:u w:val="single"/>
          <w:lang w:val="en-GB"/>
        </w:rPr>
        <w:t>https://www.lambethtogether.net/long-read/neighbourhood-and-wellbeing-delivery-alliance-progress-report-2023-24/strategic-priority-3-living-well-for-longer</w:t>
      </w:r>
      <w:r>
        <w:rPr>
          <w:color w:val="1155CC"/>
          <w:u w:val="single"/>
          <w:lang w:val="en-GB"/>
        </w:rPr>
        <w:fldChar w:fldCharType="end"/>
      </w:r>
      <w:r>
        <w:rPr>
          <w:lang w:val="en-GB"/>
        </w:rPr>
        <w:t xml:space="preserve"> (Accessed: 8 August 2026).</w:t>
      </w:r>
    </w:p>
    <w:p w14:paraId="3191DC44">
      <w:pPr>
        <w:spacing w:before="240" w:after="240" w:line="480" w:lineRule="auto"/>
        <w:jc w:val="both"/>
        <w:rPr>
          <w:lang w:val="en-GB"/>
        </w:rPr>
      </w:pPr>
      <w:r>
        <w:rPr>
          <w:lang w:val="en-GB"/>
        </w:rPr>
        <w:t xml:space="preserve">Lambeth Together (2025) </w:t>
      </w:r>
      <w:r>
        <w:rPr>
          <w:i/>
          <w:iCs/>
          <w:lang w:val="en-GB"/>
        </w:rPr>
        <w:t>High blood pressure – advice and useful links</w:t>
      </w:r>
      <w:r>
        <w:rPr>
          <w:lang w:val="en-GB"/>
        </w:rPr>
        <w:t>. Available at:</w:t>
      </w:r>
      <w:r>
        <w:fldChar w:fldCharType="begin"/>
      </w:r>
      <w:r>
        <w:instrText xml:space="preserve"> HYPERLINK "https://www.lambethtogether.net/delivery-alliances/nwda/nwda-projects/nwda-project-high-blood-pressure/high-blood-pressure-advice-and-useful-links" \h </w:instrText>
      </w:r>
      <w:r>
        <w:fldChar w:fldCharType="separate"/>
      </w:r>
      <w:r>
        <w:fldChar w:fldCharType="end"/>
      </w:r>
      <w:r>
        <w:fldChar w:fldCharType="begin"/>
      </w:r>
      <w:r>
        <w:instrText xml:space="preserve"> HYPERLINK "https://www.lambethtogether.net/delivery-alliances/nwda/nwda-projects/nwda-project-high-blood-pressure/high-blood-pressure-advice-and-useful-links" \h </w:instrText>
      </w:r>
      <w:r>
        <w:fldChar w:fldCharType="separate"/>
      </w:r>
      <w:r>
        <w:rPr>
          <w:color w:val="1155CC"/>
          <w:u w:val="single"/>
          <w:lang w:val="en-GB"/>
        </w:rPr>
        <w:t>https://www.lambethtogether.net/delivery-alliances/nwda/nwda-projects/nwda-project-high-blood-pressure/high-blood-pressure-advice-and-useful-links</w:t>
      </w:r>
      <w:r>
        <w:rPr>
          <w:color w:val="1155CC"/>
          <w:u w:val="single"/>
          <w:lang w:val="en-GB"/>
        </w:rPr>
        <w:fldChar w:fldCharType="end"/>
      </w:r>
      <w:r>
        <w:rPr>
          <w:lang w:val="en-GB"/>
        </w:rPr>
        <w:t xml:space="preserve"> (Accessed: 8 August 2026).</w:t>
      </w:r>
    </w:p>
    <w:p w14:paraId="43BBF4E5">
      <w:pPr>
        <w:spacing w:before="240" w:after="240" w:line="480" w:lineRule="auto"/>
        <w:jc w:val="both"/>
        <w:rPr>
          <w:lang w:val="en-GB"/>
        </w:rPr>
      </w:pPr>
      <w:r>
        <w:rPr>
          <w:lang w:val="en-GB"/>
        </w:rPr>
        <w:t xml:space="preserve">NHS England (2024) </w:t>
      </w:r>
      <w:r>
        <w:rPr>
          <w:i/>
          <w:iCs/>
          <w:lang w:val="en-GB"/>
        </w:rPr>
        <w:t>How Lambeth is closing the health inequality gap for Black and minority ethnic patients with high blood pressure</w:t>
      </w:r>
      <w:r>
        <w:rPr>
          <w:lang w:val="en-GB"/>
        </w:rPr>
        <w:t>. Available at:</w:t>
      </w:r>
      <w:r>
        <w:fldChar w:fldCharType="begin"/>
      </w:r>
      <w:r>
        <w:instrText xml:space="preserve"> HYPERLINK "https://www.england.nhs.uk/about/equality/equality-hub/case-studies/how-lambeth-is-closing-the-health-inequality-gap-for-black-and-minority-ethnic-patients-with-high-blood-pressure/" \h </w:instrText>
      </w:r>
      <w:r>
        <w:fldChar w:fldCharType="separate"/>
      </w:r>
      <w:r>
        <w:fldChar w:fldCharType="end"/>
      </w:r>
      <w:r>
        <w:fldChar w:fldCharType="begin"/>
      </w:r>
      <w:r>
        <w:instrText xml:space="preserve"> HYPERLINK "https://www.england.nhs.uk/about/equality/equality-hub/case-studies/how-lambeth-is-closing-the-health-inequality-gap-for-black-and-minority-ethnic-patients-with-high-blood-pressure/" \h </w:instrText>
      </w:r>
      <w:r>
        <w:fldChar w:fldCharType="separate"/>
      </w:r>
      <w:r>
        <w:rPr>
          <w:color w:val="1155CC"/>
          <w:u w:val="single"/>
          <w:lang w:val="en-GB"/>
        </w:rPr>
        <w:t>https://www.england.nhs.uk/about/equality/equality-hub/case-studies/how-lambeth-is-closing-the-health-inequality-gap-for-black-and-minority-ethnic-patients-with-high-blood-pressure/</w:t>
      </w:r>
      <w:r>
        <w:rPr>
          <w:color w:val="1155CC"/>
          <w:u w:val="single"/>
          <w:lang w:val="en-GB"/>
        </w:rPr>
        <w:fldChar w:fldCharType="end"/>
      </w:r>
      <w:r>
        <w:rPr>
          <w:lang w:val="en-GB"/>
        </w:rPr>
        <w:t xml:space="preserve"> (Accessed: 8 August 2026).</w:t>
      </w:r>
    </w:p>
    <w:p w14:paraId="1CAEC704">
      <w:pPr>
        <w:spacing w:before="240" w:after="240" w:line="480" w:lineRule="auto"/>
        <w:jc w:val="both"/>
        <w:rPr>
          <w:lang w:val="en-GB"/>
        </w:rPr>
      </w:pPr>
      <w:r>
        <w:rPr>
          <w:lang w:val="en-GB"/>
        </w:rPr>
        <w:t xml:space="preserve">NHS England (2025) </w:t>
      </w:r>
      <w:r>
        <w:rPr>
          <w:i/>
          <w:iCs/>
          <w:lang w:val="en-GB"/>
        </w:rPr>
        <w:t>NHS Community Pharmacy Blood Pressure Check Service</w:t>
      </w:r>
      <w:r>
        <w:rPr>
          <w:lang w:val="en-GB"/>
        </w:rPr>
        <w:t>. Available at:</w:t>
      </w:r>
      <w:r>
        <w:fldChar w:fldCharType="begin"/>
      </w:r>
      <w:r>
        <w:instrText xml:space="preserve"> HYPERLINK "https://www.england.nhs.uk/primary-care/pharmacy/pharmacy-services/nhs-community-pharmacy-blood-pressure-check-service" \h </w:instrText>
      </w:r>
      <w:r>
        <w:fldChar w:fldCharType="separate"/>
      </w:r>
      <w:r>
        <w:fldChar w:fldCharType="end"/>
      </w:r>
      <w:r>
        <w:fldChar w:fldCharType="begin"/>
      </w:r>
      <w:r>
        <w:instrText xml:space="preserve"> HYPERLINK "https://www.england.nhs.uk/primary-care/pharmacy/pharmacy-services/nhs-community-pharmacy-blood-pressure-check-service" \h </w:instrText>
      </w:r>
      <w:r>
        <w:fldChar w:fldCharType="separate"/>
      </w:r>
      <w:r>
        <w:rPr>
          <w:color w:val="1155CC"/>
          <w:u w:val="single"/>
          <w:lang w:val="en-GB"/>
        </w:rPr>
        <w:t>https://www.england.nhs.uk/primary-care/pharmacy/pharmacy-services/nhs-community-pharmacy-blood-pressure-check-service</w:t>
      </w:r>
      <w:r>
        <w:rPr>
          <w:color w:val="1155CC"/>
          <w:u w:val="single"/>
          <w:lang w:val="en-GB"/>
        </w:rPr>
        <w:fldChar w:fldCharType="end"/>
      </w:r>
      <w:r>
        <w:rPr>
          <w:lang w:val="en-GB"/>
        </w:rPr>
        <w:t xml:space="preserve"> (Accessed: 8 August 2026).</w:t>
      </w:r>
    </w:p>
    <w:p w14:paraId="7815A56A">
      <w:pPr>
        <w:spacing w:before="240" w:after="240" w:line="480" w:lineRule="auto"/>
        <w:jc w:val="both"/>
        <w:rPr>
          <w:lang w:val="en-GB"/>
        </w:rPr>
      </w:pPr>
      <w:r>
        <w:rPr>
          <w:lang w:val="en-GB"/>
        </w:rPr>
        <w:t xml:space="preserve">NHS England (2025) </w:t>
      </w:r>
      <w:r>
        <w:rPr>
          <w:i/>
          <w:iCs/>
          <w:lang w:val="en-GB"/>
        </w:rPr>
        <w:t>NHS Community Pharmacy Hypertension Case-Finding Advanced Service</w:t>
      </w:r>
      <w:r>
        <w:rPr>
          <w:lang w:val="en-GB"/>
        </w:rPr>
        <w:t>. Available at:</w:t>
      </w:r>
      <w:r>
        <w:fldChar w:fldCharType="begin"/>
      </w:r>
      <w:r>
        <w:instrText xml:space="preserve"> HYPERLINK "https://www.england.nhs.uk/publication/advanced-service-specification-nhs-community-pharmacy-hypertension-case-finding-advanced-service" \h </w:instrText>
      </w:r>
      <w:r>
        <w:fldChar w:fldCharType="separate"/>
      </w:r>
      <w:r>
        <w:fldChar w:fldCharType="end"/>
      </w:r>
      <w:r>
        <w:fldChar w:fldCharType="begin"/>
      </w:r>
      <w:r>
        <w:instrText xml:space="preserve"> HYPERLINK "https://www.england.nhs.uk/publication/advanced-service-specification-nhs-community-pharmacy-hypertension-case-finding-advanced-service" \h </w:instrText>
      </w:r>
      <w:r>
        <w:fldChar w:fldCharType="separate"/>
      </w:r>
      <w:r>
        <w:rPr>
          <w:color w:val="1155CC"/>
          <w:u w:val="single"/>
          <w:lang w:val="en-GB"/>
        </w:rPr>
        <w:t>https://www.england.nhs.uk/publication/advanced-service-specification-nhs-community-pharmacy-hypertension-case-finding-advanced-service</w:t>
      </w:r>
      <w:r>
        <w:rPr>
          <w:color w:val="1155CC"/>
          <w:u w:val="single"/>
          <w:lang w:val="en-GB"/>
        </w:rPr>
        <w:fldChar w:fldCharType="end"/>
      </w:r>
      <w:r>
        <w:rPr>
          <w:lang w:val="en-GB"/>
        </w:rPr>
        <w:t xml:space="preserve"> (Accessed: 8 August 2026).</w:t>
      </w:r>
    </w:p>
    <w:p w14:paraId="7177BFDA">
      <w:pPr>
        <w:spacing w:before="240" w:after="240" w:line="480" w:lineRule="auto"/>
        <w:jc w:val="both"/>
        <w:rPr>
          <w:lang w:val="en-GB"/>
        </w:rPr>
      </w:pPr>
      <w:r>
        <w:rPr>
          <w:lang w:val="en-GB"/>
        </w:rPr>
        <w:t xml:space="preserve">NHS England (2026) </w:t>
      </w:r>
      <w:r>
        <w:rPr>
          <w:i/>
          <w:iCs/>
          <w:lang w:val="en-GB"/>
        </w:rPr>
        <w:t>Health Survey for England 2024: Adults’ health</w:t>
      </w:r>
      <w:r>
        <w:rPr>
          <w:lang w:val="en-GB"/>
        </w:rPr>
        <w:t>. Available at:</w:t>
      </w:r>
      <w:r>
        <w:fldChar w:fldCharType="begin"/>
      </w:r>
      <w:r>
        <w:instrText xml:space="preserve"> HYPERLINK "https://digital.nhs.uk/data-and-information/publications/statistical/health-survey-for-england/2024/adults-health" \h </w:instrText>
      </w:r>
      <w:r>
        <w:fldChar w:fldCharType="separate"/>
      </w:r>
      <w:r>
        <w:fldChar w:fldCharType="end"/>
      </w:r>
      <w:r>
        <w:fldChar w:fldCharType="begin"/>
      </w:r>
      <w:r>
        <w:instrText xml:space="preserve"> HYPERLINK "https://digital.nhs.uk/data-and-information/publications/statistical/health-survey-for-england/2024/adults-health" \h </w:instrText>
      </w:r>
      <w:r>
        <w:fldChar w:fldCharType="separate"/>
      </w:r>
      <w:r>
        <w:rPr>
          <w:color w:val="1155CC"/>
          <w:u w:val="single"/>
          <w:lang w:val="en-GB"/>
        </w:rPr>
        <w:t>https://digital.nhs.uk/data-and-information/publications/statistical/health-survey-for-england/2024/adults-health</w:t>
      </w:r>
      <w:r>
        <w:rPr>
          <w:color w:val="1155CC"/>
          <w:u w:val="single"/>
          <w:lang w:val="en-GB"/>
        </w:rPr>
        <w:fldChar w:fldCharType="end"/>
      </w:r>
      <w:r>
        <w:rPr>
          <w:lang w:val="en-GB"/>
        </w:rPr>
        <w:t xml:space="preserve"> (Accessed: 8 August 2026).</w:t>
      </w:r>
    </w:p>
    <w:p w14:paraId="1A080136">
      <w:pPr>
        <w:spacing w:before="240" w:after="240" w:line="480" w:lineRule="auto"/>
        <w:jc w:val="both"/>
        <w:rPr>
          <w:lang w:val="en-GB"/>
        </w:rPr>
      </w:pPr>
      <w:r>
        <w:rPr>
          <w:lang w:val="en-GB"/>
        </w:rPr>
        <w:t xml:space="preserve">NHS England Digital (2025) </w:t>
      </w:r>
      <w:r>
        <w:rPr>
          <w:i/>
          <w:iCs/>
          <w:lang w:val="en-GB"/>
        </w:rPr>
        <w:t>Quality and Outcomes Framework, 2024–25</w:t>
      </w:r>
      <w:r>
        <w:rPr>
          <w:lang w:val="en-GB"/>
        </w:rPr>
        <w:t>. Available at:</w:t>
      </w:r>
      <w:r>
        <w:fldChar w:fldCharType="begin"/>
      </w:r>
      <w:r>
        <w:instrText xml:space="preserve"> HYPERLINK "https://digital.nhs.uk/data-and-information/publications/statistical/quality-and-outcomes-framework-achievement-prevalence-and-exceptions-data/2024-25" \h </w:instrText>
      </w:r>
      <w:r>
        <w:fldChar w:fldCharType="separate"/>
      </w:r>
      <w:r>
        <w:fldChar w:fldCharType="end"/>
      </w:r>
      <w:r>
        <w:fldChar w:fldCharType="begin"/>
      </w:r>
      <w:r>
        <w:instrText xml:space="preserve"> HYPERLINK "https://digital.nhs.uk/data-and-information/publications/statistical/quality-and-outcomes-framework-achievement-prevalence-and-exceptions-data/2024-25" \h </w:instrText>
      </w:r>
      <w:r>
        <w:fldChar w:fldCharType="separate"/>
      </w:r>
      <w:r>
        <w:rPr>
          <w:color w:val="1155CC"/>
          <w:u w:val="single"/>
          <w:lang w:val="en-GB"/>
        </w:rPr>
        <w:t>https://digital.nhs.uk/data-and-information/publications/statistical/quality-and-outcomes-framework-achievement-prevalence-and-exceptions-data/2024-25</w:t>
      </w:r>
      <w:r>
        <w:rPr>
          <w:color w:val="1155CC"/>
          <w:u w:val="single"/>
          <w:lang w:val="en-GB"/>
        </w:rPr>
        <w:fldChar w:fldCharType="end"/>
      </w:r>
      <w:r>
        <w:rPr>
          <w:lang w:val="en-GB"/>
        </w:rPr>
        <w:t xml:space="preserve"> (Accessed: 8 August 2026).</w:t>
      </w:r>
    </w:p>
    <w:p w14:paraId="40234790">
      <w:pPr>
        <w:spacing w:before="240" w:after="240" w:line="480" w:lineRule="auto"/>
        <w:jc w:val="both"/>
        <w:rPr>
          <w:lang w:val="en-GB"/>
        </w:rPr>
      </w:pPr>
      <w:r>
        <w:rPr>
          <w:lang w:val="en-GB"/>
        </w:rPr>
        <w:t xml:space="preserve">NICE (2026) </w:t>
      </w:r>
      <w:r>
        <w:rPr>
          <w:i/>
          <w:iCs/>
          <w:lang w:val="en-GB"/>
        </w:rPr>
        <w:t>Hypertension in adults: diagnosis and management (NG136)</w:t>
      </w:r>
      <w:r>
        <w:rPr>
          <w:lang w:val="en-GB"/>
        </w:rPr>
        <w:t>. Available at:</w:t>
      </w:r>
      <w:r>
        <w:fldChar w:fldCharType="begin"/>
      </w:r>
      <w:r>
        <w:instrText xml:space="preserve"> HYPERLINK "https://www.nice.org.uk/guidance/ng136/chapter/recommendations" \h </w:instrText>
      </w:r>
      <w:r>
        <w:fldChar w:fldCharType="separate"/>
      </w:r>
      <w:r>
        <w:fldChar w:fldCharType="end"/>
      </w:r>
      <w:r>
        <w:fldChar w:fldCharType="begin"/>
      </w:r>
      <w:r>
        <w:instrText xml:space="preserve"> HYPERLINK "https://www.nice.org.uk/guidance/ng136/chapter/recommendations" \h </w:instrText>
      </w:r>
      <w:r>
        <w:fldChar w:fldCharType="separate"/>
      </w:r>
      <w:r>
        <w:rPr>
          <w:color w:val="1155CC"/>
          <w:u w:val="single"/>
          <w:lang w:val="en-GB"/>
        </w:rPr>
        <w:t>https://www.nice.org.uk/guidance/ng136/chapter/recommendations</w:t>
      </w:r>
      <w:r>
        <w:rPr>
          <w:color w:val="1155CC"/>
          <w:u w:val="single"/>
          <w:lang w:val="en-GB"/>
        </w:rPr>
        <w:fldChar w:fldCharType="end"/>
      </w:r>
      <w:r>
        <w:rPr>
          <w:lang w:val="en-GB"/>
        </w:rPr>
        <w:t xml:space="preserve"> (Accessed: 8 August 2026).</w:t>
      </w:r>
    </w:p>
    <w:p w14:paraId="247D3C13">
      <w:pPr>
        <w:spacing w:before="240" w:after="240" w:line="480" w:lineRule="auto"/>
        <w:jc w:val="both"/>
        <w:rPr>
          <w:lang w:val="en-GB"/>
        </w:rPr>
      </w:pPr>
      <w:r>
        <w:rPr>
          <w:lang w:val="en-GB"/>
        </w:rPr>
        <w:t xml:space="preserve">Office for National Statistics (2023) </w:t>
      </w:r>
      <w:r>
        <w:rPr>
          <w:i/>
          <w:iCs/>
          <w:lang w:val="en-GB"/>
        </w:rPr>
        <w:t>Risk factors for undiagnosed high blood pressure in England</w:t>
      </w:r>
      <w:r>
        <w:rPr>
          <w:lang w:val="en-GB"/>
        </w:rPr>
        <w:t>. Available at:</w:t>
      </w:r>
      <w:r>
        <w:fldChar w:fldCharType="begin"/>
      </w:r>
      <w:r>
        <w:instrText xml:space="preserve"> HYPERLINK "https://www.ons.gov.uk/peoplepopulationandcommunity/healthandsocialcare/healthandwellbeing/articles/riskfactorsforundiagnosedhighbloodpressureinengland/2015to2019" \h </w:instrText>
      </w:r>
      <w:r>
        <w:fldChar w:fldCharType="separate"/>
      </w:r>
      <w:r>
        <w:fldChar w:fldCharType="end"/>
      </w:r>
      <w:r>
        <w:fldChar w:fldCharType="begin"/>
      </w:r>
      <w:r>
        <w:instrText xml:space="preserve"> HYPERLINK "https://www.ons.gov.uk/peoplepopulationandcommunity/healthandsocialcare/healthandwellbeing/articles/riskfactorsforundiagnosedhighbloodpressureinengland/2015to2019" \h </w:instrText>
      </w:r>
      <w:r>
        <w:fldChar w:fldCharType="separate"/>
      </w:r>
      <w:r>
        <w:rPr>
          <w:color w:val="1155CC"/>
          <w:u w:val="single"/>
          <w:lang w:val="en-GB"/>
        </w:rPr>
        <w:t>https://www.ons.gov.uk/peoplepopulationandcommunity/healthandsocialcare/healthandwellbeing/articles/riskfactorsforundiagnosedhighbloodpressureinengland/2015to2019</w:t>
      </w:r>
      <w:r>
        <w:rPr>
          <w:color w:val="1155CC"/>
          <w:u w:val="single"/>
          <w:lang w:val="en-GB"/>
        </w:rPr>
        <w:fldChar w:fldCharType="end"/>
      </w:r>
      <w:r>
        <w:rPr>
          <w:lang w:val="en-GB"/>
        </w:rPr>
        <w:t xml:space="preserve"> (Accessed: 8 August 2026).</w:t>
      </w:r>
    </w:p>
    <w:p w14:paraId="737679CB">
      <w:pPr>
        <w:spacing w:before="240" w:after="240" w:line="480" w:lineRule="auto"/>
        <w:jc w:val="both"/>
        <w:rPr>
          <w:lang w:val="en-GB"/>
        </w:rPr>
      </w:pPr>
      <w:r>
        <w:rPr>
          <w:lang w:val="en-GB"/>
        </w:rPr>
        <w:t xml:space="preserve">South East London Integrated Care System (2023) </w:t>
      </w:r>
      <w:r>
        <w:rPr>
          <w:i/>
          <w:iCs/>
          <w:lang w:val="en-GB"/>
        </w:rPr>
        <w:t>A guide for Lambeth General Practice: Hypertension</w:t>
      </w:r>
      <w:r>
        <w:rPr>
          <w:lang w:val="en-GB"/>
        </w:rPr>
        <w:t>. Available at:</w:t>
      </w:r>
      <w:r>
        <w:fldChar w:fldCharType="begin"/>
      </w:r>
      <w:r>
        <w:instrText xml:space="preserve"> HYPERLINK "https://www.selondonics.org/wp-content/uploads/dlm_uploads/CESEL-Hypertension-Lambeth-Guide-updated-Sept-23.pdf?utm_source=chatgpt.com" \h </w:instrText>
      </w:r>
      <w:r>
        <w:fldChar w:fldCharType="separate"/>
      </w:r>
      <w:r>
        <w:fldChar w:fldCharType="end"/>
      </w:r>
      <w:r>
        <w:fldChar w:fldCharType="begin"/>
      </w:r>
      <w:r>
        <w:instrText xml:space="preserve"> HYPERLINK "https://www.selondonics.org/wp-content/uploads/dlm_uploads/CESEL-Hypertension-Lambeth-Guide-updated-Sept-23.pdf?utm_source=chatgpt.com" \h </w:instrText>
      </w:r>
      <w:r>
        <w:fldChar w:fldCharType="separate"/>
      </w:r>
      <w:r>
        <w:rPr>
          <w:color w:val="1155CC"/>
          <w:u w:val="single"/>
          <w:lang w:val="en-GB"/>
        </w:rPr>
        <w:t>South East London ICB – Lambeth Hypertension Guide</w:t>
      </w:r>
      <w:r>
        <w:rPr>
          <w:color w:val="1155CC"/>
          <w:u w:val="single"/>
          <w:lang w:val="en-GB"/>
        </w:rPr>
        <w:fldChar w:fldCharType="end"/>
      </w:r>
      <w:r>
        <w:rPr>
          <w:lang w:val="en-GB"/>
        </w:rPr>
        <w:t xml:space="preserve"> (Accessed: 8 August 2026).</w:t>
      </w:r>
    </w:p>
    <w:p w14:paraId="232B593C">
      <w:pPr>
        <w:spacing w:before="240" w:after="240" w:line="480" w:lineRule="auto"/>
        <w:jc w:val="both"/>
        <w:rPr>
          <w:lang w:val="en-GB"/>
        </w:rPr>
      </w:pPr>
      <w:r>
        <w:rPr>
          <w:lang w:val="en-GB"/>
        </w:rPr>
        <w:t xml:space="preserve">WHO (2025) </w:t>
      </w:r>
      <w:r>
        <w:rPr>
          <w:i/>
          <w:iCs/>
          <w:lang w:val="en-GB"/>
        </w:rPr>
        <w:t>Hypertension</w:t>
      </w:r>
      <w:r>
        <w:rPr>
          <w:lang w:val="en-GB"/>
        </w:rPr>
        <w:t>. Available at:</w:t>
      </w:r>
      <w:r>
        <w:fldChar w:fldCharType="begin"/>
      </w:r>
      <w:r>
        <w:instrText xml:space="preserve"> HYPERLINK "https://www.gov.uk/government/publications/the-report-of-the-commission-on-race-and-ethnic-disparities/health" \h </w:instrText>
      </w:r>
      <w:r>
        <w:fldChar w:fldCharType="separate"/>
      </w:r>
      <w:r>
        <w:fldChar w:fldCharType="end"/>
      </w:r>
      <w:r>
        <w:fldChar w:fldCharType="begin"/>
      </w:r>
      <w:r>
        <w:instrText xml:space="preserve"> HYPERLINK "https://www.gov.uk/government/publications/the-report-of-the-commission-on-race-and-ethnic-disparities/health" \h </w:instrText>
      </w:r>
      <w:r>
        <w:fldChar w:fldCharType="separate"/>
      </w:r>
      <w:r>
        <w:rPr>
          <w:color w:val="1155CC"/>
          <w:u w:val="single"/>
          <w:lang w:val="en-GB"/>
        </w:rPr>
        <w:t>https://www.gov.uk/government/publications/the-report-of-the-commission-on-race-and-ethnic-disparities/health</w:t>
      </w:r>
      <w:r>
        <w:rPr>
          <w:color w:val="1155CC"/>
          <w:u w:val="single"/>
          <w:lang w:val="en-GB"/>
        </w:rPr>
        <w:fldChar w:fldCharType="end"/>
      </w:r>
      <w:r>
        <w:rPr>
          <w:lang w:val="en-GB"/>
        </w:rPr>
        <w:t xml:space="preserve"> (Accessed: 8 August 2026).</w:t>
      </w:r>
    </w:p>
    <w:sectPr>
      <w:footerReference r:id="rId5" w:type="default"/>
      <w:pgSz w:w="12240" w:h="15840"/>
      <w:pgMar w:top="1440" w:right="1440" w:bottom="1440" w:left="1440" w:header="720" w:footer="720" w:gutter="0"/>
      <w:pgBorders w:offsetFrom="page">
        <w:top w:val="single" w:color="auto" w:sz="18" w:space="24"/>
        <w:left w:val="single" w:color="auto" w:sz="18" w:space="24"/>
        <w:bottom w:val="single" w:color="auto" w:sz="18" w:space="24"/>
        <w:right w:val="single" w:color="auto" w:sz="18" w:space="24"/>
      </w:pgBorders>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等线">
    <w:altName w:val="Microsoft YaHei"/>
    <w:panose1 w:val="00000000000000000000"/>
    <w:charset w:val="00"/>
    <w:family w:val="auto"/>
    <w:pitch w:val="default"/>
    <w:sig w:usb0="00000000" w:usb1="00000000" w:usb2="00000000" w:usb3="00000000" w:csb0="00000000" w:csb1="00000000"/>
  </w:font>
  <w:font w:name="Arial Unicode MS">
    <w:altName w:val="Arial"/>
    <w:panose1 w:val="020B0604020202020204"/>
    <w:charset w:val="80"/>
    <w:family w:val="swiss"/>
    <w:pitch w:val="default"/>
    <w:sig w:usb0="00000000" w:usb1="00000000"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28891407"/>
      <w:docPartObj>
        <w:docPartGallery w:val="AutoText"/>
      </w:docPartObj>
    </w:sdtPr>
    <w:sdtContent>
      <w:p w14:paraId="07067274">
        <w:pPr>
          <w:pStyle w:val="9"/>
          <w:jc w:val="right"/>
        </w:pPr>
        <w:r>
          <w:fldChar w:fldCharType="begin"/>
        </w:r>
        <w:r>
          <w:instrText xml:space="preserve"> PAGE   \* MERGEFORMAT </w:instrText>
        </w:r>
        <w:r>
          <w:fldChar w:fldCharType="separate"/>
        </w:r>
        <w:r>
          <w:t>23</w:t>
        </w:r>
        <w:r>
          <w:fldChar w:fldCharType="end"/>
        </w:r>
      </w:p>
    </w:sdtContent>
  </w:sdt>
  <w:p w14:paraId="1D616DB6">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2"/>
  </w:compat>
  <w:rsids>
    <w:rsidRoot w:val="00B6455A"/>
    <w:rsid w:val="00214B6F"/>
    <w:rsid w:val="00240BC1"/>
    <w:rsid w:val="002D26D4"/>
    <w:rsid w:val="002E745B"/>
    <w:rsid w:val="003B11D0"/>
    <w:rsid w:val="003B17A6"/>
    <w:rsid w:val="00410EBF"/>
    <w:rsid w:val="0047029D"/>
    <w:rsid w:val="004A1E5D"/>
    <w:rsid w:val="004E74EA"/>
    <w:rsid w:val="00665812"/>
    <w:rsid w:val="00720E6D"/>
    <w:rsid w:val="007A5FD4"/>
    <w:rsid w:val="007A62A9"/>
    <w:rsid w:val="008603EE"/>
    <w:rsid w:val="00881394"/>
    <w:rsid w:val="00936E5C"/>
    <w:rsid w:val="00A15D2C"/>
    <w:rsid w:val="00AC2C93"/>
    <w:rsid w:val="00B6455A"/>
    <w:rsid w:val="00BB6BC2"/>
    <w:rsid w:val="00BE0BAB"/>
    <w:rsid w:val="00D91E53"/>
    <w:rsid w:val="00F47890"/>
    <w:rsid w:val="10E815E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76" w:lineRule="auto"/>
    </w:pPr>
    <w:rPr>
      <w:rFonts w:ascii="Arial" w:hAnsi="Arial" w:eastAsia="Arial" w:cs="Arial"/>
      <w:sz w:val="22"/>
      <w:szCs w:val="22"/>
      <w:lang w:val="en-IN" w:eastAsia="en-IN" w:bidi="ar-SA"/>
    </w:rPr>
  </w:style>
  <w:style w:type="paragraph" w:styleId="2">
    <w:name w:val="heading 1"/>
    <w:basedOn w:val="1"/>
    <w:next w:val="1"/>
    <w:link w:val="15"/>
    <w:autoRedefine/>
    <w:qFormat/>
    <w:uiPriority w:val="0"/>
    <w:pPr>
      <w:keepNext/>
      <w:keepLines/>
      <w:spacing w:before="240" w:line="360" w:lineRule="auto"/>
      <w:jc w:val="both"/>
      <w:outlineLvl w:val="0"/>
    </w:pPr>
    <w:rPr>
      <w:rFonts w:ascii="Times New Roman" w:hAnsi="Times New Roman" w:eastAsiaTheme="majorEastAsia" w:cstheme="majorBidi"/>
      <w:b/>
      <w:color w:val="000000" w:themeColor="text1"/>
      <w:sz w:val="24"/>
      <w:szCs w:val="32"/>
    </w:rPr>
  </w:style>
  <w:style w:type="paragraph" w:styleId="3">
    <w:name w:val="heading 2"/>
    <w:basedOn w:val="1"/>
    <w:next w:val="1"/>
    <w:link w:val="18"/>
    <w:autoRedefine/>
    <w:unhideWhenUsed/>
    <w:qFormat/>
    <w:uiPriority w:val="0"/>
    <w:pPr>
      <w:keepNext/>
      <w:keepLines/>
      <w:spacing w:before="40" w:line="360" w:lineRule="auto"/>
      <w:jc w:val="both"/>
      <w:outlineLvl w:val="1"/>
    </w:pPr>
    <w:rPr>
      <w:rFonts w:ascii="Times New Roman" w:hAnsi="Times New Roman" w:eastAsiaTheme="majorEastAsia" w:cstheme="majorBidi"/>
      <w:b/>
      <w:i/>
      <w:color w:val="000000" w:themeColor="text1"/>
      <w:sz w:val="24"/>
      <w:szCs w:val="26"/>
    </w:rPr>
  </w:style>
  <w:style w:type="paragraph" w:styleId="4">
    <w:name w:val="heading 3"/>
    <w:basedOn w:val="1"/>
    <w:next w:val="1"/>
    <w:link w:val="16"/>
    <w:autoRedefine/>
    <w:unhideWhenUsed/>
    <w:qFormat/>
    <w:uiPriority w:val="0"/>
    <w:pPr>
      <w:keepNext/>
      <w:keepLines/>
      <w:spacing w:before="40" w:line="360" w:lineRule="auto"/>
      <w:jc w:val="both"/>
      <w:outlineLvl w:val="2"/>
    </w:pPr>
    <w:rPr>
      <w:rFonts w:ascii="Times New Roman" w:hAnsi="Times New Roman" w:eastAsiaTheme="majorEastAsia" w:cstheme="majorBidi"/>
      <w:b/>
      <w:i/>
      <w:color w:val="000000" w:themeColor="text1"/>
      <w:sz w:val="24"/>
      <w:szCs w:val="24"/>
      <w:u w:val="single"/>
    </w:rPr>
  </w:style>
  <w:style w:type="paragraph" w:styleId="5">
    <w:name w:val="heading 4"/>
    <w:basedOn w:val="1"/>
    <w:next w:val="1"/>
    <w:link w:val="19"/>
    <w:qFormat/>
    <w:uiPriority w:val="0"/>
    <w:pPr>
      <w:keepNext/>
      <w:keepLines/>
      <w:spacing w:before="280" w:after="80"/>
      <w:outlineLvl w:val="3"/>
    </w:pPr>
    <w:rPr>
      <w:color w:val="666666"/>
      <w:sz w:val="24"/>
      <w:szCs w:val="24"/>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8">
    <w:name w:val="Balloon Text"/>
    <w:basedOn w:val="1"/>
    <w:link w:val="23"/>
    <w:semiHidden/>
    <w:unhideWhenUsed/>
    <w:qFormat/>
    <w:uiPriority w:val="99"/>
    <w:pPr>
      <w:spacing w:line="240" w:lineRule="auto"/>
    </w:pPr>
    <w:rPr>
      <w:rFonts w:ascii="Tahoma" w:hAnsi="Tahoma" w:cs="Tahoma"/>
      <w:sz w:val="16"/>
      <w:szCs w:val="16"/>
    </w:rPr>
  </w:style>
  <w:style w:type="paragraph" w:styleId="9">
    <w:name w:val="footer"/>
    <w:basedOn w:val="1"/>
    <w:link w:val="21"/>
    <w:unhideWhenUsed/>
    <w:qFormat/>
    <w:uiPriority w:val="99"/>
    <w:pPr>
      <w:tabs>
        <w:tab w:val="center" w:pos="4513"/>
        <w:tab w:val="right" w:pos="9026"/>
      </w:tabs>
      <w:spacing w:line="240" w:lineRule="auto"/>
    </w:pPr>
  </w:style>
  <w:style w:type="paragraph" w:styleId="10">
    <w:name w:val="header"/>
    <w:basedOn w:val="1"/>
    <w:link w:val="20"/>
    <w:unhideWhenUsed/>
    <w:qFormat/>
    <w:uiPriority w:val="99"/>
    <w:pPr>
      <w:tabs>
        <w:tab w:val="center" w:pos="4513"/>
        <w:tab w:val="right" w:pos="9026"/>
      </w:tabs>
      <w:spacing w:line="240" w:lineRule="auto"/>
    </w:pPr>
  </w:style>
  <w:style w:type="character" w:styleId="11">
    <w:name w:val="Hyperlink"/>
    <w:basedOn w:val="6"/>
    <w:unhideWhenUsed/>
    <w:qFormat/>
    <w:uiPriority w:val="99"/>
    <w:rPr>
      <w:color w:val="0563C1" w:themeColor="hyperlink"/>
      <w:u w:val="single"/>
    </w:rPr>
  </w:style>
  <w:style w:type="paragraph" w:styleId="12">
    <w:name w:val="toc 1"/>
    <w:basedOn w:val="1"/>
    <w:next w:val="1"/>
    <w:autoRedefine/>
    <w:unhideWhenUsed/>
    <w:qFormat/>
    <w:uiPriority w:val="39"/>
    <w:pPr>
      <w:spacing w:after="100"/>
    </w:pPr>
  </w:style>
  <w:style w:type="paragraph" w:styleId="13">
    <w:name w:val="toc 2"/>
    <w:basedOn w:val="1"/>
    <w:next w:val="1"/>
    <w:autoRedefine/>
    <w:unhideWhenUsed/>
    <w:qFormat/>
    <w:uiPriority w:val="39"/>
    <w:pPr>
      <w:spacing w:after="100"/>
      <w:ind w:left="220"/>
    </w:pPr>
  </w:style>
  <w:style w:type="paragraph" w:styleId="14">
    <w:name w:val="toc 3"/>
    <w:basedOn w:val="1"/>
    <w:next w:val="1"/>
    <w:autoRedefine/>
    <w:unhideWhenUsed/>
    <w:qFormat/>
    <w:uiPriority w:val="39"/>
    <w:pPr>
      <w:spacing w:after="100"/>
      <w:ind w:left="440"/>
    </w:pPr>
  </w:style>
  <w:style w:type="character" w:customStyle="1" w:styleId="15">
    <w:name w:val="Heading 1 Char"/>
    <w:basedOn w:val="6"/>
    <w:link w:val="2"/>
    <w:qFormat/>
    <w:uiPriority w:val="9"/>
    <w:rPr>
      <w:rFonts w:ascii="Times New Roman" w:hAnsi="Times New Roman" w:eastAsiaTheme="majorEastAsia" w:cstheme="majorBidi"/>
      <w:b/>
      <w:color w:val="000000" w:themeColor="text1"/>
      <w:sz w:val="24"/>
      <w:szCs w:val="32"/>
      <w:lang w:eastAsia="en-IN"/>
    </w:rPr>
  </w:style>
  <w:style w:type="character" w:customStyle="1" w:styleId="16">
    <w:name w:val="Heading 3 Char"/>
    <w:basedOn w:val="6"/>
    <w:link w:val="4"/>
    <w:qFormat/>
    <w:uiPriority w:val="9"/>
    <w:rPr>
      <w:rFonts w:ascii="Times New Roman" w:hAnsi="Times New Roman" w:eastAsiaTheme="majorEastAsia" w:cstheme="majorBidi"/>
      <w:b/>
      <w:i/>
      <w:color w:val="000000" w:themeColor="text1"/>
      <w:sz w:val="24"/>
      <w:szCs w:val="24"/>
      <w:u w:val="single"/>
      <w:lang w:eastAsia="en-IN"/>
    </w:rPr>
  </w:style>
  <w:style w:type="paragraph" w:styleId="17">
    <w:name w:val="No Spacing"/>
    <w:autoRedefine/>
    <w:qFormat/>
    <w:uiPriority w:val="1"/>
    <w:pPr>
      <w:spacing w:after="0" w:line="480" w:lineRule="auto"/>
      <w:jc w:val="center"/>
    </w:pPr>
    <w:rPr>
      <w:rFonts w:ascii="Arial" w:hAnsi="Arial" w:eastAsia="Arial" w:cs="Arial"/>
      <w:b/>
      <w:sz w:val="28"/>
      <w:szCs w:val="28"/>
      <w:lang w:val="en-GB" w:eastAsia="en-IN" w:bidi="ar-SA"/>
    </w:rPr>
  </w:style>
  <w:style w:type="character" w:customStyle="1" w:styleId="18">
    <w:name w:val="Heading 2 Char"/>
    <w:basedOn w:val="6"/>
    <w:link w:val="3"/>
    <w:semiHidden/>
    <w:qFormat/>
    <w:uiPriority w:val="9"/>
    <w:rPr>
      <w:rFonts w:ascii="Times New Roman" w:hAnsi="Times New Roman" w:eastAsiaTheme="majorEastAsia" w:cstheme="majorBidi"/>
      <w:b/>
      <w:i/>
      <w:color w:val="000000" w:themeColor="text1"/>
      <w:sz w:val="24"/>
      <w:szCs w:val="26"/>
      <w:lang w:eastAsia="en-IN"/>
    </w:rPr>
  </w:style>
  <w:style w:type="character" w:customStyle="1" w:styleId="19">
    <w:name w:val="Heading 4 Char"/>
    <w:basedOn w:val="6"/>
    <w:link w:val="5"/>
    <w:qFormat/>
    <w:uiPriority w:val="0"/>
    <w:rPr>
      <w:rFonts w:ascii="Arial" w:hAnsi="Arial" w:eastAsia="Arial" w:cs="Arial"/>
      <w:color w:val="666666"/>
      <w:sz w:val="24"/>
      <w:szCs w:val="24"/>
      <w:lang w:eastAsia="en-IN"/>
    </w:rPr>
  </w:style>
  <w:style w:type="character" w:customStyle="1" w:styleId="20">
    <w:name w:val="Header Char"/>
    <w:basedOn w:val="6"/>
    <w:link w:val="10"/>
    <w:qFormat/>
    <w:uiPriority w:val="99"/>
    <w:rPr>
      <w:rFonts w:ascii="Arial" w:hAnsi="Arial" w:eastAsia="Arial" w:cs="Arial"/>
      <w:lang w:eastAsia="en-IN"/>
    </w:rPr>
  </w:style>
  <w:style w:type="character" w:customStyle="1" w:styleId="21">
    <w:name w:val="Footer Char"/>
    <w:basedOn w:val="6"/>
    <w:link w:val="9"/>
    <w:qFormat/>
    <w:uiPriority w:val="99"/>
    <w:rPr>
      <w:rFonts w:ascii="Arial" w:hAnsi="Arial" w:eastAsia="Arial" w:cs="Arial"/>
      <w:lang w:eastAsia="en-IN"/>
    </w:rPr>
  </w:style>
  <w:style w:type="paragraph" w:customStyle="1" w:styleId="22">
    <w:name w:val="TOC Heading"/>
    <w:basedOn w:val="2"/>
    <w:next w:val="1"/>
    <w:unhideWhenUsed/>
    <w:qFormat/>
    <w:uiPriority w:val="39"/>
    <w:pPr>
      <w:spacing w:line="259" w:lineRule="auto"/>
      <w:jc w:val="left"/>
      <w:outlineLvl w:val="9"/>
    </w:pPr>
    <w:rPr>
      <w:rFonts w:asciiTheme="majorHAnsi" w:hAnsiTheme="majorHAnsi"/>
      <w:b w:val="0"/>
      <w:color w:val="2E75B5" w:themeColor="accent1" w:themeShade="BF"/>
      <w:sz w:val="32"/>
      <w:lang w:val="en-US" w:eastAsia="en-US"/>
    </w:rPr>
  </w:style>
  <w:style w:type="character" w:customStyle="1" w:styleId="23">
    <w:name w:val="Balloon Text Char"/>
    <w:basedOn w:val="6"/>
    <w:link w:val="8"/>
    <w:semiHidden/>
    <w:qFormat/>
    <w:uiPriority w:val="99"/>
    <w:rPr>
      <w:rFonts w:ascii="Tahoma" w:hAnsi="Tahoma" w:eastAsia="Arial" w:cs="Tahoma"/>
      <w:sz w:val="16"/>
      <w:szCs w:val="16"/>
      <w:lang w:eastAsia="en-IN"/>
    </w:rPr>
  </w:style>
  <w:style w:type="paragraph" w:styleId="2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3F98916-7685-41EE-B97E-6DA58F7035AC}">
  <ds:schemaRefs/>
</ds:datastoreItem>
</file>

<file path=docProps/app.xml><?xml version="1.0" encoding="utf-8"?>
<Properties xmlns="http://schemas.openxmlformats.org/officeDocument/2006/extended-properties" xmlns:vt="http://schemas.openxmlformats.org/officeDocument/2006/docPropsVTypes">
  <Template>Normal</Template>
  <Pages>27</Pages>
  <Words>3361</Words>
  <Characters>25651</Characters>
  <Lines>285</Lines>
  <Paragraphs>80</Paragraphs>
  <TotalTime>63</TotalTime>
  <ScaleCrop>false</ScaleCrop>
  <LinksUpToDate>false</LinksUpToDate>
  <CharactersWithSpaces>28930</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2026-08-10T10:35:00Z</dcterms:created>
  <dc:creator>vp470</dc:creator>
  <cp:lastModifiedBy>vp470</cp:lastModifiedBy>
  <dcterms:modified xsi:type="dcterms:W3CDTF">2026-08-11T22:48:25Z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5c9ab302-93a3-4e31-9b83-38e4693286af</vt:lpwstr>
  </property>
  <property fmtid="{D5CDD505-2E9C-101B-9397-08002B2CF9AE}" pid="3" name="KSOTemplateDocerSaveRecord">
    <vt:lpwstr>eyJoZGlkIjoiYjJjOTQxYzhjODMyMDAzZmE0MDJkMWFkNmJlNDkwYTUifQ==</vt:lpwstr>
  </property>
  <property fmtid="{D5CDD505-2E9C-101B-9397-08002B2CF9AE}" pid="4" name="KSOProductBuildVer">
    <vt:lpwstr>1033-12.1.0.28032</vt:lpwstr>
  </property>
  <property fmtid="{D5CDD505-2E9C-101B-9397-08002B2CF9AE}" pid="5" name="ICV">
    <vt:lpwstr>AE46470C50B34370B1F334D955A27CAA_12</vt:lpwstr>
  </property>
</Properties>
</file>