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8CB49E" w14:textId="77777777" w:rsidR="00023C2B" w:rsidRPr="009D422D" w:rsidRDefault="00023C2B" w:rsidP="00ED18F5">
      <w:pPr>
        <w:spacing w:line="240" w:lineRule="auto"/>
        <w:rPr>
          <w:rFonts w:ascii="Calibri" w:hAnsi="Calibri" w:cs="Calibri"/>
          <w:i/>
          <w:iCs/>
          <w:color w:val="000000" w:themeColor="text1"/>
        </w:rPr>
      </w:pPr>
      <w:r w:rsidRPr="009D422D">
        <w:rPr>
          <w:rFonts w:ascii="Calibri" w:hAnsi="Calibri" w:cs="Calibri"/>
          <w:color w:val="000000" w:themeColor="text1"/>
        </w:rPr>
        <w:t xml:space="preserve">Write a 2,500-word essay: </w:t>
      </w:r>
      <w:r w:rsidRPr="009D422D">
        <w:rPr>
          <w:rFonts w:ascii="Calibri" w:hAnsi="Calibri" w:cs="Calibri"/>
          <w:i/>
          <w:iCs/>
          <w:color w:val="000000" w:themeColor="text1"/>
        </w:rPr>
        <w:t>‘“Black peril” scares reveal more about colonial anxieties than about the realities of sexual violence’. Discuss. </w:t>
      </w:r>
    </w:p>
    <w:p w14:paraId="52CF18EC" w14:textId="54DEB19A" w:rsidR="000C0869" w:rsidRPr="009D422D" w:rsidRDefault="000C0869" w:rsidP="004D7D15">
      <w:pPr>
        <w:spacing w:after="0" w:line="240" w:lineRule="auto"/>
        <w:rPr>
          <w:rFonts w:ascii="Calibri" w:hAnsi="Calibri" w:cs="Calibri"/>
          <w:b/>
          <w:bCs/>
          <w:color w:val="000000" w:themeColor="text1"/>
        </w:rPr>
      </w:pPr>
      <w:bookmarkStart w:id="0" w:name="OLE_LINK3"/>
    </w:p>
    <w:p w14:paraId="754C5460" w14:textId="37D5A9E0" w:rsidR="009D422D" w:rsidRPr="00485477" w:rsidRDefault="00146EB3" w:rsidP="00485477">
      <w:pPr>
        <w:spacing w:line="360" w:lineRule="auto"/>
        <w:rPr>
          <w:rFonts w:ascii="Calibri" w:hAnsi="Calibri" w:cs="Calibri"/>
          <w:color w:val="000000" w:themeColor="text1"/>
        </w:rPr>
      </w:pPr>
      <w:bookmarkStart w:id="1" w:name="OLE_LINK1"/>
      <w:r w:rsidRPr="00485477">
        <w:rPr>
          <w:rFonts w:ascii="Calibri" w:hAnsi="Calibri" w:cs="Calibri"/>
          <w:color w:val="000000" w:themeColor="text1"/>
          <w:lang w:eastAsia="en-GB"/>
        </w:rPr>
        <w:t xml:space="preserve">The term </w:t>
      </w:r>
      <w:r w:rsidR="00016995" w:rsidRPr="00485477">
        <w:rPr>
          <w:rFonts w:ascii="Calibri" w:hAnsi="Calibri" w:cs="Calibri"/>
          <w:color w:val="000000" w:themeColor="text1"/>
          <w:lang w:eastAsia="en-GB"/>
        </w:rPr>
        <w:t>‘b</w:t>
      </w:r>
      <w:r w:rsidRPr="00485477">
        <w:rPr>
          <w:rFonts w:ascii="Calibri" w:hAnsi="Calibri" w:cs="Calibri"/>
          <w:color w:val="000000" w:themeColor="text1"/>
          <w:lang w:eastAsia="en-GB"/>
        </w:rPr>
        <w:t xml:space="preserve">lack </w:t>
      </w:r>
      <w:r w:rsidR="00016995" w:rsidRPr="00485477">
        <w:rPr>
          <w:rFonts w:ascii="Calibri" w:hAnsi="Calibri" w:cs="Calibri"/>
          <w:color w:val="000000" w:themeColor="text1"/>
          <w:lang w:eastAsia="en-GB"/>
        </w:rPr>
        <w:t>p</w:t>
      </w:r>
      <w:r w:rsidRPr="00485477">
        <w:rPr>
          <w:rFonts w:ascii="Calibri" w:hAnsi="Calibri" w:cs="Calibri"/>
          <w:color w:val="000000" w:themeColor="text1"/>
          <w:lang w:eastAsia="en-GB"/>
        </w:rPr>
        <w:t>eril</w:t>
      </w:r>
      <w:r w:rsidR="00016995" w:rsidRPr="00485477">
        <w:rPr>
          <w:rFonts w:ascii="Calibri" w:hAnsi="Calibri" w:cs="Calibri"/>
          <w:color w:val="000000" w:themeColor="text1"/>
          <w:lang w:eastAsia="en-GB"/>
        </w:rPr>
        <w:t>’</w:t>
      </w:r>
      <w:r w:rsidRPr="00485477">
        <w:rPr>
          <w:rFonts w:ascii="Calibri" w:hAnsi="Calibri" w:cs="Calibri"/>
          <w:color w:val="000000" w:themeColor="text1"/>
          <w:lang w:eastAsia="en-GB"/>
        </w:rPr>
        <w:t xml:space="preserve"> originated in late nineteenth and early twentieth-century settler societies, including South Africa, Rhodesia, and Kenya. </w:t>
      </w:r>
      <w:bookmarkStart w:id="2" w:name="OLE_LINK2"/>
      <w:r w:rsidRPr="00485477">
        <w:rPr>
          <w:rFonts w:ascii="Calibri" w:hAnsi="Calibri" w:cs="Calibri"/>
          <w:color w:val="000000" w:themeColor="text1"/>
          <w:lang w:eastAsia="en-GB"/>
        </w:rPr>
        <w:t xml:space="preserve">It encapsulated pervasive fears that portrayed </w:t>
      </w:r>
      <w:r w:rsidR="00485477" w:rsidRPr="00485477">
        <w:rPr>
          <w:rFonts w:ascii="Calibri" w:hAnsi="Calibri" w:cs="Calibri"/>
          <w:color w:val="000000" w:themeColor="text1"/>
          <w:lang w:eastAsia="en-GB"/>
        </w:rPr>
        <w:t>b</w:t>
      </w:r>
      <w:r w:rsidRPr="00485477">
        <w:rPr>
          <w:rFonts w:ascii="Calibri" w:hAnsi="Calibri" w:cs="Calibri"/>
          <w:color w:val="000000" w:themeColor="text1"/>
          <w:lang w:eastAsia="en-GB"/>
        </w:rPr>
        <w:t>lack men as sexual threats to white women,</w:t>
      </w:r>
      <w:bookmarkEnd w:id="2"/>
      <w:r w:rsidRPr="00485477">
        <w:rPr>
          <w:rFonts w:ascii="Calibri" w:hAnsi="Calibri" w:cs="Calibri"/>
          <w:color w:val="000000" w:themeColor="text1"/>
          <w:lang w:eastAsia="en-GB"/>
        </w:rPr>
        <w:t xml:space="preserve"> thereby inciting widespread moral panic (Levine, 2021). By the early 1900s, these anxieties had evolved into recurring moral panics, often referenced in debates concerning the </w:t>
      </w:r>
      <w:r w:rsidR="00016995" w:rsidRPr="00485477">
        <w:rPr>
          <w:rFonts w:ascii="Calibri" w:hAnsi="Calibri" w:cs="Calibri"/>
          <w:color w:val="000000" w:themeColor="text1"/>
          <w:lang w:eastAsia="en-GB"/>
        </w:rPr>
        <w:t>‘</w:t>
      </w:r>
      <w:r w:rsidRPr="00485477">
        <w:rPr>
          <w:rFonts w:ascii="Calibri" w:hAnsi="Calibri" w:cs="Calibri"/>
          <w:color w:val="000000" w:themeColor="text1"/>
          <w:lang w:eastAsia="en-GB"/>
        </w:rPr>
        <w:t>Native Question</w:t>
      </w:r>
      <w:r w:rsidR="00016995" w:rsidRPr="00485477">
        <w:rPr>
          <w:rFonts w:ascii="Calibri" w:hAnsi="Calibri" w:cs="Calibri"/>
          <w:color w:val="000000" w:themeColor="text1"/>
        </w:rPr>
        <w:t>’</w:t>
      </w:r>
      <w:r w:rsidR="0021600A" w:rsidRPr="00485477">
        <w:rPr>
          <w:rFonts w:ascii="Calibri" w:hAnsi="Calibri" w:cs="Calibri"/>
          <w:color w:val="000000" w:themeColor="text1"/>
        </w:rPr>
        <w:t>.</w:t>
      </w:r>
      <w:r w:rsidRPr="00485477">
        <w:rPr>
          <w:rFonts w:ascii="Calibri" w:hAnsi="Calibri" w:cs="Calibri"/>
          <w:color w:val="000000" w:themeColor="text1"/>
          <w:lang w:eastAsia="en-GB"/>
        </w:rPr>
        <w:t xml:space="preserve"> These panics were primarily driven by settler anxieties rather than actual incidents, with white womanhood </w:t>
      </w:r>
      <w:r w:rsidRPr="005F488E">
        <w:rPr>
          <w:rFonts w:ascii="Calibri" w:hAnsi="Calibri" w:cs="Calibri"/>
          <w:color w:val="000000" w:themeColor="text1"/>
          <w:lang w:eastAsia="en-GB"/>
        </w:rPr>
        <w:t>serving as a symbol of colonial order (Cornwell, 1996).</w:t>
      </w:r>
      <w:r w:rsidR="006B674C" w:rsidRPr="005F488E">
        <w:rPr>
          <w:rFonts w:ascii="Calibri" w:hAnsi="Calibri" w:cs="Calibri"/>
          <w:color w:val="000000" w:themeColor="text1"/>
        </w:rPr>
        <w:t xml:space="preserve"> </w:t>
      </w:r>
      <w:r w:rsidR="009D422D" w:rsidRPr="005F488E">
        <w:rPr>
          <w:rFonts w:ascii="Calibri" w:hAnsi="Calibri" w:cs="Calibri"/>
          <w:color w:val="000000" w:themeColor="text1"/>
        </w:rPr>
        <w:t xml:space="preserve">This essay examines the economic, racial, and gendered roots of </w:t>
      </w:r>
      <w:r w:rsidR="00016995" w:rsidRPr="005F488E">
        <w:rPr>
          <w:rFonts w:ascii="Calibri" w:hAnsi="Calibri" w:cs="Calibri"/>
          <w:color w:val="000000" w:themeColor="text1"/>
        </w:rPr>
        <w:t>b</w:t>
      </w:r>
      <w:r w:rsidR="009D422D" w:rsidRPr="005F488E">
        <w:rPr>
          <w:rFonts w:ascii="Calibri" w:hAnsi="Calibri" w:cs="Calibri"/>
          <w:color w:val="000000" w:themeColor="text1"/>
        </w:rPr>
        <w:t xml:space="preserve">lack </w:t>
      </w:r>
      <w:r w:rsidR="00016995" w:rsidRPr="005F488E">
        <w:rPr>
          <w:rFonts w:ascii="Calibri" w:hAnsi="Calibri" w:cs="Calibri"/>
          <w:color w:val="000000" w:themeColor="text1"/>
        </w:rPr>
        <w:t>p</w:t>
      </w:r>
      <w:r w:rsidR="009D422D" w:rsidRPr="005F488E">
        <w:rPr>
          <w:rFonts w:ascii="Calibri" w:hAnsi="Calibri" w:cs="Calibri"/>
          <w:color w:val="000000" w:themeColor="text1"/>
        </w:rPr>
        <w:t>eril</w:t>
      </w:r>
      <w:r w:rsidR="00867212" w:rsidRPr="005F488E">
        <w:rPr>
          <w:rFonts w:ascii="Calibri" w:hAnsi="Calibri" w:cs="Calibri"/>
          <w:color w:val="000000" w:themeColor="text1"/>
        </w:rPr>
        <w:t xml:space="preserve"> </w:t>
      </w:r>
      <w:r w:rsidR="009D422D" w:rsidRPr="005F488E">
        <w:rPr>
          <w:rFonts w:ascii="Calibri" w:hAnsi="Calibri" w:cs="Calibri"/>
          <w:color w:val="000000" w:themeColor="text1"/>
        </w:rPr>
        <w:t xml:space="preserve">panics, their codification in colonial law, and the role of media in amplifying fears across South Africa, Rhodesia, and Kenya. </w:t>
      </w:r>
      <w:r w:rsidR="005F488E" w:rsidRPr="005F488E">
        <w:rPr>
          <w:rFonts w:ascii="Calibri" w:hAnsi="Calibri" w:cs="Calibri"/>
        </w:rPr>
        <w:t>It argues that these panics were constructed through gendered and racialised hierarchies that shaped perceptions of danger, transforming isolated incidents into existential threats. Rather than reflecting the realities of sexual violence, black peril discourse primarily functioned to uphold white supremacy under the guise of protecting white women.</w:t>
      </w:r>
    </w:p>
    <w:p w14:paraId="08F369F9" w14:textId="5992F19F" w:rsidR="008F7AB2" w:rsidRPr="00485477" w:rsidRDefault="0021600A" w:rsidP="00485477">
      <w:pPr>
        <w:tabs>
          <w:tab w:val="left" w:pos="3935"/>
        </w:tabs>
        <w:spacing w:after="0" w:line="360" w:lineRule="auto"/>
        <w:rPr>
          <w:rFonts w:ascii="Calibri" w:hAnsi="Calibri" w:cs="Calibri"/>
          <w:color w:val="000000" w:themeColor="text1"/>
        </w:rPr>
      </w:pPr>
      <w:r w:rsidRPr="00485477">
        <w:rPr>
          <w:rFonts w:ascii="Calibri" w:hAnsi="Calibri" w:cs="Calibri"/>
          <w:color w:val="000000" w:themeColor="text1"/>
        </w:rPr>
        <w:tab/>
      </w:r>
    </w:p>
    <w:bookmarkEnd w:id="1"/>
    <w:p w14:paraId="59B1D463" w14:textId="11969A0D" w:rsidR="006B674C" w:rsidRPr="00485477" w:rsidRDefault="006B674C" w:rsidP="00485477">
      <w:pPr>
        <w:spacing w:after="0" w:line="360" w:lineRule="auto"/>
        <w:rPr>
          <w:rFonts w:ascii="Calibri" w:eastAsia="Times New Roman" w:hAnsi="Calibri" w:cs="Calibri"/>
          <w:color w:val="000000" w:themeColor="text1"/>
          <w:kern w:val="0"/>
          <w:lang w:eastAsia="en-GB"/>
          <w14:ligatures w14:val="none"/>
        </w:rPr>
      </w:pPr>
      <w:r w:rsidRPr="00485477">
        <w:rPr>
          <w:rFonts w:ascii="Calibri" w:eastAsia="Times New Roman" w:hAnsi="Calibri" w:cs="Calibri"/>
          <w:color w:val="000000" w:themeColor="text1"/>
          <w:kern w:val="0"/>
          <w:lang w:eastAsia="en-GB"/>
          <w14:ligatures w14:val="none"/>
        </w:rPr>
        <w:t xml:space="preserve">Understanding the </w:t>
      </w:r>
      <w:r w:rsidR="00016995" w:rsidRPr="00485477">
        <w:rPr>
          <w:rFonts w:ascii="Calibri" w:eastAsia="Times New Roman" w:hAnsi="Calibri" w:cs="Calibri"/>
          <w:color w:val="000000" w:themeColor="text1"/>
          <w:kern w:val="0"/>
          <w:lang w:eastAsia="en-GB"/>
          <w14:ligatures w14:val="none"/>
        </w:rPr>
        <w:t>b</w:t>
      </w:r>
      <w:r w:rsidRPr="00485477">
        <w:rPr>
          <w:rFonts w:ascii="Calibri" w:eastAsia="Times New Roman" w:hAnsi="Calibri" w:cs="Calibri"/>
          <w:color w:val="000000" w:themeColor="text1"/>
          <w:kern w:val="0"/>
          <w:lang w:eastAsia="en-GB"/>
          <w14:ligatures w14:val="none"/>
        </w:rPr>
        <w:t xml:space="preserve">lack </w:t>
      </w:r>
      <w:r w:rsidR="00016995" w:rsidRPr="00485477">
        <w:rPr>
          <w:rFonts w:ascii="Calibri" w:eastAsia="Times New Roman" w:hAnsi="Calibri" w:cs="Calibri"/>
          <w:color w:val="000000" w:themeColor="text1"/>
          <w:kern w:val="0"/>
          <w:lang w:eastAsia="en-GB"/>
          <w14:ligatures w14:val="none"/>
        </w:rPr>
        <w:t>peril</w:t>
      </w:r>
      <w:r w:rsidRPr="00485477">
        <w:rPr>
          <w:rFonts w:ascii="Calibri" w:eastAsia="Times New Roman" w:hAnsi="Calibri" w:cs="Calibri"/>
          <w:color w:val="000000" w:themeColor="text1"/>
          <w:kern w:val="0"/>
          <w:lang w:eastAsia="en-GB"/>
          <w14:ligatures w14:val="none"/>
        </w:rPr>
        <w:t xml:space="preserve"> involves exploring how it reflected broader colonial fears about race, gender, and authority. Historians differ in </w:t>
      </w:r>
      <w:r w:rsidRPr="00543A47">
        <w:rPr>
          <w:rFonts w:ascii="Calibri" w:eastAsia="Times New Roman" w:hAnsi="Calibri" w:cs="Calibri"/>
          <w:color w:val="000000" w:themeColor="text1"/>
          <w:kern w:val="0"/>
          <w:lang w:eastAsia="en-GB"/>
          <w14:ligatures w14:val="none"/>
        </w:rPr>
        <w:t>interpretation. Charles van Onselen</w:t>
      </w:r>
      <w:r w:rsidRPr="00485477">
        <w:rPr>
          <w:rFonts w:ascii="Calibri" w:eastAsia="Times New Roman" w:hAnsi="Calibri" w:cs="Calibri"/>
          <w:color w:val="000000" w:themeColor="text1"/>
          <w:kern w:val="0"/>
          <w:lang w:eastAsia="en-GB"/>
          <w14:ligatures w14:val="none"/>
        </w:rPr>
        <w:t xml:space="preserve"> highlights economic insecurity, stating white workers projected concerns about employment onto </w:t>
      </w:r>
      <w:r w:rsidR="00016995" w:rsidRPr="00485477">
        <w:rPr>
          <w:rFonts w:ascii="Calibri" w:eastAsia="Times New Roman" w:hAnsi="Calibri" w:cs="Calibri"/>
          <w:color w:val="000000" w:themeColor="text1"/>
          <w:kern w:val="0"/>
          <w:lang w:eastAsia="en-GB"/>
          <w14:ligatures w14:val="none"/>
        </w:rPr>
        <w:t>b</w:t>
      </w:r>
      <w:r w:rsidRPr="00485477">
        <w:rPr>
          <w:rFonts w:ascii="Calibri" w:eastAsia="Times New Roman" w:hAnsi="Calibri" w:cs="Calibri"/>
          <w:color w:val="000000" w:themeColor="text1"/>
          <w:kern w:val="0"/>
          <w:lang w:eastAsia="en-GB"/>
          <w14:ligatures w14:val="none"/>
        </w:rPr>
        <w:t xml:space="preserve">lack employees, perceiving interactions as sexual </w:t>
      </w:r>
      <w:r w:rsidRPr="00543A47">
        <w:rPr>
          <w:rFonts w:ascii="Calibri" w:eastAsia="Times New Roman" w:hAnsi="Calibri" w:cs="Calibri"/>
          <w:color w:val="000000" w:themeColor="text1"/>
          <w:kern w:val="0"/>
          <w:lang w:eastAsia="en-GB"/>
          <w14:ligatures w14:val="none"/>
        </w:rPr>
        <w:t>threats</w:t>
      </w:r>
      <w:r w:rsidR="00543A47" w:rsidRPr="00543A47">
        <w:rPr>
          <w:rFonts w:ascii="Calibri" w:eastAsia="Times New Roman" w:hAnsi="Calibri" w:cs="Calibri"/>
          <w:color w:val="000000" w:themeColor="text1"/>
          <w:kern w:val="0"/>
          <w:lang w:eastAsia="en-GB"/>
          <w14:ligatures w14:val="none"/>
        </w:rPr>
        <w:t xml:space="preserve"> </w:t>
      </w:r>
      <w:r w:rsidR="00543A47" w:rsidRPr="00543A47">
        <w:rPr>
          <w:rFonts w:ascii="Calibri" w:hAnsi="Calibri" w:cs="Calibri"/>
          <w:color w:val="000000" w:themeColor="text1"/>
        </w:rPr>
        <w:t>(Levine, 2021)</w:t>
      </w:r>
      <w:r w:rsidRPr="00543A47">
        <w:rPr>
          <w:rFonts w:ascii="Calibri" w:eastAsia="Times New Roman" w:hAnsi="Calibri" w:cs="Calibri"/>
          <w:color w:val="000000" w:themeColor="text1"/>
          <w:kern w:val="0"/>
          <w:lang w:eastAsia="en-GB"/>
          <w14:ligatures w14:val="none"/>
        </w:rPr>
        <w:t>.</w:t>
      </w:r>
      <w:r w:rsidRPr="00485477">
        <w:rPr>
          <w:rFonts w:ascii="Calibri" w:eastAsia="Times New Roman" w:hAnsi="Calibri" w:cs="Calibri"/>
          <w:color w:val="000000" w:themeColor="text1"/>
          <w:kern w:val="0"/>
          <w:lang w:eastAsia="en-GB"/>
          <w14:ligatures w14:val="none"/>
        </w:rPr>
        <w:t xml:space="preserve"> </w:t>
      </w:r>
      <w:proofErr w:type="spellStart"/>
      <w:r w:rsidRPr="00485477">
        <w:rPr>
          <w:rFonts w:ascii="Calibri" w:eastAsia="Times New Roman" w:hAnsi="Calibri" w:cs="Calibri"/>
          <w:color w:val="000000" w:themeColor="text1"/>
          <w:kern w:val="0"/>
          <w:lang w:eastAsia="en-GB"/>
          <w14:ligatures w14:val="none"/>
        </w:rPr>
        <w:t>Majavu</w:t>
      </w:r>
      <w:proofErr w:type="spellEnd"/>
      <w:r w:rsidRPr="00485477">
        <w:rPr>
          <w:rFonts w:ascii="Calibri" w:eastAsia="Times New Roman" w:hAnsi="Calibri" w:cs="Calibri"/>
          <w:color w:val="000000" w:themeColor="text1"/>
          <w:kern w:val="0"/>
          <w:lang w:eastAsia="en-GB"/>
          <w14:ligatures w14:val="none"/>
        </w:rPr>
        <w:t xml:space="preserve"> (2023) offers a contrasting view, focusing on anti-</w:t>
      </w:r>
      <w:r w:rsidR="00016995" w:rsidRPr="00485477">
        <w:rPr>
          <w:rFonts w:ascii="Calibri" w:eastAsia="Times New Roman" w:hAnsi="Calibri" w:cs="Calibri"/>
          <w:color w:val="000000" w:themeColor="text1"/>
          <w:kern w:val="0"/>
          <w:lang w:eastAsia="en-GB"/>
          <w14:ligatures w14:val="none"/>
        </w:rPr>
        <w:t>b</w:t>
      </w:r>
      <w:r w:rsidRPr="00485477">
        <w:rPr>
          <w:rFonts w:ascii="Calibri" w:eastAsia="Times New Roman" w:hAnsi="Calibri" w:cs="Calibri"/>
          <w:color w:val="000000" w:themeColor="text1"/>
          <w:kern w:val="0"/>
          <w:lang w:eastAsia="en-GB"/>
          <w14:ligatures w14:val="none"/>
        </w:rPr>
        <w:t xml:space="preserve">lack racist beliefs and the long-standing discourse fostering racialisation, which laid the ideological groundwork for apartheid. Although attacks were infrequent, the panic reflected social and psychological fears. </w:t>
      </w:r>
      <w:r w:rsidR="00485477" w:rsidRPr="00485477">
        <w:rPr>
          <w:rFonts w:ascii="Calibri" w:hAnsi="Calibri" w:cs="Calibri"/>
          <w:color w:val="000000" w:themeColor="text1"/>
        </w:rPr>
        <w:t>These interpretations highlight the multifaceted roots of black peril panics, combining economic anxieties with racial ideology</w:t>
      </w:r>
      <w:r w:rsidRPr="00485477">
        <w:rPr>
          <w:rFonts w:ascii="Calibri" w:eastAsia="Times New Roman" w:hAnsi="Calibri" w:cs="Calibri"/>
          <w:color w:val="000000" w:themeColor="text1"/>
          <w:kern w:val="0"/>
          <w:lang w:eastAsia="en-GB"/>
          <w14:ligatures w14:val="none"/>
        </w:rPr>
        <w:t xml:space="preserve">. The most convincing explanations recognise both but primarily see the narrative as a moral crusade to defend white womanhood, justifying white dominance (Levine, 2021). </w:t>
      </w:r>
      <w:r w:rsidR="00D805AF" w:rsidRPr="00485477">
        <w:rPr>
          <w:rFonts w:ascii="Calibri" w:eastAsia="Times New Roman" w:hAnsi="Calibri" w:cs="Calibri"/>
          <w:color w:val="000000" w:themeColor="text1"/>
          <w:kern w:val="0"/>
          <w:lang w:eastAsia="en-GB"/>
          <w14:ligatures w14:val="none"/>
        </w:rPr>
        <w:t xml:space="preserve">These anxieties should be viewed in a broader imperial context. In late nineteenth-century Britain, sexual morality was closely tied to notions of personal virtue, national strength, and racial health, reinforced by imperial expansion (Anderson, 2010). Similar attitudes existed in colonies like Kenya, where colonial authorities often overlooked sexual relationships between white men and </w:t>
      </w:r>
      <w:r w:rsidR="00016995" w:rsidRPr="00485477">
        <w:rPr>
          <w:rFonts w:ascii="Calibri" w:eastAsia="Times New Roman" w:hAnsi="Calibri" w:cs="Calibri"/>
          <w:color w:val="000000" w:themeColor="text1"/>
          <w:kern w:val="0"/>
          <w:lang w:eastAsia="en-GB"/>
          <w14:ligatures w14:val="none"/>
        </w:rPr>
        <w:t>b</w:t>
      </w:r>
      <w:r w:rsidR="00D805AF" w:rsidRPr="00485477">
        <w:rPr>
          <w:rFonts w:ascii="Calibri" w:eastAsia="Times New Roman" w:hAnsi="Calibri" w:cs="Calibri"/>
          <w:color w:val="000000" w:themeColor="text1"/>
          <w:kern w:val="0"/>
          <w:lang w:eastAsia="en-GB"/>
          <w14:ligatures w14:val="none"/>
        </w:rPr>
        <w:t xml:space="preserve">lack women, especially in </w:t>
      </w:r>
      <w:r w:rsidR="00D805AF" w:rsidRPr="00485477">
        <w:rPr>
          <w:rFonts w:ascii="Calibri" w:eastAsia="Times New Roman" w:hAnsi="Calibri" w:cs="Calibri"/>
          <w:color w:val="000000" w:themeColor="text1"/>
          <w:kern w:val="0"/>
          <w:lang w:eastAsia="en-GB"/>
          <w14:ligatures w14:val="none"/>
        </w:rPr>
        <w:lastRenderedPageBreak/>
        <w:t xml:space="preserve">transactional contexts (Hazan, 2023). Anderson (2010) demonstrates that </w:t>
      </w:r>
      <w:r w:rsidR="00016995" w:rsidRPr="00485477">
        <w:rPr>
          <w:rFonts w:ascii="Calibri" w:eastAsia="Times New Roman" w:hAnsi="Calibri" w:cs="Calibri"/>
          <w:color w:val="000000" w:themeColor="text1"/>
          <w:kern w:val="0"/>
          <w:lang w:eastAsia="en-GB"/>
          <w14:ligatures w14:val="none"/>
        </w:rPr>
        <w:t>b</w:t>
      </w:r>
      <w:r w:rsidR="00D805AF" w:rsidRPr="00485477">
        <w:rPr>
          <w:rFonts w:ascii="Calibri" w:eastAsia="Times New Roman" w:hAnsi="Calibri" w:cs="Calibri"/>
          <w:color w:val="000000" w:themeColor="text1"/>
          <w:kern w:val="0"/>
          <w:lang w:eastAsia="en-GB"/>
          <w14:ligatures w14:val="none"/>
        </w:rPr>
        <w:t xml:space="preserve">lack </w:t>
      </w:r>
      <w:r w:rsidR="00016995" w:rsidRPr="00485477">
        <w:rPr>
          <w:rFonts w:ascii="Calibri" w:eastAsia="Times New Roman" w:hAnsi="Calibri" w:cs="Calibri"/>
          <w:color w:val="000000" w:themeColor="text1"/>
          <w:kern w:val="0"/>
          <w:lang w:eastAsia="en-GB"/>
          <w14:ligatures w14:val="none"/>
        </w:rPr>
        <w:t>p</w:t>
      </w:r>
      <w:r w:rsidR="00D805AF" w:rsidRPr="00485477">
        <w:rPr>
          <w:rFonts w:ascii="Calibri" w:eastAsia="Times New Roman" w:hAnsi="Calibri" w:cs="Calibri"/>
          <w:color w:val="000000" w:themeColor="text1"/>
          <w:kern w:val="0"/>
          <w:lang w:eastAsia="en-GB"/>
          <w14:ligatures w14:val="none"/>
        </w:rPr>
        <w:t xml:space="preserve">eril panics were </w:t>
      </w:r>
      <w:r w:rsidRPr="00485477">
        <w:rPr>
          <w:rFonts w:ascii="Calibri" w:eastAsia="Times New Roman" w:hAnsi="Calibri" w:cs="Calibri"/>
          <w:color w:val="000000" w:themeColor="text1"/>
          <w:kern w:val="0"/>
          <w:lang w:eastAsia="en-GB"/>
          <w14:ligatures w14:val="none"/>
        </w:rPr>
        <w:t>primari</w:t>
      </w:r>
      <w:r w:rsidR="00D805AF" w:rsidRPr="00485477">
        <w:rPr>
          <w:rFonts w:ascii="Calibri" w:eastAsia="Times New Roman" w:hAnsi="Calibri" w:cs="Calibri"/>
          <w:color w:val="000000" w:themeColor="text1"/>
          <w:kern w:val="0"/>
          <w:lang w:eastAsia="en-GB"/>
          <w14:ligatures w14:val="none"/>
        </w:rPr>
        <w:t xml:space="preserve">ly rooted in settler fears, not actual incidents, with sensationalist media amplifying anxieties. These fears justified segregation and the regulation of African populations, showing that the </w:t>
      </w:r>
      <w:r w:rsidR="00016995" w:rsidRPr="00485477">
        <w:rPr>
          <w:rFonts w:ascii="Calibri" w:eastAsia="Times New Roman" w:hAnsi="Calibri" w:cs="Calibri"/>
          <w:color w:val="000000" w:themeColor="text1"/>
          <w:kern w:val="0"/>
          <w:lang w:eastAsia="en-GB"/>
          <w14:ligatures w14:val="none"/>
        </w:rPr>
        <w:t>b</w:t>
      </w:r>
      <w:r w:rsidR="00D805AF" w:rsidRPr="00485477">
        <w:rPr>
          <w:rFonts w:ascii="Calibri" w:eastAsia="Times New Roman" w:hAnsi="Calibri" w:cs="Calibri"/>
          <w:color w:val="000000" w:themeColor="text1"/>
          <w:kern w:val="0"/>
          <w:lang w:eastAsia="en-GB"/>
          <w14:ligatures w14:val="none"/>
        </w:rPr>
        <w:t xml:space="preserve">lack </w:t>
      </w:r>
      <w:r w:rsidR="00016995" w:rsidRPr="00485477">
        <w:rPr>
          <w:rFonts w:ascii="Calibri" w:eastAsia="Times New Roman" w:hAnsi="Calibri" w:cs="Calibri"/>
          <w:color w:val="000000" w:themeColor="text1"/>
          <w:kern w:val="0"/>
          <w:lang w:eastAsia="en-GB"/>
          <w14:ligatures w14:val="none"/>
        </w:rPr>
        <w:t>peril</w:t>
      </w:r>
      <w:r w:rsidR="005959FB" w:rsidRPr="00485477">
        <w:rPr>
          <w:rFonts w:ascii="Calibri" w:eastAsia="Times New Roman" w:hAnsi="Calibri" w:cs="Calibri"/>
          <w:color w:val="000000" w:themeColor="text1"/>
          <w:kern w:val="0"/>
          <w:lang w:eastAsia="en-GB"/>
          <w14:ligatures w14:val="none"/>
        </w:rPr>
        <w:t xml:space="preserve"> </w:t>
      </w:r>
      <w:r w:rsidR="00D805AF" w:rsidRPr="00485477">
        <w:rPr>
          <w:rFonts w:ascii="Calibri" w:eastAsia="Times New Roman" w:hAnsi="Calibri" w:cs="Calibri"/>
          <w:color w:val="000000" w:themeColor="text1"/>
          <w:kern w:val="0"/>
          <w:lang w:eastAsia="en-GB"/>
          <w14:ligatures w14:val="none"/>
        </w:rPr>
        <w:t>narrative served to protect colonial power structures more than sexual safety. In Rhodesia, legislative measures against Africans were driven by fear rather than evidence. Anxieties about miscegenation and sexual regulation helped consolidate white settler dominance</w:t>
      </w:r>
      <w:r w:rsidRPr="00485477">
        <w:rPr>
          <w:rFonts w:ascii="Calibri" w:eastAsia="Times New Roman" w:hAnsi="Calibri" w:cs="Calibri"/>
          <w:color w:val="000000" w:themeColor="text1"/>
          <w:kern w:val="0"/>
          <w:lang w:eastAsia="en-GB"/>
          <w14:ligatures w14:val="none"/>
        </w:rPr>
        <w:t>. At</w:t>
      </w:r>
      <w:r w:rsidR="00D805AF" w:rsidRPr="00485477">
        <w:rPr>
          <w:rFonts w:ascii="Calibri" w:eastAsia="Times New Roman" w:hAnsi="Calibri" w:cs="Calibri"/>
          <w:color w:val="000000" w:themeColor="text1"/>
          <w:kern w:val="0"/>
          <w:lang w:eastAsia="en-GB"/>
          <w14:ligatures w14:val="none"/>
        </w:rPr>
        <w:t xml:space="preserve"> </w:t>
      </w:r>
      <w:r w:rsidRPr="00485477">
        <w:rPr>
          <w:rFonts w:ascii="Calibri" w:eastAsia="Times New Roman" w:hAnsi="Calibri" w:cs="Calibri"/>
          <w:color w:val="000000" w:themeColor="text1"/>
          <w:kern w:val="0"/>
          <w:lang w:eastAsia="en-GB"/>
          <w14:ligatures w14:val="none"/>
        </w:rPr>
        <w:t>the same time,</w:t>
      </w:r>
      <w:r w:rsidR="00D805AF" w:rsidRPr="00485477">
        <w:rPr>
          <w:rFonts w:ascii="Calibri" w:eastAsia="Times New Roman" w:hAnsi="Calibri" w:cs="Calibri"/>
          <w:color w:val="000000" w:themeColor="text1"/>
          <w:kern w:val="0"/>
          <w:lang w:eastAsia="en-GB"/>
          <w14:ligatures w14:val="none"/>
        </w:rPr>
        <w:t xml:space="preserve"> the imperial gender system cast consensual relationships between white men and colonised women as acceptable, but those involving white women and </w:t>
      </w:r>
      <w:r w:rsidR="00016995" w:rsidRPr="00485477">
        <w:rPr>
          <w:rFonts w:ascii="Calibri" w:eastAsia="Times New Roman" w:hAnsi="Calibri" w:cs="Calibri"/>
          <w:color w:val="000000" w:themeColor="text1"/>
          <w:kern w:val="0"/>
          <w:lang w:eastAsia="en-GB"/>
          <w14:ligatures w14:val="none"/>
        </w:rPr>
        <w:t>b</w:t>
      </w:r>
      <w:r w:rsidR="00D805AF" w:rsidRPr="00485477">
        <w:rPr>
          <w:rFonts w:ascii="Calibri" w:eastAsia="Times New Roman" w:hAnsi="Calibri" w:cs="Calibri"/>
          <w:color w:val="000000" w:themeColor="text1"/>
          <w:kern w:val="0"/>
          <w:lang w:eastAsia="en-GB"/>
          <w14:ligatures w14:val="none"/>
        </w:rPr>
        <w:t>lack men as intolerable threats. Severe punishments, though rare, acted as rituals that reinforced white supremacy more than they addressed real crimes (Ray, 2013).</w:t>
      </w:r>
    </w:p>
    <w:p w14:paraId="2E86E874" w14:textId="35C0EC87" w:rsidR="00146EB3" w:rsidRPr="00485477" w:rsidRDefault="00CC2AA0" w:rsidP="00485477">
      <w:pPr>
        <w:spacing w:after="0" w:line="360" w:lineRule="auto"/>
        <w:rPr>
          <w:rFonts w:ascii="Calibri" w:eastAsia="Times New Roman" w:hAnsi="Calibri" w:cs="Calibri"/>
          <w:color w:val="000000" w:themeColor="text1"/>
          <w:kern w:val="0"/>
          <w:lang w:eastAsia="en-GB"/>
          <w14:ligatures w14:val="none"/>
        </w:rPr>
      </w:pPr>
      <w:r w:rsidRPr="00485477">
        <w:rPr>
          <w:rFonts w:ascii="Calibri" w:hAnsi="Calibri" w:cs="Calibri"/>
          <w:color w:val="000000" w:themeColor="text1"/>
        </w:rPr>
        <w:br/>
      </w:r>
      <w:r w:rsidR="00146EB3" w:rsidRPr="00485477">
        <w:rPr>
          <w:rFonts w:ascii="Calibri" w:eastAsia="Times New Roman" w:hAnsi="Calibri" w:cs="Calibri"/>
          <w:color w:val="000000" w:themeColor="text1"/>
          <w:kern w:val="0"/>
          <w:lang w:eastAsia="en-GB"/>
          <w14:ligatures w14:val="none"/>
        </w:rPr>
        <w:t xml:space="preserve">Having established the racial and economic foundations of settler anxieties, it is </w:t>
      </w:r>
      <w:r w:rsidR="006B674C" w:rsidRPr="00485477">
        <w:rPr>
          <w:rFonts w:ascii="Calibri" w:eastAsia="Times New Roman" w:hAnsi="Calibri" w:cs="Calibri"/>
          <w:color w:val="000000" w:themeColor="text1"/>
          <w:kern w:val="0"/>
          <w:lang w:eastAsia="en-GB"/>
          <w14:ligatures w14:val="none"/>
        </w:rPr>
        <w:t>essential</w:t>
      </w:r>
      <w:r w:rsidR="00146EB3" w:rsidRPr="00485477">
        <w:rPr>
          <w:rFonts w:ascii="Calibri" w:eastAsia="Times New Roman" w:hAnsi="Calibri" w:cs="Calibri"/>
          <w:color w:val="000000" w:themeColor="text1"/>
          <w:kern w:val="0"/>
          <w:lang w:eastAsia="en-GB"/>
          <w14:ligatures w14:val="none"/>
        </w:rPr>
        <w:t xml:space="preserve"> to consider their intersection with gender, particularly the perceived need to protect white women. The figure of the 'houseboy' was central to the </w:t>
      </w:r>
      <w:r w:rsidR="00016995" w:rsidRPr="00485477">
        <w:rPr>
          <w:rFonts w:ascii="Calibri" w:eastAsia="Times New Roman" w:hAnsi="Calibri" w:cs="Calibri"/>
          <w:color w:val="000000" w:themeColor="text1"/>
          <w:kern w:val="0"/>
          <w:lang w:eastAsia="en-GB"/>
          <w14:ligatures w14:val="none"/>
        </w:rPr>
        <w:t>b</w:t>
      </w:r>
      <w:r w:rsidR="00146EB3" w:rsidRPr="00485477">
        <w:rPr>
          <w:rFonts w:ascii="Calibri" w:eastAsia="Times New Roman" w:hAnsi="Calibri" w:cs="Calibri"/>
          <w:color w:val="000000" w:themeColor="text1"/>
          <w:kern w:val="0"/>
          <w:lang w:eastAsia="en-GB"/>
          <w14:ligatures w14:val="none"/>
        </w:rPr>
        <w:t xml:space="preserve">lack </w:t>
      </w:r>
      <w:r w:rsidR="00016995" w:rsidRPr="00485477">
        <w:rPr>
          <w:rFonts w:ascii="Calibri" w:eastAsia="Times New Roman" w:hAnsi="Calibri" w:cs="Calibri"/>
          <w:color w:val="000000" w:themeColor="text1"/>
          <w:kern w:val="0"/>
          <w:lang w:eastAsia="en-GB"/>
          <w14:ligatures w14:val="none"/>
        </w:rPr>
        <w:t>p</w:t>
      </w:r>
      <w:r w:rsidR="00146EB3" w:rsidRPr="00485477">
        <w:rPr>
          <w:rFonts w:ascii="Calibri" w:eastAsia="Times New Roman" w:hAnsi="Calibri" w:cs="Calibri"/>
          <w:color w:val="000000" w:themeColor="text1"/>
          <w:kern w:val="0"/>
          <w:lang w:eastAsia="en-GB"/>
          <w14:ligatures w14:val="none"/>
        </w:rPr>
        <w:t>eril panic in early twentieth-century South Africa, embodying anxieties related to race, sexuality, and domestic intimacy. Houseboys were frequently portrayed as desexualised, mechanical, or childlike</w:t>
      </w:r>
      <w:r w:rsidR="00016995" w:rsidRPr="00485477">
        <w:rPr>
          <w:rFonts w:ascii="Calibri" w:eastAsia="Times New Roman" w:hAnsi="Calibri" w:cs="Calibri"/>
          <w:color w:val="000000" w:themeColor="text1"/>
          <w:kern w:val="0"/>
          <w:lang w:eastAsia="en-GB"/>
          <w14:ligatures w14:val="none"/>
        </w:rPr>
        <w:t xml:space="preserve">, </w:t>
      </w:r>
      <w:r w:rsidR="00146EB3" w:rsidRPr="00485477">
        <w:rPr>
          <w:rFonts w:ascii="Calibri" w:eastAsia="Times New Roman" w:hAnsi="Calibri" w:cs="Calibri"/>
          <w:color w:val="000000" w:themeColor="text1"/>
          <w:kern w:val="0"/>
          <w:lang w:eastAsia="en-GB"/>
          <w14:ligatures w14:val="none"/>
        </w:rPr>
        <w:t>obedient servants lacking agency</w:t>
      </w:r>
      <w:r w:rsidR="00016995" w:rsidRPr="00485477">
        <w:rPr>
          <w:rFonts w:ascii="Calibri" w:eastAsia="Times New Roman" w:hAnsi="Calibri" w:cs="Calibri"/>
          <w:color w:val="000000" w:themeColor="text1"/>
          <w:kern w:val="0"/>
          <w:lang w:eastAsia="en-GB"/>
          <w14:ligatures w14:val="none"/>
        </w:rPr>
        <w:t xml:space="preserve">, </w:t>
      </w:r>
      <w:r w:rsidR="00146EB3" w:rsidRPr="00485477">
        <w:rPr>
          <w:rFonts w:ascii="Calibri" w:eastAsia="Times New Roman" w:hAnsi="Calibri" w:cs="Calibri"/>
          <w:color w:val="000000" w:themeColor="text1"/>
          <w:kern w:val="0"/>
          <w:lang w:eastAsia="en-GB"/>
          <w14:ligatures w14:val="none"/>
        </w:rPr>
        <w:t>which enabled white society to manage its fears by reinforcing domestic authority and racial hierarchies. In this way, houseboys represented both dependence and dominance, functioning more as symbols of white control than as genuine threats (Levine, 2023). Similarly, in Rhodesia and Kenya, African domestic servants were seen as both subordinate and potentially dangerous, reflecting broader settler anxieties about the vulnerability of white women and the maintenance of social boundaries, irrespective of actual incidents (Anderson, 2010).</w:t>
      </w:r>
      <w:r w:rsidR="006B674C" w:rsidRPr="00485477">
        <w:rPr>
          <w:rFonts w:ascii="Calibri" w:eastAsia="Times New Roman" w:hAnsi="Calibri" w:cs="Calibri"/>
          <w:color w:val="000000" w:themeColor="text1"/>
          <w:kern w:val="0"/>
          <w:lang w:eastAsia="en-GB"/>
          <w14:ligatures w14:val="none"/>
        </w:rPr>
        <w:t xml:space="preserve"> </w:t>
      </w:r>
      <w:r w:rsidR="00D805AF" w:rsidRPr="00485477">
        <w:rPr>
          <w:rFonts w:ascii="Calibri" w:eastAsia="Times New Roman" w:hAnsi="Calibri" w:cs="Calibri"/>
          <w:color w:val="000000" w:themeColor="text1"/>
          <w:kern w:val="0"/>
          <w:lang w:eastAsia="en-GB"/>
          <w14:ligatures w14:val="none"/>
        </w:rPr>
        <w:t xml:space="preserve">Black </w:t>
      </w:r>
      <w:r w:rsidR="005959FB" w:rsidRPr="00485477">
        <w:rPr>
          <w:rFonts w:ascii="Calibri" w:eastAsia="Times New Roman" w:hAnsi="Calibri" w:cs="Calibri"/>
          <w:color w:val="000000" w:themeColor="text1"/>
          <w:kern w:val="0"/>
          <w:lang w:eastAsia="en-GB"/>
          <w14:ligatures w14:val="none"/>
        </w:rPr>
        <w:t>p</w:t>
      </w:r>
      <w:r w:rsidR="00D805AF" w:rsidRPr="00485477">
        <w:rPr>
          <w:rFonts w:ascii="Calibri" w:eastAsia="Times New Roman" w:hAnsi="Calibri" w:cs="Calibri"/>
          <w:color w:val="000000" w:themeColor="text1"/>
          <w:kern w:val="0"/>
          <w:lang w:eastAsia="en-GB"/>
          <w14:ligatures w14:val="none"/>
        </w:rPr>
        <w:t xml:space="preserve">eril panics symbolised colonial anxieties about racial boundaries and white supremacy. Each incident heightened concerns about </w:t>
      </w:r>
      <w:r w:rsidR="00016995" w:rsidRPr="00485477">
        <w:rPr>
          <w:rFonts w:ascii="Calibri" w:eastAsia="Times New Roman" w:hAnsi="Calibri" w:cs="Calibri"/>
          <w:color w:val="000000" w:themeColor="text1"/>
          <w:kern w:val="0"/>
          <w:lang w:eastAsia="en-GB"/>
          <w14:ligatures w14:val="none"/>
        </w:rPr>
        <w:t>‘</w:t>
      </w:r>
      <w:r w:rsidR="00D805AF" w:rsidRPr="00485477">
        <w:rPr>
          <w:rFonts w:ascii="Calibri" w:eastAsia="Times New Roman" w:hAnsi="Calibri" w:cs="Calibri"/>
          <w:color w:val="000000" w:themeColor="text1"/>
          <w:kern w:val="0"/>
          <w:lang w:eastAsia="en-GB"/>
          <w14:ligatures w14:val="none"/>
        </w:rPr>
        <w:t>white purity</w:t>
      </w:r>
      <w:r w:rsidR="00016995" w:rsidRPr="00485477">
        <w:rPr>
          <w:rFonts w:ascii="Calibri" w:eastAsia="Times New Roman" w:hAnsi="Calibri" w:cs="Calibri"/>
          <w:color w:val="000000" w:themeColor="text1"/>
          <w:kern w:val="0"/>
          <w:lang w:eastAsia="en-GB"/>
          <w14:ligatures w14:val="none"/>
        </w:rPr>
        <w:t>’</w:t>
      </w:r>
      <w:r w:rsidR="00D805AF" w:rsidRPr="00485477">
        <w:rPr>
          <w:rFonts w:ascii="Calibri" w:eastAsia="Times New Roman" w:hAnsi="Calibri" w:cs="Calibri"/>
          <w:color w:val="000000" w:themeColor="text1"/>
          <w:kern w:val="0"/>
          <w:lang w:eastAsia="en-GB"/>
          <w14:ligatures w14:val="none"/>
        </w:rPr>
        <w:t xml:space="preserve"> and the fragility of settler society. The importance of the </w:t>
      </w:r>
      <w:r w:rsidR="00016995" w:rsidRPr="00485477">
        <w:rPr>
          <w:rFonts w:ascii="Calibri" w:eastAsia="Times New Roman" w:hAnsi="Calibri" w:cs="Calibri"/>
          <w:color w:val="000000" w:themeColor="text1"/>
          <w:kern w:val="0"/>
          <w:lang w:eastAsia="en-GB"/>
          <w14:ligatures w14:val="none"/>
        </w:rPr>
        <w:t>b</w:t>
      </w:r>
      <w:r w:rsidR="00D805AF" w:rsidRPr="00485477">
        <w:rPr>
          <w:rFonts w:ascii="Calibri" w:eastAsia="Times New Roman" w:hAnsi="Calibri" w:cs="Calibri"/>
          <w:color w:val="000000" w:themeColor="text1"/>
          <w:kern w:val="0"/>
          <w:lang w:eastAsia="en-GB"/>
          <w14:ligatures w14:val="none"/>
        </w:rPr>
        <w:t xml:space="preserve">lack </w:t>
      </w:r>
      <w:r w:rsidR="00016995" w:rsidRPr="00485477">
        <w:rPr>
          <w:rFonts w:ascii="Calibri" w:eastAsia="Times New Roman" w:hAnsi="Calibri" w:cs="Calibri"/>
          <w:color w:val="000000" w:themeColor="text1"/>
          <w:kern w:val="0"/>
          <w:lang w:eastAsia="en-GB"/>
          <w14:ligatures w14:val="none"/>
        </w:rPr>
        <w:t>p</w:t>
      </w:r>
      <w:r w:rsidR="00D805AF" w:rsidRPr="00485477">
        <w:rPr>
          <w:rFonts w:ascii="Calibri" w:eastAsia="Times New Roman" w:hAnsi="Calibri" w:cs="Calibri"/>
          <w:color w:val="000000" w:themeColor="text1"/>
          <w:kern w:val="0"/>
          <w:lang w:eastAsia="en-GB"/>
          <w14:ligatures w14:val="none"/>
        </w:rPr>
        <w:t>eril</w:t>
      </w:r>
      <w:r w:rsidR="005959FB" w:rsidRPr="00485477">
        <w:rPr>
          <w:rFonts w:ascii="Calibri" w:eastAsia="Times New Roman" w:hAnsi="Calibri" w:cs="Calibri"/>
          <w:color w:val="000000" w:themeColor="text1"/>
          <w:kern w:val="0"/>
          <w:lang w:eastAsia="en-GB"/>
          <w14:ligatures w14:val="none"/>
        </w:rPr>
        <w:t xml:space="preserve"> </w:t>
      </w:r>
      <w:r w:rsidR="00D805AF" w:rsidRPr="00485477">
        <w:rPr>
          <w:rFonts w:ascii="Calibri" w:eastAsia="Times New Roman" w:hAnsi="Calibri" w:cs="Calibri"/>
          <w:color w:val="000000" w:themeColor="text1"/>
          <w:kern w:val="0"/>
          <w:lang w:eastAsia="en-GB"/>
          <w14:ligatures w14:val="none"/>
        </w:rPr>
        <w:t xml:space="preserve">stemmed from its power to crystallise fears about race, gender, and colonial authority, rather than the frequency of actual crimes (Anderson, 2010). Gender and race intersected in settler responses. White women’s groups called for stricter protections, while the widespread exploitation of African women by white men, the so-called </w:t>
      </w:r>
      <w:r w:rsidR="00016995" w:rsidRPr="00485477">
        <w:rPr>
          <w:rFonts w:ascii="Calibri" w:eastAsia="Times New Roman" w:hAnsi="Calibri" w:cs="Calibri"/>
          <w:color w:val="000000" w:themeColor="text1"/>
          <w:kern w:val="0"/>
          <w:lang w:eastAsia="en-GB"/>
          <w14:ligatures w14:val="none"/>
        </w:rPr>
        <w:t>‘</w:t>
      </w:r>
      <w:r w:rsidR="00D805AF" w:rsidRPr="00485477">
        <w:rPr>
          <w:rFonts w:ascii="Calibri" w:eastAsia="Times New Roman" w:hAnsi="Calibri" w:cs="Calibri"/>
          <w:color w:val="000000" w:themeColor="text1"/>
          <w:kern w:val="0"/>
          <w:lang w:eastAsia="en-GB"/>
          <w14:ligatures w14:val="none"/>
        </w:rPr>
        <w:t>white peril</w:t>
      </w:r>
      <w:r w:rsidR="00016995" w:rsidRPr="00485477">
        <w:rPr>
          <w:rFonts w:ascii="Calibri" w:eastAsia="Times New Roman" w:hAnsi="Calibri" w:cs="Calibri"/>
          <w:color w:val="000000" w:themeColor="text1"/>
          <w:kern w:val="0"/>
          <w:lang w:eastAsia="en-GB"/>
          <w14:ligatures w14:val="none"/>
        </w:rPr>
        <w:t>’</w:t>
      </w:r>
      <w:r w:rsidR="00D805AF" w:rsidRPr="00485477">
        <w:rPr>
          <w:rFonts w:ascii="Calibri" w:eastAsia="Times New Roman" w:hAnsi="Calibri" w:cs="Calibri"/>
          <w:color w:val="000000" w:themeColor="text1"/>
          <w:kern w:val="0"/>
          <w:lang w:eastAsia="en-GB"/>
          <w14:ligatures w14:val="none"/>
        </w:rPr>
        <w:t xml:space="preserve">, received little attention. This disparity highlights how threats to white women were </w:t>
      </w:r>
      <w:r w:rsidR="00D805AF" w:rsidRPr="00485477">
        <w:rPr>
          <w:rFonts w:ascii="Calibri" w:eastAsia="Times New Roman" w:hAnsi="Calibri" w:cs="Calibri"/>
          <w:color w:val="000000" w:themeColor="text1"/>
          <w:kern w:val="0"/>
          <w:lang w:eastAsia="en-GB"/>
          <w14:ligatures w14:val="none"/>
        </w:rPr>
        <w:lastRenderedPageBreak/>
        <w:t>prioritised over violence against African women, exposing the racialised logic of settler anxieties.</w:t>
      </w:r>
      <w:r w:rsidR="006B674C" w:rsidRPr="00485477">
        <w:rPr>
          <w:rFonts w:ascii="Calibri" w:eastAsia="Times New Roman" w:hAnsi="Calibri" w:cs="Calibri"/>
          <w:color w:val="000000" w:themeColor="text1"/>
          <w:kern w:val="0"/>
          <w:lang w:eastAsia="en-GB"/>
          <w14:ligatures w14:val="none"/>
        </w:rPr>
        <w:t xml:space="preserve"> </w:t>
      </w:r>
      <w:r w:rsidR="00146EB3" w:rsidRPr="00485477">
        <w:rPr>
          <w:rFonts w:ascii="Calibri" w:eastAsia="Times New Roman" w:hAnsi="Calibri" w:cs="Calibri"/>
          <w:color w:val="000000" w:themeColor="text1"/>
          <w:kern w:val="0"/>
          <w:lang w:eastAsia="en-GB"/>
          <w14:ligatures w14:val="none"/>
        </w:rPr>
        <w:t xml:space="preserve">The discourse surrounding the </w:t>
      </w:r>
      <w:r w:rsidR="00016995" w:rsidRPr="00485477">
        <w:rPr>
          <w:rFonts w:ascii="Calibri" w:eastAsia="Times New Roman" w:hAnsi="Calibri" w:cs="Calibri"/>
          <w:color w:val="000000" w:themeColor="text1"/>
          <w:kern w:val="0"/>
          <w:lang w:eastAsia="en-GB"/>
          <w14:ligatures w14:val="none"/>
        </w:rPr>
        <w:t>b</w:t>
      </w:r>
      <w:r w:rsidR="00146EB3" w:rsidRPr="00485477">
        <w:rPr>
          <w:rFonts w:ascii="Calibri" w:eastAsia="Times New Roman" w:hAnsi="Calibri" w:cs="Calibri"/>
          <w:color w:val="000000" w:themeColor="text1"/>
          <w:kern w:val="0"/>
          <w:lang w:eastAsia="en-GB"/>
          <w14:ligatures w14:val="none"/>
        </w:rPr>
        <w:t xml:space="preserve">lack </w:t>
      </w:r>
      <w:r w:rsidR="00016995" w:rsidRPr="00485477">
        <w:rPr>
          <w:rFonts w:ascii="Calibri" w:eastAsia="Times New Roman" w:hAnsi="Calibri" w:cs="Calibri"/>
          <w:color w:val="000000" w:themeColor="text1"/>
          <w:kern w:val="0"/>
          <w:lang w:eastAsia="en-GB"/>
          <w14:ligatures w14:val="none"/>
        </w:rPr>
        <w:t>peril</w:t>
      </w:r>
      <w:r w:rsidR="005959FB" w:rsidRPr="00485477">
        <w:rPr>
          <w:rFonts w:ascii="Calibri" w:eastAsia="Times New Roman" w:hAnsi="Calibri" w:cs="Calibri"/>
          <w:color w:val="000000" w:themeColor="text1"/>
          <w:kern w:val="0"/>
          <w:lang w:eastAsia="en-GB"/>
          <w14:ligatures w14:val="none"/>
        </w:rPr>
        <w:t xml:space="preserve"> </w:t>
      </w:r>
      <w:r w:rsidR="00146EB3" w:rsidRPr="00485477">
        <w:rPr>
          <w:rFonts w:ascii="Calibri" w:eastAsia="Times New Roman" w:hAnsi="Calibri" w:cs="Calibri"/>
          <w:color w:val="000000" w:themeColor="text1"/>
          <w:kern w:val="0"/>
          <w:lang w:eastAsia="en-GB"/>
          <w14:ligatures w14:val="none"/>
        </w:rPr>
        <w:t xml:space="preserve">constructed white women as inherently vulnerable, thereby reinforcing both racial and gender hierarchies within colonial society. Despite widespread fears, historical evidence indicates that sexual assaults by African men were rare, suggesting that the panic was largely symbolic rather than grounded in fact. African men were depicted as predators, while white women were idealised as innocent and pure; this constructed vulnerability served to uphold the colonial social order and perpetuate patriarchal and racial hierarchies (Cornwell, 1998). The stereotype of the endangered white woman was used to justify restrictions on </w:t>
      </w:r>
      <w:r w:rsidR="00016995" w:rsidRPr="00485477">
        <w:rPr>
          <w:rFonts w:ascii="Calibri" w:eastAsia="Times New Roman" w:hAnsi="Calibri" w:cs="Calibri"/>
          <w:color w:val="000000" w:themeColor="text1"/>
          <w:kern w:val="0"/>
          <w:lang w:eastAsia="en-GB"/>
          <w14:ligatures w14:val="none"/>
        </w:rPr>
        <w:t>b</w:t>
      </w:r>
      <w:r w:rsidR="00146EB3" w:rsidRPr="00485477">
        <w:rPr>
          <w:rFonts w:ascii="Calibri" w:eastAsia="Times New Roman" w:hAnsi="Calibri" w:cs="Calibri"/>
          <w:color w:val="000000" w:themeColor="text1"/>
          <w:kern w:val="0"/>
          <w:lang w:eastAsia="en-GB"/>
          <w14:ligatures w14:val="none"/>
        </w:rPr>
        <w:t xml:space="preserve">lack men's movement and to reinforce segregation. The colonial state's emphasis on protecting white women was primarily concerned with maintaining the gendered racial order of the empire, rather than ensuring individual safety (Ray, 2013). In settler societies, women were often regarded as property to be protected, and fears of </w:t>
      </w:r>
      <w:r w:rsidR="00016995" w:rsidRPr="00485477">
        <w:rPr>
          <w:rFonts w:ascii="Calibri" w:eastAsia="Times New Roman" w:hAnsi="Calibri" w:cs="Calibri"/>
          <w:color w:val="000000" w:themeColor="text1"/>
          <w:kern w:val="0"/>
          <w:lang w:eastAsia="en-GB"/>
          <w14:ligatures w14:val="none"/>
        </w:rPr>
        <w:t>b</w:t>
      </w:r>
      <w:r w:rsidR="00146EB3" w:rsidRPr="00485477">
        <w:rPr>
          <w:rFonts w:ascii="Calibri" w:eastAsia="Times New Roman" w:hAnsi="Calibri" w:cs="Calibri"/>
          <w:color w:val="000000" w:themeColor="text1"/>
          <w:kern w:val="0"/>
          <w:lang w:eastAsia="en-GB"/>
          <w14:ligatures w14:val="none"/>
        </w:rPr>
        <w:t>lack men attacking white women symbolised broader anxieties about preserving white dominance (Etherington, 1988).</w:t>
      </w:r>
    </w:p>
    <w:p w14:paraId="1B054389" w14:textId="77777777" w:rsidR="00146EB3" w:rsidRPr="00485477" w:rsidRDefault="00146EB3" w:rsidP="00485477">
      <w:pPr>
        <w:spacing w:after="0" w:line="360" w:lineRule="auto"/>
        <w:rPr>
          <w:rFonts w:ascii="Calibri" w:hAnsi="Calibri" w:cs="Calibri"/>
          <w:b/>
          <w:bCs/>
          <w:color w:val="000000" w:themeColor="text1"/>
        </w:rPr>
      </w:pPr>
    </w:p>
    <w:p w14:paraId="3AB71E9B" w14:textId="076BE6DB" w:rsidR="00D805AF" w:rsidRPr="00485477" w:rsidRDefault="00146EB3" w:rsidP="00485477">
      <w:pPr>
        <w:spacing w:after="0" w:line="360" w:lineRule="auto"/>
        <w:rPr>
          <w:rFonts w:ascii="Calibri" w:eastAsia="Times New Roman" w:hAnsi="Calibri" w:cs="Calibri"/>
          <w:color w:val="000000" w:themeColor="text1"/>
          <w:kern w:val="0"/>
          <w:lang w:eastAsia="en-GB"/>
          <w14:ligatures w14:val="none"/>
        </w:rPr>
      </w:pPr>
      <w:r w:rsidRPr="00485477">
        <w:rPr>
          <w:rFonts w:ascii="Calibri" w:eastAsia="Times New Roman" w:hAnsi="Calibri" w:cs="Calibri"/>
          <w:color w:val="000000" w:themeColor="text1"/>
          <w:kern w:val="0"/>
          <w:lang w:eastAsia="en-GB"/>
          <w14:ligatures w14:val="none"/>
        </w:rPr>
        <w:t xml:space="preserve">The perceived need to protect white women prompted legal and political measures that institutionalised these anxieties within colonial policy. Legislative responses illustrate that settler fears, rather than actual crime statistics, significantly influenced colonial lawmaking. The progression toward harsher penalties for </w:t>
      </w:r>
      <w:r w:rsidR="00016995" w:rsidRPr="00485477">
        <w:rPr>
          <w:rFonts w:ascii="Calibri" w:eastAsia="Times New Roman" w:hAnsi="Calibri" w:cs="Calibri"/>
          <w:color w:val="000000" w:themeColor="text1"/>
          <w:kern w:val="0"/>
          <w:lang w:eastAsia="en-GB"/>
          <w14:ligatures w14:val="none"/>
        </w:rPr>
        <w:t>b</w:t>
      </w:r>
      <w:r w:rsidRPr="00485477">
        <w:rPr>
          <w:rFonts w:ascii="Calibri" w:eastAsia="Times New Roman" w:hAnsi="Calibri" w:cs="Calibri"/>
          <w:color w:val="000000" w:themeColor="text1"/>
          <w:kern w:val="0"/>
          <w:lang w:eastAsia="en-GB"/>
          <w14:ligatures w14:val="none"/>
        </w:rPr>
        <w:t>lack men accused of sexual offences against European women in Kenya, culminating in the 1926 law mandating the death penalty, demonstrates that policy was shaped more by settler anxieties than by crime rates. The severe responses to infrequent incidents indicate that legislation often functioned as a performative act intended to reassure white settlers and symbolically reinforce racial boundaries, rather than addressing widespread sexual violence. These policies were designed to comfort a fearful settler population and maintain racial hierarchies (Anderson, 2010). By the 1920s, Rhodesia and South Africa had already enacted the death penalty for rape, and Kenyan settlers frequently referenced these precedents when advocating for stricter laws. The escalation of legal measures in Kenya thus mirrored earlier legislative developments in Rhodesia, revealing a regional pattern in which exceptional cases were used to justify extreme actions (Anderson, 2010).</w:t>
      </w:r>
      <w:r w:rsidR="006B674C" w:rsidRPr="00485477">
        <w:rPr>
          <w:rFonts w:ascii="Calibri" w:eastAsia="Times New Roman" w:hAnsi="Calibri" w:cs="Calibri"/>
          <w:color w:val="000000" w:themeColor="text1"/>
          <w:kern w:val="0"/>
          <w:lang w:eastAsia="en-GB"/>
          <w14:ligatures w14:val="none"/>
        </w:rPr>
        <w:t xml:space="preserve"> </w:t>
      </w:r>
      <w:r w:rsidR="00D805AF" w:rsidRPr="00485477">
        <w:rPr>
          <w:rFonts w:ascii="Calibri" w:eastAsia="Times New Roman" w:hAnsi="Calibri" w:cs="Calibri"/>
          <w:color w:val="000000" w:themeColor="text1"/>
          <w:kern w:val="0"/>
          <w:lang w:eastAsia="en-GB"/>
          <w14:ligatures w14:val="none"/>
        </w:rPr>
        <w:t xml:space="preserve">Across settler colonies, </w:t>
      </w:r>
      <w:r w:rsidR="00016995" w:rsidRPr="00485477">
        <w:rPr>
          <w:rFonts w:ascii="Calibri" w:eastAsia="Times New Roman" w:hAnsi="Calibri" w:cs="Calibri"/>
          <w:color w:val="000000" w:themeColor="text1"/>
          <w:kern w:val="0"/>
          <w:lang w:eastAsia="en-GB"/>
          <w14:ligatures w14:val="none"/>
        </w:rPr>
        <w:t>b</w:t>
      </w:r>
      <w:r w:rsidR="00D805AF" w:rsidRPr="00485477">
        <w:rPr>
          <w:rFonts w:ascii="Calibri" w:eastAsia="Times New Roman" w:hAnsi="Calibri" w:cs="Calibri"/>
          <w:color w:val="000000" w:themeColor="text1"/>
          <w:kern w:val="0"/>
          <w:lang w:eastAsia="en-GB"/>
          <w14:ligatures w14:val="none"/>
        </w:rPr>
        <w:t xml:space="preserve">lack </w:t>
      </w:r>
      <w:r w:rsidR="00016995" w:rsidRPr="00485477">
        <w:rPr>
          <w:rFonts w:ascii="Calibri" w:eastAsia="Times New Roman" w:hAnsi="Calibri" w:cs="Calibri"/>
          <w:color w:val="000000" w:themeColor="text1"/>
          <w:kern w:val="0"/>
          <w:lang w:eastAsia="en-GB"/>
          <w14:ligatures w14:val="none"/>
        </w:rPr>
        <w:t>p</w:t>
      </w:r>
      <w:r w:rsidR="00D805AF" w:rsidRPr="00485477">
        <w:rPr>
          <w:rFonts w:ascii="Calibri" w:eastAsia="Times New Roman" w:hAnsi="Calibri" w:cs="Calibri"/>
          <w:color w:val="000000" w:themeColor="text1"/>
          <w:kern w:val="0"/>
          <w:lang w:eastAsia="en-GB"/>
          <w14:ligatures w14:val="none"/>
        </w:rPr>
        <w:t>eril</w:t>
      </w:r>
      <w:r w:rsidR="005959FB" w:rsidRPr="00485477">
        <w:rPr>
          <w:rFonts w:ascii="Calibri" w:eastAsia="Times New Roman" w:hAnsi="Calibri" w:cs="Calibri"/>
          <w:color w:val="000000" w:themeColor="text1"/>
          <w:kern w:val="0"/>
          <w:lang w:eastAsia="en-GB"/>
          <w14:ligatures w14:val="none"/>
        </w:rPr>
        <w:t xml:space="preserve"> </w:t>
      </w:r>
      <w:r w:rsidR="00D805AF" w:rsidRPr="00485477">
        <w:rPr>
          <w:rFonts w:ascii="Calibri" w:eastAsia="Times New Roman" w:hAnsi="Calibri" w:cs="Calibri"/>
          <w:color w:val="000000" w:themeColor="text1"/>
          <w:kern w:val="0"/>
          <w:lang w:eastAsia="en-GB"/>
          <w14:ligatures w14:val="none"/>
        </w:rPr>
        <w:t xml:space="preserve">fears justified increased policing, harsher laws, and white dominance. In early twentieth-century </w:t>
      </w:r>
      <w:r w:rsidR="00D805AF" w:rsidRPr="00485477">
        <w:rPr>
          <w:rFonts w:ascii="Calibri" w:eastAsia="Times New Roman" w:hAnsi="Calibri" w:cs="Calibri"/>
          <w:color w:val="000000" w:themeColor="text1"/>
          <w:kern w:val="0"/>
          <w:lang w:eastAsia="en-GB"/>
          <w14:ligatures w14:val="none"/>
        </w:rPr>
        <w:lastRenderedPageBreak/>
        <w:t xml:space="preserve">South Africa, legal reforms often responded to panics </w:t>
      </w:r>
      <w:r w:rsidR="006B674C" w:rsidRPr="00485477">
        <w:rPr>
          <w:rFonts w:ascii="Calibri" w:eastAsia="Times New Roman" w:hAnsi="Calibri" w:cs="Calibri"/>
          <w:color w:val="000000" w:themeColor="text1"/>
          <w:kern w:val="0"/>
          <w:lang w:eastAsia="en-GB"/>
          <w14:ligatures w14:val="none"/>
        </w:rPr>
        <w:t>rather than to</w:t>
      </w:r>
      <w:r w:rsidR="00D805AF" w:rsidRPr="00485477">
        <w:rPr>
          <w:rFonts w:ascii="Calibri" w:eastAsia="Times New Roman" w:hAnsi="Calibri" w:cs="Calibri"/>
          <w:color w:val="000000" w:themeColor="text1"/>
          <w:kern w:val="0"/>
          <w:lang w:eastAsia="en-GB"/>
          <w14:ligatures w14:val="none"/>
        </w:rPr>
        <w:t xml:space="preserve"> rising crime. After the South African War, scandals over interracial relationships led to new laws across several regions (Cornwell, 1996). The 1927 Immorality Act targeted interracial sex but not marriage, revealing the inconsistency of laws shaped by social anxieties rather than crime data. Such legislation enshrined settler fears in law, centring the regulation of white women’s sexuality. Authorities and the white press used </w:t>
      </w:r>
      <w:r w:rsidR="00016995" w:rsidRPr="00485477">
        <w:rPr>
          <w:rFonts w:ascii="Calibri" w:eastAsia="Times New Roman" w:hAnsi="Calibri" w:cs="Calibri"/>
          <w:color w:val="000000" w:themeColor="text1"/>
          <w:kern w:val="0"/>
          <w:lang w:eastAsia="en-GB"/>
          <w14:ligatures w14:val="none"/>
        </w:rPr>
        <w:t>b</w:t>
      </w:r>
      <w:r w:rsidR="00D805AF" w:rsidRPr="00485477">
        <w:rPr>
          <w:rFonts w:ascii="Calibri" w:eastAsia="Times New Roman" w:hAnsi="Calibri" w:cs="Calibri"/>
          <w:color w:val="000000" w:themeColor="text1"/>
          <w:kern w:val="0"/>
          <w:lang w:eastAsia="en-GB"/>
          <w14:ligatures w14:val="none"/>
        </w:rPr>
        <w:t xml:space="preserve">lack </w:t>
      </w:r>
      <w:r w:rsidR="00016995" w:rsidRPr="00485477">
        <w:rPr>
          <w:rFonts w:ascii="Calibri" w:eastAsia="Times New Roman" w:hAnsi="Calibri" w:cs="Calibri"/>
          <w:color w:val="000000" w:themeColor="text1"/>
          <w:kern w:val="0"/>
          <w:lang w:eastAsia="en-GB"/>
          <w14:ligatures w14:val="none"/>
        </w:rPr>
        <w:t>peril</w:t>
      </w:r>
      <w:r w:rsidR="00D805AF" w:rsidRPr="00485477">
        <w:rPr>
          <w:rFonts w:ascii="Calibri" w:eastAsia="Times New Roman" w:hAnsi="Calibri" w:cs="Calibri"/>
          <w:color w:val="000000" w:themeColor="text1"/>
          <w:kern w:val="0"/>
          <w:lang w:eastAsia="en-GB"/>
          <w14:ligatures w14:val="none"/>
        </w:rPr>
        <w:t xml:space="preserve"> fears to unify settlers and legitimise repressive policies, with media and law working together to turn anxieties into instruments of racial domination (Ray, 2013; Hazan, 2023).</w:t>
      </w:r>
    </w:p>
    <w:p w14:paraId="5660AF17" w14:textId="6CE69BC3" w:rsidR="004A6789" w:rsidRPr="00485477" w:rsidRDefault="00CC2AA0" w:rsidP="00485477">
      <w:pPr>
        <w:spacing w:after="0" w:line="360" w:lineRule="auto"/>
        <w:rPr>
          <w:rFonts w:ascii="Calibri" w:eastAsia="Times New Roman" w:hAnsi="Calibri" w:cs="Calibri"/>
          <w:color w:val="000000" w:themeColor="text1"/>
          <w:kern w:val="0"/>
          <w:lang w:eastAsia="en-GB"/>
          <w14:ligatures w14:val="none"/>
        </w:rPr>
      </w:pPr>
      <w:r w:rsidRPr="00485477">
        <w:rPr>
          <w:rFonts w:ascii="Calibri" w:hAnsi="Calibri" w:cs="Calibri"/>
          <w:color w:val="000000" w:themeColor="text1"/>
        </w:rPr>
        <w:br/>
      </w:r>
      <w:r w:rsidR="00146EB3" w:rsidRPr="00485477">
        <w:rPr>
          <w:rFonts w:ascii="Calibri" w:eastAsia="Times New Roman" w:hAnsi="Calibri" w:cs="Calibri"/>
          <w:color w:val="000000" w:themeColor="text1"/>
          <w:kern w:val="0"/>
          <w:lang w:eastAsia="en-GB"/>
          <w14:ligatures w14:val="none"/>
        </w:rPr>
        <w:t xml:space="preserve">The media played a parallel role by amplifying fears and reinforcing settler dominance. The colonial press and circulating rumours were instrumental in perpetuating </w:t>
      </w:r>
      <w:r w:rsidR="00016995" w:rsidRPr="00485477">
        <w:rPr>
          <w:rFonts w:ascii="Calibri" w:eastAsia="Times New Roman" w:hAnsi="Calibri" w:cs="Calibri"/>
          <w:color w:val="000000" w:themeColor="text1"/>
          <w:kern w:val="0"/>
          <w:lang w:eastAsia="en-GB"/>
          <w14:ligatures w14:val="none"/>
        </w:rPr>
        <w:t>b</w:t>
      </w:r>
      <w:r w:rsidR="00146EB3" w:rsidRPr="00485477">
        <w:rPr>
          <w:rFonts w:ascii="Calibri" w:eastAsia="Times New Roman" w:hAnsi="Calibri" w:cs="Calibri"/>
          <w:color w:val="000000" w:themeColor="text1"/>
          <w:kern w:val="0"/>
          <w:lang w:eastAsia="en-GB"/>
          <w14:ligatures w14:val="none"/>
        </w:rPr>
        <w:t xml:space="preserve">lack </w:t>
      </w:r>
      <w:r w:rsidR="00016995" w:rsidRPr="00485477">
        <w:rPr>
          <w:rFonts w:ascii="Calibri" w:eastAsia="Times New Roman" w:hAnsi="Calibri" w:cs="Calibri"/>
          <w:color w:val="000000" w:themeColor="text1"/>
          <w:kern w:val="0"/>
          <w:lang w:eastAsia="en-GB"/>
          <w14:ligatures w14:val="none"/>
        </w:rPr>
        <w:t>p</w:t>
      </w:r>
      <w:r w:rsidR="00146EB3" w:rsidRPr="00485477">
        <w:rPr>
          <w:rFonts w:ascii="Calibri" w:eastAsia="Times New Roman" w:hAnsi="Calibri" w:cs="Calibri"/>
          <w:color w:val="000000" w:themeColor="text1"/>
          <w:kern w:val="0"/>
          <w:lang w:eastAsia="en-GB"/>
          <w14:ligatures w14:val="none"/>
        </w:rPr>
        <w:t>eril</w:t>
      </w:r>
      <w:r w:rsidR="00016995" w:rsidRPr="00485477">
        <w:rPr>
          <w:rFonts w:ascii="Calibri" w:eastAsia="Times New Roman" w:hAnsi="Calibri" w:cs="Calibri"/>
          <w:color w:val="000000" w:themeColor="text1"/>
          <w:kern w:val="0"/>
          <w:lang w:eastAsia="en-GB"/>
          <w14:ligatures w14:val="none"/>
        </w:rPr>
        <w:t xml:space="preserve"> </w:t>
      </w:r>
      <w:r w:rsidR="00146EB3" w:rsidRPr="00485477">
        <w:rPr>
          <w:rFonts w:ascii="Calibri" w:eastAsia="Times New Roman" w:hAnsi="Calibri" w:cs="Calibri"/>
          <w:color w:val="000000" w:themeColor="text1"/>
          <w:kern w:val="0"/>
          <w:lang w:eastAsia="en-GB"/>
          <w14:ligatures w14:val="none"/>
        </w:rPr>
        <w:t xml:space="preserve">scares within settler communities. Newspapers such as the </w:t>
      </w:r>
      <w:r w:rsidR="00146EB3" w:rsidRPr="00543A47">
        <w:rPr>
          <w:rFonts w:ascii="Calibri" w:eastAsia="Times New Roman" w:hAnsi="Calibri" w:cs="Calibri"/>
          <w:i/>
          <w:iCs/>
          <w:color w:val="000000" w:themeColor="text1"/>
          <w:kern w:val="0"/>
          <w:lang w:eastAsia="en-GB"/>
          <w14:ligatures w14:val="none"/>
        </w:rPr>
        <w:t>East African Standard</w:t>
      </w:r>
      <w:r w:rsidR="00146EB3" w:rsidRPr="00485477">
        <w:rPr>
          <w:rFonts w:ascii="Calibri" w:eastAsia="Times New Roman" w:hAnsi="Calibri" w:cs="Calibri"/>
          <w:color w:val="000000" w:themeColor="text1"/>
          <w:kern w:val="0"/>
          <w:lang w:eastAsia="en-GB"/>
          <w14:ligatures w14:val="none"/>
        </w:rPr>
        <w:t xml:space="preserve"> and </w:t>
      </w:r>
      <w:r w:rsidR="00146EB3" w:rsidRPr="00543A47">
        <w:rPr>
          <w:rFonts w:ascii="Calibri" w:eastAsia="Times New Roman" w:hAnsi="Calibri" w:cs="Calibri"/>
          <w:i/>
          <w:iCs/>
          <w:color w:val="000000" w:themeColor="text1"/>
          <w:kern w:val="0"/>
          <w:lang w:eastAsia="en-GB"/>
          <w14:ligatures w14:val="none"/>
        </w:rPr>
        <w:t>The Leader</w:t>
      </w:r>
      <w:r w:rsidR="00146EB3" w:rsidRPr="00485477">
        <w:rPr>
          <w:rFonts w:ascii="Calibri" w:eastAsia="Times New Roman" w:hAnsi="Calibri" w:cs="Calibri"/>
          <w:color w:val="000000" w:themeColor="text1"/>
          <w:kern w:val="0"/>
          <w:lang w:eastAsia="en-GB"/>
          <w14:ligatures w14:val="none"/>
        </w:rPr>
        <w:t xml:space="preserve"> frequently sensationalised rare or unverified reports of sexual assault, thereby intensifying settler anxieties. This suggests that the media's primary focus was not on accurately reporting threats, but on cultivating a climate of fear that justified and sustained white concerns about racial and gendered dangers. Incidents were often depicted as </w:t>
      </w:r>
      <w:r w:rsidR="006B674C" w:rsidRPr="00485477">
        <w:rPr>
          <w:rFonts w:ascii="Calibri" w:eastAsia="Times New Roman" w:hAnsi="Calibri" w:cs="Calibri"/>
          <w:color w:val="000000" w:themeColor="text1"/>
          <w:kern w:val="0"/>
          <w:lang w:eastAsia="en-GB"/>
          <w14:ligatures w14:val="none"/>
        </w:rPr>
        <w:t>part</w:t>
      </w:r>
      <w:r w:rsidR="00146EB3" w:rsidRPr="00485477">
        <w:rPr>
          <w:rFonts w:ascii="Calibri" w:eastAsia="Times New Roman" w:hAnsi="Calibri" w:cs="Calibri"/>
          <w:color w:val="000000" w:themeColor="text1"/>
          <w:kern w:val="0"/>
          <w:lang w:eastAsia="en-GB"/>
          <w14:ligatures w14:val="none"/>
        </w:rPr>
        <w:t xml:space="preserve"> of a broader, menacing trend, with rumours spreading </w:t>
      </w:r>
      <w:r w:rsidR="006B674C" w:rsidRPr="00485477">
        <w:rPr>
          <w:rFonts w:ascii="Calibri" w:eastAsia="Times New Roman" w:hAnsi="Calibri" w:cs="Calibri"/>
          <w:color w:val="000000" w:themeColor="text1"/>
          <w:kern w:val="0"/>
          <w:lang w:eastAsia="en-GB"/>
          <w14:ligatures w14:val="none"/>
        </w:rPr>
        <w:t xml:space="preserve">rapidly </w:t>
      </w:r>
      <w:r w:rsidR="00146EB3" w:rsidRPr="00485477">
        <w:rPr>
          <w:rFonts w:ascii="Calibri" w:eastAsia="Times New Roman" w:hAnsi="Calibri" w:cs="Calibri"/>
          <w:color w:val="000000" w:themeColor="text1"/>
          <w:kern w:val="0"/>
          <w:lang w:eastAsia="en-GB"/>
          <w14:ligatures w14:val="none"/>
        </w:rPr>
        <w:t>and creating a feedback loop of fear among settlers. Editors employed ambiguous terms such as ‘attack,’ ‘assault,’ ‘peril,’ and ‘outrage’ to describe events ranging from minor insubordination to rape, thereby conflating isolated incidents into the perception of a widespread threat.</w:t>
      </w:r>
      <w:r w:rsidR="006B674C" w:rsidRPr="00485477">
        <w:rPr>
          <w:rFonts w:ascii="Calibri" w:eastAsia="Times New Roman" w:hAnsi="Calibri" w:cs="Calibri"/>
          <w:color w:val="000000" w:themeColor="text1"/>
          <w:kern w:val="0"/>
          <w:lang w:eastAsia="en-GB"/>
          <w14:ligatures w14:val="none"/>
        </w:rPr>
        <w:t xml:space="preserve"> </w:t>
      </w:r>
      <w:r w:rsidR="00D805AF" w:rsidRPr="00485477">
        <w:rPr>
          <w:rFonts w:ascii="Calibri" w:eastAsia="Times New Roman" w:hAnsi="Calibri" w:cs="Calibri"/>
          <w:color w:val="000000" w:themeColor="text1"/>
          <w:kern w:val="0"/>
          <w:lang w:eastAsia="en-GB"/>
          <w14:ligatures w14:val="none"/>
        </w:rPr>
        <w:t xml:space="preserve">George Webb Hardy’s 1904 article and 1912 novel </w:t>
      </w:r>
      <w:r w:rsidR="00D805AF" w:rsidRPr="00485477">
        <w:rPr>
          <w:rFonts w:ascii="Calibri" w:eastAsia="Times New Roman" w:hAnsi="Calibri" w:cs="Calibri"/>
          <w:i/>
          <w:iCs/>
          <w:color w:val="000000" w:themeColor="text1"/>
          <w:kern w:val="0"/>
          <w:lang w:eastAsia="en-GB"/>
          <w14:ligatures w14:val="none"/>
        </w:rPr>
        <w:t>The Black Peril</w:t>
      </w:r>
      <w:r w:rsidR="00D805AF" w:rsidRPr="00485477">
        <w:rPr>
          <w:rFonts w:ascii="Calibri" w:eastAsia="Times New Roman" w:hAnsi="Calibri" w:cs="Calibri"/>
          <w:color w:val="000000" w:themeColor="text1"/>
          <w:kern w:val="0"/>
          <w:lang w:eastAsia="en-GB"/>
          <w14:ligatures w14:val="none"/>
        </w:rPr>
        <w:t xml:space="preserve"> stoked public anxiety, showing how media sensationalism fuelled moral panic (Cornwell, 1996). The Natal rape scare of the 1860s–70s also illustrates the enduring power of newspapers and political rhetoric</w:t>
      </w:r>
      <w:r w:rsidR="004D7D15" w:rsidRPr="00485477">
        <w:rPr>
          <w:rFonts w:ascii="Calibri" w:eastAsia="Times New Roman" w:hAnsi="Calibri" w:cs="Calibri"/>
          <w:color w:val="000000" w:themeColor="text1"/>
          <w:kern w:val="0"/>
          <w:lang w:eastAsia="en-GB"/>
          <w14:ligatures w14:val="none"/>
        </w:rPr>
        <w:t>.</w:t>
      </w:r>
      <w:r w:rsidR="00D805AF" w:rsidRPr="00485477">
        <w:rPr>
          <w:rFonts w:ascii="Calibri" w:eastAsia="Times New Roman" w:hAnsi="Calibri" w:cs="Calibri"/>
          <w:color w:val="000000" w:themeColor="text1"/>
          <w:kern w:val="0"/>
          <w:lang w:eastAsia="en-GB"/>
          <w14:ligatures w14:val="none"/>
        </w:rPr>
        <w:t xml:space="preserve"> </w:t>
      </w:r>
      <w:r w:rsidR="004D7D15" w:rsidRPr="00485477">
        <w:rPr>
          <w:rFonts w:ascii="Calibri" w:eastAsia="Times New Roman" w:hAnsi="Calibri" w:cs="Calibri"/>
          <w:color w:val="000000" w:themeColor="text1"/>
          <w:kern w:val="0"/>
          <w:lang w:eastAsia="en-GB"/>
          <w14:ligatures w14:val="none"/>
        </w:rPr>
        <w:t>A</w:t>
      </w:r>
      <w:r w:rsidR="00D805AF" w:rsidRPr="00485477">
        <w:rPr>
          <w:rFonts w:ascii="Calibri" w:eastAsia="Times New Roman" w:hAnsi="Calibri" w:cs="Calibri"/>
          <w:color w:val="000000" w:themeColor="text1"/>
          <w:kern w:val="0"/>
          <w:lang w:eastAsia="en-GB"/>
          <w14:ligatures w14:val="none"/>
        </w:rPr>
        <w:t xml:space="preserve">larmist publications prompted Vigilance Committees and heightened fears. Politicians and clergy framed these anxieties as existential dangers, reinforcing patriarchal and racial authority. In these ways, white men dominated discourse, turning isolated incidents into widespread panic and consolidating hierarchies (Etherington, 1988). The 1912 </w:t>
      </w:r>
      <w:r w:rsidR="00D805AF" w:rsidRPr="00543A47">
        <w:rPr>
          <w:rFonts w:ascii="Calibri" w:eastAsia="Times New Roman" w:hAnsi="Calibri" w:cs="Calibri"/>
          <w:color w:val="000000" w:themeColor="text1"/>
          <w:kern w:val="0"/>
          <w:lang w:eastAsia="en-GB"/>
          <w14:ligatures w14:val="none"/>
        </w:rPr>
        <w:t xml:space="preserve">Witwatersrand </w:t>
      </w:r>
      <w:r w:rsidR="00D805AF" w:rsidRPr="00485477">
        <w:rPr>
          <w:rFonts w:ascii="Calibri" w:eastAsia="Times New Roman" w:hAnsi="Calibri" w:cs="Calibri"/>
          <w:color w:val="000000" w:themeColor="text1"/>
          <w:kern w:val="0"/>
          <w:lang w:eastAsia="en-GB"/>
          <w14:ligatures w14:val="none"/>
        </w:rPr>
        <w:t>panic shows how sensational reporting led to mass meetings and vigilante actions, reinforcing group identity rather than addressing real threats (Levine, 2021).</w:t>
      </w:r>
      <w:r w:rsidR="006B674C" w:rsidRPr="00485477">
        <w:rPr>
          <w:rFonts w:ascii="Calibri" w:eastAsia="Times New Roman" w:hAnsi="Calibri" w:cs="Calibri"/>
          <w:color w:val="000000" w:themeColor="text1"/>
          <w:kern w:val="0"/>
          <w:lang w:eastAsia="en-GB"/>
          <w14:ligatures w14:val="none"/>
        </w:rPr>
        <w:t xml:space="preserve"> </w:t>
      </w:r>
      <w:r w:rsidR="00D26847" w:rsidRPr="00485477">
        <w:rPr>
          <w:rFonts w:ascii="Calibri" w:hAnsi="Calibri" w:cs="Calibri"/>
          <w:color w:val="000000" w:themeColor="text1"/>
        </w:rPr>
        <w:t xml:space="preserve">Contemporary commentary in London’s </w:t>
      </w:r>
      <w:r w:rsidR="00D26847" w:rsidRPr="00485477">
        <w:rPr>
          <w:rStyle w:val="Emphasis"/>
          <w:rFonts w:ascii="Calibri" w:eastAsiaTheme="majorEastAsia" w:hAnsi="Calibri" w:cs="Calibri"/>
          <w:color w:val="000000" w:themeColor="text1"/>
        </w:rPr>
        <w:t>The Nineteenth Century and After</w:t>
      </w:r>
      <w:r w:rsidR="00D26847" w:rsidRPr="00485477">
        <w:rPr>
          <w:rFonts w:ascii="Calibri" w:hAnsi="Calibri" w:cs="Calibri"/>
          <w:color w:val="000000" w:themeColor="text1"/>
        </w:rPr>
        <w:t xml:space="preserve"> (May 1904) framed South Africa’s growing </w:t>
      </w:r>
      <w:r w:rsidR="00016995" w:rsidRPr="00485477">
        <w:rPr>
          <w:rFonts w:ascii="Calibri" w:hAnsi="Calibri" w:cs="Calibri"/>
          <w:color w:val="000000" w:themeColor="text1"/>
        </w:rPr>
        <w:t>b</w:t>
      </w:r>
      <w:r w:rsidR="00D26847" w:rsidRPr="00485477">
        <w:rPr>
          <w:rFonts w:ascii="Calibri" w:hAnsi="Calibri" w:cs="Calibri"/>
          <w:color w:val="000000" w:themeColor="text1"/>
        </w:rPr>
        <w:t>lack population as an existential threat to white dominance, highlighting a ten-</w:t>
      </w:r>
      <w:r w:rsidR="00D26847" w:rsidRPr="00485477">
        <w:rPr>
          <w:rFonts w:ascii="Calibri" w:hAnsi="Calibri" w:cs="Calibri"/>
          <w:color w:val="000000" w:themeColor="text1"/>
        </w:rPr>
        <w:lastRenderedPageBreak/>
        <w:t xml:space="preserve">million-to-under-one-million demographic imbalance and warning that rising African political strength and movements like </w:t>
      </w:r>
      <w:proofErr w:type="spellStart"/>
      <w:r w:rsidR="00D26847" w:rsidRPr="00485477">
        <w:rPr>
          <w:rFonts w:ascii="Calibri" w:hAnsi="Calibri" w:cs="Calibri"/>
          <w:color w:val="000000" w:themeColor="text1"/>
        </w:rPr>
        <w:t>Ethiopianism</w:t>
      </w:r>
      <w:proofErr w:type="spellEnd"/>
      <w:r w:rsidR="00D26847" w:rsidRPr="00485477">
        <w:rPr>
          <w:rFonts w:ascii="Calibri" w:hAnsi="Calibri" w:cs="Calibri"/>
          <w:color w:val="000000" w:themeColor="text1"/>
        </w:rPr>
        <w:t xml:space="preserve"> could undermine colonial authority. The article urged English and Dutch settlers to unite to exclude </w:t>
      </w:r>
      <w:r w:rsidR="00485477" w:rsidRPr="00485477">
        <w:rPr>
          <w:rFonts w:ascii="Calibri" w:hAnsi="Calibri" w:cs="Calibri"/>
          <w:color w:val="000000" w:themeColor="text1"/>
        </w:rPr>
        <w:t>b</w:t>
      </w:r>
      <w:r w:rsidR="00D26847" w:rsidRPr="00485477">
        <w:rPr>
          <w:rFonts w:ascii="Calibri" w:hAnsi="Calibri" w:cs="Calibri"/>
          <w:color w:val="000000" w:themeColor="text1"/>
        </w:rPr>
        <w:t xml:space="preserve">lack people from political power, framing the threat in apocalyptic terms (Jones, 1904, pp. 712–723). </w:t>
      </w:r>
      <w:r w:rsidR="004A6789" w:rsidRPr="00485477">
        <w:rPr>
          <w:rFonts w:ascii="Calibri" w:hAnsi="Calibri" w:cs="Calibri"/>
          <w:color w:val="000000" w:themeColor="text1"/>
        </w:rPr>
        <w:t xml:space="preserve">Parallels in the United States, as Hutchison (2012) shows with the case of Jack Johnson, demonstrate how media and law combined to police </w:t>
      </w:r>
      <w:r w:rsidR="00016995" w:rsidRPr="00485477">
        <w:rPr>
          <w:rFonts w:ascii="Calibri" w:hAnsi="Calibri" w:cs="Calibri"/>
          <w:color w:val="000000" w:themeColor="text1"/>
        </w:rPr>
        <w:t>b</w:t>
      </w:r>
      <w:r w:rsidR="004A6789" w:rsidRPr="00485477">
        <w:rPr>
          <w:rFonts w:ascii="Calibri" w:hAnsi="Calibri" w:cs="Calibri"/>
          <w:color w:val="000000" w:themeColor="text1"/>
        </w:rPr>
        <w:t>lack male sexuality through racialised moral panic. This mechanism, replicated in South Africa, illustrates the transnational dynamics of settler anxieties, where media served as a tool to construct and enforce racial hierarchies.</w:t>
      </w:r>
    </w:p>
    <w:p w14:paraId="3A5D4558" w14:textId="7B01E6D4" w:rsidR="0023560B" w:rsidRPr="00485477" w:rsidRDefault="00146EB3" w:rsidP="00485477">
      <w:pPr>
        <w:spacing w:after="0" w:line="360" w:lineRule="auto"/>
        <w:rPr>
          <w:rFonts w:ascii="Calibri" w:eastAsia="Times New Roman" w:hAnsi="Calibri" w:cs="Calibri"/>
          <w:color w:val="000000" w:themeColor="text1"/>
          <w:kern w:val="0"/>
          <w:lang w:eastAsia="en-GB"/>
          <w14:ligatures w14:val="none"/>
        </w:rPr>
      </w:pPr>
      <w:r w:rsidRPr="00485477">
        <w:rPr>
          <w:rFonts w:ascii="Calibri" w:eastAsia="Times New Roman" w:hAnsi="Calibri" w:cs="Calibri"/>
          <w:color w:val="000000" w:themeColor="text1"/>
          <w:kern w:val="0"/>
          <w:lang w:eastAsia="en-GB"/>
          <w14:ligatures w14:val="none"/>
        </w:rPr>
        <w:t xml:space="preserve">While a few high-profile incidents prompted contemporaries to claim that the </w:t>
      </w:r>
      <w:r w:rsidR="00016995" w:rsidRPr="00485477">
        <w:rPr>
          <w:rFonts w:ascii="Calibri" w:eastAsia="Times New Roman" w:hAnsi="Calibri" w:cs="Calibri"/>
          <w:color w:val="000000" w:themeColor="text1"/>
          <w:kern w:val="0"/>
          <w:lang w:eastAsia="en-GB"/>
          <w14:ligatures w14:val="none"/>
        </w:rPr>
        <w:t>b</w:t>
      </w:r>
      <w:r w:rsidRPr="00485477">
        <w:rPr>
          <w:rFonts w:ascii="Calibri" w:eastAsia="Times New Roman" w:hAnsi="Calibri" w:cs="Calibri"/>
          <w:color w:val="000000" w:themeColor="text1"/>
          <w:kern w:val="0"/>
          <w:lang w:eastAsia="en-GB"/>
          <w14:ligatures w14:val="none"/>
        </w:rPr>
        <w:t xml:space="preserve">lack </w:t>
      </w:r>
      <w:r w:rsidR="00016995" w:rsidRPr="00485477">
        <w:rPr>
          <w:rFonts w:ascii="Calibri" w:eastAsia="Times New Roman" w:hAnsi="Calibri" w:cs="Calibri"/>
          <w:color w:val="000000" w:themeColor="text1"/>
          <w:kern w:val="0"/>
          <w:lang w:eastAsia="en-GB"/>
          <w14:ligatures w14:val="none"/>
        </w:rPr>
        <w:t>p</w:t>
      </w:r>
      <w:r w:rsidRPr="00485477">
        <w:rPr>
          <w:rFonts w:ascii="Calibri" w:eastAsia="Times New Roman" w:hAnsi="Calibri" w:cs="Calibri"/>
          <w:color w:val="000000" w:themeColor="text1"/>
          <w:kern w:val="0"/>
          <w:lang w:eastAsia="en-GB"/>
          <w14:ligatures w14:val="none"/>
        </w:rPr>
        <w:t xml:space="preserve">eril represented a genuine threat, closer analysis indicates that such cases were rare and frequently sensationalised, underscoring the gap between perception and reality. </w:t>
      </w:r>
    </w:p>
    <w:p w14:paraId="7C25FD3A" w14:textId="77777777" w:rsidR="0023560B" w:rsidRPr="00485477" w:rsidRDefault="0023560B" w:rsidP="00485477">
      <w:pPr>
        <w:spacing w:after="0" w:line="360" w:lineRule="auto"/>
        <w:rPr>
          <w:rFonts w:ascii="Calibri" w:eastAsia="Times New Roman" w:hAnsi="Calibri" w:cs="Calibri"/>
          <w:color w:val="000000" w:themeColor="text1"/>
          <w:kern w:val="0"/>
          <w:lang w:eastAsia="en-GB"/>
          <w14:ligatures w14:val="none"/>
        </w:rPr>
      </w:pPr>
    </w:p>
    <w:p w14:paraId="4A8B6C37" w14:textId="21FB5AF5" w:rsidR="0021600A" w:rsidRPr="00485477" w:rsidRDefault="00146EB3" w:rsidP="00485477">
      <w:pPr>
        <w:spacing w:after="0" w:line="360" w:lineRule="auto"/>
        <w:rPr>
          <w:rFonts w:ascii="Calibri" w:eastAsia="Times New Roman" w:hAnsi="Calibri" w:cs="Calibri"/>
          <w:color w:val="000000" w:themeColor="text1"/>
          <w:kern w:val="0"/>
          <w:lang w:eastAsia="en-GB"/>
          <w14:ligatures w14:val="none"/>
        </w:rPr>
      </w:pPr>
      <w:r w:rsidRPr="00485477">
        <w:rPr>
          <w:rFonts w:ascii="Calibri" w:eastAsia="Times New Roman" w:hAnsi="Calibri" w:cs="Calibri"/>
          <w:color w:val="000000" w:themeColor="text1"/>
          <w:kern w:val="0"/>
          <w:lang w:eastAsia="en-GB"/>
          <w14:ligatures w14:val="none"/>
        </w:rPr>
        <w:t>Between 1907 and 1930, reports of alleged sexual assaults by African men against European women in Nairobi were infrequent. The first significant case occurred on 8 June 1907, when an African servant was accused of sexually assaulting a six-year-old European girl, resulting in widespread public outrage. Similar allegations in March and May 1920 attracted media attention, yet none resulted in convictions. Despite their rarity, these incidents were sensationalised by the press and settler communities, culminating in the 1926 law that imposed the death penalty for rapes of European women by African men. These isolated cases were leveraged for political and ideological purposes, leading to colonial policies that were disproportionate to the actual threat (Anderson, 2010).</w:t>
      </w:r>
      <w:r w:rsidR="006B674C" w:rsidRPr="00485477">
        <w:rPr>
          <w:rFonts w:ascii="Calibri" w:eastAsia="Times New Roman" w:hAnsi="Calibri" w:cs="Calibri"/>
          <w:color w:val="000000" w:themeColor="text1"/>
          <w:kern w:val="0"/>
          <w:lang w:eastAsia="en-GB"/>
          <w14:ligatures w14:val="none"/>
        </w:rPr>
        <w:t xml:space="preserve"> </w:t>
      </w:r>
      <w:r w:rsidRPr="00485477">
        <w:rPr>
          <w:rFonts w:ascii="Calibri" w:eastAsia="Times New Roman" w:hAnsi="Calibri" w:cs="Calibri"/>
          <w:color w:val="000000" w:themeColor="text1"/>
          <w:kern w:val="0"/>
          <w:lang w:eastAsia="en-GB"/>
          <w14:ligatures w14:val="none"/>
        </w:rPr>
        <w:t xml:space="preserve">The establishment and activities of the East African Women’s League in response to isolated assault allegations illustrate how settler anxieties were channelled into organised action. Rather than addressing genuine threats, the League’s advocacy for stricter laws and increased surveillance served to dramatise the perceived vulnerability of white women, reinforcing the belief that colonial authority and racial hierarchy were under siege, even when evidence did not support such claims. These initiatives were motivated by fears of sexual violence as well as broader concerns about racial boundaries, domestic stability, and settler respectability. Through lobbying, petitions, and public campaigns, the League exerted significant influence on public opinion and played a key role in shaping the 1926 legislation (Anderson, 2010). Although incidents such as the 1926 </w:t>
      </w:r>
      <w:proofErr w:type="spellStart"/>
      <w:r w:rsidRPr="00485477">
        <w:rPr>
          <w:rFonts w:ascii="Calibri" w:eastAsia="Times New Roman" w:hAnsi="Calibri" w:cs="Calibri"/>
          <w:color w:val="000000" w:themeColor="text1"/>
          <w:kern w:val="0"/>
          <w:lang w:eastAsia="en-GB"/>
          <w14:ligatures w14:val="none"/>
        </w:rPr>
        <w:t>Ulyate</w:t>
      </w:r>
      <w:proofErr w:type="spellEnd"/>
      <w:r w:rsidRPr="00485477">
        <w:rPr>
          <w:rFonts w:ascii="Calibri" w:eastAsia="Times New Roman" w:hAnsi="Calibri" w:cs="Calibri"/>
          <w:color w:val="000000" w:themeColor="text1"/>
          <w:kern w:val="0"/>
          <w:lang w:eastAsia="en-GB"/>
          <w14:ligatures w14:val="none"/>
        </w:rPr>
        <w:t xml:space="preserve"> assault and the 1928 </w:t>
      </w:r>
      <w:r w:rsidRPr="00485477">
        <w:rPr>
          <w:rFonts w:ascii="Calibri" w:eastAsia="Times New Roman" w:hAnsi="Calibri" w:cs="Calibri"/>
          <w:color w:val="000000" w:themeColor="text1"/>
          <w:kern w:val="0"/>
          <w:lang w:eastAsia="en-GB"/>
          <w14:ligatures w14:val="none"/>
        </w:rPr>
        <w:lastRenderedPageBreak/>
        <w:t xml:space="preserve">execution of </w:t>
      </w:r>
      <w:proofErr w:type="spellStart"/>
      <w:r w:rsidRPr="00485477">
        <w:rPr>
          <w:rFonts w:ascii="Calibri" w:eastAsia="Times New Roman" w:hAnsi="Calibri" w:cs="Calibri"/>
          <w:color w:val="000000" w:themeColor="text1"/>
          <w:kern w:val="0"/>
          <w:lang w:eastAsia="en-GB"/>
          <w14:ligatures w14:val="none"/>
        </w:rPr>
        <w:t>Nyaduong</w:t>
      </w:r>
      <w:proofErr w:type="spellEnd"/>
      <w:r w:rsidRPr="00485477">
        <w:rPr>
          <w:rFonts w:ascii="Calibri" w:eastAsia="Times New Roman" w:hAnsi="Calibri" w:cs="Calibri"/>
          <w:color w:val="000000" w:themeColor="text1"/>
          <w:kern w:val="0"/>
          <w:lang w:eastAsia="en-GB"/>
          <w14:ligatures w14:val="none"/>
        </w:rPr>
        <w:t xml:space="preserve"> Owori demonstrate that attacks on European women did occur, these cases were exceptional. Their rarity, combined with prevailing settler anxieties, amplified their perceived significance. Even minor infractions were met with severe punishments, reflecting the heightened sensitivities of the settler community. The combination of a small, transient settler population dependent on African labour, urbanisation, and limited governance experience intensified these fears. Moral panic, fuelled by the press and organisations like the East African Women’s League, exaggerated both real and imagined threats, resulting in a social perception of danger that far exceeded actual statistics (Anderson, 2010).</w:t>
      </w:r>
      <w:r w:rsidR="0023560B" w:rsidRPr="00485477">
        <w:rPr>
          <w:rFonts w:ascii="Calibri" w:eastAsia="Times New Roman" w:hAnsi="Calibri" w:cs="Calibri"/>
          <w:color w:val="000000" w:themeColor="text1"/>
          <w:kern w:val="0"/>
          <w:lang w:eastAsia="en-GB"/>
          <w14:ligatures w14:val="none"/>
        </w:rPr>
        <w:t xml:space="preserve"> </w:t>
      </w:r>
      <w:r w:rsidR="0021600A" w:rsidRPr="00485477">
        <w:rPr>
          <w:rFonts w:ascii="Calibri" w:eastAsia="Times New Roman" w:hAnsi="Calibri" w:cs="Calibri"/>
          <w:color w:val="000000" w:themeColor="text1"/>
          <w:kern w:val="0"/>
          <w:lang w:eastAsia="en-GB"/>
          <w14:ligatures w14:val="none"/>
        </w:rPr>
        <w:t xml:space="preserve">Hazan (2023) situates the 1927 Immorality Act within this context, observing that prosecutions seldom involved white women. For example, in 1929, of 107 convictions, 98 pertained to relationships between white men and </w:t>
      </w:r>
      <w:r w:rsidR="00485477" w:rsidRPr="00485477">
        <w:rPr>
          <w:rFonts w:ascii="Calibri" w:eastAsia="Times New Roman" w:hAnsi="Calibri" w:cs="Calibri"/>
          <w:color w:val="000000" w:themeColor="text1"/>
          <w:kern w:val="0"/>
          <w:lang w:eastAsia="en-GB"/>
          <w14:ligatures w14:val="none"/>
        </w:rPr>
        <w:t>b</w:t>
      </w:r>
      <w:r w:rsidR="0021600A" w:rsidRPr="00485477">
        <w:rPr>
          <w:rFonts w:ascii="Calibri" w:eastAsia="Times New Roman" w:hAnsi="Calibri" w:cs="Calibri"/>
          <w:color w:val="000000" w:themeColor="text1"/>
          <w:kern w:val="0"/>
          <w:lang w:eastAsia="en-GB"/>
          <w14:ligatures w14:val="none"/>
        </w:rPr>
        <w:t xml:space="preserve">lack women, while only nine involved </w:t>
      </w:r>
      <w:r w:rsidR="00016995" w:rsidRPr="00485477">
        <w:rPr>
          <w:rFonts w:ascii="Calibri" w:eastAsia="Times New Roman" w:hAnsi="Calibri" w:cs="Calibri"/>
          <w:color w:val="000000" w:themeColor="text1"/>
          <w:kern w:val="0"/>
          <w:lang w:eastAsia="en-GB"/>
          <w14:ligatures w14:val="none"/>
        </w:rPr>
        <w:t>b</w:t>
      </w:r>
      <w:r w:rsidR="0021600A" w:rsidRPr="00485477">
        <w:rPr>
          <w:rFonts w:ascii="Calibri" w:eastAsia="Times New Roman" w:hAnsi="Calibri" w:cs="Calibri"/>
          <w:color w:val="000000" w:themeColor="text1"/>
          <w:kern w:val="0"/>
          <w:lang w:eastAsia="en-GB"/>
          <w14:ligatures w14:val="none"/>
        </w:rPr>
        <w:t xml:space="preserve">lack men and white women. This disparity underscores that the concept of the </w:t>
      </w:r>
      <w:r w:rsidR="00016995" w:rsidRPr="00485477">
        <w:rPr>
          <w:rFonts w:ascii="Calibri" w:eastAsia="Times New Roman" w:hAnsi="Calibri" w:cs="Calibri"/>
          <w:color w:val="000000" w:themeColor="text1"/>
          <w:kern w:val="0"/>
          <w:lang w:eastAsia="en-GB"/>
          <w14:ligatures w14:val="none"/>
        </w:rPr>
        <w:t>b</w:t>
      </w:r>
      <w:r w:rsidR="0021600A" w:rsidRPr="00485477">
        <w:rPr>
          <w:rFonts w:ascii="Calibri" w:eastAsia="Times New Roman" w:hAnsi="Calibri" w:cs="Calibri"/>
          <w:color w:val="000000" w:themeColor="text1"/>
          <w:kern w:val="0"/>
          <w:lang w:eastAsia="en-GB"/>
          <w14:ligatures w14:val="none"/>
        </w:rPr>
        <w:t xml:space="preserve">lack </w:t>
      </w:r>
      <w:r w:rsidR="00016995" w:rsidRPr="00485477">
        <w:rPr>
          <w:rFonts w:ascii="Calibri" w:eastAsia="Times New Roman" w:hAnsi="Calibri" w:cs="Calibri"/>
          <w:color w:val="000000" w:themeColor="text1"/>
          <w:kern w:val="0"/>
          <w:lang w:eastAsia="en-GB"/>
          <w14:ligatures w14:val="none"/>
        </w:rPr>
        <w:t>peril</w:t>
      </w:r>
      <w:r w:rsidR="0021600A" w:rsidRPr="00485477">
        <w:rPr>
          <w:rFonts w:ascii="Calibri" w:eastAsia="Times New Roman" w:hAnsi="Calibri" w:cs="Calibri"/>
          <w:color w:val="000000" w:themeColor="text1"/>
          <w:kern w:val="0"/>
          <w:lang w:eastAsia="en-GB"/>
          <w14:ligatures w14:val="none"/>
        </w:rPr>
        <w:t xml:space="preserve"> primarily functioned as a social construct, reflecting settler anxieties perpetuated by sensationalist media, literature, and political discourse (Cornwell, 1996). Anderson (2010) contrasts the low incidence of reported sexual assaults in Kenya with higher figures in Southern Rhodesia, where towns such as Salisbury and Bulawayo recorded dozens of cases during the same period. Nevertheless, even in Rhodesia, the panic outstripped the available evidence, with exceptional cases being used to justify sweeping policy changes. Slater (2019) offers a framework for interpreting these panics, arguing that settler anxieties were </w:t>
      </w:r>
      <w:r w:rsidR="006B674C" w:rsidRPr="00485477">
        <w:rPr>
          <w:rFonts w:ascii="Calibri" w:eastAsia="Times New Roman" w:hAnsi="Calibri" w:cs="Calibri"/>
          <w:color w:val="000000" w:themeColor="text1"/>
          <w:kern w:val="0"/>
          <w:lang w:eastAsia="en-GB"/>
          <w14:ligatures w14:val="none"/>
        </w:rPr>
        <w:t>primari</w:t>
      </w:r>
      <w:r w:rsidR="0021600A" w:rsidRPr="00485477">
        <w:rPr>
          <w:rFonts w:ascii="Calibri" w:eastAsia="Times New Roman" w:hAnsi="Calibri" w:cs="Calibri"/>
          <w:color w:val="000000" w:themeColor="text1"/>
          <w:kern w:val="0"/>
          <w:lang w:eastAsia="en-GB"/>
          <w14:ligatures w14:val="none"/>
        </w:rPr>
        <w:t xml:space="preserve">ly driven by collective concerns about the political and cultural differences of marginalised groups, rather than by immediate violence. From this perspective, </w:t>
      </w:r>
      <w:r w:rsidR="00016995" w:rsidRPr="00485477">
        <w:rPr>
          <w:rFonts w:ascii="Calibri" w:eastAsia="Times New Roman" w:hAnsi="Calibri" w:cs="Calibri"/>
          <w:color w:val="000000" w:themeColor="text1"/>
          <w:kern w:val="0"/>
          <w:lang w:eastAsia="en-GB"/>
          <w14:ligatures w14:val="none"/>
        </w:rPr>
        <w:t>b</w:t>
      </w:r>
      <w:r w:rsidR="0021600A" w:rsidRPr="00485477">
        <w:rPr>
          <w:rFonts w:ascii="Calibri" w:eastAsia="Times New Roman" w:hAnsi="Calibri" w:cs="Calibri"/>
          <w:color w:val="000000" w:themeColor="text1"/>
          <w:kern w:val="0"/>
          <w:lang w:eastAsia="en-GB"/>
          <w14:ligatures w14:val="none"/>
        </w:rPr>
        <w:t xml:space="preserve">lack </w:t>
      </w:r>
      <w:r w:rsidR="00016995" w:rsidRPr="00485477">
        <w:rPr>
          <w:rFonts w:ascii="Calibri" w:eastAsia="Times New Roman" w:hAnsi="Calibri" w:cs="Calibri"/>
          <w:color w:val="000000" w:themeColor="text1"/>
          <w:kern w:val="0"/>
          <w:lang w:eastAsia="en-GB"/>
          <w14:ligatures w14:val="none"/>
        </w:rPr>
        <w:t>p</w:t>
      </w:r>
      <w:r w:rsidR="0021600A" w:rsidRPr="00485477">
        <w:rPr>
          <w:rFonts w:ascii="Calibri" w:eastAsia="Times New Roman" w:hAnsi="Calibri" w:cs="Calibri"/>
          <w:color w:val="000000" w:themeColor="text1"/>
          <w:kern w:val="0"/>
          <w:lang w:eastAsia="en-GB"/>
          <w14:ligatures w14:val="none"/>
        </w:rPr>
        <w:t xml:space="preserve">eril panics represented efforts to suppress perceived threats to settler authority. These exaggerated fears often resulted in legislative excesses and punitive measures targeting </w:t>
      </w:r>
      <w:r w:rsidR="00016995" w:rsidRPr="00485477">
        <w:rPr>
          <w:rFonts w:ascii="Calibri" w:eastAsia="Times New Roman" w:hAnsi="Calibri" w:cs="Calibri"/>
          <w:color w:val="000000" w:themeColor="text1"/>
          <w:kern w:val="0"/>
          <w:lang w:eastAsia="en-GB"/>
          <w14:ligatures w14:val="none"/>
        </w:rPr>
        <w:t>b</w:t>
      </w:r>
      <w:r w:rsidR="0021600A" w:rsidRPr="00485477">
        <w:rPr>
          <w:rFonts w:ascii="Calibri" w:eastAsia="Times New Roman" w:hAnsi="Calibri" w:cs="Calibri"/>
          <w:color w:val="000000" w:themeColor="text1"/>
          <w:kern w:val="0"/>
          <w:lang w:eastAsia="en-GB"/>
          <w14:ligatures w14:val="none"/>
        </w:rPr>
        <w:t>lack communities, thereby reinforcing colonial dominance and legitimising exclusionary policies without addressing genuine security issues.</w:t>
      </w:r>
    </w:p>
    <w:p w14:paraId="3CA75605" w14:textId="77777777" w:rsidR="0021600A" w:rsidRPr="00485477" w:rsidRDefault="0021600A" w:rsidP="00485477">
      <w:pPr>
        <w:pStyle w:val="NormalWeb"/>
        <w:spacing w:before="0" w:beforeAutospacing="0" w:after="0" w:afterAutospacing="0" w:line="360" w:lineRule="auto"/>
        <w:rPr>
          <w:rFonts w:ascii="Calibri" w:hAnsi="Calibri" w:cs="Calibri"/>
          <w:b/>
          <w:bCs/>
          <w:color w:val="000000" w:themeColor="text1"/>
        </w:rPr>
      </w:pPr>
    </w:p>
    <w:p w14:paraId="7F0FC56C" w14:textId="53D8C8F2" w:rsidR="009D422D" w:rsidRPr="00485477" w:rsidRDefault="0021600A" w:rsidP="00485477">
      <w:pPr>
        <w:spacing w:after="0" w:line="360" w:lineRule="auto"/>
        <w:rPr>
          <w:rFonts w:ascii="Calibri" w:eastAsia="Times New Roman" w:hAnsi="Calibri" w:cs="Calibri"/>
          <w:color w:val="000000" w:themeColor="text1"/>
          <w:kern w:val="0"/>
          <w:lang w:eastAsia="en-GB"/>
          <w14:ligatures w14:val="none"/>
        </w:rPr>
      </w:pPr>
      <w:r w:rsidRPr="00485477">
        <w:rPr>
          <w:rFonts w:ascii="Calibri" w:eastAsia="Times New Roman" w:hAnsi="Calibri" w:cs="Calibri"/>
          <w:color w:val="000000" w:themeColor="text1"/>
          <w:kern w:val="0"/>
          <w:lang w:eastAsia="en-GB"/>
          <w14:ligatures w14:val="none"/>
        </w:rPr>
        <w:t xml:space="preserve">Fears of </w:t>
      </w:r>
      <w:r w:rsidR="00016995" w:rsidRPr="00485477">
        <w:rPr>
          <w:rFonts w:ascii="Calibri" w:eastAsia="Times New Roman" w:hAnsi="Calibri" w:cs="Calibri"/>
          <w:color w:val="000000" w:themeColor="text1"/>
          <w:kern w:val="0"/>
          <w:lang w:eastAsia="en-GB"/>
          <w14:ligatures w14:val="none"/>
        </w:rPr>
        <w:t>b</w:t>
      </w:r>
      <w:r w:rsidRPr="00485477">
        <w:rPr>
          <w:rFonts w:ascii="Calibri" w:eastAsia="Times New Roman" w:hAnsi="Calibri" w:cs="Calibri"/>
          <w:color w:val="000000" w:themeColor="text1"/>
          <w:kern w:val="0"/>
          <w:lang w:eastAsia="en-GB"/>
          <w14:ligatures w14:val="none"/>
        </w:rPr>
        <w:t>lack men sexually assaulting white women were not exclusive to Africa; similar anxieties emerged in the southern United States during the late 1860s and in Papua in the 1920s. However, the South African context was distinct due to the prolonged duration</w:t>
      </w:r>
      <w:r w:rsidR="00016995" w:rsidRPr="00485477">
        <w:rPr>
          <w:rFonts w:ascii="Calibri" w:eastAsia="Times New Roman" w:hAnsi="Calibri" w:cs="Calibri"/>
          <w:color w:val="000000" w:themeColor="text1"/>
          <w:kern w:val="0"/>
          <w:lang w:eastAsia="en-GB"/>
          <w14:ligatures w14:val="none"/>
        </w:rPr>
        <w:t xml:space="preserve">, </w:t>
      </w:r>
      <w:r w:rsidRPr="00485477">
        <w:rPr>
          <w:rFonts w:ascii="Calibri" w:eastAsia="Times New Roman" w:hAnsi="Calibri" w:cs="Calibri"/>
          <w:color w:val="000000" w:themeColor="text1"/>
          <w:kern w:val="0"/>
          <w:lang w:eastAsia="en-GB"/>
          <w14:ligatures w14:val="none"/>
        </w:rPr>
        <w:t>approximately forty years</w:t>
      </w:r>
      <w:r w:rsidR="00016995" w:rsidRPr="00485477">
        <w:rPr>
          <w:rFonts w:ascii="Calibri" w:eastAsia="Times New Roman" w:hAnsi="Calibri" w:cs="Calibri"/>
          <w:color w:val="000000" w:themeColor="text1"/>
          <w:kern w:val="0"/>
          <w:lang w:eastAsia="en-GB"/>
          <w14:ligatures w14:val="none"/>
        </w:rPr>
        <w:t xml:space="preserve">, </w:t>
      </w:r>
      <w:r w:rsidRPr="00485477">
        <w:rPr>
          <w:rFonts w:ascii="Calibri" w:eastAsia="Times New Roman" w:hAnsi="Calibri" w:cs="Calibri"/>
          <w:color w:val="000000" w:themeColor="text1"/>
          <w:kern w:val="0"/>
          <w:lang w:eastAsia="en-GB"/>
          <w14:ligatures w14:val="none"/>
        </w:rPr>
        <w:t xml:space="preserve">and the lasting political consequences of these fears (Cornwell, 1996). Recurrent </w:t>
      </w:r>
      <w:r w:rsidR="00016995" w:rsidRPr="00485477">
        <w:rPr>
          <w:rFonts w:ascii="Calibri" w:eastAsia="Times New Roman" w:hAnsi="Calibri" w:cs="Calibri"/>
          <w:color w:val="000000" w:themeColor="text1"/>
          <w:kern w:val="0"/>
          <w:lang w:eastAsia="en-GB"/>
          <w14:ligatures w14:val="none"/>
        </w:rPr>
        <w:t>b</w:t>
      </w:r>
      <w:r w:rsidRPr="00485477">
        <w:rPr>
          <w:rFonts w:ascii="Calibri" w:eastAsia="Times New Roman" w:hAnsi="Calibri" w:cs="Calibri"/>
          <w:color w:val="000000" w:themeColor="text1"/>
          <w:kern w:val="0"/>
          <w:lang w:eastAsia="en-GB"/>
          <w14:ligatures w14:val="none"/>
        </w:rPr>
        <w:t xml:space="preserve">lack </w:t>
      </w:r>
      <w:r w:rsidR="00016995" w:rsidRPr="00485477">
        <w:rPr>
          <w:rFonts w:ascii="Calibri" w:eastAsia="Times New Roman" w:hAnsi="Calibri" w:cs="Calibri"/>
          <w:color w:val="000000" w:themeColor="text1"/>
          <w:kern w:val="0"/>
          <w:lang w:eastAsia="en-GB"/>
          <w14:ligatures w14:val="none"/>
        </w:rPr>
        <w:t>peril</w:t>
      </w:r>
      <w:r w:rsidRPr="00485477">
        <w:rPr>
          <w:rFonts w:ascii="Calibri" w:eastAsia="Times New Roman" w:hAnsi="Calibri" w:cs="Calibri"/>
          <w:color w:val="000000" w:themeColor="text1"/>
          <w:kern w:val="0"/>
          <w:lang w:eastAsia="en-GB"/>
          <w14:ligatures w14:val="none"/>
        </w:rPr>
        <w:t xml:space="preserve"> panics in early twentieth-century South Africa frequently </w:t>
      </w:r>
      <w:r w:rsidRPr="00485477">
        <w:rPr>
          <w:rFonts w:ascii="Calibri" w:eastAsia="Times New Roman" w:hAnsi="Calibri" w:cs="Calibri"/>
          <w:color w:val="000000" w:themeColor="text1"/>
          <w:kern w:val="0"/>
          <w:lang w:eastAsia="en-GB"/>
          <w14:ligatures w14:val="none"/>
        </w:rPr>
        <w:lastRenderedPageBreak/>
        <w:t xml:space="preserve">involved exaggerated or baseless fears of interracial sex. These episodes typically arose during periods of post-war upheaval and political unrest, serving symbolically to defend white women and reinforce racial hierarchies. Following the Anglo-Boer War, colonies such as the Cape, Natal, Transvaal, and Orange Free State experienced moral panics related to prostitution and racial mixing. The increase in white prostitutes and impoverished rural women working with soldiers heightened concerns about morality, prompting new legislation targeting immorality across the colonies. These laws were primarily intended to protect white prestige rather than to prevent miscegenation, as official statistics later revealed that claims of increasing sexual assaults by </w:t>
      </w:r>
      <w:r w:rsidR="00016995" w:rsidRPr="00485477">
        <w:rPr>
          <w:rFonts w:ascii="Calibri" w:eastAsia="Times New Roman" w:hAnsi="Calibri" w:cs="Calibri"/>
          <w:color w:val="000000" w:themeColor="text1"/>
          <w:kern w:val="0"/>
          <w:lang w:eastAsia="en-GB"/>
          <w14:ligatures w14:val="none"/>
        </w:rPr>
        <w:t>b</w:t>
      </w:r>
      <w:r w:rsidRPr="00485477">
        <w:rPr>
          <w:rFonts w:ascii="Calibri" w:eastAsia="Times New Roman" w:hAnsi="Calibri" w:cs="Calibri"/>
          <w:color w:val="000000" w:themeColor="text1"/>
          <w:kern w:val="0"/>
          <w:lang w:eastAsia="en-GB"/>
          <w14:ligatures w14:val="none"/>
        </w:rPr>
        <w:t xml:space="preserve">lack men were unfounded (Cornwell, 1996). A subsequent panic from 1906 to 1908, particularly in Natal after the </w:t>
      </w:r>
      <w:proofErr w:type="spellStart"/>
      <w:r w:rsidRPr="00485477">
        <w:rPr>
          <w:rFonts w:ascii="Calibri" w:eastAsia="Times New Roman" w:hAnsi="Calibri" w:cs="Calibri"/>
          <w:color w:val="000000" w:themeColor="text1"/>
          <w:kern w:val="0"/>
          <w:lang w:eastAsia="en-GB"/>
          <w14:ligatures w14:val="none"/>
        </w:rPr>
        <w:t>Bambata</w:t>
      </w:r>
      <w:proofErr w:type="spellEnd"/>
      <w:r w:rsidRPr="00485477">
        <w:rPr>
          <w:rFonts w:ascii="Calibri" w:eastAsia="Times New Roman" w:hAnsi="Calibri" w:cs="Calibri"/>
          <w:color w:val="000000" w:themeColor="text1"/>
          <w:kern w:val="0"/>
          <w:lang w:eastAsia="en-GB"/>
          <w14:ligatures w14:val="none"/>
        </w:rPr>
        <w:t xml:space="preserve"> Rebellion, linked interracial sexual relations to fears of social disorder. This reflected white settler concerns about social control rather than actual increases in sexual violence, thereby reinforcing racial hierarchy during periods of instability (Cornwell, 1996). The 1911–1912 panic, especially in the Witwatersrand, resulted in public outrage and investigations into alleged cases. Despite official inquiries, these fears </w:t>
      </w:r>
      <w:r w:rsidR="006B674C" w:rsidRPr="00485477">
        <w:rPr>
          <w:rFonts w:ascii="Calibri" w:eastAsia="Times New Roman" w:hAnsi="Calibri" w:cs="Calibri"/>
          <w:color w:val="000000" w:themeColor="text1"/>
          <w:kern w:val="0"/>
          <w:lang w:eastAsia="en-GB"/>
          <w14:ligatures w14:val="none"/>
        </w:rPr>
        <w:t>lacked</w:t>
      </w:r>
      <w:r w:rsidRPr="00485477">
        <w:rPr>
          <w:rFonts w:ascii="Calibri" w:eastAsia="Times New Roman" w:hAnsi="Calibri" w:cs="Calibri"/>
          <w:color w:val="000000" w:themeColor="text1"/>
          <w:kern w:val="0"/>
          <w:lang w:eastAsia="en-GB"/>
          <w14:ligatures w14:val="none"/>
        </w:rPr>
        <w:t xml:space="preserve"> evidence and were driven by irrational anxieties. Throughout these episodes, fears were cyclical, often triggered by social and economic upheaval, and were justified by settler concerns about sexual competition and the maintenance of white dominance (Cornwell, 1996).</w:t>
      </w:r>
    </w:p>
    <w:p w14:paraId="302CAAD6" w14:textId="39D31AEA" w:rsidR="009D422D" w:rsidRPr="00485477" w:rsidRDefault="00CC2AA0" w:rsidP="00485477">
      <w:pPr>
        <w:spacing w:after="0" w:line="360" w:lineRule="auto"/>
        <w:rPr>
          <w:rFonts w:ascii="Calibri" w:eastAsia="Times New Roman" w:hAnsi="Calibri" w:cs="Calibri"/>
          <w:color w:val="000000" w:themeColor="text1"/>
          <w:kern w:val="0"/>
          <w:lang w:eastAsia="en-GB"/>
          <w14:ligatures w14:val="none"/>
        </w:rPr>
      </w:pPr>
      <w:r w:rsidRPr="00485477">
        <w:rPr>
          <w:rFonts w:ascii="Calibri" w:hAnsi="Calibri" w:cs="Calibri"/>
          <w:color w:val="000000" w:themeColor="text1"/>
        </w:rPr>
        <w:br/>
      </w:r>
      <w:r w:rsidR="009D422D" w:rsidRPr="00485477">
        <w:rPr>
          <w:rFonts w:ascii="Calibri" w:hAnsi="Calibri" w:cs="Calibri"/>
          <w:color w:val="000000" w:themeColor="text1"/>
        </w:rPr>
        <w:t xml:space="preserve">Evidence from South Africa, Kenya, and Rhodesia demonstrates that </w:t>
      </w:r>
      <w:r w:rsidR="00016995" w:rsidRPr="00485477">
        <w:rPr>
          <w:rFonts w:ascii="Calibri" w:hAnsi="Calibri" w:cs="Calibri"/>
          <w:color w:val="000000" w:themeColor="text1"/>
        </w:rPr>
        <w:t>b</w:t>
      </w:r>
      <w:r w:rsidR="009D422D" w:rsidRPr="00485477">
        <w:rPr>
          <w:rFonts w:ascii="Calibri" w:hAnsi="Calibri" w:cs="Calibri"/>
          <w:color w:val="000000" w:themeColor="text1"/>
        </w:rPr>
        <w:t xml:space="preserve">lack </w:t>
      </w:r>
      <w:r w:rsidR="00016995" w:rsidRPr="00485477">
        <w:rPr>
          <w:rFonts w:ascii="Calibri" w:hAnsi="Calibri" w:cs="Calibri"/>
          <w:color w:val="000000" w:themeColor="text1"/>
        </w:rPr>
        <w:t>p</w:t>
      </w:r>
      <w:r w:rsidR="009D422D" w:rsidRPr="00485477">
        <w:rPr>
          <w:rFonts w:ascii="Calibri" w:hAnsi="Calibri" w:cs="Calibri"/>
          <w:color w:val="000000" w:themeColor="text1"/>
        </w:rPr>
        <w:t>eril</w:t>
      </w:r>
      <w:r w:rsidR="005959FB" w:rsidRPr="00485477">
        <w:rPr>
          <w:rFonts w:ascii="Calibri" w:hAnsi="Calibri" w:cs="Calibri"/>
          <w:color w:val="000000" w:themeColor="text1"/>
        </w:rPr>
        <w:t xml:space="preserve"> </w:t>
      </w:r>
      <w:r w:rsidR="009D422D" w:rsidRPr="00485477">
        <w:rPr>
          <w:rFonts w:ascii="Calibri" w:hAnsi="Calibri" w:cs="Calibri"/>
          <w:color w:val="000000" w:themeColor="text1"/>
        </w:rPr>
        <w:t xml:space="preserve">scares were primarily driven by colonial anxieties about race, gender, and social order, rather than by the realities of sexual violence. Although a few high-profile assaults did occur, their rarity and the sensationalised public reaction reveal a striking gap between perception and actual threat. Harsh legal measures, such as Kenya’s 1926 death penalty law for the rape of European women, along with repeated legislative interventions in South Africa and Rhodesia, were motivated less by crime rates than by the imperative to uphold white supremacy. Media sensationalism and organisations like the East African Women’s League amplified isolated incidents, generating moral panics that reinforced racial hierarchies and legitimised segregation. The lack of comparable concern for violence against African women further underscores the racialised logic underpinning settler anxieties. These recurring panics functioned as instruments of colonial control, shaping both policy and social norms. </w:t>
      </w:r>
      <w:r w:rsidR="009D422D" w:rsidRPr="00485477">
        <w:rPr>
          <w:rFonts w:ascii="Calibri" w:hAnsi="Calibri" w:cs="Calibri"/>
          <w:color w:val="000000" w:themeColor="text1"/>
        </w:rPr>
        <w:lastRenderedPageBreak/>
        <w:t xml:space="preserve">They reveal how fears of racial and gendered transgression were mobilised to maintain power, offering critical insight into the enduring legacies of hierarchy and moral panic in postcolonial societies. The </w:t>
      </w:r>
      <w:r w:rsidR="00016995" w:rsidRPr="00485477">
        <w:rPr>
          <w:rFonts w:ascii="Calibri" w:hAnsi="Calibri" w:cs="Calibri"/>
          <w:color w:val="000000" w:themeColor="text1"/>
        </w:rPr>
        <w:t>b</w:t>
      </w:r>
      <w:r w:rsidR="009D422D" w:rsidRPr="00485477">
        <w:rPr>
          <w:rFonts w:ascii="Calibri" w:hAnsi="Calibri" w:cs="Calibri"/>
          <w:color w:val="000000" w:themeColor="text1"/>
        </w:rPr>
        <w:t xml:space="preserve">lack </w:t>
      </w:r>
      <w:r w:rsidR="00016995" w:rsidRPr="00485477">
        <w:rPr>
          <w:rFonts w:ascii="Calibri" w:hAnsi="Calibri" w:cs="Calibri"/>
          <w:color w:val="000000" w:themeColor="text1"/>
        </w:rPr>
        <w:t>peril</w:t>
      </w:r>
      <w:r w:rsidR="00485477" w:rsidRPr="00485477">
        <w:rPr>
          <w:rFonts w:ascii="Calibri" w:hAnsi="Calibri" w:cs="Calibri"/>
          <w:color w:val="000000" w:themeColor="text1"/>
        </w:rPr>
        <w:t xml:space="preserve"> </w:t>
      </w:r>
      <w:r w:rsidR="009D422D" w:rsidRPr="00485477">
        <w:rPr>
          <w:rFonts w:ascii="Calibri" w:hAnsi="Calibri" w:cs="Calibri"/>
          <w:color w:val="000000" w:themeColor="text1"/>
        </w:rPr>
        <w:t>was never merely about sexual violence; it was a mechanism for maintaining colonial authority and policing social boundaries. Understanding these historical patterns is crucial, as the legacies of such racialised and gendered anxieties continue to influence contemporary attitudes toward sexual violence, social control, and minority groups. Recognising the constructed nature of these past panics can inform more critical approaches to ongoing debates about gender, race, and power.</w:t>
      </w:r>
    </w:p>
    <w:p w14:paraId="64B4B113" w14:textId="3CA29D66" w:rsidR="0023560B" w:rsidRPr="00485477" w:rsidRDefault="0023560B" w:rsidP="00485477">
      <w:pPr>
        <w:spacing w:line="360" w:lineRule="auto"/>
        <w:rPr>
          <w:rFonts w:ascii="Calibri" w:eastAsia="Times New Roman" w:hAnsi="Calibri" w:cs="Calibri"/>
          <w:color w:val="000000" w:themeColor="text1"/>
          <w:kern w:val="0"/>
          <w:lang w:eastAsia="en-GB"/>
          <w14:ligatures w14:val="none"/>
        </w:rPr>
      </w:pPr>
    </w:p>
    <w:p w14:paraId="49828E67" w14:textId="77777777" w:rsidR="009D422D" w:rsidRPr="0023560B" w:rsidRDefault="009D422D" w:rsidP="0023560B">
      <w:pPr>
        <w:rPr>
          <w:rFonts w:ascii="Calibri" w:eastAsia="Times New Roman" w:hAnsi="Calibri" w:cs="Calibri"/>
          <w:kern w:val="0"/>
          <w:lang w:eastAsia="en-GB"/>
          <w14:ligatures w14:val="none"/>
        </w:rPr>
      </w:pPr>
    </w:p>
    <w:p w14:paraId="2C915A31" w14:textId="02FA0C55" w:rsidR="0021600A" w:rsidRDefault="0021600A" w:rsidP="006B674C">
      <w:pPr>
        <w:spacing w:after="0" w:line="240" w:lineRule="auto"/>
        <w:rPr>
          <w:rFonts w:ascii="Calibri" w:eastAsia="Times New Roman" w:hAnsi="Calibri" w:cs="Calibri"/>
          <w:kern w:val="0"/>
          <w:lang w:eastAsia="en-GB"/>
          <w14:ligatures w14:val="none"/>
        </w:rPr>
      </w:pPr>
    </w:p>
    <w:p w14:paraId="292EA0C5" w14:textId="77777777" w:rsidR="009D422D" w:rsidRDefault="009D422D" w:rsidP="006B674C">
      <w:pPr>
        <w:spacing w:after="0" w:line="240" w:lineRule="auto"/>
        <w:rPr>
          <w:rFonts w:ascii="Calibri" w:eastAsia="Times New Roman" w:hAnsi="Calibri" w:cs="Calibri"/>
          <w:kern w:val="0"/>
          <w:lang w:eastAsia="en-GB"/>
          <w14:ligatures w14:val="none"/>
        </w:rPr>
      </w:pPr>
    </w:p>
    <w:p w14:paraId="0935D514" w14:textId="77777777" w:rsidR="009D422D" w:rsidRDefault="009D422D" w:rsidP="006B674C">
      <w:pPr>
        <w:spacing w:after="0" w:line="240" w:lineRule="auto"/>
        <w:rPr>
          <w:rFonts w:ascii="Calibri" w:eastAsia="Times New Roman" w:hAnsi="Calibri" w:cs="Calibri"/>
          <w:kern w:val="0"/>
          <w:lang w:eastAsia="en-GB"/>
          <w14:ligatures w14:val="none"/>
        </w:rPr>
      </w:pPr>
    </w:p>
    <w:p w14:paraId="15672F14" w14:textId="77777777" w:rsidR="00485477" w:rsidRDefault="00485477" w:rsidP="006B674C">
      <w:pPr>
        <w:spacing w:after="0" w:line="240" w:lineRule="auto"/>
        <w:rPr>
          <w:rFonts w:ascii="Calibri" w:eastAsia="Times New Roman" w:hAnsi="Calibri" w:cs="Calibri"/>
          <w:kern w:val="0"/>
          <w:lang w:eastAsia="en-GB"/>
          <w14:ligatures w14:val="none"/>
        </w:rPr>
      </w:pPr>
    </w:p>
    <w:p w14:paraId="435CC039" w14:textId="77777777" w:rsidR="00485477" w:rsidRDefault="00485477" w:rsidP="006B674C">
      <w:pPr>
        <w:spacing w:after="0" w:line="240" w:lineRule="auto"/>
        <w:rPr>
          <w:rFonts w:ascii="Calibri" w:eastAsia="Times New Roman" w:hAnsi="Calibri" w:cs="Calibri"/>
          <w:kern w:val="0"/>
          <w:lang w:eastAsia="en-GB"/>
          <w14:ligatures w14:val="none"/>
        </w:rPr>
      </w:pPr>
    </w:p>
    <w:p w14:paraId="63131047" w14:textId="77777777" w:rsidR="00485477" w:rsidRDefault="00485477" w:rsidP="006B674C">
      <w:pPr>
        <w:spacing w:after="0" w:line="240" w:lineRule="auto"/>
        <w:rPr>
          <w:rFonts w:ascii="Calibri" w:eastAsia="Times New Roman" w:hAnsi="Calibri" w:cs="Calibri"/>
          <w:kern w:val="0"/>
          <w:lang w:eastAsia="en-GB"/>
          <w14:ligatures w14:val="none"/>
        </w:rPr>
      </w:pPr>
    </w:p>
    <w:p w14:paraId="7DC03226" w14:textId="77777777" w:rsidR="00485477" w:rsidRDefault="00485477" w:rsidP="006B674C">
      <w:pPr>
        <w:spacing w:after="0" w:line="240" w:lineRule="auto"/>
        <w:rPr>
          <w:rFonts w:ascii="Calibri" w:eastAsia="Times New Roman" w:hAnsi="Calibri" w:cs="Calibri"/>
          <w:kern w:val="0"/>
          <w:lang w:eastAsia="en-GB"/>
          <w14:ligatures w14:val="none"/>
        </w:rPr>
      </w:pPr>
    </w:p>
    <w:p w14:paraId="1E7EB184" w14:textId="77777777" w:rsidR="00485477" w:rsidRDefault="00485477" w:rsidP="006B674C">
      <w:pPr>
        <w:spacing w:after="0" w:line="240" w:lineRule="auto"/>
        <w:rPr>
          <w:rFonts w:ascii="Calibri" w:eastAsia="Times New Roman" w:hAnsi="Calibri" w:cs="Calibri"/>
          <w:kern w:val="0"/>
          <w:lang w:eastAsia="en-GB"/>
          <w14:ligatures w14:val="none"/>
        </w:rPr>
      </w:pPr>
    </w:p>
    <w:p w14:paraId="69541B84" w14:textId="77777777" w:rsidR="00485477" w:rsidRDefault="00485477" w:rsidP="006B674C">
      <w:pPr>
        <w:spacing w:after="0" w:line="240" w:lineRule="auto"/>
        <w:rPr>
          <w:rFonts w:ascii="Calibri" w:eastAsia="Times New Roman" w:hAnsi="Calibri" w:cs="Calibri"/>
          <w:kern w:val="0"/>
          <w:lang w:eastAsia="en-GB"/>
          <w14:ligatures w14:val="none"/>
        </w:rPr>
      </w:pPr>
    </w:p>
    <w:p w14:paraId="3B6C831B" w14:textId="77777777" w:rsidR="00485477" w:rsidRDefault="00485477" w:rsidP="006B674C">
      <w:pPr>
        <w:spacing w:after="0" w:line="240" w:lineRule="auto"/>
        <w:rPr>
          <w:rFonts w:ascii="Calibri" w:eastAsia="Times New Roman" w:hAnsi="Calibri" w:cs="Calibri"/>
          <w:kern w:val="0"/>
          <w:lang w:eastAsia="en-GB"/>
          <w14:ligatures w14:val="none"/>
        </w:rPr>
      </w:pPr>
    </w:p>
    <w:p w14:paraId="257DBF63" w14:textId="77777777" w:rsidR="00485477" w:rsidRDefault="00485477" w:rsidP="006B674C">
      <w:pPr>
        <w:spacing w:after="0" w:line="240" w:lineRule="auto"/>
        <w:rPr>
          <w:rFonts w:ascii="Calibri" w:eastAsia="Times New Roman" w:hAnsi="Calibri" w:cs="Calibri"/>
          <w:kern w:val="0"/>
          <w:lang w:eastAsia="en-GB"/>
          <w14:ligatures w14:val="none"/>
        </w:rPr>
      </w:pPr>
    </w:p>
    <w:p w14:paraId="6225855F" w14:textId="77777777" w:rsidR="00485477" w:rsidRDefault="00485477" w:rsidP="006B674C">
      <w:pPr>
        <w:spacing w:after="0" w:line="240" w:lineRule="auto"/>
        <w:rPr>
          <w:rFonts w:ascii="Calibri" w:eastAsia="Times New Roman" w:hAnsi="Calibri" w:cs="Calibri"/>
          <w:kern w:val="0"/>
          <w:lang w:eastAsia="en-GB"/>
          <w14:ligatures w14:val="none"/>
        </w:rPr>
      </w:pPr>
    </w:p>
    <w:p w14:paraId="29DE8529" w14:textId="77777777" w:rsidR="00485477" w:rsidRDefault="00485477" w:rsidP="006B674C">
      <w:pPr>
        <w:spacing w:after="0" w:line="240" w:lineRule="auto"/>
        <w:rPr>
          <w:rFonts w:ascii="Calibri" w:eastAsia="Times New Roman" w:hAnsi="Calibri" w:cs="Calibri"/>
          <w:kern w:val="0"/>
          <w:lang w:eastAsia="en-GB"/>
          <w14:ligatures w14:val="none"/>
        </w:rPr>
      </w:pPr>
    </w:p>
    <w:p w14:paraId="3C0B5299" w14:textId="77777777" w:rsidR="00485477" w:rsidRDefault="00485477" w:rsidP="006B674C">
      <w:pPr>
        <w:spacing w:after="0" w:line="240" w:lineRule="auto"/>
        <w:rPr>
          <w:rFonts w:ascii="Calibri" w:eastAsia="Times New Roman" w:hAnsi="Calibri" w:cs="Calibri"/>
          <w:kern w:val="0"/>
          <w:lang w:eastAsia="en-GB"/>
          <w14:ligatures w14:val="none"/>
        </w:rPr>
      </w:pPr>
    </w:p>
    <w:p w14:paraId="3BB7542C" w14:textId="77777777" w:rsidR="00485477" w:rsidRDefault="00485477" w:rsidP="006B674C">
      <w:pPr>
        <w:spacing w:after="0" w:line="240" w:lineRule="auto"/>
        <w:rPr>
          <w:rFonts w:ascii="Calibri" w:eastAsia="Times New Roman" w:hAnsi="Calibri" w:cs="Calibri"/>
          <w:kern w:val="0"/>
          <w:lang w:eastAsia="en-GB"/>
          <w14:ligatures w14:val="none"/>
        </w:rPr>
      </w:pPr>
    </w:p>
    <w:p w14:paraId="3BBED08A" w14:textId="77777777" w:rsidR="00485477" w:rsidRDefault="00485477" w:rsidP="006B674C">
      <w:pPr>
        <w:spacing w:after="0" w:line="240" w:lineRule="auto"/>
        <w:rPr>
          <w:rFonts w:ascii="Calibri" w:eastAsia="Times New Roman" w:hAnsi="Calibri" w:cs="Calibri"/>
          <w:kern w:val="0"/>
          <w:lang w:eastAsia="en-GB"/>
          <w14:ligatures w14:val="none"/>
        </w:rPr>
      </w:pPr>
    </w:p>
    <w:p w14:paraId="007CDA9A" w14:textId="77777777" w:rsidR="00485477" w:rsidRDefault="00485477" w:rsidP="006B674C">
      <w:pPr>
        <w:spacing w:after="0" w:line="240" w:lineRule="auto"/>
        <w:rPr>
          <w:rFonts w:ascii="Calibri" w:eastAsia="Times New Roman" w:hAnsi="Calibri" w:cs="Calibri"/>
          <w:kern w:val="0"/>
          <w:lang w:eastAsia="en-GB"/>
          <w14:ligatures w14:val="none"/>
        </w:rPr>
      </w:pPr>
    </w:p>
    <w:p w14:paraId="02503A1B" w14:textId="77777777" w:rsidR="00485477" w:rsidRDefault="00485477" w:rsidP="006B674C">
      <w:pPr>
        <w:spacing w:after="0" w:line="240" w:lineRule="auto"/>
        <w:rPr>
          <w:rFonts w:ascii="Calibri" w:eastAsia="Times New Roman" w:hAnsi="Calibri" w:cs="Calibri"/>
          <w:kern w:val="0"/>
          <w:lang w:eastAsia="en-GB"/>
          <w14:ligatures w14:val="none"/>
        </w:rPr>
      </w:pPr>
    </w:p>
    <w:p w14:paraId="53C3A75C" w14:textId="77777777" w:rsidR="00485477" w:rsidRDefault="00485477" w:rsidP="006B674C">
      <w:pPr>
        <w:spacing w:after="0" w:line="240" w:lineRule="auto"/>
        <w:rPr>
          <w:rFonts w:ascii="Calibri" w:eastAsia="Times New Roman" w:hAnsi="Calibri" w:cs="Calibri"/>
          <w:kern w:val="0"/>
          <w:lang w:eastAsia="en-GB"/>
          <w14:ligatures w14:val="none"/>
        </w:rPr>
      </w:pPr>
    </w:p>
    <w:p w14:paraId="63D5EC0E" w14:textId="77777777" w:rsidR="00485477" w:rsidRDefault="00485477" w:rsidP="006B674C">
      <w:pPr>
        <w:spacing w:after="0" w:line="240" w:lineRule="auto"/>
        <w:rPr>
          <w:rFonts w:ascii="Calibri" w:eastAsia="Times New Roman" w:hAnsi="Calibri" w:cs="Calibri"/>
          <w:kern w:val="0"/>
          <w:lang w:eastAsia="en-GB"/>
          <w14:ligatures w14:val="none"/>
        </w:rPr>
      </w:pPr>
    </w:p>
    <w:p w14:paraId="397F2D8B" w14:textId="77777777" w:rsidR="00485477" w:rsidRDefault="00485477" w:rsidP="006B674C">
      <w:pPr>
        <w:spacing w:after="0" w:line="240" w:lineRule="auto"/>
        <w:rPr>
          <w:rFonts w:ascii="Calibri" w:eastAsia="Times New Roman" w:hAnsi="Calibri" w:cs="Calibri"/>
          <w:kern w:val="0"/>
          <w:lang w:eastAsia="en-GB"/>
          <w14:ligatures w14:val="none"/>
        </w:rPr>
      </w:pPr>
    </w:p>
    <w:p w14:paraId="204EC663" w14:textId="77777777" w:rsidR="00485477" w:rsidRDefault="00485477" w:rsidP="006B674C">
      <w:pPr>
        <w:spacing w:after="0" w:line="240" w:lineRule="auto"/>
        <w:rPr>
          <w:rFonts w:ascii="Calibri" w:eastAsia="Times New Roman" w:hAnsi="Calibri" w:cs="Calibri"/>
          <w:kern w:val="0"/>
          <w:lang w:eastAsia="en-GB"/>
          <w14:ligatures w14:val="none"/>
        </w:rPr>
      </w:pPr>
    </w:p>
    <w:p w14:paraId="7DE62B23" w14:textId="77777777" w:rsidR="00485477" w:rsidRDefault="00485477" w:rsidP="006B674C">
      <w:pPr>
        <w:spacing w:after="0" w:line="240" w:lineRule="auto"/>
        <w:rPr>
          <w:rFonts w:ascii="Calibri" w:eastAsia="Times New Roman" w:hAnsi="Calibri" w:cs="Calibri"/>
          <w:kern w:val="0"/>
          <w:lang w:eastAsia="en-GB"/>
          <w14:ligatures w14:val="none"/>
        </w:rPr>
      </w:pPr>
    </w:p>
    <w:p w14:paraId="7227D450" w14:textId="77777777" w:rsidR="00485477" w:rsidRDefault="00485477" w:rsidP="006B674C">
      <w:pPr>
        <w:spacing w:after="0" w:line="240" w:lineRule="auto"/>
        <w:rPr>
          <w:rFonts w:ascii="Calibri" w:eastAsia="Times New Roman" w:hAnsi="Calibri" w:cs="Calibri"/>
          <w:kern w:val="0"/>
          <w:lang w:eastAsia="en-GB"/>
          <w14:ligatures w14:val="none"/>
        </w:rPr>
      </w:pPr>
    </w:p>
    <w:p w14:paraId="7BBA9D30" w14:textId="77777777" w:rsidR="00485477" w:rsidRDefault="00485477" w:rsidP="006B674C">
      <w:pPr>
        <w:spacing w:after="0" w:line="240" w:lineRule="auto"/>
        <w:rPr>
          <w:rFonts w:ascii="Calibri" w:eastAsia="Times New Roman" w:hAnsi="Calibri" w:cs="Calibri"/>
          <w:kern w:val="0"/>
          <w:lang w:eastAsia="en-GB"/>
          <w14:ligatures w14:val="none"/>
        </w:rPr>
      </w:pPr>
    </w:p>
    <w:p w14:paraId="213B6416" w14:textId="77777777" w:rsidR="00485477" w:rsidRDefault="00485477" w:rsidP="006B674C">
      <w:pPr>
        <w:spacing w:after="0" w:line="240" w:lineRule="auto"/>
        <w:rPr>
          <w:rFonts w:ascii="Calibri" w:eastAsia="Times New Roman" w:hAnsi="Calibri" w:cs="Calibri"/>
          <w:kern w:val="0"/>
          <w:lang w:eastAsia="en-GB"/>
          <w14:ligatures w14:val="none"/>
        </w:rPr>
      </w:pPr>
    </w:p>
    <w:p w14:paraId="106835A5" w14:textId="77777777" w:rsidR="00485477" w:rsidRDefault="00485477" w:rsidP="006B674C">
      <w:pPr>
        <w:spacing w:after="0" w:line="240" w:lineRule="auto"/>
        <w:rPr>
          <w:rFonts w:ascii="Calibri" w:eastAsia="Times New Roman" w:hAnsi="Calibri" w:cs="Calibri"/>
          <w:kern w:val="0"/>
          <w:lang w:eastAsia="en-GB"/>
          <w14:ligatures w14:val="none"/>
        </w:rPr>
      </w:pPr>
    </w:p>
    <w:p w14:paraId="0CB1D4F6" w14:textId="77777777" w:rsidR="00485477" w:rsidRDefault="00485477" w:rsidP="006B674C">
      <w:pPr>
        <w:spacing w:after="0" w:line="240" w:lineRule="auto"/>
        <w:rPr>
          <w:rFonts w:ascii="Calibri" w:eastAsia="Times New Roman" w:hAnsi="Calibri" w:cs="Calibri"/>
          <w:kern w:val="0"/>
          <w:lang w:eastAsia="en-GB"/>
          <w14:ligatures w14:val="none"/>
        </w:rPr>
      </w:pPr>
    </w:p>
    <w:p w14:paraId="512B70AA" w14:textId="77777777" w:rsidR="00485477" w:rsidRDefault="00485477" w:rsidP="006B674C">
      <w:pPr>
        <w:spacing w:after="0" w:line="240" w:lineRule="auto"/>
        <w:rPr>
          <w:rFonts w:ascii="Calibri" w:eastAsia="Times New Roman" w:hAnsi="Calibri" w:cs="Calibri"/>
          <w:kern w:val="0"/>
          <w:lang w:eastAsia="en-GB"/>
          <w14:ligatures w14:val="none"/>
        </w:rPr>
      </w:pPr>
    </w:p>
    <w:p w14:paraId="007BDF59" w14:textId="77777777" w:rsidR="00485477" w:rsidRPr="004D7D15" w:rsidRDefault="00485477" w:rsidP="006B674C">
      <w:pPr>
        <w:spacing w:after="0" w:line="240" w:lineRule="auto"/>
        <w:rPr>
          <w:rFonts w:ascii="Calibri" w:eastAsia="Times New Roman" w:hAnsi="Calibri" w:cs="Calibri"/>
          <w:kern w:val="0"/>
          <w:lang w:eastAsia="en-GB"/>
          <w14:ligatures w14:val="none"/>
        </w:rPr>
      </w:pPr>
    </w:p>
    <w:bookmarkEnd w:id="0"/>
    <w:p w14:paraId="12623147" w14:textId="77777777" w:rsidR="0023560B" w:rsidRDefault="0023560B" w:rsidP="00603733">
      <w:pPr>
        <w:spacing w:line="240" w:lineRule="auto"/>
        <w:rPr>
          <w:rFonts w:ascii="Calibri" w:hAnsi="Calibri" w:cs="Calibri"/>
          <w:b/>
          <w:bCs/>
          <w:color w:val="000000" w:themeColor="text1"/>
        </w:rPr>
      </w:pPr>
    </w:p>
    <w:p w14:paraId="177082FC" w14:textId="15E52251" w:rsidR="00023C2B" w:rsidRDefault="00023C2B" w:rsidP="00603733">
      <w:pPr>
        <w:spacing w:line="240" w:lineRule="auto"/>
        <w:rPr>
          <w:rFonts w:ascii="Calibri" w:hAnsi="Calibri" w:cs="Calibri"/>
          <w:b/>
          <w:bCs/>
          <w:color w:val="000000" w:themeColor="text1"/>
        </w:rPr>
      </w:pPr>
      <w:r w:rsidRPr="00603733">
        <w:rPr>
          <w:rFonts w:ascii="Calibri" w:hAnsi="Calibri" w:cs="Calibri"/>
          <w:b/>
          <w:bCs/>
          <w:color w:val="000000" w:themeColor="text1"/>
        </w:rPr>
        <w:lastRenderedPageBreak/>
        <w:t>BIBLIOGRAPHY</w:t>
      </w:r>
    </w:p>
    <w:p w14:paraId="0674ACF0" w14:textId="4984CF6F" w:rsidR="00125710" w:rsidRPr="00485477" w:rsidRDefault="00125710" w:rsidP="00485477">
      <w:pPr>
        <w:spacing w:line="276" w:lineRule="auto"/>
        <w:rPr>
          <w:rFonts w:ascii="Calibri" w:hAnsi="Calibri" w:cs="Calibri"/>
          <w:b/>
          <w:bCs/>
          <w:color w:val="000000" w:themeColor="text1"/>
        </w:rPr>
      </w:pPr>
      <w:r w:rsidRPr="00485477">
        <w:rPr>
          <w:rFonts w:ascii="Calibri" w:hAnsi="Calibri" w:cs="Calibri"/>
          <w:b/>
          <w:bCs/>
          <w:color w:val="000000" w:themeColor="text1"/>
        </w:rPr>
        <w:t>Primary Sources</w:t>
      </w:r>
    </w:p>
    <w:p w14:paraId="6D6AA854" w14:textId="1229A394" w:rsidR="00125710" w:rsidRPr="00485477" w:rsidRDefault="00125710" w:rsidP="00485477">
      <w:pPr>
        <w:spacing w:line="276" w:lineRule="auto"/>
        <w:rPr>
          <w:rFonts w:ascii="Calibri" w:hAnsi="Calibri" w:cs="Calibri"/>
          <w:color w:val="000000" w:themeColor="text1"/>
        </w:rPr>
      </w:pPr>
      <w:r w:rsidRPr="00485477">
        <w:rPr>
          <w:rFonts w:ascii="Calibri" w:hAnsi="Calibri" w:cs="Calibri"/>
          <w:color w:val="000000" w:themeColor="text1"/>
          <w:shd w:val="clear" w:color="auto" w:fill="FFFFFF"/>
        </w:rPr>
        <w:t>Jones, R. (1904) ‘</w:t>
      </w:r>
      <w:r w:rsidR="009D422D" w:rsidRPr="00485477">
        <w:rPr>
          <w:rFonts w:ascii="Calibri" w:hAnsi="Calibri" w:cs="Calibri"/>
          <w:color w:val="000000" w:themeColor="text1"/>
          <w:shd w:val="clear" w:color="auto" w:fill="FFFFFF"/>
        </w:rPr>
        <w:t xml:space="preserve">The Black peril in </w:t>
      </w:r>
      <w:r w:rsidR="009D422D" w:rsidRPr="00485477">
        <w:rPr>
          <w:rFonts w:ascii="Calibri" w:hAnsi="Calibri" w:cs="Calibri"/>
          <w:color w:val="000000" w:themeColor="text1"/>
          <w:kern w:val="0"/>
          <w:shd w:val="clear" w:color="auto" w:fill="FFFFFF"/>
          <w14:ligatures w14:val="none"/>
        </w:rPr>
        <w:t>South Africa’, </w:t>
      </w:r>
      <w:r w:rsidR="009D422D" w:rsidRPr="00485477">
        <w:rPr>
          <w:rFonts w:ascii="Calibri" w:hAnsi="Calibri" w:cs="Calibri"/>
          <w:i/>
          <w:iCs/>
          <w:color w:val="000000" w:themeColor="text1"/>
          <w:kern w:val="0"/>
          <w:shd w:val="clear" w:color="auto" w:fill="FFFFFF"/>
          <w14:ligatures w14:val="none"/>
        </w:rPr>
        <w:t>The Nineteenth Century and After: A Monthly Review</w:t>
      </w:r>
      <w:r w:rsidR="009D422D" w:rsidRPr="00485477">
        <w:rPr>
          <w:rFonts w:ascii="Calibri" w:hAnsi="Calibri" w:cs="Calibri"/>
          <w:color w:val="000000" w:themeColor="text1"/>
          <w:kern w:val="0"/>
          <w:shd w:val="clear" w:color="auto" w:fill="FFFFFF"/>
          <w14:ligatures w14:val="none"/>
        </w:rPr>
        <w:t>,</w:t>
      </w:r>
      <w:r w:rsidRPr="00485477">
        <w:rPr>
          <w:rFonts w:ascii="Calibri" w:hAnsi="Calibri" w:cs="Calibri"/>
          <w:color w:val="000000" w:themeColor="text1"/>
          <w:shd w:val="clear" w:color="auto" w:fill="FFFFFF"/>
        </w:rPr>
        <w:t xml:space="preserve"> 55(327), pp. 712–723. Available at: </w:t>
      </w:r>
      <w:hyperlink r:id="rId6" w:history="1">
        <w:r w:rsidRPr="00485477">
          <w:rPr>
            <w:rStyle w:val="Hyperlink"/>
            <w:rFonts w:ascii="Calibri" w:hAnsi="Calibri" w:cs="Calibri"/>
            <w:color w:val="000000" w:themeColor="text1"/>
            <w:shd w:val="clear" w:color="auto" w:fill="FFFFFF"/>
          </w:rPr>
          <w:t>https://www.proquest.com/docview/2643257?parentSessionId=ZG%2B0s8DklQ9XpgFFpLp%2B83KEWFav%2Bpb6M49IQrN</w:t>
        </w:r>
        <w:r w:rsidRPr="00485477">
          <w:rPr>
            <w:rStyle w:val="Hyperlink"/>
            <w:rFonts w:ascii="Calibri" w:hAnsi="Calibri" w:cs="Calibri"/>
            <w:color w:val="000000" w:themeColor="text1"/>
            <w:shd w:val="clear" w:color="auto" w:fill="FFFFFF"/>
          </w:rPr>
          <w:t>s</w:t>
        </w:r>
        <w:r w:rsidRPr="00485477">
          <w:rPr>
            <w:rStyle w:val="Hyperlink"/>
            <w:rFonts w:ascii="Calibri" w:hAnsi="Calibri" w:cs="Calibri"/>
            <w:color w:val="000000" w:themeColor="text1"/>
            <w:shd w:val="clear" w:color="auto" w:fill="FFFFFF"/>
          </w:rPr>
          <w:t>DZY%3D&amp;pq-origsite=primo&amp;accountid=130472&amp;sourcetype=Historical%20Periodicals&amp;imgSeq=1</w:t>
        </w:r>
      </w:hyperlink>
      <w:r w:rsidRPr="00485477">
        <w:rPr>
          <w:rFonts w:ascii="Calibri" w:hAnsi="Calibri" w:cs="Calibri"/>
          <w:color w:val="000000" w:themeColor="text1"/>
          <w:shd w:val="clear" w:color="auto" w:fill="FFFFFF"/>
        </w:rPr>
        <w:t xml:space="preserve"> (Accessed: 30 October 2025).</w:t>
      </w:r>
    </w:p>
    <w:p w14:paraId="0B1CDD83" w14:textId="77777777" w:rsidR="00125710" w:rsidRPr="00485477" w:rsidRDefault="00125710" w:rsidP="00485477">
      <w:pPr>
        <w:spacing w:line="276" w:lineRule="auto"/>
        <w:rPr>
          <w:rFonts w:ascii="Calibri" w:hAnsi="Calibri" w:cs="Calibri"/>
          <w:b/>
          <w:bCs/>
          <w:color w:val="000000" w:themeColor="text1"/>
        </w:rPr>
      </w:pPr>
    </w:p>
    <w:p w14:paraId="525DC973" w14:textId="77777777" w:rsidR="00023C2B" w:rsidRPr="00485477" w:rsidRDefault="00023C2B" w:rsidP="00485477">
      <w:pPr>
        <w:spacing w:line="276" w:lineRule="auto"/>
        <w:rPr>
          <w:rFonts w:ascii="Calibri" w:hAnsi="Calibri" w:cs="Calibri"/>
          <w:b/>
          <w:bCs/>
          <w:color w:val="000000" w:themeColor="text1"/>
        </w:rPr>
      </w:pPr>
      <w:r w:rsidRPr="00485477">
        <w:rPr>
          <w:rFonts w:ascii="Calibri" w:hAnsi="Calibri" w:cs="Calibri"/>
          <w:b/>
          <w:bCs/>
          <w:color w:val="000000" w:themeColor="text1"/>
        </w:rPr>
        <w:t>Secondary Sources</w:t>
      </w:r>
    </w:p>
    <w:p w14:paraId="4351FBA0" w14:textId="0E59E348" w:rsidR="009D422D" w:rsidRPr="00485477" w:rsidRDefault="00023C2B" w:rsidP="00485477">
      <w:pPr>
        <w:spacing w:line="276" w:lineRule="auto"/>
        <w:rPr>
          <w:rFonts w:ascii="Calibri" w:hAnsi="Calibri" w:cs="Calibri"/>
        </w:rPr>
      </w:pPr>
      <w:r w:rsidRPr="00485477">
        <w:rPr>
          <w:rFonts w:ascii="Calibri" w:hAnsi="Calibri" w:cs="Calibri"/>
          <w:color w:val="000000" w:themeColor="text1"/>
          <w:shd w:val="clear" w:color="auto" w:fill="FFFFFF"/>
        </w:rPr>
        <w:t>Anderson, D.M. (2010) ‘Sexual Threat and Settler Society: “Black Perils” in Kenya, c. 1907-30’, </w:t>
      </w:r>
      <w:r w:rsidRPr="00485477">
        <w:rPr>
          <w:rFonts w:ascii="Calibri" w:hAnsi="Calibri" w:cs="Calibri"/>
          <w:i/>
          <w:iCs/>
          <w:color w:val="000000" w:themeColor="text1"/>
          <w:shd w:val="clear" w:color="auto" w:fill="FFFFFF"/>
        </w:rPr>
        <w:t xml:space="preserve">Journal of </w:t>
      </w:r>
      <w:r w:rsidR="00B867A9">
        <w:rPr>
          <w:rFonts w:ascii="Calibri" w:hAnsi="Calibri" w:cs="Calibri"/>
          <w:i/>
          <w:iCs/>
          <w:color w:val="000000" w:themeColor="text1"/>
          <w:shd w:val="clear" w:color="auto" w:fill="FFFFFF"/>
        </w:rPr>
        <w:t>I</w:t>
      </w:r>
      <w:r w:rsidRPr="00485477">
        <w:rPr>
          <w:rFonts w:ascii="Calibri" w:hAnsi="Calibri" w:cs="Calibri"/>
          <w:i/>
          <w:iCs/>
          <w:color w:val="000000" w:themeColor="text1"/>
          <w:shd w:val="clear" w:color="auto" w:fill="FFFFFF"/>
        </w:rPr>
        <w:t xml:space="preserve">mperial and Commonwealth </w:t>
      </w:r>
      <w:r w:rsidR="00B867A9">
        <w:rPr>
          <w:rFonts w:ascii="Calibri" w:hAnsi="Calibri" w:cs="Calibri"/>
          <w:i/>
          <w:iCs/>
          <w:color w:val="000000" w:themeColor="text1"/>
          <w:shd w:val="clear" w:color="auto" w:fill="FFFFFF"/>
        </w:rPr>
        <w:t>H</w:t>
      </w:r>
      <w:r w:rsidRPr="00485477">
        <w:rPr>
          <w:rFonts w:ascii="Calibri" w:hAnsi="Calibri" w:cs="Calibri"/>
          <w:i/>
          <w:iCs/>
          <w:color w:val="000000" w:themeColor="text1"/>
          <w:shd w:val="clear" w:color="auto" w:fill="FFFFFF"/>
        </w:rPr>
        <w:t>istory</w:t>
      </w:r>
      <w:r w:rsidRPr="00485477">
        <w:rPr>
          <w:rFonts w:ascii="Calibri" w:hAnsi="Calibri" w:cs="Calibri"/>
          <w:color w:val="000000" w:themeColor="text1"/>
          <w:shd w:val="clear" w:color="auto" w:fill="FFFFFF"/>
        </w:rPr>
        <w:t xml:space="preserve">, 38(1), pp. 47–74. Available at: </w:t>
      </w:r>
      <w:hyperlink r:id="rId7" w:history="1">
        <w:r w:rsidRPr="00485477">
          <w:rPr>
            <w:rStyle w:val="Hyperlink"/>
            <w:rFonts w:ascii="Calibri" w:hAnsi="Calibri" w:cs="Calibri"/>
            <w:color w:val="000000" w:themeColor="text1"/>
            <w:shd w:val="clear" w:color="auto" w:fill="FFFFFF"/>
          </w:rPr>
          <w:t>https://doi.org/10.1080/03086530903538194</w:t>
        </w:r>
      </w:hyperlink>
    </w:p>
    <w:p w14:paraId="4C3AD0F1" w14:textId="77777777" w:rsidR="00023C2B" w:rsidRPr="00485477" w:rsidRDefault="00023C2B" w:rsidP="00485477">
      <w:pPr>
        <w:spacing w:line="276" w:lineRule="auto"/>
        <w:rPr>
          <w:rFonts w:ascii="Calibri" w:hAnsi="Calibri" w:cs="Calibri"/>
          <w:color w:val="000000" w:themeColor="text1"/>
        </w:rPr>
      </w:pPr>
      <w:r w:rsidRPr="00485477">
        <w:rPr>
          <w:rFonts w:ascii="Calibri" w:hAnsi="Calibri" w:cs="Calibri"/>
          <w:color w:val="000000" w:themeColor="text1"/>
        </w:rPr>
        <w:t xml:space="preserve">Carina Ray, ‘Interracial Sex and the Making of Empire’ in Ato </w:t>
      </w:r>
      <w:proofErr w:type="spellStart"/>
      <w:r w:rsidRPr="00485477">
        <w:rPr>
          <w:rFonts w:ascii="Calibri" w:hAnsi="Calibri" w:cs="Calibri"/>
          <w:color w:val="000000" w:themeColor="text1"/>
        </w:rPr>
        <w:t>Quayson</w:t>
      </w:r>
      <w:proofErr w:type="spellEnd"/>
      <w:r w:rsidRPr="00485477">
        <w:rPr>
          <w:rFonts w:ascii="Calibri" w:hAnsi="Calibri" w:cs="Calibri"/>
          <w:color w:val="000000" w:themeColor="text1"/>
        </w:rPr>
        <w:t xml:space="preserve"> and Girish Daswani (eds.), </w:t>
      </w:r>
      <w:r w:rsidRPr="00485477">
        <w:rPr>
          <w:rFonts w:ascii="Calibri" w:hAnsi="Calibri" w:cs="Calibri"/>
          <w:i/>
          <w:iCs/>
          <w:color w:val="000000" w:themeColor="text1"/>
        </w:rPr>
        <w:t xml:space="preserve">A Companion to Diaspora and Transnationalism </w:t>
      </w:r>
      <w:r w:rsidRPr="00485477">
        <w:rPr>
          <w:rFonts w:ascii="Calibri" w:hAnsi="Calibri" w:cs="Calibri"/>
          <w:color w:val="000000" w:themeColor="text1"/>
        </w:rPr>
        <w:t xml:space="preserve">(Blackwell, 2013), pp. 190-211. Available here: </w:t>
      </w:r>
      <w:hyperlink r:id="rId8" w:history="1">
        <w:r w:rsidRPr="00485477">
          <w:rPr>
            <w:rStyle w:val="Hyperlink"/>
            <w:rFonts w:ascii="Calibri" w:hAnsi="Calibri" w:cs="Calibri"/>
            <w:color w:val="000000" w:themeColor="text1"/>
          </w:rPr>
          <w:t>Ray_Interracial_Sex_Empire-libre.pdf</w:t>
        </w:r>
      </w:hyperlink>
    </w:p>
    <w:p w14:paraId="076E82E6" w14:textId="4F8CAD51" w:rsidR="00023C2B" w:rsidRPr="00485477" w:rsidRDefault="00023C2B" w:rsidP="00485477">
      <w:pPr>
        <w:spacing w:line="276" w:lineRule="auto"/>
        <w:rPr>
          <w:rFonts w:ascii="Calibri" w:hAnsi="Calibri" w:cs="Calibri"/>
          <w:color w:val="000000" w:themeColor="text1"/>
          <w:shd w:val="clear" w:color="auto" w:fill="FFFFFF"/>
        </w:rPr>
      </w:pPr>
      <w:r w:rsidRPr="00485477">
        <w:rPr>
          <w:rFonts w:ascii="Calibri" w:hAnsi="Calibri" w:cs="Calibri"/>
          <w:color w:val="000000" w:themeColor="text1"/>
          <w:shd w:val="clear" w:color="auto" w:fill="FFFFFF"/>
        </w:rPr>
        <w:t>Cornwell, G. (1996) ‘George Webb Hardy’s the Black Peril and the social meaning of “Black Peril” in early twentieth-century South Africa’, </w:t>
      </w:r>
      <w:r w:rsidRPr="00485477">
        <w:rPr>
          <w:rFonts w:ascii="Calibri" w:hAnsi="Calibri" w:cs="Calibri"/>
          <w:i/>
          <w:iCs/>
          <w:color w:val="000000" w:themeColor="text1"/>
          <w:shd w:val="clear" w:color="auto" w:fill="FFFFFF"/>
        </w:rPr>
        <w:t xml:space="preserve">Journal of </w:t>
      </w:r>
      <w:r w:rsidR="00B867A9">
        <w:rPr>
          <w:rFonts w:ascii="Calibri" w:hAnsi="Calibri" w:cs="Calibri"/>
          <w:i/>
          <w:iCs/>
          <w:color w:val="000000" w:themeColor="text1"/>
          <w:shd w:val="clear" w:color="auto" w:fill="FFFFFF"/>
        </w:rPr>
        <w:t>S</w:t>
      </w:r>
      <w:r w:rsidRPr="00485477">
        <w:rPr>
          <w:rFonts w:ascii="Calibri" w:hAnsi="Calibri" w:cs="Calibri"/>
          <w:i/>
          <w:iCs/>
          <w:color w:val="000000" w:themeColor="text1"/>
          <w:shd w:val="clear" w:color="auto" w:fill="FFFFFF"/>
        </w:rPr>
        <w:t xml:space="preserve">outhern African </w:t>
      </w:r>
      <w:r w:rsidR="00B867A9">
        <w:rPr>
          <w:rFonts w:ascii="Calibri" w:hAnsi="Calibri" w:cs="Calibri"/>
          <w:i/>
          <w:iCs/>
          <w:color w:val="000000" w:themeColor="text1"/>
          <w:shd w:val="clear" w:color="auto" w:fill="FFFFFF"/>
        </w:rPr>
        <w:t>S</w:t>
      </w:r>
      <w:r w:rsidRPr="00485477">
        <w:rPr>
          <w:rFonts w:ascii="Calibri" w:hAnsi="Calibri" w:cs="Calibri"/>
          <w:i/>
          <w:iCs/>
          <w:color w:val="000000" w:themeColor="text1"/>
          <w:shd w:val="clear" w:color="auto" w:fill="FFFFFF"/>
        </w:rPr>
        <w:t>tudies</w:t>
      </w:r>
      <w:r w:rsidRPr="00485477">
        <w:rPr>
          <w:rFonts w:ascii="Calibri" w:hAnsi="Calibri" w:cs="Calibri"/>
          <w:color w:val="000000" w:themeColor="text1"/>
          <w:shd w:val="clear" w:color="auto" w:fill="FFFFFF"/>
        </w:rPr>
        <w:t xml:space="preserve">. London: Taylor &amp; Francis Group, pp. 441–453. Available at: </w:t>
      </w:r>
      <w:hyperlink r:id="rId9" w:history="1">
        <w:r w:rsidRPr="00485477">
          <w:rPr>
            <w:rStyle w:val="Hyperlink"/>
            <w:rFonts w:ascii="Calibri" w:hAnsi="Calibri" w:cs="Calibri"/>
            <w:color w:val="000000" w:themeColor="text1"/>
            <w:shd w:val="clear" w:color="auto" w:fill="FFFFFF"/>
          </w:rPr>
          <w:t>https://doi.org/10.1080/03057079608708504</w:t>
        </w:r>
      </w:hyperlink>
    </w:p>
    <w:p w14:paraId="35A060C3" w14:textId="77777777" w:rsidR="00023C2B" w:rsidRPr="00485477" w:rsidRDefault="00023C2B" w:rsidP="00485477">
      <w:pPr>
        <w:spacing w:line="276" w:lineRule="auto"/>
        <w:rPr>
          <w:rFonts w:ascii="Calibri" w:hAnsi="Calibri" w:cs="Calibri"/>
          <w:color w:val="000000" w:themeColor="text1"/>
        </w:rPr>
      </w:pPr>
      <w:r w:rsidRPr="00485477">
        <w:rPr>
          <w:rFonts w:ascii="Calibri" w:hAnsi="Calibri" w:cs="Calibri"/>
          <w:color w:val="000000" w:themeColor="text1"/>
          <w:shd w:val="clear" w:color="auto" w:fill="FFFFFF"/>
        </w:rPr>
        <w:t>Etherington, N. (1988) ‘Natal’s black rape scare of the 1870s’, </w:t>
      </w:r>
      <w:r w:rsidRPr="00485477">
        <w:rPr>
          <w:rFonts w:ascii="Calibri" w:hAnsi="Calibri" w:cs="Calibri"/>
          <w:i/>
          <w:iCs/>
          <w:color w:val="000000" w:themeColor="text1"/>
          <w:shd w:val="clear" w:color="auto" w:fill="FFFFFF"/>
        </w:rPr>
        <w:t>Journal of southern African studies</w:t>
      </w:r>
      <w:r w:rsidRPr="00485477">
        <w:rPr>
          <w:rFonts w:ascii="Calibri" w:hAnsi="Calibri" w:cs="Calibri"/>
          <w:color w:val="000000" w:themeColor="text1"/>
          <w:shd w:val="clear" w:color="auto" w:fill="FFFFFF"/>
        </w:rPr>
        <w:t xml:space="preserve">, 15(1), pp. 36–53. Available at: </w:t>
      </w:r>
      <w:hyperlink r:id="rId10" w:history="1">
        <w:r w:rsidRPr="00485477">
          <w:rPr>
            <w:rStyle w:val="Hyperlink"/>
            <w:rFonts w:ascii="Calibri" w:hAnsi="Calibri" w:cs="Calibri"/>
            <w:color w:val="000000" w:themeColor="text1"/>
            <w:shd w:val="clear" w:color="auto" w:fill="FFFFFF"/>
          </w:rPr>
          <w:t>https://doi.org/10.1080/03057078808708190</w:t>
        </w:r>
      </w:hyperlink>
    </w:p>
    <w:p w14:paraId="64ACDCF3" w14:textId="77777777" w:rsidR="00023C2B" w:rsidRPr="00485477" w:rsidRDefault="00023C2B" w:rsidP="00485477">
      <w:pPr>
        <w:spacing w:line="276" w:lineRule="auto"/>
        <w:rPr>
          <w:rFonts w:ascii="Calibri" w:hAnsi="Calibri" w:cs="Calibri"/>
          <w:color w:val="000000" w:themeColor="text1"/>
          <w:shd w:val="clear" w:color="auto" w:fill="FFFFFF"/>
        </w:rPr>
      </w:pPr>
      <w:r w:rsidRPr="00485477">
        <w:rPr>
          <w:rFonts w:ascii="Calibri" w:hAnsi="Calibri" w:cs="Calibri"/>
          <w:color w:val="000000" w:themeColor="text1"/>
        </w:rPr>
        <w:t xml:space="preserve">Federal Information and News Dispatch (2013) ‘Senators John McCain, Harry Reid, Mo Cowan and Congressman Peter King introduce legislation to pardon boxing legend Jack Johnson’, </w:t>
      </w:r>
      <w:r w:rsidRPr="00485477">
        <w:rPr>
          <w:rStyle w:val="Emphasis"/>
          <w:rFonts w:ascii="Calibri" w:hAnsi="Calibri" w:cs="Calibri"/>
          <w:color w:val="000000" w:themeColor="text1"/>
        </w:rPr>
        <w:t>Congressional Documents and Publications</w:t>
      </w:r>
      <w:r w:rsidRPr="00485477">
        <w:rPr>
          <w:rFonts w:ascii="Calibri" w:hAnsi="Calibri" w:cs="Calibri"/>
          <w:color w:val="000000" w:themeColor="text1"/>
        </w:rPr>
        <w:t>.</w:t>
      </w:r>
    </w:p>
    <w:p w14:paraId="56A53463" w14:textId="77777777" w:rsidR="00023C2B" w:rsidRPr="00485477" w:rsidRDefault="00023C2B" w:rsidP="00485477">
      <w:pPr>
        <w:spacing w:line="276" w:lineRule="auto"/>
        <w:rPr>
          <w:rFonts w:ascii="Calibri" w:hAnsi="Calibri" w:cs="Calibri"/>
          <w:color w:val="000000" w:themeColor="text1"/>
          <w:shd w:val="clear" w:color="auto" w:fill="FFFFFF"/>
        </w:rPr>
      </w:pPr>
      <w:r w:rsidRPr="00485477">
        <w:rPr>
          <w:rFonts w:ascii="Calibri" w:hAnsi="Calibri" w:cs="Calibri"/>
          <w:color w:val="000000" w:themeColor="text1"/>
          <w:shd w:val="clear" w:color="auto" w:fill="FFFFFF"/>
        </w:rPr>
        <w:t>Hazan, E. (2023) ‘“A sin against our civilisation”: South Africa’s 1927 Immorality Act and the Criminalisation of Interracial Love, 1920-1948’, </w:t>
      </w:r>
      <w:r w:rsidRPr="00485477">
        <w:rPr>
          <w:rFonts w:ascii="Calibri" w:hAnsi="Calibri" w:cs="Calibri"/>
          <w:i/>
          <w:iCs/>
          <w:color w:val="000000" w:themeColor="text1"/>
          <w:shd w:val="clear" w:color="auto" w:fill="FFFFFF"/>
        </w:rPr>
        <w:t>South African Historical Journal</w:t>
      </w:r>
      <w:r w:rsidRPr="00485477">
        <w:rPr>
          <w:rFonts w:ascii="Calibri" w:hAnsi="Calibri" w:cs="Calibri"/>
          <w:color w:val="000000" w:themeColor="text1"/>
          <w:shd w:val="clear" w:color="auto" w:fill="FFFFFF"/>
        </w:rPr>
        <w:t xml:space="preserve">, 75(1–2), pp. 130–152. Available at: </w:t>
      </w:r>
      <w:hyperlink r:id="rId11" w:history="1">
        <w:r w:rsidRPr="00485477">
          <w:rPr>
            <w:rStyle w:val="Hyperlink"/>
            <w:rFonts w:ascii="Calibri" w:hAnsi="Calibri" w:cs="Calibri"/>
            <w:color w:val="000000" w:themeColor="text1"/>
            <w:shd w:val="clear" w:color="auto" w:fill="FFFFFF"/>
          </w:rPr>
          <w:t>https://doi.org/10.1080/02582473.2024.2344507</w:t>
        </w:r>
      </w:hyperlink>
    </w:p>
    <w:p w14:paraId="1AD79934" w14:textId="76B85A6D" w:rsidR="00023C2B" w:rsidRDefault="00023C2B" w:rsidP="00485477">
      <w:pPr>
        <w:spacing w:line="276" w:lineRule="auto"/>
        <w:rPr>
          <w:rFonts w:ascii="Calibri" w:hAnsi="Calibri" w:cs="Calibri"/>
          <w:color w:val="000000" w:themeColor="text1"/>
          <w:shd w:val="clear" w:color="auto" w:fill="FFFFFF"/>
        </w:rPr>
      </w:pPr>
      <w:r w:rsidRPr="00485477">
        <w:rPr>
          <w:rFonts w:ascii="Calibri" w:hAnsi="Calibri" w:cs="Calibri"/>
          <w:color w:val="000000" w:themeColor="text1"/>
          <w:shd w:val="clear" w:color="auto" w:fill="FFFFFF"/>
        </w:rPr>
        <w:t>Hutchison, P.J. (2012) ‘</w:t>
      </w:r>
      <w:proofErr w:type="spellStart"/>
      <w:r w:rsidRPr="00485477">
        <w:rPr>
          <w:rFonts w:ascii="Calibri" w:hAnsi="Calibri" w:cs="Calibri"/>
          <w:color w:val="000000" w:themeColor="text1"/>
          <w:shd w:val="clear" w:color="auto" w:fill="FFFFFF"/>
        </w:rPr>
        <w:t>Reexamining</w:t>
      </w:r>
      <w:proofErr w:type="spellEnd"/>
      <w:r w:rsidRPr="00485477">
        <w:rPr>
          <w:rFonts w:ascii="Calibri" w:hAnsi="Calibri" w:cs="Calibri"/>
          <w:color w:val="000000" w:themeColor="text1"/>
          <w:shd w:val="clear" w:color="auto" w:fill="FFFFFF"/>
        </w:rPr>
        <w:t xml:space="preserve"> Jack Johnson, Stereotypes, and America’s White Press, 1908-1915’, </w:t>
      </w:r>
      <w:r w:rsidRPr="00485477">
        <w:rPr>
          <w:rFonts w:ascii="Calibri" w:hAnsi="Calibri" w:cs="Calibri"/>
          <w:i/>
          <w:iCs/>
          <w:color w:val="000000" w:themeColor="text1"/>
          <w:shd w:val="clear" w:color="auto" w:fill="FFFFFF"/>
        </w:rPr>
        <w:t xml:space="preserve">The Howard </w:t>
      </w:r>
      <w:r w:rsidR="00B867A9">
        <w:rPr>
          <w:rFonts w:ascii="Calibri" w:hAnsi="Calibri" w:cs="Calibri"/>
          <w:i/>
          <w:iCs/>
          <w:color w:val="000000" w:themeColor="text1"/>
          <w:shd w:val="clear" w:color="auto" w:fill="FFFFFF"/>
        </w:rPr>
        <w:t>J</w:t>
      </w:r>
      <w:r w:rsidRPr="00485477">
        <w:rPr>
          <w:rFonts w:ascii="Calibri" w:hAnsi="Calibri" w:cs="Calibri"/>
          <w:i/>
          <w:iCs/>
          <w:color w:val="000000" w:themeColor="text1"/>
          <w:shd w:val="clear" w:color="auto" w:fill="FFFFFF"/>
        </w:rPr>
        <w:t xml:space="preserve">ournal of </w:t>
      </w:r>
      <w:r w:rsidR="00B867A9">
        <w:rPr>
          <w:rFonts w:ascii="Calibri" w:hAnsi="Calibri" w:cs="Calibri"/>
          <w:i/>
          <w:iCs/>
          <w:color w:val="000000" w:themeColor="text1"/>
          <w:shd w:val="clear" w:color="auto" w:fill="FFFFFF"/>
        </w:rPr>
        <w:t>C</w:t>
      </w:r>
      <w:r w:rsidRPr="00485477">
        <w:rPr>
          <w:rFonts w:ascii="Calibri" w:hAnsi="Calibri" w:cs="Calibri"/>
          <w:i/>
          <w:iCs/>
          <w:color w:val="000000" w:themeColor="text1"/>
          <w:shd w:val="clear" w:color="auto" w:fill="FFFFFF"/>
        </w:rPr>
        <w:t>ommunications</w:t>
      </w:r>
      <w:r w:rsidRPr="00485477">
        <w:rPr>
          <w:rFonts w:ascii="Calibri" w:hAnsi="Calibri" w:cs="Calibri"/>
          <w:color w:val="000000" w:themeColor="text1"/>
          <w:shd w:val="clear" w:color="auto" w:fill="FFFFFF"/>
        </w:rPr>
        <w:t xml:space="preserve">, 23(3), pp. 215–234. Available at: </w:t>
      </w:r>
      <w:hyperlink r:id="rId12" w:history="1">
        <w:r w:rsidR="004B501E" w:rsidRPr="00077476">
          <w:rPr>
            <w:rStyle w:val="Hyperlink"/>
            <w:rFonts w:ascii="Calibri" w:hAnsi="Calibri" w:cs="Calibri"/>
            <w:shd w:val="clear" w:color="auto" w:fill="FFFFFF"/>
          </w:rPr>
          <w:t>https://doi.org/10.1080/10646175.2012.695632</w:t>
        </w:r>
      </w:hyperlink>
    </w:p>
    <w:p w14:paraId="5C1D0E32" w14:textId="335C1C0A" w:rsidR="00023C2B" w:rsidRPr="00485477" w:rsidRDefault="00023C2B" w:rsidP="00485477">
      <w:pPr>
        <w:spacing w:line="276" w:lineRule="auto"/>
        <w:rPr>
          <w:rFonts w:ascii="Calibri" w:hAnsi="Calibri" w:cs="Calibri"/>
          <w:color w:val="000000" w:themeColor="text1"/>
          <w:shd w:val="clear" w:color="auto" w:fill="FFFFFF"/>
        </w:rPr>
      </w:pPr>
      <w:r w:rsidRPr="00485477">
        <w:rPr>
          <w:rFonts w:ascii="Calibri" w:hAnsi="Calibri" w:cs="Calibri"/>
          <w:color w:val="000000" w:themeColor="text1"/>
          <w:shd w:val="clear" w:color="auto" w:fill="FFFFFF"/>
        </w:rPr>
        <w:t>Hyatt, S.P. (1906) ‘</w:t>
      </w:r>
      <w:r w:rsidR="004B501E">
        <w:rPr>
          <w:rFonts w:ascii="Calibri" w:hAnsi="Calibri" w:cs="Calibri"/>
          <w:color w:val="000000" w:themeColor="text1"/>
          <w:shd w:val="clear" w:color="auto" w:fill="FFFFFF"/>
        </w:rPr>
        <w:t>T</w:t>
      </w:r>
      <w:r w:rsidR="004B501E" w:rsidRPr="00485477">
        <w:rPr>
          <w:rFonts w:ascii="Calibri" w:hAnsi="Calibri" w:cs="Calibri"/>
          <w:color w:val="000000" w:themeColor="text1"/>
          <w:shd w:val="clear" w:color="auto" w:fill="FFFFFF"/>
        </w:rPr>
        <w:t xml:space="preserve">he </w:t>
      </w:r>
      <w:r w:rsidR="004B501E">
        <w:rPr>
          <w:rFonts w:ascii="Calibri" w:hAnsi="Calibri" w:cs="Calibri"/>
          <w:color w:val="000000" w:themeColor="text1"/>
          <w:shd w:val="clear" w:color="auto" w:fill="FFFFFF"/>
        </w:rPr>
        <w:t>B</w:t>
      </w:r>
      <w:r w:rsidR="004B501E" w:rsidRPr="00485477">
        <w:rPr>
          <w:rFonts w:ascii="Calibri" w:hAnsi="Calibri" w:cs="Calibri"/>
          <w:color w:val="000000" w:themeColor="text1"/>
          <w:shd w:val="clear" w:color="auto" w:fill="FFFFFF"/>
        </w:rPr>
        <w:t xml:space="preserve">lack </w:t>
      </w:r>
      <w:r w:rsidR="004B501E">
        <w:rPr>
          <w:rFonts w:ascii="Calibri" w:hAnsi="Calibri" w:cs="Calibri"/>
          <w:color w:val="000000" w:themeColor="text1"/>
          <w:shd w:val="clear" w:color="auto" w:fill="FFFFFF"/>
        </w:rPr>
        <w:t>P</w:t>
      </w:r>
      <w:r w:rsidR="004B501E" w:rsidRPr="00485477">
        <w:rPr>
          <w:rFonts w:ascii="Calibri" w:hAnsi="Calibri" w:cs="Calibri"/>
          <w:color w:val="000000" w:themeColor="text1"/>
          <w:shd w:val="clear" w:color="auto" w:fill="FFFFFF"/>
        </w:rPr>
        <w:t xml:space="preserve">eril in </w:t>
      </w:r>
      <w:r w:rsidR="004B501E">
        <w:rPr>
          <w:rFonts w:ascii="Calibri" w:hAnsi="Calibri" w:cs="Calibri"/>
          <w:color w:val="000000" w:themeColor="text1"/>
          <w:shd w:val="clear" w:color="auto" w:fill="FFFFFF"/>
        </w:rPr>
        <w:t>S</w:t>
      </w:r>
      <w:r w:rsidR="004B501E" w:rsidRPr="00485477">
        <w:rPr>
          <w:rFonts w:ascii="Calibri" w:hAnsi="Calibri" w:cs="Calibri"/>
          <w:color w:val="000000" w:themeColor="text1"/>
          <w:shd w:val="clear" w:color="auto" w:fill="FFFFFF"/>
        </w:rPr>
        <w:t xml:space="preserve">outh </w:t>
      </w:r>
      <w:r w:rsidR="004B501E">
        <w:rPr>
          <w:rFonts w:ascii="Calibri" w:hAnsi="Calibri" w:cs="Calibri"/>
          <w:color w:val="000000" w:themeColor="text1"/>
          <w:shd w:val="clear" w:color="auto" w:fill="FFFFFF"/>
        </w:rPr>
        <w:t>A</w:t>
      </w:r>
      <w:r w:rsidR="004B501E" w:rsidRPr="00485477">
        <w:rPr>
          <w:rFonts w:ascii="Calibri" w:hAnsi="Calibri" w:cs="Calibri"/>
          <w:color w:val="000000" w:themeColor="text1"/>
          <w:shd w:val="clear" w:color="auto" w:fill="FFFFFF"/>
        </w:rPr>
        <w:t>frica’</w:t>
      </w:r>
      <w:r w:rsidRPr="00485477">
        <w:rPr>
          <w:rFonts w:ascii="Calibri" w:hAnsi="Calibri" w:cs="Calibri"/>
          <w:color w:val="000000" w:themeColor="text1"/>
          <w:shd w:val="clear" w:color="auto" w:fill="FFFFFF"/>
        </w:rPr>
        <w:t>, </w:t>
      </w:r>
      <w:r w:rsidRPr="00485477">
        <w:rPr>
          <w:rFonts w:ascii="Calibri" w:hAnsi="Calibri" w:cs="Calibri"/>
          <w:i/>
          <w:iCs/>
          <w:color w:val="000000" w:themeColor="text1"/>
          <w:shd w:val="clear" w:color="auto" w:fill="FFFFFF"/>
        </w:rPr>
        <w:t xml:space="preserve">Macmillan’s </w:t>
      </w:r>
      <w:r w:rsidR="004B501E">
        <w:rPr>
          <w:rFonts w:ascii="Calibri" w:hAnsi="Calibri" w:cs="Calibri"/>
          <w:i/>
          <w:iCs/>
          <w:color w:val="000000" w:themeColor="text1"/>
          <w:shd w:val="clear" w:color="auto" w:fill="FFFFFF"/>
        </w:rPr>
        <w:t>M</w:t>
      </w:r>
      <w:r w:rsidRPr="00485477">
        <w:rPr>
          <w:rFonts w:ascii="Calibri" w:hAnsi="Calibri" w:cs="Calibri"/>
          <w:i/>
          <w:iCs/>
          <w:color w:val="000000" w:themeColor="text1"/>
          <w:shd w:val="clear" w:color="auto" w:fill="FFFFFF"/>
        </w:rPr>
        <w:t>agazine, 1859-1907</w:t>
      </w:r>
      <w:r w:rsidRPr="00485477">
        <w:rPr>
          <w:rFonts w:ascii="Calibri" w:hAnsi="Calibri" w:cs="Calibri"/>
          <w:color w:val="000000" w:themeColor="text1"/>
          <w:shd w:val="clear" w:color="auto" w:fill="FFFFFF"/>
        </w:rPr>
        <w:t xml:space="preserve">, 1(5), pp. 392–400. Available at: </w:t>
      </w:r>
      <w:hyperlink r:id="rId13" w:history="1">
        <w:r w:rsidRPr="00485477">
          <w:rPr>
            <w:rStyle w:val="Hyperlink"/>
            <w:rFonts w:ascii="Calibri" w:hAnsi="Calibri" w:cs="Calibri"/>
            <w:color w:val="000000" w:themeColor="text1"/>
            <w:shd w:val="clear" w:color="auto" w:fill="FFFFFF"/>
          </w:rPr>
          <w:t>https://www.proquest.com/docview/60</w:t>
        </w:r>
        <w:r w:rsidRPr="00485477">
          <w:rPr>
            <w:rStyle w:val="Hyperlink"/>
            <w:rFonts w:ascii="Calibri" w:hAnsi="Calibri" w:cs="Calibri"/>
            <w:color w:val="000000" w:themeColor="text1"/>
            <w:shd w:val="clear" w:color="auto" w:fill="FFFFFF"/>
          </w:rPr>
          <w:t>1</w:t>
        </w:r>
        <w:r w:rsidRPr="00485477">
          <w:rPr>
            <w:rStyle w:val="Hyperlink"/>
            <w:rFonts w:ascii="Calibri" w:hAnsi="Calibri" w:cs="Calibri"/>
            <w:color w:val="000000" w:themeColor="text1"/>
            <w:shd w:val="clear" w:color="auto" w:fill="FFFFFF"/>
          </w:rPr>
          <w:t>3505/fulltextPDF/13DA1C3DDE5A4E11PQ/1?sourcetype=Historical%20Periodicals</w:t>
        </w:r>
      </w:hyperlink>
      <w:r w:rsidRPr="00485477">
        <w:rPr>
          <w:rFonts w:ascii="Calibri" w:hAnsi="Calibri" w:cs="Calibri"/>
          <w:color w:val="000000" w:themeColor="text1"/>
          <w:shd w:val="clear" w:color="auto" w:fill="FFFFFF"/>
        </w:rPr>
        <w:t xml:space="preserve"> (Accessed: 30 October 2025).</w:t>
      </w:r>
    </w:p>
    <w:p w14:paraId="301C9D39" w14:textId="77777777" w:rsidR="00023C2B" w:rsidRPr="00485477" w:rsidRDefault="00023C2B" w:rsidP="00485477">
      <w:pPr>
        <w:spacing w:line="276" w:lineRule="auto"/>
        <w:rPr>
          <w:rFonts w:ascii="Calibri" w:hAnsi="Calibri" w:cs="Calibri"/>
          <w:color w:val="000000" w:themeColor="text1"/>
          <w:shd w:val="clear" w:color="auto" w:fill="FFFFFF"/>
        </w:rPr>
      </w:pPr>
      <w:r w:rsidRPr="00485477">
        <w:rPr>
          <w:rFonts w:ascii="Calibri" w:hAnsi="Calibri" w:cs="Calibri"/>
          <w:color w:val="000000" w:themeColor="text1"/>
          <w:shd w:val="clear" w:color="auto" w:fill="FFFFFF"/>
        </w:rPr>
        <w:lastRenderedPageBreak/>
        <w:t>Levine, R.S. (2021) ‘Revisiting the “Black Peril,” South Africa, circa 1912: Popular Culture, Group Identity, and New Ways of Knowing’, </w:t>
      </w:r>
      <w:proofErr w:type="spellStart"/>
      <w:r w:rsidRPr="00485477">
        <w:rPr>
          <w:rFonts w:ascii="Calibri" w:hAnsi="Calibri" w:cs="Calibri"/>
          <w:i/>
          <w:iCs/>
          <w:color w:val="000000" w:themeColor="text1"/>
          <w:shd w:val="clear" w:color="auto" w:fill="FFFFFF"/>
        </w:rPr>
        <w:t>Safundi</w:t>
      </w:r>
      <w:proofErr w:type="spellEnd"/>
      <w:r w:rsidRPr="00485477">
        <w:rPr>
          <w:rFonts w:ascii="Calibri" w:hAnsi="Calibri" w:cs="Calibri"/>
          <w:color w:val="000000" w:themeColor="text1"/>
          <w:shd w:val="clear" w:color="auto" w:fill="FFFFFF"/>
        </w:rPr>
        <w:t xml:space="preserve">, 22(4), pp. 398–416. Available at: </w:t>
      </w:r>
      <w:hyperlink r:id="rId14" w:history="1">
        <w:r w:rsidRPr="00485477">
          <w:rPr>
            <w:rStyle w:val="Hyperlink"/>
            <w:rFonts w:ascii="Calibri" w:hAnsi="Calibri" w:cs="Calibri"/>
            <w:color w:val="000000" w:themeColor="text1"/>
            <w:shd w:val="clear" w:color="auto" w:fill="FFFFFF"/>
          </w:rPr>
          <w:t>https://doi.org/10.1080/175331</w:t>
        </w:r>
        <w:r w:rsidRPr="00485477">
          <w:rPr>
            <w:rStyle w:val="Hyperlink"/>
            <w:rFonts w:ascii="Calibri" w:hAnsi="Calibri" w:cs="Calibri"/>
            <w:color w:val="000000" w:themeColor="text1"/>
            <w:shd w:val="clear" w:color="auto" w:fill="FFFFFF"/>
          </w:rPr>
          <w:t>7</w:t>
        </w:r>
        <w:r w:rsidRPr="00485477">
          <w:rPr>
            <w:rStyle w:val="Hyperlink"/>
            <w:rFonts w:ascii="Calibri" w:hAnsi="Calibri" w:cs="Calibri"/>
            <w:color w:val="000000" w:themeColor="text1"/>
            <w:shd w:val="clear" w:color="auto" w:fill="FFFFFF"/>
          </w:rPr>
          <w:t>1.2022.2094130</w:t>
        </w:r>
      </w:hyperlink>
    </w:p>
    <w:p w14:paraId="54C86E72" w14:textId="7DF3A644" w:rsidR="00023C2B" w:rsidRDefault="00023C2B" w:rsidP="00485477">
      <w:pPr>
        <w:spacing w:line="276" w:lineRule="auto"/>
        <w:rPr>
          <w:rFonts w:ascii="Calibri" w:hAnsi="Calibri" w:cs="Calibri"/>
          <w:color w:val="000000" w:themeColor="text1"/>
          <w:shd w:val="clear" w:color="auto" w:fill="FFFFFF"/>
        </w:rPr>
      </w:pPr>
      <w:proofErr w:type="spellStart"/>
      <w:r w:rsidRPr="00485477">
        <w:rPr>
          <w:rFonts w:ascii="Calibri" w:hAnsi="Calibri" w:cs="Calibri"/>
          <w:color w:val="000000" w:themeColor="text1"/>
          <w:shd w:val="clear" w:color="auto" w:fill="FFFFFF"/>
        </w:rPr>
        <w:t>Majavu</w:t>
      </w:r>
      <w:proofErr w:type="spellEnd"/>
      <w:r w:rsidRPr="00485477">
        <w:rPr>
          <w:rFonts w:ascii="Calibri" w:hAnsi="Calibri" w:cs="Calibri"/>
          <w:color w:val="000000" w:themeColor="text1"/>
          <w:shd w:val="clear" w:color="auto" w:fill="FFFFFF"/>
        </w:rPr>
        <w:t>, M. (2023) ‘Reinterpreting the Historical Memory of the Black Peril in South Africa’, </w:t>
      </w:r>
      <w:r w:rsidRPr="00485477">
        <w:rPr>
          <w:rFonts w:ascii="Calibri" w:hAnsi="Calibri" w:cs="Calibri"/>
          <w:i/>
          <w:iCs/>
          <w:color w:val="000000" w:themeColor="text1"/>
          <w:shd w:val="clear" w:color="auto" w:fill="FFFFFF"/>
        </w:rPr>
        <w:t>Theoria (Pietermaritzburg)</w:t>
      </w:r>
      <w:r w:rsidRPr="00485477">
        <w:rPr>
          <w:rFonts w:ascii="Calibri" w:hAnsi="Calibri" w:cs="Calibri"/>
          <w:color w:val="000000" w:themeColor="text1"/>
          <w:shd w:val="clear" w:color="auto" w:fill="FFFFFF"/>
        </w:rPr>
        <w:t xml:space="preserve">, 70(177), pp. 1–25. Available at: </w:t>
      </w:r>
      <w:hyperlink r:id="rId15" w:history="1">
        <w:r w:rsidR="004B501E" w:rsidRPr="00077476">
          <w:rPr>
            <w:rStyle w:val="Hyperlink"/>
            <w:rFonts w:ascii="Calibri" w:hAnsi="Calibri" w:cs="Calibri"/>
            <w:shd w:val="clear" w:color="auto" w:fill="FFFFFF"/>
          </w:rPr>
          <w:t>https://doi.org/10.3167/th.2023.7017701</w:t>
        </w:r>
      </w:hyperlink>
    </w:p>
    <w:p w14:paraId="2841E3FB" w14:textId="77777777" w:rsidR="00023C2B" w:rsidRPr="00485477" w:rsidRDefault="00023C2B" w:rsidP="00485477">
      <w:pPr>
        <w:spacing w:line="276" w:lineRule="auto"/>
        <w:rPr>
          <w:rFonts w:ascii="Calibri" w:hAnsi="Calibri" w:cs="Calibri"/>
        </w:rPr>
      </w:pPr>
      <w:r w:rsidRPr="00485477">
        <w:rPr>
          <w:rFonts w:ascii="Calibri" w:hAnsi="Calibri" w:cs="Calibri"/>
          <w:color w:val="000000" w:themeColor="text1"/>
          <w:shd w:val="clear" w:color="auto" w:fill="FFFFFF"/>
        </w:rPr>
        <w:t>Slater, L. (2019) ‘Good White People: Settler Colonial Anxiety and the Endurance of Racism’, </w:t>
      </w:r>
      <w:r w:rsidRPr="00485477">
        <w:rPr>
          <w:rFonts w:ascii="Calibri" w:hAnsi="Calibri" w:cs="Calibri"/>
          <w:i/>
          <w:iCs/>
          <w:color w:val="000000" w:themeColor="text1"/>
          <w:shd w:val="clear" w:color="auto" w:fill="FFFFFF"/>
        </w:rPr>
        <w:t>Emotions</w:t>
      </w:r>
      <w:r w:rsidRPr="00485477">
        <w:rPr>
          <w:rFonts w:ascii="Calibri" w:hAnsi="Calibri" w:cs="Calibri"/>
          <w:color w:val="000000" w:themeColor="text1"/>
          <w:shd w:val="clear" w:color="auto" w:fill="FFFFFF"/>
        </w:rPr>
        <w:t xml:space="preserve">, 3(2), pp. 266–281. Available at: </w:t>
      </w:r>
      <w:hyperlink r:id="rId16" w:history="1">
        <w:r w:rsidRPr="00485477">
          <w:rPr>
            <w:rStyle w:val="Hyperlink"/>
            <w:rFonts w:ascii="Calibri" w:hAnsi="Calibri" w:cs="Calibri"/>
            <w:color w:val="000000" w:themeColor="text1"/>
            <w:shd w:val="clear" w:color="auto" w:fill="FFFFFF"/>
          </w:rPr>
          <w:t>https://doi.org/10.1163/2208522X-02010060</w:t>
        </w:r>
      </w:hyperlink>
    </w:p>
    <w:p w14:paraId="2D2A2904" w14:textId="77777777" w:rsidR="00A6043E" w:rsidRPr="00485477" w:rsidRDefault="00A6043E" w:rsidP="00485477">
      <w:pPr>
        <w:spacing w:line="276" w:lineRule="auto"/>
        <w:rPr>
          <w:rFonts w:ascii="Calibri" w:hAnsi="Calibri" w:cs="Calibri"/>
        </w:rPr>
      </w:pPr>
      <w:r w:rsidRPr="00485477">
        <w:rPr>
          <w:rFonts w:ascii="Calibri" w:hAnsi="Calibri" w:cs="Calibri"/>
          <w:color w:val="000000" w:themeColor="text1"/>
          <w:shd w:val="clear" w:color="auto" w:fill="FFFFFF"/>
        </w:rPr>
        <w:t>Thornberry, E. (2016) ‘Rape, Race, and Respectability in a South African Port City: East London, 1870-1927’, </w:t>
      </w:r>
      <w:r w:rsidRPr="00485477">
        <w:rPr>
          <w:rFonts w:ascii="Calibri" w:hAnsi="Calibri" w:cs="Calibri"/>
          <w:i/>
          <w:iCs/>
          <w:color w:val="000000" w:themeColor="text1"/>
          <w:shd w:val="clear" w:color="auto" w:fill="FFFFFF"/>
        </w:rPr>
        <w:t>Journal of Urban History</w:t>
      </w:r>
      <w:r w:rsidRPr="00485477">
        <w:rPr>
          <w:rFonts w:ascii="Calibri" w:hAnsi="Calibri" w:cs="Calibri"/>
          <w:color w:val="000000" w:themeColor="text1"/>
          <w:shd w:val="clear" w:color="auto" w:fill="FFFFFF"/>
        </w:rPr>
        <w:t xml:space="preserve">, 42(5), pp. 863–880. Available at: </w:t>
      </w:r>
      <w:hyperlink r:id="rId17" w:history="1">
        <w:r w:rsidRPr="00485477">
          <w:rPr>
            <w:rStyle w:val="Hyperlink"/>
            <w:rFonts w:ascii="Calibri" w:hAnsi="Calibri" w:cs="Calibri"/>
            <w:color w:val="000000" w:themeColor="text1"/>
            <w:shd w:val="clear" w:color="auto" w:fill="FFFFFF"/>
          </w:rPr>
          <w:t>https://doi.org/10.1177/0096144216665307</w:t>
        </w:r>
      </w:hyperlink>
    </w:p>
    <w:p w14:paraId="37F08262" w14:textId="77777777" w:rsidR="00A6043E" w:rsidRPr="00485477" w:rsidRDefault="00A6043E" w:rsidP="00485477">
      <w:pPr>
        <w:spacing w:line="276" w:lineRule="auto"/>
        <w:rPr>
          <w:rFonts w:ascii="Calibri" w:hAnsi="Calibri" w:cs="Calibri"/>
          <w:color w:val="000000" w:themeColor="text1"/>
        </w:rPr>
      </w:pPr>
    </w:p>
    <w:p w14:paraId="44403124" w14:textId="77777777" w:rsidR="00D613B3" w:rsidRPr="00485477" w:rsidRDefault="00D613B3" w:rsidP="00485477">
      <w:pPr>
        <w:spacing w:line="276" w:lineRule="auto"/>
        <w:rPr>
          <w:rFonts w:ascii="Calibri" w:hAnsi="Calibri" w:cs="Calibri"/>
        </w:rPr>
      </w:pPr>
    </w:p>
    <w:p w14:paraId="2E7B74D9" w14:textId="77777777" w:rsidR="00D613B3" w:rsidRPr="00485477" w:rsidRDefault="00D613B3" w:rsidP="00485477">
      <w:pPr>
        <w:spacing w:line="276" w:lineRule="auto"/>
        <w:rPr>
          <w:rFonts w:ascii="Calibri" w:hAnsi="Calibri" w:cs="Calibri"/>
        </w:rPr>
      </w:pPr>
    </w:p>
    <w:p w14:paraId="175DEF39" w14:textId="77777777" w:rsidR="00932331" w:rsidRPr="00485477" w:rsidRDefault="00932331" w:rsidP="00485477">
      <w:pPr>
        <w:spacing w:line="276" w:lineRule="auto"/>
        <w:rPr>
          <w:rFonts w:ascii="Calibri" w:hAnsi="Calibri" w:cs="Calibri"/>
        </w:rPr>
      </w:pPr>
    </w:p>
    <w:p w14:paraId="1C8F059C" w14:textId="77777777" w:rsidR="00932331" w:rsidRDefault="00932331">
      <w:pPr>
        <w:rPr>
          <w:rFonts w:ascii="Calibri" w:hAnsi="Calibri" w:cs="Calibri"/>
        </w:rPr>
      </w:pPr>
    </w:p>
    <w:p w14:paraId="7516F7D2" w14:textId="77777777" w:rsidR="00C6291C" w:rsidRPr="00CB374F" w:rsidRDefault="00C6291C" w:rsidP="00CB374F">
      <w:pPr>
        <w:spacing w:line="240" w:lineRule="auto"/>
        <w:rPr>
          <w:rFonts w:ascii="Calibri" w:hAnsi="Calibri" w:cs="Calibri"/>
        </w:rPr>
      </w:pPr>
    </w:p>
    <w:p w14:paraId="63FFEAFC" w14:textId="1A27477A" w:rsidR="00D613B3" w:rsidRPr="00DD5BE7" w:rsidRDefault="00D613B3">
      <w:pPr>
        <w:rPr>
          <w:rFonts w:ascii="Calibri" w:hAnsi="Calibri" w:cs="Calibri"/>
        </w:rPr>
      </w:pPr>
    </w:p>
    <w:sectPr w:rsidR="00D613B3" w:rsidRPr="00DD5BE7">
      <w:headerReference w:type="default" r:id="rId18"/>
      <w:footerReference w:type="even" r:id="rId19"/>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6C7C898" w14:textId="77777777" w:rsidR="00720442" w:rsidRDefault="00720442" w:rsidP="00DE279D">
      <w:pPr>
        <w:spacing w:after="0" w:line="240" w:lineRule="auto"/>
      </w:pPr>
      <w:r>
        <w:separator/>
      </w:r>
    </w:p>
  </w:endnote>
  <w:endnote w:type="continuationSeparator" w:id="0">
    <w:p w14:paraId="449C78FC" w14:textId="77777777" w:rsidR="00720442" w:rsidRDefault="00720442" w:rsidP="00DE27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626931318"/>
      <w:docPartObj>
        <w:docPartGallery w:val="Page Numbers (Bottom of Page)"/>
        <w:docPartUnique/>
      </w:docPartObj>
    </w:sdtPr>
    <w:sdtContent>
      <w:p w14:paraId="5920AC19" w14:textId="56BA98C4" w:rsidR="00A470A6" w:rsidRDefault="00A470A6" w:rsidP="00334F83">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7C18A937" w14:textId="77777777" w:rsidR="00A470A6" w:rsidRDefault="00A470A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151716956"/>
      <w:docPartObj>
        <w:docPartGallery w:val="Page Numbers (Bottom of Page)"/>
        <w:docPartUnique/>
      </w:docPartObj>
    </w:sdtPr>
    <w:sdtContent>
      <w:p w14:paraId="3EC552FB" w14:textId="08674CFA" w:rsidR="00A470A6" w:rsidRDefault="00A470A6" w:rsidP="00334F83">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6A97A4A" w14:textId="77777777" w:rsidR="00A470A6" w:rsidRDefault="00A470A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24FFE66" w14:textId="77777777" w:rsidR="00720442" w:rsidRDefault="00720442" w:rsidP="00DE279D">
      <w:pPr>
        <w:spacing w:after="0" w:line="240" w:lineRule="auto"/>
      </w:pPr>
      <w:r>
        <w:separator/>
      </w:r>
    </w:p>
  </w:footnote>
  <w:footnote w:type="continuationSeparator" w:id="0">
    <w:p w14:paraId="79EED0C5" w14:textId="77777777" w:rsidR="00720442" w:rsidRDefault="00720442" w:rsidP="00DE279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6343A8" w14:textId="0C615F7E" w:rsidR="00A470A6" w:rsidRPr="00B46132" w:rsidRDefault="00A470A6" w:rsidP="00A470A6">
    <w:pPr>
      <w:pStyle w:val="Header"/>
      <w:rPr>
        <w:rFonts w:ascii="Calibri" w:hAnsi="Calibri" w:cs="Calibri"/>
        <w:color w:val="000000" w:themeColor="text1"/>
        <w:sz w:val="20"/>
        <w:szCs w:val="20"/>
      </w:rPr>
    </w:pPr>
    <w:r w:rsidRPr="00151F2C">
      <w:rPr>
        <w:rFonts w:ascii="Calibri" w:hAnsi="Calibri" w:cs="Calibri"/>
        <w:color w:val="000000" w:themeColor="text1"/>
        <w:sz w:val="20"/>
        <w:szCs w:val="20"/>
      </w:rPr>
      <w:t xml:space="preserve">R. Bakewell (2204367)  </w:t>
    </w:r>
    <w:r>
      <w:rPr>
        <w:rFonts w:ascii="Calibri" w:hAnsi="Calibri" w:cs="Calibri"/>
        <w:color w:val="000000" w:themeColor="text1"/>
        <w:sz w:val="20"/>
        <w:szCs w:val="20"/>
      </w:rPr>
      <w:t xml:space="preserve">                                                                                                                         </w:t>
    </w:r>
    <w:r w:rsidRPr="00151F2C">
      <w:rPr>
        <w:rFonts w:ascii="Calibri" w:hAnsi="Calibri" w:cs="Calibri"/>
        <w:color w:val="000000" w:themeColor="text1"/>
        <w:sz w:val="20"/>
        <w:szCs w:val="20"/>
      </w:rPr>
      <w:t>Module: HPHI6036</w:t>
    </w:r>
  </w:p>
  <w:p w14:paraId="233AE368" w14:textId="3316CA73" w:rsidR="00A470A6" w:rsidRDefault="00A470A6">
    <w:pPr>
      <w:pStyle w:val="Header"/>
    </w:pPr>
  </w:p>
  <w:p w14:paraId="039F49B1" w14:textId="77777777" w:rsidR="00A470A6" w:rsidRDefault="00A470A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2AA0"/>
    <w:rsid w:val="00010C4A"/>
    <w:rsid w:val="00015909"/>
    <w:rsid w:val="00016995"/>
    <w:rsid w:val="00020351"/>
    <w:rsid w:val="00023C2B"/>
    <w:rsid w:val="0009319C"/>
    <w:rsid w:val="000B5B74"/>
    <w:rsid w:val="000C0869"/>
    <w:rsid w:val="0011513E"/>
    <w:rsid w:val="00124610"/>
    <w:rsid w:val="00125710"/>
    <w:rsid w:val="001427AC"/>
    <w:rsid w:val="00146EB3"/>
    <w:rsid w:val="0019039A"/>
    <w:rsid w:val="001976D3"/>
    <w:rsid w:val="001A5F43"/>
    <w:rsid w:val="001C4158"/>
    <w:rsid w:val="001E31DA"/>
    <w:rsid w:val="0021600A"/>
    <w:rsid w:val="00223914"/>
    <w:rsid w:val="0023560B"/>
    <w:rsid w:val="00257E2C"/>
    <w:rsid w:val="00305A17"/>
    <w:rsid w:val="00341F07"/>
    <w:rsid w:val="0037715D"/>
    <w:rsid w:val="0038163F"/>
    <w:rsid w:val="00394BD7"/>
    <w:rsid w:val="003F4E6C"/>
    <w:rsid w:val="00436C4C"/>
    <w:rsid w:val="00485477"/>
    <w:rsid w:val="004A03A0"/>
    <w:rsid w:val="004A6789"/>
    <w:rsid w:val="004B37EE"/>
    <w:rsid w:val="004B501E"/>
    <w:rsid w:val="004C6A42"/>
    <w:rsid w:val="004D7D15"/>
    <w:rsid w:val="0050550F"/>
    <w:rsid w:val="00543A47"/>
    <w:rsid w:val="005550FB"/>
    <w:rsid w:val="005959FB"/>
    <w:rsid w:val="005D3A79"/>
    <w:rsid w:val="005F1F4D"/>
    <w:rsid w:val="005F488E"/>
    <w:rsid w:val="00603733"/>
    <w:rsid w:val="00673748"/>
    <w:rsid w:val="006A6D33"/>
    <w:rsid w:val="006B674C"/>
    <w:rsid w:val="00707752"/>
    <w:rsid w:val="00720442"/>
    <w:rsid w:val="00790380"/>
    <w:rsid w:val="007940CE"/>
    <w:rsid w:val="007F0093"/>
    <w:rsid w:val="00803B4D"/>
    <w:rsid w:val="00867212"/>
    <w:rsid w:val="00881C53"/>
    <w:rsid w:val="008A10DB"/>
    <w:rsid w:val="008F7AB2"/>
    <w:rsid w:val="009273F7"/>
    <w:rsid w:val="00932331"/>
    <w:rsid w:val="00934014"/>
    <w:rsid w:val="00993E13"/>
    <w:rsid w:val="009D422D"/>
    <w:rsid w:val="009D5B9E"/>
    <w:rsid w:val="00A470A6"/>
    <w:rsid w:val="00A6043E"/>
    <w:rsid w:val="00A70F55"/>
    <w:rsid w:val="00AB3162"/>
    <w:rsid w:val="00AD28C2"/>
    <w:rsid w:val="00AD3FFA"/>
    <w:rsid w:val="00B25CA1"/>
    <w:rsid w:val="00B867A9"/>
    <w:rsid w:val="00B96763"/>
    <w:rsid w:val="00B9699D"/>
    <w:rsid w:val="00BA2FBE"/>
    <w:rsid w:val="00BD5059"/>
    <w:rsid w:val="00C10098"/>
    <w:rsid w:val="00C5797D"/>
    <w:rsid w:val="00C6291C"/>
    <w:rsid w:val="00C76219"/>
    <w:rsid w:val="00CB374F"/>
    <w:rsid w:val="00CC2AA0"/>
    <w:rsid w:val="00CF2935"/>
    <w:rsid w:val="00D16A30"/>
    <w:rsid w:val="00D26847"/>
    <w:rsid w:val="00D27817"/>
    <w:rsid w:val="00D31B6E"/>
    <w:rsid w:val="00D36B03"/>
    <w:rsid w:val="00D57D37"/>
    <w:rsid w:val="00D613B3"/>
    <w:rsid w:val="00D805AF"/>
    <w:rsid w:val="00DD0AD1"/>
    <w:rsid w:val="00DD29A9"/>
    <w:rsid w:val="00DD5BE7"/>
    <w:rsid w:val="00DE2246"/>
    <w:rsid w:val="00DE279D"/>
    <w:rsid w:val="00E42CCC"/>
    <w:rsid w:val="00E84A9D"/>
    <w:rsid w:val="00EA2ACA"/>
    <w:rsid w:val="00ED18F5"/>
    <w:rsid w:val="00EF3EE4"/>
    <w:rsid w:val="00F609B3"/>
    <w:rsid w:val="00F9246C"/>
    <w:rsid w:val="00FB4082"/>
    <w:rsid w:val="00FD63C3"/>
    <w:rsid w:val="00FE75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C7F147"/>
  <w15:chartTrackingRefBased/>
  <w15:docId w15:val="{4C576A88-2061-F148-886D-6196322D4C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F0093"/>
  </w:style>
  <w:style w:type="paragraph" w:styleId="Heading1">
    <w:name w:val="heading 1"/>
    <w:basedOn w:val="Normal"/>
    <w:next w:val="Normal"/>
    <w:link w:val="Heading1Char"/>
    <w:uiPriority w:val="9"/>
    <w:qFormat/>
    <w:rsid w:val="00CC2AA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C2AA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C2AA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C2AA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C2AA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C2AA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C2AA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C2AA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C2AA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C2AA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C2AA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C2AA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C2AA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C2AA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C2AA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C2AA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C2AA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C2AA0"/>
    <w:rPr>
      <w:rFonts w:eastAsiaTheme="majorEastAsia" w:cstheme="majorBidi"/>
      <w:color w:val="272727" w:themeColor="text1" w:themeTint="D8"/>
    </w:rPr>
  </w:style>
  <w:style w:type="paragraph" w:styleId="Title">
    <w:name w:val="Title"/>
    <w:basedOn w:val="Normal"/>
    <w:next w:val="Normal"/>
    <w:link w:val="TitleChar"/>
    <w:uiPriority w:val="10"/>
    <w:qFormat/>
    <w:rsid w:val="00CC2AA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C2AA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C2AA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C2AA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C2AA0"/>
    <w:pPr>
      <w:spacing w:before="160"/>
      <w:jc w:val="center"/>
    </w:pPr>
    <w:rPr>
      <w:i/>
      <w:iCs/>
      <w:color w:val="404040" w:themeColor="text1" w:themeTint="BF"/>
    </w:rPr>
  </w:style>
  <w:style w:type="character" w:customStyle="1" w:styleId="QuoteChar">
    <w:name w:val="Quote Char"/>
    <w:basedOn w:val="DefaultParagraphFont"/>
    <w:link w:val="Quote"/>
    <w:uiPriority w:val="29"/>
    <w:rsid w:val="00CC2AA0"/>
    <w:rPr>
      <w:i/>
      <w:iCs/>
      <w:color w:val="404040" w:themeColor="text1" w:themeTint="BF"/>
    </w:rPr>
  </w:style>
  <w:style w:type="paragraph" w:styleId="ListParagraph">
    <w:name w:val="List Paragraph"/>
    <w:basedOn w:val="Normal"/>
    <w:uiPriority w:val="34"/>
    <w:qFormat/>
    <w:rsid w:val="00CC2AA0"/>
    <w:pPr>
      <w:ind w:left="720"/>
      <w:contextualSpacing/>
    </w:pPr>
  </w:style>
  <w:style w:type="character" w:styleId="IntenseEmphasis">
    <w:name w:val="Intense Emphasis"/>
    <w:basedOn w:val="DefaultParagraphFont"/>
    <w:uiPriority w:val="21"/>
    <w:qFormat/>
    <w:rsid w:val="00CC2AA0"/>
    <w:rPr>
      <w:i/>
      <w:iCs/>
      <w:color w:val="0F4761" w:themeColor="accent1" w:themeShade="BF"/>
    </w:rPr>
  </w:style>
  <w:style w:type="paragraph" w:styleId="IntenseQuote">
    <w:name w:val="Intense Quote"/>
    <w:basedOn w:val="Normal"/>
    <w:next w:val="Normal"/>
    <w:link w:val="IntenseQuoteChar"/>
    <w:uiPriority w:val="30"/>
    <w:qFormat/>
    <w:rsid w:val="00CC2AA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C2AA0"/>
    <w:rPr>
      <w:i/>
      <w:iCs/>
      <w:color w:val="0F4761" w:themeColor="accent1" w:themeShade="BF"/>
    </w:rPr>
  </w:style>
  <w:style w:type="character" w:styleId="IntenseReference">
    <w:name w:val="Intense Reference"/>
    <w:basedOn w:val="DefaultParagraphFont"/>
    <w:uiPriority w:val="32"/>
    <w:qFormat/>
    <w:rsid w:val="00CC2AA0"/>
    <w:rPr>
      <w:b/>
      <w:bCs/>
      <w:smallCaps/>
      <w:color w:val="0F4761" w:themeColor="accent1" w:themeShade="BF"/>
      <w:spacing w:val="5"/>
    </w:rPr>
  </w:style>
  <w:style w:type="paragraph" w:styleId="NormalWeb">
    <w:name w:val="Normal (Web)"/>
    <w:basedOn w:val="Normal"/>
    <w:uiPriority w:val="99"/>
    <w:unhideWhenUsed/>
    <w:rsid w:val="00CC2AA0"/>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CC2AA0"/>
    <w:rPr>
      <w:b/>
      <w:bCs/>
    </w:rPr>
  </w:style>
  <w:style w:type="character" w:styleId="Emphasis">
    <w:name w:val="Emphasis"/>
    <w:basedOn w:val="DefaultParagraphFont"/>
    <w:uiPriority w:val="20"/>
    <w:qFormat/>
    <w:rsid w:val="00CC2AA0"/>
    <w:rPr>
      <w:i/>
      <w:iCs/>
    </w:rPr>
  </w:style>
  <w:style w:type="character" w:styleId="Hyperlink">
    <w:name w:val="Hyperlink"/>
    <w:basedOn w:val="DefaultParagraphFont"/>
    <w:uiPriority w:val="99"/>
    <w:unhideWhenUsed/>
    <w:rsid w:val="00023C2B"/>
    <w:rPr>
      <w:color w:val="467886" w:themeColor="hyperlink"/>
      <w:u w:val="single"/>
    </w:rPr>
  </w:style>
  <w:style w:type="character" w:styleId="FollowedHyperlink">
    <w:name w:val="FollowedHyperlink"/>
    <w:basedOn w:val="DefaultParagraphFont"/>
    <w:uiPriority w:val="99"/>
    <w:semiHidden/>
    <w:unhideWhenUsed/>
    <w:rsid w:val="00257E2C"/>
    <w:rPr>
      <w:color w:val="96607D" w:themeColor="followedHyperlink"/>
      <w:u w:val="single"/>
    </w:rPr>
  </w:style>
  <w:style w:type="character" w:customStyle="1" w:styleId="citation-206">
    <w:name w:val="citation-206"/>
    <w:basedOn w:val="DefaultParagraphFont"/>
    <w:rsid w:val="00D31B6E"/>
  </w:style>
  <w:style w:type="character" w:customStyle="1" w:styleId="citation-205">
    <w:name w:val="citation-205"/>
    <w:basedOn w:val="DefaultParagraphFont"/>
    <w:rsid w:val="00D31B6E"/>
  </w:style>
  <w:style w:type="character" w:customStyle="1" w:styleId="citation-204">
    <w:name w:val="citation-204"/>
    <w:basedOn w:val="DefaultParagraphFont"/>
    <w:rsid w:val="00D31B6E"/>
  </w:style>
  <w:style w:type="character" w:customStyle="1" w:styleId="citation-203">
    <w:name w:val="citation-203"/>
    <w:basedOn w:val="DefaultParagraphFont"/>
    <w:rsid w:val="00D31B6E"/>
  </w:style>
  <w:style w:type="character" w:customStyle="1" w:styleId="citation-202">
    <w:name w:val="citation-202"/>
    <w:basedOn w:val="DefaultParagraphFont"/>
    <w:rsid w:val="00D31B6E"/>
  </w:style>
  <w:style w:type="paragraph" w:styleId="Header">
    <w:name w:val="header"/>
    <w:basedOn w:val="Normal"/>
    <w:link w:val="HeaderChar"/>
    <w:uiPriority w:val="99"/>
    <w:unhideWhenUsed/>
    <w:rsid w:val="00DE279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E279D"/>
  </w:style>
  <w:style w:type="paragraph" w:styleId="Footer">
    <w:name w:val="footer"/>
    <w:basedOn w:val="Normal"/>
    <w:link w:val="FooterChar"/>
    <w:uiPriority w:val="99"/>
    <w:unhideWhenUsed/>
    <w:rsid w:val="00DE279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E279D"/>
  </w:style>
  <w:style w:type="character" w:styleId="PageNumber">
    <w:name w:val="page number"/>
    <w:basedOn w:val="DefaultParagraphFont"/>
    <w:uiPriority w:val="99"/>
    <w:semiHidden/>
    <w:unhideWhenUsed/>
    <w:rsid w:val="00A470A6"/>
  </w:style>
  <w:style w:type="character" w:styleId="CommentReference">
    <w:name w:val="annotation reference"/>
    <w:basedOn w:val="DefaultParagraphFont"/>
    <w:uiPriority w:val="99"/>
    <w:semiHidden/>
    <w:unhideWhenUsed/>
    <w:rsid w:val="004D7D15"/>
    <w:rPr>
      <w:sz w:val="16"/>
      <w:szCs w:val="16"/>
    </w:rPr>
  </w:style>
  <w:style w:type="paragraph" w:styleId="CommentText">
    <w:name w:val="annotation text"/>
    <w:basedOn w:val="Normal"/>
    <w:link w:val="CommentTextChar"/>
    <w:uiPriority w:val="99"/>
    <w:semiHidden/>
    <w:unhideWhenUsed/>
    <w:rsid w:val="004D7D15"/>
    <w:pPr>
      <w:spacing w:line="240" w:lineRule="auto"/>
    </w:pPr>
    <w:rPr>
      <w:sz w:val="20"/>
      <w:szCs w:val="20"/>
    </w:rPr>
  </w:style>
  <w:style w:type="character" w:customStyle="1" w:styleId="CommentTextChar">
    <w:name w:val="Comment Text Char"/>
    <w:basedOn w:val="DefaultParagraphFont"/>
    <w:link w:val="CommentText"/>
    <w:uiPriority w:val="99"/>
    <w:semiHidden/>
    <w:rsid w:val="004D7D15"/>
    <w:rPr>
      <w:sz w:val="20"/>
      <w:szCs w:val="20"/>
    </w:rPr>
  </w:style>
  <w:style w:type="paragraph" w:styleId="CommentSubject">
    <w:name w:val="annotation subject"/>
    <w:basedOn w:val="CommentText"/>
    <w:next w:val="CommentText"/>
    <w:link w:val="CommentSubjectChar"/>
    <w:uiPriority w:val="99"/>
    <w:semiHidden/>
    <w:unhideWhenUsed/>
    <w:rsid w:val="004D7D15"/>
    <w:rPr>
      <w:b/>
      <w:bCs/>
    </w:rPr>
  </w:style>
  <w:style w:type="character" w:customStyle="1" w:styleId="CommentSubjectChar">
    <w:name w:val="Comment Subject Char"/>
    <w:basedOn w:val="CommentTextChar"/>
    <w:link w:val="CommentSubject"/>
    <w:uiPriority w:val="99"/>
    <w:semiHidden/>
    <w:rsid w:val="004D7D15"/>
    <w:rPr>
      <w:b/>
      <w:bCs/>
      <w:sz w:val="20"/>
      <w:szCs w:val="20"/>
    </w:rPr>
  </w:style>
  <w:style w:type="character" w:styleId="UnresolvedMention">
    <w:name w:val="Unresolved Mention"/>
    <w:basedOn w:val="DefaultParagraphFont"/>
    <w:uiPriority w:val="99"/>
    <w:semiHidden/>
    <w:unhideWhenUsed/>
    <w:rsid w:val="004B501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1wqtxts1xzle7.cloudfront.net/32939256/Ray_Interracial_Sex_Empire-libre.pdf?1392033316=&amp;response-content-disposition=inline%3B+filename%3DInterracial_Sex_and_the_Making_of_Empire.pdf&amp;Expires=1761659737&amp;Signature=IzqT8Z-8zROBVI4oTW8hVvVZrvmzeIP-I8p-7YXeN1HuNUUBVKEE45YYDLOZpOogXKiUy1A66w-h9~upIe9eqozumD4wTCzkUOdvJev82F7IT5DmMsL8pgHY4HJGGONZVuh0vNhIzVSGNZpdcRswuIQqmu6ZVQTbcVANEcd1k8aqaoPBiDA58onEAzaUbo9sqBjoPXuAnxUOWSl3CGUfjtSCU4rfsPpRop3cmytozlkyb3gETP7G1fkGBgM8l101CDRTgJH6LytLMGxqzt4AFKh48cmgsL06j7qFTG-eQ92kMaNNrmHhkD-un7EcQqgtU2foTmGUVvPEgYWy~xRfYA__&amp;Key-Pair-Id=APKAJLOHF5GGSLRBV4ZA" TargetMode="External"/><Relationship Id="rId13" Type="http://schemas.openxmlformats.org/officeDocument/2006/relationships/hyperlink" Target="https://www.proquest.com/docview/6013505/fulltextPDF/13DA1C3DDE5A4E11PQ/1?sourcetype=Historical%20Periodicals" TargetMode="External"/><Relationship Id="rId18" Type="http://schemas.openxmlformats.org/officeDocument/2006/relationships/header" Target="header1.xml"/><Relationship Id="rId3" Type="http://schemas.openxmlformats.org/officeDocument/2006/relationships/webSettings" Target="webSettings.xml"/><Relationship Id="rId21" Type="http://schemas.openxmlformats.org/officeDocument/2006/relationships/fontTable" Target="fontTable.xml"/><Relationship Id="rId7" Type="http://schemas.openxmlformats.org/officeDocument/2006/relationships/hyperlink" Target="https://doi.org/10.1080/03086530903538194" TargetMode="External"/><Relationship Id="rId12" Type="http://schemas.openxmlformats.org/officeDocument/2006/relationships/hyperlink" Target="https://doi.org/10.1080/10646175.2012.695632" TargetMode="External"/><Relationship Id="rId17" Type="http://schemas.openxmlformats.org/officeDocument/2006/relationships/hyperlink" Target="https://doi.org/10.1177/0096144216665307" TargetMode="External"/><Relationship Id="rId2" Type="http://schemas.openxmlformats.org/officeDocument/2006/relationships/settings" Target="settings.xml"/><Relationship Id="rId16" Type="http://schemas.openxmlformats.org/officeDocument/2006/relationships/hyperlink" Target="https://doi.org/10.1163/2208522X-02010060" TargetMode="External"/><Relationship Id="rId20" Type="http://schemas.openxmlformats.org/officeDocument/2006/relationships/footer" Target="footer2.xml"/><Relationship Id="rId1" Type="http://schemas.openxmlformats.org/officeDocument/2006/relationships/styles" Target="styles.xml"/><Relationship Id="rId6" Type="http://schemas.openxmlformats.org/officeDocument/2006/relationships/hyperlink" Target="https://www.proquest.com/docview/2643257?parentSessionId=ZG%2B0s8DklQ9XpgFFpLp%2B83KEWFav%2Bpb6M49IQrNsDZY%3D&amp;pq-origsite=primo&amp;accountid=130472&amp;sourcetype=Historical%20Periodicals&amp;imgSeq=1" TargetMode="External"/><Relationship Id="rId11" Type="http://schemas.openxmlformats.org/officeDocument/2006/relationships/hyperlink" Target="https://doi.org/10.1080/02582473.2024.2344507" TargetMode="External"/><Relationship Id="rId5" Type="http://schemas.openxmlformats.org/officeDocument/2006/relationships/endnotes" Target="endnotes.xml"/><Relationship Id="rId15" Type="http://schemas.openxmlformats.org/officeDocument/2006/relationships/hyperlink" Target="https://doi.org/10.3167/th.2023.7017701" TargetMode="External"/><Relationship Id="rId10" Type="http://schemas.openxmlformats.org/officeDocument/2006/relationships/hyperlink" Target="https://doi.org/10.1080/03057078808708190" TargetMode="External"/><Relationship Id="rId19"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yperlink" Target="https://doi.org/10.1080/03057079608708504" TargetMode="External"/><Relationship Id="rId14" Type="http://schemas.openxmlformats.org/officeDocument/2006/relationships/hyperlink" Target="https://doi.org/10.1080/17533171.2022.2094130"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10</Pages>
  <Words>3538</Words>
  <Characters>20173</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23664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 Bakewell (2204367)</dc:creator>
  <cp:keywords/>
  <dc:description/>
  <cp:lastModifiedBy>Richard Bakewell (2204367)</cp:lastModifiedBy>
  <cp:revision>2</cp:revision>
  <dcterms:created xsi:type="dcterms:W3CDTF">2026-04-17T10:42:00Z</dcterms:created>
  <dcterms:modified xsi:type="dcterms:W3CDTF">2026-04-17T10:42:00Z</dcterms:modified>
</cp:coreProperties>
</file>