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4BAF8" w14:textId="77777777" w:rsidR="00A576D7" w:rsidRDefault="00A576D7">
      <w:pPr>
        <w:spacing w:before="2000"/>
      </w:pPr>
    </w:p>
    <w:p w14:paraId="33F59629" w14:textId="77777777" w:rsidR="00A576D7" w:rsidRDefault="00000000">
      <w:pPr>
        <w:spacing w:after="120"/>
        <w:jc w:val="center"/>
      </w:pPr>
      <w:r>
        <w:rPr>
          <w:b/>
          <w:bCs/>
          <w:color w:val="333333"/>
          <w:sz w:val="26"/>
          <w:szCs w:val="26"/>
        </w:rPr>
        <w:t>Student Name: Raul Margel Andrei</w:t>
      </w:r>
    </w:p>
    <w:p w14:paraId="6F8E631B" w14:textId="77777777" w:rsidR="00A576D7" w:rsidRDefault="00000000">
      <w:pPr>
        <w:spacing w:after="400"/>
        <w:jc w:val="center"/>
      </w:pPr>
      <w:r>
        <w:rPr>
          <w:b/>
          <w:bCs/>
          <w:color w:val="333333"/>
          <w:sz w:val="26"/>
          <w:szCs w:val="26"/>
        </w:rPr>
        <w:t>Student ID: 2334867</w:t>
      </w:r>
    </w:p>
    <w:p w14:paraId="447CF633" w14:textId="77777777" w:rsidR="00A576D7" w:rsidRDefault="00000000">
      <w:pPr>
        <w:spacing w:after="400"/>
        <w:jc w:val="center"/>
      </w:pPr>
      <w:r>
        <w:rPr>
          <w:b/>
          <w:bCs/>
          <w:color w:val="1F3864"/>
          <w:sz w:val="40"/>
          <w:szCs w:val="40"/>
        </w:rPr>
        <w:t>The Pervasive Nature of Organisational Culture:</w:t>
      </w:r>
    </w:p>
    <w:p w14:paraId="08FDD1E1" w14:textId="77777777" w:rsidR="00A576D7" w:rsidRDefault="00000000">
      <w:pPr>
        <w:spacing w:after="600"/>
        <w:jc w:val="center"/>
      </w:pPr>
      <w:r>
        <w:rPr>
          <w:b/>
          <w:bCs/>
          <w:color w:val="2E5090"/>
          <w:sz w:val="36"/>
          <w:szCs w:val="36"/>
        </w:rPr>
        <w:t>A Critical Analysis of Toyota Motor Corporation</w:t>
      </w:r>
    </w:p>
    <w:p w14:paraId="0C6965EE" w14:textId="77777777" w:rsidR="00A576D7" w:rsidRDefault="00A576D7">
      <w:pPr>
        <w:spacing w:after="200"/>
      </w:pPr>
    </w:p>
    <w:p w14:paraId="42780FFC" w14:textId="77777777" w:rsidR="00A576D7" w:rsidRDefault="00A576D7">
      <w:pPr>
        <w:pBdr>
          <w:top w:val="single" w:sz="6" w:space="12" w:color="1F3864"/>
        </w:pBdr>
        <w:spacing w:after="100"/>
        <w:jc w:val="center"/>
      </w:pPr>
    </w:p>
    <w:p w14:paraId="130A1D0D" w14:textId="77777777" w:rsidR="00A576D7" w:rsidRDefault="00A576D7">
      <w:pPr>
        <w:spacing w:after="200"/>
      </w:pPr>
    </w:p>
    <w:p w14:paraId="060941C9" w14:textId="77777777" w:rsidR="00A576D7" w:rsidRDefault="00000000">
      <w:pPr>
        <w:spacing w:after="120"/>
        <w:jc w:val="center"/>
      </w:pPr>
      <w:r>
        <w:rPr>
          <w:color w:val="444444"/>
        </w:rPr>
        <w:t>Programme: BA (Hons) Leadership and Management Skills for the Workplace</w:t>
      </w:r>
    </w:p>
    <w:p w14:paraId="2C2D6921" w14:textId="77777777" w:rsidR="00A576D7" w:rsidRDefault="00000000">
      <w:pPr>
        <w:spacing w:after="120"/>
        <w:jc w:val="center"/>
      </w:pPr>
      <w:r>
        <w:rPr>
          <w:color w:val="444444"/>
        </w:rPr>
        <w:t>Module: Organisational Culture</w:t>
      </w:r>
    </w:p>
    <w:p w14:paraId="6526D7CD" w14:textId="77777777" w:rsidR="00A576D7" w:rsidRDefault="00000000">
      <w:pPr>
        <w:spacing w:after="120"/>
        <w:jc w:val="center"/>
      </w:pPr>
      <w:r>
        <w:rPr>
          <w:color w:val="444444"/>
        </w:rPr>
        <w:t>Module Code: LCLM 5005</w:t>
      </w:r>
    </w:p>
    <w:p w14:paraId="1E31B1E2" w14:textId="77777777" w:rsidR="00A576D7" w:rsidRDefault="00000000">
      <w:pPr>
        <w:spacing w:after="120"/>
        <w:jc w:val="center"/>
      </w:pPr>
      <w:r>
        <w:rPr>
          <w:color w:val="444444"/>
        </w:rPr>
        <w:t>Assignment Title: Component 1 – Organisational Culture: Individual Report</w:t>
      </w:r>
    </w:p>
    <w:p w14:paraId="7381FFD8" w14:textId="77777777" w:rsidR="00A576D7" w:rsidRDefault="00000000">
      <w:pPr>
        <w:spacing w:after="120"/>
        <w:jc w:val="center"/>
      </w:pPr>
      <w:r>
        <w:rPr>
          <w:color w:val="444444"/>
        </w:rPr>
        <w:t>Module Leaders: Rameses Manalang and David Oyebisi</w:t>
      </w:r>
    </w:p>
    <w:p w14:paraId="29F70E43" w14:textId="77777777" w:rsidR="00A576D7" w:rsidRDefault="00A576D7">
      <w:pPr>
        <w:sectPr w:rsidR="00A576D7">
          <w:pgSz w:w="11906" w:h="16838"/>
          <w:pgMar w:top="1440" w:right="1440" w:bottom="1440" w:left="1440" w:header="708" w:footer="708" w:gutter="0"/>
          <w:cols w:space="708"/>
          <w:docGrid w:linePitch="360"/>
        </w:sectPr>
      </w:pPr>
    </w:p>
    <w:p w14:paraId="05EAED25" w14:textId="77777777" w:rsidR="00A576D7" w:rsidRDefault="00000000">
      <w:pPr>
        <w:pStyle w:val="Heading1"/>
      </w:pPr>
      <w:bookmarkStart w:id="0" w:name="_Toc226670356"/>
      <w:r>
        <w:lastRenderedPageBreak/>
        <w:t>Table of Contents</w:t>
      </w:r>
      <w:bookmarkEnd w:id="0"/>
    </w:p>
    <w:sdt>
      <w:sdtPr>
        <w:alias w:val="Table of Contents"/>
        <w:id w:val="608247687"/>
      </w:sdtPr>
      <w:sdtContent>
        <w:p w14:paraId="20985EE3" w14:textId="77777777" w:rsidR="00DF7C34" w:rsidRDefault="00000000">
          <w:pPr>
            <w:pStyle w:val="TOC1"/>
            <w:tabs>
              <w:tab w:val="right" w:leader="dot" w:pos="9016"/>
            </w:tabs>
            <w:rPr>
              <w:noProof/>
            </w:rPr>
          </w:pPr>
          <w:r>
            <w:fldChar w:fldCharType="begin"/>
          </w:r>
          <w:r>
            <w:instrText>TOC \h \o "1-3"</w:instrText>
          </w:r>
          <w:r>
            <w:fldChar w:fldCharType="separate"/>
          </w:r>
          <w:hyperlink w:anchor="_Toc226670356" w:history="1">
            <w:r w:rsidR="00DF7C34" w:rsidRPr="00F176C2">
              <w:rPr>
                <w:rStyle w:val="Hyperlink"/>
                <w:noProof/>
              </w:rPr>
              <w:t>Table of Contents</w:t>
            </w:r>
            <w:r w:rsidR="00DF7C34">
              <w:rPr>
                <w:noProof/>
              </w:rPr>
              <w:tab/>
            </w:r>
            <w:r w:rsidR="00DF7C34">
              <w:rPr>
                <w:noProof/>
              </w:rPr>
              <w:fldChar w:fldCharType="begin"/>
            </w:r>
            <w:r w:rsidR="00DF7C34">
              <w:rPr>
                <w:noProof/>
              </w:rPr>
              <w:instrText xml:space="preserve"> PAGEREF _Toc226670356 \h </w:instrText>
            </w:r>
            <w:r w:rsidR="00DF7C34">
              <w:rPr>
                <w:noProof/>
              </w:rPr>
            </w:r>
            <w:r w:rsidR="00DF7C34">
              <w:rPr>
                <w:noProof/>
              </w:rPr>
              <w:fldChar w:fldCharType="separate"/>
            </w:r>
            <w:r w:rsidR="00DF7C34">
              <w:rPr>
                <w:noProof/>
              </w:rPr>
              <w:t>2</w:t>
            </w:r>
            <w:r w:rsidR="00DF7C34">
              <w:rPr>
                <w:noProof/>
              </w:rPr>
              <w:fldChar w:fldCharType="end"/>
            </w:r>
          </w:hyperlink>
        </w:p>
        <w:p w14:paraId="107CF805" w14:textId="77777777" w:rsidR="00DF7C34" w:rsidRDefault="00DF7C34">
          <w:pPr>
            <w:pStyle w:val="TOC1"/>
            <w:tabs>
              <w:tab w:val="right" w:leader="dot" w:pos="9016"/>
            </w:tabs>
            <w:rPr>
              <w:noProof/>
            </w:rPr>
          </w:pPr>
          <w:hyperlink w:anchor="_Toc226670357" w:history="1">
            <w:r w:rsidRPr="00F176C2">
              <w:rPr>
                <w:rStyle w:val="Hyperlink"/>
                <w:noProof/>
              </w:rPr>
              <w:t>1. Introduction</w:t>
            </w:r>
            <w:r>
              <w:rPr>
                <w:noProof/>
              </w:rPr>
              <w:tab/>
            </w:r>
            <w:r>
              <w:rPr>
                <w:noProof/>
              </w:rPr>
              <w:fldChar w:fldCharType="begin"/>
            </w:r>
            <w:r>
              <w:rPr>
                <w:noProof/>
              </w:rPr>
              <w:instrText xml:space="preserve"> PAGEREF _Toc226670357 \h </w:instrText>
            </w:r>
            <w:r>
              <w:rPr>
                <w:noProof/>
              </w:rPr>
            </w:r>
            <w:r>
              <w:rPr>
                <w:noProof/>
              </w:rPr>
              <w:fldChar w:fldCharType="separate"/>
            </w:r>
            <w:r>
              <w:rPr>
                <w:noProof/>
              </w:rPr>
              <w:t>3</w:t>
            </w:r>
            <w:r>
              <w:rPr>
                <w:noProof/>
              </w:rPr>
              <w:fldChar w:fldCharType="end"/>
            </w:r>
          </w:hyperlink>
        </w:p>
        <w:p w14:paraId="25438B38" w14:textId="77777777" w:rsidR="00DF7C34" w:rsidRDefault="00DF7C34">
          <w:pPr>
            <w:pStyle w:val="TOC1"/>
            <w:tabs>
              <w:tab w:val="right" w:leader="dot" w:pos="9016"/>
            </w:tabs>
            <w:rPr>
              <w:noProof/>
            </w:rPr>
          </w:pPr>
          <w:hyperlink w:anchor="_Toc226670358" w:history="1">
            <w:r w:rsidRPr="00F176C2">
              <w:rPr>
                <w:rStyle w:val="Hyperlink"/>
                <w:noProof/>
              </w:rPr>
              <w:t>2. Overview of Toyota’s Organisational Culture</w:t>
            </w:r>
            <w:r>
              <w:rPr>
                <w:noProof/>
              </w:rPr>
              <w:tab/>
            </w:r>
            <w:r>
              <w:rPr>
                <w:noProof/>
              </w:rPr>
              <w:fldChar w:fldCharType="begin"/>
            </w:r>
            <w:r>
              <w:rPr>
                <w:noProof/>
              </w:rPr>
              <w:instrText xml:space="preserve"> PAGEREF _Toc226670358 \h </w:instrText>
            </w:r>
            <w:r>
              <w:rPr>
                <w:noProof/>
              </w:rPr>
            </w:r>
            <w:r>
              <w:rPr>
                <w:noProof/>
              </w:rPr>
              <w:fldChar w:fldCharType="separate"/>
            </w:r>
            <w:r>
              <w:rPr>
                <w:noProof/>
              </w:rPr>
              <w:t>3</w:t>
            </w:r>
            <w:r>
              <w:rPr>
                <w:noProof/>
              </w:rPr>
              <w:fldChar w:fldCharType="end"/>
            </w:r>
          </w:hyperlink>
        </w:p>
        <w:p w14:paraId="2B40AE0D" w14:textId="77777777" w:rsidR="00DF7C34" w:rsidRDefault="00DF7C34">
          <w:pPr>
            <w:pStyle w:val="TOC2"/>
            <w:tabs>
              <w:tab w:val="right" w:leader="dot" w:pos="9016"/>
            </w:tabs>
            <w:rPr>
              <w:noProof/>
            </w:rPr>
          </w:pPr>
          <w:hyperlink w:anchor="_Toc226670359" w:history="1">
            <w:r w:rsidRPr="00F176C2">
              <w:rPr>
                <w:rStyle w:val="Hyperlink"/>
                <w:noProof/>
              </w:rPr>
              <w:t>2.1 The Toyota Way: Core Principles</w:t>
            </w:r>
            <w:r>
              <w:rPr>
                <w:noProof/>
              </w:rPr>
              <w:tab/>
            </w:r>
            <w:r>
              <w:rPr>
                <w:noProof/>
              </w:rPr>
              <w:fldChar w:fldCharType="begin"/>
            </w:r>
            <w:r>
              <w:rPr>
                <w:noProof/>
              </w:rPr>
              <w:instrText xml:space="preserve"> PAGEREF _Toc226670359 \h </w:instrText>
            </w:r>
            <w:r>
              <w:rPr>
                <w:noProof/>
              </w:rPr>
            </w:r>
            <w:r>
              <w:rPr>
                <w:noProof/>
              </w:rPr>
              <w:fldChar w:fldCharType="separate"/>
            </w:r>
            <w:r>
              <w:rPr>
                <w:noProof/>
              </w:rPr>
              <w:t>4</w:t>
            </w:r>
            <w:r>
              <w:rPr>
                <w:noProof/>
              </w:rPr>
              <w:fldChar w:fldCharType="end"/>
            </w:r>
          </w:hyperlink>
        </w:p>
        <w:p w14:paraId="6B61DFDE" w14:textId="77777777" w:rsidR="00DF7C34" w:rsidRDefault="00DF7C34">
          <w:pPr>
            <w:pStyle w:val="TOC2"/>
            <w:tabs>
              <w:tab w:val="right" w:leader="dot" w:pos="9016"/>
            </w:tabs>
            <w:rPr>
              <w:noProof/>
            </w:rPr>
          </w:pPr>
          <w:hyperlink w:anchor="_Toc226670360" w:history="1">
            <w:r w:rsidRPr="00F176C2">
              <w:rPr>
                <w:rStyle w:val="Hyperlink"/>
                <w:noProof/>
              </w:rPr>
              <w:t>2.2 Theoretical Analysis Using Schein’s Model</w:t>
            </w:r>
            <w:r>
              <w:rPr>
                <w:noProof/>
              </w:rPr>
              <w:tab/>
            </w:r>
            <w:r>
              <w:rPr>
                <w:noProof/>
              </w:rPr>
              <w:fldChar w:fldCharType="begin"/>
            </w:r>
            <w:r>
              <w:rPr>
                <w:noProof/>
              </w:rPr>
              <w:instrText xml:space="preserve"> PAGEREF _Toc226670360 \h </w:instrText>
            </w:r>
            <w:r>
              <w:rPr>
                <w:noProof/>
              </w:rPr>
            </w:r>
            <w:r>
              <w:rPr>
                <w:noProof/>
              </w:rPr>
              <w:fldChar w:fldCharType="separate"/>
            </w:r>
            <w:r>
              <w:rPr>
                <w:noProof/>
              </w:rPr>
              <w:t>4</w:t>
            </w:r>
            <w:r>
              <w:rPr>
                <w:noProof/>
              </w:rPr>
              <w:fldChar w:fldCharType="end"/>
            </w:r>
          </w:hyperlink>
        </w:p>
        <w:p w14:paraId="24D63BDD" w14:textId="77777777" w:rsidR="00DF7C34" w:rsidRDefault="00DF7C34">
          <w:pPr>
            <w:pStyle w:val="TOC1"/>
            <w:tabs>
              <w:tab w:val="right" w:leader="dot" w:pos="9016"/>
            </w:tabs>
            <w:rPr>
              <w:noProof/>
            </w:rPr>
          </w:pPr>
          <w:hyperlink w:anchor="_Toc226670361" w:history="1">
            <w:r w:rsidRPr="00F176C2">
              <w:rPr>
                <w:rStyle w:val="Hyperlink"/>
                <w:noProof/>
              </w:rPr>
              <w:t>3. The Influence of Culture on Decision-Making and Organisational Structure</w:t>
            </w:r>
            <w:r>
              <w:rPr>
                <w:noProof/>
              </w:rPr>
              <w:tab/>
            </w:r>
            <w:r>
              <w:rPr>
                <w:noProof/>
              </w:rPr>
              <w:fldChar w:fldCharType="begin"/>
            </w:r>
            <w:r>
              <w:rPr>
                <w:noProof/>
              </w:rPr>
              <w:instrText xml:space="preserve"> PAGEREF _Toc226670361 \h </w:instrText>
            </w:r>
            <w:r>
              <w:rPr>
                <w:noProof/>
              </w:rPr>
            </w:r>
            <w:r>
              <w:rPr>
                <w:noProof/>
              </w:rPr>
              <w:fldChar w:fldCharType="separate"/>
            </w:r>
            <w:r>
              <w:rPr>
                <w:noProof/>
              </w:rPr>
              <w:t>5</w:t>
            </w:r>
            <w:r>
              <w:rPr>
                <w:noProof/>
              </w:rPr>
              <w:fldChar w:fldCharType="end"/>
            </w:r>
          </w:hyperlink>
        </w:p>
        <w:p w14:paraId="49C35CA2" w14:textId="77777777" w:rsidR="00DF7C34" w:rsidRDefault="00DF7C34">
          <w:pPr>
            <w:pStyle w:val="TOC2"/>
            <w:tabs>
              <w:tab w:val="right" w:leader="dot" w:pos="9016"/>
            </w:tabs>
            <w:rPr>
              <w:noProof/>
            </w:rPr>
          </w:pPr>
          <w:hyperlink w:anchor="_Toc226670362" w:history="1">
            <w:r w:rsidRPr="00F176C2">
              <w:rPr>
                <w:rStyle w:val="Hyperlink"/>
                <w:noProof/>
              </w:rPr>
              <w:t>3.1 Decision-Making Processes</w:t>
            </w:r>
            <w:r>
              <w:rPr>
                <w:noProof/>
              </w:rPr>
              <w:tab/>
            </w:r>
            <w:r>
              <w:rPr>
                <w:noProof/>
              </w:rPr>
              <w:fldChar w:fldCharType="begin"/>
            </w:r>
            <w:r>
              <w:rPr>
                <w:noProof/>
              </w:rPr>
              <w:instrText xml:space="preserve"> PAGEREF _Toc226670362 \h </w:instrText>
            </w:r>
            <w:r>
              <w:rPr>
                <w:noProof/>
              </w:rPr>
            </w:r>
            <w:r>
              <w:rPr>
                <w:noProof/>
              </w:rPr>
              <w:fldChar w:fldCharType="separate"/>
            </w:r>
            <w:r>
              <w:rPr>
                <w:noProof/>
              </w:rPr>
              <w:t>5</w:t>
            </w:r>
            <w:r>
              <w:rPr>
                <w:noProof/>
              </w:rPr>
              <w:fldChar w:fldCharType="end"/>
            </w:r>
          </w:hyperlink>
        </w:p>
        <w:p w14:paraId="66C59A67" w14:textId="77777777" w:rsidR="00DF7C34" w:rsidRDefault="00DF7C34">
          <w:pPr>
            <w:pStyle w:val="TOC2"/>
            <w:tabs>
              <w:tab w:val="right" w:leader="dot" w:pos="9016"/>
            </w:tabs>
            <w:rPr>
              <w:noProof/>
            </w:rPr>
          </w:pPr>
          <w:hyperlink w:anchor="_Toc226670363" w:history="1">
            <w:r w:rsidRPr="00F176C2">
              <w:rPr>
                <w:rStyle w:val="Hyperlink"/>
                <w:noProof/>
              </w:rPr>
              <w:t>3.2 Organisational Structure</w:t>
            </w:r>
            <w:r>
              <w:rPr>
                <w:noProof/>
              </w:rPr>
              <w:tab/>
            </w:r>
            <w:r>
              <w:rPr>
                <w:noProof/>
              </w:rPr>
              <w:fldChar w:fldCharType="begin"/>
            </w:r>
            <w:r>
              <w:rPr>
                <w:noProof/>
              </w:rPr>
              <w:instrText xml:space="preserve"> PAGEREF _Toc226670363 \h </w:instrText>
            </w:r>
            <w:r>
              <w:rPr>
                <w:noProof/>
              </w:rPr>
            </w:r>
            <w:r>
              <w:rPr>
                <w:noProof/>
              </w:rPr>
              <w:fldChar w:fldCharType="separate"/>
            </w:r>
            <w:r>
              <w:rPr>
                <w:noProof/>
              </w:rPr>
              <w:t>6</w:t>
            </w:r>
            <w:r>
              <w:rPr>
                <w:noProof/>
              </w:rPr>
              <w:fldChar w:fldCharType="end"/>
            </w:r>
          </w:hyperlink>
        </w:p>
        <w:p w14:paraId="45C13C4E" w14:textId="77777777" w:rsidR="00DF7C34" w:rsidRDefault="00DF7C34">
          <w:pPr>
            <w:pStyle w:val="TOC1"/>
            <w:tabs>
              <w:tab w:val="right" w:leader="dot" w:pos="9016"/>
            </w:tabs>
            <w:rPr>
              <w:noProof/>
            </w:rPr>
          </w:pPr>
          <w:hyperlink w:anchor="_Toc226670364" w:history="1">
            <w:r w:rsidRPr="00F176C2">
              <w:rPr>
                <w:rStyle w:val="Hyperlink"/>
                <w:noProof/>
              </w:rPr>
              <w:t>4. Culture, Motivation, and Job Satisfaction</w:t>
            </w:r>
            <w:r>
              <w:rPr>
                <w:noProof/>
              </w:rPr>
              <w:tab/>
            </w:r>
            <w:r>
              <w:rPr>
                <w:noProof/>
              </w:rPr>
              <w:fldChar w:fldCharType="begin"/>
            </w:r>
            <w:r>
              <w:rPr>
                <w:noProof/>
              </w:rPr>
              <w:instrText xml:space="preserve"> PAGEREF _Toc226670364 \h </w:instrText>
            </w:r>
            <w:r>
              <w:rPr>
                <w:noProof/>
              </w:rPr>
            </w:r>
            <w:r>
              <w:rPr>
                <w:noProof/>
              </w:rPr>
              <w:fldChar w:fldCharType="separate"/>
            </w:r>
            <w:r>
              <w:rPr>
                <w:noProof/>
              </w:rPr>
              <w:t>6</w:t>
            </w:r>
            <w:r>
              <w:rPr>
                <w:noProof/>
              </w:rPr>
              <w:fldChar w:fldCharType="end"/>
            </w:r>
          </w:hyperlink>
        </w:p>
        <w:p w14:paraId="213362D7" w14:textId="77777777" w:rsidR="00DF7C34" w:rsidRDefault="00DF7C34">
          <w:pPr>
            <w:pStyle w:val="TOC2"/>
            <w:tabs>
              <w:tab w:val="right" w:leader="dot" w:pos="9016"/>
            </w:tabs>
            <w:rPr>
              <w:noProof/>
            </w:rPr>
          </w:pPr>
          <w:hyperlink w:anchor="_Toc226670365" w:history="1">
            <w:r w:rsidRPr="00F176C2">
              <w:rPr>
                <w:rStyle w:val="Hyperlink"/>
                <w:noProof/>
              </w:rPr>
              <w:t>4.1 Intrinsic Motivation and Employee Empowerment</w:t>
            </w:r>
            <w:r>
              <w:rPr>
                <w:noProof/>
              </w:rPr>
              <w:tab/>
            </w:r>
            <w:r>
              <w:rPr>
                <w:noProof/>
              </w:rPr>
              <w:fldChar w:fldCharType="begin"/>
            </w:r>
            <w:r>
              <w:rPr>
                <w:noProof/>
              </w:rPr>
              <w:instrText xml:space="preserve"> PAGEREF _Toc226670365 \h </w:instrText>
            </w:r>
            <w:r>
              <w:rPr>
                <w:noProof/>
              </w:rPr>
            </w:r>
            <w:r>
              <w:rPr>
                <w:noProof/>
              </w:rPr>
              <w:fldChar w:fldCharType="separate"/>
            </w:r>
            <w:r>
              <w:rPr>
                <w:noProof/>
              </w:rPr>
              <w:t>6</w:t>
            </w:r>
            <w:r>
              <w:rPr>
                <w:noProof/>
              </w:rPr>
              <w:fldChar w:fldCharType="end"/>
            </w:r>
          </w:hyperlink>
        </w:p>
        <w:p w14:paraId="4B63982A" w14:textId="77777777" w:rsidR="00DF7C34" w:rsidRDefault="00DF7C34">
          <w:pPr>
            <w:pStyle w:val="TOC2"/>
            <w:tabs>
              <w:tab w:val="right" w:leader="dot" w:pos="9016"/>
            </w:tabs>
            <w:rPr>
              <w:noProof/>
            </w:rPr>
          </w:pPr>
          <w:hyperlink w:anchor="_Toc226670366" w:history="1">
            <w:r w:rsidRPr="00F176C2">
              <w:rPr>
                <w:rStyle w:val="Hyperlink"/>
                <w:noProof/>
              </w:rPr>
              <w:t>4.2 Teamwork and Group Behaviour</w:t>
            </w:r>
            <w:r>
              <w:rPr>
                <w:noProof/>
              </w:rPr>
              <w:tab/>
            </w:r>
            <w:r>
              <w:rPr>
                <w:noProof/>
              </w:rPr>
              <w:fldChar w:fldCharType="begin"/>
            </w:r>
            <w:r>
              <w:rPr>
                <w:noProof/>
              </w:rPr>
              <w:instrText xml:space="preserve"> PAGEREF _Toc226670366 \h </w:instrText>
            </w:r>
            <w:r>
              <w:rPr>
                <w:noProof/>
              </w:rPr>
            </w:r>
            <w:r>
              <w:rPr>
                <w:noProof/>
              </w:rPr>
              <w:fldChar w:fldCharType="separate"/>
            </w:r>
            <w:r>
              <w:rPr>
                <w:noProof/>
              </w:rPr>
              <w:t>7</w:t>
            </w:r>
            <w:r>
              <w:rPr>
                <w:noProof/>
              </w:rPr>
              <w:fldChar w:fldCharType="end"/>
            </w:r>
          </w:hyperlink>
        </w:p>
        <w:p w14:paraId="46D156BA" w14:textId="77777777" w:rsidR="00DF7C34" w:rsidRDefault="00DF7C34">
          <w:pPr>
            <w:pStyle w:val="TOC2"/>
            <w:tabs>
              <w:tab w:val="right" w:leader="dot" w:pos="9016"/>
            </w:tabs>
            <w:rPr>
              <w:noProof/>
            </w:rPr>
          </w:pPr>
          <w:hyperlink w:anchor="_Toc226670367" w:history="1">
            <w:r w:rsidRPr="00F176C2">
              <w:rPr>
                <w:rStyle w:val="Hyperlink"/>
                <w:noProof/>
              </w:rPr>
              <w:t>4.3 The Role of Leadership</w:t>
            </w:r>
            <w:r>
              <w:rPr>
                <w:noProof/>
              </w:rPr>
              <w:tab/>
            </w:r>
            <w:r>
              <w:rPr>
                <w:noProof/>
              </w:rPr>
              <w:fldChar w:fldCharType="begin"/>
            </w:r>
            <w:r>
              <w:rPr>
                <w:noProof/>
              </w:rPr>
              <w:instrText xml:space="preserve"> PAGEREF _Toc226670367 \h </w:instrText>
            </w:r>
            <w:r>
              <w:rPr>
                <w:noProof/>
              </w:rPr>
            </w:r>
            <w:r>
              <w:rPr>
                <w:noProof/>
              </w:rPr>
              <w:fldChar w:fldCharType="separate"/>
            </w:r>
            <w:r>
              <w:rPr>
                <w:noProof/>
              </w:rPr>
              <w:t>8</w:t>
            </w:r>
            <w:r>
              <w:rPr>
                <w:noProof/>
              </w:rPr>
              <w:fldChar w:fldCharType="end"/>
            </w:r>
          </w:hyperlink>
        </w:p>
        <w:p w14:paraId="67F904BF" w14:textId="77777777" w:rsidR="00DF7C34" w:rsidRDefault="00DF7C34">
          <w:pPr>
            <w:pStyle w:val="TOC1"/>
            <w:tabs>
              <w:tab w:val="right" w:leader="dot" w:pos="9016"/>
            </w:tabs>
            <w:rPr>
              <w:noProof/>
            </w:rPr>
          </w:pPr>
          <w:hyperlink w:anchor="_Toc226670368" w:history="1">
            <w:r w:rsidRPr="00F176C2">
              <w:rPr>
                <w:rStyle w:val="Hyperlink"/>
                <w:noProof/>
              </w:rPr>
              <w:t>5. Globalisation and Cultural Challenges</w:t>
            </w:r>
            <w:r>
              <w:rPr>
                <w:noProof/>
              </w:rPr>
              <w:tab/>
            </w:r>
            <w:r>
              <w:rPr>
                <w:noProof/>
              </w:rPr>
              <w:fldChar w:fldCharType="begin"/>
            </w:r>
            <w:r>
              <w:rPr>
                <w:noProof/>
              </w:rPr>
              <w:instrText xml:space="preserve"> PAGEREF _Toc226670368 \h </w:instrText>
            </w:r>
            <w:r>
              <w:rPr>
                <w:noProof/>
              </w:rPr>
            </w:r>
            <w:r>
              <w:rPr>
                <w:noProof/>
              </w:rPr>
              <w:fldChar w:fldCharType="separate"/>
            </w:r>
            <w:r>
              <w:rPr>
                <w:noProof/>
              </w:rPr>
              <w:t>8</w:t>
            </w:r>
            <w:r>
              <w:rPr>
                <w:noProof/>
              </w:rPr>
              <w:fldChar w:fldCharType="end"/>
            </w:r>
          </w:hyperlink>
        </w:p>
        <w:p w14:paraId="5737F1CC" w14:textId="77777777" w:rsidR="00DF7C34" w:rsidRDefault="00DF7C34">
          <w:pPr>
            <w:pStyle w:val="TOC2"/>
            <w:tabs>
              <w:tab w:val="right" w:leader="dot" w:pos="9016"/>
            </w:tabs>
            <w:rPr>
              <w:noProof/>
            </w:rPr>
          </w:pPr>
          <w:hyperlink w:anchor="_Toc226670369" w:history="1">
            <w:r w:rsidRPr="00F176C2">
              <w:rPr>
                <w:rStyle w:val="Hyperlink"/>
                <w:noProof/>
              </w:rPr>
              <w:t>5.1 Transferring Culture Across Borders</w:t>
            </w:r>
            <w:r>
              <w:rPr>
                <w:noProof/>
              </w:rPr>
              <w:tab/>
            </w:r>
            <w:r>
              <w:rPr>
                <w:noProof/>
              </w:rPr>
              <w:fldChar w:fldCharType="begin"/>
            </w:r>
            <w:r>
              <w:rPr>
                <w:noProof/>
              </w:rPr>
              <w:instrText xml:space="preserve"> PAGEREF _Toc226670369 \h </w:instrText>
            </w:r>
            <w:r>
              <w:rPr>
                <w:noProof/>
              </w:rPr>
            </w:r>
            <w:r>
              <w:rPr>
                <w:noProof/>
              </w:rPr>
              <w:fldChar w:fldCharType="separate"/>
            </w:r>
            <w:r>
              <w:rPr>
                <w:noProof/>
              </w:rPr>
              <w:t>8</w:t>
            </w:r>
            <w:r>
              <w:rPr>
                <w:noProof/>
              </w:rPr>
              <w:fldChar w:fldCharType="end"/>
            </w:r>
          </w:hyperlink>
        </w:p>
        <w:p w14:paraId="1843F3DB" w14:textId="77777777" w:rsidR="00DF7C34" w:rsidRDefault="00DF7C34">
          <w:pPr>
            <w:pStyle w:val="TOC2"/>
            <w:tabs>
              <w:tab w:val="right" w:leader="dot" w:pos="9016"/>
            </w:tabs>
            <w:rPr>
              <w:noProof/>
            </w:rPr>
          </w:pPr>
          <w:hyperlink w:anchor="_Toc226670370" w:history="1">
            <w:r w:rsidRPr="00F176C2">
              <w:rPr>
                <w:rStyle w:val="Hyperlink"/>
                <w:noProof/>
              </w:rPr>
              <w:t>5.2 The 2009–2010 Recall Crisis as a Cultural Failure</w:t>
            </w:r>
            <w:r>
              <w:rPr>
                <w:noProof/>
              </w:rPr>
              <w:tab/>
            </w:r>
            <w:r>
              <w:rPr>
                <w:noProof/>
              </w:rPr>
              <w:fldChar w:fldCharType="begin"/>
            </w:r>
            <w:r>
              <w:rPr>
                <w:noProof/>
              </w:rPr>
              <w:instrText xml:space="preserve"> PAGEREF _Toc226670370 \h </w:instrText>
            </w:r>
            <w:r>
              <w:rPr>
                <w:noProof/>
              </w:rPr>
            </w:r>
            <w:r>
              <w:rPr>
                <w:noProof/>
              </w:rPr>
              <w:fldChar w:fldCharType="separate"/>
            </w:r>
            <w:r>
              <w:rPr>
                <w:noProof/>
              </w:rPr>
              <w:t>9</w:t>
            </w:r>
            <w:r>
              <w:rPr>
                <w:noProof/>
              </w:rPr>
              <w:fldChar w:fldCharType="end"/>
            </w:r>
          </w:hyperlink>
        </w:p>
        <w:p w14:paraId="01EEDCBF" w14:textId="77777777" w:rsidR="00DF7C34" w:rsidRDefault="00DF7C34">
          <w:pPr>
            <w:pStyle w:val="TOC2"/>
            <w:tabs>
              <w:tab w:val="right" w:leader="dot" w:pos="9016"/>
            </w:tabs>
            <w:rPr>
              <w:noProof/>
            </w:rPr>
          </w:pPr>
          <w:hyperlink w:anchor="_Toc226670371" w:history="1">
            <w:r w:rsidRPr="00F176C2">
              <w:rPr>
                <w:rStyle w:val="Hyperlink"/>
                <w:noProof/>
              </w:rPr>
              <w:t>5.3 Strategies for Cultural Integration</w:t>
            </w:r>
            <w:r>
              <w:rPr>
                <w:noProof/>
              </w:rPr>
              <w:tab/>
            </w:r>
            <w:r>
              <w:rPr>
                <w:noProof/>
              </w:rPr>
              <w:fldChar w:fldCharType="begin"/>
            </w:r>
            <w:r>
              <w:rPr>
                <w:noProof/>
              </w:rPr>
              <w:instrText xml:space="preserve"> PAGEREF _Toc226670371 \h </w:instrText>
            </w:r>
            <w:r>
              <w:rPr>
                <w:noProof/>
              </w:rPr>
            </w:r>
            <w:r>
              <w:rPr>
                <w:noProof/>
              </w:rPr>
              <w:fldChar w:fldCharType="separate"/>
            </w:r>
            <w:r>
              <w:rPr>
                <w:noProof/>
              </w:rPr>
              <w:t>10</w:t>
            </w:r>
            <w:r>
              <w:rPr>
                <w:noProof/>
              </w:rPr>
              <w:fldChar w:fldCharType="end"/>
            </w:r>
          </w:hyperlink>
        </w:p>
        <w:p w14:paraId="43974A1A" w14:textId="77777777" w:rsidR="00DF7C34" w:rsidRDefault="00DF7C34">
          <w:pPr>
            <w:pStyle w:val="TOC1"/>
            <w:tabs>
              <w:tab w:val="right" w:leader="dot" w:pos="9016"/>
            </w:tabs>
            <w:rPr>
              <w:noProof/>
            </w:rPr>
          </w:pPr>
          <w:hyperlink w:anchor="_Toc226670372" w:history="1">
            <w:r w:rsidRPr="00F176C2">
              <w:rPr>
                <w:rStyle w:val="Hyperlink"/>
                <w:noProof/>
              </w:rPr>
              <w:t>6. Critical Evaluation</w:t>
            </w:r>
            <w:r>
              <w:rPr>
                <w:noProof/>
              </w:rPr>
              <w:tab/>
            </w:r>
            <w:r>
              <w:rPr>
                <w:noProof/>
              </w:rPr>
              <w:fldChar w:fldCharType="begin"/>
            </w:r>
            <w:r>
              <w:rPr>
                <w:noProof/>
              </w:rPr>
              <w:instrText xml:space="preserve"> PAGEREF _Toc226670372 \h </w:instrText>
            </w:r>
            <w:r>
              <w:rPr>
                <w:noProof/>
              </w:rPr>
            </w:r>
            <w:r>
              <w:rPr>
                <w:noProof/>
              </w:rPr>
              <w:fldChar w:fldCharType="separate"/>
            </w:r>
            <w:r>
              <w:rPr>
                <w:noProof/>
              </w:rPr>
              <w:t>10</w:t>
            </w:r>
            <w:r>
              <w:rPr>
                <w:noProof/>
              </w:rPr>
              <w:fldChar w:fldCharType="end"/>
            </w:r>
          </w:hyperlink>
        </w:p>
        <w:p w14:paraId="1E02A290" w14:textId="77777777" w:rsidR="00DF7C34" w:rsidRDefault="00DF7C34">
          <w:pPr>
            <w:pStyle w:val="TOC1"/>
            <w:tabs>
              <w:tab w:val="right" w:leader="dot" w:pos="9016"/>
            </w:tabs>
            <w:rPr>
              <w:noProof/>
            </w:rPr>
          </w:pPr>
          <w:hyperlink w:anchor="_Toc226670373" w:history="1">
            <w:r w:rsidRPr="00F176C2">
              <w:rPr>
                <w:rStyle w:val="Hyperlink"/>
                <w:noProof/>
              </w:rPr>
              <w:t>7. Conclusion</w:t>
            </w:r>
            <w:r>
              <w:rPr>
                <w:noProof/>
              </w:rPr>
              <w:tab/>
            </w:r>
            <w:r>
              <w:rPr>
                <w:noProof/>
              </w:rPr>
              <w:fldChar w:fldCharType="begin"/>
            </w:r>
            <w:r>
              <w:rPr>
                <w:noProof/>
              </w:rPr>
              <w:instrText xml:space="preserve"> PAGEREF _Toc226670373 \h </w:instrText>
            </w:r>
            <w:r>
              <w:rPr>
                <w:noProof/>
              </w:rPr>
            </w:r>
            <w:r>
              <w:rPr>
                <w:noProof/>
              </w:rPr>
              <w:fldChar w:fldCharType="separate"/>
            </w:r>
            <w:r>
              <w:rPr>
                <w:noProof/>
              </w:rPr>
              <w:t>11</w:t>
            </w:r>
            <w:r>
              <w:rPr>
                <w:noProof/>
              </w:rPr>
              <w:fldChar w:fldCharType="end"/>
            </w:r>
          </w:hyperlink>
        </w:p>
        <w:p w14:paraId="662333FE" w14:textId="77777777" w:rsidR="00DF7C34" w:rsidRDefault="00DF7C34">
          <w:pPr>
            <w:pStyle w:val="TOC1"/>
            <w:tabs>
              <w:tab w:val="right" w:leader="dot" w:pos="9016"/>
            </w:tabs>
            <w:rPr>
              <w:noProof/>
            </w:rPr>
          </w:pPr>
          <w:hyperlink w:anchor="_Toc226670374" w:history="1">
            <w:r w:rsidRPr="00F176C2">
              <w:rPr>
                <w:rStyle w:val="Hyperlink"/>
                <w:noProof/>
              </w:rPr>
              <w:t>8. Reference List</w:t>
            </w:r>
            <w:r>
              <w:rPr>
                <w:noProof/>
              </w:rPr>
              <w:tab/>
            </w:r>
            <w:r>
              <w:rPr>
                <w:noProof/>
              </w:rPr>
              <w:fldChar w:fldCharType="begin"/>
            </w:r>
            <w:r>
              <w:rPr>
                <w:noProof/>
              </w:rPr>
              <w:instrText xml:space="preserve"> PAGEREF _Toc226670374 \h </w:instrText>
            </w:r>
            <w:r>
              <w:rPr>
                <w:noProof/>
              </w:rPr>
            </w:r>
            <w:r>
              <w:rPr>
                <w:noProof/>
              </w:rPr>
              <w:fldChar w:fldCharType="separate"/>
            </w:r>
            <w:r>
              <w:rPr>
                <w:noProof/>
              </w:rPr>
              <w:t>12</w:t>
            </w:r>
            <w:r>
              <w:rPr>
                <w:noProof/>
              </w:rPr>
              <w:fldChar w:fldCharType="end"/>
            </w:r>
          </w:hyperlink>
        </w:p>
        <w:p w14:paraId="6F8E94A0" w14:textId="77777777" w:rsidR="00A576D7" w:rsidRDefault="00000000">
          <w:r>
            <w:fldChar w:fldCharType="end"/>
          </w:r>
        </w:p>
      </w:sdtContent>
    </w:sdt>
    <w:p w14:paraId="4BE8B9E8" w14:textId="77777777" w:rsidR="00A576D7" w:rsidRDefault="00A576D7">
      <w:pPr>
        <w:sectPr w:rsidR="00A576D7">
          <w:pgSz w:w="11906" w:h="16838"/>
          <w:pgMar w:top="1440" w:right="1440" w:bottom="1440" w:left="1440" w:header="708" w:footer="708" w:gutter="0"/>
          <w:cols w:space="708"/>
          <w:docGrid w:linePitch="360"/>
        </w:sectPr>
      </w:pPr>
    </w:p>
    <w:p w14:paraId="3A30D5D2" w14:textId="77777777" w:rsidR="00A576D7" w:rsidRDefault="00000000">
      <w:pPr>
        <w:pStyle w:val="Heading1"/>
      </w:pPr>
      <w:bookmarkStart w:id="1" w:name="_Toc226670357"/>
      <w:r>
        <w:lastRenderedPageBreak/>
        <w:t>1. Introduction</w:t>
      </w:r>
      <w:bookmarkEnd w:id="1"/>
    </w:p>
    <w:p w14:paraId="7E879946" w14:textId="77777777" w:rsidR="00A576D7" w:rsidRDefault="00000000">
      <w:pPr>
        <w:spacing w:after="200" w:line="360" w:lineRule="auto"/>
      </w:pPr>
      <w:r>
        <w:t>Organisational culture is recognised as one of the major forces that influences the way businesses function, how they compete and how they evolve. Mullins and Christy (2016) refer to it as being an integral part of the ‘way things get done around here.’ It consists of the values, beliefs and attitudes shared by all employees in a workplace that have a significant impact on decision-making, structural design, group behaviour and motivation, job satisfaction and the systems of management control. The increasing globalisation of the business environment necessitates that organisations are capable of managing a culturally diverse workforce whilst also being able to maintain an integrated internal culture that drives organisation performance and creates competitive advantage.</w:t>
      </w:r>
    </w:p>
    <w:p w14:paraId="11234D2A" w14:textId="77777777" w:rsidR="00A576D7" w:rsidRDefault="00000000">
      <w:pPr>
        <w:pStyle w:val="Heading1"/>
      </w:pPr>
      <w:bookmarkStart w:id="2" w:name="_Toc226670358"/>
      <w:r>
        <w:t>2. Overview of Toyota’s Organisational Culture</w:t>
      </w:r>
      <w:bookmarkEnd w:id="2"/>
    </w:p>
    <w:p w14:paraId="1253FF3B" w14:textId="77777777" w:rsidR="00A576D7" w:rsidRDefault="00000000">
      <w:pPr>
        <w:pStyle w:val="Heading2"/>
      </w:pPr>
      <w:bookmarkStart w:id="3" w:name="_Toc226670359"/>
      <w:r>
        <w:t>2.1 The Toyota Way: Core Principles</w:t>
      </w:r>
      <w:bookmarkEnd w:id="3"/>
    </w:p>
    <w:p w14:paraId="3B732C09" w14:textId="77777777" w:rsidR="00A576D7" w:rsidRDefault="00000000">
      <w:pPr>
        <w:spacing w:after="200" w:line="360" w:lineRule="auto"/>
      </w:pPr>
      <w:r>
        <w:t>In 2001, Toyota established an internal document titled “The Toyota Way 2001” which provided a basis for the way the company had operated for over fifty years (Liker, 2004). In addition to describing policies and procedures, The Toyota Way 2001 outlines the values that guide decision-making at Toyota. These values are grouped into two overarching categories: Continuous Improvement (Kaizen) and Respect for All People. Continuous Improvement is defined as the concept that no process is perfect; therefore, every employee has the responsibility to look for ways to identify and eliminate waste or “muda” (Japanese terminology). Toyota implements the philosophy of Continuous Improvement through its many operational methods, most notably through its use of the Toyota Production System (TPS), including Just-in-Time (JIT) production, Jidoka (automatic with automatic backload), and Andon (an authority that any line employee may use to stop production in case of a quality issue) (Liker, 2004).</w:t>
      </w:r>
    </w:p>
    <w:p w14:paraId="4C6D388D" w14:textId="77777777" w:rsidR="00A576D7" w:rsidRDefault="00000000">
      <w:pPr>
        <w:spacing w:after="200" w:line="360" w:lineRule="auto"/>
      </w:pPr>
      <w:r>
        <w:t xml:space="preserve">The second pillar of Respect for People recognizes that the organization is an entity formed by its people, and that this human capital is the source of its strength. However, Respect for People goes beyond the basic welfare of employees to include a strong commitment to the growth of each individual, working together as a team, </w:t>
      </w:r>
      <w:r>
        <w:lastRenderedPageBreak/>
        <w:t>and creating a trusting relationship between employees and management. Toyota’s culture is based on the principle of egalitarianism at work: there are no executive parking spaces, no executive dining rooms, and no visible separation of status between managers and shop-floor workers (Besser, 1995).</w:t>
      </w:r>
    </w:p>
    <w:p w14:paraId="151F468D" w14:textId="77777777" w:rsidR="00A576D7" w:rsidRDefault="00000000">
      <w:pPr>
        <w:pStyle w:val="Heading2"/>
      </w:pPr>
      <w:bookmarkStart w:id="4" w:name="_Toc226670360"/>
      <w:r>
        <w:t>2.2 Theoretical Analysis Using Schein’s Model</w:t>
      </w:r>
      <w:bookmarkEnd w:id="4"/>
    </w:p>
    <w:p w14:paraId="6BE25414" w14:textId="77777777" w:rsidR="00A576D7" w:rsidRDefault="00000000">
      <w:pPr>
        <w:spacing w:after="200" w:line="360" w:lineRule="auto"/>
      </w:pPr>
      <w:r>
        <w:t>Analyzing Toyota’s culture through Schein’s (2010) three levels of organisational culture provides a valuable perspective. The first level of artefacts provides evidence of Toyota’s culture in the physical environment, including: open plan offices, standardised uniforms, visual management boards, and factory designs that are based around facilitating communication and a continuous flow of materials. The second level of espoused values shows that Toyota does explicitly state its commitment to quality, long term thinking and mutual respect through the documentation of the Toyota Way and employee training programs. The third level of the basic underlying assumptions show how the company uses three assumptions when it comes to how they do business: 1) problems are learning opportunities, 2) whereas the company relies on expertise to make decisions (not hierarchy) and, 3) sustained long term success is more important than short term profit (Liker &amp; Hoseus, 2008).</w:t>
      </w:r>
    </w:p>
    <w:p w14:paraId="64C080B2" w14:textId="77777777" w:rsidR="00A576D7" w:rsidRDefault="00000000">
      <w:pPr>
        <w:spacing w:after="200" w:line="360" w:lineRule="auto"/>
      </w:pPr>
      <w:r>
        <w:t>The reason many companies have difficulty replicating Toyota’s success by utilizing the processes developed at Toyota is due to the fact that they do not understand the core values and beliefs, which underlie the process, that promote the concepts of continuous improvement and respect for all people. Therefore, when people use Lean Methods, they almost always do not perform well and produce no meaningful outcomes over time (Liker, 2004).</w:t>
      </w:r>
    </w:p>
    <w:p w14:paraId="48160933" w14:textId="77777777" w:rsidR="00A576D7" w:rsidRDefault="00000000">
      <w:pPr>
        <w:pStyle w:val="Heading1"/>
      </w:pPr>
      <w:bookmarkStart w:id="5" w:name="_Toc226670361"/>
      <w:r>
        <w:t>3. The Influence of Culture on Decision-Making and Organisational Structure</w:t>
      </w:r>
      <w:bookmarkEnd w:id="5"/>
    </w:p>
    <w:p w14:paraId="106BCFE2" w14:textId="77777777" w:rsidR="00A576D7" w:rsidRDefault="00000000">
      <w:pPr>
        <w:pStyle w:val="Heading2"/>
      </w:pPr>
      <w:bookmarkStart w:id="6" w:name="_Toc226670362"/>
      <w:r>
        <w:t>3.1 Decision-Making Processes</w:t>
      </w:r>
      <w:bookmarkEnd w:id="6"/>
    </w:p>
    <w:p w14:paraId="1312C93A" w14:textId="77777777" w:rsidR="00A576D7" w:rsidRDefault="00000000">
      <w:pPr>
        <w:spacing w:after="200" w:line="360" w:lineRule="auto"/>
      </w:pPr>
      <w:r>
        <w:t xml:space="preserve">The decision-making style of Toyota is heavily dependent upon culture. Toyota uses a consensus-based format of decision-making called Nemawashi where proposals to be made must be broadly circulated and discussed by all parties concerned before a formal decision is made (Liker, 2004). While this lengthens the time before finalising </w:t>
      </w:r>
      <w:r>
        <w:lastRenderedPageBreak/>
        <w:t>a decision, it does ensure thorough evaluation of the proposal being considered as well as ensure general acceptance of the proposal resulting in faster and more effective implementation of the decision. This is a stark contrast to the management style of many western companies whose managers often want to make quick decisions and provide little importance to the quality of implementation of the decision.</w:t>
      </w:r>
    </w:p>
    <w:p w14:paraId="6E2BCE4C" w14:textId="77777777" w:rsidR="00A576D7" w:rsidRDefault="00000000">
      <w:pPr>
        <w:pStyle w:val="Heading2"/>
      </w:pPr>
      <w:bookmarkStart w:id="7" w:name="_Toc226670363"/>
      <w:r>
        <w:t>3.2 Organisational Structure</w:t>
      </w:r>
      <w:bookmarkEnd w:id="7"/>
    </w:p>
    <w:p w14:paraId="21961F11" w14:textId="77777777" w:rsidR="00A576D7" w:rsidRDefault="00000000">
      <w:pPr>
        <w:spacing w:after="200" w:line="360" w:lineRule="auto"/>
      </w:pPr>
      <w:r>
        <w:t>Over the years, Toyota’s organisational structure has changed and developed due to both its culture, as well as through globalisation. In the past, Toyota followed a centralised hierarchy where the main business decisions were made in Japan. This centralisation has been an important part of business structures throughout Japan but created delay to information measured from the headquarter to all areas or executives at different locations (Panmore, 2025). Moreover, after the high-profile recalls/re-issues due to slow response to the 2009-2010 issues brought to Toyota and the industry, Toyota made many structural changes.</w:t>
      </w:r>
    </w:p>
    <w:p w14:paraId="1732808E" w14:textId="77777777" w:rsidR="00A576D7" w:rsidRDefault="00000000">
      <w:pPr>
        <w:spacing w:after="200" w:line="360" w:lineRule="auto"/>
      </w:pPr>
      <w:r>
        <w:t>Toyota is undergoing many changes. The organisation has developed new divisions based on geographical location to provide some degree of autonomy to individual divisions, as well as product-based divisions each with an executive president responsible for managing the division. Specifically, in 2016, Toyota moved from a functional structure to a product-oriented structure and created 7 internal “companies” to work together while having operational autonomy (FourWeekMBA, 2023).</w:t>
      </w:r>
    </w:p>
    <w:p w14:paraId="077A95F7" w14:textId="77777777" w:rsidR="00A576D7" w:rsidRDefault="00000000">
      <w:pPr>
        <w:spacing w:after="200" w:line="360" w:lineRule="auto"/>
      </w:pPr>
      <w:r>
        <w:t>This restructuring of Toyota demonstrates how organisational culture interacts with and influences one another. Toyota has a deep commitment to continuous improvement (“Kaizen”) that has affected its governance structure, enabling the company to adapt its structural model while still maintaining its cultural core values. Handy (1993) says this shows how Toyota’s organisational culture is evolving from a power culture where power is centralised at the Japanese headquarters to a task culture where employees on cross-functional teams have the authority to solve specific problems. Toyota still has some facets of a role culture based on its standard processes and the presence of clear lines of responsibility.</w:t>
      </w:r>
    </w:p>
    <w:p w14:paraId="04D7D80F" w14:textId="77777777" w:rsidR="00A576D7" w:rsidRDefault="00000000">
      <w:pPr>
        <w:pStyle w:val="Heading1"/>
      </w:pPr>
      <w:bookmarkStart w:id="8" w:name="_Toc226670364"/>
      <w:r>
        <w:lastRenderedPageBreak/>
        <w:t>4. Culture, Motivation, and Job Satisfaction</w:t>
      </w:r>
      <w:bookmarkEnd w:id="8"/>
    </w:p>
    <w:p w14:paraId="67887B2F" w14:textId="77777777" w:rsidR="00A576D7" w:rsidRDefault="00000000">
      <w:pPr>
        <w:pStyle w:val="Heading2"/>
      </w:pPr>
      <w:bookmarkStart w:id="9" w:name="_Toc226670365"/>
      <w:r>
        <w:t>4.1 Intrinsic Motivation and Employee Empowerment</w:t>
      </w:r>
      <w:bookmarkEnd w:id="9"/>
    </w:p>
    <w:p w14:paraId="79EA9BB4" w14:textId="77777777" w:rsidR="00A576D7" w:rsidRDefault="00000000">
      <w:pPr>
        <w:spacing w:after="200" w:line="360" w:lineRule="auto"/>
      </w:pPr>
      <w:r>
        <w:t>The culture at Toyota has developed an environment for work that is a powerful motivator and corresponds strongly with a number of well-known work motivation theories. The core of the Toyota Culture supports the fulfilment of Maslow’s higher-order needs (1943) through employee empowerment, problem solving, and continuous learning. According to Liker (2004, p.210), Toyota ensures that its employees’ basic physiological and safety needs are satisfied through attractive salary packages, job security, and safe work environments. After these lower-order needs are satisfied, Toyota creates an environment for fulfilling belongingness, esteem and self-actualisation through team-based work structures, employee recognition programs, and opportunities for creative contributions.</w:t>
      </w:r>
    </w:p>
    <w:p w14:paraId="78677660" w14:textId="77777777" w:rsidR="00A576D7" w:rsidRDefault="00000000">
      <w:pPr>
        <w:pStyle w:val="Heading2"/>
      </w:pPr>
      <w:bookmarkStart w:id="10" w:name="_Toc226670366"/>
      <w:r>
        <w:t>4.2 Teamwork and Group Behaviour</w:t>
      </w:r>
      <w:bookmarkEnd w:id="10"/>
    </w:p>
    <w:p w14:paraId="34354400" w14:textId="77777777" w:rsidR="00A576D7" w:rsidRDefault="00000000">
      <w:pPr>
        <w:spacing w:after="200" w:line="360" w:lineRule="auto"/>
      </w:pPr>
      <w:r>
        <w:t>Teamwork is highly valued in Toyota’s culture and greatly contributes to both motivation and performance. Work is done in small workgroups with a very small leader/member ratio of about 1:4 or 1:5 versus the 1:20 or 1:30 ratios that are standard in the industry (Besser, 1995). As a result, Toyoda creates many more opportunities for people in management positions than most other companies do; this is a strong source of motivation for employees at all levels of the company, particularly those who are ambitious and view assembly-line jobs as a pathway to a management position with extensive training and a great deal of opportunity for job rotation.</w:t>
      </w:r>
    </w:p>
    <w:p w14:paraId="7A7E890A" w14:textId="77777777" w:rsidR="00A576D7" w:rsidRDefault="00000000">
      <w:pPr>
        <w:spacing w:after="200" w:line="360" w:lineRule="auto"/>
      </w:pPr>
      <w:r>
        <w:t>Toyota’s egalitarian work culture is another key factor in creating social capital within the company: managers and shop-floor employees have the same facilities and wear similar types of uniforms, which limit the psychological barriers that often prevent upward communication in traditional hierarchical companies. According to McGregor’s (1960), theory Y, people have an inborn capacity for motivation (or self-motivation), the ability to direct their work without supervision, and the desire to accept responsibility when they are allowed to do so. The culture of Toyota assumes that every employee has something worthwhile to say about improving the organisation, no matter what position he/she is in.</w:t>
      </w:r>
    </w:p>
    <w:p w14:paraId="635C4B0D" w14:textId="77777777" w:rsidR="00A576D7" w:rsidRDefault="00000000">
      <w:pPr>
        <w:pStyle w:val="Heading2"/>
      </w:pPr>
      <w:bookmarkStart w:id="11" w:name="_Toc226670367"/>
      <w:r>
        <w:lastRenderedPageBreak/>
        <w:t>4.3 The Role of Leadership</w:t>
      </w:r>
      <w:bookmarkEnd w:id="11"/>
    </w:p>
    <w:p w14:paraId="66B82CD4" w14:textId="77777777" w:rsidR="00A576D7" w:rsidRDefault="00000000">
      <w:pPr>
        <w:spacing w:after="200" w:line="360" w:lineRule="auto"/>
      </w:pPr>
      <w:r>
        <w:t>The Toyota Company’s leadership model is one of Servant Leadership; therefore, it is the responsibility of managers to support their direct reports through the development of their employees, to eliminate roadblocks so that they can perform their tasks efficiently and to exhibit the same behaviors they expect their direct reports to demonstrate. Leader’s standard work is the implementation of standardized work for managers as well as for employees, and it allows for consistency in a manager’s use of Leader Standard Work but also allows for growth and development and adaptation (Liker, 2004). Therefore, the training of managers is in the form of mentoring and coaching rather than giving direct instructions or directives; thus, there is a focus on creating a learning culture and all employees will be able to develop; as a result of this leadership style, employees will be satisfied with their jobs and will feel valued, heard and involved in the success of the organization.</w:t>
      </w:r>
    </w:p>
    <w:p w14:paraId="429CAB90" w14:textId="77777777" w:rsidR="00A576D7" w:rsidRDefault="00000000">
      <w:pPr>
        <w:pStyle w:val="Heading1"/>
      </w:pPr>
      <w:bookmarkStart w:id="12" w:name="_Toc226670368"/>
      <w:r>
        <w:t>5. Globalisation and Cultural Challenges</w:t>
      </w:r>
      <w:bookmarkEnd w:id="12"/>
    </w:p>
    <w:p w14:paraId="0F6E9865" w14:textId="77777777" w:rsidR="00A576D7" w:rsidRDefault="00000000">
      <w:pPr>
        <w:pStyle w:val="Heading2"/>
      </w:pPr>
      <w:bookmarkStart w:id="13" w:name="_Toc226670369"/>
      <w:r>
        <w:t>5.1 Transferring Culture Across Borders</w:t>
      </w:r>
      <w:bookmarkEnd w:id="13"/>
    </w:p>
    <w:p w14:paraId="20D90F71" w14:textId="77777777" w:rsidR="00A576D7" w:rsidRDefault="00000000">
      <w:pPr>
        <w:spacing w:after="200" w:line="360" w:lineRule="auto"/>
      </w:pPr>
      <w:r>
        <w:t>According to Mullins &amp; Christy (2016), as businesses become more globalised, they become more complex and have operations in multiple. As such, there is a greater emphasis on managing a diverse group of people from around the world, so that they can share a cultural experience of belonging to the same organisation. Toyota is an excellent example of the complexity of this global challenge; Toyota has manufacturing and sales operations in over 170 countries and therefore requires cultural coherence while also adapting to the significantly differing national and regional environments in which they operate.</w:t>
      </w:r>
    </w:p>
    <w:p w14:paraId="42323718" w14:textId="77777777" w:rsidR="00A576D7" w:rsidRDefault="00000000">
      <w:pPr>
        <w:spacing w:after="200" w:line="360" w:lineRule="auto"/>
      </w:pPr>
      <w:r>
        <w:t xml:space="preserve">Hofstede’s (2001) cultural dimensions model can help mangers and leaders gain insight into the inherent conflicts faced by Toyota in their journey to create and maintain a cohesive culture in their various locations around the world. Toyota is based on the Japanese culture that is shaped by values that are consistent with a collectivist approach, high uncertainty avoidance, long-term orientation; and have a high level of power distance. The North American culture was created based upon values that are more individualistic, short-term oriented, and approached authority </w:t>
      </w:r>
      <w:r>
        <w:lastRenderedPageBreak/>
        <w:t>differently than Japanese culture places regard for authority and how one conforms to the group. The NUMMI (New United Motor Manufacturing Inc.) joint venture with General Motors in California during the ‘80s was an initial testing ground for both Toyota’s ability to transfer its culture across borders and to successfully create its own version of a modified Toyota Way in a Western country with a unionised workforce. It also demonstrated how an appropriate set of human resource practices and a commitment to strong leadership support are critical to the successful implementation of the Toyota Way in this environment (Furuta, 2021).</w:t>
      </w:r>
    </w:p>
    <w:p w14:paraId="1B7873C8" w14:textId="77777777" w:rsidR="00A576D7" w:rsidRDefault="00000000">
      <w:pPr>
        <w:pStyle w:val="Heading2"/>
      </w:pPr>
      <w:bookmarkStart w:id="14" w:name="_Toc226670370"/>
      <w:r>
        <w:t>5.2 The 2009–2010 Recall Crisis as a Cultural Failure</w:t>
      </w:r>
      <w:bookmarkEnd w:id="14"/>
    </w:p>
    <w:p w14:paraId="76FE6DE2" w14:textId="77777777" w:rsidR="00A576D7" w:rsidRDefault="00000000">
      <w:pPr>
        <w:spacing w:after="200" w:line="360" w:lineRule="auto"/>
      </w:pPr>
      <w:r>
        <w:t>From 2009 onwards, a string of vehicle recalls due to safety issues showed serious issues with Toyota’s ability to continue cementing its culture given the speed of global development. During Congressional hearings, President Akio Toyoda admitted that company growth had exceeded the company’s ability to integrate cultural values into the new operations established. This crisis demonstrated that Toyota had not trained all new employees and/or managers sufficiently on The Toyota Way (‘stop and fix’ and ‘quality first, before production’) principles (Liker, 2004).</w:t>
      </w:r>
    </w:p>
    <w:p w14:paraId="19CA7A14" w14:textId="77777777" w:rsidR="00A576D7" w:rsidRDefault="00000000">
      <w:pPr>
        <w:spacing w:after="200" w:line="360" w:lineRule="auto"/>
      </w:pPr>
      <w:r>
        <w:t>It has now also been proven that corporate culture, no matter how well established at the corporate headquarters, cannot be assumed to exist in newly established or rapidly expanded operations. The event was reflective of a primary contention indicated by the Toyota Quality Advisory Panel, that Toyota has moved towards global centralization at the expense of local responsiveness and thus, has not sufficiently communicated its corporate culture to its regional operations (6sigma.com, 2025). This contradiction of having centralized control and not effectively embedding a company culture through regional operations resulted in high costs for Toyota and requires the structural reforms discussed in Section 3.2.</w:t>
      </w:r>
    </w:p>
    <w:p w14:paraId="07BA183A" w14:textId="77777777" w:rsidR="00A576D7" w:rsidRDefault="00000000">
      <w:pPr>
        <w:pStyle w:val="Heading2"/>
      </w:pPr>
      <w:bookmarkStart w:id="15" w:name="_Toc226670371"/>
      <w:r>
        <w:t>5.3 Strategies for Cultural Integration</w:t>
      </w:r>
      <w:bookmarkEnd w:id="15"/>
    </w:p>
    <w:p w14:paraId="7BA8179F" w14:textId="77777777" w:rsidR="00A576D7" w:rsidRDefault="00000000">
      <w:pPr>
        <w:spacing w:after="200" w:line="360" w:lineRule="auto"/>
      </w:pPr>
      <w:r>
        <w:t xml:space="preserve">Toyota regularly assesses employee satisfaction through employee surveys conducted at regular intervals within the organisation as a means of measuring cultural fitness or fit of the organisation’s culture, and using those results to inform planning and executing workplace improvements (Toyota Sustainability Report </w:t>
      </w:r>
      <w:r>
        <w:lastRenderedPageBreak/>
        <w:t>2018). In addition, Toyota has implemented a People Value Stream concept which is similar in nature to its production value stream in the manner it distinguishes between value-adding and non-value-adding activities in human resource development. This People Value Stream framework consists of four major components, or phases - first, attract the right people; second develop them to do quality work; third engage them in improvements; fourth inspire them to continue learning and developing. Through developing employees with the same systematic approach used for the development of its manufacturing processes, Toyota hopes to develop an as measurable an organisational capability as developing cultural competency as opposed to relying on chance.</w:t>
      </w:r>
    </w:p>
    <w:p w14:paraId="7A9F3807" w14:textId="77777777" w:rsidR="00A576D7" w:rsidRDefault="00000000">
      <w:pPr>
        <w:pStyle w:val="Heading1"/>
      </w:pPr>
      <w:bookmarkStart w:id="16" w:name="_Toc226670372"/>
      <w:r>
        <w:t>6. Critical Evaluation</w:t>
      </w:r>
      <w:bookmarkEnd w:id="16"/>
    </w:p>
    <w:p w14:paraId="49355BC1" w14:textId="77777777" w:rsidR="00A576D7" w:rsidRDefault="00000000">
      <w:pPr>
        <w:spacing w:after="200" w:line="360" w:lineRule="auto"/>
      </w:pPr>
      <w:r>
        <w:t>Although many authors have praised and researched on the organisational culture of Toyota, a balanced analysis must include an acknowledgement of the disadvantages and limitations of this organisational culture. The consensus-based approach to decision making, while comprehensive, can also be slow and cumbersome and does not lend itself well to quick reactions in times of crisis. An example of this occurred in the 2009 recall crisis when some of the cultural strengths morphed into cultural weaknesses because the pace of change outstripped the organisation’s ability to maintain its cultural integrity.</w:t>
      </w:r>
    </w:p>
    <w:p w14:paraId="1F0DD4A8" w14:textId="77777777" w:rsidR="00A576D7" w:rsidRDefault="00000000">
      <w:pPr>
        <w:spacing w:after="200" w:line="360" w:lineRule="auto"/>
      </w:pPr>
      <w:r>
        <w:t>Additionally, historically, Toyota has been critiqued for having a degree of secrecy and insularity that can act as blockers to external communication and transparency. The general belief that all decisions must be made in Japan has caused some friction between regional operations, and in some cases has limited Toyota’s ability to rapidly respond to local market conditions or regulatory compliance-related issues (Panmore, 2025). Although emphasizing conformity and collective harmony helps create quality and consistent products, it can also limit individual dissent and inhibit radical innovation by creating blind spots that competitors will seek to exploit who do not have the same impediments of cultural norms as Toyota.</w:t>
      </w:r>
    </w:p>
    <w:p w14:paraId="70A3E6D4" w14:textId="77777777" w:rsidR="00A576D7" w:rsidRDefault="00000000">
      <w:pPr>
        <w:spacing w:after="200" w:line="360" w:lineRule="auto"/>
      </w:pPr>
      <w:r>
        <w:t xml:space="preserve">The application of Hofstede’s (2001) framework shows that the cultural values that underlie The Toyota Way are not universally transferable. The collectivist and long-term orientation of The Toyota Way, typical of Japan, may be incompatible with the </w:t>
      </w:r>
      <w:r>
        <w:lastRenderedPageBreak/>
        <w:t>individualist and short-term oriented cultures of many Western business settings. As successfully as Toyota has established a new culture in other countries, the problem of balancing the need for global consistency with local adaptation will continue into the future.</w:t>
      </w:r>
    </w:p>
    <w:p w14:paraId="5ADB3CE3" w14:textId="77777777" w:rsidR="00A576D7" w:rsidRDefault="00000000">
      <w:pPr>
        <w:pStyle w:val="Heading1"/>
      </w:pPr>
      <w:bookmarkStart w:id="17" w:name="_Toc226670373"/>
      <w:r>
        <w:t>7. Conclusion</w:t>
      </w:r>
      <w:bookmarkEnd w:id="17"/>
    </w:p>
    <w:p w14:paraId="27BBC3A2" w14:textId="77777777" w:rsidR="00A576D7" w:rsidRDefault="00000000">
      <w:pPr>
        <w:spacing w:after="200" w:line="360" w:lineRule="auto"/>
      </w:pPr>
      <w:r>
        <w:t>In its examination of organizational culture and the influence of that culture on all areas of an organization, the report has shown that the views expressed in Mullins and Christy (2016) are indeed true; namely that culture is pervasive in its effect on all aspects of an organization. The Toyota Motor Corporation is a perfect example of both the power of a strong, distinctive organizational culture and the difficulties involved in creating such a culture. The “Toyota Way,” which is based on two pillars-and-respect for people’s continuous improvement, has allowed Toyota to reach world-class levels of manufacturing performance, to maintain high levels of employee engagement, and to sustain a competitive advantage for decades and throughout the globe.</w:t>
      </w:r>
    </w:p>
    <w:p w14:paraId="694CD84B" w14:textId="77777777" w:rsidR="00A576D7" w:rsidRDefault="00000000">
      <w:pPr>
        <w:spacing w:after="200" w:line="360" w:lineRule="auto"/>
      </w:pPr>
      <w:r>
        <w:t>But Toyota’s experience has shown that culture cannot be taken for granted, nor can it be considered to be static in nature or self-sustaining over time; that culture requires regular reinforcement, recasting, and vigilance from leaders in the organization, especially at the time of rapid expansion or rapid structural change. The recall crisis of 2009 is an excellent example of how rapidly an embedded culture can erode when the pace of expansion outstrips the organization’s ability to educate and integrate that organizational culture into the operations of the organization. Toyota’s recent structural and cultural reforms exemplify how Toyota has successfully implemented its Kaizen principle towards improving its governance and cultural practices, as they pertain to both its domestic and international operations.</w:t>
      </w:r>
    </w:p>
    <w:p w14:paraId="4412A929" w14:textId="77777777" w:rsidR="00A576D7" w:rsidRDefault="00000000">
      <w:pPr>
        <w:spacing w:after="200" w:line="360" w:lineRule="auto"/>
      </w:pPr>
      <w:r>
        <w:t xml:space="preserve">In light of the rapidly growing globalisation and labour forces across the globe, the experience of Toyota provides important learning for all organisations to successfully create and maintain a unified organisational culture across international and cultural boundaries. The primary lesson is that organisational culture requires intentional management, systematic teaching and a systematic means of ongoing improvement, including treating organisational culture as an organisation’s most valuable and </w:t>
      </w:r>
      <w:r>
        <w:lastRenderedPageBreak/>
        <w:t>controllable resource and utilising purposeful organisational processes to intentionally develop the organisational culture.</w:t>
      </w:r>
    </w:p>
    <w:p w14:paraId="1AF063A9" w14:textId="77777777" w:rsidR="00A576D7" w:rsidRDefault="00000000">
      <w:r>
        <w:br/>
      </w:r>
    </w:p>
    <w:p w14:paraId="132C151A" w14:textId="77777777" w:rsidR="00A576D7" w:rsidRDefault="00000000">
      <w:pPr>
        <w:pStyle w:val="Heading1"/>
      </w:pPr>
      <w:bookmarkStart w:id="18" w:name="_Toc226670374"/>
      <w:r>
        <w:t>8. Reference List</w:t>
      </w:r>
      <w:bookmarkEnd w:id="18"/>
    </w:p>
    <w:p w14:paraId="1D323D98" w14:textId="77777777" w:rsidR="00A576D7" w:rsidRDefault="00000000">
      <w:pPr>
        <w:spacing w:after="120"/>
        <w:ind w:left="720" w:hanging="720"/>
      </w:pPr>
      <w:r>
        <w:rPr>
          <w:sz w:val="22"/>
          <w:szCs w:val="22"/>
        </w:rPr>
        <w:t>Besser, T.L. (1995) ‘Organizational Goal Achievement through Incentives: A Case Study of Toyota Motor Manufacturing (Kentucky).’ Journal of Management Studies, 32(3), pp.383–399.</w:t>
      </w:r>
    </w:p>
    <w:p w14:paraId="2B71BE12" w14:textId="77777777" w:rsidR="00A576D7" w:rsidRDefault="00000000">
      <w:pPr>
        <w:spacing w:after="120"/>
        <w:ind w:left="720" w:hanging="720"/>
      </w:pPr>
      <w:r>
        <w:rPr>
          <w:sz w:val="22"/>
          <w:szCs w:val="22"/>
        </w:rPr>
        <w:t>Furuta, K. (2021) Welcome Problems, Find Success: Creating Toyota Cultures Around the World. New York: Taylor &amp; Francis/Productivity Press.</w:t>
      </w:r>
    </w:p>
    <w:p w14:paraId="459587D0" w14:textId="77777777" w:rsidR="00A576D7" w:rsidRDefault="00000000">
      <w:pPr>
        <w:spacing w:after="120"/>
        <w:ind w:left="720" w:hanging="720"/>
      </w:pPr>
      <w:r>
        <w:rPr>
          <w:sz w:val="22"/>
          <w:szCs w:val="22"/>
        </w:rPr>
        <w:t>Handy, C. (1993) Understanding Organizations. 4th edn. London: Penguin Books.</w:t>
      </w:r>
    </w:p>
    <w:p w14:paraId="14881726" w14:textId="77777777" w:rsidR="00A576D7" w:rsidRDefault="00000000">
      <w:pPr>
        <w:spacing w:after="120"/>
        <w:ind w:left="720" w:hanging="720"/>
      </w:pPr>
      <w:r>
        <w:rPr>
          <w:sz w:val="22"/>
          <w:szCs w:val="22"/>
        </w:rPr>
        <w:t>Herzberg, F. (1959) The Motivation to Work. New York: Wiley.</w:t>
      </w:r>
    </w:p>
    <w:p w14:paraId="43ECC573" w14:textId="77777777" w:rsidR="00A576D7" w:rsidRDefault="00000000">
      <w:pPr>
        <w:spacing w:after="120"/>
        <w:ind w:left="720" w:hanging="720"/>
      </w:pPr>
      <w:r>
        <w:rPr>
          <w:sz w:val="22"/>
          <w:szCs w:val="22"/>
        </w:rPr>
        <w:t>Hofstede, G. (2001) Culture’s Consequences: Comparing Values, Behaviors, Institutions and Organizations Across Nations. 2nd edn. Thousand Oaks, CA: Sage.</w:t>
      </w:r>
    </w:p>
    <w:p w14:paraId="6D5FB2E7" w14:textId="77777777" w:rsidR="00A576D7" w:rsidRDefault="00000000">
      <w:pPr>
        <w:spacing w:after="120"/>
        <w:ind w:left="720" w:hanging="720"/>
      </w:pPr>
      <w:r>
        <w:rPr>
          <w:sz w:val="22"/>
          <w:szCs w:val="22"/>
        </w:rPr>
        <w:t>Hoseus, M. and Liker, J.K. (2008) Toyota Culture: The Heart and Soul of the Toyota Way. New York: McGraw-Hill.</w:t>
      </w:r>
    </w:p>
    <w:p w14:paraId="0B5F37DD" w14:textId="77777777" w:rsidR="00A576D7" w:rsidRDefault="00000000">
      <w:pPr>
        <w:spacing w:after="120"/>
        <w:ind w:left="720" w:hanging="720"/>
      </w:pPr>
      <w:r>
        <w:rPr>
          <w:sz w:val="22"/>
          <w:szCs w:val="22"/>
        </w:rPr>
        <w:t>Liker, J.K. (2004) The Toyota Way: 14 Management Principles from the World’s Greatest Manufacturer. New York: McGraw-Hill.</w:t>
      </w:r>
    </w:p>
    <w:p w14:paraId="5EEEDB25" w14:textId="77777777" w:rsidR="00A576D7" w:rsidRDefault="00000000">
      <w:pPr>
        <w:spacing w:after="120"/>
        <w:ind w:left="720" w:hanging="720"/>
      </w:pPr>
      <w:r>
        <w:rPr>
          <w:sz w:val="22"/>
          <w:szCs w:val="22"/>
        </w:rPr>
        <w:t>Maslow, A.H. (1943) ‘A Theory of Human Motivation.’ Psychological Review, 50(4), pp.370–396.</w:t>
      </w:r>
    </w:p>
    <w:p w14:paraId="0C5A0DAF" w14:textId="77777777" w:rsidR="00A576D7" w:rsidRDefault="00000000">
      <w:pPr>
        <w:spacing w:after="120"/>
        <w:ind w:left="720" w:hanging="720"/>
      </w:pPr>
      <w:r>
        <w:rPr>
          <w:sz w:val="22"/>
          <w:szCs w:val="22"/>
        </w:rPr>
        <w:t>McGregor, D. (1960) The Human Side of Enterprise. New York: McGraw-Hill.</w:t>
      </w:r>
    </w:p>
    <w:p w14:paraId="75CBB3FC" w14:textId="77777777" w:rsidR="00A576D7" w:rsidRDefault="00000000">
      <w:pPr>
        <w:spacing w:after="120"/>
        <w:ind w:left="720" w:hanging="720"/>
      </w:pPr>
      <w:r>
        <w:rPr>
          <w:sz w:val="22"/>
          <w:szCs w:val="22"/>
        </w:rPr>
        <w:t>Mullins, L.J. and Christy, G. (2016) Management and Organisational Behaviour. 11th edn. Harlow: Pearson Education.</w:t>
      </w:r>
    </w:p>
    <w:p w14:paraId="22C4BA58" w14:textId="77777777" w:rsidR="00A576D7" w:rsidRDefault="00000000">
      <w:pPr>
        <w:spacing w:after="120"/>
        <w:ind w:left="720" w:hanging="720"/>
      </w:pPr>
      <w:r>
        <w:rPr>
          <w:sz w:val="22"/>
          <w:szCs w:val="22"/>
        </w:rPr>
        <w:t>Schein, E.H. (2010) Organizational Culture and Leadership. 4th edn. San Francisco: Jossey-Bass.</w:t>
      </w:r>
    </w:p>
    <w:p w14:paraId="702D75BE" w14:textId="77777777" w:rsidR="00A576D7" w:rsidRDefault="00000000">
      <w:pPr>
        <w:spacing w:after="120"/>
        <w:ind w:left="720" w:hanging="720"/>
      </w:pPr>
      <w:r>
        <w:rPr>
          <w:sz w:val="22"/>
          <w:szCs w:val="22"/>
        </w:rPr>
        <w:t>Toyota Motor Corporation (2018) Sustainability Data Book 2018. Available at: https://global.toyota (Accessed: April 2026).</w:t>
      </w:r>
    </w:p>
    <w:p w14:paraId="1B0AE792" w14:textId="77777777" w:rsidR="00A576D7" w:rsidRDefault="00000000">
      <w:pPr>
        <w:spacing w:after="120"/>
        <w:ind w:left="720" w:hanging="720"/>
      </w:pPr>
      <w:r>
        <w:rPr>
          <w:sz w:val="22"/>
          <w:szCs w:val="22"/>
        </w:rPr>
        <w:t>Toyota Motor Corporation (2025) The Toyota Way. Available at: https://www.toyota-europe.com/about-us/toyota-vision-and-philosophy/the-toyota-way (Accessed: April 2026).</w:t>
      </w:r>
    </w:p>
    <w:sectPr w:rsidR="00A576D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60AF2" w14:textId="77777777" w:rsidR="00150606" w:rsidRDefault="00150606">
      <w:r>
        <w:separator/>
      </w:r>
    </w:p>
  </w:endnote>
  <w:endnote w:type="continuationSeparator" w:id="0">
    <w:p w14:paraId="03BBE9E6" w14:textId="77777777" w:rsidR="00150606" w:rsidRDefault="00150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148CE" w14:textId="77777777" w:rsidR="00A576D7" w:rsidRDefault="00000000">
    <w:pPr>
      <w:jc w:val="center"/>
    </w:pPr>
    <w:r>
      <w:rPr>
        <w:sz w:val="20"/>
        <w:szCs w:val="20"/>
      </w:rPr>
      <w:fldChar w:fldCharType="begin"/>
    </w:r>
    <w:r>
      <w:rPr>
        <w:sz w:val="20"/>
        <w:szCs w:val="20"/>
      </w:rPr>
      <w:instrText>PAGE</w:instrText>
    </w:r>
    <w:r>
      <w:rPr>
        <w:sz w:val="20"/>
        <w:szCs w:val="20"/>
      </w:rPr>
      <w:fldChar w:fldCharType="separate"/>
    </w:r>
    <w:r w:rsidR="00DF7C34">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94F77" w14:textId="77777777" w:rsidR="00150606" w:rsidRDefault="00150606">
      <w:r>
        <w:separator/>
      </w:r>
    </w:p>
  </w:footnote>
  <w:footnote w:type="continuationSeparator" w:id="0">
    <w:p w14:paraId="38DCA3D8" w14:textId="77777777" w:rsidR="00150606" w:rsidRDefault="001506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F010D" w14:textId="77777777" w:rsidR="00A576D7" w:rsidRDefault="00000000">
    <w:pPr>
      <w:jc w:val="right"/>
    </w:pPr>
    <w:r>
      <w:rPr>
        <w:i/>
        <w:iCs/>
        <w:color w:val="888888"/>
        <w:sz w:val="18"/>
        <w:szCs w:val="18"/>
      </w:rPr>
      <w:t>Organisational Culture: Toyota Motor Corporation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F85541"/>
    <w:multiLevelType w:val="hybridMultilevel"/>
    <w:tmpl w:val="44EC85A8"/>
    <w:lvl w:ilvl="0" w:tplc="28D244BC">
      <w:start w:val="1"/>
      <w:numFmt w:val="bullet"/>
      <w:lvlText w:val="●"/>
      <w:lvlJc w:val="left"/>
      <w:pPr>
        <w:ind w:left="720" w:hanging="360"/>
      </w:pPr>
    </w:lvl>
    <w:lvl w:ilvl="1" w:tplc="38DA6BF4">
      <w:start w:val="1"/>
      <w:numFmt w:val="bullet"/>
      <w:lvlText w:val="○"/>
      <w:lvlJc w:val="left"/>
      <w:pPr>
        <w:ind w:left="1440" w:hanging="360"/>
      </w:pPr>
    </w:lvl>
    <w:lvl w:ilvl="2" w:tplc="027CB8C4">
      <w:start w:val="1"/>
      <w:numFmt w:val="bullet"/>
      <w:lvlText w:val="■"/>
      <w:lvlJc w:val="left"/>
      <w:pPr>
        <w:ind w:left="2160" w:hanging="360"/>
      </w:pPr>
    </w:lvl>
    <w:lvl w:ilvl="3" w:tplc="CFFA2C08">
      <w:start w:val="1"/>
      <w:numFmt w:val="bullet"/>
      <w:lvlText w:val="●"/>
      <w:lvlJc w:val="left"/>
      <w:pPr>
        <w:ind w:left="2880" w:hanging="360"/>
      </w:pPr>
    </w:lvl>
    <w:lvl w:ilvl="4" w:tplc="8B56E376">
      <w:start w:val="1"/>
      <w:numFmt w:val="bullet"/>
      <w:lvlText w:val="○"/>
      <w:lvlJc w:val="left"/>
      <w:pPr>
        <w:ind w:left="3600" w:hanging="360"/>
      </w:pPr>
    </w:lvl>
    <w:lvl w:ilvl="5" w:tplc="B742CDCA">
      <w:start w:val="1"/>
      <w:numFmt w:val="bullet"/>
      <w:lvlText w:val="■"/>
      <w:lvlJc w:val="left"/>
      <w:pPr>
        <w:ind w:left="4320" w:hanging="360"/>
      </w:pPr>
    </w:lvl>
    <w:lvl w:ilvl="6" w:tplc="345284A2">
      <w:start w:val="1"/>
      <w:numFmt w:val="bullet"/>
      <w:lvlText w:val="●"/>
      <w:lvlJc w:val="left"/>
      <w:pPr>
        <w:ind w:left="5040" w:hanging="360"/>
      </w:pPr>
    </w:lvl>
    <w:lvl w:ilvl="7" w:tplc="A2529B8C">
      <w:start w:val="1"/>
      <w:numFmt w:val="bullet"/>
      <w:lvlText w:val="●"/>
      <w:lvlJc w:val="left"/>
      <w:pPr>
        <w:ind w:left="5760" w:hanging="360"/>
      </w:pPr>
    </w:lvl>
    <w:lvl w:ilvl="8" w:tplc="DBBE8D68">
      <w:start w:val="1"/>
      <w:numFmt w:val="bullet"/>
      <w:lvlText w:val="●"/>
      <w:lvlJc w:val="left"/>
      <w:pPr>
        <w:ind w:left="6480" w:hanging="360"/>
      </w:pPr>
    </w:lvl>
  </w:abstractNum>
  <w:num w:numId="1" w16cid:durableId="60157102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6D7"/>
    <w:rsid w:val="00150606"/>
    <w:rsid w:val="00540604"/>
    <w:rsid w:val="00A576D7"/>
    <w:rsid w:val="00DF7C3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F4209"/>
  <w15:docId w15:val="{A7ADDF34-E509-4A21-8024-4318FF199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2"/>
      <w:szCs w:val="32"/>
    </w:rPr>
  </w:style>
  <w:style w:type="paragraph" w:styleId="Heading2">
    <w:name w:val="heading 2"/>
    <w:uiPriority w:val="9"/>
    <w:unhideWhenUsed/>
    <w:qFormat/>
    <w:pPr>
      <w:spacing w:before="280" w:after="160"/>
      <w:outlineLvl w:val="1"/>
    </w:pPr>
    <w:rPr>
      <w:b/>
      <w:bCs/>
      <w:color w:val="2E5090"/>
      <w:sz w:val="28"/>
      <w:szCs w:val="28"/>
    </w:rPr>
  </w:style>
  <w:style w:type="paragraph" w:styleId="Heading3">
    <w:name w:val="heading 3"/>
    <w:uiPriority w:val="9"/>
    <w:semiHidden/>
    <w:unhideWhenUsed/>
    <w:qFormat/>
    <w:pPr>
      <w:spacing w:before="200" w:after="120"/>
      <w:outlineLvl w:val="2"/>
    </w:pPr>
    <w:rPr>
      <w:b/>
      <w:bCs/>
      <w:color w:val="365F91"/>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F7C34"/>
    <w:pPr>
      <w:spacing w:after="100"/>
    </w:pPr>
  </w:style>
  <w:style w:type="paragraph" w:styleId="TOC2">
    <w:name w:val="toc 2"/>
    <w:basedOn w:val="Normal"/>
    <w:next w:val="Normal"/>
    <w:autoRedefine/>
    <w:uiPriority w:val="39"/>
    <w:unhideWhenUsed/>
    <w:rsid w:val="00DF7C3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3283</Words>
  <Characters>19043</Characters>
  <Application>Microsoft Office Word</Application>
  <DocSecurity>0</DocSecurity>
  <Lines>158</Lines>
  <Paragraphs>44</Paragraphs>
  <ScaleCrop>false</ScaleCrop>
  <Company/>
  <LinksUpToDate>false</LinksUpToDate>
  <CharactersWithSpaces>22282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Netoiu Ionut Daniel</cp:lastModifiedBy>
  <cp:revision>2</cp:revision>
  <dcterms:created xsi:type="dcterms:W3CDTF">2026-04-09T22:36:00Z</dcterms:created>
  <dcterms:modified xsi:type="dcterms:W3CDTF">2026-04-09T22:41:00Z</dcterms:modified>
</cp:coreProperties>
</file>