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A96C6A" w14:textId="03F595DE" w:rsidR="004626A3" w:rsidRDefault="004626A3" w:rsidP="004626A3">
      <w:pPr>
        <w:pStyle w:val="NormalWeb"/>
        <w:spacing w:before="0" w:beforeAutospacing="0" w:after="0" w:afterAutospacing="0"/>
        <w:ind w:left="-180" w:right="-334"/>
      </w:pPr>
      <w:bookmarkStart w:id="0" w:name="_Hlk47848310"/>
      <w:bookmarkStart w:id="1" w:name="_Hlk47848450"/>
      <w:r>
        <w:rPr>
          <w:noProof/>
        </w:rPr>
        <w:drawing>
          <wp:inline distT="0" distB="0" distL="0" distR="0" wp14:anchorId="4A0101A8" wp14:editId="47F10264">
            <wp:extent cx="1905000" cy="638175"/>
            <wp:effectExtent l="19050" t="19050" r="19050"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5B0E4F1" w14:textId="77777777" w:rsidR="004626A3" w:rsidRDefault="004626A3" w:rsidP="004626A3">
      <w:pPr>
        <w:pStyle w:val="NormalWeb"/>
        <w:spacing w:before="0" w:beforeAutospacing="0" w:after="0" w:afterAutospacing="0"/>
        <w:ind w:left="-180" w:right="-334"/>
      </w:pPr>
    </w:p>
    <w:p w14:paraId="5E4BC17F" w14:textId="77777777" w:rsidR="004626A3" w:rsidRDefault="004626A3" w:rsidP="004626A3">
      <w:pPr>
        <w:pStyle w:val="NormalWeb"/>
        <w:spacing w:before="0" w:beforeAutospacing="0" w:after="0" w:afterAutospacing="0"/>
        <w:ind w:left="-180" w:right="-334"/>
      </w:pPr>
    </w:p>
    <w:p w14:paraId="1B4B1E13" w14:textId="77777777" w:rsidR="004626A3" w:rsidRDefault="004626A3" w:rsidP="004626A3">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BCD78D3" w14:textId="77777777" w:rsidR="004626A3" w:rsidRPr="00230F35" w:rsidRDefault="004626A3" w:rsidP="004626A3">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4A0F9CB" w14:textId="77777777" w:rsidR="004626A3" w:rsidRPr="00230F35" w:rsidRDefault="004626A3" w:rsidP="004626A3">
      <w:pPr>
        <w:rPr>
          <w:rFonts w:ascii="Arial" w:hAnsi="Arial" w:cs="Arial"/>
          <w:sz w:val="28"/>
          <w:szCs w:val="28"/>
          <w:lang w:val="cy-GB"/>
        </w:rPr>
      </w:pPr>
    </w:p>
    <w:p w14:paraId="2E9B8AA2" w14:textId="77777777" w:rsidR="004626A3" w:rsidRDefault="004626A3" w:rsidP="004626A3">
      <w:pPr>
        <w:pStyle w:val="Heading3"/>
        <w:jc w:val="center"/>
        <w:rPr>
          <w:lang w:val="cy-GB"/>
        </w:rPr>
      </w:pPr>
      <w:r>
        <w:rPr>
          <w:lang w:val="cy-GB"/>
        </w:rPr>
        <w:t>THIS SHEET MUST BE THE FIRST PAGE OF THE ASSIGNMENT YOU ARE SUBMITTING  (DO NOT SEND AS A SEPARATE FILE)</w:t>
      </w:r>
    </w:p>
    <w:p w14:paraId="202230EF" w14:textId="77777777" w:rsidR="004626A3" w:rsidRDefault="004626A3" w:rsidP="004626A3">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626A3" w:rsidRPr="00230F35" w14:paraId="7BD68EC2" w14:textId="77777777" w:rsidTr="004155FF">
        <w:trPr>
          <w:trHeight w:val="614"/>
        </w:trPr>
        <w:tc>
          <w:tcPr>
            <w:tcW w:w="8856" w:type="dxa"/>
            <w:gridSpan w:val="5"/>
          </w:tcPr>
          <w:p w14:paraId="5ABC109F" w14:textId="77777777" w:rsidR="004626A3" w:rsidRPr="00230F35"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626A3" w:rsidRPr="00230F35" w14:paraId="5363C0AF" w14:textId="77777777" w:rsidTr="004155FF">
        <w:trPr>
          <w:trHeight w:val="718"/>
        </w:trPr>
        <w:tc>
          <w:tcPr>
            <w:tcW w:w="8856" w:type="dxa"/>
            <w:gridSpan w:val="5"/>
          </w:tcPr>
          <w:p w14:paraId="712F9100" w14:textId="77777777" w:rsidR="004626A3"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t>
            </w:r>
            <w:proofErr w:type="spellStart"/>
            <w:r>
              <w:rPr>
                <w:rFonts w:ascii="Arial" w:hAnsi="Arial" w:cs="Arial"/>
                <w:sz w:val="22"/>
                <w:szCs w:val="22"/>
              </w:rPr>
              <w:t>Manjinder</w:t>
            </w:r>
            <w:proofErr w:type="spellEnd"/>
            <w:r>
              <w:rPr>
                <w:rFonts w:ascii="Arial" w:hAnsi="Arial" w:cs="Arial"/>
                <w:sz w:val="22"/>
                <w:szCs w:val="22"/>
              </w:rPr>
              <w:t xml:space="preserve"> Dillon</w:t>
            </w:r>
          </w:p>
          <w:p w14:paraId="48DA95D3" w14:textId="77777777" w:rsidR="004626A3" w:rsidRPr="00230F35" w:rsidRDefault="004626A3" w:rsidP="004155FF">
            <w:pPr>
              <w:pStyle w:val="NormalWeb"/>
              <w:spacing w:before="0" w:beforeAutospacing="0" w:after="0" w:afterAutospacing="0"/>
              <w:ind w:right="34"/>
              <w:rPr>
                <w:rFonts w:ascii="Arial" w:hAnsi="Arial" w:cs="Arial"/>
                <w:sz w:val="22"/>
                <w:szCs w:val="22"/>
              </w:rPr>
            </w:pPr>
          </w:p>
          <w:p w14:paraId="04B29DFE" w14:textId="77777777" w:rsidR="004626A3" w:rsidRPr="00230F35"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1916609@uwtsd.ac.uk</w:t>
            </w:r>
          </w:p>
        </w:tc>
      </w:tr>
      <w:tr w:rsidR="004626A3" w:rsidRPr="00230F35" w14:paraId="2E754706" w14:textId="77777777" w:rsidTr="004155FF">
        <w:trPr>
          <w:trHeight w:val="849"/>
        </w:trPr>
        <w:tc>
          <w:tcPr>
            <w:tcW w:w="4788" w:type="dxa"/>
          </w:tcPr>
          <w:p w14:paraId="34E3E83F" w14:textId="77777777" w:rsidR="004626A3" w:rsidRPr="00230F35"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7002</w:t>
            </w:r>
          </w:p>
          <w:p w14:paraId="2651773B" w14:textId="77777777" w:rsidR="004626A3" w:rsidRPr="00230F35" w:rsidRDefault="004626A3" w:rsidP="004155FF">
            <w:pPr>
              <w:pStyle w:val="NormalWeb"/>
              <w:spacing w:before="0" w:beforeAutospacing="0" w:after="0" w:afterAutospacing="0"/>
              <w:ind w:right="34"/>
              <w:rPr>
                <w:rFonts w:ascii="Arial" w:hAnsi="Arial" w:cs="Arial"/>
                <w:sz w:val="22"/>
                <w:szCs w:val="22"/>
              </w:rPr>
            </w:pPr>
          </w:p>
          <w:p w14:paraId="1E57CAB5" w14:textId="77777777" w:rsidR="004626A3"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Researching Contemporary Cosmologies</w:t>
            </w:r>
          </w:p>
          <w:p w14:paraId="2908450B" w14:textId="77777777" w:rsidR="004626A3" w:rsidRDefault="004626A3" w:rsidP="004155FF">
            <w:pPr>
              <w:pStyle w:val="NormalWeb"/>
              <w:spacing w:before="0" w:beforeAutospacing="0" w:after="0" w:afterAutospacing="0"/>
              <w:ind w:right="34"/>
              <w:rPr>
                <w:rFonts w:ascii="Arial" w:hAnsi="Arial" w:cs="Arial"/>
                <w:sz w:val="22"/>
                <w:szCs w:val="22"/>
              </w:rPr>
            </w:pPr>
          </w:p>
          <w:p w14:paraId="3D4D6ED1" w14:textId="77777777" w:rsidR="004626A3" w:rsidRPr="00230F35" w:rsidRDefault="004626A3" w:rsidP="004155FF">
            <w:pPr>
              <w:pStyle w:val="NormalWeb"/>
              <w:spacing w:before="0" w:beforeAutospacing="0" w:after="0" w:afterAutospacing="0"/>
              <w:ind w:right="34"/>
              <w:rPr>
                <w:rFonts w:ascii="Arial" w:hAnsi="Arial" w:cs="Arial"/>
                <w:sz w:val="22"/>
                <w:szCs w:val="22"/>
              </w:rPr>
            </w:pPr>
          </w:p>
        </w:tc>
        <w:tc>
          <w:tcPr>
            <w:tcW w:w="2266" w:type="dxa"/>
            <w:gridSpan w:val="3"/>
          </w:tcPr>
          <w:p w14:paraId="5EA12E20" w14:textId="77777777" w:rsidR="004626A3"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8737889" w14:textId="77777777" w:rsidR="004626A3" w:rsidRDefault="004626A3" w:rsidP="004155FF">
            <w:pPr>
              <w:pStyle w:val="NormalWeb"/>
              <w:spacing w:before="0" w:beforeAutospacing="0" w:after="0" w:afterAutospacing="0"/>
              <w:ind w:right="34"/>
              <w:rPr>
                <w:rFonts w:ascii="Arial" w:hAnsi="Arial" w:cs="Arial"/>
                <w:sz w:val="22"/>
                <w:szCs w:val="22"/>
              </w:rPr>
            </w:pPr>
          </w:p>
          <w:p w14:paraId="30E403BA" w14:textId="77777777" w:rsidR="004626A3" w:rsidRPr="00230F35" w:rsidRDefault="004626A3" w:rsidP="004155FF">
            <w:pPr>
              <w:pStyle w:val="NormalWeb"/>
              <w:spacing w:before="0" w:beforeAutospacing="0" w:after="0" w:afterAutospacing="0"/>
              <w:ind w:right="34"/>
              <w:rPr>
                <w:rFonts w:ascii="Arial" w:hAnsi="Arial" w:cs="Arial"/>
                <w:sz w:val="22"/>
                <w:szCs w:val="22"/>
              </w:rPr>
            </w:pPr>
            <w:r>
              <w:rPr>
                <w:rFonts w:ascii="Arial" w:hAnsi="Arial" w:cs="Arial"/>
                <w:sz w:val="22"/>
                <w:szCs w:val="22"/>
              </w:rPr>
              <w:t>1916609</w:t>
            </w:r>
          </w:p>
        </w:tc>
        <w:tc>
          <w:tcPr>
            <w:tcW w:w="1802" w:type="dxa"/>
          </w:tcPr>
          <w:p w14:paraId="366FB5E3" w14:textId="77777777" w:rsidR="004626A3" w:rsidRPr="00230F35"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76A18B98" w14:textId="77777777" w:rsidR="004626A3" w:rsidRPr="00230F35"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4626A3" w:rsidRPr="00230F35" w14:paraId="12E3457C" w14:textId="77777777" w:rsidTr="004155FF">
        <w:trPr>
          <w:trHeight w:val="1139"/>
        </w:trPr>
        <w:tc>
          <w:tcPr>
            <w:tcW w:w="8856" w:type="dxa"/>
            <w:gridSpan w:val="5"/>
          </w:tcPr>
          <w:p w14:paraId="64326DF2" w14:textId="77777777" w:rsidR="004626A3" w:rsidRPr="00230F35"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 Research Project</w:t>
            </w:r>
          </w:p>
          <w:p w14:paraId="7DB0C2AA" w14:textId="77777777" w:rsidR="004626A3" w:rsidRPr="00230F35" w:rsidRDefault="004626A3" w:rsidP="004155FF">
            <w:pPr>
              <w:pStyle w:val="NormalWeb"/>
              <w:spacing w:before="0" w:beforeAutospacing="0" w:after="0" w:afterAutospacing="0"/>
              <w:ind w:right="34"/>
              <w:rPr>
                <w:rFonts w:ascii="Arial" w:hAnsi="Arial" w:cs="Arial"/>
                <w:sz w:val="22"/>
                <w:szCs w:val="22"/>
              </w:rPr>
            </w:pPr>
          </w:p>
          <w:p w14:paraId="0128E73A" w14:textId="77777777" w:rsidR="004626A3" w:rsidRDefault="004626A3" w:rsidP="004155FF">
            <w:pPr>
              <w:pStyle w:val="NormalWeb"/>
              <w:spacing w:before="0" w:beforeAutospacing="0" w:after="0" w:afterAutospacing="0"/>
              <w:ind w:right="34"/>
              <w:rPr>
                <w:rFonts w:ascii="Arial" w:hAnsi="Arial" w:cs="Arial"/>
                <w:sz w:val="22"/>
                <w:szCs w:val="22"/>
              </w:rPr>
            </w:pPr>
          </w:p>
          <w:p w14:paraId="193B4C1A" w14:textId="77777777" w:rsidR="004626A3" w:rsidRPr="00230F35"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10 August 2020</w:t>
            </w:r>
          </w:p>
        </w:tc>
      </w:tr>
      <w:tr w:rsidR="004626A3" w:rsidRPr="00230F35" w14:paraId="34E1FC28" w14:textId="77777777" w:rsidTr="004155FF">
        <w:trPr>
          <w:trHeight w:val="978"/>
        </w:trPr>
        <w:tc>
          <w:tcPr>
            <w:tcW w:w="8856" w:type="dxa"/>
            <w:gridSpan w:val="5"/>
            <w:tcBorders>
              <w:bottom w:val="single" w:sz="4" w:space="0" w:color="000000"/>
            </w:tcBorders>
          </w:tcPr>
          <w:p w14:paraId="33ED6254" w14:textId="77777777" w:rsidR="004626A3" w:rsidRPr="00230F35" w:rsidRDefault="004626A3" w:rsidP="004155FF">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2"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3"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w:t>
            </w:r>
            <w:r>
              <w:rPr>
                <w:rFonts w:ascii="Arial" w:hAnsi="Arial" w:cs="Arial"/>
              </w:rPr>
              <w:t>X</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4"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5"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6"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7"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7"/>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4626A3" w:rsidRPr="00230F35" w14:paraId="283EA389" w14:textId="77777777" w:rsidTr="004155FF">
        <w:trPr>
          <w:trHeight w:val="978"/>
        </w:trPr>
        <w:tc>
          <w:tcPr>
            <w:tcW w:w="8856" w:type="dxa"/>
            <w:gridSpan w:val="5"/>
            <w:shd w:val="clear" w:color="auto" w:fill="D9D9D9"/>
          </w:tcPr>
          <w:p w14:paraId="5C935F3C" w14:textId="77777777" w:rsidR="004626A3" w:rsidRPr="00230F35"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CB97B0B" w14:textId="77777777" w:rsidR="004626A3" w:rsidRDefault="004626A3" w:rsidP="004155F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 Dillon</w:t>
            </w:r>
            <w:r w:rsidRPr="00230F35">
              <w:rPr>
                <w:rFonts w:ascii="Arial" w:hAnsi="Arial" w:cs="Arial"/>
                <w:sz w:val="22"/>
                <w:szCs w:val="22"/>
              </w:rPr>
              <w:t>……………………………………………………</w:t>
            </w:r>
          </w:p>
          <w:p w14:paraId="12B228EB" w14:textId="77777777" w:rsidR="004626A3" w:rsidRDefault="004626A3" w:rsidP="004155F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57D883A1" w14:textId="77777777" w:rsidR="004626A3" w:rsidRPr="00230F35" w:rsidRDefault="004626A3" w:rsidP="004155F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626A3" w:rsidRPr="00230F35" w14:paraId="173F63C9" w14:textId="77777777" w:rsidTr="004155FF">
        <w:trPr>
          <w:trHeight w:val="3972"/>
        </w:trPr>
        <w:tc>
          <w:tcPr>
            <w:tcW w:w="8856" w:type="dxa"/>
            <w:gridSpan w:val="5"/>
          </w:tcPr>
          <w:p w14:paraId="061495C4" w14:textId="77777777" w:rsidR="004626A3" w:rsidRDefault="004626A3" w:rsidP="004155FF">
            <w:pPr>
              <w:rPr>
                <w:rFonts w:ascii="Arial" w:hAnsi="Arial"/>
                <w:b/>
              </w:rPr>
            </w:pPr>
          </w:p>
          <w:p w14:paraId="5EC22F42" w14:textId="77777777" w:rsidR="004626A3" w:rsidRPr="00116CE6" w:rsidRDefault="004626A3" w:rsidP="004155F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626A3" w:rsidRPr="00116CE6" w14:paraId="3559DEFC" w14:textId="77777777" w:rsidTr="004155FF">
              <w:tc>
                <w:tcPr>
                  <w:tcW w:w="6970" w:type="dxa"/>
                </w:tcPr>
                <w:p w14:paraId="5A9BD383" w14:textId="77777777" w:rsidR="004626A3" w:rsidRPr="00116CE6" w:rsidRDefault="004626A3" w:rsidP="004155FF">
                  <w:pPr>
                    <w:rPr>
                      <w:rFonts w:ascii="Arial" w:hAnsi="Arial"/>
                      <w:sz w:val="20"/>
                      <w:szCs w:val="20"/>
                    </w:rPr>
                  </w:pPr>
                </w:p>
                <w:p w14:paraId="270E2EF2" w14:textId="77777777" w:rsidR="004626A3" w:rsidRPr="00116CE6" w:rsidRDefault="004626A3" w:rsidP="004155F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62BB209" w14:textId="77777777" w:rsidR="004626A3" w:rsidRPr="00116CE6" w:rsidRDefault="004626A3" w:rsidP="004155FF">
                  <w:pPr>
                    <w:rPr>
                      <w:rFonts w:ascii="Arial" w:hAnsi="Arial"/>
                      <w:sz w:val="20"/>
                      <w:szCs w:val="20"/>
                    </w:rPr>
                  </w:pPr>
                </w:p>
              </w:tc>
            </w:tr>
            <w:tr w:rsidR="004626A3" w:rsidRPr="00116CE6" w14:paraId="4DDD1EC8" w14:textId="77777777" w:rsidTr="004155FF">
              <w:tc>
                <w:tcPr>
                  <w:tcW w:w="6970" w:type="dxa"/>
                </w:tcPr>
                <w:p w14:paraId="53CC299C" w14:textId="77777777" w:rsidR="004626A3" w:rsidRPr="00116CE6" w:rsidRDefault="004626A3" w:rsidP="004155FF">
                  <w:pPr>
                    <w:rPr>
                      <w:rFonts w:ascii="Arial" w:hAnsi="Arial"/>
                      <w:sz w:val="20"/>
                      <w:szCs w:val="20"/>
                    </w:rPr>
                  </w:pPr>
                </w:p>
                <w:p w14:paraId="5A652B20" w14:textId="77777777" w:rsidR="004626A3" w:rsidRPr="00116CE6" w:rsidRDefault="004626A3" w:rsidP="004155F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6344237" w14:textId="77777777" w:rsidR="004626A3" w:rsidRPr="00116CE6" w:rsidRDefault="004626A3" w:rsidP="004155FF">
                  <w:pPr>
                    <w:rPr>
                      <w:rFonts w:ascii="Arial" w:hAnsi="Arial"/>
                      <w:sz w:val="20"/>
                      <w:szCs w:val="20"/>
                    </w:rPr>
                  </w:pPr>
                </w:p>
              </w:tc>
            </w:tr>
            <w:tr w:rsidR="004626A3" w:rsidRPr="00116CE6" w14:paraId="71ECE3FA" w14:textId="77777777" w:rsidTr="004155FF">
              <w:tc>
                <w:tcPr>
                  <w:tcW w:w="6970" w:type="dxa"/>
                </w:tcPr>
                <w:p w14:paraId="36F2C097" w14:textId="77777777" w:rsidR="004626A3" w:rsidRPr="00116CE6" w:rsidRDefault="004626A3" w:rsidP="004155FF">
                  <w:pPr>
                    <w:rPr>
                      <w:rFonts w:ascii="Arial" w:hAnsi="Arial"/>
                      <w:sz w:val="20"/>
                      <w:szCs w:val="20"/>
                    </w:rPr>
                  </w:pPr>
                </w:p>
                <w:p w14:paraId="19D323D8" w14:textId="77777777" w:rsidR="004626A3" w:rsidRPr="00116CE6" w:rsidRDefault="004626A3" w:rsidP="004155F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412D7C8" w14:textId="77777777" w:rsidR="004626A3" w:rsidRPr="00116CE6" w:rsidRDefault="004626A3" w:rsidP="004155FF">
                  <w:pPr>
                    <w:rPr>
                      <w:rFonts w:ascii="Arial" w:hAnsi="Arial"/>
                      <w:sz w:val="20"/>
                      <w:szCs w:val="20"/>
                    </w:rPr>
                  </w:pPr>
                </w:p>
              </w:tc>
            </w:tr>
            <w:tr w:rsidR="004626A3" w:rsidRPr="00116CE6" w14:paraId="180036AB" w14:textId="77777777" w:rsidTr="004155FF">
              <w:tc>
                <w:tcPr>
                  <w:tcW w:w="6970" w:type="dxa"/>
                </w:tcPr>
                <w:p w14:paraId="27F2E33C" w14:textId="77777777" w:rsidR="004626A3" w:rsidRDefault="004626A3" w:rsidP="004155FF">
                  <w:pPr>
                    <w:rPr>
                      <w:rFonts w:ascii="Arial" w:hAnsi="Arial"/>
                      <w:sz w:val="20"/>
                      <w:szCs w:val="20"/>
                    </w:rPr>
                  </w:pPr>
                </w:p>
                <w:p w14:paraId="2C04408D" w14:textId="77777777" w:rsidR="004626A3" w:rsidRPr="00022345" w:rsidRDefault="004626A3" w:rsidP="004155FF">
                  <w:pPr>
                    <w:rPr>
                      <w:rFonts w:ascii="Arial" w:hAnsi="Arial"/>
                      <w:b/>
                      <w:sz w:val="20"/>
                      <w:szCs w:val="20"/>
                    </w:rPr>
                  </w:pPr>
                  <w:r w:rsidRPr="00022345">
                    <w:rPr>
                      <w:rFonts w:ascii="Arial" w:hAnsi="Arial"/>
                      <w:b/>
                      <w:sz w:val="20"/>
                      <w:szCs w:val="20"/>
                    </w:rPr>
                    <w:t>Final Mark</w:t>
                  </w:r>
                </w:p>
                <w:p w14:paraId="3A2D2D33" w14:textId="77777777" w:rsidR="004626A3" w:rsidRPr="00116CE6" w:rsidRDefault="004626A3" w:rsidP="004155FF">
                  <w:pPr>
                    <w:rPr>
                      <w:rFonts w:ascii="Arial" w:hAnsi="Arial"/>
                      <w:sz w:val="20"/>
                      <w:szCs w:val="20"/>
                    </w:rPr>
                  </w:pPr>
                </w:p>
              </w:tc>
              <w:tc>
                <w:tcPr>
                  <w:tcW w:w="1660" w:type="dxa"/>
                </w:tcPr>
                <w:p w14:paraId="722BDE68" w14:textId="77777777" w:rsidR="004626A3" w:rsidRPr="00116CE6" w:rsidRDefault="004626A3" w:rsidP="004155FF">
                  <w:pPr>
                    <w:rPr>
                      <w:rFonts w:ascii="Arial" w:hAnsi="Arial"/>
                      <w:sz w:val="20"/>
                      <w:szCs w:val="20"/>
                    </w:rPr>
                  </w:pPr>
                </w:p>
              </w:tc>
            </w:tr>
          </w:tbl>
          <w:p w14:paraId="5B3DED66" w14:textId="77777777" w:rsidR="004626A3" w:rsidRDefault="004626A3" w:rsidP="004155FF">
            <w:pPr>
              <w:pStyle w:val="NormalWeb"/>
              <w:spacing w:before="0" w:beforeAutospacing="0" w:after="0" w:afterAutospacing="0"/>
              <w:ind w:left="142" w:right="34"/>
              <w:rPr>
                <w:rFonts w:ascii="Arial" w:hAnsi="Arial" w:cs="Arial"/>
                <w:b/>
                <w:sz w:val="22"/>
                <w:szCs w:val="22"/>
              </w:rPr>
            </w:pPr>
          </w:p>
          <w:p w14:paraId="71C9537E" w14:textId="77777777" w:rsidR="004626A3" w:rsidRPr="00230F35" w:rsidRDefault="004626A3" w:rsidP="004155F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53950920" w14:textId="77777777" w:rsidR="004626A3" w:rsidRDefault="004626A3" w:rsidP="004155FF">
            <w:pPr>
              <w:pStyle w:val="NormalWeb"/>
              <w:spacing w:before="0" w:beforeAutospacing="0" w:after="0" w:afterAutospacing="0"/>
              <w:rPr>
                <w:rFonts w:ascii="Arial" w:hAnsi="Arial" w:cs="Arial"/>
                <w:b/>
                <w:sz w:val="22"/>
                <w:szCs w:val="22"/>
              </w:rPr>
            </w:pPr>
          </w:p>
          <w:p w14:paraId="178BF050" w14:textId="77777777" w:rsidR="004626A3" w:rsidRDefault="004626A3" w:rsidP="004155FF">
            <w:pPr>
              <w:pStyle w:val="NormalWeb"/>
              <w:spacing w:before="0" w:beforeAutospacing="0" w:after="0" w:afterAutospacing="0"/>
              <w:rPr>
                <w:rFonts w:ascii="Arial" w:hAnsi="Arial" w:cs="Arial"/>
                <w:b/>
                <w:sz w:val="22"/>
                <w:szCs w:val="22"/>
              </w:rPr>
            </w:pPr>
          </w:p>
          <w:p w14:paraId="6E8EDED0" w14:textId="77777777" w:rsidR="004626A3" w:rsidRDefault="004626A3" w:rsidP="004155FF">
            <w:pPr>
              <w:pStyle w:val="NormalWeb"/>
              <w:spacing w:before="0" w:beforeAutospacing="0" w:after="0" w:afterAutospacing="0"/>
              <w:rPr>
                <w:rFonts w:ascii="Arial" w:hAnsi="Arial" w:cs="Arial"/>
                <w:b/>
                <w:sz w:val="22"/>
                <w:szCs w:val="22"/>
              </w:rPr>
            </w:pPr>
          </w:p>
          <w:p w14:paraId="7A06C2C7" w14:textId="77777777" w:rsidR="004626A3" w:rsidRDefault="004626A3" w:rsidP="004155FF">
            <w:pPr>
              <w:pStyle w:val="NormalWeb"/>
              <w:spacing w:before="0" w:beforeAutospacing="0" w:after="0" w:afterAutospacing="0"/>
              <w:rPr>
                <w:rFonts w:ascii="Arial" w:hAnsi="Arial" w:cs="Arial"/>
                <w:b/>
                <w:sz w:val="22"/>
                <w:szCs w:val="22"/>
              </w:rPr>
            </w:pPr>
          </w:p>
          <w:p w14:paraId="706B37D0" w14:textId="77777777" w:rsidR="004626A3" w:rsidRDefault="004626A3" w:rsidP="004155FF">
            <w:pPr>
              <w:pStyle w:val="NormalWeb"/>
              <w:spacing w:before="0" w:beforeAutospacing="0" w:after="0" w:afterAutospacing="0"/>
              <w:rPr>
                <w:rFonts w:ascii="Arial" w:hAnsi="Arial" w:cs="Arial"/>
                <w:b/>
                <w:sz w:val="22"/>
                <w:szCs w:val="22"/>
              </w:rPr>
            </w:pPr>
          </w:p>
          <w:p w14:paraId="5C491993" w14:textId="77777777" w:rsidR="004626A3" w:rsidRPr="00230F35" w:rsidRDefault="004626A3" w:rsidP="004155F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B6715B5" w14:textId="77777777" w:rsidR="004626A3" w:rsidRDefault="004626A3" w:rsidP="004155FF">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CB8C3E1" w14:textId="77777777" w:rsidR="004626A3" w:rsidRPr="00001C3B" w:rsidRDefault="004626A3" w:rsidP="004155FF">
            <w:pPr>
              <w:pStyle w:val="NormalWeb"/>
              <w:rPr>
                <w:rFonts w:ascii="Arial" w:hAnsi="Arial" w:cs="Arial"/>
                <w:sz w:val="22"/>
                <w:szCs w:val="22"/>
              </w:rPr>
            </w:pPr>
          </w:p>
        </w:tc>
      </w:tr>
      <w:tr w:rsidR="004626A3" w:rsidRPr="00230F35" w14:paraId="2305D997" w14:textId="77777777" w:rsidTr="004155FF">
        <w:trPr>
          <w:trHeight w:val="492"/>
        </w:trPr>
        <w:tc>
          <w:tcPr>
            <w:tcW w:w="6768" w:type="dxa"/>
            <w:gridSpan w:val="3"/>
          </w:tcPr>
          <w:p w14:paraId="75E3CFB6" w14:textId="77777777" w:rsidR="004626A3" w:rsidRPr="00230F35" w:rsidRDefault="004626A3" w:rsidP="004155FF">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3FA47413" w14:textId="77777777" w:rsidR="004626A3" w:rsidRPr="00230F35" w:rsidRDefault="004626A3" w:rsidP="004155FF">
            <w:pPr>
              <w:pStyle w:val="NormalWeb"/>
              <w:spacing w:after="0"/>
              <w:ind w:left="142" w:right="34"/>
              <w:rPr>
                <w:rFonts w:ascii="Arial" w:hAnsi="Arial" w:cs="Arial"/>
                <w:sz w:val="22"/>
                <w:szCs w:val="22"/>
              </w:rPr>
            </w:pPr>
            <w:r w:rsidRPr="00230F35">
              <w:rPr>
                <w:rFonts w:ascii="Arial" w:hAnsi="Arial" w:cs="Arial"/>
                <w:sz w:val="22"/>
                <w:szCs w:val="22"/>
              </w:rPr>
              <w:t>Date:</w:t>
            </w:r>
          </w:p>
        </w:tc>
      </w:tr>
      <w:tr w:rsidR="004626A3" w:rsidRPr="002F467C" w14:paraId="601178ED" w14:textId="77777777" w:rsidTr="004155FF">
        <w:tc>
          <w:tcPr>
            <w:tcW w:w="8856" w:type="dxa"/>
            <w:gridSpan w:val="5"/>
          </w:tcPr>
          <w:p w14:paraId="327943C8" w14:textId="77777777" w:rsidR="004626A3" w:rsidRPr="00230F35" w:rsidRDefault="004626A3" w:rsidP="004155FF">
            <w:pPr>
              <w:pStyle w:val="NormalWeb"/>
              <w:spacing w:before="0" w:beforeAutospacing="0" w:after="0" w:afterAutospacing="0"/>
              <w:ind w:right="-334"/>
              <w:rPr>
                <w:rFonts w:ascii="Arial" w:hAnsi="Arial" w:cs="Arial"/>
                <w:bCs/>
                <w:i/>
                <w:sz w:val="22"/>
                <w:szCs w:val="22"/>
              </w:rPr>
            </w:pPr>
          </w:p>
          <w:p w14:paraId="712A25E5" w14:textId="77777777" w:rsidR="004626A3" w:rsidRPr="00230F35" w:rsidRDefault="004626A3" w:rsidP="004155F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8FCC503" w14:textId="77777777" w:rsidR="004626A3" w:rsidRPr="00230F35" w:rsidRDefault="004626A3" w:rsidP="004155FF">
            <w:pPr>
              <w:pStyle w:val="NormalWeb"/>
              <w:spacing w:before="0" w:beforeAutospacing="0" w:after="0" w:afterAutospacing="0"/>
              <w:ind w:right="-334"/>
              <w:rPr>
                <w:rFonts w:ascii="Arial" w:hAnsi="Arial" w:cs="Arial"/>
                <w:b/>
                <w:bCs/>
                <w:sz w:val="22"/>
                <w:szCs w:val="22"/>
              </w:rPr>
            </w:pPr>
          </w:p>
          <w:p w14:paraId="141F09FD"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5CEF92B"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70399A52"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6CE2225D"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3A4D3D40"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403396A5"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1626FBFB"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709D7CF6"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64CFCCB8"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12EDA9A7" w14:textId="77777777" w:rsidR="004626A3" w:rsidRDefault="004626A3" w:rsidP="004155FF">
            <w:pPr>
              <w:pStyle w:val="NormalWeb"/>
              <w:spacing w:before="0" w:beforeAutospacing="0" w:after="0" w:afterAutospacing="0"/>
              <w:ind w:right="-334"/>
              <w:rPr>
                <w:rFonts w:ascii="Arial" w:hAnsi="Arial" w:cs="Arial"/>
                <w:bCs/>
                <w:sz w:val="22"/>
                <w:szCs w:val="22"/>
              </w:rPr>
            </w:pPr>
          </w:p>
          <w:p w14:paraId="42923A58"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7ED5112A"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4F00783C"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tc>
      </w:tr>
      <w:tr w:rsidR="004626A3" w:rsidRPr="002F467C" w14:paraId="160B9AEE" w14:textId="77777777" w:rsidTr="004155FF">
        <w:trPr>
          <w:trHeight w:val="720"/>
        </w:trPr>
        <w:tc>
          <w:tcPr>
            <w:tcW w:w="5211" w:type="dxa"/>
            <w:gridSpan w:val="2"/>
          </w:tcPr>
          <w:p w14:paraId="195901DA"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6A8D54D"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626A3" w:rsidRPr="002F467C" w14:paraId="6BFF6804" w14:textId="77777777" w:rsidTr="004155FF">
        <w:trPr>
          <w:trHeight w:val="720"/>
        </w:trPr>
        <w:tc>
          <w:tcPr>
            <w:tcW w:w="8856" w:type="dxa"/>
            <w:gridSpan w:val="5"/>
          </w:tcPr>
          <w:p w14:paraId="56435987" w14:textId="77777777" w:rsidR="004626A3" w:rsidRPr="00B34964" w:rsidRDefault="004626A3" w:rsidP="004155FF">
            <w:pPr>
              <w:rPr>
                <w:rFonts w:ascii="Arial" w:hAnsi="Arial" w:cs="Arial"/>
                <w:b/>
              </w:rPr>
            </w:pPr>
            <w:r w:rsidRPr="00B34964">
              <w:rPr>
                <w:rFonts w:ascii="Arial" w:hAnsi="Arial" w:cs="Arial"/>
                <w:b/>
              </w:rPr>
              <w:t>External Examiner’s comments (if relevant)</w:t>
            </w:r>
          </w:p>
          <w:p w14:paraId="70CE6B4E"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39F77251"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64E96551"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68E0B0BC"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0EE9141C"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1EB53AA9"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2998199F"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4B1BB364"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00BDD9E0" w14:textId="77777777" w:rsidR="004626A3" w:rsidRDefault="004626A3" w:rsidP="004155FF">
            <w:pPr>
              <w:pStyle w:val="NormalWeb"/>
              <w:spacing w:before="0" w:beforeAutospacing="0" w:after="0" w:afterAutospacing="0"/>
              <w:ind w:right="-334"/>
              <w:rPr>
                <w:rFonts w:ascii="Arial" w:hAnsi="Arial" w:cs="Arial"/>
                <w:bCs/>
                <w:sz w:val="22"/>
                <w:szCs w:val="22"/>
              </w:rPr>
            </w:pPr>
          </w:p>
          <w:p w14:paraId="0E5C11FD"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p w14:paraId="7D2ABF72" w14:textId="77777777" w:rsidR="004626A3" w:rsidRPr="00230F35" w:rsidRDefault="004626A3" w:rsidP="004155FF">
            <w:pPr>
              <w:pStyle w:val="NormalWeb"/>
              <w:spacing w:before="0" w:beforeAutospacing="0" w:after="0" w:afterAutospacing="0"/>
              <w:ind w:right="-334"/>
              <w:rPr>
                <w:rFonts w:ascii="Arial" w:hAnsi="Arial" w:cs="Arial"/>
                <w:bCs/>
                <w:sz w:val="22"/>
                <w:szCs w:val="22"/>
              </w:rPr>
            </w:pPr>
          </w:p>
        </w:tc>
      </w:tr>
      <w:tr w:rsidR="004626A3" w:rsidRPr="002F467C" w14:paraId="773EB696" w14:textId="77777777" w:rsidTr="004155FF">
        <w:trPr>
          <w:trHeight w:val="720"/>
        </w:trPr>
        <w:tc>
          <w:tcPr>
            <w:tcW w:w="5211" w:type="dxa"/>
            <w:gridSpan w:val="2"/>
          </w:tcPr>
          <w:p w14:paraId="404663C1" w14:textId="77777777" w:rsidR="004626A3" w:rsidRPr="00230F35" w:rsidRDefault="004626A3" w:rsidP="004155FF">
            <w:pPr>
              <w:rPr>
                <w:rFonts w:ascii="Arial" w:hAnsi="Arial" w:cs="Arial"/>
              </w:rPr>
            </w:pPr>
            <w:r w:rsidRPr="00230F35">
              <w:rPr>
                <w:rFonts w:ascii="Arial" w:hAnsi="Arial" w:cs="Arial"/>
              </w:rPr>
              <w:lastRenderedPageBreak/>
              <w:t>External Examiner’s Signature:</w:t>
            </w:r>
          </w:p>
        </w:tc>
        <w:tc>
          <w:tcPr>
            <w:tcW w:w="3645" w:type="dxa"/>
            <w:gridSpan w:val="3"/>
          </w:tcPr>
          <w:p w14:paraId="676DB828" w14:textId="77777777" w:rsidR="004626A3" w:rsidRPr="00230F35" w:rsidRDefault="004626A3" w:rsidP="004155FF">
            <w:pPr>
              <w:rPr>
                <w:rFonts w:ascii="Arial" w:hAnsi="Arial" w:cs="Arial"/>
              </w:rPr>
            </w:pPr>
            <w:r w:rsidRPr="00230F35">
              <w:rPr>
                <w:rFonts w:ascii="Arial" w:hAnsi="Arial" w:cs="Arial"/>
              </w:rPr>
              <w:t>Date:</w:t>
            </w:r>
          </w:p>
        </w:tc>
      </w:tr>
    </w:tbl>
    <w:p w14:paraId="3BEF9373" w14:textId="77777777" w:rsidR="004626A3" w:rsidRPr="00D67BF8" w:rsidRDefault="004626A3" w:rsidP="004626A3">
      <w:pPr>
        <w:pStyle w:val="NormalWeb"/>
        <w:spacing w:before="0" w:beforeAutospacing="0" w:after="0" w:afterAutospacing="0"/>
        <w:ind w:right="-334"/>
        <w:rPr>
          <w:rFonts w:ascii="Trebuchet MS" w:hAnsi="Trebuchet MS" w:cs="Tahoma"/>
          <w:bCs/>
          <w:sz w:val="24"/>
          <w:szCs w:val="24"/>
        </w:rPr>
      </w:pPr>
    </w:p>
    <w:p w14:paraId="610EED53" w14:textId="77777777" w:rsidR="004626A3" w:rsidRDefault="004626A3" w:rsidP="00572244">
      <w:pPr>
        <w:spacing w:after="0" w:line="240" w:lineRule="auto"/>
        <w:rPr>
          <w:rFonts w:cstheme="minorHAnsi"/>
          <w:b/>
          <w:bCs/>
        </w:rPr>
      </w:pPr>
    </w:p>
    <w:p w14:paraId="762417E6" w14:textId="7F830976" w:rsidR="000D66D5" w:rsidRDefault="00E862F1" w:rsidP="00572244">
      <w:pPr>
        <w:spacing w:after="0" w:line="240" w:lineRule="auto"/>
        <w:rPr>
          <w:rFonts w:cstheme="minorHAnsi"/>
          <w:b/>
          <w:bCs/>
        </w:rPr>
      </w:pPr>
      <w:r w:rsidRPr="009D22AD">
        <w:rPr>
          <w:rFonts w:cstheme="minorHAnsi"/>
          <w:b/>
          <w:bCs/>
        </w:rPr>
        <w:t xml:space="preserve">Research Project </w:t>
      </w:r>
      <w:r w:rsidR="009A0678" w:rsidRPr="009D22AD">
        <w:rPr>
          <w:rFonts w:cstheme="minorHAnsi"/>
          <w:b/>
          <w:bCs/>
        </w:rPr>
        <w:t>–</w:t>
      </w:r>
      <w:r w:rsidRPr="009D22AD">
        <w:rPr>
          <w:rFonts w:cstheme="minorHAnsi"/>
          <w:b/>
          <w:bCs/>
        </w:rPr>
        <w:t xml:space="preserve"> </w:t>
      </w:r>
      <w:r w:rsidR="009A0678" w:rsidRPr="009D22AD">
        <w:rPr>
          <w:rFonts w:cstheme="minorHAnsi"/>
          <w:b/>
          <w:bCs/>
        </w:rPr>
        <w:t>Do online sacred women’s groups lead to a sense of re-enchantment?</w:t>
      </w:r>
    </w:p>
    <w:p w14:paraId="6486923B" w14:textId="66F4727E" w:rsidR="00572244" w:rsidRPr="00572244" w:rsidRDefault="00572244" w:rsidP="00572244">
      <w:pPr>
        <w:spacing w:after="0" w:line="240" w:lineRule="auto"/>
        <w:rPr>
          <w:rFonts w:cstheme="minorHAnsi"/>
        </w:rPr>
      </w:pPr>
      <w:r w:rsidRPr="00572244">
        <w:rPr>
          <w:rFonts w:cstheme="minorHAnsi"/>
        </w:rPr>
        <w:t>Word Count:</w:t>
      </w:r>
      <w:r w:rsidR="00A9787A">
        <w:rPr>
          <w:rFonts w:cstheme="minorHAnsi"/>
        </w:rPr>
        <w:t xml:space="preserve"> 4198</w:t>
      </w:r>
    </w:p>
    <w:p w14:paraId="21A8A86F" w14:textId="5E527B2C" w:rsidR="009A0678" w:rsidRPr="009D22AD" w:rsidRDefault="009A0678" w:rsidP="00572244">
      <w:pPr>
        <w:spacing w:after="0" w:line="240" w:lineRule="auto"/>
        <w:rPr>
          <w:rFonts w:cstheme="minorHAnsi"/>
          <w:b/>
          <w:bCs/>
        </w:rPr>
      </w:pPr>
    </w:p>
    <w:p w14:paraId="1D4C2074" w14:textId="778D96D7" w:rsidR="009A0678" w:rsidRPr="009D22AD" w:rsidRDefault="000F6F95" w:rsidP="00572244">
      <w:pPr>
        <w:spacing w:after="0" w:line="240" w:lineRule="auto"/>
        <w:rPr>
          <w:rFonts w:cstheme="minorHAnsi"/>
          <w:b/>
          <w:bCs/>
        </w:rPr>
      </w:pPr>
      <w:r w:rsidRPr="009D22AD">
        <w:rPr>
          <w:rFonts w:cstheme="minorHAnsi"/>
          <w:b/>
          <w:bCs/>
        </w:rPr>
        <w:t xml:space="preserve">Introduction </w:t>
      </w:r>
    </w:p>
    <w:p w14:paraId="64A497B7" w14:textId="4E361301" w:rsidR="000F026A" w:rsidRDefault="000F026A" w:rsidP="00572244">
      <w:pPr>
        <w:spacing w:after="0" w:line="240" w:lineRule="auto"/>
        <w:rPr>
          <w:rFonts w:cstheme="minorHAnsi"/>
          <w:b/>
          <w:bCs/>
        </w:rPr>
      </w:pPr>
    </w:p>
    <w:p w14:paraId="0B83DBA1" w14:textId="3A58B110" w:rsidR="00161000" w:rsidRPr="009D22AD" w:rsidRDefault="00161000" w:rsidP="00572244">
      <w:pPr>
        <w:spacing w:after="0" w:line="240" w:lineRule="auto"/>
        <w:rPr>
          <w:rFonts w:cstheme="minorHAnsi"/>
          <w:b/>
          <w:bCs/>
        </w:rPr>
      </w:pPr>
      <w:r w:rsidRPr="009D22AD">
        <w:rPr>
          <w:rFonts w:cstheme="minorHAnsi"/>
        </w:rPr>
        <w:t>This p</w:t>
      </w:r>
      <w:r>
        <w:rPr>
          <w:rFonts w:cstheme="minorHAnsi"/>
        </w:rPr>
        <w:t>roject</w:t>
      </w:r>
      <w:r w:rsidRPr="009D22AD">
        <w:rPr>
          <w:rFonts w:cstheme="minorHAnsi"/>
        </w:rPr>
        <w:t xml:space="preserve"> explores the topic of re-enchantment in women’s sacred online groups, Patrick Curry noted ‘enchantment is an experience of wonder’</w:t>
      </w:r>
      <w:r w:rsidRPr="009D22AD">
        <w:rPr>
          <w:rStyle w:val="FootnoteReference"/>
          <w:rFonts w:cstheme="minorHAnsi"/>
        </w:rPr>
        <w:footnoteReference w:id="1"/>
      </w:r>
      <w:r w:rsidRPr="009D22AD">
        <w:rPr>
          <w:rFonts w:cstheme="minorHAnsi"/>
        </w:rPr>
        <w:t xml:space="preserve"> </w:t>
      </w:r>
      <w:r w:rsidR="00572244">
        <w:rPr>
          <w:rFonts w:cstheme="minorHAnsi"/>
        </w:rPr>
        <w:t>or Max Weber perceived it as ‘concrete magic,’</w:t>
      </w:r>
      <w:r w:rsidR="00572244">
        <w:rPr>
          <w:rStyle w:val="FootnoteReference"/>
          <w:rFonts w:cstheme="minorHAnsi"/>
        </w:rPr>
        <w:footnoteReference w:id="2"/>
      </w:r>
      <w:r w:rsidR="00572244">
        <w:rPr>
          <w:rFonts w:cstheme="minorHAnsi"/>
        </w:rPr>
        <w:t xml:space="preserve"> </w:t>
      </w:r>
      <w:r w:rsidRPr="009D22AD">
        <w:rPr>
          <w:rFonts w:cstheme="minorHAnsi"/>
        </w:rPr>
        <w:t>it is this wonder</w:t>
      </w:r>
      <w:r w:rsidR="00572244">
        <w:rPr>
          <w:rFonts w:cstheme="minorHAnsi"/>
        </w:rPr>
        <w:t xml:space="preserve"> and magic</w:t>
      </w:r>
      <w:r w:rsidRPr="009D22AD">
        <w:rPr>
          <w:rFonts w:cstheme="minorHAnsi"/>
        </w:rPr>
        <w:t xml:space="preserve"> that I will be unfolding</w:t>
      </w:r>
      <w:r>
        <w:rPr>
          <w:rFonts w:cstheme="minorHAnsi"/>
        </w:rPr>
        <w:t xml:space="preserve">. </w:t>
      </w:r>
      <w:r w:rsidRPr="009D22AD">
        <w:rPr>
          <w:rFonts w:cstheme="minorHAnsi"/>
        </w:rPr>
        <w:t>This research will work with various online women’s groups based on the social media platform</w:t>
      </w:r>
      <w:r w:rsidR="009100FA">
        <w:rPr>
          <w:rFonts w:cstheme="minorHAnsi"/>
        </w:rPr>
        <w:t>,</w:t>
      </w:r>
      <w:r w:rsidRPr="009D22AD">
        <w:rPr>
          <w:rFonts w:cstheme="minorHAnsi"/>
        </w:rPr>
        <w:t xml:space="preserve"> Facebook. I will conduct interviews and questionnaires within these groups, who share rituals and activities amongst themselve</w:t>
      </w:r>
      <w:r w:rsidR="00645643">
        <w:rPr>
          <w:rFonts w:cstheme="minorHAnsi"/>
        </w:rPr>
        <w:t>s</w:t>
      </w:r>
      <w:r>
        <w:rPr>
          <w:rFonts w:cstheme="minorHAnsi"/>
        </w:rPr>
        <w:t>.</w:t>
      </w:r>
      <w:r w:rsidR="009100FA">
        <w:rPr>
          <w:rFonts w:cstheme="minorHAnsi"/>
        </w:rPr>
        <w:t xml:space="preserve"> It has been argued that science, rationality and logic has led to disenchantment of the world.</w:t>
      </w:r>
      <w:r w:rsidR="009100FA">
        <w:rPr>
          <w:rStyle w:val="FootnoteReference"/>
          <w:rFonts w:cstheme="minorHAnsi"/>
        </w:rPr>
        <w:footnoteReference w:id="3"/>
      </w:r>
      <w:r w:rsidR="009100FA">
        <w:rPr>
          <w:rFonts w:cstheme="minorHAnsi"/>
        </w:rPr>
        <w:t xml:space="preserve"> I will explore whether this disenchantment has occurred and if </w:t>
      </w:r>
      <w:r w:rsidR="00572244">
        <w:rPr>
          <w:rFonts w:cstheme="minorHAnsi"/>
        </w:rPr>
        <w:t xml:space="preserve">so, has </w:t>
      </w:r>
      <w:r w:rsidR="009100FA">
        <w:rPr>
          <w:rFonts w:cstheme="minorHAnsi"/>
        </w:rPr>
        <w:t xml:space="preserve">women’s sacred online groups assisted in regaining a sense of re-enchantment. </w:t>
      </w:r>
    </w:p>
    <w:p w14:paraId="4448DB9E" w14:textId="77777777" w:rsidR="00487EF6" w:rsidRDefault="00487EF6" w:rsidP="00572244">
      <w:pPr>
        <w:spacing w:after="0" w:line="240" w:lineRule="auto"/>
        <w:rPr>
          <w:rFonts w:cstheme="minorHAnsi"/>
          <w:b/>
          <w:bCs/>
        </w:rPr>
      </w:pPr>
    </w:p>
    <w:p w14:paraId="4329864F" w14:textId="0DE0A2C1" w:rsidR="000F6F95" w:rsidRPr="009D22AD" w:rsidRDefault="000F6F95" w:rsidP="00572244">
      <w:pPr>
        <w:spacing w:after="0" w:line="240" w:lineRule="auto"/>
        <w:rPr>
          <w:rFonts w:cstheme="minorHAnsi"/>
          <w:b/>
          <w:bCs/>
        </w:rPr>
      </w:pPr>
      <w:r w:rsidRPr="009D22AD">
        <w:rPr>
          <w:rFonts w:cstheme="minorHAnsi"/>
          <w:b/>
          <w:bCs/>
        </w:rPr>
        <w:t xml:space="preserve">Academic Rationale </w:t>
      </w:r>
    </w:p>
    <w:p w14:paraId="33DFC578" w14:textId="2AA767C8" w:rsidR="000F026A" w:rsidRPr="009D22AD" w:rsidRDefault="000F026A" w:rsidP="00572244">
      <w:pPr>
        <w:spacing w:after="0" w:line="240" w:lineRule="auto"/>
        <w:rPr>
          <w:rFonts w:cstheme="minorHAnsi"/>
          <w:b/>
          <w:bCs/>
        </w:rPr>
      </w:pPr>
    </w:p>
    <w:p w14:paraId="646ABC49" w14:textId="1A5B04BB" w:rsidR="000F026A" w:rsidRPr="009D22AD" w:rsidRDefault="00161000" w:rsidP="00572244">
      <w:pPr>
        <w:autoSpaceDE w:val="0"/>
        <w:autoSpaceDN w:val="0"/>
        <w:adjustRightInd w:val="0"/>
        <w:spacing w:line="240" w:lineRule="auto"/>
        <w:rPr>
          <w:rFonts w:cstheme="minorHAnsi"/>
        </w:rPr>
      </w:pPr>
      <w:bookmarkStart w:id="11" w:name="_Hlk47625498"/>
      <w:r>
        <w:rPr>
          <w:rFonts w:cstheme="minorHAnsi"/>
        </w:rPr>
        <w:t xml:space="preserve">Enchantment has been explored in many spheres, some </w:t>
      </w:r>
      <w:r w:rsidR="00572244">
        <w:rPr>
          <w:rFonts w:cstheme="minorHAnsi"/>
        </w:rPr>
        <w:t xml:space="preserve">of them </w:t>
      </w:r>
      <w:r>
        <w:rPr>
          <w:rFonts w:cstheme="minorHAnsi"/>
        </w:rPr>
        <w:t>have been</w:t>
      </w:r>
      <w:r w:rsidR="00572244">
        <w:rPr>
          <w:rFonts w:cstheme="minorHAnsi"/>
        </w:rPr>
        <w:t xml:space="preserve"> in</w:t>
      </w:r>
      <w:r>
        <w:rPr>
          <w:rFonts w:cstheme="minorHAnsi"/>
        </w:rPr>
        <w:t xml:space="preserve"> religion, philosophy and anthropology. Enchantment has </w:t>
      </w:r>
      <w:r w:rsidR="00645643">
        <w:rPr>
          <w:rFonts w:cstheme="minorHAnsi"/>
        </w:rPr>
        <w:t xml:space="preserve">also </w:t>
      </w:r>
      <w:r>
        <w:rPr>
          <w:rFonts w:cstheme="minorHAnsi"/>
        </w:rPr>
        <w:t xml:space="preserve">presented itself within </w:t>
      </w:r>
      <w:r w:rsidR="008A0DC9">
        <w:rPr>
          <w:rFonts w:cstheme="minorHAnsi"/>
        </w:rPr>
        <w:t xml:space="preserve">the fields of </w:t>
      </w:r>
      <w:r>
        <w:rPr>
          <w:rFonts w:cstheme="minorHAnsi"/>
        </w:rPr>
        <w:t xml:space="preserve">technology and </w:t>
      </w:r>
      <w:r w:rsidR="00572244">
        <w:rPr>
          <w:rFonts w:cstheme="minorHAnsi"/>
        </w:rPr>
        <w:t xml:space="preserve">the </w:t>
      </w:r>
      <w:r>
        <w:rPr>
          <w:rFonts w:cstheme="minorHAnsi"/>
        </w:rPr>
        <w:t>science</w:t>
      </w:r>
      <w:r w:rsidR="00572244">
        <w:rPr>
          <w:rFonts w:cstheme="minorHAnsi"/>
        </w:rPr>
        <w:t>s,</w:t>
      </w:r>
      <w:r>
        <w:rPr>
          <w:rFonts w:cstheme="minorHAnsi"/>
        </w:rPr>
        <w:t xml:space="preserve"> </w:t>
      </w:r>
      <w:r w:rsidR="008A0DC9">
        <w:rPr>
          <w:rFonts w:cstheme="minorHAnsi"/>
        </w:rPr>
        <w:t xml:space="preserve">in </w:t>
      </w:r>
      <w:r w:rsidR="00572244">
        <w:rPr>
          <w:rFonts w:cstheme="minorHAnsi"/>
        </w:rPr>
        <w:t xml:space="preserve">which Weber was one of the influencers for </w:t>
      </w:r>
      <w:r>
        <w:rPr>
          <w:rFonts w:cstheme="minorHAnsi"/>
        </w:rPr>
        <w:t>th</w:t>
      </w:r>
      <w:r w:rsidR="00572244">
        <w:rPr>
          <w:rFonts w:cstheme="minorHAnsi"/>
        </w:rPr>
        <w:t>e</w:t>
      </w:r>
      <w:r>
        <w:rPr>
          <w:rFonts w:cstheme="minorHAnsi"/>
        </w:rPr>
        <w:t xml:space="preserve"> debate </w:t>
      </w:r>
      <w:r w:rsidR="00572244">
        <w:rPr>
          <w:rFonts w:cstheme="minorHAnsi"/>
        </w:rPr>
        <w:t xml:space="preserve">on </w:t>
      </w:r>
      <w:r>
        <w:rPr>
          <w:rFonts w:cstheme="minorHAnsi"/>
        </w:rPr>
        <w:t>whether the world has become disenchanted because of rationalisation and logic.</w:t>
      </w:r>
      <w:r w:rsidR="00AC0515">
        <w:rPr>
          <w:rFonts w:cstheme="minorHAnsi"/>
        </w:rPr>
        <w:t xml:space="preserve"> </w:t>
      </w:r>
      <w:r w:rsidR="008A0DC9">
        <w:rPr>
          <w:rFonts w:cstheme="minorHAnsi"/>
        </w:rPr>
        <w:t xml:space="preserve">On the other hand, </w:t>
      </w:r>
      <w:r w:rsidR="00AC0515">
        <w:rPr>
          <w:rFonts w:cstheme="minorHAnsi"/>
        </w:rPr>
        <w:t>Curry</w:t>
      </w:r>
      <w:r w:rsidR="000A563B">
        <w:rPr>
          <w:rFonts w:cstheme="minorHAnsi"/>
        </w:rPr>
        <w:t>’s work on enchantment delve</w:t>
      </w:r>
      <w:r w:rsidR="00572244">
        <w:rPr>
          <w:rFonts w:cstheme="minorHAnsi"/>
        </w:rPr>
        <w:t>d</w:t>
      </w:r>
      <w:r w:rsidR="000A563B">
        <w:rPr>
          <w:rFonts w:cstheme="minorHAnsi"/>
        </w:rPr>
        <w:t xml:space="preserve"> into </w:t>
      </w:r>
      <w:r w:rsidR="00365B9A">
        <w:rPr>
          <w:rFonts w:cstheme="minorHAnsi"/>
        </w:rPr>
        <w:t>how wonder is apparent in modern life</w:t>
      </w:r>
      <w:r w:rsidR="008A0DC9">
        <w:rPr>
          <w:rFonts w:cstheme="minorHAnsi"/>
        </w:rPr>
        <w:t>.</w:t>
      </w:r>
      <w:r w:rsidR="00365B9A">
        <w:rPr>
          <w:rFonts w:cstheme="minorHAnsi"/>
        </w:rPr>
        <w:t xml:space="preserve"> </w:t>
      </w:r>
      <w:r w:rsidR="008A0DC9">
        <w:rPr>
          <w:rFonts w:cstheme="minorHAnsi"/>
        </w:rPr>
        <w:t>Consequently, with</w:t>
      </w:r>
      <w:r w:rsidR="00365B9A">
        <w:rPr>
          <w:rFonts w:cstheme="minorHAnsi"/>
        </w:rPr>
        <w:t xml:space="preserve"> online groups being a modern phenomenon, t</w:t>
      </w:r>
      <w:r w:rsidRPr="009D22AD">
        <w:rPr>
          <w:rFonts w:cstheme="minorHAnsi"/>
        </w:rPr>
        <w:t>he aim is to find out whether women’s sacred online groups and circles provide a space in which contemporary women can express or rediscover enchantment.</w:t>
      </w:r>
      <w:r>
        <w:rPr>
          <w:rFonts w:cstheme="minorHAnsi"/>
        </w:rPr>
        <w:t xml:space="preserve"> </w:t>
      </w:r>
      <w:bookmarkEnd w:id="11"/>
    </w:p>
    <w:p w14:paraId="670C0E49" w14:textId="4F969AD3" w:rsidR="000F026A" w:rsidRPr="009D22AD" w:rsidRDefault="000F026A" w:rsidP="00572244">
      <w:pPr>
        <w:spacing w:line="240" w:lineRule="auto"/>
        <w:rPr>
          <w:rFonts w:cstheme="minorHAnsi"/>
        </w:rPr>
      </w:pPr>
      <w:r w:rsidRPr="009D22AD">
        <w:rPr>
          <w:rFonts w:cstheme="minorHAnsi"/>
        </w:rPr>
        <w:t>The purpose is to examine whether enchantment and wonder have re-emerged along with the trend of women’s groups and circles, who perform community rituals and share experiences relating to the cosmos (moon rituals, goddesses), nature (plants, devas), dance (ecstatic, trance), to name a few. The research will delve into the notion that the rituals and activities shared among these women’s groups i</w:t>
      </w:r>
      <w:r w:rsidR="00AC0515">
        <w:rPr>
          <w:rFonts w:cstheme="minorHAnsi"/>
        </w:rPr>
        <w:t>nvolve wonder and magic, in turn promoting a sense of re-enchantment</w:t>
      </w:r>
      <w:r w:rsidRPr="009D22AD">
        <w:rPr>
          <w:rFonts w:cstheme="minorHAnsi"/>
        </w:rPr>
        <w:t xml:space="preserve">. Which according to Jason A. Josephson-Storm, regardless of modernisation and technology, is a sense that </w:t>
      </w:r>
      <w:r w:rsidRPr="009D22AD">
        <w:rPr>
          <w:rFonts w:cstheme="minorHAnsi"/>
        </w:rPr>
        <w:lastRenderedPageBreak/>
        <w:t>has never really gone away.</w:t>
      </w:r>
      <w:r w:rsidRPr="009D22AD">
        <w:rPr>
          <w:rStyle w:val="FootnoteReference"/>
          <w:rFonts w:cstheme="minorHAnsi"/>
        </w:rPr>
        <w:footnoteReference w:id="4"/>
      </w:r>
      <w:r w:rsidRPr="009D22AD">
        <w:rPr>
          <w:rFonts w:cstheme="minorHAnsi"/>
        </w:rPr>
        <w:t xml:space="preserve"> </w:t>
      </w:r>
      <w:r w:rsidR="00AC0515">
        <w:rPr>
          <w:rFonts w:cstheme="minorHAnsi"/>
        </w:rPr>
        <w:t xml:space="preserve">Therefore, it is important to </w:t>
      </w:r>
      <w:r w:rsidRPr="009D22AD">
        <w:rPr>
          <w:rFonts w:cstheme="minorHAnsi"/>
        </w:rPr>
        <w:t>consider whether we possibly</w:t>
      </w:r>
      <w:r w:rsidR="008A0DC9">
        <w:rPr>
          <w:rFonts w:cstheme="minorHAnsi"/>
        </w:rPr>
        <w:t xml:space="preserve"> have</w:t>
      </w:r>
      <w:r w:rsidRPr="009D22AD">
        <w:rPr>
          <w:rFonts w:cstheme="minorHAnsi"/>
        </w:rPr>
        <w:t xml:space="preserve"> always been enchanted.</w:t>
      </w:r>
    </w:p>
    <w:p w14:paraId="72B7DA90" w14:textId="77777777" w:rsidR="00487EF6" w:rsidRDefault="00487EF6" w:rsidP="00572244">
      <w:pPr>
        <w:spacing w:after="0" w:line="240" w:lineRule="auto"/>
        <w:rPr>
          <w:rFonts w:cstheme="minorHAnsi"/>
          <w:b/>
          <w:bCs/>
        </w:rPr>
      </w:pPr>
      <w:bookmarkStart w:id="13" w:name="_Hlk47531644"/>
      <w:bookmarkEnd w:id="0"/>
    </w:p>
    <w:p w14:paraId="5A0D2231" w14:textId="5FBE7A86" w:rsidR="000F6F95" w:rsidRPr="009D22AD" w:rsidRDefault="000F6F95" w:rsidP="00572244">
      <w:pPr>
        <w:spacing w:after="0" w:line="240" w:lineRule="auto"/>
        <w:rPr>
          <w:rFonts w:cstheme="minorHAnsi"/>
          <w:b/>
          <w:bCs/>
        </w:rPr>
      </w:pPr>
      <w:r w:rsidRPr="009D22AD">
        <w:rPr>
          <w:rFonts w:cstheme="minorHAnsi"/>
          <w:b/>
          <w:bCs/>
        </w:rPr>
        <w:t xml:space="preserve">Literature Review </w:t>
      </w:r>
    </w:p>
    <w:p w14:paraId="502E57B3" w14:textId="545C3A5A" w:rsidR="000F6F95" w:rsidRDefault="000F6F95" w:rsidP="00572244">
      <w:pPr>
        <w:spacing w:after="0" w:line="240" w:lineRule="auto"/>
        <w:rPr>
          <w:rFonts w:cstheme="minorHAnsi"/>
          <w:b/>
          <w:bCs/>
        </w:rPr>
      </w:pPr>
    </w:p>
    <w:p w14:paraId="0DD540EB" w14:textId="532824B5" w:rsidR="00FD0FD0" w:rsidRDefault="002C3533" w:rsidP="00572244">
      <w:pPr>
        <w:spacing w:after="0" w:line="240" w:lineRule="auto"/>
        <w:rPr>
          <w:rFonts w:cstheme="minorHAnsi"/>
        </w:rPr>
      </w:pPr>
      <w:bookmarkStart w:id="14" w:name="_Hlk47621308"/>
      <w:r>
        <w:rPr>
          <w:rFonts w:cstheme="minorHAnsi"/>
        </w:rPr>
        <w:t xml:space="preserve">Firstly, what do we mean by </w:t>
      </w:r>
      <w:r w:rsidRPr="009D22AD">
        <w:rPr>
          <w:rFonts w:cstheme="minorHAnsi"/>
        </w:rPr>
        <w:t>enchantment,</w:t>
      </w:r>
      <w:r>
        <w:rPr>
          <w:rFonts w:cstheme="minorHAnsi"/>
        </w:rPr>
        <w:t xml:space="preserve"> Curry considered enchantment to be a personal thing ‘that can tip one into a state, and world, of wonder.’</w:t>
      </w:r>
      <w:r>
        <w:rPr>
          <w:rStyle w:val="FootnoteReference"/>
          <w:rFonts w:cstheme="minorHAnsi"/>
        </w:rPr>
        <w:footnoteReference w:id="5"/>
      </w:r>
      <w:r w:rsidRPr="009D22AD">
        <w:rPr>
          <w:rFonts w:cstheme="minorHAnsi"/>
        </w:rPr>
        <w:t xml:space="preserve"> </w:t>
      </w:r>
      <w:r>
        <w:rPr>
          <w:rFonts w:cstheme="minorHAnsi"/>
        </w:rPr>
        <w:t>Curry further explains the dynamics of enchantment are ‘wonder and rationality, obviously, and fatefulness, and wildness.’</w:t>
      </w:r>
      <w:r>
        <w:rPr>
          <w:rStyle w:val="FootnoteReference"/>
          <w:rFonts w:cstheme="minorHAnsi"/>
        </w:rPr>
        <w:footnoteReference w:id="6"/>
      </w:r>
      <w:r>
        <w:rPr>
          <w:rFonts w:cstheme="minorHAnsi"/>
        </w:rPr>
        <w:t xml:space="preserve"> John Reader et al explain</w:t>
      </w:r>
      <w:r w:rsidR="00247B30">
        <w:rPr>
          <w:rFonts w:cstheme="minorHAnsi"/>
        </w:rPr>
        <w:t>ed</w:t>
      </w:r>
      <w:r>
        <w:rPr>
          <w:rFonts w:cstheme="minorHAnsi"/>
        </w:rPr>
        <w:t xml:space="preserve"> </w:t>
      </w:r>
      <w:r w:rsidR="00247B30">
        <w:rPr>
          <w:rFonts w:cstheme="minorHAnsi"/>
        </w:rPr>
        <w:t xml:space="preserve">the </w:t>
      </w:r>
      <w:r>
        <w:rPr>
          <w:rFonts w:cstheme="minorHAnsi"/>
        </w:rPr>
        <w:t>enchanted world is</w:t>
      </w:r>
      <w:r w:rsidR="00247B30">
        <w:rPr>
          <w:rFonts w:cstheme="minorHAnsi"/>
        </w:rPr>
        <w:t xml:space="preserve"> of</w:t>
      </w:r>
      <w:r>
        <w:rPr>
          <w:rFonts w:cstheme="minorHAnsi"/>
        </w:rPr>
        <w:t xml:space="preserve"> ‘spirits; myths; magical or providential events; external interventions.’</w:t>
      </w:r>
      <w:r>
        <w:rPr>
          <w:rStyle w:val="FootnoteReference"/>
          <w:rFonts w:cstheme="minorHAnsi"/>
        </w:rPr>
        <w:footnoteReference w:id="7"/>
      </w:r>
      <w:r>
        <w:rPr>
          <w:rFonts w:cstheme="minorHAnsi"/>
        </w:rPr>
        <w:t xml:space="preserve"> </w:t>
      </w:r>
      <w:r w:rsidR="00FD0FD0">
        <w:rPr>
          <w:rFonts w:cstheme="minorHAnsi"/>
        </w:rPr>
        <w:t xml:space="preserve">Curry </w:t>
      </w:r>
      <w:r w:rsidR="00247B30">
        <w:rPr>
          <w:rFonts w:cstheme="minorHAnsi"/>
        </w:rPr>
        <w:t xml:space="preserve">further </w:t>
      </w:r>
      <w:r w:rsidR="00FD0FD0">
        <w:rPr>
          <w:rFonts w:cstheme="minorHAnsi"/>
        </w:rPr>
        <w:t>distinguished between the connection magic has with enchantment, he pointed out how magic can ‘mean enchantment, as in: ‘It was magic!’ and the other to denote paranormal means to an end, as in: ‘to use magic’.’</w:t>
      </w:r>
      <w:r w:rsidR="00FD0FD0">
        <w:rPr>
          <w:rStyle w:val="FootnoteReference"/>
          <w:rFonts w:cstheme="minorHAnsi"/>
        </w:rPr>
        <w:footnoteReference w:id="8"/>
      </w:r>
      <w:r w:rsidR="00FD0FD0">
        <w:rPr>
          <w:rFonts w:cstheme="minorHAnsi"/>
        </w:rPr>
        <w:t xml:space="preserve"> Therefore, associating enchantment to magic could lead to misinterpretation</w:t>
      </w:r>
      <w:r w:rsidR="00247B30">
        <w:rPr>
          <w:rFonts w:cstheme="minorHAnsi"/>
        </w:rPr>
        <w:t>s</w:t>
      </w:r>
      <w:r w:rsidR="00FD0FD0">
        <w:rPr>
          <w:rFonts w:cstheme="minorHAnsi"/>
        </w:rPr>
        <w:t>, rather then wonder and awe it could be considered to be ‘trickery or deceit.’</w:t>
      </w:r>
      <w:r w:rsidR="00FD0FD0">
        <w:rPr>
          <w:rStyle w:val="FootnoteReference"/>
          <w:rFonts w:cstheme="minorHAnsi"/>
        </w:rPr>
        <w:footnoteReference w:id="9"/>
      </w:r>
      <w:r w:rsidR="00CE4CE2">
        <w:rPr>
          <w:rFonts w:cstheme="minorHAnsi"/>
        </w:rPr>
        <w:t xml:space="preserve"> </w:t>
      </w:r>
      <w:r w:rsidR="00247B30">
        <w:rPr>
          <w:rFonts w:cstheme="minorHAnsi"/>
        </w:rPr>
        <w:t>For clarification, this research project will be using the meaning of the former connotation ‘it was magic!’ to represent enchantment.</w:t>
      </w:r>
    </w:p>
    <w:p w14:paraId="73F5FE74" w14:textId="3F2F9683" w:rsidR="00CE4CE2" w:rsidRDefault="00CE4CE2" w:rsidP="00572244">
      <w:pPr>
        <w:spacing w:after="0" w:line="240" w:lineRule="auto"/>
        <w:rPr>
          <w:rFonts w:cstheme="minorHAnsi"/>
        </w:rPr>
      </w:pPr>
    </w:p>
    <w:p w14:paraId="1FADE87F" w14:textId="0712B0B1" w:rsidR="00CE4CE2" w:rsidRPr="00CE4CE2" w:rsidRDefault="00CE4CE2" w:rsidP="00572244">
      <w:pPr>
        <w:spacing w:after="0" w:line="240" w:lineRule="auto"/>
        <w:rPr>
          <w:rFonts w:cstheme="minorHAnsi"/>
        </w:rPr>
      </w:pPr>
      <w:r>
        <w:rPr>
          <w:rFonts w:cstheme="minorHAnsi"/>
        </w:rPr>
        <w:t xml:space="preserve">Although, if enchantment according to Reader et al encompasses </w:t>
      </w:r>
      <w:r w:rsidR="00247B30">
        <w:rPr>
          <w:rFonts w:cstheme="minorHAnsi"/>
        </w:rPr>
        <w:t xml:space="preserve">of </w:t>
      </w:r>
      <w:r>
        <w:rPr>
          <w:rFonts w:cstheme="minorHAnsi"/>
        </w:rPr>
        <w:t xml:space="preserve">spirits and myths and for Curry it could be related to magic, then these notions </w:t>
      </w:r>
      <w:r w:rsidR="004F3411">
        <w:rPr>
          <w:rFonts w:cstheme="minorHAnsi"/>
        </w:rPr>
        <w:t xml:space="preserve">also </w:t>
      </w:r>
      <w:r>
        <w:rPr>
          <w:rFonts w:cstheme="minorHAnsi"/>
        </w:rPr>
        <w:t>relate to antiquity and divination. Therefore, has enchantment always existed</w:t>
      </w:r>
      <w:r w:rsidR="004F3411">
        <w:rPr>
          <w:rFonts w:cstheme="minorHAnsi"/>
        </w:rPr>
        <w:t xml:space="preserve"> </w:t>
      </w:r>
      <w:r w:rsidR="00C146F0">
        <w:rPr>
          <w:rFonts w:cstheme="minorHAnsi"/>
        </w:rPr>
        <w:t>as it can be observed in the practice of</w:t>
      </w:r>
      <w:r w:rsidR="009100FA">
        <w:rPr>
          <w:rFonts w:cstheme="minorHAnsi"/>
        </w:rPr>
        <w:t xml:space="preserve"> </w:t>
      </w:r>
      <w:r w:rsidR="004F3411">
        <w:rPr>
          <w:rFonts w:cstheme="minorHAnsi"/>
        </w:rPr>
        <w:t>divination</w:t>
      </w:r>
      <w:r>
        <w:rPr>
          <w:rFonts w:cstheme="minorHAnsi"/>
        </w:rPr>
        <w:t>, is</w:t>
      </w:r>
      <w:r w:rsidR="009608CC">
        <w:rPr>
          <w:rFonts w:cstheme="minorHAnsi"/>
        </w:rPr>
        <w:t xml:space="preserve"> it</w:t>
      </w:r>
      <w:r>
        <w:rPr>
          <w:rFonts w:cstheme="minorHAnsi"/>
        </w:rPr>
        <w:t xml:space="preserve"> present in many forms and will always be around? If we unfold this question, Plutarch’s treatise on the </w:t>
      </w:r>
      <w:r>
        <w:rPr>
          <w:rFonts w:cstheme="minorHAnsi"/>
          <w:i/>
          <w:iCs/>
        </w:rPr>
        <w:t>Oracles</w:t>
      </w:r>
      <w:r>
        <w:rPr>
          <w:rFonts w:cstheme="minorHAnsi"/>
        </w:rPr>
        <w:t xml:space="preserve"> described magic, wonder and awe</w:t>
      </w:r>
      <w:r w:rsidR="00247B30">
        <w:rPr>
          <w:rFonts w:cstheme="minorHAnsi"/>
        </w:rPr>
        <w:t xml:space="preserve"> in the form and practice</w:t>
      </w:r>
      <w:r>
        <w:rPr>
          <w:rFonts w:cstheme="minorHAnsi"/>
        </w:rPr>
        <w:t xml:space="preserve"> of the </w:t>
      </w:r>
      <w:r w:rsidR="009100FA">
        <w:rPr>
          <w:rFonts w:cstheme="minorHAnsi"/>
        </w:rPr>
        <w:t>Pythias</w:t>
      </w:r>
      <w:r>
        <w:rPr>
          <w:rFonts w:cstheme="minorHAnsi"/>
        </w:rPr>
        <w:t>.</w:t>
      </w:r>
      <w:r>
        <w:rPr>
          <w:rStyle w:val="FootnoteReference"/>
          <w:rFonts w:cstheme="minorHAnsi"/>
        </w:rPr>
        <w:footnoteReference w:id="10"/>
      </w:r>
      <w:r w:rsidR="009608CC">
        <w:rPr>
          <w:rFonts w:cstheme="minorHAnsi"/>
        </w:rPr>
        <w:t xml:space="preserve"> </w:t>
      </w:r>
      <w:r w:rsidR="004F3411">
        <w:rPr>
          <w:rFonts w:cstheme="minorHAnsi"/>
        </w:rPr>
        <w:t xml:space="preserve">On the other hand, Lucien Levy-Bruhl observed how the natives </w:t>
      </w:r>
      <w:r w:rsidR="007E6C6A">
        <w:rPr>
          <w:rFonts w:cstheme="minorHAnsi"/>
        </w:rPr>
        <w:t>interacted with their surroundings was something the west could not comprehend because for the natives ‘the individual in the collection and the collective in the individual’</w:t>
      </w:r>
      <w:r w:rsidR="007E6C6A">
        <w:rPr>
          <w:rStyle w:val="FootnoteReference"/>
          <w:rFonts w:cstheme="minorHAnsi"/>
        </w:rPr>
        <w:footnoteReference w:id="11"/>
      </w:r>
      <w:r w:rsidR="007E6C6A">
        <w:rPr>
          <w:rFonts w:cstheme="minorHAnsi"/>
        </w:rPr>
        <w:t xml:space="preserve"> there is no separation of the outer and inner worlds</w:t>
      </w:r>
      <w:r w:rsidR="00247B30">
        <w:rPr>
          <w:rFonts w:cstheme="minorHAnsi"/>
        </w:rPr>
        <w:t>. The natives also used animism to commune with nature,</w:t>
      </w:r>
      <w:r w:rsidR="007E6C6A">
        <w:rPr>
          <w:rFonts w:cstheme="minorHAnsi"/>
        </w:rPr>
        <w:t xml:space="preserve"> which arguably increases the experience of enchantment.</w:t>
      </w:r>
      <w:r w:rsidR="00247B30">
        <w:rPr>
          <w:rStyle w:val="FootnoteReference"/>
          <w:rFonts w:cstheme="minorHAnsi"/>
        </w:rPr>
        <w:footnoteReference w:id="12"/>
      </w:r>
    </w:p>
    <w:p w14:paraId="230F4EE1" w14:textId="77777777" w:rsidR="00FD0FD0" w:rsidRDefault="00FD0FD0" w:rsidP="00572244">
      <w:pPr>
        <w:spacing w:after="0" w:line="240" w:lineRule="auto"/>
        <w:rPr>
          <w:rFonts w:cstheme="minorHAnsi"/>
        </w:rPr>
      </w:pPr>
    </w:p>
    <w:p w14:paraId="3DC122AA" w14:textId="3F427A36" w:rsidR="002C3533" w:rsidRDefault="00FD0FD0" w:rsidP="00572244">
      <w:pPr>
        <w:spacing w:after="0" w:line="240" w:lineRule="auto"/>
        <w:rPr>
          <w:rFonts w:cstheme="minorHAnsi"/>
        </w:rPr>
      </w:pPr>
      <w:r>
        <w:rPr>
          <w:rFonts w:cstheme="minorHAnsi"/>
        </w:rPr>
        <w:t xml:space="preserve"> </w:t>
      </w:r>
      <w:r w:rsidR="002C3533">
        <w:rPr>
          <w:rFonts w:cstheme="minorHAnsi"/>
        </w:rPr>
        <w:t>The opposite of enchantment is disenchantment and Weber noted ‘intellectual knowledge definitely comes to the fore wherever rational, empirical knowledge has consistently worked through to the disenchantment of the world.’</w:t>
      </w:r>
      <w:r w:rsidR="002C3533">
        <w:rPr>
          <w:rStyle w:val="FootnoteReference"/>
          <w:rFonts w:cstheme="minorHAnsi"/>
        </w:rPr>
        <w:footnoteReference w:id="13"/>
      </w:r>
      <w:r w:rsidR="002C3533">
        <w:rPr>
          <w:rFonts w:cstheme="minorHAnsi"/>
        </w:rPr>
        <w:t xml:space="preserve"> Reader supported Weber’s observations and pointed out that ‘science then disenchants this world with objectivity.’</w:t>
      </w:r>
      <w:r w:rsidR="002C3533">
        <w:rPr>
          <w:rStyle w:val="FootnoteReference"/>
          <w:rFonts w:cstheme="minorHAnsi"/>
        </w:rPr>
        <w:footnoteReference w:id="14"/>
      </w:r>
      <w:r w:rsidR="002C3533">
        <w:rPr>
          <w:rFonts w:cstheme="minorHAnsi"/>
        </w:rPr>
        <w:t xml:space="preserve"> However, further on I will delve into the argument put forward by Josephson-Storm from his book </w:t>
      </w:r>
      <w:r w:rsidR="002C3533">
        <w:rPr>
          <w:rFonts w:cstheme="minorHAnsi"/>
          <w:i/>
          <w:iCs/>
        </w:rPr>
        <w:t>The Myth of Disenchantment.</w:t>
      </w:r>
      <w:r w:rsidR="002C3533">
        <w:rPr>
          <w:rStyle w:val="FootnoteReference"/>
          <w:rFonts w:cstheme="minorHAnsi"/>
          <w:i/>
          <w:iCs/>
        </w:rPr>
        <w:footnoteReference w:id="15"/>
      </w:r>
      <w:r w:rsidR="002C3533">
        <w:rPr>
          <w:rFonts w:cstheme="minorHAnsi"/>
        </w:rPr>
        <w:t xml:space="preserve"> </w:t>
      </w:r>
      <w:r w:rsidR="0082674D">
        <w:rPr>
          <w:rFonts w:cstheme="minorHAnsi"/>
        </w:rPr>
        <w:t>For now I would like to clarify what I mean b</w:t>
      </w:r>
      <w:r w:rsidR="002A126A">
        <w:rPr>
          <w:rFonts w:cstheme="minorHAnsi"/>
        </w:rPr>
        <w:t>y sacred women’s group</w:t>
      </w:r>
      <w:r w:rsidR="0082674D">
        <w:rPr>
          <w:rFonts w:cstheme="minorHAnsi"/>
        </w:rPr>
        <w:t>,</w:t>
      </w:r>
      <w:r w:rsidR="002A126A">
        <w:rPr>
          <w:rFonts w:cstheme="minorHAnsi"/>
        </w:rPr>
        <w:t xml:space="preserve"> </w:t>
      </w:r>
      <w:r w:rsidR="0082674D">
        <w:rPr>
          <w:rFonts w:cstheme="minorHAnsi"/>
        </w:rPr>
        <w:t>it is those groups</w:t>
      </w:r>
      <w:r w:rsidR="002A126A">
        <w:rPr>
          <w:rFonts w:cstheme="minorHAnsi"/>
        </w:rPr>
        <w:t xml:space="preserve"> that partake in </w:t>
      </w:r>
      <w:r w:rsidR="002A126A">
        <w:rPr>
          <w:rFonts w:cstheme="minorHAnsi"/>
        </w:rPr>
        <w:lastRenderedPageBreak/>
        <w:t>esoteric and spiritual ceremonies, activities and experiences, as mentioned in Chia Longman’s paper</w:t>
      </w:r>
      <w:r w:rsidR="00487EF6">
        <w:rPr>
          <w:rStyle w:val="FootnoteReference"/>
          <w:rFonts w:cstheme="minorHAnsi"/>
        </w:rPr>
        <w:footnoteReference w:id="16"/>
      </w:r>
      <w:r w:rsidR="00487EF6">
        <w:rPr>
          <w:rFonts w:cstheme="minorHAnsi"/>
        </w:rPr>
        <w:t xml:space="preserve"> and Scout Cloud Lee’s book </w:t>
      </w:r>
      <w:r w:rsidR="00487EF6" w:rsidRPr="00487EF6">
        <w:rPr>
          <w:rFonts w:cstheme="minorHAnsi"/>
          <w:i/>
          <w:iCs/>
        </w:rPr>
        <w:t>The Circle is Sacred</w:t>
      </w:r>
      <w:r w:rsidR="002A126A">
        <w:rPr>
          <w:rFonts w:cstheme="minorHAnsi"/>
        </w:rPr>
        <w:t>.</w:t>
      </w:r>
      <w:r w:rsidR="00487EF6">
        <w:rPr>
          <w:rStyle w:val="FootnoteReference"/>
          <w:rFonts w:cstheme="minorHAnsi"/>
        </w:rPr>
        <w:footnoteReference w:id="17"/>
      </w:r>
    </w:p>
    <w:bookmarkEnd w:id="14"/>
    <w:p w14:paraId="24C01B89" w14:textId="77777777" w:rsidR="002C3533" w:rsidRPr="009D22AD" w:rsidRDefault="002C3533" w:rsidP="00572244">
      <w:pPr>
        <w:spacing w:after="0" w:line="240" w:lineRule="auto"/>
        <w:rPr>
          <w:rFonts w:cstheme="minorHAnsi"/>
          <w:b/>
          <w:bCs/>
        </w:rPr>
      </w:pPr>
    </w:p>
    <w:p w14:paraId="3F407F9B" w14:textId="3A9CED18" w:rsidR="00AD49C4" w:rsidRDefault="002852F3" w:rsidP="00572244">
      <w:pPr>
        <w:spacing w:after="0" w:line="240" w:lineRule="auto"/>
        <w:rPr>
          <w:rFonts w:cstheme="minorHAnsi"/>
        </w:rPr>
      </w:pPr>
      <w:bookmarkStart w:id="22" w:name="_Hlk47527507"/>
      <w:r w:rsidRPr="009D22AD">
        <w:rPr>
          <w:rFonts w:cstheme="minorHAnsi"/>
        </w:rPr>
        <w:t>With the launch of the social networking s</w:t>
      </w:r>
      <w:r w:rsidR="00BC6883">
        <w:rPr>
          <w:rFonts w:cstheme="minorHAnsi"/>
        </w:rPr>
        <w:t>ite</w:t>
      </w:r>
      <w:r w:rsidR="006B6F18" w:rsidRPr="009D22AD">
        <w:rPr>
          <w:rFonts w:cstheme="minorHAnsi"/>
        </w:rPr>
        <w:t xml:space="preserve"> Facebook</w:t>
      </w:r>
      <w:r w:rsidRPr="009D22AD">
        <w:rPr>
          <w:rFonts w:cstheme="minorHAnsi"/>
        </w:rPr>
        <w:t xml:space="preserve"> in 2004</w:t>
      </w:r>
      <w:r w:rsidR="006B6F18" w:rsidRPr="009D22AD">
        <w:rPr>
          <w:rFonts w:cstheme="minorHAnsi"/>
        </w:rPr>
        <w:t>,</w:t>
      </w:r>
      <w:r w:rsidRPr="009D22AD">
        <w:rPr>
          <w:rFonts w:cstheme="minorHAnsi"/>
        </w:rPr>
        <w:t xml:space="preserve"> there </w:t>
      </w:r>
      <w:r w:rsidR="00BC6883">
        <w:rPr>
          <w:rFonts w:cstheme="minorHAnsi"/>
        </w:rPr>
        <w:t>has been</w:t>
      </w:r>
      <w:r w:rsidRPr="009D22AD">
        <w:rPr>
          <w:rFonts w:cstheme="minorHAnsi"/>
        </w:rPr>
        <w:t xml:space="preserve"> an emergence </w:t>
      </w:r>
      <w:r w:rsidR="009D22AD" w:rsidRPr="009D22AD">
        <w:rPr>
          <w:rFonts w:cstheme="minorHAnsi"/>
        </w:rPr>
        <w:t>of online</w:t>
      </w:r>
      <w:r w:rsidRPr="009D22AD">
        <w:rPr>
          <w:rFonts w:cstheme="minorHAnsi"/>
        </w:rPr>
        <w:t xml:space="preserve"> </w:t>
      </w:r>
      <w:r w:rsidR="006B6F18" w:rsidRPr="009D22AD">
        <w:rPr>
          <w:rFonts w:cstheme="minorHAnsi"/>
        </w:rPr>
        <w:t xml:space="preserve">women’s </w:t>
      </w:r>
      <w:r w:rsidRPr="009D22AD">
        <w:rPr>
          <w:rFonts w:cstheme="minorHAnsi"/>
        </w:rPr>
        <w:t xml:space="preserve">groups. </w:t>
      </w:r>
      <w:r w:rsidR="006E30B9">
        <w:rPr>
          <w:rFonts w:cstheme="minorHAnsi"/>
        </w:rPr>
        <w:t>A number of t</w:t>
      </w:r>
      <w:r w:rsidRPr="009D22AD">
        <w:rPr>
          <w:rFonts w:cstheme="minorHAnsi"/>
        </w:rPr>
        <w:t xml:space="preserve">hese groups evolved into sacred women’s groups due to </w:t>
      </w:r>
      <w:r w:rsidR="00B876EF" w:rsidRPr="009D22AD">
        <w:rPr>
          <w:rFonts w:cstheme="minorHAnsi"/>
        </w:rPr>
        <w:t xml:space="preserve">the </w:t>
      </w:r>
      <w:r w:rsidRPr="009D22AD">
        <w:rPr>
          <w:rFonts w:cstheme="minorHAnsi"/>
        </w:rPr>
        <w:t xml:space="preserve">popularity of books such as </w:t>
      </w:r>
      <w:r w:rsidRPr="009D22AD">
        <w:rPr>
          <w:rFonts w:cstheme="minorHAnsi"/>
          <w:i/>
          <w:iCs/>
        </w:rPr>
        <w:t>The Red Tent</w:t>
      </w:r>
      <w:r w:rsidRPr="009D22AD">
        <w:rPr>
          <w:rStyle w:val="FootnoteReference"/>
          <w:rFonts w:cstheme="minorHAnsi"/>
          <w:i/>
          <w:iCs/>
        </w:rPr>
        <w:footnoteReference w:id="18"/>
      </w:r>
      <w:r w:rsidRPr="009D22AD">
        <w:rPr>
          <w:rFonts w:cstheme="minorHAnsi"/>
          <w:i/>
          <w:iCs/>
        </w:rPr>
        <w:t xml:space="preserve"> </w:t>
      </w:r>
      <w:r w:rsidRPr="009D22AD">
        <w:rPr>
          <w:rFonts w:cstheme="minorHAnsi"/>
        </w:rPr>
        <w:t xml:space="preserve">and </w:t>
      </w:r>
      <w:r w:rsidRPr="009D22AD">
        <w:rPr>
          <w:rFonts w:cstheme="minorHAnsi"/>
          <w:i/>
          <w:iCs/>
        </w:rPr>
        <w:t>Women who Run with the Wolves</w:t>
      </w:r>
      <w:r w:rsidR="00B876EF" w:rsidRPr="009D22AD">
        <w:rPr>
          <w:rStyle w:val="FootnoteReference"/>
          <w:rFonts w:cstheme="minorHAnsi"/>
          <w:i/>
          <w:iCs/>
        </w:rPr>
        <w:footnoteReference w:id="19"/>
      </w:r>
      <w:r w:rsidRPr="009D22AD">
        <w:rPr>
          <w:rFonts w:cstheme="minorHAnsi"/>
          <w:i/>
          <w:iCs/>
        </w:rPr>
        <w:t xml:space="preserve"> </w:t>
      </w:r>
      <w:r w:rsidR="00BC6883" w:rsidRPr="00BC6883">
        <w:rPr>
          <w:rFonts w:cstheme="minorHAnsi"/>
        </w:rPr>
        <w:t>and use these books as their backdrop.</w:t>
      </w:r>
      <w:r w:rsidR="00BC6883">
        <w:rPr>
          <w:rFonts w:cstheme="minorHAnsi"/>
        </w:rPr>
        <w:t xml:space="preserve"> These women’s groups</w:t>
      </w:r>
      <w:r w:rsidRPr="009D22AD">
        <w:rPr>
          <w:rFonts w:cstheme="minorHAnsi"/>
        </w:rPr>
        <w:t xml:space="preserve"> became a basis for women connecting on a deeper level </w:t>
      </w:r>
      <w:r w:rsidR="00B876EF" w:rsidRPr="009D22AD">
        <w:rPr>
          <w:rFonts w:cstheme="minorHAnsi"/>
        </w:rPr>
        <w:t>with the</w:t>
      </w:r>
      <w:r w:rsidRPr="009D22AD">
        <w:rPr>
          <w:rFonts w:cstheme="minorHAnsi"/>
        </w:rPr>
        <w:t xml:space="preserve"> sharing</w:t>
      </w:r>
      <w:r w:rsidR="00B876EF" w:rsidRPr="009D22AD">
        <w:rPr>
          <w:rFonts w:cstheme="minorHAnsi"/>
        </w:rPr>
        <w:t xml:space="preserve"> of stories and</w:t>
      </w:r>
      <w:r w:rsidRPr="009D22AD">
        <w:rPr>
          <w:rFonts w:cstheme="minorHAnsi"/>
        </w:rPr>
        <w:t xml:space="preserve"> ceremonies.</w:t>
      </w:r>
      <w:r w:rsidR="00B876EF" w:rsidRPr="009D22AD">
        <w:rPr>
          <w:rStyle w:val="FootnoteReference"/>
          <w:rFonts w:cstheme="minorHAnsi"/>
        </w:rPr>
        <w:footnoteReference w:id="20"/>
      </w:r>
      <w:r w:rsidRPr="009D22AD">
        <w:rPr>
          <w:rFonts w:cstheme="minorHAnsi"/>
        </w:rPr>
        <w:t xml:space="preserve"> </w:t>
      </w:r>
      <w:r w:rsidR="00BC6883">
        <w:rPr>
          <w:rFonts w:cstheme="minorHAnsi"/>
        </w:rPr>
        <w:t>This led to the enquiry, a</w:t>
      </w:r>
      <w:r w:rsidR="009D22AD">
        <w:rPr>
          <w:rFonts w:cstheme="minorHAnsi"/>
        </w:rPr>
        <w:t>re</w:t>
      </w:r>
      <w:r w:rsidR="0087568C">
        <w:rPr>
          <w:rFonts w:cstheme="minorHAnsi"/>
        </w:rPr>
        <w:t xml:space="preserve"> occultist and sacred</w:t>
      </w:r>
      <w:r w:rsidR="009D22AD">
        <w:rPr>
          <w:rFonts w:cstheme="minorHAnsi"/>
        </w:rPr>
        <w:t xml:space="preserve"> groups essential for supporting the development of magic and wonder? </w:t>
      </w:r>
      <w:r w:rsidR="00BC6883">
        <w:rPr>
          <w:rFonts w:cstheme="minorHAnsi"/>
        </w:rPr>
        <w:t>Some of t</w:t>
      </w:r>
      <w:r w:rsidR="0087568C">
        <w:rPr>
          <w:rFonts w:cstheme="minorHAnsi"/>
        </w:rPr>
        <w:t xml:space="preserve">hese </w:t>
      </w:r>
      <w:r w:rsidR="00BC6883">
        <w:rPr>
          <w:rFonts w:cstheme="minorHAnsi"/>
        </w:rPr>
        <w:t xml:space="preserve">groups </w:t>
      </w:r>
      <w:r w:rsidR="0087568C">
        <w:rPr>
          <w:rFonts w:cstheme="minorHAnsi"/>
        </w:rPr>
        <w:t>can sometimes come under the term m</w:t>
      </w:r>
      <w:r w:rsidR="009D22AD">
        <w:rPr>
          <w:rFonts w:cstheme="minorHAnsi"/>
        </w:rPr>
        <w:t>ystery schools, which have been in existence for millennia</w:t>
      </w:r>
      <w:r w:rsidR="0087568C">
        <w:rPr>
          <w:rFonts w:cstheme="minorHAnsi"/>
        </w:rPr>
        <w:t>, from figures such as Pythagoras</w:t>
      </w:r>
      <w:r w:rsidR="0087568C">
        <w:rPr>
          <w:rStyle w:val="FootnoteReference"/>
          <w:rFonts w:cstheme="minorHAnsi"/>
        </w:rPr>
        <w:footnoteReference w:id="21"/>
      </w:r>
      <w:r w:rsidR="0087568C">
        <w:rPr>
          <w:rFonts w:cstheme="minorHAnsi"/>
        </w:rPr>
        <w:t xml:space="preserve"> to Aleister Crowley</w:t>
      </w:r>
      <w:r w:rsidR="0087568C">
        <w:rPr>
          <w:rStyle w:val="FootnoteReference"/>
          <w:rFonts w:cstheme="minorHAnsi"/>
        </w:rPr>
        <w:footnoteReference w:id="22"/>
      </w:r>
      <w:r w:rsidR="00BC6883">
        <w:rPr>
          <w:rFonts w:cstheme="minorHAnsi"/>
        </w:rPr>
        <w:t xml:space="preserve"> leading the way.</w:t>
      </w:r>
      <w:r w:rsidR="003C77C5">
        <w:rPr>
          <w:rFonts w:cstheme="minorHAnsi"/>
        </w:rPr>
        <w:t xml:space="preserve"> According to </w:t>
      </w:r>
      <w:r w:rsidR="0054351F">
        <w:rPr>
          <w:rFonts w:cstheme="minorHAnsi"/>
        </w:rPr>
        <w:t>Manly Hall t</w:t>
      </w:r>
      <w:r w:rsidR="003C77C5">
        <w:rPr>
          <w:rFonts w:cstheme="minorHAnsi"/>
        </w:rPr>
        <w:t>he main purpose of these groups was to ‘reawaken the spiritual powers.’</w:t>
      </w:r>
      <w:r w:rsidR="009D22AD">
        <w:rPr>
          <w:rStyle w:val="FootnoteReference"/>
          <w:rFonts w:cstheme="minorHAnsi"/>
        </w:rPr>
        <w:footnoteReference w:id="23"/>
      </w:r>
      <w:r w:rsidR="009D22AD">
        <w:rPr>
          <w:rFonts w:cstheme="minorHAnsi"/>
        </w:rPr>
        <w:t xml:space="preserve"> </w:t>
      </w:r>
      <w:r w:rsidR="00CD6C2A">
        <w:rPr>
          <w:rFonts w:cstheme="minorHAnsi"/>
        </w:rPr>
        <w:t xml:space="preserve">Which confirms Weber’s </w:t>
      </w:r>
      <w:r w:rsidR="001D3741">
        <w:rPr>
          <w:rFonts w:cstheme="minorHAnsi"/>
        </w:rPr>
        <w:t xml:space="preserve"> argument </w:t>
      </w:r>
      <w:r w:rsidR="00CD6C2A">
        <w:rPr>
          <w:rFonts w:cstheme="minorHAnsi"/>
        </w:rPr>
        <w:t>that</w:t>
      </w:r>
      <w:r w:rsidR="006853FA">
        <w:rPr>
          <w:rFonts w:cstheme="minorHAnsi"/>
        </w:rPr>
        <w:t xml:space="preserve"> ‘Intellectualization and rationalization’ ha</w:t>
      </w:r>
      <w:r w:rsidR="001D3741">
        <w:rPr>
          <w:rFonts w:cstheme="minorHAnsi"/>
        </w:rPr>
        <w:t>d</w:t>
      </w:r>
      <w:r w:rsidR="006853FA">
        <w:rPr>
          <w:rFonts w:cstheme="minorHAnsi"/>
        </w:rPr>
        <w:t xml:space="preserve"> resulted in the world becoming disenchanted and void of ‘magical means’ and ‘mysterious powers</w:t>
      </w:r>
      <w:r w:rsidR="00CD6C2A">
        <w:rPr>
          <w:rFonts w:cstheme="minorHAnsi"/>
        </w:rPr>
        <w:t>.</w:t>
      </w:r>
      <w:r w:rsidR="006853FA">
        <w:rPr>
          <w:rFonts w:cstheme="minorHAnsi"/>
        </w:rPr>
        <w:t>’</w:t>
      </w:r>
      <w:r w:rsidR="0054351F">
        <w:rPr>
          <w:rStyle w:val="FootnoteReference"/>
          <w:rFonts w:cstheme="minorHAnsi"/>
        </w:rPr>
        <w:footnoteReference w:id="24"/>
      </w:r>
      <w:r w:rsidR="001D3741">
        <w:rPr>
          <w:rFonts w:cstheme="minorHAnsi"/>
        </w:rPr>
        <w:t xml:space="preserve"> </w:t>
      </w:r>
      <w:r w:rsidR="00571788">
        <w:rPr>
          <w:rFonts w:cstheme="minorHAnsi"/>
        </w:rPr>
        <w:t>Therefore, d</w:t>
      </w:r>
      <w:r w:rsidR="001D3741">
        <w:rPr>
          <w:rFonts w:cstheme="minorHAnsi"/>
        </w:rPr>
        <w:t xml:space="preserve">o the online sacred women’s groups </w:t>
      </w:r>
      <w:r w:rsidR="00D73703">
        <w:rPr>
          <w:rFonts w:cstheme="minorHAnsi"/>
        </w:rPr>
        <w:t>reawaken</w:t>
      </w:r>
      <w:r w:rsidR="001D3741">
        <w:rPr>
          <w:rFonts w:cstheme="minorHAnsi"/>
        </w:rPr>
        <w:t xml:space="preserve"> enchantment</w:t>
      </w:r>
      <w:r w:rsidR="00CD6C2A">
        <w:rPr>
          <w:rFonts w:cstheme="minorHAnsi"/>
        </w:rPr>
        <w:t xml:space="preserve"> that Weber thought the world was void of and Hall observed there was a need to reawaken.</w:t>
      </w:r>
    </w:p>
    <w:p w14:paraId="05638EBC" w14:textId="57676357" w:rsidR="001D3741" w:rsidRDefault="001D3741" w:rsidP="00572244">
      <w:pPr>
        <w:spacing w:after="0" w:line="240" w:lineRule="auto"/>
        <w:rPr>
          <w:rFonts w:cstheme="minorHAnsi"/>
        </w:rPr>
      </w:pPr>
    </w:p>
    <w:p w14:paraId="345ADE6B" w14:textId="24D5205F" w:rsidR="001D3741" w:rsidRDefault="001D3741" w:rsidP="00572244">
      <w:pPr>
        <w:spacing w:after="0" w:line="240" w:lineRule="auto"/>
        <w:rPr>
          <w:rFonts w:cstheme="minorHAnsi"/>
        </w:rPr>
      </w:pPr>
      <w:r>
        <w:rPr>
          <w:rFonts w:cstheme="minorHAnsi"/>
        </w:rPr>
        <w:t xml:space="preserve">Although, Jason Josephson-Storm </w:t>
      </w:r>
      <w:r w:rsidR="007324EF">
        <w:rPr>
          <w:rFonts w:cstheme="minorHAnsi"/>
        </w:rPr>
        <w:t>counter</w:t>
      </w:r>
      <w:r w:rsidR="00571788">
        <w:rPr>
          <w:rFonts w:cstheme="minorHAnsi"/>
        </w:rPr>
        <w:t>-</w:t>
      </w:r>
      <w:r w:rsidR="007324EF">
        <w:rPr>
          <w:rFonts w:cstheme="minorHAnsi"/>
        </w:rPr>
        <w:t>argued the theories of disenchantment put forward by the likes of Weber</w:t>
      </w:r>
      <w:r w:rsidR="00571788">
        <w:rPr>
          <w:rFonts w:cstheme="minorHAnsi"/>
        </w:rPr>
        <w:t>;</w:t>
      </w:r>
      <w:r w:rsidR="007324EF">
        <w:rPr>
          <w:rFonts w:cstheme="minorHAnsi"/>
        </w:rPr>
        <w:t xml:space="preserve"> </w:t>
      </w:r>
      <w:r w:rsidR="00CD6C2A">
        <w:rPr>
          <w:rFonts w:cstheme="minorHAnsi"/>
        </w:rPr>
        <w:t>for</w:t>
      </w:r>
      <w:r w:rsidR="007324EF">
        <w:rPr>
          <w:rFonts w:cstheme="minorHAnsi"/>
        </w:rPr>
        <w:t xml:space="preserve"> </w:t>
      </w:r>
      <w:r w:rsidR="00D51903">
        <w:rPr>
          <w:rFonts w:cstheme="minorHAnsi"/>
        </w:rPr>
        <w:t>Josephson-Storm</w:t>
      </w:r>
      <w:r>
        <w:rPr>
          <w:rFonts w:cstheme="minorHAnsi"/>
        </w:rPr>
        <w:t xml:space="preserve"> </w:t>
      </w:r>
      <w:r w:rsidR="007324EF">
        <w:rPr>
          <w:rFonts w:cstheme="minorHAnsi"/>
        </w:rPr>
        <w:t>‘the enchanted ontologies and spiritualised orientations to nature they describe as missing have been available all along.’</w:t>
      </w:r>
      <w:r w:rsidR="007324EF">
        <w:rPr>
          <w:rStyle w:val="FootnoteReference"/>
          <w:rFonts w:cstheme="minorHAnsi"/>
        </w:rPr>
        <w:footnoteReference w:id="25"/>
      </w:r>
      <w:r w:rsidR="00D51903">
        <w:rPr>
          <w:rFonts w:cstheme="minorHAnsi"/>
        </w:rPr>
        <w:t xml:space="preserve"> Josephson-Storm </w:t>
      </w:r>
      <w:r w:rsidR="004C6228">
        <w:rPr>
          <w:rFonts w:cstheme="minorHAnsi"/>
        </w:rPr>
        <w:t>discussed that modernity is not void of enchantment and ‘orthodox or establishment disciplines have been hardly less magically inclined’ and he ‘restated, magic never truly vanished.’</w:t>
      </w:r>
      <w:r w:rsidR="004C6228">
        <w:rPr>
          <w:rStyle w:val="FootnoteReference"/>
          <w:rFonts w:cstheme="minorHAnsi"/>
        </w:rPr>
        <w:footnoteReference w:id="26"/>
      </w:r>
      <w:r w:rsidR="004C6228">
        <w:rPr>
          <w:rFonts w:cstheme="minorHAnsi"/>
        </w:rPr>
        <w:t xml:space="preserve"> </w:t>
      </w:r>
      <w:r w:rsidR="007324EF">
        <w:rPr>
          <w:rFonts w:cstheme="minorHAnsi"/>
        </w:rPr>
        <w:t>Likewise, Curry</w:t>
      </w:r>
      <w:r w:rsidR="0035312E">
        <w:rPr>
          <w:rFonts w:cstheme="minorHAnsi"/>
        </w:rPr>
        <w:t xml:space="preserve"> </w:t>
      </w:r>
      <w:r w:rsidR="0039092E">
        <w:rPr>
          <w:rFonts w:cstheme="minorHAnsi"/>
        </w:rPr>
        <w:t>observed</w:t>
      </w:r>
      <w:r w:rsidR="006C270C">
        <w:rPr>
          <w:rFonts w:cstheme="minorHAnsi"/>
        </w:rPr>
        <w:t xml:space="preserve"> wonder in modern life</w:t>
      </w:r>
      <w:r w:rsidR="0039092E">
        <w:rPr>
          <w:rFonts w:cstheme="minorHAnsi"/>
        </w:rPr>
        <w:t>,</w:t>
      </w:r>
      <w:r w:rsidR="006C270C">
        <w:rPr>
          <w:rFonts w:cstheme="minorHAnsi"/>
        </w:rPr>
        <w:t xml:space="preserve"> although he points </w:t>
      </w:r>
      <w:r w:rsidR="0035312E">
        <w:rPr>
          <w:rFonts w:cstheme="minorHAnsi"/>
        </w:rPr>
        <w:t xml:space="preserve">out that </w:t>
      </w:r>
      <w:r w:rsidR="006C270C">
        <w:rPr>
          <w:rFonts w:cstheme="minorHAnsi"/>
        </w:rPr>
        <w:t>enchantment ‘however endless while it’s happening, will not last forever.’</w:t>
      </w:r>
      <w:r w:rsidR="006C270C">
        <w:rPr>
          <w:rStyle w:val="FootnoteReference"/>
          <w:rFonts w:cstheme="minorHAnsi"/>
        </w:rPr>
        <w:footnoteReference w:id="27"/>
      </w:r>
      <w:r w:rsidR="006C270C">
        <w:rPr>
          <w:rFonts w:cstheme="minorHAnsi"/>
        </w:rPr>
        <w:t xml:space="preserve"> This notion coincide</w:t>
      </w:r>
      <w:r w:rsidR="00CD6C2A">
        <w:rPr>
          <w:rFonts w:cstheme="minorHAnsi"/>
        </w:rPr>
        <w:t>s</w:t>
      </w:r>
      <w:r w:rsidR="006C270C">
        <w:rPr>
          <w:rFonts w:cstheme="minorHAnsi"/>
        </w:rPr>
        <w:t xml:space="preserve"> with the research question, does being part of a</w:t>
      </w:r>
      <w:r w:rsidR="00D51903">
        <w:rPr>
          <w:rFonts w:cstheme="minorHAnsi"/>
        </w:rPr>
        <w:t>n</w:t>
      </w:r>
      <w:r w:rsidR="006C270C">
        <w:rPr>
          <w:rFonts w:cstheme="minorHAnsi"/>
        </w:rPr>
        <w:t xml:space="preserve"> online sacred women’s group help to re-enchantment, as it is difficult to keep wonder and magic alight at all times.</w:t>
      </w:r>
    </w:p>
    <w:p w14:paraId="12D85318" w14:textId="77777777" w:rsidR="00CA6861" w:rsidRDefault="00CA6861" w:rsidP="00572244">
      <w:pPr>
        <w:spacing w:after="0" w:line="240" w:lineRule="auto"/>
        <w:rPr>
          <w:rFonts w:cstheme="minorHAnsi"/>
        </w:rPr>
      </w:pPr>
    </w:p>
    <w:p w14:paraId="4E44015C" w14:textId="7BB892F5" w:rsidR="0091270D" w:rsidRPr="00297ED9" w:rsidRDefault="00374F42" w:rsidP="00572244">
      <w:pPr>
        <w:spacing w:after="0" w:line="240" w:lineRule="auto"/>
        <w:rPr>
          <w:rFonts w:cstheme="minorHAnsi"/>
        </w:rPr>
      </w:pPr>
      <w:r>
        <w:rPr>
          <w:rFonts w:cstheme="minorHAnsi"/>
        </w:rPr>
        <w:t>Serena Roney-</w:t>
      </w:r>
      <w:r w:rsidR="0031611B">
        <w:rPr>
          <w:rFonts w:cstheme="minorHAnsi"/>
        </w:rPr>
        <w:t>Dougal’s</w:t>
      </w:r>
      <w:r>
        <w:rPr>
          <w:rFonts w:cstheme="minorHAnsi"/>
        </w:rPr>
        <w:t xml:space="preserve"> stance</w:t>
      </w:r>
      <w:r w:rsidR="00CD6C2A">
        <w:rPr>
          <w:rFonts w:cstheme="minorHAnsi"/>
        </w:rPr>
        <w:t xml:space="preserve"> was that</w:t>
      </w:r>
      <w:r>
        <w:rPr>
          <w:rFonts w:cstheme="minorHAnsi"/>
        </w:rPr>
        <w:t xml:space="preserve"> ‘the subliminal mind is the arena in which magic acts</w:t>
      </w:r>
      <w:r w:rsidR="00CD6C2A">
        <w:rPr>
          <w:rFonts w:cstheme="minorHAnsi"/>
        </w:rPr>
        <w:t>,</w:t>
      </w:r>
      <w:r>
        <w:rPr>
          <w:rFonts w:cstheme="minorHAnsi"/>
        </w:rPr>
        <w:t>’</w:t>
      </w:r>
      <w:r>
        <w:rPr>
          <w:rStyle w:val="FootnoteReference"/>
          <w:rFonts w:cstheme="minorHAnsi"/>
        </w:rPr>
        <w:footnoteReference w:id="28"/>
      </w:r>
      <w:r>
        <w:rPr>
          <w:rFonts w:cstheme="minorHAnsi"/>
        </w:rPr>
        <w:t xml:space="preserve"> </w:t>
      </w:r>
      <w:r w:rsidR="007F2856">
        <w:rPr>
          <w:rFonts w:cstheme="minorHAnsi"/>
        </w:rPr>
        <w:t>support</w:t>
      </w:r>
      <w:r w:rsidR="00CD6C2A">
        <w:rPr>
          <w:rFonts w:cstheme="minorHAnsi"/>
        </w:rPr>
        <w:t>ing</w:t>
      </w:r>
      <w:r w:rsidR="007F2856">
        <w:rPr>
          <w:rFonts w:cstheme="minorHAnsi"/>
        </w:rPr>
        <w:t xml:space="preserve"> Curry’s observation of enchantment not lasting forever</w:t>
      </w:r>
      <w:bookmarkEnd w:id="22"/>
      <w:r w:rsidR="00CD6C2A">
        <w:rPr>
          <w:rFonts w:cstheme="minorHAnsi"/>
        </w:rPr>
        <w:t xml:space="preserve">; it is only when </w:t>
      </w:r>
      <w:r w:rsidR="00E25611">
        <w:rPr>
          <w:rFonts w:cstheme="minorHAnsi"/>
        </w:rPr>
        <w:t xml:space="preserve">certain </w:t>
      </w:r>
      <w:r w:rsidR="00CD6C2A">
        <w:rPr>
          <w:rFonts w:cstheme="minorHAnsi"/>
        </w:rPr>
        <w:t>techniques are used</w:t>
      </w:r>
      <w:r w:rsidR="00E25611">
        <w:rPr>
          <w:rFonts w:cstheme="minorHAnsi"/>
        </w:rPr>
        <w:t>,</w:t>
      </w:r>
      <w:r w:rsidR="00CD6C2A">
        <w:rPr>
          <w:rFonts w:cstheme="minorHAnsi"/>
        </w:rPr>
        <w:t xml:space="preserve"> are you able to tap into this arena</w:t>
      </w:r>
      <w:r w:rsidR="007F2856">
        <w:rPr>
          <w:rFonts w:cstheme="minorHAnsi"/>
        </w:rPr>
        <w:t>. Roney-Dougal lists several activities from biofeedback, meditation to trance that increases awareness of the subliminal mind, where</w:t>
      </w:r>
      <w:r w:rsidR="0031611B">
        <w:rPr>
          <w:rFonts w:cstheme="minorHAnsi"/>
        </w:rPr>
        <w:t xml:space="preserve"> she suggests</w:t>
      </w:r>
      <w:r w:rsidR="007F2856">
        <w:rPr>
          <w:rFonts w:cstheme="minorHAnsi"/>
        </w:rPr>
        <w:t xml:space="preserve"> magic </w:t>
      </w:r>
      <w:r w:rsidR="0031611B">
        <w:rPr>
          <w:rFonts w:cstheme="minorHAnsi"/>
        </w:rPr>
        <w:t>operates</w:t>
      </w:r>
      <w:r w:rsidR="007F2856">
        <w:rPr>
          <w:rFonts w:cstheme="minorHAnsi"/>
        </w:rPr>
        <w:t>.</w:t>
      </w:r>
      <w:r w:rsidR="00E25611">
        <w:rPr>
          <w:rStyle w:val="FootnoteReference"/>
          <w:rFonts w:cstheme="minorHAnsi"/>
        </w:rPr>
        <w:footnoteReference w:id="29"/>
      </w:r>
      <w:r w:rsidR="007F2856">
        <w:rPr>
          <w:rFonts w:cstheme="minorHAnsi"/>
        </w:rPr>
        <w:t xml:space="preserve"> Therefore, coming back to the question do online sacred </w:t>
      </w:r>
      <w:r w:rsidR="0031611B">
        <w:rPr>
          <w:rFonts w:cstheme="minorHAnsi"/>
        </w:rPr>
        <w:t>women’s</w:t>
      </w:r>
      <w:r w:rsidR="007F2856">
        <w:rPr>
          <w:rFonts w:cstheme="minorHAnsi"/>
        </w:rPr>
        <w:t xml:space="preserve"> groups and their activities lead to a sense of re-enchantment, </w:t>
      </w:r>
      <w:r w:rsidR="00E25611">
        <w:rPr>
          <w:rFonts w:cstheme="minorHAnsi"/>
        </w:rPr>
        <w:t xml:space="preserve">due to </w:t>
      </w:r>
      <w:r w:rsidR="0031611B">
        <w:rPr>
          <w:rFonts w:cstheme="minorHAnsi"/>
        </w:rPr>
        <w:t>some of these groups shar</w:t>
      </w:r>
      <w:r w:rsidR="00E25611">
        <w:rPr>
          <w:rFonts w:cstheme="minorHAnsi"/>
        </w:rPr>
        <w:t>ing</w:t>
      </w:r>
      <w:r w:rsidR="0031611B">
        <w:rPr>
          <w:rFonts w:cstheme="minorHAnsi"/>
        </w:rPr>
        <w:t xml:space="preserve"> rituals </w:t>
      </w:r>
      <w:r w:rsidR="0031611B">
        <w:rPr>
          <w:rFonts w:cstheme="minorHAnsi"/>
        </w:rPr>
        <w:lastRenderedPageBreak/>
        <w:t>and ceremonies</w:t>
      </w:r>
      <w:r w:rsidR="00E25611">
        <w:rPr>
          <w:rFonts w:cstheme="minorHAnsi"/>
        </w:rPr>
        <w:t>.</w:t>
      </w:r>
      <w:r w:rsidR="0031611B">
        <w:rPr>
          <w:rStyle w:val="FootnoteReference"/>
          <w:rFonts w:cstheme="minorHAnsi"/>
        </w:rPr>
        <w:footnoteReference w:id="30"/>
      </w:r>
      <w:r w:rsidR="0031611B">
        <w:rPr>
          <w:rFonts w:cstheme="minorHAnsi"/>
        </w:rPr>
        <w:t xml:space="preserve"> </w:t>
      </w:r>
      <w:r w:rsidR="00E25611">
        <w:rPr>
          <w:rFonts w:cstheme="minorHAnsi"/>
        </w:rPr>
        <w:t>W</w:t>
      </w:r>
      <w:r w:rsidR="0031611B">
        <w:rPr>
          <w:rFonts w:cstheme="minorHAnsi"/>
        </w:rPr>
        <w:t>hich according to Roney-Dougal’s subliminal mind theory, promotes magic and in turn enchantment.</w:t>
      </w:r>
      <w:bookmarkEnd w:id="13"/>
    </w:p>
    <w:p w14:paraId="6D8DE9A6" w14:textId="77777777" w:rsidR="00FD0FD0" w:rsidRDefault="00FD0FD0" w:rsidP="00572244">
      <w:pPr>
        <w:spacing w:after="0" w:line="240" w:lineRule="auto"/>
        <w:rPr>
          <w:rFonts w:cstheme="minorHAnsi"/>
          <w:b/>
          <w:bCs/>
        </w:rPr>
      </w:pPr>
      <w:bookmarkStart w:id="31" w:name="_Hlk47617097"/>
    </w:p>
    <w:p w14:paraId="702CFC46" w14:textId="72EAB9DC" w:rsidR="000F6F95" w:rsidRPr="009D22AD" w:rsidRDefault="000F6F95" w:rsidP="00572244">
      <w:pPr>
        <w:spacing w:after="0" w:line="240" w:lineRule="auto"/>
        <w:rPr>
          <w:rFonts w:cstheme="minorHAnsi"/>
          <w:b/>
          <w:bCs/>
        </w:rPr>
      </w:pPr>
      <w:r w:rsidRPr="009D22AD">
        <w:rPr>
          <w:rFonts w:cstheme="minorHAnsi"/>
          <w:b/>
          <w:bCs/>
        </w:rPr>
        <w:t xml:space="preserve">Methodology </w:t>
      </w:r>
    </w:p>
    <w:p w14:paraId="47174A6C" w14:textId="638EF20A" w:rsidR="000F026A" w:rsidRPr="009D22AD" w:rsidRDefault="000F026A" w:rsidP="00572244">
      <w:pPr>
        <w:spacing w:after="0" w:line="240" w:lineRule="auto"/>
        <w:rPr>
          <w:rFonts w:cstheme="minorHAnsi"/>
          <w:b/>
          <w:bCs/>
        </w:rPr>
      </w:pPr>
    </w:p>
    <w:p w14:paraId="413A141D" w14:textId="14693636" w:rsidR="00657FC9" w:rsidRPr="009D22AD" w:rsidRDefault="000F026A" w:rsidP="00572244">
      <w:pPr>
        <w:spacing w:line="240" w:lineRule="auto"/>
        <w:rPr>
          <w:rFonts w:cstheme="minorHAnsi"/>
        </w:rPr>
      </w:pPr>
      <w:r w:rsidRPr="009D22AD">
        <w:rPr>
          <w:rFonts w:cstheme="minorHAnsi"/>
        </w:rPr>
        <w:t xml:space="preserve">This research project will be using a mixed method approach of interviews and </w:t>
      </w:r>
      <w:r w:rsidR="0053070F">
        <w:rPr>
          <w:rFonts w:cstheme="minorHAnsi"/>
        </w:rPr>
        <w:t xml:space="preserve">a </w:t>
      </w:r>
      <w:r w:rsidRPr="009D22AD">
        <w:rPr>
          <w:rFonts w:cstheme="minorHAnsi"/>
        </w:rPr>
        <w:t>questionnaire</w:t>
      </w:r>
      <w:r w:rsidR="00604339">
        <w:rPr>
          <w:rFonts w:cstheme="minorHAnsi"/>
        </w:rPr>
        <w:t>;</w:t>
      </w:r>
      <w:r w:rsidR="0053070F">
        <w:rPr>
          <w:rStyle w:val="FootnoteReference"/>
          <w:rFonts w:cstheme="minorHAnsi"/>
        </w:rPr>
        <w:footnoteReference w:id="31"/>
      </w:r>
      <w:r w:rsidR="00604339">
        <w:rPr>
          <w:rFonts w:cstheme="minorHAnsi"/>
        </w:rPr>
        <w:t xml:space="preserve"> </w:t>
      </w:r>
      <w:r w:rsidR="0035312E">
        <w:rPr>
          <w:rFonts w:cstheme="minorHAnsi"/>
        </w:rPr>
        <w:t>as</w:t>
      </w:r>
      <w:r w:rsidRPr="009D22AD">
        <w:rPr>
          <w:rFonts w:cstheme="minorHAnsi"/>
        </w:rPr>
        <w:t xml:space="preserve"> Judith Bell and Stephen Waters have noted</w:t>
      </w:r>
      <w:r w:rsidR="0035312E">
        <w:rPr>
          <w:rFonts w:cstheme="minorHAnsi"/>
        </w:rPr>
        <w:t>,</w:t>
      </w:r>
      <w:r w:rsidRPr="009D22AD">
        <w:rPr>
          <w:rFonts w:cstheme="minorHAnsi"/>
        </w:rPr>
        <w:t xml:space="preserve"> using a quantitative and qualitative approach to research leads to ‘a more comprehensive understanding of the topic and reduces the weaknesses of using either method on its own.’</w:t>
      </w:r>
      <w:r w:rsidRPr="009D22AD">
        <w:rPr>
          <w:rStyle w:val="FootnoteReference"/>
          <w:rFonts w:cstheme="minorHAnsi"/>
        </w:rPr>
        <w:footnoteReference w:id="32"/>
      </w:r>
      <w:r w:rsidRPr="009D22AD">
        <w:rPr>
          <w:rFonts w:cstheme="minorHAnsi"/>
        </w:rPr>
        <w:t xml:space="preserve"> </w:t>
      </w:r>
      <w:r w:rsidR="00604339">
        <w:rPr>
          <w:rFonts w:cstheme="minorHAnsi"/>
        </w:rPr>
        <w:t>Therefore, b</w:t>
      </w:r>
      <w:r w:rsidR="00CA6861">
        <w:rPr>
          <w:rFonts w:cstheme="minorHAnsi"/>
        </w:rPr>
        <w:t>oth techniques will assist in gaining a broader knowledge on the topic</w:t>
      </w:r>
      <w:r w:rsidR="007547D2">
        <w:rPr>
          <w:rFonts w:cstheme="minorHAnsi"/>
        </w:rPr>
        <w:t xml:space="preserve">. There </w:t>
      </w:r>
      <w:r w:rsidR="00657FC9">
        <w:rPr>
          <w:rFonts w:cstheme="minorHAnsi"/>
        </w:rPr>
        <w:t>were</w:t>
      </w:r>
      <w:r w:rsidR="007547D2">
        <w:rPr>
          <w:rFonts w:cstheme="minorHAnsi"/>
        </w:rPr>
        <w:t xml:space="preserve"> 20 respondents to the questionnaire and </w:t>
      </w:r>
      <w:r w:rsidR="00C146F0">
        <w:rPr>
          <w:rFonts w:cstheme="minorHAnsi"/>
        </w:rPr>
        <w:t>2</w:t>
      </w:r>
      <w:r w:rsidR="007547D2">
        <w:rPr>
          <w:rFonts w:cstheme="minorHAnsi"/>
        </w:rPr>
        <w:t xml:space="preserve"> interviews conducted, the questions were tested on myself and friends before being used. For confidentiality reasons the names of the participants have </w:t>
      </w:r>
      <w:r w:rsidR="00C146F0">
        <w:rPr>
          <w:rFonts w:cstheme="minorHAnsi"/>
        </w:rPr>
        <w:t>not been used</w:t>
      </w:r>
      <w:r w:rsidR="00077C3F">
        <w:rPr>
          <w:rFonts w:cstheme="minorHAnsi"/>
        </w:rPr>
        <w:t xml:space="preserve"> and all data will be deleted after the project is completed.</w:t>
      </w:r>
    </w:p>
    <w:p w14:paraId="3DA04F3B" w14:textId="62BD2E08" w:rsidR="0091270D" w:rsidRPr="009D22AD" w:rsidRDefault="00C146F0" w:rsidP="00572244">
      <w:pPr>
        <w:spacing w:line="240" w:lineRule="auto"/>
        <w:rPr>
          <w:rFonts w:cstheme="minorHAnsi"/>
        </w:rPr>
      </w:pPr>
      <w:r>
        <w:rPr>
          <w:rFonts w:cstheme="minorHAnsi"/>
        </w:rPr>
        <w:t>Q</w:t>
      </w:r>
      <w:r w:rsidR="000F026A" w:rsidRPr="009D22AD">
        <w:rPr>
          <w:rFonts w:cstheme="minorHAnsi"/>
        </w:rPr>
        <w:t>ualitative method of interviews</w:t>
      </w:r>
      <w:r>
        <w:rPr>
          <w:rFonts w:cstheme="minorHAnsi"/>
        </w:rPr>
        <w:t xml:space="preserve"> has been used</w:t>
      </w:r>
      <w:r w:rsidR="000F026A" w:rsidRPr="009D22AD">
        <w:rPr>
          <w:rFonts w:cstheme="minorHAnsi"/>
        </w:rPr>
        <w:t xml:space="preserve"> to delve further into the interviewees</w:t>
      </w:r>
      <w:r w:rsidR="00604339">
        <w:rPr>
          <w:rFonts w:cstheme="minorHAnsi"/>
        </w:rPr>
        <w:t>’</w:t>
      </w:r>
      <w:r w:rsidR="000F026A" w:rsidRPr="009D22AD">
        <w:rPr>
          <w:rFonts w:cstheme="minorHAnsi"/>
        </w:rPr>
        <w:t xml:space="preserve"> experiences and thoughts on women’s sacred groups and </w:t>
      </w:r>
      <w:r w:rsidR="00604339">
        <w:rPr>
          <w:rFonts w:cstheme="minorHAnsi"/>
        </w:rPr>
        <w:t xml:space="preserve">to </w:t>
      </w:r>
      <w:r w:rsidR="000F026A" w:rsidRPr="009D22AD">
        <w:rPr>
          <w:rFonts w:cstheme="minorHAnsi"/>
        </w:rPr>
        <w:t xml:space="preserve">explore the topic of re-enchantment deeper. It will be interesting to look at how real-life versus online platforms have different processes of enchantment. Especially with the current covid-19 crisis, which is restricting outside activities and </w:t>
      </w:r>
      <w:r w:rsidR="0022313D">
        <w:rPr>
          <w:rFonts w:cstheme="minorHAnsi"/>
        </w:rPr>
        <w:t>limiting</w:t>
      </w:r>
      <w:r w:rsidR="000F026A" w:rsidRPr="009D22AD">
        <w:rPr>
          <w:rFonts w:cstheme="minorHAnsi"/>
        </w:rPr>
        <w:t xml:space="preserve"> option</w:t>
      </w:r>
      <w:r w:rsidR="00604339">
        <w:rPr>
          <w:rFonts w:cstheme="minorHAnsi"/>
        </w:rPr>
        <w:t>s</w:t>
      </w:r>
      <w:r w:rsidR="0022313D">
        <w:rPr>
          <w:rFonts w:cstheme="minorHAnsi"/>
        </w:rPr>
        <w:t xml:space="preserve">, resulting to women </w:t>
      </w:r>
      <w:r w:rsidR="000F026A" w:rsidRPr="009D22AD">
        <w:rPr>
          <w:rFonts w:cstheme="minorHAnsi"/>
        </w:rPr>
        <w:t>turn</w:t>
      </w:r>
      <w:r w:rsidR="0022313D">
        <w:rPr>
          <w:rFonts w:cstheme="minorHAnsi"/>
        </w:rPr>
        <w:t>ing</w:t>
      </w:r>
      <w:r w:rsidR="000F026A" w:rsidRPr="009D22AD">
        <w:rPr>
          <w:rFonts w:cstheme="minorHAnsi"/>
        </w:rPr>
        <w:t xml:space="preserve"> towards online platforms for activities and experiences. Therefore, has enchantment changed in the 21</w:t>
      </w:r>
      <w:r w:rsidR="000F026A" w:rsidRPr="009D22AD">
        <w:rPr>
          <w:rFonts w:cstheme="minorHAnsi"/>
          <w:vertAlign w:val="superscript"/>
        </w:rPr>
        <w:t>st</w:t>
      </w:r>
      <w:r w:rsidR="000F026A" w:rsidRPr="009D22AD">
        <w:rPr>
          <w:rFonts w:cstheme="minorHAnsi"/>
        </w:rPr>
        <w:t xml:space="preserve"> century from traditional ways</w:t>
      </w:r>
      <w:r w:rsidR="0022313D">
        <w:rPr>
          <w:rFonts w:cstheme="minorHAnsi"/>
        </w:rPr>
        <w:t>,</w:t>
      </w:r>
      <w:r w:rsidR="00CA5753">
        <w:rPr>
          <w:rFonts w:cstheme="minorHAnsi"/>
        </w:rPr>
        <w:t xml:space="preserve"> such as circles </w:t>
      </w:r>
      <w:r w:rsidR="0022313D">
        <w:rPr>
          <w:rFonts w:cstheme="minorHAnsi"/>
        </w:rPr>
        <w:t xml:space="preserve">gathering </w:t>
      </w:r>
      <w:r w:rsidR="00CA5753">
        <w:rPr>
          <w:rFonts w:cstheme="minorHAnsi"/>
        </w:rPr>
        <w:t xml:space="preserve">around </w:t>
      </w:r>
      <w:r w:rsidR="0022313D">
        <w:rPr>
          <w:rFonts w:cstheme="minorHAnsi"/>
        </w:rPr>
        <w:t>f</w:t>
      </w:r>
      <w:r w:rsidR="00CA5753">
        <w:rPr>
          <w:rFonts w:cstheme="minorHAnsi"/>
        </w:rPr>
        <w:t>ire</w:t>
      </w:r>
      <w:r w:rsidR="0022313D">
        <w:rPr>
          <w:rFonts w:cstheme="minorHAnsi"/>
        </w:rPr>
        <w:t>s</w:t>
      </w:r>
      <w:r w:rsidR="00CA5753">
        <w:rPr>
          <w:rFonts w:cstheme="minorHAnsi"/>
        </w:rPr>
        <w:t xml:space="preserve"> and communing with nature</w:t>
      </w:r>
      <w:r w:rsidR="0022313D">
        <w:rPr>
          <w:rFonts w:cstheme="minorHAnsi"/>
        </w:rPr>
        <w:t>;</w:t>
      </w:r>
      <w:r w:rsidR="000F026A" w:rsidRPr="009D22AD">
        <w:rPr>
          <w:rFonts w:cstheme="minorHAnsi"/>
        </w:rPr>
        <w:t xml:space="preserve"> if so, is the change just as valid as contemporary settings.</w:t>
      </w:r>
      <w:r w:rsidR="0091270D">
        <w:rPr>
          <w:rFonts w:cstheme="minorHAnsi"/>
        </w:rPr>
        <w:t xml:space="preserve"> The method of interviews </w:t>
      </w:r>
      <w:r w:rsidR="0022313D">
        <w:rPr>
          <w:rFonts w:cstheme="minorHAnsi"/>
        </w:rPr>
        <w:t>gives</w:t>
      </w:r>
      <w:r w:rsidR="0091270D">
        <w:rPr>
          <w:rFonts w:cstheme="minorHAnsi"/>
        </w:rPr>
        <w:t xml:space="preserve"> a more focused approach and a</w:t>
      </w:r>
      <w:r w:rsidR="0022313D">
        <w:rPr>
          <w:rFonts w:cstheme="minorHAnsi"/>
        </w:rPr>
        <w:t xml:space="preserve"> detailed</w:t>
      </w:r>
      <w:r w:rsidR="0091270D">
        <w:rPr>
          <w:rFonts w:cstheme="minorHAnsi"/>
        </w:rPr>
        <w:t xml:space="preserve"> insider perspective</w:t>
      </w:r>
      <w:r w:rsidR="0022313D">
        <w:rPr>
          <w:rFonts w:cstheme="minorHAnsi"/>
        </w:rPr>
        <w:t>.</w:t>
      </w:r>
      <w:r w:rsidR="0091270D">
        <w:rPr>
          <w:rFonts w:cstheme="minorHAnsi"/>
        </w:rPr>
        <w:t xml:space="preserve"> </w:t>
      </w:r>
      <w:r w:rsidR="0022313D">
        <w:rPr>
          <w:rFonts w:cstheme="minorHAnsi"/>
        </w:rPr>
        <w:t>A</w:t>
      </w:r>
      <w:r w:rsidR="0091270D">
        <w:rPr>
          <w:rFonts w:cstheme="minorHAnsi"/>
        </w:rPr>
        <w:t>lthough</w:t>
      </w:r>
      <w:r w:rsidR="0022313D">
        <w:rPr>
          <w:rFonts w:cstheme="minorHAnsi"/>
        </w:rPr>
        <w:t>,</w:t>
      </w:r>
      <w:r w:rsidR="0091270D">
        <w:rPr>
          <w:rFonts w:cstheme="minorHAnsi"/>
        </w:rPr>
        <w:t xml:space="preserve"> this can </w:t>
      </w:r>
      <w:r w:rsidR="0022313D">
        <w:rPr>
          <w:rFonts w:cstheme="minorHAnsi"/>
        </w:rPr>
        <w:t xml:space="preserve">possibly </w:t>
      </w:r>
      <w:r w:rsidR="0091270D">
        <w:rPr>
          <w:rFonts w:cstheme="minorHAnsi"/>
        </w:rPr>
        <w:t>lead to researcher bias</w:t>
      </w:r>
      <w:r w:rsidR="0022313D">
        <w:rPr>
          <w:rFonts w:cstheme="minorHAnsi"/>
        </w:rPr>
        <w:t>, due to the way the interviewer impacts the interviewee,</w:t>
      </w:r>
      <w:r w:rsidR="0091270D">
        <w:rPr>
          <w:rFonts w:cstheme="minorHAnsi"/>
        </w:rPr>
        <w:t xml:space="preserve"> </w:t>
      </w:r>
      <w:r w:rsidR="0022313D">
        <w:rPr>
          <w:rFonts w:cstheme="minorHAnsi"/>
        </w:rPr>
        <w:t>which makes it</w:t>
      </w:r>
      <w:r w:rsidR="0091270D">
        <w:rPr>
          <w:rFonts w:cstheme="minorHAnsi"/>
        </w:rPr>
        <w:t xml:space="preserve"> less effective </w:t>
      </w:r>
      <w:r w:rsidR="00AB0293">
        <w:rPr>
          <w:rFonts w:cstheme="minorHAnsi"/>
        </w:rPr>
        <w:t xml:space="preserve">when </w:t>
      </w:r>
      <w:r w:rsidR="0091270D">
        <w:rPr>
          <w:rFonts w:cstheme="minorHAnsi"/>
        </w:rPr>
        <w:t>generalising the results to</w:t>
      </w:r>
      <w:r w:rsidR="0022313D">
        <w:rPr>
          <w:rFonts w:cstheme="minorHAnsi"/>
        </w:rPr>
        <w:t xml:space="preserve"> the wider</w:t>
      </w:r>
      <w:r w:rsidR="0091270D">
        <w:rPr>
          <w:rFonts w:cstheme="minorHAnsi"/>
        </w:rPr>
        <w:t xml:space="preserve"> population.</w:t>
      </w:r>
      <w:r w:rsidR="0091270D">
        <w:rPr>
          <w:rStyle w:val="FootnoteReference"/>
          <w:rFonts w:cstheme="minorHAnsi"/>
        </w:rPr>
        <w:footnoteReference w:id="33"/>
      </w:r>
    </w:p>
    <w:p w14:paraId="450D8729" w14:textId="35C85221" w:rsidR="00FD5441" w:rsidRDefault="00077C3F" w:rsidP="00572244">
      <w:pPr>
        <w:spacing w:line="240" w:lineRule="auto"/>
        <w:rPr>
          <w:rFonts w:cstheme="minorHAnsi"/>
        </w:rPr>
      </w:pPr>
      <w:r>
        <w:rPr>
          <w:rFonts w:cstheme="minorHAnsi"/>
        </w:rPr>
        <w:t>Q</w:t>
      </w:r>
      <w:r w:rsidRPr="009D22AD">
        <w:rPr>
          <w:rFonts w:cstheme="minorHAnsi"/>
        </w:rPr>
        <w:t>uantitative method of questionnaires</w:t>
      </w:r>
      <w:r w:rsidR="007F16ED">
        <w:rPr>
          <w:rFonts w:cstheme="minorHAnsi"/>
        </w:rPr>
        <w:t xml:space="preserve"> has been</w:t>
      </w:r>
      <w:r w:rsidR="004115F1">
        <w:rPr>
          <w:rFonts w:cstheme="minorHAnsi"/>
        </w:rPr>
        <w:t xml:space="preserve"> used</w:t>
      </w:r>
      <w:r w:rsidR="000F026A" w:rsidRPr="009D22AD">
        <w:rPr>
          <w:rFonts w:cstheme="minorHAnsi"/>
        </w:rPr>
        <w:t xml:space="preserve"> to gain a more general view of the research objective and</w:t>
      </w:r>
      <w:r w:rsidR="004115F1">
        <w:rPr>
          <w:rFonts w:cstheme="minorHAnsi"/>
        </w:rPr>
        <w:t xml:space="preserve"> to </w:t>
      </w:r>
      <w:r w:rsidR="000F026A" w:rsidRPr="009D22AD">
        <w:rPr>
          <w:rFonts w:cstheme="minorHAnsi"/>
        </w:rPr>
        <w:t>have a wider reach.</w:t>
      </w:r>
      <w:r w:rsidR="000B1C93">
        <w:rPr>
          <w:rFonts w:cstheme="minorHAnsi"/>
        </w:rPr>
        <w:t xml:space="preserve"> </w:t>
      </w:r>
      <w:r w:rsidR="005D7851">
        <w:rPr>
          <w:rFonts w:cstheme="minorHAnsi"/>
        </w:rPr>
        <w:t>Bell and Waters pointed out that q</w:t>
      </w:r>
      <w:r w:rsidR="000B1C93">
        <w:rPr>
          <w:rFonts w:cstheme="minorHAnsi"/>
        </w:rPr>
        <w:t>uestionnaires allow for a larger quantity</w:t>
      </w:r>
      <w:r w:rsidR="005D7851">
        <w:rPr>
          <w:rFonts w:cstheme="minorHAnsi"/>
        </w:rPr>
        <w:t xml:space="preserve"> of respondents</w:t>
      </w:r>
      <w:r w:rsidR="000B1C93">
        <w:rPr>
          <w:rFonts w:cstheme="minorHAnsi"/>
        </w:rPr>
        <w:t xml:space="preserve"> to express their views on a subject</w:t>
      </w:r>
      <w:r w:rsidR="005D7851">
        <w:rPr>
          <w:rFonts w:cstheme="minorHAnsi"/>
        </w:rPr>
        <w:t>.</w:t>
      </w:r>
      <w:r w:rsidR="000B1C93">
        <w:rPr>
          <w:rFonts w:cstheme="minorHAnsi"/>
        </w:rPr>
        <w:t xml:space="preserve"> </w:t>
      </w:r>
      <w:r>
        <w:rPr>
          <w:rFonts w:cstheme="minorHAnsi"/>
        </w:rPr>
        <w:t>They continue to explain b</w:t>
      </w:r>
      <w:r w:rsidR="000B1C93">
        <w:rPr>
          <w:rFonts w:cstheme="minorHAnsi"/>
        </w:rPr>
        <w:t xml:space="preserve">y having many open-ended </w:t>
      </w:r>
      <w:r w:rsidR="005D7851">
        <w:rPr>
          <w:rFonts w:cstheme="minorHAnsi"/>
        </w:rPr>
        <w:t>questions,</w:t>
      </w:r>
      <w:r w:rsidR="000B1C93">
        <w:rPr>
          <w:rFonts w:cstheme="minorHAnsi"/>
        </w:rPr>
        <w:t xml:space="preserve"> it also promotes more depth and provides more content for an</w:t>
      </w:r>
      <w:r w:rsidR="005D7851">
        <w:rPr>
          <w:rFonts w:cstheme="minorHAnsi"/>
        </w:rPr>
        <w:t>alysis. However, questionnaires can also be open for misinterpretation</w:t>
      </w:r>
      <w:r>
        <w:rPr>
          <w:rFonts w:cstheme="minorHAnsi"/>
        </w:rPr>
        <w:t>,</w:t>
      </w:r>
      <w:r w:rsidR="005D7851">
        <w:rPr>
          <w:rFonts w:cstheme="minorHAnsi"/>
        </w:rPr>
        <w:t xml:space="preserve"> wh</w:t>
      </w:r>
      <w:r>
        <w:rPr>
          <w:rFonts w:cstheme="minorHAnsi"/>
        </w:rPr>
        <w:t>ereas</w:t>
      </w:r>
      <w:r w:rsidR="005D7851">
        <w:rPr>
          <w:rFonts w:cstheme="minorHAnsi"/>
        </w:rPr>
        <w:t xml:space="preserve"> in an interview </w:t>
      </w:r>
      <w:r>
        <w:rPr>
          <w:rFonts w:cstheme="minorHAnsi"/>
        </w:rPr>
        <w:t xml:space="preserve">it </w:t>
      </w:r>
      <w:r w:rsidR="005D7851">
        <w:rPr>
          <w:rFonts w:cstheme="minorHAnsi"/>
        </w:rPr>
        <w:t>can be rectified by one to one engagement.</w:t>
      </w:r>
      <w:r>
        <w:rPr>
          <w:rStyle w:val="FootnoteReference"/>
          <w:rFonts w:cstheme="minorHAnsi"/>
        </w:rPr>
        <w:footnoteReference w:id="34"/>
      </w:r>
      <w:r>
        <w:rPr>
          <w:rFonts w:cstheme="minorHAnsi"/>
        </w:rPr>
        <w:t xml:space="preserve"> </w:t>
      </w:r>
      <w:r w:rsidR="005D7851">
        <w:rPr>
          <w:rFonts w:cstheme="minorHAnsi"/>
        </w:rPr>
        <w:t xml:space="preserve"> </w:t>
      </w:r>
    </w:p>
    <w:p w14:paraId="176C6DCB" w14:textId="3C5DFB1D" w:rsidR="00657FC9" w:rsidRDefault="00657FC9" w:rsidP="00572244">
      <w:pPr>
        <w:spacing w:line="240" w:lineRule="auto"/>
        <w:rPr>
          <w:rFonts w:cstheme="minorHAnsi"/>
        </w:rPr>
      </w:pPr>
      <w:r>
        <w:rPr>
          <w:rFonts w:cstheme="minorHAnsi"/>
        </w:rPr>
        <w:t>The words wonder, magic and mystery were used to represent enchantment within the questionnaire</w:t>
      </w:r>
      <w:r w:rsidR="00077C3F">
        <w:rPr>
          <w:rFonts w:cstheme="minorHAnsi"/>
        </w:rPr>
        <w:t xml:space="preserve">. When the word </w:t>
      </w:r>
      <w:r>
        <w:rPr>
          <w:rFonts w:cstheme="minorHAnsi"/>
        </w:rPr>
        <w:t>enchantment w</w:t>
      </w:r>
      <w:r w:rsidR="00077C3F">
        <w:rPr>
          <w:rFonts w:cstheme="minorHAnsi"/>
        </w:rPr>
        <w:t xml:space="preserve">as </w:t>
      </w:r>
      <w:r>
        <w:rPr>
          <w:rFonts w:cstheme="minorHAnsi"/>
        </w:rPr>
        <w:t>used in the pilot</w:t>
      </w:r>
      <w:r w:rsidR="00077C3F">
        <w:rPr>
          <w:rFonts w:cstheme="minorHAnsi"/>
        </w:rPr>
        <w:t>, it</w:t>
      </w:r>
      <w:r>
        <w:rPr>
          <w:rFonts w:cstheme="minorHAnsi"/>
        </w:rPr>
        <w:t xml:space="preserve"> drew responses relating to fairy tales</w:t>
      </w:r>
      <w:r w:rsidR="0053070F">
        <w:rPr>
          <w:rFonts w:cstheme="minorHAnsi"/>
        </w:rPr>
        <w:t>, unicorns and princesses</w:t>
      </w:r>
      <w:r>
        <w:rPr>
          <w:rFonts w:cstheme="minorHAnsi"/>
        </w:rPr>
        <w:t xml:space="preserve">. </w:t>
      </w:r>
      <w:r w:rsidR="0053070F">
        <w:rPr>
          <w:rFonts w:cstheme="minorHAnsi"/>
        </w:rPr>
        <w:t>Although, f</w:t>
      </w:r>
      <w:r>
        <w:rPr>
          <w:rFonts w:cstheme="minorHAnsi"/>
        </w:rPr>
        <w:t xml:space="preserve">airy tales </w:t>
      </w:r>
      <w:r w:rsidR="0053070F">
        <w:rPr>
          <w:rFonts w:cstheme="minorHAnsi"/>
        </w:rPr>
        <w:t>involve the notion of enchantment, this was not the purpose of this research</w:t>
      </w:r>
      <w:r w:rsidR="00077C3F">
        <w:rPr>
          <w:rFonts w:cstheme="minorHAnsi"/>
        </w:rPr>
        <w:t>.</w:t>
      </w:r>
      <w:r w:rsidR="0053070F">
        <w:rPr>
          <w:rFonts w:cstheme="minorHAnsi"/>
        </w:rPr>
        <w:t xml:space="preserve"> </w:t>
      </w:r>
      <w:r w:rsidR="00077C3F">
        <w:rPr>
          <w:rFonts w:cstheme="minorHAnsi"/>
        </w:rPr>
        <w:t>H</w:t>
      </w:r>
      <w:r w:rsidR="0053070F">
        <w:rPr>
          <w:rFonts w:cstheme="minorHAnsi"/>
        </w:rPr>
        <w:t>ence</w:t>
      </w:r>
      <w:r w:rsidR="00077C3F">
        <w:rPr>
          <w:rFonts w:cstheme="minorHAnsi"/>
        </w:rPr>
        <w:t>,</w:t>
      </w:r>
      <w:r w:rsidR="0053070F">
        <w:rPr>
          <w:rFonts w:cstheme="minorHAnsi"/>
        </w:rPr>
        <w:t xml:space="preserve"> I opted for alternative words to reflect enchantment</w:t>
      </w:r>
      <w:r w:rsidR="00077C3F">
        <w:rPr>
          <w:rFonts w:cstheme="minorHAnsi"/>
        </w:rPr>
        <w:t xml:space="preserve"> which were</w:t>
      </w:r>
      <w:r w:rsidR="0053070F">
        <w:rPr>
          <w:rFonts w:cstheme="minorHAnsi"/>
        </w:rPr>
        <w:t xml:space="preserve"> selected from Curry’s work.</w:t>
      </w:r>
      <w:r w:rsidR="0053070F">
        <w:rPr>
          <w:rStyle w:val="FootnoteReference"/>
          <w:rFonts w:cstheme="minorHAnsi"/>
        </w:rPr>
        <w:footnoteReference w:id="35"/>
      </w:r>
      <w:r>
        <w:rPr>
          <w:rFonts w:cstheme="minorHAnsi"/>
        </w:rPr>
        <w:t xml:space="preserve"> </w:t>
      </w:r>
      <w:r w:rsidR="0053070F">
        <w:rPr>
          <w:rFonts w:cstheme="minorHAnsi"/>
        </w:rPr>
        <w:t>Rationality, logic and disconnection were the words used to represent disenchantment and these were selected fro</w:t>
      </w:r>
      <w:r w:rsidR="00077C3F">
        <w:rPr>
          <w:rFonts w:cstheme="minorHAnsi"/>
        </w:rPr>
        <w:t xml:space="preserve">m </w:t>
      </w:r>
      <w:r w:rsidR="0053070F">
        <w:rPr>
          <w:rFonts w:cstheme="minorHAnsi"/>
        </w:rPr>
        <w:t>Weber’s work.</w:t>
      </w:r>
      <w:r w:rsidR="0053070F">
        <w:rPr>
          <w:rStyle w:val="FootnoteReference"/>
          <w:rFonts w:cstheme="minorHAnsi"/>
        </w:rPr>
        <w:footnoteReference w:id="36"/>
      </w:r>
    </w:p>
    <w:p w14:paraId="714297B1" w14:textId="0838E765" w:rsidR="0053070F" w:rsidRPr="009D22AD" w:rsidRDefault="00077C3F" w:rsidP="00572244">
      <w:pPr>
        <w:spacing w:line="240" w:lineRule="auto"/>
        <w:rPr>
          <w:rFonts w:cstheme="minorHAnsi"/>
        </w:rPr>
      </w:pPr>
      <w:r>
        <w:rPr>
          <w:rFonts w:cstheme="minorHAnsi"/>
        </w:rPr>
        <w:t xml:space="preserve">The findings were analysed using </w:t>
      </w:r>
      <w:r>
        <w:t xml:space="preserve">Monique </w:t>
      </w:r>
      <w:proofErr w:type="spellStart"/>
      <w:r>
        <w:t>Hennink</w:t>
      </w:r>
      <w:proofErr w:type="spellEnd"/>
      <w:r>
        <w:t xml:space="preserve">, Inge </w:t>
      </w:r>
      <w:proofErr w:type="spellStart"/>
      <w:r>
        <w:t>Hutter</w:t>
      </w:r>
      <w:proofErr w:type="spellEnd"/>
      <w:r>
        <w:t xml:space="preserve"> and Ajay Bailey</w:t>
      </w:r>
      <w:r>
        <w:rPr>
          <w:rFonts w:cstheme="minorHAnsi"/>
        </w:rPr>
        <w:t>’s ‘</w:t>
      </w:r>
      <w:r w:rsidR="00D049F7">
        <w:rPr>
          <w:rFonts w:cstheme="minorHAnsi"/>
        </w:rPr>
        <w:t xml:space="preserve">process of immersion in data, through which you can identify and interpret experiences of your study </w:t>
      </w:r>
      <w:r w:rsidR="00D049F7">
        <w:rPr>
          <w:rFonts w:cstheme="minorHAnsi"/>
        </w:rPr>
        <w:lastRenderedPageBreak/>
        <w:t>participants.’</w:t>
      </w:r>
      <w:r w:rsidR="00D049F7">
        <w:rPr>
          <w:rStyle w:val="FootnoteReference"/>
          <w:rFonts w:cstheme="minorHAnsi"/>
        </w:rPr>
        <w:footnoteReference w:id="37"/>
      </w:r>
      <w:r w:rsidR="00D049F7">
        <w:rPr>
          <w:rFonts w:cstheme="minorHAnsi"/>
        </w:rPr>
        <w:t xml:space="preserve"> The process involved transcribing the interviews</w:t>
      </w:r>
      <w:r w:rsidR="00130F2A">
        <w:rPr>
          <w:rFonts w:cstheme="minorHAnsi"/>
        </w:rPr>
        <w:t>, as well as delving into the questionnaire responses</w:t>
      </w:r>
      <w:r w:rsidR="00D049F7">
        <w:rPr>
          <w:rFonts w:cstheme="minorHAnsi"/>
        </w:rPr>
        <w:t xml:space="preserve"> </w:t>
      </w:r>
      <w:r w:rsidR="00130F2A">
        <w:rPr>
          <w:rFonts w:cstheme="minorHAnsi"/>
        </w:rPr>
        <w:t>to</w:t>
      </w:r>
      <w:r w:rsidR="00D049F7">
        <w:rPr>
          <w:rFonts w:cstheme="minorHAnsi"/>
        </w:rPr>
        <w:t xml:space="preserve"> find common threads</w:t>
      </w:r>
      <w:r w:rsidR="00130F2A">
        <w:rPr>
          <w:rFonts w:cstheme="minorHAnsi"/>
        </w:rPr>
        <w:t xml:space="preserve"> and differentials</w:t>
      </w:r>
      <w:r w:rsidR="00D049F7">
        <w:rPr>
          <w:rFonts w:cstheme="minorHAnsi"/>
        </w:rPr>
        <w:t xml:space="preserve"> </w:t>
      </w:r>
      <w:r w:rsidR="00130F2A">
        <w:rPr>
          <w:rFonts w:cstheme="minorHAnsi"/>
        </w:rPr>
        <w:t>by using</w:t>
      </w:r>
      <w:r w:rsidR="00D049F7">
        <w:rPr>
          <w:rFonts w:cstheme="minorHAnsi"/>
        </w:rPr>
        <w:t xml:space="preserve"> a coding technique. The responses, findings and consequent discussion is interwoven </w:t>
      </w:r>
      <w:r w:rsidR="00130F2A">
        <w:rPr>
          <w:rFonts w:cstheme="minorHAnsi"/>
        </w:rPr>
        <w:t>which helped in ‘developing a ‘story’ from the data’</w:t>
      </w:r>
      <w:r w:rsidR="00130F2A">
        <w:rPr>
          <w:rStyle w:val="FootnoteReference"/>
          <w:rFonts w:cstheme="minorHAnsi"/>
        </w:rPr>
        <w:footnoteReference w:id="38"/>
      </w:r>
      <w:r w:rsidR="00130F2A">
        <w:rPr>
          <w:rFonts w:cstheme="minorHAnsi"/>
        </w:rPr>
        <w:t xml:space="preserve"> for a comprehensible presentation</w:t>
      </w:r>
      <w:r w:rsidR="00D049F7">
        <w:rPr>
          <w:rFonts w:cstheme="minorHAnsi"/>
        </w:rPr>
        <w:t xml:space="preserve"> </w:t>
      </w:r>
      <w:r w:rsidR="00130F2A">
        <w:rPr>
          <w:rFonts w:cstheme="minorHAnsi"/>
        </w:rPr>
        <w:t xml:space="preserve">of the data analysis. </w:t>
      </w:r>
    </w:p>
    <w:p w14:paraId="0681A758" w14:textId="744D1FDC" w:rsidR="000F6F95" w:rsidRDefault="000F6F95" w:rsidP="00572244">
      <w:pPr>
        <w:spacing w:after="0" w:line="240" w:lineRule="auto"/>
        <w:rPr>
          <w:rFonts w:cstheme="minorHAnsi"/>
          <w:b/>
          <w:bCs/>
        </w:rPr>
      </w:pPr>
      <w:r w:rsidRPr="009D22AD">
        <w:rPr>
          <w:rFonts w:cstheme="minorHAnsi"/>
          <w:b/>
          <w:bCs/>
        </w:rPr>
        <w:t xml:space="preserve">Reflexive Considerations </w:t>
      </w:r>
    </w:p>
    <w:p w14:paraId="172BCCE8" w14:textId="77777777" w:rsidR="00FD5441" w:rsidRDefault="00FD5441" w:rsidP="00572244">
      <w:pPr>
        <w:spacing w:after="0" w:line="240" w:lineRule="auto"/>
        <w:rPr>
          <w:rFonts w:cstheme="minorHAnsi"/>
        </w:rPr>
      </w:pPr>
    </w:p>
    <w:p w14:paraId="488513C5" w14:textId="17BD5BAC" w:rsidR="00F852C5" w:rsidRPr="007547D2" w:rsidRDefault="00FD5441" w:rsidP="00572244">
      <w:pPr>
        <w:spacing w:after="0" w:line="240" w:lineRule="auto"/>
      </w:pPr>
      <w:r>
        <w:rPr>
          <w:rFonts w:cstheme="minorHAnsi"/>
        </w:rPr>
        <w:t>The target group has been selected from various women’s groups on the social media site, Facebook. I was a part of some of the groups, others I joined for the purpose of this project. This leads to the importance</w:t>
      </w:r>
      <w:r>
        <w:t xml:space="preserve"> of</w:t>
      </w:r>
      <w:r w:rsidR="00F70611">
        <w:t xml:space="preserve"> tak</w:t>
      </w:r>
      <w:r>
        <w:t>ing researcher reflexivity</w:t>
      </w:r>
      <w:r w:rsidR="00F70611">
        <w:t xml:space="preserve"> into consideration</w:t>
      </w:r>
      <w:r>
        <w:t xml:space="preserve">. </w:t>
      </w:r>
      <w:proofErr w:type="spellStart"/>
      <w:r w:rsidR="00B57DAE">
        <w:rPr>
          <w:rFonts w:cstheme="minorHAnsi"/>
        </w:rPr>
        <w:t>Hennink</w:t>
      </w:r>
      <w:proofErr w:type="spellEnd"/>
      <w:r w:rsidR="00B57DAE">
        <w:rPr>
          <w:rFonts w:cstheme="minorHAnsi"/>
        </w:rPr>
        <w:t xml:space="preserve">, </w:t>
      </w:r>
      <w:proofErr w:type="spellStart"/>
      <w:r w:rsidR="00B57DAE">
        <w:rPr>
          <w:rFonts w:cstheme="minorHAnsi"/>
        </w:rPr>
        <w:t>Hutter</w:t>
      </w:r>
      <w:proofErr w:type="spellEnd"/>
      <w:r w:rsidR="00B57DAE">
        <w:rPr>
          <w:rFonts w:cstheme="minorHAnsi"/>
        </w:rPr>
        <w:t xml:space="preserve"> and Bailey</w:t>
      </w:r>
      <w:r w:rsidR="00B57DAE">
        <w:t xml:space="preserve"> </w:t>
      </w:r>
      <w:r w:rsidR="00F70611">
        <w:t>detailed reflexivity as a continual process of self-reflection, where ‘researchers are explicitly aware of their own values, self-identity or ideologies’</w:t>
      </w:r>
      <w:r w:rsidR="00F70611">
        <w:rPr>
          <w:rStyle w:val="FootnoteReference"/>
        </w:rPr>
        <w:footnoteReference w:id="39"/>
      </w:r>
      <w:r w:rsidR="00AF3D12">
        <w:t xml:space="preserve"> </w:t>
      </w:r>
      <w:r w:rsidR="00B57DAE">
        <w:t>and how these come across within the interview. This is</w:t>
      </w:r>
      <w:r w:rsidR="00AF3D12">
        <w:t xml:space="preserve"> important to keep in mind whilst doing the research</w:t>
      </w:r>
      <w:r w:rsidR="00B57DAE">
        <w:t>,</w:t>
      </w:r>
      <w:r w:rsidR="00AF3D12">
        <w:t xml:space="preserve"> to not draw upon </w:t>
      </w:r>
      <w:r w:rsidR="00B57DAE">
        <w:t xml:space="preserve">your </w:t>
      </w:r>
      <w:r w:rsidR="00AF3D12">
        <w:t xml:space="preserve">own experiences and emotions but to keep neutral. The only time you do draw on your own experiences is to deepen the conversation because you have insider knowledge on a subject and </w:t>
      </w:r>
      <w:r w:rsidR="00B57DAE">
        <w:t xml:space="preserve">interviewee </w:t>
      </w:r>
      <w:r w:rsidR="00AF3D12">
        <w:t>engagement</w:t>
      </w:r>
      <w:r w:rsidR="00B57DAE">
        <w:t xml:space="preserve"> and comfort level</w:t>
      </w:r>
      <w:r w:rsidR="00AF3D12">
        <w:t xml:space="preserve"> is increase</w:t>
      </w:r>
      <w:r w:rsidR="00B57DAE">
        <w:t xml:space="preserve">d. </w:t>
      </w:r>
      <w:proofErr w:type="spellStart"/>
      <w:r w:rsidR="00F70611">
        <w:t>Hennink</w:t>
      </w:r>
      <w:proofErr w:type="spellEnd"/>
      <w:r w:rsidR="00F70611">
        <w:t xml:space="preserve">, </w:t>
      </w:r>
      <w:proofErr w:type="spellStart"/>
      <w:r w:rsidR="00F70611">
        <w:t>Hutter</w:t>
      </w:r>
      <w:proofErr w:type="spellEnd"/>
      <w:r w:rsidR="00F70611">
        <w:t xml:space="preserve"> and Bailey</w:t>
      </w:r>
      <w:r w:rsidR="00B57DAE">
        <w:t xml:space="preserve"> delved further by pointing out</w:t>
      </w:r>
      <w:r w:rsidR="00AF3D12">
        <w:t xml:space="preserve"> how a</w:t>
      </w:r>
      <w:r w:rsidR="00F70611">
        <w:t xml:space="preserve"> ‘researcher reflect on their subjectivity,’</w:t>
      </w:r>
      <w:r w:rsidR="00F70611">
        <w:rPr>
          <w:rStyle w:val="FootnoteReference"/>
        </w:rPr>
        <w:footnoteReference w:id="40"/>
      </w:r>
      <w:r w:rsidR="00F70611">
        <w:t xml:space="preserve"> as it can influence research findings positively or negatively.</w:t>
      </w:r>
      <w:r w:rsidR="00F852C5">
        <w:t xml:space="preserve"> A possible </w:t>
      </w:r>
      <w:r w:rsidR="00657FC9">
        <w:t>reflection may</w:t>
      </w:r>
      <w:r w:rsidR="00F852C5">
        <w:t xml:space="preserve"> be</w:t>
      </w:r>
      <w:r w:rsidR="00AF3D12">
        <w:t xml:space="preserve"> researcher bias</w:t>
      </w:r>
      <w:r w:rsidR="00F852C5">
        <w:t>, being part of the research topic in many ways may cause findings to be interpreted to feed a personal narrative, the awareness of this can assist in preventing it from happening.</w:t>
      </w:r>
    </w:p>
    <w:p w14:paraId="4CB8FF4E" w14:textId="77777777" w:rsidR="003836E5" w:rsidRDefault="003836E5" w:rsidP="00572244">
      <w:pPr>
        <w:spacing w:after="0" w:line="240" w:lineRule="auto"/>
        <w:rPr>
          <w:rFonts w:cstheme="minorHAnsi"/>
          <w:b/>
          <w:bCs/>
        </w:rPr>
      </w:pPr>
    </w:p>
    <w:p w14:paraId="7C72ED26" w14:textId="56728284" w:rsidR="000F6F95" w:rsidRDefault="007547D2" w:rsidP="00572244">
      <w:pPr>
        <w:spacing w:after="0" w:line="240" w:lineRule="auto"/>
        <w:rPr>
          <w:rFonts w:cstheme="minorHAnsi"/>
          <w:b/>
          <w:bCs/>
        </w:rPr>
      </w:pPr>
      <w:r>
        <w:rPr>
          <w:rFonts w:cstheme="minorHAnsi"/>
          <w:b/>
          <w:bCs/>
        </w:rPr>
        <w:t>F</w:t>
      </w:r>
      <w:r w:rsidR="000F6F95" w:rsidRPr="009D22AD">
        <w:rPr>
          <w:rFonts w:cstheme="minorHAnsi"/>
          <w:b/>
          <w:bCs/>
        </w:rPr>
        <w:t xml:space="preserve">indings and Discussion </w:t>
      </w:r>
    </w:p>
    <w:p w14:paraId="02B295AC" w14:textId="77777777" w:rsidR="003836E5" w:rsidRPr="00912DCB" w:rsidRDefault="003836E5" w:rsidP="00572244">
      <w:pPr>
        <w:spacing w:after="0" w:line="240" w:lineRule="auto"/>
        <w:rPr>
          <w:rFonts w:cstheme="minorHAnsi"/>
          <w:b/>
          <w:bCs/>
          <w:color w:val="FF0000"/>
        </w:rPr>
      </w:pPr>
    </w:p>
    <w:p w14:paraId="5AD256ED" w14:textId="1D5D92E7" w:rsidR="008C18A1" w:rsidRDefault="008C18A1" w:rsidP="00572244">
      <w:pPr>
        <w:spacing w:after="0" w:line="240" w:lineRule="auto"/>
        <w:rPr>
          <w:rFonts w:cstheme="minorHAnsi"/>
        </w:rPr>
      </w:pPr>
      <w:r>
        <w:rPr>
          <w:rFonts w:cstheme="minorHAnsi"/>
        </w:rPr>
        <w:t>I received 20 responses to my questionnaire and</w:t>
      </w:r>
      <w:r w:rsidR="00B57DAE">
        <w:rPr>
          <w:rFonts w:cstheme="minorHAnsi"/>
        </w:rPr>
        <w:t xml:space="preserve"> from this it was ascertained that</w:t>
      </w:r>
      <w:r>
        <w:rPr>
          <w:rFonts w:cstheme="minorHAnsi"/>
        </w:rPr>
        <w:t xml:space="preserve"> 40% of the women had participated in online women’s groups for more than 3 years and 35% for 1 to 2 years. Therefore, 75% of the women have </w:t>
      </w:r>
      <w:r w:rsidR="001704F3">
        <w:rPr>
          <w:rFonts w:cstheme="minorHAnsi"/>
        </w:rPr>
        <w:t>several</w:t>
      </w:r>
      <w:r>
        <w:rPr>
          <w:rFonts w:cstheme="minorHAnsi"/>
        </w:rPr>
        <w:t xml:space="preserve"> years’ experience with online sacred women’s groups, for confidentiality reasons I did not ask which groups these were. The second question </w:t>
      </w:r>
      <w:r w:rsidR="00912DCB">
        <w:rPr>
          <w:rFonts w:cstheme="minorHAnsi"/>
        </w:rPr>
        <w:t xml:space="preserve">was answered by 17 of the respondents on how many groups they participated in and 52.9% were a part of only one group, 11.8% were a part of two and 35.3% were a part of 3 or more groups. </w:t>
      </w:r>
      <w:r w:rsidR="001704F3">
        <w:rPr>
          <w:rFonts w:cstheme="minorHAnsi"/>
        </w:rPr>
        <w:t xml:space="preserve">These two questions gaged participants experience and I found most appeared to be adept participants in women’s groups, which I </w:t>
      </w:r>
      <w:r w:rsidR="00B57DAE">
        <w:rPr>
          <w:rFonts w:cstheme="minorHAnsi"/>
        </w:rPr>
        <w:t xml:space="preserve">was </w:t>
      </w:r>
      <w:r w:rsidR="00184183">
        <w:rPr>
          <w:rFonts w:cstheme="minorHAnsi"/>
        </w:rPr>
        <w:t>hoping</w:t>
      </w:r>
      <w:r w:rsidR="001704F3">
        <w:rPr>
          <w:rFonts w:cstheme="minorHAnsi"/>
        </w:rPr>
        <w:t xml:space="preserve"> would lead to more detailed responses due to</w:t>
      </w:r>
      <w:r w:rsidR="00184183">
        <w:rPr>
          <w:rFonts w:cstheme="minorHAnsi"/>
        </w:rPr>
        <w:t xml:space="preserve"> the</w:t>
      </w:r>
      <w:r w:rsidR="001704F3">
        <w:rPr>
          <w:rFonts w:cstheme="minorHAnsi"/>
        </w:rPr>
        <w:t xml:space="preserve"> length of experience.</w:t>
      </w:r>
    </w:p>
    <w:p w14:paraId="095A3AF2" w14:textId="65941527" w:rsidR="00912DCB" w:rsidRDefault="00912DCB" w:rsidP="00572244">
      <w:pPr>
        <w:spacing w:after="0" w:line="240" w:lineRule="auto"/>
        <w:rPr>
          <w:rFonts w:cstheme="minorHAnsi"/>
        </w:rPr>
      </w:pPr>
    </w:p>
    <w:p w14:paraId="1CAEB864" w14:textId="77777777" w:rsidR="00645643" w:rsidRPr="00645643" w:rsidRDefault="00645643" w:rsidP="00572244">
      <w:pPr>
        <w:spacing w:after="0" w:line="240" w:lineRule="auto"/>
        <w:rPr>
          <w:rFonts w:cstheme="minorHAnsi"/>
          <w:b/>
          <w:bCs/>
        </w:rPr>
      </w:pPr>
      <w:r w:rsidRPr="00645643">
        <w:rPr>
          <w:rFonts w:cstheme="minorHAnsi"/>
          <w:b/>
          <w:bCs/>
        </w:rPr>
        <w:t>Sisterhood</w:t>
      </w:r>
    </w:p>
    <w:p w14:paraId="5C1251CF" w14:textId="77777777" w:rsidR="00645643" w:rsidRDefault="00645643" w:rsidP="00572244">
      <w:pPr>
        <w:spacing w:after="0" w:line="240" w:lineRule="auto"/>
        <w:rPr>
          <w:rFonts w:cstheme="minorHAnsi"/>
        </w:rPr>
      </w:pPr>
    </w:p>
    <w:p w14:paraId="16AAD8DC" w14:textId="5AE75C10" w:rsidR="00D863DC" w:rsidRDefault="0012061A" w:rsidP="00572244">
      <w:pPr>
        <w:spacing w:after="0" w:line="240" w:lineRule="auto"/>
        <w:rPr>
          <w:rFonts w:cstheme="minorHAnsi"/>
        </w:rPr>
      </w:pPr>
      <w:r>
        <w:rPr>
          <w:rFonts w:cstheme="minorHAnsi"/>
        </w:rPr>
        <w:t>When asked what</w:t>
      </w:r>
      <w:r w:rsidR="00912DCB">
        <w:rPr>
          <w:rFonts w:cstheme="minorHAnsi"/>
        </w:rPr>
        <w:t xml:space="preserve"> drew </w:t>
      </w:r>
      <w:r>
        <w:rPr>
          <w:rFonts w:cstheme="minorHAnsi"/>
        </w:rPr>
        <w:t>the participants</w:t>
      </w:r>
      <w:r w:rsidR="00912DCB">
        <w:rPr>
          <w:rFonts w:cstheme="minorHAnsi"/>
        </w:rPr>
        <w:t xml:space="preserve"> to join an online women’s sacred group? From the</w:t>
      </w:r>
      <w:r w:rsidR="006A208E">
        <w:rPr>
          <w:rFonts w:cstheme="minorHAnsi"/>
        </w:rPr>
        <w:t xml:space="preserve"> 19</w:t>
      </w:r>
      <w:r w:rsidR="00912DCB">
        <w:rPr>
          <w:rFonts w:cstheme="minorHAnsi"/>
        </w:rPr>
        <w:t xml:space="preserve"> answers</w:t>
      </w:r>
      <w:r w:rsidR="00D863DC">
        <w:rPr>
          <w:rFonts w:cstheme="minorHAnsi"/>
        </w:rPr>
        <w:t>,</w:t>
      </w:r>
      <w:r w:rsidR="00912DCB">
        <w:rPr>
          <w:rFonts w:cstheme="minorHAnsi"/>
        </w:rPr>
        <w:t xml:space="preserve"> it was apparent that </w:t>
      </w:r>
      <w:r w:rsidR="006A208E">
        <w:rPr>
          <w:rFonts w:cstheme="minorHAnsi"/>
        </w:rPr>
        <w:t xml:space="preserve">majority of </w:t>
      </w:r>
      <w:r w:rsidR="00415927">
        <w:rPr>
          <w:rFonts w:cstheme="minorHAnsi"/>
        </w:rPr>
        <w:t xml:space="preserve">the </w:t>
      </w:r>
      <w:r w:rsidR="006A208E">
        <w:rPr>
          <w:rFonts w:cstheme="minorHAnsi"/>
        </w:rPr>
        <w:t>women joined for connection, community and being around likeminded people.</w:t>
      </w:r>
      <w:r w:rsidR="00415927">
        <w:rPr>
          <w:rFonts w:cstheme="minorHAnsi"/>
        </w:rPr>
        <w:t xml:space="preserve"> </w:t>
      </w:r>
      <w:r w:rsidR="006A208E">
        <w:rPr>
          <w:rFonts w:cstheme="minorHAnsi"/>
        </w:rPr>
        <w:t xml:space="preserve">These responses tie into Diamant’s book </w:t>
      </w:r>
      <w:r w:rsidR="006A208E">
        <w:rPr>
          <w:rFonts w:cstheme="minorHAnsi"/>
          <w:i/>
          <w:iCs/>
        </w:rPr>
        <w:t xml:space="preserve">The Red Tent, </w:t>
      </w:r>
      <w:r w:rsidR="006A208E">
        <w:rPr>
          <w:rFonts w:cstheme="minorHAnsi"/>
        </w:rPr>
        <w:t>which put forth the concept of supportive gatherings and solidarity.</w:t>
      </w:r>
      <w:r w:rsidR="006A208E">
        <w:rPr>
          <w:rStyle w:val="FootnoteReference"/>
          <w:rFonts w:cstheme="minorHAnsi"/>
        </w:rPr>
        <w:footnoteReference w:id="41"/>
      </w:r>
      <w:r w:rsidR="001704F3">
        <w:rPr>
          <w:rFonts w:cstheme="minorHAnsi"/>
        </w:rPr>
        <w:t xml:space="preserve"> Interviewee 1 expressed ‘having a sisterhood, hearing their stories and getting inspired’ is what drew her to these groups. Interviewee 2 felt she had ‘lost connection with magic,’</w:t>
      </w:r>
      <w:r w:rsidR="00671695">
        <w:rPr>
          <w:rFonts w:cstheme="minorHAnsi"/>
        </w:rPr>
        <w:t xml:space="preserve"> which she regained by joining a circle, support</w:t>
      </w:r>
      <w:r w:rsidR="00D863DC">
        <w:rPr>
          <w:rFonts w:cstheme="minorHAnsi"/>
        </w:rPr>
        <w:t>ing</w:t>
      </w:r>
      <w:r w:rsidR="00671695">
        <w:rPr>
          <w:rFonts w:cstheme="minorHAnsi"/>
        </w:rPr>
        <w:t xml:space="preserve"> the idea that the group</w:t>
      </w:r>
      <w:r w:rsidR="00D863DC">
        <w:rPr>
          <w:rFonts w:cstheme="minorHAnsi"/>
        </w:rPr>
        <w:t xml:space="preserve"> assists in re-enchanting</w:t>
      </w:r>
      <w:r w:rsidR="00671695">
        <w:rPr>
          <w:rFonts w:cstheme="minorHAnsi"/>
        </w:rPr>
        <w:t>.</w:t>
      </w:r>
    </w:p>
    <w:p w14:paraId="5BC162E9" w14:textId="77777777" w:rsidR="00D863DC" w:rsidRDefault="00D863DC" w:rsidP="00572244">
      <w:pPr>
        <w:spacing w:after="0" w:line="240" w:lineRule="auto"/>
        <w:rPr>
          <w:rFonts w:cstheme="minorHAnsi"/>
        </w:rPr>
      </w:pPr>
    </w:p>
    <w:p w14:paraId="7CFC5EB1" w14:textId="50E15DB0" w:rsidR="00912DCB" w:rsidRDefault="00671695" w:rsidP="00572244">
      <w:pPr>
        <w:spacing w:after="0" w:line="240" w:lineRule="auto"/>
        <w:rPr>
          <w:rFonts w:cstheme="minorHAnsi"/>
        </w:rPr>
      </w:pPr>
      <w:r>
        <w:rPr>
          <w:rFonts w:cstheme="minorHAnsi"/>
        </w:rPr>
        <w:lastRenderedPageBreak/>
        <w:t>F</w:t>
      </w:r>
      <w:r w:rsidR="001704F3">
        <w:rPr>
          <w:rFonts w:cstheme="minorHAnsi"/>
        </w:rPr>
        <w:t>rom these responses it is apparent that most of the women were looking to fill a void in their life and searched for it in joining the group</w:t>
      </w:r>
      <w:r w:rsidR="0012061A">
        <w:rPr>
          <w:rFonts w:cstheme="minorHAnsi"/>
        </w:rPr>
        <w:t xml:space="preserve">, which made them feel a part of a </w:t>
      </w:r>
      <w:r w:rsidR="00D863DC">
        <w:rPr>
          <w:rFonts w:cstheme="minorHAnsi"/>
        </w:rPr>
        <w:t>sisterhood</w:t>
      </w:r>
      <w:r w:rsidR="0012061A">
        <w:rPr>
          <w:rFonts w:cstheme="minorHAnsi"/>
        </w:rPr>
        <w:t>. The community the respondents speak of relates to Longman’s findings of a ‘sisterhood reclaimed’ which she discovered ‘was a yearning among women for spaces’</w:t>
      </w:r>
      <w:r w:rsidR="0012061A">
        <w:rPr>
          <w:rStyle w:val="FootnoteReference"/>
          <w:rFonts w:cstheme="minorHAnsi"/>
        </w:rPr>
        <w:footnoteReference w:id="42"/>
      </w:r>
      <w:r w:rsidR="00A116D8">
        <w:rPr>
          <w:rFonts w:cstheme="minorHAnsi"/>
        </w:rPr>
        <w:t xml:space="preserve"> </w:t>
      </w:r>
      <w:r>
        <w:rPr>
          <w:rFonts w:cstheme="minorHAnsi"/>
        </w:rPr>
        <w:t>to share. This sharing of stories, i</w:t>
      </w:r>
      <w:r w:rsidR="002C3F49">
        <w:rPr>
          <w:rFonts w:cstheme="minorHAnsi"/>
        </w:rPr>
        <w:t>nspiration and magic according to Curry are part of the enchantment experience</w:t>
      </w:r>
      <w:r w:rsidR="00500239">
        <w:rPr>
          <w:rFonts w:cstheme="minorHAnsi"/>
        </w:rPr>
        <w:t>,</w:t>
      </w:r>
      <w:r w:rsidR="00500239">
        <w:rPr>
          <w:rStyle w:val="FootnoteReference"/>
          <w:rFonts w:cstheme="minorHAnsi"/>
        </w:rPr>
        <w:footnoteReference w:id="43"/>
      </w:r>
      <w:r w:rsidR="002C3F49">
        <w:rPr>
          <w:rFonts w:cstheme="minorHAnsi"/>
        </w:rPr>
        <w:t xml:space="preserve"> which sisterhood enhances</w:t>
      </w:r>
      <w:r w:rsidR="00500239">
        <w:rPr>
          <w:rFonts w:cstheme="minorHAnsi"/>
        </w:rPr>
        <w:t xml:space="preserve"> and one of those ways is through the re-emergence of the red tent circles</w:t>
      </w:r>
      <w:r w:rsidR="00500239">
        <w:rPr>
          <w:rStyle w:val="FootnoteReference"/>
          <w:rFonts w:cstheme="minorHAnsi"/>
        </w:rPr>
        <w:footnoteReference w:id="44"/>
      </w:r>
      <w:r w:rsidR="00D863DC">
        <w:rPr>
          <w:rFonts w:cstheme="minorHAnsi"/>
        </w:rPr>
        <w:t xml:space="preserve"> and Lee’s sacred circle.</w:t>
      </w:r>
      <w:r w:rsidR="00D863DC">
        <w:rPr>
          <w:rStyle w:val="FootnoteReference"/>
          <w:rFonts w:cstheme="minorHAnsi"/>
        </w:rPr>
        <w:footnoteReference w:id="45"/>
      </w:r>
      <w:r w:rsidR="00500239">
        <w:rPr>
          <w:rFonts w:cstheme="minorHAnsi"/>
        </w:rPr>
        <w:t xml:space="preserve"> </w:t>
      </w:r>
    </w:p>
    <w:p w14:paraId="140CED2B" w14:textId="4EF338ED" w:rsidR="00F13E3B" w:rsidRDefault="00F13E3B" w:rsidP="00572244">
      <w:pPr>
        <w:spacing w:after="0" w:line="240" w:lineRule="auto"/>
        <w:rPr>
          <w:rFonts w:cstheme="minorHAnsi"/>
        </w:rPr>
      </w:pPr>
    </w:p>
    <w:p w14:paraId="63DBBFAD" w14:textId="7D523E3D" w:rsidR="00F13E3B" w:rsidRDefault="00F13E3B" w:rsidP="00572244">
      <w:pPr>
        <w:spacing w:after="0" w:line="240" w:lineRule="auto"/>
        <w:rPr>
          <w:rFonts w:cstheme="minorHAnsi"/>
        </w:rPr>
      </w:pPr>
      <w:r>
        <w:rPr>
          <w:rFonts w:cstheme="minorHAnsi"/>
        </w:rPr>
        <w:t>Question 8 asked if there are any rituals, activities or experiences that you particularly enjoy, most enjoyed one or more activities and only a couple expanded their answer and expressed that ‘the shared ritual is that much more magical’ or that the ‘group is particularly powerful’ and the group being a ‘really supportive safe space</w:t>
      </w:r>
      <w:r w:rsidR="00D863DC">
        <w:rPr>
          <w:rFonts w:cstheme="minorHAnsi"/>
        </w:rPr>
        <w:t>,</w:t>
      </w:r>
      <w:r>
        <w:rPr>
          <w:rFonts w:cstheme="minorHAnsi"/>
        </w:rPr>
        <w:t>’</w:t>
      </w:r>
      <w:r w:rsidR="00D863DC">
        <w:rPr>
          <w:rFonts w:cstheme="minorHAnsi"/>
        </w:rPr>
        <w:t xml:space="preserve"> according to Longman this is women’s way of ‘reclaiming sisterhood, spirituality and wellbeing.’</w:t>
      </w:r>
      <w:r w:rsidR="00D863DC">
        <w:rPr>
          <w:rStyle w:val="FootnoteReference"/>
          <w:rFonts w:cstheme="minorHAnsi"/>
        </w:rPr>
        <w:footnoteReference w:id="46"/>
      </w:r>
      <w:r w:rsidR="00D863DC">
        <w:rPr>
          <w:rFonts w:cstheme="minorHAnsi"/>
          <w:color w:val="FF0000"/>
        </w:rPr>
        <w:t xml:space="preserve"> </w:t>
      </w:r>
      <w:r>
        <w:rPr>
          <w:rFonts w:cstheme="minorHAnsi"/>
        </w:rPr>
        <w:t>However, further research could be conducted on how particular rituals, ceremonies and experiences increase enchantment or re-enchantment, as this project has only touched upon it.</w:t>
      </w:r>
      <w:r w:rsidR="00D863DC">
        <w:rPr>
          <w:rFonts w:cstheme="minorHAnsi"/>
        </w:rPr>
        <w:t xml:space="preserve"> </w:t>
      </w:r>
      <w:r w:rsidR="008C256A">
        <w:rPr>
          <w:rFonts w:cstheme="minorHAnsi"/>
        </w:rPr>
        <w:t>Although</w:t>
      </w:r>
      <w:r w:rsidR="00D863DC">
        <w:rPr>
          <w:rFonts w:cstheme="minorHAnsi"/>
        </w:rPr>
        <w:t>, the response</w:t>
      </w:r>
      <w:r w:rsidR="008C256A">
        <w:rPr>
          <w:rFonts w:cstheme="minorHAnsi"/>
        </w:rPr>
        <w:t>s</w:t>
      </w:r>
      <w:r w:rsidR="00D863DC">
        <w:rPr>
          <w:rFonts w:cstheme="minorHAnsi"/>
        </w:rPr>
        <w:t xml:space="preserve"> advocated </w:t>
      </w:r>
      <w:r w:rsidR="008C256A">
        <w:rPr>
          <w:rFonts w:cstheme="minorHAnsi"/>
        </w:rPr>
        <w:t xml:space="preserve">enjoyment of the activities, rituals and experiences, and being magical as well as powerful. </w:t>
      </w:r>
    </w:p>
    <w:p w14:paraId="55E569C7" w14:textId="5D17CBF6" w:rsidR="006A208E" w:rsidRDefault="006A208E" w:rsidP="00572244">
      <w:pPr>
        <w:spacing w:after="0" w:line="240" w:lineRule="auto"/>
        <w:rPr>
          <w:rFonts w:cstheme="minorHAnsi"/>
        </w:rPr>
      </w:pPr>
    </w:p>
    <w:p w14:paraId="0ACB06F7" w14:textId="5657EBAF" w:rsidR="00645643" w:rsidRPr="00645643" w:rsidRDefault="00645643" w:rsidP="00572244">
      <w:pPr>
        <w:spacing w:after="0" w:line="240" w:lineRule="auto"/>
        <w:rPr>
          <w:rFonts w:cstheme="minorHAnsi"/>
          <w:b/>
          <w:bCs/>
        </w:rPr>
      </w:pPr>
      <w:r w:rsidRPr="00645643">
        <w:rPr>
          <w:rFonts w:cstheme="minorHAnsi"/>
          <w:b/>
          <w:bCs/>
        </w:rPr>
        <w:t>Creative Expression</w:t>
      </w:r>
      <w:r w:rsidR="00CC0717">
        <w:rPr>
          <w:rFonts w:cstheme="minorHAnsi"/>
          <w:b/>
          <w:bCs/>
        </w:rPr>
        <w:t xml:space="preserve"> and Inner Knowing</w:t>
      </w:r>
    </w:p>
    <w:p w14:paraId="37686E4B" w14:textId="77777777" w:rsidR="00645643" w:rsidRDefault="00645643" w:rsidP="00572244">
      <w:pPr>
        <w:spacing w:after="0" w:line="240" w:lineRule="auto"/>
        <w:rPr>
          <w:rFonts w:cstheme="minorHAnsi"/>
        </w:rPr>
      </w:pPr>
    </w:p>
    <w:p w14:paraId="74F87FF2" w14:textId="0E828E03" w:rsidR="006A208E" w:rsidRDefault="00645643" w:rsidP="00572244">
      <w:pPr>
        <w:spacing w:after="0" w:line="240" w:lineRule="auto"/>
        <w:rPr>
          <w:rFonts w:cstheme="minorHAnsi"/>
        </w:rPr>
      </w:pPr>
      <w:r>
        <w:rPr>
          <w:rFonts w:cstheme="minorHAnsi"/>
        </w:rPr>
        <w:t>At the beginning of the questionnaire t</w:t>
      </w:r>
      <w:r w:rsidR="006A208E">
        <w:rPr>
          <w:rFonts w:cstheme="minorHAnsi"/>
        </w:rPr>
        <w:t>here was no reference point</w:t>
      </w:r>
      <w:r w:rsidR="008C256A">
        <w:rPr>
          <w:rFonts w:cstheme="minorHAnsi"/>
        </w:rPr>
        <w:t xml:space="preserve"> given to enchantment,</w:t>
      </w:r>
      <w:r w:rsidR="00496D42">
        <w:rPr>
          <w:rFonts w:cstheme="minorHAnsi"/>
        </w:rPr>
        <w:t xml:space="preserve"> such as</w:t>
      </w:r>
      <w:r w:rsidR="008C256A">
        <w:rPr>
          <w:rFonts w:cstheme="minorHAnsi"/>
        </w:rPr>
        <w:t xml:space="preserve"> </w:t>
      </w:r>
      <w:r w:rsidR="00496D42">
        <w:rPr>
          <w:rFonts w:cstheme="minorHAnsi"/>
        </w:rPr>
        <w:t>magic or logic</w:t>
      </w:r>
      <w:r w:rsidR="006A208E">
        <w:rPr>
          <w:rFonts w:cstheme="minorHAnsi"/>
        </w:rPr>
        <w:t xml:space="preserve">, </w:t>
      </w:r>
      <w:r w:rsidR="000B76F1">
        <w:rPr>
          <w:rFonts w:cstheme="minorHAnsi"/>
        </w:rPr>
        <w:t>this was to keep any bias from seeping in</w:t>
      </w:r>
      <w:r w:rsidR="00F52F7B">
        <w:rPr>
          <w:rFonts w:cstheme="minorHAnsi"/>
        </w:rPr>
        <w:t xml:space="preserve"> by leading question</w:t>
      </w:r>
      <w:r w:rsidR="008C256A">
        <w:rPr>
          <w:rFonts w:cstheme="minorHAnsi"/>
        </w:rPr>
        <w:t>s</w:t>
      </w:r>
      <w:r w:rsidR="000B76F1">
        <w:rPr>
          <w:rFonts w:cstheme="minorHAnsi"/>
        </w:rPr>
        <w:t>.</w:t>
      </w:r>
      <w:r w:rsidR="00F52F7B">
        <w:rPr>
          <w:rStyle w:val="FootnoteReference"/>
          <w:rFonts w:cstheme="minorHAnsi"/>
        </w:rPr>
        <w:footnoteReference w:id="47"/>
      </w:r>
      <w:r w:rsidR="000B76F1">
        <w:rPr>
          <w:rFonts w:cstheme="minorHAnsi"/>
        </w:rPr>
        <w:t xml:space="preserve"> </w:t>
      </w:r>
      <w:r w:rsidR="00F52F7B">
        <w:rPr>
          <w:rFonts w:cstheme="minorHAnsi"/>
        </w:rPr>
        <w:t xml:space="preserve">Therefore, </w:t>
      </w:r>
      <w:r w:rsidR="000B76F1">
        <w:rPr>
          <w:rFonts w:cstheme="minorHAnsi"/>
        </w:rPr>
        <w:t xml:space="preserve">I asked if being in the group had changed the way they viewed the world. </w:t>
      </w:r>
      <w:r w:rsidR="00415927">
        <w:rPr>
          <w:rFonts w:cstheme="minorHAnsi"/>
        </w:rPr>
        <w:t>1</w:t>
      </w:r>
      <w:r w:rsidR="00AC708B">
        <w:rPr>
          <w:rFonts w:cstheme="minorHAnsi"/>
        </w:rPr>
        <w:t xml:space="preserve">5 </w:t>
      </w:r>
      <w:r w:rsidR="00415927">
        <w:rPr>
          <w:rFonts w:cstheme="minorHAnsi"/>
        </w:rPr>
        <w:t>respondents gave a resounding</w:t>
      </w:r>
      <w:r w:rsidR="00AC708B">
        <w:rPr>
          <w:rFonts w:cstheme="minorHAnsi"/>
        </w:rPr>
        <w:t xml:space="preserve"> yes with reasons ranging from</w:t>
      </w:r>
      <w:r w:rsidR="008C256A">
        <w:rPr>
          <w:rFonts w:cstheme="minorHAnsi"/>
        </w:rPr>
        <w:t xml:space="preserve"> gaining</w:t>
      </w:r>
      <w:r w:rsidR="00AC708B">
        <w:rPr>
          <w:rFonts w:cstheme="minorHAnsi"/>
        </w:rPr>
        <w:t xml:space="preserve"> ‘more awareness of unity’ to how</w:t>
      </w:r>
      <w:r w:rsidR="008C256A">
        <w:rPr>
          <w:rFonts w:cstheme="minorHAnsi"/>
        </w:rPr>
        <w:t xml:space="preserve"> the group</w:t>
      </w:r>
      <w:r w:rsidR="00AC708B">
        <w:rPr>
          <w:rFonts w:cstheme="minorHAnsi"/>
        </w:rPr>
        <w:t xml:space="preserve"> ‘freed my art expression and understanding of creativity’ and for another respondent it allowed her ‘to see the magic in life again.’ </w:t>
      </w:r>
      <w:r w:rsidR="00F52F7B">
        <w:rPr>
          <w:rFonts w:cstheme="minorHAnsi"/>
        </w:rPr>
        <w:t>These responses supported</w:t>
      </w:r>
      <w:r w:rsidR="002110D4">
        <w:rPr>
          <w:rFonts w:cstheme="minorHAnsi"/>
        </w:rPr>
        <w:t xml:space="preserve"> Roney-Dougal</w:t>
      </w:r>
      <w:r w:rsidR="00F52F7B">
        <w:rPr>
          <w:rFonts w:cstheme="minorHAnsi"/>
        </w:rPr>
        <w:t>, who</w:t>
      </w:r>
      <w:r w:rsidR="002110D4">
        <w:rPr>
          <w:rFonts w:cstheme="minorHAnsi"/>
        </w:rPr>
        <w:t xml:space="preserve"> pointed out </w:t>
      </w:r>
      <w:r w:rsidR="008C256A">
        <w:rPr>
          <w:rFonts w:cstheme="minorHAnsi"/>
        </w:rPr>
        <w:t xml:space="preserve">various </w:t>
      </w:r>
      <w:r w:rsidR="00EC5A1A">
        <w:rPr>
          <w:rFonts w:cstheme="minorHAnsi"/>
        </w:rPr>
        <w:t>ways ‘magic works through the subliminal mind.’</w:t>
      </w:r>
      <w:r w:rsidR="00EC5A1A">
        <w:rPr>
          <w:rStyle w:val="FootnoteReference"/>
          <w:rFonts w:cstheme="minorHAnsi"/>
        </w:rPr>
        <w:footnoteReference w:id="48"/>
      </w:r>
      <w:r w:rsidR="00EC5A1A">
        <w:rPr>
          <w:rFonts w:cstheme="minorHAnsi"/>
        </w:rPr>
        <w:t xml:space="preserve"> Hence, are</w:t>
      </w:r>
      <w:r w:rsidR="002110D4">
        <w:rPr>
          <w:rFonts w:cstheme="minorHAnsi"/>
        </w:rPr>
        <w:t xml:space="preserve"> these groups unlocking something in the subliminal mind and is </w:t>
      </w:r>
      <w:r w:rsidR="00EC5A1A">
        <w:rPr>
          <w:rFonts w:cstheme="minorHAnsi"/>
        </w:rPr>
        <w:t xml:space="preserve">that </w:t>
      </w:r>
      <w:r w:rsidR="002110D4">
        <w:rPr>
          <w:rFonts w:cstheme="minorHAnsi"/>
        </w:rPr>
        <w:t>the reason for the respondents being freer in their expressions</w:t>
      </w:r>
      <w:r w:rsidR="00500239">
        <w:rPr>
          <w:rFonts w:cstheme="minorHAnsi"/>
        </w:rPr>
        <w:t xml:space="preserve"> of art</w:t>
      </w:r>
      <w:r w:rsidR="002110D4">
        <w:rPr>
          <w:rFonts w:cstheme="minorHAnsi"/>
        </w:rPr>
        <w:t xml:space="preserve">, creativity and magic. </w:t>
      </w:r>
    </w:p>
    <w:p w14:paraId="2A2D445E" w14:textId="25A4826C" w:rsidR="00500239" w:rsidRDefault="00500239" w:rsidP="00572244">
      <w:pPr>
        <w:spacing w:after="0" w:line="240" w:lineRule="auto"/>
        <w:rPr>
          <w:rFonts w:cstheme="minorHAnsi"/>
        </w:rPr>
      </w:pPr>
    </w:p>
    <w:p w14:paraId="332C2C85" w14:textId="64CD0C5F" w:rsidR="00500239" w:rsidRDefault="00500239" w:rsidP="00572244">
      <w:pPr>
        <w:spacing w:after="0" w:line="240" w:lineRule="auto"/>
        <w:rPr>
          <w:rFonts w:cstheme="minorHAnsi"/>
        </w:rPr>
      </w:pPr>
      <w:r>
        <w:rPr>
          <w:rFonts w:cstheme="minorHAnsi"/>
        </w:rPr>
        <w:t>The responses to question 7 w</w:t>
      </w:r>
      <w:r w:rsidR="008C256A">
        <w:rPr>
          <w:rFonts w:cstheme="minorHAnsi"/>
        </w:rPr>
        <w:t>ere</w:t>
      </w:r>
      <w:r>
        <w:rPr>
          <w:rFonts w:cstheme="minorHAnsi"/>
        </w:rPr>
        <w:t xml:space="preserve"> totally weighted to yes, out of the 19 responses received 16 said yes. </w:t>
      </w:r>
      <w:r w:rsidR="00415927">
        <w:rPr>
          <w:rFonts w:cstheme="minorHAnsi"/>
        </w:rPr>
        <w:t xml:space="preserve">One of the explanations to the no was </w:t>
      </w:r>
      <w:r>
        <w:rPr>
          <w:rFonts w:cstheme="minorHAnsi"/>
        </w:rPr>
        <w:t>‘</w:t>
      </w:r>
      <w:r w:rsidR="00415927">
        <w:rPr>
          <w:rFonts w:cstheme="minorHAnsi"/>
        </w:rPr>
        <w:t>m</w:t>
      </w:r>
      <w:r>
        <w:rPr>
          <w:rFonts w:cstheme="minorHAnsi"/>
        </w:rPr>
        <w:t xml:space="preserve">y sense of wonder has been with me since I was a young girl.’ </w:t>
      </w:r>
      <w:r w:rsidRPr="008D6BAC">
        <w:rPr>
          <w:rFonts w:cstheme="minorHAnsi"/>
        </w:rPr>
        <w:t xml:space="preserve">Supporting </w:t>
      </w:r>
      <w:r>
        <w:rPr>
          <w:rFonts w:cstheme="minorHAnsi"/>
        </w:rPr>
        <w:t>Josephson-Storm’s</w:t>
      </w:r>
      <w:r w:rsidRPr="008D6BAC">
        <w:rPr>
          <w:rFonts w:cstheme="minorHAnsi"/>
        </w:rPr>
        <w:t xml:space="preserve"> notio</w:t>
      </w:r>
      <w:r>
        <w:rPr>
          <w:rFonts w:cstheme="minorHAnsi"/>
        </w:rPr>
        <w:t>n that disenchantment is a myth, that wonder has always been with us and not disappeared.</w:t>
      </w:r>
      <w:r>
        <w:rPr>
          <w:rStyle w:val="FootnoteReference"/>
          <w:rFonts w:cstheme="minorHAnsi"/>
        </w:rPr>
        <w:footnoteReference w:id="49"/>
      </w:r>
      <w:r w:rsidRPr="008D6BAC">
        <w:rPr>
          <w:rFonts w:cstheme="minorHAnsi"/>
        </w:rPr>
        <w:t xml:space="preserve"> </w:t>
      </w:r>
      <w:r w:rsidRPr="00C15557">
        <w:rPr>
          <w:rFonts w:cstheme="minorHAnsi"/>
        </w:rPr>
        <w:t xml:space="preserve">Whereas, </w:t>
      </w:r>
      <w:r>
        <w:rPr>
          <w:rFonts w:cstheme="minorHAnsi"/>
        </w:rPr>
        <w:t>those who have answered yes, have given explanations such as ‘I can see the beauty in flowers, the sky and clouds’ and ‘I can feel a shiver down my spine when someone smiles or laughs.’ One respondent exclaimed wonder has ‘increased. Seeing art in literally everything!’ and another sees ‘magic in everything.’ However, Interviewee 1 explained the extent of wonder depends on the women within the group and believes ‘wonder of groups come and go’ supporting Curry’s</w:t>
      </w:r>
      <w:r w:rsidR="00CC0717">
        <w:rPr>
          <w:rFonts w:cstheme="minorHAnsi"/>
        </w:rPr>
        <w:t xml:space="preserve"> notion that enchantment does</w:t>
      </w:r>
      <w:r w:rsidR="008C256A">
        <w:rPr>
          <w:rFonts w:cstheme="minorHAnsi"/>
        </w:rPr>
        <w:t xml:space="preserve"> not</w:t>
      </w:r>
      <w:r w:rsidR="00CC0717">
        <w:rPr>
          <w:rFonts w:cstheme="minorHAnsi"/>
        </w:rPr>
        <w:t xml:space="preserve"> last forever.</w:t>
      </w:r>
      <w:r w:rsidR="00CC0717">
        <w:rPr>
          <w:rStyle w:val="FootnoteReference"/>
          <w:rFonts w:cstheme="minorHAnsi"/>
        </w:rPr>
        <w:footnoteReference w:id="50"/>
      </w:r>
      <w:r w:rsidR="008C256A">
        <w:rPr>
          <w:rFonts w:cstheme="minorHAnsi"/>
        </w:rPr>
        <w:t xml:space="preserve"> Although, </w:t>
      </w:r>
      <w:r w:rsidR="008C256A">
        <w:rPr>
          <w:rFonts w:cstheme="minorHAnsi"/>
        </w:rPr>
        <w:lastRenderedPageBreak/>
        <w:t>it does support Hall’s notion of the reawakening of spiritual power,</w:t>
      </w:r>
      <w:r w:rsidR="008C256A">
        <w:rPr>
          <w:rStyle w:val="FootnoteReference"/>
          <w:rFonts w:cstheme="minorHAnsi"/>
        </w:rPr>
        <w:footnoteReference w:id="51"/>
      </w:r>
      <w:r w:rsidR="008C256A">
        <w:rPr>
          <w:rFonts w:cstheme="minorHAnsi"/>
        </w:rPr>
        <w:t xml:space="preserve"> which explains the increase in creative expression not just in physical art activities but also seeing the whole of life creatively.</w:t>
      </w:r>
    </w:p>
    <w:p w14:paraId="611D80BA" w14:textId="43E04792" w:rsidR="002110D4" w:rsidRDefault="002110D4" w:rsidP="00572244">
      <w:pPr>
        <w:spacing w:after="0" w:line="240" w:lineRule="auto"/>
        <w:rPr>
          <w:rFonts w:cstheme="minorHAnsi"/>
        </w:rPr>
      </w:pPr>
    </w:p>
    <w:p w14:paraId="56A919B2" w14:textId="6E5E7B31" w:rsidR="00EC5A1A" w:rsidRDefault="00EC5A1A" w:rsidP="00572244">
      <w:pPr>
        <w:spacing w:after="0" w:line="240" w:lineRule="auto"/>
        <w:rPr>
          <w:rFonts w:cstheme="minorHAnsi"/>
        </w:rPr>
      </w:pPr>
      <w:r>
        <w:rPr>
          <w:rFonts w:cstheme="minorHAnsi"/>
        </w:rPr>
        <w:t>The questions now become more specific and focused, q</w:t>
      </w:r>
      <w:r w:rsidR="003A7643">
        <w:rPr>
          <w:rFonts w:cstheme="minorHAnsi"/>
        </w:rPr>
        <w:t>uestion 5 ask</w:t>
      </w:r>
      <w:r>
        <w:rPr>
          <w:rFonts w:cstheme="minorHAnsi"/>
        </w:rPr>
        <w:t>ed</w:t>
      </w:r>
      <w:r w:rsidR="003A7643">
        <w:rPr>
          <w:rFonts w:cstheme="minorHAnsi"/>
        </w:rPr>
        <w:t xml:space="preserve"> respondents if being in the group changed any of their beliefs on magic and mystery. Out of the 18 responses, 5 said no, 8 said yes and 5 gave neither a yes or no but said the groups confirmed their beliefs</w:t>
      </w:r>
      <w:r>
        <w:rPr>
          <w:rFonts w:cstheme="minorHAnsi"/>
        </w:rPr>
        <w:t>,</w:t>
      </w:r>
      <w:r w:rsidR="003A7643">
        <w:rPr>
          <w:rFonts w:cstheme="minorHAnsi"/>
        </w:rPr>
        <w:t xml:space="preserve"> or as one respondent </w:t>
      </w:r>
      <w:r w:rsidR="00BC3DFD">
        <w:rPr>
          <w:rFonts w:cstheme="minorHAnsi"/>
        </w:rPr>
        <w:t>said,</w:t>
      </w:r>
      <w:r w:rsidR="003A7643">
        <w:rPr>
          <w:rFonts w:cstheme="minorHAnsi"/>
        </w:rPr>
        <w:t xml:space="preserve"> ‘it deepens and expands what I already knew intrinsically.’ </w:t>
      </w:r>
      <w:r>
        <w:rPr>
          <w:rFonts w:cstheme="minorHAnsi"/>
        </w:rPr>
        <w:t>Some of th</w:t>
      </w:r>
      <w:r w:rsidR="003A7643">
        <w:rPr>
          <w:rFonts w:cstheme="minorHAnsi"/>
        </w:rPr>
        <w:t>ese replies tie in with Jo</w:t>
      </w:r>
      <w:r w:rsidR="00BC3DFD">
        <w:rPr>
          <w:rFonts w:cstheme="minorHAnsi"/>
        </w:rPr>
        <w:t>se</w:t>
      </w:r>
      <w:r w:rsidR="003A7643">
        <w:rPr>
          <w:rFonts w:cstheme="minorHAnsi"/>
        </w:rPr>
        <w:t>phson-Storm’s concept that we have always been enchanted.</w:t>
      </w:r>
      <w:r w:rsidR="003A7643">
        <w:rPr>
          <w:rStyle w:val="FootnoteReference"/>
          <w:rFonts w:cstheme="minorHAnsi"/>
        </w:rPr>
        <w:footnoteReference w:id="52"/>
      </w:r>
      <w:r w:rsidR="00BC3DFD">
        <w:rPr>
          <w:rFonts w:cstheme="minorHAnsi"/>
        </w:rPr>
        <w:t xml:space="preserve"> Some of the respondents that replied with yes, gave details such as the ‘group opens up these other realities</w:t>
      </w:r>
      <w:r>
        <w:rPr>
          <w:rFonts w:cstheme="minorHAnsi"/>
        </w:rPr>
        <w:t>,</w:t>
      </w:r>
      <w:r w:rsidR="00BC3DFD">
        <w:rPr>
          <w:rFonts w:cstheme="minorHAnsi"/>
        </w:rPr>
        <w:t>’</w:t>
      </w:r>
      <w:r>
        <w:rPr>
          <w:rFonts w:cstheme="minorHAnsi"/>
        </w:rPr>
        <w:t xml:space="preserve"> are these realities similar to those the Pythias connected to in their oracular divination practices as described by Plutarch.</w:t>
      </w:r>
      <w:r>
        <w:rPr>
          <w:rStyle w:val="FootnoteReference"/>
          <w:rFonts w:cstheme="minorHAnsi"/>
        </w:rPr>
        <w:footnoteReference w:id="53"/>
      </w:r>
      <w:r w:rsidR="00BC3DFD">
        <w:rPr>
          <w:rFonts w:cstheme="minorHAnsi"/>
        </w:rPr>
        <w:t xml:space="preserve"> </w:t>
      </w:r>
      <w:r>
        <w:rPr>
          <w:rFonts w:cstheme="minorHAnsi"/>
        </w:rPr>
        <w:t>If so, the knowing the respondents speak of has been present since antiquity</w:t>
      </w:r>
      <w:r w:rsidR="008B5A91">
        <w:rPr>
          <w:rFonts w:cstheme="minorHAnsi"/>
        </w:rPr>
        <w:t>, it is an inner knowing and a divine connection</w:t>
      </w:r>
      <w:r>
        <w:rPr>
          <w:rFonts w:cstheme="minorHAnsi"/>
        </w:rPr>
        <w:t xml:space="preserve">. </w:t>
      </w:r>
      <w:r w:rsidR="00CC0717">
        <w:rPr>
          <w:rFonts w:cstheme="minorHAnsi"/>
        </w:rPr>
        <w:t>Therefore, are the women’s groups more of a rememberin</w:t>
      </w:r>
      <w:r w:rsidR="008B5A91">
        <w:rPr>
          <w:rFonts w:cstheme="minorHAnsi"/>
        </w:rPr>
        <w:t>g and a</w:t>
      </w:r>
      <w:r w:rsidR="00CC0717">
        <w:rPr>
          <w:rFonts w:cstheme="minorHAnsi"/>
        </w:rPr>
        <w:t xml:space="preserve"> re-discovery of enchantment that has always been available</w:t>
      </w:r>
      <w:r w:rsidR="008B5A91">
        <w:rPr>
          <w:rFonts w:cstheme="minorHAnsi"/>
        </w:rPr>
        <w:t xml:space="preserve"> to us.</w:t>
      </w:r>
    </w:p>
    <w:p w14:paraId="62905364" w14:textId="77777777" w:rsidR="00EC5A1A" w:rsidRDefault="00EC5A1A" w:rsidP="00572244">
      <w:pPr>
        <w:spacing w:after="0" w:line="240" w:lineRule="auto"/>
        <w:rPr>
          <w:rFonts w:cstheme="minorHAnsi"/>
        </w:rPr>
      </w:pPr>
    </w:p>
    <w:p w14:paraId="4A6A3ADF" w14:textId="75120BF3" w:rsidR="00645643" w:rsidRPr="00645643" w:rsidRDefault="00BE6A6A" w:rsidP="00572244">
      <w:pPr>
        <w:spacing w:after="0" w:line="240" w:lineRule="auto"/>
        <w:rPr>
          <w:rFonts w:cstheme="minorHAnsi"/>
          <w:b/>
          <w:bCs/>
        </w:rPr>
      </w:pPr>
      <w:r>
        <w:rPr>
          <w:rFonts w:cstheme="minorHAnsi"/>
          <w:b/>
          <w:bCs/>
        </w:rPr>
        <w:t>Nature</w:t>
      </w:r>
      <w:r w:rsidR="006315EE">
        <w:rPr>
          <w:rFonts w:cstheme="minorHAnsi"/>
          <w:b/>
          <w:bCs/>
        </w:rPr>
        <w:t xml:space="preserve"> and Magic</w:t>
      </w:r>
    </w:p>
    <w:p w14:paraId="778D4F0A" w14:textId="77777777" w:rsidR="00645643" w:rsidRDefault="00645643" w:rsidP="00572244">
      <w:pPr>
        <w:spacing w:after="0" w:line="240" w:lineRule="auto"/>
        <w:rPr>
          <w:rFonts w:cstheme="minorHAnsi"/>
        </w:rPr>
      </w:pPr>
    </w:p>
    <w:p w14:paraId="0E268A61" w14:textId="27E0128E" w:rsidR="002110D4" w:rsidRPr="00BC3DFD" w:rsidRDefault="00BC3DFD" w:rsidP="00572244">
      <w:pPr>
        <w:spacing w:after="0" w:line="240" w:lineRule="auto"/>
        <w:rPr>
          <w:rFonts w:cstheme="minorHAnsi"/>
        </w:rPr>
      </w:pPr>
      <w:r>
        <w:rPr>
          <w:rFonts w:cstheme="minorHAnsi"/>
        </w:rPr>
        <w:t>One respondent completely changed her religion from being a ‘strict’ Catholic to a practicing Shaman</w:t>
      </w:r>
      <w:r w:rsidR="00F0281E">
        <w:rPr>
          <w:rFonts w:cstheme="minorHAnsi"/>
        </w:rPr>
        <w:t xml:space="preserve"> (Shamans</w:t>
      </w:r>
      <w:r w:rsidR="00CC0717">
        <w:rPr>
          <w:rFonts w:cstheme="minorHAnsi"/>
        </w:rPr>
        <w:t xml:space="preserve"> are known to</w:t>
      </w:r>
      <w:r w:rsidR="00F0281E">
        <w:rPr>
          <w:rFonts w:cstheme="minorHAnsi"/>
        </w:rPr>
        <w:t xml:space="preserve"> commune with nature spirits)</w:t>
      </w:r>
      <w:r>
        <w:rPr>
          <w:rFonts w:cstheme="minorHAnsi"/>
        </w:rPr>
        <w:t xml:space="preserve"> </w:t>
      </w:r>
      <w:r w:rsidR="00BC7103">
        <w:rPr>
          <w:rFonts w:cstheme="minorHAnsi"/>
        </w:rPr>
        <w:t xml:space="preserve">and another respondent also shared </w:t>
      </w:r>
      <w:r w:rsidR="00A64F98">
        <w:rPr>
          <w:rFonts w:cstheme="minorHAnsi"/>
        </w:rPr>
        <w:t>her experience of the</w:t>
      </w:r>
      <w:r w:rsidR="00BC7103">
        <w:rPr>
          <w:rFonts w:cstheme="minorHAnsi"/>
        </w:rPr>
        <w:t xml:space="preserve"> ‘magic </w:t>
      </w:r>
      <w:r w:rsidR="00A64F98">
        <w:rPr>
          <w:rFonts w:cstheme="minorHAnsi"/>
        </w:rPr>
        <w:t>unfolding</w:t>
      </w:r>
      <w:r w:rsidR="00BC7103">
        <w:rPr>
          <w:rFonts w:cstheme="minorHAnsi"/>
        </w:rPr>
        <w:t xml:space="preserve"> </w:t>
      </w:r>
      <w:r w:rsidR="00CC0717">
        <w:rPr>
          <w:rFonts w:cstheme="minorHAnsi"/>
        </w:rPr>
        <w:t>by</w:t>
      </w:r>
      <w:r w:rsidR="00BC7103">
        <w:rPr>
          <w:rFonts w:cstheme="minorHAnsi"/>
        </w:rPr>
        <w:t xml:space="preserve"> working with nature’</w:t>
      </w:r>
      <w:r w:rsidR="00EC5A1A">
        <w:rPr>
          <w:rFonts w:cstheme="minorHAnsi"/>
        </w:rPr>
        <w:t xml:space="preserve"> </w:t>
      </w:r>
      <w:r>
        <w:rPr>
          <w:rFonts w:cstheme="minorHAnsi"/>
        </w:rPr>
        <w:t>which relates to</w:t>
      </w:r>
      <w:r w:rsidR="00A64F98">
        <w:rPr>
          <w:rFonts w:cstheme="minorHAnsi"/>
        </w:rPr>
        <w:t xml:space="preserve"> Curry’s </w:t>
      </w:r>
      <w:r w:rsidR="00CC0717">
        <w:rPr>
          <w:rFonts w:cstheme="minorHAnsi"/>
        </w:rPr>
        <w:t>observation</w:t>
      </w:r>
      <w:r w:rsidR="00A64F98">
        <w:rPr>
          <w:rFonts w:cstheme="minorHAnsi"/>
        </w:rPr>
        <w:t xml:space="preserve"> ‘the juggernaut of modernist Magic has ever more strongly linked Enchantment and nature.’</w:t>
      </w:r>
      <w:r w:rsidR="00A64F98">
        <w:rPr>
          <w:rStyle w:val="FootnoteReference"/>
          <w:rFonts w:cstheme="minorHAnsi"/>
        </w:rPr>
        <w:footnoteReference w:id="54"/>
      </w:r>
      <w:r w:rsidR="00A64F98">
        <w:rPr>
          <w:rFonts w:cstheme="minorHAnsi"/>
        </w:rPr>
        <w:t xml:space="preserve"> </w:t>
      </w:r>
      <w:r w:rsidRPr="00BC3DFD">
        <w:rPr>
          <w:rFonts w:cstheme="minorHAnsi"/>
        </w:rPr>
        <w:t xml:space="preserve">Another respondent </w:t>
      </w:r>
      <w:r>
        <w:rPr>
          <w:rFonts w:cstheme="minorHAnsi"/>
        </w:rPr>
        <w:t>shared how she was ‘introduced to magic and mystery by these groups</w:t>
      </w:r>
      <w:r w:rsidR="00BC7103">
        <w:rPr>
          <w:rFonts w:cstheme="minorHAnsi"/>
        </w:rPr>
        <w:t xml:space="preserve">, </w:t>
      </w:r>
      <w:r w:rsidR="00A64F98">
        <w:rPr>
          <w:rFonts w:cstheme="minorHAnsi"/>
        </w:rPr>
        <w:t>‘</w:t>
      </w:r>
      <w:r w:rsidR="00BC7103">
        <w:rPr>
          <w:rFonts w:cstheme="minorHAnsi"/>
        </w:rPr>
        <w:t>I realised there was an invisible world I could connect to and also my guardian spirits.’ Another</w:t>
      </w:r>
      <w:r w:rsidR="008B5A91">
        <w:rPr>
          <w:rFonts w:cstheme="minorHAnsi"/>
        </w:rPr>
        <w:t>,</w:t>
      </w:r>
      <w:r w:rsidR="00BC7103">
        <w:rPr>
          <w:rFonts w:cstheme="minorHAnsi"/>
        </w:rPr>
        <w:t xml:space="preserve"> also expressed ‘magic’ and ‘wonderment of the world’ which </w:t>
      </w:r>
      <w:r w:rsidR="00A64F98">
        <w:rPr>
          <w:rFonts w:cstheme="minorHAnsi"/>
        </w:rPr>
        <w:t xml:space="preserve">fits into Curry’s definition of </w:t>
      </w:r>
      <w:r w:rsidR="00BC7103">
        <w:rPr>
          <w:rFonts w:cstheme="minorHAnsi"/>
        </w:rPr>
        <w:t>enchantment.</w:t>
      </w:r>
      <w:r w:rsidR="00A64F98">
        <w:rPr>
          <w:rStyle w:val="FootnoteReference"/>
          <w:rFonts w:cstheme="minorHAnsi"/>
        </w:rPr>
        <w:footnoteReference w:id="55"/>
      </w:r>
      <w:r w:rsidR="00A64F98">
        <w:rPr>
          <w:rFonts w:cstheme="minorHAnsi"/>
        </w:rPr>
        <w:t xml:space="preserve"> </w:t>
      </w:r>
      <w:r w:rsidR="00F0281E">
        <w:rPr>
          <w:rFonts w:cstheme="minorHAnsi"/>
        </w:rPr>
        <w:t>The interviews delved further into how they connected with nature by ‘new moon and full moon rituals’ and spoke of their connection as a ‘remembrance.’ Most of the respondents</w:t>
      </w:r>
      <w:r w:rsidR="00BE6A6A">
        <w:rPr>
          <w:rFonts w:cstheme="minorHAnsi"/>
        </w:rPr>
        <w:t xml:space="preserve"> to question 5,</w:t>
      </w:r>
      <w:r w:rsidR="00F0281E">
        <w:rPr>
          <w:rFonts w:cstheme="minorHAnsi"/>
        </w:rPr>
        <w:t xml:space="preserve"> spoke of connecting with ‘something’ outside of themselves, such as nature, fairies and guardian spirits</w:t>
      </w:r>
      <w:r w:rsidR="00BE6A6A">
        <w:rPr>
          <w:rFonts w:cstheme="minorHAnsi"/>
        </w:rPr>
        <w:t xml:space="preserve">, this fits into Clarissa </w:t>
      </w:r>
      <w:proofErr w:type="spellStart"/>
      <w:r w:rsidR="00BE6A6A">
        <w:rPr>
          <w:rFonts w:cstheme="minorHAnsi"/>
        </w:rPr>
        <w:t>Pinkola</w:t>
      </w:r>
      <w:proofErr w:type="spellEnd"/>
      <w:r w:rsidR="00BE6A6A">
        <w:rPr>
          <w:rFonts w:cstheme="minorHAnsi"/>
        </w:rPr>
        <w:t xml:space="preserve"> Estes’s stories of the wild woman archetype</w:t>
      </w:r>
      <w:r w:rsidR="008B5A91">
        <w:rPr>
          <w:rFonts w:cstheme="minorHAnsi"/>
        </w:rPr>
        <w:t>,</w:t>
      </w:r>
      <w:r w:rsidR="00BE6A6A">
        <w:rPr>
          <w:rStyle w:val="FootnoteReference"/>
          <w:rFonts w:cstheme="minorHAnsi"/>
        </w:rPr>
        <w:footnoteReference w:id="56"/>
      </w:r>
      <w:r w:rsidR="00BE6A6A">
        <w:rPr>
          <w:rFonts w:cstheme="minorHAnsi"/>
        </w:rPr>
        <w:t xml:space="preserve"> </w:t>
      </w:r>
      <w:r w:rsidR="008B5A91">
        <w:rPr>
          <w:rFonts w:cstheme="minorHAnsi"/>
        </w:rPr>
        <w:t>there’s a wild nature within us and outside of us. Although, Reader et al viewed spirits, myths and the magical being out there.</w:t>
      </w:r>
      <w:r w:rsidR="008B5A91">
        <w:rPr>
          <w:rStyle w:val="FootnoteReference"/>
          <w:rFonts w:cstheme="minorHAnsi"/>
        </w:rPr>
        <w:footnoteReference w:id="57"/>
      </w:r>
      <w:r w:rsidR="008B5A91">
        <w:rPr>
          <w:rFonts w:cstheme="minorHAnsi"/>
        </w:rPr>
        <w:t xml:space="preserve"> On the other hand,</w:t>
      </w:r>
      <w:r w:rsidR="00BE6A6A">
        <w:rPr>
          <w:rFonts w:cstheme="minorHAnsi"/>
        </w:rPr>
        <w:t xml:space="preserve"> Levy-</w:t>
      </w:r>
      <w:proofErr w:type="spellStart"/>
      <w:r w:rsidR="00BE6A6A">
        <w:rPr>
          <w:rFonts w:cstheme="minorHAnsi"/>
        </w:rPr>
        <w:t>Bruhl</w:t>
      </w:r>
      <w:r w:rsidR="008B5A91">
        <w:rPr>
          <w:rFonts w:cstheme="minorHAnsi"/>
        </w:rPr>
        <w:t>’s</w:t>
      </w:r>
      <w:proofErr w:type="spellEnd"/>
      <w:r w:rsidR="008B5A91">
        <w:rPr>
          <w:rFonts w:cstheme="minorHAnsi"/>
        </w:rPr>
        <w:t xml:space="preserve"> anthropological considerations show how</w:t>
      </w:r>
      <w:r w:rsidR="006315EE">
        <w:rPr>
          <w:rFonts w:cstheme="minorHAnsi"/>
        </w:rPr>
        <w:t xml:space="preserve"> native’s communed with all of life in a way that is not comprehendible to the modern west.</w:t>
      </w:r>
      <w:r w:rsidR="008B5A91">
        <w:rPr>
          <w:rFonts w:cstheme="minorHAnsi"/>
        </w:rPr>
        <w:t xml:space="preserve"> The natives saw beauty with all life and saw themselves as a part of nature not separate.</w:t>
      </w:r>
      <w:r w:rsidR="008B5A91" w:rsidRPr="008B5A91">
        <w:rPr>
          <w:rStyle w:val="FootnoteReference"/>
          <w:rFonts w:cstheme="minorHAnsi"/>
        </w:rPr>
        <w:t xml:space="preserve"> </w:t>
      </w:r>
      <w:r w:rsidR="008B5A91">
        <w:rPr>
          <w:rStyle w:val="FootnoteReference"/>
          <w:rFonts w:cstheme="minorHAnsi"/>
        </w:rPr>
        <w:footnoteReference w:id="58"/>
      </w:r>
      <w:r w:rsidR="008B5A91">
        <w:rPr>
          <w:rFonts w:cstheme="minorHAnsi"/>
        </w:rPr>
        <w:t xml:space="preserve"> </w:t>
      </w:r>
      <w:r w:rsidR="00B86B2B">
        <w:rPr>
          <w:rFonts w:cstheme="minorHAnsi"/>
        </w:rPr>
        <w:t>The responses and the academic literature endorse if you commune with nature, then the sense of magic, wonder and thus re-enchantment can be rediscovered.</w:t>
      </w:r>
    </w:p>
    <w:p w14:paraId="45DEFBB8" w14:textId="77777777" w:rsidR="00496D42" w:rsidRPr="006A208E" w:rsidRDefault="00496D42" w:rsidP="00572244">
      <w:pPr>
        <w:spacing w:after="0" w:line="240" w:lineRule="auto"/>
        <w:rPr>
          <w:rFonts w:cstheme="minorHAnsi"/>
        </w:rPr>
      </w:pPr>
    </w:p>
    <w:p w14:paraId="41C3529D" w14:textId="530F0C3B" w:rsidR="006315EE" w:rsidRDefault="006315EE" w:rsidP="00572244">
      <w:pPr>
        <w:spacing w:after="0" w:line="240" w:lineRule="auto"/>
        <w:rPr>
          <w:rFonts w:cstheme="minorHAnsi"/>
          <w:b/>
          <w:bCs/>
        </w:rPr>
      </w:pPr>
      <w:r w:rsidRPr="006315EE">
        <w:rPr>
          <w:rFonts w:cstheme="minorHAnsi"/>
          <w:b/>
          <w:bCs/>
        </w:rPr>
        <w:t>Rationality</w:t>
      </w:r>
      <w:r>
        <w:rPr>
          <w:rFonts w:cstheme="minorHAnsi"/>
          <w:b/>
          <w:bCs/>
        </w:rPr>
        <w:t xml:space="preserve"> and Magic</w:t>
      </w:r>
    </w:p>
    <w:p w14:paraId="03550855" w14:textId="77777777" w:rsidR="00F13E3B" w:rsidRPr="006315EE" w:rsidRDefault="00F13E3B" w:rsidP="00572244">
      <w:pPr>
        <w:spacing w:after="0" w:line="240" w:lineRule="auto"/>
        <w:rPr>
          <w:rFonts w:cstheme="minorHAnsi"/>
          <w:b/>
          <w:bCs/>
        </w:rPr>
      </w:pPr>
    </w:p>
    <w:p w14:paraId="1640AB3B" w14:textId="0CC92A3B" w:rsidR="007547D2" w:rsidRDefault="00790292" w:rsidP="00572244">
      <w:pPr>
        <w:spacing w:after="0" w:line="240" w:lineRule="auto"/>
        <w:rPr>
          <w:rFonts w:cstheme="minorHAnsi"/>
        </w:rPr>
      </w:pPr>
      <w:r>
        <w:rPr>
          <w:rFonts w:cstheme="minorHAnsi"/>
        </w:rPr>
        <w:t>Alternatively, question 6 asked if being</w:t>
      </w:r>
      <w:r w:rsidR="0029564D">
        <w:rPr>
          <w:rFonts w:cstheme="minorHAnsi"/>
        </w:rPr>
        <w:t xml:space="preserve"> in</w:t>
      </w:r>
      <w:r>
        <w:rPr>
          <w:rFonts w:cstheme="minorHAnsi"/>
        </w:rPr>
        <w:t xml:space="preserve"> the group changed any of your beliefs on rationality and logic</w:t>
      </w:r>
      <w:r w:rsidR="00785B6F">
        <w:rPr>
          <w:rFonts w:cstheme="minorHAnsi"/>
        </w:rPr>
        <w:t>, which were the words used to represent disenchantment</w:t>
      </w:r>
      <w:r>
        <w:rPr>
          <w:rFonts w:cstheme="minorHAnsi"/>
        </w:rPr>
        <w:t xml:space="preserve">. Interestingly, the split was equal between yes, no and other comments. </w:t>
      </w:r>
      <w:r w:rsidR="0029564D">
        <w:rPr>
          <w:rFonts w:cstheme="minorHAnsi"/>
        </w:rPr>
        <w:t xml:space="preserve">Those who were neither yes or no commented that they saw a ‘flow with logic and rationality’ and one respondent </w:t>
      </w:r>
      <w:r w:rsidR="00E373B2">
        <w:rPr>
          <w:rFonts w:cstheme="minorHAnsi"/>
        </w:rPr>
        <w:t>said,</w:t>
      </w:r>
      <w:r w:rsidR="0029564D">
        <w:rPr>
          <w:rFonts w:cstheme="minorHAnsi"/>
        </w:rPr>
        <w:t xml:space="preserve"> ‘as both a scientist and a shaman, I see it all woven together.’</w:t>
      </w:r>
      <w:r w:rsidR="00816E4F">
        <w:rPr>
          <w:rFonts w:cstheme="minorHAnsi"/>
        </w:rPr>
        <w:t xml:space="preserve"> Similarly, a respondent emphasised ‘we need the illogical and the logical, we </w:t>
      </w:r>
      <w:r w:rsidR="00816E4F">
        <w:rPr>
          <w:rFonts w:cstheme="minorHAnsi"/>
        </w:rPr>
        <w:lastRenderedPageBreak/>
        <w:t>need the rational and irrational there’s a dance and a play that makes it all weave together.’</w:t>
      </w:r>
      <w:r w:rsidR="0029564D">
        <w:rPr>
          <w:rFonts w:cstheme="minorHAnsi"/>
        </w:rPr>
        <w:t xml:space="preserve"> Respondents who said no</w:t>
      </w:r>
      <w:r w:rsidR="006315EE">
        <w:rPr>
          <w:rFonts w:cstheme="minorHAnsi"/>
        </w:rPr>
        <w:t>,</w:t>
      </w:r>
      <w:r w:rsidR="0029564D">
        <w:rPr>
          <w:rFonts w:cstheme="minorHAnsi"/>
        </w:rPr>
        <w:t xml:space="preserve"> did not give any explanation other then ‘not really’ or ‘not specifically’ making it difficult to ascertain their reasoning. On the other hand, those that replied with a yes gave details in their answers; one respondent </w:t>
      </w:r>
      <w:r w:rsidR="00816E4F">
        <w:rPr>
          <w:rFonts w:cstheme="minorHAnsi"/>
        </w:rPr>
        <w:t>shared that ‘logic can’t explain emotions</w:t>
      </w:r>
      <w:r w:rsidR="00E373B2">
        <w:rPr>
          <w:rFonts w:cstheme="minorHAnsi"/>
        </w:rPr>
        <w:t>,</w:t>
      </w:r>
      <w:r w:rsidR="00816E4F">
        <w:rPr>
          <w:rFonts w:cstheme="minorHAnsi"/>
        </w:rPr>
        <w:t xml:space="preserve"> thus there has to be something more out in the world/universe.</w:t>
      </w:r>
      <w:r w:rsidR="00E373B2">
        <w:rPr>
          <w:rFonts w:cstheme="minorHAnsi"/>
        </w:rPr>
        <w:t xml:space="preserve"> Interviewee 2 went from not liking rationality to seeing ‘both as important as each other, we need logic and magic and when you have both great things can happen.’ She went further on to explain that ‘you need earth element too, as you can’t just have one, a lot of spiritual people live in the magical world but how can we make change here on earth without practicality.’ Interviewee 2’s explanation of the importance of amalgamating </w:t>
      </w:r>
      <w:r w:rsidR="008D6BAC">
        <w:rPr>
          <w:rFonts w:cstheme="minorHAnsi"/>
        </w:rPr>
        <w:t>rationality with magic fits in wit</w:t>
      </w:r>
      <w:r w:rsidR="006315EE">
        <w:rPr>
          <w:rFonts w:cstheme="minorHAnsi"/>
        </w:rPr>
        <w:t>h Plutarch</w:t>
      </w:r>
      <w:r w:rsidR="00F13E3B">
        <w:rPr>
          <w:rFonts w:cstheme="minorHAnsi"/>
        </w:rPr>
        <w:t>, who was against rationality making ‘prophetic art godless or irrational.’</w:t>
      </w:r>
      <w:r w:rsidR="00F13E3B">
        <w:rPr>
          <w:rStyle w:val="FootnoteReference"/>
          <w:rFonts w:cstheme="minorHAnsi"/>
        </w:rPr>
        <w:footnoteReference w:id="59"/>
      </w:r>
      <w:r w:rsidR="00F13E3B">
        <w:rPr>
          <w:rFonts w:cstheme="minorHAnsi"/>
        </w:rPr>
        <w:t xml:space="preserve"> Similarly, Roney-Dougal put forth arguments in her book </w:t>
      </w:r>
      <w:r w:rsidR="00F13E3B">
        <w:rPr>
          <w:rFonts w:cstheme="minorHAnsi"/>
          <w:i/>
          <w:iCs/>
        </w:rPr>
        <w:t>Where Science and Magic Meet.</w:t>
      </w:r>
      <w:r w:rsidR="00F13E3B">
        <w:rPr>
          <w:rStyle w:val="FootnoteReference"/>
          <w:rFonts w:cstheme="minorHAnsi"/>
          <w:i/>
          <w:iCs/>
        </w:rPr>
        <w:footnoteReference w:id="60"/>
      </w:r>
      <w:r w:rsidR="00F13E3B">
        <w:rPr>
          <w:rFonts w:cstheme="minorHAnsi"/>
        </w:rPr>
        <w:t xml:space="preserve"> </w:t>
      </w:r>
    </w:p>
    <w:p w14:paraId="4880636B" w14:textId="0072D824" w:rsidR="00F13E3B" w:rsidRDefault="00F13E3B" w:rsidP="00572244">
      <w:pPr>
        <w:spacing w:after="0" w:line="240" w:lineRule="auto"/>
        <w:rPr>
          <w:rFonts w:cstheme="minorHAnsi"/>
        </w:rPr>
      </w:pPr>
    </w:p>
    <w:p w14:paraId="65EE0DDD" w14:textId="46106334" w:rsidR="0016358B" w:rsidRDefault="00F13E3B" w:rsidP="00572244">
      <w:pPr>
        <w:spacing w:after="0" w:line="240" w:lineRule="auto"/>
        <w:rPr>
          <w:rFonts w:cstheme="minorHAnsi"/>
        </w:rPr>
      </w:pPr>
      <w:r>
        <w:rPr>
          <w:rFonts w:cstheme="minorHAnsi"/>
        </w:rPr>
        <w:t xml:space="preserve">Supporting the concept of the </w:t>
      </w:r>
      <w:r w:rsidR="006635F6">
        <w:rPr>
          <w:rFonts w:cstheme="minorHAnsi"/>
        </w:rPr>
        <w:t>intermingling</w:t>
      </w:r>
      <w:r>
        <w:rPr>
          <w:rFonts w:cstheme="minorHAnsi"/>
        </w:rPr>
        <w:t xml:space="preserve"> of rationality and magic is question 9, which asked if any of the rituals, activities or experiences take away the feeling of enchantment</w:t>
      </w:r>
      <w:r w:rsidR="00415927">
        <w:rPr>
          <w:rFonts w:cstheme="minorHAnsi"/>
        </w:rPr>
        <w:t xml:space="preserve"> by not enjoying </w:t>
      </w:r>
      <w:r w:rsidR="00A9787A">
        <w:rPr>
          <w:rFonts w:cstheme="minorHAnsi"/>
        </w:rPr>
        <w:t xml:space="preserve">any of them. </w:t>
      </w:r>
      <w:r>
        <w:rPr>
          <w:rFonts w:cstheme="minorHAnsi"/>
        </w:rPr>
        <w:t>8 of the respondents said no, hence they enjoyed the rituals, activities and experiences. One was not specific and 7 said yes and explained if the activities went into the ‘self-help realm’ or ‘skims over</w:t>
      </w:r>
      <w:r w:rsidR="00785B6F">
        <w:rPr>
          <w:rFonts w:cstheme="minorHAnsi"/>
        </w:rPr>
        <w:t xml:space="preserve"> the</w:t>
      </w:r>
      <w:r>
        <w:rPr>
          <w:rFonts w:cstheme="minorHAnsi"/>
        </w:rPr>
        <w:t xml:space="preserve"> surface’ </w:t>
      </w:r>
      <w:r w:rsidR="006635F6">
        <w:rPr>
          <w:rFonts w:cstheme="minorHAnsi"/>
        </w:rPr>
        <w:t>and is</w:t>
      </w:r>
      <w:r w:rsidR="00785B6F">
        <w:rPr>
          <w:rFonts w:cstheme="minorHAnsi"/>
        </w:rPr>
        <w:t xml:space="preserve"> either</w:t>
      </w:r>
      <w:r>
        <w:rPr>
          <w:rFonts w:cstheme="minorHAnsi"/>
        </w:rPr>
        <w:t xml:space="preserve"> ‘limiting or restricting</w:t>
      </w:r>
      <w:r w:rsidR="00785B6F">
        <w:rPr>
          <w:rFonts w:cstheme="minorHAnsi"/>
        </w:rPr>
        <w:t>,</w:t>
      </w:r>
      <w:r>
        <w:rPr>
          <w:rFonts w:cstheme="minorHAnsi"/>
        </w:rPr>
        <w:t xml:space="preserve">’ </w:t>
      </w:r>
      <w:r w:rsidR="00785B6F">
        <w:rPr>
          <w:rFonts w:cstheme="minorHAnsi"/>
        </w:rPr>
        <w:t>which</w:t>
      </w:r>
      <w:r>
        <w:rPr>
          <w:rFonts w:cstheme="minorHAnsi"/>
        </w:rPr>
        <w:t xml:space="preserve"> resulted in the</w:t>
      </w:r>
      <w:r w:rsidR="006635F6">
        <w:rPr>
          <w:rFonts w:cstheme="minorHAnsi"/>
        </w:rPr>
        <w:t xml:space="preserve"> respondents</w:t>
      </w:r>
      <w:r>
        <w:rPr>
          <w:rFonts w:cstheme="minorHAnsi"/>
        </w:rPr>
        <w:t xml:space="preserve"> not enjoying the activities. Another respondent mentioned not enjoying ‘ego based and debate style’ activities, which was </w:t>
      </w:r>
      <w:r w:rsidR="006635F6">
        <w:rPr>
          <w:rFonts w:cstheme="minorHAnsi"/>
        </w:rPr>
        <w:t>similar to</w:t>
      </w:r>
      <w:r>
        <w:rPr>
          <w:rFonts w:cstheme="minorHAnsi"/>
        </w:rPr>
        <w:t xml:space="preserve"> one of the Interviewees who disliked ‘regimented talking,’ by these responses it appears groups based on </w:t>
      </w:r>
      <w:r w:rsidR="006635F6">
        <w:rPr>
          <w:rFonts w:cstheme="minorHAnsi"/>
        </w:rPr>
        <w:t xml:space="preserve">rational and logical </w:t>
      </w:r>
      <w:r w:rsidR="00785B6F">
        <w:rPr>
          <w:rFonts w:cstheme="minorHAnsi"/>
        </w:rPr>
        <w:t xml:space="preserve">verbal </w:t>
      </w:r>
      <w:r w:rsidR="006635F6">
        <w:rPr>
          <w:rFonts w:cstheme="minorHAnsi"/>
        </w:rPr>
        <w:t>reasoning</w:t>
      </w:r>
      <w:r>
        <w:rPr>
          <w:rFonts w:cstheme="minorHAnsi"/>
        </w:rPr>
        <w:t xml:space="preserve"> took away a sense of enjoyment and wonder</w:t>
      </w:r>
      <w:r w:rsidR="006635F6">
        <w:rPr>
          <w:rFonts w:cstheme="minorHAnsi"/>
        </w:rPr>
        <w:t>. Therefore, it is important to note that not all women’s groups induce a sense of enchantment</w:t>
      </w:r>
      <w:r w:rsidR="00785B6F">
        <w:rPr>
          <w:rFonts w:cstheme="minorHAnsi"/>
        </w:rPr>
        <w:t>, supporting Weber in that logical reasoning</w:t>
      </w:r>
      <w:r w:rsidR="00A9787A">
        <w:rPr>
          <w:rFonts w:cstheme="minorHAnsi"/>
        </w:rPr>
        <w:t xml:space="preserve"> or intellectualising </w:t>
      </w:r>
      <w:r w:rsidR="00785B6F">
        <w:rPr>
          <w:rFonts w:cstheme="minorHAnsi"/>
        </w:rPr>
        <w:t>can cause disenchantment.</w:t>
      </w:r>
    </w:p>
    <w:p w14:paraId="764D45D5" w14:textId="77777777" w:rsidR="006635F6" w:rsidRDefault="006635F6" w:rsidP="00572244">
      <w:pPr>
        <w:spacing w:after="0" w:line="240" w:lineRule="auto"/>
        <w:rPr>
          <w:rFonts w:cstheme="minorHAnsi"/>
        </w:rPr>
      </w:pPr>
    </w:p>
    <w:p w14:paraId="7CAD45B7" w14:textId="77777777" w:rsidR="00645643" w:rsidRPr="00645643" w:rsidRDefault="00645643" w:rsidP="00572244">
      <w:pPr>
        <w:spacing w:after="0" w:line="240" w:lineRule="auto"/>
        <w:rPr>
          <w:rFonts w:cstheme="minorHAnsi"/>
          <w:b/>
          <w:bCs/>
        </w:rPr>
      </w:pPr>
      <w:r w:rsidRPr="00645643">
        <w:rPr>
          <w:rFonts w:cstheme="minorHAnsi"/>
          <w:b/>
          <w:bCs/>
        </w:rPr>
        <w:t>Connection and Disconnection</w:t>
      </w:r>
    </w:p>
    <w:p w14:paraId="44840CC4" w14:textId="77777777" w:rsidR="00645643" w:rsidRDefault="00645643" w:rsidP="00572244">
      <w:pPr>
        <w:spacing w:after="0" w:line="240" w:lineRule="auto"/>
        <w:rPr>
          <w:rFonts w:cstheme="minorHAnsi"/>
        </w:rPr>
      </w:pPr>
    </w:p>
    <w:p w14:paraId="1AC00887" w14:textId="1D14A0FE" w:rsidR="00E8653D" w:rsidRDefault="00E8653D" w:rsidP="00572244">
      <w:pPr>
        <w:spacing w:after="0" w:line="240" w:lineRule="auto"/>
        <w:rPr>
          <w:rFonts w:cstheme="minorHAnsi"/>
        </w:rPr>
      </w:pPr>
      <w:r>
        <w:rPr>
          <w:rFonts w:cstheme="minorHAnsi"/>
        </w:rPr>
        <w:t>Questions 10 and 11 asked whether the groups enhanced connection with life or disconnected you to life. Out of the 18 responses only 1 person said no and all of the other respon</w:t>
      </w:r>
      <w:r w:rsidR="00785B6F">
        <w:rPr>
          <w:rFonts w:cstheme="minorHAnsi"/>
        </w:rPr>
        <w:t>dents</w:t>
      </w:r>
      <w:r>
        <w:rPr>
          <w:rFonts w:cstheme="minorHAnsi"/>
        </w:rPr>
        <w:t xml:space="preserve"> felt the groups enhanced their connection with life</w:t>
      </w:r>
      <w:r w:rsidR="00CC0961">
        <w:rPr>
          <w:rFonts w:cstheme="minorHAnsi"/>
        </w:rPr>
        <w:t>,</w:t>
      </w:r>
      <w:r>
        <w:rPr>
          <w:rFonts w:cstheme="minorHAnsi"/>
        </w:rPr>
        <w:t xml:space="preserve"> as ‘the inner work changes the outer world’ having a ‘better awareness of my connection to all </w:t>
      </w:r>
      <w:r w:rsidR="00CC0961">
        <w:rPr>
          <w:rFonts w:cstheme="minorHAnsi"/>
        </w:rPr>
        <w:t xml:space="preserve">of </w:t>
      </w:r>
      <w:r>
        <w:rPr>
          <w:rFonts w:cstheme="minorHAnsi"/>
        </w:rPr>
        <w:t>life</w:t>
      </w:r>
      <w:r w:rsidR="00CC0961">
        <w:rPr>
          <w:rFonts w:cstheme="minorHAnsi"/>
        </w:rPr>
        <w:t>.</w:t>
      </w:r>
      <w:r>
        <w:rPr>
          <w:rFonts w:cstheme="minorHAnsi"/>
        </w:rPr>
        <w:t xml:space="preserve">’ </w:t>
      </w:r>
      <w:r w:rsidR="00CC0961">
        <w:rPr>
          <w:rFonts w:cstheme="minorHAnsi"/>
        </w:rPr>
        <w:t>Another saw</w:t>
      </w:r>
      <w:r>
        <w:rPr>
          <w:rFonts w:cstheme="minorHAnsi"/>
        </w:rPr>
        <w:t xml:space="preserve"> </w:t>
      </w:r>
      <w:r w:rsidR="00CC0961">
        <w:rPr>
          <w:rFonts w:cstheme="minorHAnsi"/>
        </w:rPr>
        <w:t>‘</w:t>
      </w:r>
      <w:r>
        <w:rPr>
          <w:rFonts w:cstheme="minorHAnsi"/>
        </w:rPr>
        <w:t xml:space="preserve">art, love, and positivity everywhere’ </w:t>
      </w:r>
      <w:r w:rsidR="00CC0961">
        <w:rPr>
          <w:rFonts w:cstheme="minorHAnsi"/>
        </w:rPr>
        <w:t>and there was an increased</w:t>
      </w:r>
      <w:r>
        <w:rPr>
          <w:rFonts w:cstheme="minorHAnsi"/>
        </w:rPr>
        <w:t xml:space="preserve"> ‘sense of sisterhood’ also having ‘a greater awareness of the seen and unseen worlds around (and in) me.’ The only respondent that felt disconnected</w:t>
      </w:r>
      <w:r w:rsidR="00087D27">
        <w:rPr>
          <w:rFonts w:cstheme="minorHAnsi"/>
        </w:rPr>
        <w:t xml:space="preserve"> expressed</w:t>
      </w:r>
      <w:r w:rsidR="007F5368">
        <w:rPr>
          <w:rFonts w:cstheme="minorHAnsi"/>
        </w:rPr>
        <w:t xml:space="preserve"> ‘sometimes I feel disconnected to people and mundane routines like work and shopping and even family life.’ </w:t>
      </w:r>
      <w:r w:rsidR="00087D27">
        <w:rPr>
          <w:rFonts w:cstheme="minorHAnsi"/>
        </w:rPr>
        <w:t xml:space="preserve">Similarly, Interviewee 1 felt ‘disconnected to meeting other people.’ Although, Interviewee 2 felt the groups ‘sometimes can trigger the shadow side and want to disconnect on the stuff we don’t want to face.’ Once again, these responses are steering towards Curry’s idea of enchantment </w:t>
      </w:r>
      <w:r w:rsidR="00F63B21">
        <w:rPr>
          <w:rFonts w:cstheme="minorHAnsi"/>
        </w:rPr>
        <w:t>being transitionary,</w:t>
      </w:r>
      <w:r w:rsidR="00F63B21">
        <w:rPr>
          <w:rStyle w:val="FootnoteReference"/>
          <w:rFonts w:cstheme="minorHAnsi"/>
        </w:rPr>
        <w:footnoteReference w:id="61"/>
      </w:r>
      <w:r w:rsidR="00F63B21">
        <w:rPr>
          <w:rFonts w:cstheme="minorHAnsi"/>
        </w:rPr>
        <w:t xml:space="preserve"> does this mean wonder and magic can sometimes take you away from </w:t>
      </w:r>
      <w:r w:rsidR="00CC0961">
        <w:rPr>
          <w:rFonts w:cstheme="minorHAnsi"/>
        </w:rPr>
        <w:t xml:space="preserve">physical </w:t>
      </w:r>
      <w:r w:rsidR="00F63B21">
        <w:rPr>
          <w:rFonts w:cstheme="minorHAnsi"/>
        </w:rPr>
        <w:t xml:space="preserve">reality </w:t>
      </w:r>
      <w:r w:rsidR="00CC0961">
        <w:rPr>
          <w:rFonts w:cstheme="minorHAnsi"/>
        </w:rPr>
        <w:t>and</w:t>
      </w:r>
      <w:r w:rsidR="00F63B21">
        <w:rPr>
          <w:rFonts w:cstheme="minorHAnsi"/>
        </w:rPr>
        <w:t xml:space="preserve"> the</w:t>
      </w:r>
      <w:r w:rsidR="00CC0961">
        <w:rPr>
          <w:rFonts w:cstheme="minorHAnsi"/>
        </w:rPr>
        <w:t xml:space="preserve"> real</w:t>
      </w:r>
      <w:r w:rsidR="00F63B21">
        <w:rPr>
          <w:rFonts w:cstheme="minorHAnsi"/>
        </w:rPr>
        <w:t xml:space="preserve"> world?</w:t>
      </w:r>
      <w:r w:rsidR="006635F6">
        <w:rPr>
          <w:rFonts w:cstheme="minorHAnsi"/>
        </w:rPr>
        <w:t xml:space="preserve"> Therefore, is rationality and logic just as important to function, is it disenchantment</w:t>
      </w:r>
      <w:r w:rsidR="00CC0961">
        <w:rPr>
          <w:rFonts w:cstheme="minorHAnsi"/>
        </w:rPr>
        <w:t xml:space="preserve">? </w:t>
      </w:r>
      <w:r w:rsidR="006635F6">
        <w:rPr>
          <w:rFonts w:cstheme="minorHAnsi"/>
        </w:rPr>
        <w:t>Curry noted the importance to ‘help the wonder of the world to become real. Then we become real in turn.’</w:t>
      </w:r>
      <w:r w:rsidR="006635F6">
        <w:rPr>
          <w:rStyle w:val="FootnoteReference"/>
          <w:rFonts w:cstheme="minorHAnsi"/>
        </w:rPr>
        <w:footnoteReference w:id="62"/>
      </w:r>
      <w:r w:rsidR="00850FA2">
        <w:rPr>
          <w:rFonts w:cstheme="minorHAnsi"/>
        </w:rPr>
        <w:t xml:space="preserve"> Alluding to the notion that enchantment is an embodiment of all things magical and rational</w:t>
      </w:r>
      <w:r w:rsidR="00CC0961">
        <w:rPr>
          <w:rFonts w:cstheme="minorHAnsi"/>
        </w:rPr>
        <w:t>, physical and non-physical.</w:t>
      </w:r>
    </w:p>
    <w:p w14:paraId="33C112E1" w14:textId="10FE15A9" w:rsidR="007F5368" w:rsidRDefault="007F5368" w:rsidP="00572244">
      <w:pPr>
        <w:spacing w:after="0" w:line="240" w:lineRule="auto"/>
        <w:rPr>
          <w:rFonts w:cstheme="minorHAnsi"/>
        </w:rPr>
      </w:pPr>
    </w:p>
    <w:p w14:paraId="2C39AB83" w14:textId="03280606" w:rsidR="00F63B21" w:rsidRDefault="00822944" w:rsidP="00572244">
      <w:pPr>
        <w:spacing w:after="0" w:line="240" w:lineRule="auto"/>
        <w:rPr>
          <w:rFonts w:cstheme="minorHAnsi"/>
        </w:rPr>
      </w:pPr>
      <w:r>
        <w:rPr>
          <w:rFonts w:cstheme="minorHAnsi"/>
        </w:rPr>
        <w:t>The last question was left open for respondents to share anything else about their experiences regarding online sacred women’s groups. In this section most expressed how important online groups have been through the covid</w:t>
      </w:r>
      <w:r w:rsidR="00CC0961">
        <w:rPr>
          <w:rFonts w:cstheme="minorHAnsi"/>
        </w:rPr>
        <w:t>-</w:t>
      </w:r>
      <w:r>
        <w:rPr>
          <w:rFonts w:cstheme="minorHAnsi"/>
        </w:rPr>
        <w:t xml:space="preserve">19 pandemic. One respondent mentioned that ‘women’s </w:t>
      </w:r>
      <w:r>
        <w:rPr>
          <w:rFonts w:cstheme="minorHAnsi"/>
        </w:rPr>
        <w:lastRenderedPageBreak/>
        <w:t>spirituality network is strengthened in an unexpected way during the pandemic by connecting through zoom.’</w:t>
      </w:r>
      <w:r w:rsidR="00A9787A">
        <w:rPr>
          <w:rFonts w:cstheme="minorHAnsi"/>
        </w:rPr>
        <w:t xml:space="preserve"> A</w:t>
      </w:r>
      <w:r w:rsidR="00297ED9">
        <w:rPr>
          <w:rFonts w:cstheme="minorHAnsi"/>
        </w:rPr>
        <w:t>nother said it was keeping her ‘sane through the pandemic times’ at the same time a respondent said she values online groups but values ‘in person connection, events and retreats more.’</w:t>
      </w:r>
      <w:r w:rsidR="00F63B21">
        <w:rPr>
          <w:rFonts w:cstheme="minorHAnsi"/>
        </w:rPr>
        <w:t xml:space="preserve"> Interviewee 1 felt the groups ‘bought a richer tapestry to life’ and Interviewee 2 believed the groups have ‘enriched my life</w:t>
      </w:r>
      <w:r w:rsidR="00A9787A">
        <w:rPr>
          <w:rFonts w:cstheme="minorHAnsi"/>
        </w:rPr>
        <w:t>.</w:t>
      </w:r>
      <w:r w:rsidR="00F63B21">
        <w:rPr>
          <w:rFonts w:cstheme="minorHAnsi"/>
        </w:rPr>
        <w:t>’ Most of the comments were positive and the women experienced an increase in wonder, magic, mystery and</w:t>
      </w:r>
      <w:r w:rsidR="00CC0961">
        <w:rPr>
          <w:rFonts w:cstheme="minorHAnsi"/>
        </w:rPr>
        <w:t xml:space="preserve"> as a result,</w:t>
      </w:r>
      <w:r w:rsidR="00F63B21">
        <w:rPr>
          <w:rFonts w:cstheme="minorHAnsi"/>
        </w:rPr>
        <w:t xml:space="preserve"> enchantment. </w:t>
      </w:r>
      <w:r w:rsidR="003B78E5">
        <w:rPr>
          <w:rFonts w:cstheme="minorHAnsi"/>
        </w:rPr>
        <w:t xml:space="preserve">Therefore, during the pandemic technology has helped </w:t>
      </w:r>
      <w:r w:rsidR="00A9787A">
        <w:rPr>
          <w:rFonts w:cstheme="minorHAnsi"/>
        </w:rPr>
        <w:t>connecting</w:t>
      </w:r>
      <w:r w:rsidR="003B78E5">
        <w:rPr>
          <w:rFonts w:cstheme="minorHAnsi"/>
        </w:rPr>
        <w:t xml:space="preserve"> women</w:t>
      </w:r>
      <w:r w:rsidR="00A9787A">
        <w:rPr>
          <w:rFonts w:cstheme="minorHAnsi"/>
        </w:rPr>
        <w:t xml:space="preserve"> by</w:t>
      </w:r>
      <w:r w:rsidR="003B78E5">
        <w:rPr>
          <w:rFonts w:cstheme="minorHAnsi"/>
        </w:rPr>
        <w:t xml:space="preserve"> using online platforms, showing the importance of experiencing enchantment</w:t>
      </w:r>
      <w:r w:rsidR="00CC0961">
        <w:rPr>
          <w:rFonts w:cstheme="minorHAnsi"/>
        </w:rPr>
        <w:t xml:space="preserve"> through technology.</w:t>
      </w:r>
    </w:p>
    <w:p w14:paraId="35865B9B" w14:textId="77777777" w:rsidR="003B78E5" w:rsidRPr="00C15557" w:rsidRDefault="003B78E5" w:rsidP="00572244">
      <w:pPr>
        <w:spacing w:after="0" w:line="240" w:lineRule="auto"/>
        <w:rPr>
          <w:rFonts w:cstheme="minorHAnsi"/>
        </w:rPr>
      </w:pPr>
    </w:p>
    <w:bookmarkEnd w:id="31"/>
    <w:p w14:paraId="4317EEE4" w14:textId="6D5A4DB8" w:rsidR="000F6F95" w:rsidRDefault="000F6F95" w:rsidP="00572244">
      <w:pPr>
        <w:spacing w:after="0" w:line="240" w:lineRule="auto"/>
        <w:rPr>
          <w:rFonts w:cstheme="minorHAnsi"/>
          <w:b/>
          <w:bCs/>
        </w:rPr>
      </w:pPr>
      <w:r w:rsidRPr="009D22AD">
        <w:rPr>
          <w:rFonts w:cstheme="minorHAnsi"/>
          <w:b/>
          <w:bCs/>
        </w:rPr>
        <w:t xml:space="preserve">Conclusion </w:t>
      </w:r>
    </w:p>
    <w:bookmarkEnd w:id="1"/>
    <w:p w14:paraId="06FEA56A" w14:textId="721C8BED" w:rsidR="007623A7" w:rsidRDefault="007623A7" w:rsidP="007623A7">
      <w:pPr>
        <w:spacing w:after="0" w:line="240" w:lineRule="auto"/>
        <w:rPr>
          <w:rFonts w:cstheme="minorHAnsi"/>
        </w:rPr>
      </w:pPr>
    </w:p>
    <w:p w14:paraId="1D746B55" w14:textId="5AAC83F2" w:rsidR="007623A7" w:rsidRPr="006003C2" w:rsidRDefault="00986909" w:rsidP="007623A7">
      <w:pPr>
        <w:spacing w:after="0" w:line="240" w:lineRule="auto"/>
        <w:rPr>
          <w:rFonts w:cstheme="minorHAnsi"/>
        </w:rPr>
      </w:pPr>
      <w:r>
        <w:rPr>
          <w:rFonts w:cstheme="minorHAnsi"/>
        </w:rPr>
        <w:t>In conclusion</w:t>
      </w:r>
      <w:r w:rsidR="007623A7">
        <w:rPr>
          <w:rFonts w:cstheme="minorHAnsi"/>
        </w:rPr>
        <w:t xml:space="preserve">, </w:t>
      </w:r>
      <w:r>
        <w:rPr>
          <w:rFonts w:cstheme="minorHAnsi"/>
        </w:rPr>
        <w:t xml:space="preserve">the </w:t>
      </w:r>
      <w:r>
        <w:rPr>
          <w:rFonts w:cstheme="minorHAnsi"/>
        </w:rPr>
        <w:t>online women’s groups appeared to</w:t>
      </w:r>
      <w:r>
        <w:rPr>
          <w:rFonts w:cstheme="minorHAnsi"/>
        </w:rPr>
        <w:t xml:space="preserve"> have</w:t>
      </w:r>
      <w:r>
        <w:rPr>
          <w:rFonts w:cstheme="minorHAnsi"/>
        </w:rPr>
        <w:t xml:space="preserve"> increase</w:t>
      </w:r>
      <w:r>
        <w:rPr>
          <w:rFonts w:cstheme="minorHAnsi"/>
        </w:rPr>
        <w:t>d</w:t>
      </w:r>
      <w:r>
        <w:rPr>
          <w:rFonts w:cstheme="minorHAnsi"/>
        </w:rPr>
        <w:t xml:space="preserve"> a sense of wonder and magic, especially the belonging felt within </w:t>
      </w:r>
      <w:r w:rsidR="00A9787A">
        <w:rPr>
          <w:rFonts w:cstheme="minorHAnsi"/>
        </w:rPr>
        <w:t>sis</w:t>
      </w:r>
      <w:r>
        <w:rPr>
          <w:rFonts w:cstheme="minorHAnsi"/>
        </w:rPr>
        <w:t>terhood</w:t>
      </w:r>
      <w:r w:rsidR="00A9787A">
        <w:rPr>
          <w:rFonts w:cstheme="minorHAnsi"/>
        </w:rPr>
        <w:t>s</w:t>
      </w:r>
      <w:r>
        <w:rPr>
          <w:rFonts w:cstheme="minorHAnsi"/>
        </w:rPr>
        <w:t>. The concept of sisterhood</w:t>
      </w:r>
      <w:r w:rsidR="004A5524">
        <w:rPr>
          <w:rFonts w:cstheme="minorHAnsi"/>
        </w:rPr>
        <w:t>s</w:t>
      </w:r>
      <w:r>
        <w:rPr>
          <w:rFonts w:cstheme="minorHAnsi"/>
        </w:rPr>
        <w:t xml:space="preserve"> re-emerged with Diamant</w:t>
      </w:r>
      <w:r w:rsidR="00F85B84">
        <w:rPr>
          <w:rFonts w:cstheme="minorHAnsi"/>
        </w:rPr>
        <w:t>’</w:t>
      </w:r>
      <w:r>
        <w:rPr>
          <w:rFonts w:cstheme="minorHAnsi"/>
        </w:rPr>
        <w:t xml:space="preserve">s </w:t>
      </w:r>
      <w:r w:rsidR="004A5524">
        <w:rPr>
          <w:rFonts w:cstheme="minorHAnsi"/>
        </w:rPr>
        <w:t>concept</w:t>
      </w:r>
      <w:r w:rsidR="00A37440">
        <w:rPr>
          <w:rFonts w:cstheme="minorHAnsi"/>
        </w:rPr>
        <w:t xml:space="preserve"> in</w:t>
      </w:r>
      <w:r>
        <w:rPr>
          <w:rFonts w:cstheme="minorHAnsi"/>
        </w:rPr>
        <w:t xml:space="preserve"> </w:t>
      </w:r>
      <w:r>
        <w:rPr>
          <w:rFonts w:cstheme="minorHAnsi"/>
          <w:i/>
          <w:iCs/>
        </w:rPr>
        <w:t>The Red Tent</w:t>
      </w:r>
      <w:r w:rsidR="00F85B84">
        <w:rPr>
          <w:rFonts w:cstheme="minorHAnsi"/>
          <w:i/>
          <w:iCs/>
        </w:rPr>
        <w:t xml:space="preserve">. </w:t>
      </w:r>
      <w:r>
        <w:rPr>
          <w:rFonts w:cstheme="minorHAnsi"/>
        </w:rPr>
        <w:t>Therefore, supporting Josephson-Storm’s notion that disenchantment is a myth</w:t>
      </w:r>
      <w:r w:rsidR="007623A7">
        <w:rPr>
          <w:rFonts w:cstheme="minorHAnsi"/>
        </w:rPr>
        <w:t xml:space="preserve"> </w:t>
      </w:r>
      <w:r>
        <w:rPr>
          <w:rFonts w:cstheme="minorHAnsi"/>
        </w:rPr>
        <w:t>and the groups helped with the rediscovery</w:t>
      </w:r>
      <w:r w:rsidR="006003C2">
        <w:rPr>
          <w:rFonts w:cstheme="minorHAnsi"/>
        </w:rPr>
        <w:t xml:space="preserve"> of </w:t>
      </w:r>
      <w:r w:rsidR="00F85B84">
        <w:rPr>
          <w:rFonts w:cstheme="minorHAnsi"/>
        </w:rPr>
        <w:t>enchantment</w:t>
      </w:r>
      <w:r>
        <w:rPr>
          <w:rFonts w:cstheme="minorHAnsi"/>
        </w:rPr>
        <w:t>. This</w:t>
      </w:r>
      <w:r w:rsidR="00F85B84">
        <w:rPr>
          <w:rFonts w:cstheme="minorHAnsi"/>
        </w:rPr>
        <w:t xml:space="preserve"> also</w:t>
      </w:r>
      <w:r w:rsidR="007623A7">
        <w:rPr>
          <w:rFonts w:cstheme="minorHAnsi"/>
        </w:rPr>
        <w:t xml:space="preserve"> supports Curry’s idea that </w:t>
      </w:r>
      <w:r w:rsidR="007623A7">
        <w:rPr>
          <w:rFonts w:cstheme="minorHAnsi"/>
        </w:rPr>
        <w:t>enchantment may come and go but it always resides within us</w:t>
      </w:r>
      <w:r w:rsidR="006003C2">
        <w:rPr>
          <w:rFonts w:cstheme="minorHAnsi"/>
        </w:rPr>
        <w:t>.</w:t>
      </w:r>
      <w:r w:rsidR="007623A7">
        <w:rPr>
          <w:rFonts w:cstheme="minorHAnsi"/>
        </w:rPr>
        <w:t xml:space="preserve"> </w:t>
      </w:r>
      <w:r w:rsidR="006003C2">
        <w:rPr>
          <w:rFonts w:cstheme="minorHAnsi"/>
        </w:rPr>
        <w:t>T</w:t>
      </w:r>
      <w:r w:rsidR="007623A7">
        <w:rPr>
          <w:rFonts w:cstheme="minorHAnsi"/>
        </w:rPr>
        <w:t xml:space="preserve">he sisterhood opens a space for creative expression, not only in physical art but also looking at life in a creative way, which Roney-Dougal called tapping into the subliminal mind. Hall also referred to a reawakening of spiritual power which links to Este’s stories of the wild woman </w:t>
      </w:r>
      <w:r w:rsidR="00A9787A">
        <w:rPr>
          <w:rFonts w:cstheme="minorHAnsi"/>
        </w:rPr>
        <w:t>residing</w:t>
      </w:r>
      <w:r w:rsidR="007623A7">
        <w:rPr>
          <w:rFonts w:cstheme="minorHAnsi"/>
        </w:rPr>
        <w:t xml:space="preserve"> within us all. An inner knowing was </w:t>
      </w:r>
      <w:r w:rsidR="006003C2">
        <w:rPr>
          <w:rFonts w:cstheme="minorHAnsi"/>
        </w:rPr>
        <w:t>heightened</w:t>
      </w:r>
      <w:r w:rsidR="007623A7">
        <w:rPr>
          <w:rFonts w:cstheme="minorHAnsi"/>
        </w:rPr>
        <w:t>, there was a remembering and re</w:t>
      </w:r>
      <w:r w:rsidR="006003C2">
        <w:rPr>
          <w:rFonts w:cstheme="minorHAnsi"/>
        </w:rPr>
        <w:t>awakening</w:t>
      </w:r>
      <w:r w:rsidR="007623A7">
        <w:rPr>
          <w:rFonts w:cstheme="minorHAnsi"/>
        </w:rPr>
        <w:t xml:space="preserve"> of enchantment, as though it was hidden somewhere within th</w:t>
      </w:r>
      <w:r w:rsidR="006003C2">
        <w:rPr>
          <w:rFonts w:cstheme="minorHAnsi"/>
        </w:rPr>
        <w:t xml:space="preserve">e women </w:t>
      </w:r>
      <w:r w:rsidR="007623A7">
        <w:rPr>
          <w:rFonts w:cstheme="minorHAnsi"/>
        </w:rPr>
        <w:t>and the groups bought it to the fore front. The activities, rituals and experiences especially those connecting to nature enhanced a sense of magic and wonder, by</w:t>
      </w:r>
      <w:r w:rsidR="00F85B84">
        <w:rPr>
          <w:rFonts w:cstheme="minorHAnsi"/>
        </w:rPr>
        <w:t xml:space="preserve"> </w:t>
      </w:r>
      <w:r w:rsidR="007623A7">
        <w:rPr>
          <w:rFonts w:cstheme="minorHAnsi"/>
        </w:rPr>
        <w:t xml:space="preserve">feeling </w:t>
      </w:r>
      <w:r w:rsidR="00A9787A">
        <w:rPr>
          <w:rFonts w:cstheme="minorHAnsi"/>
        </w:rPr>
        <w:t xml:space="preserve">there’s an </w:t>
      </w:r>
      <w:r w:rsidR="007623A7">
        <w:rPr>
          <w:rFonts w:cstheme="minorHAnsi"/>
        </w:rPr>
        <w:t xml:space="preserve">unseen </w:t>
      </w:r>
      <w:r w:rsidR="00F85B84">
        <w:rPr>
          <w:rFonts w:cstheme="minorHAnsi"/>
        </w:rPr>
        <w:t>realm</w:t>
      </w:r>
      <w:r w:rsidR="007623A7">
        <w:rPr>
          <w:rFonts w:cstheme="minorHAnsi"/>
        </w:rPr>
        <w:t xml:space="preserve"> of spirits, fairies and guardians.</w:t>
      </w:r>
      <w:r w:rsidR="006003C2">
        <w:rPr>
          <w:rFonts w:cstheme="minorHAnsi"/>
        </w:rPr>
        <w:t xml:space="preserve"> Although, the connection the women expressed with the unseen spirits and the natural world has been occurring since antiquity</w:t>
      </w:r>
      <w:r w:rsidR="00F85B84">
        <w:rPr>
          <w:rFonts w:cstheme="minorHAnsi"/>
        </w:rPr>
        <w:t>,</w:t>
      </w:r>
      <w:r w:rsidR="006003C2">
        <w:rPr>
          <w:rFonts w:cstheme="minorHAnsi"/>
        </w:rPr>
        <w:t xml:space="preserve"> as seen in Plutarch’s descriptions of the </w:t>
      </w:r>
      <w:r w:rsidR="006003C2">
        <w:rPr>
          <w:rFonts w:cstheme="minorHAnsi"/>
          <w:i/>
          <w:iCs/>
        </w:rPr>
        <w:t xml:space="preserve">Oracles </w:t>
      </w:r>
      <w:proofErr w:type="gramStart"/>
      <w:r w:rsidR="006003C2">
        <w:rPr>
          <w:rFonts w:cstheme="minorHAnsi"/>
        </w:rPr>
        <w:t>and</w:t>
      </w:r>
      <w:r w:rsidR="00F85B84">
        <w:rPr>
          <w:rFonts w:cstheme="minorHAnsi"/>
        </w:rPr>
        <w:t xml:space="preserve"> also</w:t>
      </w:r>
      <w:proofErr w:type="gramEnd"/>
      <w:r w:rsidR="00F85B84">
        <w:rPr>
          <w:rFonts w:cstheme="minorHAnsi"/>
        </w:rPr>
        <w:t xml:space="preserve"> noted</w:t>
      </w:r>
      <w:r w:rsidR="006003C2">
        <w:rPr>
          <w:rFonts w:cstheme="minorHAnsi"/>
        </w:rPr>
        <w:t xml:space="preserve"> in other cultures </w:t>
      </w:r>
      <w:r w:rsidR="00F85B84">
        <w:rPr>
          <w:rFonts w:cstheme="minorHAnsi"/>
        </w:rPr>
        <w:t xml:space="preserve">by </w:t>
      </w:r>
      <w:r w:rsidR="006003C2">
        <w:rPr>
          <w:rFonts w:cstheme="minorHAnsi"/>
        </w:rPr>
        <w:t>Levy-</w:t>
      </w:r>
      <w:proofErr w:type="spellStart"/>
      <w:r w:rsidR="006003C2">
        <w:rPr>
          <w:rFonts w:cstheme="minorHAnsi"/>
        </w:rPr>
        <w:t>Bruhl’s</w:t>
      </w:r>
      <w:proofErr w:type="spellEnd"/>
      <w:r w:rsidR="006003C2">
        <w:rPr>
          <w:rFonts w:cstheme="minorHAnsi"/>
        </w:rPr>
        <w:t xml:space="preserve"> account of the natives.</w:t>
      </w:r>
    </w:p>
    <w:p w14:paraId="4C30FAAF" w14:textId="1646568D" w:rsidR="007623A7" w:rsidRPr="007623A7" w:rsidRDefault="007623A7" w:rsidP="007623A7">
      <w:pPr>
        <w:spacing w:after="0" w:line="240" w:lineRule="auto"/>
        <w:rPr>
          <w:rFonts w:cstheme="minorHAnsi"/>
        </w:rPr>
      </w:pPr>
    </w:p>
    <w:p w14:paraId="7DCF802C" w14:textId="356BBE8C" w:rsidR="00986909" w:rsidRPr="009865AD" w:rsidRDefault="007623A7" w:rsidP="00986909">
      <w:pPr>
        <w:spacing w:after="0" w:line="240" w:lineRule="auto"/>
        <w:rPr>
          <w:rFonts w:cstheme="minorHAnsi"/>
        </w:rPr>
      </w:pPr>
      <w:r>
        <w:rPr>
          <w:rFonts w:cstheme="minorHAnsi"/>
        </w:rPr>
        <w:t xml:space="preserve">Whereas, Weber’s concept </w:t>
      </w:r>
      <w:r w:rsidR="00986909">
        <w:rPr>
          <w:rFonts w:cstheme="minorHAnsi"/>
        </w:rPr>
        <w:t>states</w:t>
      </w:r>
      <w:r>
        <w:rPr>
          <w:rFonts w:cstheme="minorHAnsi"/>
        </w:rPr>
        <w:t xml:space="preserve"> rationalisation and intellectualisation has caused </w:t>
      </w:r>
      <w:r w:rsidR="00986909">
        <w:rPr>
          <w:rFonts w:cstheme="minorHAnsi"/>
        </w:rPr>
        <w:t>disenchantment,</w:t>
      </w:r>
      <w:r>
        <w:rPr>
          <w:rFonts w:cstheme="minorHAnsi"/>
        </w:rPr>
        <w:t xml:space="preserve"> </w:t>
      </w:r>
      <w:r w:rsidR="00986909">
        <w:rPr>
          <w:rFonts w:cstheme="minorHAnsi"/>
        </w:rPr>
        <w:t xml:space="preserve">but this research has shown </w:t>
      </w:r>
      <w:r w:rsidR="006003C2">
        <w:rPr>
          <w:rFonts w:cstheme="minorHAnsi"/>
        </w:rPr>
        <w:t>that mo</w:t>
      </w:r>
      <w:r w:rsidR="00986909">
        <w:rPr>
          <w:rFonts w:cstheme="minorHAnsi"/>
        </w:rPr>
        <w:t>st of the women did not see rationality and logic as</w:t>
      </w:r>
      <w:r w:rsidR="00986909">
        <w:rPr>
          <w:rFonts w:cstheme="minorHAnsi"/>
        </w:rPr>
        <w:t xml:space="preserve"> </w:t>
      </w:r>
      <w:r w:rsidR="00986909">
        <w:rPr>
          <w:rFonts w:cstheme="minorHAnsi"/>
        </w:rPr>
        <w:t xml:space="preserve">disenchantment but valued them in their life and appreciated how they flow and </w:t>
      </w:r>
      <w:r w:rsidR="00F85B84">
        <w:rPr>
          <w:rFonts w:cstheme="minorHAnsi"/>
        </w:rPr>
        <w:t>weave</w:t>
      </w:r>
      <w:r w:rsidR="00986909">
        <w:rPr>
          <w:rFonts w:cstheme="minorHAnsi"/>
        </w:rPr>
        <w:t xml:space="preserve"> together enriching life. However, some of the women mentioned verbal reasoning was something they did not enjoy, </w:t>
      </w:r>
      <w:r w:rsidR="00F85B84">
        <w:rPr>
          <w:rFonts w:cstheme="minorHAnsi"/>
        </w:rPr>
        <w:t>which is contrary to the above and supports</w:t>
      </w:r>
      <w:r w:rsidR="00986909">
        <w:rPr>
          <w:rFonts w:cstheme="minorHAnsi"/>
        </w:rPr>
        <w:t xml:space="preserve"> Weber’s concept that rationalising and intellectualising leads to disenchantment. Although, many felt more connected to the world and themselves and were grateful for technology as they c</w:t>
      </w:r>
      <w:r w:rsidR="006003C2">
        <w:rPr>
          <w:rFonts w:cstheme="minorHAnsi"/>
        </w:rPr>
        <w:t>ould</w:t>
      </w:r>
      <w:r w:rsidR="00986909">
        <w:rPr>
          <w:rFonts w:cstheme="minorHAnsi"/>
        </w:rPr>
        <w:t xml:space="preserve"> connect</w:t>
      </w:r>
      <w:r w:rsidR="006003C2">
        <w:rPr>
          <w:rFonts w:cstheme="minorHAnsi"/>
        </w:rPr>
        <w:t xml:space="preserve"> with each other</w:t>
      </w:r>
      <w:r w:rsidR="00986909">
        <w:rPr>
          <w:rFonts w:cstheme="minorHAnsi"/>
        </w:rPr>
        <w:t xml:space="preserve"> even with the covid-19 pandemic. Curry’s idea that enchantment is transitionary and that we need to see enchantment in all that we do, to keep enchantment real is apparent through this research. </w:t>
      </w:r>
      <w:r w:rsidR="006003C2">
        <w:rPr>
          <w:rFonts w:cstheme="minorHAnsi"/>
        </w:rPr>
        <w:t>The re-enchantment o</w:t>
      </w:r>
      <w:r w:rsidR="00F85B84">
        <w:rPr>
          <w:rFonts w:cstheme="minorHAnsi"/>
        </w:rPr>
        <w:t>ccurs through a continual process and one of those processes could be to join an online women’s sacred group</w:t>
      </w:r>
      <w:r w:rsidR="006553DC">
        <w:rPr>
          <w:rFonts w:cstheme="minorHAnsi"/>
        </w:rPr>
        <w:t>,</w:t>
      </w:r>
      <w:r w:rsidR="00F85B84">
        <w:rPr>
          <w:rFonts w:cstheme="minorHAnsi"/>
        </w:rPr>
        <w:t xml:space="preserve"> </w:t>
      </w:r>
      <w:r w:rsidR="006553DC">
        <w:rPr>
          <w:rFonts w:cstheme="minorHAnsi"/>
        </w:rPr>
        <w:t>to</w:t>
      </w:r>
      <w:r w:rsidR="00F85B84">
        <w:rPr>
          <w:rFonts w:cstheme="minorHAnsi"/>
        </w:rPr>
        <w:t xml:space="preserve"> increase sense of wonder and magic and re-enchant!</w:t>
      </w:r>
    </w:p>
    <w:p w14:paraId="268F7CA9" w14:textId="1C751DBC" w:rsidR="007623A7" w:rsidRDefault="007623A7" w:rsidP="007623A7">
      <w:pPr>
        <w:spacing w:after="0" w:line="240" w:lineRule="auto"/>
        <w:rPr>
          <w:rFonts w:cstheme="minorHAnsi"/>
        </w:rPr>
      </w:pPr>
    </w:p>
    <w:p w14:paraId="5A5555CC" w14:textId="59218F19" w:rsidR="007623A7" w:rsidRPr="00031DDA" w:rsidRDefault="00031DDA" w:rsidP="00590282">
      <w:pPr>
        <w:spacing w:after="0" w:line="240" w:lineRule="auto"/>
        <w:rPr>
          <w:rFonts w:cstheme="minorHAnsi"/>
          <w:b/>
          <w:bCs/>
        </w:rPr>
      </w:pPr>
      <w:r w:rsidRPr="00031DDA">
        <w:rPr>
          <w:rFonts w:cstheme="minorHAnsi"/>
          <w:b/>
          <w:bCs/>
        </w:rPr>
        <w:t>Bibliography</w:t>
      </w:r>
    </w:p>
    <w:p w14:paraId="45CD3E9A" w14:textId="77777777" w:rsidR="007623A7" w:rsidRDefault="007623A7" w:rsidP="00590282">
      <w:pPr>
        <w:spacing w:after="0" w:line="240" w:lineRule="auto"/>
        <w:rPr>
          <w:rFonts w:cstheme="minorHAnsi"/>
        </w:rPr>
      </w:pPr>
    </w:p>
    <w:p w14:paraId="62EFFC16" w14:textId="14279864" w:rsidR="007623A7" w:rsidRPr="00031DDA" w:rsidRDefault="00031DDA" w:rsidP="00590282">
      <w:pPr>
        <w:spacing w:after="0" w:line="240" w:lineRule="auto"/>
        <w:rPr>
          <w:rFonts w:cstheme="minorHAnsi"/>
          <w:b/>
          <w:bCs/>
        </w:rPr>
      </w:pPr>
      <w:r w:rsidRPr="00031DDA">
        <w:rPr>
          <w:rFonts w:cstheme="minorHAnsi"/>
          <w:b/>
          <w:bCs/>
        </w:rPr>
        <w:t>Primary Sources</w:t>
      </w:r>
    </w:p>
    <w:p w14:paraId="38AFDFA2" w14:textId="59F0A228" w:rsidR="007623A7" w:rsidRDefault="007623A7" w:rsidP="00590282">
      <w:pPr>
        <w:spacing w:after="0" w:line="240" w:lineRule="auto"/>
        <w:rPr>
          <w:rFonts w:cstheme="minorHAnsi"/>
        </w:rPr>
      </w:pPr>
    </w:p>
    <w:p w14:paraId="61AFADFE" w14:textId="77777777" w:rsidR="00590282" w:rsidRPr="008F071C" w:rsidRDefault="00590282" w:rsidP="00590282">
      <w:pPr>
        <w:spacing w:after="0"/>
        <w:rPr>
          <w:rFonts w:ascii="Calibri" w:hAnsi="Calibri" w:cs="Calibri"/>
        </w:rPr>
      </w:pPr>
      <w:r w:rsidRPr="008F071C">
        <w:rPr>
          <w:rFonts w:ascii="Calibri" w:hAnsi="Calibri" w:cs="Calibri"/>
        </w:rPr>
        <w:t>Diamant</w:t>
      </w:r>
      <w:r>
        <w:rPr>
          <w:rFonts w:ascii="Calibri" w:hAnsi="Calibri" w:cs="Calibri"/>
        </w:rPr>
        <w:t xml:space="preserve"> </w:t>
      </w:r>
      <w:r w:rsidRPr="008F071C">
        <w:rPr>
          <w:rFonts w:ascii="Calibri" w:hAnsi="Calibri" w:cs="Calibri"/>
        </w:rPr>
        <w:t xml:space="preserve">Anita, </w:t>
      </w:r>
      <w:r w:rsidRPr="008F071C">
        <w:rPr>
          <w:rFonts w:ascii="Calibri" w:hAnsi="Calibri" w:cs="Calibri"/>
          <w:i/>
          <w:iCs/>
        </w:rPr>
        <w:t xml:space="preserve">The Red Tent </w:t>
      </w:r>
      <w:r w:rsidRPr="008F071C">
        <w:rPr>
          <w:rFonts w:ascii="Calibri" w:hAnsi="Calibri" w:cs="Calibri"/>
        </w:rPr>
        <w:t>(London: Pan Macmillan,2002).</w:t>
      </w:r>
    </w:p>
    <w:p w14:paraId="04950AB1" w14:textId="77777777" w:rsidR="00590282" w:rsidRPr="008F071C" w:rsidRDefault="00590282" w:rsidP="00590282">
      <w:pPr>
        <w:pStyle w:val="FootnoteText"/>
        <w:rPr>
          <w:rFonts w:ascii="Calibri" w:hAnsi="Calibri" w:cs="Calibri"/>
          <w:sz w:val="22"/>
          <w:szCs w:val="22"/>
        </w:rPr>
      </w:pPr>
      <w:r w:rsidRPr="008F071C">
        <w:rPr>
          <w:rFonts w:ascii="Calibri" w:hAnsi="Calibri" w:cs="Calibri"/>
          <w:sz w:val="22"/>
          <w:szCs w:val="22"/>
        </w:rPr>
        <w:t>Estes</w:t>
      </w:r>
      <w:r>
        <w:rPr>
          <w:rFonts w:ascii="Calibri" w:hAnsi="Calibri" w:cs="Calibri"/>
          <w:sz w:val="22"/>
          <w:szCs w:val="22"/>
        </w:rPr>
        <w:t xml:space="preserve"> </w:t>
      </w:r>
      <w:r w:rsidRPr="008F071C">
        <w:rPr>
          <w:rFonts w:ascii="Calibri" w:hAnsi="Calibri" w:cs="Calibri"/>
          <w:sz w:val="22"/>
          <w:szCs w:val="22"/>
        </w:rPr>
        <w:t xml:space="preserve">Clarissa </w:t>
      </w:r>
      <w:proofErr w:type="spellStart"/>
      <w:r w:rsidRPr="008F071C">
        <w:rPr>
          <w:rFonts w:ascii="Calibri" w:hAnsi="Calibri" w:cs="Calibri"/>
          <w:sz w:val="22"/>
          <w:szCs w:val="22"/>
        </w:rPr>
        <w:t>Pinkola</w:t>
      </w:r>
      <w:proofErr w:type="spellEnd"/>
      <w:r w:rsidRPr="008F071C">
        <w:rPr>
          <w:rFonts w:ascii="Calibri" w:hAnsi="Calibri" w:cs="Calibri"/>
          <w:sz w:val="22"/>
          <w:szCs w:val="22"/>
        </w:rPr>
        <w:t xml:space="preserve">, </w:t>
      </w:r>
      <w:r w:rsidRPr="008F071C">
        <w:rPr>
          <w:rFonts w:ascii="Calibri" w:hAnsi="Calibri" w:cs="Calibri"/>
          <w:i/>
          <w:iCs/>
          <w:sz w:val="22"/>
          <w:szCs w:val="22"/>
        </w:rPr>
        <w:t>Women who Run with Wolves</w:t>
      </w:r>
      <w:r w:rsidRPr="008F071C">
        <w:rPr>
          <w:rFonts w:ascii="Calibri" w:hAnsi="Calibri" w:cs="Calibri"/>
          <w:sz w:val="22"/>
          <w:szCs w:val="22"/>
        </w:rPr>
        <w:t xml:space="preserve"> (New York: </w:t>
      </w:r>
      <w:proofErr w:type="spellStart"/>
      <w:r w:rsidRPr="008F071C">
        <w:rPr>
          <w:rFonts w:ascii="Calibri" w:hAnsi="Calibri" w:cs="Calibri"/>
          <w:sz w:val="22"/>
          <w:szCs w:val="22"/>
        </w:rPr>
        <w:t>Ballatine</w:t>
      </w:r>
      <w:proofErr w:type="spellEnd"/>
      <w:r w:rsidRPr="008F071C">
        <w:rPr>
          <w:rFonts w:ascii="Calibri" w:hAnsi="Calibri" w:cs="Calibri"/>
          <w:sz w:val="22"/>
          <w:szCs w:val="22"/>
        </w:rPr>
        <w:t xml:space="preserve"> Books, 1995).</w:t>
      </w:r>
    </w:p>
    <w:p w14:paraId="20451237" w14:textId="14D878FD" w:rsidR="00590282" w:rsidRDefault="00590282" w:rsidP="00590282">
      <w:pPr>
        <w:pStyle w:val="FootnoteText"/>
        <w:rPr>
          <w:rFonts w:ascii="Calibri" w:hAnsi="Calibri" w:cs="Calibri"/>
          <w:sz w:val="22"/>
          <w:szCs w:val="22"/>
        </w:rPr>
      </w:pPr>
    </w:p>
    <w:p w14:paraId="352A3659" w14:textId="77777777" w:rsidR="00590282" w:rsidRPr="008F071C" w:rsidRDefault="00590282" w:rsidP="00590282">
      <w:pPr>
        <w:spacing w:after="0"/>
        <w:rPr>
          <w:rFonts w:ascii="Calibri" w:hAnsi="Calibri" w:cs="Calibri"/>
        </w:rPr>
      </w:pPr>
      <w:r w:rsidRPr="008F071C">
        <w:rPr>
          <w:rFonts w:ascii="Calibri" w:hAnsi="Calibri" w:cs="Calibri"/>
        </w:rPr>
        <w:t>Guthrie</w:t>
      </w:r>
      <w:r>
        <w:rPr>
          <w:rFonts w:ascii="Calibri" w:hAnsi="Calibri" w:cs="Calibri"/>
        </w:rPr>
        <w:t xml:space="preserve"> </w:t>
      </w:r>
      <w:r w:rsidRPr="008F071C">
        <w:rPr>
          <w:rFonts w:ascii="Calibri" w:hAnsi="Calibri" w:cs="Calibri"/>
        </w:rPr>
        <w:t xml:space="preserve">Kenneth Sylvan, </w:t>
      </w:r>
      <w:r w:rsidRPr="008F071C">
        <w:rPr>
          <w:rFonts w:ascii="Calibri" w:hAnsi="Calibri" w:cs="Calibri"/>
          <w:i/>
          <w:iCs/>
        </w:rPr>
        <w:t>The Pythagorean Sourcebook and Library</w:t>
      </w:r>
      <w:r w:rsidRPr="008F071C">
        <w:rPr>
          <w:rFonts w:ascii="Calibri" w:hAnsi="Calibri" w:cs="Calibri"/>
        </w:rPr>
        <w:t xml:space="preserve"> (Michigan: </w:t>
      </w:r>
      <w:proofErr w:type="spellStart"/>
      <w:r w:rsidRPr="008F071C">
        <w:rPr>
          <w:rFonts w:ascii="Calibri" w:hAnsi="Calibri" w:cs="Calibri"/>
        </w:rPr>
        <w:t>Phanes</w:t>
      </w:r>
      <w:proofErr w:type="spellEnd"/>
      <w:r w:rsidRPr="008F071C">
        <w:rPr>
          <w:rFonts w:ascii="Calibri" w:hAnsi="Calibri" w:cs="Calibri"/>
        </w:rPr>
        <w:t xml:space="preserve"> Press, 1988).</w:t>
      </w:r>
    </w:p>
    <w:p w14:paraId="594B1FF4" w14:textId="1D890F58" w:rsidR="00590282" w:rsidRPr="008F071C" w:rsidRDefault="00590282" w:rsidP="00590282">
      <w:pPr>
        <w:pStyle w:val="FootnoteText"/>
        <w:rPr>
          <w:rFonts w:ascii="Calibri" w:hAnsi="Calibri" w:cs="Calibri"/>
          <w:sz w:val="22"/>
          <w:szCs w:val="22"/>
        </w:rPr>
      </w:pPr>
      <w:r w:rsidRPr="008F071C">
        <w:rPr>
          <w:rFonts w:ascii="Calibri" w:hAnsi="Calibri" w:cs="Calibri"/>
          <w:sz w:val="22"/>
          <w:szCs w:val="22"/>
        </w:rPr>
        <w:t>Lee</w:t>
      </w:r>
      <w:r>
        <w:rPr>
          <w:rFonts w:ascii="Calibri" w:hAnsi="Calibri" w:cs="Calibri"/>
          <w:sz w:val="22"/>
          <w:szCs w:val="22"/>
        </w:rPr>
        <w:t xml:space="preserve"> </w:t>
      </w:r>
      <w:r w:rsidRPr="008F071C">
        <w:rPr>
          <w:rFonts w:ascii="Calibri" w:hAnsi="Calibri" w:cs="Calibri"/>
          <w:sz w:val="22"/>
          <w:szCs w:val="22"/>
        </w:rPr>
        <w:t xml:space="preserve">Scout Cloud, </w:t>
      </w:r>
      <w:r w:rsidRPr="008F071C">
        <w:rPr>
          <w:rFonts w:ascii="Calibri" w:hAnsi="Calibri" w:cs="Calibri"/>
          <w:i/>
          <w:iCs/>
          <w:sz w:val="22"/>
          <w:szCs w:val="22"/>
        </w:rPr>
        <w:t>The Circle is Sacred</w:t>
      </w:r>
      <w:r w:rsidRPr="008F071C">
        <w:rPr>
          <w:rFonts w:ascii="Calibri" w:hAnsi="Calibri" w:cs="Calibri"/>
          <w:sz w:val="22"/>
          <w:szCs w:val="22"/>
        </w:rPr>
        <w:t xml:space="preserve"> (Tulsa: Council Oak Books, 1995).</w:t>
      </w:r>
    </w:p>
    <w:p w14:paraId="1314E298" w14:textId="77777777" w:rsidR="00590282" w:rsidRDefault="00590282" w:rsidP="00590282">
      <w:pPr>
        <w:pStyle w:val="FootnoteText"/>
        <w:rPr>
          <w:rFonts w:ascii="Calibri" w:hAnsi="Calibri" w:cs="Calibri"/>
          <w:sz w:val="22"/>
          <w:szCs w:val="22"/>
        </w:rPr>
      </w:pPr>
    </w:p>
    <w:p w14:paraId="4309986F" w14:textId="6DC78C68" w:rsidR="00590282" w:rsidRDefault="00590282" w:rsidP="00590282">
      <w:pPr>
        <w:pStyle w:val="FootnoteText"/>
        <w:rPr>
          <w:rFonts w:ascii="Calibri" w:hAnsi="Calibri" w:cs="Calibri"/>
          <w:sz w:val="22"/>
          <w:szCs w:val="22"/>
        </w:rPr>
      </w:pPr>
      <w:r w:rsidRPr="008F071C">
        <w:rPr>
          <w:rFonts w:ascii="Calibri" w:hAnsi="Calibri" w:cs="Calibri"/>
          <w:sz w:val="22"/>
          <w:szCs w:val="22"/>
        </w:rPr>
        <w:t>Longman</w:t>
      </w:r>
      <w:r>
        <w:rPr>
          <w:rFonts w:ascii="Calibri" w:hAnsi="Calibri" w:cs="Calibri"/>
          <w:sz w:val="22"/>
          <w:szCs w:val="22"/>
        </w:rPr>
        <w:t xml:space="preserve"> </w:t>
      </w:r>
      <w:r w:rsidRPr="008F071C">
        <w:rPr>
          <w:rFonts w:ascii="Calibri" w:hAnsi="Calibri" w:cs="Calibri"/>
          <w:sz w:val="22"/>
          <w:szCs w:val="22"/>
        </w:rPr>
        <w:t xml:space="preserve">Chia, ‘Women’s Circles and the Rise of the New Feminine: Reclaiming Sisterhood, Spirituality, and Wellbeing’, </w:t>
      </w:r>
      <w:r w:rsidRPr="008F071C">
        <w:rPr>
          <w:rFonts w:ascii="Calibri" w:hAnsi="Calibri" w:cs="Calibri"/>
          <w:i/>
          <w:iCs/>
          <w:sz w:val="22"/>
          <w:szCs w:val="22"/>
        </w:rPr>
        <w:t>Religions.</w:t>
      </w:r>
      <w:r w:rsidRPr="008F071C">
        <w:rPr>
          <w:rFonts w:ascii="Calibri" w:hAnsi="Calibri" w:cs="Calibri"/>
          <w:sz w:val="22"/>
          <w:szCs w:val="22"/>
        </w:rPr>
        <w:t xml:space="preserve"> 9 (2018)</w:t>
      </w:r>
      <w:r>
        <w:rPr>
          <w:rFonts w:ascii="Calibri" w:hAnsi="Calibri" w:cs="Calibri"/>
          <w:sz w:val="22"/>
          <w:szCs w:val="22"/>
        </w:rPr>
        <w:t>, pp. 1-17.</w:t>
      </w:r>
    </w:p>
    <w:p w14:paraId="75FFB4C5" w14:textId="77777777" w:rsidR="00590282" w:rsidRDefault="00590282" w:rsidP="00590282">
      <w:pPr>
        <w:pStyle w:val="FootnoteText"/>
        <w:rPr>
          <w:rFonts w:ascii="Calibri" w:hAnsi="Calibri" w:cs="Calibri"/>
          <w:sz w:val="22"/>
          <w:szCs w:val="22"/>
        </w:rPr>
      </w:pPr>
    </w:p>
    <w:p w14:paraId="7F89C061" w14:textId="1B626194" w:rsidR="00A37440" w:rsidRPr="00590282" w:rsidRDefault="00A37440" w:rsidP="00590282">
      <w:pPr>
        <w:pStyle w:val="FootnoteText"/>
        <w:rPr>
          <w:rFonts w:ascii="Calibri" w:hAnsi="Calibri" w:cs="Calibri"/>
          <w:sz w:val="22"/>
          <w:szCs w:val="22"/>
        </w:rPr>
      </w:pPr>
      <w:r w:rsidRPr="008F071C">
        <w:rPr>
          <w:rFonts w:ascii="Calibri" w:hAnsi="Calibri" w:cs="Calibri"/>
          <w:sz w:val="22"/>
          <w:szCs w:val="22"/>
        </w:rPr>
        <w:t xml:space="preserve">Plutarch, </w:t>
      </w:r>
      <w:r w:rsidRPr="008F071C">
        <w:rPr>
          <w:rFonts w:ascii="Calibri" w:hAnsi="Calibri" w:cs="Calibri"/>
          <w:i/>
          <w:iCs/>
          <w:sz w:val="22"/>
          <w:szCs w:val="22"/>
        </w:rPr>
        <w:t xml:space="preserve">The Obsolescence of Oracles, </w:t>
      </w:r>
      <w:r w:rsidRPr="008F071C">
        <w:rPr>
          <w:rFonts w:ascii="Calibri" w:hAnsi="Calibri" w:cs="Calibri"/>
          <w:sz w:val="22"/>
          <w:szCs w:val="22"/>
        </w:rPr>
        <w:t>trans. by Frank Cole Babbitt, Loeb Classical Library, Moralia Vol. V (Cambridge, MA: Harvard University Press, 1936).</w:t>
      </w:r>
    </w:p>
    <w:p w14:paraId="33B2DF45" w14:textId="77777777" w:rsidR="007623A7" w:rsidRDefault="007623A7" w:rsidP="00590282">
      <w:pPr>
        <w:spacing w:after="0" w:line="240" w:lineRule="auto"/>
        <w:rPr>
          <w:rFonts w:cstheme="minorHAnsi"/>
        </w:rPr>
      </w:pPr>
    </w:p>
    <w:p w14:paraId="6523548C" w14:textId="77777777" w:rsidR="00A37440" w:rsidRPr="008F071C" w:rsidRDefault="00A37440" w:rsidP="00590282">
      <w:pPr>
        <w:pStyle w:val="FootnoteText"/>
        <w:rPr>
          <w:rFonts w:ascii="Calibri" w:hAnsi="Calibri" w:cs="Calibri"/>
          <w:sz w:val="22"/>
          <w:szCs w:val="22"/>
        </w:rPr>
      </w:pPr>
      <w:r w:rsidRPr="008F071C">
        <w:rPr>
          <w:rFonts w:ascii="Calibri" w:hAnsi="Calibri" w:cs="Calibri"/>
          <w:sz w:val="22"/>
          <w:szCs w:val="22"/>
        </w:rPr>
        <w:t>Weber</w:t>
      </w:r>
      <w:r>
        <w:rPr>
          <w:rFonts w:ascii="Calibri" w:hAnsi="Calibri" w:cs="Calibri"/>
          <w:sz w:val="22"/>
          <w:szCs w:val="22"/>
        </w:rPr>
        <w:t xml:space="preserve"> </w:t>
      </w:r>
      <w:r w:rsidRPr="008F071C">
        <w:rPr>
          <w:rFonts w:ascii="Calibri" w:hAnsi="Calibri" w:cs="Calibri"/>
          <w:sz w:val="22"/>
          <w:szCs w:val="22"/>
        </w:rPr>
        <w:t xml:space="preserve">Max, </w:t>
      </w:r>
      <w:r w:rsidRPr="008F071C">
        <w:rPr>
          <w:rFonts w:ascii="Calibri" w:hAnsi="Calibri" w:cs="Calibri"/>
          <w:i/>
          <w:iCs/>
          <w:sz w:val="22"/>
          <w:szCs w:val="22"/>
        </w:rPr>
        <w:t xml:space="preserve">Essays in Sociology, </w:t>
      </w:r>
      <w:r w:rsidRPr="008F071C">
        <w:rPr>
          <w:rFonts w:ascii="Calibri" w:hAnsi="Calibri" w:cs="Calibri"/>
          <w:sz w:val="22"/>
          <w:szCs w:val="22"/>
        </w:rPr>
        <w:t xml:space="preserve">trans. by H. H. </w:t>
      </w:r>
      <w:proofErr w:type="spellStart"/>
      <w:r w:rsidRPr="008F071C">
        <w:rPr>
          <w:rFonts w:ascii="Calibri" w:hAnsi="Calibri" w:cs="Calibri"/>
          <w:sz w:val="22"/>
          <w:szCs w:val="22"/>
        </w:rPr>
        <w:t>Gerth</w:t>
      </w:r>
      <w:proofErr w:type="spellEnd"/>
      <w:r w:rsidRPr="008F071C">
        <w:rPr>
          <w:rFonts w:ascii="Calibri" w:hAnsi="Calibri" w:cs="Calibri"/>
          <w:sz w:val="22"/>
          <w:szCs w:val="22"/>
        </w:rPr>
        <w:t xml:space="preserve"> and C. Wright Mills (New York: Oxford University Press, 1946)</w:t>
      </w:r>
      <w:r>
        <w:rPr>
          <w:rFonts w:ascii="Calibri" w:hAnsi="Calibri" w:cs="Calibri"/>
          <w:sz w:val="22"/>
          <w:szCs w:val="22"/>
        </w:rPr>
        <w:t>.</w:t>
      </w:r>
    </w:p>
    <w:p w14:paraId="652ED376" w14:textId="4E0E01BB" w:rsidR="000F6F95" w:rsidRDefault="000F6F95" w:rsidP="00590282">
      <w:pPr>
        <w:spacing w:after="0" w:line="240" w:lineRule="auto"/>
        <w:rPr>
          <w:rFonts w:cstheme="minorHAnsi"/>
        </w:rPr>
      </w:pPr>
    </w:p>
    <w:p w14:paraId="32F5EF06" w14:textId="28461E8B" w:rsidR="00031DDA" w:rsidRDefault="00031DDA" w:rsidP="00590282">
      <w:pPr>
        <w:spacing w:after="0" w:line="240" w:lineRule="auto"/>
        <w:rPr>
          <w:rFonts w:cstheme="minorHAnsi"/>
          <w:b/>
          <w:bCs/>
        </w:rPr>
      </w:pPr>
      <w:r w:rsidRPr="00031DDA">
        <w:rPr>
          <w:rFonts w:cstheme="minorHAnsi"/>
          <w:b/>
          <w:bCs/>
        </w:rPr>
        <w:t>Secondary Sources</w:t>
      </w:r>
    </w:p>
    <w:p w14:paraId="04447E30" w14:textId="77777777" w:rsidR="00590282" w:rsidRDefault="00590282" w:rsidP="00590282">
      <w:pPr>
        <w:spacing w:after="0"/>
        <w:rPr>
          <w:rFonts w:ascii="Calibri" w:hAnsi="Calibri" w:cs="Calibri"/>
        </w:rPr>
      </w:pPr>
    </w:p>
    <w:p w14:paraId="4977839F" w14:textId="53B7F04A" w:rsidR="00590282" w:rsidRDefault="00590282" w:rsidP="00590282">
      <w:pPr>
        <w:spacing w:after="0"/>
        <w:rPr>
          <w:rFonts w:ascii="Calibri" w:hAnsi="Calibri" w:cs="Calibri"/>
        </w:rPr>
      </w:pPr>
      <w:r w:rsidRPr="008F071C">
        <w:rPr>
          <w:rFonts w:ascii="Calibri" w:hAnsi="Calibri" w:cs="Calibri"/>
        </w:rPr>
        <w:t>Bell Judith and Waters</w:t>
      </w:r>
      <w:r>
        <w:rPr>
          <w:rFonts w:ascii="Calibri" w:hAnsi="Calibri" w:cs="Calibri"/>
        </w:rPr>
        <w:t xml:space="preserve"> </w:t>
      </w:r>
      <w:r w:rsidRPr="008F071C">
        <w:rPr>
          <w:rFonts w:ascii="Calibri" w:hAnsi="Calibri" w:cs="Calibri"/>
        </w:rPr>
        <w:t xml:space="preserve">Stephen, </w:t>
      </w:r>
      <w:r w:rsidRPr="008F071C">
        <w:rPr>
          <w:rFonts w:ascii="Calibri" w:hAnsi="Calibri" w:cs="Calibri"/>
          <w:i/>
          <w:iCs/>
        </w:rPr>
        <w:t xml:space="preserve">Doing your Research Project: A Guide for First-time Researchers </w:t>
      </w:r>
      <w:r w:rsidRPr="008F071C">
        <w:rPr>
          <w:rFonts w:ascii="Calibri" w:hAnsi="Calibri" w:cs="Calibri"/>
        </w:rPr>
        <w:t>(London: Open University Press, 2018)</w:t>
      </w:r>
      <w:r>
        <w:rPr>
          <w:rFonts w:ascii="Calibri" w:hAnsi="Calibri" w:cs="Calibri"/>
        </w:rPr>
        <w:t>.</w:t>
      </w:r>
    </w:p>
    <w:p w14:paraId="528A3194" w14:textId="77777777" w:rsidR="00590282" w:rsidRPr="008F071C" w:rsidRDefault="00590282" w:rsidP="00590282">
      <w:pPr>
        <w:spacing w:after="0"/>
        <w:rPr>
          <w:rFonts w:ascii="Calibri" w:hAnsi="Calibri" w:cs="Calibri"/>
        </w:rPr>
      </w:pPr>
    </w:p>
    <w:p w14:paraId="52E91ADA" w14:textId="40AA8145" w:rsidR="00590282" w:rsidRDefault="00590282" w:rsidP="00590282">
      <w:pPr>
        <w:pStyle w:val="FootnoteText"/>
        <w:rPr>
          <w:rFonts w:ascii="Calibri" w:hAnsi="Calibri" w:cs="Calibri"/>
          <w:sz w:val="22"/>
          <w:szCs w:val="22"/>
        </w:rPr>
      </w:pPr>
      <w:r w:rsidRPr="00590282">
        <w:rPr>
          <w:rFonts w:ascii="Calibri" w:hAnsi="Calibri" w:cs="Calibri"/>
          <w:sz w:val="22"/>
          <w:szCs w:val="22"/>
        </w:rPr>
        <w:t xml:space="preserve">Patrick Curry, ‘Magic vs. Enchantment, </w:t>
      </w:r>
      <w:r w:rsidRPr="00590282">
        <w:rPr>
          <w:rFonts w:ascii="Calibri" w:hAnsi="Calibri" w:cs="Calibri"/>
          <w:i/>
          <w:iCs/>
          <w:sz w:val="22"/>
          <w:szCs w:val="22"/>
        </w:rPr>
        <w:t xml:space="preserve">Journal of Contemporary Religion, </w:t>
      </w:r>
      <w:r w:rsidRPr="00590282">
        <w:rPr>
          <w:rFonts w:ascii="Calibri" w:hAnsi="Calibri" w:cs="Calibri"/>
          <w:sz w:val="22"/>
          <w:szCs w:val="22"/>
        </w:rPr>
        <w:t>14:3 (1999), p</w:t>
      </w:r>
      <w:r w:rsidRPr="00590282">
        <w:rPr>
          <w:rFonts w:ascii="Calibri" w:hAnsi="Calibri" w:cs="Calibri"/>
          <w:sz w:val="22"/>
          <w:szCs w:val="22"/>
        </w:rPr>
        <w:t>p. 1-12.</w:t>
      </w:r>
    </w:p>
    <w:p w14:paraId="682E0510" w14:textId="48851E37" w:rsidR="00590282" w:rsidRDefault="00590282" w:rsidP="00590282">
      <w:pPr>
        <w:pStyle w:val="FootnoteText"/>
        <w:rPr>
          <w:rFonts w:ascii="Calibri" w:hAnsi="Calibri" w:cs="Calibri"/>
          <w:sz w:val="22"/>
          <w:szCs w:val="22"/>
        </w:rPr>
      </w:pPr>
    </w:p>
    <w:p w14:paraId="1862BB91" w14:textId="77777777" w:rsidR="00590282" w:rsidRPr="008F071C" w:rsidRDefault="00590282" w:rsidP="00590282">
      <w:pPr>
        <w:spacing w:after="0"/>
        <w:rPr>
          <w:rFonts w:ascii="Calibri" w:hAnsi="Calibri" w:cs="Calibri"/>
        </w:rPr>
      </w:pPr>
      <w:r w:rsidRPr="008F071C">
        <w:rPr>
          <w:rFonts w:ascii="Calibri" w:hAnsi="Calibri" w:cs="Calibri"/>
        </w:rPr>
        <w:t xml:space="preserve">Curry Patrick, </w:t>
      </w:r>
      <w:r w:rsidRPr="008F071C">
        <w:rPr>
          <w:rFonts w:ascii="Calibri" w:hAnsi="Calibri" w:cs="Calibri"/>
          <w:i/>
          <w:iCs/>
        </w:rPr>
        <w:t xml:space="preserve">Enchantment: Wonder in modern life </w:t>
      </w:r>
      <w:r w:rsidRPr="008F071C">
        <w:rPr>
          <w:rFonts w:ascii="Calibri" w:hAnsi="Calibri" w:cs="Calibri"/>
        </w:rPr>
        <w:t>(Edinburgh: Floris Books, 2019).</w:t>
      </w:r>
    </w:p>
    <w:p w14:paraId="01935731" w14:textId="77777777" w:rsidR="00590282" w:rsidRPr="008F071C" w:rsidRDefault="00590282" w:rsidP="00590282">
      <w:pPr>
        <w:spacing w:after="0"/>
        <w:rPr>
          <w:rFonts w:ascii="Calibri" w:hAnsi="Calibri" w:cs="Calibri"/>
        </w:rPr>
      </w:pPr>
      <w:r w:rsidRPr="008F071C">
        <w:rPr>
          <w:rFonts w:ascii="Calibri" w:hAnsi="Calibri" w:cs="Calibri"/>
        </w:rPr>
        <w:t>Hall</w:t>
      </w:r>
      <w:r>
        <w:rPr>
          <w:rFonts w:ascii="Calibri" w:hAnsi="Calibri" w:cs="Calibri"/>
        </w:rPr>
        <w:t xml:space="preserve"> </w:t>
      </w:r>
      <w:r w:rsidRPr="008F071C">
        <w:rPr>
          <w:rFonts w:ascii="Calibri" w:hAnsi="Calibri" w:cs="Calibri"/>
        </w:rPr>
        <w:t xml:space="preserve">Manly, </w:t>
      </w:r>
      <w:r w:rsidRPr="008F071C">
        <w:rPr>
          <w:rFonts w:ascii="Calibri" w:hAnsi="Calibri" w:cs="Calibri"/>
          <w:i/>
          <w:iCs/>
        </w:rPr>
        <w:t xml:space="preserve">The Secret Teachings of All Ages </w:t>
      </w:r>
      <w:r w:rsidRPr="008F071C">
        <w:rPr>
          <w:rFonts w:ascii="Calibri" w:hAnsi="Calibri" w:cs="Calibri"/>
        </w:rPr>
        <w:t>(New York: Penguin, 2003</w:t>
      </w:r>
      <w:r>
        <w:rPr>
          <w:rFonts w:ascii="Calibri" w:hAnsi="Calibri" w:cs="Calibri"/>
        </w:rPr>
        <w:t>).</w:t>
      </w:r>
    </w:p>
    <w:p w14:paraId="5AEA646A" w14:textId="77777777" w:rsidR="00590282" w:rsidRPr="008F071C" w:rsidRDefault="00590282" w:rsidP="00590282">
      <w:pPr>
        <w:pStyle w:val="FootnoteText"/>
        <w:rPr>
          <w:rFonts w:ascii="Calibri" w:hAnsi="Calibri" w:cs="Calibri"/>
          <w:sz w:val="22"/>
          <w:szCs w:val="22"/>
        </w:rPr>
      </w:pPr>
      <w:proofErr w:type="spellStart"/>
      <w:r w:rsidRPr="008F071C">
        <w:rPr>
          <w:rFonts w:ascii="Calibri" w:hAnsi="Calibri" w:cs="Calibri"/>
          <w:sz w:val="22"/>
          <w:szCs w:val="22"/>
        </w:rPr>
        <w:t>Hennink</w:t>
      </w:r>
      <w:proofErr w:type="spellEnd"/>
      <w:r>
        <w:rPr>
          <w:rFonts w:ascii="Calibri" w:hAnsi="Calibri" w:cs="Calibri"/>
          <w:sz w:val="22"/>
          <w:szCs w:val="22"/>
        </w:rPr>
        <w:t xml:space="preserve"> </w:t>
      </w:r>
      <w:r w:rsidRPr="008F071C">
        <w:rPr>
          <w:rFonts w:ascii="Calibri" w:hAnsi="Calibri" w:cs="Calibri"/>
          <w:sz w:val="22"/>
          <w:szCs w:val="22"/>
        </w:rPr>
        <w:t xml:space="preserve">Monique, </w:t>
      </w:r>
      <w:proofErr w:type="spellStart"/>
      <w:r w:rsidRPr="008F071C">
        <w:rPr>
          <w:rFonts w:ascii="Calibri" w:hAnsi="Calibri" w:cs="Calibri"/>
          <w:sz w:val="22"/>
          <w:szCs w:val="22"/>
        </w:rPr>
        <w:t>Hutter</w:t>
      </w:r>
      <w:proofErr w:type="spellEnd"/>
      <w:r w:rsidRPr="008F071C">
        <w:rPr>
          <w:rFonts w:ascii="Calibri" w:hAnsi="Calibri" w:cs="Calibri"/>
          <w:sz w:val="22"/>
          <w:szCs w:val="22"/>
        </w:rPr>
        <w:t xml:space="preserve"> Inge and Bailey</w:t>
      </w:r>
      <w:r>
        <w:rPr>
          <w:rFonts w:ascii="Calibri" w:hAnsi="Calibri" w:cs="Calibri"/>
          <w:sz w:val="22"/>
          <w:szCs w:val="22"/>
        </w:rPr>
        <w:t xml:space="preserve"> </w:t>
      </w:r>
      <w:r w:rsidRPr="008F071C">
        <w:rPr>
          <w:rFonts w:ascii="Calibri" w:hAnsi="Calibri" w:cs="Calibri"/>
          <w:sz w:val="22"/>
          <w:szCs w:val="22"/>
        </w:rPr>
        <w:t xml:space="preserve">Ajay, </w:t>
      </w:r>
      <w:r w:rsidRPr="008F071C">
        <w:rPr>
          <w:rFonts w:ascii="Calibri" w:hAnsi="Calibri" w:cs="Calibri"/>
          <w:i/>
          <w:iCs/>
          <w:sz w:val="22"/>
          <w:szCs w:val="22"/>
        </w:rPr>
        <w:t xml:space="preserve">Qualitative Research Methods </w:t>
      </w:r>
      <w:r w:rsidRPr="008F071C">
        <w:rPr>
          <w:rFonts w:ascii="Calibri" w:hAnsi="Calibri" w:cs="Calibri"/>
          <w:sz w:val="22"/>
          <w:szCs w:val="22"/>
        </w:rPr>
        <w:t>(London: Sage Publications Ltd, 2020)</w:t>
      </w:r>
      <w:r>
        <w:rPr>
          <w:rFonts w:ascii="Calibri" w:hAnsi="Calibri" w:cs="Calibri"/>
          <w:sz w:val="22"/>
          <w:szCs w:val="22"/>
        </w:rPr>
        <w:t>.</w:t>
      </w:r>
    </w:p>
    <w:p w14:paraId="6D1B0B2D" w14:textId="77777777" w:rsidR="00590282" w:rsidRPr="008F071C" w:rsidRDefault="00590282" w:rsidP="00590282">
      <w:pPr>
        <w:spacing w:after="0"/>
        <w:rPr>
          <w:rFonts w:ascii="Calibri" w:hAnsi="Calibri" w:cs="Calibri"/>
        </w:rPr>
      </w:pPr>
    </w:p>
    <w:p w14:paraId="5CB52224" w14:textId="77777777" w:rsidR="00590282" w:rsidRPr="008F071C" w:rsidRDefault="00590282" w:rsidP="00590282">
      <w:pPr>
        <w:pStyle w:val="FootnoteText"/>
        <w:rPr>
          <w:rFonts w:ascii="Calibri" w:hAnsi="Calibri" w:cs="Calibri"/>
          <w:sz w:val="22"/>
          <w:szCs w:val="22"/>
        </w:rPr>
      </w:pPr>
      <w:r w:rsidRPr="008F071C">
        <w:rPr>
          <w:rFonts w:ascii="Calibri" w:hAnsi="Calibri" w:cs="Calibri"/>
          <w:sz w:val="22"/>
          <w:szCs w:val="22"/>
        </w:rPr>
        <w:t>Josephson-Storm</w:t>
      </w:r>
      <w:r>
        <w:rPr>
          <w:rFonts w:ascii="Calibri" w:hAnsi="Calibri" w:cs="Calibri"/>
          <w:sz w:val="22"/>
          <w:szCs w:val="22"/>
        </w:rPr>
        <w:t xml:space="preserve"> </w:t>
      </w:r>
      <w:r w:rsidRPr="008F071C">
        <w:rPr>
          <w:rFonts w:ascii="Calibri" w:hAnsi="Calibri" w:cs="Calibri"/>
          <w:sz w:val="22"/>
          <w:szCs w:val="22"/>
        </w:rPr>
        <w:t xml:space="preserve">Jason A., </w:t>
      </w:r>
      <w:r w:rsidRPr="008F071C">
        <w:rPr>
          <w:rFonts w:ascii="Calibri" w:hAnsi="Calibri" w:cs="Calibri"/>
          <w:i/>
          <w:iCs/>
          <w:sz w:val="22"/>
          <w:szCs w:val="22"/>
        </w:rPr>
        <w:t xml:space="preserve">The Myth of Disenchantment: Magic, Modernity, and the Birth of the Human Sciences </w:t>
      </w:r>
      <w:r w:rsidRPr="008F071C">
        <w:rPr>
          <w:rFonts w:ascii="Calibri" w:hAnsi="Calibri" w:cs="Calibri"/>
          <w:sz w:val="22"/>
          <w:szCs w:val="22"/>
        </w:rPr>
        <w:t>(London: The University of Chicago Press, 2017)</w:t>
      </w:r>
      <w:r>
        <w:rPr>
          <w:rFonts w:ascii="Calibri" w:hAnsi="Calibri" w:cs="Calibri"/>
          <w:sz w:val="22"/>
          <w:szCs w:val="22"/>
        </w:rPr>
        <w:t>.</w:t>
      </w:r>
    </w:p>
    <w:p w14:paraId="4535C140" w14:textId="3A439283" w:rsidR="00590282" w:rsidRDefault="00590282" w:rsidP="00590282">
      <w:pPr>
        <w:spacing w:after="0"/>
        <w:rPr>
          <w:rFonts w:ascii="Calibri" w:hAnsi="Calibri" w:cs="Calibri"/>
        </w:rPr>
      </w:pPr>
      <w:r w:rsidRPr="008F071C">
        <w:rPr>
          <w:rFonts w:ascii="Calibri" w:hAnsi="Calibri" w:cs="Calibri"/>
        </w:rPr>
        <w:t>Levy-Bruhl</w:t>
      </w:r>
      <w:r>
        <w:rPr>
          <w:rFonts w:ascii="Calibri" w:hAnsi="Calibri" w:cs="Calibri"/>
        </w:rPr>
        <w:t xml:space="preserve"> </w:t>
      </w:r>
      <w:r w:rsidRPr="008F071C">
        <w:rPr>
          <w:rFonts w:ascii="Calibri" w:hAnsi="Calibri" w:cs="Calibri"/>
        </w:rPr>
        <w:t xml:space="preserve">Lucien, </w:t>
      </w:r>
      <w:r w:rsidRPr="008F071C">
        <w:rPr>
          <w:rFonts w:ascii="Calibri" w:hAnsi="Calibri" w:cs="Calibri"/>
          <w:i/>
          <w:iCs/>
        </w:rPr>
        <w:t xml:space="preserve">How Natives Think </w:t>
      </w:r>
      <w:r w:rsidRPr="008F071C">
        <w:rPr>
          <w:rFonts w:ascii="Calibri" w:hAnsi="Calibri" w:cs="Calibri"/>
        </w:rPr>
        <w:t>(London: George Allen &amp;Unwin Ltd, 1926), p</w:t>
      </w:r>
      <w:r>
        <w:rPr>
          <w:rFonts w:ascii="Calibri" w:hAnsi="Calibri" w:cs="Calibri"/>
        </w:rPr>
        <w:t>p. 69-104.</w:t>
      </w:r>
    </w:p>
    <w:p w14:paraId="5B5A6322" w14:textId="2ABA3952" w:rsidR="00590282" w:rsidRPr="008F071C" w:rsidRDefault="00590282" w:rsidP="00590282">
      <w:pPr>
        <w:spacing w:after="0"/>
        <w:rPr>
          <w:rFonts w:ascii="Calibri" w:hAnsi="Calibri" w:cs="Calibri"/>
        </w:rPr>
      </w:pPr>
      <w:proofErr w:type="spellStart"/>
      <w:r w:rsidRPr="008F071C">
        <w:rPr>
          <w:rFonts w:ascii="Calibri" w:hAnsi="Calibri" w:cs="Calibri"/>
        </w:rPr>
        <w:t>Mistlberger</w:t>
      </w:r>
      <w:proofErr w:type="spellEnd"/>
      <w:r>
        <w:rPr>
          <w:rFonts w:ascii="Calibri" w:hAnsi="Calibri" w:cs="Calibri"/>
        </w:rPr>
        <w:t xml:space="preserve"> </w:t>
      </w:r>
      <w:r w:rsidRPr="008F071C">
        <w:rPr>
          <w:rFonts w:ascii="Calibri" w:hAnsi="Calibri" w:cs="Calibri"/>
        </w:rPr>
        <w:t xml:space="preserve">P. T., </w:t>
      </w:r>
      <w:r w:rsidRPr="008F071C">
        <w:rPr>
          <w:rFonts w:ascii="Calibri" w:hAnsi="Calibri" w:cs="Calibri"/>
          <w:i/>
          <w:iCs/>
        </w:rPr>
        <w:t>The Three Dangerous Magi</w:t>
      </w:r>
      <w:r w:rsidRPr="008F071C">
        <w:rPr>
          <w:rFonts w:ascii="Calibri" w:hAnsi="Calibri" w:cs="Calibri"/>
        </w:rPr>
        <w:t xml:space="preserve"> (Winchester: Orca Books, 2010).</w:t>
      </w:r>
    </w:p>
    <w:p w14:paraId="35E4F0EF" w14:textId="77777777" w:rsidR="00590282" w:rsidRPr="00590282" w:rsidRDefault="00590282" w:rsidP="00590282">
      <w:pPr>
        <w:pStyle w:val="FootnoteText"/>
        <w:rPr>
          <w:rFonts w:ascii="Calibri" w:hAnsi="Calibri" w:cs="Calibri"/>
          <w:sz w:val="22"/>
          <w:szCs w:val="22"/>
        </w:rPr>
      </w:pPr>
    </w:p>
    <w:p w14:paraId="0472CFC8" w14:textId="77777777" w:rsidR="00590282" w:rsidRPr="008F071C" w:rsidRDefault="00590282" w:rsidP="00590282">
      <w:pPr>
        <w:pStyle w:val="FootnoteText"/>
        <w:rPr>
          <w:rFonts w:ascii="Calibri" w:hAnsi="Calibri" w:cs="Calibri"/>
          <w:sz w:val="22"/>
          <w:szCs w:val="22"/>
        </w:rPr>
      </w:pPr>
      <w:r w:rsidRPr="008F071C">
        <w:rPr>
          <w:rFonts w:ascii="Calibri" w:hAnsi="Calibri" w:cs="Calibri"/>
          <w:sz w:val="22"/>
          <w:szCs w:val="22"/>
        </w:rPr>
        <w:t xml:space="preserve">Reader John et al, ‘Enchantment – Disenchantment-Re-Enchantment: </w:t>
      </w:r>
      <w:proofErr w:type="spellStart"/>
      <w:r w:rsidRPr="008F071C">
        <w:rPr>
          <w:rFonts w:ascii="Calibri" w:hAnsi="Calibri" w:cs="Calibri"/>
          <w:sz w:val="22"/>
          <w:szCs w:val="22"/>
        </w:rPr>
        <w:t>Postdigital</w:t>
      </w:r>
      <w:proofErr w:type="spellEnd"/>
      <w:r w:rsidRPr="008F071C">
        <w:rPr>
          <w:rFonts w:ascii="Calibri" w:hAnsi="Calibri" w:cs="Calibri"/>
          <w:sz w:val="22"/>
          <w:szCs w:val="22"/>
        </w:rPr>
        <w:t xml:space="preserve"> Relationships between Science, Philosophy, and Religion’, </w:t>
      </w:r>
      <w:proofErr w:type="spellStart"/>
      <w:r w:rsidRPr="008F071C">
        <w:rPr>
          <w:rFonts w:ascii="Calibri" w:hAnsi="Calibri" w:cs="Calibri"/>
          <w:i/>
          <w:iCs/>
          <w:sz w:val="22"/>
          <w:szCs w:val="22"/>
        </w:rPr>
        <w:t>Postdigital</w:t>
      </w:r>
      <w:proofErr w:type="spellEnd"/>
      <w:r w:rsidRPr="008F071C">
        <w:rPr>
          <w:rFonts w:ascii="Calibri" w:hAnsi="Calibri" w:cs="Calibri"/>
          <w:i/>
          <w:iCs/>
          <w:sz w:val="22"/>
          <w:szCs w:val="22"/>
        </w:rPr>
        <w:t xml:space="preserve"> Science and Education </w:t>
      </w:r>
      <w:r w:rsidRPr="008F071C">
        <w:rPr>
          <w:rFonts w:ascii="Calibri" w:hAnsi="Calibri" w:cs="Calibri"/>
          <w:sz w:val="22"/>
          <w:szCs w:val="22"/>
        </w:rPr>
        <w:t>(2020).</w:t>
      </w:r>
    </w:p>
    <w:p w14:paraId="14AEEB9C" w14:textId="77777777" w:rsidR="00590282" w:rsidRDefault="00590282" w:rsidP="00590282">
      <w:pPr>
        <w:spacing w:after="0"/>
        <w:rPr>
          <w:rFonts w:ascii="Calibri" w:hAnsi="Calibri" w:cs="Calibri"/>
        </w:rPr>
      </w:pPr>
    </w:p>
    <w:p w14:paraId="0170C8C3" w14:textId="39B5F619" w:rsidR="00590282" w:rsidRPr="008F071C" w:rsidRDefault="00590282" w:rsidP="00590282">
      <w:pPr>
        <w:spacing w:after="0"/>
        <w:rPr>
          <w:rFonts w:ascii="Calibri" w:hAnsi="Calibri" w:cs="Calibri"/>
        </w:rPr>
      </w:pPr>
      <w:r w:rsidRPr="008F071C">
        <w:rPr>
          <w:rFonts w:ascii="Calibri" w:hAnsi="Calibri" w:cs="Calibri"/>
        </w:rPr>
        <w:t>Roney-Dougal</w:t>
      </w:r>
      <w:r>
        <w:rPr>
          <w:rFonts w:ascii="Calibri" w:hAnsi="Calibri" w:cs="Calibri"/>
        </w:rPr>
        <w:t xml:space="preserve"> </w:t>
      </w:r>
      <w:r w:rsidRPr="008F071C">
        <w:rPr>
          <w:rFonts w:ascii="Calibri" w:hAnsi="Calibri" w:cs="Calibri"/>
        </w:rPr>
        <w:t xml:space="preserve">Serena, </w:t>
      </w:r>
      <w:r w:rsidRPr="008F071C">
        <w:rPr>
          <w:rFonts w:ascii="Calibri" w:hAnsi="Calibri" w:cs="Calibri"/>
          <w:i/>
          <w:iCs/>
        </w:rPr>
        <w:t>Where Science and Magic Meet</w:t>
      </w:r>
      <w:r w:rsidRPr="008F071C">
        <w:rPr>
          <w:rFonts w:ascii="Calibri" w:hAnsi="Calibri" w:cs="Calibri"/>
        </w:rPr>
        <w:t xml:space="preserve"> (Street: Green Magic, 2010)</w:t>
      </w:r>
      <w:r>
        <w:rPr>
          <w:rFonts w:ascii="Calibri" w:hAnsi="Calibri" w:cs="Calibri"/>
        </w:rPr>
        <w:t>.</w:t>
      </w:r>
    </w:p>
    <w:p w14:paraId="250E81AE" w14:textId="159180F0" w:rsidR="00590282" w:rsidRDefault="00590282" w:rsidP="00590282">
      <w:pPr>
        <w:spacing w:after="0" w:line="240" w:lineRule="auto"/>
        <w:rPr>
          <w:rFonts w:cstheme="minorHAnsi"/>
          <w:b/>
          <w:bCs/>
        </w:rPr>
      </w:pPr>
    </w:p>
    <w:p w14:paraId="1FF9EB33" w14:textId="71873F8C" w:rsidR="00590282" w:rsidRPr="0042669F" w:rsidRDefault="00590282" w:rsidP="00590282">
      <w:pPr>
        <w:spacing w:after="0" w:line="240" w:lineRule="auto"/>
        <w:rPr>
          <w:rFonts w:ascii="Calibri" w:hAnsi="Calibri" w:cs="Calibri"/>
          <w:b/>
          <w:bCs/>
        </w:rPr>
      </w:pPr>
      <w:r w:rsidRPr="0042669F">
        <w:rPr>
          <w:rFonts w:ascii="Calibri" w:hAnsi="Calibri" w:cs="Calibri"/>
          <w:b/>
          <w:bCs/>
        </w:rPr>
        <w:t>Appendix – Questionnaire</w:t>
      </w:r>
    </w:p>
    <w:p w14:paraId="5D3167CD" w14:textId="6C9DDA3D" w:rsidR="00590282" w:rsidRPr="0042669F" w:rsidRDefault="00590282" w:rsidP="00590282">
      <w:pPr>
        <w:spacing w:after="0" w:line="240" w:lineRule="auto"/>
        <w:rPr>
          <w:rFonts w:ascii="Calibri" w:hAnsi="Calibri" w:cs="Calibri"/>
          <w:b/>
          <w:bCs/>
        </w:rPr>
      </w:pPr>
    </w:p>
    <w:p w14:paraId="09261429" w14:textId="77777777" w:rsidR="00590282" w:rsidRPr="00590282" w:rsidRDefault="00590282" w:rsidP="00590282">
      <w:pPr>
        <w:spacing w:after="0" w:line="324" w:lineRule="auto"/>
        <w:rPr>
          <w:rFonts w:ascii="Calibri" w:eastAsia="Times New Roman" w:hAnsi="Calibri" w:cs="Calibri"/>
          <w:b/>
          <w:bCs/>
          <w:color w:val="202124"/>
          <w:lang w:eastAsia="en-GB"/>
        </w:rPr>
      </w:pPr>
      <w:r w:rsidRPr="00590282">
        <w:rPr>
          <w:rFonts w:ascii="Calibri" w:eastAsia="Times New Roman" w:hAnsi="Calibri" w:cs="Calibri"/>
          <w:b/>
          <w:bCs/>
          <w:color w:val="202124"/>
          <w:lang w:eastAsia="en-GB"/>
        </w:rPr>
        <w:t>What are your experiences of online sacred women's groups?</w:t>
      </w:r>
    </w:p>
    <w:p w14:paraId="14E01D6C" w14:textId="41101E7E" w:rsidR="00590282" w:rsidRPr="00590282" w:rsidRDefault="00590282" w:rsidP="00590282">
      <w:pPr>
        <w:spacing w:after="0" w:line="300" w:lineRule="atLeast"/>
        <w:rPr>
          <w:rFonts w:ascii="Calibri" w:eastAsia="Times New Roman" w:hAnsi="Calibri" w:cs="Calibri"/>
          <w:color w:val="202124"/>
          <w:spacing w:val="3"/>
          <w:lang w:eastAsia="en-GB"/>
        </w:rPr>
      </w:pPr>
      <w:r w:rsidRPr="00590282">
        <w:rPr>
          <w:rFonts w:ascii="Calibri" w:eastAsia="Times New Roman" w:hAnsi="Calibri" w:cs="Calibri"/>
          <w:color w:val="202124"/>
          <w:spacing w:val="3"/>
          <w:lang w:eastAsia="en-GB"/>
        </w:rPr>
        <w:t xml:space="preserve">I am Manni Dillon and I am conducting this research project through the University of Wales Trinity Saint David. The purpose of this research project is to examine beliefs and experiences regarding online sacred women's groups. This questionnaire is completely </w:t>
      </w:r>
      <w:r w:rsidRPr="0042669F">
        <w:rPr>
          <w:rFonts w:ascii="Calibri" w:eastAsia="Times New Roman" w:hAnsi="Calibri" w:cs="Calibri"/>
          <w:color w:val="202124"/>
          <w:spacing w:val="3"/>
          <w:lang w:eastAsia="en-GB"/>
        </w:rPr>
        <w:t>confidential,</w:t>
      </w:r>
      <w:r w:rsidRPr="00590282">
        <w:rPr>
          <w:rFonts w:ascii="Calibri" w:eastAsia="Times New Roman" w:hAnsi="Calibri" w:cs="Calibri"/>
          <w:color w:val="202124"/>
          <w:spacing w:val="3"/>
          <w:lang w:eastAsia="en-GB"/>
        </w:rPr>
        <w:t xml:space="preserve"> and all your responses will be anonymous, please do not write your name on this questionnaire. Your participation is entirely voluntary and if there are any questions that make you feel uncomfortable, please feel free to skip them and you can withdraw from this project at any time. Thank you for your time and cooperation.</w:t>
      </w:r>
    </w:p>
    <w:p w14:paraId="7ECA4414" w14:textId="226E9853" w:rsidR="00590282" w:rsidRPr="0042669F" w:rsidRDefault="00590282" w:rsidP="00590282">
      <w:pPr>
        <w:spacing w:after="0" w:line="240" w:lineRule="auto"/>
        <w:rPr>
          <w:rFonts w:ascii="Calibri" w:hAnsi="Calibri" w:cs="Calibri"/>
        </w:rPr>
      </w:pPr>
    </w:p>
    <w:p w14:paraId="33318EB0" w14:textId="77777777" w:rsidR="0042669F" w:rsidRPr="0042669F" w:rsidRDefault="0042669F" w:rsidP="0042669F">
      <w:pPr>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1. How long have you been part of an online sacred women's group?</w:t>
      </w:r>
    </w:p>
    <w:p w14:paraId="0F3BB1F5" w14:textId="77777777" w:rsidR="0042669F" w:rsidRPr="0042669F" w:rsidRDefault="0042669F" w:rsidP="0042669F">
      <w:pPr>
        <w:pStyle w:val="ListParagraph"/>
        <w:numPr>
          <w:ilvl w:val="0"/>
          <w:numId w:val="1"/>
        </w:numPr>
        <w:spacing w:after="0" w:line="240" w:lineRule="auto"/>
        <w:rPr>
          <w:rFonts w:ascii="Calibri" w:eastAsia="Times New Roman" w:hAnsi="Calibri" w:cs="Calibri"/>
          <w:color w:val="202124"/>
          <w:lang w:eastAsia="en-GB"/>
        </w:rPr>
      </w:pPr>
      <w:r w:rsidRPr="0042669F">
        <w:rPr>
          <w:rFonts w:ascii="Calibri" w:eastAsia="Times New Roman" w:hAnsi="Calibri" w:cs="Calibri"/>
          <w:color w:val="202124"/>
          <w:spacing w:val="3"/>
          <w:lang w:eastAsia="en-GB"/>
        </w:rPr>
        <w:t>Under a year</w:t>
      </w:r>
    </w:p>
    <w:p w14:paraId="0026CA71" w14:textId="77777777" w:rsidR="0042669F" w:rsidRPr="0042669F" w:rsidRDefault="0042669F" w:rsidP="0042669F">
      <w:pPr>
        <w:pStyle w:val="ListParagraph"/>
        <w:numPr>
          <w:ilvl w:val="0"/>
          <w:numId w:val="1"/>
        </w:numPr>
        <w:spacing w:after="0" w:line="240" w:lineRule="auto"/>
        <w:rPr>
          <w:rFonts w:ascii="Calibri" w:eastAsia="Times New Roman" w:hAnsi="Calibri" w:cs="Calibri"/>
          <w:color w:val="202124"/>
          <w:lang w:eastAsia="en-GB"/>
        </w:rPr>
      </w:pPr>
      <w:r w:rsidRPr="0042669F">
        <w:rPr>
          <w:rFonts w:ascii="Calibri" w:eastAsia="Times New Roman" w:hAnsi="Calibri" w:cs="Calibri"/>
          <w:color w:val="202124"/>
          <w:spacing w:val="3"/>
          <w:lang w:eastAsia="en-GB"/>
        </w:rPr>
        <w:t>1-2 years</w:t>
      </w:r>
    </w:p>
    <w:p w14:paraId="6B30FAA2" w14:textId="77777777" w:rsidR="0042669F" w:rsidRPr="0042669F" w:rsidRDefault="0042669F" w:rsidP="0042669F">
      <w:pPr>
        <w:pStyle w:val="ListParagraph"/>
        <w:numPr>
          <w:ilvl w:val="0"/>
          <w:numId w:val="1"/>
        </w:numPr>
        <w:spacing w:after="0" w:line="240" w:lineRule="auto"/>
        <w:rPr>
          <w:rFonts w:ascii="Calibri" w:eastAsia="Times New Roman" w:hAnsi="Calibri" w:cs="Calibri"/>
          <w:color w:val="202124"/>
          <w:lang w:eastAsia="en-GB"/>
        </w:rPr>
      </w:pPr>
      <w:r w:rsidRPr="0042669F">
        <w:rPr>
          <w:rFonts w:ascii="Calibri" w:eastAsia="Times New Roman" w:hAnsi="Calibri" w:cs="Calibri"/>
          <w:color w:val="202124"/>
          <w:spacing w:val="3"/>
          <w:lang w:eastAsia="en-GB"/>
        </w:rPr>
        <w:t>3+ years</w:t>
      </w:r>
    </w:p>
    <w:p w14:paraId="510C11C9" w14:textId="77777777" w:rsidR="0042669F" w:rsidRPr="0042669F" w:rsidRDefault="0042669F" w:rsidP="0042669F">
      <w:pPr>
        <w:pStyle w:val="ListParagraph"/>
        <w:numPr>
          <w:ilvl w:val="0"/>
          <w:numId w:val="1"/>
        </w:numPr>
        <w:spacing w:after="0" w:line="240" w:lineRule="auto"/>
        <w:rPr>
          <w:rFonts w:ascii="Calibri" w:eastAsia="Times New Roman" w:hAnsi="Calibri" w:cs="Calibri"/>
          <w:color w:val="202124"/>
          <w:lang w:eastAsia="en-GB"/>
        </w:rPr>
      </w:pPr>
      <w:r w:rsidRPr="0042669F">
        <w:rPr>
          <w:rFonts w:ascii="Calibri" w:eastAsia="Times New Roman" w:hAnsi="Calibri" w:cs="Calibri"/>
          <w:color w:val="202124"/>
          <w:spacing w:val="3"/>
          <w:lang w:eastAsia="en-GB"/>
        </w:rPr>
        <w:t>Other:</w:t>
      </w:r>
    </w:p>
    <w:p w14:paraId="07D665BF" w14:textId="57133AB0" w:rsidR="00590282" w:rsidRPr="0042669F" w:rsidRDefault="00590282" w:rsidP="00590282">
      <w:pPr>
        <w:spacing w:after="0" w:line="240" w:lineRule="auto"/>
        <w:rPr>
          <w:rFonts w:ascii="Calibri" w:hAnsi="Calibri" w:cs="Calibri"/>
        </w:rPr>
      </w:pPr>
    </w:p>
    <w:p w14:paraId="67BFCAB5" w14:textId="77777777" w:rsidR="0042669F" w:rsidRPr="0042669F" w:rsidRDefault="0042669F" w:rsidP="0042669F">
      <w:pPr>
        <w:shd w:val="clear" w:color="auto" w:fill="FFFFFF"/>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2. How many online sacred women's groups are you a part of?</w:t>
      </w:r>
    </w:p>
    <w:p w14:paraId="43D081E2" w14:textId="77777777" w:rsidR="0042669F" w:rsidRPr="0042669F" w:rsidRDefault="0042669F" w:rsidP="0042669F">
      <w:pPr>
        <w:pStyle w:val="ListParagraph"/>
        <w:numPr>
          <w:ilvl w:val="0"/>
          <w:numId w:val="2"/>
        </w:numPr>
        <w:shd w:val="clear" w:color="auto" w:fill="FFFFFF"/>
        <w:spacing w:after="0" w:line="240" w:lineRule="auto"/>
        <w:rPr>
          <w:rFonts w:ascii="Calibri" w:eastAsia="Times New Roman" w:hAnsi="Calibri" w:cs="Calibri"/>
          <w:color w:val="202124"/>
          <w:lang w:eastAsia="en-GB"/>
        </w:rPr>
      </w:pPr>
      <w:r w:rsidRPr="0042669F">
        <w:rPr>
          <w:rFonts w:ascii="Calibri" w:eastAsia="Times New Roman" w:hAnsi="Calibri" w:cs="Calibri"/>
          <w:color w:val="202124"/>
          <w:spacing w:val="3"/>
          <w:lang w:eastAsia="en-GB"/>
        </w:rPr>
        <w:lastRenderedPageBreak/>
        <w:t>1</w:t>
      </w:r>
    </w:p>
    <w:p w14:paraId="311385CE" w14:textId="77777777" w:rsidR="0042669F" w:rsidRPr="0042669F" w:rsidRDefault="0042669F" w:rsidP="0042669F">
      <w:pPr>
        <w:pStyle w:val="ListParagraph"/>
        <w:numPr>
          <w:ilvl w:val="0"/>
          <w:numId w:val="2"/>
        </w:numPr>
        <w:shd w:val="clear" w:color="auto" w:fill="FFFFFF"/>
        <w:spacing w:after="0" w:line="240" w:lineRule="auto"/>
        <w:rPr>
          <w:rFonts w:ascii="Calibri" w:eastAsia="Times New Roman" w:hAnsi="Calibri" w:cs="Calibri"/>
          <w:color w:val="202124"/>
          <w:lang w:eastAsia="en-GB"/>
        </w:rPr>
      </w:pPr>
      <w:r w:rsidRPr="0042669F">
        <w:rPr>
          <w:rFonts w:ascii="Calibri" w:eastAsia="Times New Roman" w:hAnsi="Calibri" w:cs="Calibri"/>
          <w:color w:val="202124"/>
          <w:spacing w:val="3"/>
          <w:lang w:eastAsia="en-GB"/>
        </w:rPr>
        <w:t>2</w:t>
      </w:r>
    </w:p>
    <w:p w14:paraId="55010D58" w14:textId="77777777" w:rsidR="0042669F" w:rsidRPr="0042669F" w:rsidRDefault="0042669F" w:rsidP="0042669F">
      <w:pPr>
        <w:pStyle w:val="ListParagraph"/>
        <w:numPr>
          <w:ilvl w:val="0"/>
          <w:numId w:val="2"/>
        </w:numPr>
        <w:shd w:val="clear" w:color="auto" w:fill="FFFFFF"/>
        <w:spacing w:after="0" w:line="240" w:lineRule="auto"/>
        <w:rPr>
          <w:rFonts w:ascii="Calibri" w:eastAsia="Times New Roman" w:hAnsi="Calibri" w:cs="Calibri"/>
          <w:color w:val="202124"/>
          <w:lang w:eastAsia="en-GB"/>
        </w:rPr>
      </w:pPr>
      <w:r w:rsidRPr="0042669F">
        <w:rPr>
          <w:rFonts w:ascii="Calibri" w:eastAsia="Times New Roman" w:hAnsi="Calibri" w:cs="Calibri"/>
          <w:color w:val="202124"/>
          <w:spacing w:val="3"/>
          <w:lang w:eastAsia="en-GB"/>
        </w:rPr>
        <w:t>3+</w:t>
      </w:r>
    </w:p>
    <w:p w14:paraId="5A7CD206" w14:textId="77777777" w:rsidR="0042669F" w:rsidRPr="0042669F" w:rsidRDefault="0042669F" w:rsidP="0042669F">
      <w:pPr>
        <w:shd w:val="clear" w:color="auto" w:fill="FFFFFF"/>
        <w:spacing w:line="360" w:lineRule="atLeast"/>
        <w:rPr>
          <w:rFonts w:ascii="Calibri" w:eastAsia="Times New Roman" w:hAnsi="Calibri" w:cs="Calibri"/>
          <w:color w:val="5F6368"/>
          <w:spacing w:val="4"/>
          <w:lang w:eastAsia="en-GB"/>
        </w:rPr>
      </w:pPr>
    </w:p>
    <w:p w14:paraId="79FB0904" w14:textId="220872D9" w:rsidR="0042669F" w:rsidRPr="0042669F" w:rsidRDefault="0042669F" w:rsidP="0042669F">
      <w:pPr>
        <w:shd w:val="clear" w:color="auto" w:fill="FFFFFF"/>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 xml:space="preserve">3. What drew you to join an online women's sacred group? </w:t>
      </w:r>
    </w:p>
    <w:p w14:paraId="6697A13F" w14:textId="77777777" w:rsidR="0042669F" w:rsidRPr="0042669F" w:rsidRDefault="0042669F" w:rsidP="0042669F">
      <w:pPr>
        <w:shd w:val="clear" w:color="auto" w:fill="FFFFFF"/>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4. Has being in the group changed the way you view the world? If so, please provide some examples and reasons for your answer.</w:t>
      </w:r>
    </w:p>
    <w:p w14:paraId="6C2240FF" w14:textId="77777777" w:rsidR="0042669F" w:rsidRPr="0042669F" w:rsidRDefault="0042669F" w:rsidP="0042669F">
      <w:pPr>
        <w:shd w:val="clear" w:color="auto" w:fill="FFFFFF"/>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5. Has being in the group changed any of your beliefs on magic and mystery? If so, please provide some examples and reasons for your answer.</w:t>
      </w:r>
    </w:p>
    <w:p w14:paraId="520F8033" w14:textId="77777777" w:rsidR="0042669F" w:rsidRPr="0042669F" w:rsidRDefault="0042669F" w:rsidP="0042669F">
      <w:pPr>
        <w:shd w:val="clear" w:color="auto" w:fill="FFFFFF"/>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6. Has being in the group changed any of your beliefs on rationality and logic? If so, please provide some examples and reasons for your answer.</w:t>
      </w:r>
    </w:p>
    <w:p w14:paraId="55078664" w14:textId="77777777" w:rsidR="0042669F" w:rsidRPr="0042669F" w:rsidRDefault="0042669F" w:rsidP="0042669F">
      <w:pPr>
        <w:shd w:val="clear" w:color="auto" w:fill="FFFFFF"/>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7. Has being in the group increased or decreased your sense of wonder? If so, please provide some examples and reasons for your answer.</w:t>
      </w:r>
    </w:p>
    <w:p w14:paraId="288C73D6" w14:textId="77777777" w:rsidR="0042669F" w:rsidRPr="0042669F" w:rsidRDefault="0042669F" w:rsidP="0042669F">
      <w:pPr>
        <w:shd w:val="clear" w:color="auto" w:fill="FFFFFF"/>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8. Within the group are there any rituals, activities or experiences that you particularly enjoy? If so, please provide some examples and reasons for your answer.</w:t>
      </w:r>
    </w:p>
    <w:p w14:paraId="5EDE619B" w14:textId="77777777" w:rsidR="0042669F" w:rsidRPr="0042669F" w:rsidRDefault="0042669F" w:rsidP="0042669F">
      <w:pPr>
        <w:shd w:val="clear" w:color="auto" w:fill="FFFFFF"/>
        <w:spacing w:line="360" w:lineRule="atLeast"/>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9. Within the group are there any rituals, activities or experiences that you do not particularly enjoy? If so, please provide some examples and reasons for your answer.</w:t>
      </w:r>
    </w:p>
    <w:p w14:paraId="17BF56A5" w14:textId="44A8BD53" w:rsidR="0042669F" w:rsidRPr="0042669F" w:rsidRDefault="0042669F" w:rsidP="00590282">
      <w:pPr>
        <w:spacing w:after="0" w:line="240" w:lineRule="auto"/>
        <w:rPr>
          <w:rFonts w:ascii="Calibri" w:eastAsia="Times New Roman" w:hAnsi="Calibri" w:cs="Calibri"/>
          <w:color w:val="202124"/>
          <w:spacing w:val="2"/>
          <w:lang w:eastAsia="en-GB"/>
        </w:rPr>
      </w:pPr>
      <w:r w:rsidRPr="0042669F">
        <w:rPr>
          <w:rFonts w:ascii="Calibri" w:eastAsia="Times New Roman" w:hAnsi="Calibri" w:cs="Calibri"/>
          <w:color w:val="202124"/>
          <w:spacing w:val="2"/>
          <w:lang w:eastAsia="en-GB"/>
        </w:rPr>
        <w:t>10. Do you feel the group has enhanced your connection with life? If so, please provide some examples and reasons for your answer.</w:t>
      </w:r>
    </w:p>
    <w:p w14:paraId="1873F1A5" w14:textId="330A0E46" w:rsidR="0042669F" w:rsidRPr="0042669F" w:rsidRDefault="0042669F" w:rsidP="00590282">
      <w:pPr>
        <w:spacing w:after="0" w:line="240" w:lineRule="auto"/>
        <w:rPr>
          <w:rFonts w:ascii="Calibri" w:eastAsia="Times New Roman" w:hAnsi="Calibri" w:cs="Calibri"/>
          <w:color w:val="202124"/>
          <w:spacing w:val="2"/>
          <w:lang w:eastAsia="en-GB"/>
        </w:rPr>
      </w:pPr>
    </w:p>
    <w:p w14:paraId="23D26A46" w14:textId="4314A045" w:rsidR="0042669F" w:rsidRPr="0042669F" w:rsidRDefault="0042669F" w:rsidP="00590282">
      <w:pPr>
        <w:spacing w:after="0" w:line="240" w:lineRule="auto"/>
        <w:rPr>
          <w:rFonts w:ascii="Calibri" w:hAnsi="Calibri" w:cs="Calibri"/>
        </w:rPr>
      </w:pPr>
      <w:r w:rsidRPr="0042669F">
        <w:rPr>
          <w:rFonts w:ascii="Calibri" w:hAnsi="Calibri" w:cs="Calibri"/>
        </w:rPr>
        <w:t>11. Do you feel the group has disconnected you to life? If so, please provide some examples and reasons for your answer.</w:t>
      </w:r>
    </w:p>
    <w:p w14:paraId="095555A1" w14:textId="29C2BDCF" w:rsidR="0042669F" w:rsidRPr="0042669F" w:rsidRDefault="0042669F" w:rsidP="00590282">
      <w:pPr>
        <w:spacing w:after="0" w:line="240" w:lineRule="auto"/>
        <w:rPr>
          <w:rFonts w:ascii="Calibri" w:hAnsi="Calibri" w:cs="Calibri"/>
        </w:rPr>
      </w:pPr>
    </w:p>
    <w:p w14:paraId="2EF86A25" w14:textId="06C2F699" w:rsidR="0042669F" w:rsidRPr="0042669F" w:rsidRDefault="0042669F" w:rsidP="00590282">
      <w:pPr>
        <w:spacing w:after="0" w:line="240" w:lineRule="auto"/>
        <w:rPr>
          <w:rFonts w:ascii="Calibri" w:hAnsi="Calibri" w:cs="Calibri"/>
        </w:rPr>
      </w:pPr>
      <w:r w:rsidRPr="0042669F">
        <w:rPr>
          <w:rFonts w:ascii="Calibri" w:hAnsi="Calibri" w:cs="Calibri"/>
        </w:rPr>
        <w:t>1</w:t>
      </w:r>
      <w:r w:rsidRPr="0042669F">
        <w:rPr>
          <w:rFonts w:ascii="Calibri" w:hAnsi="Calibri" w:cs="Calibri"/>
        </w:rPr>
        <w:t>2</w:t>
      </w:r>
      <w:r w:rsidRPr="0042669F">
        <w:rPr>
          <w:rFonts w:ascii="Calibri" w:hAnsi="Calibri" w:cs="Calibri"/>
        </w:rPr>
        <w:t>. Is there anything else you would like to share about your experiences regarding your online sacred women's group.</w:t>
      </w:r>
    </w:p>
    <w:sectPr w:rsidR="0042669F" w:rsidRPr="0042669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17DC2F" w14:textId="77777777" w:rsidR="0052094C" w:rsidRDefault="0052094C" w:rsidP="000F026A">
      <w:pPr>
        <w:spacing w:after="0" w:line="240" w:lineRule="auto"/>
      </w:pPr>
      <w:r>
        <w:separator/>
      </w:r>
    </w:p>
  </w:endnote>
  <w:endnote w:type="continuationSeparator" w:id="0">
    <w:p w14:paraId="2E33379F" w14:textId="77777777" w:rsidR="0052094C" w:rsidRDefault="0052094C" w:rsidP="000F02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C3FB10" w14:textId="77777777" w:rsidR="0052094C" w:rsidRDefault="0052094C" w:rsidP="000F026A">
      <w:pPr>
        <w:spacing w:after="0" w:line="240" w:lineRule="auto"/>
      </w:pPr>
      <w:r>
        <w:separator/>
      </w:r>
    </w:p>
  </w:footnote>
  <w:footnote w:type="continuationSeparator" w:id="0">
    <w:p w14:paraId="7E4A3912" w14:textId="77777777" w:rsidR="0052094C" w:rsidRDefault="0052094C" w:rsidP="000F026A">
      <w:pPr>
        <w:spacing w:after="0" w:line="240" w:lineRule="auto"/>
      </w:pPr>
      <w:r>
        <w:continuationSeparator/>
      </w:r>
    </w:p>
  </w:footnote>
  <w:footnote w:id="1">
    <w:p w14:paraId="38650088" w14:textId="77777777" w:rsidR="009865AD" w:rsidRPr="0027506E" w:rsidRDefault="009865AD" w:rsidP="00161000">
      <w:pPr>
        <w:pStyle w:val="FootnoteText"/>
      </w:pPr>
      <w:r>
        <w:rPr>
          <w:rStyle w:val="FootnoteReference"/>
        </w:rPr>
        <w:footnoteRef/>
      </w:r>
      <w:r>
        <w:t xml:space="preserve"> </w:t>
      </w:r>
      <w:bookmarkStart w:id="8" w:name="_Hlk47618762"/>
      <w:bookmarkStart w:id="9" w:name="_Hlk47980225"/>
      <w:r>
        <w:t xml:space="preserve">Patrick Curry, </w:t>
      </w:r>
      <w:r>
        <w:rPr>
          <w:i/>
          <w:iCs/>
        </w:rPr>
        <w:t xml:space="preserve">Enchantment: Wonder in modern life </w:t>
      </w:r>
      <w:r>
        <w:t xml:space="preserve">(Edinburgh: Floris Books, 2019), </w:t>
      </w:r>
      <w:bookmarkEnd w:id="9"/>
      <w:r>
        <w:t>p.7.</w:t>
      </w:r>
      <w:bookmarkEnd w:id="8"/>
    </w:p>
  </w:footnote>
  <w:footnote w:id="2">
    <w:p w14:paraId="75121B41" w14:textId="7F36A10F" w:rsidR="009865AD" w:rsidRDefault="009865AD">
      <w:pPr>
        <w:pStyle w:val="FootnoteText"/>
      </w:pPr>
      <w:r>
        <w:rPr>
          <w:rStyle w:val="FootnoteReference"/>
        </w:rPr>
        <w:footnoteRef/>
      </w:r>
      <w:r>
        <w:t xml:space="preserve">  </w:t>
      </w:r>
      <w:bookmarkStart w:id="10" w:name="_Hlk47980243"/>
      <w:r>
        <w:t xml:space="preserve">Max Weber, </w:t>
      </w:r>
      <w:r>
        <w:rPr>
          <w:i/>
          <w:iCs/>
        </w:rPr>
        <w:t xml:space="preserve">Essays in Sociology, </w:t>
      </w:r>
      <w:r>
        <w:t xml:space="preserve">trans. by H. H. </w:t>
      </w:r>
      <w:proofErr w:type="spellStart"/>
      <w:r>
        <w:t>Gerth</w:t>
      </w:r>
      <w:proofErr w:type="spellEnd"/>
      <w:r>
        <w:t xml:space="preserve"> and C. Wright Mills (New York: Oxford University Press, 1946), p.282.</w:t>
      </w:r>
    </w:p>
    <w:bookmarkEnd w:id="10"/>
  </w:footnote>
  <w:footnote w:id="3">
    <w:p w14:paraId="0FCF61C7" w14:textId="5F8A9584" w:rsidR="009865AD" w:rsidRDefault="009865AD">
      <w:pPr>
        <w:pStyle w:val="FootnoteText"/>
      </w:pPr>
      <w:r>
        <w:rPr>
          <w:rStyle w:val="FootnoteReference"/>
        </w:rPr>
        <w:footnoteRef/>
      </w:r>
      <w:r>
        <w:t xml:space="preserve"> Max Weber, </w:t>
      </w:r>
      <w:r>
        <w:rPr>
          <w:i/>
          <w:iCs/>
        </w:rPr>
        <w:t xml:space="preserve">Essays in Sociology, </w:t>
      </w:r>
      <w:r>
        <w:t xml:space="preserve">trans. by H. H. </w:t>
      </w:r>
      <w:proofErr w:type="spellStart"/>
      <w:r>
        <w:t>Gerth</w:t>
      </w:r>
      <w:proofErr w:type="spellEnd"/>
      <w:r>
        <w:t xml:space="preserve"> and C. Wright Mills (New York: Oxford University Press, 1946).</w:t>
      </w:r>
    </w:p>
  </w:footnote>
  <w:footnote w:id="4">
    <w:p w14:paraId="24370A6A" w14:textId="77777777" w:rsidR="009865AD" w:rsidRPr="00DD6AFE" w:rsidRDefault="009865AD" w:rsidP="000F026A">
      <w:pPr>
        <w:pStyle w:val="FootnoteText"/>
      </w:pPr>
      <w:r>
        <w:rPr>
          <w:rStyle w:val="FootnoteReference"/>
        </w:rPr>
        <w:footnoteRef/>
      </w:r>
      <w:r>
        <w:t xml:space="preserve"> </w:t>
      </w:r>
      <w:bookmarkStart w:id="12" w:name="_Hlk47980259"/>
      <w:r>
        <w:t xml:space="preserve">Jason A. Josephson-Storm, </w:t>
      </w:r>
      <w:r>
        <w:rPr>
          <w:i/>
          <w:iCs/>
        </w:rPr>
        <w:t xml:space="preserve">The Myth of Disenchantment: Magic, Modernity, and the Birth of the Human Sciences </w:t>
      </w:r>
      <w:r>
        <w:t>(London: The University of Chicago Press, 2017), p. 4.</w:t>
      </w:r>
    </w:p>
    <w:bookmarkEnd w:id="12"/>
  </w:footnote>
  <w:footnote w:id="5">
    <w:p w14:paraId="355BB2B1" w14:textId="77777777" w:rsidR="009865AD" w:rsidRDefault="009865AD" w:rsidP="002C3533">
      <w:pPr>
        <w:pStyle w:val="FootnoteText"/>
      </w:pPr>
      <w:r>
        <w:rPr>
          <w:rStyle w:val="FootnoteReference"/>
        </w:rPr>
        <w:footnoteRef/>
      </w:r>
      <w:r>
        <w:t xml:space="preserve"> </w:t>
      </w:r>
      <w:bookmarkStart w:id="15" w:name="_Hlk47980274"/>
      <w:r>
        <w:t xml:space="preserve">Patrick Curry, </w:t>
      </w:r>
      <w:r>
        <w:rPr>
          <w:i/>
          <w:iCs/>
        </w:rPr>
        <w:t xml:space="preserve">Enchantment: Wonder in modern life </w:t>
      </w:r>
      <w:r>
        <w:t>(Edinburgh: Floris Books, 2019), p.22</w:t>
      </w:r>
      <w:bookmarkEnd w:id="15"/>
      <w:r>
        <w:t>.</w:t>
      </w:r>
    </w:p>
  </w:footnote>
  <w:footnote w:id="6">
    <w:p w14:paraId="19E30F76" w14:textId="77777777" w:rsidR="009865AD" w:rsidRDefault="009865AD" w:rsidP="002C3533">
      <w:pPr>
        <w:pStyle w:val="FootnoteText"/>
      </w:pPr>
      <w:r>
        <w:rPr>
          <w:rStyle w:val="FootnoteReference"/>
        </w:rPr>
        <w:footnoteRef/>
      </w:r>
      <w:r>
        <w:t xml:space="preserve"> Patrick Curry, </w:t>
      </w:r>
      <w:r>
        <w:rPr>
          <w:i/>
          <w:iCs/>
        </w:rPr>
        <w:t xml:space="preserve">Enchantment: Wonder in modern life </w:t>
      </w:r>
      <w:r>
        <w:t>(Edinburgh: Floris Books, 2019), p.28.</w:t>
      </w:r>
    </w:p>
  </w:footnote>
  <w:footnote w:id="7">
    <w:p w14:paraId="36D4EF92" w14:textId="77777777" w:rsidR="009865AD" w:rsidRPr="008D4B98" w:rsidRDefault="009865AD" w:rsidP="002C3533">
      <w:pPr>
        <w:pStyle w:val="FootnoteText"/>
      </w:pPr>
      <w:bookmarkStart w:id="16" w:name="_Hlk47619347"/>
      <w:r>
        <w:rPr>
          <w:rStyle w:val="FootnoteReference"/>
        </w:rPr>
        <w:footnoteRef/>
      </w:r>
      <w:r>
        <w:t xml:space="preserve"> </w:t>
      </w:r>
      <w:bookmarkStart w:id="17" w:name="_Hlk47980289"/>
      <w:r>
        <w:t xml:space="preserve">John Reader et al, ‘Enchantment – Disenchantment-Re-Enchantment: </w:t>
      </w:r>
      <w:proofErr w:type="spellStart"/>
      <w:r>
        <w:t>Postdigital</w:t>
      </w:r>
      <w:proofErr w:type="spellEnd"/>
      <w:r>
        <w:t xml:space="preserve"> Relationships between Science, Philosophy, and Religion’, </w:t>
      </w:r>
      <w:proofErr w:type="spellStart"/>
      <w:r>
        <w:rPr>
          <w:i/>
          <w:iCs/>
        </w:rPr>
        <w:t>Postdigital</w:t>
      </w:r>
      <w:proofErr w:type="spellEnd"/>
      <w:r>
        <w:rPr>
          <w:i/>
          <w:iCs/>
        </w:rPr>
        <w:t xml:space="preserve"> Science and Education </w:t>
      </w:r>
      <w:r>
        <w:t>(2020).</w:t>
      </w:r>
    </w:p>
    <w:bookmarkEnd w:id="16"/>
    <w:bookmarkEnd w:id="17"/>
  </w:footnote>
  <w:footnote w:id="8">
    <w:p w14:paraId="5A695B0B" w14:textId="76525E69" w:rsidR="009865AD" w:rsidRPr="00FD0FD0" w:rsidRDefault="009865AD">
      <w:pPr>
        <w:pStyle w:val="FootnoteText"/>
      </w:pPr>
      <w:r>
        <w:rPr>
          <w:rStyle w:val="FootnoteReference"/>
        </w:rPr>
        <w:footnoteRef/>
      </w:r>
      <w:r>
        <w:t xml:space="preserve"> Patrick Curry, ‘Magic vs. Enchantment, </w:t>
      </w:r>
      <w:r>
        <w:rPr>
          <w:i/>
          <w:iCs/>
        </w:rPr>
        <w:t xml:space="preserve">Journal of Contemporary Religion, </w:t>
      </w:r>
      <w:r>
        <w:t>14:3 (1999), p.1.</w:t>
      </w:r>
    </w:p>
  </w:footnote>
  <w:footnote w:id="9">
    <w:p w14:paraId="7726D1D8" w14:textId="240C4927" w:rsidR="009865AD" w:rsidRDefault="009865AD">
      <w:pPr>
        <w:pStyle w:val="FootnoteText"/>
      </w:pPr>
      <w:r>
        <w:rPr>
          <w:rStyle w:val="FootnoteReference"/>
        </w:rPr>
        <w:footnoteRef/>
      </w:r>
      <w:r>
        <w:t xml:space="preserve"> Patrick Curry, ‘Magic vs. Enchantment, </w:t>
      </w:r>
      <w:r>
        <w:rPr>
          <w:i/>
          <w:iCs/>
        </w:rPr>
        <w:t xml:space="preserve">Journal of Contemporary Religion, </w:t>
      </w:r>
      <w:r>
        <w:t>14:3 (1999), pp.1 -2.</w:t>
      </w:r>
    </w:p>
  </w:footnote>
  <w:footnote w:id="10">
    <w:p w14:paraId="7565C514" w14:textId="10DC240A" w:rsidR="009865AD" w:rsidRPr="009608CC" w:rsidRDefault="009865AD">
      <w:pPr>
        <w:pStyle w:val="FootnoteText"/>
      </w:pPr>
      <w:r>
        <w:rPr>
          <w:rStyle w:val="FootnoteReference"/>
        </w:rPr>
        <w:footnoteRef/>
      </w:r>
      <w:r>
        <w:t xml:space="preserve"> </w:t>
      </w:r>
      <w:bookmarkStart w:id="18" w:name="_Hlk47980306"/>
      <w:r>
        <w:t xml:space="preserve">Plutarch, </w:t>
      </w:r>
      <w:r>
        <w:rPr>
          <w:i/>
          <w:iCs/>
        </w:rPr>
        <w:t xml:space="preserve">The Obsolescence of Oracles, </w:t>
      </w:r>
      <w:r>
        <w:t>trans. by Frank Cole Babbitt, Loeb Classical Library, Moralia Vol. V (Cambridge, MA: Harvard University Press, 1936).</w:t>
      </w:r>
    </w:p>
    <w:bookmarkEnd w:id="18"/>
  </w:footnote>
  <w:footnote w:id="11">
    <w:p w14:paraId="5CA582A8" w14:textId="222DFD97" w:rsidR="009865AD" w:rsidRPr="007E6C6A" w:rsidRDefault="009865AD">
      <w:pPr>
        <w:pStyle w:val="FootnoteText"/>
      </w:pPr>
      <w:r>
        <w:rPr>
          <w:rStyle w:val="FootnoteReference"/>
        </w:rPr>
        <w:footnoteRef/>
      </w:r>
      <w:r>
        <w:t xml:space="preserve"> </w:t>
      </w:r>
      <w:bookmarkStart w:id="19" w:name="_Hlk47980325"/>
      <w:r>
        <w:t xml:space="preserve">Lucien Levy-Bruhl, </w:t>
      </w:r>
      <w:r>
        <w:rPr>
          <w:i/>
          <w:iCs/>
        </w:rPr>
        <w:t xml:space="preserve">How Natives Think </w:t>
      </w:r>
      <w:r>
        <w:t>(London: George Allen &amp;Unwin Ltd, 1926), p. 96.</w:t>
      </w:r>
      <w:bookmarkEnd w:id="19"/>
    </w:p>
  </w:footnote>
  <w:footnote w:id="12">
    <w:p w14:paraId="7311384F" w14:textId="596641E7" w:rsidR="009865AD" w:rsidRDefault="009865AD">
      <w:pPr>
        <w:pStyle w:val="FootnoteText"/>
      </w:pPr>
      <w:r>
        <w:rPr>
          <w:rStyle w:val="FootnoteReference"/>
        </w:rPr>
        <w:footnoteRef/>
      </w:r>
      <w:r>
        <w:t xml:space="preserve"> Lucien Levy-Bruhl, </w:t>
      </w:r>
      <w:r>
        <w:rPr>
          <w:i/>
          <w:iCs/>
        </w:rPr>
        <w:t xml:space="preserve">How Natives Think </w:t>
      </w:r>
      <w:r>
        <w:t>(London: George Allen &amp;Unwin Ltd, 1926), p. 101.</w:t>
      </w:r>
    </w:p>
  </w:footnote>
  <w:footnote w:id="13">
    <w:p w14:paraId="21F77561" w14:textId="77777777" w:rsidR="009865AD" w:rsidRDefault="009865AD" w:rsidP="002C3533">
      <w:pPr>
        <w:pStyle w:val="FootnoteText"/>
      </w:pPr>
      <w:r>
        <w:rPr>
          <w:rStyle w:val="FootnoteReference"/>
        </w:rPr>
        <w:footnoteRef/>
      </w:r>
      <w:r>
        <w:t xml:space="preserve"> Max Weber, </w:t>
      </w:r>
      <w:r>
        <w:rPr>
          <w:i/>
          <w:iCs/>
        </w:rPr>
        <w:t xml:space="preserve">Essays in Sociology, </w:t>
      </w:r>
      <w:r>
        <w:t xml:space="preserve">trans. by H. H. </w:t>
      </w:r>
      <w:proofErr w:type="spellStart"/>
      <w:r>
        <w:t>Gerth</w:t>
      </w:r>
      <w:proofErr w:type="spellEnd"/>
      <w:r>
        <w:t xml:space="preserve"> and C. Wright Mills (New York: Oxford University Press, 1946), p.350.</w:t>
      </w:r>
    </w:p>
  </w:footnote>
  <w:footnote w:id="14">
    <w:p w14:paraId="2D5ECCB3" w14:textId="77777777" w:rsidR="009865AD" w:rsidRDefault="009865AD" w:rsidP="002C3533">
      <w:pPr>
        <w:pStyle w:val="FootnoteText"/>
      </w:pPr>
      <w:r>
        <w:rPr>
          <w:rStyle w:val="FootnoteReference"/>
        </w:rPr>
        <w:footnoteRef/>
      </w:r>
      <w:r>
        <w:t xml:space="preserve"> John Reader et al, ‘Enchantment – Disenchantment-Re-Enchantment: </w:t>
      </w:r>
      <w:proofErr w:type="spellStart"/>
      <w:r>
        <w:t>Postdigital</w:t>
      </w:r>
      <w:proofErr w:type="spellEnd"/>
      <w:r>
        <w:t xml:space="preserve"> Relationships between Science, Philosophy, and Religion’, </w:t>
      </w:r>
      <w:proofErr w:type="spellStart"/>
      <w:r>
        <w:rPr>
          <w:i/>
          <w:iCs/>
        </w:rPr>
        <w:t>Postdigital</w:t>
      </w:r>
      <w:proofErr w:type="spellEnd"/>
      <w:r>
        <w:rPr>
          <w:i/>
          <w:iCs/>
        </w:rPr>
        <w:t xml:space="preserve"> Science and Education </w:t>
      </w:r>
      <w:r>
        <w:t>(2020).</w:t>
      </w:r>
    </w:p>
  </w:footnote>
  <w:footnote w:id="15">
    <w:p w14:paraId="28DFCD4A" w14:textId="77777777" w:rsidR="009865AD" w:rsidRDefault="009865AD" w:rsidP="002C3533">
      <w:pPr>
        <w:pStyle w:val="FootnoteText"/>
      </w:pPr>
      <w:r>
        <w:rPr>
          <w:rStyle w:val="FootnoteReference"/>
        </w:rPr>
        <w:footnoteRef/>
      </w:r>
      <w:r>
        <w:t xml:space="preserve"> Jason A. Josephson-Storm, </w:t>
      </w:r>
      <w:r>
        <w:rPr>
          <w:i/>
          <w:iCs/>
        </w:rPr>
        <w:t xml:space="preserve">The Myth of Disenchantment </w:t>
      </w:r>
      <w:r>
        <w:t>(London: The University of Chicago Press, 2017).</w:t>
      </w:r>
    </w:p>
  </w:footnote>
  <w:footnote w:id="16">
    <w:p w14:paraId="280126A9" w14:textId="420C41BF" w:rsidR="009865AD" w:rsidRDefault="009865AD">
      <w:pPr>
        <w:pStyle w:val="FootnoteText"/>
      </w:pPr>
      <w:r>
        <w:rPr>
          <w:rStyle w:val="FootnoteReference"/>
        </w:rPr>
        <w:footnoteRef/>
      </w:r>
      <w:r>
        <w:t xml:space="preserve"> </w:t>
      </w:r>
      <w:bookmarkStart w:id="20" w:name="_Hlk47980352"/>
      <w:r>
        <w:t xml:space="preserve">Chia Longman, ‘Women’s Circles and the Rise of the New Feminine: Reclaiming Sisterhood, Spirituality, and Wellbeing’, </w:t>
      </w:r>
      <w:r>
        <w:rPr>
          <w:i/>
          <w:iCs/>
        </w:rPr>
        <w:t>Religions.</w:t>
      </w:r>
      <w:r>
        <w:t xml:space="preserve"> 9 (2018).</w:t>
      </w:r>
    </w:p>
    <w:bookmarkEnd w:id="20"/>
  </w:footnote>
  <w:footnote w:id="17">
    <w:p w14:paraId="428E4110" w14:textId="1C637140" w:rsidR="009865AD" w:rsidRDefault="009865AD">
      <w:pPr>
        <w:pStyle w:val="FootnoteText"/>
      </w:pPr>
      <w:r>
        <w:rPr>
          <w:rStyle w:val="FootnoteReference"/>
        </w:rPr>
        <w:footnoteRef/>
      </w:r>
      <w:r>
        <w:t xml:space="preserve"> </w:t>
      </w:r>
      <w:bookmarkStart w:id="21" w:name="_Hlk47980370"/>
      <w:r>
        <w:t xml:space="preserve">Scout Cloud Lee, </w:t>
      </w:r>
      <w:r w:rsidRPr="0031611B">
        <w:rPr>
          <w:i/>
          <w:iCs/>
        </w:rPr>
        <w:t>The Circle is Sacred</w:t>
      </w:r>
      <w:r>
        <w:t xml:space="preserve"> (Tulsa: Council Oak Books, 1995).</w:t>
      </w:r>
    </w:p>
    <w:bookmarkEnd w:id="21"/>
  </w:footnote>
  <w:footnote w:id="18">
    <w:p w14:paraId="0764B49B" w14:textId="24311056" w:rsidR="009865AD" w:rsidRPr="002852F3" w:rsidRDefault="009865AD">
      <w:pPr>
        <w:pStyle w:val="FootnoteText"/>
      </w:pPr>
      <w:r>
        <w:rPr>
          <w:rStyle w:val="FootnoteReference"/>
        </w:rPr>
        <w:footnoteRef/>
      </w:r>
      <w:r>
        <w:t xml:space="preserve"> </w:t>
      </w:r>
      <w:bookmarkStart w:id="23" w:name="_Hlk47980385"/>
      <w:r>
        <w:t xml:space="preserve">Anita Diamant, </w:t>
      </w:r>
      <w:r w:rsidRPr="002852F3">
        <w:rPr>
          <w:i/>
          <w:iCs/>
        </w:rPr>
        <w:t>The Red Tent</w:t>
      </w:r>
      <w:r>
        <w:rPr>
          <w:i/>
          <w:iCs/>
        </w:rPr>
        <w:t xml:space="preserve"> </w:t>
      </w:r>
      <w:r>
        <w:t>(London: Pan Macmillan,2002).</w:t>
      </w:r>
      <w:bookmarkEnd w:id="23"/>
    </w:p>
  </w:footnote>
  <w:footnote w:id="19">
    <w:p w14:paraId="5837B706" w14:textId="2B34F7B8" w:rsidR="009865AD" w:rsidRDefault="009865AD">
      <w:pPr>
        <w:pStyle w:val="FootnoteText"/>
      </w:pPr>
      <w:r>
        <w:rPr>
          <w:rStyle w:val="FootnoteReference"/>
        </w:rPr>
        <w:footnoteRef/>
      </w:r>
      <w:r>
        <w:t xml:space="preserve"> </w:t>
      </w:r>
      <w:bookmarkStart w:id="24" w:name="_Hlk47980403"/>
      <w:r>
        <w:t xml:space="preserve">Clarissa </w:t>
      </w:r>
      <w:proofErr w:type="spellStart"/>
      <w:r>
        <w:t>Pinkola</w:t>
      </w:r>
      <w:proofErr w:type="spellEnd"/>
      <w:r>
        <w:t xml:space="preserve"> Estes, </w:t>
      </w:r>
      <w:r w:rsidRPr="00B876EF">
        <w:rPr>
          <w:i/>
          <w:iCs/>
        </w:rPr>
        <w:t xml:space="preserve">Women who </w:t>
      </w:r>
      <w:r>
        <w:rPr>
          <w:i/>
          <w:iCs/>
        </w:rPr>
        <w:t>R</w:t>
      </w:r>
      <w:r w:rsidRPr="00B876EF">
        <w:rPr>
          <w:i/>
          <w:iCs/>
        </w:rPr>
        <w:t xml:space="preserve">un with </w:t>
      </w:r>
      <w:r>
        <w:rPr>
          <w:i/>
          <w:iCs/>
        </w:rPr>
        <w:t>W</w:t>
      </w:r>
      <w:r w:rsidRPr="00B876EF">
        <w:rPr>
          <w:i/>
          <w:iCs/>
        </w:rPr>
        <w:t>olves</w:t>
      </w:r>
      <w:r>
        <w:t xml:space="preserve"> (New York: </w:t>
      </w:r>
      <w:proofErr w:type="spellStart"/>
      <w:r>
        <w:t>Ballatine</w:t>
      </w:r>
      <w:proofErr w:type="spellEnd"/>
      <w:r>
        <w:t xml:space="preserve"> Books, 1995).</w:t>
      </w:r>
    </w:p>
    <w:bookmarkEnd w:id="24"/>
  </w:footnote>
  <w:footnote w:id="20">
    <w:p w14:paraId="4AAF6757" w14:textId="2DE96B95" w:rsidR="009865AD" w:rsidRPr="00B876EF" w:rsidRDefault="009865AD">
      <w:pPr>
        <w:pStyle w:val="FootnoteText"/>
      </w:pPr>
      <w:r>
        <w:rPr>
          <w:rStyle w:val="FootnoteReference"/>
        </w:rPr>
        <w:footnoteRef/>
      </w:r>
      <w:r>
        <w:t xml:space="preserve"> </w:t>
      </w:r>
      <w:bookmarkStart w:id="25" w:name="_Hlk47945918"/>
      <w:r>
        <w:t xml:space="preserve">Chia Longman, ‘Women’s Circles and the Rise of the New Feminine: Reclaiming Sisterhood, Spirituality, and Wellbeing’, </w:t>
      </w:r>
      <w:r>
        <w:rPr>
          <w:i/>
          <w:iCs/>
        </w:rPr>
        <w:t>Religions.</w:t>
      </w:r>
      <w:r>
        <w:t xml:space="preserve"> 9 (2018), p. 11.</w:t>
      </w:r>
      <w:bookmarkEnd w:id="25"/>
    </w:p>
  </w:footnote>
  <w:footnote w:id="21">
    <w:p w14:paraId="7B4E0B22" w14:textId="5A33443E" w:rsidR="009865AD" w:rsidRPr="0087568C" w:rsidRDefault="009865AD">
      <w:pPr>
        <w:pStyle w:val="FootnoteText"/>
      </w:pPr>
      <w:r>
        <w:rPr>
          <w:rStyle w:val="FootnoteReference"/>
        </w:rPr>
        <w:footnoteRef/>
      </w:r>
      <w:r>
        <w:t xml:space="preserve"> </w:t>
      </w:r>
      <w:bookmarkStart w:id="26" w:name="_Hlk47980422"/>
      <w:r>
        <w:t xml:space="preserve">Kenneth Sylvan Guthrie, </w:t>
      </w:r>
      <w:r>
        <w:rPr>
          <w:i/>
          <w:iCs/>
        </w:rPr>
        <w:t>The Pythagorean Sourcebook and Library</w:t>
      </w:r>
      <w:r>
        <w:t xml:space="preserve"> (Michigan: </w:t>
      </w:r>
      <w:proofErr w:type="spellStart"/>
      <w:r>
        <w:t>Phanes</w:t>
      </w:r>
      <w:proofErr w:type="spellEnd"/>
      <w:r>
        <w:t xml:space="preserve"> Press, 1988).</w:t>
      </w:r>
      <w:bookmarkEnd w:id="26"/>
    </w:p>
  </w:footnote>
  <w:footnote w:id="22">
    <w:p w14:paraId="2617153F" w14:textId="40BA6729" w:rsidR="009865AD" w:rsidRPr="0087568C" w:rsidRDefault="009865AD">
      <w:pPr>
        <w:pStyle w:val="FootnoteText"/>
      </w:pPr>
      <w:r>
        <w:rPr>
          <w:rStyle w:val="FootnoteReference"/>
        </w:rPr>
        <w:footnoteRef/>
      </w:r>
      <w:r>
        <w:t xml:space="preserve"> P</w:t>
      </w:r>
      <w:bookmarkStart w:id="27" w:name="_Hlk47980444"/>
      <w:r>
        <w:t xml:space="preserve">. T. </w:t>
      </w:r>
      <w:proofErr w:type="spellStart"/>
      <w:r>
        <w:t>Mistlberger</w:t>
      </w:r>
      <w:proofErr w:type="spellEnd"/>
      <w:r>
        <w:t xml:space="preserve">, </w:t>
      </w:r>
      <w:r>
        <w:rPr>
          <w:i/>
          <w:iCs/>
        </w:rPr>
        <w:t>The Three Dangerous Magi</w:t>
      </w:r>
      <w:r>
        <w:t xml:space="preserve"> (Winchester: Orca Books, 2010). </w:t>
      </w:r>
      <w:bookmarkEnd w:id="27"/>
    </w:p>
  </w:footnote>
  <w:footnote w:id="23">
    <w:p w14:paraId="79A9207C" w14:textId="07E8A41A" w:rsidR="009865AD" w:rsidRPr="003C77C5" w:rsidRDefault="009865AD">
      <w:pPr>
        <w:pStyle w:val="FootnoteText"/>
      </w:pPr>
      <w:r>
        <w:rPr>
          <w:rStyle w:val="FootnoteReference"/>
        </w:rPr>
        <w:footnoteRef/>
      </w:r>
      <w:r>
        <w:t xml:space="preserve"> </w:t>
      </w:r>
      <w:bookmarkStart w:id="28" w:name="_Hlk47980465"/>
      <w:r>
        <w:t xml:space="preserve">Manly Hall, </w:t>
      </w:r>
      <w:r>
        <w:rPr>
          <w:i/>
          <w:iCs/>
        </w:rPr>
        <w:t xml:space="preserve">The Secret Teachings of All Ages </w:t>
      </w:r>
      <w:r>
        <w:t>(New York: Penguin, 2003), p.42.</w:t>
      </w:r>
      <w:bookmarkEnd w:id="28"/>
    </w:p>
  </w:footnote>
  <w:footnote w:id="24">
    <w:p w14:paraId="5345F43B" w14:textId="438F1CF9" w:rsidR="009865AD" w:rsidRPr="006853FA" w:rsidRDefault="009865AD">
      <w:pPr>
        <w:pStyle w:val="FootnoteText"/>
      </w:pPr>
      <w:r>
        <w:rPr>
          <w:rStyle w:val="FootnoteReference"/>
        </w:rPr>
        <w:footnoteRef/>
      </w:r>
      <w:r>
        <w:t xml:space="preserve"> </w:t>
      </w:r>
      <w:bookmarkStart w:id="29" w:name="_Hlk47619865"/>
      <w:r>
        <w:t xml:space="preserve">Max Weber, </w:t>
      </w:r>
      <w:r>
        <w:rPr>
          <w:i/>
          <w:iCs/>
        </w:rPr>
        <w:t xml:space="preserve">Essays in Sociology, </w:t>
      </w:r>
      <w:r>
        <w:t xml:space="preserve">trans. by H. H. </w:t>
      </w:r>
      <w:proofErr w:type="spellStart"/>
      <w:r>
        <w:t>Gerth</w:t>
      </w:r>
      <w:proofErr w:type="spellEnd"/>
      <w:r>
        <w:t xml:space="preserve"> and C. Wright Mills (New York: Oxford University Press, 1946), p.139.</w:t>
      </w:r>
      <w:bookmarkEnd w:id="29"/>
    </w:p>
  </w:footnote>
  <w:footnote w:id="25">
    <w:p w14:paraId="7908A4F0" w14:textId="63FC7AB6" w:rsidR="009865AD" w:rsidRPr="007324EF" w:rsidRDefault="009865AD">
      <w:pPr>
        <w:pStyle w:val="FootnoteText"/>
      </w:pPr>
      <w:r>
        <w:rPr>
          <w:rStyle w:val="FootnoteReference"/>
        </w:rPr>
        <w:footnoteRef/>
      </w:r>
      <w:r>
        <w:t xml:space="preserve"> Jason A. Josephson-Storm, </w:t>
      </w:r>
      <w:r>
        <w:rPr>
          <w:i/>
          <w:iCs/>
        </w:rPr>
        <w:t xml:space="preserve">The Myth of Disenchantment </w:t>
      </w:r>
      <w:r>
        <w:t>(London: The University of Chicago Press, 2017), p. 5.</w:t>
      </w:r>
    </w:p>
  </w:footnote>
  <w:footnote w:id="26">
    <w:p w14:paraId="3FD68BC4" w14:textId="037EB8FD" w:rsidR="009865AD" w:rsidRDefault="009865AD">
      <w:pPr>
        <w:pStyle w:val="FootnoteText"/>
      </w:pPr>
      <w:r>
        <w:rPr>
          <w:rStyle w:val="FootnoteReference"/>
        </w:rPr>
        <w:footnoteRef/>
      </w:r>
      <w:r>
        <w:t xml:space="preserve"> Jason A. Josephson-Storm, </w:t>
      </w:r>
      <w:r>
        <w:rPr>
          <w:i/>
          <w:iCs/>
        </w:rPr>
        <w:t xml:space="preserve">The Myth of Disenchantment </w:t>
      </w:r>
      <w:r>
        <w:t>(London: The University of Chicago Press, 2017), p. 305.</w:t>
      </w:r>
    </w:p>
  </w:footnote>
  <w:footnote w:id="27">
    <w:p w14:paraId="4AB80D4C" w14:textId="1480E42B" w:rsidR="009865AD" w:rsidRPr="006C270C" w:rsidRDefault="009865AD">
      <w:pPr>
        <w:pStyle w:val="FootnoteText"/>
      </w:pPr>
      <w:r>
        <w:rPr>
          <w:rStyle w:val="FootnoteReference"/>
        </w:rPr>
        <w:footnoteRef/>
      </w:r>
      <w:r>
        <w:t xml:space="preserve"> Patrick Curry, </w:t>
      </w:r>
      <w:r>
        <w:rPr>
          <w:i/>
          <w:iCs/>
        </w:rPr>
        <w:t xml:space="preserve">Enchantment: Wonder in modern life </w:t>
      </w:r>
      <w:r>
        <w:t>(Edinburgh: Floris Books, 2019), p.9.</w:t>
      </w:r>
    </w:p>
  </w:footnote>
  <w:footnote w:id="28">
    <w:p w14:paraId="66ED5A59" w14:textId="4C3236A1" w:rsidR="009865AD" w:rsidRPr="00374F42" w:rsidRDefault="009865AD">
      <w:pPr>
        <w:pStyle w:val="FootnoteText"/>
      </w:pPr>
      <w:r>
        <w:rPr>
          <w:rStyle w:val="FootnoteReference"/>
        </w:rPr>
        <w:footnoteRef/>
      </w:r>
      <w:r>
        <w:t xml:space="preserve"> </w:t>
      </w:r>
      <w:bookmarkStart w:id="30" w:name="_Hlk47980494"/>
      <w:r>
        <w:t xml:space="preserve">Serena Roney-Dougal, </w:t>
      </w:r>
      <w:r>
        <w:rPr>
          <w:i/>
          <w:iCs/>
        </w:rPr>
        <w:t>Where Science and Magic Meet</w:t>
      </w:r>
      <w:r>
        <w:t xml:space="preserve"> (Street: Green Magic, 2010), p. 28</w:t>
      </w:r>
      <w:bookmarkEnd w:id="30"/>
      <w:r>
        <w:t>.</w:t>
      </w:r>
    </w:p>
  </w:footnote>
  <w:footnote w:id="29">
    <w:p w14:paraId="49C37A6F" w14:textId="33A39991" w:rsidR="009865AD" w:rsidRDefault="009865AD">
      <w:pPr>
        <w:pStyle w:val="FootnoteText"/>
      </w:pPr>
      <w:r>
        <w:rPr>
          <w:rStyle w:val="FootnoteReference"/>
        </w:rPr>
        <w:footnoteRef/>
      </w:r>
      <w:r>
        <w:t xml:space="preserve"> Serena Roney-Dougal, </w:t>
      </w:r>
      <w:r>
        <w:rPr>
          <w:i/>
          <w:iCs/>
        </w:rPr>
        <w:t>Where Science and Magic Meet</w:t>
      </w:r>
      <w:r>
        <w:t xml:space="preserve"> (Street: Green Magic, 2010), p. 25.</w:t>
      </w:r>
    </w:p>
  </w:footnote>
  <w:footnote w:id="30">
    <w:p w14:paraId="002D15FE" w14:textId="5CBBFD7D" w:rsidR="009865AD" w:rsidRPr="0031611B" w:rsidRDefault="009865AD">
      <w:pPr>
        <w:pStyle w:val="FootnoteText"/>
      </w:pPr>
      <w:r>
        <w:rPr>
          <w:rStyle w:val="FootnoteReference"/>
        </w:rPr>
        <w:footnoteRef/>
      </w:r>
      <w:r>
        <w:t xml:space="preserve"> Scout Cloud Lee, </w:t>
      </w:r>
      <w:r w:rsidRPr="0031611B">
        <w:rPr>
          <w:i/>
          <w:iCs/>
        </w:rPr>
        <w:t>The Circle is Sacred</w:t>
      </w:r>
      <w:r>
        <w:t xml:space="preserve"> (Tulsa: Council Oak Books, 1995).</w:t>
      </w:r>
    </w:p>
  </w:footnote>
  <w:footnote w:id="31">
    <w:p w14:paraId="6371DBD9" w14:textId="351274CE" w:rsidR="009865AD" w:rsidRDefault="009865AD">
      <w:pPr>
        <w:pStyle w:val="FootnoteText"/>
      </w:pPr>
      <w:r>
        <w:rPr>
          <w:rStyle w:val="FootnoteReference"/>
        </w:rPr>
        <w:footnoteRef/>
      </w:r>
      <w:r>
        <w:t xml:space="preserve"> See Appendi</w:t>
      </w:r>
      <w:r w:rsidR="00407DF4">
        <w:t>x</w:t>
      </w:r>
      <w:r>
        <w:t>.</w:t>
      </w:r>
    </w:p>
  </w:footnote>
  <w:footnote w:id="32">
    <w:p w14:paraId="05A7D38E" w14:textId="77777777" w:rsidR="009865AD" w:rsidRPr="00E72430" w:rsidRDefault="009865AD" w:rsidP="000F026A">
      <w:pPr>
        <w:pStyle w:val="FootnoteText"/>
      </w:pPr>
      <w:r>
        <w:rPr>
          <w:rStyle w:val="FootnoteReference"/>
        </w:rPr>
        <w:footnoteRef/>
      </w:r>
      <w:r>
        <w:t xml:space="preserve"> </w:t>
      </w:r>
      <w:bookmarkStart w:id="32" w:name="_Hlk47980516"/>
      <w:r>
        <w:t xml:space="preserve">Judith Bell and Stephen Waters, </w:t>
      </w:r>
      <w:r>
        <w:rPr>
          <w:i/>
          <w:iCs/>
        </w:rPr>
        <w:t xml:space="preserve">Doing your Research Project: A Guide for First-time Researchers </w:t>
      </w:r>
      <w:r>
        <w:t>(London: Open University Press, 2018), p. 25</w:t>
      </w:r>
      <w:bookmarkEnd w:id="32"/>
      <w:r>
        <w:t>.</w:t>
      </w:r>
      <w:bookmarkStart w:id="33" w:name="_GoBack"/>
      <w:bookmarkEnd w:id="33"/>
    </w:p>
  </w:footnote>
  <w:footnote w:id="33">
    <w:p w14:paraId="3CBFB39A" w14:textId="70B82E32" w:rsidR="009865AD" w:rsidRDefault="009865AD">
      <w:pPr>
        <w:pStyle w:val="FootnoteText"/>
      </w:pPr>
      <w:r>
        <w:rPr>
          <w:rStyle w:val="FootnoteReference"/>
        </w:rPr>
        <w:footnoteRef/>
      </w:r>
      <w:r>
        <w:t xml:space="preserve"> Judith Bell and Stephen Waters, </w:t>
      </w:r>
      <w:r>
        <w:rPr>
          <w:i/>
          <w:iCs/>
        </w:rPr>
        <w:t xml:space="preserve">Doing your Research Project: A Guide for First-time Researchers </w:t>
      </w:r>
      <w:r>
        <w:t>(London: Open University Press, 2018), pp. 25-26 and 218.</w:t>
      </w:r>
    </w:p>
  </w:footnote>
  <w:footnote w:id="34">
    <w:p w14:paraId="06E26890" w14:textId="77777777" w:rsidR="009865AD" w:rsidRDefault="009865AD" w:rsidP="00077C3F">
      <w:pPr>
        <w:pStyle w:val="FootnoteText"/>
      </w:pPr>
      <w:r>
        <w:rPr>
          <w:rStyle w:val="FootnoteReference"/>
        </w:rPr>
        <w:footnoteRef/>
      </w:r>
      <w:r>
        <w:t xml:space="preserve"> Judith Bell and Stephen Waters, </w:t>
      </w:r>
      <w:r>
        <w:rPr>
          <w:i/>
          <w:iCs/>
        </w:rPr>
        <w:t xml:space="preserve">Doing your Research Project: A Guide for First-time Researchers </w:t>
      </w:r>
      <w:r>
        <w:t>(London: Open University Press, 2018).</w:t>
      </w:r>
    </w:p>
  </w:footnote>
  <w:footnote w:id="35">
    <w:p w14:paraId="098E63DD" w14:textId="5781D287" w:rsidR="009865AD" w:rsidRDefault="009865AD">
      <w:pPr>
        <w:pStyle w:val="FootnoteText"/>
      </w:pPr>
      <w:r>
        <w:rPr>
          <w:rStyle w:val="FootnoteReference"/>
        </w:rPr>
        <w:footnoteRef/>
      </w:r>
      <w:r>
        <w:t xml:space="preserve"> Patrick Curry, </w:t>
      </w:r>
      <w:r>
        <w:rPr>
          <w:i/>
          <w:iCs/>
        </w:rPr>
        <w:t xml:space="preserve">Enchantment: Wonder in modern life </w:t>
      </w:r>
      <w:r>
        <w:t>(Edinburgh: Floris Books, 2019).</w:t>
      </w:r>
    </w:p>
  </w:footnote>
  <w:footnote w:id="36">
    <w:p w14:paraId="13A32857" w14:textId="69A22B07" w:rsidR="009865AD" w:rsidRDefault="009865AD">
      <w:pPr>
        <w:pStyle w:val="FootnoteText"/>
      </w:pPr>
      <w:r>
        <w:rPr>
          <w:rStyle w:val="FootnoteReference"/>
        </w:rPr>
        <w:footnoteRef/>
      </w:r>
      <w:r>
        <w:t xml:space="preserve"> Max Weber, </w:t>
      </w:r>
      <w:r>
        <w:rPr>
          <w:i/>
          <w:iCs/>
        </w:rPr>
        <w:t xml:space="preserve">Essays in Sociology, </w:t>
      </w:r>
      <w:r>
        <w:t xml:space="preserve">trans. by H. H. </w:t>
      </w:r>
      <w:proofErr w:type="spellStart"/>
      <w:r>
        <w:t>Gerth</w:t>
      </w:r>
      <w:proofErr w:type="spellEnd"/>
      <w:r>
        <w:t xml:space="preserve"> and C. Wright Mills (New York: Oxford University Press, 1946).</w:t>
      </w:r>
    </w:p>
  </w:footnote>
  <w:footnote w:id="37">
    <w:p w14:paraId="0B0D7A3A" w14:textId="29E9E873" w:rsidR="009865AD" w:rsidRDefault="009865AD">
      <w:pPr>
        <w:pStyle w:val="FootnoteText"/>
      </w:pPr>
      <w:r>
        <w:rPr>
          <w:rStyle w:val="FootnoteReference"/>
        </w:rPr>
        <w:footnoteRef/>
      </w:r>
      <w:r>
        <w:t xml:space="preserve"> </w:t>
      </w:r>
      <w:bookmarkStart w:id="34" w:name="_Hlk47980537"/>
      <w:r>
        <w:t xml:space="preserve">Monique </w:t>
      </w:r>
      <w:proofErr w:type="spellStart"/>
      <w:r>
        <w:t>Hennink</w:t>
      </w:r>
      <w:proofErr w:type="spellEnd"/>
      <w:r>
        <w:t xml:space="preserve">, Inge </w:t>
      </w:r>
      <w:proofErr w:type="spellStart"/>
      <w:r>
        <w:t>Hutter</w:t>
      </w:r>
      <w:proofErr w:type="spellEnd"/>
      <w:r>
        <w:t xml:space="preserve"> and Ajay Bailey, </w:t>
      </w:r>
      <w:r w:rsidRPr="008F64D4">
        <w:rPr>
          <w:i/>
          <w:iCs/>
        </w:rPr>
        <w:t>Qualitative Research Methods</w:t>
      </w:r>
      <w:r>
        <w:rPr>
          <w:i/>
          <w:iCs/>
        </w:rPr>
        <w:t xml:space="preserve"> </w:t>
      </w:r>
      <w:r>
        <w:t>(London: Sage Publications Ltd, 2020), p. 212.</w:t>
      </w:r>
    </w:p>
    <w:bookmarkEnd w:id="34"/>
  </w:footnote>
  <w:footnote w:id="38">
    <w:p w14:paraId="75518C00" w14:textId="50E88F91" w:rsidR="009865AD" w:rsidRDefault="009865AD">
      <w:pPr>
        <w:pStyle w:val="FootnoteText"/>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and Ajay Bailey, </w:t>
      </w:r>
      <w:r w:rsidRPr="008F64D4">
        <w:rPr>
          <w:i/>
          <w:iCs/>
        </w:rPr>
        <w:t>Qualitative Research Methods</w:t>
      </w:r>
      <w:r>
        <w:rPr>
          <w:i/>
          <w:iCs/>
        </w:rPr>
        <w:t xml:space="preserve"> </w:t>
      </w:r>
      <w:r>
        <w:t>(London: Sage Publications Ltd, 2020), p. 213.</w:t>
      </w:r>
    </w:p>
  </w:footnote>
  <w:footnote w:id="39">
    <w:p w14:paraId="3DC70DD3" w14:textId="0D875920" w:rsidR="009865AD" w:rsidRDefault="009865AD">
      <w:pPr>
        <w:pStyle w:val="FootnoteText"/>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and Ajay Bailey, </w:t>
      </w:r>
      <w:r w:rsidRPr="008F64D4">
        <w:rPr>
          <w:i/>
          <w:iCs/>
        </w:rPr>
        <w:t>Qualitative Research Methods</w:t>
      </w:r>
      <w:r>
        <w:rPr>
          <w:i/>
          <w:iCs/>
        </w:rPr>
        <w:t xml:space="preserve"> </w:t>
      </w:r>
      <w:r>
        <w:t>(London: Sage Publications Ltd, 2020), p. 19.</w:t>
      </w:r>
    </w:p>
  </w:footnote>
  <w:footnote w:id="40">
    <w:p w14:paraId="50CB3B78" w14:textId="77777777" w:rsidR="009865AD" w:rsidRDefault="009865AD" w:rsidP="00F70611">
      <w:pPr>
        <w:pStyle w:val="FootnoteText"/>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and Ajay Bailey, </w:t>
      </w:r>
      <w:r w:rsidRPr="008F64D4">
        <w:rPr>
          <w:i/>
          <w:iCs/>
        </w:rPr>
        <w:t>Qualitative Research Methods</w:t>
      </w:r>
      <w:r>
        <w:rPr>
          <w:i/>
          <w:iCs/>
        </w:rPr>
        <w:t xml:space="preserve"> </w:t>
      </w:r>
      <w:r>
        <w:t>(London: Sage Publications Ltd, 2020), p. 19.</w:t>
      </w:r>
    </w:p>
  </w:footnote>
  <w:footnote w:id="41">
    <w:p w14:paraId="19224251" w14:textId="01872813" w:rsidR="009865AD" w:rsidRDefault="009865AD">
      <w:pPr>
        <w:pStyle w:val="FootnoteText"/>
      </w:pPr>
      <w:r>
        <w:rPr>
          <w:rStyle w:val="FootnoteReference"/>
        </w:rPr>
        <w:footnoteRef/>
      </w:r>
      <w:r>
        <w:t xml:space="preserve"> Anita Diamant, </w:t>
      </w:r>
      <w:r w:rsidRPr="002852F3">
        <w:rPr>
          <w:i/>
          <w:iCs/>
        </w:rPr>
        <w:t>The Red Tent</w:t>
      </w:r>
      <w:r>
        <w:rPr>
          <w:i/>
          <w:iCs/>
        </w:rPr>
        <w:t xml:space="preserve"> </w:t>
      </w:r>
      <w:r>
        <w:t>(London: Pan Macmillan,2002).</w:t>
      </w:r>
    </w:p>
  </w:footnote>
  <w:footnote w:id="42">
    <w:p w14:paraId="55EEC0B3" w14:textId="6727FB2A" w:rsidR="009865AD" w:rsidRDefault="009865AD">
      <w:pPr>
        <w:pStyle w:val="FootnoteText"/>
      </w:pPr>
      <w:r>
        <w:rPr>
          <w:rStyle w:val="FootnoteReference"/>
        </w:rPr>
        <w:footnoteRef/>
      </w:r>
      <w:r>
        <w:t xml:space="preserve"> </w:t>
      </w:r>
      <w:bookmarkStart w:id="35" w:name="_Hlk47948077"/>
      <w:r>
        <w:t xml:space="preserve">Chia Longman, ‘Women’s Circles and the Rise of the New Feminine: Reclaiming Sisterhood, Spirituality, and Wellbeing’, </w:t>
      </w:r>
      <w:r>
        <w:rPr>
          <w:i/>
          <w:iCs/>
        </w:rPr>
        <w:t>Religions.</w:t>
      </w:r>
      <w:r>
        <w:t xml:space="preserve"> 9 (2018), p. 11.</w:t>
      </w:r>
    </w:p>
    <w:bookmarkEnd w:id="35"/>
  </w:footnote>
  <w:footnote w:id="43">
    <w:p w14:paraId="4450F07A" w14:textId="0EC9EAD0" w:rsidR="009865AD" w:rsidRDefault="009865AD">
      <w:pPr>
        <w:pStyle w:val="FootnoteText"/>
      </w:pPr>
      <w:r>
        <w:rPr>
          <w:rStyle w:val="FootnoteReference"/>
        </w:rPr>
        <w:footnoteRef/>
      </w:r>
      <w:r>
        <w:t xml:space="preserve"> Patrick Curry, </w:t>
      </w:r>
      <w:r>
        <w:rPr>
          <w:i/>
          <w:iCs/>
        </w:rPr>
        <w:t xml:space="preserve">Enchantment: Wonder in modern life </w:t>
      </w:r>
      <w:r>
        <w:t>(Edinburgh: Floris Books, 2019).</w:t>
      </w:r>
    </w:p>
  </w:footnote>
  <w:footnote w:id="44">
    <w:p w14:paraId="6B069A86" w14:textId="36C8CB59" w:rsidR="009865AD" w:rsidRDefault="009865AD">
      <w:pPr>
        <w:pStyle w:val="FootnoteText"/>
      </w:pPr>
      <w:r>
        <w:rPr>
          <w:rStyle w:val="FootnoteReference"/>
        </w:rPr>
        <w:footnoteRef/>
      </w:r>
      <w:r>
        <w:t xml:space="preserve"> Chia Longman, ‘Women’s Circles and the Rise of the New Feminine: Reclaiming Sisterhood, Spirituality, and Wellbeing’, </w:t>
      </w:r>
      <w:r>
        <w:rPr>
          <w:i/>
          <w:iCs/>
        </w:rPr>
        <w:t>Religions.</w:t>
      </w:r>
      <w:r>
        <w:t xml:space="preserve"> 9 (2018), p. 1.</w:t>
      </w:r>
    </w:p>
  </w:footnote>
  <w:footnote w:id="45">
    <w:p w14:paraId="70D400E7" w14:textId="7D9B3A9A" w:rsidR="009865AD" w:rsidRDefault="009865AD">
      <w:pPr>
        <w:pStyle w:val="FootnoteText"/>
      </w:pPr>
      <w:r>
        <w:rPr>
          <w:rStyle w:val="FootnoteReference"/>
        </w:rPr>
        <w:footnoteRef/>
      </w:r>
      <w:r>
        <w:t xml:space="preserve"> Scout Cloud Lee, </w:t>
      </w:r>
      <w:r w:rsidRPr="0031611B">
        <w:rPr>
          <w:i/>
          <w:iCs/>
        </w:rPr>
        <w:t>The Circle is Sacred</w:t>
      </w:r>
      <w:r>
        <w:t xml:space="preserve"> (Tulsa: Council Oak Books, 1995).</w:t>
      </w:r>
    </w:p>
  </w:footnote>
  <w:footnote w:id="46">
    <w:p w14:paraId="0F152DC3" w14:textId="21178547" w:rsidR="009865AD" w:rsidRDefault="009865AD">
      <w:pPr>
        <w:pStyle w:val="FootnoteText"/>
      </w:pPr>
      <w:r>
        <w:rPr>
          <w:rStyle w:val="FootnoteReference"/>
        </w:rPr>
        <w:footnoteRef/>
      </w:r>
      <w:r>
        <w:t xml:space="preserve"> Chia Longman, ‘Women’s Circles and the Rise of the New Feminine: Reclaiming Sisterhood, Spirituality, and Wellbeing’, </w:t>
      </w:r>
      <w:r>
        <w:rPr>
          <w:i/>
          <w:iCs/>
        </w:rPr>
        <w:t>Religions.</w:t>
      </w:r>
      <w:r>
        <w:t xml:space="preserve"> 9 (2018), p. 1.</w:t>
      </w:r>
    </w:p>
  </w:footnote>
  <w:footnote w:id="47">
    <w:p w14:paraId="18897348" w14:textId="54CDB1D6" w:rsidR="009865AD" w:rsidRDefault="009865AD">
      <w:pPr>
        <w:pStyle w:val="FootnoteText"/>
      </w:pPr>
      <w:r>
        <w:rPr>
          <w:rStyle w:val="FootnoteReference"/>
        </w:rPr>
        <w:footnoteRef/>
      </w:r>
      <w:r>
        <w:t xml:space="preserve"> Judith Bell and Stephen Waters, </w:t>
      </w:r>
      <w:r>
        <w:rPr>
          <w:i/>
          <w:iCs/>
        </w:rPr>
        <w:t xml:space="preserve">Doing your Research Project: A Guide for First-time Researchers </w:t>
      </w:r>
      <w:r>
        <w:t>(London: Open University Press, 2018), p. 196.</w:t>
      </w:r>
    </w:p>
  </w:footnote>
  <w:footnote w:id="48">
    <w:p w14:paraId="092E7755" w14:textId="70CE1D40" w:rsidR="009865AD" w:rsidRDefault="009865AD">
      <w:pPr>
        <w:pStyle w:val="FootnoteText"/>
      </w:pPr>
      <w:r>
        <w:rPr>
          <w:rStyle w:val="FootnoteReference"/>
        </w:rPr>
        <w:footnoteRef/>
      </w:r>
      <w:r>
        <w:t xml:space="preserve"> Serena Roney-Dougal, </w:t>
      </w:r>
      <w:r>
        <w:rPr>
          <w:i/>
          <w:iCs/>
        </w:rPr>
        <w:t>Where Science and Magic Meet</w:t>
      </w:r>
      <w:r>
        <w:t xml:space="preserve"> (Street: Green Magic, 2010), p. 28.</w:t>
      </w:r>
    </w:p>
  </w:footnote>
  <w:footnote w:id="49">
    <w:p w14:paraId="366015F1" w14:textId="68150BCF" w:rsidR="009865AD" w:rsidRDefault="009865AD" w:rsidP="00500239">
      <w:pPr>
        <w:pStyle w:val="FootnoteText"/>
      </w:pPr>
      <w:r>
        <w:rPr>
          <w:rStyle w:val="FootnoteReference"/>
        </w:rPr>
        <w:footnoteRef/>
      </w:r>
      <w:r>
        <w:t xml:space="preserve"> Jason A. Josephson-Storm, </w:t>
      </w:r>
      <w:r>
        <w:rPr>
          <w:i/>
          <w:iCs/>
        </w:rPr>
        <w:t xml:space="preserve">The Myth of Disenchantment: Magic, Modernity, and the Birth of the Human Sciences </w:t>
      </w:r>
      <w:r>
        <w:t>(London: The University of Chicago Press, 2017).</w:t>
      </w:r>
    </w:p>
  </w:footnote>
  <w:footnote w:id="50">
    <w:p w14:paraId="0477ED20" w14:textId="11D65F5C" w:rsidR="009865AD" w:rsidRDefault="009865AD">
      <w:pPr>
        <w:pStyle w:val="FootnoteText"/>
      </w:pPr>
      <w:r>
        <w:rPr>
          <w:rStyle w:val="FootnoteReference"/>
        </w:rPr>
        <w:footnoteRef/>
      </w:r>
      <w:r>
        <w:t xml:space="preserve"> Patrick Curry, </w:t>
      </w:r>
      <w:r>
        <w:rPr>
          <w:i/>
          <w:iCs/>
        </w:rPr>
        <w:t xml:space="preserve">Enchantment: Wonder in modern life </w:t>
      </w:r>
      <w:r>
        <w:t>(Edinburgh: Floris Books, 2019), p. 9.</w:t>
      </w:r>
    </w:p>
  </w:footnote>
  <w:footnote w:id="51">
    <w:p w14:paraId="42EE682B" w14:textId="7CC5DB53" w:rsidR="009865AD" w:rsidRDefault="009865AD">
      <w:pPr>
        <w:pStyle w:val="FootnoteText"/>
      </w:pPr>
      <w:r>
        <w:rPr>
          <w:rStyle w:val="FootnoteReference"/>
        </w:rPr>
        <w:footnoteRef/>
      </w:r>
      <w:r>
        <w:t xml:space="preserve"> Manly Hall, </w:t>
      </w:r>
      <w:r>
        <w:rPr>
          <w:i/>
          <w:iCs/>
        </w:rPr>
        <w:t xml:space="preserve">The Secret Teachings of All Ages </w:t>
      </w:r>
      <w:r>
        <w:t>(New York: Penguin, 2003), p.42.</w:t>
      </w:r>
    </w:p>
  </w:footnote>
  <w:footnote w:id="52">
    <w:p w14:paraId="0783C689" w14:textId="7392740B" w:rsidR="009865AD" w:rsidRDefault="009865AD">
      <w:pPr>
        <w:pStyle w:val="FootnoteText"/>
      </w:pPr>
      <w:r>
        <w:rPr>
          <w:rStyle w:val="FootnoteReference"/>
        </w:rPr>
        <w:footnoteRef/>
      </w:r>
      <w:r>
        <w:t xml:space="preserve"> Jason A. Josephson-Storm, </w:t>
      </w:r>
      <w:r>
        <w:rPr>
          <w:i/>
          <w:iCs/>
        </w:rPr>
        <w:t xml:space="preserve">The Myth of Disenchantment: Magic, Modernity, and the Birth of the Human Sciences </w:t>
      </w:r>
      <w:r>
        <w:t>(London: The University of Chicago Press, 2017).</w:t>
      </w:r>
    </w:p>
  </w:footnote>
  <w:footnote w:id="53">
    <w:p w14:paraId="53818310" w14:textId="7FD1BF42" w:rsidR="009865AD" w:rsidRDefault="009865AD">
      <w:pPr>
        <w:pStyle w:val="FootnoteText"/>
      </w:pPr>
      <w:r>
        <w:rPr>
          <w:rStyle w:val="FootnoteReference"/>
        </w:rPr>
        <w:footnoteRef/>
      </w:r>
      <w:r>
        <w:t xml:space="preserve"> Plutarch, </w:t>
      </w:r>
      <w:r>
        <w:rPr>
          <w:i/>
          <w:iCs/>
        </w:rPr>
        <w:t xml:space="preserve">The Obsolescence of Oracles, </w:t>
      </w:r>
      <w:r>
        <w:t>trans. by Frank Cole Babbitt, Loeb Classical Library, Moralia Vol. V (Cambridge, MA: Harvard University Press, 1936).</w:t>
      </w:r>
    </w:p>
  </w:footnote>
  <w:footnote w:id="54">
    <w:p w14:paraId="1F142A0B" w14:textId="68E733F5" w:rsidR="009865AD" w:rsidRDefault="009865AD">
      <w:pPr>
        <w:pStyle w:val="FootnoteText"/>
      </w:pPr>
      <w:r>
        <w:rPr>
          <w:rStyle w:val="FootnoteReference"/>
        </w:rPr>
        <w:footnoteRef/>
      </w:r>
      <w:r>
        <w:t xml:space="preserve"> Patrick Curry, ‘Magic vs. Enchantment, </w:t>
      </w:r>
      <w:r>
        <w:rPr>
          <w:i/>
          <w:iCs/>
        </w:rPr>
        <w:t xml:space="preserve">Journal of Contemporary Religion, </w:t>
      </w:r>
      <w:r>
        <w:t>14:3 (1999), p. 9.</w:t>
      </w:r>
    </w:p>
  </w:footnote>
  <w:footnote w:id="55">
    <w:p w14:paraId="716187ED" w14:textId="3619F7E4" w:rsidR="009865AD" w:rsidRDefault="009865AD">
      <w:pPr>
        <w:pStyle w:val="FootnoteText"/>
      </w:pPr>
      <w:r>
        <w:rPr>
          <w:rStyle w:val="FootnoteReference"/>
        </w:rPr>
        <w:footnoteRef/>
      </w:r>
      <w:r>
        <w:t xml:space="preserve"> Patrick Curry, </w:t>
      </w:r>
      <w:r>
        <w:rPr>
          <w:i/>
          <w:iCs/>
        </w:rPr>
        <w:t xml:space="preserve">Enchantment: Wonder in modern life </w:t>
      </w:r>
      <w:r>
        <w:t>(Edinburgh: Floris Books, 2019), p.22.</w:t>
      </w:r>
    </w:p>
  </w:footnote>
  <w:footnote w:id="56">
    <w:p w14:paraId="259C8AD9" w14:textId="3446FCFD" w:rsidR="009865AD" w:rsidRDefault="009865AD">
      <w:pPr>
        <w:pStyle w:val="FootnoteText"/>
      </w:pPr>
      <w:r>
        <w:rPr>
          <w:rStyle w:val="FootnoteReference"/>
        </w:rPr>
        <w:footnoteRef/>
      </w:r>
      <w:r>
        <w:t xml:space="preserve"> Clarissa </w:t>
      </w:r>
      <w:proofErr w:type="spellStart"/>
      <w:r>
        <w:t>Pinkola</w:t>
      </w:r>
      <w:proofErr w:type="spellEnd"/>
      <w:r>
        <w:t xml:space="preserve"> Estes, </w:t>
      </w:r>
      <w:r w:rsidRPr="00B876EF">
        <w:rPr>
          <w:i/>
          <w:iCs/>
        </w:rPr>
        <w:t xml:space="preserve">Women who </w:t>
      </w:r>
      <w:r>
        <w:rPr>
          <w:i/>
          <w:iCs/>
        </w:rPr>
        <w:t>R</w:t>
      </w:r>
      <w:r w:rsidRPr="00B876EF">
        <w:rPr>
          <w:i/>
          <w:iCs/>
        </w:rPr>
        <w:t xml:space="preserve">un with </w:t>
      </w:r>
      <w:r>
        <w:rPr>
          <w:i/>
          <w:iCs/>
        </w:rPr>
        <w:t>W</w:t>
      </w:r>
      <w:r w:rsidRPr="00B876EF">
        <w:rPr>
          <w:i/>
          <w:iCs/>
        </w:rPr>
        <w:t>olves</w:t>
      </w:r>
      <w:r>
        <w:t xml:space="preserve"> (New York: </w:t>
      </w:r>
      <w:proofErr w:type="spellStart"/>
      <w:r>
        <w:t>Ballatine</w:t>
      </w:r>
      <w:proofErr w:type="spellEnd"/>
      <w:r>
        <w:t xml:space="preserve"> Books, 1995).</w:t>
      </w:r>
    </w:p>
  </w:footnote>
  <w:footnote w:id="57">
    <w:p w14:paraId="0194D90E" w14:textId="04CF143B" w:rsidR="009865AD" w:rsidRDefault="009865AD">
      <w:pPr>
        <w:pStyle w:val="FootnoteText"/>
      </w:pPr>
      <w:r>
        <w:rPr>
          <w:rStyle w:val="FootnoteReference"/>
        </w:rPr>
        <w:footnoteRef/>
      </w:r>
      <w:r>
        <w:t xml:space="preserve"> John Reader et al, ‘Enchantment – Disenchantment-Re-Enchantment: </w:t>
      </w:r>
      <w:proofErr w:type="spellStart"/>
      <w:r>
        <w:t>Postdigital</w:t>
      </w:r>
      <w:proofErr w:type="spellEnd"/>
      <w:r>
        <w:t xml:space="preserve"> Relationships between Science, Philosophy, and Religion’, </w:t>
      </w:r>
      <w:proofErr w:type="spellStart"/>
      <w:r>
        <w:rPr>
          <w:i/>
          <w:iCs/>
        </w:rPr>
        <w:t>Postdigital</w:t>
      </w:r>
      <w:proofErr w:type="spellEnd"/>
      <w:r>
        <w:rPr>
          <w:i/>
          <w:iCs/>
        </w:rPr>
        <w:t xml:space="preserve"> Science and Education </w:t>
      </w:r>
      <w:r>
        <w:t>(2020).</w:t>
      </w:r>
    </w:p>
  </w:footnote>
  <w:footnote w:id="58">
    <w:p w14:paraId="56A0A5EA" w14:textId="77777777" w:rsidR="009865AD" w:rsidRDefault="009865AD" w:rsidP="008B5A91">
      <w:pPr>
        <w:pStyle w:val="FootnoteText"/>
      </w:pPr>
      <w:r>
        <w:rPr>
          <w:rStyle w:val="FootnoteReference"/>
        </w:rPr>
        <w:footnoteRef/>
      </w:r>
      <w:r>
        <w:t xml:space="preserve"> Lucien Levy-Bruhl, </w:t>
      </w:r>
      <w:r>
        <w:rPr>
          <w:i/>
          <w:iCs/>
        </w:rPr>
        <w:t xml:space="preserve">How Natives Think </w:t>
      </w:r>
      <w:r>
        <w:t>(London: George Allen &amp;Unwin Ltd, 1926), p.96.</w:t>
      </w:r>
    </w:p>
  </w:footnote>
  <w:footnote w:id="59">
    <w:p w14:paraId="0F1332B9" w14:textId="65F1ECE3" w:rsidR="009865AD" w:rsidRDefault="009865AD">
      <w:pPr>
        <w:pStyle w:val="FootnoteText"/>
      </w:pPr>
      <w:r>
        <w:rPr>
          <w:rStyle w:val="FootnoteReference"/>
        </w:rPr>
        <w:footnoteRef/>
      </w:r>
      <w:r>
        <w:t xml:space="preserve"> Plutarch, </w:t>
      </w:r>
      <w:r>
        <w:rPr>
          <w:i/>
          <w:iCs/>
        </w:rPr>
        <w:t xml:space="preserve">The Obsolescence of Oracles, </w:t>
      </w:r>
      <w:r>
        <w:t>trans. by Frank Cole Babbitt, Loeb Classical Library, Moralia Vol. V (Cambridge, MA: Harvard University Press, 1936), p. 493.</w:t>
      </w:r>
    </w:p>
  </w:footnote>
  <w:footnote w:id="60">
    <w:p w14:paraId="28B7866B" w14:textId="44E8441E" w:rsidR="009865AD" w:rsidRDefault="009865AD">
      <w:pPr>
        <w:pStyle w:val="FootnoteText"/>
      </w:pPr>
      <w:r>
        <w:rPr>
          <w:rStyle w:val="FootnoteReference"/>
        </w:rPr>
        <w:footnoteRef/>
      </w:r>
      <w:r>
        <w:t xml:space="preserve"> Serena Roney-Dougal, </w:t>
      </w:r>
      <w:r>
        <w:rPr>
          <w:i/>
          <w:iCs/>
        </w:rPr>
        <w:t>Where Science and Magic Meet</w:t>
      </w:r>
      <w:r>
        <w:t xml:space="preserve"> (Street: Green Magic, 2010).</w:t>
      </w:r>
    </w:p>
  </w:footnote>
  <w:footnote w:id="61">
    <w:p w14:paraId="1A46843A" w14:textId="5EE1DD88" w:rsidR="009865AD" w:rsidRDefault="009865AD">
      <w:pPr>
        <w:pStyle w:val="FootnoteText"/>
      </w:pPr>
      <w:r>
        <w:rPr>
          <w:rStyle w:val="FootnoteReference"/>
        </w:rPr>
        <w:footnoteRef/>
      </w:r>
      <w:r>
        <w:t xml:space="preserve"> Patrick Curry, </w:t>
      </w:r>
      <w:r>
        <w:rPr>
          <w:i/>
          <w:iCs/>
        </w:rPr>
        <w:t xml:space="preserve">Enchantment: Wonder in modern life </w:t>
      </w:r>
      <w:r>
        <w:t>(Edinburgh: Floris Books, 2019).</w:t>
      </w:r>
    </w:p>
  </w:footnote>
  <w:footnote w:id="62">
    <w:p w14:paraId="4C58AEA4" w14:textId="5C738CAA" w:rsidR="009865AD" w:rsidRDefault="009865AD">
      <w:pPr>
        <w:pStyle w:val="FootnoteText"/>
      </w:pPr>
      <w:r>
        <w:rPr>
          <w:rStyle w:val="FootnoteReference"/>
        </w:rPr>
        <w:footnoteRef/>
      </w:r>
      <w:r>
        <w:t xml:space="preserve"> Patrick Curry, </w:t>
      </w:r>
      <w:r>
        <w:rPr>
          <w:i/>
          <w:iCs/>
        </w:rPr>
        <w:t xml:space="preserve">Enchantment: Wonder in modern life </w:t>
      </w:r>
      <w:r>
        <w:t>(Edinburgh: Floris Books, 2019), p. 126.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E395AD" w14:textId="77777777" w:rsidR="004626A3" w:rsidRDefault="004626A3">
    <w:pPr>
      <w:pStyle w:val="Header"/>
    </w:pPr>
    <w:proofErr w:type="spellStart"/>
    <w:r>
      <w:t>Manjinder</w:t>
    </w:r>
    <w:proofErr w:type="spellEnd"/>
    <w:r>
      <w:t xml:space="preserve"> Dillon 1916609</w:t>
    </w:r>
    <w:r>
      <w:tab/>
    </w:r>
    <w:r>
      <w:tab/>
    </w:r>
    <w:sdt>
      <w:sdtPr>
        <w:id w:val="98381352"/>
        <w:docPartObj>
          <w:docPartGallery w:val="Page Numbers (Top of Page)"/>
          <w:docPartUnique/>
        </w:docPartObj>
      </w:sdtPr>
      <w:sdtContent>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sdtContent>
    </w:sdt>
  </w:p>
  <w:p w14:paraId="23CC383B" w14:textId="7AF1B4CF" w:rsidR="004626A3" w:rsidRDefault="004626A3">
    <w:pPr>
      <w:pStyle w:val="Header"/>
    </w:pPr>
  </w:p>
  <w:p w14:paraId="705B577A" w14:textId="77777777" w:rsidR="004626A3" w:rsidRDefault="004626A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5055FB"/>
    <w:multiLevelType w:val="hybridMultilevel"/>
    <w:tmpl w:val="38464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3D14BB"/>
    <w:multiLevelType w:val="hybridMultilevel"/>
    <w:tmpl w:val="3D101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2F1"/>
    <w:rsid w:val="00024F42"/>
    <w:rsid w:val="00031DDA"/>
    <w:rsid w:val="000415F1"/>
    <w:rsid w:val="00077C3F"/>
    <w:rsid w:val="00087D27"/>
    <w:rsid w:val="000A563B"/>
    <w:rsid w:val="000B1C93"/>
    <w:rsid w:val="000B76F1"/>
    <w:rsid w:val="000D66D5"/>
    <w:rsid w:val="000F026A"/>
    <w:rsid w:val="000F1B16"/>
    <w:rsid w:val="000F6F95"/>
    <w:rsid w:val="000F7457"/>
    <w:rsid w:val="0012061A"/>
    <w:rsid w:val="00130F2A"/>
    <w:rsid w:val="00161000"/>
    <w:rsid w:val="0016358B"/>
    <w:rsid w:val="001704F3"/>
    <w:rsid w:val="00174AA8"/>
    <w:rsid w:val="00184183"/>
    <w:rsid w:val="001D3741"/>
    <w:rsid w:val="002110D4"/>
    <w:rsid w:val="0022313D"/>
    <w:rsid w:val="00247B30"/>
    <w:rsid w:val="002852F3"/>
    <w:rsid w:val="0029564D"/>
    <w:rsid w:val="00297ED9"/>
    <w:rsid w:val="002A126A"/>
    <w:rsid w:val="002C3533"/>
    <w:rsid w:val="002C3F49"/>
    <w:rsid w:val="0031611B"/>
    <w:rsid w:val="00342661"/>
    <w:rsid w:val="0035312E"/>
    <w:rsid w:val="00365B9A"/>
    <w:rsid w:val="00374F42"/>
    <w:rsid w:val="003836E5"/>
    <w:rsid w:val="00386278"/>
    <w:rsid w:val="0039092E"/>
    <w:rsid w:val="003A7643"/>
    <w:rsid w:val="003B78E5"/>
    <w:rsid w:val="003C77C5"/>
    <w:rsid w:val="00407DF4"/>
    <w:rsid w:val="004115F1"/>
    <w:rsid w:val="00415927"/>
    <w:rsid w:val="0042669F"/>
    <w:rsid w:val="004626A3"/>
    <w:rsid w:val="00487EF6"/>
    <w:rsid w:val="00496D42"/>
    <w:rsid w:val="004A5524"/>
    <w:rsid w:val="004C6228"/>
    <w:rsid w:val="004F3411"/>
    <w:rsid w:val="00500239"/>
    <w:rsid w:val="00502647"/>
    <w:rsid w:val="0052094C"/>
    <w:rsid w:val="0053070F"/>
    <w:rsid w:val="0054351F"/>
    <w:rsid w:val="00571788"/>
    <w:rsid w:val="00572244"/>
    <w:rsid w:val="00590282"/>
    <w:rsid w:val="005B0F29"/>
    <w:rsid w:val="005C1CD2"/>
    <w:rsid w:val="005D7851"/>
    <w:rsid w:val="006003C2"/>
    <w:rsid w:val="00604339"/>
    <w:rsid w:val="006147C0"/>
    <w:rsid w:val="006315EE"/>
    <w:rsid w:val="00645643"/>
    <w:rsid w:val="006553DC"/>
    <w:rsid w:val="00657FC9"/>
    <w:rsid w:val="006635F6"/>
    <w:rsid w:val="00671695"/>
    <w:rsid w:val="006853FA"/>
    <w:rsid w:val="00691477"/>
    <w:rsid w:val="006A208E"/>
    <w:rsid w:val="006B6F18"/>
    <w:rsid w:val="006C270C"/>
    <w:rsid w:val="006E30B9"/>
    <w:rsid w:val="007324EF"/>
    <w:rsid w:val="007421D5"/>
    <w:rsid w:val="007547D2"/>
    <w:rsid w:val="007623A7"/>
    <w:rsid w:val="007852A8"/>
    <w:rsid w:val="00785B6F"/>
    <w:rsid w:val="00790292"/>
    <w:rsid w:val="007E6C6A"/>
    <w:rsid w:val="007F16ED"/>
    <w:rsid w:val="007F2856"/>
    <w:rsid w:val="007F5368"/>
    <w:rsid w:val="00816E4F"/>
    <w:rsid w:val="00822944"/>
    <w:rsid w:val="0082674D"/>
    <w:rsid w:val="00850FA2"/>
    <w:rsid w:val="0087568C"/>
    <w:rsid w:val="008A0DC9"/>
    <w:rsid w:val="008B5A91"/>
    <w:rsid w:val="008C18A1"/>
    <w:rsid w:val="008C256A"/>
    <w:rsid w:val="008D4B98"/>
    <w:rsid w:val="008D6BAC"/>
    <w:rsid w:val="008E7F20"/>
    <w:rsid w:val="009100FA"/>
    <w:rsid w:val="0091270D"/>
    <w:rsid w:val="00912DCB"/>
    <w:rsid w:val="009608CC"/>
    <w:rsid w:val="009865AD"/>
    <w:rsid w:val="00986909"/>
    <w:rsid w:val="009A0678"/>
    <w:rsid w:val="009D22AD"/>
    <w:rsid w:val="00A116D8"/>
    <w:rsid w:val="00A37440"/>
    <w:rsid w:val="00A40B0B"/>
    <w:rsid w:val="00A42D92"/>
    <w:rsid w:val="00A44996"/>
    <w:rsid w:val="00A64F98"/>
    <w:rsid w:val="00A9787A"/>
    <w:rsid w:val="00AB0293"/>
    <w:rsid w:val="00AC0515"/>
    <w:rsid w:val="00AC708B"/>
    <w:rsid w:val="00AD49C4"/>
    <w:rsid w:val="00AF3D12"/>
    <w:rsid w:val="00B57DAE"/>
    <w:rsid w:val="00B86B2B"/>
    <w:rsid w:val="00B876EF"/>
    <w:rsid w:val="00B90532"/>
    <w:rsid w:val="00BC3DFD"/>
    <w:rsid w:val="00BC6883"/>
    <w:rsid w:val="00BC7103"/>
    <w:rsid w:val="00BE6A6A"/>
    <w:rsid w:val="00C05AFC"/>
    <w:rsid w:val="00C146F0"/>
    <w:rsid w:val="00C15557"/>
    <w:rsid w:val="00CA5753"/>
    <w:rsid w:val="00CA6861"/>
    <w:rsid w:val="00CC0717"/>
    <w:rsid w:val="00CC0961"/>
    <w:rsid w:val="00CD6C2A"/>
    <w:rsid w:val="00CE4CE2"/>
    <w:rsid w:val="00D049F7"/>
    <w:rsid w:val="00D4064F"/>
    <w:rsid w:val="00D51903"/>
    <w:rsid w:val="00D73703"/>
    <w:rsid w:val="00D777AB"/>
    <w:rsid w:val="00D863DC"/>
    <w:rsid w:val="00E174C4"/>
    <w:rsid w:val="00E25611"/>
    <w:rsid w:val="00E373B2"/>
    <w:rsid w:val="00E47FE8"/>
    <w:rsid w:val="00E862F1"/>
    <w:rsid w:val="00E8653D"/>
    <w:rsid w:val="00EC5A1A"/>
    <w:rsid w:val="00F0281E"/>
    <w:rsid w:val="00F13E3B"/>
    <w:rsid w:val="00F52F7B"/>
    <w:rsid w:val="00F63B21"/>
    <w:rsid w:val="00F70611"/>
    <w:rsid w:val="00F852C5"/>
    <w:rsid w:val="00F85B84"/>
    <w:rsid w:val="00FD0FD0"/>
    <w:rsid w:val="00FD5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212A6E"/>
  <w15:chartTrackingRefBased/>
  <w15:docId w15:val="{842031A4-60E5-4452-BEB4-51B7C2E51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4626A3"/>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0F026A"/>
    <w:pPr>
      <w:spacing w:after="0" w:line="240" w:lineRule="auto"/>
    </w:pPr>
    <w:rPr>
      <w:rFonts w:ascii="Times New Roman" w:eastAsia="Times New Roman" w:hAnsi="Times New Roman" w:cs="Times New Roman"/>
      <w:sz w:val="20"/>
      <w:szCs w:val="20"/>
    </w:rPr>
  </w:style>
  <w:style w:type="character" w:customStyle="1" w:styleId="FootnoteTextChar">
    <w:name w:val="Footnote Text Char"/>
    <w:basedOn w:val="DefaultParagraphFont"/>
    <w:link w:val="FootnoteText"/>
    <w:uiPriority w:val="99"/>
    <w:rsid w:val="000F026A"/>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0F026A"/>
    <w:rPr>
      <w:vertAlign w:val="superscript"/>
    </w:rPr>
  </w:style>
  <w:style w:type="paragraph" w:styleId="EndnoteText">
    <w:name w:val="endnote text"/>
    <w:basedOn w:val="Normal"/>
    <w:link w:val="EndnoteTextChar"/>
    <w:uiPriority w:val="99"/>
    <w:semiHidden/>
    <w:unhideWhenUsed/>
    <w:rsid w:val="008C256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C256A"/>
    <w:rPr>
      <w:sz w:val="20"/>
      <w:szCs w:val="20"/>
    </w:rPr>
  </w:style>
  <w:style w:type="character" w:styleId="EndnoteReference">
    <w:name w:val="endnote reference"/>
    <w:basedOn w:val="DefaultParagraphFont"/>
    <w:uiPriority w:val="99"/>
    <w:semiHidden/>
    <w:unhideWhenUsed/>
    <w:rsid w:val="008C256A"/>
    <w:rPr>
      <w:vertAlign w:val="superscript"/>
    </w:rPr>
  </w:style>
  <w:style w:type="character" w:customStyle="1" w:styleId="docssharedwiztogglelabeledlabeltext">
    <w:name w:val="docssharedwiztogglelabeledlabeltext"/>
    <w:basedOn w:val="DefaultParagraphFont"/>
    <w:rsid w:val="0042669F"/>
  </w:style>
  <w:style w:type="character" w:customStyle="1" w:styleId="appsmaterialwizbuttonpaperbuttonlabel">
    <w:name w:val="appsmaterialwizbuttonpaperbuttonlabel"/>
    <w:basedOn w:val="DefaultParagraphFont"/>
    <w:rsid w:val="0042669F"/>
  </w:style>
  <w:style w:type="paragraph" w:styleId="ListParagraph">
    <w:name w:val="List Paragraph"/>
    <w:basedOn w:val="Normal"/>
    <w:uiPriority w:val="34"/>
    <w:qFormat/>
    <w:rsid w:val="0042669F"/>
    <w:pPr>
      <w:ind w:left="720"/>
      <w:contextualSpacing/>
    </w:pPr>
  </w:style>
  <w:style w:type="character" w:customStyle="1" w:styleId="Heading3Char">
    <w:name w:val="Heading 3 Char"/>
    <w:basedOn w:val="DefaultParagraphFont"/>
    <w:link w:val="Heading3"/>
    <w:rsid w:val="004626A3"/>
    <w:rPr>
      <w:rFonts w:ascii="Tahoma" w:eastAsia="SimSun" w:hAnsi="Tahoma" w:cs="Tahoma"/>
      <w:b/>
      <w:bCs/>
      <w:sz w:val="20"/>
      <w:szCs w:val="20"/>
      <w:lang w:eastAsia="zh-CN"/>
    </w:rPr>
  </w:style>
  <w:style w:type="paragraph" w:styleId="NormalWeb">
    <w:name w:val="Normal (Web)"/>
    <w:basedOn w:val="Normal"/>
    <w:rsid w:val="004626A3"/>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4626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6A3"/>
  </w:style>
  <w:style w:type="paragraph" w:styleId="Footer">
    <w:name w:val="footer"/>
    <w:basedOn w:val="Normal"/>
    <w:link w:val="FooterChar"/>
    <w:uiPriority w:val="99"/>
    <w:unhideWhenUsed/>
    <w:rsid w:val="004626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6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5257027">
      <w:bodyDiv w:val="1"/>
      <w:marLeft w:val="0"/>
      <w:marRight w:val="0"/>
      <w:marTop w:val="0"/>
      <w:marBottom w:val="0"/>
      <w:divBdr>
        <w:top w:val="none" w:sz="0" w:space="0" w:color="auto"/>
        <w:left w:val="none" w:sz="0" w:space="0" w:color="auto"/>
        <w:bottom w:val="none" w:sz="0" w:space="0" w:color="auto"/>
        <w:right w:val="none" w:sz="0" w:space="0" w:color="auto"/>
      </w:divBdr>
      <w:divsChild>
        <w:div w:id="1714039246">
          <w:marLeft w:val="0"/>
          <w:marRight w:val="0"/>
          <w:marTop w:val="0"/>
          <w:marBottom w:val="240"/>
          <w:divBdr>
            <w:top w:val="none" w:sz="0" w:space="0" w:color="auto"/>
            <w:left w:val="none" w:sz="0" w:space="0" w:color="auto"/>
            <w:bottom w:val="none" w:sz="0" w:space="0" w:color="auto"/>
            <w:right w:val="none" w:sz="0" w:space="0" w:color="auto"/>
          </w:divBdr>
          <w:divsChild>
            <w:div w:id="2137143269">
              <w:marLeft w:val="0"/>
              <w:marRight w:val="0"/>
              <w:marTop w:val="0"/>
              <w:marBottom w:val="0"/>
              <w:divBdr>
                <w:top w:val="none" w:sz="0" w:space="0" w:color="auto"/>
                <w:left w:val="none" w:sz="0" w:space="0" w:color="auto"/>
                <w:bottom w:val="none" w:sz="0" w:space="0" w:color="auto"/>
                <w:right w:val="none" w:sz="0" w:space="0" w:color="auto"/>
              </w:divBdr>
              <w:divsChild>
                <w:div w:id="138683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1847899">
          <w:marLeft w:val="0"/>
          <w:marRight w:val="0"/>
          <w:marTop w:val="0"/>
          <w:marBottom w:val="0"/>
          <w:divBdr>
            <w:top w:val="none" w:sz="0" w:space="0" w:color="auto"/>
            <w:left w:val="none" w:sz="0" w:space="0" w:color="auto"/>
            <w:bottom w:val="none" w:sz="0" w:space="0" w:color="auto"/>
            <w:right w:val="none" w:sz="0" w:space="0" w:color="auto"/>
          </w:divBdr>
          <w:divsChild>
            <w:div w:id="2113428764">
              <w:marLeft w:val="0"/>
              <w:marRight w:val="0"/>
              <w:marTop w:val="0"/>
              <w:marBottom w:val="0"/>
              <w:divBdr>
                <w:top w:val="none" w:sz="0" w:space="0" w:color="auto"/>
                <w:left w:val="none" w:sz="0" w:space="0" w:color="auto"/>
                <w:bottom w:val="none" w:sz="0" w:space="0" w:color="auto"/>
                <w:right w:val="none" w:sz="0" w:space="0" w:color="auto"/>
              </w:divBdr>
              <w:divsChild>
                <w:div w:id="1568149955">
                  <w:marLeft w:val="0"/>
                  <w:marRight w:val="0"/>
                  <w:marTop w:val="0"/>
                  <w:marBottom w:val="0"/>
                  <w:divBdr>
                    <w:top w:val="none" w:sz="0" w:space="0" w:color="auto"/>
                    <w:left w:val="none" w:sz="0" w:space="0" w:color="auto"/>
                    <w:bottom w:val="none" w:sz="0" w:space="0" w:color="auto"/>
                    <w:right w:val="none" w:sz="0" w:space="0" w:color="auto"/>
                  </w:divBdr>
                  <w:divsChild>
                    <w:div w:id="2074813912">
                      <w:marLeft w:val="0"/>
                      <w:marRight w:val="0"/>
                      <w:marTop w:val="0"/>
                      <w:marBottom w:val="0"/>
                      <w:divBdr>
                        <w:top w:val="none" w:sz="0" w:space="0" w:color="auto"/>
                        <w:left w:val="none" w:sz="0" w:space="0" w:color="auto"/>
                        <w:bottom w:val="none" w:sz="0" w:space="0" w:color="auto"/>
                        <w:right w:val="none" w:sz="0" w:space="0" w:color="auto"/>
                      </w:divBdr>
                      <w:divsChild>
                        <w:div w:id="917984428">
                          <w:marLeft w:val="0"/>
                          <w:marRight w:val="0"/>
                          <w:marTop w:val="0"/>
                          <w:marBottom w:val="0"/>
                          <w:divBdr>
                            <w:top w:val="none" w:sz="0" w:space="0" w:color="auto"/>
                            <w:left w:val="none" w:sz="0" w:space="0" w:color="auto"/>
                            <w:bottom w:val="none" w:sz="0" w:space="0" w:color="auto"/>
                            <w:right w:val="none" w:sz="0" w:space="0" w:color="auto"/>
                          </w:divBdr>
                          <w:divsChild>
                            <w:div w:id="902329697">
                              <w:marLeft w:val="180"/>
                              <w:marRight w:val="0"/>
                              <w:marTop w:val="0"/>
                              <w:marBottom w:val="0"/>
                              <w:divBdr>
                                <w:top w:val="none" w:sz="0" w:space="0" w:color="auto"/>
                                <w:left w:val="none" w:sz="0" w:space="0" w:color="auto"/>
                                <w:bottom w:val="none" w:sz="0" w:space="0" w:color="auto"/>
                                <w:right w:val="none" w:sz="0" w:space="0" w:color="auto"/>
                              </w:divBdr>
                              <w:divsChild>
                                <w:div w:id="1643847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844630">
                      <w:marLeft w:val="0"/>
                      <w:marRight w:val="0"/>
                      <w:marTop w:val="0"/>
                      <w:marBottom w:val="0"/>
                      <w:divBdr>
                        <w:top w:val="none" w:sz="0" w:space="0" w:color="auto"/>
                        <w:left w:val="none" w:sz="0" w:space="0" w:color="auto"/>
                        <w:bottom w:val="none" w:sz="0" w:space="0" w:color="auto"/>
                        <w:right w:val="none" w:sz="0" w:space="0" w:color="auto"/>
                      </w:divBdr>
                      <w:divsChild>
                        <w:div w:id="2095347626">
                          <w:marLeft w:val="0"/>
                          <w:marRight w:val="0"/>
                          <w:marTop w:val="0"/>
                          <w:marBottom w:val="0"/>
                          <w:divBdr>
                            <w:top w:val="none" w:sz="0" w:space="0" w:color="auto"/>
                            <w:left w:val="none" w:sz="0" w:space="0" w:color="auto"/>
                            <w:bottom w:val="none" w:sz="0" w:space="0" w:color="auto"/>
                            <w:right w:val="none" w:sz="0" w:space="0" w:color="auto"/>
                          </w:divBdr>
                          <w:divsChild>
                            <w:div w:id="1329285218">
                              <w:marLeft w:val="180"/>
                              <w:marRight w:val="0"/>
                              <w:marTop w:val="0"/>
                              <w:marBottom w:val="0"/>
                              <w:divBdr>
                                <w:top w:val="none" w:sz="0" w:space="0" w:color="auto"/>
                                <w:left w:val="none" w:sz="0" w:space="0" w:color="auto"/>
                                <w:bottom w:val="none" w:sz="0" w:space="0" w:color="auto"/>
                                <w:right w:val="none" w:sz="0" w:space="0" w:color="auto"/>
                              </w:divBdr>
                              <w:divsChild>
                                <w:div w:id="134540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928993">
                      <w:marLeft w:val="0"/>
                      <w:marRight w:val="0"/>
                      <w:marTop w:val="0"/>
                      <w:marBottom w:val="0"/>
                      <w:divBdr>
                        <w:top w:val="none" w:sz="0" w:space="0" w:color="auto"/>
                        <w:left w:val="none" w:sz="0" w:space="0" w:color="auto"/>
                        <w:bottom w:val="none" w:sz="0" w:space="0" w:color="auto"/>
                        <w:right w:val="none" w:sz="0" w:space="0" w:color="auto"/>
                      </w:divBdr>
                      <w:divsChild>
                        <w:div w:id="1954361396">
                          <w:marLeft w:val="0"/>
                          <w:marRight w:val="0"/>
                          <w:marTop w:val="0"/>
                          <w:marBottom w:val="0"/>
                          <w:divBdr>
                            <w:top w:val="none" w:sz="0" w:space="0" w:color="auto"/>
                            <w:left w:val="none" w:sz="0" w:space="0" w:color="auto"/>
                            <w:bottom w:val="none" w:sz="0" w:space="0" w:color="auto"/>
                            <w:right w:val="none" w:sz="0" w:space="0" w:color="auto"/>
                          </w:divBdr>
                          <w:divsChild>
                            <w:div w:id="1558857766">
                              <w:marLeft w:val="180"/>
                              <w:marRight w:val="0"/>
                              <w:marTop w:val="0"/>
                              <w:marBottom w:val="0"/>
                              <w:divBdr>
                                <w:top w:val="none" w:sz="0" w:space="0" w:color="auto"/>
                                <w:left w:val="none" w:sz="0" w:space="0" w:color="auto"/>
                                <w:bottom w:val="none" w:sz="0" w:space="0" w:color="auto"/>
                                <w:right w:val="none" w:sz="0" w:space="0" w:color="auto"/>
                              </w:divBdr>
                              <w:divsChild>
                                <w:div w:id="27035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3203474">
                      <w:marLeft w:val="0"/>
                      <w:marRight w:val="0"/>
                      <w:marTop w:val="0"/>
                      <w:marBottom w:val="0"/>
                      <w:divBdr>
                        <w:top w:val="none" w:sz="0" w:space="0" w:color="auto"/>
                        <w:left w:val="none" w:sz="0" w:space="0" w:color="auto"/>
                        <w:bottom w:val="none" w:sz="0" w:space="0" w:color="auto"/>
                        <w:right w:val="none" w:sz="0" w:space="0" w:color="auto"/>
                      </w:divBdr>
                      <w:divsChild>
                        <w:div w:id="1036127417">
                          <w:marLeft w:val="0"/>
                          <w:marRight w:val="0"/>
                          <w:marTop w:val="0"/>
                          <w:marBottom w:val="0"/>
                          <w:divBdr>
                            <w:top w:val="none" w:sz="0" w:space="0" w:color="auto"/>
                            <w:left w:val="none" w:sz="0" w:space="0" w:color="auto"/>
                            <w:bottom w:val="none" w:sz="0" w:space="0" w:color="auto"/>
                            <w:right w:val="none" w:sz="0" w:space="0" w:color="auto"/>
                          </w:divBdr>
                          <w:divsChild>
                            <w:div w:id="661617627">
                              <w:marLeft w:val="180"/>
                              <w:marRight w:val="0"/>
                              <w:marTop w:val="0"/>
                              <w:marBottom w:val="0"/>
                              <w:divBdr>
                                <w:top w:val="none" w:sz="0" w:space="0" w:color="auto"/>
                                <w:left w:val="none" w:sz="0" w:space="0" w:color="auto"/>
                                <w:bottom w:val="none" w:sz="0" w:space="0" w:color="auto"/>
                                <w:right w:val="none" w:sz="0" w:space="0" w:color="auto"/>
                              </w:divBdr>
                              <w:divsChild>
                                <w:div w:id="9483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3454846">
      <w:bodyDiv w:val="1"/>
      <w:marLeft w:val="0"/>
      <w:marRight w:val="0"/>
      <w:marTop w:val="0"/>
      <w:marBottom w:val="0"/>
      <w:divBdr>
        <w:top w:val="none" w:sz="0" w:space="0" w:color="auto"/>
        <w:left w:val="none" w:sz="0" w:space="0" w:color="auto"/>
        <w:bottom w:val="none" w:sz="0" w:space="0" w:color="auto"/>
        <w:right w:val="none" w:sz="0" w:space="0" w:color="auto"/>
      </w:divBdr>
      <w:divsChild>
        <w:div w:id="1397168662">
          <w:marLeft w:val="0"/>
          <w:marRight w:val="0"/>
          <w:marTop w:val="0"/>
          <w:marBottom w:val="0"/>
          <w:divBdr>
            <w:top w:val="none" w:sz="0" w:space="0" w:color="auto"/>
            <w:left w:val="none" w:sz="0" w:space="0" w:color="auto"/>
            <w:bottom w:val="none" w:sz="0" w:space="0" w:color="auto"/>
            <w:right w:val="none" w:sz="0" w:space="0" w:color="auto"/>
          </w:divBdr>
          <w:divsChild>
            <w:div w:id="1707217166">
              <w:marLeft w:val="0"/>
              <w:marRight w:val="0"/>
              <w:marTop w:val="0"/>
              <w:marBottom w:val="180"/>
              <w:divBdr>
                <w:top w:val="single" w:sz="6" w:space="18" w:color="DADCE0"/>
                <w:left w:val="single" w:sz="6" w:space="18" w:color="DADCE0"/>
                <w:bottom w:val="single" w:sz="6" w:space="18" w:color="DADCE0"/>
                <w:right w:val="single" w:sz="6" w:space="18" w:color="DADCE0"/>
              </w:divBdr>
              <w:divsChild>
                <w:div w:id="459539223">
                  <w:marLeft w:val="0"/>
                  <w:marRight w:val="0"/>
                  <w:marTop w:val="0"/>
                  <w:marBottom w:val="240"/>
                  <w:divBdr>
                    <w:top w:val="none" w:sz="0" w:space="0" w:color="auto"/>
                    <w:left w:val="none" w:sz="0" w:space="0" w:color="auto"/>
                    <w:bottom w:val="none" w:sz="0" w:space="0" w:color="auto"/>
                    <w:right w:val="none" w:sz="0" w:space="0" w:color="auto"/>
                  </w:divBdr>
                  <w:divsChild>
                    <w:div w:id="1598559287">
                      <w:marLeft w:val="0"/>
                      <w:marRight w:val="0"/>
                      <w:marTop w:val="0"/>
                      <w:marBottom w:val="0"/>
                      <w:divBdr>
                        <w:top w:val="none" w:sz="0" w:space="0" w:color="auto"/>
                        <w:left w:val="none" w:sz="0" w:space="0" w:color="auto"/>
                        <w:bottom w:val="none" w:sz="0" w:space="0" w:color="auto"/>
                        <w:right w:val="none" w:sz="0" w:space="0" w:color="auto"/>
                      </w:divBdr>
                      <w:divsChild>
                        <w:div w:id="173396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704670">
                  <w:marLeft w:val="0"/>
                  <w:marRight w:val="0"/>
                  <w:marTop w:val="0"/>
                  <w:marBottom w:val="0"/>
                  <w:divBdr>
                    <w:top w:val="none" w:sz="0" w:space="0" w:color="auto"/>
                    <w:left w:val="none" w:sz="0" w:space="0" w:color="auto"/>
                    <w:bottom w:val="none" w:sz="0" w:space="0" w:color="auto"/>
                    <w:right w:val="none" w:sz="0" w:space="0" w:color="auto"/>
                  </w:divBdr>
                  <w:divsChild>
                    <w:div w:id="978068273">
                      <w:marLeft w:val="0"/>
                      <w:marRight w:val="0"/>
                      <w:marTop w:val="0"/>
                      <w:marBottom w:val="0"/>
                      <w:divBdr>
                        <w:top w:val="none" w:sz="0" w:space="0" w:color="auto"/>
                        <w:left w:val="none" w:sz="0" w:space="0" w:color="auto"/>
                        <w:bottom w:val="none" w:sz="0" w:space="0" w:color="auto"/>
                        <w:right w:val="none" w:sz="0" w:space="0" w:color="auto"/>
                      </w:divBdr>
                      <w:divsChild>
                        <w:div w:id="1473448552">
                          <w:marLeft w:val="0"/>
                          <w:marRight w:val="0"/>
                          <w:marTop w:val="0"/>
                          <w:marBottom w:val="0"/>
                          <w:divBdr>
                            <w:top w:val="none" w:sz="0" w:space="0" w:color="auto"/>
                            <w:left w:val="none" w:sz="0" w:space="0" w:color="auto"/>
                            <w:bottom w:val="none" w:sz="0" w:space="0" w:color="auto"/>
                            <w:right w:val="none" w:sz="0" w:space="0" w:color="auto"/>
                          </w:divBdr>
                          <w:divsChild>
                            <w:div w:id="72238144">
                              <w:marLeft w:val="0"/>
                              <w:marRight w:val="0"/>
                              <w:marTop w:val="0"/>
                              <w:marBottom w:val="0"/>
                              <w:divBdr>
                                <w:top w:val="none" w:sz="0" w:space="0" w:color="auto"/>
                                <w:left w:val="none" w:sz="0" w:space="0" w:color="auto"/>
                                <w:bottom w:val="none" w:sz="0" w:space="0" w:color="auto"/>
                                <w:right w:val="none" w:sz="0" w:space="0" w:color="auto"/>
                              </w:divBdr>
                              <w:divsChild>
                                <w:div w:id="458105592">
                                  <w:marLeft w:val="0"/>
                                  <w:marRight w:val="0"/>
                                  <w:marTop w:val="0"/>
                                  <w:marBottom w:val="0"/>
                                  <w:divBdr>
                                    <w:top w:val="none" w:sz="0" w:space="0" w:color="auto"/>
                                    <w:left w:val="none" w:sz="0" w:space="0" w:color="auto"/>
                                    <w:bottom w:val="none" w:sz="0" w:space="0" w:color="auto"/>
                                    <w:right w:val="none" w:sz="0" w:space="0" w:color="auto"/>
                                  </w:divBdr>
                                  <w:divsChild>
                                    <w:div w:id="698892763">
                                      <w:marLeft w:val="0"/>
                                      <w:marRight w:val="0"/>
                                      <w:marTop w:val="0"/>
                                      <w:marBottom w:val="0"/>
                                      <w:divBdr>
                                        <w:top w:val="none" w:sz="0" w:space="0" w:color="auto"/>
                                        <w:left w:val="none" w:sz="0" w:space="0" w:color="auto"/>
                                        <w:bottom w:val="none" w:sz="0" w:space="0" w:color="auto"/>
                                        <w:right w:val="none" w:sz="0" w:space="0" w:color="auto"/>
                                      </w:divBdr>
                                      <w:divsChild>
                                        <w:div w:id="1071728970">
                                          <w:marLeft w:val="180"/>
                                          <w:marRight w:val="0"/>
                                          <w:marTop w:val="0"/>
                                          <w:marBottom w:val="0"/>
                                          <w:divBdr>
                                            <w:top w:val="none" w:sz="0" w:space="0" w:color="auto"/>
                                            <w:left w:val="none" w:sz="0" w:space="0" w:color="auto"/>
                                            <w:bottom w:val="none" w:sz="0" w:space="0" w:color="auto"/>
                                            <w:right w:val="none" w:sz="0" w:space="0" w:color="auto"/>
                                          </w:divBdr>
                                          <w:divsChild>
                                            <w:div w:id="282075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873232">
                                  <w:marLeft w:val="0"/>
                                  <w:marRight w:val="0"/>
                                  <w:marTop w:val="0"/>
                                  <w:marBottom w:val="0"/>
                                  <w:divBdr>
                                    <w:top w:val="none" w:sz="0" w:space="0" w:color="auto"/>
                                    <w:left w:val="none" w:sz="0" w:space="0" w:color="auto"/>
                                    <w:bottom w:val="none" w:sz="0" w:space="0" w:color="auto"/>
                                    <w:right w:val="none" w:sz="0" w:space="0" w:color="auto"/>
                                  </w:divBdr>
                                  <w:divsChild>
                                    <w:div w:id="1073889454">
                                      <w:marLeft w:val="0"/>
                                      <w:marRight w:val="0"/>
                                      <w:marTop w:val="0"/>
                                      <w:marBottom w:val="0"/>
                                      <w:divBdr>
                                        <w:top w:val="none" w:sz="0" w:space="0" w:color="auto"/>
                                        <w:left w:val="none" w:sz="0" w:space="0" w:color="auto"/>
                                        <w:bottom w:val="none" w:sz="0" w:space="0" w:color="auto"/>
                                        <w:right w:val="none" w:sz="0" w:space="0" w:color="auto"/>
                                      </w:divBdr>
                                      <w:divsChild>
                                        <w:div w:id="564610044">
                                          <w:marLeft w:val="180"/>
                                          <w:marRight w:val="0"/>
                                          <w:marTop w:val="0"/>
                                          <w:marBottom w:val="0"/>
                                          <w:divBdr>
                                            <w:top w:val="none" w:sz="0" w:space="0" w:color="auto"/>
                                            <w:left w:val="none" w:sz="0" w:space="0" w:color="auto"/>
                                            <w:bottom w:val="none" w:sz="0" w:space="0" w:color="auto"/>
                                            <w:right w:val="none" w:sz="0" w:space="0" w:color="auto"/>
                                          </w:divBdr>
                                          <w:divsChild>
                                            <w:div w:id="99689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153127">
                                  <w:marLeft w:val="0"/>
                                  <w:marRight w:val="0"/>
                                  <w:marTop w:val="0"/>
                                  <w:marBottom w:val="0"/>
                                  <w:divBdr>
                                    <w:top w:val="none" w:sz="0" w:space="0" w:color="auto"/>
                                    <w:left w:val="none" w:sz="0" w:space="0" w:color="auto"/>
                                    <w:bottom w:val="none" w:sz="0" w:space="0" w:color="auto"/>
                                    <w:right w:val="none" w:sz="0" w:space="0" w:color="auto"/>
                                  </w:divBdr>
                                  <w:divsChild>
                                    <w:div w:id="1608348422">
                                      <w:marLeft w:val="0"/>
                                      <w:marRight w:val="0"/>
                                      <w:marTop w:val="0"/>
                                      <w:marBottom w:val="0"/>
                                      <w:divBdr>
                                        <w:top w:val="none" w:sz="0" w:space="0" w:color="auto"/>
                                        <w:left w:val="none" w:sz="0" w:space="0" w:color="auto"/>
                                        <w:bottom w:val="none" w:sz="0" w:space="0" w:color="auto"/>
                                        <w:right w:val="none" w:sz="0" w:space="0" w:color="auto"/>
                                      </w:divBdr>
                                      <w:divsChild>
                                        <w:div w:id="2001928294">
                                          <w:marLeft w:val="180"/>
                                          <w:marRight w:val="0"/>
                                          <w:marTop w:val="0"/>
                                          <w:marBottom w:val="0"/>
                                          <w:divBdr>
                                            <w:top w:val="none" w:sz="0" w:space="0" w:color="auto"/>
                                            <w:left w:val="none" w:sz="0" w:space="0" w:color="auto"/>
                                            <w:bottom w:val="none" w:sz="0" w:space="0" w:color="auto"/>
                                            <w:right w:val="none" w:sz="0" w:space="0" w:color="auto"/>
                                          </w:divBdr>
                                          <w:divsChild>
                                            <w:div w:id="1421871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3661022">
                      <w:marLeft w:val="0"/>
                      <w:marRight w:val="0"/>
                      <w:marTop w:val="0"/>
                      <w:marBottom w:val="0"/>
                      <w:divBdr>
                        <w:top w:val="none" w:sz="0" w:space="0" w:color="auto"/>
                        <w:left w:val="none" w:sz="0" w:space="0" w:color="auto"/>
                        <w:bottom w:val="none" w:sz="0" w:space="0" w:color="auto"/>
                        <w:right w:val="none" w:sz="0" w:space="0" w:color="auto"/>
                      </w:divBdr>
                      <w:divsChild>
                        <w:div w:id="786238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26745">
          <w:marLeft w:val="0"/>
          <w:marRight w:val="0"/>
          <w:marTop w:val="0"/>
          <w:marBottom w:val="0"/>
          <w:divBdr>
            <w:top w:val="none" w:sz="0" w:space="0" w:color="auto"/>
            <w:left w:val="none" w:sz="0" w:space="0" w:color="auto"/>
            <w:bottom w:val="none" w:sz="0" w:space="0" w:color="auto"/>
            <w:right w:val="none" w:sz="0" w:space="0" w:color="auto"/>
          </w:divBdr>
          <w:divsChild>
            <w:div w:id="94525266">
              <w:marLeft w:val="0"/>
              <w:marRight w:val="0"/>
              <w:marTop w:val="0"/>
              <w:marBottom w:val="180"/>
              <w:divBdr>
                <w:top w:val="single" w:sz="6" w:space="18" w:color="DADCE0"/>
                <w:left w:val="single" w:sz="6" w:space="18" w:color="DADCE0"/>
                <w:bottom w:val="single" w:sz="6" w:space="18" w:color="DADCE0"/>
                <w:right w:val="single" w:sz="6" w:space="18" w:color="DADCE0"/>
              </w:divBdr>
              <w:divsChild>
                <w:div w:id="1323702551">
                  <w:marLeft w:val="0"/>
                  <w:marRight w:val="0"/>
                  <w:marTop w:val="0"/>
                  <w:marBottom w:val="240"/>
                  <w:divBdr>
                    <w:top w:val="none" w:sz="0" w:space="0" w:color="auto"/>
                    <w:left w:val="none" w:sz="0" w:space="0" w:color="auto"/>
                    <w:bottom w:val="none" w:sz="0" w:space="0" w:color="auto"/>
                    <w:right w:val="none" w:sz="0" w:space="0" w:color="auto"/>
                  </w:divBdr>
                  <w:divsChild>
                    <w:div w:id="692532667">
                      <w:marLeft w:val="0"/>
                      <w:marRight w:val="0"/>
                      <w:marTop w:val="0"/>
                      <w:marBottom w:val="0"/>
                      <w:divBdr>
                        <w:top w:val="none" w:sz="0" w:space="0" w:color="auto"/>
                        <w:left w:val="none" w:sz="0" w:space="0" w:color="auto"/>
                        <w:bottom w:val="none" w:sz="0" w:space="0" w:color="auto"/>
                        <w:right w:val="none" w:sz="0" w:space="0" w:color="auto"/>
                      </w:divBdr>
                      <w:divsChild>
                        <w:div w:id="155419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4201410">
                  <w:marLeft w:val="0"/>
                  <w:marRight w:val="0"/>
                  <w:marTop w:val="0"/>
                  <w:marBottom w:val="0"/>
                  <w:divBdr>
                    <w:top w:val="none" w:sz="0" w:space="0" w:color="auto"/>
                    <w:left w:val="none" w:sz="0" w:space="0" w:color="auto"/>
                    <w:bottom w:val="none" w:sz="0" w:space="0" w:color="auto"/>
                    <w:right w:val="none" w:sz="0" w:space="0" w:color="auto"/>
                  </w:divBdr>
                  <w:divsChild>
                    <w:div w:id="353657477">
                      <w:marLeft w:val="0"/>
                      <w:marRight w:val="0"/>
                      <w:marTop w:val="0"/>
                      <w:marBottom w:val="0"/>
                      <w:divBdr>
                        <w:top w:val="none" w:sz="0" w:space="0" w:color="auto"/>
                        <w:left w:val="none" w:sz="0" w:space="0" w:color="auto"/>
                        <w:bottom w:val="none" w:sz="0" w:space="0" w:color="auto"/>
                        <w:right w:val="none" w:sz="0" w:space="0" w:color="auto"/>
                      </w:divBdr>
                      <w:divsChild>
                        <w:div w:id="299919655">
                          <w:marLeft w:val="0"/>
                          <w:marRight w:val="0"/>
                          <w:marTop w:val="0"/>
                          <w:marBottom w:val="0"/>
                          <w:divBdr>
                            <w:top w:val="none" w:sz="0" w:space="0" w:color="auto"/>
                            <w:left w:val="none" w:sz="0" w:space="0" w:color="auto"/>
                            <w:bottom w:val="none" w:sz="0" w:space="0" w:color="auto"/>
                            <w:right w:val="none" w:sz="0" w:space="0" w:color="auto"/>
                          </w:divBdr>
                          <w:divsChild>
                            <w:div w:id="509413494">
                              <w:marLeft w:val="0"/>
                              <w:marRight w:val="0"/>
                              <w:marTop w:val="0"/>
                              <w:marBottom w:val="0"/>
                              <w:divBdr>
                                <w:top w:val="none" w:sz="0" w:space="0" w:color="auto"/>
                                <w:left w:val="none" w:sz="0" w:space="0" w:color="auto"/>
                                <w:bottom w:val="none" w:sz="0" w:space="0" w:color="auto"/>
                                <w:right w:val="none" w:sz="0" w:space="0" w:color="auto"/>
                              </w:divBdr>
                            </w:div>
                            <w:div w:id="80859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4266011">
          <w:marLeft w:val="0"/>
          <w:marRight w:val="0"/>
          <w:marTop w:val="0"/>
          <w:marBottom w:val="0"/>
          <w:divBdr>
            <w:top w:val="none" w:sz="0" w:space="0" w:color="auto"/>
            <w:left w:val="none" w:sz="0" w:space="0" w:color="auto"/>
            <w:bottom w:val="none" w:sz="0" w:space="0" w:color="auto"/>
            <w:right w:val="none" w:sz="0" w:space="0" w:color="auto"/>
          </w:divBdr>
          <w:divsChild>
            <w:div w:id="344523114">
              <w:marLeft w:val="0"/>
              <w:marRight w:val="0"/>
              <w:marTop w:val="0"/>
              <w:marBottom w:val="180"/>
              <w:divBdr>
                <w:top w:val="single" w:sz="6" w:space="18" w:color="DADCE0"/>
                <w:left w:val="single" w:sz="6" w:space="18" w:color="DADCE0"/>
                <w:bottom w:val="single" w:sz="6" w:space="18" w:color="DADCE0"/>
                <w:right w:val="single" w:sz="6" w:space="18" w:color="DADCE0"/>
              </w:divBdr>
              <w:divsChild>
                <w:div w:id="616986756">
                  <w:marLeft w:val="0"/>
                  <w:marRight w:val="0"/>
                  <w:marTop w:val="0"/>
                  <w:marBottom w:val="240"/>
                  <w:divBdr>
                    <w:top w:val="none" w:sz="0" w:space="0" w:color="auto"/>
                    <w:left w:val="none" w:sz="0" w:space="0" w:color="auto"/>
                    <w:bottom w:val="none" w:sz="0" w:space="0" w:color="auto"/>
                    <w:right w:val="none" w:sz="0" w:space="0" w:color="auto"/>
                  </w:divBdr>
                  <w:divsChild>
                    <w:div w:id="242225314">
                      <w:marLeft w:val="0"/>
                      <w:marRight w:val="0"/>
                      <w:marTop w:val="0"/>
                      <w:marBottom w:val="0"/>
                      <w:divBdr>
                        <w:top w:val="none" w:sz="0" w:space="0" w:color="auto"/>
                        <w:left w:val="none" w:sz="0" w:space="0" w:color="auto"/>
                        <w:bottom w:val="none" w:sz="0" w:space="0" w:color="auto"/>
                        <w:right w:val="none" w:sz="0" w:space="0" w:color="auto"/>
                      </w:divBdr>
                      <w:divsChild>
                        <w:div w:id="96515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866188">
                  <w:marLeft w:val="0"/>
                  <w:marRight w:val="0"/>
                  <w:marTop w:val="0"/>
                  <w:marBottom w:val="0"/>
                  <w:divBdr>
                    <w:top w:val="none" w:sz="0" w:space="0" w:color="auto"/>
                    <w:left w:val="none" w:sz="0" w:space="0" w:color="auto"/>
                    <w:bottom w:val="none" w:sz="0" w:space="0" w:color="auto"/>
                    <w:right w:val="none" w:sz="0" w:space="0" w:color="auto"/>
                  </w:divBdr>
                  <w:divsChild>
                    <w:div w:id="48455512">
                      <w:marLeft w:val="0"/>
                      <w:marRight w:val="0"/>
                      <w:marTop w:val="0"/>
                      <w:marBottom w:val="0"/>
                      <w:divBdr>
                        <w:top w:val="none" w:sz="0" w:space="0" w:color="auto"/>
                        <w:left w:val="none" w:sz="0" w:space="0" w:color="auto"/>
                        <w:bottom w:val="none" w:sz="0" w:space="0" w:color="auto"/>
                        <w:right w:val="none" w:sz="0" w:space="0" w:color="auto"/>
                      </w:divBdr>
                      <w:divsChild>
                        <w:div w:id="1902446889">
                          <w:marLeft w:val="0"/>
                          <w:marRight w:val="0"/>
                          <w:marTop w:val="0"/>
                          <w:marBottom w:val="0"/>
                          <w:divBdr>
                            <w:top w:val="none" w:sz="0" w:space="0" w:color="auto"/>
                            <w:left w:val="none" w:sz="0" w:space="0" w:color="auto"/>
                            <w:bottom w:val="none" w:sz="0" w:space="0" w:color="auto"/>
                            <w:right w:val="none" w:sz="0" w:space="0" w:color="auto"/>
                          </w:divBdr>
                          <w:divsChild>
                            <w:div w:id="2130737610">
                              <w:marLeft w:val="0"/>
                              <w:marRight w:val="0"/>
                              <w:marTop w:val="0"/>
                              <w:marBottom w:val="0"/>
                              <w:divBdr>
                                <w:top w:val="none" w:sz="0" w:space="0" w:color="auto"/>
                                <w:left w:val="none" w:sz="0" w:space="0" w:color="auto"/>
                                <w:bottom w:val="none" w:sz="0" w:space="0" w:color="auto"/>
                                <w:right w:val="none" w:sz="0" w:space="0" w:color="auto"/>
                              </w:divBdr>
                            </w:div>
                            <w:div w:id="1904488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2464560">
          <w:marLeft w:val="0"/>
          <w:marRight w:val="0"/>
          <w:marTop w:val="0"/>
          <w:marBottom w:val="0"/>
          <w:divBdr>
            <w:top w:val="none" w:sz="0" w:space="0" w:color="auto"/>
            <w:left w:val="none" w:sz="0" w:space="0" w:color="auto"/>
            <w:bottom w:val="none" w:sz="0" w:space="0" w:color="auto"/>
            <w:right w:val="none" w:sz="0" w:space="0" w:color="auto"/>
          </w:divBdr>
          <w:divsChild>
            <w:div w:id="2065718316">
              <w:marLeft w:val="0"/>
              <w:marRight w:val="0"/>
              <w:marTop w:val="0"/>
              <w:marBottom w:val="180"/>
              <w:divBdr>
                <w:top w:val="single" w:sz="6" w:space="18" w:color="DADCE0"/>
                <w:left w:val="single" w:sz="6" w:space="18" w:color="DADCE0"/>
                <w:bottom w:val="single" w:sz="6" w:space="18" w:color="DADCE0"/>
                <w:right w:val="single" w:sz="6" w:space="18" w:color="DADCE0"/>
              </w:divBdr>
              <w:divsChild>
                <w:div w:id="754130637">
                  <w:marLeft w:val="0"/>
                  <w:marRight w:val="0"/>
                  <w:marTop w:val="0"/>
                  <w:marBottom w:val="240"/>
                  <w:divBdr>
                    <w:top w:val="none" w:sz="0" w:space="0" w:color="auto"/>
                    <w:left w:val="none" w:sz="0" w:space="0" w:color="auto"/>
                    <w:bottom w:val="none" w:sz="0" w:space="0" w:color="auto"/>
                    <w:right w:val="none" w:sz="0" w:space="0" w:color="auto"/>
                  </w:divBdr>
                  <w:divsChild>
                    <w:div w:id="1826122574">
                      <w:marLeft w:val="0"/>
                      <w:marRight w:val="0"/>
                      <w:marTop w:val="0"/>
                      <w:marBottom w:val="0"/>
                      <w:divBdr>
                        <w:top w:val="none" w:sz="0" w:space="0" w:color="auto"/>
                        <w:left w:val="none" w:sz="0" w:space="0" w:color="auto"/>
                        <w:bottom w:val="none" w:sz="0" w:space="0" w:color="auto"/>
                        <w:right w:val="none" w:sz="0" w:space="0" w:color="auto"/>
                      </w:divBdr>
                      <w:divsChild>
                        <w:div w:id="166962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026913">
                  <w:marLeft w:val="0"/>
                  <w:marRight w:val="0"/>
                  <w:marTop w:val="0"/>
                  <w:marBottom w:val="0"/>
                  <w:divBdr>
                    <w:top w:val="none" w:sz="0" w:space="0" w:color="auto"/>
                    <w:left w:val="none" w:sz="0" w:space="0" w:color="auto"/>
                    <w:bottom w:val="none" w:sz="0" w:space="0" w:color="auto"/>
                    <w:right w:val="none" w:sz="0" w:space="0" w:color="auto"/>
                  </w:divBdr>
                  <w:divsChild>
                    <w:div w:id="1235164130">
                      <w:marLeft w:val="0"/>
                      <w:marRight w:val="0"/>
                      <w:marTop w:val="0"/>
                      <w:marBottom w:val="0"/>
                      <w:divBdr>
                        <w:top w:val="none" w:sz="0" w:space="0" w:color="auto"/>
                        <w:left w:val="none" w:sz="0" w:space="0" w:color="auto"/>
                        <w:bottom w:val="none" w:sz="0" w:space="0" w:color="auto"/>
                        <w:right w:val="none" w:sz="0" w:space="0" w:color="auto"/>
                      </w:divBdr>
                      <w:divsChild>
                        <w:div w:id="670177844">
                          <w:marLeft w:val="0"/>
                          <w:marRight w:val="0"/>
                          <w:marTop w:val="0"/>
                          <w:marBottom w:val="0"/>
                          <w:divBdr>
                            <w:top w:val="none" w:sz="0" w:space="0" w:color="auto"/>
                            <w:left w:val="none" w:sz="0" w:space="0" w:color="auto"/>
                            <w:bottom w:val="none" w:sz="0" w:space="0" w:color="auto"/>
                            <w:right w:val="none" w:sz="0" w:space="0" w:color="auto"/>
                          </w:divBdr>
                          <w:divsChild>
                            <w:div w:id="987057887">
                              <w:marLeft w:val="0"/>
                              <w:marRight w:val="0"/>
                              <w:marTop w:val="0"/>
                              <w:marBottom w:val="0"/>
                              <w:divBdr>
                                <w:top w:val="none" w:sz="0" w:space="0" w:color="auto"/>
                                <w:left w:val="none" w:sz="0" w:space="0" w:color="auto"/>
                                <w:bottom w:val="none" w:sz="0" w:space="0" w:color="auto"/>
                                <w:right w:val="none" w:sz="0" w:space="0" w:color="auto"/>
                              </w:divBdr>
                            </w:div>
                            <w:div w:id="159601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502133">
          <w:marLeft w:val="0"/>
          <w:marRight w:val="0"/>
          <w:marTop w:val="0"/>
          <w:marBottom w:val="0"/>
          <w:divBdr>
            <w:top w:val="none" w:sz="0" w:space="0" w:color="auto"/>
            <w:left w:val="none" w:sz="0" w:space="0" w:color="auto"/>
            <w:bottom w:val="none" w:sz="0" w:space="0" w:color="auto"/>
            <w:right w:val="none" w:sz="0" w:space="0" w:color="auto"/>
          </w:divBdr>
          <w:divsChild>
            <w:div w:id="1971282067">
              <w:marLeft w:val="0"/>
              <w:marRight w:val="0"/>
              <w:marTop w:val="0"/>
              <w:marBottom w:val="180"/>
              <w:divBdr>
                <w:top w:val="single" w:sz="6" w:space="18" w:color="DADCE0"/>
                <w:left w:val="single" w:sz="6" w:space="18" w:color="DADCE0"/>
                <w:bottom w:val="single" w:sz="6" w:space="18" w:color="DADCE0"/>
                <w:right w:val="single" w:sz="6" w:space="18" w:color="DADCE0"/>
              </w:divBdr>
              <w:divsChild>
                <w:div w:id="1488742645">
                  <w:marLeft w:val="0"/>
                  <w:marRight w:val="0"/>
                  <w:marTop w:val="0"/>
                  <w:marBottom w:val="240"/>
                  <w:divBdr>
                    <w:top w:val="none" w:sz="0" w:space="0" w:color="auto"/>
                    <w:left w:val="none" w:sz="0" w:space="0" w:color="auto"/>
                    <w:bottom w:val="none" w:sz="0" w:space="0" w:color="auto"/>
                    <w:right w:val="none" w:sz="0" w:space="0" w:color="auto"/>
                  </w:divBdr>
                  <w:divsChild>
                    <w:div w:id="1220870370">
                      <w:marLeft w:val="0"/>
                      <w:marRight w:val="0"/>
                      <w:marTop w:val="0"/>
                      <w:marBottom w:val="0"/>
                      <w:divBdr>
                        <w:top w:val="none" w:sz="0" w:space="0" w:color="auto"/>
                        <w:left w:val="none" w:sz="0" w:space="0" w:color="auto"/>
                        <w:bottom w:val="none" w:sz="0" w:space="0" w:color="auto"/>
                        <w:right w:val="none" w:sz="0" w:space="0" w:color="auto"/>
                      </w:divBdr>
                      <w:divsChild>
                        <w:div w:id="403992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9632553">
                  <w:marLeft w:val="0"/>
                  <w:marRight w:val="0"/>
                  <w:marTop w:val="0"/>
                  <w:marBottom w:val="0"/>
                  <w:divBdr>
                    <w:top w:val="none" w:sz="0" w:space="0" w:color="auto"/>
                    <w:left w:val="none" w:sz="0" w:space="0" w:color="auto"/>
                    <w:bottom w:val="none" w:sz="0" w:space="0" w:color="auto"/>
                    <w:right w:val="none" w:sz="0" w:space="0" w:color="auto"/>
                  </w:divBdr>
                  <w:divsChild>
                    <w:div w:id="333916484">
                      <w:marLeft w:val="0"/>
                      <w:marRight w:val="0"/>
                      <w:marTop w:val="0"/>
                      <w:marBottom w:val="0"/>
                      <w:divBdr>
                        <w:top w:val="none" w:sz="0" w:space="0" w:color="auto"/>
                        <w:left w:val="none" w:sz="0" w:space="0" w:color="auto"/>
                        <w:bottom w:val="none" w:sz="0" w:space="0" w:color="auto"/>
                        <w:right w:val="none" w:sz="0" w:space="0" w:color="auto"/>
                      </w:divBdr>
                      <w:divsChild>
                        <w:div w:id="1878855598">
                          <w:marLeft w:val="0"/>
                          <w:marRight w:val="0"/>
                          <w:marTop w:val="0"/>
                          <w:marBottom w:val="0"/>
                          <w:divBdr>
                            <w:top w:val="none" w:sz="0" w:space="0" w:color="auto"/>
                            <w:left w:val="none" w:sz="0" w:space="0" w:color="auto"/>
                            <w:bottom w:val="none" w:sz="0" w:space="0" w:color="auto"/>
                            <w:right w:val="none" w:sz="0" w:space="0" w:color="auto"/>
                          </w:divBdr>
                          <w:divsChild>
                            <w:div w:id="855970084">
                              <w:marLeft w:val="0"/>
                              <w:marRight w:val="0"/>
                              <w:marTop w:val="0"/>
                              <w:marBottom w:val="0"/>
                              <w:divBdr>
                                <w:top w:val="none" w:sz="0" w:space="0" w:color="auto"/>
                                <w:left w:val="none" w:sz="0" w:space="0" w:color="auto"/>
                                <w:bottom w:val="none" w:sz="0" w:space="0" w:color="auto"/>
                                <w:right w:val="none" w:sz="0" w:space="0" w:color="auto"/>
                              </w:divBdr>
                            </w:div>
                            <w:div w:id="210113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4600159">
          <w:marLeft w:val="0"/>
          <w:marRight w:val="0"/>
          <w:marTop w:val="0"/>
          <w:marBottom w:val="0"/>
          <w:divBdr>
            <w:top w:val="none" w:sz="0" w:space="0" w:color="auto"/>
            <w:left w:val="none" w:sz="0" w:space="0" w:color="auto"/>
            <w:bottom w:val="none" w:sz="0" w:space="0" w:color="auto"/>
            <w:right w:val="none" w:sz="0" w:space="0" w:color="auto"/>
          </w:divBdr>
          <w:divsChild>
            <w:div w:id="2007241592">
              <w:marLeft w:val="0"/>
              <w:marRight w:val="0"/>
              <w:marTop w:val="0"/>
              <w:marBottom w:val="180"/>
              <w:divBdr>
                <w:top w:val="single" w:sz="6" w:space="18" w:color="DADCE0"/>
                <w:left w:val="single" w:sz="6" w:space="18" w:color="DADCE0"/>
                <w:bottom w:val="single" w:sz="6" w:space="18" w:color="DADCE0"/>
                <w:right w:val="single" w:sz="6" w:space="18" w:color="DADCE0"/>
              </w:divBdr>
              <w:divsChild>
                <w:div w:id="1765416348">
                  <w:marLeft w:val="0"/>
                  <w:marRight w:val="0"/>
                  <w:marTop w:val="0"/>
                  <w:marBottom w:val="240"/>
                  <w:divBdr>
                    <w:top w:val="none" w:sz="0" w:space="0" w:color="auto"/>
                    <w:left w:val="none" w:sz="0" w:space="0" w:color="auto"/>
                    <w:bottom w:val="none" w:sz="0" w:space="0" w:color="auto"/>
                    <w:right w:val="none" w:sz="0" w:space="0" w:color="auto"/>
                  </w:divBdr>
                  <w:divsChild>
                    <w:div w:id="346520397">
                      <w:marLeft w:val="0"/>
                      <w:marRight w:val="0"/>
                      <w:marTop w:val="0"/>
                      <w:marBottom w:val="0"/>
                      <w:divBdr>
                        <w:top w:val="none" w:sz="0" w:space="0" w:color="auto"/>
                        <w:left w:val="none" w:sz="0" w:space="0" w:color="auto"/>
                        <w:bottom w:val="none" w:sz="0" w:space="0" w:color="auto"/>
                        <w:right w:val="none" w:sz="0" w:space="0" w:color="auto"/>
                      </w:divBdr>
                      <w:divsChild>
                        <w:div w:id="1814255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4438238">
      <w:bodyDiv w:val="1"/>
      <w:marLeft w:val="0"/>
      <w:marRight w:val="0"/>
      <w:marTop w:val="0"/>
      <w:marBottom w:val="0"/>
      <w:divBdr>
        <w:top w:val="none" w:sz="0" w:space="0" w:color="auto"/>
        <w:left w:val="none" w:sz="0" w:space="0" w:color="auto"/>
        <w:bottom w:val="none" w:sz="0" w:space="0" w:color="auto"/>
        <w:right w:val="none" w:sz="0" w:space="0" w:color="auto"/>
      </w:divBdr>
      <w:divsChild>
        <w:div w:id="1215577437">
          <w:marLeft w:val="0"/>
          <w:marRight w:val="0"/>
          <w:marTop w:val="0"/>
          <w:marBottom w:val="0"/>
          <w:divBdr>
            <w:top w:val="none" w:sz="0" w:space="0" w:color="auto"/>
            <w:left w:val="none" w:sz="0" w:space="0" w:color="auto"/>
            <w:bottom w:val="none" w:sz="0" w:space="0" w:color="auto"/>
            <w:right w:val="none" w:sz="0" w:space="0" w:color="auto"/>
          </w:divBdr>
          <w:divsChild>
            <w:div w:id="358161652">
              <w:marLeft w:val="0"/>
              <w:marRight w:val="0"/>
              <w:marTop w:val="0"/>
              <w:marBottom w:val="180"/>
              <w:divBdr>
                <w:top w:val="single" w:sz="6" w:space="18" w:color="DADCE0"/>
                <w:left w:val="single" w:sz="6" w:space="18" w:color="DADCE0"/>
                <w:bottom w:val="single" w:sz="6" w:space="18" w:color="DADCE0"/>
                <w:right w:val="single" w:sz="6" w:space="18" w:color="DADCE0"/>
              </w:divBdr>
              <w:divsChild>
                <w:div w:id="716972606">
                  <w:marLeft w:val="0"/>
                  <w:marRight w:val="0"/>
                  <w:marTop w:val="0"/>
                  <w:marBottom w:val="240"/>
                  <w:divBdr>
                    <w:top w:val="none" w:sz="0" w:space="0" w:color="auto"/>
                    <w:left w:val="none" w:sz="0" w:space="0" w:color="auto"/>
                    <w:bottom w:val="none" w:sz="0" w:space="0" w:color="auto"/>
                    <w:right w:val="none" w:sz="0" w:space="0" w:color="auto"/>
                  </w:divBdr>
                  <w:divsChild>
                    <w:div w:id="1332490408">
                      <w:marLeft w:val="0"/>
                      <w:marRight w:val="0"/>
                      <w:marTop w:val="0"/>
                      <w:marBottom w:val="0"/>
                      <w:divBdr>
                        <w:top w:val="none" w:sz="0" w:space="0" w:color="auto"/>
                        <w:left w:val="none" w:sz="0" w:space="0" w:color="auto"/>
                        <w:bottom w:val="none" w:sz="0" w:space="0" w:color="auto"/>
                        <w:right w:val="none" w:sz="0" w:space="0" w:color="auto"/>
                      </w:divBdr>
                      <w:divsChild>
                        <w:div w:id="104104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917899">
                  <w:marLeft w:val="0"/>
                  <w:marRight w:val="0"/>
                  <w:marTop w:val="0"/>
                  <w:marBottom w:val="0"/>
                  <w:divBdr>
                    <w:top w:val="none" w:sz="0" w:space="0" w:color="auto"/>
                    <w:left w:val="none" w:sz="0" w:space="0" w:color="auto"/>
                    <w:bottom w:val="none" w:sz="0" w:space="0" w:color="auto"/>
                    <w:right w:val="none" w:sz="0" w:space="0" w:color="auto"/>
                  </w:divBdr>
                  <w:divsChild>
                    <w:div w:id="797145160">
                      <w:marLeft w:val="0"/>
                      <w:marRight w:val="0"/>
                      <w:marTop w:val="0"/>
                      <w:marBottom w:val="0"/>
                      <w:divBdr>
                        <w:top w:val="none" w:sz="0" w:space="0" w:color="auto"/>
                        <w:left w:val="none" w:sz="0" w:space="0" w:color="auto"/>
                        <w:bottom w:val="none" w:sz="0" w:space="0" w:color="auto"/>
                        <w:right w:val="none" w:sz="0" w:space="0" w:color="auto"/>
                      </w:divBdr>
                      <w:divsChild>
                        <w:div w:id="1060057820">
                          <w:marLeft w:val="0"/>
                          <w:marRight w:val="0"/>
                          <w:marTop w:val="0"/>
                          <w:marBottom w:val="0"/>
                          <w:divBdr>
                            <w:top w:val="none" w:sz="0" w:space="0" w:color="auto"/>
                            <w:left w:val="none" w:sz="0" w:space="0" w:color="auto"/>
                            <w:bottom w:val="none" w:sz="0" w:space="0" w:color="auto"/>
                            <w:right w:val="none" w:sz="0" w:space="0" w:color="auto"/>
                          </w:divBdr>
                          <w:divsChild>
                            <w:div w:id="966083925">
                              <w:marLeft w:val="0"/>
                              <w:marRight w:val="0"/>
                              <w:marTop w:val="0"/>
                              <w:marBottom w:val="0"/>
                              <w:divBdr>
                                <w:top w:val="none" w:sz="0" w:space="0" w:color="auto"/>
                                <w:left w:val="none" w:sz="0" w:space="0" w:color="auto"/>
                                <w:bottom w:val="none" w:sz="0" w:space="0" w:color="auto"/>
                                <w:right w:val="none" w:sz="0" w:space="0" w:color="auto"/>
                              </w:divBdr>
                            </w:div>
                            <w:div w:id="187179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30671475">
          <w:marLeft w:val="0"/>
          <w:marRight w:val="0"/>
          <w:marTop w:val="0"/>
          <w:marBottom w:val="0"/>
          <w:divBdr>
            <w:top w:val="none" w:sz="0" w:space="0" w:color="auto"/>
            <w:left w:val="none" w:sz="0" w:space="0" w:color="auto"/>
            <w:bottom w:val="none" w:sz="0" w:space="0" w:color="auto"/>
            <w:right w:val="none" w:sz="0" w:space="0" w:color="auto"/>
          </w:divBdr>
          <w:divsChild>
            <w:div w:id="1908149748">
              <w:marLeft w:val="0"/>
              <w:marRight w:val="0"/>
              <w:marTop w:val="0"/>
              <w:marBottom w:val="180"/>
              <w:divBdr>
                <w:top w:val="single" w:sz="6" w:space="18" w:color="DADCE0"/>
                <w:left w:val="single" w:sz="6" w:space="18" w:color="DADCE0"/>
                <w:bottom w:val="single" w:sz="6" w:space="18" w:color="DADCE0"/>
                <w:right w:val="single" w:sz="6" w:space="18" w:color="DADCE0"/>
              </w:divBdr>
              <w:divsChild>
                <w:div w:id="1215775174">
                  <w:marLeft w:val="0"/>
                  <w:marRight w:val="0"/>
                  <w:marTop w:val="0"/>
                  <w:marBottom w:val="240"/>
                  <w:divBdr>
                    <w:top w:val="none" w:sz="0" w:space="0" w:color="auto"/>
                    <w:left w:val="none" w:sz="0" w:space="0" w:color="auto"/>
                    <w:bottom w:val="none" w:sz="0" w:space="0" w:color="auto"/>
                    <w:right w:val="none" w:sz="0" w:space="0" w:color="auto"/>
                  </w:divBdr>
                  <w:divsChild>
                    <w:div w:id="1535995323">
                      <w:marLeft w:val="0"/>
                      <w:marRight w:val="0"/>
                      <w:marTop w:val="0"/>
                      <w:marBottom w:val="0"/>
                      <w:divBdr>
                        <w:top w:val="none" w:sz="0" w:space="0" w:color="auto"/>
                        <w:left w:val="none" w:sz="0" w:space="0" w:color="auto"/>
                        <w:bottom w:val="none" w:sz="0" w:space="0" w:color="auto"/>
                        <w:right w:val="none" w:sz="0" w:space="0" w:color="auto"/>
                      </w:divBdr>
                      <w:divsChild>
                        <w:div w:id="633558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5319832">
                  <w:marLeft w:val="0"/>
                  <w:marRight w:val="0"/>
                  <w:marTop w:val="0"/>
                  <w:marBottom w:val="0"/>
                  <w:divBdr>
                    <w:top w:val="none" w:sz="0" w:space="0" w:color="auto"/>
                    <w:left w:val="none" w:sz="0" w:space="0" w:color="auto"/>
                    <w:bottom w:val="none" w:sz="0" w:space="0" w:color="auto"/>
                    <w:right w:val="none" w:sz="0" w:space="0" w:color="auto"/>
                  </w:divBdr>
                  <w:divsChild>
                    <w:div w:id="1762986401">
                      <w:marLeft w:val="0"/>
                      <w:marRight w:val="0"/>
                      <w:marTop w:val="0"/>
                      <w:marBottom w:val="0"/>
                      <w:divBdr>
                        <w:top w:val="none" w:sz="0" w:space="0" w:color="auto"/>
                        <w:left w:val="none" w:sz="0" w:space="0" w:color="auto"/>
                        <w:bottom w:val="none" w:sz="0" w:space="0" w:color="auto"/>
                        <w:right w:val="none" w:sz="0" w:space="0" w:color="auto"/>
                      </w:divBdr>
                      <w:divsChild>
                        <w:div w:id="1294170276">
                          <w:marLeft w:val="0"/>
                          <w:marRight w:val="0"/>
                          <w:marTop w:val="0"/>
                          <w:marBottom w:val="0"/>
                          <w:divBdr>
                            <w:top w:val="none" w:sz="0" w:space="0" w:color="auto"/>
                            <w:left w:val="none" w:sz="0" w:space="0" w:color="auto"/>
                            <w:bottom w:val="none" w:sz="0" w:space="0" w:color="auto"/>
                            <w:right w:val="none" w:sz="0" w:space="0" w:color="auto"/>
                          </w:divBdr>
                          <w:divsChild>
                            <w:div w:id="1504707071">
                              <w:marLeft w:val="0"/>
                              <w:marRight w:val="0"/>
                              <w:marTop w:val="0"/>
                              <w:marBottom w:val="0"/>
                              <w:divBdr>
                                <w:top w:val="none" w:sz="0" w:space="0" w:color="auto"/>
                                <w:left w:val="none" w:sz="0" w:space="0" w:color="auto"/>
                                <w:bottom w:val="none" w:sz="0" w:space="0" w:color="auto"/>
                                <w:right w:val="none" w:sz="0" w:space="0" w:color="auto"/>
                              </w:divBdr>
                            </w:div>
                            <w:div w:id="613169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7987086">
          <w:marLeft w:val="0"/>
          <w:marRight w:val="0"/>
          <w:marTop w:val="0"/>
          <w:marBottom w:val="0"/>
          <w:divBdr>
            <w:top w:val="none" w:sz="0" w:space="0" w:color="auto"/>
            <w:left w:val="none" w:sz="0" w:space="0" w:color="auto"/>
            <w:bottom w:val="none" w:sz="0" w:space="0" w:color="auto"/>
            <w:right w:val="none" w:sz="0" w:space="0" w:color="auto"/>
          </w:divBdr>
          <w:divsChild>
            <w:div w:id="838618979">
              <w:marLeft w:val="0"/>
              <w:marRight w:val="0"/>
              <w:marTop w:val="0"/>
              <w:marBottom w:val="180"/>
              <w:divBdr>
                <w:top w:val="single" w:sz="6" w:space="18" w:color="DADCE0"/>
                <w:left w:val="single" w:sz="6" w:space="18" w:color="DADCE0"/>
                <w:bottom w:val="single" w:sz="6" w:space="18" w:color="DADCE0"/>
                <w:right w:val="single" w:sz="6" w:space="18" w:color="DADCE0"/>
              </w:divBdr>
              <w:divsChild>
                <w:div w:id="2007783221">
                  <w:marLeft w:val="0"/>
                  <w:marRight w:val="0"/>
                  <w:marTop w:val="0"/>
                  <w:marBottom w:val="240"/>
                  <w:divBdr>
                    <w:top w:val="none" w:sz="0" w:space="0" w:color="auto"/>
                    <w:left w:val="none" w:sz="0" w:space="0" w:color="auto"/>
                    <w:bottom w:val="none" w:sz="0" w:space="0" w:color="auto"/>
                    <w:right w:val="none" w:sz="0" w:space="0" w:color="auto"/>
                  </w:divBdr>
                  <w:divsChild>
                    <w:div w:id="761875568">
                      <w:marLeft w:val="0"/>
                      <w:marRight w:val="0"/>
                      <w:marTop w:val="0"/>
                      <w:marBottom w:val="0"/>
                      <w:divBdr>
                        <w:top w:val="none" w:sz="0" w:space="0" w:color="auto"/>
                        <w:left w:val="none" w:sz="0" w:space="0" w:color="auto"/>
                        <w:bottom w:val="none" w:sz="0" w:space="0" w:color="auto"/>
                        <w:right w:val="none" w:sz="0" w:space="0" w:color="auto"/>
                      </w:divBdr>
                      <w:divsChild>
                        <w:div w:id="124900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00902680">
      <w:bodyDiv w:val="1"/>
      <w:marLeft w:val="0"/>
      <w:marRight w:val="0"/>
      <w:marTop w:val="0"/>
      <w:marBottom w:val="0"/>
      <w:divBdr>
        <w:top w:val="none" w:sz="0" w:space="0" w:color="auto"/>
        <w:left w:val="none" w:sz="0" w:space="0" w:color="auto"/>
        <w:bottom w:val="none" w:sz="0" w:space="0" w:color="auto"/>
        <w:right w:val="none" w:sz="0" w:space="0" w:color="auto"/>
      </w:divBdr>
      <w:divsChild>
        <w:div w:id="936140457">
          <w:marLeft w:val="0"/>
          <w:marRight w:val="0"/>
          <w:marTop w:val="0"/>
          <w:marBottom w:val="0"/>
          <w:divBdr>
            <w:top w:val="none" w:sz="0" w:space="0" w:color="auto"/>
            <w:left w:val="none" w:sz="0" w:space="0" w:color="auto"/>
            <w:bottom w:val="none" w:sz="0" w:space="0" w:color="auto"/>
            <w:right w:val="none" w:sz="0" w:space="0" w:color="auto"/>
          </w:divBdr>
        </w:div>
        <w:div w:id="784690514">
          <w:marLeft w:val="0"/>
          <w:marRight w:val="0"/>
          <w:marTop w:val="18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6A84FA-8BDC-4BC0-B902-2D92B3C580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5083</Words>
  <Characters>27147</Characters>
  <Application>Microsoft Office Word</Application>
  <DocSecurity>0</DocSecurity>
  <Lines>445</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Manni Dillon</dc:creator>
  <cp:keywords/>
  <dc:description/>
  <cp:lastModifiedBy>Manni Dillon</cp:lastModifiedBy>
  <cp:revision>3</cp:revision>
  <cp:lastPrinted>2020-08-09T12:23:00Z</cp:lastPrinted>
  <dcterms:created xsi:type="dcterms:W3CDTF">2020-08-10T19:19:00Z</dcterms:created>
  <dcterms:modified xsi:type="dcterms:W3CDTF">2020-08-10T19:21:00Z</dcterms:modified>
</cp:coreProperties>
</file>