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9799772" w:displacedByCustomXml="next"/>
    <w:sdt>
      <w:sdtPr>
        <w:id w:val="1331646566"/>
        <w:docPartObj>
          <w:docPartGallery w:val="Cover Pages"/>
          <w:docPartUnique/>
        </w:docPartObj>
      </w:sdtPr>
      <w:sdtEndPr>
        <w:rPr>
          <w:rFonts w:ascii="Arial" w:hAnsi="Arial" w:cs="Arial"/>
          <w:b/>
          <w:bCs/>
        </w:rPr>
      </w:sdtEndPr>
      <w:sdtContent>
        <w:p w14:paraId="087F62DC" w14:textId="3E258376" w:rsidR="00894852" w:rsidRDefault="00894852">
          <w:r>
            <w:rPr>
              <w:noProof/>
            </w:rPr>
            <w:drawing>
              <wp:anchor distT="0" distB="0" distL="114300" distR="114300" simplePos="0" relativeHeight="251663360" behindDoc="1" locked="0" layoutInCell="1" allowOverlap="1" wp14:anchorId="40312B8C" wp14:editId="77941A27">
                <wp:simplePos x="0" y="0"/>
                <wp:positionH relativeFrom="column">
                  <wp:posOffset>0</wp:posOffset>
                </wp:positionH>
                <wp:positionV relativeFrom="paragraph">
                  <wp:posOffset>0</wp:posOffset>
                </wp:positionV>
                <wp:extent cx="2948940" cy="1743075"/>
                <wp:effectExtent l="0" t="0" r="3810" b="9525"/>
                <wp:wrapTight wrapText="bothSides">
                  <wp:wrapPolygon edited="0">
                    <wp:start x="0" y="0"/>
                    <wp:lineTo x="0" y="21482"/>
                    <wp:lineTo x="21488" y="21482"/>
                    <wp:lineTo x="21488" y="0"/>
                    <wp:lineTo x="0" y="0"/>
                  </wp:wrapPolygon>
                </wp:wrapTight>
                <wp:docPr id="1787290821"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90821" name="Picture 1" descr="A logo with text and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48940" cy="1743075"/>
                        </a:xfrm>
                        <a:prstGeom prst="rect">
                          <a:avLst/>
                        </a:prstGeom>
                      </pic:spPr>
                    </pic:pic>
                  </a:graphicData>
                </a:graphic>
              </wp:anchor>
            </w:drawing>
          </w:r>
          <w:r>
            <w:rPr>
              <w:noProof/>
            </w:rPr>
            <mc:AlternateContent>
              <mc:Choice Requires="wpg">
                <w:drawing>
                  <wp:anchor distT="0" distB="0" distL="114300" distR="114300" simplePos="0" relativeHeight="251662336" behindDoc="0" locked="0" layoutInCell="1" allowOverlap="1" wp14:anchorId="1A00470C" wp14:editId="17B268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FD66D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26E718E" wp14:editId="52072B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63C9AB" w14:textId="77BB840B" w:rsidR="00894852" w:rsidRDefault="00894852">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403C9A16" w14:textId="07B42B24" w:rsidR="00894852" w:rsidRDefault="0030077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9485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6E718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63C9AB" w14:textId="77BB840B" w:rsidR="00894852" w:rsidRDefault="00894852">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403C9A16" w14:textId="07B42B24" w:rsidR="00894852" w:rsidRDefault="0030077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94852">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80B8316" wp14:editId="6CB0DC6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D4D37" w14:textId="27BD7109" w:rsidR="00D004EA" w:rsidRDefault="00894852">
                                <w:pPr>
                                  <w:pStyle w:val="NoSpacing"/>
                                  <w:jc w:val="right"/>
                                  <w:rPr>
                                    <w:color w:val="156082" w:themeColor="accent1"/>
                                    <w:sz w:val="28"/>
                                    <w:szCs w:val="28"/>
                                    <w:lang w:val="en-GB"/>
                                  </w:rPr>
                                </w:pPr>
                                <w:r>
                                  <w:rPr>
                                    <w:color w:val="156082" w:themeColor="accent1"/>
                                    <w:sz w:val="28"/>
                                    <w:szCs w:val="28"/>
                                  </w:rPr>
                                  <w:t>Module:</w:t>
                                </w:r>
                                <w:r w:rsidR="00D004EA">
                                  <w:rPr>
                                    <w:color w:val="156082" w:themeColor="accent1"/>
                                    <w:sz w:val="28"/>
                                    <w:szCs w:val="28"/>
                                  </w:rPr>
                                  <w:t xml:space="preserve"> </w:t>
                                </w:r>
                                <w:r w:rsidR="00D004EA" w:rsidRPr="00D004EA">
                                  <w:rPr>
                                    <w:color w:val="156082" w:themeColor="accent1"/>
                                    <w:sz w:val="28"/>
                                    <w:szCs w:val="28"/>
                                    <w:lang w:val="en-GB"/>
                                  </w:rPr>
                                  <w:t>Sustainable Hospitality &amp; Tourism Management</w:t>
                                </w:r>
                              </w:p>
                              <w:p w14:paraId="343AE0DA" w14:textId="77777777" w:rsidR="00D004EA" w:rsidRDefault="00D004EA">
                                <w:pPr>
                                  <w:pStyle w:val="NoSpacing"/>
                                  <w:jc w:val="right"/>
                                  <w:rPr>
                                    <w:color w:val="156082" w:themeColor="accent1"/>
                                    <w:sz w:val="28"/>
                                    <w:szCs w:val="28"/>
                                    <w:lang w:val="en-GB"/>
                                  </w:rPr>
                                </w:pPr>
                                <w:r w:rsidRPr="00D004EA">
                                  <w:rPr>
                                    <w:color w:val="156082" w:themeColor="accent1"/>
                                    <w:sz w:val="28"/>
                                    <w:szCs w:val="28"/>
                                    <w:lang w:val="en-GB"/>
                                  </w:rPr>
                                  <w:t xml:space="preserve">Module code: BMIH5006 </w:t>
                                </w:r>
                              </w:p>
                              <w:p w14:paraId="31374FE2" w14:textId="6FF2F3BA" w:rsidR="00894852" w:rsidRDefault="00D004EA">
                                <w:pPr>
                                  <w:pStyle w:val="NoSpacing"/>
                                  <w:jc w:val="right"/>
                                  <w:rPr>
                                    <w:color w:val="595959" w:themeColor="text1" w:themeTint="A6"/>
                                    <w:sz w:val="20"/>
                                    <w:szCs w:val="20"/>
                                  </w:rPr>
                                </w:pPr>
                                <w:r>
                                  <w:rPr>
                                    <w:color w:val="156082" w:themeColor="accent1"/>
                                    <w:sz w:val="28"/>
                                    <w:szCs w:val="28"/>
                                    <w:lang w:val="en-GB"/>
                                  </w:rPr>
                                  <w:t>Lecturer: Lisa Knight</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0B831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9AD4D37" w14:textId="27BD7109" w:rsidR="00D004EA" w:rsidRDefault="00894852">
                          <w:pPr>
                            <w:pStyle w:val="NoSpacing"/>
                            <w:jc w:val="right"/>
                            <w:rPr>
                              <w:color w:val="156082" w:themeColor="accent1"/>
                              <w:sz w:val="28"/>
                              <w:szCs w:val="28"/>
                              <w:lang w:val="en-GB"/>
                            </w:rPr>
                          </w:pPr>
                          <w:r>
                            <w:rPr>
                              <w:color w:val="156082" w:themeColor="accent1"/>
                              <w:sz w:val="28"/>
                              <w:szCs w:val="28"/>
                            </w:rPr>
                            <w:t>Module:</w:t>
                          </w:r>
                          <w:r w:rsidR="00D004EA">
                            <w:rPr>
                              <w:color w:val="156082" w:themeColor="accent1"/>
                              <w:sz w:val="28"/>
                              <w:szCs w:val="28"/>
                            </w:rPr>
                            <w:t xml:space="preserve"> </w:t>
                          </w:r>
                          <w:r w:rsidR="00D004EA" w:rsidRPr="00D004EA">
                            <w:rPr>
                              <w:color w:val="156082" w:themeColor="accent1"/>
                              <w:sz w:val="28"/>
                              <w:szCs w:val="28"/>
                              <w:lang w:val="en-GB"/>
                            </w:rPr>
                            <w:t>Sustainable Hospitality &amp; Tourism Management</w:t>
                          </w:r>
                        </w:p>
                        <w:p w14:paraId="343AE0DA" w14:textId="77777777" w:rsidR="00D004EA" w:rsidRDefault="00D004EA">
                          <w:pPr>
                            <w:pStyle w:val="NoSpacing"/>
                            <w:jc w:val="right"/>
                            <w:rPr>
                              <w:color w:val="156082" w:themeColor="accent1"/>
                              <w:sz w:val="28"/>
                              <w:szCs w:val="28"/>
                              <w:lang w:val="en-GB"/>
                            </w:rPr>
                          </w:pPr>
                          <w:r w:rsidRPr="00D004EA">
                            <w:rPr>
                              <w:color w:val="156082" w:themeColor="accent1"/>
                              <w:sz w:val="28"/>
                              <w:szCs w:val="28"/>
                              <w:lang w:val="en-GB"/>
                            </w:rPr>
                            <w:t xml:space="preserve">Module code: BMIH5006 </w:t>
                          </w:r>
                        </w:p>
                        <w:p w14:paraId="31374FE2" w14:textId="6FF2F3BA" w:rsidR="00894852" w:rsidRDefault="00D004EA">
                          <w:pPr>
                            <w:pStyle w:val="NoSpacing"/>
                            <w:jc w:val="right"/>
                            <w:rPr>
                              <w:color w:val="595959" w:themeColor="text1" w:themeTint="A6"/>
                              <w:sz w:val="20"/>
                              <w:szCs w:val="20"/>
                            </w:rPr>
                          </w:pPr>
                          <w:r>
                            <w:rPr>
                              <w:color w:val="156082" w:themeColor="accent1"/>
                              <w:sz w:val="28"/>
                              <w:szCs w:val="28"/>
                              <w:lang w:val="en-GB"/>
                            </w:rPr>
                            <w:t>Lecturer: Lisa Knight</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03329A" wp14:editId="0DB935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F2CC5" w14:textId="51E26B21" w:rsidR="00894852" w:rsidRPr="00894852" w:rsidRDefault="00300775">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94852" w:rsidRPr="00894852">
                                      <w:rPr>
                                        <w:caps/>
                                        <w:color w:val="156082" w:themeColor="accent1"/>
                                        <w:sz w:val="48"/>
                                        <w:szCs w:val="48"/>
                                      </w:rPr>
                                      <w:t>The Role of Corporate Social Responsibility (CSR) in Promoting Sustainability within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555663" w14:textId="57E8B815" w:rsidR="00894852" w:rsidRDefault="00894852" w:rsidP="00894852">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03329A"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2AF2CC5" w14:textId="51E26B21" w:rsidR="00894852" w:rsidRPr="00894852" w:rsidRDefault="00300775">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94852" w:rsidRPr="00894852">
                                <w:rPr>
                                  <w:caps/>
                                  <w:color w:val="156082" w:themeColor="accent1"/>
                                  <w:sz w:val="48"/>
                                  <w:szCs w:val="48"/>
                                </w:rPr>
                                <w:t>The Role of Corporate Social Responsibility (CSR) in Promoting Sustainability within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555663" w14:textId="57E8B815" w:rsidR="00894852" w:rsidRDefault="00894852" w:rsidP="00894852">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1698FBC" w14:textId="7BEBCF57" w:rsidR="00894852" w:rsidRDefault="00894852">
          <w:pPr>
            <w:rPr>
              <w:rFonts w:ascii="Arial" w:hAnsi="Arial" w:cs="Arial"/>
              <w:b/>
              <w:bCs/>
            </w:rPr>
          </w:pPr>
          <w:r>
            <w:rPr>
              <w:rFonts w:ascii="Arial" w:hAnsi="Arial" w:cs="Arial"/>
              <w:b/>
              <w:bCs/>
            </w:rPr>
            <w:br w:type="page"/>
          </w:r>
        </w:p>
      </w:sdtContent>
    </w:sdt>
    <w:p w14:paraId="2A2C9A08" w14:textId="545A861B" w:rsidR="00D004EA" w:rsidRPr="003E76FD" w:rsidRDefault="00D004EA" w:rsidP="00981AF8">
      <w:pPr>
        <w:spacing w:line="360" w:lineRule="auto"/>
        <w:jc w:val="both"/>
        <w:rPr>
          <w:rFonts w:ascii="Arial" w:hAnsi="Arial" w:cs="Arial"/>
        </w:rPr>
      </w:pPr>
      <w:bookmarkStart w:id="1" w:name="_Hlk179828389"/>
      <w:r w:rsidRPr="003E76FD">
        <w:rPr>
          <w:rFonts w:ascii="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12DEBD2" w14:textId="77777777" w:rsidR="00D004EA" w:rsidRDefault="00D004EA">
      <w:pPr>
        <w:rPr>
          <w:rFonts w:ascii="Arial" w:hAnsi="Arial" w:cs="Arial"/>
          <w:b/>
          <w:bCs/>
        </w:rPr>
      </w:pPr>
      <w:r>
        <w:rPr>
          <w:rFonts w:ascii="Arial" w:hAnsi="Arial" w:cs="Arial"/>
          <w:b/>
          <w:bCs/>
        </w:rPr>
        <w:br w:type="page"/>
      </w:r>
    </w:p>
    <w:p w14:paraId="6D307054" w14:textId="20BB5895" w:rsidR="00981AF8" w:rsidRPr="005E7F63" w:rsidRDefault="00981AF8" w:rsidP="00981AF8">
      <w:pPr>
        <w:spacing w:line="360" w:lineRule="auto"/>
        <w:jc w:val="both"/>
        <w:rPr>
          <w:rFonts w:ascii="Arial" w:hAnsi="Arial" w:cs="Arial"/>
          <w:b/>
          <w:bCs/>
        </w:rPr>
      </w:pPr>
      <w:r w:rsidRPr="005E7F63">
        <w:rPr>
          <w:rFonts w:ascii="Arial" w:hAnsi="Arial" w:cs="Arial"/>
          <w:b/>
          <w:bCs/>
        </w:rPr>
        <w:lastRenderedPageBreak/>
        <w:t xml:space="preserve">The </w:t>
      </w:r>
      <w:r w:rsidR="005E7F63">
        <w:rPr>
          <w:rFonts w:ascii="Arial" w:hAnsi="Arial" w:cs="Arial"/>
          <w:b/>
          <w:bCs/>
        </w:rPr>
        <w:t>r</w:t>
      </w:r>
      <w:r w:rsidRPr="005E7F63">
        <w:rPr>
          <w:rFonts w:ascii="Arial" w:hAnsi="Arial" w:cs="Arial"/>
          <w:b/>
          <w:bCs/>
        </w:rPr>
        <w:t xml:space="preserve">ole of </w:t>
      </w:r>
      <w:r w:rsidR="005E7F63">
        <w:rPr>
          <w:rFonts w:ascii="Arial" w:hAnsi="Arial" w:cs="Arial"/>
          <w:b/>
          <w:bCs/>
        </w:rPr>
        <w:t>c</w:t>
      </w:r>
      <w:r w:rsidRPr="005E7F63">
        <w:rPr>
          <w:rFonts w:ascii="Arial" w:hAnsi="Arial" w:cs="Arial"/>
          <w:b/>
          <w:bCs/>
        </w:rPr>
        <w:t xml:space="preserve">orporate </w:t>
      </w:r>
      <w:r w:rsidR="005E7F63">
        <w:rPr>
          <w:rFonts w:ascii="Arial" w:hAnsi="Arial" w:cs="Arial"/>
          <w:b/>
          <w:bCs/>
        </w:rPr>
        <w:t>s</w:t>
      </w:r>
      <w:r w:rsidRPr="005E7F63">
        <w:rPr>
          <w:rFonts w:ascii="Arial" w:hAnsi="Arial" w:cs="Arial"/>
          <w:b/>
          <w:bCs/>
        </w:rPr>
        <w:t xml:space="preserve">ocial </w:t>
      </w:r>
      <w:r w:rsidR="005E7F63">
        <w:rPr>
          <w:rFonts w:ascii="Arial" w:hAnsi="Arial" w:cs="Arial"/>
          <w:b/>
          <w:bCs/>
        </w:rPr>
        <w:t>r</w:t>
      </w:r>
      <w:r w:rsidRPr="005E7F63">
        <w:rPr>
          <w:rFonts w:ascii="Arial" w:hAnsi="Arial" w:cs="Arial"/>
          <w:b/>
          <w:bCs/>
        </w:rPr>
        <w:t xml:space="preserve">esponsibility (CSR) in </w:t>
      </w:r>
      <w:r w:rsidR="005E7F63">
        <w:rPr>
          <w:rFonts w:ascii="Arial" w:hAnsi="Arial" w:cs="Arial"/>
          <w:b/>
          <w:bCs/>
        </w:rPr>
        <w:t>p</w:t>
      </w:r>
      <w:r w:rsidRPr="005E7F63">
        <w:rPr>
          <w:rFonts w:ascii="Arial" w:hAnsi="Arial" w:cs="Arial"/>
          <w:b/>
          <w:bCs/>
        </w:rPr>
        <w:t xml:space="preserve">romoting </w:t>
      </w:r>
      <w:r w:rsidR="005E7F63">
        <w:rPr>
          <w:rFonts w:ascii="Arial" w:hAnsi="Arial" w:cs="Arial"/>
          <w:b/>
          <w:bCs/>
        </w:rPr>
        <w:t>s</w:t>
      </w:r>
      <w:r w:rsidRPr="005E7F63">
        <w:rPr>
          <w:rFonts w:ascii="Arial" w:hAnsi="Arial" w:cs="Arial"/>
          <w:b/>
          <w:bCs/>
        </w:rPr>
        <w:t xml:space="preserve">ustainability within the </w:t>
      </w:r>
      <w:r w:rsidR="005E7F63">
        <w:rPr>
          <w:rFonts w:ascii="Arial" w:hAnsi="Arial" w:cs="Arial"/>
          <w:b/>
          <w:bCs/>
        </w:rPr>
        <w:t>h</w:t>
      </w:r>
      <w:r w:rsidRPr="005E7F63">
        <w:rPr>
          <w:rFonts w:ascii="Arial" w:hAnsi="Arial" w:cs="Arial"/>
          <w:b/>
          <w:bCs/>
        </w:rPr>
        <w:t xml:space="preserve">ospitality </w:t>
      </w:r>
      <w:r w:rsidR="005E7F63">
        <w:rPr>
          <w:rFonts w:ascii="Arial" w:hAnsi="Arial" w:cs="Arial"/>
          <w:b/>
          <w:bCs/>
        </w:rPr>
        <w:t>i</w:t>
      </w:r>
      <w:r w:rsidRPr="005E7F63">
        <w:rPr>
          <w:rFonts w:ascii="Arial" w:hAnsi="Arial" w:cs="Arial"/>
          <w:b/>
          <w:bCs/>
        </w:rPr>
        <w:t>ndustry</w:t>
      </w:r>
    </w:p>
    <w:bookmarkEnd w:id="1"/>
    <w:p w14:paraId="7FD46B70" w14:textId="77777777" w:rsidR="00873E6D" w:rsidRPr="00981AF8" w:rsidRDefault="00873E6D" w:rsidP="00981AF8">
      <w:pPr>
        <w:spacing w:line="360" w:lineRule="auto"/>
        <w:jc w:val="both"/>
        <w:rPr>
          <w:rFonts w:ascii="Arial" w:hAnsi="Arial" w:cs="Arial"/>
          <w:b/>
          <w:bCs/>
        </w:rPr>
      </w:pPr>
    </w:p>
    <w:p w14:paraId="48AFE938" w14:textId="77777777" w:rsidR="00981AF8" w:rsidRPr="00981AF8" w:rsidRDefault="00981AF8" w:rsidP="00981AF8">
      <w:pPr>
        <w:spacing w:line="360" w:lineRule="auto"/>
        <w:jc w:val="both"/>
        <w:rPr>
          <w:rFonts w:ascii="Arial" w:hAnsi="Arial" w:cs="Arial"/>
        </w:rPr>
      </w:pPr>
      <w:r w:rsidRPr="00981AF8">
        <w:rPr>
          <w:rFonts w:ascii="Arial" w:hAnsi="Arial" w:cs="Arial"/>
        </w:rPr>
        <w:t>Corporate Social Responsibility (CSR) has evolved as an essential practice for businesses, especially within the hospitality industry, where environmental and social impacts are highly visible and increasingly scrutinized. CSR refers to the voluntary actions companies undertake to operate in an economically, socially, and environmentally sustainable manner (</w:t>
      </w:r>
      <w:proofErr w:type="spellStart"/>
      <w:r w:rsidRPr="00981AF8">
        <w:rPr>
          <w:rFonts w:ascii="Arial" w:hAnsi="Arial" w:cs="Arial"/>
        </w:rPr>
        <w:t>Inkson</w:t>
      </w:r>
      <w:proofErr w:type="spellEnd"/>
      <w:r w:rsidRPr="00981AF8">
        <w:rPr>
          <w:rFonts w:ascii="Arial" w:hAnsi="Arial" w:cs="Arial"/>
        </w:rPr>
        <w:t xml:space="preserve"> and Minnaert, 2018). The hospitality industry, being resource-intensive, faces unique pressures to adopt sustainable practices, and CSR has become a key mechanism through which hotels address these challenges. Sustainable tourism, specifically, is based on the principles of reducing negative environmental impacts while enhancing positive socio-economic contributions (Management Association, 2018).</w:t>
      </w:r>
    </w:p>
    <w:p w14:paraId="3F80C354" w14:textId="097E5B00" w:rsidR="00D004EA" w:rsidRPr="00FE2B80" w:rsidRDefault="00981AF8" w:rsidP="00981AF8">
      <w:pPr>
        <w:spacing w:line="360" w:lineRule="auto"/>
        <w:jc w:val="both"/>
        <w:rPr>
          <w:rFonts w:ascii="Arial" w:hAnsi="Arial" w:cs="Arial"/>
        </w:rPr>
      </w:pPr>
      <w:r w:rsidRPr="00981AF8">
        <w:rPr>
          <w:rFonts w:ascii="Arial" w:hAnsi="Arial" w:cs="Arial"/>
        </w:rPr>
        <w:t xml:space="preserve">This essay critically evaluates the role of CSR in promoting environmental sustainability in the hospitality industry, using Four Seasons Resort Koh Samui as a case study. The resort has implemented a variety of sustainability initiatives, including marine conservation programs and waste reduction strategies, which have positioned it as a leader in eco-friendly tourism. This essay will </w:t>
      </w:r>
      <w:r w:rsidR="003E76FD" w:rsidRPr="00981AF8">
        <w:rPr>
          <w:rFonts w:ascii="Arial" w:hAnsi="Arial" w:cs="Arial"/>
        </w:rPr>
        <w:t>analyse</w:t>
      </w:r>
      <w:r w:rsidRPr="00981AF8">
        <w:rPr>
          <w:rFonts w:ascii="Arial" w:hAnsi="Arial" w:cs="Arial"/>
        </w:rPr>
        <w:t xml:space="preserve"> the effectiveness of these initiatives, highlight the challenges encountered in their implementation, and explore how they align with local legislation and global sustainability goals. The discussion focuses specifically on environmental sustainability, which represents one of the most pressing issues for the hospitality industry today.</w:t>
      </w:r>
      <w:bookmarkEnd w:id="0"/>
    </w:p>
    <w:p w14:paraId="7EDA5020" w14:textId="16A4102B" w:rsidR="00981AF8" w:rsidRPr="00981AF8" w:rsidRDefault="00981AF8" w:rsidP="00981AF8">
      <w:pPr>
        <w:spacing w:line="360" w:lineRule="auto"/>
        <w:jc w:val="both"/>
        <w:rPr>
          <w:rFonts w:ascii="Arial" w:hAnsi="Arial" w:cs="Arial"/>
        </w:rPr>
      </w:pPr>
      <w:r w:rsidRPr="00981AF8">
        <w:rPr>
          <w:rFonts w:ascii="Arial" w:hAnsi="Arial" w:cs="Arial"/>
        </w:rPr>
        <w:t xml:space="preserve">Corporate Social Responsibility in hospitality focuses on improving the environmental, social, and economic impact of businesses. For hotels, CSR typically involves reducing waste, conserving energy and water, promoting fair </w:t>
      </w:r>
      <w:r w:rsidR="003E76FD" w:rsidRPr="00981AF8">
        <w:rPr>
          <w:rFonts w:ascii="Arial" w:hAnsi="Arial" w:cs="Arial"/>
        </w:rPr>
        <w:t>labour</w:t>
      </w:r>
      <w:r w:rsidRPr="00981AF8">
        <w:rPr>
          <w:rFonts w:ascii="Arial" w:hAnsi="Arial" w:cs="Arial"/>
        </w:rPr>
        <w:t xml:space="preserve"> practices, and supporting local communities (Edgell, 2020). Hospitality companies, due to the nature of their operations, often contribute significantly to carbon emissions, water usage, and waste generation. Therefore, CSR in this sector has focused heavily on environmental sustainability.</w:t>
      </w:r>
    </w:p>
    <w:p w14:paraId="1840C640" w14:textId="77777777" w:rsidR="00981AF8" w:rsidRPr="00981AF8" w:rsidRDefault="00981AF8" w:rsidP="00981AF8">
      <w:pPr>
        <w:spacing w:line="360" w:lineRule="auto"/>
        <w:jc w:val="both"/>
        <w:rPr>
          <w:rFonts w:ascii="Arial" w:hAnsi="Arial" w:cs="Arial"/>
        </w:rPr>
      </w:pPr>
      <w:r w:rsidRPr="00981AF8">
        <w:rPr>
          <w:rFonts w:ascii="Arial" w:hAnsi="Arial" w:cs="Arial"/>
        </w:rPr>
        <w:t xml:space="preserve">According to Sloan, Legrand, and Chen (2013), hospitality businesses are increasingly adopting CSR as a core strategy to respond to stakeholder expectations and mitigate environmental impacts. By adopting CSR, hotels can improve their operational </w:t>
      </w:r>
      <w:r w:rsidRPr="00981AF8">
        <w:rPr>
          <w:rFonts w:ascii="Arial" w:hAnsi="Arial" w:cs="Arial"/>
        </w:rPr>
        <w:lastRenderedPageBreak/>
        <w:t>efficiency and strengthen their reputation. However, implementing effective CSR policies requires navigating a range of challenges, including financial constraints, lack of expertise, and inconsistent regulatory frameworks across countries (</w:t>
      </w:r>
      <w:proofErr w:type="spellStart"/>
      <w:r w:rsidRPr="00981AF8">
        <w:rPr>
          <w:rFonts w:ascii="Arial" w:hAnsi="Arial" w:cs="Arial"/>
        </w:rPr>
        <w:t>Korstanje</w:t>
      </w:r>
      <w:proofErr w:type="spellEnd"/>
      <w:r w:rsidRPr="00981AF8">
        <w:rPr>
          <w:rFonts w:ascii="Arial" w:hAnsi="Arial" w:cs="Arial"/>
        </w:rPr>
        <w:t>, George, and Nedelea, 2020).</w:t>
      </w:r>
    </w:p>
    <w:p w14:paraId="08024B03" w14:textId="77777777" w:rsidR="00981AF8" w:rsidRPr="00981AF8" w:rsidRDefault="00981AF8" w:rsidP="00981AF8">
      <w:pPr>
        <w:spacing w:line="360" w:lineRule="auto"/>
        <w:jc w:val="both"/>
        <w:rPr>
          <w:rFonts w:ascii="Arial" w:hAnsi="Arial" w:cs="Arial"/>
        </w:rPr>
      </w:pPr>
      <w:r w:rsidRPr="00981AF8">
        <w:rPr>
          <w:rFonts w:ascii="Arial" w:hAnsi="Arial" w:cs="Arial"/>
        </w:rPr>
        <w:t xml:space="preserve">In the context of the Four Seasons Resort Koh Samui, CSR initiatives are integral to its operations. The resort </w:t>
      </w:r>
      <w:proofErr w:type="gramStart"/>
      <w:r w:rsidRPr="00981AF8">
        <w:rPr>
          <w:rFonts w:ascii="Arial" w:hAnsi="Arial" w:cs="Arial"/>
        </w:rPr>
        <w:t>is located in</w:t>
      </w:r>
      <w:proofErr w:type="gramEnd"/>
      <w:r w:rsidRPr="00981AF8">
        <w:rPr>
          <w:rFonts w:ascii="Arial" w:hAnsi="Arial" w:cs="Arial"/>
        </w:rPr>
        <w:t xml:space="preserve"> a highly sensitive ecological area, making environmental sustainability a priority. Through its CSR efforts, the resort has committed to reducing its environmental footprint while contributing to the local community and economy. This commitment aligns with the global shift toward more sustainable tourism practices (</w:t>
      </w:r>
      <w:proofErr w:type="spellStart"/>
      <w:r w:rsidRPr="00981AF8">
        <w:rPr>
          <w:rFonts w:ascii="Arial" w:hAnsi="Arial" w:cs="Arial"/>
        </w:rPr>
        <w:t>Bohdanowicz</w:t>
      </w:r>
      <w:proofErr w:type="spellEnd"/>
      <w:r w:rsidRPr="00981AF8">
        <w:rPr>
          <w:rFonts w:ascii="Arial" w:hAnsi="Arial" w:cs="Arial"/>
        </w:rPr>
        <w:t>, Zientara, and Novotna, 2011).</w:t>
      </w:r>
    </w:p>
    <w:p w14:paraId="5357563C" w14:textId="49D2378B" w:rsidR="00981AF8" w:rsidRPr="00981AF8" w:rsidRDefault="00981AF8" w:rsidP="00981AF8">
      <w:pPr>
        <w:spacing w:line="360" w:lineRule="auto"/>
        <w:jc w:val="both"/>
        <w:rPr>
          <w:rFonts w:ascii="Arial" w:hAnsi="Arial" w:cs="Arial"/>
        </w:rPr>
      </w:pPr>
      <w:r w:rsidRPr="00981AF8">
        <w:rPr>
          <w:rFonts w:ascii="Arial" w:hAnsi="Arial" w:cs="Arial"/>
        </w:rPr>
        <w:t>Four Seasons Resort Koh Samui has integrated several CSR initiatives aimed at promoting environmental sustainability. The resort is actively involved in marine conservation efforts, particularly focusing on coral reef restoration. Coral reefs are critical to marine biodiversity, but they are under significant threat due to pollution, overfishing, and climate change. To address these issues, the resort collaborates with marine biologists and local communities in reef restoration projects. These efforts not only preserve the local marine ecosystem but also enhance the guest experience by providing opportunities for eco-friendly tourism activities (Four Seasons Hotels and Resorts, 2023).</w:t>
      </w:r>
    </w:p>
    <w:p w14:paraId="589418B5" w14:textId="77777777" w:rsidR="00981AF8" w:rsidRPr="00981AF8" w:rsidRDefault="00981AF8" w:rsidP="00981AF8">
      <w:pPr>
        <w:spacing w:line="360" w:lineRule="auto"/>
        <w:jc w:val="both"/>
        <w:rPr>
          <w:rFonts w:ascii="Arial" w:hAnsi="Arial" w:cs="Arial"/>
        </w:rPr>
      </w:pPr>
      <w:r w:rsidRPr="00981AF8">
        <w:rPr>
          <w:rFonts w:ascii="Arial" w:hAnsi="Arial" w:cs="Arial"/>
        </w:rPr>
        <w:t>In addition to marine conservation, the resort has implemented a strict waste management policy aimed at reducing single-use plastics. This initiative aligns with Thailand’s broader environmental conservation goals, as plastic pollution has become a significant issue in the country’s coastal regions (Edgell, 2020). The resort has eliminated plastic straws, bottles, and packaging, replacing them with biodegradable alternatives. This move reduces the resort's overall waste and minimizes its impact on local ecosystems, particularly the marine environment (Sloan, Legrand, and Chen, 2013).</w:t>
      </w:r>
    </w:p>
    <w:p w14:paraId="4484BA96" w14:textId="2F0CF28D" w:rsidR="00981AF8" w:rsidRPr="00981AF8" w:rsidRDefault="00981AF8" w:rsidP="00981AF8">
      <w:pPr>
        <w:spacing w:line="360" w:lineRule="auto"/>
        <w:jc w:val="both"/>
        <w:rPr>
          <w:rFonts w:ascii="Arial" w:hAnsi="Arial" w:cs="Arial"/>
        </w:rPr>
      </w:pPr>
      <w:r w:rsidRPr="00981AF8">
        <w:rPr>
          <w:rFonts w:ascii="Arial" w:hAnsi="Arial" w:cs="Arial"/>
        </w:rPr>
        <w:t xml:space="preserve">Energy conservation is another key focus of the resort's CSR strategy. The circular economy approach adopted by Four Seasons Resort Koh Samui involves reducing energy consumption through solar panels and energy-efficient appliances. This approach aligns with global sustainability frameworks, such as the United Nations Sustainable Development Goals (SDGs), particularly SDG 7: Affordable and Clean </w:t>
      </w:r>
      <w:r w:rsidRPr="00981AF8">
        <w:rPr>
          <w:rFonts w:ascii="Arial" w:hAnsi="Arial" w:cs="Arial"/>
        </w:rPr>
        <w:lastRenderedPageBreak/>
        <w:t>Energy and SDG 13: Climate Action (United Nations, 2015). While this has had a positive impact on the resort’s carbon footprint, the initial investment in renewable energy technology remains a challenge, given the high upfront costs associated with these systems (</w:t>
      </w:r>
      <w:proofErr w:type="spellStart"/>
      <w:r w:rsidRPr="00981AF8">
        <w:rPr>
          <w:rFonts w:ascii="Arial" w:hAnsi="Arial" w:cs="Arial"/>
        </w:rPr>
        <w:t>Korstanje</w:t>
      </w:r>
      <w:proofErr w:type="spellEnd"/>
      <w:r w:rsidRPr="00981AF8">
        <w:rPr>
          <w:rFonts w:ascii="Arial" w:hAnsi="Arial" w:cs="Arial"/>
        </w:rPr>
        <w:t>, George, and Nedelea, 2020).</w:t>
      </w:r>
    </w:p>
    <w:p w14:paraId="32F6D65F" w14:textId="77777777" w:rsidR="00981AF8" w:rsidRDefault="00981AF8" w:rsidP="00981AF8">
      <w:pPr>
        <w:spacing w:line="360" w:lineRule="auto"/>
        <w:jc w:val="both"/>
        <w:rPr>
          <w:rFonts w:ascii="Arial" w:hAnsi="Arial" w:cs="Arial"/>
        </w:rPr>
      </w:pPr>
      <w:r w:rsidRPr="00981AF8">
        <w:rPr>
          <w:rFonts w:ascii="Arial" w:hAnsi="Arial" w:cs="Arial"/>
        </w:rPr>
        <w:t>Despite these successes, the implementation of CSR initiatives has not been without challenges. One significant issue is the financial cost of adopting and maintaining these sustainable practices. Solar energy systems and other eco-friendly infrastructure require substantial investment, and the return on this investment is not always immediately evident. Additionally, maintaining partnerships with local stakeholders for marine conservation projects is a complex and ongoing process that requires dedicated resources and long-term commitment.</w:t>
      </w:r>
    </w:p>
    <w:p w14:paraId="63910BE6" w14:textId="77777777" w:rsidR="00981AF8" w:rsidRPr="00981AF8" w:rsidRDefault="00981AF8" w:rsidP="00981AF8">
      <w:pPr>
        <w:spacing w:line="360" w:lineRule="auto"/>
        <w:jc w:val="both"/>
        <w:rPr>
          <w:rFonts w:ascii="Arial" w:hAnsi="Arial" w:cs="Arial"/>
        </w:rPr>
      </w:pPr>
      <w:r w:rsidRPr="00981AF8">
        <w:rPr>
          <w:rFonts w:ascii="Arial" w:hAnsi="Arial" w:cs="Arial"/>
        </w:rPr>
        <w:t>CSR practices in hospitality are often influenced by both local and international legislation. In Thailand, the Environmental Conservation Act requires businesses in the tourism sector to adhere to strict environmental protection regulations (Management Association, 2019). Four Seasons Resort Koh Samui has had to comply with these regulations by implementing waste management systems and adopting environmentally responsible practices in its daily operations.</w:t>
      </w:r>
    </w:p>
    <w:p w14:paraId="4E826812" w14:textId="77777777" w:rsidR="00981AF8" w:rsidRPr="00981AF8" w:rsidRDefault="00981AF8" w:rsidP="00981AF8">
      <w:pPr>
        <w:spacing w:line="360" w:lineRule="auto"/>
        <w:jc w:val="both"/>
        <w:rPr>
          <w:rFonts w:ascii="Arial" w:hAnsi="Arial" w:cs="Arial"/>
        </w:rPr>
      </w:pPr>
      <w:r w:rsidRPr="00981AF8">
        <w:rPr>
          <w:rFonts w:ascii="Arial" w:hAnsi="Arial" w:cs="Arial"/>
        </w:rPr>
        <w:t>On an international level, the resort has sought certification through Green Globe, an industry-recognized sustainability certification. This certification ensures that the resort meets global standards for environmental management, including energy and water conservation, as well as waste reduction (Green Globe, 2024). The resort’s commitment to adhering to these standards has strengthened its reputation as a sustainable tourism destination.</w:t>
      </w:r>
    </w:p>
    <w:p w14:paraId="7BDF5B7E" w14:textId="77777777" w:rsidR="00981AF8" w:rsidRDefault="00981AF8" w:rsidP="00981AF8">
      <w:pPr>
        <w:spacing w:line="360" w:lineRule="auto"/>
        <w:jc w:val="both"/>
        <w:rPr>
          <w:rFonts w:ascii="Arial" w:hAnsi="Arial" w:cs="Arial"/>
        </w:rPr>
      </w:pPr>
      <w:r w:rsidRPr="00981AF8">
        <w:rPr>
          <w:rFonts w:ascii="Arial" w:hAnsi="Arial" w:cs="Arial"/>
        </w:rPr>
        <w:t xml:space="preserve">However, balancing compliance with local and international regulations presents a challenge. For instance, complying with international standards such as ISO 14001 for environmental management systems can be costly and resource-intensive, particularly for hotels in developing countries (Hawkins and </w:t>
      </w:r>
      <w:proofErr w:type="spellStart"/>
      <w:r w:rsidRPr="00981AF8">
        <w:rPr>
          <w:rFonts w:ascii="Arial" w:hAnsi="Arial" w:cs="Arial"/>
        </w:rPr>
        <w:t>Bohdanowicz</w:t>
      </w:r>
      <w:proofErr w:type="spellEnd"/>
      <w:r w:rsidRPr="00981AF8">
        <w:rPr>
          <w:rFonts w:ascii="Arial" w:hAnsi="Arial" w:cs="Arial"/>
        </w:rPr>
        <w:t>, 2012). Nonetheless, these certifications are essential for maintaining global credibility in sustainability efforts, and they provide a framework for continuous improvement in environmental practices.</w:t>
      </w:r>
    </w:p>
    <w:p w14:paraId="357125D6" w14:textId="77777777" w:rsidR="0052765B" w:rsidRPr="00981AF8" w:rsidRDefault="0052765B" w:rsidP="00981AF8">
      <w:pPr>
        <w:spacing w:line="360" w:lineRule="auto"/>
        <w:jc w:val="both"/>
        <w:rPr>
          <w:rFonts w:ascii="Arial" w:hAnsi="Arial" w:cs="Arial"/>
        </w:rPr>
      </w:pPr>
    </w:p>
    <w:p w14:paraId="3EF9B5B9" w14:textId="2061E632" w:rsidR="00981AF8" w:rsidRPr="00981AF8" w:rsidRDefault="00981AF8" w:rsidP="00981AF8">
      <w:pPr>
        <w:spacing w:line="360" w:lineRule="auto"/>
        <w:jc w:val="both"/>
        <w:rPr>
          <w:rFonts w:ascii="Arial" w:hAnsi="Arial" w:cs="Arial"/>
        </w:rPr>
      </w:pPr>
      <w:r w:rsidRPr="00981AF8">
        <w:rPr>
          <w:rFonts w:ascii="Arial" w:hAnsi="Arial" w:cs="Arial"/>
        </w:rPr>
        <w:lastRenderedPageBreak/>
        <w:t xml:space="preserve">The adoption of CSR practices at Four Seasons Resort Koh Samui has resulted in several benefits, including enhanced brand reputation, operational efficiencies, and improved guest experiences. However, the resort also faces challenges in balancing its luxury offerings with sustainability initiatives. Many luxury </w:t>
      </w:r>
      <w:r w:rsidR="003E76FD" w:rsidRPr="00981AF8">
        <w:rPr>
          <w:rFonts w:ascii="Arial" w:hAnsi="Arial" w:cs="Arial"/>
        </w:rPr>
        <w:t>travellers</w:t>
      </w:r>
      <w:r w:rsidRPr="00981AF8">
        <w:rPr>
          <w:rFonts w:ascii="Arial" w:hAnsi="Arial" w:cs="Arial"/>
        </w:rPr>
        <w:t xml:space="preserve"> prioritize comfort and convenience, and implementing CSR practices that align with guest expectations without compromising service quality can be difficult (</w:t>
      </w:r>
      <w:proofErr w:type="spellStart"/>
      <w:r w:rsidRPr="00981AF8">
        <w:rPr>
          <w:rFonts w:ascii="Arial" w:hAnsi="Arial" w:cs="Arial"/>
        </w:rPr>
        <w:t>Bohdanowicz</w:t>
      </w:r>
      <w:proofErr w:type="spellEnd"/>
      <w:r w:rsidRPr="00981AF8">
        <w:rPr>
          <w:rFonts w:ascii="Arial" w:hAnsi="Arial" w:cs="Arial"/>
        </w:rPr>
        <w:t>, Zientara, and Novotna, 2011).</w:t>
      </w:r>
    </w:p>
    <w:p w14:paraId="0CBD4CA2" w14:textId="77777777" w:rsidR="00981AF8" w:rsidRPr="00981AF8" w:rsidRDefault="00981AF8" w:rsidP="00981AF8">
      <w:pPr>
        <w:spacing w:line="360" w:lineRule="auto"/>
        <w:jc w:val="both"/>
        <w:rPr>
          <w:rFonts w:ascii="Arial" w:hAnsi="Arial" w:cs="Arial"/>
        </w:rPr>
      </w:pPr>
      <w:r w:rsidRPr="00981AF8">
        <w:rPr>
          <w:rFonts w:ascii="Arial" w:hAnsi="Arial" w:cs="Arial"/>
        </w:rPr>
        <w:t>Furthermore, maintaining long-term partnerships with local stakeholders for initiatives such as marine conservation requires a significant investment of time and resources. The resort must navigate complex relationships with local communities, governments, and environmental organizations to ensure the sustainability of these projects.</w:t>
      </w:r>
    </w:p>
    <w:p w14:paraId="55318ED5" w14:textId="77777777" w:rsidR="00981AF8" w:rsidRPr="00981AF8" w:rsidRDefault="00981AF8" w:rsidP="00981AF8">
      <w:pPr>
        <w:spacing w:line="360" w:lineRule="auto"/>
        <w:jc w:val="both"/>
        <w:rPr>
          <w:rFonts w:ascii="Arial" w:hAnsi="Arial" w:cs="Arial"/>
        </w:rPr>
      </w:pPr>
      <w:r w:rsidRPr="00981AF8">
        <w:rPr>
          <w:rFonts w:ascii="Arial" w:hAnsi="Arial" w:cs="Arial"/>
        </w:rPr>
        <w:t>Despite these challenges, there are significant opportunities for Four Seasons Resort Koh Samui to further enhance its CSR strategies. The growing demand for eco-friendly tourism provides the resort with an opportunity to position itself as a leader in sustainable luxury. Moreover, the integration of more advanced renewable energy technologies could further reduce operational costs in the long term, making sustainability a core component of the resort’s business model (</w:t>
      </w:r>
      <w:proofErr w:type="spellStart"/>
      <w:r w:rsidRPr="00981AF8">
        <w:rPr>
          <w:rFonts w:ascii="Arial" w:hAnsi="Arial" w:cs="Arial"/>
        </w:rPr>
        <w:t>Gössling</w:t>
      </w:r>
      <w:proofErr w:type="spellEnd"/>
      <w:r w:rsidRPr="00981AF8">
        <w:rPr>
          <w:rFonts w:ascii="Arial" w:hAnsi="Arial" w:cs="Arial"/>
        </w:rPr>
        <w:t xml:space="preserve"> and Peeters, 2015).</w:t>
      </w:r>
    </w:p>
    <w:p w14:paraId="0EEA3BC4" w14:textId="50C55C5B" w:rsidR="00981AF8" w:rsidRPr="00981AF8" w:rsidRDefault="00981AF8" w:rsidP="00981AF8">
      <w:pPr>
        <w:spacing w:line="360" w:lineRule="auto"/>
        <w:jc w:val="both"/>
        <w:rPr>
          <w:rFonts w:ascii="Arial" w:hAnsi="Arial" w:cs="Arial"/>
        </w:rPr>
      </w:pPr>
      <w:r w:rsidRPr="00981AF8">
        <w:rPr>
          <w:rFonts w:ascii="Arial" w:hAnsi="Arial" w:cs="Arial"/>
        </w:rPr>
        <w:t>In conclusion, Four Seasons Resort Koh Samui provides a compelling case study of how CSR can promote environmental sustainability in the hospitality industry. The resort’s focus on marine conservation, waste reduction, and energy efficiency demonstrates its commitment to mitigating the environmental impact of its operations. However, the implementation of these CSR initiatives has been accompanied by challenges, including financial costs, regulatory compliance, and balancing guest expectations with sustainability goals.</w:t>
      </w:r>
    </w:p>
    <w:p w14:paraId="65BCFB23" w14:textId="1DFB5604" w:rsidR="00300775" w:rsidRDefault="00981AF8" w:rsidP="00981AF8">
      <w:pPr>
        <w:spacing w:line="360" w:lineRule="auto"/>
        <w:jc w:val="both"/>
        <w:rPr>
          <w:rFonts w:ascii="Arial" w:hAnsi="Arial" w:cs="Arial"/>
        </w:rPr>
      </w:pPr>
      <w:r w:rsidRPr="00981AF8">
        <w:rPr>
          <w:rFonts w:ascii="Arial" w:hAnsi="Arial" w:cs="Arial"/>
        </w:rPr>
        <w:t xml:space="preserve">Nonetheless, CSR presents significant opportunities for the resort to enhance its reputation, attract environmentally conscious </w:t>
      </w:r>
      <w:r w:rsidR="003E76FD" w:rsidRPr="00981AF8">
        <w:rPr>
          <w:rFonts w:ascii="Arial" w:hAnsi="Arial" w:cs="Arial"/>
        </w:rPr>
        <w:t>travellers</w:t>
      </w:r>
      <w:r w:rsidRPr="00981AF8">
        <w:rPr>
          <w:rFonts w:ascii="Arial" w:hAnsi="Arial" w:cs="Arial"/>
        </w:rPr>
        <w:t>, and contribute to broader sustainability goals. As the hospitality industry continues to evolve, the integration of CSR into business strategies will become increasingly important for companies seeking to remain competitive while addressing pressing environmental challenges.</w:t>
      </w:r>
    </w:p>
    <w:p w14:paraId="3C4639D8" w14:textId="77777777" w:rsidR="00300775" w:rsidRPr="00300775" w:rsidRDefault="00300775" w:rsidP="00981AF8">
      <w:pPr>
        <w:spacing w:line="360" w:lineRule="auto"/>
        <w:jc w:val="both"/>
        <w:rPr>
          <w:rFonts w:ascii="Arial" w:hAnsi="Arial" w:cs="Arial"/>
        </w:rPr>
      </w:pPr>
    </w:p>
    <w:p w14:paraId="4499CE83" w14:textId="6A94E9AC" w:rsidR="0052765B" w:rsidRDefault="005E7F63" w:rsidP="00981AF8">
      <w:pPr>
        <w:spacing w:line="360" w:lineRule="auto"/>
        <w:jc w:val="both"/>
        <w:rPr>
          <w:rFonts w:ascii="Arial" w:hAnsi="Arial" w:cs="Arial"/>
          <w:b/>
          <w:bCs/>
        </w:rPr>
      </w:pPr>
      <w:r>
        <w:rPr>
          <w:rFonts w:ascii="Arial" w:hAnsi="Arial" w:cs="Arial"/>
          <w:b/>
          <w:bCs/>
        </w:rPr>
        <w:lastRenderedPageBreak/>
        <w:t>References:</w:t>
      </w:r>
    </w:p>
    <w:p w14:paraId="15CB2055" w14:textId="77777777" w:rsidR="0052765B" w:rsidRDefault="0052765B" w:rsidP="00981AF8">
      <w:pPr>
        <w:spacing w:line="360" w:lineRule="auto"/>
        <w:jc w:val="both"/>
        <w:rPr>
          <w:rFonts w:ascii="Arial" w:hAnsi="Arial" w:cs="Arial"/>
          <w:b/>
          <w:bCs/>
        </w:rPr>
      </w:pPr>
    </w:p>
    <w:p w14:paraId="30D24FEB" w14:textId="7F736847" w:rsidR="005E7F63" w:rsidRPr="005E7F63" w:rsidRDefault="005E7F63" w:rsidP="005E7F63">
      <w:pPr>
        <w:pStyle w:val="ListParagraph"/>
        <w:numPr>
          <w:ilvl w:val="0"/>
          <w:numId w:val="3"/>
        </w:numPr>
        <w:spacing w:line="360" w:lineRule="auto"/>
        <w:jc w:val="both"/>
        <w:rPr>
          <w:rFonts w:ascii="Arial" w:hAnsi="Arial" w:cs="Arial"/>
        </w:rPr>
      </w:pPr>
      <w:proofErr w:type="spellStart"/>
      <w:r w:rsidRPr="005E7F63">
        <w:rPr>
          <w:rFonts w:ascii="Arial" w:hAnsi="Arial" w:cs="Arial"/>
        </w:rPr>
        <w:t>Batabyal</w:t>
      </w:r>
      <w:proofErr w:type="spellEnd"/>
      <w:r w:rsidRPr="005E7F63">
        <w:rPr>
          <w:rFonts w:ascii="Arial" w:hAnsi="Arial" w:cs="Arial"/>
        </w:rPr>
        <w:t xml:space="preserve">, A. (2018) </w:t>
      </w:r>
      <w:r w:rsidRPr="005E7F63">
        <w:rPr>
          <w:rFonts w:ascii="Arial" w:hAnsi="Arial" w:cs="Arial"/>
          <w:i/>
          <w:iCs/>
        </w:rPr>
        <w:t>Managing Sustainable Tourism Resources.</w:t>
      </w:r>
      <w:r w:rsidRPr="005E7F63">
        <w:rPr>
          <w:rFonts w:ascii="Arial" w:hAnsi="Arial" w:cs="Arial"/>
        </w:rPr>
        <w:t xml:space="preserve"> IGI Global. </w:t>
      </w:r>
    </w:p>
    <w:p w14:paraId="0F50B11C" w14:textId="0BB62253" w:rsidR="005E7F63" w:rsidRPr="005E7F63" w:rsidRDefault="005E7F63" w:rsidP="005E7F63">
      <w:pPr>
        <w:pStyle w:val="ListParagraph"/>
        <w:numPr>
          <w:ilvl w:val="0"/>
          <w:numId w:val="3"/>
        </w:numPr>
        <w:spacing w:line="360" w:lineRule="auto"/>
        <w:jc w:val="both"/>
        <w:rPr>
          <w:rFonts w:ascii="Arial" w:hAnsi="Arial" w:cs="Arial"/>
        </w:rPr>
      </w:pPr>
      <w:proofErr w:type="spellStart"/>
      <w:r w:rsidRPr="005E7F63">
        <w:rPr>
          <w:rFonts w:ascii="Arial" w:hAnsi="Arial" w:cs="Arial"/>
        </w:rPr>
        <w:t>Bohdanowicz</w:t>
      </w:r>
      <w:proofErr w:type="spellEnd"/>
      <w:r w:rsidRPr="005E7F63">
        <w:rPr>
          <w:rFonts w:ascii="Arial" w:hAnsi="Arial" w:cs="Arial"/>
        </w:rPr>
        <w:t xml:space="preserve">, P., Zientara, P. and Novotna, E. (2011) 'International hotel chains and environmental protection: An analysis of Hilton’s “We Care!” program (Europe, 2006-2008)', </w:t>
      </w:r>
      <w:r w:rsidRPr="005E7F63">
        <w:rPr>
          <w:rFonts w:ascii="Arial" w:hAnsi="Arial" w:cs="Arial"/>
          <w:i/>
          <w:iCs/>
        </w:rPr>
        <w:t>Journal of Sustainable Tourism</w:t>
      </w:r>
      <w:r w:rsidRPr="005E7F63">
        <w:rPr>
          <w:rFonts w:ascii="Arial" w:hAnsi="Arial" w:cs="Arial"/>
        </w:rPr>
        <w:t>, 19(7), pp. 797–816.</w:t>
      </w:r>
    </w:p>
    <w:p w14:paraId="25A73546" w14:textId="5E3A0BAB"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Edgell, D. (2020) </w:t>
      </w:r>
      <w:r w:rsidRPr="005E7F63">
        <w:rPr>
          <w:rFonts w:ascii="Arial" w:hAnsi="Arial" w:cs="Arial"/>
          <w:i/>
          <w:iCs/>
        </w:rPr>
        <w:t>Managing Sustainable Tourism: A Legacy for the Future.</w:t>
      </w:r>
      <w:r w:rsidRPr="005E7F63">
        <w:rPr>
          <w:rFonts w:ascii="Arial" w:hAnsi="Arial" w:cs="Arial"/>
        </w:rPr>
        <w:t xml:space="preserve"> 3rd </w:t>
      </w:r>
      <w:proofErr w:type="spellStart"/>
      <w:r w:rsidRPr="005E7F63">
        <w:rPr>
          <w:rFonts w:ascii="Arial" w:hAnsi="Arial" w:cs="Arial"/>
        </w:rPr>
        <w:t>edn</w:t>
      </w:r>
      <w:proofErr w:type="spellEnd"/>
      <w:r w:rsidRPr="005E7F63">
        <w:rPr>
          <w:rFonts w:ascii="Arial" w:hAnsi="Arial" w:cs="Arial"/>
        </w:rPr>
        <w:t>. London: Routledge.</w:t>
      </w:r>
    </w:p>
    <w:p w14:paraId="1AB37774" w14:textId="10D09B6D"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EIC Centre for Sustainability and Social Impact (2024) </w:t>
      </w:r>
      <w:r w:rsidRPr="005E7F63">
        <w:rPr>
          <w:rFonts w:ascii="Arial" w:hAnsi="Arial" w:cs="Arial"/>
          <w:i/>
          <w:iCs/>
        </w:rPr>
        <w:t>Centre for Sustainability and Social Impact.</w:t>
      </w:r>
      <w:r w:rsidRPr="005E7F63">
        <w:rPr>
          <w:rFonts w:ascii="Arial" w:hAnsi="Arial" w:cs="Arial"/>
        </w:rPr>
        <w:t xml:space="preserve"> Available at: </w:t>
      </w:r>
      <w:hyperlink r:id="rId8" w:history="1">
        <w:r w:rsidR="00AA5548" w:rsidRPr="00BB575A">
          <w:rPr>
            <w:rStyle w:val="Hyperlink"/>
            <w:rFonts w:ascii="Arial" w:hAnsi="Arial" w:cs="Arial"/>
          </w:rPr>
          <w:t>https://eventscoun</w:t>
        </w:r>
        <w:r w:rsidR="00AA5548" w:rsidRPr="00BB575A">
          <w:rPr>
            <w:rStyle w:val="Hyperlink"/>
            <w:rFonts w:ascii="Arial" w:hAnsi="Arial" w:cs="Arial"/>
          </w:rPr>
          <w:t>c</w:t>
        </w:r>
        <w:r w:rsidR="00AA5548" w:rsidRPr="00BB575A">
          <w:rPr>
            <w:rStyle w:val="Hyperlink"/>
            <w:rFonts w:ascii="Arial" w:hAnsi="Arial" w:cs="Arial"/>
          </w:rPr>
          <w:t>il.org</w:t>
        </w:r>
      </w:hyperlink>
      <w:r w:rsidR="00AA5548">
        <w:rPr>
          <w:rFonts w:ascii="Arial" w:hAnsi="Arial" w:cs="Arial"/>
        </w:rPr>
        <w:t xml:space="preserve"> </w:t>
      </w:r>
      <w:r w:rsidRPr="005E7F63">
        <w:rPr>
          <w:rFonts w:ascii="Arial" w:hAnsi="Arial" w:cs="Arial"/>
        </w:rPr>
        <w:t>(Accessed: 7 October 2024).</w:t>
      </w:r>
    </w:p>
    <w:p w14:paraId="71FA5961" w14:textId="5A1A5A31"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Font, X. and Harris, C. (2004) 'Rethinking standards for sustainable tourism', </w:t>
      </w:r>
      <w:r w:rsidRPr="005E7F63">
        <w:rPr>
          <w:rFonts w:ascii="Arial" w:hAnsi="Arial" w:cs="Arial"/>
          <w:i/>
          <w:iCs/>
        </w:rPr>
        <w:t>Annals of Tourism Research</w:t>
      </w:r>
      <w:r w:rsidRPr="005E7F63">
        <w:rPr>
          <w:rFonts w:ascii="Arial" w:hAnsi="Arial" w:cs="Arial"/>
        </w:rPr>
        <w:t>, 31(4), pp. 986–1007.</w:t>
      </w:r>
    </w:p>
    <w:p w14:paraId="2C43DFF1" w14:textId="5B6C0A4B"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Four Seasons Hotels and Resorts (2023) </w:t>
      </w:r>
      <w:r w:rsidRPr="005E7F63">
        <w:rPr>
          <w:rFonts w:ascii="Arial" w:hAnsi="Arial" w:cs="Arial"/>
          <w:i/>
          <w:iCs/>
        </w:rPr>
        <w:t>Sustainability Practices.</w:t>
      </w:r>
      <w:r w:rsidRPr="005E7F63">
        <w:rPr>
          <w:rFonts w:ascii="Arial" w:hAnsi="Arial" w:cs="Arial"/>
        </w:rPr>
        <w:t xml:space="preserve"> Available at: </w:t>
      </w:r>
      <w:hyperlink r:id="rId9" w:history="1">
        <w:r w:rsidR="00AA5548" w:rsidRPr="00BB575A">
          <w:rPr>
            <w:rStyle w:val="Hyperlink"/>
            <w:rFonts w:ascii="Arial" w:hAnsi="Arial" w:cs="Arial"/>
          </w:rPr>
          <w:t>https://www.fourseasons.</w:t>
        </w:r>
        <w:r w:rsidR="00AA5548" w:rsidRPr="00BB575A">
          <w:rPr>
            <w:rStyle w:val="Hyperlink"/>
            <w:rFonts w:ascii="Arial" w:hAnsi="Arial" w:cs="Arial"/>
          </w:rPr>
          <w:t>c</w:t>
        </w:r>
        <w:r w:rsidR="00AA5548" w:rsidRPr="00BB575A">
          <w:rPr>
            <w:rStyle w:val="Hyperlink"/>
            <w:rFonts w:ascii="Arial" w:hAnsi="Arial" w:cs="Arial"/>
          </w:rPr>
          <w:t>om</w:t>
        </w:r>
      </w:hyperlink>
      <w:r w:rsidR="00AA5548">
        <w:rPr>
          <w:rFonts w:ascii="Arial" w:hAnsi="Arial" w:cs="Arial"/>
        </w:rPr>
        <w:t xml:space="preserve"> </w:t>
      </w:r>
      <w:r w:rsidRPr="005E7F63">
        <w:rPr>
          <w:rFonts w:ascii="Arial" w:hAnsi="Arial" w:cs="Arial"/>
        </w:rPr>
        <w:t xml:space="preserve">(Accessed: </w:t>
      </w:r>
      <w:r w:rsidR="00FE2B80">
        <w:rPr>
          <w:rFonts w:ascii="Arial" w:hAnsi="Arial" w:cs="Arial"/>
        </w:rPr>
        <w:t>8</w:t>
      </w:r>
      <w:r w:rsidRPr="005E7F63">
        <w:rPr>
          <w:rFonts w:ascii="Arial" w:hAnsi="Arial" w:cs="Arial"/>
        </w:rPr>
        <w:t xml:space="preserve"> October 2024).</w:t>
      </w:r>
    </w:p>
    <w:p w14:paraId="42F2E436" w14:textId="2D60FBB2" w:rsidR="005E7F63" w:rsidRPr="005E7F63" w:rsidRDefault="005E7F63" w:rsidP="005E7F63">
      <w:pPr>
        <w:pStyle w:val="ListParagraph"/>
        <w:numPr>
          <w:ilvl w:val="0"/>
          <w:numId w:val="3"/>
        </w:numPr>
        <w:spacing w:line="360" w:lineRule="auto"/>
        <w:jc w:val="both"/>
        <w:rPr>
          <w:rFonts w:ascii="Arial" w:hAnsi="Arial" w:cs="Arial"/>
        </w:rPr>
      </w:pPr>
      <w:proofErr w:type="spellStart"/>
      <w:r w:rsidRPr="005E7F63">
        <w:rPr>
          <w:rFonts w:ascii="Arial" w:hAnsi="Arial" w:cs="Arial"/>
        </w:rPr>
        <w:t>Gössling</w:t>
      </w:r>
      <w:proofErr w:type="spellEnd"/>
      <w:r w:rsidRPr="005E7F63">
        <w:rPr>
          <w:rFonts w:ascii="Arial" w:hAnsi="Arial" w:cs="Arial"/>
        </w:rPr>
        <w:t xml:space="preserve">, S. and Peeters, P. (2015) 'Assessing tourism’s global environmental impact 1900-2050', </w:t>
      </w:r>
      <w:r w:rsidRPr="005E7F63">
        <w:rPr>
          <w:rFonts w:ascii="Arial" w:hAnsi="Arial" w:cs="Arial"/>
          <w:i/>
          <w:iCs/>
        </w:rPr>
        <w:t>Journal of Sustainable Tourism</w:t>
      </w:r>
      <w:r w:rsidRPr="005E7F63">
        <w:rPr>
          <w:rFonts w:ascii="Arial" w:hAnsi="Arial" w:cs="Arial"/>
        </w:rPr>
        <w:t xml:space="preserve">, 23(5), pp. 639–659. </w:t>
      </w:r>
    </w:p>
    <w:p w14:paraId="7B29C647" w14:textId="4B5C9886"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Green Globe (2024) </w:t>
      </w:r>
      <w:r w:rsidRPr="005E7F63">
        <w:rPr>
          <w:rFonts w:ascii="Arial" w:hAnsi="Arial" w:cs="Arial"/>
          <w:i/>
          <w:iCs/>
        </w:rPr>
        <w:t>Green Globe Certification for Hotels and Resorts.</w:t>
      </w:r>
      <w:r w:rsidRPr="005E7F63">
        <w:rPr>
          <w:rFonts w:ascii="Arial" w:hAnsi="Arial" w:cs="Arial"/>
        </w:rPr>
        <w:t xml:space="preserve"> Available at: </w:t>
      </w:r>
      <w:hyperlink r:id="rId10" w:tgtFrame="_new" w:history="1">
        <w:r w:rsidRPr="005E7F63">
          <w:rPr>
            <w:rStyle w:val="Hyperlink"/>
            <w:rFonts w:ascii="Arial" w:hAnsi="Arial" w:cs="Arial"/>
          </w:rPr>
          <w:t>https://greenglobe.co</w:t>
        </w:r>
        <w:r w:rsidRPr="005E7F63">
          <w:rPr>
            <w:rStyle w:val="Hyperlink"/>
            <w:rFonts w:ascii="Arial" w:hAnsi="Arial" w:cs="Arial"/>
          </w:rPr>
          <w:t>m</w:t>
        </w:r>
        <w:r w:rsidRPr="005E7F63">
          <w:rPr>
            <w:rStyle w:val="Hyperlink"/>
            <w:rFonts w:ascii="Arial" w:hAnsi="Arial" w:cs="Arial"/>
          </w:rPr>
          <w:t>/</w:t>
        </w:r>
      </w:hyperlink>
      <w:r w:rsidRPr="005E7F63">
        <w:rPr>
          <w:rFonts w:ascii="Arial" w:hAnsi="Arial" w:cs="Arial"/>
        </w:rPr>
        <w:t xml:space="preserve"> (Accessed: 7 October 2024).</w:t>
      </w:r>
    </w:p>
    <w:p w14:paraId="0CA889C2" w14:textId="0D082692"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Hawkins, R. and </w:t>
      </w:r>
      <w:proofErr w:type="spellStart"/>
      <w:r w:rsidRPr="005E7F63">
        <w:rPr>
          <w:rFonts w:ascii="Arial" w:hAnsi="Arial" w:cs="Arial"/>
        </w:rPr>
        <w:t>Bohdanowicz</w:t>
      </w:r>
      <w:proofErr w:type="spellEnd"/>
      <w:r w:rsidRPr="005E7F63">
        <w:rPr>
          <w:rFonts w:ascii="Arial" w:hAnsi="Arial" w:cs="Arial"/>
        </w:rPr>
        <w:t xml:space="preserve">, P. (2012) 'Responsible Hospitality: Theory and Practice', </w:t>
      </w:r>
      <w:r w:rsidRPr="005E7F63">
        <w:rPr>
          <w:rFonts w:ascii="Arial" w:hAnsi="Arial" w:cs="Arial"/>
          <w:i/>
          <w:iCs/>
        </w:rPr>
        <w:t>Journal of Hospitality and Tourism Research</w:t>
      </w:r>
      <w:r w:rsidRPr="005E7F63">
        <w:rPr>
          <w:rFonts w:ascii="Arial" w:hAnsi="Arial" w:cs="Arial"/>
        </w:rPr>
        <w:t>, 36(2), pp. 262–276.</w:t>
      </w:r>
    </w:p>
    <w:p w14:paraId="38B9839C" w14:textId="53C29E81" w:rsidR="005E7F63" w:rsidRPr="005E7F63" w:rsidRDefault="005E7F63" w:rsidP="005E7F63">
      <w:pPr>
        <w:pStyle w:val="ListParagraph"/>
        <w:numPr>
          <w:ilvl w:val="0"/>
          <w:numId w:val="3"/>
        </w:numPr>
        <w:spacing w:line="360" w:lineRule="auto"/>
        <w:jc w:val="both"/>
        <w:rPr>
          <w:rFonts w:ascii="Arial" w:hAnsi="Arial" w:cs="Arial"/>
        </w:rPr>
      </w:pPr>
      <w:proofErr w:type="spellStart"/>
      <w:r w:rsidRPr="005E7F63">
        <w:rPr>
          <w:rFonts w:ascii="Arial" w:hAnsi="Arial" w:cs="Arial"/>
        </w:rPr>
        <w:t>Inkson</w:t>
      </w:r>
      <w:proofErr w:type="spellEnd"/>
      <w:r w:rsidRPr="005E7F63">
        <w:rPr>
          <w:rFonts w:ascii="Arial" w:hAnsi="Arial" w:cs="Arial"/>
        </w:rPr>
        <w:t xml:space="preserve">, C. and Minnaert, L. (2018) </w:t>
      </w:r>
      <w:r w:rsidRPr="005E7F63">
        <w:rPr>
          <w:rFonts w:ascii="Arial" w:hAnsi="Arial" w:cs="Arial"/>
          <w:i/>
          <w:iCs/>
        </w:rPr>
        <w:t>Tourism Management: An Introduction.</w:t>
      </w:r>
      <w:r w:rsidRPr="005E7F63">
        <w:rPr>
          <w:rFonts w:ascii="Arial" w:hAnsi="Arial" w:cs="Arial"/>
        </w:rPr>
        <w:t xml:space="preserve"> 2nd </w:t>
      </w:r>
      <w:proofErr w:type="spellStart"/>
      <w:r w:rsidRPr="005E7F63">
        <w:rPr>
          <w:rFonts w:ascii="Arial" w:hAnsi="Arial" w:cs="Arial"/>
        </w:rPr>
        <w:t>edn</w:t>
      </w:r>
      <w:proofErr w:type="spellEnd"/>
      <w:r w:rsidRPr="005E7F63">
        <w:rPr>
          <w:rFonts w:ascii="Arial" w:hAnsi="Arial" w:cs="Arial"/>
        </w:rPr>
        <w:t>. London: SAGE.</w:t>
      </w:r>
    </w:p>
    <w:p w14:paraId="3FFAD0FD" w14:textId="261C0D8E" w:rsidR="005E7F63" w:rsidRPr="005E7F63" w:rsidRDefault="005E7F63" w:rsidP="005E7F63">
      <w:pPr>
        <w:pStyle w:val="ListParagraph"/>
        <w:numPr>
          <w:ilvl w:val="0"/>
          <w:numId w:val="3"/>
        </w:numPr>
        <w:spacing w:line="360" w:lineRule="auto"/>
        <w:jc w:val="both"/>
        <w:rPr>
          <w:rFonts w:ascii="Arial" w:hAnsi="Arial" w:cs="Arial"/>
        </w:rPr>
      </w:pPr>
      <w:proofErr w:type="spellStart"/>
      <w:r w:rsidRPr="005E7F63">
        <w:rPr>
          <w:rFonts w:ascii="Arial" w:hAnsi="Arial" w:cs="Arial"/>
        </w:rPr>
        <w:t>Korstanje</w:t>
      </w:r>
      <w:proofErr w:type="spellEnd"/>
      <w:r w:rsidRPr="005E7F63">
        <w:rPr>
          <w:rFonts w:ascii="Arial" w:hAnsi="Arial" w:cs="Arial"/>
        </w:rPr>
        <w:t xml:space="preserve">, M., George, B. and Nedelea, A. (2020) </w:t>
      </w:r>
      <w:r w:rsidRPr="005E7F63">
        <w:rPr>
          <w:rFonts w:ascii="Arial" w:hAnsi="Arial" w:cs="Arial"/>
          <w:i/>
          <w:iCs/>
        </w:rPr>
        <w:t>Strategies for Promoting Sustainable Hospitality and Tourism Services.</w:t>
      </w:r>
      <w:r w:rsidRPr="005E7F63">
        <w:rPr>
          <w:rFonts w:ascii="Arial" w:hAnsi="Arial" w:cs="Arial"/>
        </w:rPr>
        <w:t xml:space="preserve"> IGI Global. </w:t>
      </w:r>
    </w:p>
    <w:p w14:paraId="1430412C" w14:textId="4324264F"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Management Association (2018) </w:t>
      </w:r>
      <w:r w:rsidRPr="005E7F63">
        <w:rPr>
          <w:rFonts w:ascii="Arial" w:hAnsi="Arial" w:cs="Arial"/>
          <w:i/>
          <w:iCs/>
        </w:rPr>
        <w:t>Sustainable Tourism.</w:t>
      </w:r>
      <w:r w:rsidRPr="005E7F63">
        <w:rPr>
          <w:rFonts w:ascii="Arial" w:hAnsi="Arial" w:cs="Arial"/>
        </w:rPr>
        <w:t xml:space="preserve"> IGI Global. </w:t>
      </w:r>
    </w:p>
    <w:p w14:paraId="1A40DE7F" w14:textId="6E86163C"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Management Association (2019) </w:t>
      </w:r>
      <w:r w:rsidRPr="005E7F63">
        <w:rPr>
          <w:rFonts w:ascii="Arial" w:hAnsi="Arial" w:cs="Arial"/>
          <w:i/>
          <w:iCs/>
        </w:rPr>
        <w:t>Sustainable Tourism: Breakthroughs in Research and Practice.</w:t>
      </w:r>
      <w:r w:rsidRPr="005E7F63">
        <w:rPr>
          <w:rFonts w:ascii="Arial" w:hAnsi="Arial" w:cs="Arial"/>
        </w:rPr>
        <w:t xml:space="preserve"> IGI Global. </w:t>
      </w:r>
    </w:p>
    <w:p w14:paraId="45A479BD" w14:textId="2A5E6624"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Management Association (2022) </w:t>
      </w:r>
      <w:r w:rsidRPr="005E7F63">
        <w:rPr>
          <w:rFonts w:ascii="Arial" w:hAnsi="Arial" w:cs="Arial"/>
          <w:i/>
          <w:iCs/>
        </w:rPr>
        <w:t>New Governance and Management in Touristic Destinations.</w:t>
      </w:r>
      <w:r w:rsidRPr="005E7F63">
        <w:rPr>
          <w:rFonts w:ascii="Arial" w:hAnsi="Arial" w:cs="Arial"/>
        </w:rPr>
        <w:t xml:space="preserve"> IGI Global. </w:t>
      </w:r>
    </w:p>
    <w:p w14:paraId="51DF2C10" w14:textId="75C34198"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Sloan, P., Legrand, W. and Chen, J.S. (2013) </w:t>
      </w:r>
      <w:r w:rsidRPr="005E7F63">
        <w:rPr>
          <w:rFonts w:ascii="Arial" w:hAnsi="Arial" w:cs="Arial"/>
          <w:i/>
          <w:iCs/>
        </w:rPr>
        <w:t>Sustainability in the Hospitality Industry: Principles of Sustainable Operations.</w:t>
      </w:r>
      <w:r w:rsidRPr="005E7F63">
        <w:rPr>
          <w:rFonts w:ascii="Arial" w:hAnsi="Arial" w:cs="Arial"/>
        </w:rPr>
        <w:t xml:space="preserve"> 2nd </w:t>
      </w:r>
      <w:proofErr w:type="spellStart"/>
      <w:r w:rsidRPr="005E7F63">
        <w:rPr>
          <w:rFonts w:ascii="Arial" w:hAnsi="Arial" w:cs="Arial"/>
        </w:rPr>
        <w:t>edn</w:t>
      </w:r>
      <w:proofErr w:type="spellEnd"/>
      <w:r w:rsidRPr="005E7F63">
        <w:rPr>
          <w:rFonts w:ascii="Arial" w:hAnsi="Arial" w:cs="Arial"/>
        </w:rPr>
        <w:t>. London: Routledge.</w:t>
      </w:r>
    </w:p>
    <w:p w14:paraId="79AA4AEF" w14:textId="3DDF9374"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lastRenderedPageBreak/>
        <w:t xml:space="preserve">TOURISM 4 SDGs | UNWTO (2024) Available at: </w:t>
      </w:r>
      <w:hyperlink r:id="rId11" w:tgtFrame="_new" w:history="1">
        <w:r w:rsidRPr="005E7F63">
          <w:rPr>
            <w:rStyle w:val="Hyperlink"/>
            <w:rFonts w:ascii="Arial" w:hAnsi="Arial" w:cs="Arial"/>
          </w:rPr>
          <w:t>https://tourism4s</w:t>
        </w:r>
        <w:r w:rsidRPr="005E7F63">
          <w:rPr>
            <w:rStyle w:val="Hyperlink"/>
            <w:rFonts w:ascii="Arial" w:hAnsi="Arial" w:cs="Arial"/>
          </w:rPr>
          <w:t>d</w:t>
        </w:r>
        <w:r w:rsidRPr="005E7F63">
          <w:rPr>
            <w:rStyle w:val="Hyperlink"/>
            <w:rFonts w:ascii="Arial" w:hAnsi="Arial" w:cs="Arial"/>
          </w:rPr>
          <w:t>gs.org/</w:t>
        </w:r>
      </w:hyperlink>
      <w:r w:rsidRPr="005E7F63">
        <w:rPr>
          <w:rFonts w:ascii="Arial" w:hAnsi="Arial" w:cs="Arial"/>
        </w:rPr>
        <w:t xml:space="preserve"> (Accessed: </w:t>
      </w:r>
      <w:r w:rsidR="00300775">
        <w:rPr>
          <w:rFonts w:ascii="Arial" w:hAnsi="Arial" w:cs="Arial"/>
        </w:rPr>
        <w:t xml:space="preserve">9 </w:t>
      </w:r>
      <w:r w:rsidRPr="005E7F63">
        <w:rPr>
          <w:rFonts w:ascii="Arial" w:hAnsi="Arial" w:cs="Arial"/>
        </w:rPr>
        <w:t>October 2024).</w:t>
      </w:r>
    </w:p>
    <w:p w14:paraId="1509ACF6" w14:textId="4043E869"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United Nations (2015) </w:t>
      </w:r>
      <w:r w:rsidRPr="005E7F63">
        <w:rPr>
          <w:rFonts w:ascii="Arial" w:hAnsi="Arial" w:cs="Arial"/>
          <w:i/>
          <w:iCs/>
        </w:rPr>
        <w:t>Transforming Our World: The 2030 Agenda for Sustainable Development.</w:t>
      </w:r>
      <w:r w:rsidRPr="005E7F63">
        <w:rPr>
          <w:rFonts w:ascii="Arial" w:hAnsi="Arial" w:cs="Arial"/>
        </w:rPr>
        <w:t xml:space="preserve"> Available at: </w:t>
      </w:r>
      <w:hyperlink r:id="rId12" w:tgtFrame="_new" w:history="1">
        <w:r w:rsidRPr="005E7F63">
          <w:rPr>
            <w:rStyle w:val="Hyperlink"/>
            <w:rFonts w:ascii="Arial" w:hAnsi="Arial" w:cs="Arial"/>
          </w:rPr>
          <w:t>https://sdgs.un.o</w:t>
        </w:r>
        <w:r w:rsidRPr="005E7F63">
          <w:rPr>
            <w:rStyle w:val="Hyperlink"/>
            <w:rFonts w:ascii="Arial" w:hAnsi="Arial" w:cs="Arial"/>
          </w:rPr>
          <w:t>r</w:t>
        </w:r>
        <w:r w:rsidRPr="005E7F63">
          <w:rPr>
            <w:rStyle w:val="Hyperlink"/>
            <w:rFonts w:ascii="Arial" w:hAnsi="Arial" w:cs="Arial"/>
          </w:rPr>
          <w:t>g/2030agenda</w:t>
        </w:r>
      </w:hyperlink>
      <w:r w:rsidRPr="005E7F63">
        <w:rPr>
          <w:rFonts w:ascii="Arial" w:hAnsi="Arial" w:cs="Arial"/>
        </w:rPr>
        <w:t xml:space="preserve"> (Accessed: </w:t>
      </w:r>
      <w:r w:rsidR="00300775">
        <w:rPr>
          <w:rFonts w:ascii="Arial" w:hAnsi="Arial" w:cs="Arial"/>
        </w:rPr>
        <w:t>9</w:t>
      </w:r>
      <w:r w:rsidRPr="005E7F63">
        <w:rPr>
          <w:rFonts w:ascii="Arial" w:hAnsi="Arial" w:cs="Arial"/>
        </w:rPr>
        <w:t xml:space="preserve"> October 2024).</w:t>
      </w:r>
    </w:p>
    <w:p w14:paraId="2F3D0FD7" w14:textId="3BCD6634"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UNWTO (2022) </w:t>
      </w:r>
      <w:r w:rsidRPr="005E7F63">
        <w:rPr>
          <w:rFonts w:ascii="Arial" w:hAnsi="Arial" w:cs="Arial"/>
          <w:i/>
          <w:iCs/>
        </w:rPr>
        <w:t>Sustainable Development of Tourism.</w:t>
      </w:r>
      <w:r w:rsidRPr="005E7F63">
        <w:rPr>
          <w:rFonts w:ascii="Arial" w:hAnsi="Arial" w:cs="Arial"/>
        </w:rPr>
        <w:t xml:space="preserve"> Available at: </w:t>
      </w:r>
      <w:hyperlink r:id="rId13" w:tgtFrame="_new" w:history="1">
        <w:r w:rsidRPr="005E7F63">
          <w:rPr>
            <w:rStyle w:val="Hyperlink"/>
            <w:rFonts w:ascii="Arial" w:hAnsi="Arial" w:cs="Arial"/>
          </w:rPr>
          <w:t>https://www.unwto.org/sustainable-dev</w:t>
        </w:r>
        <w:r w:rsidRPr="005E7F63">
          <w:rPr>
            <w:rStyle w:val="Hyperlink"/>
            <w:rFonts w:ascii="Arial" w:hAnsi="Arial" w:cs="Arial"/>
          </w:rPr>
          <w:t>e</w:t>
        </w:r>
        <w:r w:rsidRPr="005E7F63">
          <w:rPr>
            <w:rStyle w:val="Hyperlink"/>
            <w:rFonts w:ascii="Arial" w:hAnsi="Arial" w:cs="Arial"/>
          </w:rPr>
          <w:t>lopment</w:t>
        </w:r>
      </w:hyperlink>
      <w:r w:rsidRPr="005E7F63">
        <w:rPr>
          <w:rFonts w:ascii="Arial" w:hAnsi="Arial" w:cs="Arial"/>
        </w:rPr>
        <w:t xml:space="preserve"> (Accessed: </w:t>
      </w:r>
      <w:r w:rsidR="00300775">
        <w:rPr>
          <w:rFonts w:ascii="Arial" w:hAnsi="Arial" w:cs="Arial"/>
        </w:rPr>
        <w:t xml:space="preserve">9 </w:t>
      </w:r>
      <w:r w:rsidRPr="005E7F63">
        <w:rPr>
          <w:rFonts w:ascii="Arial" w:hAnsi="Arial" w:cs="Arial"/>
        </w:rPr>
        <w:t>October 2024).</w:t>
      </w:r>
    </w:p>
    <w:p w14:paraId="549586F7" w14:textId="1581BDDD"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Wickham, M., Donnelly, T. and French, L. (2021) 'Strategic Sustainability Management in the Event Sector', </w:t>
      </w:r>
      <w:r w:rsidRPr="005E7F63">
        <w:rPr>
          <w:rFonts w:ascii="Arial" w:hAnsi="Arial" w:cs="Arial"/>
          <w:i/>
          <w:iCs/>
        </w:rPr>
        <w:t>Event Management</w:t>
      </w:r>
      <w:r w:rsidRPr="005E7F63">
        <w:rPr>
          <w:rFonts w:ascii="Arial" w:hAnsi="Arial" w:cs="Arial"/>
        </w:rPr>
        <w:t>, 25(3), pp. 279–296.</w:t>
      </w:r>
    </w:p>
    <w:p w14:paraId="0767A619" w14:textId="06450D3D" w:rsidR="005E7F63" w:rsidRPr="005E7F63" w:rsidRDefault="005E7F63" w:rsidP="005E7F63">
      <w:pPr>
        <w:pStyle w:val="ListParagraph"/>
        <w:numPr>
          <w:ilvl w:val="0"/>
          <w:numId w:val="3"/>
        </w:numPr>
        <w:spacing w:line="360" w:lineRule="auto"/>
        <w:jc w:val="both"/>
        <w:rPr>
          <w:rFonts w:ascii="Arial" w:hAnsi="Arial" w:cs="Arial"/>
        </w:rPr>
      </w:pPr>
      <w:r w:rsidRPr="005E7F63">
        <w:rPr>
          <w:rFonts w:ascii="Arial" w:hAnsi="Arial" w:cs="Arial"/>
        </w:rPr>
        <w:t xml:space="preserve">World Trade Organization (2024) </w:t>
      </w:r>
      <w:r w:rsidRPr="005E7F63">
        <w:rPr>
          <w:rFonts w:ascii="Arial" w:hAnsi="Arial" w:cs="Arial"/>
          <w:i/>
          <w:iCs/>
        </w:rPr>
        <w:t>Home page.</w:t>
      </w:r>
      <w:r w:rsidRPr="005E7F63">
        <w:rPr>
          <w:rFonts w:ascii="Arial" w:hAnsi="Arial" w:cs="Arial"/>
        </w:rPr>
        <w:t xml:space="preserve"> Available at: </w:t>
      </w:r>
      <w:hyperlink r:id="rId14" w:tgtFrame="_new" w:history="1">
        <w:r w:rsidRPr="005E7F63">
          <w:rPr>
            <w:rStyle w:val="Hyperlink"/>
            <w:rFonts w:ascii="Arial" w:hAnsi="Arial" w:cs="Arial"/>
          </w:rPr>
          <w:t>https://www.wt</w:t>
        </w:r>
        <w:r w:rsidRPr="005E7F63">
          <w:rPr>
            <w:rStyle w:val="Hyperlink"/>
            <w:rFonts w:ascii="Arial" w:hAnsi="Arial" w:cs="Arial"/>
          </w:rPr>
          <w:t>o</w:t>
        </w:r>
        <w:r w:rsidRPr="005E7F63">
          <w:rPr>
            <w:rStyle w:val="Hyperlink"/>
            <w:rFonts w:ascii="Arial" w:hAnsi="Arial" w:cs="Arial"/>
          </w:rPr>
          <w:t>.org/</w:t>
        </w:r>
      </w:hyperlink>
      <w:r w:rsidRPr="005E7F63">
        <w:rPr>
          <w:rFonts w:ascii="Arial" w:hAnsi="Arial" w:cs="Arial"/>
        </w:rPr>
        <w:t xml:space="preserve"> (Accessed: </w:t>
      </w:r>
      <w:r w:rsidR="00300775">
        <w:rPr>
          <w:rFonts w:ascii="Arial" w:hAnsi="Arial" w:cs="Arial"/>
        </w:rPr>
        <w:t>9</w:t>
      </w:r>
      <w:r w:rsidRPr="005E7F63">
        <w:rPr>
          <w:rFonts w:ascii="Arial" w:hAnsi="Arial" w:cs="Arial"/>
        </w:rPr>
        <w:t xml:space="preserve"> October 2024).</w:t>
      </w:r>
    </w:p>
    <w:p w14:paraId="1F44509D" w14:textId="77777777" w:rsidR="0086690B" w:rsidRPr="005E7F63" w:rsidRDefault="0086690B" w:rsidP="005E7F63">
      <w:pPr>
        <w:pStyle w:val="ListParagraph"/>
        <w:spacing w:line="360" w:lineRule="auto"/>
        <w:jc w:val="both"/>
        <w:rPr>
          <w:rFonts w:ascii="Arial" w:hAnsi="Arial" w:cs="Arial"/>
        </w:rPr>
      </w:pPr>
    </w:p>
    <w:sectPr w:rsidR="0086690B" w:rsidRPr="005E7F63" w:rsidSect="008948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95FC4"/>
    <w:multiLevelType w:val="hybridMultilevel"/>
    <w:tmpl w:val="75722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9356D"/>
    <w:multiLevelType w:val="hybridMultilevel"/>
    <w:tmpl w:val="A9CEB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06E60"/>
    <w:multiLevelType w:val="multilevel"/>
    <w:tmpl w:val="660EB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4D3DCC"/>
    <w:multiLevelType w:val="hybridMultilevel"/>
    <w:tmpl w:val="9E64DA42"/>
    <w:lvl w:ilvl="0" w:tplc="00F640E2">
      <w:numFmt w:val="bullet"/>
      <w:lvlText w:val=""/>
      <w:lvlJc w:val="left"/>
      <w:pPr>
        <w:ind w:left="852" w:hanging="492"/>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838486">
    <w:abstractNumId w:val="2"/>
  </w:num>
  <w:num w:numId="2" w16cid:durableId="1101612159">
    <w:abstractNumId w:val="0"/>
  </w:num>
  <w:num w:numId="3" w16cid:durableId="1774083322">
    <w:abstractNumId w:val="1"/>
  </w:num>
  <w:num w:numId="4" w16cid:durableId="1850559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90B"/>
    <w:rsid w:val="00120F7E"/>
    <w:rsid w:val="00300775"/>
    <w:rsid w:val="003E76FD"/>
    <w:rsid w:val="0052765B"/>
    <w:rsid w:val="005E7F63"/>
    <w:rsid w:val="007C0C75"/>
    <w:rsid w:val="0086690B"/>
    <w:rsid w:val="00873E6D"/>
    <w:rsid w:val="00894852"/>
    <w:rsid w:val="00981AF8"/>
    <w:rsid w:val="00A96157"/>
    <w:rsid w:val="00AA5548"/>
    <w:rsid w:val="00D004EA"/>
    <w:rsid w:val="00FD19C8"/>
    <w:rsid w:val="00FE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9DD75"/>
  <w15:chartTrackingRefBased/>
  <w15:docId w15:val="{C221EDF0-FCFF-4ECB-A6CB-58CC18B30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9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9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9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9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9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90B"/>
    <w:rPr>
      <w:rFonts w:eastAsiaTheme="majorEastAsia" w:cstheme="majorBidi"/>
      <w:color w:val="272727" w:themeColor="text1" w:themeTint="D8"/>
    </w:rPr>
  </w:style>
  <w:style w:type="paragraph" w:styleId="Title">
    <w:name w:val="Title"/>
    <w:basedOn w:val="Normal"/>
    <w:next w:val="Normal"/>
    <w:link w:val="TitleChar"/>
    <w:uiPriority w:val="10"/>
    <w:qFormat/>
    <w:rsid w:val="00866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90B"/>
    <w:pPr>
      <w:spacing w:before="160"/>
      <w:jc w:val="center"/>
    </w:pPr>
    <w:rPr>
      <w:i/>
      <w:iCs/>
      <w:color w:val="404040" w:themeColor="text1" w:themeTint="BF"/>
    </w:rPr>
  </w:style>
  <w:style w:type="character" w:customStyle="1" w:styleId="QuoteChar">
    <w:name w:val="Quote Char"/>
    <w:basedOn w:val="DefaultParagraphFont"/>
    <w:link w:val="Quote"/>
    <w:uiPriority w:val="29"/>
    <w:rsid w:val="0086690B"/>
    <w:rPr>
      <w:i/>
      <w:iCs/>
      <w:color w:val="404040" w:themeColor="text1" w:themeTint="BF"/>
    </w:rPr>
  </w:style>
  <w:style w:type="paragraph" w:styleId="ListParagraph">
    <w:name w:val="List Paragraph"/>
    <w:basedOn w:val="Normal"/>
    <w:uiPriority w:val="34"/>
    <w:qFormat/>
    <w:rsid w:val="0086690B"/>
    <w:pPr>
      <w:ind w:left="720"/>
      <w:contextualSpacing/>
    </w:pPr>
  </w:style>
  <w:style w:type="character" w:styleId="IntenseEmphasis">
    <w:name w:val="Intense Emphasis"/>
    <w:basedOn w:val="DefaultParagraphFont"/>
    <w:uiPriority w:val="21"/>
    <w:qFormat/>
    <w:rsid w:val="0086690B"/>
    <w:rPr>
      <w:i/>
      <w:iCs/>
      <w:color w:val="0F4761" w:themeColor="accent1" w:themeShade="BF"/>
    </w:rPr>
  </w:style>
  <w:style w:type="paragraph" w:styleId="IntenseQuote">
    <w:name w:val="Intense Quote"/>
    <w:basedOn w:val="Normal"/>
    <w:next w:val="Normal"/>
    <w:link w:val="IntenseQuoteChar"/>
    <w:uiPriority w:val="30"/>
    <w:qFormat/>
    <w:rsid w:val="00866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90B"/>
    <w:rPr>
      <w:i/>
      <w:iCs/>
      <w:color w:val="0F4761" w:themeColor="accent1" w:themeShade="BF"/>
    </w:rPr>
  </w:style>
  <w:style w:type="character" w:styleId="IntenseReference">
    <w:name w:val="Intense Reference"/>
    <w:basedOn w:val="DefaultParagraphFont"/>
    <w:uiPriority w:val="32"/>
    <w:qFormat/>
    <w:rsid w:val="0086690B"/>
    <w:rPr>
      <w:b/>
      <w:bCs/>
      <w:smallCaps/>
      <w:color w:val="0F4761" w:themeColor="accent1" w:themeShade="BF"/>
      <w:spacing w:val="5"/>
    </w:rPr>
  </w:style>
  <w:style w:type="character" w:styleId="Hyperlink">
    <w:name w:val="Hyperlink"/>
    <w:basedOn w:val="DefaultParagraphFont"/>
    <w:uiPriority w:val="99"/>
    <w:unhideWhenUsed/>
    <w:rsid w:val="00981AF8"/>
    <w:rPr>
      <w:color w:val="467886" w:themeColor="hyperlink"/>
      <w:u w:val="single"/>
    </w:rPr>
  </w:style>
  <w:style w:type="character" w:styleId="UnresolvedMention">
    <w:name w:val="Unresolved Mention"/>
    <w:basedOn w:val="DefaultParagraphFont"/>
    <w:uiPriority w:val="99"/>
    <w:semiHidden/>
    <w:unhideWhenUsed/>
    <w:rsid w:val="00981AF8"/>
    <w:rPr>
      <w:color w:val="605E5C"/>
      <w:shd w:val="clear" w:color="auto" w:fill="E1DFDD"/>
    </w:rPr>
  </w:style>
  <w:style w:type="paragraph" w:styleId="NoSpacing">
    <w:name w:val="No Spacing"/>
    <w:link w:val="NoSpacingChar"/>
    <w:uiPriority w:val="1"/>
    <w:qFormat/>
    <w:rsid w:val="0089485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4852"/>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5E7F6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539126">
      <w:bodyDiv w:val="1"/>
      <w:marLeft w:val="0"/>
      <w:marRight w:val="0"/>
      <w:marTop w:val="0"/>
      <w:marBottom w:val="0"/>
      <w:divBdr>
        <w:top w:val="none" w:sz="0" w:space="0" w:color="auto"/>
        <w:left w:val="none" w:sz="0" w:space="0" w:color="auto"/>
        <w:bottom w:val="none" w:sz="0" w:space="0" w:color="auto"/>
        <w:right w:val="none" w:sz="0" w:space="0" w:color="auto"/>
      </w:divBdr>
    </w:div>
    <w:div w:id="199814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council.org" TargetMode="External"/><Relationship Id="rId13" Type="http://schemas.openxmlformats.org/officeDocument/2006/relationships/hyperlink" Target="https://www.unwto.org/sustainable-developme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sdgs.un.org/2030agend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ourism4sdgs.org/"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greenglobe.com/" TargetMode="External"/><Relationship Id="rId4" Type="http://schemas.openxmlformats.org/officeDocument/2006/relationships/webSettings" Target="webSettings.xml"/><Relationship Id="rId9" Type="http://schemas.openxmlformats.org/officeDocument/2006/relationships/hyperlink" Target="https://www.fourseasons.com" TargetMode="External"/><Relationship Id="rId14" Type="http://schemas.openxmlformats.org/officeDocument/2006/relationships/hyperlink" Target="https://www.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1652</Words>
  <Characters>11007</Characters>
  <Application>Microsoft Office Word</Application>
  <DocSecurity>0</DocSecurity>
  <Lines>207</Lines>
  <Paragraphs>47</Paragraphs>
  <ScaleCrop>false</ScaleCrop>
  <HeadingPairs>
    <vt:vector size="2" baseType="variant">
      <vt:variant>
        <vt:lpstr>Title</vt:lpstr>
      </vt:variant>
      <vt:variant>
        <vt:i4>1</vt:i4>
      </vt:variant>
    </vt:vector>
  </HeadingPairs>
  <TitlesOfParts>
    <vt:vector size="1" baseType="lpstr">
      <vt:lpstr>The Role of Corporate Social Responsibility (CSR) in Promoting Sustainability within the Hospitality Industry</vt:lpstr>
    </vt:vector>
  </TitlesOfParts>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Corporate Social Responsibility (CSR) in Promoting Sustainability within the Hospitality Industry</dc:title>
  <dc:subject/>
  <dc:creator>Velislava Stoycheva Hristova (2233502)</dc:creator>
  <cp:keywords/>
  <dc:description/>
  <cp:lastModifiedBy>Venelin Iliev</cp:lastModifiedBy>
  <cp:revision>2</cp:revision>
  <dcterms:created xsi:type="dcterms:W3CDTF">2024-10-20T02:19:00Z</dcterms:created>
  <dcterms:modified xsi:type="dcterms:W3CDTF">2024-10-20T02:19:00Z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13d07a89c44398153ee042f6300533d6db041f860070c8a4353abc75b4dbb5de</vt:lpwstr>
  </property>
</Properties>
</file>