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9453868"/>
        <w:docPartObj>
          <w:docPartGallery w:val="Cover Pages"/>
          <w:docPartUnique/>
        </w:docPartObj>
      </w:sdtPr>
      <w:sdtEndPr>
        <w:rPr>
          <w:rFonts w:ascii="Times New Roman" w:hAnsi="Times New Roman" w:cs="Times New Roman"/>
          <w:sz w:val="36"/>
          <w:szCs w:val="36"/>
        </w:rPr>
      </w:sdtEndPr>
      <w:sdtContent>
        <w:p w14:paraId="3194C4AD" w14:textId="3AE6640D" w:rsidR="00180675" w:rsidRDefault="00180675">
          <w:r>
            <w:rPr>
              <w:noProof/>
            </w:rPr>
            <mc:AlternateContent>
              <mc:Choice Requires="wpg">
                <w:drawing>
                  <wp:anchor distT="0" distB="0" distL="114300" distR="114300" simplePos="0" relativeHeight="251662336" behindDoc="0" locked="0" layoutInCell="1" allowOverlap="1" wp14:anchorId="3349E9E7" wp14:editId="359F209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E1B74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B1A98E" wp14:editId="1EC2739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3B1801" w14:textId="25F9F6F5" w:rsidR="00180675" w:rsidRPr="001661E9" w:rsidRDefault="00180675">
                                    <w:pPr>
                                      <w:pStyle w:val="NoSpacing"/>
                                      <w:jc w:val="right"/>
                                      <w:rPr>
                                        <w:color w:val="595959" w:themeColor="text1" w:themeTint="A6"/>
                                        <w:sz w:val="28"/>
                                        <w:szCs w:val="28"/>
                                        <w:lang w:val="pl-PL"/>
                                      </w:rPr>
                                    </w:pPr>
                                    <w:r w:rsidRPr="001661E9">
                                      <w:rPr>
                                        <w:color w:val="595959" w:themeColor="text1" w:themeTint="A6"/>
                                        <w:sz w:val="28"/>
                                        <w:szCs w:val="28"/>
                                        <w:lang w:val="pl-PL"/>
                                      </w:rPr>
                                      <w:t>Marta Kaminska</w:t>
                                    </w:r>
                                  </w:p>
                                </w:sdtContent>
                              </w:sdt>
                              <w:p w14:paraId="4E14B355" w14:textId="7F7A71B7" w:rsidR="00180675" w:rsidRPr="001661E9" w:rsidRDefault="00236F81">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EndPr/>
                                  <w:sdtContent>
                                    <w:r w:rsidR="001661E9" w:rsidRPr="001661E9">
                                      <w:rPr>
                                        <w:color w:val="595959" w:themeColor="text1" w:themeTint="A6"/>
                                        <w:sz w:val="18"/>
                                        <w:szCs w:val="18"/>
                                        <w:lang w:val="pl-PL"/>
                                      </w:rPr>
                                      <w:t>2108350@student.uwtsd.ac.uk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B1A98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pl-PL"/>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83B1801" w14:textId="25F9F6F5" w:rsidR="00180675" w:rsidRPr="001661E9" w:rsidRDefault="00180675">
                              <w:pPr>
                                <w:pStyle w:val="NoSpacing"/>
                                <w:jc w:val="right"/>
                                <w:rPr>
                                  <w:color w:val="595959" w:themeColor="text1" w:themeTint="A6"/>
                                  <w:sz w:val="28"/>
                                  <w:szCs w:val="28"/>
                                  <w:lang w:val="pl-PL"/>
                                </w:rPr>
                              </w:pPr>
                              <w:r w:rsidRPr="001661E9">
                                <w:rPr>
                                  <w:color w:val="595959" w:themeColor="text1" w:themeTint="A6"/>
                                  <w:sz w:val="28"/>
                                  <w:szCs w:val="28"/>
                                  <w:lang w:val="pl-PL"/>
                                </w:rPr>
                                <w:t>Marta Kaminska</w:t>
                              </w:r>
                            </w:p>
                          </w:sdtContent>
                        </w:sdt>
                        <w:p w14:paraId="4E14B355" w14:textId="7F7A71B7" w:rsidR="00180675" w:rsidRPr="001661E9" w:rsidRDefault="00236F81">
                          <w:pPr>
                            <w:pStyle w:val="NoSpacing"/>
                            <w:jc w:val="right"/>
                            <w:rPr>
                              <w:color w:val="595959" w:themeColor="text1" w:themeTint="A6"/>
                              <w:sz w:val="18"/>
                              <w:szCs w:val="18"/>
                              <w:lang w:val="pl-PL"/>
                            </w:rPr>
                          </w:pPr>
                          <w:sdt>
                            <w:sdtPr>
                              <w:rPr>
                                <w:color w:val="595959" w:themeColor="text1" w:themeTint="A6"/>
                                <w:sz w:val="18"/>
                                <w:szCs w:val="18"/>
                                <w:lang w:val="pl-PL"/>
                              </w:rPr>
                              <w:alias w:val="Email"/>
                              <w:tag w:val="Email"/>
                              <w:id w:val="942260680"/>
                              <w:dataBinding w:prefixMappings="xmlns:ns0='http://schemas.microsoft.com/office/2006/coverPageProps' " w:xpath="/ns0:CoverPageProperties[1]/ns0:CompanyEmail[1]" w:storeItemID="{55AF091B-3C7A-41E3-B477-F2FDAA23CFDA}"/>
                              <w:text/>
                            </w:sdtPr>
                            <w:sdtEndPr/>
                            <w:sdtContent>
                              <w:r w:rsidR="001661E9" w:rsidRPr="001661E9">
                                <w:rPr>
                                  <w:color w:val="595959" w:themeColor="text1" w:themeTint="A6"/>
                                  <w:sz w:val="18"/>
                                  <w:szCs w:val="18"/>
                                  <w:lang w:val="pl-PL"/>
                                </w:rPr>
                                <w:t>2108350@student.uwtsd.ac.uk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4DA55BB" wp14:editId="6717BEE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9176F" w14:textId="0EA438DF" w:rsidR="00180675" w:rsidRPr="00F97E85" w:rsidRDefault="00180675" w:rsidP="00F97E85">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4DA55B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8F9176F" w14:textId="0EA438DF" w:rsidR="00180675" w:rsidRPr="00F97E85" w:rsidRDefault="00180675" w:rsidP="00F97E85">
                          <w:pPr>
                            <w:pStyle w:val="NoSpacing"/>
                            <w:jc w:val="right"/>
                            <w:rPr>
                              <w:color w:val="4472C4" w:themeColor="accent1"/>
                              <w:sz w:val="28"/>
                              <w:szCs w:val="28"/>
                            </w:rPr>
                          </w:pPr>
                        </w:p>
                      </w:txbxContent>
                    </v:textbox>
                    <w10:wrap type="square" anchorx="page" anchory="page"/>
                  </v:shape>
                </w:pict>
              </mc:Fallback>
            </mc:AlternateContent>
          </w:r>
        </w:p>
        <w:p w14:paraId="6613EA2A" w14:textId="33991566" w:rsidR="00180675" w:rsidRDefault="00F07E76">
          <w:pPr>
            <w:rPr>
              <w:rFonts w:ascii="Times New Roman" w:eastAsiaTheme="majorEastAsia" w:hAnsi="Times New Roman" w:cs="Times New Roman"/>
              <w:color w:val="2F5496" w:themeColor="accent1" w:themeShade="BF"/>
              <w:kern w:val="0"/>
              <w:sz w:val="36"/>
              <w:szCs w:val="36"/>
              <w:lang w:val="en-US"/>
              <w14:ligatures w14:val="none"/>
            </w:rPr>
          </w:pPr>
          <w:r>
            <w:rPr>
              <w:noProof/>
            </w:rPr>
            <mc:AlternateContent>
              <mc:Choice Requires="wps">
                <w:drawing>
                  <wp:anchor distT="0" distB="0" distL="114300" distR="114300" simplePos="0" relativeHeight="251659264" behindDoc="0" locked="0" layoutInCell="1" allowOverlap="1" wp14:anchorId="150360D6" wp14:editId="1DC83B9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50253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50258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1B060" w14:textId="5F23B6F8" w:rsidR="00180675" w:rsidRPr="00937CA0" w:rsidRDefault="00236F81" w:rsidP="00F97E85">
                                <w:pPr>
                                  <w:jc w:val="right"/>
                                  <w:rPr>
                                    <w:rFonts w:ascii="Times New Roman" w:hAnsi="Times New Roman" w:cs="Times New Roman"/>
                                    <w:b/>
                                    <w:bCs/>
                                    <w:color w:val="4472C4" w:themeColor="accent1"/>
                                    <w:sz w:val="28"/>
                                    <w:szCs w:val="28"/>
                                  </w:rPr>
                                </w:pPr>
                                <w:sdt>
                                  <w:sdtPr>
                                    <w:rPr>
                                      <w:rFonts w:ascii="Times New Roman" w:hAnsi="Times New Roman" w:cs="Times New Roman"/>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F2BFD">
                                      <w:rPr>
                                        <w:rFonts w:ascii="Times New Roman" w:hAnsi="Times New Roman" w:cs="Times New Roman"/>
                                        <w:b/>
                                        <w:bCs/>
                                        <w:sz w:val="28"/>
                                        <w:szCs w:val="28"/>
                                      </w:rPr>
                                      <w:t xml:space="preserve">Current Issues in taxation - </w:t>
                                    </w:r>
                                    <w:r w:rsidR="006F2BFD">
                                      <w:rPr>
                                        <w:rFonts w:ascii="Times New Roman" w:hAnsi="Times New Roman" w:cs="Times New Roman"/>
                                        <w:b/>
                                        <w:bCs/>
                                        <w:sz w:val="28"/>
                                        <w:szCs w:val="28"/>
                                      </w:rPr>
                                      <w:br/>
                                      <w:t>Making Tax Digital for all Tax Types</w:t>
                                    </w:r>
                                  </w:sdtContent>
                                </w:sdt>
                              </w:p>
                              <w:sdt>
                                <w:sdtPr>
                                  <w:rPr>
                                    <w:rFonts w:ascii="Times New Roman" w:eastAsia="Times New Roman" w:hAnsi="Times New Roman" w:cs="Times New Roman"/>
                                    <w:b/>
                                    <w:bCs/>
                                    <w:kern w:val="0"/>
                                    <w:sz w:val="24"/>
                                    <w:szCs w:val="24"/>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4483B07" w14:textId="07C0C869" w:rsidR="00180675" w:rsidRPr="00F97E85" w:rsidRDefault="00BB0C9F">
                                    <w:pPr>
                                      <w:jc w:val="right"/>
                                      <w:rPr>
                                        <w:rFonts w:ascii="Times New Roman" w:eastAsia="Times New Roman" w:hAnsi="Times New Roman" w:cs="Times New Roman"/>
                                        <w:b/>
                                        <w:bCs/>
                                        <w:kern w:val="0"/>
                                        <w:sz w:val="24"/>
                                        <w:szCs w:val="24"/>
                                        <w:lang w:eastAsia="en-GB"/>
                                        <w14:ligatures w14:val="none"/>
                                      </w:rPr>
                                    </w:pPr>
                                    <w:r w:rsidRPr="00F97E85">
                                      <w:rPr>
                                        <w:rFonts w:ascii="Times New Roman" w:eastAsia="Times New Roman" w:hAnsi="Times New Roman" w:cs="Times New Roman"/>
                                        <w:b/>
                                        <w:bCs/>
                                        <w:kern w:val="0"/>
                                        <w:sz w:val="24"/>
                                        <w:szCs w:val="24"/>
                                        <w:lang w:eastAsia="en-GB"/>
                                        <w14:ligatures w14:val="none"/>
                                      </w:rPr>
                                      <w:t>Taxation (BMBM5019)</w:t>
                                    </w:r>
                                  </w:p>
                                </w:sdtContent>
                              </w:sdt>
                              <w:p w14:paraId="5B910238" w14:textId="77777777" w:rsidR="00F07E76" w:rsidRDefault="00F07E76">
                                <w:pPr>
                                  <w:jc w:val="right"/>
                                  <w:rPr>
                                    <w:rFonts w:ascii="Times New Roman" w:hAnsi="Times New Roman" w:cs="Times New Roman"/>
                                    <w:b/>
                                    <w:bCs/>
                                    <w:sz w:val="28"/>
                                    <w:szCs w:val="28"/>
                                  </w:rPr>
                                </w:pPr>
                              </w:p>
                              <w:p w14:paraId="5C318C5A" w14:textId="1CA40643" w:rsidR="00C56F33" w:rsidRDefault="0052595E">
                                <w:pPr>
                                  <w:jc w:val="right"/>
                                  <w:rPr>
                                    <w:rFonts w:ascii="Times New Roman" w:hAnsi="Times New Roman" w:cs="Times New Roman"/>
                                    <w:b/>
                                    <w:bCs/>
                                    <w:sz w:val="28"/>
                                    <w:szCs w:val="28"/>
                                  </w:rPr>
                                </w:pPr>
                                <w:r>
                                  <w:rPr>
                                    <w:rFonts w:ascii="Times New Roman" w:hAnsi="Times New Roman" w:cs="Times New Roman"/>
                                    <w:b/>
                                    <w:bCs/>
                                    <w:sz w:val="28"/>
                                    <w:szCs w:val="28"/>
                                  </w:rPr>
                                  <w:t>UNIVER</w:t>
                                </w:r>
                                <w:r w:rsidR="00C56F33">
                                  <w:rPr>
                                    <w:rFonts w:ascii="Times New Roman" w:hAnsi="Times New Roman" w:cs="Times New Roman"/>
                                    <w:b/>
                                    <w:bCs/>
                                    <w:sz w:val="28"/>
                                    <w:szCs w:val="28"/>
                                  </w:rPr>
                                  <w:t>SITY OF WALES TRINITY SAINT DAVID</w:t>
                                </w:r>
                              </w:p>
                              <w:p w14:paraId="75A4541F" w14:textId="303429BA" w:rsidR="00837BFF" w:rsidRPr="00F07E76" w:rsidRDefault="00837BFF">
                                <w:pPr>
                                  <w:jc w:val="right"/>
                                  <w:rPr>
                                    <w:rFonts w:ascii="Times New Roman" w:hAnsi="Times New Roman" w:cs="Times New Roman"/>
                                    <w:b/>
                                    <w:bCs/>
                                    <w:smallCaps/>
                                    <w:color w:val="404040" w:themeColor="text1" w:themeTint="BF"/>
                                    <w:sz w:val="24"/>
                                    <w:szCs w:val="24"/>
                                  </w:rPr>
                                </w:pPr>
                                <w:r w:rsidRPr="00F07E76">
                                  <w:rPr>
                                    <w:rFonts w:ascii="Times New Roman" w:hAnsi="Times New Roman" w:cs="Times New Roman"/>
                                    <w:b/>
                                    <w:bCs/>
                                    <w:sz w:val="24"/>
                                    <w:szCs w:val="24"/>
                                  </w:rPr>
                                  <w:t>INSTITUTE OF MANAGEMENT AND HEALTH</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50360D6" id="Text Box 154" o:spid="_x0000_s1028" type="#_x0000_t202" style="position:absolute;margin-left:0;margin-top:0;width:8in;height:395.7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" filled="f" stroked="f" strokeweight=".5pt">
                    <v:textbox inset="126pt,0,54pt,0">
                      <w:txbxContent>
                        <w:p w14:paraId="6331B060" w14:textId="5F23B6F8" w:rsidR="00180675" w:rsidRPr="00937CA0" w:rsidRDefault="00236F81" w:rsidP="00F97E85">
                          <w:pPr>
                            <w:jc w:val="right"/>
                            <w:rPr>
                              <w:rFonts w:ascii="Times New Roman" w:hAnsi="Times New Roman" w:cs="Times New Roman"/>
                              <w:b/>
                              <w:bCs/>
                              <w:color w:val="4472C4" w:themeColor="accent1"/>
                              <w:sz w:val="28"/>
                              <w:szCs w:val="28"/>
                            </w:rPr>
                          </w:pPr>
                          <w:sdt>
                            <w:sdtPr>
                              <w:rPr>
                                <w:rFonts w:ascii="Times New Roman" w:hAnsi="Times New Roman" w:cs="Times New Roman"/>
                                <w:b/>
                                <w:bCs/>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F2BFD">
                                <w:rPr>
                                  <w:rFonts w:ascii="Times New Roman" w:hAnsi="Times New Roman" w:cs="Times New Roman"/>
                                  <w:b/>
                                  <w:bCs/>
                                  <w:sz w:val="28"/>
                                  <w:szCs w:val="28"/>
                                </w:rPr>
                                <w:t xml:space="preserve">Current Issues in taxation - </w:t>
                              </w:r>
                              <w:r w:rsidR="006F2BFD">
                                <w:rPr>
                                  <w:rFonts w:ascii="Times New Roman" w:hAnsi="Times New Roman" w:cs="Times New Roman"/>
                                  <w:b/>
                                  <w:bCs/>
                                  <w:sz w:val="28"/>
                                  <w:szCs w:val="28"/>
                                </w:rPr>
                                <w:br/>
                                <w:t>Making Tax Digital for all Tax Types</w:t>
                              </w:r>
                            </w:sdtContent>
                          </w:sdt>
                        </w:p>
                        <w:sdt>
                          <w:sdtPr>
                            <w:rPr>
                              <w:rFonts w:ascii="Times New Roman" w:eastAsia="Times New Roman" w:hAnsi="Times New Roman" w:cs="Times New Roman"/>
                              <w:b/>
                              <w:bCs/>
                              <w:kern w:val="0"/>
                              <w:sz w:val="24"/>
                              <w:szCs w:val="24"/>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4483B07" w14:textId="07C0C869" w:rsidR="00180675" w:rsidRPr="00F97E85" w:rsidRDefault="00BB0C9F">
                              <w:pPr>
                                <w:jc w:val="right"/>
                                <w:rPr>
                                  <w:rFonts w:ascii="Times New Roman" w:eastAsia="Times New Roman" w:hAnsi="Times New Roman" w:cs="Times New Roman"/>
                                  <w:b/>
                                  <w:bCs/>
                                  <w:kern w:val="0"/>
                                  <w:sz w:val="24"/>
                                  <w:szCs w:val="24"/>
                                  <w:lang w:eastAsia="en-GB"/>
                                  <w14:ligatures w14:val="none"/>
                                </w:rPr>
                              </w:pPr>
                              <w:r w:rsidRPr="00F97E85">
                                <w:rPr>
                                  <w:rFonts w:ascii="Times New Roman" w:eastAsia="Times New Roman" w:hAnsi="Times New Roman" w:cs="Times New Roman"/>
                                  <w:b/>
                                  <w:bCs/>
                                  <w:kern w:val="0"/>
                                  <w:sz w:val="24"/>
                                  <w:szCs w:val="24"/>
                                  <w:lang w:eastAsia="en-GB"/>
                                  <w14:ligatures w14:val="none"/>
                                </w:rPr>
                                <w:t>Taxation (BMBM5019)</w:t>
                              </w:r>
                            </w:p>
                          </w:sdtContent>
                        </w:sdt>
                        <w:p w14:paraId="5B910238" w14:textId="77777777" w:rsidR="00F07E76" w:rsidRDefault="00F07E76">
                          <w:pPr>
                            <w:jc w:val="right"/>
                            <w:rPr>
                              <w:rFonts w:ascii="Times New Roman" w:hAnsi="Times New Roman" w:cs="Times New Roman"/>
                              <w:b/>
                              <w:bCs/>
                              <w:sz w:val="28"/>
                              <w:szCs w:val="28"/>
                            </w:rPr>
                          </w:pPr>
                        </w:p>
                        <w:p w14:paraId="5C318C5A" w14:textId="1CA40643" w:rsidR="00C56F33" w:rsidRDefault="0052595E">
                          <w:pPr>
                            <w:jc w:val="right"/>
                            <w:rPr>
                              <w:rFonts w:ascii="Times New Roman" w:hAnsi="Times New Roman" w:cs="Times New Roman"/>
                              <w:b/>
                              <w:bCs/>
                              <w:sz w:val="28"/>
                              <w:szCs w:val="28"/>
                            </w:rPr>
                          </w:pPr>
                          <w:r>
                            <w:rPr>
                              <w:rFonts w:ascii="Times New Roman" w:hAnsi="Times New Roman" w:cs="Times New Roman"/>
                              <w:b/>
                              <w:bCs/>
                              <w:sz w:val="28"/>
                              <w:szCs w:val="28"/>
                            </w:rPr>
                            <w:t>UNIVER</w:t>
                          </w:r>
                          <w:r w:rsidR="00C56F33">
                            <w:rPr>
                              <w:rFonts w:ascii="Times New Roman" w:hAnsi="Times New Roman" w:cs="Times New Roman"/>
                              <w:b/>
                              <w:bCs/>
                              <w:sz w:val="28"/>
                              <w:szCs w:val="28"/>
                            </w:rPr>
                            <w:t>SITY OF WALES TRINITY SAINT DAVID</w:t>
                          </w:r>
                        </w:p>
                        <w:p w14:paraId="75A4541F" w14:textId="303429BA" w:rsidR="00837BFF" w:rsidRPr="00F07E76" w:rsidRDefault="00837BFF">
                          <w:pPr>
                            <w:jc w:val="right"/>
                            <w:rPr>
                              <w:rFonts w:ascii="Times New Roman" w:hAnsi="Times New Roman" w:cs="Times New Roman"/>
                              <w:b/>
                              <w:bCs/>
                              <w:smallCaps/>
                              <w:color w:val="404040" w:themeColor="text1" w:themeTint="BF"/>
                              <w:sz w:val="24"/>
                              <w:szCs w:val="24"/>
                            </w:rPr>
                          </w:pPr>
                          <w:r w:rsidRPr="00F07E76">
                            <w:rPr>
                              <w:rFonts w:ascii="Times New Roman" w:hAnsi="Times New Roman" w:cs="Times New Roman"/>
                              <w:b/>
                              <w:bCs/>
                              <w:sz w:val="24"/>
                              <w:szCs w:val="24"/>
                            </w:rPr>
                            <w:t>INSTITUTE OF MANAGEMENT AND HEALTH</w:t>
                          </w:r>
                        </w:p>
                      </w:txbxContent>
                    </v:textbox>
                    <w10:wrap type="square" anchorx="page" anchory="page"/>
                  </v:shape>
                </w:pict>
              </mc:Fallback>
            </mc:AlternateContent>
          </w:r>
          <w:r w:rsidR="00180675">
            <w:rPr>
              <w:rFonts w:ascii="Times New Roman" w:hAnsi="Times New Roman" w:cs="Times New Roman"/>
              <w:sz w:val="36"/>
              <w:szCs w:val="36"/>
            </w:rPr>
            <w:br w:type="page"/>
          </w:r>
        </w:p>
      </w:sdtContent>
    </w:sdt>
    <w:sdt>
      <w:sdtPr>
        <w:rPr>
          <w:rFonts w:asciiTheme="minorHAnsi" w:eastAsiaTheme="minorHAnsi" w:hAnsiTheme="minorHAnsi" w:cstheme="minorBidi"/>
          <w:color w:val="auto"/>
          <w:kern w:val="2"/>
          <w:sz w:val="22"/>
          <w:szCs w:val="22"/>
          <w:lang w:val="en-GB"/>
          <w14:ligatures w14:val="standardContextual"/>
        </w:rPr>
        <w:id w:val="-1755575566"/>
        <w:docPartObj>
          <w:docPartGallery w:val="Table of Contents"/>
          <w:docPartUnique/>
        </w:docPartObj>
      </w:sdtPr>
      <w:sdtEndPr>
        <w:rPr>
          <w:b/>
          <w:bCs/>
          <w:noProof/>
        </w:rPr>
      </w:sdtEndPr>
      <w:sdtContent>
        <w:p w14:paraId="613891D5" w14:textId="1D692743" w:rsidR="00FF66AF" w:rsidRDefault="00FF66AF">
          <w:pPr>
            <w:pStyle w:val="TOCHeading"/>
            <w:rPr>
              <w:rFonts w:ascii="Times New Roman" w:hAnsi="Times New Roman" w:cs="Times New Roman"/>
              <w:sz w:val="36"/>
              <w:szCs w:val="36"/>
            </w:rPr>
          </w:pPr>
          <w:r w:rsidRPr="00FF66AF">
            <w:rPr>
              <w:rFonts w:ascii="Times New Roman" w:hAnsi="Times New Roman" w:cs="Times New Roman"/>
              <w:sz w:val="36"/>
              <w:szCs w:val="36"/>
            </w:rPr>
            <w:t>Contents</w:t>
          </w:r>
        </w:p>
        <w:p w14:paraId="475F30A7" w14:textId="77777777" w:rsidR="00FF66AF" w:rsidRPr="00236F81" w:rsidRDefault="00FF66AF" w:rsidP="00FF66AF">
          <w:pPr>
            <w:rPr>
              <w:rFonts w:ascii="Times New Roman" w:hAnsi="Times New Roman" w:cs="Times New Roman"/>
              <w:lang w:val="en-US"/>
            </w:rPr>
          </w:pPr>
        </w:p>
        <w:p w14:paraId="0C17D006" w14:textId="6981BFB4" w:rsidR="00236F81" w:rsidRPr="00236F81" w:rsidRDefault="00FF66AF">
          <w:pPr>
            <w:pStyle w:val="TOC1"/>
            <w:tabs>
              <w:tab w:val="right" w:leader="dot" w:pos="9016"/>
            </w:tabs>
            <w:rPr>
              <w:rFonts w:ascii="Times New Roman" w:eastAsiaTheme="minorEastAsia" w:hAnsi="Times New Roman" w:cs="Times New Roman"/>
              <w:noProof/>
              <w:kern w:val="0"/>
              <w:sz w:val="28"/>
              <w:szCs w:val="28"/>
              <w:lang w:eastAsia="en-GB"/>
              <w14:ligatures w14:val="none"/>
            </w:rPr>
          </w:pPr>
          <w:r w:rsidRPr="00236F81">
            <w:rPr>
              <w:rFonts w:ascii="Times New Roman" w:hAnsi="Times New Roman" w:cs="Times New Roman"/>
              <w:sz w:val="28"/>
              <w:szCs w:val="28"/>
            </w:rPr>
            <w:fldChar w:fldCharType="begin"/>
          </w:r>
          <w:r w:rsidRPr="00236F81">
            <w:rPr>
              <w:rFonts w:ascii="Times New Roman" w:hAnsi="Times New Roman" w:cs="Times New Roman"/>
              <w:sz w:val="28"/>
              <w:szCs w:val="28"/>
            </w:rPr>
            <w:instrText xml:space="preserve"> TOC \o "1-3" \h \z \u </w:instrText>
          </w:r>
          <w:r w:rsidRPr="00236F81">
            <w:rPr>
              <w:rFonts w:ascii="Times New Roman" w:hAnsi="Times New Roman" w:cs="Times New Roman"/>
              <w:sz w:val="28"/>
              <w:szCs w:val="28"/>
            </w:rPr>
            <w:fldChar w:fldCharType="separate"/>
          </w:r>
          <w:hyperlink w:anchor="_Toc131172561" w:history="1">
            <w:r w:rsidR="00236F81" w:rsidRPr="00236F81">
              <w:rPr>
                <w:rStyle w:val="Hyperlink"/>
                <w:rFonts w:ascii="Times New Roman" w:hAnsi="Times New Roman" w:cs="Times New Roman"/>
                <w:noProof/>
                <w:sz w:val="28"/>
                <w:szCs w:val="28"/>
              </w:rPr>
              <w:t>Introduction</w:t>
            </w:r>
            <w:r w:rsidR="00236F81" w:rsidRPr="00236F81">
              <w:rPr>
                <w:rFonts w:ascii="Times New Roman" w:hAnsi="Times New Roman" w:cs="Times New Roman"/>
                <w:noProof/>
                <w:webHidden/>
                <w:sz w:val="28"/>
                <w:szCs w:val="28"/>
              </w:rPr>
              <w:tab/>
            </w:r>
            <w:r w:rsidR="00236F81" w:rsidRPr="00236F81">
              <w:rPr>
                <w:rFonts w:ascii="Times New Roman" w:hAnsi="Times New Roman" w:cs="Times New Roman"/>
                <w:noProof/>
                <w:webHidden/>
                <w:sz w:val="28"/>
                <w:szCs w:val="28"/>
              </w:rPr>
              <w:fldChar w:fldCharType="begin"/>
            </w:r>
            <w:r w:rsidR="00236F81" w:rsidRPr="00236F81">
              <w:rPr>
                <w:rFonts w:ascii="Times New Roman" w:hAnsi="Times New Roman" w:cs="Times New Roman"/>
                <w:noProof/>
                <w:webHidden/>
                <w:sz w:val="28"/>
                <w:szCs w:val="28"/>
              </w:rPr>
              <w:instrText xml:space="preserve"> PAGEREF _Toc131172561 \h </w:instrText>
            </w:r>
            <w:r w:rsidR="00236F81" w:rsidRPr="00236F81">
              <w:rPr>
                <w:rFonts w:ascii="Times New Roman" w:hAnsi="Times New Roman" w:cs="Times New Roman"/>
                <w:noProof/>
                <w:webHidden/>
                <w:sz w:val="28"/>
                <w:szCs w:val="28"/>
              </w:rPr>
            </w:r>
            <w:r w:rsidR="00236F81" w:rsidRPr="00236F81">
              <w:rPr>
                <w:rFonts w:ascii="Times New Roman" w:hAnsi="Times New Roman" w:cs="Times New Roman"/>
                <w:noProof/>
                <w:webHidden/>
                <w:sz w:val="28"/>
                <w:szCs w:val="28"/>
              </w:rPr>
              <w:fldChar w:fldCharType="separate"/>
            </w:r>
            <w:r w:rsidR="00236F81" w:rsidRPr="00236F81">
              <w:rPr>
                <w:rFonts w:ascii="Times New Roman" w:hAnsi="Times New Roman" w:cs="Times New Roman"/>
                <w:noProof/>
                <w:webHidden/>
                <w:sz w:val="28"/>
                <w:szCs w:val="28"/>
              </w:rPr>
              <w:t>2</w:t>
            </w:r>
            <w:r w:rsidR="00236F81" w:rsidRPr="00236F81">
              <w:rPr>
                <w:rFonts w:ascii="Times New Roman" w:hAnsi="Times New Roman" w:cs="Times New Roman"/>
                <w:noProof/>
                <w:webHidden/>
                <w:sz w:val="28"/>
                <w:szCs w:val="28"/>
              </w:rPr>
              <w:fldChar w:fldCharType="end"/>
            </w:r>
          </w:hyperlink>
        </w:p>
        <w:p w14:paraId="0894205E" w14:textId="080B55B5"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2" w:history="1">
            <w:r w:rsidRPr="00236F81">
              <w:rPr>
                <w:rStyle w:val="Hyperlink"/>
                <w:rFonts w:ascii="Times New Roman" w:hAnsi="Times New Roman" w:cs="Times New Roman"/>
                <w:noProof/>
                <w:sz w:val="28"/>
                <w:szCs w:val="28"/>
              </w:rPr>
              <w:t>What is Making Tax Digital?</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_Toc131172562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3</w:t>
            </w:r>
            <w:r w:rsidRPr="00236F81">
              <w:rPr>
                <w:rFonts w:ascii="Times New Roman" w:hAnsi="Times New Roman" w:cs="Times New Roman"/>
                <w:noProof/>
                <w:webHidden/>
                <w:sz w:val="28"/>
                <w:szCs w:val="28"/>
              </w:rPr>
              <w:fldChar w:fldCharType="end"/>
            </w:r>
          </w:hyperlink>
        </w:p>
        <w:p w14:paraId="35AA73BE" w14:textId="7B411035"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3" w:history="1">
            <w:r w:rsidRPr="00236F81">
              <w:rPr>
                <w:rStyle w:val="Hyperlink"/>
                <w:rFonts w:ascii="Times New Roman" w:hAnsi="Times New Roman" w:cs="Times New Roman"/>
                <w:noProof/>
                <w:sz w:val="28"/>
                <w:szCs w:val="28"/>
              </w:rPr>
              <w:t>Benefits of Making Tax Digital</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_Toc131172563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4</w:t>
            </w:r>
            <w:r w:rsidRPr="00236F81">
              <w:rPr>
                <w:rFonts w:ascii="Times New Roman" w:hAnsi="Times New Roman" w:cs="Times New Roman"/>
                <w:noProof/>
                <w:webHidden/>
                <w:sz w:val="28"/>
                <w:szCs w:val="28"/>
              </w:rPr>
              <w:fldChar w:fldCharType="end"/>
            </w:r>
          </w:hyperlink>
        </w:p>
        <w:p w14:paraId="6726FF56" w14:textId="49E753F6"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4" w:history="1">
            <w:r w:rsidRPr="00236F81">
              <w:rPr>
                <w:rStyle w:val="Hyperlink"/>
                <w:rFonts w:ascii="Times New Roman" w:hAnsi="Times New Roman" w:cs="Times New Roman"/>
                <w:noProof/>
                <w:sz w:val="28"/>
                <w:szCs w:val="28"/>
              </w:rPr>
              <w:t>Case Law and Legislation</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_Toc131172564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6</w:t>
            </w:r>
            <w:r w:rsidRPr="00236F81">
              <w:rPr>
                <w:rFonts w:ascii="Times New Roman" w:hAnsi="Times New Roman" w:cs="Times New Roman"/>
                <w:noProof/>
                <w:webHidden/>
                <w:sz w:val="28"/>
                <w:szCs w:val="28"/>
              </w:rPr>
              <w:fldChar w:fldCharType="end"/>
            </w:r>
          </w:hyperlink>
        </w:p>
        <w:p w14:paraId="5E1E72BD" w14:textId="194F47C4"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5" w:history="1">
            <w:r w:rsidRPr="00236F81">
              <w:rPr>
                <w:rStyle w:val="Hyperlink"/>
                <w:rFonts w:ascii="Times New Roman" w:hAnsi="Times New Roman" w:cs="Times New Roman"/>
                <w:noProof/>
                <w:sz w:val="28"/>
                <w:szCs w:val="28"/>
              </w:rPr>
              <w:t>Types of Making Tax Digital</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_Toc131172565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8</w:t>
            </w:r>
            <w:r w:rsidRPr="00236F81">
              <w:rPr>
                <w:rFonts w:ascii="Times New Roman" w:hAnsi="Times New Roman" w:cs="Times New Roman"/>
                <w:noProof/>
                <w:webHidden/>
                <w:sz w:val="28"/>
                <w:szCs w:val="28"/>
              </w:rPr>
              <w:fldChar w:fldCharType="end"/>
            </w:r>
          </w:hyperlink>
        </w:p>
        <w:p w14:paraId="51249719" w14:textId="17E4CC77"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6" w:history="1">
            <w:r w:rsidRPr="00236F81">
              <w:rPr>
                <w:rStyle w:val="Hyperlink"/>
                <w:rFonts w:ascii="Times New Roman" w:hAnsi="Times New Roman" w:cs="Times New Roman"/>
                <w:noProof/>
                <w:sz w:val="28"/>
                <w:szCs w:val="28"/>
              </w:rPr>
              <w:t>Conclusion</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_Toc131172566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11</w:t>
            </w:r>
            <w:r w:rsidRPr="00236F81">
              <w:rPr>
                <w:rFonts w:ascii="Times New Roman" w:hAnsi="Times New Roman" w:cs="Times New Roman"/>
                <w:noProof/>
                <w:webHidden/>
                <w:sz w:val="28"/>
                <w:szCs w:val="28"/>
              </w:rPr>
              <w:fldChar w:fldCharType="end"/>
            </w:r>
          </w:hyperlink>
        </w:p>
        <w:p w14:paraId="03C57D24" w14:textId="5D92F23A"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7" w:history="1">
            <w:r w:rsidRPr="00236F81">
              <w:rPr>
                <w:rStyle w:val="Hyperlink"/>
                <w:rFonts w:ascii="Times New Roman" w:hAnsi="Times New Roman" w:cs="Times New Roman"/>
                <w:noProof/>
                <w:sz w:val="28"/>
                <w:szCs w:val="28"/>
              </w:rPr>
              <w:t>Bibliography</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_Toc131172567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12</w:t>
            </w:r>
            <w:r w:rsidRPr="00236F81">
              <w:rPr>
                <w:rFonts w:ascii="Times New Roman" w:hAnsi="Times New Roman" w:cs="Times New Roman"/>
                <w:noProof/>
                <w:webHidden/>
                <w:sz w:val="28"/>
                <w:szCs w:val="28"/>
              </w:rPr>
              <w:fldChar w:fldCharType="end"/>
            </w:r>
          </w:hyperlink>
        </w:p>
        <w:p w14:paraId="4A5E8680" w14:textId="2B1DD710" w:rsidR="00236F81" w:rsidRPr="00236F81" w:rsidRDefault="00236F81">
          <w:pPr>
            <w:pStyle w:val="TOC1"/>
            <w:tabs>
              <w:tab w:val="right" w:leader="dot" w:pos="9016"/>
            </w:tabs>
            <w:rPr>
              <w:rFonts w:ascii="Times New Roman" w:eastAsiaTheme="minorEastAsia" w:hAnsi="Times New Roman" w:cs="Times New Roman"/>
              <w:noProof/>
              <w:kern w:val="0"/>
              <w:sz w:val="28"/>
              <w:szCs w:val="28"/>
              <w:lang w:eastAsia="en-GB"/>
              <w14:ligatures w14:val="none"/>
            </w:rPr>
          </w:pPr>
          <w:hyperlink w:anchor="_Toc131172568" w:history="1">
            <w:r w:rsidRPr="00236F81">
              <w:rPr>
                <w:rStyle w:val="Hyperlink"/>
                <w:rFonts w:ascii="Times New Roman" w:hAnsi="Times New Roman" w:cs="Times New Roman"/>
                <w:noProof/>
                <w:sz w:val="28"/>
                <w:szCs w:val="28"/>
              </w:rPr>
              <w:t>Presentation</w:t>
            </w:r>
            <w:r w:rsidRPr="00236F81">
              <w:rPr>
                <w:rFonts w:ascii="Times New Roman" w:hAnsi="Times New Roman" w:cs="Times New Roman"/>
                <w:noProof/>
                <w:webHidden/>
                <w:sz w:val="28"/>
                <w:szCs w:val="28"/>
              </w:rPr>
              <w:tab/>
            </w:r>
            <w:r w:rsidRPr="00236F81">
              <w:rPr>
                <w:rFonts w:ascii="Times New Roman" w:hAnsi="Times New Roman" w:cs="Times New Roman"/>
                <w:noProof/>
                <w:webHidden/>
                <w:sz w:val="28"/>
                <w:szCs w:val="28"/>
              </w:rPr>
              <w:fldChar w:fldCharType="begin"/>
            </w:r>
            <w:r w:rsidRPr="00236F81">
              <w:rPr>
                <w:rFonts w:ascii="Times New Roman" w:hAnsi="Times New Roman" w:cs="Times New Roman"/>
                <w:noProof/>
                <w:webHidden/>
                <w:sz w:val="28"/>
                <w:szCs w:val="28"/>
              </w:rPr>
              <w:instrText xml:space="preserve"> PAGEREF _Toc131172568 \h </w:instrText>
            </w:r>
            <w:r w:rsidRPr="00236F81">
              <w:rPr>
                <w:rFonts w:ascii="Times New Roman" w:hAnsi="Times New Roman" w:cs="Times New Roman"/>
                <w:noProof/>
                <w:webHidden/>
                <w:sz w:val="28"/>
                <w:szCs w:val="28"/>
              </w:rPr>
            </w:r>
            <w:r w:rsidRPr="00236F81">
              <w:rPr>
                <w:rFonts w:ascii="Times New Roman" w:hAnsi="Times New Roman" w:cs="Times New Roman"/>
                <w:noProof/>
                <w:webHidden/>
                <w:sz w:val="28"/>
                <w:szCs w:val="28"/>
              </w:rPr>
              <w:fldChar w:fldCharType="separate"/>
            </w:r>
            <w:r w:rsidRPr="00236F81">
              <w:rPr>
                <w:rFonts w:ascii="Times New Roman" w:hAnsi="Times New Roman" w:cs="Times New Roman"/>
                <w:noProof/>
                <w:webHidden/>
                <w:sz w:val="28"/>
                <w:szCs w:val="28"/>
              </w:rPr>
              <w:t>15</w:t>
            </w:r>
            <w:r w:rsidRPr="00236F81">
              <w:rPr>
                <w:rFonts w:ascii="Times New Roman" w:hAnsi="Times New Roman" w:cs="Times New Roman"/>
                <w:noProof/>
                <w:webHidden/>
                <w:sz w:val="28"/>
                <w:szCs w:val="28"/>
              </w:rPr>
              <w:fldChar w:fldCharType="end"/>
            </w:r>
          </w:hyperlink>
        </w:p>
        <w:p w14:paraId="523F8879" w14:textId="275AADB9" w:rsidR="00FF66AF" w:rsidRDefault="00FF66AF">
          <w:r w:rsidRPr="00236F81">
            <w:rPr>
              <w:rFonts w:ascii="Times New Roman" w:hAnsi="Times New Roman" w:cs="Times New Roman"/>
              <w:b/>
              <w:bCs/>
              <w:noProof/>
              <w:sz w:val="28"/>
              <w:szCs w:val="28"/>
            </w:rPr>
            <w:fldChar w:fldCharType="end"/>
          </w:r>
        </w:p>
      </w:sdtContent>
    </w:sdt>
    <w:p w14:paraId="120D29CE" w14:textId="77777777" w:rsidR="00FF66AF" w:rsidRDefault="00FF66AF" w:rsidP="00807B7E">
      <w:pPr>
        <w:pStyle w:val="Heading1"/>
      </w:pPr>
    </w:p>
    <w:p w14:paraId="6CAEA42C" w14:textId="77777777" w:rsidR="00FF66AF" w:rsidRDefault="00FF66AF">
      <w:pPr>
        <w:rPr>
          <w:rFonts w:asciiTheme="majorHAnsi" w:eastAsiaTheme="majorEastAsia" w:hAnsiTheme="majorHAnsi" w:cstheme="majorBidi"/>
          <w:color w:val="2F5496" w:themeColor="accent1" w:themeShade="BF"/>
          <w:sz w:val="32"/>
          <w:szCs w:val="32"/>
        </w:rPr>
      </w:pPr>
      <w:r>
        <w:br w:type="page"/>
      </w:r>
    </w:p>
    <w:p w14:paraId="78ACFF2A" w14:textId="1E097A89" w:rsidR="00807B7E" w:rsidRPr="00807B7E" w:rsidRDefault="00807B7E" w:rsidP="00807B7E">
      <w:pPr>
        <w:pStyle w:val="Heading1"/>
      </w:pPr>
      <w:bookmarkStart w:id="0" w:name="_Toc131172561"/>
      <w:r w:rsidRPr="00807B7E">
        <w:lastRenderedPageBreak/>
        <w:t>Introduction</w:t>
      </w:r>
      <w:bookmarkEnd w:id="0"/>
    </w:p>
    <w:p w14:paraId="3E4E2819" w14:textId="77777777" w:rsidR="00807B7E" w:rsidRPr="00807B7E" w:rsidRDefault="00807B7E" w:rsidP="00807B7E">
      <w:pPr>
        <w:spacing w:line="360" w:lineRule="auto"/>
        <w:rPr>
          <w:rFonts w:ascii="Times New Roman" w:hAnsi="Times New Roman" w:cs="Times New Roman"/>
          <w:sz w:val="24"/>
          <w:szCs w:val="24"/>
        </w:rPr>
      </w:pPr>
    </w:p>
    <w:p w14:paraId="1FC5DC1B" w14:textId="0C9B5665"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Making Tax Digital (MTD) is an initiative of the UK Government aimed at modernising the tax system and making it highly efficient, easier, and effective for taxpayers to adhere to their tax obligations. The government intends to roll out the program for all tax types by 2023. Since its introduction in 2019 for Value Added Tax (VAT) registered businesses, the program has expanded to include other taxes, with the planning of government to roll out the program for all tax types (Sadiq, 2020). This report seeks to evaluate the challenges and benefits of MTD as the government implements its plan to transition the whole tax system to digital platforms.</w:t>
      </w:r>
    </w:p>
    <w:p w14:paraId="5E45288D" w14:textId="111F3CF6" w:rsidR="00807B7E" w:rsidRDefault="00807B7E">
      <w:pPr>
        <w:rPr>
          <w:rFonts w:ascii="Times New Roman" w:hAnsi="Times New Roman" w:cs="Times New Roman"/>
          <w:sz w:val="24"/>
          <w:szCs w:val="24"/>
        </w:rPr>
      </w:pPr>
      <w:r>
        <w:rPr>
          <w:rFonts w:ascii="Times New Roman" w:hAnsi="Times New Roman" w:cs="Times New Roman"/>
          <w:sz w:val="24"/>
          <w:szCs w:val="24"/>
        </w:rPr>
        <w:br w:type="page"/>
      </w:r>
    </w:p>
    <w:p w14:paraId="0499B661" w14:textId="77777777" w:rsidR="00807B7E" w:rsidRPr="00807B7E" w:rsidRDefault="00807B7E" w:rsidP="00807B7E">
      <w:pPr>
        <w:pStyle w:val="Heading1"/>
      </w:pPr>
      <w:bookmarkStart w:id="1" w:name="_Toc131172562"/>
      <w:r w:rsidRPr="00807B7E">
        <w:lastRenderedPageBreak/>
        <w:t>What is Making Tax Digital?</w:t>
      </w:r>
      <w:bookmarkEnd w:id="1"/>
      <w:r w:rsidRPr="00807B7E">
        <w:t xml:space="preserve"> </w:t>
      </w:r>
    </w:p>
    <w:p w14:paraId="5FF039F8" w14:textId="77777777" w:rsidR="00807B7E" w:rsidRDefault="00807B7E" w:rsidP="00807B7E">
      <w:pPr>
        <w:spacing w:line="360" w:lineRule="auto"/>
        <w:rPr>
          <w:rFonts w:ascii="Times New Roman" w:hAnsi="Times New Roman" w:cs="Times New Roman"/>
          <w:sz w:val="24"/>
          <w:szCs w:val="24"/>
        </w:rPr>
      </w:pPr>
    </w:p>
    <w:p w14:paraId="17F64E0E" w14:textId="7F00E222" w:rsid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MTD is a program intended at making tax administration simpler and more efficient for businesses and individuals. It requires individuals and businesses to maintain digital records and submit digital tax returns, utilising HMRC approved software. The program was first introduced in 2019 for VAT registered businesses, requiring them to maintain digital records and submit returns of VAT utilising approved software. Since then, the government has increasingly expanded the program to encompass other taxes (Sadiq, 2021). The main objective of MTD is to make tax compliance easier for individuals and businesses. By introducing online submissions and digital record-keeping, the program intends to decrease the administrative burden of tax compliance, freeing up resources and time for taxpayers to emphasis on their main activities of business. The program is likewise designed to enhance the tax accuracy reporting by decreasing the risk of inconsistencies and errors (Mohammed, 2022).  Another key objective of MTD is to decrease the tax gap that is the difference between the amount of tax, which ought to be collected and the amount, which is </w:t>
      </w:r>
      <w:proofErr w:type="gramStart"/>
      <w:r w:rsidRPr="00807B7E">
        <w:rPr>
          <w:rFonts w:ascii="Times New Roman" w:hAnsi="Times New Roman" w:cs="Times New Roman"/>
          <w:sz w:val="24"/>
          <w:szCs w:val="24"/>
        </w:rPr>
        <w:t>actually collected</w:t>
      </w:r>
      <w:proofErr w:type="gramEnd"/>
      <w:r w:rsidRPr="00807B7E">
        <w:rPr>
          <w:rFonts w:ascii="Times New Roman" w:hAnsi="Times New Roman" w:cs="Times New Roman"/>
          <w:sz w:val="24"/>
          <w:szCs w:val="24"/>
        </w:rPr>
        <w:t>. By enhancing the tax reporting’s accuracy and making it easier for HMRC to identify the non-compliance, the program intends to increase tax revenues and reduce the tax gap (Bunn, Asen, and Enache, 2020).</w:t>
      </w:r>
    </w:p>
    <w:p w14:paraId="3EFB2F87" w14:textId="455B19DF" w:rsidR="0076362C" w:rsidRDefault="0076362C">
      <w:pPr>
        <w:rPr>
          <w:rFonts w:ascii="Times New Roman" w:hAnsi="Times New Roman" w:cs="Times New Roman"/>
          <w:sz w:val="24"/>
          <w:szCs w:val="24"/>
        </w:rPr>
      </w:pPr>
      <w:r>
        <w:rPr>
          <w:rFonts w:ascii="Times New Roman" w:hAnsi="Times New Roman" w:cs="Times New Roman"/>
          <w:sz w:val="24"/>
          <w:szCs w:val="24"/>
        </w:rPr>
        <w:br w:type="page"/>
      </w:r>
    </w:p>
    <w:p w14:paraId="5F1D2602" w14:textId="77777777" w:rsidR="00807B7E" w:rsidRPr="0076362C" w:rsidRDefault="00807B7E" w:rsidP="0076362C">
      <w:pPr>
        <w:pStyle w:val="Heading1"/>
      </w:pPr>
      <w:bookmarkStart w:id="2" w:name="_Toc131172563"/>
      <w:r w:rsidRPr="0076362C">
        <w:lastRenderedPageBreak/>
        <w:t>Benefits of Making Tax Digital</w:t>
      </w:r>
      <w:bookmarkEnd w:id="2"/>
    </w:p>
    <w:p w14:paraId="1EF2F9BB" w14:textId="77777777" w:rsidR="0076362C" w:rsidRDefault="0076362C" w:rsidP="00807B7E">
      <w:pPr>
        <w:spacing w:line="360" w:lineRule="auto"/>
        <w:rPr>
          <w:rFonts w:ascii="Times New Roman" w:hAnsi="Times New Roman" w:cs="Times New Roman"/>
          <w:sz w:val="24"/>
          <w:szCs w:val="24"/>
        </w:rPr>
      </w:pPr>
    </w:p>
    <w:p w14:paraId="7C47FA08" w14:textId="328E7A34"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MTD has several benefits for taxpayers, including:</w:t>
      </w:r>
    </w:p>
    <w:p w14:paraId="705006E7"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Improved accuracy: Digital records decrease the risk of inaccuracies and errors, reducing the need for corrections and making the tax system highly accurate. Digital submissions and records can enhance accuracy in the tax system in many ways (Taylor, 2018).  First, they decrease the risk of inaccuracies and errors in tax submissions. Manual record-keeping can be prone to errors, and mistakes may have considerable implications for taxpayers, which includes interest charges and penalties (Jones, 2021). Digital records decrease the risk of errors by automating of record-keeping process, making sure that data is entered consistently and accurately (Mohammed, 2022).  Second, digital submissions and records decrease the need for amendments and corrections. Paper-based records may be difficult to update and manage, and mistakes can be hard to rectify. Digital records, conversely, can be updated quickly and easily, decreasing the need for </w:t>
      </w:r>
      <w:proofErr w:type="gramStart"/>
      <w:r w:rsidRPr="00807B7E">
        <w:rPr>
          <w:rFonts w:ascii="Times New Roman" w:hAnsi="Times New Roman" w:cs="Times New Roman"/>
          <w:sz w:val="24"/>
          <w:szCs w:val="24"/>
        </w:rPr>
        <w:t>corrections</w:t>
      </w:r>
      <w:proofErr w:type="gramEnd"/>
      <w:r w:rsidRPr="00807B7E">
        <w:rPr>
          <w:rFonts w:ascii="Times New Roman" w:hAnsi="Times New Roman" w:cs="Times New Roman"/>
          <w:sz w:val="24"/>
          <w:szCs w:val="24"/>
        </w:rPr>
        <w:t xml:space="preserve"> and reducing the risk of errors and inaccuracies. Third, digital records and submissions enhance transparency in the tax system (Mason and Parada, 2020).  Digital records give an accurate and clear view of financial position of taxpayer, enabling them to comprehend their tax obligations more clearly. This may help reduce the risk of disputes and misunderstandings between tax authorities and taxpayers and promote greater confidence and trust in the tax system (Sawyer and James, 2019).</w:t>
      </w:r>
    </w:p>
    <w:p w14:paraId="4925D1D1" w14:textId="361479DA"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Efficiency: Digital submissions decrease the cost and time associated with paper-based processing and returns, enabling HMRC to handle tax affairs highly efficiently. Digital submissions likewise provide greater flexibility for taxpayers, permitting them to submit tax returns and make payments at any time, from location (O</w:t>
      </w:r>
      <w:r w:rsidR="001A7367">
        <w:rPr>
          <w:rFonts w:ascii="Times New Roman" w:hAnsi="Times New Roman" w:cs="Times New Roman"/>
          <w:sz w:val="24"/>
          <w:szCs w:val="24"/>
        </w:rPr>
        <w:t xml:space="preserve">saloni </w:t>
      </w:r>
      <w:r w:rsidRPr="00807B7E">
        <w:rPr>
          <w:rFonts w:ascii="Times New Roman" w:hAnsi="Times New Roman" w:cs="Times New Roman"/>
          <w:sz w:val="24"/>
          <w:szCs w:val="24"/>
        </w:rPr>
        <w:t xml:space="preserve">et al. 2022). This may assist to decrease delays and enhance the speed of tax processing, enhancing efficiency in the tax system. The MTD program likewise includes the use of software to automate many aspects of tax record-keeping and submissions (Haines, 2018). This may assist to reduce the effort and time needed for manual data entry, freeing up resources for other activities and allowing taxpayers to emphasis on their main business operations. The use of software can likewise help to reduce inaccuracies or errors, enhancing the tax system’s overall efficiency. Furthermore, digital submissions can allow more effective communication between HMRC and taxpayers (Olbert and Spengel, 2019). Digital records provide an accurate and clear view </w:t>
      </w:r>
      <w:r w:rsidRPr="00807B7E">
        <w:rPr>
          <w:rFonts w:ascii="Times New Roman" w:hAnsi="Times New Roman" w:cs="Times New Roman"/>
          <w:sz w:val="24"/>
          <w:szCs w:val="24"/>
        </w:rPr>
        <w:lastRenderedPageBreak/>
        <w:t xml:space="preserve">of a taxpayer's financial position, permitting them to understand their tax obligations more clearly. </w:t>
      </w:r>
    </w:p>
    <w:p w14:paraId="4AEF092E"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Reducing the tax gap: The tax gap is the difference between the tax HMRC should collect and what is </w:t>
      </w:r>
      <w:proofErr w:type="gramStart"/>
      <w:r w:rsidRPr="00807B7E">
        <w:rPr>
          <w:rFonts w:ascii="Times New Roman" w:hAnsi="Times New Roman" w:cs="Times New Roman"/>
          <w:sz w:val="24"/>
          <w:szCs w:val="24"/>
        </w:rPr>
        <w:t>actually collected</w:t>
      </w:r>
      <w:proofErr w:type="gramEnd"/>
      <w:r w:rsidRPr="00807B7E">
        <w:rPr>
          <w:rFonts w:ascii="Times New Roman" w:hAnsi="Times New Roman" w:cs="Times New Roman"/>
          <w:sz w:val="24"/>
          <w:szCs w:val="24"/>
        </w:rPr>
        <w:t xml:space="preserve">. MTD intends to decrease the tax gap by making tax administration more effective and efficient. The tax gap is the difference between the amount of tax that HM Revenue and Customs (HMRC) ought to collect and what is </w:t>
      </w:r>
      <w:proofErr w:type="gramStart"/>
      <w:r w:rsidRPr="00807B7E">
        <w:rPr>
          <w:rFonts w:ascii="Times New Roman" w:hAnsi="Times New Roman" w:cs="Times New Roman"/>
          <w:sz w:val="24"/>
          <w:szCs w:val="24"/>
        </w:rPr>
        <w:t>actually collected</w:t>
      </w:r>
      <w:proofErr w:type="gramEnd"/>
      <w:r w:rsidRPr="00807B7E">
        <w:rPr>
          <w:rFonts w:ascii="Times New Roman" w:hAnsi="Times New Roman" w:cs="Times New Roman"/>
          <w:sz w:val="24"/>
          <w:szCs w:val="24"/>
        </w:rPr>
        <w:t xml:space="preserve"> (Popa et al. 2021). It is a measure of tax non-compliance and includes losses because of errors, avoidance, and evasion. The UK's tax gap is estimated to be around £31 billion, representing a significant loss of revenue for the government (Olbert and Spengel, 2019).  The use of software can likewise help to automate several aspects of tax record-keeping and submissions, reducing freeing up resources and the risk of errors for other activities.</w:t>
      </w:r>
    </w:p>
    <w:p w14:paraId="4F4003C6" w14:textId="77777777" w:rsid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Enhanced compliance: The program has been designed to decrease tax evasion and non-compliance by making it easier for HMRC to recognise non-compliance. Digital records provide a transparent and clear view of a financial position of taxpayer, making it easier for HMRC to identify areas of potential non-compliance (</w:t>
      </w:r>
      <w:proofErr w:type="spellStart"/>
      <w:r w:rsidRPr="00807B7E">
        <w:rPr>
          <w:rFonts w:ascii="Times New Roman" w:hAnsi="Times New Roman" w:cs="Times New Roman"/>
          <w:sz w:val="24"/>
          <w:szCs w:val="24"/>
        </w:rPr>
        <w:t>Simanullang</w:t>
      </w:r>
      <w:proofErr w:type="spellEnd"/>
      <w:r w:rsidRPr="00807B7E">
        <w:rPr>
          <w:rFonts w:ascii="Times New Roman" w:hAnsi="Times New Roman" w:cs="Times New Roman"/>
          <w:sz w:val="24"/>
          <w:szCs w:val="24"/>
        </w:rPr>
        <w:t xml:space="preserve"> and Nata, </w:t>
      </w:r>
      <w:proofErr w:type="spellStart"/>
      <w:r w:rsidRPr="00807B7E">
        <w:rPr>
          <w:rFonts w:ascii="Times New Roman" w:hAnsi="Times New Roman" w:cs="Times New Roman"/>
          <w:sz w:val="24"/>
          <w:szCs w:val="24"/>
        </w:rPr>
        <w:t>n.d</w:t>
      </w:r>
      <w:proofErr w:type="spellEnd"/>
      <w:r w:rsidRPr="00807B7E">
        <w:rPr>
          <w:rFonts w:ascii="Times New Roman" w:hAnsi="Times New Roman" w:cs="Times New Roman"/>
          <w:sz w:val="24"/>
          <w:szCs w:val="24"/>
        </w:rPr>
        <w:t>). In addition, digital submissions reduce the risk of errors and inaccuracies in tax returns, making it easier for HMRC to identify cases of accidental or deliberate non-compliance. The use of software can also help to identify patterns of non-compliance and enable HMRC to target enforcement action more effectively (Fan and Liu, 2020). The MTD program also includes measures to improve tax compliance and enforcement. These measures include increased penalties for non-compliance, improved taxpayer guidance and education, and increased resources for enforcement of tax.</w:t>
      </w:r>
    </w:p>
    <w:p w14:paraId="7A45E052" w14:textId="65BBAD5C" w:rsidR="0076362C" w:rsidRDefault="0076362C">
      <w:pPr>
        <w:rPr>
          <w:rFonts w:ascii="Times New Roman" w:hAnsi="Times New Roman" w:cs="Times New Roman"/>
          <w:sz w:val="24"/>
          <w:szCs w:val="24"/>
        </w:rPr>
      </w:pPr>
      <w:r>
        <w:rPr>
          <w:rFonts w:ascii="Times New Roman" w:hAnsi="Times New Roman" w:cs="Times New Roman"/>
          <w:sz w:val="24"/>
          <w:szCs w:val="24"/>
        </w:rPr>
        <w:br w:type="page"/>
      </w:r>
    </w:p>
    <w:p w14:paraId="65DDA981" w14:textId="77777777" w:rsidR="00807B7E" w:rsidRPr="00807B7E" w:rsidRDefault="00807B7E" w:rsidP="0076362C">
      <w:pPr>
        <w:pStyle w:val="Heading1"/>
      </w:pPr>
      <w:bookmarkStart w:id="3" w:name="_Toc131172564"/>
      <w:r w:rsidRPr="00807B7E">
        <w:lastRenderedPageBreak/>
        <w:t>Case Law and Legislation</w:t>
      </w:r>
      <w:bookmarkEnd w:id="3"/>
    </w:p>
    <w:p w14:paraId="7C1C5397" w14:textId="77777777" w:rsidR="0076362C" w:rsidRDefault="0076362C" w:rsidP="00807B7E">
      <w:pPr>
        <w:spacing w:line="360" w:lineRule="auto"/>
        <w:rPr>
          <w:rFonts w:ascii="Times New Roman" w:hAnsi="Times New Roman" w:cs="Times New Roman"/>
          <w:sz w:val="24"/>
          <w:szCs w:val="24"/>
        </w:rPr>
      </w:pPr>
    </w:p>
    <w:p w14:paraId="03BCAD42" w14:textId="68FAE47C"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One of the most significant cases related to MTD is the Upper Tribunal decision in the case of [Tooth v HMRC (2019)]. In this case, the Upper Tribunal considered the validity of the penalties imposed by HMRC for the late submission of MTD VAT returns. The taxpayer argued that the penalties were not valid because HMRC had failed to issue a valid notice requiring the submission of VAT returns of MTD (Wilson et al. 2020). The Upper Tribunal rejected the argument of taxpayer and held that the penalties were valid. The Tribunal found that the notice issued by HMRC did require the submission of VAT returns of MTD and that the taxpayer had failed to adhere to this requirement (Fan and Liu, 2020).</w:t>
      </w:r>
    </w:p>
    <w:p w14:paraId="784F65F6" w14:textId="65BFD34C"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Another case related to MTD is the First-tier Tribunal decision in the case of [Khan v HMRC (2019)]. In this case, the taxpayer argued that he had a reasonable excuse for the late submission of his MTD VAT returns. The taxpayer claimed that he had not been able to submit the returns because of a technical issue with his software. The First-tier Tribunal rejected the argument of taxpayer and held that he did not have a reasonable excuse for the late submission of his MTD VAT returns (Olbert and Spengel, 2019).  The Tribunal found that the taxpayer had not taken reasonable steps to prevent the technical issue with his software and that he had failed to take apt action to resolve issue.</w:t>
      </w:r>
    </w:p>
    <w:p w14:paraId="190775EC" w14:textId="77777777" w:rsid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The legislation of MTD requires businesses with a turnover beyond the VAT threshold to maintain digital records and submit their VAT returns utilising compatible software. The regulations likewise require businesses to utilise digital links to transfer information between software programs, making sure that there is a seamless flow of information all over the VAT return process (Rukundo, 2020). The MTD legislation likewise requires businesses to maintain digital records for corporation tax and income tax purposes, although the implementation of these requirements has been delayed until April 2023 (Mason and Parada, 2020).  In addition to the legislation, HMRC has issued guidance to help businesses comply with the requirements of Making Tax Digital. The guidance sets out the technical specifications for digital links and compatible software and provides information on how to maintain digital records and submit VAT returns using MTD-compatible software (Olbert and Spengel, 2019).  The MTD legislation also includes provisions for penalties for non-compliance. Businesses, which fail to adhere to the requirements of MTD may be subject to </w:t>
      </w:r>
      <w:r w:rsidRPr="00807B7E">
        <w:rPr>
          <w:rFonts w:ascii="Times New Roman" w:hAnsi="Times New Roman" w:cs="Times New Roman"/>
          <w:sz w:val="24"/>
          <w:szCs w:val="24"/>
        </w:rPr>
        <w:lastRenderedPageBreak/>
        <w:t xml:space="preserve">penalties, even though HMRC has specified that it will adopt a </w:t>
      </w:r>
      <w:proofErr w:type="gramStart"/>
      <w:r w:rsidRPr="00807B7E">
        <w:rPr>
          <w:rFonts w:ascii="Times New Roman" w:hAnsi="Times New Roman" w:cs="Times New Roman"/>
          <w:sz w:val="24"/>
          <w:szCs w:val="24"/>
        </w:rPr>
        <w:t>soft landing</w:t>
      </w:r>
      <w:proofErr w:type="gramEnd"/>
      <w:r w:rsidRPr="00807B7E">
        <w:rPr>
          <w:rFonts w:ascii="Times New Roman" w:hAnsi="Times New Roman" w:cs="Times New Roman"/>
          <w:sz w:val="24"/>
          <w:szCs w:val="24"/>
        </w:rPr>
        <w:t xml:space="preserve"> approach amid the initial implementation period.</w:t>
      </w:r>
    </w:p>
    <w:p w14:paraId="7B919F1E" w14:textId="1C924434" w:rsidR="0076362C" w:rsidRDefault="0076362C">
      <w:pPr>
        <w:rPr>
          <w:rFonts w:ascii="Times New Roman" w:hAnsi="Times New Roman" w:cs="Times New Roman"/>
          <w:sz w:val="24"/>
          <w:szCs w:val="24"/>
        </w:rPr>
      </w:pPr>
      <w:r>
        <w:rPr>
          <w:rFonts w:ascii="Times New Roman" w:hAnsi="Times New Roman" w:cs="Times New Roman"/>
          <w:sz w:val="24"/>
          <w:szCs w:val="24"/>
        </w:rPr>
        <w:br w:type="page"/>
      </w:r>
    </w:p>
    <w:p w14:paraId="4E439369" w14:textId="77777777" w:rsidR="00807B7E" w:rsidRPr="00807B7E" w:rsidRDefault="00807B7E" w:rsidP="0076362C">
      <w:pPr>
        <w:pStyle w:val="Heading1"/>
      </w:pPr>
      <w:bookmarkStart w:id="4" w:name="_Toc131172565"/>
      <w:r w:rsidRPr="00807B7E">
        <w:lastRenderedPageBreak/>
        <w:t>Types of Making Tax Digital</w:t>
      </w:r>
      <w:bookmarkEnd w:id="4"/>
    </w:p>
    <w:p w14:paraId="32CA67D3" w14:textId="77777777" w:rsidR="0076362C" w:rsidRDefault="0076362C" w:rsidP="00807B7E">
      <w:pPr>
        <w:spacing w:line="360" w:lineRule="auto"/>
        <w:rPr>
          <w:rFonts w:ascii="Times New Roman" w:hAnsi="Times New Roman" w:cs="Times New Roman"/>
          <w:sz w:val="24"/>
          <w:szCs w:val="24"/>
        </w:rPr>
      </w:pPr>
    </w:p>
    <w:p w14:paraId="117AF139" w14:textId="49789A75" w:rsidR="00807B7E" w:rsidRPr="0076362C" w:rsidRDefault="00807B7E" w:rsidP="0076362C">
      <w:pPr>
        <w:pStyle w:val="Subtitle"/>
        <w:rPr>
          <w:sz w:val="28"/>
          <w:szCs w:val="28"/>
        </w:rPr>
      </w:pPr>
      <w:r w:rsidRPr="0076362C">
        <w:rPr>
          <w:sz w:val="28"/>
          <w:szCs w:val="28"/>
        </w:rPr>
        <w:t>Making Tax Digital for VAT</w:t>
      </w:r>
    </w:p>
    <w:p w14:paraId="3484D586"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MTD for VAT was the first phase of the MTD program, introduced in April 2019. This requires businesses with a turnover beyond the VAT threshold to maintain digital VAT records and submit returns of VAT using MTD-compatible software. The aim of this initiative is to enhance the accuracy of VAT reporting, eliminating errors, and make the VAT system more efficient (Sadiq, 2021).</w:t>
      </w:r>
    </w:p>
    <w:p w14:paraId="670049E6" w14:textId="77777777" w:rsidR="00807B7E" w:rsidRPr="0076362C" w:rsidRDefault="00807B7E" w:rsidP="0076362C">
      <w:pPr>
        <w:pStyle w:val="Subtitle"/>
        <w:rPr>
          <w:sz w:val="28"/>
          <w:szCs w:val="28"/>
        </w:rPr>
      </w:pPr>
      <w:r w:rsidRPr="0076362C">
        <w:rPr>
          <w:sz w:val="28"/>
          <w:szCs w:val="28"/>
        </w:rPr>
        <w:t>Making Tax Digital for Income Tax</w:t>
      </w:r>
    </w:p>
    <w:p w14:paraId="111FDCB1"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Making Tax Digital for Income Tax is the second phase of the MTD program, introduced in April 2023. This requires landlords and self-employed individuals with property income or annual business above £10,000 to maintain digital records and submit quarterly updates to HMRC utilising MTD-compatible software (Al </w:t>
      </w:r>
      <w:proofErr w:type="spellStart"/>
      <w:r w:rsidRPr="00807B7E">
        <w:rPr>
          <w:rFonts w:ascii="Times New Roman" w:hAnsi="Times New Roman" w:cs="Times New Roman"/>
          <w:sz w:val="24"/>
          <w:szCs w:val="24"/>
        </w:rPr>
        <w:t>Karaawy</w:t>
      </w:r>
      <w:proofErr w:type="spellEnd"/>
      <w:r w:rsidRPr="00807B7E">
        <w:rPr>
          <w:rFonts w:ascii="Times New Roman" w:hAnsi="Times New Roman" w:cs="Times New Roman"/>
          <w:sz w:val="24"/>
          <w:szCs w:val="24"/>
        </w:rPr>
        <w:t>, 2018).</w:t>
      </w:r>
    </w:p>
    <w:p w14:paraId="0E622781" w14:textId="77777777" w:rsidR="00807B7E" w:rsidRPr="0076362C" w:rsidRDefault="00807B7E" w:rsidP="0076362C">
      <w:pPr>
        <w:pStyle w:val="Subtitle"/>
        <w:rPr>
          <w:sz w:val="28"/>
          <w:szCs w:val="28"/>
        </w:rPr>
      </w:pPr>
      <w:r w:rsidRPr="0076362C">
        <w:rPr>
          <w:sz w:val="28"/>
          <w:szCs w:val="28"/>
        </w:rPr>
        <w:t>Making Tax Digital for Corporation Tax</w:t>
      </w:r>
    </w:p>
    <w:p w14:paraId="669231FD"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MTD for Corporation Tax is the third phase of the MTD program, introduced in 2026. This will require organisations to maintain digital records and submit their corporation tax returns utilising MTD-compatible software. The aim of this initiative is to enhance the accuracy of corporation tax reporting, reduce errors, and make the corporation tax system more efficient (Mohammed, 2022).</w:t>
      </w:r>
    </w:p>
    <w:p w14:paraId="1194A49C" w14:textId="77777777" w:rsidR="00807B7E" w:rsidRPr="0076362C" w:rsidRDefault="00807B7E" w:rsidP="0076362C">
      <w:pPr>
        <w:pStyle w:val="Subtitle"/>
        <w:rPr>
          <w:sz w:val="28"/>
          <w:szCs w:val="28"/>
        </w:rPr>
      </w:pPr>
      <w:r w:rsidRPr="0076362C">
        <w:rPr>
          <w:sz w:val="28"/>
          <w:szCs w:val="28"/>
        </w:rPr>
        <w:t>Making Tax Digital for Customs</w:t>
      </w:r>
    </w:p>
    <w:p w14:paraId="0E7BA527"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Making Tax Digital for Customs is another aspect of the MTD program, which will be introduced to support the UK's customs arrangements after Brexit. The aim of this initiative is to simplify declarations of customs and make them highly efficient, by allowing businesses to submit their customs declarations digitally utilising MTD-compatible software (Sawyer and James, 2018).</w:t>
      </w:r>
    </w:p>
    <w:p w14:paraId="387B90A6" w14:textId="77777777" w:rsidR="00807B7E" w:rsidRPr="0076362C" w:rsidRDefault="00807B7E" w:rsidP="0076362C">
      <w:pPr>
        <w:pStyle w:val="Subtitle"/>
        <w:rPr>
          <w:sz w:val="28"/>
          <w:szCs w:val="28"/>
        </w:rPr>
      </w:pPr>
      <w:r w:rsidRPr="0076362C">
        <w:rPr>
          <w:sz w:val="28"/>
          <w:szCs w:val="28"/>
        </w:rPr>
        <w:t>Challenges of Making Tax Digital</w:t>
      </w:r>
    </w:p>
    <w:p w14:paraId="77691515"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 While MTD has several benefits, there are also some challenges that taxpayers and HMRC will need to overcome, including:</w:t>
      </w:r>
    </w:p>
    <w:p w14:paraId="155AAC3C"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Costs: The transition to digital tax administration will require considerable investment in training for businesses and individuals and software. The cost of this software varies based on </w:t>
      </w:r>
      <w:r w:rsidRPr="00807B7E">
        <w:rPr>
          <w:rFonts w:ascii="Times New Roman" w:hAnsi="Times New Roman" w:cs="Times New Roman"/>
          <w:sz w:val="24"/>
          <w:szCs w:val="24"/>
        </w:rPr>
        <w:lastRenderedPageBreak/>
        <w:t xml:space="preserve">the vendor and the functionality </w:t>
      </w:r>
      <w:proofErr w:type="gramStart"/>
      <w:r w:rsidRPr="00807B7E">
        <w:rPr>
          <w:rFonts w:ascii="Times New Roman" w:hAnsi="Times New Roman" w:cs="Times New Roman"/>
          <w:sz w:val="24"/>
          <w:szCs w:val="24"/>
        </w:rPr>
        <w:t>required, and</w:t>
      </w:r>
      <w:proofErr w:type="gramEnd"/>
      <w:r w:rsidRPr="00807B7E">
        <w:rPr>
          <w:rFonts w:ascii="Times New Roman" w:hAnsi="Times New Roman" w:cs="Times New Roman"/>
          <w:sz w:val="24"/>
          <w:szCs w:val="24"/>
        </w:rPr>
        <w:t xml:space="preserve"> can range from a few hundred pounds to numerous thousand pounds (Rafique, 2021). Along with the cost of software, individuals and businesses will likewise need to invest in training to make sure they can use the software effectively. This may require time away from work, and extra costs for travel expenses and training fees. Moreover, small businesses may find it specifically challenging to transition to digital tax administration because of the lack of expertise and resources required to implement the required changes (Sawyer and James, 2018). The cost of compliance for small businesses is particularly </w:t>
      </w:r>
      <w:proofErr w:type="gramStart"/>
      <w:r w:rsidRPr="00807B7E">
        <w:rPr>
          <w:rFonts w:ascii="Times New Roman" w:hAnsi="Times New Roman" w:cs="Times New Roman"/>
          <w:sz w:val="24"/>
          <w:szCs w:val="24"/>
        </w:rPr>
        <w:t>high, and</w:t>
      </w:r>
      <w:proofErr w:type="gramEnd"/>
      <w:r w:rsidRPr="00807B7E">
        <w:rPr>
          <w:rFonts w:ascii="Times New Roman" w:hAnsi="Times New Roman" w:cs="Times New Roman"/>
          <w:sz w:val="24"/>
          <w:szCs w:val="24"/>
        </w:rPr>
        <w:t xml:space="preserve"> could have a disproportionate impact on their profitability.</w:t>
      </w:r>
    </w:p>
    <w:p w14:paraId="528E38F6"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Complexity: Digital tax administration is more complex than paper-based returns, and taxpayers will need to ensure that they have the necessary skills and knowledge to comply with their tax obligations. This includes understanding how to use MTD-compatible </w:t>
      </w:r>
      <w:proofErr w:type="gramStart"/>
      <w:r w:rsidRPr="00807B7E">
        <w:rPr>
          <w:rFonts w:ascii="Times New Roman" w:hAnsi="Times New Roman" w:cs="Times New Roman"/>
          <w:sz w:val="24"/>
          <w:szCs w:val="24"/>
        </w:rPr>
        <w:t>software, and</w:t>
      </w:r>
      <w:proofErr w:type="gramEnd"/>
      <w:r w:rsidRPr="00807B7E">
        <w:rPr>
          <w:rFonts w:ascii="Times New Roman" w:hAnsi="Times New Roman" w:cs="Times New Roman"/>
          <w:sz w:val="24"/>
          <w:szCs w:val="24"/>
        </w:rPr>
        <w:t xml:space="preserve"> ensuring that their digital records meet the necessary standards (Wiseman, 2019). In addition, the introduction of MTD has also led to changes in the tax rules, with new regulations and requirements being introduced to support digital tax administration. This has increased the complexity of the tax system, with taxpayers needing to understand and adhere to new regulations and rules (Haines, 2018). Moreover, the introduction of MTD has likewise resulted in changes in the tax reporting deadlines, with businesses required to submit their returns more frequently than before. This has increased the administrative burden on </w:t>
      </w:r>
      <w:proofErr w:type="gramStart"/>
      <w:r w:rsidRPr="00807B7E">
        <w:rPr>
          <w:rFonts w:ascii="Times New Roman" w:hAnsi="Times New Roman" w:cs="Times New Roman"/>
          <w:sz w:val="24"/>
          <w:szCs w:val="24"/>
        </w:rPr>
        <w:t>taxpayers, and</w:t>
      </w:r>
      <w:proofErr w:type="gramEnd"/>
      <w:r w:rsidRPr="00807B7E">
        <w:rPr>
          <w:rFonts w:ascii="Times New Roman" w:hAnsi="Times New Roman" w:cs="Times New Roman"/>
          <w:sz w:val="24"/>
          <w:szCs w:val="24"/>
        </w:rPr>
        <w:t xml:space="preserve"> may result in additional resource and costs requirements.</w:t>
      </w:r>
    </w:p>
    <w:p w14:paraId="352C13ED" w14:textId="77777777" w:rsidR="00807B7E" w:rsidRP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Security: Digital submissions and records can be vulnerable to cyber-attacks, and taxpayers will need to make sure that they have appropriate security measures in place to protect their data. This includes implementing strong passwords, utilising up-to-date anti-virus software, and regularly backing up data. Moreover, MTD needs businesses to submit their tax returns electronically that means sensitive financial information will be transmitted over internet (</w:t>
      </w:r>
      <w:proofErr w:type="spellStart"/>
      <w:r w:rsidRPr="00807B7E">
        <w:rPr>
          <w:rFonts w:ascii="Times New Roman" w:hAnsi="Times New Roman" w:cs="Times New Roman"/>
          <w:sz w:val="24"/>
          <w:szCs w:val="24"/>
        </w:rPr>
        <w:t>Skoumpopoulou</w:t>
      </w:r>
      <w:proofErr w:type="spellEnd"/>
      <w:r w:rsidRPr="00807B7E">
        <w:rPr>
          <w:rFonts w:ascii="Times New Roman" w:hAnsi="Times New Roman" w:cs="Times New Roman"/>
          <w:sz w:val="24"/>
          <w:szCs w:val="24"/>
        </w:rPr>
        <w:t xml:space="preserve"> and Crisp, 2021). This creates the risk of unauthorised access and interception to sensitive information, potentially resulting in identity theft or fraud (Haines, 2018). Furthermore, there is also the risk of data breaches that may occur due to human error or technical failures. This could lead to sensitive information being lost or stolen, with potentially serious consequences for individuals and businesses (</w:t>
      </w:r>
      <w:proofErr w:type="spellStart"/>
      <w:r w:rsidRPr="00807B7E">
        <w:rPr>
          <w:rFonts w:ascii="Times New Roman" w:hAnsi="Times New Roman" w:cs="Times New Roman"/>
          <w:sz w:val="24"/>
          <w:szCs w:val="24"/>
        </w:rPr>
        <w:t>Gransby</w:t>
      </w:r>
      <w:proofErr w:type="spellEnd"/>
      <w:r w:rsidRPr="00807B7E">
        <w:rPr>
          <w:rFonts w:ascii="Times New Roman" w:hAnsi="Times New Roman" w:cs="Times New Roman"/>
          <w:sz w:val="24"/>
          <w:szCs w:val="24"/>
        </w:rPr>
        <w:t>, 2018).</w:t>
      </w:r>
    </w:p>
    <w:p w14:paraId="77054DC6" w14:textId="77777777" w:rsidR="00807B7E"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Reliability: Digital systems may be prone to errors, and taxpayers will need to make sure that their submissions and digital records are reliable and accurate. This requires individuals and businesses to maintain accurate records and to make sure that they have the required </w:t>
      </w:r>
      <w:r w:rsidRPr="00807B7E">
        <w:rPr>
          <w:rFonts w:ascii="Times New Roman" w:hAnsi="Times New Roman" w:cs="Times New Roman"/>
          <w:sz w:val="24"/>
          <w:szCs w:val="24"/>
        </w:rPr>
        <w:lastRenderedPageBreak/>
        <w:t>knowledge and skills to use digital tax software effectively (Haines, 2018). Moreover, technical errors or failure of software can likewise result in errors in tax returns that could lead to penalties or other consequences for individuals and businesses. Software updates and changes to the tax code can also result in errors or discrepancies, which can create uncertainty and confusion for taxpayers. To mitigate the risk of reliability issues, taxpayers will need to ensure that they are utilising up-to-date and reliable software, and that they are monitoring their records and submissions for discrepancies or errors on regular basis (Rukundo, 2022). Moreover, taxpayers will need to have suitable contingency plans in place to deal with any technical errors or failures of software.</w:t>
      </w:r>
    </w:p>
    <w:p w14:paraId="32E40760" w14:textId="70FBBDF8" w:rsidR="0076362C" w:rsidRDefault="0076362C">
      <w:pPr>
        <w:rPr>
          <w:rFonts w:ascii="Times New Roman" w:hAnsi="Times New Roman" w:cs="Times New Roman"/>
          <w:sz w:val="24"/>
          <w:szCs w:val="24"/>
        </w:rPr>
      </w:pPr>
      <w:r>
        <w:rPr>
          <w:rFonts w:ascii="Times New Roman" w:hAnsi="Times New Roman" w:cs="Times New Roman"/>
          <w:sz w:val="24"/>
          <w:szCs w:val="24"/>
        </w:rPr>
        <w:br w:type="page"/>
      </w:r>
    </w:p>
    <w:p w14:paraId="2185AD9A" w14:textId="77777777" w:rsidR="00807B7E" w:rsidRPr="00807B7E" w:rsidRDefault="00807B7E" w:rsidP="0076362C">
      <w:pPr>
        <w:pStyle w:val="Heading1"/>
      </w:pPr>
      <w:bookmarkStart w:id="5" w:name="_Toc131172566"/>
      <w:r w:rsidRPr="00807B7E">
        <w:lastRenderedPageBreak/>
        <w:t>Conclusion</w:t>
      </w:r>
      <w:bookmarkEnd w:id="5"/>
    </w:p>
    <w:p w14:paraId="13F7B70C" w14:textId="77777777" w:rsidR="0076362C" w:rsidRDefault="0076362C" w:rsidP="00807B7E">
      <w:pPr>
        <w:spacing w:line="360" w:lineRule="auto"/>
        <w:rPr>
          <w:rFonts w:ascii="Times New Roman" w:hAnsi="Times New Roman" w:cs="Times New Roman"/>
          <w:sz w:val="24"/>
          <w:szCs w:val="24"/>
        </w:rPr>
      </w:pPr>
    </w:p>
    <w:p w14:paraId="0B3AEAF1" w14:textId="1F9E38DA" w:rsidR="00D03C48" w:rsidRDefault="00807B7E" w:rsidP="00807B7E">
      <w:pPr>
        <w:spacing w:line="360" w:lineRule="auto"/>
        <w:rPr>
          <w:rFonts w:ascii="Times New Roman" w:hAnsi="Times New Roman" w:cs="Times New Roman"/>
          <w:sz w:val="24"/>
          <w:szCs w:val="24"/>
        </w:rPr>
      </w:pPr>
      <w:r w:rsidRPr="00807B7E">
        <w:rPr>
          <w:rFonts w:ascii="Times New Roman" w:hAnsi="Times New Roman" w:cs="Times New Roman"/>
          <w:sz w:val="24"/>
          <w:szCs w:val="24"/>
        </w:rPr>
        <w:t xml:space="preserve">It is concluded that MTD is an ambitious program aimed at modernising the tax system of the UK and making it more effective and efficient. The program has many benefits for taxpayers, including improved accuracy, compliance, and efficient. However, there are also several challenges associated with the program, including cost, cybersecurity, compliance, technology barriers, and system compatibility. To make sure the success of the program, government and businesses need to work together to overcome these challenges and embrace the benefits of digital tax administration. Ultimately, the MTD’s success will </w:t>
      </w:r>
      <w:proofErr w:type="gramStart"/>
      <w:r w:rsidRPr="00807B7E">
        <w:rPr>
          <w:rFonts w:ascii="Times New Roman" w:hAnsi="Times New Roman" w:cs="Times New Roman"/>
          <w:sz w:val="24"/>
          <w:szCs w:val="24"/>
        </w:rPr>
        <w:t>based</w:t>
      </w:r>
      <w:proofErr w:type="gramEnd"/>
      <w:r w:rsidRPr="00807B7E">
        <w:rPr>
          <w:rFonts w:ascii="Times New Roman" w:hAnsi="Times New Roman" w:cs="Times New Roman"/>
          <w:sz w:val="24"/>
          <w:szCs w:val="24"/>
        </w:rPr>
        <w:t xml:space="preserve"> on the ability of businesses to adapt to the new digital systems and the ability of government to provide guidance and support throughout the process of transition.</w:t>
      </w:r>
    </w:p>
    <w:p w14:paraId="7A3AC1AF" w14:textId="77777777" w:rsidR="00192F61" w:rsidRPr="00807B7E" w:rsidRDefault="00192F61" w:rsidP="00192F61">
      <w:pPr>
        <w:rPr>
          <w:rFonts w:ascii="Times New Roman" w:hAnsi="Times New Roman" w:cs="Times New Roman"/>
          <w:sz w:val="24"/>
          <w:szCs w:val="24"/>
        </w:rPr>
      </w:pPr>
      <w:r>
        <w:rPr>
          <w:rFonts w:ascii="Times New Roman" w:hAnsi="Times New Roman" w:cs="Times New Roman"/>
          <w:sz w:val="24"/>
          <w:szCs w:val="24"/>
        </w:rPr>
        <w:br w:type="page"/>
      </w:r>
    </w:p>
    <w:bookmarkStart w:id="6" w:name="_Toc131172567" w:displacedByCustomXml="next"/>
    <w:sdt>
      <w:sdtPr>
        <w:rPr>
          <w:rFonts w:asciiTheme="minorHAnsi" w:eastAsiaTheme="minorHAnsi" w:hAnsiTheme="minorHAnsi" w:cstheme="minorBidi"/>
          <w:color w:val="auto"/>
          <w:sz w:val="22"/>
          <w:szCs w:val="22"/>
        </w:rPr>
        <w:id w:val="-695532670"/>
        <w:docPartObj>
          <w:docPartGallery w:val="Bibliographies"/>
          <w:docPartUnique/>
        </w:docPartObj>
      </w:sdtPr>
      <w:sdtEndPr/>
      <w:sdtContent>
        <w:p w14:paraId="3B2542B3" w14:textId="34BDAA97" w:rsidR="00192F61" w:rsidRDefault="00192F61">
          <w:pPr>
            <w:pStyle w:val="Heading1"/>
          </w:pPr>
          <w:r>
            <w:t>Bibliography</w:t>
          </w:r>
          <w:bookmarkEnd w:id="6"/>
        </w:p>
        <w:sdt>
          <w:sdtPr>
            <w:id w:val="111145805"/>
            <w:bibliography/>
          </w:sdtPr>
          <w:sdtEndPr/>
          <w:sdtContent>
            <w:p w14:paraId="3C9650A8" w14:textId="77777777" w:rsidR="00192F61" w:rsidRDefault="00192F61"/>
            <w:p w14:paraId="6AB404C0"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pl-PL"/>
                  <w14:ligatures w14:val="none"/>
                </w:rPr>
                <w:t xml:space="preserve">Al Karaawy, N.A.A., 2018. </w:t>
              </w:r>
              <w:r w:rsidRPr="00192F61">
                <w:rPr>
                  <w:rFonts w:ascii="Times New Roman" w:eastAsia="Calibri" w:hAnsi="Times New Roman" w:cs="Times New Roman"/>
                  <w:color w:val="222222"/>
                  <w:kern w:val="0"/>
                  <w:sz w:val="24"/>
                  <w:szCs w:val="24"/>
                  <w:shd w:val="clear" w:color="auto" w:fill="FFFFFF"/>
                  <w:lang w:val="en-US"/>
                  <w14:ligatures w14:val="none"/>
                </w:rPr>
                <w:t>The impact of making tax digital application on the accounting costs. </w:t>
              </w:r>
              <w:r w:rsidRPr="00192F61">
                <w:rPr>
                  <w:rFonts w:ascii="Times New Roman" w:eastAsia="Calibri" w:hAnsi="Times New Roman" w:cs="Times New Roman"/>
                  <w:i/>
                  <w:iCs/>
                  <w:color w:val="222222"/>
                  <w:kern w:val="0"/>
                  <w:sz w:val="24"/>
                  <w:szCs w:val="24"/>
                  <w:shd w:val="clear" w:color="auto" w:fill="FFFFFF"/>
                  <w:lang w:val="en-US"/>
                  <w14:ligatures w14:val="none"/>
                </w:rPr>
                <w:t>Academy of Accounting and Financial Studies Journal</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22</w:t>
              </w:r>
              <w:r w:rsidRPr="00192F61">
                <w:rPr>
                  <w:rFonts w:ascii="Times New Roman" w:eastAsia="Calibri" w:hAnsi="Times New Roman" w:cs="Times New Roman"/>
                  <w:color w:val="222222"/>
                  <w:kern w:val="0"/>
                  <w:sz w:val="24"/>
                  <w:szCs w:val="24"/>
                  <w:shd w:val="clear" w:color="auto" w:fill="FFFFFF"/>
                  <w:lang w:val="en-US"/>
                  <w14:ligatures w14:val="none"/>
                </w:rPr>
                <w:t>(3), pp.1-13.</w:t>
              </w:r>
            </w:p>
            <w:p w14:paraId="172721AE"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Bunn, D., Asen, E. and Enache, C., 2020. Digital taxation around the world. </w:t>
              </w:r>
              <w:r w:rsidRPr="00192F61">
                <w:rPr>
                  <w:rFonts w:ascii="Times New Roman" w:eastAsia="Calibri" w:hAnsi="Times New Roman" w:cs="Times New Roman"/>
                  <w:i/>
                  <w:iCs/>
                  <w:color w:val="222222"/>
                  <w:kern w:val="0"/>
                  <w:sz w:val="24"/>
                  <w:szCs w:val="24"/>
                  <w:shd w:val="clear" w:color="auto" w:fill="FFFFFF"/>
                  <w:lang w:val="en-US"/>
                  <w14:ligatures w14:val="none"/>
                </w:rPr>
                <w:t>Tax foundation</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20</w:t>
              </w:r>
              <w:r w:rsidRPr="00192F61">
                <w:rPr>
                  <w:rFonts w:ascii="Times New Roman" w:eastAsia="Calibri" w:hAnsi="Times New Roman" w:cs="Times New Roman"/>
                  <w:color w:val="222222"/>
                  <w:kern w:val="0"/>
                  <w:sz w:val="24"/>
                  <w:szCs w:val="24"/>
                  <w:shd w:val="clear" w:color="auto" w:fill="FFFFFF"/>
                  <w:lang w:val="en-US"/>
                  <w14:ligatures w14:val="none"/>
                </w:rPr>
                <w:t>.</w:t>
              </w:r>
            </w:p>
            <w:p w14:paraId="5343C137"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Fan, Z. and Liu, Y., 2020. Tax compliance and investment incentives: firm responses to accelerated depreciation in China. </w:t>
              </w:r>
              <w:r w:rsidRPr="00192F61">
                <w:rPr>
                  <w:rFonts w:ascii="Times New Roman" w:eastAsia="Calibri" w:hAnsi="Times New Roman" w:cs="Times New Roman"/>
                  <w:i/>
                  <w:iCs/>
                  <w:color w:val="222222"/>
                  <w:kern w:val="0"/>
                  <w:sz w:val="24"/>
                  <w:szCs w:val="24"/>
                  <w:shd w:val="clear" w:color="auto" w:fill="FFFFFF"/>
                  <w:lang w:val="en-US"/>
                  <w14:ligatures w14:val="none"/>
                </w:rPr>
                <w:t>Journal of Economic Behavior &amp; Organization</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176</w:t>
              </w:r>
              <w:r w:rsidRPr="00192F61">
                <w:rPr>
                  <w:rFonts w:ascii="Times New Roman" w:eastAsia="Calibri" w:hAnsi="Times New Roman" w:cs="Times New Roman"/>
                  <w:color w:val="222222"/>
                  <w:kern w:val="0"/>
                  <w:sz w:val="24"/>
                  <w:szCs w:val="24"/>
                  <w:shd w:val="clear" w:color="auto" w:fill="FFFFFF"/>
                  <w:lang w:val="en-US"/>
                  <w14:ligatures w14:val="none"/>
                </w:rPr>
                <w:t>, pp.1-17.</w:t>
              </w:r>
            </w:p>
            <w:p w14:paraId="69582CE0"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proofErr w:type="spellStart"/>
              <w:r w:rsidRPr="00192F61">
                <w:rPr>
                  <w:rFonts w:ascii="Times New Roman" w:eastAsia="Calibri" w:hAnsi="Times New Roman" w:cs="Times New Roman"/>
                  <w:color w:val="222222"/>
                  <w:kern w:val="0"/>
                  <w:sz w:val="24"/>
                  <w:szCs w:val="24"/>
                  <w:shd w:val="clear" w:color="auto" w:fill="FFFFFF"/>
                  <w:lang w:val="en-US"/>
                  <w14:ligatures w14:val="none"/>
                </w:rPr>
                <w:t>Gransby</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J., 2018. An update on Making Tax Digital. </w:t>
              </w:r>
              <w:r w:rsidRPr="00192F61">
                <w:rPr>
                  <w:rFonts w:ascii="Times New Roman" w:eastAsia="Calibri" w:hAnsi="Times New Roman" w:cs="Times New Roman"/>
                  <w:i/>
                  <w:iCs/>
                  <w:color w:val="222222"/>
                  <w:kern w:val="0"/>
                  <w:sz w:val="24"/>
                  <w:szCs w:val="24"/>
                  <w:shd w:val="clear" w:color="auto" w:fill="FFFFFF"/>
                  <w:lang w:val="en-US"/>
                  <w14:ligatures w14:val="none"/>
                </w:rPr>
                <w:t>Practice Management</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28</w:t>
              </w:r>
              <w:r w:rsidRPr="00192F61">
                <w:rPr>
                  <w:rFonts w:ascii="Times New Roman" w:eastAsia="Calibri" w:hAnsi="Times New Roman" w:cs="Times New Roman"/>
                  <w:color w:val="222222"/>
                  <w:kern w:val="0"/>
                  <w:sz w:val="24"/>
                  <w:szCs w:val="24"/>
                  <w:shd w:val="clear" w:color="auto" w:fill="FFFFFF"/>
                  <w:lang w:val="en-US"/>
                  <w14:ligatures w14:val="none"/>
                </w:rPr>
                <w:t>(1), pp.38-39.</w:t>
              </w:r>
            </w:p>
            <w:p w14:paraId="76BE7BAB"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 xml:space="preserve">Haines, A., 2018. </w:t>
              </w:r>
              <w:proofErr w:type="gramStart"/>
              <w:r w:rsidRPr="00192F61">
                <w:rPr>
                  <w:rFonts w:ascii="Times New Roman" w:eastAsia="Calibri" w:hAnsi="Times New Roman" w:cs="Times New Roman"/>
                  <w:color w:val="222222"/>
                  <w:kern w:val="0"/>
                  <w:sz w:val="24"/>
                  <w:szCs w:val="24"/>
                  <w:shd w:val="clear" w:color="auto" w:fill="FFFFFF"/>
                  <w:lang w:val="en-US"/>
                  <w14:ligatures w14:val="none"/>
                </w:rPr>
                <w:t>UK</w:t>
              </w:r>
              <w:proofErr w:type="gramEnd"/>
              <w:r w:rsidRPr="00192F61">
                <w:rPr>
                  <w:rFonts w:ascii="Times New Roman" w:eastAsia="Calibri" w:hAnsi="Times New Roman" w:cs="Times New Roman"/>
                  <w:color w:val="222222"/>
                  <w:kern w:val="0"/>
                  <w:sz w:val="24"/>
                  <w:szCs w:val="24"/>
                  <w:shd w:val="clear" w:color="auto" w:fill="FFFFFF"/>
                  <w:lang w:val="en-US"/>
                  <w14:ligatures w14:val="none"/>
                </w:rPr>
                <w:t xml:space="preserve"> considers closer links between employment and tax rules. </w:t>
              </w:r>
              <w:r w:rsidRPr="00192F61">
                <w:rPr>
                  <w:rFonts w:ascii="Times New Roman" w:eastAsia="Calibri" w:hAnsi="Times New Roman" w:cs="Times New Roman"/>
                  <w:i/>
                  <w:iCs/>
                  <w:color w:val="222222"/>
                  <w:kern w:val="0"/>
                  <w:sz w:val="24"/>
                  <w:szCs w:val="24"/>
                  <w:shd w:val="clear" w:color="auto" w:fill="FFFFFF"/>
                  <w:lang w:val="en-US"/>
                  <w14:ligatures w14:val="none"/>
                </w:rPr>
                <w:t>International Tax Review</w:t>
              </w:r>
              <w:r w:rsidRPr="00192F61">
                <w:rPr>
                  <w:rFonts w:ascii="Times New Roman" w:eastAsia="Calibri" w:hAnsi="Times New Roman" w:cs="Times New Roman"/>
                  <w:color w:val="222222"/>
                  <w:kern w:val="0"/>
                  <w:sz w:val="24"/>
                  <w:szCs w:val="24"/>
                  <w:shd w:val="clear" w:color="auto" w:fill="FFFFFF"/>
                  <w:lang w:val="en-US"/>
                  <w14:ligatures w14:val="none"/>
                </w:rPr>
                <w:t>.</w:t>
              </w:r>
            </w:p>
            <w:p w14:paraId="049B375A"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Jones, A., 2021. MNEs must invest in technology or risk being overtaken by tax authorities. </w:t>
              </w:r>
              <w:r w:rsidRPr="00192F61">
                <w:rPr>
                  <w:rFonts w:ascii="Times New Roman" w:eastAsia="Calibri" w:hAnsi="Times New Roman" w:cs="Times New Roman"/>
                  <w:i/>
                  <w:iCs/>
                  <w:color w:val="222222"/>
                  <w:kern w:val="0"/>
                  <w:sz w:val="24"/>
                  <w:szCs w:val="24"/>
                  <w:shd w:val="clear" w:color="auto" w:fill="FFFFFF"/>
                  <w:lang w:val="en-US"/>
                  <w14:ligatures w14:val="none"/>
                </w:rPr>
                <w:t>International Tax Review</w:t>
              </w:r>
              <w:r w:rsidRPr="00192F61">
                <w:rPr>
                  <w:rFonts w:ascii="Times New Roman" w:eastAsia="Calibri" w:hAnsi="Times New Roman" w:cs="Times New Roman"/>
                  <w:color w:val="222222"/>
                  <w:kern w:val="0"/>
                  <w:sz w:val="24"/>
                  <w:szCs w:val="24"/>
                  <w:shd w:val="clear" w:color="auto" w:fill="FFFFFF"/>
                  <w:lang w:val="en-US"/>
                  <w14:ligatures w14:val="none"/>
                </w:rPr>
                <w:t>.</w:t>
              </w:r>
            </w:p>
            <w:p w14:paraId="51A71E48"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 xml:space="preserve">Jones, A., 2021. Phase two of Making Tax Digital for VAT is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an'opportunity'for</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xml:space="preserve"> UK MNEs. </w:t>
              </w:r>
              <w:r w:rsidRPr="00192F61">
                <w:rPr>
                  <w:rFonts w:ascii="Times New Roman" w:eastAsia="Calibri" w:hAnsi="Times New Roman" w:cs="Times New Roman"/>
                  <w:i/>
                  <w:iCs/>
                  <w:color w:val="222222"/>
                  <w:kern w:val="0"/>
                  <w:sz w:val="24"/>
                  <w:szCs w:val="24"/>
                  <w:shd w:val="clear" w:color="auto" w:fill="FFFFFF"/>
                  <w:lang w:val="en-US"/>
                  <w14:ligatures w14:val="none"/>
                </w:rPr>
                <w:t>International Tax Review</w:t>
              </w:r>
              <w:r w:rsidRPr="00192F61">
                <w:rPr>
                  <w:rFonts w:ascii="Times New Roman" w:eastAsia="Calibri" w:hAnsi="Times New Roman" w:cs="Times New Roman"/>
                  <w:color w:val="222222"/>
                  <w:kern w:val="0"/>
                  <w:sz w:val="24"/>
                  <w:szCs w:val="24"/>
                  <w:shd w:val="clear" w:color="auto" w:fill="FFFFFF"/>
                  <w:lang w:val="en-US"/>
                  <w14:ligatures w14:val="none"/>
                </w:rPr>
                <w:t>.</w:t>
              </w:r>
            </w:p>
            <w:p w14:paraId="13419EE7" w14:textId="77777777" w:rsidR="00192F61" w:rsidRPr="00192F61" w:rsidRDefault="00192F61" w:rsidP="00192F61">
              <w:pPr>
                <w:spacing w:line="360" w:lineRule="auto"/>
                <w:ind w:left="720" w:hanging="720"/>
                <w:jc w:val="both"/>
                <w:rPr>
                  <w:rFonts w:ascii="Times New Roman" w:eastAsia="Calibri" w:hAnsi="Times New Roman" w:cs="Times New Roman"/>
                  <w:b/>
                  <w:kern w:val="0"/>
                  <w:sz w:val="24"/>
                  <w:szCs w:val="24"/>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Mason, R. and Parada, L., 2020. The legality of digital taxes in Europe. </w:t>
              </w:r>
              <w:r w:rsidRPr="00192F61">
                <w:rPr>
                  <w:rFonts w:ascii="Times New Roman" w:eastAsia="Calibri" w:hAnsi="Times New Roman" w:cs="Times New Roman"/>
                  <w:i/>
                  <w:iCs/>
                  <w:color w:val="222222"/>
                  <w:kern w:val="0"/>
                  <w:sz w:val="24"/>
                  <w:szCs w:val="24"/>
                  <w:shd w:val="clear" w:color="auto" w:fill="FFFFFF"/>
                  <w:lang w:val="en-US"/>
                  <w14:ligatures w14:val="none"/>
                </w:rPr>
                <w:t>Va. Tax Rev.</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40</w:t>
              </w:r>
              <w:r w:rsidRPr="00192F61">
                <w:rPr>
                  <w:rFonts w:ascii="Times New Roman" w:eastAsia="Calibri" w:hAnsi="Times New Roman" w:cs="Times New Roman"/>
                  <w:color w:val="222222"/>
                  <w:kern w:val="0"/>
                  <w:sz w:val="24"/>
                  <w:szCs w:val="24"/>
                  <w:shd w:val="clear" w:color="auto" w:fill="FFFFFF"/>
                  <w:lang w:val="en-US"/>
                  <w14:ligatures w14:val="none"/>
                </w:rPr>
                <w:t>, p.175.</w:t>
              </w:r>
            </w:p>
            <w:p w14:paraId="5779C93A"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Mohammed, S., 2022. Examination of confidence levels of taxpayers transitioning to making tax digital by industry sector in the UK. </w:t>
              </w:r>
              <w:r w:rsidRPr="00192F61">
                <w:rPr>
                  <w:rFonts w:ascii="Times New Roman" w:eastAsia="Calibri" w:hAnsi="Times New Roman" w:cs="Times New Roman"/>
                  <w:i/>
                  <w:iCs/>
                  <w:color w:val="222222"/>
                  <w:kern w:val="0"/>
                  <w:sz w:val="24"/>
                  <w:szCs w:val="24"/>
                  <w:shd w:val="clear" w:color="auto" w:fill="FFFFFF"/>
                  <w:lang w:val="en-US"/>
                  <w14:ligatures w14:val="none"/>
                </w:rPr>
                <w:t>Journal of Accounting and Taxation</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14</w:t>
              </w:r>
              <w:r w:rsidRPr="00192F61">
                <w:rPr>
                  <w:rFonts w:ascii="Times New Roman" w:eastAsia="Calibri" w:hAnsi="Times New Roman" w:cs="Times New Roman"/>
                  <w:color w:val="222222"/>
                  <w:kern w:val="0"/>
                  <w:sz w:val="24"/>
                  <w:szCs w:val="24"/>
                  <w:shd w:val="clear" w:color="auto" w:fill="FFFFFF"/>
                  <w:lang w:val="en-US"/>
                  <w14:ligatures w14:val="none"/>
                </w:rPr>
                <w:t>(3), pp.282-290.</w:t>
              </w:r>
            </w:p>
            <w:p w14:paraId="76299095"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Mohammed, S., 2022. Examination of confidence levels of taxpayers transitioning to making tax digital by industry sector in the UK. </w:t>
              </w:r>
              <w:r w:rsidRPr="00192F61">
                <w:rPr>
                  <w:rFonts w:ascii="Times New Roman" w:eastAsia="Calibri" w:hAnsi="Times New Roman" w:cs="Times New Roman"/>
                  <w:i/>
                  <w:iCs/>
                  <w:color w:val="222222"/>
                  <w:kern w:val="0"/>
                  <w:sz w:val="24"/>
                  <w:szCs w:val="24"/>
                  <w:shd w:val="clear" w:color="auto" w:fill="FFFFFF"/>
                  <w:lang w:val="en-US"/>
                  <w14:ligatures w14:val="none"/>
                </w:rPr>
                <w:t>Journal of Accounting and Taxation</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14</w:t>
              </w:r>
              <w:r w:rsidRPr="00192F61">
                <w:rPr>
                  <w:rFonts w:ascii="Times New Roman" w:eastAsia="Calibri" w:hAnsi="Times New Roman" w:cs="Times New Roman"/>
                  <w:color w:val="222222"/>
                  <w:kern w:val="0"/>
                  <w:sz w:val="24"/>
                  <w:szCs w:val="24"/>
                  <w:shd w:val="clear" w:color="auto" w:fill="FFFFFF"/>
                  <w:lang w:val="en-US"/>
                  <w14:ligatures w14:val="none"/>
                </w:rPr>
                <w:t>(3), pp.282-290.</w:t>
              </w:r>
            </w:p>
            <w:p w14:paraId="339C8E27"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Olbert, M. and Spengel, C., 2019. Taxation in the digital economy–Recent policy developments and the question of value creation. </w:t>
              </w:r>
              <w:r w:rsidRPr="00192F61">
                <w:rPr>
                  <w:rFonts w:ascii="Times New Roman" w:eastAsia="Calibri" w:hAnsi="Times New Roman" w:cs="Times New Roman"/>
                  <w:i/>
                  <w:iCs/>
                  <w:color w:val="222222"/>
                  <w:kern w:val="0"/>
                  <w:sz w:val="24"/>
                  <w:szCs w:val="24"/>
                  <w:shd w:val="clear" w:color="auto" w:fill="FFFFFF"/>
                  <w:lang w:val="en-US"/>
                  <w14:ligatures w14:val="none"/>
                </w:rPr>
                <w:t>ZEW-Centre for European Economic Research Discussion Paper</w:t>
              </w:r>
              <w:r w:rsidRPr="00192F61">
                <w:rPr>
                  <w:rFonts w:ascii="Times New Roman" w:eastAsia="Calibri" w:hAnsi="Times New Roman" w:cs="Times New Roman"/>
                  <w:color w:val="222222"/>
                  <w:kern w:val="0"/>
                  <w:sz w:val="24"/>
                  <w:szCs w:val="24"/>
                  <w:shd w:val="clear" w:color="auto" w:fill="FFFFFF"/>
                  <w:lang w:val="en-US"/>
                  <w14:ligatures w14:val="none"/>
                </w:rPr>
                <w:t>, (19-010).</w:t>
              </w:r>
            </w:p>
            <w:p w14:paraId="180648E9"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OSALONI, B.O., IGBEKOYI, O.E., OGUNGBADE, O.I. and AKPAN, J.U., 2022. INFORMATION TECHNOLOGY AND TAX EVASION PRACTICE IN NIGERIA. </w:t>
              </w:r>
              <w:r w:rsidRPr="00192F61">
                <w:rPr>
                  <w:rFonts w:ascii="Times New Roman" w:eastAsia="Calibri" w:hAnsi="Times New Roman" w:cs="Times New Roman"/>
                  <w:i/>
                  <w:iCs/>
                  <w:color w:val="222222"/>
                  <w:kern w:val="0"/>
                  <w:sz w:val="24"/>
                  <w:szCs w:val="24"/>
                  <w:shd w:val="clear" w:color="auto" w:fill="FFFFFF"/>
                  <w:lang w:val="en-US"/>
                  <w14:ligatures w14:val="none"/>
                </w:rPr>
                <w:t>INFORMATION TECHNOLOGY</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8</w:t>
              </w:r>
              <w:r w:rsidRPr="00192F61">
                <w:rPr>
                  <w:rFonts w:ascii="Times New Roman" w:eastAsia="Calibri" w:hAnsi="Times New Roman" w:cs="Times New Roman"/>
                  <w:color w:val="222222"/>
                  <w:kern w:val="0"/>
                  <w:sz w:val="24"/>
                  <w:szCs w:val="24"/>
                  <w:shd w:val="clear" w:color="auto" w:fill="FFFFFF"/>
                  <w:lang w:val="en-US"/>
                  <w14:ligatures w14:val="none"/>
                </w:rPr>
                <w:t>(11).</w:t>
              </w:r>
            </w:p>
            <w:p w14:paraId="4427C4D9"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lastRenderedPageBreak/>
                <w:t xml:space="preserve">Popa, E.O., van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Hilten</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xml:space="preserve">, M.,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Oosterkamp</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xml:space="preserve">, E. and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Bogaardt</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M.J., 2021. The use of digital twins in healthcare: socio-ethical benefits and socio-ethical risks. </w:t>
              </w:r>
              <w:r w:rsidRPr="00192F61">
                <w:rPr>
                  <w:rFonts w:ascii="Times New Roman" w:eastAsia="Calibri" w:hAnsi="Times New Roman" w:cs="Times New Roman"/>
                  <w:i/>
                  <w:iCs/>
                  <w:color w:val="222222"/>
                  <w:kern w:val="0"/>
                  <w:sz w:val="24"/>
                  <w:szCs w:val="24"/>
                  <w:shd w:val="clear" w:color="auto" w:fill="FFFFFF"/>
                  <w:lang w:val="en-US"/>
                  <w14:ligatures w14:val="none"/>
                </w:rPr>
                <w:t xml:space="preserve">Life sciences, </w:t>
              </w:r>
              <w:proofErr w:type="gramStart"/>
              <w:r w:rsidRPr="00192F61">
                <w:rPr>
                  <w:rFonts w:ascii="Times New Roman" w:eastAsia="Calibri" w:hAnsi="Times New Roman" w:cs="Times New Roman"/>
                  <w:i/>
                  <w:iCs/>
                  <w:color w:val="222222"/>
                  <w:kern w:val="0"/>
                  <w:sz w:val="24"/>
                  <w:szCs w:val="24"/>
                  <w:shd w:val="clear" w:color="auto" w:fill="FFFFFF"/>
                  <w:lang w:val="en-US"/>
                  <w14:ligatures w14:val="none"/>
                </w:rPr>
                <w:t>society</w:t>
              </w:r>
              <w:proofErr w:type="gramEnd"/>
              <w:r w:rsidRPr="00192F61">
                <w:rPr>
                  <w:rFonts w:ascii="Times New Roman" w:eastAsia="Calibri" w:hAnsi="Times New Roman" w:cs="Times New Roman"/>
                  <w:i/>
                  <w:iCs/>
                  <w:color w:val="222222"/>
                  <w:kern w:val="0"/>
                  <w:sz w:val="24"/>
                  <w:szCs w:val="24"/>
                  <w:shd w:val="clear" w:color="auto" w:fill="FFFFFF"/>
                  <w:lang w:val="en-US"/>
                  <w14:ligatures w14:val="none"/>
                </w:rPr>
                <w:t xml:space="preserve"> and policy</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17</w:t>
              </w:r>
              <w:r w:rsidRPr="00192F61">
                <w:rPr>
                  <w:rFonts w:ascii="Times New Roman" w:eastAsia="Calibri" w:hAnsi="Times New Roman" w:cs="Times New Roman"/>
                  <w:color w:val="222222"/>
                  <w:kern w:val="0"/>
                  <w:sz w:val="24"/>
                  <w:szCs w:val="24"/>
                  <w:shd w:val="clear" w:color="auto" w:fill="FFFFFF"/>
                  <w:lang w:val="en-US"/>
                  <w14:ligatures w14:val="none"/>
                </w:rPr>
                <w:t>(1), pp.1-25.</w:t>
              </w:r>
            </w:p>
            <w:p w14:paraId="44B78722"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 xml:space="preserve">Rafique, M., 2021. An exploratory study of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digitalisation</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xml:space="preserve"> in the UK accountancy practices initiated by Making Tax Digital and Cloud Accounting. </w:t>
              </w:r>
              <w:r w:rsidRPr="00192F61">
                <w:rPr>
                  <w:rFonts w:ascii="Times New Roman" w:eastAsia="Calibri" w:hAnsi="Times New Roman" w:cs="Times New Roman"/>
                  <w:i/>
                  <w:iCs/>
                  <w:color w:val="222222"/>
                  <w:kern w:val="0"/>
                  <w:sz w:val="24"/>
                  <w:szCs w:val="24"/>
                  <w:shd w:val="clear" w:color="auto" w:fill="FFFFFF"/>
                  <w:lang w:val="en-US"/>
                  <w14:ligatures w14:val="none"/>
                </w:rPr>
                <w:t>IOSR Journal of Business and Management</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23</w:t>
              </w:r>
              <w:r w:rsidRPr="00192F61">
                <w:rPr>
                  <w:rFonts w:ascii="Times New Roman" w:eastAsia="Calibri" w:hAnsi="Times New Roman" w:cs="Times New Roman"/>
                  <w:color w:val="222222"/>
                  <w:kern w:val="0"/>
                  <w:sz w:val="24"/>
                  <w:szCs w:val="24"/>
                  <w:shd w:val="clear" w:color="auto" w:fill="FFFFFF"/>
                  <w:lang w:val="en-US"/>
                  <w14:ligatures w14:val="none"/>
                </w:rPr>
                <w:t>(4 (Series 5)).</w:t>
              </w:r>
            </w:p>
            <w:p w14:paraId="4FC7F612"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Rukundo, S., 2020. Addressing the challenges of taxation of the digital economy: lessons for African countries.</w:t>
              </w:r>
            </w:p>
            <w:p w14:paraId="4537FEC2"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Rukundo, S., 2022. Addressing the challenges of taxation of the digital economy: lessons for African countries.</w:t>
              </w:r>
            </w:p>
            <w:p w14:paraId="103539BD"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Sadiq, M., 2020. IMPACT OF MAKING TAX DIGTAL ON SMALL BUSINESSES. </w:t>
              </w:r>
              <w:r w:rsidRPr="00192F61">
                <w:rPr>
                  <w:rFonts w:ascii="Times New Roman" w:eastAsia="Calibri" w:hAnsi="Times New Roman" w:cs="Times New Roman"/>
                  <w:i/>
                  <w:iCs/>
                  <w:color w:val="222222"/>
                  <w:kern w:val="0"/>
                  <w:sz w:val="24"/>
                  <w:szCs w:val="24"/>
                  <w:shd w:val="clear" w:color="auto" w:fill="FFFFFF"/>
                  <w:lang w:val="en-US"/>
                  <w14:ligatures w14:val="none"/>
                </w:rPr>
                <w:t>Kuwait Chapter of the Arabian Journal of Business and Management Review</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10</w:t>
              </w:r>
              <w:r w:rsidRPr="00192F61">
                <w:rPr>
                  <w:rFonts w:ascii="Times New Roman" w:eastAsia="Calibri" w:hAnsi="Times New Roman" w:cs="Times New Roman"/>
                  <w:color w:val="222222"/>
                  <w:kern w:val="0"/>
                  <w:sz w:val="24"/>
                  <w:szCs w:val="24"/>
                  <w:shd w:val="clear" w:color="auto" w:fill="FFFFFF"/>
                  <w:lang w:val="en-US"/>
                  <w14:ligatures w14:val="none"/>
                </w:rPr>
                <w:t>(3), pp.123-134.</w:t>
              </w:r>
            </w:p>
            <w:p w14:paraId="64F4B24B"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Sadiq, M., 2021. IMPACT OF MAKING TAX DIGTAL ON SMALL BUSINESSES. </w:t>
              </w:r>
              <w:r w:rsidRPr="00192F61">
                <w:rPr>
                  <w:rFonts w:ascii="Times New Roman" w:eastAsia="Calibri" w:hAnsi="Times New Roman" w:cs="Times New Roman"/>
                  <w:i/>
                  <w:iCs/>
                  <w:color w:val="222222"/>
                  <w:kern w:val="0"/>
                  <w:sz w:val="24"/>
                  <w:szCs w:val="24"/>
                  <w:shd w:val="clear" w:color="auto" w:fill="FFFFFF"/>
                  <w:lang w:val="en-US"/>
                  <w14:ligatures w14:val="none"/>
                </w:rPr>
                <w:t>Kuwait Chapter of the Arabian Journal of Business and Management Review</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10</w:t>
              </w:r>
              <w:r w:rsidRPr="00192F61">
                <w:rPr>
                  <w:rFonts w:ascii="Times New Roman" w:eastAsia="Calibri" w:hAnsi="Times New Roman" w:cs="Times New Roman"/>
                  <w:color w:val="222222"/>
                  <w:kern w:val="0"/>
                  <w:sz w:val="24"/>
                  <w:szCs w:val="24"/>
                  <w:shd w:val="clear" w:color="auto" w:fill="FFFFFF"/>
                  <w:lang w:val="en-US"/>
                  <w14:ligatures w14:val="none"/>
                </w:rPr>
                <w:t>(3), pp.123-134.</w:t>
              </w:r>
            </w:p>
            <w:p w14:paraId="1A68CEA6"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Sawyer, A.J. and James, S., 2018. Digitalization of Tax: Comparing New Zealand and United Kingdom Approaches.</w:t>
              </w:r>
            </w:p>
            <w:p w14:paraId="41CC8342"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Sawyer, A.J. and James, S., 2019. Digitalization of Tax: Comparing New Zealand and United Kingdom Approaches.</w:t>
              </w:r>
            </w:p>
            <w:p w14:paraId="5DD4435B"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proofErr w:type="spellStart"/>
              <w:r w:rsidRPr="00192F61">
                <w:rPr>
                  <w:rFonts w:ascii="Times New Roman" w:eastAsia="Calibri" w:hAnsi="Times New Roman" w:cs="Times New Roman"/>
                  <w:color w:val="222222"/>
                  <w:kern w:val="0"/>
                  <w:sz w:val="24"/>
                  <w:szCs w:val="24"/>
                  <w:shd w:val="clear" w:color="auto" w:fill="FFFFFF"/>
                  <w:lang w:val="en-US"/>
                  <w14:ligatures w14:val="none"/>
                </w:rPr>
                <w:t>Simanullang</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xml:space="preserve">, M. and Nata, M.A., How Big Data Affects </w:t>
              </w:r>
              <w:proofErr w:type="gramStart"/>
              <w:r w:rsidRPr="00192F61">
                <w:rPr>
                  <w:rFonts w:ascii="Times New Roman" w:eastAsia="Calibri" w:hAnsi="Times New Roman" w:cs="Times New Roman"/>
                  <w:color w:val="222222"/>
                  <w:kern w:val="0"/>
                  <w:sz w:val="24"/>
                  <w:szCs w:val="24"/>
                  <w:shd w:val="clear" w:color="auto" w:fill="FFFFFF"/>
                  <w:lang w:val="en-US"/>
                  <w14:ligatures w14:val="none"/>
                </w:rPr>
                <w:t>In</w:t>
              </w:r>
              <w:proofErr w:type="gramEnd"/>
              <w:r w:rsidRPr="00192F61">
                <w:rPr>
                  <w:rFonts w:ascii="Times New Roman" w:eastAsia="Calibri" w:hAnsi="Times New Roman" w:cs="Times New Roman"/>
                  <w:color w:val="222222"/>
                  <w:kern w:val="0"/>
                  <w:sz w:val="24"/>
                  <w:szCs w:val="24"/>
                  <w:shd w:val="clear" w:color="auto" w:fill="FFFFFF"/>
                  <w:lang w:val="en-US"/>
                  <w14:ligatures w14:val="none"/>
                </w:rPr>
                <w:t xml:space="preserve"> The Industrial Era 4.0 To The Implementation Of Tax Planning In Indonesia.</w:t>
              </w:r>
            </w:p>
            <w:p w14:paraId="3328E5BB"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proofErr w:type="spellStart"/>
              <w:r w:rsidRPr="00192F61">
                <w:rPr>
                  <w:rFonts w:ascii="Times New Roman" w:eastAsia="Calibri" w:hAnsi="Times New Roman" w:cs="Times New Roman"/>
                  <w:color w:val="222222"/>
                  <w:kern w:val="0"/>
                  <w:sz w:val="24"/>
                  <w:szCs w:val="24"/>
                  <w:shd w:val="clear" w:color="auto" w:fill="FFFFFF"/>
                  <w:lang w:val="en-US"/>
                  <w14:ligatures w14:val="none"/>
                </w:rPr>
                <w:t>Skoumpopoulou</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D. and Crisp, A., 2021. The Adoption and Usages of Technology in SMEs: The Case of Making Tax Digital. </w:t>
              </w:r>
              <w:r w:rsidRPr="00192F61">
                <w:rPr>
                  <w:rFonts w:ascii="Times New Roman" w:eastAsia="Calibri" w:hAnsi="Times New Roman" w:cs="Times New Roman"/>
                  <w:i/>
                  <w:iCs/>
                  <w:color w:val="222222"/>
                  <w:kern w:val="0"/>
                  <w:sz w:val="24"/>
                  <w:szCs w:val="24"/>
                  <w:shd w:val="clear" w:color="auto" w:fill="FFFFFF"/>
                  <w:lang w:val="en-US"/>
                  <w14:ligatures w14:val="none"/>
                </w:rPr>
                <w:t>Engineering Science &amp; Technology</w:t>
              </w:r>
              <w:r w:rsidRPr="00192F61">
                <w:rPr>
                  <w:rFonts w:ascii="Times New Roman" w:eastAsia="Calibri" w:hAnsi="Times New Roman" w:cs="Times New Roman"/>
                  <w:color w:val="222222"/>
                  <w:kern w:val="0"/>
                  <w:sz w:val="24"/>
                  <w:szCs w:val="24"/>
                  <w:shd w:val="clear" w:color="auto" w:fill="FFFFFF"/>
                  <w:lang w:val="en-US"/>
                  <w14:ligatures w14:val="none"/>
                </w:rPr>
                <w:t>, pp.22-30.</w:t>
              </w:r>
            </w:p>
            <w:p w14:paraId="43021172" w14:textId="77777777" w:rsidR="00192F61" w:rsidRPr="00192F61" w:rsidRDefault="00192F61" w:rsidP="00192F61">
              <w:pPr>
                <w:spacing w:line="360" w:lineRule="auto"/>
                <w:ind w:left="720" w:hanging="720"/>
                <w:jc w:val="both"/>
                <w:rPr>
                  <w:rFonts w:ascii="Times New Roman" w:eastAsia="Calibri" w:hAnsi="Times New Roman" w:cs="Times New Roman"/>
                  <w:kern w:val="0"/>
                  <w:sz w:val="24"/>
                  <w:szCs w:val="24"/>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 xml:space="preserve">Taylor, K., 2018. Making tax digital: Which </w:t>
              </w:r>
              <w:proofErr w:type="gramStart"/>
              <w:r w:rsidRPr="00192F61">
                <w:rPr>
                  <w:rFonts w:ascii="Times New Roman" w:eastAsia="Calibri" w:hAnsi="Times New Roman" w:cs="Times New Roman"/>
                  <w:color w:val="222222"/>
                  <w:kern w:val="0"/>
                  <w:sz w:val="24"/>
                  <w:szCs w:val="24"/>
                  <w:shd w:val="clear" w:color="auto" w:fill="FFFFFF"/>
                  <w:lang w:val="en-US"/>
                  <w14:ligatures w14:val="none"/>
                </w:rPr>
                <w:t>software?.</w:t>
              </w:r>
              <w:proofErr w:type="gramEnd"/>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Practice Management</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28</w:t>
              </w:r>
              <w:r w:rsidRPr="00192F61">
                <w:rPr>
                  <w:rFonts w:ascii="Times New Roman" w:eastAsia="Calibri" w:hAnsi="Times New Roman" w:cs="Times New Roman"/>
                  <w:color w:val="222222"/>
                  <w:kern w:val="0"/>
                  <w:sz w:val="24"/>
                  <w:szCs w:val="24"/>
                  <w:shd w:val="clear" w:color="auto" w:fill="FFFFFF"/>
                  <w:lang w:val="en-US"/>
                  <w14:ligatures w14:val="none"/>
                </w:rPr>
                <w:t>(4), pp.41-42.</w:t>
              </w:r>
            </w:p>
            <w:p w14:paraId="41642C70"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t xml:space="preserve">Wilson, C., Kerr, L., Sprei, F., </w:t>
              </w:r>
              <w:proofErr w:type="spellStart"/>
              <w:r w:rsidRPr="00192F61">
                <w:rPr>
                  <w:rFonts w:ascii="Times New Roman" w:eastAsia="Calibri" w:hAnsi="Times New Roman" w:cs="Times New Roman"/>
                  <w:color w:val="222222"/>
                  <w:kern w:val="0"/>
                  <w:sz w:val="24"/>
                  <w:szCs w:val="24"/>
                  <w:shd w:val="clear" w:color="auto" w:fill="FFFFFF"/>
                  <w:lang w:val="en-US"/>
                  <w14:ligatures w14:val="none"/>
                </w:rPr>
                <w:t>Vrain</w:t>
              </w:r>
              <w:proofErr w:type="spellEnd"/>
              <w:r w:rsidRPr="00192F61">
                <w:rPr>
                  <w:rFonts w:ascii="Times New Roman" w:eastAsia="Calibri" w:hAnsi="Times New Roman" w:cs="Times New Roman"/>
                  <w:color w:val="222222"/>
                  <w:kern w:val="0"/>
                  <w:sz w:val="24"/>
                  <w:szCs w:val="24"/>
                  <w:shd w:val="clear" w:color="auto" w:fill="FFFFFF"/>
                  <w:lang w:val="en-US"/>
                  <w14:ligatures w14:val="none"/>
                </w:rPr>
                <w:t>, E. and Wilson, M., 2020. Potential climate benefits of digital consumer innovations. </w:t>
              </w:r>
              <w:r w:rsidRPr="00192F61">
                <w:rPr>
                  <w:rFonts w:ascii="Times New Roman" w:eastAsia="Calibri" w:hAnsi="Times New Roman" w:cs="Times New Roman"/>
                  <w:i/>
                  <w:iCs/>
                  <w:color w:val="222222"/>
                  <w:kern w:val="0"/>
                  <w:sz w:val="24"/>
                  <w:szCs w:val="24"/>
                  <w:shd w:val="clear" w:color="auto" w:fill="FFFFFF"/>
                  <w:lang w:val="en-US"/>
                  <w14:ligatures w14:val="none"/>
                </w:rPr>
                <w:t>Annual Review of Environment and Resources</w:t>
              </w:r>
              <w:r w:rsidRPr="00192F61">
                <w:rPr>
                  <w:rFonts w:ascii="Times New Roman" w:eastAsia="Calibri" w:hAnsi="Times New Roman" w:cs="Times New Roman"/>
                  <w:color w:val="222222"/>
                  <w:kern w:val="0"/>
                  <w:sz w:val="24"/>
                  <w:szCs w:val="24"/>
                  <w:shd w:val="clear" w:color="auto" w:fill="FFFFFF"/>
                  <w:lang w:val="en-US"/>
                  <w14:ligatures w14:val="none"/>
                </w:rPr>
                <w:t>, </w:t>
              </w:r>
              <w:r w:rsidRPr="00192F61">
                <w:rPr>
                  <w:rFonts w:ascii="Times New Roman" w:eastAsia="Calibri" w:hAnsi="Times New Roman" w:cs="Times New Roman"/>
                  <w:i/>
                  <w:iCs/>
                  <w:color w:val="222222"/>
                  <w:kern w:val="0"/>
                  <w:sz w:val="24"/>
                  <w:szCs w:val="24"/>
                  <w:shd w:val="clear" w:color="auto" w:fill="FFFFFF"/>
                  <w:lang w:val="en-US"/>
                  <w14:ligatures w14:val="none"/>
                </w:rPr>
                <w:t>45</w:t>
              </w:r>
              <w:r w:rsidRPr="00192F61">
                <w:rPr>
                  <w:rFonts w:ascii="Times New Roman" w:eastAsia="Calibri" w:hAnsi="Times New Roman" w:cs="Times New Roman"/>
                  <w:color w:val="222222"/>
                  <w:kern w:val="0"/>
                  <w:sz w:val="24"/>
                  <w:szCs w:val="24"/>
                  <w:shd w:val="clear" w:color="auto" w:fill="FFFFFF"/>
                  <w:lang w:val="en-US"/>
                  <w14:ligatures w14:val="none"/>
                </w:rPr>
                <w:t>, pp.113-144.</w:t>
              </w:r>
            </w:p>
            <w:p w14:paraId="3B099F5A" w14:textId="77777777" w:rsidR="00192F61" w:rsidRPr="00192F61" w:rsidRDefault="00192F61" w:rsidP="00192F61">
              <w:pPr>
                <w:spacing w:line="360" w:lineRule="auto"/>
                <w:ind w:left="720" w:hanging="720"/>
                <w:jc w:val="both"/>
                <w:rPr>
                  <w:rFonts w:ascii="Times New Roman" w:eastAsia="Calibri" w:hAnsi="Times New Roman" w:cs="Times New Roman"/>
                  <w:color w:val="222222"/>
                  <w:kern w:val="0"/>
                  <w:sz w:val="24"/>
                  <w:szCs w:val="24"/>
                  <w:shd w:val="clear" w:color="auto" w:fill="FFFFFF"/>
                  <w:lang w:val="en-US"/>
                  <w14:ligatures w14:val="none"/>
                </w:rPr>
              </w:pPr>
              <w:r w:rsidRPr="00192F61">
                <w:rPr>
                  <w:rFonts w:ascii="Times New Roman" w:eastAsia="Calibri" w:hAnsi="Times New Roman" w:cs="Times New Roman"/>
                  <w:color w:val="222222"/>
                  <w:kern w:val="0"/>
                  <w:sz w:val="24"/>
                  <w:szCs w:val="24"/>
                  <w:shd w:val="clear" w:color="auto" w:fill="FFFFFF"/>
                  <w:lang w:val="en-US"/>
                  <w14:ligatures w14:val="none"/>
                </w:rPr>
                <w:lastRenderedPageBreak/>
                <w:t>Wiseman, P., 2019. How HMRC tried to meet business halfway on Making Tax Digital. </w:t>
              </w:r>
              <w:r w:rsidRPr="00192F61">
                <w:rPr>
                  <w:rFonts w:ascii="Times New Roman" w:eastAsia="Calibri" w:hAnsi="Times New Roman" w:cs="Times New Roman"/>
                  <w:i/>
                  <w:iCs/>
                  <w:color w:val="222222"/>
                  <w:kern w:val="0"/>
                  <w:sz w:val="24"/>
                  <w:szCs w:val="24"/>
                  <w:shd w:val="clear" w:color="auto" w:fill="FFFFFF"/>
                  <w:lang w:val="en-US"/>
                  <w14:ligatures w14:val="none"/>
                </w:rPr>
                <w:t>International Tax Review</w:t>
              </w:r>
              <w:r w:rsidRPr="00192F61">
                <w:rPr>
                  <w:rFonts w:ascii="Times New Roman" w:eastAsia="Calibri" w:hAnsi="Times New Roman" w:cs="Times New Roman"/>
                  <w:color w:val="222222"/>
                  <w:kern w:val="0"/>
                  <w:sz w:val="24"/>
                  <w:szCs w:val="24"/>
                  <w:shd w:val="clear" w:color="auto" w:fill="FFFFFF"/>
                  <w:lang w:val="en-US"/>
                  <w14:ligatures w14:val="none"/>
                </w:rPr>
                <w:t>.</w:t>
              </w:r>
            </w:p>
            <w:p w14:paraId="1F7C9BA1" w14:textId="06FD403E" w:rsidR="00192F61" w:rsidRDefault="00236F81"/>
          </w:sdtContent>
        </w:sdt>
      </w:sdtContent>
    </w:sdt>
    <w:p w14:paraId="48FAF19A" w14:textId="551F56B9" w:rsidR="00192F61" w:rsidRDefault="006F2BFD" w:rsidP="006F2BFD">
      <w:pPr>
        <w:pStyle w:val="Heading1"/>
      </w:pPr>
      <w:r>
        <w:br w:type="page"/>
      </w:r>
      <w:bookmarkStart w:id="7" w:name="_Toc131172568"/>
      <w:r>
        <w:lastRenderedPageBreak/>
        <w:t>Presentation</w:t>
      </w:r>
      <w:bookmarkEnd w:id="7"/>
    </w:p>
    <w:p w14:paraId="24CCDBF5" w14:textId="77777777" w:rsidR="006F2BFD" w:rsidRDefault="006F2BFD" w:rsidP="006F2BFD"/>
    <w:p w14:paraId="5E6EBAA4" w14:textId="718D1FA1" w:rsidR="006F2BFD" w:rsidRDefault="00AA39FF" w:rsidP="006F2BFD">
      <w:pPr>
        <w:rPr>
          <w:rFonts w:ascii="Times New Roman" w:hAnsi="Times New Roman" w:cs="Times New Roman"/>
          <w:sz w:val="24"/>
          <w:szCs w:val="24"/>
        </w:rPr>
      </w:pPr>
      <w:r>
        <w:rPr>
          <w:noProof/>
        </w:rPr>
        <w:drawing>
          <wp:inline distT="0" distB="0" distL="0" distR="0" wp14:anchorId="4E036A49" wp14:editId="166CBACF">
            <wp:extent cx="4176395" cy="234916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4193174" cy="2358603"/>
                    </a:xfrm>
                    <a:prstGeom prst="rect">
                      <a:avLst/>
                    </a:prstGeom>
                  </pic:spPr>
                </pic:pic>
              </a:graphicData>
            </a:graphic>
          </wp:inline>
        </w:drawing>
      </w:r>
    </w:p>
    <w:p w14:paraId="3985B64E" w14:textId="4048A4DB" w:rsidR="00A21CA7" w:rsidRDefault="00A21CA7" w:rsidP="006F2BFD">
      <w:pPr>
        <w:rPr>
          <w:rFonts w:ascii="Times New Roman" w:hAnsi="Times New Roman" w:cs="Times New Roman"/>
          <w:sz w:val="24"/>
          <w:szCs w:val="24"/>
        </w:rPr>
      </w:pPr>
      <w:r>
        <w:rPr>
          <w:noProof/>
        </w:rPr>
        <w:drawing>
          <wp:inline distT="0" distB="0" distL="0" distR="0" wp14:anchorId="3DE93E20" wp14:editId="60C419B6">
            <wp:extent cx="3930650" cy="2210936"/>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3939552" cy="2215943"/>
                    </a:xfrm>
                    <a:prstGeom prst="rect">
                      <a:avLst/>
                    </a:prstGeom>
                  </pic:spPr>
                </pic:pic>
              </a:graphicData>
            </a:graphic>
          </wp:inline>
        </w:drawing>
      </w:r>
    </w:p>
    <w:p w14:paraId="1F134177" w14:textId="0183F6D2" w:rsidR="00A21CA7" w:rsidRDefault="00A21CA7" w:rsidP="006F2BFD">
      <w:pPr>
        <w:rPr>
          <w:rFonts w:ascii="Times New Roman" w:hAnsi="Times New Roman" w:cs="Times New Roman"/>
          <w:sz w:val="24"/>
          <w:szCs w:val="24"/>
        </w:rPr>
      </w:pPr>
      <w:r>
        <w:rPr>
          <w:noProof/>
        </w:rPr>
        <w:drawing>
          <wp:inline distT="0" distB="0" distL="0" distR="0" wp14:anchorId="3EA08E43" wp14:editId="4E11C414">
            <wp:extent cx="4176991" cy="234950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4185057" cy="2354037"/>
                    </a:xfrm>
                    <a:prstGeom prst="rect">
                      <a:avLst/>
                    </a:prstGeom>
                  </pic:spPr>
                </pic:pic>
              </a:graphicData>
            </a:graphic>
          </wp:inline>
        </w:drawing>
      </w:r>
    </w:p>
    <w:p w14:paraId="5329A529" w14:textId="124BFDE8" w:rsidR="00A21CA7" w:rsidRDefault="00300A37" w:rsidP="006F2BFD">
      <w:pPr>
        <w:rPr>
          <w:rFonts w:ascii="Times New Roman" w:hAnsi="Times New Roman" w:cs="Times New Roman"/>
          <w:sz w:val="24"/>
          <w:szCs w:val="24"/>
        </w:rPr>
      </w:pPr>
      <w:r>
        <w:rPr>
          <w:noProof/>
        </w:rPr>
        <w:lastRenderedPageBreak/>
        <w:drawing>
          <wp:inline distT="0" distB="0" distL="0" distR="0" wp14:anchorId="08587956" wp14:editId="1059C899">
            <wp:extent cx="4102100" cy="2307374"/>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4112159" cy="2313032"/>
                    </a:xfrm>
                    <a:prstGeom prst="rect">
                      <a:avLst/>
                    </a:prstGeom>
                  </pic:spPr>
                </pic:pic>
              </a:graphicData>
            </a:graphic>
          </wp:inline>
        </w:drawing>
      </w:r>
    </w:p>
    <w:p w14:paraId="0FE6B262" w14:textId="1AF237B4" w:rsidR="00300A37" w:rsidRPr="006F2BFD" w:rsidRDefault="00300A37" w:rsidP="006F2BFD">
      <w:pPr>
        <w:rPr>
          <w:rFonts w:ascii="Times New Roman" w:hAnsi="Times New Roman" w:cs="Times New Roman"/>
          <w:sz w:val="24"/>
          <w:szCs w:val="24"/>
        </w:rPr>
      </w:pPr>
      <w:r>
        <w:rPr>
          <w:noProof/>
        </w:rPr>
        <w:drawing>
          <wp:inline distT="0" distB="0" distL="0" distR="0" wp14:anchorId="594FA46B" wp14:editId="330E74C8">
            <wp:extent cx="4335040" cy="2438400"/>
            <wp:effectExtent l="0" t="0" r="889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4337844" cy="2439977"/>
                    </a:xfrm>
                    <a:prstGeom prst="rect">
                      <a:avLst/>
                    </a:prstGeom>
                  </pic:spPr>
                </pic:pic>
              </a:graphicData>
            </a:graphic>
          </wp:inline>
        </w:drawing>
      </w:r>
    </w:p>
    <w:sectPr w:rsidR="00300A37" w:rsidRPr="006F2BFD" w:rsidSect="00180675">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84AFC" w14:textId="77777777" w:rsidR="002A0D79" w:rsidRDefault="002A0D79" w:rsidP="00FF66AF">
      <w:pPr>
        <w:spacing w:after="0" w:line="240" w:lineRule="auto"/>
      </w:pPr>
      <w:r>
        <w:separator/>
      </w:r>
    </w:p>
  </w:endnote>
  <w:endnote w:type="continuationSeparator" w:id="0">
    <w:p w14:paraId="271CF643" w14:textId="77777777" w:rsidR="002A0D79" w:rsidRDefault="002A0D79" w:rsidP="00FF6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261101"/>
      <w:docPartObj>
        <w:docPartGallery w:val="Page Numbers (Bottom of Page)"/>
        <w:docPartUnique/>
      </w:docPartObj>
    </w:sdtPr>
    <w:sdtEndPr>
      <w:rPr>
        <w:noProof/>
      </w:rPr>
    </w:sdtEndPr>
    <w:sdtContent>
      <w:p w14:paraId="49DF5EB5" w14:textId="73DE6AF2" w:rsidR="00FF66AF" w:rsidRDefault="00FF66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E6251E" w14:textId="77777777" w:rsidR="00FF66AF" w:rsidRDefault="00FF6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C3589" w14:textId="77777777" w:rsidR="002A0D79" w:rsidRDefault="002A0D79" w:rsidP="00FF66AF">
      <w:pPr>
        <w:spacing w:after="0" w:line="240" w:lineRule="auto"/>
      </w:pPr>
      <w:r>
        <w:separator/>
      </w:r>
    </w:p>
  </w:footnote>
  <w:footnote w:type="continuationSeparator" w:id="0">
    <w:p w14:paraId="67F41DE0" w14:textId="77777777" w:rsidR="002A0D79" w:rsidRDefault="002A0D79" w:rsidP="00FF66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B8E"/>
    <w:rsid w:val="001661E9"/>
    <w:rsid w:val="00180675"/>
    <w:rsid w:val="00192F61"/>
    <w:rsid w:val="001A7367"/>
    <w:rsid w:val="00236F81"/>
    <w:rsid w:val="002A0D79"/>
    <w:rsid w:val="00300A37"/>
    <w:rsid w:val="0052595E"/>
    <w:rsid w:val="006F2BFD"/>
    <w:rsid w:val="0076362C"/>
    <w:rsid w:val="00807B7E"/>
    <w:rsid w:val="00837BFF"/>
    <w:rsid w:val="00937CA0"/>
    <w:rsid w:val="00A21CA7"/>
    <w:rsid w:val="00A91C33"/>
    <w:rsid w:val="00AA39FF"/>
    <w:rsid w:val="00BB0C9F"/>
    <w:rsid w:val="00C56F33"/>
    <w:rsid w:val="00C96B8E"/>
    <w:rsid w:val="00CD630C"/>
    <w:rsid w:val="00D03C48"/>
    <w:rsid w:val="00DA0F44"/>
    <w:rsid w:val="00F07E76"/>
    <w:rsid w:val="00F97E85"/>
    <w:rsid w:val="00FF66AF"/>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A01E"/>
  <w15:chartTrackingRefBased/>
  <w15:docId w15:val="{0BF66867-2771-40F7-972C-A4970246C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6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B7E"/>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807B7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07B7E"/>
    <w:rPr>
      <w:rFonts w:eastAsiaTheme="minorEastAsia"/>
      <w:color w:val="5A5A5A" w:themeColor="text1" w:themeTint="A5"/>
      <w:spacing w:val="15"/>
    </w:rPr>
  </w:style>
  <w:style w:type="paragraph" w:styleId="Title">
    <w:name w:val="Title"/>
    <w:basedOn w:val="Normal"/>
    <w:next w:val="Normal"/>
    <w:link w:val="TitleChar"/>
    <w:uiPriority w:val="10"/>
    <w:qFormat/>
    <w:rsid w:val="0076362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62C"/>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76362C"/>
    <w:rPr>
      <w:i/>
      <w:iCs/>
      <w:color w:val="404040" w:themeColor="text1" w:themeTint="BF"/>
    </w:rPr>
  </w:style>
  <w:style w:type="character" w:customStyle="1" w:styleId="Heading2Char">
    <w:name w:val="Heading 2 Char"/>
    <w:basedOn w:val="DefaultParagraphFont"/>
    <w:link w:val="Heading2"/>
    <w:uiPriority w:val="9"/>
    <w:rsid w:val="0076362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FF6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6AF"/>
  </w:style>
  <w:style w:type="paragraph" w:styleId="Footer">
    <w:name w:val="footer"/>
    <w:basedOn w:val="Normal"/>
    <w:link w:val="FooterChar"/>
    <w:uiPriority w:val="99"/>
    <w:unhideWhenUsed/>
    <w:rsid w:val="00FF6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6AF"/>
  </w:style>
  <w:style w:type="paragraph" w:styleId="TOCHeading">
    <w:name w:val="TOC Heading"/>
    <w:basedOn w:val="Heading1"/>
    <w:next w:val="Normal"/>
    <w:uiPriority w:val="39"/>
    <w:unhideWhenUsed/>
    <w:qFormat/>
    <w:rsid w:val="00FF66AF"/>
    <w:pPr>
      <w:outlineLvl w:val="9"/>
    </w:pPr>
    <w:rPr>
      <w:kern w:val="0"/>
      <w:lang w:val="en-US"/>
      <w14:ligatures w14:val="none"/>
    </w:rPr>
  </w:style>
  <w:style w:type="paragraph" w:styleId="TOC1">
    <w:name w:val="toc 1"/>
    <w:basedOn w:val="Normal"/>
    <w:next w:val="Normal"/>
    <w:autoRedefine/>
    <w:uiPriority w:val="39"/>
    <w:unhideWhenUsed/>
    <w:rsid w:val="00FF66AF"/>
    <w:pPr>
      <w:spacing w:after="100"/>
    </w:pPr>
  </w:style>
  <w:style w:type="character" w:styleId="Hyperlink">
    <w:name w:val="Hyperlink"/>
    <w:basedOn w:val="DefaultParagraphFont"/>
    <w:uiPriority w:val="99"/>
    <w:unhideWhenUsed/>
    <w:rsid w:val="00FF66AF"/>
    <w:rPr>
      <w:color w:val="0563C1" w:themeColor="hyperlink"/>
      <w:u w:val="single"/>
    </w:rPr>
  </w:style>
  <w:style w:type="paragraph" w:styleId="NoSpacing">
    <w:name w:val="No Spacing"/>
    <w:link w:val="NoSpacingChar"/>
    <w:uiPriority w:val="1"/>
    <w:qFormat/>
    <w:rsid w:val="0018067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8067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75640">
      <w:bodyDiv w:val="1"/>
      <w:marLeft w:val="0"/>
      <w:marRight w:val="0"/>
      <w:marTop w:val="0"/>
      <w:marBottom w:val="0"/>
      <w:divBdr>
        <w:top w:val="none" w:sz="0" w:space="0" w:color="auto"/>
        <w:left w:val="none" w:sz="0" w:space="0" w:color="auto"/>
        <w:bottom w:val="none" w:sz="0" w:space="0" w:color="auto"/>
        <w:right w:val="none" w:sz="0" w:space="0" w:color="auto"/>
      </w:divBdr>
    </w:div>
    <w:div w:id="54722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sv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2108350@student.uwtsd.ac.uk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cc8b78e30343e8ba125077d42c004ce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4a7fb23ee51629a757f7157bc2f4b98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2B10D0-D128-495D-8CF4-28E7844939E1}">
  <ds:schemaRefs>
    <ds:schemaRef ds:uri="http://schemas.openxmlformats.org/officeDocument/2006/bibliography"/>
  </ds:schemaRefs>
</ds:datastoreItem>
</file>

<file path=customXml/itemProps3.xml><?xml version="1.0" encoding="utf-8"?>
<ds:datastoreItem xmlns:ds="http://schemas.openxmlformats.org/officeDocument/2006/customXml" ds:itemID="{4E2DC10B-BC93-4C3E-A756-B7808886CBA4}">
  <ds:schemaRefs>
    <ds:schemaRef ds:uri="be49ff73-cec0-4379-9da8-63ff3cc411bb"/>
    <ds:schemaRef ds:uri="http://purl.org/dc/elements/1.1/"/>
    <ds:schemaRef ds:uri="90b58af8-24e5-4252-ab67-b2f2985aee88"/>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4765191A-1E07-4D47-B7AE-EA042C561450}">
  <ds:schemaRefs>
    <ds:schemaRef ds:uri="http://schemas.microsoft.com/sharepoint/v3/contenttype/forms"/>
  </ds:schemaRefs>
</ds:datastoreItem>
</file>

<file path=customXml/itemProps5.xml><?xml version="1.0" encoding="utf-8"?>
<ds:datastoreItem xmlns:ds="http://schemas.openxmlformats.org/officeDocument/2006/customXml" ds:itemID="{3D088506-936B-468D-96E9-202BE72BF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17</Pages>
  <Words>2981</Words>
  <Characters>16996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Current Issues in taxation - 
Making Tax Digital for all Tax Types</dc:title>
  <dc:subject>Taxation (BMBM5019)</dc:subject>
  <dc:creator>Marta Kaminska</dc:creator>
  <cp:keywords/>
  <dc:description/>
  <cp:lastModifiedBy>Marta Kaminska</cp:lastModifiedBy>
  <cp:revision>24</cp:revision>
  <dcterms:created xsi:type="dcterms:W3CDTF">2023-03-30T06:49:00Z</dcterms:created>
  <dcterms:modified xsi:type="dcterms:W3CDTF">2023-03-31T15:29:00Z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