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480042" w14:textId="417E6CE3" w:rsidR="002C183B" w:rsidRDefault="00151677" w:rsidP="00AF0346">
      <w:pPr>
        <w:spacing w:line="240" w:lineRule="auto"/>
        <w:contextualSpacing/>
      </w:pPr>
      <w:r>
        <w:t xml:space="preserve">Consent is a critical component </w:t>
      </w:r>
      <w:r w:rsidR="00912ECE">
        <w:t>that protects the right of individuals to shield them from unwanted and non permitted contact from another person. This is to say that consent acts a</w:t>
      </w:r>
      <w:r w:rsidR="00A035AB">
        <w:t>s a</w:t>
      </w:r>
      <w:r w:rsidR="00912ECE">
        <w:t xml:space="preserve"> barrier</w:t>
      </w:r>
      <w:r w:rsidR="00A035AB">
        <w:t xml:space="preserve">, </w:t>
      </w:r>
      <w:r w:rsidR="00912ECE">
        <w:t xml:space="preserve">where two or more people must verbally agree with </w:t>
      </w:r>
      <w:r w:rsidR="00A035AB">
        <w:t>each other</w:t>
      </w:r>
      <w:r w:rsidR="00912ECE">
        <w:t xml:space="preserve">, giving clear and affirmative </w:t>
      </w:r>
      <w:r w:rsidR="00A035AB">
        <w:t>permission for an action to occur</w:t>
      </w:r>
      <w:r w:rsidR="0026716B">
        <w:t xml:space="preserve">. Consent is generally understood </w:t>
      </w:r>
      <w:r w:rsidR="00A954F5">
        <w:t>as being a verbal a</w:t>
      </w:r>
      <w:r w:rsidR="00B910EB">
        <w:t xml:space="preserve">pproval </w:t>
      </w:r>
      <w:r w:rsidR="00A035AB">
        <w:t xml:space="preserve">such </w:t>
      </w:r>
      <w:r w:rsidR="0026716B">
        <w:t>as</w:t>
      </w:r>
      <w:r w:rsidR="00A954F5">
        <w:t xml:space="preserve"> that of</w:t>
      </w:r>
      <w:r w:rsidR="00A035AB">
        <w:t xml:space="preserve"> </w:t>
      </w:r>
      <w:r w:rsidR="00292019">
        <w:t>sexual consent</w:t>
      </w:r>
      <w:r w:rsidR="00B962D3">
        <w:t>,</w:t>
      </w:r>
      <w:r w:rsidR="0026716B">
        <w:t xml:space="preserve"> which is to be used as a </w:t>
      </w:r>
      <w:r w:rsidR="00292019">
        <w:t>permission between two or more people to engage in sexual activities with one another</w:t>
      </w:r>
      <w:r w:rsidR="00B962D3">
        <w:t>,</w:t>
      </w:r>
      <w:r w:rsidR="0026716B">
        <w:t xml:space="preserve"> and</w:t>
      </w:r>
      <w:r w:rsidR="00292019">
        <w:t xml:space="preserve"> </w:t>
      </w:r>
      <w:r w:rsidR="0026716B">
        <w:t>medical</w:t>
      </w:r>
      <w:r w:rsidR="00292019">
        <w:t xml:space="preserve"> consent</w:t>
      </w:r>
      <w:r w:rsidR="0026716B">
        <w:t xml:space="preserve"> essentially being the </w:t>
      </w:r>
      <w:r w:rsidR="000A0731">
        <w:t>approval of a patient to receive treatment via trusted medical professionals</w:t>
      </w:r>
      <w:r w:rsidR="0026716B">
        <w:t>. However, consent has more uses than just</w:t>
      </w:r>
      <w:r w:rsidR="009E0AD2">
        <w:t xml:space="preserve"> these two general </w:t>
      </w:r>
      <w:r w:rsidR="00763FE4">
        <w:t>legal interpretations</w:t>
      </w:r>
      <w:r w:rsidR="00476A36">
        <w:t xml:space="preserve">, </w:t>
      </w:r>
      <w:r w:rsidR="00763FE4">
        <w:t>as consent can cover a much wider range of legal liabilities, including but not limited to that of</w:t>
      </w:r>
      <w:r w:rsidR="00584B3B">
        <w:t xml:space="preserve"> cases involving</w:t>
      </w:r>
      <w:r w:rsidR="00763FE4">
        <w:t xml:space="preserve"> battery</w:t>
      </w:r>
      <w:r w:rsidR="00584B3B">
        <w:t>.</w:t>
      </w:r>
    </w:p>
    <w:p w14:paraId="7CA4129C" w14:textId="77777777" w:rsidR="007229E1" w:rsidRDefault="00B92244" w:rsidP="00AF0346">
      <w:pPr>
        <w:spacing w:line="240" w:lineRule="auto"/>
        <w:contextualSpacing/>
      </w:pPr>
      <w:r>
        <w:t xml:space="preserve">The purpose of this essay is to </w:t>
      </w:r>
      <w:r w:rsidR="00BB04C9">
        <w:t xml:space="preserve">create a clear and precise portrayal of how consent plays a crucial role in our modern society, and how </w:t>
      </w:r>
      <w:r w:rsidR="00B74989">
        <w:t xml:space="preserve">consent involving cases such as that of battery can </w:t>
      </w:r>
      <w:r w:rsidR="00921087">
        <w:t>affect</w:t>
      </w:r>
      <w:r w:rsidR="00B74989">
        <w:t xml:space="preserve"> </w:t>
      </w:r>
      <w:r w:rsidR="007F3E5C">
        <w:t>the general public as well as that of the Police.</w:t>
      </w:r>
    </w:p>
    <w:p w14:paraId="6B4DFF6E" w14:textId="77777777" w:rsidR="00B20D87" w:rsidRDefault="00B20D87" w:rsidP="00AF0346">
      <w:pPr>
        <w:spacing w:line="240" w:lineRule="auto"/>
        <w:contextualSpacing/>
      </w:pPr>
    </w:p>
    <w:p w14:paraId="6839280A" w14:textId="3457EBE0" w:rsidR="00B20D87" w:rsidRDefault="00B20D87" w:rsidP="00AF0346">
      <w:pPr>
        <w:spacing w:line="240" w:lineRule="auto"/>
        <w:contextualSpacing/>
      </w:pPr>
      <w:r>
        <w:t>Consent has many legal definitions, one example of consent as defined by section 74 of the Sexual Offences Act 2003</w:t>
      </w:r>
      <w:r w:rsidR="000D23F2">
        <w:t xml:space="preserve"> (and </w:t>
      </w:r>
      <w:r w:rsidR="000B3F90">
        <w:t>as stated by the NHS)</w:t>
      </w:r>
      <w:r w:rsidR="004B0867">
        <w:t xml:space="preserve"> is when </w:t>
      </w:r>
      <w:r w:rsidR="000E1926">
        <w:t>an</w:t>
      </w:r>
      <w:r w:rsidR="000E1926" w:rsidRPr="000E1926">
        <w:t xml:space="preserve"> individual provide</w:t>
      </w:r>
      <w:r w:rsidR="000E1926">
        <w:t>s</w:t>
      </w:r>
      <w:r w:rsidR="000E1926" w:rsidRPr="000E1926">
        <w:t xml:space="preserve"> their permission to vaginal, anal, or oral penetration</w:t>
      </w:r>
      <w:r w:rsidR="000E1926">
        <w:t>. Done</w:t>
      </w:r>
      <w:r w:rsidR="000E1926" w:rsidRPr="000E1926">
        <w:t xml:space="preserve"> </w:t>
      </w:r>
      <w:r w:rsidR="00E7329B">
        <w:t xml:space="preserve">only if he / she </w:t>
      </w:r>
      <w:r w:rsidR="000E1926" w:rsidRPr="000E1926">
        <w:t>voluntarily agree to it and have the ability and freedom to do so.</w:t>
      </w:r>
      <w:r w:rsidR="00E7329B">
        <w:t xml:space="preserve"> </w:t>
      </w:r>
      <w:r w:rsidR="00523E8B">
        <w:t>An interesting section of that text would be the “ability and freedom to do so”, or as directly stated by the NHS</w:t>
      </w:r>
      <w:r w:rsidR="00D3741C">
        <w:t xml:space="preserve"> as the</w:t>
      </w:r>
      <w:r w:rsidR="00523E8B">
        <w:t xml:space="preserve"> </w:t>
      </w:r>
      <w:r w:rsidR="0081520B">
        <w:rPr>
          <w:i/>
          <w:iCs/>
        </w:rPr>
        <w:t xml:space="preserve">“freedom and capacity to make that </w:t>
      </w:r>
      <w:r w:rsidR="00D3741C">
        <w:rPr>
          <w:i/>
          <w:iCs/>
        </w:rPr>
        <w:t>choice”</w:t>
      </w:r>
      <w:r w:rsidR="00D3741C">
        <w:t xml:space="preserve">. Essentially clarifying that the individual must have the </w:t>
      </w:r>
      <w:r w:rsidR="00C33ECA">
        <w:t xml:space="preserve">correct </w:t>
      </w:r>
      <w:r w:rsidR="00707709">
        <w:t>mental capacity</w:t>
      </w:r>
      <w:r w:rsidR="00C33ECA">
        <w:t xml:space="preserve"> to make a sound judgment, </w:t>
      </w:r>
      <w:r w:rsidR="007F3CDB">
        <w:t>as well</w:t>
      </w:r>
      <w:r w:rsidR="00C33ECA">
        <w:t xml:space="preserve"> as</w:t>
      </w:r>
      <w:r w:rsidR="006F2794">
        <w:t xml:space="preserve"> the freedom, suggesting that consent can be </w:t>
      </w:r>
      <w:r w:rsidR="00A15F13">
        <w:t>given, not given and revered.</w:t>
      </w:r>
    </w:p>
    <w:p w14:paraId="3599AECF" w14:textId="40E14351" w:rsidR="00A15F13" w:rsidRDefault="00874FC2" w:rsidP="00AF0346">
      <w:pPr>
        <w:spacing w:line="240" w:lineRule="auto"/>
        <w:contextualSpacing/>
      </w:pPr>
      <w:r>
        <w:t xml:space="preserve">Consent also heavily applies to age, as in England and Wales, and as according to </w:t>
      </w:r>
      <w:r w:rsidR="00D7050B">
        <w:t>Rape Crisis</w:t>
      </w:r>
      <w:r w:rsidR="007E5E66">
        <w:t xml:space="preserve">, </w:t>
      </w:r>
      <w:r w:rsidR="00E27BCC" w:rsidRPr="00E27BCC">
        <w:t>the consenting age is sixteen. At this age, minors of any gender, sexual orientation, or both can</w:t>
      </w:r>
      <w:r w:rsidR="007E5E66">
        <w:t xml:space="preserve"> </w:t>
      </w:r>
      <w:r w:rsidR="00E27BCC" w:rsidRPr="00E27BCC">
        <w:t>agree to engaging in sexual behaviour</w:t>
      </w:r>
      <w:r w:rsidR="008D5CB6">
        <w:t xml:space="preserve">. There is a massive disagreement about the age of consent in the United Kingdom, with some people believing sixteen is old enough and </w:t>
      </w:r>
      <w:r w:rsidR="003F1E1E">
        <w:t xml:space="preserve">others believing eighteen is the correct age. </w:t>
      </w:r>
      <w:r w:rsidR="006132AE">
        <w:t xml:space="preserve">This is backed by </w:t>
      </w:r>
      <w:r w:rsidR="008C586D">
        <w:t xml:space="preserve">the National Institute of Mental health, who state </w:t>
      </w:r>
      <w:r w:rsidR="008C586D">
        <w:rPr>
          <w:i/>
          <w:iCs/>
        </w:rPr>
        <w:t>“the brain finishes developing and maturing in the mid to late 20’s”</w:t>
      </w:r>
      <w:r w:rsidR="008C586D">
        <w:t>, this could be a serious counter argument to the idea of consent at sixteen.</w:t>
      </w:r>
    </w:p>
    <w:p w14:paraId="62B569FB" w14:textId="77777777" w:rsidR="005E58AE" w:rsidRDefault="005E58AE" w:rsidP="00AF0346">
      <w:pPr>
        <w:spacing w:line="240" w:lineRule="auto"/>
        <w:contextualSpacing/>
      </w:pPr>
    </w:p>
    <w:p w14:paraId="451A6923" w14:textId="15748B6A" w:rsidR="005E58AE" w:rsidRDefault="005E58AE" w:rsidP="00AF0346">
      <w:pPr>
        <w:spacing w:line="240" w:lineRule="auto"/>
        <w:contextualSpacing/>
      </w:pPr>
      <w:r>
        <w:t xml:space="preserve">Another form of consent would be that of non-sexual consent, most prevalent is cases involving battery. This form of consent relies heavily on the idea that non permitted contact is </w:t>
      </w:r>
      <w:r w:rsidR="007E6062">
        <w:t>assault.</w:t>
      </w:r>
    </w:p>
    <w:p w14:paraId="2CD27116" w14:textId="77777777" w:rsidR="005F5A6B" w:rsidRDefault="005F5A6B" w:rsidP="00AF0346">
      <w:pPr>
        <w:spacing w:line="240" w:lineRule="auto"/>
        <w:contextualSpacing/>
      </w:pPr>
    </w:p>
    <w:p w14:paraId="32191399" w14:textId="5238A726" w:rsidR="005F5A6B" w:rsidRPr="002107E5" w:rsidRDefault="001E5736" w:rsidP="00AF0346">
      <w:pPr>
        <w:spacing w:line="240" w:lineRule="auto"/>
        <w:contextualSpacing/>
      </w:pPr>
      <w:r>
        <w:t>The only form of valid consent is a clear and defined “yes”</w:t>
      </w:r>
      <w:r w:rsidR="00905329">
        <w:t xml:space="preserve"> as according to Willette (2016)</w:t>
      </w:r>
      <w:r w:rsidR="000D2CCA">
        <w:t xml:space="preserve">. </w:t>
      </w:r>
      <w:r w:rsidR="000D3FE5">
        <w:t xml:space="preserve">It should also be noted that </w:t>
      </w:r>
      <w:r w:rsidR="00F220C4">
        <w:t>silence is</w:t>
      </w:r>
      <w:r w:rsidR="00837ED3">
        <w:t xml:space="preserve"> not</w:t>
      </w:r>
      <w:r w:rsidR="00F220C4">
        <w:t xml:space="preserve"> consent</w:t>
      </w:r>
      <w:r w:rsidR="00F220C4" w:rsidRPr="00191992">
        <w:t xml:space="preserve">, </w:t>
      </w:r>
      <w:r w:rsidR="002F2526">
        <w:t xml:space="preserve">as stated properly by </w:t>
      </w:r>
      <w:r w:rsidR="005D7D69">
        <w:t xml:space="preserve">Global Citizen </w:t>
      </w:r>
      <w:r w:rsidR="005D7D69" w:rsidRPr="005D7D69">
        <w:rPr>
          <w:i/>
          <w:iCs/>
        </w:rPr>
        <w:t>“</w:t>
      </w:r>
      <w:r w:rsidR="00191992" w:rsidRPr="005D7D69">
        <w:rPr>
          <w:rFonts w:cstheme="minorHAnsi"/>
          <w:i/>
          <w:iCs/>
          <w:shd w:val="clear" w:color="auto" w:fill="FFFFFF"/>
        </w:rPr>
        <w:t xml:space="preserve">If they say ‘no’ it means ‘no,’ and if they don’t say ‘yes,’ it means no”. </w:t>
      </w:r>
      <w:r w:rsidR="002107E5">
        <w:t>Another understanding of consent as defined by</w:t>
      </w:r>
      <w:r w:rsidR="00DA50D0">
        <w:t xml:space="preserve"> Mental Health at </w:t>
      </w:r>
      <w:r w:rsidR="00E07172">
        <w:t>Home (2019)</w:t>
      </w:r>
      <w:r w:rsidR="002107E5">
        <w:t xml:space="preserve"> is that consent is </w:t>
      </w:r>
      <w:r w:rsidR="002107E5">
        <w:rPr>
          <w:i/>
          <w:iCs/>
        </w:rPr>
        <w:t>“clear, coherent, willing and ongoing”</w:t>
      </w:r>
      <w:r w:rsidR="002107E5">
        <w:t>.</w:t>
      </w:r>
    </w:p>
    <w:p w14:paraId="4A2040C7" w14:textId="77777777" w:rsidR="007229E1" w:rsidRDefault="007229E1" w:rsidP="00AF0346">
      <w:pPr>
        <w:spacing w:line="240" w:lineRule="auto"/>
        <w:contextualSpacing/>
      </w:pPr>
    </w:p>
    <w:p w14:paraId="4DB597FB" w14:textId="1CB741F8" w:rsidR="007E6062" w:rsidRDefault="00D371EF" w:rsidP="00AF0346">
      <w:pPr>
        <w:spacing w:line="240" w:lineRule="auto"/>
        <w:contextualSpacing/>
      </w:pPr>
      <w:r>
        <w:t xml:space="preserve">Consent </w:t>
      </w:r>
      <w:r w:rsidR="00714A55">
        <w:t xml:space="preserve">is highly significant within </w:t>
      </w:r>
      <w:r w:rsidR="00FE6607">
        <w:t>battery</w:t>
      </w:r>
      <w:r w:rsidR="00382854">
        <w:t xml:space="preserve">, as the lack of permission can sometimes be used to justify an assault on </w:t>
      </w:r>
      <w:r w:rsidR="006235A1">
        <w:t xml:space="preserve">a </w:t>
      </w:r>
      <w:r w:rsidR="00382854">
        <w:t xml:space="preserve">person, using the lack of verbal agreement </w:t>
      </w:r>
      <w:r w:rsidR="006235A1">
        <w:t xml:space="preserve">as </w:t>
      </w:r>
      <w:r w:rsidR="00382854">
        <w:t>justification for allegation.</w:t>
      </w:r>
    </w:p>
    <w:p w14:paraId="3DE0ABAE" w14:textId="1CC407B7" w:rsidR="006235A1" w:rsidRDefault="006235A1" w:rsidP="00AF0346">
      <w:pPr>
        <w:spacing w:line="240" w:lineRule="auto"/>
        <w:contextualSpacing/>
      </w:pPr>
      <w:r>
        <w:t xml:space="preserve">Battery can simply be explained as </w:t>
      </w:r>
      <w:r w:rsidR="00EE7092">
        <w:t xml:space="preserve">harmful </w:t>
      </w:r>
      <w:r w:rsidR="0036570F" w:rsidRPr="0036570F">
        <w:t>cont</w:t>
      </w:r>
      <w:r w:rsidR="00A020E2">
        <w:t>act without permission</w:t>
      </w:r>
      <w:r w:rsidR="00C65C82">
        <w:t xml:space="preserve"> as defined by </w:t>
      </w:r>
      <w:r w:rsidR="00AC3D61">
        <w:t>biotech Law (2009)</w:t>
      </w:r>
      <w:r w:rsidR="00D91795">
        <w:t>.</w:t>
      </w:r>
      <w:r w:rsidR="00344DB6">
        <w:t xml:space="preserve"> </w:t>
      </w:r>
      <w:r w:rsidR="00D91795">
        <w:t>Battery is also listed under</w:t>
      </w:r>
      <w:r w:rsidR="00344DB6">
        <w:t xml:space="preserve"> section 39 of the criminal justice Act 1988, which defined battery as </w:t>
      </w:r>
      <w:r w:rsidR="00540DB9">
        <w:t xml:space="preserve">being an assault by </w:t>
      </w:r>
      <w:r w:rsidR="00FD7921" w:rsidRPr="00FD7921">
        <w:t xml:space="preserve">someone </w:t>
      </w:r>
      <w:r w:rsidR="00FD7921">
        <w:t xml:space="preserve">who </w:t>
      </w:r>
      <w:r w:rsidR="00FD7921" w:rsidRPr="00FD7921">
        <w:t>carelessly or purposely causes another individual to suffer or fear imminent criminal violence.</w:t>
      </w:r>
    </w:p>
    <w:p w14:paraId="44A8D548" w14:textId="46208965" w:rsidR="00095BAA" w:rsidRDefault="00FA2CAC" w:rsidP="00B174C1">
      <w:pPr>
        <w:spacing w:line="240" w:lineRule="auto"/>
        <w:contextualSpacing/>
      </w:pPr>
      <w:r>
        <w:t>Smith, Hogan</w:t>
      </w:r>
      <w:r w:rsidR="001A5A6E">
        <w:t>, Child &amp; O</w:t>
      </w:r>
      <w:r w:rsidR="00EE315F">
        <w:t>r</w:t>
      </w:r>
      <w:r w:rsidR="001A5A6E">
        <w:t>merod</w:t>
      </w:r>
      <w:r w:rsidR="0097263B">
        <w:t xml:space="preserve"> </w:t>
      </w:r>
      <w:r w:rsidR="00482067">
        <w:t>(</w:t>
      </w:r>
      <w:r w:rsidR="00983B66">
        <w:t>2017) state</w:t>
      </w:r>
      <w:r w:rsidR="00EF7DB2">
        <w:t>s</w:t>
      </w:r>
      <w:r w:rsidR="00983B66">
        <w:t xml:space="preserve"> how</w:t>
      </w:r>
      <w:r w:rsidR="002932EC">
        <w:t xml:space="preserve"> a</w:t>
      </w:r>
      <w:r w:rsidR="002932EC" w:rsidRPr="002932EC">
        <w:t>ny act in which the offender wilfully or negligently subjects the victim to illegal physical harm is considered battery.</w:t>
      </w:r>
      <w:r w:rsidR="00325918">
        <w:t xml:space="preserve"> </w:t>
      </w:r>
      <w:r w:rsidR="007F6E9F">
        <w:t xml:space="preserve">This is to say </w:t>
      </w:r>
      <w:r w:rsidR="00921087">
        <w:t xml:space="preserve">that </w:t>
      </w:r>
      <w:r w:rsidR="00210DEE">
        <w:t xml:space="preserve">cases involving unauthorised physical contact, or potentially </w:t>
      </w:r>
      <w:r w:rsidR="00B606F2">
        <w:t>contact involving object can be considered as assault (or Battery).</w:t>
      </w:r>
    </w:p>
    <w:p w14:paraId="695789CC" w14:textId="77777777" w:rsidR="00DD0218" w:rsidRDefault="00DD0218" w:rsidP="00B174C1">
      <w:pPr>
        <w:spacing w:line="240" w:lineRule="auto"/>
        <w:contextualSpacing/>
      </w:pPr>
    </w:p>
    <w:p w14:paraId="3D6C6625" w14:textId="2C3BD017" w:rsidR="00B606F2" w:rsidRDefault="007C14EE" w:rsidP="00B174C1">
      <w:pPr>
        <w:spacing w:line="240" w:lineRule="auto"/>
        <w:contextualSpacing/>
        <w:rPr>
          <w:rFonts w:cstheme="minorHAnsi"/>
        </w:rPr>
      </w:pPr>
      <w:r>
        <w:t xml:space="preserve">That being said, </w:t>
      </w:r>
      <w:r w:rsidR="006E588D">
        <w:t>m</w:t>
      </w:r>
      <w:r w:rsidR="00B606F2">
        <w:t xml:space="preserve">ost cases have a clear understanding of how assault is played out, however an interesting case between </w:t>
      </w:r>
      <w:r w:rsidR="00B606F2" w:rsidRPr="00B606F2">
        <w:rPr>
          <w:rFonts w:cstheme="minorHAnsi"/>
        </w:rPr>
        <w:t>Collins V Willcock [1984]</w:t>
      </w:r>
      <w:r w:rsidR="00B606F2">
        <w:rPr>
          <w:rFonts w:cstheme="minorHAnsi"/>
        </w:rPr>
        <w:t xml:space="preserve"> gives us a different insight to that of battery.</w:t>
      </w:r>
    </w:p>
    <w:p w14:paraId="5A3FC47E" w14:textId="3E728D63" w:rsidR="00B606F2" w:rsidRDefault="00AF2FE5" w:rsidP="00B174C1">
      <w:pPr>
        <w:spacing w:line="240" w:lineRule="auto"/>
        <w:contextualSpacing/>
        <w:rPr>
          <w:rFonts w:cstheme="minorHAnsi"/>
        </w:rPr>
      </w:pPr>
      <w:r>
        <w:rPr>
          <w:rFonts w:cstheme="minorHAnsi"/>
        </w:rPr>
        <w:t>According to Law Teacher (2021) t</w:t>
      </w:r>
      <w:r w:rsidR="00B606F2">
        <w:rPr>
          <w:rFonts w:cstheme="minorHAnsi"/>
        </w:rPr>
        <w:t xml:space="preserve">he case essentially consists of how a Police officer unlawfully </w:t>
      </w:r>
      <w:r w:rsidR="009A14C5">
        <w:rPr>
          <w:rFonts w:cstheme="minorHAnsi"/>
        </w:rPr>
        <w:t xml:space="preserve">grabbed and detained a supposed prostitute before being assaulted </w:t>
      </w:r>
      <w:r w:rsidR="002631CB">
        <w:rPr>
          <w:rFonts w:cstheme="minorHAnsi"/>
        </w:rPr>
        <w:t>themself</w:t>
      </w:r>
      <w:r w:rsidR="009A14C5">
        <w:rPr>
          <w:rFonts w:cstheme="minorHAnsi"/>
        </w:rPr>
        <w:t xml:space="preserve">. The courts </w:t>
      </w:r>
      <w:r w:rsidR="009A14C5">
        <w:rPr>
          <w:rFonts w:cstheme="minorHAnsi"/>
        </w:rPr>
        <w:lastRenderedPageBreak/>
        <w:t xml:space="preserve">determined the Police officer wrongfully </w:t>
      </w:r>
      <w:r w:rsidR="00504632">
        <w:rPr>
          <w:rFonts w:cstheme="minorHAnsi"/>
        </w:rPr>
        <w:t xml:space="preserve">detained the </w:t>
      </w:r>
      <w:r w:rsidR="009C79E8">
        <w:rPr>
          <w:rFonts w:cstheme="minorHAnsi"/>
        </w:rPr>
        <w:t>defendant and</w:t>
      </w:r>
      <w:r w:rsidR="00504632">
        <w:rPr>
          <w:rFonts w:cstheme="minorHAnsi"/>
        </w:rPr>
        <w:t xml:space="preserve"> was </w:t>
      </w:r>
      <w:r w:rsidR="001041E8">
        <w:rPr>
          <w:rFonts w:cstheme="minorHAnsi"/>
        </w:rPr>
        <w:t xml:space="preserve">subsequently </w:t>
      </w:r>
      <w:r w:rsidR="00504632">
        <w:rPr>
          <w:rFonts w:cstheme="minorHAnsi"/>
        </w:rPr>
        <w:t>charged with Battery.</w:t>
      </w:r>
    </w:p>
    <w:p w14:paraId="00513FE0" w14:textId="3293E6CB" w:rsidR="00504632" w:rsidRDefault="00504632" w:rsidP="00B174C1">
      <w:pPr>
        <w:spacing w:line="240" w:lineRule="auto"/>
        <w:contextualSpacing/>
        <w:rPr>
          <w:rFonts w:cstheme="minorHAnsi"/>
        </w:rPr>
      </w:pPr>
      <w:r>
        <w:rPr>
          <w:rFonts w:cstheme="minorHAnsi"/>
        </w:rPr>
        <w:t xml:space="preserve">This example gives us insight into how </w:t>
      </w:r>
      <w:r w:rsidR="009C79E8">
        <w:rPr>
          <w:rFonts w:cstheme="minorHAnsi"/>
        </w:rPr>
        <w:t>consent</w:t>
      </w:r>
      <w:r>
        <w:rPr>
          <w:rFonts w:cstheme="minorHAnsi"/>
        </w:rPr>
        <w:t xml:space="preserve">, especially that included in cases such as battery can </w:t>
      </w:r>
      <w:r w:rsidR="009C79E8">
        <w:rPr>
          <w:rFonts w:cstheme="minorHAnsi"/>
        </w:rPr>
        <w:t>affect</w:t>
      </w:r>
      <w:r>
        <w:rPr>
          <w:rFonts w:cstheme="minorHAnsi"/>
        </w:rPr>
        <w:t xml:space="preserve"> everyone in society, </w:t>
      </w:r>
      <w:r w:rsidR="009C79E8">
        <w:rPr>
          <w:rFonts w:cstheme="minorHAnsi"/>
        </w:rPr>
        <w:t>particularly</w:t>
      </w:r>
      <w:r w:rsidR="00336BD2">
        <w:rPr>
          <w:rFonts w:cstheme="minorHAnsi"/>
        </w:rPr>
        <w:t xml:space="preserve"> </w:t>
      </w:r>
      <w:r w:rsidR="009C79E8">
        <w:rPr>
          <w:rFonts w:cstheme="minorHAnsi"/>
        </w:rPr>
        <w:t>that of the Police; effecting how they must manage their force and conduct day to day operations.</w:t>
      </w:r>
    </w:p>
    <w:p w14:paraId="4CFEE935" w14:textId="77777777" w:rsidR="004755C4" w:rsidRDefault="004755C4" w:rsidP="00B174C1">
      <w:pPr>
        <w:spacing w:line="240" w:lineRule="auto"/>
        <w:contextualSpacing/>
        <w:rPr>
          <w:rFonts w:cstheme="minorHAnsi"/>
        </w:rPr>
      </w:pPr>
    </w:p>
    <w:p w14:paraId="0600EDDA" w14:textId="1040D0BB" w:rsidR="004755C4" w:rsidRDefault="004755C4" w:rsidP="00B174C1">
      <w:pPr>
        <w:spacing w:line="240" w:lineRule="auto"/>
        <w:contextualSpacing/>
      </w:pPr>
      <w:r>
        <w:rPr>
          <w:rFonts w:cstheme="minorHAnsi"/>
        </w:rPr>
        <w:t>In another case involving a Police officer,</w:t>
      </w:r>
      <w:r w:rsidR="00B7381F">
        <w:rPr>
          <w:rFonts w:cstheme="minorHAnsi"/>
        </w:rPr>
        <w:t xml:space="preserve"> Santana – Bermudez v DPP [2004]</w:t>
      </w:r>
      <w:r w:rsidR="001127C1">
        <w:rPr>
          <w:rFonts w:cstheme="minorHAnsi"/>
        </w:rPr>
        <w:t xml:space="preserve">, a Police officer was injured </w:t>
      </w:r>
      <w:r w:rsidR="00276F20">
        <w:rPr>
          <w:rFonts w:cstheme="minorHAnsi"/>
        </w:rPr>
        <w:t xml:space="preserve">by a sharp needle </w:t>
      </w:r>
      <w:r w:rsidR="001127C1">
        <w:rPr>
          <w:rFonts w:cstheme="minorHAnsi"/>
        </w:rPr>
        <w:t>after searching</w:t>
      </w:r>
      <w:r w:rsidR="00276F20">
        <w:rPr>
          <w:rFonts w:cstheme="minorHAnsi"/>
        </w:rPr>
        <w:t xml:space="preserve"> a man who before told the officer he had nothing in his pockets, the courts ruled this as battery. This case goes to show that battery does not necessarily </w:t>
      </w:r>
      <w:r w:rsidR="00071F6C">
        <w:rPr>
          <w:rFonts w:cstheme="minorHAnsi"/>
        </w:rPr>
        <w:t>have to be inflicted by the defendant, it can sprout from an involuntary action, such as lying about an object that could hurt an officer whilst conducting a search.</w:t>
      </w:r>
      <w:r w:rsidR="00056A20">
        <w:rPr>
          <w:rFonts w:cstheme="minorHAnsi"/>
        </w:rPr>
        <w:t xml:space="preserve"> Whilst the defendant gave consent to search, he failed to alert the officer to</w:t>
      </w:r>
      <w:r w:rsidR="00B56E77">
        <w:rPr>
          <w:rFonts w:cstheme="minorHAnsi"/>
        </w:rPr>
        <w:t xml:space="preserve"> a potential safety risk.</w:t>
      </w:r>
    </w:p>
    <w:p w14:paraId="6F49CB1B" w14:textId="4BCC2FDA" w:rsidR="00095BAA" w:rsidRDefault="00095BAA" w:rsidP="00B174C1">
      <w:pPr>
        <w:spacing w:line="240" w:lineRule="auto"/>
        <w:contextualSpacing/>
      </w:pPr>
    </w:p>
    <w:p w14:paraId="194CCA9A" w14:textId="2E117126" w:rsidR="00B6572A" w:rsidRDefault="00071131" w:rsidP="00B174C1">
      <w:pPr>
        <w:spacing w:line="240" w:lineRule="auto"/>
        <w:contextualSpacing/>
      </w:pPr>
      <w:r>
        <w:t xml:space="preserve">Consent within battery cases, especially in the cases above, demonstrates </w:t>
      </w:r>
      <w:r w:rsidR="00C60753">
        <w:t>its justified significance. Able to sway a case from that of an officer being assaulted, to an officer assaulting.</w:t>
      </w:r>
    </w:p>
    <w:p w14:paraId="08B790C0" w14:textId="686D0EBA" w:rsidR="00C60753" w:rsidRDefault="00C60753" w:rsidP="00B174C1">
      <w:pPr>
        <w:spacing w:line="240" w:lineRule="auto"/>
        <w:contextualSpacing/>
      </w:pPr>
      <w:r>
        <w:t>Consent is absolutely vital, not only for Police officers but also for the general public.</w:t>
      </w:r>
    </w:p>
    <w:p w14:paraId="36A7E0DF" w14:textId="77777777" w:rsidR="005E5836" w:rsidRDefault="005E5836" w:rsidP="00B174C1">
      <w:pPr>
        <w:spacing w:line="240" w:lineRule="auto"/>
        <w:contextualSpacing/>
      </w:pPr>
    </w:p>
    <w:p w14:paraId="25A99E01" w14:textId="4D1E6592" w:rsidR="00B33612" w:rsidRDefault="005E5836" w:rsidP="00B174C1">
      <w:pPr>
        <w:spacing w:line="240" w:lineRule="auto"/>
        <w:contextualSpacing/>
      </w:pPr>
      <w:r>
        <w:t>The</w:t>
      </w:r>
      <w:r w:rsidR="00274E5D">
        <w:t>re is a thin line between that of consensual activities and battery, this is because even with consent some acts are still illegal. Take for instance what we discussed earlier, how individuals under the age of sixteen cannot consent to someone over the age of eighteen for instance, this is because the law clearly defined people under the age of sixteen as children and not mentally developed enough to consent</w:t>
      </w:r>
      <w:r w:rsidR="002359CC">
        <w:t xml:space="preserve">. </w:t>
      </w:r>
      <w:r w:rsidR="007D5FD8">
        <w:t>However,</w:t>
      </w:r>
      <w:r w:rsidR="002359CC">
        <w:t xml:space="preserve"> there are different examples of this, according to Gov.uk </w:t>
      </w:r>
      <w:r w:rsidR="008D30F6">
        <w:t xml:space="preserve">no person </w:t>
      </w:r>
      <w:proofErr w:type="gramStart"/>
      <w:r w:rsidR="008D30F6">
        <w:t>is able to</w:t>
      </w:r>
      <w:proofErr w:type="gramEnd"/>
      <w:r w:rsidR="008D30F6">
        <w:t xml:space="preserve"> consent to the infliction of </w:t>
      </w:r>
      <w:r w:rsidR="00010656">
        <w:t xml:space="preserve">bodily </w:t>
      </w:r>
      <w:r w:rsidR="008D30F6">
        <w:t>harm</w:t>
      </w:r>
      <w:r w:rsidR="00714931" w:rsidRPr="00714931">
        <w:t xml:space="preserve"> </w:t>
      </w:r>
      <w:r w:rsidR="007D5FD8" w:rsidRPr="00714931">
        <w:t>to</w:t>
      </w:r>
      <w:r w:rsidR="00714931" w:rsidRPr="00714931">
        <w:t xml:space="preserve"> get sexual fulfilment</w:t>
      </w:r>
      <w:r w:rsidR="00010656">
        <w:t>. This refers to</w:t>
      </w:r>
      <w:r w:rsidR="00714931" w:rsidRPr="00714931">
        <w:t xml:space="preserve"> real bodily damage, other more serious injuries, or</w:t>
      </w:r>
      <w:r w:rsidR="00010656">
        <w:t xml:space="preserve"> possibly even in their own death.</w:t>
      </w:r>
    </w:p>
    <w:p w14:paraId="0CC9EA50" w14:textId="280E7C2B" w:rsidR="00010656" w:rsidRDefault="007D5FD8" w:rsidP="00B174C1">
      <w:pPr>
        <w:spacing w:line="240" w:lineRule="auto"/>
        <w:contextualSpacing/>
      </w:pPr>
      <w:r>
        <w:t>This essentially means that no one person can request to be hurt or killed even if it is their wish, and consent is agreed upon by both partners.</w:t>
      </w:r>
      <w:r w:rsidR="00AD3DE2">
        <w:t xml:space="preserve"> This is where the line between consent and battery lies, or even consent and murder.</w:t>
      </w:r>
    </w:p>
    <w:p w14:paraId="72FDFA29" w14:textId="77777777" w:rsidR="00AD3DE2" w:rsidRDefault="00AD3DE2" w:rsidP="00B174C1">
      <w:pPr>
        <w:spacing w:line="240" w:lineRule="auto"/>
        <w:contextualSpacing/>
      </w:pPr>
    </w:p>
    <w:p w14:paraId="2B08A38F" w14:textId="01015398" w:rsidR="001808EA" w:rsidRDefault="008C6FA2" w:rsidP="00B174C1">
      <w:pPr>
        <w:spacing w:line="240" w:lineRule="auto"/>
        <w:contextualSpacing/>
      </w:pPr>
      <w:r>
        <w:t>This is widely agreed upon in section 71 of the Domestic Abuse Act 2021</w:t>
      </w:r>
      <w:r w:rsidR="00F02C53">
        <w:t>, which according to CPS (2021) states that</w:t>
      </w:r>
      <w:r w:rsidR="008D0016">
        <w:t xml:space="preserve"> f</w:t>
      </w:r>
      <w:r w:rsidR="008D0016" w:rsidRPr="008D0016">
        <w:t xml:space="preserve">or the purpose of achieving sexual enjoyment, a person cannot agree to the inflicting of damage that causes ABH </w:t>
      </w:r>
      <w:r w:rsidR="006A1A23">
        <w:t xml:space="preserve">(Assault or Battery that causes Harm) </w:t>
      </w:r>
      <w:r w:rsidR="008D0016" w:rsidRPr="008D0016">
        <w:t>or other more serious injur</w:t>
      </w:r>
      <w:r w:rsidR="006A1A23">
        <w:t>ies.</w:t>
      </w:r>
      <w:r w:rsidR="001808EA">
        <w:t xml:space="preserve"> This Act was justified over the case of R v Brown [1993].</w:t>
      </w:r>
    </w:p>
    <w:p w14:paraId="7A207EB8" w14:textId="77777777" w:rsidR="008A0FC2" w:rsidRDefault="008A0FC2" w:rsidP="00B174C1">
      <w:pPr>
        <w:spacing w:line="240" w:lineRule="auto"/>
        <w:contextualSpacing/>
      </w:pPr>
    </w:p>
    <w:p w14:paraId="6140D1DE" w14:textId="33197470" w:rsidR="008A0FC2" w:rsidRDefault="00AE554E" w:rsidP="00B174C1">
      <w:pPr>
        <w:spacing w:line="240" w:lineRule="auto"/>
        <w:contextualSpacing/>
      </w:pPr>
      <w:r>
        <w:t>However</w:t>
      </w:r>
      <w:r w:rsidR="00D855F5">
        <w:t xml:space="preserve"> </w:t>
      </w:r>
      <w:r w:rsidR="00612135">
        <w:t>many clear and defined examples of how consent can be used in cases such as that of battery, there are a numerous amount of so called ‘grey areas’</w:t>
      </w:r>
      <w:r>
        <w:t xml:space="preserve">, of which a blanket term of consent fails its very own definition. One example of </w:t>
      </w:r>
      <w:r w:rsidR="002B404B">
        <w:t>one of these ‘grey areas’ would be that of the space between consensual sex and non consensual sex, as it remains largely undiscussed.</w:t>
      </w:r>
      <w:r w:rsidR="00CF4EDC">
        <w:t xml:space="preserve"> Smith (2019) calls this space the </w:t>
      </w:r>
      <w:r w:rsidR="00CF4EDC">
        <w:rPr>
          <w:i/>
          <w:iCs/>
        </w:rPr>
        <w:t>“Grey Rape”</w:t>
      </w:r>
      <w:r w:rsidR="00CF4EDC">
        <w:t xml:space="preserve">, </w:t>
      </w:r>
      <w:r w:rsidR="00833CB2">
        <w:t>going on to define one example as when both couples are too drunk to remember who gave consent, or if it was given.</w:t>
      </w:r>
    </w:p>
    <w:p w14:paraId="3BA44B45" w14:textId="77777777" w:rsidR="009C7893" w:rsidRDefault="009C7893" w:rsidP="00B174C1">
      <w:pPr>
        <w:spacing w:line="240" w:lineRule="auto"/>
        <w:contextualSpacing/>
      </w:pPr>
    </w:p>
    <w:p w14:paraId="7836A7A8" w14:textId="03C6C457" w:rsidR="009C7893" w:rsidRDefault="009C7893" w:rsidP="00B174C1">
      <w:pPr>
        <w:spacing w:line="240" w:lineRule="auto"/>
        <w:contextualSpacing/>
      </w:pPr>
      <w:r>
        <w:t xml:space="preserve">This can also be applied to </w:t>
      </w:r>
      <w:r w:rsidR="00AE328C">
        <w:t>cases that involve battery, as if both individuals were so drunk as to where neither could remember who hit who first for example, then the legal outcome could be unbalanced, leading to the case potentially being dismissed with a lack of evidence.</w:t>
      </w:r>
    </w:p>
    <w:p w14:paraId="351C53BD" w14:textId="77777777" w:rsidR="00AE328C" w:rsidRDefault="00AE328C" w:rsidP="00B174C1">
      <w:pPr>
        <w:spacing w:line="240" w:lineRule="auto"/>
        <w:contextualSpacing/>
      </w:pPr>
    </w:p>
    <w:p w14:paraId="1D2CFDAD" w14:textId="37570B0B" w:rsidR="00AE328C" w:rsidRDefault="00FC2B70" w:rsidP="00B174C1">
      <w:pPr>
        <w:spacing w:line="240" w:lineRule="auto"/>
        <w:contextualSpacing/>
      </w:pPr>
      <w:r>
        <w:t>All</w:t>
      </w:r>
      <w:r w:rsidR="00AE328C">
        <w:t xml:space="preserve"> these points illustrate how consent is absolutely vital, not only between a </w:t>
      </w:r>
      <w:r w:rsidR="00DB51B5">
        <w:t>couple but for all legal cases involving assault and battery. This is especially so for the Police, who need to train their officers to respond non violently in situations accordingly</w:t>
      </w:r>
      <w:r w:rsidR="009E023C">
        <w:t>. Otherwise in situations such as that seen in cases like</w:t>
      </w:r>
      <w:r>
        <w:t xml:space="preserve"> </w:t>
      </w:r>
      <w:r w:rsidRPr="00AF2FE5">
        <w:rPr>
          <w:rFonts w:cstheme="minorHAnsi"/>
        </w:rPr>
        <w:t xml:space="preserve">Collins V Willcock [1984] </w:t>
      </w:r>
      <w:r>
        <w:rPr>
          <w:rFonts w:cstheme="minorHAnsi"/>
        </w:rPr>
        <w:t>will occur, leading to Police officers being charged instead of the potential criminal.</w:t>
      </w:r>
      <w:r w:rsidR="009E023C">
        <w:t xml:space="preserve"> </w:t>
      </w:r>
    </w:p>
    <w:p w14:paraId="144E891C" w14:textId="3D76A83B" w:rsidR="00441735" w:rsidRPr="00CF4EDC" w:rsidRDefault="00441735" w:rsidP="00B174C1">
      <w:pPr>
        <w:spacing w:line="240" w:lineRule="auto"/>
        <w:contextualSpacing/>
      </w:pPr>
      <w:r>
        <w:lastRenderedPageBreak/>
        <w:t xml:space="preserve">Consent and its involvement in battery cases will only grow in the following years, as consent in of </w:t>
      </w:r>
      <w:r w:rsidR="00F049C8">
        <w:t>itself</w:t>
      </w:r>
      <w:r>
        <w:t xml:space="preserve"> becomes vital</w:t>
      </w:r>
      <w:r w:rsidR="00383C72">
        <w:t>, the Police need to adapt to meet this, and so do the courts, potentially with a much more defined definition of consent to be used rather than their own interpretation.</w:t>
      </w:r>
    </w:p>
    <w:p w14:paraId="0842315B" w14:textId="77777777" w:rsidR="00B33612" w:rsidRDefault="00B33612" w:rsidP="00B174C1">
      <w:pPr>
        <w:spacing w:line="240" w:lineRule="auto"/>
        <w:contextualSpacing/>
      </w:pPr>
    </w:p>
    <w:p w14:paraId="45D58DDB" w14:textId="77777777" w:rsidR="00B33612" w:rsidRDefault="00B33612" w:rsidP="00B174C1">
      <w:pPr>
        <w:spacing w:line="240" w:lineRule="auto"/>
        <w:contextualSpacing/>
      </w:pPr>
    </w:p>
    <w:p w14:paraId="71F3F912" w14:textId="77777777" w:rsidR="00B33612" w:rsidRDefault="00B33612" w:rsidP="00B174C1">
      <w:pPr>
        <w:spacing w:line="240" w:lineRule="auto"/>
        <w:contextualSpacing/>
      </w:pPr>
    </w:p>
    <w:p w14:paraId="20455173" w14:textId="77777777" w:rsidR="00B33612" w:rsidRDefault="00B33612" w:rsidP="00B174C1">
      <w:pPr>
        <w:spacing w:line="240" w:lineRule="auto"/>
        <w:contextualSpacing/>
      </w:pPr>
    </w:p>
    <w:p w14:paraId="5992D0CF" w14:textId="77777777" w:rsidR="00B33612" w:rsidRDefault="00B33612" w:rsidP="00B174C1">
      <w:pPr>
        <w:spacing w:line="240" w:lineRule="auto"/>
        <w:contextualSpacing/>
      </w:pPr>
    </w:p>
    <w:p w14:paraId="6694314B" w14:textId="77777777" w:rsidR="00B33612" w:rsidRDefault="00B33612" w:rsidP="00B174C1">
      <w:pPr>
        <w:spacing w:line="240" w:lineRule="auto"/>
        <w:contextualSpacing/>
      </w:pPr>
    </w:p>
    <w:p w14:paraId="08E7247A" w14:textId="77777777" w:rsidR="00B33612" w:rsidRDefault="00B33612" w:rsidP="00B174C1">
      <w:pPr>
        <w:spacing w:line="240" w:lineRule="auto"/>
        <w:contextualSpacing/>
      </w:pPr>
    </w:p>
    <w:p w14:paraId="0DEBD4B7" w14:textId="77777777" w:rsidR="00B33612" w:rsidRDefault="00B33612" w:rsidP="00B174C1">
      <w:pPr>
        <w:spacing w:line="240" w:lineRule="auto"/>
        <w:contextualSpacing/>
      </w:pPr>
    </w:p>
    <w:p w14:paraId="2498EDD5" w14:textId="77777777" w:rsidR="00B33612" w:rsidRDefault="00B33612" w:rsidP="00B174C1">
      <w:pPr>
        <w:spacing w:line="240" w:lineRule="auto"/>
        <w:contextualSpacing/>
      </w:pPr>
    </w:p>
    <w:p w14:paraId="10D3935F" w14:textId="77777777" w:rsidR="00B33612" w:rsidRDefault="00B33612" w:rsidP="00B174C1">
      <w:pPr>
        <w:spacing w:line="240" w:lineRule="auto"/>
        <w:contextualSpacing/>
      </w:pPr>
    </w:p>
    <w:p w14:paraId="09E73BEA" w14:textId="77777777" w:rsidR="00B33612" w:rsidRDefault="00B33612" w:rsidP="00B174C1">
      <w:pPr>
        <w:spacing w:line="240" w:lineRule="auto"/>
        <w:contextualSpacing/>
      </w:pPr>
    </w:p>
    <w:p w14:paraId="143AF2E5" w14:textId="77777777" w:rsidR="00B33612" w:rsidRDefault="00B33612" w:rsidP="00B174C1">
      <w:pPr>
        <w:spacing w:line="240" w:lineRule="auto"/>
        <w:contextualSpacing/>
      </w:pPr>
    </w:p>
    <w:p w14:paraId="6C6894E9" w14:textId="77777777" w:rsidR="00B33612" w:rsidRDefault="00B33612" w:rsidP="00B174C1">
      <w:pPr>
        <w:spacing w:line="240" w:lineRule="auto"/>
        <w:contextualSpacing/>
      </w:pPr>
    </w:p>
    <w:p w14:paraId="53B23A9E" w14:textId="77777777" w:rsidR="00B33612" w:rsidRDefault="00B33612" w:rsidP="00B174C1">
      <w:pPr>
        <w:spacing w:line="240" w:lineRule="auto"/>
        <w:contextualSpacing/>
      </w:pPr>
    </w:p>
    <w:p w14:paraId="7785268B" w14:textId="77777777" w:rsidR="00B33612" w:rsidRDefault="00B33612" w:rsidP="00B174C1">
      <w:pPr>
        <w:spacing w:line="240" w:lineRule="auto"/>
        <w:contextualSpacing/>
      </w:pPr>
    </w:p>
    <w:p w14:paraId="7B00F915" w14:textId="77777777" w:rsidR="00B33612" w:rsidRDefault="00B33612" w:rsidP="00B174C1">
      <w:pPr>
        <w:spacing w:line="240" w:lineRule="auto"/>
        <w:contextualSpacing/>
      </w:pPr>
    </w:p>
    <w:p w14:paraId="64ED740E" w14:textId="77777777" w:rsidR="00B33612" w:rsidRDefault="00B33612" w:rsidP="00B174C1">
      <w:pPr>
        <w:spacing w:line="240" w:lineRule="auto"/>
        <w:contextualSpacing/>
      </w:pPr>
    </w:p>
    <w:p w14:paraId="463013A0" w14:textId="77777777" w:rsidR="00B33612" w:rsidRDefault="00B33612" w:rsidP="00B174C1">
      <w:pPr>
        <w:spacing w:line="240" w:lineRule="auto"/>
        <w:contextualSpacing/>
      </w:pPr>
    </w:p>
    <w:p w14:paraId="6AFF5C3D" w14:textId="77777777" w:rsidR="00B33612" w:rsidRDefault="00B33612" w:rsidP="00B174C1">
      <w:pPr>
        <w:spacing w:line="240" w:lineRule="auto"/>
        <w:contextualSpacing/>
      </w:pPr>
    </w:p>
    <w:p w14:paraId="49386861" w14:textId="77777777" w:rsidR="00B33612" w:rsidRDefault="00B33612" w:rsidP="00B174C1">
      <w:pPr>
        <w:spacing w:line="240" w:lineRule="auto"/>
        <w:contextualSpacing/>
      </w:pPr>
    </w:p>
    <w:p w14:paraId="5E8F51AC" w14:textId="77777777" w:rsidR="002C183B" w:rsidRDefault="002C183B" w:rsidP="00AF0346">
      <w:pPr>
        <w:spacing w:line="240" w:lineRule="auto"/>
        <w:contextualSpacing/>
      </w:pPr>
    </w:p>
    <w:p w14:paraId="0173EB25" w14:textId="77777777" w:rsidR="00292019" w:rsidRDefault="00292019" w:rsidP="00AF0346">
      <w:pPr>
        <w:spacing w:line="240" w:lineRule="auto"/>
        <w:contextualSpacing/>
        <w:rPr>
          <w:rFonts w:cstheme="minorHAnsi"/>
        </w:rPr>
      </w:pPr>
    </w:p>
    <w:p w14:paraId="31C3C659" w14:textId="77777777" w:rsidR="00292019" w:rsidRDefault="00292019" w:rsidP="00AF0346">
      <w:pPr>
        <w:spacing w:line="240" w:lineRule="auto"/>
        <w:contextualSpacing/>
        <w:rPr>
          <w:rFonts w:cstheme="minorHAnsi"/>
        </w:rPr>
      </w:pPr>
    </w:p>
    <w:p w14:paraId="2D7B8592" w14:textId="77777777" w:rsidR="00292019" w:rsidRDefault="00292019" w:rsidP="00AF0346">
      <w:pPr>
        <w:spacing w:line="240" w:lineRule="auto"/>
        <w:contextualSpacing/>
        <w:rPr>
          <w:rFonts w:cstheme="minorHAnsi"/>
        </w:rPr>
      </w:pPr>
    </w:p>
    <w:p w14:paraId="0E1D3F75" w14:textId="77777777" w:rsidR="00345083" w:rsidRDefault="00345083" w:rsidP="00AF0346">
      <w:pPr>
        <w:spacing w:line="240" w:lineRule="auto"/>
        <w:contextualSpacing/>
        <w:rPr>
          <w:rFonts w:cstheme="minorHAnsi"/>
        </w:rPr>
      </w:pPr>
    </w:p>
    <w:p w14:paraId="2135402A" w14:textId="77777777" w:rsidR="00345083" w:rsidRDefault="00345083" w:rsidP="00AF0346">
      <w:pPr>
        <w:spacing w:line="240" w:lineRule="auto"/>
        <w:contextualSpacing/>
        <w:rPr>
          <w:rFonts w:cstheme="minorHAnsi"/>
        </w:rPr>
      </w:pPr>
    </w:p>
    <w:p w14:paraId="47829FFA" w14:textId="77777777" w:rsidR="00482067" w:rsidRDefault="00482067" w:rsidP="00AF0346">
      <w:pPr>
        <w:spacing w:line="240" w:lineRule="auto"/>
        <w:contextualSpacing/>
        <w:rPr>
          <w:rFonts w:cstheme="minorHAnsi"/>
        </w:rPr>
      </w:pPr>
    </w:p>
    <w:p w14:paraId="2ACEC59A" w14:textId="77777777" w:rsidR="00482067" w:rsidRDefault="00482067" w:rsidP="00AF0346">
      <w:pPr>
        <w:spacing w:line="240" w:lineRule="auto"/>
        <w:contextualSpacing/>
        <w:rPr>
          <w:rFonts w:cstheme="minorHAnsi"/>
        </w:rPr>
      </w:pPr>
    </w:p>
    <w:p w14:paraId="08FC500B" w14:textId="77777777" w:rsidR="00482067" w:rsidRDefault="00482067" w:rsidP="00AF0346">
      <w:pPr>
        <w:spacing w:line="240" w:lineRule="auto"/>
        <w:contextualSpacing/>
        <w:rPr>
          <w:rFonts w:cstheme="minorHAnsi"/>
        </w:rPr>
      </w:pPr>
    </w:p>
    <w:p w14:paraId="639F11CA" w14:textId="77777777" w:rsidR="002E6FBC" w:rsidRDefault="002E6FBC" w:rsidP="00AF0346">
      <w:pPr>
        <w:spacing w:line="240" w:lineRule="auto"/>
        <w:contextualSpacing/>
      </w:pPr>
    </w:p>
    <w:p w14:paraId="37FE8A8B" w14:textId="77777777" w:rsidR="002E6FBC" w:rsidRDefault="002E6FBC" w:rsidP="00AF0346">
      <w:pPr>
        <w:spacing w:line="240" w:lineRule="auto"/>
        <w:contextualSpacing/>
      </w:pPr>
    </w:p>
    <w:p w14:paraId="4BFDC669" w14:textId="77777777" w:rsidR="002E6FBC" w:rsidRDefault="002E6FBC" w:rsidP="00AF0346">
      <w:pPr>
        <w:spacing w:line="240" w:lineRule="auto"/>
        <w:contextualSpacing/>
      </w:pPr>
    </w:p>
    <w:p w14:paraId="710A58C3" w14:textId="77777777" w:rsidR="002E6FBC" w:rsidRDefault="002E6FBC" w:rsidP="00AF0346">
      <w:pPr>
        <w:spacing w:line="240" w:lineRule="auto"/>
        <w:contextualSpacing/>
      </w:pPr>
    </w:p>
    <w:p w14:paraId="468B4BDB" w14:textId="77777777" w:rsidR="002E6FBC" w:rsidRDefault="002E6FBC" w:rsidP="00AF0346">
      <w:pPr>
        <w:spacing w:line="240" w:lineRule="auto"/>
        <w:contextualSpacing/>
      </w:pPr>
    </w:p>
    <w:p w14:paraId="6E28DB60" w14:textId="77777777" w:rsidR="002E6FBC" w:rsidRDefault="002E6FBC" w:rsidP="00AF0346">
      <w:pPr>
        <w:spacing w:line="240" w:lineRule="auto"/>
        <w:contextualSpacing/>
      </w:pPr>
    </w:p>
    <w:p w14:paraId="0E4A3F8A" w14:textId="77777777" w:rsidR="002E6FBC" w:rsidRDefault="002E6FBC" w:rsidP="00AF0346">
      <w:pPr>
        <w:spacing w:line="240" w:lineRule="auto"/>
        <w:contextualSpacing/>
      </w:pPr>
    </w:p>
    <w:p w14:paraId="76B4EC9B" w14:textId="77777777" w:rsidR="002E6FBC" w:rsidRDefault="002E6FBC" w:rsidP="00AF0346">
      <w:pPr>
        <w:spacing w:line="240" w:lineRule="auto"/>
        <w:contextualSpacing/>
      </w:pPr>
    </w:p>
    <w:p w14:paraId="2FF2CB00" w14:textId="77777777" w:rsidR="002E6FBC" w:rsidRDefault="002E6FBC" w:rsidP="00AF0346">
      <w:pPr>
        <w:spacing w:line="240" w:lineRule="auto"/>
        <w:contextualSpacing/>
      </w:pPr>
    </w:p>
    <w:p w14:paraId="2DE80BCF" w14:textId="77777777" w:rsidR="002E6FBC" w:rsidRDefault="002E6FBC" w:rsidP="00AF0346">
      <w:pPr>
        <w:spacing w:line="240" w:lineRule="auto"/>
        <w:contextualSpacing/>
      </w:pPr>
    </w:p>
    <w:p w14:paraId="0CD55DE7" w14:textId="77777777" w:rsidR="002E6FBC" w:rsidRDefault="002E6FBC" w:rsidP="00AF0346">
      <w:pPr>
        <w:spacing w:line="240" w:lineRule="auto"/>
        <w:contextualSpacing/>
      </w:pPr>
    </w:p>
    <w:p w14:paraId="00306775" w14:textId="77777777" w:rsidR="002E6FBC" w:rsidRDefault="002E6FBC" w:rsidP="00AF0346">
      <w:pPr>
        <w:spacing w:line="240" w:lineRule="auto"/>
        <w:contextualSpacing/>
      </w:pPr>
    </w:p>
    <w:p w14:paraId="2ECD67E8" w14:textId="77777777" w:rsidR="002E6FBC" w:rsidRDefault="002E6FBC" w:rsidP="00AF0346">
      <w:pPr>
        <w:spacing w:line="240" w:lineRule="auto"/>
        <w:contextualSpacing/>
      </w:pPr>
    </w:p>
    <w:p w14:paraId="49E93E85" w14:textId="77777777" w:rsidR="002E6FBC" w:rsidRDefault="002E6FBC" w:rsidP="00AF0346">
      <w:pPr>
        <w:spacing w:line="240" w:lineRule="auto"/>
        <w:contextualSpacing/>
      </w:pPr>
    </w:p>
    <w:p w14:paraId="515C5D26" w14:textId="77777777" w:rsidR="002E6FBC" w:rsidRDefault="002E6FBC" w:rsidP="00AF0346">
      <w:pPr>
        <w:spacing w:line="240" w:lineRule="auto"/>
        <w:contextualSpacing/>
      </w:pPr>
    </w:p>
    <w:p w14:paraId="2963F094" w14:textId="77777777" w:rsidR="002E6FBC" w:rsidRDefault="002E6FBC" w:rsidP="00AF0346">
      <w:pPr>
        <w:spacing w:line="240" w:lineRule="auto"/>
        <w:contextualSpacing/>
      </w:pPr>
    </w:p>
    <w:p w14:paraId="7CFFFB7C" w14:textId="77777777" w:rsidR="002E6FBC" w:rsidRDefault="002E6FBC" w:rsidP="00AF0346">
      <w:pPr>
        <w:spacing w:line="240" w:lineRule="auto"/>
        <w:contextualSpacing/>
      </w:pPr>
    </w:p>
    <w:p w14:paraId="09AE3762" w14:textId="77777777" w:rsidR="002E6FBC" w:rsidRDefault="002E6FBC" w:rsidP="00AF0346">
      <w:pPr>
        <w:spacing w:line="240" w:lineRule="auto"/>
        <w:contextualSpacing/>
      </w:pPr>
    </w:p>
    <w:p w14:paraId="46949160" w14:textId="77777777" w:rsidR="002E6FBC" w:rsidRDefault="002E6FBC" w:rsidP="00AF0346">
      <w:pPr>
        <w:spacing w:line="240" w:lineRule="auto"/>
        <w:contextualSpacing/>
      </w:pPr>
    </w:p>
    <w:p w14:paraId="22762DB2" w14:textId="77777777" w:rsidR="00033C3D" w:rsidRPr="0074050B" w:rsidRDefault="00033C3D" w:rsidP="00AF0346">
      <w:pPr>
        <w:spacing w:line="240" w:lineRule="auto"/>
        <w:contextualSpacing/>
        <w:rPr>
          <w:b/>
          <w:bCs/>
          <w:u w:val="single"/>
        </w:rPr>
      </w:pPr>
      <w:r w:rsidRPr="0074050B">
        <w:rPr>
          <w:b/>
          <w:bCs/>
          <w:u w:val="single"/>
        </w:rPr>
        <w:lastRenderedPageBreak/>
        <w:t>Case Studies</w:t>
      </w:r>
    </w:p>
    <w:p w14:paraId="65FA3308" w14:textId="77777777" w:rsidR="00033C3D" w:rsidRDefault="00033C3D" w:rsidP="00AF0346">
      <w:pPr>
        <w:spacing w:line="240" w:lineRule="auto"/>
        <w:contextualSpacing/>
      </w:pPr>
    </w:p>
    <w:p w14:paraId="7A35B167" w14:textId="0CD326FB" w:rsidR="00033C3D" w:rsidRDefault="00033C3D" w:rsidP="00033C3D">
      <w:pPr>
        <w:spacing w:line="240" w:lineRule="auto"/>
        <w:contextualSpacing/>
      </w:pPr>
      <w:r>
        <w:t>R v Brown [1993]</w:t>
      </w:r>
      <w:r w:rsidR="005D02AB">
        <w:t xml:space="preserve"> [1 AC 212]</w:t>
      </w:r>
    </w:p>
    <w:p w14:paraId="29002110" w14:textId="77777777" w:rsidR="0074050B" w:rsidRDefault="0074050B" w:rsidP="00033C3D">
      <w:pPr>
        <w:spacing w:line="240" w:lineRule="auto"/>
        <w:contextualSpacing/>
      </w:pPr>
    </w:p>
    <w:p w14:paraId="28B3FB16" w14:textId="158E21DA" w:rsidR="0074050B" w:rsidRDefault="0074050B" w:rsidP="00033C3D">
      <w:pPr>
        <w:spacing w:line="240" w:lineRule="auto"/>
        <w:contextualSpacing/>
        <w:rPr>
          <w:rFonts w:cstheme="minorHAnsi"/>
        </w:rPr>
      </w:pPr>
      <w:r w:rsidRPr="00AF2FE5">
        <w:rPr>
          <w:rFonts w:cstheme="minorHAnsi"/>
        </w:rPr>
        <w:t>Collins V Willcock [1984]</w:t>
      </w:r>
      <w:r w:rsidR="002110C1">
        <w:rPr>
          <w:rFonts w:cstheme="minorHAnsi"/>
        </w:rPr>
        <w:t xml:space="preserve"> [1 WLR 1172]</w:t>
      </w:r>
    </w:p>
    <w:p w14:paraId="4425B709" w14:textId="77777777" w:rsidR="005D02AB" w:rsidRDefault="005D02AB" w:rsidP="00033C3D">
      <w:pPr>
        <w:spacing w:line="240" w:lineRule="auto"/>
        <w:contextualSpacing/>
        <w:rPr>
          <w:rFonts w:cstheme="minorHAnsi"/>
        </w:rPr>
      </w:pPr>
    </w:p>
    <w:p w14:paraId="4ED99222" w14:textId="71CD23D5" w:rsidR="005D02AB" w:rsidRDefault="005D02AB" w:rsidP="005D02AB">
      <w:pPr>
        <w:spacing w:line="240" w:lineRule="auto"/>
        <w:contextualSpacing/>
        <w:rPr>
          <w:rFonts w:cstheme="minorHAnsi"/>
        </w:rPr>
      </w:pPr>
      <w:r>
        <w:rPr>
          <w:rFonts w:cstheme="minorHAnsi"/>
        </w:rPr>
        <w:t>Santana – Bermudez v DPP [2004]</w:t>
      </w:r>
    </w:p>
    <w:p w14:paraId="6BBD0E46" w14:textId="77777777" w:rsidR="005D02AB" w:rsidRDefault="005D02AB" w:rsidP="00033C3D">
      <w:pPr>
        <w:spacing w:line="240" w:lineRule="auto"/>
        <w:contextualSpacing/>
        <w:rPr>
          <w:rFonts w:cstheme="minorHAnsi"/>
        </w:rPr>
      </w:pPr>
    </w:p>
    <w:p w14:paraId="0E4AEDE1" w14:textId="77777777" w:rsidR="0074050B" w:rsidRDefault="0074050B" w:rsidP="00033C3D">
      <w:pPr>
        <w:spacing w:line="240" w:lineRule="auto"/>
        <w:contextualSpacing/>
        <w:rPr>
          <w:rFonts w:cstheme="minorHAnsi"/>
        </w:rPr>
      </w:pPr>
    </w:p>
    <w:p w14:paraId="3D9AECE4" w14:textId="06040367" w:rsidR="0074050B" w:rsidRPr="0074050B" w:rsidRDefault="0074050B" w:rsidP="00033C3D">
      <w:pPr>
        <w:spacing w:line="240" w:lineRule="auto"/>
        <w:contextualSpacing/>
        <w:rPr>
          <w:b/>
          <w:bCs/>
          <w:u w:val="single"/>
        </w:rPr>
      </w:pPr>
      <w:r w:rsidRPr="0074050B">
        <w:rPr>
          <w:rFonts w:cstheme="minorHAnsi"/>
          <w:b/>
          <w:bCs/>
          <w:u w:val="single"/>
        </w:rPr>
        <w:t>Reference List</w:t>
      </w:r>
    </w:p>
    <w:p w14:paraId="5BE84F43" w14:textId="77777777" w:rsidR="00033C3D" w:rsidRDefault="00033C3D" w:rsidP="00AF0346">
      <w:pPr>
        <w:spacing w:line="240" w:lineRule="auto"/>
        <w:contextualSpacing/>
      </w:pPr>
    </w:p>
    <w:p w14:paraId="5244867B" w14:textId="0F136D71" w:rsidR="000B3F90" w:rsidRPr="00C65091" w:rsidRDefault="005E2F85" w:rsidP="00AF0346">
      <w:pPr>
        <w:spacing w:line="240" w:lineRule="auto"/>
        <w:contextualSpacing/>
      </w:pPr>
      <w:r>
        <w:t>NHS</w:t>
      </w:r>
      <w:r w:rsidR="00733272">
        <w:t xml:space="preserve">, </w:t>
      </w:r>
      <w:r w:rsidR="00C65091">
        <w:t xml:space="preserve">What is Consent? Available at: </w:t>
      </w:r>
      <w:hyperlink r:id="rId8" w:history="1">
        <w:r w:rsidR="00C65091" w:rsidRPr="006750FE">
          <w:rPr>
            <w:rStyle w:val="Hyperlink"/>
            <w:rFonts w:cstheme="minorHAnsi"/>
          </w:rPr>
          <w:t>https://www.nhs.uk/aboutNHSChoices/professionals/healthandcareprofessionals/child-sexual-exploitation/Documents/Consent-information-leaflet.pdf</w:t>
        </w:r>
      </w:hyperlink>
      <w:r w:rsidR="0055503D">
        <w:rPr>
          <w:rFonts w:cstheme="minorHAnsi"/>
        </w:rPr>
        <w:t xml:space="preserve"> (Accessed: 7/11/23)</w:t>
      </w:r>
    </w:p>
    <w:p w14:paraId="3600CD4A" w14:textId="77777777" w:rsidR="00F318D7" w:rsidRDefault="00F318D7" w:rsidP="00AF0346">
      <w:pPr>
        <w:spacing w:line="240" w:lineRule="auto"/>
        <w:contextualSpacing/>
        <w:rPr>
          <w:rFonts w:cstheme="minorHAnsi"/>
        </w:rPr>
      </w:pPr>
    </w:p>
    <w:p w14:paraId="6FF0A156" w14:textId="10A25140" w:rsidR="00F318D7" w:rsidRDefault="00F72869" w:rsidP="00AF0346">
      <w:pPr>
        <w:spacing w:line="240" w:lineRule="auto"/>
        <w:contextualSpacing/>
        <w:rPr>
          <w:rFonts w:cstheme="minorHAnsi"/>
        </w:rPr>
      </w:pPr>
      <w:r>
        <w:t>Rape Crisis</w:t>
      </w:r>
      <w:r w:rsidR="00E0480A">
        <w:t xml:space="preserve">, What is Sexual Consent?, Available at: </w:t>
      </w:r>
      <w:hyperlink r:id="rId9" w:history="1">
        <w:r w:rsidR="00E0480A" w:rsidRPr="006750FE">
          <w:rPr>
            <w:rStyle w:val="Hyperlink"/>
            <w:rFonts w:cstheme="minorHAnsi"/>
          </w:rPr>
          <w:t>https://rapecrisis.org.uk/get-informed/about-sexual-violence/sexual-consent/#:~:text=The%20age%20of%20consent%20in,taking%20part%20in%20sexual%20activity</w:t>
        </w:r>
      </w:hyperlink>
      <w:r w:rsidR="00F318D7" w:rsidRPr="00F318D7">
        <w:rPr>
          <w:rFonts w:cstheme="minorHAnsi"/>
        </w:rPr>
        <w:t>.</w:t>
      </w:r>
    </w:p>
    <w:p w14:paraId="2A97B2E9" w14:textId="0B3842CD" w:rsidR="00E0480A" w:rsidRDefault="00E0480A" w:rsidP="00AF0346">
      <w:pPr>
        <w:spacing w:line="240" w:lineRule="auto"/>
        <w:contextualSpacing/>
        <w:rPr>
          <w:rFonts w:cstheme="minorHAnsi"/>
        </w:rPr>
      </w:pPr>
      <w:r>
        <w:rPr>
          <w:rFonts w:cstheme="minorHAnsi"/>
        </w:rPr>
        <w:t>(Accessed: 7/11/23)</w:t>
      </w:r>
    </w:p>
    <w:p w14:paraId="59A8ACF4" w14:textId="77777777" w:rsidR="006132AE" w:rsidRDefault="006132AE" w:rsidP="00AF0346">
      <w:pPr>
        <w:spacing w:line="240" w:lineRule="auto"/>
        <w:contextualSpacing/>
        <w:rPr>
          <w:rFonts w:cstheme="minorHAnsi"/>
        </w:rPr>
      </w:pPr>
    </w:p>
    <w:p w14:paraId="15F4236C" w14:textId="2887C522" w:rsidR="006132AE" w:rsidRDefault="00AE38E0" w:rsidP="00AF0346">
      <w:pPr>
        <w:spacing w:line="240" w:lineRule="auto"/>
        <w:contextualSpacing/>
        <w:rPr>
          <w:rFonts w:cstheme="minorHAnsi"/>
        </w:rPr>
      </w:pPr>
      <w:r>
        <w:t>National Institute of Mental Health</w:t>
      </w:r>
      <w:r w:rsidR="00F22351">
        <w:t xml:space="preserve">, (2023) Available at: </w:t>
      </w:r>
      <w:hyperlink r:id="rId10" w:history="1">
        <w:r w:rsidR="00F22351" w:rsidRPr="006750FE">
          <w:rPr>
            <w:rStyle w:val="Hyperlink"/>
            <w:rFonts w:cstheme="minorHAnsi"/>
          </w:rPr>
          <w:t>https://www.nimh.nih.gov/health/publications/the-teen-brain-7-things-to-know#:~:text=The%20brain%20finishes%20developing%20and,prioritizing%2C%20and%20making%20good%20decisions</w:t>
        </w:r>
      </w:hyperlink>
      <w:r w:rsidR="006132AE" w:rsidRPr="006132AE">
        <w:rPr>
          <w:rFonts w:cstheme="minorHAnsi"/>
        </w:rPr>
        <w:t>.</w:t>
      </w:r>
      <w:r w:rsidR="00F22351">
        <w:rPr>
          <w:rFonts w:cstheme="minorHAnsi"/>
        </w:rPr>
        <w:t xml:space="preserve"> (Accessed: 8/11/23)</w:t>
      </w:r>
    </w:p>
    <w:p w14:paraId="4562B575" w14:textId="77777777" w:rsidR="000D2CCA" w:rsidRDefault="000D2CCA" w:rsidP="00AF0346">
      <w:pPr>
        <w:spacing w:line="240" w:lineRule="auto"/>
        <w:contextualSpacing/>
        <w:rPr>
          <w:rFonts w:cstheme="minorHAnsi"/>
        </w:rPr>
      </w:pPr>
    </w:p>
    <w:p w14:paraId="58ABFB58" w14:textId="1D923C90" w:rsidR="008F3C08" w:rsidRPr="008F3C08" w:rsidRDefault="008F3C08" w:rsidP="00AF0346">
      <w:pPr>
        <w:spacing w:line="240" w:lineRule="auto"/>
        <w:contextualSpacing/>
        <w:rPr>
          <w:rFonts w:cstheme="minorHAnsi"/>
          <w:color w:val="0563C1" w:themeColor="hyperlink"/>
          <w:u w:val="single"/>
        </w:rPr>
      </w:pPr>
      <w:r>
        <w:t xml:space="preserve">Izzy Willette (2016), Consent is not optional, The Southerner, Available at: </w:t>
      </w:r>
      <w:hyperlink r:id="rId11" w:history="1">
        <w:r w:rsidRPr="006750FE">
          <w:rPr>
            <w:rStyle w:val="Hyperlink"/>
            <w:rFonts w:cstheme="minorHAnsi"/>
          </w:rPr>
          <w:t>https://www.shsoutherner.net/opinion/2016/11/30/consent-is-not-optional/</w:t>
        </w:r>
      </w:hyperlink>
    </w:p>
    <w:p w14:paraId="5EA364B1" w14:textId="7B9E8316" w:rsidR="008F3C08" w:rsidRPr="00C65091" w:rsidRDefault="008F3C08" w:rsidP="008F3C08">
      <w:pPr>
        <w:spacing w:line="240" w:lineRule="auto"/>
        <w:contextualSpacing/>
      </w:pPr>
      <w:r>
        <w:rPr>
          <w:rFonts w:cstheme="minorHAnsi"/>
        </w:rPr>
        <w:t xml:space="preserve">(Accessed: </w:t>
      </w:r>
      <w:r>
        <w:rPr>
          <w:rFonts w:cstheme="minorHAnsi"/>
        </w:rPr>
        <w:t>8</w:t>
      </w:r>
      <w:r>
        <w:rPr>
          <w:rFonts w:cstheme="minorHAnsi"/>
        </w:rPr>
        <w:t>/11/23)</w:t>
      </w:r>
    </w:p>
    <w:p w14:paraId="470531BC" w14:textId="77777777" w:rsidR="00DA50D0" w:rsidRDefault="00DA50D0" w:rsidP="00AF0346">
      <w:pPr>
        <w:spacing w:line="240" w:lineRule="auto"/>
        <w:contextualSpacing/>
        <w:rPr>
          <w:rFonts w:cstheme="minorHAnsi"/>
        </w:rPr>
      </w:pPr>
    </w:p>
    <w:p w14:paraId="63A64328" w14:textId="294ED8C9" w:rsidR="00F43F46" w:rsidRPr="00F43F46" w:rsidRDefault="00F43F46" w:rsidP="00AF0346">
      <w:pPr>
        <w:spacing w:line="240" w:lineRule="auto"/>
        <w:contextualSpacing/>
        <w:rPr>
          <w:rFonts w:cstheme="minorHAnsi"/>
          <w:color w:val="0563C1" w:themeColor="hyperlink"/>
          <w:u w:val="single"/>
        </w:rPr>
      </w:pPr>
      <w:r>
        <w:t xml:space="preserve">Ashley L. Peterson (2019), Why Don’t More People Understand Sexual Consent? Mental Health at Home, Available at: </w:t>
      </w:r>
      <w:hyperlink r:id="rId12" w:history="1">
        <w:r w:rsidRPr="006750FE">
          <w:rPr>
            <w:rStyle w:val="Hyperlink"/>
            <w:rFonts w:cstheme="minorHAnsi"/>
          </w:rPr>
          <w:t>https://mentalhealthathome.org/2019/04/09/understand-consent/</w:t>
        </w:r>
      </w:hyperlink>
    </w:p>
    <w:p w14:paraId="613D7366" w14:textId="77777777" w:rsidR="00F43F46" w:rsidRPr="00C65091" w:rsidRDefault="00F43F46" w:rsidP="00F43F46">
      <w:pPr>
        <w:spacing w:line="240" w:lineRule="auto"/>
        <w:contextualSpacing/>
      </w:pPr>
      <w:r>
        <w:rPr>
          <w:rFonts w:cstheme="minorHAnsi"/>
        </w:rPr>
        <w:t>(Accessed: 8/11/23)</w:t>
      </w:r>
    </w:p>
    <w:p w14:paraId="42432108" w14:textId="77777777" w:rsidR="001B5D20" w:rsidRDefault="001B5D20" w:rsidP="00AF0346">
      <w:pPr>
        <w:spacing w:line="240" w:lineRule="auto"/>
        <w:contextualSpacing/>
        <w:rPr>
          <w:rFonts w:cstheme="minorHAnsi"/>
        </w:rPr>
      </w:pPr>
    </w:p>
    <w:p w14:paraId="3B628772" w14:textId="40C88631" w:rsidR="001B5D20" w:rsidRDefault="00571221" w:rsidP="00AF0346">
      <w:pPr>
        <w:spacing w:line="240" w:lineRule="auto"/>
        <w:contextualSpacing/>
        <w:rPr>
          <w:rFonts w:cstheme="minorHAnsi"/>
        </w:rPr>
      </w:pPr>
      <w:r>
        <w:t xml:space="preserve">Daniele Selby, </w:t>
      </w:r>
      <w:r w:rsidRPr="00BA3CA3">
        <w:rPr>
          <w:rFonts w:cstheme="minorHAnsi"/>
        </w:rPr>
        <w:t xml:space="preserve">Erica </w:t>
      </w:r>
      <w:hyperlink r:id="rId13" w:history="1">
        <w:r w:rsidR="00BA3CA3" w:rsidRPr="00BA3CA3">
          <w:rPr>
            <w:rStyle w:val="Hyperlink"/>
            <w:rFonts w:cstheme="minorHAnsi"/>
            <w:color w:val="auto"/>
            <w:spacing w:val="-2"/>
            <w:u w:val="none"/>
            <w:shd w:val="clear" w:color="auto" w:fill="FFFFFF"/>
          </w:rPr>
          <w:t>Sánchez</w:t>
        </w:r>
      </w:hyperlink>
      <w:r w:rsidR="00BA3CA3">
        <w:rPr>
          <w:rFonts w:cstheme="minorHAnsi"/>
          <w:spacing w:val="-2"/>
          <w:shd w:val="clear" w:color="auto" w:fill="FFFFFF"/>
        </w:rPr>
        <w:t xml:space="preserve"> (2018), Spain to Introduce ‘Only Yes Means Yes’</w:t>
      </w:r>
      <w:r w:rsidR="00E87657">
        <w:rPr>
          <w:rFonts w:cstheme="minorHAnsi"/>
          <w:spacing w:val="-2"/>
          <w:shd w:val="clear" w:color="auto" w:fill="FFFFFF"/>
        </w:rPr>
        <w:t xml:space="preserve"> Sexual Consent Law, Available at:</w:t>
      </w:r>
      <w:r w:rsidR="00BA3CA3">
        <w:t xml:space="preserve"> </w:t>
      </w:r>
      <w:hyperlink r:id="rId14" w:history="1">
        <w:r w:rsidR="001B5D20" w:rsidRPr="006750FE">
          <w:rPr>
            <w:rStyle w:val="Hyperlink"/>
            <w:rFonts w:cstheme="minorHAnsi"/>
          </w:rPr>
          <w:t>https://www.globalcitizen.org/en/content/spain-explicit-consent-rape-law/</w:t>
        </w:r>
      </w:hyperlink>
    </w:p>
    <w:p w14:paraId="35752995" w14:textId="7A63794F" w:rsidR="00E87657" w:rsidRPr="00C65091" w:rsidRDefault="00E87657" w:rsidP="00E87657">
      <w:pPr>
        <w:spacing w:line="240" w:lineRule="auto"/>
        <w:contextualSpacing/>
      </w:pPr>
      <w:r>
        <w:rPr>
          <w:rFonts w:cstheme="minorHAnsi"/>
        </w:rPr>
        <w:t xml:space="preserve">(Accessed: </w:t>
      </w:r>
      <w:r>
        <w:rPr>
          <w:rFonts w:cstheme="minorHAnsi"/>
        </w:rPr>
        <w:t>9</w:t>
      </w:r>
      <w:r>
        <w:rPr>
          <w:rFonts w:cstheme="minorHAnsi"/>
        </w:rPr>
        <w:t>/11/23)</w:t>
      </w:r>
    </w:p>
    <w:p w14:paraId="33CA95ED" w14:textId="77777777" w:rsidR="00C65C82" w:rsidRDefault="00C65C82" w:rsidP="00AF0346">
      <w:pPr>
        <w:spacing w:line="240" w:lineRule="auto"/>
        <w:contextualSpacing/>
        <w:rPr>
          <w:rFonts w:cstheme="minorHAnsi"/>
        </w:rPr>
      </w:pPr>
    </w:p>
    <w:p w14:paraId="0B78D334" w14:textId="539AB234" w:rsidR="00C65C82" w:rsidRDefault="00816BD1" w:rsidP="00AF0346">
      <w:pPr>
        <w:spacing w:line="240" w:lineRule="auto"/>
        <w:contextualSpacing/>
        <w:rPr>
          <w:rFonts w:cstheme="minorHAnsi"/>
        </w:rPr>
      </w:pPr>
      <w:r>
        <w:t xml:space="preserve">The LSU and Public </w:t>
      </w:r>
      <w:r w:rsidR="00EE2C55">
        <w:t xml:space="preserve">Health Law Site (2009), </w:t>
      </w:r>
      <w:r>
        <w:t xml:space="preserve">Public Health Law Map, Available at: </w:t>
      </w:r>
      <w:hyperlink r:id="rId15" w:history="1">
        <w:r w:rsidRPr="006750FE">
          <w:rPr>
            <w:rStyle w:val="Hyperlink"/>
            <w:rFonts w:cstheme="minorHAnsi"/>
          </w:rPr>
          <w:t>https://biotech.law.lsu.edu/map/batterynoconsent.html</w:t>
        </w:r>
      </w:hyperlink>
    </w:p>
    <w:p w14:paraId="04F237D0" w14:textId="52C6840C" w:rsidR="00F658D6" w:rsidRDefault="00EE2C55" w:rsidP="00AF0346">
      <w:pPr>
        <w:spacing w:line="240" w:lineRule="auto"/>
        <w:contextualSpacing/>
        <w:rPr>
          <w:rFonts w:cstheme="minorHAnsi"/>
        </w:rPr>
      </w:pPr>
      <w:r>
        <w:rPr>
          <w:rFonts w:cstheme="minorHAnsi"/>
        </w:rPr>
        <w:t>(Accessed: 9/11/23)</w:t>
      </w:r>
    </w:p>
    <w:p w14:paraId="56AB096E" w14:textId="77777777" w:rsidR="00F658D6" w:rsidRDefault="00F658D6" w:rsidP="00AF0346">
      <w:pPr>
        <w:spacing w:line="240" w:lineRule="auto"/>
        <w:contextualSpacing/>
        <w:rPr>
          <w:rFonts w:cstheme="minorHAnsi"/>
        </w:rPr>
      </w:pPr>
    </w:p>
    <w:p w14:paraId="4BED9A53" w14:textId="779A66AC" w:rsidR="008859A4" w:rsidRDefault="006656D7" w:rsidP="008859A4">
      <w:pPr>
        <w:spacing w:line="240" w:lineRule="auto"/>
        <w:contextualSpacing/>
        <w:rPr>
          <w:rFonts w:cstheme="minorHAnsi"/>
        </w:rPr>
      </w:pPr>
      <w:r>
        <w:t>CPS (2022), Offences Against the Person, Incorporating the Charging Standard</w:t>
      </w:r>
      <w:r w:rsidR="008859A4">
        <w:t xml:space="preserve">, Available at: </w:t>
      </w:r>
      <w:hyperlink r:id="rId16" w:history="1">
        <w:r w:rsidR="008859A4" w:rsidRPr="006750FE">
          <w:rPr>
            <w:rStyle w:val="Hyperlink"/>
            <w:rFonts w:cstheme="minorHAnsi"/>
          </w:rPr>
          <w:t>https://www.cps.gov.uk/legal-guidance/offences-against-person-incorporating-charging-standard#:~:text=Common%20Assault%20%E2%80%93%20s.-,39%20Criminal%20Justice%20Act%201988,or%20apprehend%20immediate%20unlawful%20violence</w:t>
        </w:r>
      </w:hyperlink>
      <w:r w:rsidR="00F658D6" w:rsidRPr="00F658D6">
        <w:rPr>
          <w:rFonts w:cstheme="minorHAnsi"/>
        </w:rPr>
        <w:t>.</w:t>
      </w:r>
      <w:r w:rsidR="00BE784A">
        <w:rPr>
          <w:rFonts w:cstheme="minorHAnsi"/>
        </w:rPr>
        <w:t xml:space="preserve"> </w:t>
      </w:r>
      <w:r w:rsidR="008859A4">
        <w:rPr>
          <w:rFonts w:cstheme="minorHAnsi"/>
        </w:rPr>
        <w:t>(Accessed: 9/11/23)</w:t>
      </w:r>
    </w:p>
    <w:p w14:paraId="5E9CC2E6" w14:textId="77777777" w:rsidR="00F658D6" w:rsidRDefault="00F658D6" w:rsidP="00AF0346">
      <w:pPr>
        <w:spacing w:line="240" w:lineRule="auto"/>
        <w:contextualSpacing/>
        <w:rPr>
          <w:rFonts w:cstheme="minorHAnsi"/>
        </w:rPr>
      </w:pPr>
    </w:p>
    <w:p w14:paraId="76547060" w14:textId="4A57A392" w:rsidR="00345083" w:rsidRDefault="00D26030" w:rsidP="00AF0346">
      <w:pPr>
        <w:spacing w:line="240" w:lineRule="auto"/>
        <w:contextualSpacing/>
        <w:rPr>
          <w:rFonts w:cstheme="minorHAnsi"/>
        </w:rPr>
      </w:pPr>
      <w:r>
        <w:rPr>
          <w:rFonts w:cstheme="minorHAnsi"/>
        </w:rPr>
        <w:t>Smith</w:t>
      </w:r>
      <w:r w:rsidR="00F247C5">
        <w:rPr>
          <w:rFonts w:cstheme="minorHAnsi"/>
        </w:rPr>
        <w:t>,</w:t>
      </w:r>
      <w:r>
        <w:rPr>
          <w:rFonts w:cstheme="minorHAnsi"/>
        </w:rPr>
        <w:t xml:space="preserve"> hogan</w:t>
      </w:r>
      <w:r w:rsidR="00F247C5">
        <w:rPr>
          <w:rFonts w:cstheme="minorHAnsi"/>
        </w:rPr>
        <w:t>,</w:t>
      </w:r>
      <w:r>
        <w:rPr>
          <w:rFonts w:cstheme="minorHAnsi"/>
        </w:rPr>
        <w:t xml:space="preserve"> child</w:t>
      </w:r>
      <w:r w:rsidR="00F247C5">
        <w:rPr>
          <w:rFonts w:cstheme="minorHAnsi"/>
        </w:rPr>
        <w:t>,</w:t>
      </w:r>
      <w:r>
        <w:rPr>
          <w:rFonts w:cstheme="minorHAnsi"/>
        </w:rPr>
        <w:t xml:space="preserve"> </w:t>
      </w:r>
      <w:r w:rsidR="00EE315F">
        <w:rPr>
          <w:rFonts w:cstheme="minorHAnsi"/>
        </w:rPr>
        <w:t>Or</w:t>
      </w:r>
      <w:r>
        <w:rPr>
          <w:rFonts w:cstheme="minorHAnsi"/>
        </w:rPr>
        <w:t>merod</w:t>
      </w:r>
      <w:r w:rsidR="00F247C5">
        <w:rPr>
          <w:rFonts w:cstheme="minorHAnsi"/>
        </w:rPr>
        <w:t xml:space="preserve"> (</w:t>
      </w:r>
      <w:r w:rsidR="00BE784A">
        <w:rPr>
          <w:rFonts w:cstheme="minorHAnsi"/>
        </w:rPr>
        <w:t>2017), E</w:t>
      </w:r>
      <w:r>
        <w:rPr>
          <w:rFonts w:cstheme="minorHAnsi"/>
        </w:rPr>
        <w:t xml:space="preserve">ssentials of </w:t>
      </w:r>
      <w:r w:rsidR="00BE784A">
        <w:rPr>
          <w:rFonts w:cstheme="minorHAnsi"/>
        </w:rPr>
        <w:t>C</w:t>
      </w:r>
      <w:r>
        <w:rPr>
          <w:rFonts w:cstheme="minorHAnsi"/>
        </w:rPr>
        <w:t xml:space="preserve">riminal </w:t>
      </w:r>
      <w:r w:rsidR="00BE784A">
        <w:rPr>
          <w:rFonts w:cstheme="minorHAnsi"/>
        </w:rPr>
        <w:t>L</w:t>
      </w:r>
      <w:r>
        <w:rPr>
          <w:rFonts w:cstheme="minorHAnsi"/>
        </w:rPr>
        <w:t>a</w:t>
      </w:r>
      <w:r w:rsidR="00BE784A">
        <w:rPr>
          <w:rFonts w:cstheme="minorHAnsi"/>
        </w:rPr>
        <w:t>w</w:t>
      </w:r>
      <w:r w:rsidR="00BE784A">
        <w:rPr>
          <w:rFonts w:cstheme="minorHAnsi"/>
        </w:rPr>
        <w:t>, 2</w:t>
      </w:r>
      <w:r w:rsidR="00BE784A" w:rsidRPr="00EE315F">
        <w:rPr>
          <w:rFonts w:cstheme="minorHAnsi"/>
          <w:vertAlign w:val="superscript"/>
        </w:rPr>
        <w:t>nd</w:t>
      </w:r>
      <w:r w:rsidR="00BE784A">
        <w:rPr>
          <w:rFonts w:cstheme="minorHAnsi"/>
        </w:rPr>
        <w:t xml:space="preserve"> edition</w:t>
      </w:r>
      <w:r w:rsidR="00BE784A">
        <w:rPr>
          <w:rFonts w:cstheme="minorHAnsi"/>
        </w:rPr>
        <w:t>,</w:t>
      </w:r>
      <w:r>
        <w:rPr>
          <w:rFonts w:cstheme="minorHAnsi"/>
        </w:rPr>
        <w:t xml:space="preserve"> 220 7.2.2</w:t>
      </w:r>
      <w:r w:rsidR="00BE784A">
        <w:rPr>
          <w:rFonts w:cstheme="minorHAnsi"/>
        </w:rPr>
        <w:t>,</w:t>
      </w:r>
      <w:r w:rsidR="00EE315F">
        <w:rPr>
          <w:rFonts w:cstheme="minorHAnsi"/>
        </w:rPr>
        <w:t xml:space="preserve"> Oxford</w:t>
      </w:r>
    </w:p>
    <w:p w14:paraId="73A95DE5" w14:textId="77777777" w:rsidR="008E62E5" w:rsidRPr="008D1E3C" w:rsidRDefault="008E62E5" w:rsidP="00AF0346">
      <w:pPr>
        <w:spacing w:line="240" w:lineRule="auto"/>
        <w:contextualSpacing/>
        <w:rPr>
          <w:rFonts w:cstheme="minorHAnsi"/>
          <w:highlight w:val="red"/>
        </w:rPr>
      </w:pPr>
    </w:p>
    <w:p w14:paraId="2E4B72E7" w14:textId="4B92AE6B" w:rsidR="00880D3E" w:rsidRPr="00F601C1" w:rsidRDefault="005D02AB" w:rsidP="00AF0346">
      <w:pPr>
        <w:spacing w:line="240" w:lineRule="auto"/>
        <w:contextualSpacing/>
        <w:rPr>
          <w:rFonts w:cstheme="minorHAnsi"/>
        </w:rPr>
      </w:pPr>
      <w:r>
        <w:t>Law Teacher</w:t>
      </w:r>
      <w:r w:rsidR="0058350A">
        <w:t xml:space="preserve"> (2021), </w:t>
      </w:r>
      <w:r w:rsidR="006B24F6">
        <w:t xml:space="preserve">Collins v Wilcock [1984], Available at: </w:t>
      </w:r>
      <w:hyperlink r:id="rId17" w:history="1">
        <w:r w:rsidR="006B24F6" w:rsidRPr="006750FE">
          <w:rPr>
            <w:rStyle w:val="Hyperlink"/>
            <w:rFonts w:cstheme="minorHAnsi"/>
          </w:rPr>
          <w:t>https://www.lawteacher.net/cases/collins-v-wilcock.php</w:t>
        </w:r>
      </w:hyperlink>
      <w:r w:rsidR="006B24F6">
        <w:rPr>
          <w:rFonts w:cstheme="minorHAnsi"/>
        </w:rPr>
        <w:t xml:space="preserve"> </w:t>
      </w:r>
      <w:r w:rsidR="006B24F6">
        <w:rPr>
          <w:rFonts w:cstheme="minorHAnsi"/>
        </w:rPr>
        <w:t>(Accessed: 9/11/23)</w:t>
      </w:r>
    </w:p>
    <w:p w14:paraId="5F1CB9EB" w14:textId="77777777" w:rsidR="007F5FF5" w:rsidRDefault="007F5FF5" w:rsidP="00AF0346">
      <w:pPr>
        <w:spacing w:line="240" w:lineRule="auto"/>
        <w:contextualSpacing/>
        <w:rPr>
          <w:rFonts w:cstheme="minorHAnsi"/>
        </w:rPr>
      </w:pPr>
    </w:p>
    <w:p w14:paraId="36181791" w14:textId="77777777" w:rsidR="002359CC" w:rsidRDefault="002359CC" w:rsidP="00AF0346">
      <w:pPr>
        <w:spacing w:line="240" w:lineRule="auto"/>
        <w:contextualSpacing/>
        <w:rPr>
          <w:rFonts w:cstheme="minorHAnsi"/>
        </w:rPr>
      </w:pPr>
    </w:p>
    <w:p w14:paraId="338E8D2D" w14:textId="4AD993DB" w:rsidR="00891CA3" w:rsidRDefault="0092034E" w:rsidP="00AF0346">
      <w:pPr>
        <w:spacing w:line="240" w:lineRule="auto"/>
        <w:contextualSpacing/>
        <w:rPr>
          <w:rFonts w:cstheme="minorHAnsi"/>
        </w:rPr>
      </w:pPr>
      <w:r>
        <w:t>GOV.uk</w:t>
      </w:r>
      <w:r w:rsidR="00891CA3">
        <w:t xml:space="preserve"> (2022),</w:t>
      </w:r>
      <w:r>
        <w:t xml:space="preserve"> Consent to serious harm for sexual </w:t>
      </w:r>
      <w:r w:rsidR="00891CA3">
        <w:t>gratification</w:t>
      </w:r>
      <w:r>
        <w:t xml:space="preserve"> </w:t>
      </w:r>
      <w:r w:rsidR="00891CA3">
        <w:t xml:space="preserve">not a defence, Available at: </w:t>
      </w:r>
      <w:hyperlink r:id="rId18" w:history="1">
        <w:r w:rsidR="00891CA3" w:rsidRPr="006750FE">
          <w:rPr>
            <w:rStyle w:val="Hyperlink"/>
            <w:rFonts w:cstheme="minorHAnsi"/>
          </w:rPr>
          <w:t>https://www.gov.uk/government/publications/domestic-abuse-bill-2020-factsheets/consent-to-serious-harm-for-sexual-gratification-not-a-defence#:~:text=a%20person%20is%20unable%20to,purposes%20of%20obtaining%20sexual%20gratification</w:t>
        </w:r>
      </w:hyperlink>
      <w:r w:rsidR="002359CC" w:rsidRPr="002359CC">
        <w:rPr>
          <w:rFonts w:cstheme="minorHAnsi"/>
        </w:rPr>
        <w:t>.</w:t>
      </w:r>
      <w:r w:rsidR="00891CA3">
        <w:rPr>
          <w:rFonts w:cstheme="minorHAnsi"/>
        </w:rPr>
        <w:t xml:space="preserve"> </w:t>
      </w:r>
      <w:r w:rsidR="00891CA3">
        <w:rPr>
          <w:rFonts w:cstheme="minorHAnsi"/>
        </w:rPr>
        <w:t xml:space="preserve">(Accessed: </w:t>
      </w:r>
      <w:r w:rsidR="00891CA3">
        <w:rPr>
          <w:rFonts w:cstheme="minorHAnsi"/>
        </w:rPr>
        <w:t>10</w:t>
      </w:r>
      <w:r w:rsidR="00891CA3">
        <w:rPr>
          <w:rFonts w:cstheme="minorHAnsi"/>
        </w:rPr>
        <w:t>/11/23)</w:t>
      </w:r>
    </w:p>
    <w:p w14:paraId="28C840A2" w14:textId="77777777" w:rsidR="00F02C53" w:rsidRDefault="00F02C53" w:rsidP="00AF0346">
      <w:pPr>
        <w:spacing w:line="240" w:lineRule="auto"/>
        <w:contextualSpacing/>
        <w:rPr>
          <w:rFonts w:cstheme="minorHAnsi"/>
        </w:rPr>
      </w:pPr>
    </w:p>
    <w:p w14:paraId="16377F7A" w14:textId="40A2EC7C" w:rsidR="00F02C53" w:rsidRDefault="00F049C8" w:rsidP="00AF0346">
      <w:pPr>
        <w:spacing w:line="240" w:lineRule="auto"/>
        <w:contextualSpacing/>
        <w:rPr>
          <w:rFonts w:cstheme="minorHAnsi"/>
        </w:rPr>
      </w:pPr>
      <w:hyperlink r:id="rId19" w:history="1">
        <w:r w:rsidRPr="006750FE">
          <w:rPr>
            <w:rStyle w:val="Hyperlink"/>
          </w:rPr>
          <w:t xml:space="preserve">CPS (2021), Rape and Sexual Offences – chapter 6: Consent, Available at: </w:t>
        </w:r>
        <w:r w:rsidRPr="006750FE">
          <w:rPr>
            <w:rStyle w:val="Hyperlink"/>
            <w:rFonts w:cstheme="minorHAnsi"/>
          </w:rPr>
          <w:t>https://www.cps.gov.uk/legal-guidance/rape-and-sexual-offences-chapter-6-consent#:~:text=1985%5D%20AC%20147.-,Consent%20to%20serious%20harm%20for%20sexual%20gratification,%5B1993%5D%202%20WLR%20556</w:t>
        </w:r>
      </w:hyperlink>
      <w:r w:rsidR="00F02C53" w:rsidRPr="00F02C53">
        <w:rPr>
          <w:rFonts w:cstheme="minorHAnsi"/>
        </w:rPr>
        <w:t>.</w:t>
      </w:r>
      <w:r>
        <w:rPr>
          <w:rFonts w:cstheme="minorHAnsi"/>
        </w:rPr>
        <w:t xml:space="preserve"> </w:t>
      </w:r>
      <w:r>
        <w:rPr>
          <w:rFonts w:cstheme="minorHAnsi"/>
        </w:rPr>
        <w:t>(Accessed: 10/11/23)</w:t>
      </w:r>
    </w:p>
    <w:p w14:paraId="4671C092" w14:textId="5A257D8F" w:rsidR="00F02C53" w:rsidRDefault="00F02C53" w:rsidP="00AF0346">
      <w:pPr>
        <w:spacing w:line="240" w:lineRule="auto"/>
        <w:contextualSpacing/>
        <w:rPr>
          <w:rFonts w:cstheme="minorHAnsi"/>
        </w:rPr>
      </w:pPr>
    </w:p>
    <w:p w14:paraId="3EC35C38" w14:textId="77777777" w:rsidR="002359CC" w:rsidRDefault="002359CC" w:rsidP="00AF0346">
      <w:pPr>
        <w:spacing w:line="240" w:lineRule="auto"/>
        <w:contextualSpacing/>
        <w:rPr>
          <w:rFonts w:cstheme="minorHAnsi"/>
        </w:rPr>
      </w:pPr>
    </w:p>
    <w:p w14:paraId="308CFC88" w14:textId="77777777" w:rsidR="002359CC" w:rsidRDefault="002359CC" w:rsidP="00AF0346">
      <w:pPr>
        <w:spacing w:line="240" w:lineRule="auto"/>
        <w:contextualSpacing/>
        <w:rPr>
          <w:rFonts w:cstheme="minorHAnsi"/>
        </w:rPr>
      </w:pPr>
    </w:p>
    <w:p w14:paraId="16421825" w14:textId="77777777" w:rsidR="00B30744" w:rsidRDefault="00B30744" w:rsidP="00AF0346">
      <w:pPr>
        <w:spacing w:line="240" w:lineRule="auto"/>
        <w:contextualSpacing/>
        <w:rPr>
          <w:rFonts w:cstheme="minorHAnsi"/>
        </w:rPr>
      </w:pPr>
    </w:p>
    <w:p w14:paraId="34F4C0BB" w14:textId="77777777" w:rsidR="00B30744" w:rsidRDefault="00B30744" w:rsidP="00AF0346">
      <w:pPr>
        <w:spacing w:line="240" w:lineRule="auto"/>
        <w:contextualSpacing/>
        <w:rPr>
          <w:rFonts w:cstheme="minorHAnsi"/>
        </w:rPr>
      </w:pPr>
    </w:p>
    <w:p w14:paraId="7BF86150" w14:textId="77777777" w:rsidR="00880D3E" w:rsidRPr="002C183B" w:rsidRDefault="00880D3E" w:rsidP="00AF0346">
      <w:pPr>
        <w:spacing w:line="240" w:lineRule="auto"/>
        <w:contextualSpacing/>
        <w:rPr>
          <w:rFonts w:cstheme="minorHAnsi"/>
        </w:rPr>
      </w:pPr>
    </w:p>
    <w:sectPr w:rsidR="00880D3E" w:rsidRPr="002C18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013A"/>
    <w:rsid w:val="00007678"/>
    <w:rsid w:val="00010656"/>
    <w:rsid w:val="00015C60"/>
    <w:rsid w:val="00033C3D"/>
    <w:rsid w:val="00056A20"/>
    <w:rsid w:val="00063E14"/>
    <w:rsid w:val="00071131"/>
    <w:rsid w:val="00071F6C"/>
    <w:rsid w:val="0008296E"/>
    <w:rsid w:val="00095BAA"/>
    <w:rsid w:val="00096BE8"/>
    <w:rsid w:val="000A0731"/>
    <w:rsid w:val="000B295A"/>
    <w:rsid w:val="000B3F90"/>
    <w:rsid w:val="000D23F2"/>
    <w:rsid w:val="000D2CCA"/>
    <w:rsid w:val="000D3FE5"/>
    <w:rsid w:val="000E1926"/>
    <w:rsid w:val="000F676D"/>
    <w:rsid w:val="001041E8"/>
    <w:rsid w:val="001127C1"/>
    <w:rsid w:val="00113D2B"/>
    <w:rsid w:val="00140E05"/>
    <w:rsid w:val="00151677"/>
    <w:rsid w:val="001808EA"/>
    <w:rsid w:val="0018154C"/>
    <w:rsid w:val="00191992"/>
    <w:rsid w:val="001A5A6E"/>
    <w:rsid w:val="001B5D20"/>
    <w:rsid w:val="001E5736"/>
    <w:rsid w:val="002017D6"/>
    <w:rsid w:val="002107E5"/>
    <w:rsid w:val="00210DEE"/>
    <w:rsid w:val="002110C1"/>
    <w:rsid w:val="002359CC"/>
    <w:rsid w:val="00252B27"/>
    <w:rsid w:val="002631CB"/>
    <w:rsid w:val="0026716B"/>
    <w:rsid w:val="00274E5D"/>
    <w:rsid w:val="00276F20"/>
    <w:rsid w:val="00292019"/>
    <w:rsid w:val="002932EC"/>
    <w:rsid w:val="002B404B"/>
    <w:rsid w:val="002C183B"/>
    <w:rsid w:val="002E6FBC"/>
    <w:rsid w:val="002F1273"/>
    <w:rsid w:val="002F2526"/>
    <w:rsid w:val="00304880"/>
    <w:rsid w:val="00325918"/>
    <w:rsid w:val="00336BD2"/>
    <w:rsid w:val="00337164"/>
    <w:rsid w:val="00337D7C"/>
    <w:rsid w:val="00344DB6"/>
    <w:rsid w:val="00345083"/>
    <w:rsid w:val="0036570F"/>
    <w:rsid w:val="0037228C"/>
    <w:rsid w:val="00382854"/>
    <w:rsid w:val="00383C72"/>
    <w:rsid w:val="00384824"/>
    <w:rsid w:val="003F1E1E"/>
    <w:rsid w:val="004001B7"/>
    <w:rsid w:val="00404D80"/>
    <w:rsid w:val="00430FEB"/>
    <w:rsid w:val="00441735"/>
    <w:rsid w:val="00455A4D"/>
    <w:rsid w:val="004755C4"/>
    <w:rsid w:val="00476A36"/>
    <w:rsid w:val="00482067"/>
    <w:rsid w:val="004A093D"/>
    <w:rsid w:val="004B0867"/>
    <w:rsid w:val="004D5721"/>
    <w:rsid w:val="004E4C9F"/>
    <w:rsid w:val="00504632"/>
    <w:rsid w:val="00504633"/>
    <w:rsid w:val="00505198"/>
    <w:rsid w:val="00523E8B"/>
    <w:rsid w:val="00540DB9"/>
    <w:rsid w:val="0055503D"/>
    <w:rsid w:val="00571221"/>
    <w:rsid w:val="0058350A"/>
    <w:rsid w:val="00584B3B"/>
    <w:rsid w:val="005D02AB"/>
    <w:rsid w:val="005D7D69"/>
    <w:rsid w:val="005E2F85"/>
    <w:rsid w:val="005E5836"/>
    <w:rsid w:val="005E58AE"/>
    <w:rsid w:val="005F5A6B"/>
    <w:rsid w:val="00612135"/>
    <w:rsid w:val="006132AE"/>
    <w:rsid w:val="0061696E"/>
    <w:rsid w:val="006235A1"/>
    <w:rsid w:val="006656D7"/>
    <w:rsid w:val="006A1A23"/>
    <w:rsid w:val="006A35F1"/>
    <w:rsid w:val="006A620A"/>
    <w:rsid w:val="006B24F6"/>
    <w:rsid w:val="006E588D"/>
    <w:rsid w:val="006F2794"/>
    <w:rsid w:val="00707709"/>
    <w:rsid w:val="00714931"/>
    <w:rsid w:val="00714A55"/>
    <w:rsid w:val="00717293"/>
    <w:rsid w:val="007229E1"/>
    <w:rsid w:val="00733272"/>
    <w:rsid w:val="0074050B"/>
    <w:rsid w:val="00763176"/>
    <w:rsid w:val="00763FE4"/>
    <w:rsid w:val="00784CE5"/>
    <w:rsid w:val="00793B4D"/>
    <w:rsid w:val="007C14EE"/>
    <w:rsid w:val="007D5FD8"/>
    <w:rsid w:val="007E5E66"/>
    <w:rsid w:val="007E6062"/>
    <w:rsid w:val="007F1C22"/>
    <w:rsid w:val="007F3CDB"/>
    <w:rsid w:val="007F3E5C"/>
    <w:rsid w:val="007F40F4"/>
    <w:rsid w:val="007F5FF5"/>
    <w:rsid w:val="007F6E9F"/>
    <w:rsid w:val="0081520B"/>
    <w:rsid w:val="00816BD1"/>
    <w:rsid w:val="00833CB2"/>
    <w:rsid w:val="00833FDF"/>
    <w:rsid w:val="00837ED3"/>
    <w:rsid w:val="008434F2"/>
    <w:rsid w:val="00861FB6"/>
    <w:rsid w:val="00874FC2"/>
    <w:rsid w:val="00875F6E"/>
    <w:rsid w:val="00880D3E"/>
    <w:rsid w:val="008859A4"/>
    <w:rsid w:val="00891CA3"/>
    <w:rsid w:val="008A0FC2"/>
    <w:rsid w:val="008C586D"/>
    <w:rsid w:val="008C6FA2"/>
    <w:rsid w:val="008D0016"/>
    <w:rsid w:val="008D1E3C"/>
    <w:rsid w:val="008D30F6"/>
    <w:rsid w:val="008D5CB6"/>
    <w:rsid w:val="008E62E5"/>
    <w:rsid w:val="008F3C08"/>
    <w:rsid w:val="00905329"/>
    <w:rsid w:val="00912ECE"/>
    <w:rsid w:val="0092034E"/>
    <w:rsid w:val="00921087"/>
    <w:rsid w:val="00931E65"/>
    <w:rsid w:val="009524BC"/>
    <w:rsid w:val="00970142"/>
    <w:rsid w:val="0097263B"/>
    <w:rsid w:val="00983B66"/>
    <w:rsid w:val="009A14C5"/>
    <w:rsid w:val="009C7893"/>
    <w:rsid w:val="009C79E8"/>
    <w:rsid w:val="009E023C"/>
    <w:rsid w:val="009E0AD2"/>
    <w:rsid w:val="00A020E2"/>
    <w:rsid w:val="00A035AB"/>
    <w:rsid w:val="00A15F13"/>
    <w:rsid w:val="00A954F5"/>
    <w:rsid w:val="00AB0BDF"/>
    <w:rsid w:val="00AC3D61"/>
    <w:rsid w:val="00AD3DE2"/>
    <w:rsid w:val="00AE328C"/>
    <w:rsid w:val="00AE38E0"/>
    <w:rsid w:val="00AE554E"/>
    <w:rsid w:val="00AF0346"/>
    <w:rsid w:val="00AF2FE5"/>
    <w:rsid w:val="00B174C1"/>
    <w:rsid w:val="00B20D87"/>
    <w:rsid w:val="00B30744"/>
    <w:rsid w:val="00B33612"/>
    <w:rsid w:val="00B33C43"/>
    <w:rsid w:val="00B505DD"/>
    <w:rsid w:val="00B5624A"/>
    <w:rsid w:val="00B56E77"/>
    <w:rsid w:val="00B606F2"/>
    <w:rsid w:val="00B6572A"/>
    <w:rsid w:val="00B665F5"/>
    <w:rsid w:val="00B71E7B"/>
    <w:rsid w:val="00B7381F"/>
    <w:rsid w:val="00B74989"/>
    <w:rsid w:val="00B85958"/>
    <w:rsid w:val="00B90485"/>
    <w:rsid w:val="00B910EB"/>
    <w:rsid w:val="00B92244"/>
    <w:rsid w:val="00B962D3"/>
    <w:rsid w:val="00BA3CA3"/>
    <w:rsid w:val="00BB04C9"/>
    <w:rsid w:val="00BE784A"/>
    <w:rsid w:val="00BF2FFD"/>
    <w:rsid w:val="00C33ECA"/>
    <w:rsid w:val="00C60753"/>
    <w:rsid w:val="00C65091"/>
    <w:rsid w:val="00C65C82"/>
    <w:rsid w:val="00C85885"/>
    <w:rsid w:val="00C95408"/>
    <w:rsid w:val="00CD47DE"/>
    <w:rsid w:val="00CF4EDC"/>
    <w:rsid w:val="00D04CB1"/>
    <w:rsid w:val="00D0680E"/>
    <w:rsid w:val="00D11985"/>
    <w:rsid w:val="00D26030"/>
    <w:rsid w:val="00D306A1"/>
    <w:rsid w:val="00D371EF"/>
    <w:rsid w:val="00D3741C"/>
    <w:rsid w:val="00D7050B"/>
    <w:rsid w:val="00D80EDF"/>
    <w:rsid w:val="00D855F5"/>
    <w:rsid w:val="00D91795"/>
    <w:rsid w:val="00DA50D0"/>
    <w:rsid w:val="00DB51B5"/>
    <w:rsid w:val="00DD0218"/>
    <w:rsid w:val="00DE08C1"/>
    <w:rsid w:val="00E0480A"/>
    <w:rsid w:val="00E07172"/>
    <w:rsid w:val="00E20A18"/>
    <w:rsid w:val="00E27BCC"/>
    <w:rsid w:val="00E34D57"/>
    <w:rsid w:val="00E5013A"/>
    <w:rsid w:val="00E61C09"/>
    <w:rsid w:val="00E7329B"/>
    <w:rsid w:val="00E756FB"/>
    <w:rsid w:val="00E87657"/>
    <w:rsid w:val="00ED353F"/>
    <w:rsid w:val="00ED7B3D"/>
    <w:rsid w:val="00EE2C55"/>
    <w:rsid w:val="00EE315F"/>
    <w:rsid w:val="00EE3EE0"/>
    <w:rsid w:val="00EE7092"/>
    <w:rsid w:val="00EF7DB2"/>
    <w:rsid w:val="00F02C53"/>
    <w:rsid w:val="00F049C8"/>
    <w:rsid w:val="00F220C4"/>
    <w:rsid w:val="00F22351"/>
    <w:rsid w:val="00F247C5"/>
    <w:rsid w:val="00F3113A"/>
    <w:rsid w:val="00F318D7"/>
    <w:rsid w:val="00F31CF7"/>
    <w:rsid w:val="00F43F46"/>
    <w:rsid w:val="00F601C1"/>
    <w:rsid w:val="00F658D6"/>
    <w:rsid w:val="00F72869"/>
    <w:rsid w:val="00F91315"/>
    <w:rsid w:val="00FA2CAC"/>
    <w:rsid w:val="00FC2B70"/>
    <w:rsid w:val="00FD7921"/>
    <w:rsid w:val="00FE66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9E5AF8"/>
  <w15:chartTrackingRefBased/>
  <w15:docId w15:val="{96F2F8DF-6879-409E-90A1-E90BE56C46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45083"/>
    <w:rPr>
      <w:color w:val="0563C1" w:themeColor="hyperlink"/>
      <w:u w:val="single"/>
    </w:rPr>
  </w:style>
  <w:style w:type="character" w:styleId="UnresolvedMention">
    <w:name w:val="Unresolved Mention"/>
    <w:basedOn w:val="DefaultParagraphFont"/>
    <w:uiPriority w:val="99"/>
    <w:semiHidden/>
    <w:unhideWhenUsed/>
    <w:rsid w:val="0034508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aboutNHSChoices/professionals/healthandcareprofessionals/child-sexual-exploitation/Documents/Consent-information-leaflet.pdf" TargetMode="External"/><Relationship Id="rId13" Type="http://schemas.openxmlformats.org/officeDocument/2006/relationships/hyperlink" Target="S&#225;nchez" TargetMode="External"/><Relationship Id="rId18" Type="http://schemas.openxmlformats.org/officeDocument/2006/relationships/hyperlink" Target="https://www.gov.uk/government/publications/domestic-abuse-bill-2020-factsheets/consent-to-serious-harm-for-sexual-gratification-not-a-defence#:~:text=a%20person%20is%20unable%20to,purposes%20of%20obtaining%20sexual%20gratification"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mentalhealthathome.org/2019/04/09/understand-consent/" TargetMode="External"/><Relationship Id="rId17" Type="http://schemas.openxmlformats.org/officeDocument/2006/relationships/hyperlink" Target="https://www.lawteacher.net/cases/collins-v-wilcock.php" TargetMode="External"/><Relationship Id="rId2" Type="http://schemas.openxmlformats.org/officeDocument/2006/relationships/customXml" Target="../customXml/item2.xml"/><Relationship Id="rId16" Type="http://schemas.openxmlformats.org/officeDocument/2006/relationships/hyperlink" Target="https://www.cps.gov.uk/legal-guidance/offences-against-person-incorporating-charging-standard#:~:text=Common%20Assault%20%E2%80%93%20s.-,39%20Criminal%20Justice%20Act%201988,or%20apprehend%20immediate%20unlawful%20violenc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shsoutherner.net/opinion/2016/11/30/consent-is-not-optional/" TargetMode="External"/><Relationship Id="rId5" Type="http://schemas.openxmlformats.org/officeDocument/2006/relationships/styles" Target="styles.xml"/><Relationship Id="rId15" Type="http://schemas.openxmlformats.org/officeDocument/2006/relationships/hyperlink" Target="https://biotech.law.lsu.edu/map/batterynoconsent.html" TargetMode="External"/><Relationship Id="rId10" Type="http://schemas.openxmlformats.org/officeDocument/2006/relationships/hyperlink" Target="https://www.nimh.nih.gov/health/publications/the-teen-brain-7-things-to-know#:~:text=The%20brain%20finishes%20developing%20and,prioritizing%2C%20and%20making%20good%20decisions" TargetMode="External"/><Relationship Id="rId19" Type="http://schemas.openxmlformats.org/officeDocument/2006/relationships/hyperlink" Target="CPS%20(2021),%20Rape%20and%20Sexual%20Offences%20&#8211;%20chapter%206:%20Consent,%20Available%20at:%20https://www.cps.gov.uk/legal-guidance/rape-and-sexual-offences-chapter-6-consent#:~:text=1985%5D%20AC%20147.-,Consent%20to%20serious%20harm%20for%20sexual%20gratification,%5B1993%5D%202%20WLR%20556" TargetMode="External"/><Relationship Id="rId4" Type="http://schemas.openxmlformats.org/officeDocument/2006/relationships/customXml" Target="../customXml/item4.xml"/><Relationship Id="rId9" Type="http://schemas.openxmlformats.org/officeDocument/2006/relationships/hyperlink" Target="https://rapecrisis.org.uk/get-informed/about-sexual-violence/sexual-consent/#:~:text=The%20age%20of%20consent%20in,taking%20part%20in%20sexual%20activity" TargetMode="External"/><Relationship Id="rId14" Type="http://schemas.openxmlformats.org/officeDocument/2006/relationships/hyperlink" Target="https://www.globalcitizen.org/en/content/spain-explicit-consent-rape-la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3" ma:contentTypeDescription="Create a new document." ma:contentTypeScope="" ma:versionID="9476a5f841044dee4c5ca1d24116846b">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446c0e368440699b06325a817fb11a0b"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DateTaken"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B04426-9744-447A-A9A2-226AB283249C}">
  <ds:schemaRefs>
    <ds:schemaRef ds:uri="http://schemas.microsoft.com/sharepoint/v3/contenttype/forms"/>
  </ds:schemaRefs>
</ds:datastoreItem>
</file>

<file path=customXml/itemProps2.xml><?xml version="1.0" encoding="utf-8"?>
<ds:datastoreItem xmlns:ds="http://schemas.openxmlformats.org/officeDocument/2006/customXml" ds:itemID="{F6D52D5F-01D9-4DA9-8BE7-EEB4AC2374E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CAA334C-5B87-42A6-8192-D6E8443EF7BF}">
  <ds:schemaRefs>
    <ds:schemaRef ds:uri="http://schemas.microsoft.com/office/infopath/2007/PartnerControls"/>
    <ds:schemaRef ds:uri="http://www.w3.org/XML/1998/namespace"/>
    <ds:schemaRef ds:uri="0ebdf10f-b5a3-45b6-acdb-7dc1eb398785"/>
    <ds:schemaRef ds:uri="http://schemas.microsoft.com/office/2006/documentManagement/types"/>
    <ds:schemaRef ds:uri="http://purl.org/dc/dcmitype/"/>
    <ds:schemaRef ds:uri="http://purl.org/dc/elements/1.1/"/>
    <ds:schemaRef ds:uri="http://schemas.openxmlformats.org/package/2006/metadata/core-properties"/>
    <ds:schemaRef ds:uri="550816ce-8156-4f45-b1c4-24236a73d01f"/>
    <ds:schemaRef ds:uri="http://schemas.microsoft.com/office/2006/metadata/properties"/>
    <ds:schemaRef ds:uri="http://purl.org/dc/terms/"/>
  </ds:schemaRefs>
</ds:datastoreItem>
</file>

<file path=customXml/itemProps4.xml><?xml version="1.0" encoding="utf-8"?>
<ds:datastoreItem xmlns:ds="http://schemas.openxmlformats.org/officeDocument/2006/customXml" ds:itemID="{A7AA170A-F757-4E5D-B454-BFBD561BDB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1898</Words>
  <Characters>10822</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Ellis Rees (2312256)</dc:creator>
  <cp:keywords/>
  <dc:description/>
  <cp:lastModifiedBy>Ellis Rees (2312256)</cp:lastModifiedBy>
  <cp:revision>2</cp:revision>
  <dcterms:created xsi:type="dcterms:W3CDTF">2023-11-10T12:46:00Z</dcterms:created>
  <dcterms:modified xsi:type="dcterms:W3CDTF">2023-11-10T12:46:00Z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