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5751D" w14:textId="0D7F59A5" w:rsidR="007729D1" w:rsidRDefault="00AE4B00" w:rsidP="00AE4B00">
      <w:pPr>
        <w:rPr>
          <w:b/>
          <w:bCs/>
          <w:sz w:val="56"/>
          <w:szCs w:val="56"/>
        </w:rPr>
      </w:pPr>
      <w:r>
        <w:rPr>
          <w:b/>
          <w:bCs/>
          <w:sz w:val="56"/>
          <w:szCs w:val="56"/>
        </w:rPr>
        <w:t xml:space="preserve">            </w:t>
      </w:r>
      <w:r w:rsidR="007729D1" w:rsidRPr="00AE4B00">
        <w:rPr>
          <w:b/>
          <w:bCs/>
          <w:sz w:val="56"/>
          <w:szCs w:val="56"/>
        </w:rPr>
        <w:t xml:space="preserve">TELEGRAM </w:t>
      </w:r>
    </w:p>
    <w:p w14:paraId="097021BD" w14:textId="56687F2E" w:rsidR="00AE4B00" w:rsidRDefault="001E037D" w:rsidP="00AE4B00">
      <w:pPr>
        <w:rPr>
          <w:b/>
          <w:bCs/>
          <w:sz w:val="32"/>
          <w:szCs w:val="32"/>
        </w:rPr>
      </w:pPr>
      <w:r>
        <w:rPr>
          <w:b/>
          <w:bCs/>
          <w:sz w:val="32"/>
          <w:szCs w:val="32"/>
        </w:rPr>
        <w:t xml:space="preserve">          </w:t>
      </w:r>
      <w:r w:rsidR="00AE4B00">
        <w:rPr>
          <w:b/>
          <w:bCs/>
          <w:sz w:val="32"/>
          <w:szCs w:val="32"/>
        </w:rPr>
        <w:t xml:space="preserve">Porter's Five Forces Analysis </w:t>
      </w:r>
    </w:p>
    <w:p w14:paraId="1F9E20E5" w14:textId="77777777" w:rsidR="001E037D" w:rsidRDefault="001E037D" w:rsidP="00AE4B00">
      <w:pPr>
        <w:rPr>
          <w:b/>
          <w:bCs/>
          <w:sz w:val="32"/>
          <w:szCs w:val="32"/>
        </w:rPr>
      </w:pPr>
    </w:p>
    <w:p w14:paraId="756E4658" w14:textId="77777777" w:rsidR="00690199" w:rsidRDefault="00690199">
      <w:pPr>
        <w:rPr>
          <w:rFonts w:eastAsia="Times New Roman"/>
          <w:kern w:val="0"/>
          <w14:ligatures w14:val="none"/>
        </w:rPr>
      </w:pPr>
      <w:r>
        <w:rPr>
          <w:rFonts w:eastAsia="Times New Roman"/>
        </w:rPr>
        <w:t>Situational analysis is a key tool in marketing management, enabling organisations to examine internal and external factors that influence strategic decisions (Kotler et al., 2022). This report applies Porter’s Five Forces framework to Telegram, a global cloud-based messaging platform founded in 2013. Telegram operates in the digital communications and messaging services industry, providing users with instant messaging, voice and video calls, bots, channels, large group communication, and file sharing capabilities. Competing with major platforms such as WhatsApp, Facebook Messenger, Signal, WeChat, and Viber, Telegram differentiates itself through strong privacy features, end-to-end encryption for secret chats, and a decentralised server infrastructure.</w:t>
      </w:r>
    </w:p>
    <w:p w14:paraId="228D9508" w14:textId="77777777" w:rsidR="00690199" w:rsidRDefault="00690199">
      <w:pPr>
        <w:rPr>
          <w:rFonts w:eastAsia="Times New Roman"/>
        </w:rPr>
      </w:pPr>
    </w:p>
    <w:p w14:paraId="2C9B1F83" w14:textId="77777777" w:rsidR="00690199" w:rsidRDefault="00690199">
      <w:pPr>
        <w:rPr>
          <w:rFonts w:eastAsia="Times New Roman"/>
        </w:rPr>
      </w:pPr>
      <w:r>
        <w:rPr>
          <w:rFonts w:eastAsia="Times New Roman"/>
        </w:rPr>
        <w:t>The purpose of this report is to evaluate the competitive environment surrounding Telegram by analysing the five forces that shape industry attractiveness: threat of new entrants, bargaining power of suppliers, bargaining power of buyers, threat of substitutes, and competitive rivalry. The findings will help assess how these forces influence Telegram’s strategic decision-making and long-term success within the highly competitive global messaging market.</w:t>
      </w:r>
    </w:p>
    <w:p w14:paraId="23ECD4B0" w14:textId="77777777" w:rsidR="003B74EA" w:rsidRDefault="003B74EA" w:rsidP="00AE4B00"/>
    <w:p w14:paraId="763698D0" w14:textId="7B5FC3F0" w:rsidR="00BE041B" w:rsidRPr="003B74EA" w:rsidRDefault="00BE041B" w:rsidP="00AE4B00">
      <w:pPr>
        <w:rPr>
          <w:b/>
          <w:bCs/>
        </w:rPr>
      </w:pPr>
      <w:r w:rsidRPr="003B74EA">
        <w:rPr>
          <w:b/>
          <w:bCs/>
        </w:rPr>
        <w:t>Situational Analysis: Porter’s Five Forces</w:t>
      </w:r>
    </w:p>
    <w:p w14:paraId="1098DD59" w14:textId="5AC81E7A" w:rsidR="00BE041B" w:rsidRPr="003B74EA" w:rsidRDefault="00BE041B" w:rsidP="00AE4B00">
      <w:r w:rsidRPr="003B74EA">
        <w:t xml:space="preserve"> Threat of New Entrants – Moderate to High</w:t>
      </w:r>
    </w:p>
    <w:p w14:paraId="537060AB" w14:textId="77777777" w:rsidR="00BE041B" w:rsidRPr="003B74EA" w:rsidRDefault="00BE041B" w:rsidP="00AE4B00"/>
    <w:p w14:paraId="193968F3" w14:textId="77777777" w:rsidR="00BE041B" w:rsidRPr="003B74EA" w:rsidRDefault="00BE041B" w:rsidP="00AE4B00">
      <w:r w:rsidRPr="003B74EA">
        <w:t xml:space="preserve">The threat of new entrants in the messaging industry is moderate to high due to the relatively low barriers to entry in software development. Creating a messaging app requires comparatively low initial capital, and open-source encryption tools are widely available (Laudon &amp; </w:t>
      </w:r>
      <w:proofErr w:type="spellStart"/>
      <w:r w:rsidRPr="003B74EA">
        <w:t>Traver</w:t>
      </w:r>
      <w:proofErr w:type="spellEnd"/>
      <w:r w:rsidRPr="003B74EA">
        <w:t>, 2023). Additionally, consumers face minimal switching costs, as downloading a competing messaging app is simple and free. This increases the potential for new firms or niche platforms to enter the market.</w:t>
      </w:r>
    </w:p>
    <w:p w14:paraId="4A7BEA2C" w14:textId="77777777" w:rsidR="00BE041B" w:rsidRPr="003B74EA" w:rsidRDefault="00BE041B" w:rsidP="00AE4B00"/>
    <w:p w14:paraId="0ED38729" w14:textId="77777777" w:rsidR="00BE041B" w:rsidRPr="003B74EA" w:rsidRDefault="00BE041B" w:rsidP="00AE4B00">
      <w:r w:rsidRPr="003B74EA">
        <w:t>However, achieving Telegram’s scale and reliability requires significant investment in secure cloud servers, encryption technology, and global infrastructure. Network effects pose a substantial barrier: users are more likely to choose platforms that their social groups already use (Shapiro &amp; Varian, 1999). Although new entrants can develop an app, gaining millions of active users is considerably more challenging. Telegram’s strong reputation for privacy and robust features further raises barriers for newcomers.</w:t>
      </w:r>
    </w:p>
    <w:p w14:paraId="42C0FC55" w14:textId="77777777" w:rsidR="00BE041B" w:rsidRDefault="00BE041B" w:rsidP="00AE4B00">
      <w:r w:rsidRPr="003B74EA">
        <w:t>Overall impact: Telegram must continuously innovate to maintain its competitive edge and discourage new entrants from gaining traction.</w:t>
      </w:r>
    </w:p>
    <w:p w14:paraId="79F2DCE8" w14:textId="77777777" w:rsidR="004D4944" w:rsidRDefault="004D4944" w:rsidP="00AE4B00">
      <w:pPr>
        <w:rPr>
          <w:b/>
          <w:bCs/>
        </w:rPr>
      </w:pPr>
    </w:p>
    <w:p w14:paraId="3184EF13" w14:textId="2671E1DF" w:rsidR="004D4944" w:rsidRPr="004D4944" w:rsidRDefault="004D4944" w:rsidP="00AE4B00">
      <w:pPr>
        <w:rPr>
          <w:b/>
          <w:bCs/>
        </w:rPr>
      </w:pPr>
      <w:r w:rsidRPr="004D4944">
        <w:rPr>
          <w:b/>
          <w:bCs/>
        </w:rPr>
        <w:t>Bargaining Power of Buyers – High</w:t>
      </w:r>
    </w:p>
    <w:p w14:paraId="19836E10" w14:textId="77777777" w:rsidR="004D4944" w:rsidRDefault="004D4944" w:rsidP="00AE4B00">
      <w:r>
        <w:t xml:space="preserve">Users in the messaging app industry have a high degree of bargaining power. Messaging services are free, and switching from one app to another requires minimal time or effort. Consumers can easily move between WhatsApp, Signal, Messenger, or Telegram based on convenience, privacy concerns, or social recommendations (West &amp; </w:t>
      </w:r>
      <w:proofErr w:type="spellStart"/>
      <w:r>
        <w:t>Treem</w:t>
      </w:r>
      <w:proofErr w:type="spellEnd"/>
      <w:r>
        <w:t>, 2020). Moreover, users expect continuous innovation, strong security, high speed, and platform stability.</w:t>
      </w:r>
    </w:p>
    <w:p w14:paraId="5115CB84" w14:textId="77777777" w:rsidR="004D4944" w:rsidRDefault="004D4944" w:rsidP="00AE4B00">
      <w:r>
        <w:t>Given the availability of many comparable alternatives, Telegram’s users exert high pressure on the platform to maintain quality and expand functionality. Negative press around privacy, security breaches, or outages could lead to rapid user migration.</w:t>
      </w:r>
    </w:p>
    <w:p w14:paraId="07BE3131" w14:textId="77777777" w:rsidR="004D4944" w:rsidRDefault="004D4944" w:rsidP="00AE4B00">
      <w:r>
        <w:t>Overall impact: Telegram must prioritise user experience, security, and constant innovation to retain its global user base.</w:t>
      </w:r>
    </w:p>
    <w:p w14:paraId="4AF92F76" w14:textId="77777777" w:rsidR="004D4944" w:rsidRDefault="004D4944" w:rsidP="00AE4B00"/>
    <w:p w14:paraId="3D381E63" w14:textId="77777777" w:rsidR="00C844DE" w:rsidRPr="00C844DE" w:rsidRDefault="00C844DE" w:rsidP="00AE4B00">
      <w:pPr>
        <w:rPr>
          <w:b/>
          <w:bCs/>
        </w:rPr>
      </w:pPr>
      <w:r w:rsidRPr="00C844DE">
        <w:rPr>
          <w:b/>
          <w:bCs/>
        </w:rPr>
        <w:t>Threat of Substitute Products – Very High</w:t>
      </w:r>
    </w:p>
    <w:p w14:paraId="2CF27F40" w14:textId="77777777" w:rsidR="00C844DE" w:rsidRDefault="00C844DE" w:rsidP="00AE4B00"/>
    <w:p w14:paraId="6E08986F" w14:textId="77777777" w:rsidR="00C844DE" w:rsidRDefault="00C844DE" w:rsidP="00AE4B00">
      <w:r>
        <w:t>The threat of substitutes for messaging apps is extremely high. Users can communicate through several alternative channels, including:</w:t>
      </w:r>
    </w:p>
    <w:p w14:paraId="7C02CB96" w14:textId="77777777" w:rsidR="00C844DE" w:rsidRDefault="00C844DE" w:rsidP="00AE4B00">
      <w:r>
        <w:t>SMS and traditional phone calls</w:t>
      </w:r>
    </w:p>
    <w:p w14:paraId="1FBB41E1" w14:textId="77777777" w:rsidR="00C844DE" w:rsidRDefault="00C844DE" w:rsidP="00AE4B00">
      <w:r>
        <w:t>Email</w:t>
      </w:r>
    </w:p>
    <w:p w14:paraId="09A2B774" w14:textId="77777777" w:rsidR="00C844DE" w:rsidRDefault="00C844DE" w:rsidP="00AE4B00">
      <w:r>
        <w:t>Social networking platforms (e.g., Facebook, Instagram, X)</w:t>
      </w:r>
    </w:p>
    <w:p w14:paraId="28713F09" w14:textId="77777777" w:rsidR="00C844DE" w:rsidRDefault="00C844DE" w:rsidP="00AE4B00">
      <w:r>
        <w:t>Workplace communication tools (Slack, Teams)</w:t>
      </w:r>
    </w:p>
    <w:p w14:paraId="665057D4" w14:textId="77777777" w:rsidR="00C844DE" w:rsidRDefault="00C844DE" w:rsidP="00AE4B00">
      <w:r>
        <w:t>Video conferencing platforms (Zoom, Google Meet)</w:t>
      </w:r>
    </w:p>
    <w:p w14:paraId="05489AD5" w14:textId="77777777" w:rsidR="00C844DE" w:rsidRDefault="00C844DE" w:rsidP="00AE4B00">
      <w:r>
        <w:t>These substitutes serve similar communication needs and, in some cases, offer additional features. For example, social media platforms integrate messaging with content sharing, while workplace tools integrate communication with collaboration functionalities.</w:t>
      </w:r>
    </w:p>
    <w:p w14:paraId="3F3C56B9" w14:textId="77777777" w:rsidR="00C844DE" w:rsidRDefault="00C844DE" w:rsidP="00AE4B00">
      <w:r>
        <w:t>Telegram mitigates substitution risk by offering unique features such as extremely large group capacities, broadcast channels, bots, and encrypted secret chats. However, the broad availability of substitutes still poses a major competitive pressure.</w:t>
      </w:r>
    </w:p>
    <w:p w14:paraId="59D7B267" w14:textId="77777777" w:rsidR="00C844DE" w:rsidRDefault="00C844DE" w:rsidP="00AE4B00">
      <w:r>
        <w:t>Overall impact: Telegram must highlight its unique advantages—privacy, large groups, and versatile file-sharing—to differentiate itself from substitute services.</w:t>
      </w:r>
    </w:p>
    <w:p w14:paraId="19215C5D" w14:textId="77777777" w:rsidR="00C2060C" w:rsidRDefault="00C2060C" w:rsidP="00AE4B00">
      <w:pPr>
        <w:rPr>
          <w:b/>
          <w:bCs/>
        </w:rPr>
      </w:pPr>
    </w:p>
    <w:p w14:paraId="2E446268" w14:textId="28CE9B1C" w:rsidR="00C2060C" w:rsidRPr="00C2060C" w:rsidRDefault="00C2060C" w:rsidP="00AE4B00">
      <w:pPr>
        <w:rPr>
          <w:b/>
          <w:bCs/>
        </w:rPr>
      </w:pPr>
      <w:r w:rsidRPr="00C2060C">
        <w:rPr>
          <w:b/>
          <w:bCs/>
        </w:rPr>
        <w:t>Competitive Rivalry – Extremely High</w:t>
      </w:r>
    </w:p>
    <w:p w14:paraId="190CA0CF" w14:textId="77777777" w:rsidR="00C2060C" w:rsidRDefault="00C2060C" w:rsidP="00AE4B00">
      <w:r>
        <w:t>Competitive rivalry within the messaging industry is among the strongest of all five forces. The market is saturated with powerful global players such as WhatsApp, Messenger, WeChat, Signal, and Snapchat. These firms compete intensely on privacy, security, user experience, features, and platform integration.</w:t>
      </w:r>
    </w:p>
    <w:p w14:paraId="44512CC1" w14:textId="526A8140" w:rsidR="00C2060C" w:rsidRDefault="00C2060C" w:rsidP="00AE4B00">
      <w:r>
        <w:t xml:space="preserve">Rivalry is intensified by the following </w:t>
      </w:r>
      <w:proofErr w:type="spellStart"/>
      <w:r>
        <w:t>factors:Zero</w:t>
      </w:r>
      <w:proofErr w:type="spellEnd"/>
      <w:r>
        <w:t xml:space="preserve"> switching costs encourage frequent user </w:t>
      </w:r>
      <w:proofErr w:type="spellStart"/>
      <w:r>
        <w:t>migration.Rapid</w:t>
      </w:r>
      <w:proofErr w:type="spellEnd"/>
      <w:r>
        <w:t xml:space="preserve"> innovation cycles push companies to constantly update features.</w:t>
      </w:r>
    </w:p>
    <w:p w14:paraId="0EE54112" w14:textId="77777777" w:rsidR="00C2060C" w:rsidRDefault="00C2060C" w:rsidP="00AE4B00">
      <w:r>
        <w:t>Regulatory pressure (data protection, privacy laws) affects all industry competitors.</w:t>
      </w:r>
    </w:p>
    <w:p w14:paraId="66A7A7D4" w14:textId="77777777" w:rsidR="005C221D" w:rsidRDefault="00C2060C" w:rsidP="00AE4B00">
      <w:r>
        <w:t>Network effects favour large incumbents, raising the stakes for competition (Porter, 2008).</w:t>
      </w:r>
    </w:p>
    <w:p w14:paraId="3D372821" w14:textId="733C2D6D" w:rsidR="00C2060C" w:rsidRDefault="00C2060C" w:rsidP="00AE4B00">
      <w:r>
        <w:t>Telegram’s focus on privacy, speed, and community-driven features helps it stand out, but rivalry remains very strong.</w:t>
      </w:r>
    </w:p>
    <w:p w14:paraId="364B15CD" w14:textId="77777777" w:rsidR="00C2060C" w:rsidRDefault="00C2060C" w:rsidP="00AE4B00">
      <w:r>
        <w:t>Overall impact: Telegram must continue innovating aggressively and strengthening user engagement to survive in a highly competitive industry.</w:t>
      </w:r>
    </w:p>
    <w:p w14:paraId="764041BE" w14:textId="77777777" w:rsidR="005C221D" w:rsidRDefault="005C221D" w:rsidP="00AE4B00"/>
    <w:p w14:paraId="4FB72F32" w14:textId="77777777" w:rsidR="007B6185" w:rsidRPr="007B6185" w:rsidRDefault="007B6185" w:rsidP="00AE4B00">
      <w:pPr>
        <w:rPr>
          <w:b/>
          <w:bCs/>
        </w:rPr>
      </w:pPr>
      <w:r w:rsidRPr="007B6185">
        <w:rPr>
          <w:b/>
          <w:bCs/>
        </w:rPr>
        <w:t>Critical Analysis and Evaluation</w:t>
      </w:r>
    </w:p>
    <w:p w14:paraId="419A7139" w14:textId="77777777" w:rsidR="007B6185" w:rsidRDefault="007B6185" w:rsidP="00AE4B00"/>
    <w:p w14:paraId="5CF66C4D" w14:textId="77777777" w:rsidR="007B6185" w:rsidRDefault="007B6185" w:rsidP="00AE4B00">
      <w:r>
        <w:t>The Porter’s Five Forces analysis reveals that Telegram operates in a challenging and dynamic competitive environment. The most influential forces are buyer power and competitive rivalry. Since users can switch platforms effortlessly, Telegram must prioritise strong security, user-friendly features, and continuous improvement. The company’s emphasis on privacy—particularly end-to-end encrypted secret chats—addresses user concerns about data protection and provides a strategic advantage.</w:t>
      </w:r>
    </w:p>
    <w:p w14:paraId="74A5A295" w14:textId="77777777" w:rsidR="007B6185" w:rsidRDefault="007B6185" w:rsidP="00AE4B00"/>
    <w:p w14:paraId="115B1B74" w14:textId="77777777" w:rsidR="007B6185" w:rsidRDefault="007B6185" w:rsidP="00AE4B00">
      <w:r>
        <w:t>Although the threat of new entrants exists, it is moderated by the importance of network effects. Few new platforms can attract the scale of user engagement Telegram enjoys. However, niche entrants innovating around specific features (e.g., gaming-focused platforms or privacy-extremist apps) could compete for user attention.</w:t>
      </w:r>
    </w:p>
    <w:p w14:paraId="6F38E537" w14:textId="77777777" w:rsidR="007B6185" w:rsidRDefault="007B6185" w:rsidP="00AE4B00"/>
    <w:p w14:paraId="74BE5208" w14:textId="77777777" w:rsidR="007B6185" w:rsidRDefault="007B6185" w:rsidP="00AE4B00">
      <w:r>
        <w:t>The very high threat of substitutes means Telegram must continually reinforce its unique value proposition. Features such as bots, automation tools, and massive broadcast channels give Telegram a competitive edge that many substitutes do not fully replicate.</w:t>
      </w:r>
    </w:p>
    <w:p w14:paraId="445E020E" w14:textId="77777777" w:rsidR="007B6185" w:rsidRDefault="007B6185" w:rsidP="00AE4B00"/>
    <w:p w14:paraId="6581A462" w14:textId="0445EF20" w:rsidR="007B6185" w:rsidRDefault="007B6185" w:rsidP="00AE4B00">
      <w:r>
        <w:t>Competitive rivalry remains the strongest force. Dominant competitors like WhatsApp and WeChat possess enormous user bases and corporate backing. Telegram’s differentiation through privacy and innovation is essential for survival.</w:t>
      </w:r>
    </w:p>
    <w:p w14:paraId="398C2083" w14:textId="77777777" w:rsidR="007B6185" w:rsidRDefault="007B6185" w:rsidP="00AE4B00"/>
    <w:p w14:paraId="4FC8246B" w14:textId="77777777" w:rsidR="007B6185" w:rsidRDefault="007B6185" w:rsidP="00AE4B00">
      <w:r>
        <w:t>Overall, Telegram’s environment demands constant technological improvement, strong brand positioning, and a focus on community-centric features.</w:t>
      </w:r>
    </w:p>
    <w:p w14:paraId="55E0E9C8" w14:textId="77777777" w:rsidR="007B6185" w:rsidRDefault="007B6185" w:rsidP="00AE4B00"/>
    <w:p w14:paraId="26872886" w14:textId="7D864141" w:rsidR="007B6185" w:rsidRDefault="001004C4" w:rsidP="00AE4B00">
      <w:r>
        <w:t>In conclusion, Telegram faces significant external pressures across several of Porter’s Five Forces, particularly from intense competition, strong buyer power, and a high threat of substitute services. Despite these challenges, Telegram has positioned itself effectively through its commitment to privacy, scalability, and innovative features. The analysis highlights the need for continuous investment in encryption, platform performance, and unique features such as bots and channels. Conducting situational analysis is essential for strategic planning, enabling organisations like Telegram to navigate their competitive environment and respond proactively to emerging industry threats and opportunities.</w:t>
      </w:r>
    </w:p>
    <w:p w14:paraId="79901DA7" w14:textId="77777777" w:rsidR="00C2060C" w:rsidRDefault="00C2060C" w:rsidP="00AE4B00"/>
    <w:p w14:paraId="103D4849" w14:textId="496763CB" w:rsidR="001C071B" w:rsidRPr="001C071B" w:rsidRDefault="001C071B" w:rsidP="00AE4B00">
      <w:pPr>
        <w:rPr>
          <w:b/>
          <w:bCs/>
          <w:sz w:val="32"/>
          <w:szCs w:val="32"/>
        </w:rPr>
      </w:pPr>
      <w:r w:rsidRPr="001C071B">
        <w:rPr>
          <w:b/>
          <w:bCs/>
          <w:sz w:val="32"/>
          <w:szCs w:val="32"/>
        </w:rPr>
        <w:t>REFERENCES</w:t>
      </w:r>
    </w:p>
    <w:p w14:paraId="57AC1CD3" w14:textId="77777777" w:rsidR="001C071B" w:rsidRDefault="001C071B" w:rsidP="00AE4B00">
      <w:r>
        <w:t>Grant, R. (2021) Contemporary Strategy Analysis. 11</w:t>
      </w:r>
      <w:r w:rsidRPr="001C071B">
        <w:rPr>
          <w:vertAlign w:val="superscript"/>
        </w:rPr>
        <w:t>th</w:t>
      </w:r>
      <w:r>
        <w:t xml:space="preserve"> </w:t>
      </w:r>
      <w:proofErr w:type="spellStart"/>
      <w:r>
        <w:t>edn</w:t>
      </w:r>
      <w:proofErr w:type="spellEnd"/>
      <w:r>
        <w:t>. Wiley.</w:t>
      </w:r>
    </w:p>
    <w:p w14:paraId="00DAB8F3" w14:textId="77777777" w:rsidR="001C071B" w:rsidRDefault="001C071B" w:rsidP="00AE4B00"/>
    <w:p w14:paraId="61F60423" w14:textId="6793891D" w:rsidR="001C071B" w:rsidRDefault="001C071B" w:rsidP="00AE4B00">
      <w:r>
        <w:t xml:space="preserve">Kotler, P., Keller, K. And </w:t>
      </w:r>
      <w:proofErr w:type="spellStart"/>
      <w:r>
        <w:t>Chernev</w:t>
      </w:r>
      <w:proofErr w:type="spellEnd"/>
      <w:r>
        <w:t>, A. (2022) Marketing Management. 16</w:t>
      </w:r>
      <w:r w:rsidRPr="001C071B">
        <w:rPr>
          <w:vertAlign w:val="superscript"/>
        </w:rPr>
        <w:t>th</w:t>
      </w:r>
      <w:r>
        <w:t xml:space="preserve"> </w:t>
      </w:r>
      <w:proofErr w:type="spellStart"/>
      <w:r>
        <w:t>edn</w:t>
      </w:r>
      <w:proofErr w:type="spellEnd"/>
      <w:r>
        <w:t>. Pearson.</w:t>
      </w:r>
    </w:p>
    <w:p w14:paraId="3609A5F5" w14:textId="77777777" w:rsidR="001C071B" w:rsidRDefault="001C071B" w:rsidP="00AE4B00"/>
    <w:p w14:paraId="2B3074E2" w14:textId="78E67450" w:rsidR="001C071B" w:rsidRDefault="001C071B" w:rsidP="00AE4B00">
      <w:r>
        <w:t xml:space="preserve">Laudon, K. And </w:t>
      </w:r>
      <w:proofErr w:type="spellStart"/>
      <w:r>
        <w:t>Traver</w:t>
      </w:r>
      <w:proofErr w:type="spellEnd"/>
      <w:r>
        <w:t>, C. (2023) E-commerce: Business, Technology and Society. 17</w:t>
      </w:r>
      <w:r w:rsidRPr="001C071B">
        <w:rPr>
          <w:vertAlign w:val="superscript"/>
        </w:rPr>
        <w:t>th</w:t>
      </w:r>
      <w:r>
        <w:t xml:space="preserve"> </w:t>
      </w:r>
      <w:proofErr w:type="spellStart"/>
      <w:r>
        <w:t>edn</w:t>
      </w:r>
      <w:proofErr w:type="spellEnd"/>
      <w:r>
        <w:t>. Pearson.</w:t>
      </w:r>
    </w:p>
    <w:p w14:paraId="7D00C383" w14:textId="77777777" w:rsidR="001C071B" w:rsidRDefault="001C071B" w:rsidP="00AE4B00"/>
    <w:p w14:paraId="21596863" w14:textId="77777777" w:rsidR="001C071B" w:rsidRDefault="001C071B" w:rsidP="00AE4B00">
      <w:r>
        <w:t>Porter, M. (2008) ‘The Five Competitive Forces That Shape Strategy’, Harvard Business Review, 86(1), pp. 78–93.</w:t>
      </w:r>
    </w:p>
    <w:p w14:paraId="7E0651BD" w14:textId="77777777" w:rsidR="001C071B" w:rsidRDefault="001C071B" w:rsidP="00AE4B00"/>
    <w:p w14:paraId="537AAD34" w14:textId="44178D6B" w:rsidR="001C071B" w:rsidRDefault="001C071B" w:rsidP="00AE4B00">
      <w:r>
        <w:t>Shapiro, C. And Varian, H. (1999) Information Rules: A Strategic Guide to the Network Economy. Harvard Business School Press.</w:t>
      </w:r>
    </w:p>
    <w:p w14:paraId="24539329" w14:textId="77777777" w:rsidR="001C071B" w:rsidRDefault="001C071B" w:rsidP="00AE4B00"/>
    <w:p w14:paraId="35415B9F" w14:textId="497895EB" w:rsidR="001C071B" w:rsidRDefault="001C071B" w:rsidP="00AE4B00">
      <w:r>
        <w:t xml:space="preserve">West, J. And </w:t>
      </w:r>
      <w:proofErr w:type="spellStart"/>
      <w:r>
        <w:t>Treem</w:t>
      </w:r>
      <w:proofErr w:type="spellEnd"/>
      <w:r>
        <w:t>, J. (2020) ‘Social media and the changing nature of communication’, Journal of Communication, 70(3), pp. 345–367.</w:t>
      </w:r>
    </w:p>
    <w:p w14:paraId="2764A06E" w14:textId="77777777" w:rsidR="001C071B" w:rsidRDefault="001C071B" w:rsidP="00AE4B00"/>
    <w:p w14:paraId="5A6B623E" w14:textId="77777777" w:rsidR="001C071B" w:rsidRDefault="001C071B" w:rsidP="00AE4B00">
      <w:r>
        <w:t>Smith, A. (2021) ‘Digital privacy and encrypted messaging’, Telecommunications Policy, 45(6), pp. 1–12.</w:t>
      </w:r>
    </w:p>
    <w:p w14:paraId="64A4CCE6" w14:textId="77777777" w:rsidR="001C071B" w:rsidRDefault="001C071B" w:rsidP="00AE4B00"/>
    <w:p w14:paraId="21556E5F" w14:textId="77777777" w:rsidR="001C071B" w:rsidRDefault="001C071B" w:rsidP="00AE4B00">
      <w:r>
        <w:t>Rosenberg, D. (2022) ‘Competition in the global messaging market’, Journal of Digital Innovation, 14(4), pp. 210–225.</w:t>
      </w:r>
    </w:p>
    <w:p w14:paraId="6577EBAE" w14:textId="77777777" w:rsidR="001C071B" w:rsidRDefault="001C071B" w:rsidP="00AE4B00"/>
    <w:p w14:paraId="449962C1" w14:textId="77777777" w:rsidR="001C071B" w:rsidRDefault="001C071B" w:rsidP="00AE4B00">
      <w:proofErr w:type="spellStart"/>
      <w:r>
        <w:t>Naughton</w:t>
      </w:r>
      <w:proofErr w:type="spellEnd"/>
      <w:r>
        <w:t>, J. (2021) ‘The politics of messaging apps’, The Guardian, 12 March.</w:t>
      </w:r>
    </w:p>
    <w:p w14:paraId="4B6E5935" w14:textId="77777777" w:rsidR="001C071B" w:rsidRDefault="001C071B" w:rsidP="00AE4B00"/>
    <w:p w14:paraId="636130F3" w14:textId="1E5FEE10" w:rsidR="001C071B" w:rsidRDefault="001C071B" w:rsidP="00AE4B00">
      <w:proofErr w:type="spellStart"/>
      <w:r>
        <w:t>Statista</w:t>
      </w:r>
      <w:proofErr w:type="spellEnd"/>
      <w:r>
        <w:t xml:space="preserve"> (2023) ‘Global messaging app market share’. Available at: </w:t>
      </w:r>
      <w:hyperlink r:id="rId5" w:history="1">
        <w:r w:rsidRPr="00230AEF">
          <w:rPr>
            <w:rStyle w:val="Hyperlink"/>
          </w:rPr>
          <w:t>www.statista.com</w:t>
        </w:r>
      </w:hyperlink>
      <w:r>
        <w:t xml:space="preserve"> (Accessed: [insert date]).</w:t>
      </w:r>
    </w:p>
    <w:p w14:paraId="4172B32C" w14:textId="77777777" w:rsidR="00C844DE" w:rsidRDefault="00C844DE" w:rsidP="00AE4B00"/>
    <w:p w14:paraId="53BF2608" w14:textId="77777777" w:rsidR="003B74EA" w:rsidRPr="003B74EA" w:rsidRDefault="003B74EA" w:rsidP="00AE4B00"/>
    <w:p w14:paraId="5DB303D4" w14:textId="77777777" w:rsidR="00690199" w:rsidRPr="006D0EDD" w:rsidRDefault="00690199" w:rsidP="00AE4B00">
      <w:pPr>
        <w:rPr>
          <w:sz w:val="28"/>
          <w:szCs w:val="28"/>
        </w:rPr>
      </w:pPr>
    </w:p>
    <w:sectPr w:rsidR="00690199" w:rsidRPr="006D0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A6691"/>
    <w:multiLevelType w:val="hybridMultilevel"/>
    <w:tmpl w:val="2D92C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9922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9D1"/>
    <w:rsid w:val="001004C4"/>
    <w:rsid w:val="001C071B"/>
    <w:rsid w:val="001D0A78"/>
    <w:rsid w:val="001E037D"/>
    <w:rsid w:val="003B74EA"/>
    <w:rsid w:val="004D4944"/>
    <w:rsid w:val="005C221D"/>
    <w:rsid w:val="00690199"/>
    <w:rsid w:val="006D0EDD"/>
    <w:rsid w:val="007729D1"/>
    <w:rsid w:val="007B6185"/>
    <w:rsid w:val="00AE4B00"/>
    <w:rsid w:val="00B228F5"/>
    <w:rsid w:val="00BE041B"/>
    <w:rsid w:val="00C2060C"/>
    <w:rsid w:val="00C844DE"/>
    <w:rsid w:val="00D16B25"/>
    <w:rsid w:val="00D2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F884A5"/>
  <w15:chartTrackingRefBased/>
  <w15:docId w15:val="{0C5262C1-12DF-FB41-95E0-0E02491C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9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9D1"/>
    <w:rPr>
      <w:rFonts w:eastAsiaTheme="majorEastAsia" w:cstheme="majorBidi"/>
      <w:color w:val="272727" w:themeColor="text1" w:themeTint="D8"/>
    </w:rPr>
  </w:style>
  <w:style w:type="paragraph" w:styleId="Title">
    <w:name w:val="Title"/>
    <w:basedOn w:val="Normal"/>
    <w:next w:val="Normal"/>
    <w:link w:val="TitleChar"/>
    <w:uiPriority w:val="10"/>
    <w:qFormat/>
    <w:rsid w:val="00772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9D1"/>
    <w:pPr>
      <w:spacing w:before="160"/>
      <w:jc w:val="center"/>
    </w:pPr>
    <w:rPr>
      <w:i/>
      <w:iCs/>
      <w:color w:val="404040" w:themeColor="text1" w:themeTint="BF"/>
    </w:rPr>
  </w:style>
  <w:style w:type="character" w:customStyle="1" w:styleId="QuoteChar">
    <w:name w:val="Quote Char"/>
    <w:basedOn w:val="DefaultParagraphFont"/>
    <w:link w:val="Quote"/>
    <w:uiPriority w:val="29"/>
    <w:rsid w:val="007729D1"/>
    <w:rPr>
      <w:i/>
      <w:iCs/>
      <w:color w:val="404040" w:themeColor="text1" w:themeTint="BF"/>
    </w:rPr>
  </w:style>
  <w:style w:type="paragraph" w:styleId="ListParagraph">
    <w:name w:val="List Paragraph"/>
    <w:basedOn w:val="Normal"/>
    <w:uiPriority w:val="34"/>
    <w:qFormat/>
    <w:rsid w:val="007729D1"/>
    <w:pPr>
      <w:ind w:left="720"/>
      <w:contextualSpacing/>
    </w:pPr>
  </w:style>
  <w:style w:type="character" w:styleId="IntenseEmphasis">
    <w:name w:val="Intense Emphasis"/>
    <w:basedOn w:val="DefaultParagraphFont"/>
    <w:uiPriority w:val="21"/>
    <w:qFormat/>
    <w:rsid w:val="007729D1"/>
    <w:rPr>
      <w:i/>
      <w:iCs/>
      <w:color w:val="0F4761" w:themeColor="accent1" w:themeShade="BF"/>
    </w:rPr>
  </w:style>
  <w:style w:type="paragraph" w:styleId="IntenseQuote">
    <w:name w:val="Intense Quote"/>
    <w:basedOn w:val="Normal"/>
    <w:next w:val="Normal"/>
    <w:link w:val="IntenseQuoteChar"/>
    <w:uiPriority w:val="30"/>
    <w:qFormat/>
    <w:rsid w:val="00772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9D1"/>
    <w:rPr>
      <w:i/>
      <w:iCs/>
      <w:color w:val="0F4761" w:themeColor="accent1" w:themeShade="BF"/>
    </w:rPr>
  </w:style>
  <w:style w:type="character" w:styleId="IntenseReference">
    <w:name w:val="Intense Reference"/>
    <w:basedOn w:val="DefaultParagraphFont"/>
    <w:uiPriority w:val="32"/>
    <w:qFormat/>
    <w:rsid w:val="007729D1"/>
    <w:rPr>
      <w:b/>
      <w:bCs/>
      <w:smallCaps/>
      <w:color w:val="0F4761" w:themeColor="accent1" w:themeShade="BF"/>
      <w:spacing w:val="5"/>
    </w:rPr>
  </w:style>
  <w:style w:type="character" w:styleId="Hyperlink">
    <w:name w:val="Hyperlink"/>
    <w:basedOn w:val="DefaultParagraphFont"/>
    <w:uiPriority w:val="99"/>
    <w:unhideWhenUsed/>
    <w:rsid w:val="001C071B"/>
    <w:rPr>
      <w:color w:val="467886" w:themeColor="hyperlink"/>
      <w:u w:val="single"/>
    </w:rPr>
  </w:style>
  <w:style w:type="character" w:styleId="UnresolvedMention">
    <w:name w:val="Unresolved Mention"/>
    <w:basedOn w:val="DefaultParagraphFont"/>
    <w:uiPriority w:val="99"/>
    <w:semiHidden/>
    <w:unhideWhenUsed/>
    <w:rsid w:val="001C0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www.statista.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1293</Words>
  <Characters>7371</Characters>
  <Application>Microsoft Office Word</Application>
  <DocSecurity>0</DocSecurity>
  <Lines>61</Lines>
  <Paragraphs>17</Paragraphs>
  <ScaleCrop>false</ScaleCrop>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Dicusar</dc:creator>
  <cp:keywords/>
  <dc:description/>
  <cp:lastModifiedBy>Eduard Dicusar</cp:lastModifiedBy>
  <cp:revision>2</cp:revision>
  <dcterms:created xsi:type="dcterms:W3CDTF">2025-11-23T11:38:00Z</dcterms:created>
  <dcterms:modified xsi:type="dcterms:W3CDTF">2025-11-23T11:38:00Z</dcterms:modified>
</cp:coreProperties>
</file>