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F8F5" w14:textId="4E4B36A6" w:rsidR="005F3E2C" w:rsidRDefault="00421069" w:rsidP="00A437B0">
      <w:pPr>
        <w:spacing w:line="480" w:lineRule="auto"/>
        <w:jc w:val="center"/>
        <w:rPr>
          <w:b/>
          <w:bCs/>
          <w:u w:val="single"/>
        </w:rPr>
      </w:pPr>
      <w:r w:rsidRPr="00421069">
        <w:rPr>
          <w:b/>
          <w:bCs/>
          <w:u w:val="single"/>
        </w:rPr>
        <w:t xml:space="preserve">To </w:t>
      </w:r>
      <w:r w:rsidR="00191F9B">
        <w:rPr>
          <w:b/>
          <w:bCs/>
          <w:u w:val="single"/>
        </w:rPr>
        <w:t>W</w:t>
      </w:r>
      <w:r w:rsidRPr="00421069">
        <w:rPr>
          <w:b/>
          <w:bCs/>
          <w:u w:val="single"/>
        </w:rPr>
        <w:t xml:space="preserve">hat </w:t>
      </w:r>
      <w:r w:rsidR="00191F9B">
        <w:rPr>
          <w:b/>
          <w:bCs/>
          <w:u w:val="single"/>
        </w:rPr>
        <w:t>E</w:t>
      </w:r>
      <w:r w:rsidRPr="00421069">
        <w:rPr>
          <w:b/>
          <w:bCs/>
          <w:u w:val="single"/>
        </w:rPr>
        <w:t xml:space="preserve">xtent </w:t>
      </w:r>
      <w:r w:rsidR="00191F9B">
        <w:rPr>
          <w:b/>
          <w:bCs/>
          <w:u w:val="single"/>
        </w:rPr>
        <w:t>W</w:t>
      </w:r>
      <w:r w:rsidRPr="00421069">
        <w:rPr>
          <w:b/>
          <w:bCs/>
          <w:u w:val="single"/>
        </w:rPr>
        <w:t xml:space="preserve">ere </w:t>
      </w:r>
      <w:r w:rsidR="00191F9B">
        <w:rPr>
          <w:b/>
          <w:bCs/>
          <w:u w:val="single"/>
        </w:rPr>
        <w:t>T</w:t>
      </w:r>
      <w:r w:rsidRPr="00421069">
        <w:rPr>
          <w:b/>
          <w:bCs/>
          <w:u w:val="single"/>
        </w:rPr>
        <w:t xml:space="preserve">he Normans </w:t>
      </w:r>
      <w:r w:rsidR="00191F9B">
        <w:rPr>
          <w:b/>
          <w:bCs/>
          <w:u w:val="single"/>
        </w:rPr>
        <w:t>U</w:t>
      </w:r>
      <w:r w:rsidRPr="00421069">
        <w:rPr>
          <w:b/>
          <w:bCs/>
          <w:u w:val="single"/>
        </w:rPr>
        <w:t xml:space="preserve">nited </w:t>
      </w:r>
      <w:r w:rsidR="00191F9B">
        <w:rPr>
          <w:b/>
          <w:bCs/>
          <w:u w:val="single"/>
        </w:rPr>
        <w:t>B</w:t>
      </w:r>
      <w:r w:rsidRPr="00421069">
        <w:rPr>
          <w:b/>
          <w:bCs/>
          <w:u w:val="single"/>
        </w:rPr>
        <w:t xml:space="preserve">y </w:t>
      </w:r>
      <w:r w:rsidR="00191F9B">
        <w:rPr>
          <w:b/>
          <w:bCs/>
          <w:u w:val="single"/>
        </w:rPr>
        <w:t>A</w:t>
      </w:r>
      <w:r w:rsidRPr="00421069">
        <w:rPr>
          <w:b/>
          <w:bCs/>
          <w:u w:val="single"/>
        </w:rPr>
        <w:t xml:space="preserve"> </w:t>
      </w:r>
      <w:r w:rsidR="00191F9B">
        <w:rPr>
          <w:b/>
          <w:bCs/>
          <w:u w:val="single"/>
        </w:rPr>
        <w:t>S</w:t>
      </w:r>
      <w:r w:rsidRPr="00421069">
        <w:rPr>
          <w:b/>
          <w:bCs/>
          <w:u w:val="single"/>
        </w:rPr>
        <w:t xml:space="preserve">hared </w:t>
      </w:r>
      <w:r w:rsidR="00191F9B">
        <w:rPr>
          <w:b/>
          <w:bCs/>
          <w:u w:val="single"/>
        </w:rPr>
        <w:t>S</w:t>
      </w:r>
      <w:r w:rsidRPr="00421069">
        <w:rPr>
          <w:b/>
          <w:bCs/>
          <w:u w:val="single"/>
        </w:rPr>
        <w:t xml:space="preserve">ense </w:t>
      </w:r>
      <w:r w:rsidR="00191F9B">
        <w:rPr>
          <w:b/>
          <w:bCs/>
          <w:u w:val="single"/>
        </w:rPr>
        <w:t>O</w:t>
      </w:r>
      <w:r w:rsidRPr="00421069">
        <w:rPr>
          <w:b/>
          <w:bCs/>
          <w:u w:val="single"/>
        </w:rPr>
        <w:t xml:space="preserve">f </w:t>
      </w:r>
      <w:r w:rsidR="00191F9B">
        <w:rPr>
          <w:b/>
          <w:bCs/>
          <w:u w:val="single"/>
        </w:rPr>
        <w:t>I</w:t>
      </w:r>
      <w:r w:rsidRPr="00421069">
        <w:rPr>
          <w:b/>
          <w:bCs/>
          <w:u w:val="single"/>
        </w:rPr>
        <w:t>dentity?</w:t>
      </w:r>
    </w:p>
    <w:p w14:paraId="5C639AEC" w14:textId="2A0AD09B" w:rsidR="00FD742D" w:rsidRDefault="00421069" w:rsidP="00A437B0">
      <w:pPr>
        <w:spacing w:line="480" w:lineRule="auto"/>
        <w:jc w:val="both"/>
      </w:pPr>
      <w:r>
        <w:tab/>
        <w:t>The term ‘Norman’ is used to describe the inhabitants of the Normandy region in modern day France, and – historically – might refer to the many conquerors who originated from that region, and – in some cases – their descendants.</w:t>
      </w:r>
      <w:r>
        <w:rPr>
          <w:rStyle w:val="FootnoteReference"/>
        </w:rPr>
        <w:footnoteReference w:id="1"/>
      </w:r>
      <w:r w:rsidR="00CF3EEE">
        <w:t xml:space="preserve"> </w:t>
      </w:r>
      <w:r w:rsidR="00191F9B">
        <w:t>But, though the term ‘Norman’ can, and did, apply to many people, in many different groups, its meaning, beyond referring to a point of origin, in relation to the Norman cultural identity, could vary considerably. In many cases the Normans assimilated with the cultures of the peoples they conquered,</w:t>
      </w:r>
      <w:r w:rsidR="00AF00C3">
        <w:t xml:space="preserve"> marrying, and working with, locals,</w:t>
      </w:r>
      <w:r w:rsidR="00191F9B">
        <w:t xml:space="preserve"> and a part of this assimilation </w:t>
      </w:r>
      <w:r w:rsidR="00AF00C3">
        <w:t>process meant that the Norman identity could become influenced by that local culture</w:t>
      </w:r>
      <w:r w:rsidR="00F64CCA">
        <w:t>, and become distinct from, for example, the Norman identity of the Normans in Normandy</w:t>
      </w:r>
      <w:r w:rsidR="00AF00C3">
        <w:t>.</w:t>
      </w:r>
      <w:r w:rsidR="00AF00C3">
        <w:rPr>
          <w:rStyle w:val="FootnoteReference"/>
        </w:rPr>
        <w:footnoteReference w:id="2"/>
      </w:r>
      <w:r w:rsidR="00F64CCA">
        <w:t xml:space="preserve"> Equally, however, there are numerous commonalities between the identities</w:t>
      </w:r>
      <w:r w:rsidR="009F11FF">
        <w:t xml:space="preserve"> of</w:t>
      </w:r>
      <w:r w:rsidR="00F64CCA">
        <w:t xml:space="preserve"> different Norman groups, as can be seen in battle tactics, diplomatic tactics, and most notable, their literary cultures.</w:t>
      </w:r>
      <w:r w:rsidR="00F64CCA">
        <w:rPr>
          <w:rStyle w:val="FootnoteReference"/>
        </w:rPr>
        <w:footnoteReference w:id="3"/>
      </w:r>
      <w:r w:rsidR="009F11FF">
        <w:t xml:space="preserve"> To what extent to the commonalities unite them as people of a shared, Norman, identity, or to what extent do the differences distinguish the different Norman identities? This is the question that this essay intends to investigate, and ultimately conclude upon.</w:t>
      </w:r>
    </w:p>
    <w:p w14:paraId="40B23E83" w14:textId="76B382C2" w:rsidR="000069EE" w:rsidRDefault="009F11FF" w:rsidP="00A437B0">
      <w:pPr>
        <w:spacing w:line="480" w:lineRule="auto"/>
        <w:jc w:val="both"/>
      </w:pPr>
      <w:r>
        <w:tab/>
        <w:t>As Thomas notes the Normans in England, and the Normans in Sicily, were both subject to substantial assimilation with the local culture</w:t>
      </w:r>
      <w:r w:rsidR="00CF3EEE">
        <w:t xml:space="preserve">, and thereby distancing themselves from base </w:t>
      </w:r>
      <w:r w:rsidR="00366FA9">
        <w:t>identity</w:t>
      </w:r>
      <w:r w:rsidR="00CF3EEE">
        <w:t xml:space="preserve"> of the Normans in Normandy</w:t>
      </w:r>
      <w:r>
        <w:t>.</w:t>
      </w:r>
      <w:r>
        <w:rPr>
          <w:rStyle w:val="FootnoteReference"/>
        </w:rPr>
        <w:footnoteReference w:id="4"/>
      </w:r>
      <w:r>
        <w:t xml:space="preserve"> </w:t>
      </w:r>
      <w:r w:rsidR="00366FA9">
        <w:t>In Sicily, for example, the mixture of Arabic, and Greek cultural influences led to a hybridised, style of art and architecture</w:t>
      </w:r>
      <w:r w:rsidR="00792207">
        <w:t xml:space="preserve"> in which </w:t>
      </w:r>
      <w:r w:rsidR="00366FA9">
        <w:t>churches might sport Arab style domes, and, Greek st</w:t>
      </w:r>
      <w:r w:rsidR="00157E6D">
        <w:t>yle mosaic.</w:t>
      </w:r>
      <w:r w:rsidR="00157E6D">
        <w:rPr>
          <w:rStyle w:val="FootnoteReference"/>
        </w:rPr>
        <w:footnoteReference w:id="5"/>
      </w:r>
      <w:r w:rsidR="00157E6D">
        <w:t xml:space="preserve"> This mixed-culture, which pre-dated the Norman rule of </w:t>
      </w:r>
      <w:r w:rsidR="00E66F91">
        <w:t>Sicily, was assimilated by the Normans with the</w:t>
      </w:r>
      <w:r w:rsidR="00157E6D">
        <w:t xml:space="preserve"> </w:t>
      </w:r>
      <w:r w:rsidR="00E66F91">
        <w:t>incorporation</w:t>
      </w:r>
      <w:r w:rsidR="00157E6D">
        <w:t xml:space="preserve"> Norman</w:t>
      </w:r>
      <w:r w:rsidR="00D140D3">
        <w:t xml:space="preserve"> traditions</w:t>
      </w:r>
      <w:r w:rsidR="00E66F91">
        <w:t>;</w:t>
      </w:r>
      <w:r w:rsidR="00792207">
        <w:t xml:space="preserve"> Catholic churches taking elements of Greek, and Arab, architecture, as workmen from the different cultures worked side by side.</w:t>
      </w:r>
      <w:r w:rsidR="00792207">
        <w:rPr>
          <w:rStyle w:val="FootnoteReference"/>
        </w:rPr>
        <w:footnoteReference w:id="6"/>
      </w:r>
      <w:r w:rsidR="00792207">
        <w:t xml:space="preserve"> For the effect this</w:t>
      </w:r>
      <w:r w:rsidR="00D140D3">
        <w:t xml:space="preserve"> had </w:t>
      </w:r>
      <w:r w:rsidR="00792207">
        <w:t>on t</w:t>
      </w:r>
      <w:r w:rsidR="00D140D3">
        <w:t>he Norman identity</w:t>
      </w:r>
      <w:r w:rsidR="00792207">
        <w:t>,</w:t>
      </w:r>
      <w:r w:rsidR="00D140D3">
        <w:t xml:space="preserve"> </w:t>
      </w:r>
      <w:r w:rsidR="00792207">
        <w:t>c</w:t>
      </w:r>
      <w:r w:rsidR="00D140D3">
        <w:t>onsider the mosaic of the Norman King Roger II’s coronation, as can be seen at La Martorana, in Palermo, which depicts the Norman king in a very Greek style.</w:t>
      </w:r>
      <w:r w:rsidR="00D140D3">
        <w:rPr>
          <w:rStyle w:val="FootnoteReference"/>
        </w:rPr>
        <w:footnoteReference w:id="7"/>
      </w:r>
      <w:r w:rsidR="00D140D3">
        <w:t xml:space="preserve"> King Roger II was a </w:t>
      </w:r>
      <w:r w:rsidR="00EE3276">
        <w:t>second-generation</w:t>
      </w:r>
      <w:r w:rsidR="00D140D3">
        <w:t xml:space="preserve"> Norman-Sicilian, the son of the original Norman </w:t>
      </w:r>
      <w:r w:rsidR="00D140D3">
        <w:lastRenderedPageBreak/>
        <w:t>conqueror, and, considering</w:t>
      </w:r>
      <w:r w:rsidR="00EE3276">
        <w:t xml:space="preserve"> his status as a king, might be expected to be representative of other Norman-Sicilians. A roughly contemporary view espoused by William of Malmesbury – when he wrote of English kingship, and how it fell short of general ideals of kingship – conveys how a king should be an example to his subjects, as those subjects would be wont to emulate him.</w:t>
      </w:r>
      <w:r w:rsidR="00EE3276">
        <w:rPr>
          <w:rStyle w:val="FootnoteReference"/>
        </w:rPr>
        <w:footnoteReference w:id="8"/>
      </w:r>
      <w:r w:rsidR="001C4A02">
        <w:t xml:space="preserve"> As such for the king to be depicted a Greek style, and to be depicted so publicly, in a church, indicates that his identity, and by association the identities of Norman-Sicilians, has been significantly influenced by the local, Greek, culture.</w:t>
      </w:r>
      <w:r w:rsidR="009B7921">
        <w:t xml:space="preserve"> This hybrid identity of the Norman-Sicilians is </w:t>
      </w:r>
      <w:r w:rsidR="00E036F9">
        <w:t>distinct from the</w:t>
      </w:r>
      <w:r w:rsidR="009B7921">
        <w:t xml:space="preserve"> Norman identity </w:t>
      </w:r>
      <w:r w:rsidR="00FD742D">
        <w:t>conveyed by depictions of</w:t>
      </w:r>
      <w:r w:rsidR="001C4A02">
        <w:t xml:space="preserve"> </w:t>
      </w:r>
      <w:r w:rsidR="000069EE">
        <w:t xml:space="preserve">Norman dukes, such as that on Duke William in the Bayeux tapestry. Consider the Bayeux depiction of Harold’s oath to Duke William, a formal setting roughly comparable to King Roger II’s coronation, </w:t>
      </w:r>
      <w:r w:rsidR="0025592A">
        <w:t>in which Duke William is well-dressed, but not dressed as a Greek, sports a sword, and is guarded by an armed man.</w:t>
      </w:r>
      <w:r w:rsidR="0025592A">
        <w:rPr>
          <w:rStyle w:val="FootnoteReference"/>
        </w:rPr>
        <w:footnoteReference w:id="9"/>
      </w:r>
      <w:r w:rsidR="00FB0729">
        <w:t xml:space="preserve"> This Norman, or rather Anglo-Norman, depiction explicitly shows the warrior identity of the Normans. </w:t>
      </w:r>
      <w:r w:rsidR="00E036F9">
        <w:t xml:space="preserve">The Greek influenced depiction King Roger II is unlike the Norman influenced Duke William depiction, and seems to be less associated with warcraft. This represents a shift from the basic Norman identity, in which warriorship is apparent, both in the Bayeux tapestry and </w:t>
      </w:r>
      <w:r w:rsidR="00A22E1A">
        <w:t>in written</w:t>
      </w:r>
      <w:r w:rsidR="00E036F9">
        <w:t xml:space="preserve"> sources about the Norman dukes</w:t>
      </w:r>
      <w:r w:rsidR="00A22E1A">
        <w:t xml:space="preserve">, such as in the </w:t>
      </w:r>
      <w:r w:rsidR="004B7BA9">
        <w:rPr>
          <w:i/>
          <w:iCs/>
        </w:rPr>
        <w:t>Historia</w:t>
      </w:r>
      <w:r w:rsidR="00A22E1A">
        <w:rPr>
          <w:i/>
          <w:iCs/>
        </w:rPr>
        <w:t xml:space="preserve"> Normannorum</w:t>
      </w:r>
      <w:r w:rsidR="00A22E1A">
        <w:t>, which asserts that the Normans have been warriors since Rollo’s time</w:t>
      </w:r>
      <w:r w:rsidR="00A22E1A" w:rsidRPr="00A22E1A">
        <w:t xml:space="preserve"> </w:t>
      </w:r>
      <w:r w:rsidR="00A22E1A">
        <w:t>‘</w:t>
      </w:r>
      <w:r w:rsidR="00A22E1A" w:rsidRPr="00A22E1A">
        <w:rPr>
          <w:i/>
          <w:iCs/>
        </w:rPr>
        <w:t>Rollo</w:t>
      </w:r>
      <w:r w:rsidR="00A72ED1">
        <w:rPr>
          <w:i/>
          <w:iCs/>
        </w:rPr>
        <w:t xml:space="preserve"> the</w:t>
      </w:r>
      <w:r w:rsidR="00A22E1A" w:rsidRPr="00A22E1A">
        <w:rPr>
          <w:i/>
          <w:iCs/>
        </w:rPr>
        <w:t xml:space="preserve"> powerful</w:t>
      </w:r>
      <w:r w:rsidR="00A72ED1">
        <w:rPr>
          <w:i/>
          <w:iCs/>
        </w:rPr>
        <w:t>, valiant,</w:t>
      </w:r>
      <w:r w:rsidR="00A22E1A" w:rsidRPr="00A22E1A">
        <w:rPr>
          <w:i/>
          <w:iCs/>
        </w:rPr>
        <w:t xml:space="preserve"> vigorous fierce</w:t>
      </w:r>
      <w:r w:rsidR="00A72ED1">
        <w:rPr>
          <w:i/>
          <w:iCs/>
        </w:rPr>
        <w:t xml:space="preserve">st </w:t>
      </w:r>
      <w:r w:rsidR="00A22E1A" w:rsidRPr="00A22E1A">
        <w:rPr>
          <w:i/>
          <w:iCs/>
        </w:rPr>
        <w:t xml:space="preserve">in </w:t>
      </w:r>
      <w:r w:rsidR="00A72ED1">
        <w:rPr>
          <w:i/>
          <w:iCs/>
        </w:rPr>
        <w:t>warfare</w:t>
      </w:r>
      <w:r w:rsidR="00A22E1A">
        <w:t>.</w:t>
      </w:r>
      <w:r w:rsidR="001323E8">
        <w:rPr>
          <w:rStyle w:val="FootnoteReference"/>
        </w:rPr>
        <w:footnoteReference w:id="10"/>
      </w:r>
      <w:r w:rsidR="001323E8">
        <w:t>’ So it is apparent that, due to assimilation with, and the influences of Sicilian culture, the Sicilian-Normans developed an identity in which warriorship, and warcraft were less prominent, and in this distinct identity might not be said to be united with other Norman groups, under a pan-Norman identity.</w:t>
      </w:r>
    </w:p>
    <w:p w14:paraId="121C357C" w14:textId="61B61468" w:rsidR="00475719" w:rsidRDefault="00E66F91" w:rsidP="00A437B0">
      <w:pPr>
        <w:spacing w:line="480" w:lineRule="auto"/>
        <w:jc w:val="both"/>
      </w:pPr>
      <w:r>
        <w:tab/>
        <w:t xml:space="preserve">Arguably, however, the Sicilian situation may have been an outlier, so far as the </w:t>
      </w:r>
      <w:r w:rsidR="0074271F">
        <w:t>extent</w:t>
      </w:r>
      <w:r>
        <w:t xml:space="preserve"> to which a Norman identity can deviate from the core is concerned</w:t>
      </w:r>
      <w:r w:rsidR="00F54187">
        <w:t>; as stated Sicily was a multi-culture, with major Islamic, and Byzantine influences on the Norman minority, for much of its time as a Norman kingdom, with no successful attempt</w:t>
      </w:r>
      <w:r w:rsidR="00A97117">
        <w:t>, by means of religious conversion,</w:t>
      </w:r>
      <w:r w:rsidR="00F54187">
        <w:t xml:space="preserve"> was made to alter this fact</w:t>
      </w:r>
      <w:r w:rsidR="002815AA">
        <w:t>.</w:t>
      </w:r>
      <w:r w:rsidR="002815AA">
        <w:rPr>
          <w:rStyle w:val="FootnoteReference"/>
        </w:rPr>
        <w:footnoteReference w:id="11"/>
      </w:r>
      <w:r w:rsidR="00A97117">
        <w:t xml:space="preserve"> Elsewhere, where Normans conquered lands in which the majority of people had a substantially different cultural identity to their own, such as their kingdoms in the holy land, conversions were attempted, meaning the Norman identity was not exposed as much </w:t>
      </w:r>
      <w:r w:rsidR="00A97117">
        <w:lastRenderedPageBreak/>
        <w:t>to, and therefore not influence as much by, other identities.</w:t>
      </w:r>
      <w:r w:rsidR="00A97117">
        <w:rPr>
          <w:rStyle w:val="FootnoteReference"/>
        </w:rPr>
        <w:footnoteReference w:id="12"/>
      </w:r>
      <w:r w:rsidR="00A97117">
        <w:t xml:space="preserve"> In other cases shared identity between the Normandy core, and other Norman kingdoms, are apparent. </w:t>
      </w:r>
      <w:r w:rsidR="000841F0">
        <w:t>This can be seen through the commonalties between the portrayals of Normans in the literature of distinct Norman cultures</w:t>
      </w:r>
      <w:r w:rsidR="00ED0DE6">
        <w:t xml:space="preserve">, such as that of Bohemund in </w:t>
      </w:r>
      <w:r w:rsidR="00ED0DE6">
        <w:rPr>
          <w:i/>
          <w:iCs/>
        </w:rPr>
        <w:t>Gesta Tancredi</w:t>
      </w:r>
      <w:r w:rsidR="00ED0DE6">
        <w:t xml:space="preserve"> – written by Raoul de Caen, a knight living in the Norman holy land some years after the First Crusade – and the </w:t>
      </w:r>
      <w:r w:rsidR="005D5F7B">
        <w:t xml:space="preserve">portrayal of William the Bastard in </w:t>
      </w:r>
      <w:bookmarkStart w:id="4" w:name="_Hlk70544310"/>
      <w:r w:rsidR="005D5F7B">
        <w:rPr>
          <w:i/>
          <w:iCs/>
        </w:rPr>
        <w:t>Gesta Guillelmi</w:t>
      </w:r>
      <w:r w:rsidR="005D5F7B">
        <w:t xml:space="preserve"> </w:t>
      </w:r>
      <w:bookmarkEnd w:id="4"/>
      <w:r w:rsidR="005D5F7B">
        <w:t>– written by William de Poitier, a Norman cleric based in Normandy, contemporary with the Norman conquest of England.</w:t>
      </w:r>
      <w:r w:rsidR="005D5F7B">
        <w:rPr>
          <w:rStyle w:val="FootnoteReference"/>
        </w:rPr>
        <w:footnoteReference w:id="13"/>
      </w:r>
      <w:r w:rsidR="00BD0360">
        <w:t xml:space="preserve"> As a roughly contemporary account, to the Norman invasion, </w:t>
      </w:r>
      <w:r w:rsidR="0064704D">
        <w:t xml:space="preserve">and as </w:t>
      </w:r>
      <w:r w:rsidR="00BD0360">
        <w:t xml:space="preserve">the Poitier text – though it concerns a foreign conquest – was written </w:t>
      </w:r>
      <w:r w:rsidR="0064704D">
        <w:t>b</w:t>
      </w:r>
      <w:r w:rsidR="00BD0360">
        <w:t>y a Norman, and at a time when only minimal foreign influence on the Norman identity of the author would have been possible</w:t>
      </w:r>
      <w:r w:rsidR="0064704D">
        <w:t xml:space="preserve">, </w:t>
      </w:r>
      <w:r w:rsidR="0064704D">
        <w:rPr>
          <w:i/>
          <w:iCs/>
        </w:rPr>
        <w:t xml:space="preserve">Gesta Guillelmi </w:t>
      </w:r>
      <w:r w:rsidR="0064704D">
        <w:t>might be seen as evocative of the identity of the Normans of Normandy.</w:t>
      </w:r>
      <w:r w:rsidR="0064704D">
        <w:rPr>
          <w:rStyle w:val="FootnoteReference"/>
        </w:rPr>
        <w:footnoteReference w:id="14"/>
      </w:r>
      <w:r w:rsidR="0064704D">
        <w:t xml:space="preserve"> Whereas the Caen text was written by an author, and in a time, and place, highly likely to have been influenced by the local identity – Caen being involved with Tancred’s court in the Holy Land from a young aged, and </w:t>
      </w:r>
      <w:r w:rsidR="0074271F">
        <w:t>the Norman identity having had a chance to be influenced by the local culture, in the years since the crusade, and conquest.</w:t>
      </w:r>
      <w:r w:rsidR="0074271F">
        <w:rPr>
          <w:rStyle w:val="FootnoteReference"/>
        </w:rPr>
        <w:footnoteReference w:id="15"/>
      </w:r>
      <w:r w:rsidR="0074271F">
        <w:t xml:space="preserve"> But despite distance from Normandy, and ample possibility for foreign influence on identity, both Caen, and Poitier, portray the Norman identity in very similar ways through Norman leaders – Bohemund, and William the Bastard. Specifically, in both accounts we see the leaders using trickery to overcome an enemies advantage in </w:t>
      </w:r>
      <w:r w:rsidR="00EE22FC">
        <w:t>‘</w:t>
      </w:r>
      <w:r w:rsidR="00EE22FC" w:rsidRPr="00EE22FC">
        <w:rPr>
          <w:i/>
          <w:iCs/>
        </w:rPr>
        <w:t>And when night fell, while everything was kept silent, Bohemond moved out toward the tower that had been promised to him, not, however, without a great deal of sweat</w:t>
      </w:r>
      <w:r w:rsidR="00EE22FC">
        <w:rPr>
          <w:i/>
          <w:iCs/>
        </w:rPr>
        <w:t>.</w:t>
      </w:r>
      <w:r w:rsidR="00EE22FC">
        <w:rPr>
          <w:rStyle w:val="FootnoteReference"/>
          <w:i/>
          <w:iCs/>
        </w:rPr>
        <w:footnoteReference w:id="16"/>
      </w:r>
      <w:r w:rsidR="00EE22FC">
        <w:t>’ for Bohemund to take the city of Antioch, and in ‘</w:t>
      </w:r>
      <w:r w:rsidR="00EE22FC">
        <w:rPr>
          <w:i/>
          <w:iCs/>
        </w:rPr>
        <w:t>Having twice used this trick with the same success,</w:t>
      </w:r>
      <w:r w:rsidR="00EE22FC">
        <w:rPr>
          <w:rStyle w:val="FootnoteReference"/>
          <w:i/>
          <w:iCs/>
        </w:rPr>
        <w:footnoteReference w:id="17"/>
      </w:r>
      <w:r w:rsidR="00EE22FC">
        <w:t xml:space="preserve">’ for William to break the Anglo-Saxon lines. Trickery is a common theme in accounts of Normans in battle, in the cases stated here, </w:t>
      </w:r>
      <w:r w:rsidR="008D0095">
        <w:t>and others such as William of Apulia ‘</w:t>
      </w:r>
      <w:bookmarkStart w:id="9" w:name="_Hlk70975509"/>
      <w:r w:rsidR="008D0095" w:rsidRPr="008D0095">
        <w:rPr>
          <w:i/>
          <w:iCs/>
        </w:rPr>
        <w:t>La Geste de Robert Guiscard</w:t>
      </w:r>
      <w:bookmarkEnd w:id="9"/>
      <w:r w:rsidR="008D0095">
        <w:rPr>
          <w:i/>
          <w:iCs/>
        </w:rPr>
        <w:t>’</w:t>
      </w:r>
      <w:r w:rsidR="008D0095">
        <w:t>, in which Robert uses a false corpse to invade an Italian monastery.</w:t>
      </w:r>
      <w:r w:rsidR="008D0095">
        <w:rPr>
          <w:rStyle w:val="FootnoteReference"/>
        </w:rPr>
        <w:footnoteReference w:id="18"/>
      </w:r>
      <w:r w:rsidR="00FF5391">
        <w:t xml:space="preserve"> It is so common of a theme in Norman accounts,</w:t>
      </w:r>
      <w:r w:rsidR="00475719">
        <w:t xml:space="preserve"> and – moreover – if the theme is representative of reality, something which would likely be </w:t>
      </w:r>
      <w:r w:rsidR="00475719">
        <w:lastRenderedPageBreak/>
        <w:t>omitted from non-Norman sources, that it seems likely that trickery is key to the Norman identity, and as such its recurrence in Norman sources from outside of Normandy is suggestive of some shared identity between Norman groups. This seems particularly likely when one consider</w:t>
      </w:r>
      <w:r w:rsidR="00E37932">
        <w:t xml:space="preserve">s that, as Caen was a knight, not a monk, and therefore </w:t>
      </w:r>
      <w:r w:rsidR="00715317">
        <w:t>lacked the privilege of the monastic manuscript circulation network, it is quite unlikely that he would have been aware of the Norman trickery theme in other documents.</w:t>
      </w:r>
      <w:r w:rsidR="00715317">
        <w:rPr>
          <w:rStyle w:val="FootnoteReference"/>
        </w:rPr>
        <w:footnoteReference w:id="19"/>
      </w:r>
      <w:r w:rsidR="00715317">
        <w:t xml:space="preserve"> </w:t>
      </w:r>
      <w:r w:rsidR="008669D2">
        <w:t xml:space="preserve">Trickery’s inclusion, therefore, is suggestive of its place within the Norman identity, rather than its being a mere literary trope. This being so, it seems, by these literary representations of Normans, that there was some sort of </w:t>
      </w:r>
      <w:r w:rsidR="00A07611">
        <w:t>p</w:t>
      </w:r>
      <w:r w:rsidR="008669D2">
        <w:t>an-Norman identity,</w:t>
      </w:r>
      <w:r w:rsidR="00A07611">
        <w:t xml:space="preserve"> shared by Norman groups, and unifying Norman groups,</w:t>
      </w:r>
      <w:r w:rsidR="008669D2">
        <w:t xml:space="preserve"> across most Norman conquered regions, of which trickery was a factor.</w:t>
      </w:r>
    </w:p>
    <w:p w14:paraId="1916F2D6" w14:textId="597B5D49" w:rsidR="00E66F91" w:rsidRDefault="00F353D7" w:rsidP="00A437B0">
      <w:pPr>
        <w:spacing w:line="480" w:lineRule="auto"/>
        <w:jc w:val="both"/>
      </w:pPr>
      <w:r>
        <w:tab/>
        <w:t xml:space="preserve">It has been suggested by scholars such as </w:t>
      </w:r>
      <w:r w:rsidR="00B101F9">
        <w:t>Webber that the Norman identity, beyond Normandy, was – due to assimilation – merely transitional.</w:t>
      </w:r>
      <w:r w:rsidR="00B101F9">
        <w:rPr>
          <w:rStyle w:val="FootnoteReference"/>
        </w:rPr>
        <w:footnoteReference w:id="20"/>
      </w:r>
      <w:r w:rsidR="00B101F9">
        <w:t xml:space="preserve"> Webber identifies the year 1154 as the year of transition for England, and Sicily, </w:t>
      </w:r>
      <w:r w:rsidR="00F06DD2">
        <w:t>stating – in essence – that the distinctly un-Norman behaviours of Roger II of Sicily, and Stephen of England show a shift in behaviour in the elites, a shift cemented by their deaths in 1154, which in turn led to non-Norman kingship in both lands.</w:t>
      </w:r>
      <w:r w:rsidR="00F06DD2">
        <w:rPr>
          <w:rStyle w:val="FootnoteReference"/>
        </w:rPr>
        <w:footnoteReference w:id="21"/>
      </w:r>
      <w:r w:rsidR="00F06DD2">
        <w:t xml:space="preserve"> The suggestion Webber presents is that, with time, a Norman identity inevitably shifts away from the Norman identity. Therefore</w:t>
      </w:r>
      <w:r w:rsidR="000E3E8E">
        <w:t xml:space="preserve">, though there may be an initial shared identity between Norman groups, of the kind presented in literature,  this is very temporary, and soon is overtaken by a localised, assimilated identity, as seen in Sicily which – in the view of Webber – is not so much an outlier, but an accelerated case of a changing Norman identity. </w:t>
      </w:r>
      <w:r w:rsidR="00FB340F">
        <w:t xml:space="preserve">The Norman identity, then, in the view of Webber, is not shared. </w:t>
      </w:r>
      <w:r w:rsidR="000E3E8E">
        <w:t>There is a certain logic to this argument, it is certainly true that identities change with time – and that new leadership, especially of a person of a different identity – can accelerate this</w:t>
      </w:r>
      <w:r w:rsidR="005C008D">
        <w:t>. However</w:t>
      </w:r>
      <w:r w:rsidR="00C001DF">
        <w:t xml:space="preserve">, that this fate, as both history, and Webber, indicate should be universal to all Norman groups, and inevitable for all, is itself suggestive of a major aspect of a pan-Norman identity, namely adaptability. </w:t>
      </w:r>
      <w:r w:rsidR="00A72ED1">
        <w:t xml:space="preserve">Even in their early history it is apparent that the people who would become the Normans had a talent for adapting their identity to fit their surroundings, in his </w:t>
      </w:r>
      <w:r w:rsidR="00A72ED1">
        <w:rPr>
          <w:i/>
          <w:iCs/>
        </w:rPr>
        <w:t xml:space="preserve">Historia Normannorum </w:t>
      </w:r>
      <w:r w:rsidR="00A72ED1">
        <w:t xml:space="preserve">Dudo of St. Quentin details how the </w:t>
      </w:r>
      <w:r w:rsidR="00FB340F">
        <w:t>Normans – formerly Viking raiders – adapted to life as vassals of Francia, converting to Christianity, and calling themselves ‘dukes’, Webber describes much the same sort of thing, albeit from the perspective of his much wider reading.</w:t>
      </w:r>
      <w:r w:rsidR="00FB340F">
        <w:rPr>
          <w:rStyle w:val="FootnoteReference"/>
        </w:rPr>
        <w:footnoteReference w:id="22"/>
      </w:r>
      <w:r w:rsidR="00FB340F">
        <w:t xml:space="preserve"> All this is to say that adapting to a local culture, by assimilation, and by other means, seems to be a fundamental aspect of the Norman identity, as exhibited by the Normans of </w:t>
      </w:r>
      <w:r w:rsidR="00FB340F">
        <w:lastRenderedPageBreak/>
        <w:t xml:space="preserve">Normandy. As such, for the same trait to then be exhibited by other Norman groups, as the adapted to the cultures of Sicily, or of England, is suggestive of the fact that the Norman in these areas </w:t>
      </w:r>
      <w:r w:rsidR="00A07611">
        <w:t>share the Norman identity. By the very act of assimilating, and ceasing to be as Norman, in Webber’s view, the shared Norman identity is readily apparent.</w:t>
      </w:r>
      <w:r w:rsidR="00A227F6">
        <w:t xml:space="preserve"> Further, as Webber admits, Norman identity, and the assimilation thereof, persisted well beyond 1154, all the time adapting to the native culture – across all Norman conquered places.</w:t>
      </w:r>
      <w:r w:rsidR="00A227F6">
        <w:rPr>
          <w:rStyle w:val="FootnoteReference"/>
        </w:rPr>
        <w:footnoteReference w:id="23"/>
      </w:r>
      <w:r w:rsidR="00A227F6">
        <w:t xml:space="preserve"> This continual assimilation, and therefore continual demonstration of a core, shared aspect of the Norman identity, can be seen in England as late as the Nineteenth century, at which time the descendants of the Norman nobility still prided themselves on their Norman heritage, </w:t>
      </w:r>
      <w:r w:rsidR="006E56FA">
        <w:t>but otherwise lacked ties to any part of the Norman identity.</w:t>
      </w:r>
      <w:r w:rsidR="006E56FA">
        <w:rPr>
          <w:rStyle w:val="FootnoteReference"/>
        </w:rPr>
        <w:footnoteReference w:id="24"/>
      </w:r>
      <w:r w:rsidR="006E56FA">
        <w:t xml:space="preserve"> Not only, therefore, is assimilation an aspect, and indication, of a shared Norman identity, it is also seen to be a persisting one</w:t>
      </w:r>
      <w:r w:rsidR="00B010C8">
        <w:t xml:space="preserve"> – lasting well beyond Webbers 1154 cut-off for Normanism beyond Normandy, well beyond, even, the Medieval period. As such, it is evident that the Normans were – as a culture – united by a shared identity, and continued to be so for all of their existence, and far beyond it.</w:t>
      </w:r>
    </w:p>
    <w:p w14:paraId="6CB6B1C7" w14:textId="2820A3DB" w:rsidR="00B010C8" w:rsidRDefault="00B010C8" w:rsidP="00A437B0">
      <w:pPr>
        <w:spacing w:line="480" w:lineRule="auto"/>
        <w:jc w:val="both"/>
      </w:pPr>
      <w:r>
        <w:tab/>
        <w:t xml:space="preserve">Ultimately, this essay concludes in the affirmative, that the Normans were, indeed united by a shared identity. While it is true that, in cases – such as Sicily – the Normans beyond Normandy deviated considerably from the identity of the Normans of Normandy, and in other cases -  as Webber discusses, and as is seen in England – deviated in more subtle ways,  as this essay has shown these deviations – products of assimilation – as in themselves </w:t>
      </w:r>
      <w:r w:rsidR="00133FAA">
        <w:t>a demonstration of the Norman identity, and demonstration which occurred in all Norman conquered territories. Further, there is ample evidence for shared aspects of identity across Norman lands, the use of trickery – for example – in battle, and in battle-literature, which speaks to a shared identity beyond the propensity for assimilation. Though there are factors which separate the identities of different Norman realms – such as Greek influence in Sicily – these factors but evidence of assimilation, which, as stated, is in turn evidence of a general Norman</w:t>
      </w:r>
      <w:r w:rsidR="00D84A9C">
        <w:t xml:space="preserve"> identity. Nonetheless these factors which separate do indicate that the Norman identity was somewhat limited in extent within a society, though the identity was far reaching. In conclusion, however, this essay supports the notion of a shared, unifying, Norman identity, across Norman lands.</w:t>
      </w:r>
    </w:p>
    <w:p w14:paraId="3066E7CE" w14:textId="77777777" w:rsidR="00A437B0" w:rsidRDefault="00A437B0" w:rsidP="00A437B0">
      <w:pPr>
        <w:spacing w:line="480" w:lineRule="auto"/>
        <w:jc w:val="both"/>
        <w:rPr>
          <w:b/>
          <w:bCs/>
          <w:u w:val="single"/>
        </w:rPr>
      </w:pPr>
    </w:p>
    <w:p w14:paraId="45426879" w14:textId="77777777" w:rsidR="00A437B0" w:rsidRDefault="00A437B0" w:rsidP="00A437B0">
      <w:pPr>
        <w:spacing w:line="480" w:lineRule="auto"/>
        <w:jc w:val="both"/>
        <w:rPr>
          <w:b/>
          <w:bCs/>
          <w:u w:val="single"/>
        </w:rPr>
      </w:pPr>
    </w:p>
    <w:p w14:paraId="073AC5B4" w14:textId="76D78626" w:rsidR="00D84A9C" w:rsidRDefault="00D84A9C" w:rsidP="00A437B0">
      <w:pPr>
        <w:spacing w:line="480" w:lineRule="auto"/>
        <w:jc w:val="both"/>
        <w:rPr>
          <w:u w:val="single"/>
        </w:rPr>
      </w:pPr>
      <w:r>
        <w:rPr>
          <w:b/>
          <w:bCs/>
          <w:u w:val="single"/>
        </w:rPr>
        <w:lastRenderedPageBreak/>
        <w:t>Bibliography</w:t>
      </w:r>
    </w:p>
    <w:p w14:paraId="2913AB5D" w14:textId="27CB7C5B" w:rsidR="00D84A9C" w:rsidRDefault="00D84A9C" w:rsidP="00A437B0">
      <w:pPr>
        <w:spacing w:line="480" w:lineRule="auto"/>
        <w:jc w:val="both"/>
        <w:rPr>
          <w:b/>
          <w:bCs/>
        </w:rPr>
      </w:pPr>
      <w:r>
        <w:rPr>
          <w:b/>
          <w:bCs/>
        </w:rPr>
        <w:t>Primary Sources</w:t>
      </w:r>
    </w:p>
    <w:p w14:paraId="476B4625" w14:textId="62070F60" w:rsidR="004B7BA9" w:rsidRPr="004B7BA9" w:rsidRDefault="004B7BA9" w:rsidP="00A437B0">
      <w:pPr>
        <w:pStyle w:val="FootnoteText"/>
        <w:spacing w:line="480" w:lineRule="auto"/>
      </w:pPr>
      <w:r>
        <w:rPr>
          <w:i/>
          <w:iCs/>
        </w:rPr>
        <w:t>Detail from the Bayeux tapestry (British, Victorian Replica): Harold Makes A Solemn Oath</w:t>
      </w:r>
      <w:r>
        <w:t xml:space="preserve">, ed. by the Reading Museum, in ‘Chapter 5: The Oath, Scene 1: Harold makes a solemn oath’, </w:t>
      </w:r>
      <w:r w:rsidRPr="0025592A">
        <w:rPr>
          <w:i/>
          <w:iCs/>
        </w:rPr>
        <w:t>Reading Museum</w:t>
      </w:r>
      <w:r>
        <w:t xml:space="preserve">, 2021. </w:t>
      </w:r>
      <w:r w:rsidRPr="00FB0729">
        <w:t>https://www.readingmuseum.org.uk/collections/britains-bayeux-tapestry/chapter-5-scene-1</w:t>
      </w:r>
      <w:r>
        <w:t>. [Accessed 27/4/21].</w:t>
      </w:r>
    </w:p>
    <w:p w14:paraId="446E6874" w14:textId="22E591F9" w:rsidR="00D84A9C" w:rsidRDefault="00D84A9C" w:rsidP="00A437B0">
      <w:pPr>
        <w:spacing w:line="480" w:lineRule="auto"/>
        <w:jc w:val="both"/>
      </w:pPr>
      <w:r w:rsidRPr="00034A9A">
        <w:rPr>
          <w:i/>
          <w:iCs/>
        </w:rPr>
        <w:t>Detail from the mosaic with Roger II receiving the crown from Christ</w:t>
      </w:r>
      <w:r>
        <w:rPr>
          <w:i/>
          <w:iCs/>
        </w:rPr>
        <w:t xml:space="preserve"> at</w:t>
      </w:r>
      <w:r w:rsidRPr="00034A9A">
        <w:rPr>
          <w:i/>
          <w:iCs/>
        </w:rPr>
        <w:t xml:space="preserve"> Martorana, Palermo</w:t>
      </w:r>
      <w:r>
        <w:t>, ed. by</w:t>
      </w:r>
      <w:r w:rsidRPr="00034A9A">
        <w:t xml:space="preserve"> Cooper,</w:t>
      </w:r>
      <w:r>
        <w:t xml:space="preserve"> J. J.,</w:t>
      </w:r>
      <w:r>
        <w:t xml:space="preserve"> in</w:t>
      </w:r>
      <w:r w:rsidRPr="00034A9A">
        <w:t xml:space="preserve"> ‘Roger II’, </w:t>
      </w:r>
      <w:r w:rsidRPr="00034A9A">
        <w:rPr>
          <w:i/>
          <w:iCs/>
        </w:rPr>
        <w:t>Encyclopedia Britannica</w:t>
      </w:r>
      <w:r w:rsidRPr="00034A9A">
        <w:t xml:space="preserve">, 2021. https://www.britannica.com/biography/Roger-II. [Accessed </w:t>
      </w:r>
      <w:r>
        <w:t>27</w:t>
      </w:r>
      <w:r w:rsidRPr="00034A9A">
        <w:t>/4/21]</w:t>
      </w:r>
      <w:r>
        <w:t>.</w:t>
      </w:r>
    </w:p>
    <w:p w14:paraId="5C1DC3D0" w14:textId="6C27ED82" w:rsidR="004B7BA9" w:rsidRDefault="004B7BA9" w:rsidP="00A437B0">
      <w:pPr>
        <w:spacing w:line="480" w:lineRule="auto"/>
        <w:jc w:val="both"/>
      </w:pPr>
      <w:r>
        <w:t xml:space="preserve">Dudo of St. Quentin, </w:t>
      </w:r>
      <w:r>
        <w:rPr>
          <w:i/>
          <w:iCs/>
        </w:rPr>
        <w:t>Historia</w:t>
      </w:r>
      <w:r w:rsidRPr="009075F5">
        <w:rPr>
          <w:i/>
          <w:iCs/>
        </w:rPr>
        <w:t xml:space="preserve"> Normannorum</w:t>
      </w:r>
      <w:r>
        <w:t>, trans. by Christiansen,</w:t>
      </w:r>
      <w:r>
        <w:t xml:space="preserve"> E.,</w:t>
      </w:r>
      <w:r>
        <w:t xml:space="preserve"> in </w:t>
      </w:r>
      <w:r w:rsidRPr="00A72ED1">
        <w:rPr>
          <w:i/>
          <w:iCs/>
        </w:rPr>
        <w:t>Dudo of St. Quentin History of the Normans</w:t>
      </w:r>
      <w:r>
        <w:t>, (Woodbridge, The Boydell Press, 1998).</w:t>
      </w:r>
    </w:p>
    <w:p w14:paraId="52CF975A" w14:textId="10E821A8" w:rsidR="004B7BA9" w:rsidRDefault="004B7BA9" w:rsidP="00A437B0">
      <w:pPr>
        <w:spacing w:line="480" w:lineRule="auto"/>
        <w:jc w:val="both"/>
      </w:pPr>
      <w:r>
        <w:t xml:space="preserve">Raoul de Caen, </w:t>
      </w:r>
      <w:r>
        <w:rPr>
          <w:i/>
          <w:iCs/>
        </w:rPr>
        <w:t>Gesta Tancredi</w:t>
      </w:r>
      <w:r>
        <w:t>, ed. &amp; trans. by Bachrach,</w:t>
      </w:r>
      <w:r>
        <w:t xml:space="preserve"> B. S.,</w:t>
      </w:r>
      <w:r>
        <w:t xml:space="preserve"> and </w:t>
      </w:r>
      <w:r>
        <w:t>B</w:t>
      </w:r>
      <w:r>
        <w:t>achrach,</w:t>
      </w:r>
      <w:r>
        <w:t xml:space="preserve"> D. S.,</w:t>
      </w:r>
      <w:r>
        <w:t xml:space="preserve"> in </w:t>
      </w:r>
      <w:r w:rsidRPr="005D5F7B">
        <w:rPr>
          <w:i/>
          <w:iCs/>
        </w:rPr>
        <w:t>The Gesta Tancredi of Ralph of Caen: A History of the Normans on the First Crusade</w:t>
      </w:r>
      <w:r>
        <w:t>, (Oxford, Routledge, 2016).</w:t>
      </w:r>
    </w:p>
    <w:p w14:paraId="5E9BE08F" w14:textId="506240AC" w:rsidR="004B7BA9" w:rsidRPr="00FF5391" w:rsidRDefault="004B7BA9" w:rsidP="00A437B0">
      <w:pPr>
        <w:pStyle w:val="FootnoteText"/>
        <w:spacing w:line="480" w:lineRule="auto"/>
        <w:rPr>
          <w:i/>
          <w:iCs/>
        </w:rPr>
      </w:pPr>
      <w:r w:rsidRPr="008D0095">
        <w:t>William of Apulia</w:t>
      </w:r>
      <w:r>
        <w:t xml:space="preserve">, </w:t>
      </w:r>
      <w:r w:rsidRPr="008D0095">
        <w:rPr>
          <w:i/>
          <w:iCs/>
        </w:rPr>
        <w:t>La Geste de Robert Guiscard</w:t>
      </w:r>
      <w:r>
        <w:t xml:space="preserve">, trans. by Loud, </w:t>
      </w:r>
      <w:r>
        <w:t xml:space="preserve">G. A., </w:t>
      </w:r>
      <w:r>
        <w:t xml:space="preserve">in </w:t>
      </w:r>
      <w:r w:rsidRPr="00FF5391">
        <w:rPr>
          <w:i/>
          <w:iCs/>
        </w:rPr>
        <w:t>The Deeds of Robert Guiscard</w:t>
      </w:r>
    </w:p>
    <w:p w14:paraId="47B9B68C" w14:textId="1FAECFC9" w:rsidR="004B7BA9" w:rsidRDefault="004B7BA9" w:rsidP="00A437B0">
      <w:pPr>
        <w:pStyle w:val="FootnoteText"/>
        <w:spacing w:line="480" w:lineRule="auto"/>
      </w:pPr>
      <w:r w:rsidRPr="00FF5391">
        <w:rPr>
          <w:i/>
          <w:iCs/>
        </w:rPr>
        <w:t>By William of Apulia</w:t>
      </w:r>
      <w:r>
        <w:t>, 2019, &lt;</w:t>
      </w:r>
      <w:r w:rsidRPr="00FF5391">
        <w:t xml:space="preserve"> https://ims.leeds.ac.uk/wp-content/uploads/sites/29/2019/02/William-of-Apulia.pdf&gt;[Accessed</w:t>
      </w:r>
      <w:r>
        <w:t>: 03/05/2021].</w:t>
      </w:r>
    </w:p>
    <w:p w14:paraId="2F42EB88" w14:textId="10662618" w:rsidR="004B7BA9" w:rsidRDefault="004B7BA9" w:rsidP="00A437B0">
      <w:pPr>
        <w:pStyle w:val="FootnoteText"/>
        <w:spacing w:line="480" w:lineRule="auto"/>
      </w:pPr>
      <w:r>
        <w:t xml:space="preserve">William of Malmesbury, </w:t>
      </w:r>
      <w:r>
        <w:rPr>
          <w:i/>
          <w:iCs/>
        </w:rPr>
        <w:t>Gesta Regum Anglorum</w:t>
      </w:r>
      <w:r>
        <w:t xml:space="preserve">, trans. by </w:t>
      </w:r>
      <w:r w:rsidRPr="00EE3276">
        <w:t>Mynors,</w:t>
      </w:r>
      <w:r>
        <w:t xml:space="preserve"> R. A. B.,</w:t>
      </w:r>
      <w:r w:rsidRPr="00EE3276">
        <w:t xml:space="preserve"> Thomson</w:t>
      </w:r>
      <w:r>
        <w:t>,</w:t>
      </w:r>
      <w:r>
        <w:t xml:space="preserve"> R. M.,</w:t>
      </w:r>
      <w:r w:rsidRPr="00EE3276">
        <w:t xml:space="preserve"> and</w:t>
      </w:r>
      <w:r>
        <w:t xml:space="preserve"> </w:t>
      </w:r>
      <w:r w:rsidRPr="00EE3276">
        <w:t>Winterbottom</w:t>
      </w:r>
      <w:r>
        <w:t>,</w:t>
      </w:r>
      <w:r>
        <w:t xml:space="preserve"> M.,</w:t>
      </w:r>
      <w:r>
        <w:t xml:space="preserve"> ed. by Weiler,</w:t>
      </w:r>
      <w:r>
        <w:t xml:space="preserve"> B.,</w:t>
      </w:r>
      <w:r>
        <w:t xml:space="preserve"> in </w:t>
      </w:r>
      <w:r>
        <w:rPr>
          <w:i/>
          <w:iCs/>
        </w:rPr>
        <w:t>William of Malmesbury on Kingship</w:t>
      </w:r>
      <w:r>
        <w:t>, (Oxford, Blackwell Publishing LTD. 2005).</w:t>
      </w:r>
    </w:p>
    <w:p w14:paraId="02AE5258" w14:textId="6457E56B" w:rsidR="004B7BA9" w:rsidRDefault="004B7BA9" w:rsidP="00A437B0">
      <w:pPr>
        <w:spacing w:line="480" w:lineRule="auto"/>
        <w:jc w:val="both"/>
      </w:pPr>
      <w:r>
        <w:t xml:space="preserve">William de Poitier, </w:t>
      </w:r>
      <w:r w:rsidRPr="00EC7F20">
        <w:rPr>
          <w:i/>
          <w:iCs/>
        </w:rPr>
        <w:t>Gesta Guillelmi</w:t>
      </w:r>
      <w:r>
        <w:t>, ed. &amp; trans. by Chibnall,</w:t>
      </w:r>
      <w:r>
        <w:t xml:space="preserve"> M,</w:t>
      </w:r>
      <w:r>
        <w:t xml:space="preserve"> in </w:t>
      </w:r>
      <w:r w:rsidRPr="00EC7F20">
        <w:rPr>
          <w:i/>
          <w:iCs/>
        </w:rPr>
        <w:t>The Gesta Guillelmi of William of Poitiers</w:t>
      </w:r>
      <w:r>
        <w:t>, (Oxford, Oxford University Press, 1998).</w:t>
      </w:r>
    </w:p>
    <w:p w14:paraId="19A5523F" w14:textId="1B091908" w:rsidR="00D84A9C" w:rsidRDefault="00D84A9C" w:rsidP="00A437B0">
      <w:pPr>
        <w:spacing w:line="480" w:lineRule="auto"/>
        <w:jc w:val="both"/>
        <w:rPr>
          <w:b/>
          <w:bCs/>
        </w:rPr>
      </w:pPr>
      <w:r>
        <w:rPr>
          <w:b/>
          <w:bCs/>
        </w:rPr>
        <w:t>Secondary Sources</w:t>
      </w:r>
    </w:p>
    <w:p w14:paraId="1BC665A3" w14:textId="0FFF9666" w:rsidR="004B7BA9" w:rsidRDefault="004B7BA9" w:rsidP="00A437B0">
      <w:pPr>
        <w:spacing w:line="480" w:lineRule="auto"/>
        <w:jc w:val="both"/>
      </w:pPr>
      <w:r>
        <w:t xml:space="preserve">Albu, </w:t>
      </w:r>
      <w:r>
        <w:t xml:space="preserve">E., </w:t>
      </w:r>
      <w:r w:rsidRPr="00F64CCA">
        <w:rPr>
          <w:i/>
          <w:iCs/>
        </w:rPr>
        <w:t>The Normans in Their Histories: Propaganda, Myth and Subversion</w:t>
      </w:r>
      <w:r>
        <w:t>, (Woodbridge, The Boydell Press, 2001)</w:t>
      </w:r>
      <w:r>
        <w:t>.</w:t>
      </w:r>
    </w:p>
    <w:p w14:paraId="5B39774F" w14:textId="4CE1D204" w:rsidR="00A437B0" w:rsidRDefault="00A437B0" w:rsidP="00A437B0">
      <w:pPr>
        <w:spacing w:line="480" w:lineRule="auto"/>
        <w:jc w:val="both"/>
      </w:pPr>
      <w:r>
        <w:t xml:space="preserve">Chibnall, </w:t>
      </w:r>
      <w:r>
        <w:t xml:space="preserve">M., </w:t>
      </w:r>
      <w:r w:rsidRPr="00EC7F20">
        <w:rPr>
          <w:i/>
          <w:iCs/>
        </w:rPr>
        <w:t>The Gesta Guillelmi of William of Poitiers</w:t>
      </w:r>
      <w:r>
        <w:t>, ed. by M. Chibnall (Oxford, Oxford University Press, 1998).</w:t>
      </w:r>
    </w:p>
    <w:p w14:paraId="55D641F2" w14:textId="0E354BA7" w:rsidR="004B7BA9" w:rsidRDefault="004B7BA9" w:rsidP="00A437B0">
      <w:pPr>
        <w:spacing w:line="480" w:lineRule="auto"/>
        <w:jc w:val="both"/>
      </w:pPr>
      <w:r>
        <w:t>Curatorial Committee, ‘Itinerary IV: The Meeting of Cultures in Norman Art’, in</w:t>
      </w:r>
      <w:r w:rsidRPr="002C1B42">
        <w:rPr>
          <w:i/>
          <w:iCs/>
        </w:rPr>
        <w:t xml:space="preserve"> Siculo-Norman Art: Islamic Culture in Medieval Sicil</w:t>
      </w:r>
      <w:r>
        <w:rPr>
          <w:i/>
          <w:iCs/>
        </w:rPr>
        <w:t>y</w:t>
      </w:r>
      <w:r>
        <w:t>, ed. by Leone,</w:t>
      </w:r>
      <w:r w:rsidR="00A437B0">
        <w:t xml:space="preserve"> N. G.,</w:t>
      </w:r>
      <w:r>
        <w:t xml:space="preserve"> et al, (Vienna, Museum With No Frontiers, 2010).</w:t>
      </w:r>
    </w:p>
    <w:p w14:paraId="2DA3F5A0" w14:textId="6FA16549" w:rsidR="00A437B0" w:rsidRDefault="00A437B0" w:rsidP="00A437B0">
      <w:pPr>
        <w:spacing w:line="480" w:lineRule="auto"/>
        <w:jc w:val="both"/>
      </w:pPr>
      <w:r>
        <w:lastRenderedPageBreak/>
        <w:t xml:space="preserve">Houben, </w:t>
      </w:r>
      <w:r>
        <w:t xml:space="preserve">H., </w:t>
      </w:r>
      <w:r>
        <w:rPr>
          <w:i/>
          <w:iCs/>
        </w:rPr>
        <w:t>Roger II of Sicily: A Ruler Between East and West</w:t>
      </w:r>
      <w:r>
        <w:t>, trans. by</w:t>
      </w:r>
      <w:r>
        <w:t xml:space="preserve"> </w:t>
      </w:r>
      <w:r>
        <w:t>Loud,</w:t>
      </w:r>
      <w:r>
        <w:t xml:space="preserve"> G. A.,</w:t>
      </w:r>
      <w:r>
        <w:t xml:space="preserve"> and Milburn,</w:t>
      </w:r>
      <w:r>
        <w:t xml:space="preserve"> D.,</w:t>
      </w:r>
      <w:r>
        <w:t xml:space="preserve"> (Cambridge, Cambridge University Press, 2002)</w:t>
      </w:r>
    </w:p>
    <w:p w14:paraId="1DB7924A" w14:textId="60BD71AF" w:rsidR="00A437B0" w:rsidRDefault="00A437B0" w:rsidP="00A437B0">
      <w:pPr>
        <w:spacing w:line="480" w:lineRule="auto"/>
        <w:jc w:val="both"/>
      </w:pPr>
      <w:r>
        <w:t>Johnston,</w:t>
      </w:r>
      <w:r>
        <w:t xml:space="preserve"> M,,</w:t>
      </w:r>
      <w:r>
        <w:t xml:space="preserve"> and Van Dussen,</w:t>
      </w:r>
      <w:r>
        <w:t xml:space="preserve"> M.,</w:t>
      </w:r>
      <w:r>
        <w:t xml:space="preserve"> </w:t>
      </w:r>
      <w:r w:rsidRPr="00715317">
        <w:rPr>
          <w:i/>
          <w:iCs/>
        </w:rPr>
        <w:t>The Medieval Manuscript Book</w:t>
      </w:r>
      <w:r>
        <w:t>, (Cambridge, Cambridge University Press, 2015).</w:t>
      </w:r>
    </w:p>
    <w:p w14:paraId="50AABDD4" w14:textId="7E404411" w:rsidR="00A437B0" w:rsidRDefault="00A437B0" w:rsidP="00A437B0">
      <w:pPr>
        <w:spacing w:line="480" w:lineRule="auto"/>
        <w:jc w:val="both"/>
      </w:pPr>
      <w:r>
        <w:t>Kedar,</w:t>
      </w:r>
      <w:r>
        <w:t xml:space="preserve"> B. Z.,</w:t>
      </w:r>
      <w:r>
        <w:t xml:space="preserve"> </w:t>
      </w:r>
      <w:r w:rsidRPr="00A97117">
        <w:rPr>
          <w:i/>
          <w:iCs/>
        </w:rPr>
        <w:t>Crusade and Mission: European Approaches Toward the Muslims</w:t>
      </w:r>
      <w:r>
        <w:t>, (New Jersey, Princeton University Press, 1984).</w:t>
      </w:r>
    </w:p>
    <w:p w14:paraId="02803A3D" w14:textId="52160326" w:rsidR="00A437B0" w:rsidRDefault="00A437B0" w:rsidP="00A437B0">
      <w:pPr>
        <w:spacing w:line="480" w:lineRule="auto"/>
        <w:jc w:val="both"/>
      </w:pPr>
      <w:r>
        <w:t>Krey,</w:t>
      </w:r>
      <w:r>
        <w:t xml:space="preserve"> A. C.,</w:t>
      </w:r>
      <w:r>
        <w:t xml:space="preserve"> </w:t>
      </w:r>
      <w:r w:rsidRPr="0074271F">
        <w:rPr>
          <w:i/>
          <w:iCs/>
        </w:rPr>
        <w:t>The First Crusade: The Accounts of Eye-Witnesses and Participants</w:t>
      </w:r>
      <w:r>
        <w:t>, ed. by Krey,</w:t>
      </w:r>
      <w:r>
        <w:t xml:space="preserve"> A. C.,</w:t>
      </w:r>
      <w:r>
        <w:t xml:space="preserve"> (New Jersey, Evolution Publishing, 2012).</w:t>
      </w:r>
    </w:p>
    <w:p w14:paraId="3183AC29" w14:textId="65FE2610" w:rsidR="00A437B0" w:rsidRDefault="00A437B0" w:rsidP="00A437B0">
      <w:pPr>
        <w:spacing w:line="480" w:lineRule="auto"/>
        <w:jc w:val="both"/>
      </w:pPr>
      <w:r>
        <w:t>Stinger,</w:t>
      </w:r>
      <w:r>
        <w:t xml:space="preserve"> K.,</w:t>
      </w:r>
      <w:r>
        <w:t xml:space="preserve"> ‘Aspects of the Norman diaspora in Northern England, and Southern Scotland’, in </w:t>
      </w:r>
      <w:r w:rsidRPr="006E56FA">
        <w:rPr>
          <w:i/>
          <w:iCs/>
        </w:rPr>
        <w:t>Norman Expansion: Connections, Continuities and Contrasts</w:t>
      </w:r>
      <w:r>
        <w:t>, ed. by Stinger,</w:t>
      </w:r>
      <w:r>
        <w:t xml:space="preserve"> K.,</w:t>
      </w:r>
      <w:r>
        <w:t xml:space="preserve"> &amp; Jotischky,</w:t>
      </w:r>
      <w:r>
        <w:t xml:space="preserve"> A.,</w:t>
      </w:r>
      <w:r>
        <w:t xml:space="preserve"> (Oxford, Routledge, 2016)</w:t>
      </w:r>
      <w:r>
        <w:t>.</w:t>
      </w:r>
    </w:p>
    <w:p w14:paraId="401668E4" w14:textId="2F4C4381" w:rsidR="004B7BA9" w:rsidRDefault="004B7BA9" w:rsidP="00A437B0">
      <w:pPr>
        <w:spacing w:line="480" w:lineRule="auto"/>
        <w:jc w:val="both"/>
      </w:pPr>
      <w:r>
        <w:t>Thomas,</w:t>
      </w:r>
      <w:r>
        <w:t xml:space="preserve"> H. M.,</w:t>
      </w:r>
      <w:r>
        <w:t xml:space="preserve"> </w:t>
      </w:r>
      <w:r w:rsidRPr="00AF00C3">
        <w:rPr>
          <w:i/>
          <w:iCs/>
        </w:rPr>
        <w:t xml:space="preserve">The </w:t>
      </w:r>
      <w:proofErr w:type="gramStart"/>
      <w:r w:rsidRPr="00AF00C3">
        <w:rPr>
          <w:i/>
          <w:iCs/>
        </w:rPr>
        <w:t>English</w:t>
      </w:r>
      <w:proofErr w:type="gramEnd"/>
      <w:r w:rsidRPr="00AF00C3">
        <w:rPr>
          <w:i/>
          <w:iCs/>
        </w:rPr>
        <w:t xml:space="preserve"> and the Normans: Ethnic Hostility, Assimilation, and Identity</w:t>
      </w:r>
      <w:r>
        <w:rPr>
          <w:i/>
          <w:iCs/>
        </w:rPr>
        <w:t>, 1066-c.1220</w:t>
      </w:r>
      <w:r>
        <w:t>, (Oxford, Oxford University Press, 2003).</w:t>
      </w:r>
    </w:p>
    <w:p w14:paraId="5D4CEA29" w14:textId="093E1704" w:rsidR="004B7BA9" w:rsidRDefault="004B7BA9" w:rsidP="00A437B0">
      <w:pPr>
        <w:spacing w:line="480" w:lineRule="auto"/>
        <w:jc w:val="both"/>
      </w:pPr>
      <w:r>
        <w:t>Webber,</w:t>
      </w:r>
      <w:r>
        <w:t xml:space="preserve"> N.,</w:t>
      </w:r>
      <w:r>
        <w:t xml:space="preserve"> </w:t>
      </w:r>
      <w:r w:rsidRPr="00421069">
        <w:rPr>
          <w:i/>
          <w:iCs/>
        </w:rPr>
        <w:t>The Evolution of Norman Identity, 911-1154</w:t>
      </w:r>
      <w:r>
        <w:t>, (Woodbridge, The Boydell Press, 2005).</w:t>
      </w:r>
    </w:p>
    <w:p w14:paraId="2E05A2E9" w14:textId="7DF8DB54" w:rsidR="004B7BA9" w:rsidRPr="00D84A9C" w:rsidRDefault="004B7BA9" w:rsidP="00A437B0">
      <w:pPr>
        <w:spacing w:line="480" w:lineRule="auto"/>
        <w:jc w:val="both"/>
      </w:pPr>
      <w:r>
        <w:t xml:space="preserve">Woltmann, </w:t>
      </w:r>
      <w:r>
        <w:t xml:space="preserve">A., </w:t>
      </w:r>
      <w:r>
        <w:t>and</w:t>
      </w:r>
      <w:r>
        <w:t xml:space="preserve"> </w:t>
      </w:r>
      <w:r>
        <w:t>Woermann,</w:t>
      </w:r>
      <w:r>
        <w:t xml:space="preserve"> K.,</w:t>
      </w:r>
      <w:r>
        <w:t xml:space="preserve"> </w:t>
      </w:r>
      <w:r w:rsidRPr="00157E6D">
        <w:rPr>
          <w:i/>
          <w:iCs/>
        </w:rPr>
        <w:t xml:space="preserve">History of Painting: Ancient, </w:t>
      </w:r>
      <w:r>
        <w:rPr>
          <w:i/>
          <w:iCs/>
        </w:rPr>
        <w:t>E</w:t>
      </w:r>
      <w:r w:rsidRPr="00157E6D">
        <w:rPr>
          <w:i/>
          <w:iCs/>
        </w:rPr>
        <w:t xml:space="preserve">arly Christian and </w:t>
      </w:r>
      <w:r>
        <w:rPr>
          <w:i/>
          <w:iCs/>
        </w:rPr>
        <w:t>M</w:t>
      </w:r>
      <w:r w:rsidRPr="00157E6D">
        <w:rPr>
          <w:i/>
          <w:iCs/>
        </w:rPr>
        <w:t xml:space="preserve">ediaeval </w:t>
      </w:r>
      <w:r>
        <w:rPr>
          <w:i/>
          <w:iCs/>
        </w:rPr>
        <w:t>P</w:t>
      </w:r>
      <w:r w:rsidRPr="00157E6D">
        <w:rPr>
          <w:i/>
          <w:iCs/>
        </w:rPr>
        <w:t>ainting</w:t>
      </w:r>
      <w:r>
        <w:t>, trans. &amp; ed. by Colvin,</w:t>
      </w:r>
      <w:r>
        <w:t xml:space="preserve"> S.,</w:t>
      </w:r>
      <w:r>
        <w:t xml:space="preserve"> (London, C. Keegan Paul &amp; Co., 1880).</w:t>
      </w:r>
    </w:p>
    <w:sectPr w:rsidR="004B7BA9" w:rsidRPr="00D84A9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C2489" w14:textId="77777777" w:rsidR="00EF4BC6" w:rsidRDefault="00EF4BC6" w:rsidP="00421069">
      <w:pPr>
        <w:spacing w:after="0" w:line="240" w:lineRule="auto"/>
      </w:pPr>
      <w:r>
        <w:separator/>
      </w:r>
    </w:p>
  </w:endnote>
  <w:endnote w:type="continuationSeparator" w:id="0">
    <w:p w14:paraId="482FF071" w14:textId="77777777" w:rsidR="00EF4BC6" w:rsidRDefault="00EF4BC6" w:rsidP="00421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6619E" w14:textId="77777777" w:rsidR="00EF4BC6" w:rsidRDefault="00EF4BC6" w:rsidP="00421069">
      <w:pPr>
        <w:spacing w:after="0" w:line="240" w:lineRule="auto"/>
      </w:pPr>
      <w:r>
        <w:separator/>
      </w:r>
    </w:p>
  </w:footnote>
  <w:footnote w:type="continuationSeparator" w:id="0">
    <w:p w14:paraId="7FF7CC8B" w14:textId="77777777" w:rsidR="00EF4BC6" w:rsidRDefault="00EF4BC6" w:rsidP="00421069">
      <w:pPr>
        <w:spacing w:after="0" w:line="240" w:lineRule="auto"/>
      </w:pPr>
      <w:r>
        <w:continuationSeparator/>
      </w:r>
    </w:p>
  </w:footnote>
  <w:footnote w:id="1">
    <w:p w14:paraId="66041AA2" w14:textId="7D49B80E" w:rsidR="00421069" w:rsidRPr="00421069" w:rsidRDefault="00421069">
      <w:pPr>
        <w:pStyle w:val="FootnoteText"/>
      </w:pPr>
      <w:r>
        <w:rPr>
          <w:rStyle w:val="FootnoteReference"/>
        </w:rPr>
        <w:footnoteRef/>
      </w:r>
      <w:r>
        <w:t xml:space="preserve"> </w:t>
      </w:r>
      <w:bookmarkStart w:id="0" w:name="_Hlk71143349"/>
      <w:r>
        <w:t xml:space="preserve">N. Webber, </w:t>
      </w:r>
      <w:r w:rsidRPr="00421069">
        <w:rPr>
          <w:i/>
          <w:iCs/>
        </w:rPr>
        <w:t>The Evolution of Norman Identity, 911-1154</w:t>
      </w:r>
      <w:r>
        <w:t>, (Woodbridge, The Boydell Press, 2005)</w:t>
      </w:r>
      <w:r w:rsidR="00191F9B">
        <w:t xml:space="preserve">. </w:t>
      </w:r>
      <w:bookmarkEnd w:id="0"/>
      <w:r w:rsidR="00191F9B">
        <w:t>Pp.1-2.</w:t>
      </w:r>
    </w:p>
  </w:footnote>
  <w:footnote w:id="2">
    <w:p w14:paraId="41E5B2CB" w14:textId="195FCFF5" w:rsidR="00AF00C3" w:rsidRPr="00F64CCA" w:rsidRDefault="00AF00C3">
      <w:pPr>
        <w:pStyle w:val="FootnoteText"/>
      </w:pPr>
      <w:r>
        <w:rPr>
          <w:rStyle w:val="FootnoteReference"/>
        </w:rPr>
        <w:footnoteRef/>
      </w:r>
      <w:r>
        <w:t xml:space="preserve"> H. M. Thomas, </w:t>
      </w:r>
      <w:r w:rsidRPr="00AF00C3">
        <w:rPr>
          <w:i/>
          <w:iCs/>
        </w:rPr>
        <w:t>The English and the Normans: Ethnic Hostility, Assimilation, and Identity</w:t>
      </w:r>
      <w:r>
        <w:rPr>
          <w:i/>
          <w:iCs/>
        </w:rPr>
        <w:t>, 1066-c.1220</w:t>
      </w:r>
      <w:r w:rsidR="00F64CCA">
        <w:t>, (Oxford, Oxford University Press, 2003). Pp.4-5.</w:t>
      </w:r>
    </w:p>
  </w:footnote>
  <w:footnote w:id="3">
    <w:p w14:paraId="3C4FE4DE" w14:textId="02FE3D10" w:rsidR="00F64CCA" w:rsidRPr="009F11FF" w:rsidRDefault="00F64CCA">
      <w:pPr>
        <w:pStyle w:val="FootnoteText"/>
      </w:pPr>
      <w:r>
        <w:rPr>
          <w:rStyle w:val="FootnoteReference"/>
        </w:rPr>
        <w:footnoteRef/>
      </w:r>
      <w:r>
        <w:t xml:space="preserve"> E. Albu, </w:t>
      </w:r>
      <w:r w:rsidRPr="00F64CCA">
        <w:rPr>
          <w:i/>
          <w:iCs/>
        </w:rPr>
        <w:t>The Normans in Their Histories: Propaganda, Myth and Subversion</w:t>
      </w:r>
      <w:r w:rsidR="009F11FF">
        <w:t>, (Woodbridge, The Boydell Press, 2001). P.6.</w:t>
      </w:r>
    </w:p>
  </w:footnote>
  <w:footnote w:id="4">
    <w:p w14:paraId="68433C80" w14:textId="42731F16" w:rsidR="009F11FF" w:rsidRPr="009F11FF" w:rsidRDefault="009F11FF">
      <w:pPr>
        <w:pStyle w:val="FootnoteText"/>
      </w:pPr>
      <w:r>
        <w:rPr>
          <w:rStyle w:val="FootnoteReference"/>
        </w:rPr>
        <w:footnoteRef/>
      </w:r>
      <w:r>
        <w:t xml:space="preserve"> Thomas, </w:t>
      </w:r>
      <w:r w:rsidRPr="00AF00C3">
        <w:rPr>
          <w:i/>
          <w:iCs/>
        </w:rPr>
        <w:t>The English and the Normans</w:t>
      </w:r>
      <w:r>
        <w:t>, P.7.</w:t>
      </w:r>
    </w:p>
  </w:footnote>
  <w:footnote w:id="5">
    <w:p w14:paraId="75C670CE" w14:textId="11E15F4A" w:rsidR="00157E6D" w:rsidRPr="00157E6D" w:rsidRDefault="00157E6D">
      <w:pPr>
        <w:pStyle w:val="FootnoteText"/>
      </w:pPr>
      <w:r>
        <w:rPr>
          <w:rStyle w:val="FootnoteReference"/>
        </w:rPr>
        <w:footnoteRef/>
      </w:r>
      <w:r>
        <w:t xml:space="preserve"> A. Woltmann, and K. Woermann, </w:t>
      </w:r>
      <w:r w:rsidRPr="00157E6D">
        <w:rPr>
          <w:i/>
          <w:iCs/>
        </w:rPr>
        <w:t xml:space="preserve">History of Painting: Ancient, </w:t>
      </w:r>
      <w:r>
        <w:rPr>
          <w:i/>
          <w:iCs/>
        </w:rPr>
        <w:t>E</w:t>
      </w:r>
      <w:r w:rsidRPr="00157E6D">
        <w:rPr>
          <w:i/>
          <w:iCs/>
        </w:rPr>
        <w:t xml:space="preserve">arly Christian and </w:t>
      </w:r>
      <w:r>
        <w:rPr>
          <w:i/>
          <w:iCs/>
        </w:rPr>
        <w:t>M</w:t>
      </w:r>
      <w:r w:rsidRPr="00157E6D">
        <w:rPr>
          <w:i/>
          <w:iCs/>
        </w:rPr>
        <w:t xml:space="preserve">ediaeval </w:t>
      </w:r>
      <w:r>
        <w:rPr>
          <w:i/>
          <w:iCs/>
        </w:rPr>
        <w:t>P</w:t>
      </w:r>
      <w:r w:rsidRPr="00157E6D">
        <w:rPr>
          <w:i/>
          <w:iCs/>
        </w:rPr>
        <w:t>ainting</w:t>
      </w:r>
      <w:r>
        <w:t>, trans. &amp; ed. by S. Colvin, (London, C. Keegan Paul &amp; Co., 1880). P.341.</w:t>
      </w:r>
    </w:p>
  </w:footnote>
  <w:footnote w:id="6">
    <w:p w14:paraId="04B44191" w14:textId="2F85A960" w:rsidR="00792207" w:rsidRDefault="00792207">
      <w:pPr>
        <w:pStyle w:val="FootnoteText"/>
      </w:pPr>
      <w:r>
        <w:rPr>
          <w:rStyle w:val="FootnoteReference"/>
        </w:rPr>
        <w:footnoteRef/>
      </w:r>
      <w:r>
        <w:t xml:space="preserve"> Woltmann, and Woermann, </w:t>
      </w:r>
      <w:r>
        <w:rPr>
          <w:i/>
          <w:iCs/>
        </w:rPr>
        <w:t>History of Painting</w:t>
      </w:r>
      <w:r>
        <w:t>, P.</w:t>
      </w:r>
      <w:r w:rsidR="002C1B42">
        <w:t>341</w:t>
      </w:r>
    </w:p>
    <w:p w14:paraId="35BF9773" w14:textId="59E823DA" w:rsidR="002C1B42" w:rsidRPr="002C1B42" w:rsidRDefault="002C1B42">
      <w:pPr>
        <w:pStyle w:val="FootnoteText"/>
      </w:pPr>
      <w:r>
        <w:t>&amp; Curatorial Committee, ‘Itinerary IV: The Meeting of Cultures in Norman Art’, in</w:t>
      </w:r>
      <w:r w:rsidRPr="002C1B42">
        <w:rPr>
          <w:i/>
          <w:iCs/>
        </w:rPr>
        <w:t xml:space="preserve"> Siculo-Norman Art: Islamic Culture in Medieval Sicil</w:t>
      </w:r>
      <w:r>
        <w:rPr>
          <w:i/>
          <w:iCs/>
        </w:rPr>
        <w:t>y</w:t>
      </w:r>
      <w:r>
        <w:t>, ed. by</w:t>
      </w:r>
      <w:r w:rsidR="002815AA">
        <w:t xml:space="preserve"> </w:t>
      </w:r>
      <w:r>
        <w:t>N. G. Leone, et al, (Vienna, Museum With No Frontiers, 2010). Pp.226-229.</w:t>
      </w:r>
    </w:p>
  </w:footnote>
  <w:footnote w:id="7">
    <w:p w14:paraId="47D8D455" w14:textId="3072F04C" w:rsidR="00D140D3" w:rsidRDefault="00D140D3">
      <w:pPr>
        <w:pStyle w:val="FootnoteText"/>
      </w:pPr>
      <w:r>
        <w:rPr>
          <w:rStyle w:val="FootnoteReference"/>
        </w:rPr>
        <w:footnoteRef/>
      </w:r>
      <w:r>
        <w:t xml:space="preserve"> </w:t>
      </w:r>
      <w:bookmarkStart w:id="1" w:name="_Hlk71143018"/>
      <w:r w:rsidRPr="00034A9A">
        <w:rPr>
          <w:i/>
          <w:iCs/>
        </w:rPr>
        <w:t>Detail from the mosaic with Roger II receiving the crown from Christ</w:t>
      </w:r>
      <w:r>
        <w:rPr>
          <w:i/>
          <w:iCs/>
        </w:rPr>
        <w:t xml:space="preserve"> at</w:t>
      </w:r>
      <w:r w:rsidRPr="00034A9A">
        <w:rPr>
          <w:i/>
          <w:iCs/>
        </w:rPr>
        <w:t xml:space="preserve"> Martorana, Palermo</w:t>
      </w:r>
      <w:r>
        <w:t>, ed. by</w:t>
      </w:r>
      <w:r w:rsidRPr="00034A9A">
        <w:t xml:space="preserve"> J. J. Cooper,</w:t>
      </w:r>
      <w:r>
        <w:t xml:space="preserve"> in</w:t>
      </w:r>
      <w:r w:rsidRPr="00034A9A">
        <w:t xml:space="preserve"> ‘Roger II’, </w:t>
      </w:r>
      <w:r w:rsidRPr="00034A9A">
        <w:rPr>
          <w:i/>
          <w:iCs/>
        </w:rPr>
        <w:t>Encyclopedia Britannica</w:t>
      </w:r>
      <w:r w:rsidRPr="00034A9A">
        <w:t xml:space="preserve">, 2021. https://www.britannica.com/biography/Roger-II. [Accessed </w:t>
      </w:r>
      <w:r>
        <w:t>27</w:t>
      </w:r>
      <w:r w:rsidRPr="00034A9A">
        <w:t>/4/21]</w:t>
      </w:r>
      <w:r>
        <w:t>.</w:t>
      </w:r>
      <w:bookmarkEnd w:id="1"/>
    </w:p>
  </w:footnote>
  <w:footnote w:id="8">
    <w:p w14:paraId="6E36A3B9" w14:textId="0BD064D4" w:rsidR="00EE3276" w:rsidRPr="001C4A02" w:rsidRDefault="00EE3276">
      <w:pPr>
        <w:pStyle w:val="FootnoteText"/>
      </w:pPr>
      <w:r>
        <w:rPr>
          <w:rStyle w:val="FootnoteReference"/>
        </w:rPr>
        <w:footnoteRef/>
      </w:r>
      <w:r>
        <w:t xml:space="preserve"> William of Malmesbury, </w:t>
      </w:r>
      <w:r>
        <w:rPr>
          <w:i/>
          <w:iCs/>
        </w:rPr>
        <w:t>Gesta Regum Anglorum</w:t>
      </w:r>
      <w:r>
        <w:t xml:space="preserve">, trans. by </w:t>
      </w:r>
      <w:r w:rsidRPr="00EE3276">
        <w:t>R. A. B. Mynors, R. M. Thomson</w:t>
      </w:r>
      <w:r>
        <w:t>,</w:t>
      </w:r>
      <w:r w:rsidRPr="00EE3276">
        <w:t xml:space="preserve"> and M. Winterbottom</w:t>
      </w:r>
      <w:r>
        <w:t xml:space="preserve">, ed. by </w:t>
      </w:r>
      <w:r w:rsidR="001C4A02">
        <w:t xml:space="preserve">B. Weiler, in </w:t>
      </w:r>
      <w:r w:rsidR="001C4A02">
        <w:rPr>
          <w:i/>
          <w:iCs/>
        </w:rPr>
        <w:t>William of Malmesbury on Kingship</w:t>
      </w:r>
      <w:r w:rsidR="001C4A02">
        <w:t>, (Oxford, Blackwell Publishing LTD. 2005). P.8.</w:t>
      </w:r>
    </w:p>
  </w:footnote>
  <w:footnote w:id="9">
    <w:p w14:paraId="3D078DEF" w14:textId="3EF7F550" w:rsidR="00FB0729" w:rsidRPr="0025592A" w:rsidRDefault="0025592A" w:rsidP="0025592A">
      <w:pPr>
        <w:pStyle w:val="FootnoteText"/>
      </w:pPr>
      <w:r>
        <w:rPr>
          <w:rStyle w:val="FootnoteReference"/>
        </w:rPr>
        <w:footnoteRef/>
      </w:r>
      <w:r>
        <w:t xml:space="preserve"> </w:t>
      </w:r>
      <w:r>
        <w:rPr>
          <w:i/>
          <w:iCs/>
        </w:rPr>
        <w:t>Detail from the Bayeux tapestry (British, Victorian Replica): Harold Makes A Solemn Oath</w:t>
      </w:r>
      <w:r>
        <w:t xml:space="preserve">, ed. by the Reading Museum, in ‘Chapter 5: The Oath, Scene 1: Harold makes a solemn oath’, </w:t>
      </w:r>
      <w:r w:rsidRPr="0025592A">
        <w:rPr>
          <w:i/>
          <w:iCs/>
        </w:rPr>
        <w:t>Reading Museum</w:t>
      </w:r>
      <w:r>
        <w:t>, 2021</w:t>
      </w:r>
      <w:r w:rsidR="00FB0729">
        <w:t xml:space="preserve">. </w:t>
      </w:r>
      <w:r w:rsidR="00FB0729" w:rsidRPr="00FB0729">
        <w:t>https://www.readingmuseum.org.uk/collections/britains-bayeux-tapestry/chapter-5-scene-1</w:t>
      </w:r>
      <w:r w:rsidR="00FB0729">
        <w:t>. [Accessed 27/4/21].</w:t>
      </w:r>
    </w:p>
  </w:footnote>
  <w:footnote w:id="10">
    <w:p w14:paraId="30A80C7A" w14:textId="49EF3DD4" w:rsidR="001323E8" w:rsidRPr="00A72ED1" w:rsidRDefault="001323E8">
      <w:pPr>
        <w:pStyle w:val="FootnoteText"/>
      </w:pPr>
      <w:r>
        <w:rPr>
          <w:rStyle w:val="FootnoteReference"/>
        </w:rPr>
        <w:footnoteRef/>
      </w:r>
      <w:r>
        <w:t xml:space="preserve"> </w:t>
      </w:r>
      <w:bookmarkStart w:id="2" w:name="_Hlk69311355"/>
      <w:r>
        <w:t>Dudo of St. Quentin,</w:t>
      </w:r>
      <w:r w:rsidR="00A72ED1">
        <w:t xml:space="preserve"> </w:t>
      </w:r>
      <w:r w:rsidR="00A72ED1">
        <w:rPr>
          <w:i/>
          <w:iCs/>
        </w:rPr>
        <w:t>Historia</w:t>
      </w:r>
      <w:r w:rsidRPr="009075F5">
        <w:rPr>
          <w:i/>
          <w:iCs/>
        </w:rPr>
        <w:t xml:space="preserve"> Normannorum</w:t>
      </w:r>
      <w:bookmarkEnd w:id="2"/>
      <w:r w:rsidR="00A72ED1">
        <w:t xml:space="preserve">, trans. by E. Christiansen, in </w:t>
      </w:r>
      <w:r w:rsidR="00A72ED1" w:rsidRPr="00A72ED1">
        <w:rPr>
          <w:i/>
          <w:iCs/>
        </w:rPr>
        <w:t>Dudo of St. Quentin History of the Normans</w:t>
      </w:r>
      <w:r w:rsidR="00A72ED1">
        <w:t>, (Woodbridge, The Boydell Press, 1998). P.43.</w:t>
      </w:r>
    </w:p>
  </w:footnote>
  <w:footnote w:id="11">
    <w:p w14:paraId="5EA5F5A8" w14:textId="7EECB4FC" w:rsidR="002815AA" w:rsidRPr="002815AA" w:rsidRDefault="002815AA">
      <w:pPr>
        <w:pStyle w:val="FootnoteText"/>
      </w:pPr>
      <w:r>
        <w:rPr>
          <w:rStyle w:val="FootnoteReference"/>
        </w:rPr>
        <w:footnoteRef/>
      </w:r>
      <w:r>
        <w:t xml:space="preserve"> </w:t>
      </w:r>
      <w:bookmarkStart w:id="3" w:name="_Hlk71143767"/>
      <w:r>
        <w:t xml:space="preserve">H. Houben, </w:t>
      </w:r>
      <w:r>
        <w:rPr>
          <w:i/>
          <w:iCs/>
        </w:rPr>
        <w:t>Roger II of Sicily: A Ruler Between East and West</w:t>
      </w:r>
      <w:r>
        <w:t>, trans. by G. A. Loud, and D. Milburn, (Cambridge, Cambridge University Press, 2002)</w:t>
      </w:r>
      <w:bookmarkEnd w:id="3"/>
      <w:r>
        <w:t>. Pp.18-19.</w:t>
      </w:r>
    </w:p>
  </w:footnote>
  <w:footnote w:id="12">
    <w:p w14:paraId="0CC0C742" w14:textId="24F42133" w:rsidR="00A97117" w:rsidRPr="00A97117" w:rsidRDefault="00A97117">
      <w:pPr>
        <w:pStyle w:val="FootnoteText"/>
      </w:pPr>
      <w:r>
        <w:rPr>
          <w:rStyle w:val="FootnoteReference"/>
        </w:rPr>
        <w:footnoteRef/>
      </w:r>
      <w:r>
        <w:t xml:space="preserve"> B. Z. Kedar, </w:t>
      </w:r>
      <w:r w:rsidRPr="00A97117">
        <w:rPr>
          <w:i/>
          <w:iCs/>
        </w:rPr>
        <w:t>Crusade and Mission: European Approaches Toward the Muslims</w:t>
      </w:r>
      <w:r>
        <w:t>, (New Jersey, Princeton University Press, 1984). P.83.</w:t>
      </w:r>
    </w:p>
  </w:footnote>
  <w:footnote w:id="13">
    <w:p w14:paraId="7B0304D4" w14:textId="64F4E31B" w:rsidR="005D5F7B" w:rsidRDefault="005D5F7B" w:rsidP="005D5F7B">
      <w:pPr>
        <w:pStyle w:val="FootnoteText"/>
      </w:pPr>
      <w:r>
        <w:rPr>
          <w:rStyle w:val="FootnoteReference"/>
        </w:rPr>
        <w:footnoteRef/>
      </w:r>
      <w:r>
        <w:t xml:space="preserve"> </w:t>
      </w:r>
      <w:bookmarkStart w:id="5" w:name="_Hlk70973747"/>
      <w:bookmarkStart w:id="6" w:name="_Hlk71143177"/>
      <w:r>
        <w:t xml:space="preserve">Raoul de Caen, </w:t>
      </w:r>
      <w:r>
        <w:rPr>
          <w:i/>
          <w:iCs/>
        </w:rPr>
        <w:t>Gesta Tancredi</w:t>
      </w:r>
      <w:bookmarkEnd w:id="5"/>
      <w:r>
        <w:t xml:space="preserve">, ed. &amp; trans. by B. S. Bachrach, and D. S. Bachrach, in </w:t>
      </w:r>
      <w:r w:rsidRPr="005D5F7B">
        <w:rPr>
          <w:i/>
          <w:iCs/>
        </w:rPr>
        <w:t>The Gesta Tancredi of Ralph of Caen: A History of the Normans on the First Crusade</w:t>
      </w:r>
      <w:r>
        <w:t xml:space="preserve">, (Oxford, Routledge, 2016). </w:t>
      </w:r>
      <w:bookmarkEnd w:id="6"/>
      <w:r>
        <w:t>P.91</w:t>
      </w:r>
    </w:p>
    <w:p w14:paraId="21B95C93" w14:textId="608C4EE5" w:rsidR="005D5F7B" w:rsidRDefault="008309F3" w:rsidP="00EC7F20">
      <w:pPr>
        <w:pStyle w:val="FootnoteText"/>
      </w:pPr>
      <w:r>
        <w:t xml:space="preserve">, </w:t>
      </w:r>
      <w:r w:rsidR="00EC7F20">
        <w:t xml:space="preserve">A. </w:t>
      </w:r>
      <w:r w:rsidR="005D5F7B">
        <w:t>C. Krey</w:t>
      </w:r>
      <w:r w:rsidR="00EC7F20">
        <w:t xml:space="preserve">, </w:t>
      </w:r>
      <w:r w:rsidR="00EC7F20" w:rsidRPr="0074271F">
        <w:rPr>
          <w:i/>
          <w:iCs/>
        </w:rPr>
        <w:t>The First Crusade: The Accounts of Eye-Witnesses and Participants</w:t>
      </w:r>
      <w:r w:rsidR="00EC7F20">
        <w:t>, ed. by A. C. Krey, (New Jersey, Evolution Publishing, 2012). P.xxiv.</w:t>
      </w:r>
    </w:p>
    <w:p w14:paraId="41EE5853" w14:textId="15963070" w:rsidR="00EC7F20" w:rsidRDefault="008309F3" w:rsidP="00EC7F20">
      <w:pPr>
        <w:pStyle w:val="FootnoteText"/>
      </w:pPr>
      <w:r>
        <w:t xml:space="preserve">, </w:t>
      </w:r>
      <w:bookmarkStart w:id="7" w:name="_Hlk70973870"/>
      <w:r w:rsidR="00EC7F20">
        <w:t xml:space="preserve">William de Poitier, </w:t>
      </w:r>
      <w:r w:rsidR="00EC7F20" w:rsidRPr="00EC7F20">
        <w:rPr>
          <w:i/>
          <w:iCs/>
        </w:rPr>
        <w:t>Gesta Guillelmi</w:t>
      </w:r>
      <w:bookmarkEnd w:id="7"/>
      <w:r w:rsidR="00EC7F20">
        <w:t xml:space="preserve">, ed. &amp; trans. by M. Chibnall, in </w:t>
      </w:r>
      <w:bookmarkStart w:id="8" w:name="_Hlk70544833"/>
      <w:r w:rsidR="00EC7F20" w:rsidRPr="00EC7F20">
        <w:rPr>
          <w:i/>
          <w:iCs/>
        </w:rPr>
        <w:t>The Gesta Guillelmi of William of Poitiers</w:t>
      </w:r>
      <w:r w:rsidR="00EC7F20">
        <w:t>, (Oxford, Oxford University Press, 1998)</w:t>
      </w:r>
      <w:bookmarkEnd w:id="8"/>
      <w:r w:rsidR="00EC7F20">
        <w:t>. P.133.</w:t>
      </w:r>
    </w:p>
    <w:p w14:paraId="7821827A" w14:textId="78AB610F" w:rsidR="00EC7F20" w:rsidRPr="005D5F7B" w:rsidRDefault="00EC7F20" w:rsidP="005D5F7B">
      <w:pPr>
        <w:pStyle w:val="FootnoteText"/>
      </w:pPr>
      <w:r>
        <w:t>&amp;</w:t>
      </w:r>
      <w:r w:rsidR="008309F3">
        <w:t xml:space="preserve"> M. Chibnall, </w:t>
      </w:r>
      <w:r w:rsidR="008309F3" w:rsidRPr="00EC7F20">
        <w:rPr>
          <w:i/>
          <w:iCs/>
        </w:rPr>
        <w:t>The Gesta Guillelmi of William of Poitiers</w:t>
      </w:r>
      <w:r w:rsidR="008309F3">
        <w:t>, ed. by M. Chibnall (Oxford, Oxford University Press, 1998).P.xv.</w:t>
      </w:r>
    </w:p>
  </w:footnote>
  <w:footnote w:id="14">
    <w:p w14:paraId="3894907D" w14:textId="1F360608" w:rsidR="0064704D" w:rsidRDefault="0064704D">
      <w:pPr>
        <w:pStyle w:val="FootnoteText"/>
      </w:pPr>
      <w:r>
        <w:rPr>
          <w:rStyle w:val="FootnoteReference"/>
        </w:rPr>
        <w:footnoteRef/>
      </w:r>
      <w:r>
        <w:t xml:space="preserve"> Chibnall, </w:t>
      </w:r>
      <w:r w:rsidRPr="00EC7F20">
        <w:rPr>
          <w:i/>
          <w:iCs/>
        </w:rPr>
        <w:t>The Gesta Guillelmi</w:t>
      </w:r>
      <w:r>
        <w:rPr>
          <w:i/>
          <w:iCs/>
        </w:rPr>
        <w:t xml:space="preserve">, </w:t>
      </w:r>
      <w:r>
        <w:t>P.xv.</w:t>
      </w:r>
    </w:p>
  </w:footnote>
  <w:footnote w:id="15">
    <w:p w14:paraId="372778DB" w14:textId="673E64E2" w:rsidR="0074271F" w:rsidRPr="0074271F" w:rsidRDefault="0074271F">
      <w:pPr>
        <w:pStyle w:val="FootnoteText"/>
      </w:pPr>
      <w:r>
        <w:rPr>
          <w:rStyle w:val="FootnoteReference"/>
        </w:rPr>
        <w:footnoteRef/>
      </w:r>
      <w:r>
        <w:t xml:space="preserve"> Krey, </w:t>
      </w:r>
      <w:r w:rsidRPr="0074271F">
        <w:rPr>
          <w:i/>
          <w:iCs/>
        </w:rPr>
        <w:t>The First Crusade</w:t>
      </w:r>
      <w:r>
        <w:t>, P.xxiv.</w:t>
      </w:r>
    </w:p>
  </w:footnote>
  <w:footnote w:id="16">
    <w:p w14:paraId="415CB522" w14:textId="47062058" w:rsidR="00EE22FC" w:rsidRPr="00EE22FC" w:rsidRDefault="00EE22FC">
      <w:pPr>
        <w:pStyle w:val="FootnoteText"/>
      </w:pPr>
      <w:r>
        <w:rPr>
          <w:rStyle w:val="FootnoteReference"/>
        </w:rPr>
        <w:footnoteRef/>
      </w:r>
      <w:r>
        <w:t xml:space="preserve"> Raoul de Caen, </w:t>
      </w:r>
      <w:r>
        <w:rPr>
          <w:i/>
          <w:iCs/>
        </w:rPr>
        <w:t>Gesta Tancredi</w:t>
      </w:r>
      <w:r>
        <w:t>, P.91.</w:t>
      </w:r>
    </w:p>
  </w:footnote>
  <w:footnote w:id="17">
    <w:p w14:paraId="26357DDF" w14:textId="2B7C54F3" w:rsidR="00EE22FC" w:rsidRPr="00EE22FC" w:rsidRDefault="00EE22FC">
      <w:pPr>
        <w:pStyle w:val="FootnoteText"/>
      </w:pPr>
      <w:r>
        <w:rPr>
          <w:rStyle w:val="FootnoteReference"/>
        </w:rPr>
        <w:footnoteRef/>
      </w:r>
      <w:r>
        <w:t xml:space="preserve"> William de Poitier, </w:t>
      </w:r>
      <w:r w:rsidRPr="00EC7F20">
        <w:rPr>
          <w:i/>
          <w:iCs/>
        </w:rPr>
        <w:t>Gesta Guillelmi</w:t>
      </w:r>
      <w:r>
        <w:t>, P.133</w:t>
      </w:r>
    </w:p>
  </w:footnote>
  <w:footnote w:id="18">
    <w:p w14:paraId="7487C4AD" w14:textId="77777777" w:rsidR="00FF5391" w:rsidRPr="00FF5391" w:rsidRDefault="008D0095" w:rsidP="00FF5391">
      <w:pPr>
        <w:pStyle w:val="FootnoteText"/>
        <w:rPr>
          <w:i/>
          <w:iCs/>
        </w:rPr>
      </w:pPr>
      <w:r>
        <w:rPr>
          <w:rStyle w:val="FootnoteReference"/>
        </w:rPr>
        <w:footnoteRef/>
      </w:r>
      <w:r>
        <w:t xml:space="preserve"> </w:t>
      </w:r>
      <w:bookmarkStart w:id="10" w:name="_Hlk71143291"/>
      <w:r w:rsidRPr="008D0095">
        <w:t>William of Apulia</w:t>
      </w:r>
      <w:r>
        <w:t xml:space="preserve">, </w:t>
      </w:r>
      <w:r w:rsidRPr="008D0095">
        <w:rPr>
          <w:i/>
          <w:iCs/>
        </w:rPr>
        <w:t>La Geste de Robert Guiscard</w:t>
      </w:r>
      <w:r>
        <w:t xml:space="preserve">, </w:t>
      </w:r>
      <w:r w:rsidR="00FF5391">
        <w:t xml:space="preserve">trans. by G. A. Loud, in </w:t>
      </w:r>
      <w:r w:rsidR="00FF5391" w:rsidRPr="00FF5391">
        <w:rPr>
          <w:i/>
          <w:iCs/>
        </w:rPr>
        <w:t>The Deeds of Robert Guiscard</w:t>
      </w:r>
    </w:p>
    <w:p w14:paraId="436D5E1A" w14:textId="770A9BB5" w:rsidR="008D0095" w:rsidRPr="00FF5391" w:rsidRDefault="00FF5391" w:rsidP="00FF5391">
      <w:pPr>
        <w:pStyle w:val="FootnoteText"/>
      </w:pPr>
      <w:r w:rsidRPr="00FF5391">
        <w:rPr>
          <w:i/>
          <w:iCs/>
        </w:rPr>
        <w:t>By William of Apulia</w:t>
      </w:r>
      <w:r>
        <w:t>, 2019, &lt;</w:t>
      </w:r>
      <w:r w:rsidRPr="00FF5391">
        <w:t xml:space="preserve"> https://ims.leeds.ac.uk/wp-content/uploads/sites/29/2019/02/William-of-Apulia.pdf&gt;[Accessed</w:t>
      </w:r>
      <w:r>
        <w:t>: 03/05/2021</w:t>
      </w:r>
      <w:r w:rsidR="00FB340F">
        <w:t>].</w:t>
      </w:r>
    </w:p>
    <w:bookmarkEnd w:id="10"/>
  </w:footnote>
  <w:footnote w:id="19">
    <w:p w14:paraId="13606C30" w14:textId="6140A076" w:rsidR="00715317" w:rsidRPr="00715317" w:rsidRDefault="00715317">
      <w:pPr>
        <w:pStyle w:val="FootnoteText"/>
      </w:pPr>
      <w:r>
        <w:rPr>
          <w:rStyle w:val="FootnoteReference"/>
        </w:rPr>
        <w:footnoteRef/>
      </w:r>
      <w:r>
        <w:t xml:space="preserve"> </w:t>
      </w:r>
      <w:bookmarkStart w:id="11" w:name="_Hlk71144001"/>
      <w:r>
        <w:t xml:space="preserve">M. Johnston, </w:t>
      </w:r>
      <w:r w:rsidR="004B7BA9">
        <w:t>and</w:t>
      </w:r>
      <w:r>
        <w:t xml:space="preserve"> M. Van Dussen, </w:t>
      </w:r>
      <w:r w:rsidRPr="00715317">
        <w:rPr>
          <w:i/>
          <w:iCs/>
        </w:rPr>
        <w:t>The Medieval Manuscript Book</w:t>
      </w:r>
      <w:r>
        <w:t>, (Cambridge, Cambridge University Press, 2015).</w:t>
      </w:r>
      <w:bookmarkEnd w:id="11"/>
      <w:r>
        <w:t xml:space="preserve"> Pp.154-156.</w:t>
      </w:r>
    </w:p>
  </w:footnote>
  <w:footnote w:id="20">
    <w:p w14:paraId="44F3155C" w14:textId="288A9225" w:rsidR="00B101F9" w:rsidRPr="00B101F9" w:rsidRDefault="00B101F9">
      <w:pPr>
        <w:pStyle w:val="FootnoteText"/>
      </w:pPr>
      <w:r>
        <w:rPr>
          <w:rStyle w:val="FootnoteReference"/>
        </w:rPr>
        <w:footnoteRef/>
      </w:r>
      <w:r>
        <w:t xml:space="preserve"> </w:t>
      </w:r>
      <w:bookmarkStart w:id="12" w:name="_Hlk71138252"/>
      <w:bookmarkStart w:id="13" w:name="_Hlk71140175"/>
      <w:r>
        <w:t xml:space="preserve">Webber, </w:t>
      </w:r>
      <w:r>
        <w:rPr>
          <w:i/>
          <w:iCs/>
        </w:rPr>
        <w:t>The Evolution of Norman Identity</w:t>
      </w:r>
      <w:r>
        <w:t>, P.</w:t>
      </w:r>
      <w:bookmarkEnd w:id="12"/>
      <w:r>
        <w:t>115.</w:t>
      </w:r>
    </w:p>
    <w:bookmarkEnd w:id="13"/>
  </w:footnote>
  <w:footnote w:id="21">
    <w:p w14:paraId="0A54515D" w14:textId="0CD9C136" w:rsidR="00F06DD2" w:rsidRDefault="00F06DD2">
      <w:pPr>
        <w:pStyle w:val="FootnoteText"/>
      </w:pPr>
      <w:r>
        <w:rPr>
          <w:rStyle w:val="FootnoteReference"/>
        </w:rPr>
        <w:footnoteRef/>
      </w:r>
      <w:r>
        <w:t xml:space="preserve"> Ibid, P.115.</w:t>
      </w:r>
    </w:p>
  </w:footnote>
  <w:footnote w:id="22">
    <w:p w14:paraId="42CB0B50" w14:textId="4D42C761" w:rsidR="00FB340F" w:rsidRDefault="00FB340F">
      <w:pPr>
        <w:pStyle w:val="FootnoteText"/>
      </w:pPr>
      <w:r>
        <w:rPr>
          <w:rStyle w:val="FootnoteReference"/>
        </w:rPr>
        <w:footnoteRef/>
      </w:r>
      <w:r>
        <w:t xml:space="preserve"> </w:t>
      </w:r>
      <w:r>
        <w:t xml:space="preserve">Dudo of St. Quentin, </w:t>
      </w:r>
      <w:r>
        <w:rPr>
          <w:i/>
          <w:iCs/>
        </w:rPr>
        <w:t>Historia</w:t>
      </w:r>
      <w:r w:rsidRPr="009075F5">
        <w:rPr>
          <w:i/>
          <w:iCs/>
        </w:rPr>
        <w:t xml:space="preserve"> Normannorum</w:t>
      </w:r>
      <w:r>
        <w:t>, P.29.</w:t>
      </w:r>
    </w:p>
    <w:p w14:paraId="15E7A0F8" w14:textId="480BF7FC" w:rsidR="00FB340F" w:rsidRPr="00FB340F" w:rsidRDefault="00A437B0">
      <w:pPr>
        <w:pStyle w:val="FootnoteText"/>
      </w:pPr>
      <w:r>
        <w:t xml:space="preserve">&amp; </w:t>
      </w:r>
      <w:r w:rsidR="00FB340F">
        <w:t xml:space="preserve">Webber, </w:t>
      </w:r>
      <w:r w:rsidR="00FB340F">
        <w:rPr>
          <w:i/>
          <w:iCs/>
        </w:rPr>
        <w:t>The Evolution of Norman Identity</w:t>
      </w:r>
      <w:r w:rsidR="00FB340F">
        <w:t>, P</w:t>
      </w:r>
      <w:r w:rsidR="00FB340F">
        <w:t>p.29-33.</w:t>
      </w:r>
    </w:p>
  </w:footnote>
  <w:footnote w:id="23">
    <w:p w14:paraId="7EB244CE" w14:textId="6BEF784E" w:rsidR="00A227F6" w:rsidRDefault="00A227F6">
      <w:pPr>
        <w:pStyle w:val="FootnoteText"/>
      </w:pPr>
      <w:r>
        <w:rPr>
          <w:rStyle w:val="FootnoteReference"/>
        </w:rPr>
        <w:footnoteRef/>
      </w:r>
      <w:r>
        <w:t xml:space="preserve"> </w:t>
      </w:r>
      <w:r>
        <w:t xml:space="preserve">Webber, </w:t>
      </w:r>
      <w:r>
        <w:rPr>
          <w:i/>
          <w:iCs/>
        </w:rPr>
        <w:t>The Evolution of Norman Identity</w:t>
      </w:r>
      <w:r>
        <w:t>, P.115.</w:t>
      </w:r>
    </w:p>
  </w:footnote>
  <w:footnote w:id="24">
    <w:p w14:paraId="10CB4974" w14:textId="3FFEFCA0" w:rsidR="006E56FA" w:rsidRPr="006E56FA" w:rsidRDefault="006E56FA">
      <w:pPr>
        <w:pStyle w:val="FootnoteText"/>
      </w:pPr>
      <w:r>
        <w:rPr>
          <w:rStyle w:val="FootnoteReference"/>
        </w:rPr>
        <w:footnoteRef/>
      </w:r>
      <w:r>
        <w:t xml:space="preserve"> K. Stinger, ‘Aspects of the Norman diaspora in Northern England, and Southern Scotland’, in </w:t>
      </w:r>
      <w:r w:rsidRPr="006E56FA">
        <w:rPr>
          <w:i/>
          <w:iCs/>
        </w:rPr>
        <w:t>Norman Expansion: Connections, Continuities and Contrasts</w:t>
      </w:r>
      <w:r>
        <w:t>, ed.</w:t>
      </w:r>
      <w:r w:rsidR="00A437B0">
        <w:t xml:space="preserve"> by</w:t>
      </w:r>
      <w:r>
        <w:t xml:space="preserve"> K. Stinger, &amp; A. Jotischky, (Oxford, Routledge, 2016). P.30.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08B4A" w14:textId="3E289F4B" w:rsidR="00421069" w:rsidRDefault="00421069" w:rsidP="00421069">
    <w:pPr>
      <w:pStyle w:val="Header"/>
      <w:jc w:val="center"/>
    </w:pPr>
    <w:r w:rsidRPr="007F0A1E">
      <w:t>Samuel Lawrence – Identity, and Myth: The Normans, and their World –</w:t>
    </w:r>
    <w:r>
      <w:t xml:space="preserve"> Essay Task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0162"/>
    <w:multiLevelType w:val="hybridMultilevel"/>
    <w:tmpl w:val="175478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84612"/>
    <w:multiLevelType w:val="hybridMultilevel"/>
    <w:tmpl w:val="884657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E2721F"/>
    <w:multiLevelType w:val="hybridMultilevel"/>
    <w:tmpl w:val="E95C1C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7D58B5"/>
    <w:multiLevelType w:val="hybridMultilevel"/>
    <w:tmpl w:val="892CDA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069"/>
    <w:rsid w:val="000069EE"/>
    <w:rsid w:val="000841F0"/>
    <w:rsid w:val="000B7392"/>
    <w:rsid w:val="000E3E8E"/>
    <w:rsid w:val="001323E8"/>
    <w:rsid w:val="00133FAA"/>
    <w:rsid w:val="00157E6D"/>
    <w:rsid w:val="00191F9B"/>
    <w:rsid w:val="001C4A02"/>
    <w:rsid w:val="0025592A"/>
    <w:rsid w:val="002815AA"/>
    <w:rsid w:val="002C1B42"/>
    <w:rsid w:val="00366FA9"/>
    <w:rsid w:val="003E2918"/>
    <w:rsid w:val="00421069"/>
    <w:rsid w:val="00466E92"/>
    <w:rsid w:val="00475719"/>
    <w:rsid w:val="004B7BA9"/>
    <w:rsid w:val="00517448"/>
    <w:rsid w:val="005C008D"/>
    <w:rsid w:val="005D5F7B"/>
    <w:rsid w:val="005F3E2C"/>
    <w:rsid w:val="0064704D"/>
    <w:rsid w:val="006E56FA"/>
    <w:rsid w:val="00715317"/>
    <w:rsid w:val="0074271F"/>
    <w:rsid w:val="007761D6"/>
    <w:rsid w:val="00792207"/>
    <w:rsid w:val="008309F3"/>
    <w:rsid w:val="008669D2"/>
    <w:rsid w:val="008D0095"/>
    <w:rsid w:val="008F5D1F"/>
    <w:rsid w:val="009B7921"/>
    <w:rsid w:val="009F11FF"/>
    <w:rsid w:val="00A07611"/>
    <w:rsid w:val="00A227F6"/>
    <w:rsid w:val="00A22E1A"/>
    <w:rsid w:val="00A437B0"/>
    <w:rsid w:val="00A72ED1"/>
    <w:rsid w:val="00A97117"/>
    <w:rsid w:val="00AF00C3"/>
    <w:rsid w:val="00B010C8"/>
    <w:rsid w:val="00B101F9"/>
    <w:rsid w:val="00BD0360"/>
    <w:rsid w:val="00C001DF"/>
    <w:rsid w:val="00CF3EEE"/>
    <w:rsid w:val="00D140D3"/>
    <w:rsid w:val="00D3719D"/>
    <w:rsid w:val="00D84A9C"/>
    <w:rsid w:val="00E036F9"/>
    <w:rsid w:val="00E37932"/>
    <w:rsid w:val="00E66F91"/>
    <w:rsid w:val="00EC7F20"/>
    <w:rsid w:val="00ED0DE6"/>
    <w:rsid w:val="00EE22FC"/>
    <w:rsid w:val="00EE3276"/>
    <w:rsid w:val="00EF4BC6"/>
    <w:rsid w:val="00F06DD2"/>
    <w:rsid w:val="00F353D7"/>
    <w:rsid w:val="00F54187"/>
    <w:rsid w:val="00F64CCA"/>
    <w:rsid w:val="00FB0729"/>
    <w:rsid w:val="00FB340F"/>
    <w:rsid w:val="00FD742D"/>
    <w:rsid w:val="00FF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EDFDD"/>
  <w15:chartTrackingRefBased/>
  <w15:docId w15:val="{B5067D45-DF01-43B8-8AD8-817E0504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1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069"/>
  </w:style>
  <w:style w:type="paragraph" w:styleId="Footer">
    <w:name w:val="footer"/>
    <w:basedOn w:val="Normal"/>
    <w:link w:val="FooterChar"/>
    <w:uiPriority w:val="99"/>
    <w:unhideWhenUsed/>
    <w:rsid w:val="00421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069"/>
  </w:style>
  <w:style w:type="paragraph" w:styleId="FootnoteText">
    <w:name w:val="footnote text"/>
    <w:basedOn w:val="Normal"/>
    <w:link w:val="FootnoteTextChar"/>
    <w:uiPriority w:val="99"/>
    <w:unhideWhenUsed/>
    <w:rsid w:val="00421069"/>
    <w:pPr>
      <w:spacing w:after="0" w:line="240" w:lineRule="auto"/>
    </w:pPr>
  </w:style>
  <w:style w:type="character" w:customStyle="1" w:styleId="FootnoteTextChar">
    <w:name w:val="Footnote Text Char"/>
    <w:basedOn w:val="DefaultParagraphFont"/>
    <w:link w:val="FootnoteText"/>
    <w:uiPriority w:val="99"/>
    <w:rsid w:val="00421069"/>
  </w:style>
  <w:style w:type="character" w:styleId="FootnoteReference">
    <w:name w:val="footnote reference"/>
    <w:basedOn w:val="DefaultParagraphFont"/>
    <w:uiPriority w:val="99"/>
    <w:semiHidden/>
    <w:unhideWhenUsed/>
    <w:rsid w:val="00421069"/>
    <w:rPr>
      <w:vertAlign w:val="superscript"/>
    </w:rPr>
  </w:style>
  <w:style w:type="character" w:styleId="Hyperlink">
    <w:name w:val="Hyperlink"/>
    <w:basedOn w:val="DefaultParagraphFont"/>
    <w:uiPriority w:val="99"/>
    <w:unhideWhenUsed/>
    <w:rsid w:val="00FB0729"/>
    <w:rPr>
      <w:color w:val="0563C1" w:themeColor="hyperlink"/>
      <w:u w:val="single"/>
    </w:rPr>
  </w:style>
  <w:style w:type="character" w:styleId="UnresolvedMention">
    <w:name w:val="Unresolved Mention"/>
    <w:basedOn w:val="DefaultParagraphFont"/>
    <w:uiPriority w:val="99"/>
    <w:semiHidden/>
    <w:unhideWhenUsed/>
    <w:rsid w:val="00FB0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38D2A-BC02-4866-ACB9-4BC9C8DDA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7</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Lawrence</dc:creator>
  <cp:keywords/>
  <dc:description/>
  <cp:lastModifiedBy>Samuel Lawrence</cp:lastModifiedBy>
  <cp:revision>6</cp:revision>
  <dcterms:created xsi:type="dcterms:W3CDTF">2021-04-26T17:16:00Z</dcterms:created>
  <dcterms:modified xsi:type="dcterms:W3CDTF">2021-05-05T20:56:00Z</dcterms:modified>
</cp:coreProperties>
</file>