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F4F53" w14:textId="372EE6DE" w:rsidR="004E265C" w:rsidRDefault="004E265C" w:rsidP="00DE37F3">
      <w:pPr>
        <w:rPr>
          <w:rStyle w:val="Heading1Char"/>
        </w:rPr>
      </w:pPr>
      <w:bookmarkStart w:id="0" w:name="_Hlk97206593"/>
      <w:bookmarkStart w:id="1" w:name="_Toc101014112"/>
      <w:bookmarkStart w:id="2" w:name="_Toc101636936"/>
      <w:bookmarkStart w:id="3" w:name="_Hlk101634170"/>
      <w:bookmarkEnd w:id="0"/>
      <w:r>
        <w:rPr>
          <w:rStyle w:val="Heading1Char"/>
        </w:rPr>
        <w:t xml:space="preserve">First light on Archaic petroglyphs in </w:t>
      </w:r>
      <w:r w:rsidR="008316A2">
        <w:rPr>
          <w:rStyle w:val="Heading1Char"/>
        </w:rPr>
        <w:t>east central</w:t>
      </w:r>
      <w:r>
        <w:rPr>
          <w:rStyle w:val="Heading1Char"/>
        </w:rPr>
        <w:t xml:space="preserve"> Utah as solstice markers.</w:t>
      </w:r>
      <w:bookmarkEnd w:id="1"/>
      <w:bookmarkEnd w:id="2"/>
    </w:p>
    <w:p w14:paraId="2D3BAB84" w14:textId="76231C27" w:rsidR="00AB5E0C" w:rsidRDefault="00AB5E0C" w:rsidP="004E265C">
      <w:pPr>
        <w:jc w:val="center"/>
        <w:rPr>
          <w:rStyle w:val="Heading1Char"/>
        </w:rPr>
      </w:pPr>
      <w:bookmarkStart w:id="4" w:name="_Toc101014113"/>
      <w:bookmarkStart w:id="5" w:name="_Toc101636937"/>
      <w:bookmarkEnd w:id="3"/>
      <w:r>
        <w:rPr>
          <w:rStyle w:val="Heading1Char"/>
        </w:rPr>
        <w:t>Iza Steiner</w:t>
      </w:r>
      <w:bookmarkEnd w:id="4"/>
      <w:bookmarkEnd w:id="5"/>
    </w:p>
    <w:p w14:paraId="114E5288" w14:textId="7A3CBFA4" w:rsidR="004E265C" w:rsidRPr="004E265C" w:rsidRDefault="004E265C" w:rsidP="007011F0">
      <w:pPr>
        <w:autoSpaceDE w:val="0"/>
        <w:autoSpaceDN w:val="0"/>
        <w:adjustRightInd w:val="0"/>
        <w:spacing w:after="0" w:line="240" w:lineRule="auto"/>
        <w:jc w:val="center"/>
        <w:rPr>
          <w:color w:val="000000"/>
        </w:rPr>
      </w:pPr>
      <w:r w:rsidRPr="004E265C">
        <w:rPr>
          <w:color w:val="000000"/>
        </w:rPr>
        <w:t>Dissertation submitted in partial fulfilment</w:t>
      </w:r>
    </w:p>
    <w:p w14:paraId="04C0E22F" w14:textId="2B68B415" w:rsidR="004E265C" w:rsidRPr="004E265C" w:rsidRDefault="004E265C" w:rsidP="007011F0">
      <w:pPr>
        <w:autoSpaceDE w:val="0"/>
        <w:autoSpaceDN w:val="0"/>
        <w:adjustRightInd w:val="0"/>
        <w:spacing w:after="0" w:line="240" w:lineRule="auto"/>
        <w:jc w:val="center"/>
        <w:rPr>
          <w:color w:val="000000"/>
        </w:rPr>
      </w:pPr>
      <w:r w:rsidRPr="004E265C">
        <w:rPr>
          <w:color w:val="000000"/>
        </w:rPr>
        <w:t xml:space="preserve">of a Master of Arts in </w:t>
      </w:r>
      <w:r>
        <w:rPr>
          <w:color w:val="000000"/>
        </w:rPr>
        <w:t xml:space="preserve">Cultural </w:t>
      </w:r>
      <w:r w:rsidR="006375B0">
        <w:rPr>
          <w:color w:val="000000"/>
        </w:rPr>
        <w:t xml:space="preserve">Astronomy and </w:t>
      </w:r>
      <w:r>
        <w:rPr>
          <w:color w:val="000000"/>
        </w:rPr>
        <w:t xml:space="preserve">Astrology </w:t>
      </w:r>
    </w:p>
    <w:p w14:paraId="76B1D014" w14:textId="5DCE5A32" w:rsidR="004E265C" w:rsidRPr="004E265C" w:rsidRDefault="004E265C" w:rsidP="007011F0">
      <w:pPr>
        <w:autoSpaceDE w:val="0"/>
        <w:autoSpaceDN w:val="0"/>
        <w:adjustRightInd w:val="0"/>
        <w:spacing w:after="0" w:line="240" w:lineRule="auto"/>
        <w:jc w:val="center"/>
        <w:rPr>
          <w:color w:val="000000"/>
        </w:rPr>
      </w:pPr>
      <w:r w:rsidRPr="004E265C">
        <w:rPr>
          <w:color w:val="000000"/>
        </w:rPr>
        <w:t>University of Wales Trinity Saint David</w:t>
      </w:r>
    </w:p>
    <w:p w14:paraId="1EBA4391" w14:textId="3189766D" w:rsidR="00A17879" w:rsidRDefault="004E265C" w:rsidP="007011F0">
      <w:pPr>
        <w:spacing w:line="240" w:lineRule="auto"/>
        <w:jc w:val="center"/>
        <w:rPr>
          <w:rStyle w:val="Heading1Char"/>
        </w:rPr>
      </w:pPr>
      <w:r w:rsidRPr="004E265C">
        <w:rPr>
          <w:color w:val="000000"/>
        </w:rPr>
        <w:t>202</w:t>
      </w:r>
      <w:r>
        <w:rPr>
          <w:color w:val="000000"/>
        </w:rPr>
        <w:t>2</w:t>
      </w:r>
      <w:r w:rsidR="00A17879">
        <w:rPr>
          <w:rStyle w:val="Heading1Char"/>
        </w:rPr>
        <w:br w:type="page"/>
      </w:r>
    </w:p>
    <w:p w14:paraId="007F04A5" w14:textId="77777777" w:rsidR="00417A1D" w:rsidRPr="00951BBF" w:rsidRDefault="00417A1D" w:rsidP="00417A1D">
      <w:pPr>
        <w:spacing w:after="120"/>
        <w:ind w:left="720"/>
        <w:rPr>
          <w:rFonts w:ascii="Arial" w:hAnsi="Arial" w:cs="Arial"/>
        </w:rPr>
      </w:pPr>
      <w:r>
        <w:rPr>
          <w:rFonts w:ascii="Arial" w:hAnsi="Arial" w:cs="Arial"/>
          <w:noProof/>
        </w:rPr>
        <w:lastRenderedPageBreak/>
        <w:drawing>
          <wp:inline distT="0" distB="0" distL="0" distR="0" wp14:anchorId="3A7687AD" wp14:editId="703FDA3A">
            <wp:extent cx="1857375" cy="762000"/>
            <wp:effectExtent l="0" t="0" r="0" b="0"/>
            <wp:docPr id="27" name="Picture 2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23E1E0F8"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2B805852"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75C9190A"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3ED2959F"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Iza B. Steiner</w:t>
      </w:r>
      <w:r w:rsidRPr="00951BBF">
        <w:rPr>
          <w:rFonts w:ascii="Arial" w:hAnsi="Arial" w:cs="Arial"/>
        </w:rPr>
        <w:t>…………………………………...</w:t>
      </w:r>
    </w:p>
    <w:p w14:paraId="2FC2D618"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April 23, 2022</w:t>
      </w:r>
      <w:r w:rsidRPr="00951BBF">
        <w:rPr>
          <w:rFonts w:ascii="Arial" w:hAnsi="Arial" w:cs="Arial"/>
        </w:rPr>
        <w:t>…………………………………………………...</w:t>
      </w:r>
    </w:p>
    <w:p w14:paraId="609C2EAF"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2B7D2DA"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Master’s Degree in Cultural Astrology and Astronomy</w:t>
      </w:r>
    </w:p>
    <w:p w14:paraId="4120E8E3"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Iza B. Steiner</w:t>
      </w:r>
      <w:r w:rsidRPr="00951BBF">
        <w:rPr>
          <w:rFonts w:ascii="Arial" w:hAnsi="Arial" w:cs="Arial"/>
        </w:rPr>
        <w:t>……………………………………………….</w:t>
      </w:r>
    </w:p>
    <w:p w14:paraId="26931153"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April 23, 2022</w:t>
      </w:r>
      <w:r w:rsidRPr="00951BBF">
        <w:rPr>
          <w:rFonts w:ascii="Arial" w:hAnsi="Arial" w:cs="Arial"/>
        </w:rPr>
        <w:t>…………………………….…………..…………...</w:t>
      </w:r>
    </w:p>
    <w:p w14:paraId="730C7437"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FD364BB"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BCC326D"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53B746EE"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3928EF4E"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Iza B. Steiner</w:t>
      </w:r>
    </w:p>
    <w:p w14:paraId="72714AD1"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April 23, 2022</w:t>
      </w:r>
      <w:r w:rsidRPr="00951BBF">
        <w:rPr>
          <w:rFonts w:ascii="Arial" w:hAnsi="Arial" w:cs="Arial"/>
        </w:rPr>
        <w:t>………………………...……………………….</w:t>
      </w:r>
    </w:p>
    <w:p w14:paraId="7F5018B3"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3ED09712"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634053BF"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lastRenderedPageBreak/>
        <w:t>Name………</w:t>
      </w:r>
      <w:r>
        <w:rPr>
          <w:rFonts w:ascii="Arial" w:hAnsi="Arial" w:cs="Arial"/>
        </w:rPr>
        <w:t>Iza B. Steiner</w:t>
      </w:r>
      <w:r w:rsidRPr="00951BBF">
        <w:rPr>
          <w:rFonts w:ascii="Arial" w:hAnsi="Arial" w:cs="Arial"/>
        </w:rPr>
        <w:t>………………………………………….</w:t>
      </w:r>
    </w:p>
    <w:p w14:paraId="35D9A7CB"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April 23, 2022</w:t>
      </w:r>
      <w:r w:rsidRPr="00951BBF">
        <w:rPr>
          <w:rFonts w:ascii="Arial" w:hAnsi="Arial" w:cs="Arial"/>
        </w:rPr>
        <w:t>………….……………………………..</w:t>
      </w:r>
    </w:p>
    <w:p w14:paraId="7A06F5AD"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780BF35E"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7D84515C" w14:textId="77777777" w:rsidR="00417A1D" w:rsidRPr="00951BBF" w:rsidRDefault="00417A1D" w:rsidP="00417A1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58322C22" w14:textId="77777777" w:rsidR="00417A1D" w:rsidRDefault="00417A1D" w:rsidP="00417A1D">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17D3FBFB" w14:textId="77777777" w:rsidR="00417A1D" w:rsidRDefault="00417A1D" w:rsidP="00417A1D"/>
    <w:p w14:paraId="66807A6A" w14:textId="77777777" w:rsidR="00A17879" w:rsidRDefault="00A17879" w:rsidP="0068455A">
      <w:pPr>
        <w:rPr>
          <w:rStyle w:val="Heading1Char"/>
        </w:rPr>
      </w:pPr>
    </w:p>
    <w:p w14:paraId="36F1148F" w14:textId="69E526C5" w:rsidR="00A17879" w:rsidRDefault="00A17879" w:rsidP="0068455A">
      <w:pPr>
        <w:rPr>
          <w:rStyle w:val="Heading1Char"/>
        </w:rPr>
      </w:pPr>
    </w:p>
    <w:p w14:paraId="170D53D9" w14:textId="75565E1B" w:rsidR="00A17879" w:rsidRDefault="00A17879">
      <w:pPr>
        <w:spacing w:line="259" w:lineRule="auto"/>
        <w:rPr>
          <w:rStyle w:val="Heading1Char"/>
        </w:rPr>
      </w:pPr>
      <w:r>
        <w:rPr>
          <w:rStyle w:val="Heading1Char"/>
        </w:rPr>
        <w:br w:type="page"/>
      </w:r>
    </w:p>
    <w:sdt>
      <w:sdtPr>
        <w:rPr>
          <w:rFonts w:asciiTheme="minorHAnsi" w:eastAsiaTheme="minorHAnsi" w:hAnsiTheme="minorHAnsi" w:cstheme="minorHAnsi"/>
          <w:color w:val="auto"/>
          <w:sz w:val="24"/>
          <w:szCs w:val="24"/>
        </w:rPr>
        <w:id w:val="-1886242072"/>
        <w:docPartObj>
          <w:docPartGallery w:val="Table of Contents"/>
          <w:docPartUnique/>
        </w:docPartObj>
      </w:sdtPr>
      <w:sdtEndPr>
        <w:rPr>
          <w:b/>
          <w:bCs/>
          <w:noProof/>
        </w:rPr>
      </w:sdtEndPr>
      <w:sdtContent>
        <w:p w14:paraId="6BAB312A" w14:textId="10548324" w:rsidR="00DB3240" w:rsidRDefault="00E93703">
          <w:pPr>
            <w:pStyle w:val="TOCHeading"/>
          </w:pPr>
          <w:r>
            <w:t xml:space="preserve">Table of </w:t>
          </w:r>
          <w:r w:rsidR="00DB3240">
            <w:t>Contents</w:t>
          </w:r>
        </w:p>
        <w:p w14:paraId="5767DAC6" w14:textId="51BBBDC8" w:rsidR="00417A1D" w:rsidRDefault="00DB3240" w:rsidP="00417A1D">
          <w:pPr>
            <w:pStyle w:val="TOC1"/>
            <w:tabs>
              <w:tab w:val="right" w:leader="dot" w:pos="9016"/>
            </w:tabs>
            <w:rPr>
              <w:rFonts w:eastAsiaTheme="minorEastAsia" w:cstheme="minorBidi"/>
              <w:noProof/>
              <w:sz w:val="22"/>
              <w:szCs w:val="22"/>
            </w:rPr>
          </w:pPr>
          <w:r>
            <w:fldChar w:fldCharType="begin"/>
          </w:r>
          <w:r>
            <w:instrText xml:space="preserve"> TOC \o "1-3" \h \z \u </w:instrText>
          </w:r>
          <w:r>
            <w:fldChar w:fldCharType="separate"/>
          </w:r>
        </w:p>
        <w:p w14:paraId="68775CF0" w14:textId="575A2BAA" w:rsidR="00417A1D" w:rsidRDefault="009B196A">
          <w:pPr>
            <w:pStyle w:val="TOC1"/>
            <w:tabs>
              <w:tab w:val="right" w:leader="dot" w:pos="9016"/>
            </w:tabs>
            <w:rPr>
              <w:rFonts w:eastAsiaTheme="minorEastAsia" w:cstheme="minorBidi"/>
              <w:noProof/>
              <w:sz w:val="22"/>
              <w:szCs w:val="22"/>
            </w:rPr>
          </w:pPr>
          <w:hyperlink w:anchor="_Toc101636965" w:history="1">
            <w:r w:rsidR="00417A1D" w:rsidRPr="00A21435">
              <w:rPr>
                <w:rStyle w:val="Hyperlink"/>
                <w:noProof/>
              </w:rPr>
              <w:t>Abstract</w:t>
            </w:r>
            <w:r w:rsidR="00417A1D">
              <w:rPr>
                <w:noProof/>
                <w:webHidden/>
              </w:rPr>
              <w:tab/>
            </w:r>
            <w:r w:rsidR="008316A2">
              <w:rPr>
                <w:noProof/>
                <w:webHidden/>
              </w:rPr>
              <w:t>7</w:t>
            </w:r>
          </w:hyperlink>
        </w:p>
        <w:p w14:paraId="463549EA" w14:textId="33385750" w:rsidR="00417A1D" w:rsidRDefault="009B196A">
          <w:pPr>
            <w:pStyle w:val="TOC1"/>
            <w:tabs>
              <w:tab w:val="right" w:leader="dot" w:pos="9016"/>
            </w:tabs>
            <w:rPr>
              <w:rFonts w:eastAsiaTheme="minorEastAsia" w:cstheme="minorBidi"/>
              <w:noProof/>
              <w:sz w:val="22"/>
              <w:szCs w:val="22"/>
            </w:rPr>
          </w:pPr>
          <w:hyperlink w:anchor="_Toc101636966" w:history="1">
            <w:r w:rsidR="00417A1D" w:rsidRPr="00A21435">
              <w:rPr>
                <w:rStyle w:val="Hyperlink"/>
                <w:noProof/>
              </w:rPr>
              <w:t>Introduction</w:t>
            </w:r>
            <w:r w:rsidR="00417A1D">
              <w:rPr>
                <w:noProof/>
                <w:webHidden/>
              </w:rPr>
              <w:tab/>
            </w:r>
            <w:r w:rsidR="008316A2">
              <w:rPr>
                <w:noProof/>
                <w:webHidden/>
              </w:rPr>
              <w:t>8</w:t>
            </w:r>
          </w:hyperlink>
        </w:p>
        <w:p w14:paraId="056170FA" w14:textId="58E37168" w:rsidR="00417A1D" w:rsidRDefault="009B196A">
          <w:pPr>
            <w:pStyle w:val="TOC1"/>
            <w:tabs>
              <w:tab w:val="right" w:leader="dot" w:pos="9016"/>
            </w:tabs>
            <w:rPr>
              <w:rFonts w:eastAsiaTheme="minorEastAsia" w:cstheme="minorBidi"/>
              <w:noProof/>
              <w:sz w:val="22"/>
              <w:szCs w:val="22"/>
            </w:rPr>
          </w:pPr>
          <w:hyperlink w:anchor="_Toc101636967" w:history="1">
            <w:r w:rsidR="00417A1D" w:rsidRPr="00A21435">
              <w:rPr>
                <w:rStyle w:val="Hyperlink"/>
                <w:noProof/>
              </w:rPr>
              <w:t>The Study Area</w:t>
            </w:r>
            <w:r w:rsidR="00417A1D">
              <w:rPr>
                <w:noProof/>
                <w:webHidden/>
              </w:rPr>
              <w:tab/>
            </w:r>
            <w:r w:rsidR="008316A2">
              <w:rPr>
                <w:noProof/>
                <w:webHidden/>
              </w:rPr>
              <w:t>10</w:t>
            </w:r>
          </w:hyperlink>
        </w:p>
        <w:p w14:paraId="0637C791" w14:textId="7E3A203C" w:rsidR="00417A1D" w:rsidRDefault="009B196A">
          <w:pPr>
            <w:pStyle w:val="TOC2"/>
            <w:tabs>
              <w:tab w:val="right" w:leader="dot" w:pos="9016"/>
            </w:tabs>
            <w:rPr>
              <w:rFonts w:eastAsiaTheme="minorEastAsia" w:cstheme="minorBidi"/>
              <w:noProof/>
              <w:sz w:val="22"/>
              <w:szCs w:val="22"/>
            </w:rPr>
          </w:pPr>
          <w:hyperlink w:anchor="_Toc101636968" w:history="1">
            <w:r w:rsidR="00417A1D" w:rsidRPr="00A21435">
              <w:rPr>
                <w:rStyle w:val="Hyperlink"/>
                <w:noProof/>
              </w:rPr>
              <w:t>Cultural Prehistory</w:t>
            </w:r>
            <w:r w:rsidR="00417A1D">
              <w:rPr>
                <w:noProof/>
                <w:webHidden/>
              </w:rPr>
              <w:tab/>
            </w:r>
            <w:r w:rsidR="007C37B0">
              <w:rPr>
                <w:noProof/>
                <w:webHidden/>
              </w:rPr>
              <w:t>13</w:t>
            </w:r>
          </w:hyperlink>
        </w:p>
        <w:p w14:paraId="24EFC79D" w14:textId="1128EA7E" w:rsidR="00417A1D" w:rsidRDefault="009B196A">
          <w:pPr>
            <w:pStyle w:val="TOC3"/>
            <w:tabs>
              <w:tab w:val="right" w:leader="dot" w:pos="9016"/>
            </w:tabs>
            <w:rPr>
              <w:rFonts w:eastAsiaTheme="minorEastAsia" w:cstheme="minorBidi"/>
              <w:noProof/>
              <w:sz w:val="22"/>
              <w:szCs w:val="22"/>
            </w:rPr>
          </w:pPr>
          <w:hyperlink w:anchor="_Toc101636969" w:history="1">
            <w:r w:rsidR="00417A1D" w:rsidRPr="00A21435">
              <w:rPr>
                <w:rStyle w:val="Hyperlink"/>
                <w:noProof/>
              </w:rPr>
              <w:t>Paleo-Indians</w:t>
            </w:r>
            <w:r w:rsidR="00417A1D">
              <w:rPr>
                <w:noProof/>
                <w:webHidden/>
              </w:rPr>
              <w:tab/>
            </w:r>
            <w:r w:rsidR="007C37B0">
              <w:rPr>
                <w:noProof/>
                <w:webHidden/>
              </w:rPr>
              <w:t>13</w:t>
            </w:r>
          </w:hyperlink>
        </w:p>
        <w:p w14:paraId="1DC9A5E2" w14:textId="36086FD9" w:rsidR="00417A1D" w:rsidRDefault="009B196A">
          <w:pPr>
            <w:pStyle w:val="TOC3"/>
            <w:tabs>
              <w:tab w:val="right" w:leader="dot" w:pos="9016"/>
            </w:tabs>
            <w:rPr>
              <w:rFonts w:eastAsiaTheme="minorEastAsia" w:cstheme="minorBidi"/>
              <w:noProof/>
              <w:sz w:val="22"/>
              <w:szCs w:val="22"/>
            </w:rPr>
          </w:pPr>
          <w:hyperlink w:anchor="_Toc101636970" w:history="1">
            <w:r w:rsidR="00417A1D" w:rsidRPr="00A21435">
              <w:rPr>
                <w:rStyle w:val="Hyperlink"/>
                <w:noProof/>
              </w:rPr>
              <w:t>Archaic Era</w:t>
            </w:r>
            <w:r w:rsidR="00417A1D">
              <w:rPr>
                <w:noProof/>
                <w:webHidden/>
              </w:rPr>
              <w:tab/>
            </w:r>
            <w:r w:rsidR="007C37B0">
              <w:rPr>
                <w:noProof/>
                <w:webHidden/>
              </w:rPr>
              <w:t>14</w:t>
            </w:r>
          </w:hyperlink>
        </w:p>
        <w:p w14:paraId="5BED8C64" w14:textId="6F5F8C88" w:rsidR="00417A1D" w:rsidRDefault="009B196A">
          <w:pPr>
            <w:pStyle w:val="TOC3"/>
            <w:tabs>
              <w:tab w:val="right" w:leader="dot" w:pos="9016"/>
            </w:tabs>
            <w:rPr>
              <w:rFonts w:eastAsiaTheme="minorEastAsia" w:cstheme="minorBidi"/>
              <w:noProof/>
              <w:sz w:val="22"/>
              <w:szCs w:val="22"/>
            </w:rPr>
          </w:pPr>
          <w:hyperlink w:anchor="_Toc101636971" w:history="1">
            <w:r w:rsidR="00417A1D" w:rsidRPr="00A21435">
              <w:rPr>
                <w:rStyle w:val="Hyperlink"/>
                <w:noProof/>
              </w:rPr>
              <w:t>Ancestral Puebloan (AP)</w:t>
            </w:r>
            <w:r w:rsidR="00417A1D">
              <w:rPr>
                <w:noProof/>
                <w:webHidden/>
              </w:rPr>
              <w:tab/>
            </w:r>
            <w:r w:rsidR="007C37B0">
              <w:rPr>
                <w:noProof/>
                <w:webHidden/>
              </w:rPr>
              <w:t>16</w:t>
            </w:r>
          </w:hyperlink>
        </w:p>
        <w:p w14:paraId="432FC87F" w14:textId="756894DF" w:rsidR="00417A1D" w:rsidRDefault="009B196A">
          <w:pPr>
            <w:pStyle w:val="TOC3"/>
            <w:tabs>
              <w:tab w:val="right" w:leader="dot" w:pos="9016"/>
            </w:tabs>
            <w:rPr>
              <w:rFonts w:eastAsiaTheme="minorEastAsia" w:cstheme="minorBidi"/>
              <w:noProof/>
              <w:sz w:val="22"/>
              <w:szCs w:val="22"/>
            </w:rPr>
          </w:pPr>
          <w:hyperlink w:anchor="_Toc101636972" w:history="1">
            <w:r w:rsidR="00417A1D" w:rsidRPr="00A21435">
              <w:rPr>
                <w:rStyle w:val="Hyperlink"/>
                <w:noProof/>
              </w:rPr>
              <w:t>The Fremont</w:t>
            </w:r>
            <w:r w:rsidR="00417A1D">
              <w:rPr>
                <w:noProof/>
                <w:webHidden/>
              </w:rPr>
              <w:tab/>
            </w:r>
            <w:r w:rsidR="007C37B0">
              <w:rPr>
                <w:noProof/>
                <w:webHidden/>
              </w:rPr>
              <w:t>19</w:t>
            </w:r>
          </w:hyperlink>
        </w:p>
        <w:p w14:paraId="1B2B86C2" w14:textId="2FE16B73" w:rsidR="00417A1D" w:rsidRDefault="009B196A">
          <w:pPr>
            <w:pStyle w:val="TOC3"/>
            <w:tabs>
              <w:tab w:val="right" w:leader="dot" w:pos="9016"/>
            </w:tabs>
            <w:rPr>
              <w:rFonts w:eastAsiaTheme="minorEastAsia" w:cstheme="minorBidi"/>
              <w:noProof/>
              <w:sz w:val="22"/>
              <w:szCs w:val="22"/>
            </w:rPr>
          </w:pPr>
          <w:hyperlink w:anchor="_Toc101636973" w:history="1">
            <w:r w:rsidR="00417A1D" w:rsidRPr="00A21435">
              <w:rPr>
                <w:rStyle w:val="Hyperlink"/>
                <w:noProof/>
              </w:rPr>
              <w:t>Numic Tribes</w:t>
            </w:r>
            <w:r w:rsidR="00417A1D">
              <w:rPr>
                <w:noProof/>
                <w:webHidden/>
              </w:rPr>
              <w:tab/>
            </w:r>
            <w:r w:rsidR="007C37B0">
              <w:rPr>
                <w:noProof/>
                <w:webHidden/>
              </w:rPr>
              <w:t>21</w:t>
            </w:r>
          </w:hyperlink>
        </w:p>
        <w:p w14:paraId="6FDD730D" w14:textId="77535A51" w:rsidR="00417A1D" w:rsidRDefault="009B196A">
          <w:pPr>
            <w:pStyle w:val="TOC1"/>
            <w:tabs>
              <w:tab w:val="right" w:leader="dot" w:pos="9016"/>
            </w:tabs>
            <w:rPr>
              <w:rFonts w:eastAsiaTheme="minorEastAsia" w:cstheme="minorBidi"/>
              <w:noProof/>
              <w:sz w:val="22"/>
              <w:szCs w:val="22"/>
            </w:rPr>
          </w:pPr>
          <w:hyperlink w:anchor="_Toc101636974" w:history="1">
            <w:r w:rsidR="00417A1D" w:rsidRPr="00A21435">
              <w:rPr>
                <w:rStyle w:val="Hyperlink"/>
                <w:noProof/>
              </w:rPr>
              <w:t>Literature Review</w:t>
            </w:r>
            <w:r w:rsidR="00417A1D">
              <w:rPr>
                <w:noProof/>
                <w:webHidden/>
              </w:rPr>
              <w:tab/>
            </w:r>
            <w:r w:rsidR="00417A1D">
              <w:rPr>
                <w:noProof/>
                <w:webHidden/>
              </w:rPr>
              <w:fldChar w:fldCharType="begin"/>
            </w:r>
            <w:r w:rsidR="00417A1D">
              <w:rPr>
                <w:noProof/>
                <w:webHidden/>
              </w:rPr>
              <w:instrText xml:space="preserve"> PAGEREF _Toc101636974 \h </w:instrText>
            </w:r>
            <w:r w:rsidR="00417A1D">
              <w:rPr>
                <w:noProof/>
                <w:webHidden/>
              </w:rPr>
            </w:r>
            <w:r>
              <w:rPr>
                <w:noProof/>
                <w:webHidden/>
              </w:rPr>
              <w:fldChar w:fldCharType="separate"/>
            </w:r>
            <w:r w:rsidR="00417A1D">
              <w:rPr>
                <w:noProof/>
                <w:webHidden/>
              </w:rPr>
              <w:fldChar w:fldCharType="end"/>
            </w:r>
          </w:hyperlink>
          <w:r w:rsidR="007C37B0">
            <w:rPr>
              <w:noProof/>
            </w:rPr>
            <w:t>22</w:t>
          </w:r>
        </w:p>
        <w:p w14:paraId="1D93AADE" w14:textId="0A9DD04F" w:rsidR="00417A1D" w:rsidRDefault="009B196A">
          <w:pPr>
            <w:pStyle w:val="TOC2"/>
            <w:tabs>
              <w:tab w:val="right" w:leader="dot" w:pos="9016"/>
            </w:tabs>
            <w:rPr>
              <w:rFonts w:eastAsiaTheme="minorEastAsia" w:cstheme="minorBidi"/>
              <w:noProof/>
              <w:sz w:val="22"/>
              <w:szCs w:val="22"/>
            </w:rPr>
          </w:pPr>
          <w:hyperlink w:anchor="_Toc101636975" w:history="1">
            <w:r w:rsidR="00417A1D" w:rsidRPr="00A21435">
              <w:rPr>
                <w:rStyle w:val="Hyperlink"/>
                <w:noProof/>
              </w:rPr>
              <w:t>Rock Art</w:t>
            </w:r>
            <w:r w:rsidR="00417A1D">
              <w:rPr>
                <w:noProof/>
                <w:webHidden/>
              </w:rPr>
              <w:tab/>
            </w:r>
            <w:r w:rsidR="007C37B0">
              <w:rPr>
                <w:noProof/>
                <w:webHidden/>
              </w:rPr>
              <w:t>22</w:t>
            </w:r>
          </w:hyperlink>
        </w:p>
        <w:p w14:paraId="450EC4EA" w14:textId="6337C53C" w:rsidR="00417A1D" w:rsidRDefault="009B196A">
          <w:pPr>
            <w:pStyle w:val="TOC2"/>
            <w:tabs>
              <w:tab w:val="right" w:leader="dot" w:pos="9016"/>
            </w:tabs>
            <w:rPr>
              <w:rFonts w:eastAsiaTheme="minorEastAsia" w:cstheme="minorBidi"/>
              <w:noProof/>
              <w:sz w:val="22"/>
              <w:szCs w:val="22"/>
            </w:rPr>
          </w:pPr>
          <w:hyperlink w:anchor="_Toc101636976" w:history="1">
            <w:r w:rsidR="00417A1D" w:rsidRPr="00A21435">
              <w:rPr>
                <w:rStyle w:val="Hyperlink"/>
                <w:noProof/>
              </w:rPr>
              <w:t>Solstice-observations in Emerging Societies</w:t>
            </w:r>
            <w:r w:rsidR="00417A1D">
              <w:rPr>
                <w:noProof/>
                <w:webHidden/>
              </w:rPr>
              <w:tab/>
            </w:r>
            <w:r w:rsidR="007C37B0">
              <w:rPr>
                <w:noProof/>
                <w:webHidden/>
              </w:rPr>
              <w:t>29</w:t>
            </w:r>
          </w:hyperlink>
        </w:p>
        <w:p w14:paraId="62A51CAC" w14:textId="39BCF10E" w:rsidR="00417A1D" w:rsidRDefault="009B196A">
          <w:pPr>
            <w:pStyle w:val="TOC3"/>
            <w:tabs>
              <w:tab w:val="right" w:leader="dot" w:pos="9016"/>
            </w:tabs>
            <w:rPr>
              <w:rFonts w:eastAsiaTheme="minorEastAsia" w:cstheme="minorBidi"/>
              <w:noProof/>
              <w:sz w:val="22"/>
              <w:szCs w:val="22"/>
            </w:rPr>
          </w:pPr>
          <w:hyperlink w:anchor="_Toc101636977" w:history="1">
            <w:r w:rsidR="00417A1D" w:rsidRPr="00A21435">
              <w:rPr>
                <w:rStyle w:val="Hyperlink"/>
                <w:noProof/>
              </w:rPr>
              <w:t>Paleolithic and Archaic Rock Art</w:t>
            </w:r>
            <w:r w:rsidR="00417A1D">
              <w:rPr>
                <w:noProof/>
                <w:webHidden/>
              </w:rPr>
              <w:tab/>
            </w:r>
            <w:r w:rsidR="007C37B0">
              <w:rPr>
                <w:noProof/>
                <w:webHidden/>
              </w:rPr>
              <w:t>29</w:t>
            </w:r>
          </w:hyperlink>
        </w:p>
        <w:p w14:paraId="7349E040" w14:textId="3617AB4A" w:rsidR="00417A1D" w:rsidRDefault="009B196A">
          <w:pPr>
            <w:pStyle w:val="TOC3"/>
            <w:tabs>
              <w:tab w:val="right" w:leader="dot" w:pos="9016"/>
            </w:tabs>
            <w:rPr>
              <w:rFonts w:eastAsiaTheme="minorEastAsia" w:cstheme="minorBidi"/>
              <w:noProof/>
              <w:sz w:val="22"/>
              <w:szCs w:val="22"/>
            </w:rPr>
          </w:pPr>
          <w:hyperlink w:anchor="_Toc101636978" w:history="1">
            <w:r w:rsidR="00417A1D" w:rsidRPr="00A21435">
              <w:rPr>
                <w:rStyle w:val="Hyperlink"/>
                <w:noProof/>
              </w:rPr>
              <w:t>Sedentarism and Megaliths</w:t>
            </w:r>
            <w:r w:rsidR="00417A1D">
              <w:rPr>
                <w:noProof/>
                <w:webHidden/>
              </w:rPr>
              <w:tab/>
            </w:r>
            <w:r w:rsidR="007C37B0">
              <w:rPr>
                <w:noProof/>
                <w:webHidden/>
              </w:rPr>
              <w:t>30</w:t>
            </w:r>
          </w:hyperlink>
        </w:p>
        <w:p w14:paraId="742CFB6C" w14:textId="64E11AB8" w:rsidR="00417A1D" w:rsidRDefault="009B196A">
          <w:pPr>
            <w:pStyle w:val="TOC3"/>
            <w:tabs>
              <w:tab w:val="right" w:leader="dot" w:pos="9016"/>
            </w:tabs>
            <w:rPr>
              <w:rFonts w:eastAsiaTheme="minorEastAsia" w:cstheme="minorBidi"/>
              <w:noProof/>
              <w:sz w:val="22"/>
              <w:szCs w:val="22"/>
            </w:rPr>
          </w:pPr>
          <w:hyperlink w:anchor="_Toc101636979" w:history="1">
            <w:r w:rsidR="00417A1D" w:rsidRPr="00A21435">
              <w:rPr>
                <w:rStyle w:val="Hyperlink"/>
                <w:noProof/>
              </w:rPr>
              <w:t>Petroglyphs and Solstice among Southwestern Agriculturalists</w:t>
            </w:r>
            <w:r w:rsidR="00417A1D">
              <w:rPr>
                <w:noProof/>
                <w:webHidden/>
              </w:rPr>
              <w:tab/>
            </w:r>
            <w:r w:rsidR="007C37B0">
              <w:rPr>
                <w:noProof/>
                <w:webHidden/>
              </w:rPr>
              <w:t>34</w:t>
            </w:r>
          </w:hyperlink>
        </w:p>
        <w:p w14:paraId="7CB647F4" w14:textId="17846535" w:rsidR="00417A1D" w:rsidRDefault="009B196A">
          <w:pPr>
            <w:pStyle w:val="TOC2"/>
            <w:tabs>
              <w:tab w:val="right" w:leader="dot" w:pos="9016"/>
            </w:tabs>
            <w:rPr>
              <w:rFonts w:eastAsiaTheme="minorEastAsia" w:cstheme="minorBidi"/>
              <w:noProof/>
              <w:sz w:val="22"/>
              <w:szCs w:val="22"/>
            </w:rPr>
          </w:pPr>
          <w:hyperlink w:anchor="_Toc101636980" w:history="1">
            <w:r w:rsidR="00417A1D" w:rsidRPr="00A21435">
              <w:rPr>
                <w:rStyle w:val="Hyperlink"/>
                <w:noProof/>
              </w:rPr>
              <w:t>Solstice Ethnology among Hunter Gatherers</w:t>
            </w:r>
            <w:r w:rsidR="00417A1D">
              <w:rPr>
                <w:noProof/>
                <w:webHidden/>
              </w:rPr>
              <w:tab/>
            </w:r>
            <w:r w:rsidR="007C37B0">
              <w:rPr>
                <w:noProof/>
                <w:webHidden/>
              </w:rPr>
              <w:t>36</w:t>
            </w:r>
          </w:hyperlink>
        </w:p>
        <w:p w14:paraId="77F3673B" w14:textId="01C62208" w:rsidR="00417A1D" w:rsidRDefault="009B196A">
          <w:pPr>
            <w:pStyle w:val="TOC2"/>
            <w:tabs>
              <w:tab w:val="right" w:leader="dot" w:pos="9016"/>
            </w:tabs>
            <w:rPr>
              <w:rFonts w:eastAsiaTheme="minorEastAsia" w:cstheme="minorBidi"/>
              <w:noProof/>
              <w:sz w:val="22"/>
              <w:szCs w:val="22"/>
            </w:rPr>
          </w:pPr>
          <w:hyperlink w:anchor="_Toc101636981" w:history="1">
            <w:r w:rsidR="00417A1D" w:rsidRPr="00A21435">
              <w:rPr>
                <w:rStyle w:val="Hyperlink"/>
                <w:noProof/>
              </w:rPr>
              <w:t>Skyscape Archaeology</w:t>
            </w:r>
            <w:r w:rsidR="00417A1D">
              <w:rPr>
                <w:noProof/>
                <w:webHidden/>
              </w:rPr>
              <w:tab/>
            </w:r>
            <w:r w:rsidR="002F406F">
              <w:rPr>
                <w:noProof/>
                <w:webHidden/>
              </w:rPr>
              <w:t>39</w:t>
            </w:r>
          </w:hyperlink>
        </w:p>
        <w:p w14:paraId="4FCC2B8F" w14:textId="1CB36CC5" w:rsidR="00417A1D" w:rsidRDefault="009B196A">
          <w:pPr>
            <w:pStyle w:val="TOC1"/>
            <w:tabs>
              <w:tab w:val="right" w:leader="dot" w:pos="9016"/>
            </w:tabs>
            <w:rPr>
              <w:rFonts w:eastAsiaTheme="minorEastAsia" w:cstheme="minorBidi"/>
              <w:noProof/>
              <w:sz w:val="22"/>
              <w:szCs w:val="22"/>
            </w:rPr>
          </w:pPr>
          <w:hyperlink w:anchor="_Toc101636982" w:history="1">
            <w:r w:rsidR="00417A1D" w:rsidRPr="00A21435">
              <w:rPr>
                <w:rStyle w:val="Hyperlink"/>
                <w:noProof/>
              </w:rPr>
              <w:t>The Method</w:t>
            </w:r>
            <w:r w:rsidR="00417A1D">
              <w:rPr>
                <w:noProof/>
                <w:webHidden/>
              </w:rPr>
              <w:tab/>
            </w:r>
            <w:r w:rsidR="007C37B0">
              <w:rPr>
                <w:noProof/>
                <w:webHidden/>
              </w:rPr>
              <w:t>42</w:t>
            </w:r>
          </w:hyperlink>
        </w:p>
        <w:p w14:paraId="66AFE0CB" w14:textId="2720EC4B" w:rsidR="00417A1D" w:rsidRDefault="009B196A">
          <w:pPr>
            <w:pStyle w:val="TOC1"/>
            <w:tabs>
              <w:tab w:val="right" w:leader="dot" w:pos="9016"/>
            </w:tabs>
            <w:rPr>
              <w:rFonts w:eastAsiaTheme="minorEastAsia" w:cstheme="minorBidi"/>
              <w:noProof/>
              <w:sz w:val="22"/>
              <w:szCs w:val="22"/>
            </w:rPr>
          </w:pPr>
          <w:hyperlink w:anchor="_Toc101636983" w:history="1">
            <w:r w:rsidR="00417A1D" w:rsidRPr="00A21435">
              <w:rPr>
                <w:rStyle w:val="Hyperlink"/>
                <w:noProof/>
              </w:rPr>
              <w:t>Results</w:t>
            </w:r>
            <w:r w:rsidR="00417A1D">
              <w:rPr>
                <w:noProof/>
                <w:webHidden/>
              </w:rPr>
              <w:tab/>
            </w:r>
            <w:r w:rsidR="007C37B0">
              <w:rPr>
                <w:noProof/>
                <w:webHidden/>
              </w:rPr>
              <w:t>46</w:t>
            </w:r>
          </w:hyperlink>
        </w:p>
        <w:p w14:paraId="044FAF68" w14:textId="3E522FFD" w:rsidR="00417A1D" w:rsidRDefault="009B196A">
          <w:pPr>
            <w:pStyle w:val="TOC1"/>
            <w:tabs>
              <w:tab w:val="right" w:leader="dot" w:pos="9016"/>
            </w:tabs>
            <w:rPr>
              <w:rFonts w:eastAsiaTheme="minorEastAsia" w:cstheme="minorBidi"/>
              <w:noProof/>
              <w:sz w:val="22"/>
              <w:szCs w:val="22"/>
            </w:rPr>
          </w:pPr>
          <w:hyperlink w:anchor="_Toc101636984" w:history="1">
            <w:r w:rsidR="00417A1D" w:rsidRPr="00A21435">
              <w:rPr>
                <w:rStyle w:val="Hyperlink"/>
                <w:noProof/>
              </w:rPr>
              <w:t>Discussion</w:t>
            </w:r>
            <w:r w:rsidR="00417A1D">
              <w:rPr>
                <w:noProof/>
                <w:webHidden/>
              </w:rPr>
              <w:tab/>
            </w:r>
            <w:r w:rsidR="007C37B0">
              <w:rPr>
                <w:noProof/>
                <w:webHidden/>
              </w:rPr>
              <w:t>50</w:t>
            </w:r>
          </w:hyperlink>
        </w:p>
        <w:p w14:paraId="0008CC3A" w14:textId="16C90108" w:rsidR="00417A1D" w:rsidRDefault="009B196A">
          <w:pPr>
            <w:pStyle w:val="TOC2"/>
            <w:tabs>
              <w:tab w:val="right" w:leader="dot" w:pos="9016"/>
            </w:tabs>
            <w:rPr>
              <w:rFonts w:eastAsiaTheme="minorEastAsia" w:cstheme="minorBidi"/>
              <w:noProof/>
              <w:sz w:val="22"/>
              <w:szCs w:val="22"/>
            </w:rPr>
          </w:pPr>
          <w:hyperlink w:anchor="_Toc101636985" w:history="1">
            <w:r w:rsidR="00417A1D" w:rsidRPr="00A21435">
              <w:rPr>
                <w:rStyle w:val="Hyperlink"/>
                <w:noProof/>
              </w:rPr>
              <w:t>Issues</w:t>
            </w:r>
            <w:r w:rsidR="00417A1D">
              <w:rPr>
                <w:noProof/>
                <w:webHidden/>
              </w:rPr>
              <w:tab/>
            </w:r>
            <w:r w:rsidR="007C37B0">
              <w:rPr>
                <w:noProof/>
                <w:webHidden/>
              </w:rPr>
              <w:t>50</w:t>
            </w:r>
          </w:hyperlink>
        </w:p>
        <w:p w14:paraId="6C8F7D52" w14:textId="0D604DAE" w:rsidR="00417A1D" w:rsidRDefault="009B196A">
          <w:pPr>
            <w:pStyle w:val="TOC3"/>
            <w:tabs>
              <w:tab w:val="right" w:leader="dot" w:pos="9016"/>
            </w:tabs>
            <w:rPr>
              <w:rFonts w:eastAsiaTheme="minorEastAsia" w:cstheme="minorBidi"/>
              <w:noProof/>
              <w:sz w:val="22"/>
              <w:szCs w:val="22"/>
            </w:rPr>
          </w:pPr>
          <w:hyperlink w:anchor="_Toc101636986" w:history="1">
            <w:r w:rsidR="00417A1D" w:rsidRPr="00A21435">
              <w:rPr>
                <w:rStyle w:val="Hyperlink"/>
                <w:noProof/>
              </w:rPr>
              <w:t>Rock Art in the Landscape</w:t>
            </w:r>
            <w:r w:rsidR="00417A1D">
              <w:rPr>
                <w:noProof/>
                <w:webHidden/>
              </w:rPr>
              <w:tab/>
            </w:r>
            <w:r w:rsidR="007C37B0">
              <w:rPr>
                <w:noProof/>
                <w:webHidden/>
              </w:rPr>
              <w:t>56</w:t>
            </w:r>
          </w:hyperlink>
        </w:p>
        <w:p w14:paraId="57C7B218" w14:textId="3E1C234F" w:rsidR="00417A1D" w:rsidRDefault="009B196A">
          <w:pPr>
            <w:pStyle w:val="TOC2"/>
            <w:tabs>
              <w:tab w:val="right" w:leader="dot" w:pos="9016"/>
            </w:tabs>
            <w:rPr>
              <w:rFonts w:eastAsiaTheme="minorEastAsia" w:cstheme="minorBidi"/>
              <w:noProof/>
              <w:sz w:val="22"/>
              <w:szCs w:val="22"/>
            </w:rPr>
          </w:pPr>
          <w:hyperlink w:anchor="_Toc101636987" w:history="1">
            <w:r w:rsidR="00417A1D" w:rsidRPr="00A21435">
              <w:rPr>
                <w:rStyle w:val="Hyperlink"/>
                <w:noProof/>
              </w:rPr>
              <w:t>Hunter-Gatherer Ethnology</w:t>
            </w:r>
            <w:r w:rsidR="00417A1D">
              <w:rPr>
                <w:noProof/>
                <w:webHidden/>
              </w:rPr>
              <w:tab/>
            </w:r>
            <w:r w:rsidR="007C37B0">
              <w:rPr>
                <w:noProof/>
                <w:webHidden/>
              </w:rPr>
              <w:t>62</w:t>
            </w:r>
          </w:hyperlink>
        </w:p>
        <w:p w14:paraId="23081B36" w14:textId="30961F6F" w:rsidR="00417A1D" w:rsidRDefault="009B196A">
          <w:pPr>
            <w:pStyle w:val="TOC3"/>
            <w:tabs>
              <w:tab w:val="right" w:leader="dot" w:pos="9016"/>
            </w:tabs>
            <w:rPr>
              <w:rFonts w:eastAsiaTheme="minorEastAsia" w:cstheme="minorBidi"/>
              <w:noProof/>
              <w:sz w:val="22"/>
              <w:szCs w:val="22"/>
            </w:rPr>
          </w:pPr>
          <w:hyperlink w:anchor="_Toc101636988" w:history="1">
            <w:r w:rsidR="00417A1D" w:rsidRPr="00A21435">
              <w:rPr>
                <w:rStyle w:val="Hyperlink"/>
                <w:noProof/>
              </w:rPr>
              <w:t>Relationship with the Sun</w:t>
            </w:r>
            <w:r w:rsidR="00417A1D">
              <w:rPr>
                <w:noProof/>
                <w:webHidden/>
              </w:rPr>
              <w:tab/>
            </w:r>
            <w:r w:rsidR="007C37B0">
              <w:rPr>
                <w:noProof/>
                <w:webHidden/>
              </w:rPr>
              <w:t>62</w:t>
            </w:r>
          </w:hyperlink>
        </w:p>
        <w:p w14:paraId="0908ADF4" w14:textId="4F94BBD1" w:rsidR="00417A1D" w:rsidRDefault="009B196A">
          <w:pPr>
            <w:pStyle w:val="TOC3"/>
            <w:tabs>
              <w:tab w:val="right" w:leader="dot" w:pos="9016"/>
            </w:tabs>
            <w:rPr>
              <w:rFonts w:eastAsiaTheme="minorEastAsia" w:cstheme="minorBidi"/>
              <w:noProof/>
              <w:sz w:val="22"/>
              <w:szCs w:val="22"/>
            </w:rPr>
          </w:pPr>
          <w:hyperlink w:anchor="_Toc101636989" w:history="1">
            <w:r w:rsidR="00417A1D" w:rsidRPr="00A21435">
              <w:rPr>
                <w:rStyle w:val="Hyperlink"/>
                <w:noProof/>
              </w:rPr>
              <w:t>Time and Space</w:t>
            </w:r>
            <w:r w:rsidR="00417A1D">
              <w:rPr>
                <w:noProof/>
                <w:webHidden/>
              </w:rPr>
              <w:tab/>
            </w:r>
            <w:r w:rsidR="007C37B0">
              <w:rPr>
                <w:noProof/>
                <w:webHidden/>
              </w:rPr>
              <w:t>65</w:t>
            </w:r>
          </w:hyperlink>
        </w:p>
        <w:p w14:paraId="2D061A1F" w14:textId="3DC0C273" w:rsidR="00417A1D" w:rsidRDefault="009B196A">
          <w:pPr>
            <w:pStyle w:val="TOC3"/>
            <w:tabs>
              <w:tab w:val="right" w:leader="dot" w:pos="9016"/>
            </w:tabs>
            <w:rPr>
              <w:rFonts w:eastAsiaTheme="minorEastAsia" w:cstheme="minorBidi"/>
              <w:noProof/>
              <w:sz w:val="22"/>
              <w:szCs w:val="22"/>
            </w:rPr>
          </w:pPr>
          <w:hyperlink w:anchor="_Toc101636990" w:history="1">
            <w:r w:rsidR="00417A1D" w:rsidRPr="00A21435">
              <w:rPr>
                <w:rStyle w:val="Hyperlink"/>
                <w:noProof/>
              </w:rPr>
              <w:t>Animism and Shamanism</w:t>
            </w:r>
            <w:r w:rsidR="00417A1D">
              <w:rPr>
                <w:noProof/>
                <w:webHidden/>
              </w:rPr>
              <w:tab/>
            </w:r>
            <w:r w:rsidR="007C37B0">
              <w:rPr>
                <w:noProof/>
                <w:webHidden/>
              </w:rPr>
              <w:t>67</w:t>
            </w:r>
          </w:hyperlink>
        </w:p>
        <w:p w14:paraId="5E24DEBE" w14:textId="084D1554" w:rsidR="00417A1D" w:rsidRDefault="009B196A">
          <w:pPr>
            <w:pStyle w:val="TOC2"/>
            <w:tabs>
              <w:tab w:val="right" w:leader="dot" w:pos="9016"/>
            </w:tabs>
            <w:rPr>
              <w:rFonts w:eastAsiaTheme="minorEastAsia" w:cstheme="minorBidi"/>
              <w:noProof/>
              <w:sz w:val="22"/>
              <w:szCs w:val="22"/>
            </w:rPr>
          </w:pPr>
          <w:hyperlink w:anchor="_Toc101636991" w:history="1">
            <w:r w:rsidR="00417A1D" w:rsidRPr="00A21435">
              <w:rPr>
                <w:rStyle w:val="Hyperlink"/>
                <w:noProof/>
              </w:rPr>
              <w:t>Phenomenology of the Desert</w:t>
            </w:r>
            <w:r w:rsidR="00417A1D">
              <w:rPr>
                <w:noProof/>
                <w:webHidden/>
              </w:rPr>
              <w:tab/>
            </w:r>
            <w:r w:rsidR="007C37B0">
              <w:rPr>
                <w:noProof/>
                <w:webHidden/>
              </w:rPr>
              <w:t>71</w:t>
            </w:r>
          </w:hyperlink>
        </w:p>
        <w:p w14:paraId="478203CD" w14:textId="22784A8F" w:rsidR="00417A1D" w:rsidRDefault="009B196A">
          <w:pPr>
            <w:pStyle w:val="TOC2"/>
            <w:tabs>
              <w:tab w:val="right" w:leader="dot" w:pos="9016"/>
            </w:tabs>
            <w:rPr>
              <w:rFonts w:eastAsiaTheme="minorEastAsia" w:cstheme="minorBidi"/>
              <w:noProof/>
              <w:sz w:val="22"/>
              <w:szCs w:val="22"/>
            </w:rPr>
          </w:pPr>
          <w:hyperlink w:anchor="_Toc101636992" w:history="1">
            <w:r w:rsidR="00417A1D" w:rsidRPr="00A21435">
              <w:rPr>
                <w:rStyle w:val="Hyperlink"/>
                <w:noProof/>
              </w:rPr>
              <w:t>Conclusion</w:t>
            </w:r>
            <w:r w:rsidR="00417A1D">
              <w:rPr>
                <w:noProof/>
                <w:webHidden/>
              </w:rPr>
              <w:tab/>
            </w:r>
            <w:r w:rsidR="002F406F">
              <w:rPr>
                <w:noProof/>
                <w:webHidden/>
              </w:rPr>
              <w:t>79</w:t>
            </w:r>
          </w:hyperlink>
        </w:p>
        <w:p w14:paraId="61D8B513" w14:textId="4C229707" w:rsidR="00417A1D" w:rsidRDefault="009B196A">
          <w:pPr>
            <w:pStyle w:val="TOC1"/>
            <w:tabs>
              <w:tab w:val="right" w:leader="dot" w:pos="9016"/>
            </w:tabs>
            <w:rPr>
              <w:rFonts w:eastAsiaTheme="minorEastAsia" w:cstheme="minorBidi"/>
              <w:noProof/>
              <w:sz w:val="22"/>
              <w:szCs w:val="22"/>
            </w:rPr>
          </w:pPr>
          <w:hyperlink w:anchor="_Toc101636993" w:history="1">
            <w:r w:rsidR="00417A1D" w:rsidRPr="00A21435">
              <w:rPr>
                <w:rStyle w:val="Hyperlink"/>
                <w:noProof/>
              </w:rPr>
              <w:t>Appendix A: Summary of Site Data</w:t>
            </w:r>
            <w:r w:rsidR="00417A1D">
              <w:rPr>
                <w:noProof/>
                <w:webHidden/>
              </w:rPr>
              <w:tab/>
            </w:r>
            <w:r w:rsidR="002F406F">
              <w:rPr>
                <w:noProof/>
                <w:webHidden/>
              </w:rPr>
              <w:t>82</w:t>
            </w:r>
          </w:hyperlink>
        </w:p>
        <w:p w14:paraId="51A77F6E" w14:textId="131EFCF4" w:rsidR="00417A1D" w:rsidRDefault="009B196A">
          <w:pPr>
            <w:pStyle w:val="TOC1"/>
            <w:tabs>
              <w:tab w:val="right" w:leader="dot" w:pos="9016"/>
            </w:tabs>
            <w:rPr>
              <w:rFonts w:eastAsiaTheme="minorEastAsia" w:cstheme="minorBidi"/>
              <w:noProof/>
              <w:sz w:val="22"/>
              <w:szCs w:val="22"/>
            </w:rPr>
          </w:pPr>
          <w:hyperlink w:anchor="_Toc101636994" w:history="1">
            <w:r w:rsidR="00417A1D" w:rsidRPr="00A21435">
              <w:rPr>
                <w:rStyle w:val="Hyperlink"/>
                <w:noProof/>
              </w:rPr>
              <w:t>Bibliography</w:t>
            </w:r>
            <w:r w:rsidR="00417A1D">
              <w:rPr>
                <w:noProof/>
                <w:webHidden/>
              </w:rPr>
              <w:tab/>
            </w:r>
            <w:r w:rsidR="00417A1D">
              <w:rPr>
                <w:noProof/>
                <w:webHidden/>
              </w:rPr>
              <w:fldChar w:fldCharType="begin"/>
            </w:r>
            <w:r w:rsidR="00417A1D">
              <w:rPr>
                <w:noProof/>
                <w:webHidden/>
              </w:rPr>
              <w:instrText xml:space="preserve"> PAGEREF _Toc101636994 \h </w:instrText>
            </w:r>
            <w:r w:rsidR="00417A1D">
              <w:rPr>
                <w:noProof/>
                <w:webHidden/>
              </w:rPr>
            </w:r>
            <w:r w:rsidR="00417A1D">
              <w:rPr>
                <w:noProof/>
                <w:webHidden/>
              </w:rPr>
              <w:fldChar w:fldCharType="separate"/>
            </w:r>
            <w:r w:rsidR="00417A1D">
              <w:rPr>
                <w:noProof/>
                <w:webHidden/>
              </w:rPr>
              <w:t>90</w:t>
            </w:r>
            <w:r w:rsidR="00417A1D">
              <w:rPr>
                <w:noProof/>
                <w:webHidden/>
              </w:rPr>
              <w:fldChar w:fldCharType="end"/>
            </w:r>
          </w:hyperlink>
        </w:p>
        <w:p w14:paraId="2189FB2A" w14:textId="21D07D86" w:rsidR="00DB3240" w:rsidRDefault="00DB3240">
          <w:r>
            <w:rPr>
              <w:b/>
              <w:bCs/>
              <w:noProof/>
            </w:rPr>
            <w:fldChar w:fldCharType="end"/>
          </w:r>
        </w:p>
      </w:sdtContent>
    </w:sdt>
    <w:p w14:paraId="17F7227D" w14:textId="04CCA155" w:rsidR="00E93703" w:rsidRPr="00DE37F3" w:rsidRDefault="00E93703">
      <w:pPr>
        <w:spacing w:line="259" w:lineRule="auto"/>
        <w:rPr>
          <w:rStyle w:val="Heading1Char"/>
          <w:color w:val="auto"/>
        </w:rPr>
      </w:pPr>
      <w:bookmarkStart w:id="6" w:name="_Toc101636939"/>
      <w:r w:rsidRPr="00DE37F3">
        <w:rPr>
          <w:rStyle w:val="Heading1Char"/>
          <w:color w:val="auto"/>
        </w:rPr>
        <w:t xml:space="preserve">Table of </w:t>
      </w:r>
      <w:r w:rsidR="009A09EE" w:rsidRPr="00DE37F3">
        <w:rPr>
          <w:rStyle w:val="Heading1Char"/>
          <w:color w:val="auto"/>
        </w:rPr>
        <w:t>Figures</w:t>
      </w:r>
      <w:bookmarkEnd w:id="6"/>
    </w:p>
    <w:p w14:paraId="12603468" w14:textId="0810CBA0" w:rsidR="00B37382" w:rsidRPr="00DE37F3" w:rsidRDefault="00E93703" w:rsidP="005142A5">
      <w:pPr>
        <w:pStyle w:val="NoSpacing"/>
        <w:rPr>
          <w:rStyle w:val="Heading1Char"/>
          <w:color w:val="auto"/>
          <w:sz w:val="24"/>
          <w:szCs w:val="24"/>
        </w:rPr>
      </w:pPr>
      <w:bookmarkStart w:id="7" w:name="_Toc101636940"/>
      <w:r w:rsidRPr="00DE37F3">
        <w:rPr>
          <w:rStyle w:val="Heading1Char"/>
          <w:color w:val="auto"/>
          <w:sz w:val="24"/>
          <w:szCs w:val="24"/>
        </w:rPr>
        <w:t xml:space="preserve">Figure </w:t>
      </w:r>
      <w:r w:rsidR="00B37382" w:rsidRPr="00DE37F3">
        <w:rPr>
          <w:rStyle w:val="Heading1Char"/>
          <w:color w:val="auto"/>
          <w:sz w:val="24"/>
          <w:szCs w:val="24"/>
        </w:rPr>
        <w:t>1 Map of Study Area and Region……………………………………………………</w:t>
      </w:r>
      <w:r w:rsidR="005028AF">
        <w:rPr>
          <w:rStyle w:val="Heading1Char"/>
          <w:color w:val="auto"/>
          <w:sz w:val="24"/>
          <w:szCs w:val="24"/>
        </w:rPr>
        <w:t>.</w:t>
      </w:r>
      <w:r w:rsidR="00B37382" w:rsidRPr="00DE37F3">
        <w:rPr>
          <w:rStyle w:val="Heading1Char"/>
          <w:color w:val="auto"/>
          <w:sz w:val="24"/>
          <w:szCs w:val="24"/>
        </w:rPr>
        <w:t>………………</w:t>
      </w:r>
      <w:r w:rsidR="005028AF">
        <w:rPr>
          <w:rStyle w:val="Heading1Char"/>
          <w:color w:val="auto"/>
          <w:sz w:val="24"/>
          <w:szCs w:val="24"/>
        </w:rPr>
        <w:t>….</w:t>
      </w:r>
      <w:r w:rsidR="00DF6795">
        <w:rPr>
          <w:rStyle w:val="Heading1Char"/>
          <w:color w:val="auto"/>
          <w:sz w:val="24"/>
          <w:szCs w:val="24"/>
        </w:rPr>
        <w:t>1</w:t>
      </w:r>
      <w:bookmarkEnd w:id="7"/>
      <w:r w:rsidR="002F406F">
        <w:rPr>
          <w:rStyle w:val="Heading1Char"/>
          <w:color w:val="auto"/>
          <w:sz w:val="24"/>
          <w:szCs w:val="24"/>
        </w:rPr>
        <w:t>2</w:t>
      </w:r>
    </w:p>
    <w:p w14:paraId="5B4EE152" w14:textId="1A3E7598" w:rsidR="00B37382" w:rsidRPr="00DE37F3" w:rsidRDefault="00B37382" w:rsidP="005142A5">
      <w:pPr>
        <w:pStyle w:val="NoSpacing"/>
        <w:rPr>
          <w:rStyle w:val="Heading1Char"/>
          <w:color w:val="auto"/>
          <w:sz w:val="24"/>
          <w:szCs w:val="24"/>
        </w:rPr>
      </w:pPr>
      <w:bookmarkStart w:id="8" w:name="_Toc101636941"/>
      <w:r w:rsidRPr="00DE37F3">
        <w:rPr>
          <w:rStyle w:val="Heading1Char"/>
          <w:color w:val="auto"/>
          <w:sz w:val="24"/>
          <w:szCs w:val="24"/>
        </w:rPr>
        <w:t xml:space="preserve">Figure 2 </w:t>
      </w:r>
      <w:r w:rsidR="009A09EE" w:rsidRPr="00DE37F3">
        <w:rPr>
          <w:rStyle w:val="Heading1Char"/>
          <w:color w:val="auto"/>
          <w:sz w:val="24"/>
          <w:szCs w:val="24"/>
        </w:rPr>
        <w:t xml:space="preserve">Ingold’s </w:t>
      </w:r>
      <w:proofErr w:type="spellStart"/>
      <w:r w:rsidR="009A09EE" w:rsidRPr="00DE37F3">
        <w:rPr>
          <w:rStyle w:val="Heading1Char"/>
          <w:color w:val="auto"/>
          <w:sz w:val="24"/>
          <w:szCs w:val="24"/>
        </w:rPr>
        <w:t>Exhabitants</w:t>
      </w:r>
      <w:proofErr w:type="spellEnd"/>
      <w:r w:rsidR="009A09EE" w:rsidRPr="00DE37F3">
        <w:rPr>
          <w:rStyle w:val="Heading1Char"/>
          <w:color w:val="auto"/>
          <w:sz w:val="24"/>
          <w:szCs w:val="24"/>
        </w:rPr>
        <w:t xml:space="preserve"> and Inhabitants</w:t>
      </w:r>
      <w:r w:rsidRPr="00DE37F3">
        <w:rPr>
          <w:rStyle w:val="Heading1Char"/>
          <w:color w:val="auto"/>
          <w:sz w:val="24"/>
          <w:szCs w:val="24"/>
        </w:rPr>
        <w:t>………………………………………………………………</w:t>
      </w:r>
      <w:r w:rsidR="00DF6795">
        <w:rPr>
          <w:rStyle w:val="Heading1Char"/>
          <w:color w:val="auto"/>
          <w:sz w:val="24"/>
          <w:szCs w:val="24"/>
        </w:rPr>
        <w:t>.7</w:t>
      </w:r>
      <w:bookmarkEnd w:id="8"/>
      <w:r w:rsidR="002F406F">
        <w:rPr>
          <w:rStyle w:val="Heading1Char"/>
          <w:color w:val="auto"/>
          <w:sz w:val="24"/>
          <w:szCs w:val="24"/>
        </w:rPr>
        <w:t>3</w:t>
      </w:r>
    </w:p>
    <w:p w14:paraId="406C3293" w14:textId="3D8ECD77" w:rsidR="009A09EE" w:rsidRPr="00DE37F3" w:rsidRDefault="00B37382" w:rsidP="005142A5">
      <w:pPr>
        <w:pStyle w:val="NoSpacing"/>
        <w:rPr>
          <w:rStyle w:val="Heading1Char"/>
          <w:color w:val="auto"/>
          <w:sz w:val="24"/>
          <w:szCs w:val="24"/>
        </w:rPr>
      </w:pPr>
      <w:bookmarkStart w:id="9" w:name="_Toc101636942"/>
      <w:r w:rsidRPr="00DE37F3">
        <w:rPr>
          <w:rStyle w:val="Heading1Char"/>
          <w:color w:val="auto"/>
          <w:sz w:val="24"/>
          <w:szCs w:val="24"/>
        </w:rPr>
        <w:t xml:space="preserve">Figure 3 </w:t>
      </w:r>
      <w:r w:rsidR="009A09EE" w:rsidRPr="00DE37F3">
        <w:rPr>
          <w:rStyle w:val="Heading1Char"/>
          <w:color w:val="auto"/>
          <w:sz w:val="24"/>
          <w:szCs w:val="24"/>
        </w:rPr>
        <w:t>Canyonland’s Inhabitants</w:t>
      </w:r>
      <w:r w:rsidRPr="00DE37F3">
        <w:rPr>
          <w:rStyle w:val="Heading1Char"/>
          <w:color w:val="auto"/>
          <w:sz w:val="24"/>
          <w:szCs w:val="24"/>
        </w:rPr>
        <w:t>……………………………………………………………………….</w:t>
      </w:r>
      <w:r w:rsidR="00DF6795">
        <w:rPr>
          <w:rStyle w:val="Heading1Char"/>
          <w:color w:val="auto"/>
          <w:sz w:val="24"/>
          <w:szCs w:val="24"/>
        </w:rPr>
        <w:t>.</w:t>
      </w:r>
      <w:r w:rsidRPr="00DE37F3">
        <w:rPr>
          <w:rStyle w:val="Heading1Char"/>
          <w:color w:val="auto"/>
          <w:sz w:val="24"/>
          <w:szCs w:val="24"/>
        </w:rPr>
        <w:t>.</w:t>
      </w:r>
      <w:r w:rsidR="00DF6795">
        <w:rPr>
          <w:rStyle w:val="Heading1Char"/>
          <w:color w:val="auto"/>
          <w:sz w:val="24"/>
          <w:szCs w:val="24"/>
        </w:rPr>
        <w:t>........</w:t>
      </w:r>
      <w:r w:rsidR="00856715">
        <w:rPr>
          <w:rStyle w:val="Heading1Char"/>
          <w:color w:val="auto"/>
          <w:sz w:val="24"/>
          <w:szCs w:val="24"/>
        </w:rPr>
        <w:t>7</w:t>
      </w:r>
      <w:bookmarkEnd w:id="9"/>
      <w:r w:rsidR="002F406F">
        <w:rPr>
          <w:rStyle w:val="Heading1Char"/>
          <w:color w:val="auto"/>
          <w:sz w:val="24"/>
          <w:szCs w:val="24"/>
        </w:rPr>
        <w:t>4</w:t>
      </w:r>
    </w:p>
    <w:p w14:paraId="4EFE1F06" w14:textId="77777777" w:rsidR="005142A5" w:rsidRDefault="005142A5" w:rsidP="009D0454">
      <w:pPr>
        <w:spacing w:line="259" w:lineRule="auto"/>
        <w:rPr>
          <w:rStyle w:val="Heading1Char"/>
          <w:color w:val="auto"/>
        </w:rPr>
      </w:pPr>
    </w:p>
    <w:p w14:paraId="78CD45CC" w14:textId="5B3302C5" w:rsidR="009D0454" w:rsidRPr="00DE37F3" w:rsidRDefault="009D0454" w:rsidP="009D0454">
      <w:pPr>
        <w:spacing w:line="259" w:lineRule="auto"/>
        <w:rPr>
          <w:rStyle w:val="Heading1Char"/>
          <w:color w:val="auto"/>
        </w:rPr>
      </w:pPr>
      <w:bookmarkStart w:id="10" w:name="_Toc101636943"/>
      <w:r w:rsidRPr="00DE37F3">
        <w:rPr>
          <w:rStyle w:val="Heading1Char"/>
          <w:color w:val="auto"/>
        </w:rPr>
        <w:t>Table of Tables</w:t>
      </w:r>
      <w:bookmarkEnd w:id="10"/>
    </w:p>
    <w:p w14:paraId="50817392" w14:textId="3933E5E0" w:rsidR="009D0454" w:rsidRPr="00DE37F3" w:rsidRDefault="009D0454" w:rsidP="005142A5">
      <w:pPr>
        <w:pStyle w:val="NoSpacing"/>
        <w:rPr>
          <w:rStyle w:val="Heading1Char"/>
          <w:color w:val="auto"/>
          <w:sz w:val="24"/>
          <w:szCs w:val="24"/>
        </w:rPr>
      </w:pPr>
      <w:bookmarkStart w:id="11" w:name="_Toc101636944"/>
      <w:r w:rsidRPr="00DE37F3">
        <w:rPr>
          <w:rStyle w:val="Heading1Char"/>
          <w:color w:val="auto"/>
          <w:sz w:val="24"/>
          <w:szCs w:val="24"/>
        </w:rPr>
        <w:t>Table 2 Scatter Plot of Low Points on the Eastern Horizon from Petroglyph Sites</w:t>
      </w:r>
      <w:r w:rsidR="00DF6795">
        <w:rPr>
          <w:rStyle w:val="Heading1Char"/>
          <w:color w:val="auto"/>
          <w:sz w:val="24"/>
          <w:szCs w:val="24"/>
        </w:rPr>
        <w:t>……….4</w:t>
      </w:r>
      <w:bookmarkEnd w:id="11"/>
      <w:r w:rsidR="002F406F">
        <w:rPr>
          <w:rStyle w:val="Heading1Char"/>
          <w:color w:val="auto"/>
          <w:sz w:val="24"/>
          <w:szCs w:val="24"/>
        </w:rPr>
        <w:t>7</w:t>
      </w:r>
    </w:p>
    <w:p w14:paraId="34F54DFA" w14:textId="720E6DE2" w:rsidR="009D0454" w:rsidRPr="00DE37F3" w:rsidRDefault="009D0454" w:rsidP="005142A5">
      <w:pPr>
        <w:pStyle w:val="NoSpacing"/>
        <w:rPr>
          <w:rStyle w:val="Heading1Char"/>
          <w:color w:val="auto"/>
          <w:sz w:val="24"/>
          <w:szCs w:val="24"/>
        </w:rPr>
      </w:pPr>
      <w:bookmarkStart w:id="12" w:name="_Toc101636945"/>
      <w:r w:rsidRPr="00DE37F3">
        <w:rPr>
          <w:rStyle w:val="Heading1Char"/>
          <w:color w:val="auto"/>
          <w:sz w:val="24"/>
          <w:szCs w:val="24"/>
        </w:rPr>
        <w:t>Table 1 Percentages and Numbers of Solstice Petroglyph Sites</w:t>
      </w:r>
      <w:r w:rsidR="00DF6795">
        <w:rPr>
          <w:rStyle w:val="Heading1Char"/>
          <w:color w:val="auto"/>
          <w:sz w:val="24"/>
          <w:szCs w:val="24"/>
        </w:rPr>
        <w:t>………………………</w:t>
      </w:r>
      <w:r w:rsidR="005028AF">
        <w:rPr>
          <w:rStyle w:val="Heading1Char"/>
          <w:color w:val="auto"/>
          <w:sz w:val="24"/>
          <w:szCs w:val="24"/>
        </w:rPr>
        <w:t xml:space="preserve"> </w:t>
      </w:r>
      <w:r w:rsidR="00DF6795">
        <w:rPr>
          <w:rStyle w:val="Heading1Char"/>
          <w:color w:val="auto"/>
          <w:sz w:val="24"/>
          <w:szCs w:val="24"/>
        </w:rPr>
        <w:t>………</w:t>
      </w:r>
      <w:r w:rsidR="005028AF">
        <w:rPr>
          <w:rStyle w:val="Heading1Char"/>
          <w:color w:val="auto"/>
          <w:sz w:val="24"/>
          <w:szCs w:val="24"/>
        </w:rPr>
        <w:t>….</w:t>
      </w:r>
      <w:r w:rsidR="00DF6795">
        <w:rPr>
          <w:rStyle w:val="Heading1Char"/>
          <w:color w:val="auto"/>
          <w:sz w:val="24"/>
          <w:szCs w:val="24"/>
        </w:rPr>
        <w:t>4</w:t>
      </w:r>
      <w:bookmarkEnd w:id="12"/>
      <w:r w:rsidR="002F406F">
        <w:rPr>
          <w:rStyle w:val="Heading1Char"/>
          <w:color w:val="auto"/>
          <w:sz w:val="24"/>
          <w:szCs w:val="24"/>
        </w:rPr>
        <w:t>8</w:t>
      </w:r>
    </w:p>
    <w:p w14:paraId="113B9477" w14:textId="77A61415" w:rsidR="009D0454" w:rsidRPr="00DE37F3" w:rsidRDefault="009D0454" w:rsidP="005142A5">
      <w:pPr>
        <w:pStyle w:val="NoSpacing"/>
        <w:rPr>
          <w:rStyle w:val="Heading1Char"/>
          <w:color w:val="auto"/>
          <w:sz w:val="24"/>
          <w:szCs w:val="24"/>
        </w:rPr>
      </w:pPr>
      <w:bookmarkStart w:id="13" w:name="_Toc101636946"/>
      <w:r w:rsidRPr="00DE37F3">
        <w:rPr>
          <w:rStyle w:val="Heading1Char"/>
          <w:color w:val="auto"/>
          <w:sz w:val="24"/>
          <w:szCs w:val="24"/>
        </w:rPr>
        <w:t>Table 3 Scatter Plot of Low Points on the Western Horizon from Petroglyph Sites</w:t>
      </w:r>
      <w:r w:rsidR="00DF6795">
        <w:rPr>
          <w:rStyle w:val="Heading1Char"/>
          <w:color w:val="auto"/>
          <w:sz w:val="24"/>
          <w:szCs w:val="24"/>
        </w:rPr>
        <w:t>…</w:t>
      </w:r>
      <w:r w:rsidR="005028AF">
        <w:rPr>
          <w:rStyle w:val="Heading1Char"/>
          <w:color w:val="auto"/>
          <w:sz w:val="24"/>
          <w:szCs w:val="24"/>
        </w:rPr>
        <w:t>.….</w:t>
      </w:r>
      <w:r w:rsidR="00DF6795">
        <w:rPr>
          <w:rStyle w:val="Heading1Char"/>
          <w:color w:val="auto"/>
          <w:sz w:val="24"/>
          <w:szCs w:val="24"/>
        </w:rPr>
        <w:t>4</w:t>
      </w:r>
      <w:bookmarkEnd w:id="13"/>
      <w:r w:rsidR="002F406F">
        <w:rPr>
          <w:rStyle w:val="Heading1Char"/>
          <w:color w:val="auto"/>
          <w:sz w:val="24"/>
          <w:szCs w:val="24"/>
        </w:rPr>
        <w:t>8</w:t>
      </w:r>
      <w:r w:rsidRPr="00DE37F3">
        <w:rPr>
          <w:rStyle w:val="Heading1Char"/>
          <w:color w:val="auto"/>
          <w:sz w:val="24"/>
          <w:szCs w:val="24"/>
        </w:rPr>
        <w:t xml:space="preserve"> </w:t>
      </w:r>
    </w:p>
    <w:p w14:paraId="35BB4657" w14:textId="4D421E44" w:rsidR="009D0454" w:rsidRPr="00DE37F3" w:rsidRDefault="009D0454" w:rsidP="005142A5">
      <w:pPr>
        <w:pStyle w:val="NoSpacing"/>
        <w:rPr>
          <w:rStyle w:val="Heading1Char"/>
          <w:color w:val="auto"/>
          <w:sz w:val="24"/>
          <w:szCs w:val="24"/>
        </w:rPr>
      </w:pPr>
      <w:bookmarkStart w:id="14" w:name="_Toc101636947"/>
      <w:r w:rsidRPr="00DE37F3">
        <w:rPr>
          <w:rStyle w:val="Heading1Char"/>
          <w:color w:val="auto"/>
          <w:sz w:val="24"/>
          <w:szCs w:val="24"/>
        </w:rPr>
        <w:t>Table 4 Scatter Plot of All Low Points on the Horizon from Non-Rock Art Sites</w:t>
      </w:r>
      <w:r w:rsidR="00DF6795">
        <w:rPr>
          <w:rStyle w:val="Heading1Char"/>
          <w:color w:val="auto"/>
          <w:sz w:val="24"/>
          <w:szCs w:val="24"/>
        </w:rPr>
        <w:t>……………4</w:t>
      </w:r>
      <w:bookmarkEnd w:id="14"/>
      <w:r w:rsidR="002F406F">
        <w:rPr>
          <w:rStyle w:val="Heading1Char"/>
          <w:color w:val="auto"/>
          <w:sz w:val="24"/>
          <w:szCs w:val="24"/>
        </w:rPr>
        <w:t>9</w:t>
      </w:r>
    </w:p>
    <w:p w14:paraId="6C86386B" w14:textId="44EB331B" w:rsidR="009D0454" w:rsidRPr="00DE37F3" w:rsidRDefault="009D0454" w:rsidP="005142A5">
      <w:pPr>
        <w:pStyle w:val="NoSpacing"/>
        <w:rPr>
          <w:rStyle w:val="Heading1Char"/>
          <w:color w:val="auto"/>
          <w:sz w:val="24"/>
          <w:szCs w:val="24"/>
        </w:rPr>
      </w:pPr>
      <w:bookmarkStart w:id="15" w:name="_Toc101636948"/>
      <w:r w:rsidRPr="00DE37F3">
        <w:rPr>
          <w:rStyle w:val="Heading1Char"/>
          <w:color w:val="auto"/>
          <w:sz w:val="24"/>
          <w:szCs w:val="24"/>
        </w:rPr>
        <w:t>Table 5 Degrees of Diffusion from Exact Solar Trajectory</w:t>
      </w:r>
      <w:r w:rsidR="006225F5">
        <w:rPr>
          <w:rStyle w:val="Heading1Char"/>
          <w:color w:val="auto"/>
          <w:sz w:val="24"/>
          <w:szCs w:val="24"/>
        </w:rPr>
        <w:t>…………………………………………….</w:t>
      </w:r>
      <w:bookmarkEnd w:id="15"/>
      <w:r w:rsidR="002F406F">
        <w:rPr>
          <w:rStyle w:val="Heading1Char"/>
          <w:color w:val="auto"/>
          <w:sz w:val="24"/>
          <w:szCs w:val="24"/>
        </w:rPr>
        <w:t>50</w:t>
      </w:r>
    </w:p>
    <w:p w14:paraId="3FDC32AF" w14:textId="77777777" w:rsidR="009D0454" w:rsidRDefault="009D0454" w:rsidP="009D0454">
      <w:pPr>
        <w:spacing w:line="259" w:lineRule="auto"/>
        <w:rPr>
          <w:rStyle w:val="Heading1Char"/>
          <w:color w:val="auto"/>
          <w:sz w:val="24"/>
          <w:szCs w:val="24"/>
        </w:rPr>
      </w:pPr>
    </w:p>
    <w:p w14:paraId="3F514D55" w14:textId="77777777" w:rsidR="005142A5" w:rsidRDefault="005142A5" w:rsidP="009D0454">
      <w:pPr>
        <w:spacing w:line="259" w:lineRule="auto"/>
        <w:rPr>
          <w:rStyle w:val="Heading1Char"/>
          <w:color w:val="auto"/>
        </w:rPr>
      </w:pPr>
    </w:p>
    <w:p w14:paraId="6C1EFD47" w14:textId="77777777" w:rsidR="005142A5" w:rsidRDefault="005142A5" w:rsidP="009D0454">
      <w:pPr>
        <w:spacing w:line="259" w:lineRule="auto"/>
        <w:rPr>
          <w:rStyle w:val="Heading1Char"/>
          <w:color w:val="auto"/>
        </w:rPr>
      </w:pPr>
    </w:p>
    <w:p w14:paraId="79644F0F" w14:textId="77777777" w:rsidR="005142A5" w:rsidRDefault="005142A5" w:rsidP="009D0454">
      <w:pPr>
        <w:spacing w:line="259" w:lineRule="auto"/>
        <w:rPr>
          <w:rStyle w:val="Heading1Char"/>
          <w:color w:val="auto"/>
        </w:rPr>
      </w:pPr>
    </w:p>
    <w:p w14:paraId="66922839" w14:textId="7BE77444" w:rsidR="007439BD" w:rsidRPr="00DE37F3" w:rsidRDefault="009A09EE" w:rsidP="009D0454">
      <w:pPr>
        <w:spacing w:line="259" w:lineRule="auto"/>
        <w:rPr>
          <w:rStyle w:val="Heading1Char"/>
          <w:color w:val="auto"/>
        </w:rPr>
      </w:pPr>
      <w:bookmarkStart w:id="16" w:name="_Toc101636950"/>
      <w:r w:rsidRPr="00DE37F3">
        <w:rPr>
          <w:rStyle w:val="Heading1Char"/>
          <w:color w:val="auto"/>
        </w:rPr>
        <w:t>Table of Plates</w:t>
      </w:r>
      <w:bookmarkEnd w:id="16"/>
    </w:p>
    <w:p w14:paraId="16DEF688" w14:textId="518C3735" w:rsidR="009A09EE" w:rsidRPr="00DE37F3" w:rsidRDefault="009A09EE" w:rsidP="005142A5">
      <w:pPr>
        <w:pStyle w:val="NoSpacing"/>
        <w:rPr>
          <w:rStyle w:val="Heading1Char"/>
          <w:color w:val="auto"/>
          <w:sz w:val="24"/>
          <w:szCs w:val="24"/>
        </w:rPr>
      </w:pPr>
      <w:bookmarkStart w:id="17" w:name="_Toc101636951"/>
      <w:r w:rsidRPr="00DE37F3">
        <w:rPr>
          <w:rStyle w:val="Heading1Char"/>
          <w:color w:val="auto"/>
          <w:sz w:val="24"/>
          <w:szCs w:val="24"/>
        </w:rPr>
        <w:t>Plate 1 Barrier Canyon Style Rock Art</w:t>
      </w:r>
      <w:r w:rsidR="006225F5">
        <w:rPr>
          <w:rStyle w:val="Heading1Char"/>
          <w:color w:val="auto"/>
          <w:sz w:val="24"/>
          <w:szCs w:val="24"/>
        </w:rPr>
        <w:t>…………………………………………………………</w:t>
      </w:r>
      <w:r w:rsidR="005028AF">
        <w:rPr>
          <w:rStyle w:val="Heading1Char"/>
          <w:color w:val="auto"/>
          <w:sz w:val="24"/>
          <w:szCs w:val="24"/>
        </w:rPr>
        <w:t>..</w:t>
      </w:r>
      <w:r w:rsidR="006225F5">
        <w:rPr>
          <w:rStyle w:val="Heading1Char"/>
          <w:color w:val="auto"/>
          <w:sz w:val="24"/>
          <w:szCs w:val="24"/>
        </w:rPr>
        <w:t>……………..2</w:t>
      </w:r>
      <w:bookmarkEnd w:id="17"/>
      <w:r w:rsidR="002F406F">
        <w:rPr>
          <w:rStyle w:val="Heading1Char"/>
          <w:color w:val="auto"/>
          <w:sz w:val="24"/>
          <w:szCs w:val="24"/>
        </w:rPr>
        <w:t>3</w:t>
      </w:r>
    </w:p>
    <w:p w14:paraId="32610C01" w14:textId="6DDB32A5" w:rsidR="009A09EE" w:rsidRPr="00DE37F3" w:rsidRDefault="009A09EE" w:rsidP="005142A5">
      <w:pPr>
        <w:pStyle w:val="NoSpacing"/>
        <w:rPr>
          <w:rStyle w:val="Heading1Char"/>
          <w:color w:val="auto"/>
          <w:sz w:val="24"/>
          <w:szCs w:val="24"/>
        </w:rPr>
      </w:pPr>
      <w:bookmarkStart w:id="18" w:name="_Toc101636952"/>
      <w:r w:rsidRPr="00DE37F3">
        <w:rPr>
          <w:rStyle w:val="Heading1Char"/>
          <w:color w:val="auto"/>
          <w:sz w:val="24"/>
          <w:szCs w:val="24"/>
        </w:rPr>
        <w:t xml:space="preserve">Plate 2 </w:t>
      </w:r>
      <w:proofErr w:type="spellStart"/>
      <w:r w:rsidRPr="00DE37F3">
        <w:rPr>
          <w:rStyle w:val="Heading1Char"/>
          <w:color w:val="auto"/>
          <w:sz w:val="24"/>
          <w:szCs w:val="24"/>
        </w:rPr>
        <w:t>Repatinated</w:t>
      </w:r>
      <w:proofErr w:type="spellEnd"/>
      <w:r w:rsidRPr="00DE37F3">
        <w:rPr>
          <w:rStyle w:val="Heading1Char"/>
          <w:color w:val="auto"/>
          <w:sz w:val="24"/>
          <w:szCs w:val="24"/>
        </w:rPr>
        <w:t xml:space="preserve"> Petroglyphs</w:t>
      </w:r>
      <w:r w:rsidR="006225F5">
        <w:rPr>
          <w:rStyle w:val="Heading1Char"/>
          <w:color w:val="auto"/>
          <w:sz w:val="24"/>
          <w:szCs w:val="24"/>
        </w:rPr>
        <w:t>………………………………………………………………………………….24</w:t>
      </w:r>
      <w:bookmarkEnd w:id="18"/>
    </w:p>
    <w:p w14:paraId="3B815846" w14:textId="1BB780CD" w:rsidR="009A09EE" w:rsidRPr="00DE37F3" w:rsidRDefault="009A09EE" w:rsidP="005142A5">
      <w:pPr>
        <w:pStyle w:val="NoSpacing"/>
        <w:rPr>
          <w:rStyle w:val="Heading1Char"/>
          <w:color w:val="auto"/>
          <w:sz w:val="24"/>
          <w:szCs w:val="24"/>
        </w:rPr>
      </w:pPr>
      <w:bookmarkStart w:id="19" w:name="_Toc101636953"/>
      <w:r w:rsidRPr="00DE37F3">
        <w:rPr>
          <w:rStyle w:val="Heading1Char"/>
          <w:color w:val="auto"/>
          <w:sz w:val="24"/>
          <w:szCs w:val="24"/>
        </w:rPr>
        <w:t>Plate 3 Western Archaic Tradition Rock Art</w:t>
      </w:r>
      <w:r w:rsidR="006225F5">
        <w:rPr>
          <w:rStyle w:val="Heading1Char"/>
          <w:color w:val="auto"/>
          <w:sz w:val="24"/>
          <w:szCs w:val="24"/>
        </w:rPr>
        <w:t>………………………………………..……………………….2</w:t>
      </w:r>
      <w:bookmarkEnd w:id="19"/>
      <w:r w:rsidR="002F406F">
        <w:rPr>
          <w:rStyle w:val="Heading1Char"/>
          <w:color w:val="auto"/>
          <w:sz w:val="24"/>
          <w:szCs w:val="24"/>
        </w:rPr>
        <w:t>8</w:t>
      </w:r>
    </w:p>
    <w:p w14:paraId="295AD0D1" w14:textId="28417CE4" w:rsidR="009A09EE" w:rsidRPr="00DE37F3" w:rsidRDefault="009A09EE" w:rsidP="005142A5">
      <w:pPr>
        <w:pStyle w:val="NoSpacing"/>
        <w:rPr>
          <w:rStyle w:val="Heading1Char"/>
          <w:color w:val="auto"/>
          <w:sz w:val="24"/>
          <w:szCs w:val="24"/>
        </w:rPr>
      </w:pPr>
      <w:bookmarkStart w:id="20" w:name="_Toc101636954"/>
      <w:r w:rsidRPr="00DE37F3">
        <w:rPr>
          <w:rStyle w:val="Heading1Char"/>
          <w:color w:val="auto"/>
          <w:sz w:val="24"/>
          <w:szCs w:val="24"/>
        </w:rPr>
        <w:t>Plate 4 Sunrise on Winter Solstice Sunrise Petroglyph Site</w:t>
      </w:r>
      <w:r w:rsidR="006225F5">
        <w:rPr>
          <w:rStyle w:val="Heading1Char"/>
          <w:color w:val="auto"/>
          <w:sz w:val="24"/>
          <w:szCs w:val="24"/>
        </w:rPr>
        <w:t>………………………………………….4</w:t>
      </w:r>
      <w:bookmarkEnd w:id="20"/>
      <w:r w:rsidR="002F406F">
        <w:rPr>
          <w:rStyle w:val="Heading1Char"/>
          <w:color w:val="auto"/>
          <w:sz w:val="24"/>
          <w:szCs w:val="24"/>
        </w:rPr>
        <w:t>3</w:t>
      </w:r>
    </w:p>
    <w:p w14:paraId="2D5EDF35" w14:textId="6B7BFC4D" w:rsidR="00571DB3" w:rsidRPr="00DE37F3" w:rsidRDefault="009A09EE" w:rsidP="005142A5">
      <w:pPr>
        <w:pStyle w:val="NoSpacing"/>
        <w:rPr>
          <w:rStyle w:val="Heading1Char"/>
          <w:color w:val="auto"/>
          <w:sz w:val="24"/>
          <w:szCs w:val="24"/>
        </w:rPr>
      </w:pPr>
      <w:bookmarkStart w:id="21" w:name="_Toc101636955"/>
      <w:r w:rsidRPr="00DE37F3">
        <w:rPr>
          <w:rStyle w:val="Heading1Char"/>
          <w:color w:val="auto"/>
          <w:sz w:val="24"/>
          <w:szCs w:val="24"/>
        </w:rPr>
        <w:t xml:space="preserve">Plate 5 </w:t>
      </w:r>
      <w:r w:rsidR="00571DB3" w:rsidRPr="00DE37F3">
        <w:rPr>
          <w:rStyle w:val="Heading1Char"/>
          <w:color w:val="auto"/>
          <w:sz w:val="24"/>
          <w:szCs w:val="24"/>
        </w:rPr>
        <w:t>Geographic Distribution of Sites within the Study Area</w:t>
      </w:r>
      <w:r w:rsidR="006225F5">
        <w:rPr>
          <w:rStyle w:val="Heading1Char"/>
          <w:color w:val="auto"/>
          <w:sz w:val="24"/>
          <w:szCs w:val="24"/>
        </w:rPr>
        <w:t>……………………………………4</w:t>
      </w:r>
      <w:bookmarkEnd w:id="21"/>
      <w:r w:rsidR="002F406F">
        <w:rPr>
          <w:rStyle w:val="Heading1Char"/>
          <w:color w:val="auto"/>
          <w:sz w:val="24"/>
          <w:szCs w:val="24"/>
        </w:rPr>
        <w:t>6</w:t>
      </w:r>
    </w:p>
    <w:p w14:paraId="03CE5FE3" w14:textId="08EFCD52" w:rsidR="00571DB3" w:rsidRPr="00DE37F3" w:rsidRDefault="00571DB3" w:rsidP="005142A5">
      <w:pPr>
        <w:pStyle w:val="NoSpacing"/>
        <w:rPr>
          <w:rStyle w:val="Heading1Char"/>
          <w:color w:val="auto"/>
          <w:sz w:val="24"/>
          <w:szCs w:val="24"/>
        </w:rPr>
      </w:pPr>
      <w:bookmarkStart w:id="22" w:name="_Toc101636956"/>
      <w:r w:rsidRPr="00DE37F3">
        <w:rPr>
          <w:rStyle w:val="Heading1Char"/>
          <w:color w:val="auto"/>
          <w:sz w:val="24"/>
          <w:szCs w:val="24"/>
        </w:rPr>
        <w:t>Plate 6 Summer Solstice Sunrise in Canyonlands with Mesa and Cliff Edges</w:t>
      </w:r>
      <w:r w:rsidR="006225F5">
        <w:rPr>
          <w:rStyle w:val="Heading1Char"/>
          <w:color w:val="auto"/>
          <w:sz w:val="24"/>
          <w:szCs w:val="24"/>
        </w:rPr>
        <w:t>…</w:t>
      </w:r>
      <w:r w:rsidR="005028AF">
        <w:rPr>
          <w:rStyle w:val="Heading1Char"/>
          <w:color w:val="auto"/>
          <w:sz w:val="24"/>
          <w:szCs w:val="24"/>
        </w:rPr>
        <w:t>.</w:t>
      </w:r>
      <w:r w:rsidR="006225F5">
        <w:rPr>
          <w:rStyle w:val="Heading1Char"/>
          <w:color w:val="auto"/>
          <w:sz w:val="24"/>
          <w:szCs w:val="24"/>
        </w:rPr>
        <w:t>……</w:t>
      </w:r>
      <w:r w:rsidR="005028AF">
        <w:rPr>
          <w:rStyle w:val="Heading1Char"/>
          <w:color w:val="auto"/>
          <w:sz w:val="24"/>
          <w:szCs w:val="24"/>
        </w:rPr>
        <w:t>….</w:t>
      </w:r>
      <w:r w:rsidR="006225F5">
        <w:rPr>
          <w:rStyle w:val="Heading1Char"/>
          <w:color w:val="auto"/>
          <w:sz w:val="24"/>
          <w:szCs w:val="24"/>
        </w:rPr>
        <w:t>…..5</w:t>
      </w:r>
      <w:bookmarkEnd w:id="22"/>
      <w:r w:rsidR="002F406F">
        <w:rPr>
          <w:rStyle w:val="Heading1Char"/>
          <w:color w:val="auto"/>
          <w:sz w:val="24"/>
          <w:szCs w:val="24"/>
        </w:rPr>
        <w:t>2</w:t>
      </w:r>
    </w:p>
    <w:p w14:paraId="31EA7DB9" w14:textId="2D5F1D96" w:rsidR="00571DB3" w:rsidRPr="00DE37F3" w:rsidRDefault="00571DB3" w:rsidP="005142A5">
      <w:pPr>
        <w:pStyle w:val="NoSpacing"/>
        <w:rPr>
          <w:rStyle w:val="Heading1Char"/>
          <w:color w:val="auto"/>
          <w:sz w:val="24"/>
          <w:szCs w:val="24"/>
        </w:rPr>
      </w:pPr>
      <w:bookmarkStart w:id="23" w:name="_Toc101636957"/>
      <w:r w:rsidRPr="00DE37F3">
        <w:rPr>
          <w:rStyle w:val="Heading1Char"/>
          <w:color w:val="auto"/>
          <w:sz w:val="24"/>
          <w:szCs w:val="24"/>
        </w:rPr>
        <w:t>Plate 7 Winter Solstice Sunrise over Kane Creek Road</w:t>
      </w:r>
      <w:r w:rsidR="00CB05A6">
        <w:rPr>
          <w:rStyle w:val="Heading1Char"/>
          <w:color w:val="auto"/>
          <w:sz w:val="24"/>
          <w:szCs w:val="24"/>
        </w:rPr>
        <w:t>…………………………………………………5</w:t>
      </w:r>
      <w:bookmarkEnd w:id="23"/>
      <w:r w:rsidR="002F406F">
        <w:rPr>
          <w:rStyle w:val="Heading1Char"/>
          <w:color w:val="auto"/>
          <w:sz w:val="24"/>
          <w:szCs w:val="24"/>
        </w:rPr>
        <w:t>3</w:t>
      </w:r>
    </w:p>
    <w:p w14:paraId="56DA0063" w14:textId="3107D158" w:rsidR="00571DB3" w:rsidRPr="00DE37F3" w:rsidRDefault="00571DB3" w:rsidP="005142A5">
      <w:pPr>
        <w:pStyle w:val="NoSpacing"/>
        <w:rPr>
          <w:rStyle w:val="Heading1Char"/>
          <w:color w:val="auto"/>
          <w:sz w:val="24"/>
          <w:szCs w:val="24"/>
        </w:rPr>
      </w:pPr>
      <w:bookmarkStart w:id="24" w:name="_Toc101636958"/>
      <w:r w:rsidRPr="00DE37F3">
        <w:rPr>
          <w:rStyle w:val="Heading1Char"/>
          <w:color w:val="auto"/>
          <w:sz w:val="24"/>
          <w:szCs w:val="24"/>
        </w:rPr>
        <w:t>Plate 8 Bundling of Petroglyph Sites along Millcreek</w:t>
      </w:r>
      <w:r w:rsidR="00CB05A6">
        <w:rPr>
          <w:rStyle w:val="Heading1Char"/>
          <w:color w:val="auto"/>
          <w:sz w:val="24"/>
          <w:szCs w:val="24"/>
        </w:rPr>
        <w:t>……………………………………………………5</w:t>
      </w:r>
      <w:bookmarkEnd w:id="24"/>
      <w:r w:rsidR="002F406F">
        <w:rPr>
          <w:rStyle w:val="Heading1Char"/>
          <w:color w:val="auto"/>
          <w:sz w:val="24"/>
          <w:szCs w:val="24"/>
        </w:rPr>
        <w:t>4</w:t>
      </w:r>
    </w:p>
    <w:p w14:paraId="34E24DC1" w14:textId="036FFFFF" w:rsidR="00571DB3" w:rsidRPr="00DE37F3" w:rsidRDefault="00571DB3" w:rsidP="005142A5">
      <w:pPr>
        <w:pStyle w:val="NoSpacing"/>
        <w:rPr>
          <w:rStyle w:val="Heading1Char"/>
          <w:color w:val="auto"/>
          <w:sz w:val="24"/>
          <w:szCs w:val="24"/>
        </w:rPr>
      </w:pPr>
      <w:bookmarkStart w:id="25" w:name="_Toc101636959"/>
      <w:r w:rsidRPr="00DE37F3">
        <w:rPr>
          <w:rStyle w:val="Heading1Char"/>
          <w:color w:val="auto"/>
          <w:sz w:val="24"/>
          <w:szCs w:val="24"/>
        </w:rPr>
        <w:t xml:space="preserve">Plate 9 Bundling of Petroglyph Sites in the Kane Creek </w:t>
      </w:r>
      <w:r w:rsidR="005028AF" w:rsidRPr="00DE37F3">
        <w:rPr>
          <w:rStyle w:val="Heading1Char"/>
          <w:color w:val="auto"/>
          <w:sz w:val="24"/>
          <w:szCs w:val="24"/>
        </w:rPr>
        <w:t>Area</w:t>
      </w:r>
      <w:r w:rsidR="005028AF">
        <w:rPr>
          <w:rStyle w:val="Heading1Char"/>
          <w:color w:val="auto"/>
          <w:sz w:val="24"/>
          <w:szCs w:val="24"/>
        </w:rPr>
        <w:t>...</w:t>
      </w:r>
      <w:r w:rsidR="00CB05A6">
        <w:rPr>
          <w:rStyle w:val="Heading1Char"/>
          <w:color w:val="auto"/>
          <w:sz w:val="24"/>
          <w:szCs w:val="24"/>
        </w:rPr>
        <w:t>…………………</w:t>
      </w:r>
      <w:r w:rsidR="005028AF">
        <w:rPr>
          <w:rStyle w:val="Heading1Char"/>
          <w:color w:val="auto"/>
          <w:sz w:val="24"/>
          <w:szCs w:val="24"/>
        </w:rPr>
        <w:t>.</w:t>
      </w:r>
      <w:r w:rsidR="00CB05A6">
        <w:rPr>
          <w:rStyle w:val="Heading1Char"/>
          <w:color w:val="auto"/>
          <w:sz w:val="24"/>
          <w:szCs w:val="24"/>
        </w:rPr>
        <w:t>……………</w:t>
      </w:r>
      <w:r w:rsidR="005028AF">
        <w:rPr>
          <w:rStyle w:val="Heading1Char"/>
          <w:color w:val="auto"/>
          <w:sz w:val="24"/>
          <w:szCs w:val="24"/>
        </w:rPr>
        <w:t>…...</w:t>
      </w:r>
      <w:r w:rsidR="00CB05A6">
        <w:rPr>
          <w:rStyle w:val="Heading1Char"/>
          <w:color w:val="auto"/>
          <w:sz w:val="24"/>
          <w:szCs w:val="24"/>
        </w:rPr>
        <w:t>5</w:t>
      </w:r>
      <w:bookmarkEnd w:id="25"/>
      <w:r w:rsidR="002F406F">
        <w:rPr>
          <w:rStyle w:val="Heading1Char"/>
          <w:color w:val="auto"/>
          <w:sz w:val="24"/>
          <w:szCs w:val="24"/>
        </w:rPr>
        <w:t>6</w:t>
      </w:r>
    </w:p>
    <w:p w14:paraId="69F2400F" w14:textId="2FCBD435" w:rsidR="00571DB3" w:rsidRPr="00DE37F3" w:rsidRDefault="00571DB3" w:rsidP="005142A5">
      <w:pPr>
        <w:pStyle w:val="NoSpacing"/>
        <w:rPr>
          <w:rStyle w:val="Heading1Char"/>
          <w:color w:val="auto"/>
          <w:sz w:val="24"/>
          <w:szCs w:val="24"/>
        </w:rPr>
      </w:pPr>
      <w:bookmarkStart w:id="26" w:name="_Toc101636960"/>
      <w:r w:rsidRPr="00DE37F3">
        <w:rPr>
          <w:rStyle w:val="Heading1Char"/>
          <w:color w:val="auto"/>
          <w:sz w:val="24"/>
          <w:szCs w:val="24"/>
        </w:rPr>
        <w:t>Plate 10 Mountain View from Millcreek Petroglyph Site</w:t>
      </w:r>
      <w:r w:rsidR="00CB05A6">
        <w:rPr>
          <w:rStyle w:val="Heading1Char"/>
          <w:color w:val="auto"/>
          <w:sz w:val="24"/>
          <w:szCs w:val="24"/>
        </w:rPr>
        <w:t>………………………………………………5</w:t>
      </w:r>
      <w:bookmarkEnd w:id="26"/>
      <w:r w:rsidR="002F406F">
        <w:rPr>
          <w:rStyle w:val="Heading1Char"/>
          <w:color w:val="auto"/>
          <w:sz w:val="24"/>
          <w:szCs w:val="24"/>
        </w:rPr>
        <w:t>7</w:t>
      </w:r>
    </w:p>
    <w:p w14:paraId="52CFC7F3" w14:textId="339BBC6E" w:rsidR="00856715" w:rsidRPr="00DE37F3" w:rsidRDefault="00856715" w:rsidP="00856715">
      <w:pPr>
        <w:pStyle w:val="NoSpacing"/>
        <w:rPr>
          <w:rStyle w:val="Heading1Char"/>
          <w:color w:val="auto"/>
          <w:sz w:val="24"/>
          <w:szCs w:val="24"/>
        </w:rPr>
      </w:pPr>
      <w:bookmarkStart w:id="27" w:name="_Toc101636961"/>
      <w:r w:rsidRPr="00DE37F3">
        <w:rPr>
          <w:rStyle w:val="Heading1Char"/>
          <w:color w:val="auto"/>
          <w:sz w:val="24"/>
          <w:szCs w:val="24"/>
        </w:rPr>
        <w:t xml:space="preserve">Plate </w:t>
      </w:r>
      <w:r>
        <w:rPr>
          <w:rStyle w:val="Heading1Char"/>
          <w:color w:val="auto"/>
          <w:sz w:val="24"/>
          <w:szCs w:val="24"/>
        </w:rPr>
        <w:t>11</w:t>
      </w:r>
      <w:r w:rsidRPr="00DE37F3">
        <w:rPr>
          <w:rStyle w:val="Heading1Char"/>
          <w:color w:val="auto"/>
          <w:sz w:val="24"/>
          <w:szCs w:val="24"/>
        </w:rPr>
        <w:t xml:space="preserve"> Handprint Petroglyph in Millcreek</w:t>
      </w:r>
      <w:r>
        <w:rPr>
          <w:rStyle w:val="Heading1Char"/>
          <w:color w:val="auto"/>
          <w:sz w:val="24"/>
          <w:szCs w:val="24"/>
        </w:rPr>
        <w:t>………………………………………………………………….7</w:t>
      </w:r>
      <w:bookmarkEnd w:id="27"/>
      <w:r w:rsidR="002F406F">
        <w:rPr>
          <w:rStyle w:val="Heading1Char"/>
          <w:color w:val="auto"/>
          <w:sz w:val="24"/>
          <w:szCs w:val="24"/>
        </w:rPr>
        <w:t>5</w:t>
      </w:r>
    </w:p>
    <w:p w14:paraId="38BBAB4B" w14:textId="1130D668" w:rsidR="00A81DF8" w:rsidRPr="00DE37F3" w:rsidRDefault="00571DB3" w:rsidP="005142A5">
      <w:pPr>
        <w:pStyle w:val="NoSpacing"/>
        <w:rPr>
          <w:rStyle w:val="Heading1Char"/>
          <w:color w:val="auto"/>
          <w:sz w:val="24"/>
          <w:szCs w:val="24"/>
        </w:rPr>
      </w:pPr>
      <w:bookmarkStart w:id="28" w:name="_Toc101636962"/>
      <w:r w:rsidRPr="00DE37F3">
        <w:rPr>
          <w:rStyle w:val="Heading1Char"/>
          <w:color w:val="auto"/>
          <w:sz w:val="24"/>
          <w:szCs w:val="24"/>
        </w:rPr>
        <w:t>Plate 1</w:t>
      </w:r>
      <w:r w:rsidR="00856715">
        <w:rPr>
          <w:rStyle w:val="Heading1Char"/>
          <w:color w:val="auto"/>
          <w:sz w:val="24"/>
          <w:szCs w:val="24"/>
        </w:rPr>
        <w:t>2</w:t>
      </w:r>
      <w:r w:rsidRPr="00DE37F3">
        <w:rPr>
          <w:rStyle w:val="Heading1Char"/>
          <w:color w:val="auto"/>
          <w:sz w:val="24"/>
          <w:szCs w:val="24"/>
        </w:rPr>
        <w:t xml:space="preserve"> </w:t>
      </w:r>
      <w:r w:rsidR="00A81DF8" w:rsidRPr="00DE37F3">
        <w:rPr>
          <w:rStyle w:val="Heading1Char"/>
          <w:color w:val="auto"/>
          <w:sz w:val="24"/>
          <w:szCs w:val="24"/>
        </w:rPr>
        <w:t>Footprint Petroglyphs at Courthouse Panel</w:t>
      </w:r>
      <w:r w:rsidR="00CB05A6">
        <w:rPr>
          <w:rStyle w:val="Heading1Char"/>
          <w:color w:val="auto"/>
          <w:sz w:val="24"/>
          <w:szCs w:val="24"/>
        </w:rPr>
        <w:t>……………………………………………………7</w:t>
      </w:r>
      <w:bookmarkEnd w:id="28"/>
      <w:r w:rsidR="002F406F">
        <w:rPr>
          <w:rStyle w:val="Heading1Char"/>
          <w:color w:val="auto"/>
          <w:sz w:val="24"/>
          <w:szCs w:val="24"/>
        </w:rPr>
        <w:t>6</w:t>
      </w:r>
    </w:p>
    <w:p w14:paraId="140E1450" w14:textId="625A94AD" w:rsidR="00A81DF8" w:rsidRPr="00DE37F3" w:rsidRDefault="00A81DF8" w:rsidP="005142A5">
      <w:pPr>
        <w:pStyle w:val="NoSpacing"/>
        <w:rPr>
          <w:rStyle w:val="Heading1Char"/>
          <w:color w:val="auto"/>
          <w:sz w:val="24"/>
          <w:szCs w:val="24"/>
        </w:rPr>
      </w:pPr>
      <w:bookmarkStart w:id="29" w:name="_Toc101636963"/>
      <w:r w:rsidRPr="00DE37F3">
        <w:rPr>
          <w:rStyle w:val="Heading1Char"/>
          <w:color w:val="auto"/>
          <w:sz w:val="24"/>
          <w:szCs w:val="24"/>
        </w:rPr>
        <w:t>Plate 13 Spire near to Petroglyphs</w:t>
      </w:r>
      <w:r w:rsidR="00CB05A6">
        <w:rPr>
          <w:rStyle w:val="Heading1Char"/>
          <w:color w:val="auto"/>
          <w:sz w:val="24"/>
          <w:szCs w:val="24"/>
        </w:rPr>
        <w:t>……………………………………………………………………………….7</w:t>
      </w:r>
      <w:bookmarkEnd w:id="29"/>
      <w:r w:rsidR="002F406F">
        <w:rPr>
          <w:rStyle w:val="Heading1Char"/>
          <w:color w:val="auto"/>
          <w:sz w:val="24"/>
          <w:szCs w:val="24"/>
        </w:rPr>
        <w:t>7</w:t>
      </w:r>
    </w:p>
    <w:p w14:paraId="388D962A" w14:textId="77777777" w:rsidR="00CD7DA2" w:rsidRDefault="00CD7DA2" w:rsidP="005142A5">
      <w:pPr>
        <w:pStyle w:val="NoSpacing"/>
        <w:rPr>
          <w:rStyle w:val="Heading1Char"/>
          <w:sz w:val="24"/>
          <w:szCs w:val="24"/>
        </w:rPr>
      </w:pPr>
    </w:p>
    <w:p w14:paraId="21044C69" w14:textId="77777777" w:rsidR="00CD7DA2" w:rsidRDefault="00CD7DA2" w:rsidP="005142A5">
      <w:pPr>
        <w:pStyle w:val="NoSpacing"/>
        <w:rPr>
          <w:rStyle w:val="Heading1Char"/>
          <w:sz w:val="24"/>
          <w:szCs w:val="24"/>
        </w:rPr>
      </w:pPr>
    </w:p>
    <w:p w14:paraId="7E59ABC9" w14:textId="77777777" w:rsidR="00CD7DA2" w:rsidRDefault="00CD7DA2" w:rsidP="005142A5">
      <w:pPr>
        <w:pStyle w:val="NoSpacing"/>
        <w:rPr>
          <w:rStyle w:val="Heading1Char"/>
          <w:sz w:val="24"/>
          <w:szCs w:val="24"/>
        </w:rPr>
      </w:pPr>
    </w:p>
    <w:p w14:paraId="51203BD3" w14:textId="77777777" w:rsidR="00CD7DA2" w:rsidRDefault="00CD7DA2" w:rsidP="00CD7DA2">
      <w:pPr>
        <w:pStyle w:val="Heading3"/>
      </w:pPr>
      <w:bookmarkStart w:id="30" w:name="_Toc101014114"/>
      <w:bookmarkStart w:id="31" w:name="_Toc101636938"/>
      <w:r>
        <w:t>Acknowledgments</w:t>
      </w:r>
      <w:bookmarkEnd w:id="30"/>
      <w:bookmarkEnd w:id="31"/>
    </w:p>
    <w:p w14:paraId="5CA3E697" w14:textId="77777777" w:rsidR="00CD7DA2" w:rsidRPr="002547E6" w:rsidRDefault="00CD7DA2" w:rsidP="00CD7DA2">
      <w:r>
        <w:t xml:space="preserve">I am grateful to the encouragement and support of J. McKim </w:t>
      </w:r>
      <w:proofErr w:type="spellStart"/>
      <w:r>
        <w:t>Malville</w:t>
      </w:r>
      <w:proofErr w:type="spellEnd"/>
      <w:r>
        <w:t xml:space="preserve"> as Dissertation Supervisor, the Sophia Centre’s </w:t>
      </w:r>
      <w:proofErr w:type="spellStart"/>
      <w:r>
        <w:t>Programme</w:t>
      </w:r>
      <w:proofErr w:type="spellEnd"/>
      <w:r>
        <w:t xml:space="preserve"> Director Nicholas Campion and my Dissertation Module Tutor Bernadette Brady. Greg Nunn, Christopher Prentice, and Rory Tyler were invaluable informants. I appreciate the assistance of Tom </w:t>
      </w:r>
      <w:proofErr w:type="spellStart"/>
      <w:r>
        <w:t>Spruil</w:t>
      </w:r>
      <w:proofErr w:type="spellEnd"/>
      <w:r>
        <w:t xml:space="preserve">, Lori Hunsaker, and Kris </w:t>
      </w:r>
      <w:proofErr w:type="spellStart"/>
      <w:r>
        <w:t>Westrum</w:t>
      </w:r>
      <w:proofErr w:type="spellEnd"/>
      <w:r>
        <w:t xml:space="preserve"> in accessing resources. </w:t>
      </w:r>
    </w:p>
    <w:p w14:paraId="558B9FB6" w14:textId="3CF42C70" w:rsidR="00E93703" w:rsidRPr="00E93703" w:rsidRDefault="00E93703" w:rsidP="005142A5">
      <w:pPr>
        <w:pStyle w:val="NoSpacing"/>
        <w:rPr>
          <w:rStyle w:val="Heading1Char"/>
          <w:sz w:val="24"/>
          <w:szCs w:val="24"/>
        </w:rPr>
      </w:pPr>
      <w:r w:rsidRPr="00E93703">
        <w:rPr>
          <w:rStyle w:val="Heading1Char"/>
          <w:sz w:val="24"/>
          <w:szCs w:val="24"/>
        </w:rPr>
        <w:br w:type="page"/>
      </w:r>
    </w:p>
    <w:p w14:paraId="466DAFE6" w14:textId="77777777" w:rsidR="007340EF" w:rsidRDefault="007340EF" w:rsidP="007340EF">
      <w:pPr>
        <w:pStyle w:val="Heading1"/>
        <w:jc w:val="center"/>
        <w:rPr>
          <w:rStyle w:val="Heading1Char"/>
          <w:sz w:val="26"/>
          <w:szCs w:val="26"/>
        </w:rPr>
      </w:pPr>
    </w:p>
    <w:p w14:paraId="25622CBE" w14:textId="319F46D9" w:rsidR="007340EF" w:rsidRDefault="007340EF" w:rsidP="007340EF">
      <w:pPr>
        <w:pStyle w:val="Heading1"/>
        <w:jc w:val="center"/>
        <w:rPr>
          <w:rStyle w:val="Heading1Char"/>
          <w:sz w:val="26"/>
          <w:szCs w:val="26"/>
        </w:rPr>
      </w:pPr>
      <w:bookmarkStart w:id="32" w:name="_Toc101636965"/>
      <w:r>
        <w:rPr>
          <w:rStyle w:val="Heading1Char"/>
          <w:sz w:val="26"/>
          <w:szCs w:val="26"/>
        </w:rPr>
        <w:t>Abstract</w:t>
      </w:r>
      <w:bookmarkEnd w:id="32"/>
    </w:p>
    <w:p w14:paraId="425B4DAA" w14:textId="77777777" w:rsidR="007340EF" w:rsidRDefault="007340EF" w:rsidP="007340EF">
      <w:pPr>
        <w:spacing w:line="240" w:lineRule="auto"/>
      </w:pPr>
      <w:r>
        <w:t xml:space="preserve">This research questions whether the Archaic and prehistoric hunter-gatherer peoples of east central Utah created rock art markers at locations for viewing solstice sunrise and sunset, where first light of dawn and last light of dusk fell on the landscape. Nomadic people required fixed locations to track the turning points of the sun. While the sedentary agriculturalist’s need for calendars and solar tracking is well-established, this research tested the frequency of petroglyphs for viewing solar events to determine a relative value of solstices to hunter-gatherers in an inventory of all the known petroglyphs in the study area. </w:t>
      </w:r>
    </w:p>
    <w:p w14:paraId="43BF4807" w14:textId="1EF46AAD" w:rsidR="007340EF" w:rsidRDefault="007340EF">
      <w:pPr>
        <w:spacing w:line="259" w:lineRule="auto"/>
      </w:pPr>
      <w:r>
        <w:br w:type="page"/>
      </w:r>
    </w:p>
    <w:p w14:paraId="21AD2639" w14:textId="77777777" w:rsidR="007340EF" w:rsidRDefault="007340EF" w:rsidP="007340EF">
      <w:pPr>
        <w:spacing w:line="259" w:lineRule="auto"/>
      </w:pPr>
    </w:p>
    <w:p w14:paraId="1C3B0325" w14:textId="77777777" w:rsidR="007340EF" w:rsidRDefault="007340EF" w:rsidP="007340EF">
      <w:pPr>
        <w:spacing w:line="259" w:lineRule="auto"/>
      </w:pPr>
    </w:p>
    <w:p w14:paraId="2047A6DA" w14:textId="3B5C0DD6" w:rsidR="000F3E19" w:rsidRPr="00FC186B" w:rsidRDefault="000F3E19" w:rsidP="0068455A">
      <w:bookmarkStart w:id="33" w:name="_Toc101636966"/>
      <w:r w:rsidRPr="00D574D6">
        <w:rPr>
          <w:rStyle w:val="Heading1Char"/>
        </w:rPr>
        <w:t>Introduction</w:t>
      </w:r>
      <w:bookmarkEnd w:id="33"/>
    </w:p>
    <w:p w14:paraId="2967C699" w14:textId="5722EC5F" w:rsidR="00230048" w:rsidRPr="00FC186B" w:rsidRDefault="00DC168D" w:rsidP="0068455A">
      <w:r w:rsidRPr="00FC186B">
        <w:t xml:space="preserve">This study </w:t>
      </w:r>
      <w:r w:rsidR="0030350A" w:rsidRPr="00FC186B">
        <w:t>investigate</w:t>
      </w:r>
      <w:r w:rsidR="00DB22C6">
        <w:t>d</w:t>
      </w:r>
      <w:r w:rsidRPr="00FC186B">
        <w:t xml:space="preserve"> whether </w:t>
      </w:r>
      <w:r w:rsidR="00D77BDD" w:rsidRPr="00FC186B">
        <w:t xml:space="preserve">Archaic </w:t>
      </w:r>
      <w:r w:rsidRPr="00FC186B">
        <w:t xml:space="preserve">rock art </w:t>
      </w:r>
      <w:r w:rsidR="00B6225A" w:rsidRPr="00FC186B">
        <w:t xml:space="preserve">of </w:t>
      </w:r>
      <w:r w:rsidRPr="00FC186B">
        <w:t xml:space="preserve">eastern central Utah was </w:t>
      </w:r>
      <w:r w:rsidR="001722E0" w:rsidRPr="00FC186B">
        <w:t>situated to receive first light on the solstice sunrise or last light at solstice sunset</w:t>
      </w:r>
      <w:r w:rsidRPr="00FC186B">
        <w:t xml:space="preserve">. </w:t>
      </w:r>
      <w:r w:rsidR="007F6C91">
        <w:t xml:space="preserve">Clive Ruggles confirmed Alexander Thom’s conclusion that </w:t>
      </w:r>
      <w:r w:rsidR="0030350A" w:rsidRPr="00FC186B">
        <w:t>Stonehenge</w:t>
      </w:r>
      <w:r w:rsidR="007F6C91">
        <w:t xml:space="preserve"> was oriented to solstices.</w:t>
      </w:r>
      <w:r w:rsidR="007F6C91">
        <w:rPr>
          <w:rStyle w:val="FootnoteReference"/>
        </w:rPr>
        <w:footnoteReference w:id="1"/>
      </w:r>
      <w:r w:rsidR="0030350A" w:rsidRPr="00FC186B">
        <w:t xml:space="preserve"> </w:t>
      </w:r>
      <w:r w:rsidR="007F6C91">
        <w:t>Since then other</w:t>
      </w:r>
      <w:r w:rsidR="007F6C91" w:rsidRPr="00FC186B">
        <w:t xml:space="preserve"> megalithic structures</w:t>
      </w:r>
      <w:r w:rsidR="007F6C91">
        <w:t xml:space="preserve"> </w:t>
      </w:r>
      <w:r w:rsidR="00743087">
        <w:t>have been documented to be oriented to solstices in prehistoric</w:t>
      </w:r>
      <w:r w:rsidR="00743087" w:rsidRPr="00FC186B">
        <w:t xml:space="preserve"> </w:t>
      </w:r>
      <w:r w:rsidR="00743087">
        <w:t>agricultural societies by</w:t>
      </w:r>
      <w:r w:rsidR="007F6C91">
        <w:t xml:space="preserve"> </w:t>
      </w:r>
      <w:r w:rsidR="007F6C91" w:rsidRPr="00FC186B">
        <w:t xml:space="preserve"> Robert </w:t>
      </w:r>
      <w:proofErr w:type="spellStart"/>
      <w:r w:rsidR="007F6C91" w:rsidRPr="00FC186B">
        <w:t>Hensey</w:t>
      </w:r>
      <w:proofErr w:type="spellEnd"/>
      <w:r w:rsidR="007F6C91">
        <w:t xml:space="preserve"> </w:t>
      </w:r>
      <w:r w:rsidR="00743087">
        <w:t>at</w:t>
      </w:r>
      <w:r w:rsidR="007F6C91" w:rsidRPr="00FC186B">
        <w:t xml:space="preserve"> </w:t>
      </w:r>
      <w:r w:rsidR="0030350A" w:rsidRPr="00FC186B">
        <w:t>Newgrange</w:t>
      </w:r>
      <w:r w:rsidR="00842221" w:rsidRPr="00FC186B">
        <w:t xml:space="preserve">, </w:t>
      </w:r>
      <w:r w:rsidR="00743087" w:rsidRPr="00FC186B">
        <w:t xml:space="preserve">Tore </w:t>
      </w:r>
      <w:proofErr w:type="spellStart"/>
      <w:r w:rsidR="00743087" w:rsidRPr="00FC186B">
        <w:t>Lomsdalen</w:t>
      </w:r>
      <w:proofErr w:type="spellEnd"/>
      <w:r w:rsidR="00743087">
        <w:t xml:space="preserve"> at</w:t>
      </w:r>
      <w:r w:rsidR="00743087" w:rsidRPr="00FC186B">
        <w:t xml:space="preserve"> </w:t>
      </w:r>
      <w:r w:rsidR="00842221" w:rsidRPr="00FC186B">
        <w:t xml:space="preserve">the </w:t>
      </w:r>
      <w:proofErr w:type="spellStart"/>
      <w:r w:rsidR="00842221" w:rsidRPr="00FC186B">
        <w:t>Mnaj</w:t>
      </w:r>
      <w:r w:rsidR="006142AD" w:rsidRPr="00FC186B">
        <w:t>d</w:t>
      </w:r>
      <w:r w:rsidR="00633F13">
        <w:t>ra</w:t>
      </w:r>
      <w:proofErr w:type="spellEnd"/>
      <w:r w:rsidR="00842221" w:rsidRPr="00FC186B">
        <w:t xml:space="preserve"> temples of Malta</w:t>
      </w:r>
      <w:r w:rsidR="00D341E1">
        <w:t>,</w:t>
      </w:r>
      <w:r w:rsidR="0030350A" w:rsidRPr="00FC186B">
        <w:t xml:space="preserve"> and </w:t>
      </w:r>
      <w:r w:rsidR="00743087" w:rsidRPr="00FC186B">
        <w:t xml:space="preserve">Anthony </w:t>
      </w:r>
      <w:proofErr w:type="spellStart"/>
      <w:r w:rsidR="00743087" w:rsidRPr="00FC186B">
        <w:t>Aveni</w:t>
      </w:r>
      <w:proofErr w:type="spellEnd"/>
      <w:r w:rsidR="00743087" w:rsidRPr="00FC186B">
        <w:t xml:space="preserve"> </w:t>
      </w:r>
      <w:r w:rsidR="009E682E" w:rsidRPr="00FC186B">
        <w:t xml:space="preserve">at </w:t>
      </w:r>
      <w:r w:rsidR="00743087">
        <w:t>Cuzco.</w:t>
      </w:r>
      <w:r w:rsidR="00A20538" w:rsidRPr="00FC186B">
        <w:rPr>
          <w:rStyle w:val="FootnoteReference"/>
        </w:rPr>
        <w:footnoteReference w:id="2"/>
      </w:r>
      <w:r w:rsidR="00842221" w:rsidRPr="00FC186B">
        <w:t xml:space="preserve"> </w:t>
      </w:r>
      <w:proofErr w:type="spellStart"/>
      <w:r w:rsidR="00743087" w:rsidRPr="00FC186B">
        <w:t>Aveni</w:t>
      </w:r>
      <w:proofErr w:type="spellEnd"/>
      <w:r w:rsidR="00743087" w:rsidRPr="00FC186B">
        <w:t>, Gregory Feist, Tom Condit and Gabriel Cooney</w:t>
      </w:r>
      <w:r w:rsidR="00743087">
        <w:t xml:space="preserve"> have argued that</w:t>
      </w:r>
      <w:r w:rsidR="00743087" w:rsidRPr="00FC186B">
        <w:t xml:space="preserve"> emerging agricultural societies </w:t>
      </w:r>
      <w:r w:rsidR="00743087">
        <w:t>need</w:t>
      </w:r>
      <w:r w:rsidR="005426EF">
        <w:t>ed</w:t>
      </w:r>
      <w:r w:rsidR="00743087">
        <w:t xml:space="preserve"> to </w:t>
      </w:r>
      <w:r w:rsidR="00404219" w:rsidRPr="00FC186B">
        <w:t>track solar movements for calendars and pl</w:t>
      </w:r>
      <w:r w:rsidR="00743087">
        <w:t>anting</w:t>
      </w:r>
      <w:r w:rsidR="0076360A" w:rsidRPr="00FC186B">
        <w:t>.</w:t>
      </w:r>
      <w:r w:rsidR="009E75F1" w:rsidRPr="00FC186B">
        <w:rPr>
          <w:rStyle w:val="FootnoteReference"/>
        </w:rPr>
        <w:footnoteReference w:id="3"/>
      </w:r>
      <w:r w:rsidR="006142AD" w:rsidRPr="00FC186B">
        <w:t xml:space="preserve"> </w:t>
      </w:r>
      <w:r w:rsidR="00842221" w:rsidRPr="00FC186B">
        <w:t xml:space="preserve"> </w:t>
      </w:r>
      <w:r w:rsidR="005B5488" w:rsidRPr="00FC186B">
        <w:t>T</w:t>
      </w:r>
      <w:r w:rsidR="00665800" w:rsidRPr="00FC186B">
        <w:t xml:space="preserve">here </w:t>
      </w:r>
      <w:r w:rsidR="005B5488" w:rsidRPr="00FC186B">
        <w:t>are certainly</w:t>
      </w:r>
      <w:r w:rsidR="00665800" w:rsidRPr="00FC186B">
        <w:t xml:space="preserve"> multiple purposes for the placement of Archaic rock art, </w:t>
      </w:r>
      <w:r w:rsidR="005B5488" w:rsidRPr="00FC186B">
        <w:t xml:space="preserve">yet </w:t>
      </w:r>
      <w:r w:rsidR="00665800" w:rsidRPr="00FC186B">
        <w:t xml:space="preserve">the percentage of sites </w:t>
      </w:r>
      <w:r w:rsidR="002905F7">
        <w:t>oriented</w:t>
      </w:r>
      <w:r w:rsidR="005B5488" w:rsidRPr="00FC186B">
        <w:t xml:space="preserve"> to</w:t>
      </w:r>
      <w:r w:rsidR="008D25F7" w:rsidRPr="00FC186B">
        <w:t xml:space="preserve"> solstices</w:t>
      </w:r>
      <w:r w:rsidR="00665800" w:rsidRPr="00FC186B">
        <w:t xml:space="preserve"> </w:t>
      </w:r>
      <w:r w:rsidR="00F7706E" w:rsidRPr="00FC186B">
        <w:t>offer</w:t>
      </w:r>
      <w:r w:rsidR="008D25F7" w:rsidRPr="00FC186B">
        <w:t>s</w:t>
      </w:r>
      <w:r w:rsidR="00F7706E" w:rsidRPr="00FC186B">
        <w:t xml:space="preserve"> insight into the value placed on </w:t>
      </w:r>
      <w:r w:rsidR="001D36F8">
        <w:t>solar</w:t>
      </w:r>
      <w:r w:rsidR="00F7706E" w:rsidRPr="00FC186B">
        <w:t xml:space="preserve"> </w:t>
      </w:r>
      <w:r w:rsidR="001D36F8">
        <w:t>turning points</w:t>
      </w:r>
      <w:r w:rsidR="00F7706E" w:rsidRPr="00FC186B">
        <w:t xml:space="preserve"> by hunters and gathers, for whom Elizabeth and Paul Barber</w:t>
      </w:r>
      <w:r w:rsidR="008643A4" w:rsidRPr="00FC186B">
        <w:t xml:space="preserve"> </w:t>
      </w:r>
      <w:r w:rsidR="00804484" w:rsidRPr="00FC186B">
        <w:t xml:space="preserve">argued </w:t>
      </w:r>
      <w:r w:rsidR="008643A4" w:rsidRPr="00FC186B">
        <w:t>time</w:t>
      </w:r>
      <w:r w:rsidR="00804484" w:rsidRPr="00FC186B">
        <w:t xml:space="preserve"> ‘would be largely</w:t>
      </w:r>
      <w:r w:rsidR="008643A4" w:rsidRPr="00FC186B">
        <w:t xml:space="preserve"> irrelevant’.</w:t>
      </w:r>
      <w:r w:rsidR="008643A4" w:rsidRPr="00FC186B">
        <w:rPr>
          <w:rStyle w:val="FootnoteReference"/>
        </w:rPr>
        <w:footnoteReference w:id="4"/>
      </w:r>
      <w:r w:rsidR="00804484" w:rsidRPr="00FC186B">
        <w:t xml:space="preserve"> </w:t>
      </w:r>
    </w:p>
    <w:p w14:paraId="6E5D2595" w14:textId="6EDFA18A" w:rsidR="00062998" w:rsidRPr="00FC186B" w:rsidRDefault="00B97BCA" w:rsidP="0068455A">
      <w:r w:rsidRPr="00FC186B">
        <w:lastRenderedPageBreak/>
        <w:t>Hunters and gathers</w:t>
      </w:r>
      <w:r w:rsidR="005B5488" w:rsidRPr="00FC186B">
        <w:t>, who</w:t>
      </w:r>
      <w:r w:rsidRPr="00FC186B">
        <w:t xml:space="preserve"> relied on keen observation of their environment for survival</w:t>
      </w:r>
      <w:r w:rsidR="00512005">
        <w:t xml:space="preserve">, according to </w:t>
      </w:r>
      <w:proofErr w:type="spellStart"/>
      <w:r w:rsidR="00512005">
        <w:t>Ekkehart</w:t>
      </w:r>
      <w:proofErr w:type="spellEnd"/>
      <w:r w:rsidR="00512005">
        <w:t xml:space="preserve"> </w:t>
      </w:r>
      <w:proofErr w:type="spellStart"/>
      <w:r w:rsidR="00512005">
        <w:t>Malotki</w:t>
      </w:r>
      <w:proofErr w:type="spellEnd"/>
      <w:r w:rsidR="00F14B67">
        <w:t xml:space="preserve"> and Ellen Dissanayake</w:t>
      </w:r>
      <w:r w:rsidR="00406AA5">
        <w:t>,</w:t>
      </w:r>
      <w:r w:rsidRPr="00FC186B">
        <w:t xml:space="preserve"> </w:t>
      </w:r>
      <w:r w:rsidR="005B5488" w:rsidRPr="00FC186B">
        <w:t>could hardly</w:t>
      </w:r>
      <w:r w:rsidRPr="00FC186B">
        <w:t xml:space="preserve"> </w:t>
      </w:r>
      <w:r w:rsidR="0036422D">
        <w:t xml:space="preserve">have </w:t>
      </w:r>
      <w:r w:rsidRPr="00FC186B">
        <w:t>fail</w:t>
      </w:r>
      <w:r w:rsidR="0036422D">
        <w:t>ed</w:t>
      </w:r>
      <w:r w:rsidRPr="00FC186B">
        <w:t xml:space="preserve"> to notice the seasonal differences in the path of the sun.</w:t>
      </w:r>
      <w:r w:rsidR="00512005">
        <w:rPr>
          <w:rStyle w:val="FootnoteReference"/>
        </w:rPr>
        <w:footnoteReference w:id="5"/>
      </w:r>
      <w:r w:rsidRPr="00FC186B">
        <w:t xml:space="preserve"> To accurately determine whether the sun was at its most northerly or southerly point along the horizon,</w:t>
      </w:r>
      <w:r w:rsidR="00BE642B" w:rsidRPr="00FC186B">
        <w:t xml:space="preserve"> nomadic,</w:t>
      </w:r>
      <w:r w:rsidRPr="00FC186B">
        <w:t xml:space="preserve"> Archaic </w:t>
      </w:r>
      <w:r w:rsidRPr="000E0813">
        <w:t>people needed a reference point</w:t>
      </w:r>
      <w:r w:rsidR="00BE642B" w:rsidRPr="000E0813">
        <w:t xml:space="preserve"> from</w:t>
      </w:r>
      <w:r w:rsidR="00BE642B" w:rsidRPr="00FC186B">
        <w:t xml:space="preserve"> which to view sunrise and sunset</w:t>
      </w:r>
      <w:r w:rsidR="000E0813">
        <w:t>, according to the Barbers</w:t>
      </w:r>
      <w:r w:rsidRPr="00FC186B">
        <w:t>.</w:t>
      </w:r>
      <w:r w:rsidR="000E0813" w:rsidRPr="00293688">
        <w:rPr>
          <w:rStyle w:val="FootnoteReference"/>
        </w:rPr>
        <w:footnoteReference w:id="6"/>
      </w:r>
      <w:r w:rsidR="000E0813" w:rsidRPr="00293688">
        <w:t xml:space="preserve"> </w:t>
      </w:r>
      <w:r w:rsidRPr="00FC186B">
        <w:t xml:space="preserve"> It is proposed that among the simplest and earliest means of establishing a reference point for solstice</w:t>
      </w:r>
      <w:r w:rsidR="00FC658F">
        <w:t>-viewing</w:t>
      </w:r>
      <w:r w:rsidRPr="00FC186B">
        <w:t xml:space="preserve"> was to inscribe the rocks with petroglyphs, where the first light occurred in a landscape. </w:t>
      </w:r>
      <w:r w:rsidR="005426EF">
        <w:t>T</w:t>
      </w:r>
      <w:r w:rsidR="00062998" w:rsidRPr="00FC186B">
        <w:t>he Barbers</w:t>
      </w:r>
      <w:r w:rsidR="005426EF">
        <w:t xml:space="preserve"> contended </w:t>
      </w:r>
      <w:r w:rsidRPr="00FC186B">
        <w:t xml:space="preserve">Archaic people </w:t>
      </w:r>
      <w:r w:rsidR="00062998" w:rsidRPr="00FC186B">
        <w:t>relied on seasonal floral and faunal indicators for their calendrical needs.</w:t>
      </w:r>
      <w:r w:rsidR="00062998" w:rsidRPr="00FC186B">
        <w:rPr>
          <w:rStyle w:val="FootnoteReference"/>
        </w:rPr>
        <w:footnoteReference w:id="7"/>
      </w:r>
      <w:r w:rsidR="00062998" w:rsidRPr="00FC186B">
        <w:t xml:space="preserve"> This research proposes that </w:t>
      </w:r>
      <w:r w:rsidR="00EC6191" w:rsidRPr="00FC186B">
        <w:t>A</w:t>
      </w:r>
      <w:r w:rsidR="00062998" w:rsidRPr="00FC186B">
        <w:t xml:space="preserve">rchaic groups tracked and commemorated solar movements as part of a sacred relationship to the sky rather than a subsistence motivated need for a calendar. The sky realm is featured </w:t>
      </w:r>
      <w:r w:rsidR="00EC6191" w:rsidRPr="00FC186B">
        <w:t xml:space="preserve">as the home of supernatural beings </w:t>
      </w:r>
      <w:r w:rsidR="00062998" w:rsidRPr="00FC186B">
        <w:t xml:space="preserve">in </w:t>
      </w:r>
      <w:r w:rsidR="00EC6191" w:rsidRPr="00FC186B">
        <w:t>many Native American</w:t>
      </w:r>
      <w:r w:rsidR="00062998" w:rsidRPr="00FC186B">
        <w:t xml:space="preserve"> cosmologies </w:t>
      </w:r>
      <w:r w:rsidR="00EC6191" w:rsidRPr="00FC186B">
        <w:t>including</w:t>
      </w:r>
      <w:r w:rsidR="00062998" w:rsidRPr="00FC186B">
        <w:t xml:space="preserve"> the Chumash of California, the Iroquois of New York, the Pawnee of Nebraska, Osage of Arkansas and Missouri, Muskogee in Florida, and Classic Mayan myths, </w:t>
      </w:r>
      <w:r w:rsidRPr="00FC186B">
        <w:t>according to</w:t>
      </w:r>
      <w:r w:rsidR="00062998" w:rsidRPr="00FC186B">
        <w:t xml:space="preserve"> George Sabo III and Jan F. </w:t>
      </w:r>
      <w:proofErr w:type="spellStart"/>
      <w:r w:rsidR="00062998" w:rsidRPr="00FC186B">
        <w:t>Simek</w:t>
      </w:r>
      <w:proofErr w:type="spellEnd"/>
      <w:r w:rsidR="00062998" w:rsidRPr="00FC186B">
        <w:rPr>
          <w:rStyle w:val="FootnoteReference"/>
        </w:rPr>
        <w:t xml:space="preserve"> </w:t>
      </w:r>
      <w:r w:rsidR="00062998" w:rsidRPr="00FC186B">
        <w:t>.</w:t>
      </w:r>
      <w:r w:rsidR="00062998" w:rsidRPr="00FC186B">
        <w:rPr>
          <w:rStyle w:val="FootnoteReference"/>
        </w:rPr>
        <w:footnoteReference w:id="8"/>
      </w:r>
      <w:r w:rsidR="00062998" w:rsidRPr="00FC186B">
        <w:t xml:space="preserve"> While no ethnologies ha</w:t>
      </w:r>
      <w:r w:rsidRPr="00FC186B">
        <w:t>ve</w:t>
      </w:r>
      <w:r w:rsidR="00062998" w:rsidRPr="00FC186B">
        <w:t xml:space="preserve"> survived from the </w:t>
      </w:r>
      <w:r w:rsidR="005426EF">
        <w:t>d</w:t>
      </w:r>
      <w:r w:rsidR="00062998" w:rsidRPr="00FC186B">
        <w:t xml:space="preserve">esert Archaic </w:t>
      </w:r>
      <w:r w:rsidR="00633F13">
        <w:t>people who</w:t>
      </w:r>
      <w:r w:rsidR="00062998" w:rsidRPr="00FC186B">
        <w:t xml:space="preserve"> once occupied the study area, </w:t>
      </w:r>
      <w:r w:rsidR="004D631D">
        <w:t>an abundance of sky beings in myth</w:t>
      </w:r>
      <w:r w:rsidR="00062998" w:rsidRPr="00FC186B">
        <w:t xml:space="preserve"> across Native American peoples </w:t>
      </w:r>
      <w:r w:rsidR="00BB5E3C">
        <w:t xml:space="preserve">indicate </w:t>
      </w:r>
      <w:r w:rsidR="00062998" w:rsidRPr="00FC186B">
        <w:t xml:space="preserve">the sky was sacred to their ancestors. </w:t>
      </w:r>
    </w:p>
    <w:p w14:paraId="18A7D980" w14:textId="6938C3F7" w:rsidR="00C414FF" w:rsidRPr="00FC186B" w:rsidRDefault="00C414FF" w:rsidP="0068455A">
      <w:pPr>
        <w:pStyle w:val="Heading1"/>
      </w:pPr>
      <w:bookmarkStart w:id="34" w:name="_Toc101636967"/>
      <w:r w:rsidRPr="00FC186B">
        <w:lastRenderedPageBreak/>
        <w:t xml:space="preserve">The </w:t>
      </w:r>
      <w:r w:rsidR="0036422D">
        <w:t>Study</w:t>
      </w:r>
      <w:r w:rsidRPr="00FC186B">
        <w:t xml:space="preserve"> Area</w:t>
      </w:r>
      <w:bookmarkEnd w:id="34"/>
    </w:p>
    <w:p w14:paraId="7A4FB480" w14:textId="66139D35" w:rsidR="00C414FF" w:rsidRPr="00FC186B" w:rsidRDefault="00C414FF" w:rsidP="0068455A">
      <w:r w:rsidRPr="00FC186B">
        <w:t>This section</w:t>
      </w:r>
      <w:r w:rsidR="006F1359" w:rsidRPr="00FC186B">
        <w:t xml:space="preserve"> begins with</w:t>
      </w:r>
      <w:r w:rsidRPr="00FC186B">
        <w:t xml:space="preserve"> </w:t>
      </w:r>
      <w:r w:rsidR="006F1359" w:rsidRPr="00FC186B">
        <w:t>the</w:t>
      </w:r>
      <w:r w:rsidR="003742F7" w:rsidRPr="00FC186B">
        <w:t xml:space="preserve"> </w:t>
      </w:r>
      <w:r w:rsidRPr="00FC186B">
        <w:t>geolog</w:t>
      </w:r>
      <w:r w:rsidR="00633F13">
        <w:t>y</w:t>
      </w:r>
      <w:r w:rsidR="003742F7" w:rsidRPr="00FC186B">
        <w:t xml:space="preserve"> of the </w:t>
      </w:r>
      <w:r w:rsidR="0036422D">
        <w:t>study</w:t>
      </w:r>
      <w:r w:rsidR="003742F7" w:rsidRPr="00FC186B">
        <w:t xml:space="preserve"> area</w:t>
      </w:r>
      <w:r w:rsidR="00BB5E3C">
        <w:t xml:space="preserve">, including its </w:t>
      </w:r>
      <w:r w:rsidR="006F1359" w:rsidRPr="00FC186B">
        <w:t>impact on</w:t>
      </w:r>
      <w:r w:rsidR="003742F7" w:rsidRPr="00FC186B">
        <w:t xml:space="preserve"> people </w:t>
      </w:r>
      <w:r w:rsidR="00633F13">
        <w:t>who</w:t>
      </w:r>
      <w:r w:rsidR="003742F7" w:rsidRPr="00FC186B">
        <w:t xml:space="preserve"> inhabited it</w:t>
      </w:r>
      <w:r w:rsidR="006F1359" w:rsidRPr="00FC186B">
        <w:t xml:space="preserve"> and their rock art</w:t>
      </w:r>
      <w:r w:rsidRPr="00FC186B">
        <w:t xml:space="preserve">, </w:t>
      </w:r>
      <w:r w:rsidR="003742F7" w:rsidRPr="00FC186B">
        <w:t xml:space="preserve">followed by the </w:t>
      </w:r>
      <w:r w:rsidRPr="00FC186B">
        <w:t xml:space="preserve">geographic </w:t>
      </w:r>
      <w:r w:rsidR="003742F7" w:rsidRPr="00FC186B">
        <w:t xml:space="preserve">influences </w:t>
      </w:r>
      <w:r w:rsidRPr="00FC186B">
        <w:t xml:space="preserve">and </w:t>
      </w:r>
      <w:r w:rsidR="0036422D">
        <w:t xml:space="preserve">the </w:t>
      </w:r>
      <w:r w:rsidRPr="00FC186B">
        <w:t>cultural history.</w:t>
      </w:r>
    </w:p>
    <w:p w14:paraId="5ECC8AC2" w14:textId="2B753B5B" w:rsidR="00C414FF" w:rsidRPr="00FC186B" w:rsidRDefault="00C414FF" w:rsidP="0068455A">
      <w:r w:rsidRPr="00FC186B">
        <w:t xml:space="preserve">The </w:t>
      </w:r>
      <w:r w:rsidR="0036422D">
        <w:t>study</w:t>
      </w:r>
      <w:r w:rsidRPr="00FC186B">
        <w:t xml:space="preserve"> area lies in east </w:t>
      </w:r>
      <w:r w:rsidR="005426EF">
        <w:t xml:space="preserve">central </w:t>
      </w:r>
      <w:r w:rsidRPr="00FC186B">
        <w:t xml:space="preserve">Utah, centered around Delicate Arch in Arches National Park with a radius of 35 </w:t>
      </w:r>
      <w:r w:rsidR="006E30C7">
        <w:t>km</w:t>
      </w:r>
      <w:r w:rsidRPr="00FC186B">
        <w:t>, covering 3848 km</w:t>
      </w:r>
      <w:r w:rsidRPr="00FC186B">
        <w:rPr>
          <w:vertAlign w:val="superscript"/>
        </w:rPr>
        <w:t>2</w:t>
      </w:r>
      <w:r w:rsidRPr="00FC186B">
        <w:t>, including the towns of Moab, Castle Valley, and Thompson Springs. The Colorado River bisects the study area, from the Dolores River confluence to the west end of H</w:t>
      </w:r>
      <w:r w:rsidR="002905F7">
        <w:t xml:space="preserve">ighway </w:t>
      </w:r>
      <w:r w:rsidRPr="00FC186B">
        <w:t xml:space="preserve">279. Thompson Springs and Pack Creek are the north and south perimeters, respectively. Arches National Park lies completely within the study area, as do the Millcreek Wilderness Study Area (WSA), Behind the Rocks WSA, Negro Bill Canyon WSA, and Lost Springs Canyon WSA. The northwestern half of the La Sal </w:t>
      </w:r>
      <w:r w:rsidR="00633F13">
        <w:t>M</w:t>
      </w:r>
      <w:r w:rsidRPr="00FC186B">
        <w:t xml:space="preserve">ountains in the Manti-La Sal National Forest is </w:t>
      </w:r>
      <w:r w:rsidR="002905F7">
        <w:t>with</w:t>
      </w:r>
      <w:r w:rsidRPr="00FC186B">
        <w:t xml:space="preserve">in the </w:t>
      </w:r>
      <w:r w:rsidR="0036422D">
        <w:t>study</w:t>
      </w:r>
      <w:r w:rsidR="002905F7">
        <w:t xml:space="preserve"> area</w:t>
      </w:r>
      <w:r w:rsidRPr="00FC186B">
        <w:t xml:space="preserve">, while a large portion of the remaining lands are under management of the Bureau of Land Management (BLM). Most of the study area is in Grand County, although </w:t>
      </w:r>
      <w:r w:rsidR="00633F13">
        <w:t xml:space="preserve">some </w:t>
      </w:r>
      <w:r w:rsidRPr="00FC186B">
        <w:t xml:space="preserve">sites at the southern end are in San Juan County. Grand County is 87% public </w:t>
      </w:r>
      <w:r w:rsidR="000504ED" w:rsidRPr="00FC186B">
        <w:t>land,</w:t>
      </w:r>
      <w:r w:rsidRPr="00FC186B">
        <w:t xml:space="preserve"> and the study area is representative of that distribution.</w:t>
      </w:r>
      <w:r w:rsidRPr="00FC186B">
        <w:rPr>
          <w:rStyle w:val="FootnoteReference"/>
        </w:rPr>
        <w:footnoteReference w:id="9"/>
      </w:r>
    </w:p>
    <w:p w14:paraId="4A16C543" w14:textId="77777777" w:rsidR="0051703A" w:rsidRDefault="00C414FF" w:rsidP="0051703A">
      <w:r w:rsidRPr="00FC186B">
        <w:t>The surface geology of the study area ranges from Cretaceous Mancos Shale to the Pennsylvanian limestone and Paradox salt layer</w:t>
      </w:r>
      <w:r w:rsidR="006F1359" w:rsidRPr="00FC186B">
        <w:t>,</w:t>
      </w:r>
      <w:r w:rsidRPr="00FC186B">
        <w:t xml:space="preserve"> according to </w:t>
      </w:r>
      <w:proofErr w:type="spellStart"/>
      <w:r w:rsidRPr="00FC186B">
        <w:t>Hellmut</w:t>
      </w:r>
      <w:proofErr w:type="spellEnd"/>
      <w:r w:rsidRPr="00FC186B">
        <w:t xml:space="preserve"> </w:t>
      </w:r>
      <w:proofErr w:type="spellStart"/>
      <w:r w:rsidRPr="00FC186B">
        <w:t>Doelling</w:t>
      </w:r>
      <w:proofErr w:type="spellEnd"/>
      <w:r w:rsidRPr="00FC186B">
        <w:t>.</w:t>
      </w:r>
      <w:r w:rsidRPr="00FC186B">
        <w:rPr>
          <w:rStyle w:val="FootnoteReference"/>
        </w:rPr>
        <w:footnoteReference w:id="10"/>
      </w:r>
      <w:r w:rsidRPr="00FC186B">
        <w:t xml:space="preserve">  Entrada </w:t>
      </w:r>
      <w:r w:rsidRPr="00FC186B">
        <w:lastRenderedPageBreak/>
        <w:t>and Navaho sandstone (Jurassic) form</w:t>
      </w:r>
      <w:r w:rsidR="00173175">
        <w:t>ed</w:t>
      </w:r>
      <w:r w:rsidRPr="00FC186B">
        <w:t xml:space="preserve"> the iconic fins and arches of Arches National Park</w:t>
      </w:r>
      <w:r w:rsidR="00B428E8">
        <w:t xml:space="preserve"> and </w:t>
      </w:r>
      <w:r w:rsidR="00EF5DC4">
        <w:t>u</w:t>
      </w:r>
      <w:r w:rsidR="00EF5DC4" w:rsidRPr="00FC186B">
        <w:t xml:space="preserve">biquitous Wingate Sandstone cliffs (Triassic) </w:t>
      </w:r>
      <w:r w:rsidR="00EF5DC4">
        <w:t>have eroded into a maze of high-walled canyons</w:t>
      </w:r>
      <w:r w:rsidR="00EF5DC4" w:rsidRPr="00FC186B">
        <w:t xml:space="preserve">, </w:t>
      </w:r>
      <w:r w:rsidR="00EF5DC4">
        <w:t>mesas and buttes</w:t>
      </w:r>
      <w:r w:rsidR="00EF5DC4" w:rsidRPr="00FC186B">
        <w:t xml:space="preserve"> </w:t>
      </w:r>
      <w:r w:rsidR="00EF5DC4">
        <w:t>in</w:t>
      </w:r>
      <w:r w:rsidR="00EF5DC4" w:rsidRPr="00FC186B">
        <w:t xml:space="preserve"> </w:t>
      </w:r>
      <w:r w:rsidR="00B428E8">
        <w:t xml:space="preserve">the surrounding </w:t>
      </w:r>
      <w:r w:rsidR="002905F7">
        <w:t>C</w:t>
      </w:r>
      <w:r w:rsidR="00B428E8">
        <w:t xml:space="preserve">anyonlands, </w:t>
      </w:r>
      <w:r w:rsidRPr="00FC186B">
        <w:t xml:space="preserve">according to </w:t>
      </w:r>
      <w:proofErr w:type="spellStart"/>
      <w:r w:rsidRPr="00FC186B">
        <w:t>Doelling</w:t>
      </w:r>
      <w:proofErr w:type="spellEnd"/>
      <w:r w:rsidR="006F1359" w:rsidRPr="00FC186B">
        <w:t>.</w:t>
      </w:r>
      <w:r w:rsidR="006F1359" w:rsidRPr="00FC186B">
        <w:rPr>
          <w:rStyle w:val="FootnoteReference"/>
        </w:rPr>
        <w:footnoteReference w:id="11"/>
      </w:r>
      <w:r w:rsidRPr="00FC186B">
        <w:t xml:space="preserve"> </w:t>
      </w:r>
      <w:r w:rsidR="006F1359" w:rsidRPr="00FC186B">
        <w:t xml:space="preserve">These sandstones </w:t>
      </w:r>
      <w:r w:rsidRPr="00FC186B">
        <w:t>have manganese and iron oxides, which interact with rainwater to form a dark patina called ‘desert varnish’, which was the preferred canvas for petroglyphs</w:t>
      </w:r>
      <w:r w:rsidR="00B428E8">
        <w:t xml:space="preserve"> in the Southwest</w:t>
      </w:r>
      <w:r w:rsidRPr="00FC186B">
        <w:t xml:space="preserve">, according to </w:t>
      </w:r>
      <w:r w:rsidR="00B428E8">
        <w:t xml:space="preserve">Sally </w:t>
      </w:r>
      <w:r w:rsidRPr="00FC186B">
        <w:t>Cole.</w:t>
      </w:r>
      <w:r w:rsidRPr="00FC186B">
        <w:rPr>
          <w:rStyle w:val="FootnoteReference"/>
        </w:rPr>
        <w:footnoteReference w:id="12"/>
      </w:r>
      <w:r w:rsidRPr="00FC186B">
        <w:t xml:space="preserve"> Basalt was occasionally pecked with petroglyphs, where it remains from laccolithic volcanic intrusions like the La Sal Mountains. Suitable surfaces for rock art are abundant in the </w:t>
      </w:r>
      <w:r w:rsidR="0036422D">
        <w:t>study</w:t>
      </w:r>
      <w:r w:rsidRPr="00FC186B">
        <w:t xml:space="preserve"> area and </w:t>
      </w:r>
      <w:r w:rsidR="006F1359" w:rsidRPr="00FC186B">
        <w:t xml:space="preserve">the </w:t>
      </w:r>
      <w:r w:rsidRPr="00FC186B">
        <w:t>choice of canvas is unlikely to have determined the location of rock art.</w:t>
      </w:r>
    </w:p>
    <w:p w14:paraId="7A7528B1" w14:textId="65D90EEB" w:rsidR="000A7AF0" w:rsidRDefault="00C414FF" w:rsidP="0051703A">
      <w:pPr>
        <w:rPr>
          <w:noProof/>
        </w:rPr>
      </w:pPr>
      <w:r w:rsidRPr="00FC186B">
        <w:t xml:space="preserve">The second geological factor influencing the research question is the orientation of many of the large features of the landscape. The Paradox Formation is a soft semi-fluid </w:t>
      </w:r>
      <w:r w:rsidR="00FC658F">
        <w:t xml:space="preserve">subterranean </w:t>
      </w:r>
      <w:r w:rsidRPr="00FC186B">
        <w:t>salt layer up to 4250 m thick</w:t>
      </w:r>
      <w:r w:rsidR="006F1359" w:rsidRPr="00FC186B">
        <w:t>,</w:t>
      </w:r>
      <w:r w:rsidRPr="00FC186B">
        <w:t xml:space="preserve"> which created collapsed salt dome</w:t>
      </w:r>
      <w:r w:rsidR="00C30569">
        <w:t xml:space="preserve"> valleys</w:t>
      </w:r>
      <w:r w:rsidRPr="00FC186B">
        <w:t xml:space="preserve"> </w:t>
      </w:r>
      <w:r w:rsidR="00C30569">
        <w:t>lying</w:t>
      </w:r>
      <w:r w:rsidRPr="00FC186B">
        <w:t xml:space="preserve"> along the southeast to northwest axis, as do local fault lines</w:t>
      </w:r>
      <w:r w:rsidR="006F1359" w:rsidRPr="00FC186B">
        <w:t xml:space="preserve">, </w:t>
      </w:r>
      <w:r w:rsidR="00B428E8">
        <w:t xml:space="preserve">according to </w:t>
      </w:r>
      <w:proofErr w:type="spellStart"/>
      <w:r w:rsidR="00B428E8" w:rsidRPr="00FC186B">
        <w:t>Doelling</w:t>
      </w:r>
      <w:proofErr w:type="spellEnd"/>
      <w:r w:rsidRPr="00FC186B">
        <w:t>.</w:t>
      </w:r>
      <w:r w:rsidRPr="00FC186B">
        <w:rPr>
          <w:rStyle w:val="FootnoteReference"/>
        </w:rPr>
        <w:footnoteReference w:id="13"/>
      </w:r>
      <w:r w:rsidRPr="00FC186B">
        <w:t xml:space="preserve"> The </w:t>
      </w:r>
      <w:r w:rsidR="00C30569">
        <w:t xml:space="preserve">long </w:t>
      </w:r>
      <w:r w:rsidRPr="00FC186B">
        <w:t xml:space="preserve">salt valleys have high walls to the northeast and southwest, but low horizons in the southeast and northwest, predisposing local skyscapes to winter solstice sunrise and summer solstice sunset views. </w:t>
      </w:r>
      <w:r w:rsidR="00B428E8">
        <w:t>See Figure 1.</w:t>
      </w:r>
      <w:r w:rsidR="002B30ED" w:rsidRPr="002B30ED">
        <w:rPr>
          <w:noProof/>
        </w:rPr>
        <w:t xml:space="preserve"> </w:t>
      </w:r>
    </w:p>
    <w:p w14:paraId="78CB8CD7" w14:textId="33E71236" w:rsidR="00F839F3" w:rsidRDefault="00F839F3" w:rsidP="0051703A">
      <w:pPr>
        <w:rPr>
          <w:noProof/>
        </w:rPr>
      </w:pPr>
      <w:r w:rsidRPr="00FC186B">
        <w:t>Geography also played a key role in the cultural development of the study area. The intrusion of the La Sal Mountains (max. 3879 m) amongst the deep canyons and sage plains (1160 m) added multiple zones of vegetation, which early hunter-gathers were able to</w:t>
      </w:r>
    </w:p>
    <w:p w14:paraId="6A1FAB61" w14:textId="62B8B102" w:rsidR="00F839F3" w:rsidRPr="00D9622D" w:rsidRDefault="00F839F3" w:rsidP="00F839F3">
      <w:pPr>
        <w:pStyle w:val="Caption"/>
      </w:pPr>
      <w:r w:rsidRPr="00D9622D">
        <w:rPr>
          <w:b/>
          <w:bCs/>
        </w:rPr>
        <w:lastRenderedPageBreak/>
        <w:t xml:space="preserve">Figure </w:t>
      </w:r>
      <w:r w:rsidRPr="00D9622D">
        <w:rPr>
          <w:b/>
          <w:bCs/>
        </w:rPr>
        <w:fldChar w:fldCharType="begin"/>
      </w:r>
      <w:r w:rsidRPr="00D9622D">
        <w:rPr>
          <w:b/>
          <w:bCs/>
        </w:rPr>
        <w:instrText xml:space="preserve"> SEQ Figure \* ARABIC </w:instrText>
      </w:r>
      <w:r w:rsidRPr="00D9622D">
        <w:rPr>
          <w:b/>
          <w:bCs/>
        </w:rPr>
        <w:fldChar w:fldCharType="separate"/>
      </w:r>
      <w:r w:rsidR="00F8376C">
        <w:rPr>
          <w:b/>
          <w:bCs/>
          <w:noProof/>
        </w:rPr>
        <w:t>1</w:t>
      </w:r>
      <w:r w:rsidRPr="00D9622D">
        <w:rPr>
          <w:b/>
          <w:bCs/>
        </w:rPr>
        <w:fldChar w:fldCharType="end"/>
      </w:r>
      <w:r w:rsidRPr="00D9622D">
        <w:t xml:space="preserve"> Map of the region includes black fault lines, stippled salt valleys, black areas of laccolithic mountains. The study area is outlined by the blue circle. Map: Utah Geological and Mineral Survey, 1985.</w:t>
      </w:r>
    </w:p>
    <w:p w14:paraId="469B1CD7" w14:textId="46AE1A08" w:rsidR="004D6393" w:rsidRDefault="00F839F3" w:rsidP="004D6393">
      <w:pPr>
        <w:keepLines/>
        <w:rPr>
          <w:noProof/>
        </w:rPr>
      </w:pPr>
      <w:r w:rsidRPr="00D9622D">
        <w:rPr>
          <w:b/>
          <w:bCs/>
          <w:noProof/>
        </w:rPr>
        <w:drawing>
          <wp:anchor distT="0" distB="0" distL="114300" distR="114300" simplePos="0" relativeHeight="251665408" behindDoc="0" locked="0" layoutInCell="1" allowOverlap="1" wp14:anchorId="59479753" wp14:editId="20297F46">
            <wp:simplePos x="0" y="0"/>
            <wp:positionH relativeFrom="margin">
              <wp:align>left</wp:align>
            </wp:positionH>
            <wp:positionV relativeFrom="margin">
              <wp:align>top</wp:align>
            </wp:positionV>
            <wp:extent cx="5390515" cy="6358255"/>
            <wp:effectExtent l="0" t="0" r="635" b="4445"/>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0515" cy="6358255"/>
                    </a:xfrm>
                    <a:prstGeom prst="rect">
                      <a:avLst/>
                    </a:prstGeom>
                  </pic:spPr>
                </pic:pic>
              </a:graphicData>
            </a:graphic>
            <wp14:sizeRelH relativeFrom="margin">
              <wp14:pctWidth>0</wp14:pctWidth>
            </wp14:sizeRelH>
            <wp14:sizeRelV relativeFrom="margin">
              <wp14:pctHeight>0</wp14:pctHeight>
            </wp14:sizeRelV>
          </wp:anchor>
        </w:drawing>
      </w:r>
    </w:p>
    <w:p w14:paraId="711FC856" w14:textId="7581E912" w:rsidR="00EF5DC4" w:rsidRDefault="00EF5DC4" w:rsidP="0068455A">
      <w:pPr>
        <w:rPr>
          <w:noProof/>
        </w:rPr>
      </w:pPr>
    </w:p>
    <w:p w14:paraId="5D738A08" w14:textId="32CEE82F" w:rsidR="00FC289A" w:rsidRDefault="00FC289A" w:rsidP="0068455A"/>
    <w:p w14:paraId="1B67A435" w14:textId="4C875297" w:rsidR="00A6160E" w:rsidRDefault="00C414FF" w:rsidP="0068455A">
      <w:r w:rsidRPr="00FC186B">
        <w:lastRenderedPageBreak/>
        <w:t>exploit</w:t>
      </w:r>
      <w:r w:rsidR="008E4B76">
        <w:t>, according to Jesse Jennings</w:t>
      </w:r>
      <w:r w:rsidRPr="00FC186B">
        <w:t>.</w:t>
      </w:r>
      <w:r w:rsidRPr="00FC186B">
        <w:rPr>
          <w:rStyle w:val="FootnoteReference"/>
        </w:rPr>
        <w:footnoteReference w:id="14"/>
      </w:r>
      <w:r w:rsidRPr="00FC186B">
        <w:t xml:space="preserve"> Annual precipitation on the slopes of the </w:t>
      </w:r>
      <w:r w:rsidR="0065282B">
        <w:t xml:space="preserve">La </w:t>
      </w:r>
      <w:r w:rsidRPr="00FC186B">
        <w:t>Sal</w:t>
      </w:r>
      <w:r w:rsidR="0065282B">
        <w:t xml:space="preserve"> mountains </w:t>
      </w:r>
      <w:r w:rsidRPr="00FC186B">
        <w:t>is over 1000 mm/yr., going down to 222 mm/yr. in Arches National Park.</w:t>
      </w:r>
      <w:r w:rsidRPr="00FC186B">
        <w:rPr>
          <w:rStyle w:val="FootnoteReference"/>
        </w:rPr>
        <w:footnoteReference w:id="15"/>
      </w:r>
      <w:r w:rsidRPr="00FC186B">
        <w:t xml:space="preserve"> </w:t>
      </w:r>
      <w:r w:rsidR="00124399">
        <w:t xml:space="preserve">Native American sites and rock art are found along the </w:t>
      </w:r>
      <w:r w:rsidR="00A6160E">
        <w:t xml:space="preserve">Colorado River </w:t>
      </w:r>
      <w:r w:rsidR="00124399">
        <w:t xml:space="preserve">and </w:t>
      </w:r>
      <w:r w:rsidR="00454FF7">
        <w:t>its tributaries</w:t>
      </w:r>
      <w:r w:rsidR="00124399">
        <w:t xml:space="preserve">, where there is enough water to support a diverse </w:t>
      </w:r>
      <w:r w:rsidR="00BC768F">
        <w:t>ecosystem</w:t>
      </w:r>
      <w:r w:rsidR="00925D53">
        <w:t>, while the surrounding high desert shrubland was sparsely inhabited. Much of the study area is Canyonlands formed of wind and rain sculpted stone deeply incised into canyons, mesas</w:t>
      </w:r>
      <w:r w:rsidR="00E17B95">
        <w:t>,</w:t>
      </w:r>
      <w:r w:rsidR="00925D53">
        <w:t xml:space="preserve"> and fins forming barriers to travel that have left the region isolated.</w:t>
      </w:r>
    </w:p>
    <w:p w14:paraId="6032FA79" w14:textId="026290B5" w:rsidR="00BB5DDC" w:rsidRDefault="00BB5DDC" w:rsidP="00BB5DDC">
      <w:pPr>
        <w:pStyle w:val="Heading2"/>
      </w:pPr>
      <w:bookmarkStart w:id="35" w:name="_Toc101636968"/>
      <w:r>
        <w:t>Cultural Prehistory</w:t>
      </w:r>
      <w:bookmarkEnd w:id="35"/>
    </w:p>
    <w:p w14:paraId="1A562AF3" w14:textId="5CE019CE" w:rsidR="0051703A" w:rsidRPr="0051703A" w:rsidRDefault="0051703A" w:rsidP="0051703A">
      <w:r>
        <w:t xml:space="preserve">The cultural prehistory of the study area began with </w:t>
      </w:r>
      <w:r w:rsidR="003B56FF">
        <w:t>Paleo-Indians</w:t>
      </w:r>
      <w:r>
        <w:t xml:space="preserve"> </w:t>
      </w:r>
      <w:r w:rsidR="003D2C07">
        <w:t>around</w:t>
      </w:r>
      <w:r>
        <w:t xml:space="preserve"> 10,000 BCE, who adapted to environmental conditions</w:t>
      </w:r>
      <w:r w:rsidR="00DB6005">
        <w:t xml:space="preserve"> </w:t>
      </w:r>
      <w:r>
        <w:t>by developing Archaic cultures and lifestyles which persisted among various groups int</w:t>
      </w:r>
      <w:r w:rsidR="00AE3284">
        <w:t>o</w:t>
      </w:r>
      <w:r>
        <w:t xml:space="preserve"> historic times</w:t>
      </w:r>
      <w:r w:rsidR="00AE3284">
        <w:t xml:space="preserve">. Incursions of sedentary agriculturalists from the south were sparse during the Pueblo II expansion and the dated evidence in the study region is limited to several centuries from </w:t>
      </w:r>
      <w:r w:rsidR="003D2C07">
        <w:t xml:space="preserve">around </w:t>
      </w:r>
      <w:r w:rsidR="00AE3284">
        <w:t>900-1</w:t>
      </w:r>
      <w:r w:rsidR="00DD3661">
        <w:t>150</w:t>
      </w:r>
      <w:r w:rsidR="00AE3284">
        <w:t xml:space="preserve"> CE.</w:t>
      </w:r>
    </w:p>
    <w:p w14:paraId="6785683B" w14:textId="218420C9" w:rsidR="00BB5DDC" w:rsidRPr="00BB5DDC" w:rsidRDefault="00BB5DDC" w:rsidP="00BB5DDC">
      <w:pPr>
        <w:pStyle w:val="Heading3"/>
      </w:pPr>
      <w:bookmarkStart w:id="36" w:name="_Toc101636969"/>
      <w:r>
        <w:t>Paleo-Indians</w:t>
      </w:r>
      <w:bookmarkEnd w:id="36"/>
    </w:p>
    <w:p w14:paraId="337E8A02" w14:textId="0C1AEAEC" w:rsidR="007F480B" w:rsidRPr="00FC186B" w:rsidRDefault="008E4B76" w:rsidP="0068455A">
      <w:r>
        <w:t>David Stuart assessed that d</w:t>
      </w:r>
      <w:r w:rsidR="00C414FF" w:rsidRPr="00FC186B">
        <w:t>uring Paleolithic times</w:t>
      </w:r>
      <w:r w:rsidR="003F2B6B" w:rsidRPr="00FC186B">
        <w:t>, from</w:t>
      </w:r>
      <w:r w:rsidR="00C414FF" w:rsidRPr="00FC186B">
        <w:t xml:space="preserve"> </w:t>
      </w:r>
      <w:r w:rsidR="003F2B6B" w:rsidRPr="00FC186B">
        <w:t>10,000 – 5,000</w:t>
      </w:r>
      <w:r w:rsidR="00C414FF" w:rsidRPr="00FC186B">
        <w:t xml:space="preserve"> BCE, Utah </w:t>
      </w:r>
      <w:r>
        <w:t>was</w:t>
      </w:r>
      <w:r w:rsidR="00C414FF" w:rsidRPr="00FC186B">
        <w:t xml:space="preserve"> inhabited by Paleo-Indians who hunted megafauna, including mammoths</w:t>
      </w:r>
      <w:r w:rsidR="003F2B6B" w:rsidRPr="00FC186B">
        <w:t>,</w:t>
      </w:r>
      <w:r w:rsidR="00C414FF" w:rsidRPr="00FC186B">
        <w:t xml:space="preserve"> with Clovis</w:t>
      </w:r>
      <w:r w:rsidR="003F2B6B" w:rsidRPr="00FC186B">
        <w:t xml:space="preserve"> </w:t>
      </w:r>
      <w:r w:rsidR="00C414FF" w:rsidRPr="00FC186B">
        <w:t>spears.</w:t>
      </w:r>
      <w:r w:rsidR="003F2B6B" w:rsidRPr="00FC186B">
        <w:rPr>
          <w:rStyle w:val="FootnoteReference"/>
        </w:rPr>
        <w:footnoteReference w:id="16"/>
      </w:r>
      <w:r w:rsidR="00C414FF" w:rsidRPr="00FC186B">
        <w:t xml:space="preserve"> </w:t>
      </w:r>
      <w:r w:rsidR="00187EF5">
        <w:t xml:space="preserve">According to Mary </w:t>
      </w:r>
      <w:proofErr w:type="spellStart"/>
      <w:r w:rsidR="00187EF5">
        <w:t>Prasciunas</w:t>
      </w:r>
      <w:proofErr w:type="spellEnd"/>
      <w:r w:rsidR="00187EF5">
        <w:t xml:space="preserve">, Clovis points </w:t>
      </w:r>
      <w:r w:rsidR="00B46EF7">
        <w:t>were</w:t>
      </w:r>
      <w:r w:rsidR="00187EF5">
        <w:t xml:space="preserve"> found across all the southern </w:t>
      </w:r>
      <w:r w:rsidR="00187EF5">
        <w:lastRenderedPageBreak/>
        <w:t>states</w:t>
      </w:r>
      <w:r w:rsidR="00B46EF7">
        <w:t xml:space="preserve"> (excluding California)</w:t>
      </w:r>
      <w:r w:rsidR="00187EF5">
        <w:t>, including all of Utah.</w:t>
      </w:r>
      <w:r w:rsidR="00187EF5">
        <w:rPr>
          <w:rStyle w:val="FootnoteReference"/>
        </w:rPr>
        <w:footnoteReference w:id="17"/>
      </w:r>
      <w:r w:rsidR="00187EF5">
        <w:t xml:space="preserve"> </w:t>
      </w:r>
      <w:r w:rsidR="00E231D3">
        <w:t xml:space="preserve">The Museum of Moab has a mammoth tusk displayed as part of a Clovis kill within the study area. </w:t>
      </w:r>
      <w:proofErr w:type="spellStart"/>
      <w:r w:rsidR="003A634E" w:rsidRPr="00FC186B">
        <w:t>Ekkehart</w:t>
      </w:r>
      <w:proofErr w:type="spellEnd"/>
      <w:r w:rsidR="003A634E" w:rsidRPr="00FC186B">
        <w:t xml:space="preserve"> </w:t>
      </w:r>
      <w:proofErr w:type="spellStart"/>
      <w:r w:rsidR="003A634E" w:rsidRPr="00FC186B">
        <w:t>Malotki</w:t>
      </w:r>
      <w:proofErr w:type="spellEnd"/>
      <w:r w:rsidR="003A634E" w:rsidRPr="00FC186B">
        <w:t xml:space="preserve"> has documented </w:t>
      </w:r>
      <w:r w:rsidR="00B46EF7">
        <w:t>a</w:t>
      </w:r>
      <w:r w:rsidR="00C414FF" w:rsidRPr="00FC186B">
        <w:t xml:space="preserve"> Clovis site</w:t>
      </w:r>
      <w:r w:rsidR="003B56FF">
        <w:t xml:space="preserve"> </w:t>
      </w:r>
      <w:r w:rsidR="003A634E" w:rsidRPr="00FC186B">
        <w:t>at Sand Island, U</w:t>
      </w:r>
      <w:r w:rsidR="00E17B95">
        <w:t>T</w:t>
      </w:r>
      <w:r w:rsidR="00C414FF" w:rsidRPr="00FC186B">
        <w:t xml:space="preserve"> </w:t>
      </w:r>
      <w:r w:rsidR="003A634E" w:rsidRPr="00FC186B">
        <w:t>150 km south of the study area, where mammoths are depicted in the rock art.</w:t>
      </w:r>
      <w:r w:rsidR="003A634E" w:rsidRPr="00FC186B">
        <w:rPr>
          <w:rStyle w:val="FootnoteReference"/>
        </w:rPr>
        <w:footnoteReference w:id="18"/>
      </w:r>
      <w:r w:rsidR="003A634E" w:rsidRPr="00FC186B">
        <w:t xml:space="preserve"> Greg Nunn attested to the use of quarries within the study area </w:t>
      </w:r>
      <w:r w:rsidR="007F480B" w:rsidRPr="00FC186B">
        <w:t>to produce</w:t>
      </w:r>
      <w:r w:rsidR="003A634E" w:rsidRPr="00FC186B">
        <w:t xml:space="preserve"> Clovis points.</w:t>
      </w:r>
      <w:r w:rsidR="00C414FF" w:rsidRPr="00FC186B">
        <w:rPr>
          <w:rStyle w:val="FootnoteReference"/>
        </w:rPr>
        <w:footnoteReference w:id="19"/>
      </w:r>
      <w:r w:rsidR="00C414FF" w:rsidRPr="00FC186B">
        <w:t xml:space="preserve"> </w:t>
      </w:r>
      <w:r w:rsidR="003F2B6B" w:rsidRPr="00FC186B">
        <w:t>The Paleo-Indians ranged broadly, considering large regions ‘home’ according to</w:t>
      </w:r>
      <w:r>
        <w:t xml:space="preserve"> </w:t>
      </w:r>
      <w:r w:rsidR="003F2B6B" w:rsidRPr="00FC186B">
        <w:t>Stuart, which reinforces the conclusion that Paleo-Indian</w:t>
      </w:r>
      <w:r w:rsidR="00E17B95">
        <w:t>s</w:t>
      </w:r>
      <w:r w:rsidR="003F2B6B" w:rsidRPr="00FC186B">
        <w:t xml:space="preserve"> </w:t>
      </w:r>
      <w:r w:rsidR="001C4CFB">
        <w:t>lived</w:t>
      </w:r>
      <w:r w:rsidR="003F2B6B" w:rsidRPr="00FC186B">
        <w:t xml:space="preserve"> in the study area.</w:t>
      </w:r>
      <w:r w:rsidR="003F2B6B" w:rsidRPr="00FC186B">
        <w:rPr>
          <w:rStyle w:val="FootnoteReference"/>
        </w:rPr>
        <w:footnoteReference w:id="20"/>
      </w:r>
      <w:r w:rsidR="0065282B">
        <w:t xml:space="preserve"> </w:t>
      </w:r>
    </w:p>
    <w:p w14:paraId="236FFEA9" w14:textId="5DA58CA7" w:rsidR="006251C4" w:rsidRPr="00FC186B" w:rsidRDefault="006251C4" w:rsidP="0068455A">
      <w:pPr>
        <w:pStyle w:val="Heading3"/>
      </w:pPr>
      <w:bookmarkStart w:id="37" w:name="_Toc101636970"/>
      <w:r w:rsidRPr="00FC186B">
        <w:t>Archaic Era</w:t>
      </w:r>
      <w:bookmarkEnd w:id="37"/>
    </w:p>
    <w:p w14:paraId="6DD1ED83" w14:textId="2C8C63CE" w:rsidR="00C414FF" w:rsidRPr="00FC186B" w:rsidRDefault="008E4B76" w:rsidP="0068455A">
      <w:r>
        <w:t>After</w:t>
      </w:r>
      <w:r w:rsidR="00C414FF" w:rsidRPr="00FC186B">
        <w:t xml:space="preserve"> the megafauna</w:t>
      </w:r>
      <w:r w:rsidR="00017487" w:rsidRPr="00FC186B">
        <w:t xml:space="preserve"> </w:t>
      </w:r>
      <w:r w:rsidR="00C414FF" w:rsidRPr="00FC186B">
        <w:t>died out</w:t>
      </w:r>
      <w:r w:rsidR="00017487" w:rsidRPr="00FC186B">
        <w:t xml:space="preserve"> and a drier, more seasonal climate prevailed</w:t>
      </w:r>
      <w:r w:rsidR="003830B0" w:rsidRPr="00FC186B">
        <w:t>,</w:t>
      </w:r>
      <w:r w:rsidR="00C414FF" w:rsidRPr="00FC186B">
        <w:t xml:space="preserve"> the Native Americans </w:t>
      </w:r>
      <w:r w:rsidR="003830B0" w:rsidRPr="00FC186B">
        <w:t xml:space="preserve">shifted to an </w:t>
      </w:r>
      <w:r w:rsidR="00017487" w:rsidRPr="00FC186B">
        <w:t>A</w:t>
      </w:r>
      <w:r w:rsidR="003830B0" w:rsidRPr="00FC186B">
        <w:t>rchaic lifestyle</w:t>
      </w:r>
      <w:r>
        <w:t>, which</w:t>
      </w:r>
      <w:r w:rsidR="003830B0" w:rsidRPr="00FC186B">
        <w:t xml:space="preserve"> includ</w:t>
      </w:r>
      <w:r>
        <w:t>ed</w:t>
      </w:r>
      <w:r w:rsidR="00C414FF" w:rsidRPr="00FC186B">
        <w:t xml:space="preserve"> hunting smaller game such as deer and bighorn sheep and add</w:t>
      </w:r>
      <w:r w:rsidR="003830B0" w:rsidRPr="00FC186B">
        <w:t>ing</w:t>
      </w:r>
      <w:r w:rsidR="00C414FF" w:rsidRPr="00FC186B">
        <w:t xml:space="preserve"> seeds</w:t>
      </w:r>
      <w:r w:rsidR="003A634E" w:rsidRPr="00FC186B">
        <w:t>, roots</w:t>
      </w:r>
      <w:r w:rsidR="00D12557">
        <w:t>,</w:t>
      </w:r>
      <w:r w:rsidR="00C414FF" w:rsidRPr="00FC186B">
        <w:t xml:space="preserve"> and other wild plants processed by grinding tools</w:t>
      </w:r>
      <w:r w:rsidR="001C4CFB" w:rsidRPr="001C4CFB">
        <w:t xml:space="preserve"> </w:t>
      </w:r>
      <w:r w:rsidR="001C4CFB" w:rsidRPr="00FC186B">
        <w:t>to their diet</w:t>
      </w:r>
      <w:r w:rsidR="003830B0" w:rsidRPr="00FC186B">
        <w:t xml:space="preserve">, </w:t>
      </w:r>
      <w:r w:rsidR="00017487" w:rsidRPr="00FC186B">
        <w:t>according to Stuart.</w:t>
      </w:r>
      <w:r w:rsidR="00017487" w:rsidRPr="00FC186B">
        <w:rPr>
          <w:rStyle w:val="FootnoteReference"/>
        </w:rPr>
        <w:footnoteReference w:id="21"/>
      </w:r>
      <w:r w:rsidR="00017487" w:rsidRPr="00FC186B">
        <w:t xml:space="preserve"> </w:t>
      </w:r>
      <w:r w:rsidRPr="00FC186B">
        <w:t xml:space="preserve">Archaic artifacts, including textiles and baskets </w:t>
      </w:r>
      <w:r>
        <w:t xml:space="preserve">were excavated by </w:t>
      </w:r>
      <w:r w:rsidR="00C414FF" w:rsidRPr="00FC186B">
        <w:t xml:space="preserve">Phil </w:t>
      </w:r>
      <w:proofErr w:type="spellStart"/>
      <w:r w:rsidR="00C414FF" w:rsidRPr="00FC186B">
        <w:t>Geib</w:t>
      </w:r>
      <w:proofErr w:type="spellEnd"/>
      <w:r w:rsidR="00C414FF" w:rsidRPr="00FC186B">
        <w:t xml:space="preserve"> and Edward Jolie </w:t>
      </w:r>
      <w:r w:rsidR="003830B0" w:rsidRPr="00FC186B">
        <w:t>at</w:t>
      </w:r>
      <w:r w:rsidR="00C414FF" w:rsidRPr="00FC186B">
        <w:t xml:space="preserve"> Cowboy Cave, just west of the study area.</w:t>
      </w:r>
      <w:r w:rsidR="00C414FF" w:rsidRPr="00FC186B">
        <w:rPr>
          <w:rStyle w:val="FootnoteReference"/>
        </w:rPr>
        <w:footnoteReference w:id="22"/>
      </w:r>
      <w:r w:rsidR="00C414FF" w:rsidRPr="00FC186B">
        <w:t xml:space="preserve"> </w:t>
      </w:r>
      <w:r w:rsidR="00590F65" w:rsidRPr="00FC186B">
        <w:t xml:space="preserve">Stuart </w:t>
      </w:r>
      <w:r>
        <w:t xml:space="preserve">assessed the </w:t>
      </w:r>
      <w:r w:rsidR="00590F65" w:rsidRPr="00FC186B">
        <w:t xml:space="preserve">Archaic phase lasted from 5,000 -2,000 BCE </w:t>
      </w:r>
      <w:r>
        <w:t>in</w:t>
      </w:r>
      <w:r w:rsidR="00590F65" w:rsidRPr="00FC186B">
        <w:t xml:space="preserve"> the Four Corners area.</w:t>
      </w:r>
      <w:r w:rsidR="00590F65" w:rsidRPr="00FC186B">
        <w:rPr>
          <w:rStyle w:val="FootnoteReference"/>
        </w:rPr>
        <w:footnoteReference w:id="23"/>
      </w:r>
      <w:r w:rsidR="00590F65" w:rsidRPr="00FC186B">
        <w:t xml:space="preserve"> Closer to the study area, </w:t>
      </w:r>
      <w:r w:rsidR="006A766B" w:rsidRPr="00FC186B">
        <w:t>Kevin</w:t>
      </w:r>
      <w:r w:rsidR="00590F65" w:rsidRPr="00FC186B">
        <w:t xml:space="preserve"> Black, et al. </w:t>
      </w:r>
      <w:r w:rsidR="00AC7BCF" w:rsidRPr="00FC186B">
        <w:t>concluded that</w:t>
      </w:r>
      <w:r w:rsidR="00590F65" w:rsidRPr="00FC186B">
        <w:t xml:space="preserve"> in Lisbon Valley just south of the La Sal</w:t>
      </w:r>
      <w:r>
        <w:t xml:space="preserve"> Mountains</w:t>
      </w:r>
      <w:r w:rsidR="00AC7BCF" w:rsidRPr="00FC186B">
        <w:t>, ‘Hunting and gathering activities dominated the cultural scene for most of the prehistoric era</w:t>
      </w:r>
      <w:r w:rsidR="00292D40" w:rsidRPr="00FC186B">
        <w:t>,</w:t>
      </w:r>
      <w:r w:rsidR="00AC7BCF" w:rsidRPr="00FC186B">
        <w:t>’ and listed a single ‘</w:t>
      </w:r>
      <w:r w:rsidR="00292D40" w:rsidRPr="00FC186B">
        <w:t xml:space="preserve">Anasazi </w:t>
      </w:r>
      <w:r w:rsidR="00AC7BCF" w:rsidRPr="00FC186B">
        <w:t>incursion</w:t>
      </w:r>
      <w:r w:rsidR="00292D40" w:rsidRPr="00FC186B">
        <w:t xml:space="preserve"> into the area </w:t>
      </w:r>
      <w:r w:rsidR="00AC7BCF" w:rsidRPr="00FC186B">
        <w:t xml:space="preserve">in the tenth </w:t>
      </w:r>
      <w:r w:rsidR="00AC7BCF" w:rsidRPr="00FC186B">
        <w:lastRenderedPageBreak/>
        <w:t>century.’</w:t>
      </w:r>
      <w:r w:rsidR="00292D40" w:rsidRPr="00FC186B">
        <w:rPr>
          <w:rStyle w:val="FootnoteReference"/>
        </w:rPr>
        <w:footnoteReference w:id="24"/>
      </w:r>
      <w:r w:rsidR="00292D40" w:rsidRPr="00FC186B">
        <w:t xml:space="preserve"> </w:t>
      </w:r>
      <w:r w:rsidR="006A766B" w:rsidRPr="00FC186B">
        <w:t xml:space="preserve">Betsy Tipps </w:t>
      </w:r>
      <w:r w:rsidR="00292D40" w:rsidRPr="00FC186B">
        <w:t>summarized that ‘local people were practicing a hunting and gathering</w:t>
      </w:r>
      <w:r w:rsidR="006A766B" w:rsidRPr="00FC186B">
        <w:t xml:space="preserve"> life</w:t>
      </w:r>
      <w:r w:rsidR="00292D40" w:rsidRPr="00FC186B">
        <w:t xml:space="preserve">way… continuing as late as </w:t>
      </w:r>
      <w:r w:rsidR="00246F42" w:rsidRPr="00FC186B">
        <w:t xml:space="preserve">A.D. </w:t>
      </w:r>
      <w:r w:rsidR="00292D40" w:rsidRPr="00FC186B">
        <w:t>7</w:t>
      </w:r>
      <w:r w:rsidR="00246F42" w:rsidRPr="00FC186B">
        <w:t>1</w:t>
      </w:r>
      <w:r w:rsidR="00292D40" w:rsidRPr="00FC186B">
        <w:t>0-1010</w:t>
      </w:r>
      <w:r>
        <w:t>,</w:t>
      </w:r>
      <w:r w:rsidR="00246F42" w:rsidRPr="00FC186B">
        <w:t>’</w:t>
      </w:r>
      <w:r w:rsidR="006A766B" w:rsidRPr="00FC186B">
        <w:t xml:space="preserve"> in the Squaw </w:t>
      </w:r>
      <w:r w:rsidR="00292D40" w:rsidRPr="00FC186B">
        <w:t>Butte</w:t>
      </w:r>
      <w:r w:rsidR="006A766B" w:rsidRPr="00FC186B">
        <w:t xml:space="preserve"> region of the Needles District of Canyonlands National Park</w:t>
      </w:r>
      <w:r w:rsidR="00292D40" w:rsidRPr="00FC186B">
        <w:t>.</w:t>
      </w:r>
      <w:r w:rsidRPr="00FC186B">
        <w:rPr>
          <w:rStyle w:val="FootnoteReference"/>
        </w:rPr>
        <w:footnoteReference w:id="25"/>
      </w:r>
      <w:r w:rsidR="006A766B" w:rsidRPr="00FC186B">
        <w:t xml:space="preserve"> </w:t>
      </w:r>
      <w:r w:rsidR="0051254A">
        <w:t>Stuart depict</w:t>
      </w:r>
      <w:r w:rsidR="006656F8">
        <w:t>ed</w:t>
      </w:r>
      <w:r w:rsidR="0051254A">
        <w:t xml:space="preserve"> the </w:t>
      </w:r>
      <w:r w:rsidR="0051254A" w:rsidRPr="00FC186B">
        <w:t>Archaic period</w:t>
      </w:r>
      <w:r w:rsidR="0051254A">
        <w:t xml:space="preserve"> as a time when t</w:t>
      </w:r>
      <w:r w:rsidR="00246F42" w:rsidRPr="00FC186B">
        <w:t xml:space="preserve">he population </w:t>
      </w:r>
      <w:r w:rsidR="0051254A" w:rsidRPr="00FC186B">
        <w:t xml:space="preserve">grew </w:t>
      </w:r>
      <w:r w:rsidR="00246F42" w:rsidRPr="00FC186B">
        <w:t>slowly</w:t>
      </w:r>
      <w:r w:rsidR="0051254A">
        <w:t>,</w:t>
      </w:r>
      <w:r w:rsidR="00246F42" w:rsidRPr="00FC186B">
        <w:t xml:space="preserve"> </w:t>
      </w:r>
      <w:r w:rsidR="0051254A">
        <w:t xml:space="preserve">people </w:t>
      </w:r>
      <w:r w:rsidR="00246F42" w:rsidRPr="00FC186B">
        <w:t>remained highly mobile</w:t>
      </w:r>
      <w:r w:rsidR="0051254A">
        <w:t>, had a healthy, diversified diet</w:t>
      </w:r>
      <w:r w:rsidR="00246F42" w:rsidRPr="00FC186B">
        <w:t xml:space="preserve"> and used naturally occurring </w:t>
      </w:r>
      <w:r w:rsidR="00246F42" w:rsidRPr="00EC4B52">
        <w:t>rock shelters</w:t>
      </w:r>
      <w:r w:rsidR="00C76665" w:rsidRPr="00EC4B52">
        <w:t>.</w:t>
      </w:r>
      <w:r w:rsidR="00EC4B52" w:rsidRPr="00EC4B52">
        <w:rPr>
          <w:rStyle w:val="FootnoteReference"/>
        </w:rPr>
        <w:footnoteReference w:id="26"/>
      </w:r>
      <w:r w:rsidR="00C76665" w:rsidRPr="00FC186B">
        <w:t xml:space="preserve"> </w:t>
      </w:r>
      <w:r w:rsidR="006F1B2D" w:rsidRPr="00FC186B">
        <w:t xml:space="preserve">Jennings suggested the term </w:t>
      </w:r>
      <w:r w:rsidR="006656F8">
        <w:t>‘</w:t>
      </w:r>
      <w:r w:rsidR="006F1B2D" w:rsidRPr="00FC186B">
        <w:t>Desert Archaic</w:t>
      </w:r>
      <w:r w:rsidR="006656F8">
        <w:t>’</w:t>
      </w:r>
      <w:r w:rsidR="006F1B2D" w:rsidRPr="00FC186B">
        <w:t xml:space="preserve"> to unify the eastern and western branches of the</w:t>
      </w:r>
      <w:r w:rsidR="00C414FF" w:rsidRPr="00FC186B">
        <w:t xml:space="preserve"> Great Basin Archaic culture</w:t>
      </w:r>
      <w:r w:rsidR="006F1B2D" w:rsidRPr="00FC186B">
        <w:t xml:space="preserve">, </w:t>
      </w:r>
      <w:r w:rsidR="00FA7F81" w:rsidRPr="00FC186B">
        <w:t>the keynotes of which are the millstone and basketry, use of a broad range of flora and fauna and residential use of caves.</w:t>
      </w:r>
      <w:r w:rsidR="003830B0" w:rsidRPr="00FC186B">
        <w:rPr>
          <w:rStyle w:val="FootnoteReference"/>
        </w:rPr>
        <w:footnoteReference w:id="27"/>
      </w:r>
      <w:r w:rsidR="00C414FF" w:rsidRPr="00FC186B">
        <w:t xml:space="preserve"> </w:t>
      </w:r>
      <w:r w:rsidR="00FA7F81" w:rsidRPr="00FC186B">
        <w:t>Jennings conclude</w:t>
      </w:r>
      <w:r w:rsidR="0051254A">
        <w:t>d</w:t>
      </w:r>
      <w:r w:rsidR="006656F8">
        <w:t xml:space="preserve"> that Utah had</w:t>
      </w:r>
    </w:p>
    <w:p w14:paraId="7FA2FF0A" w14:textId="113418AF" w:rsidR="00FA7F81" w:rsidRDefault="006656F8" w:rsidP="001A164B">
      <w:pPr>
        <w:spacing w:after="0" w:line="240" w:lineRule="auto"/>
        <w:ind w:left="360" w:right="386"/>
      </w:pPr>
      <w:r>
        <w:t>…</w:t>
      </w:r>
      <w:r w:rsidR="00FA7F81" w:rsidRPr="00FC186B">
        <w:t xml:space="preserve"> a widespread, but thin Archaic population geared to a mobile hunting-collecting way of life in an essentially unchanged environment over the study area for some 10,000 or 11,000 years, to about A. D. 1850 – 1900.’</w:t>
      </w:r>
      <w:r w:rsidR="00FA7F81" w:rsidRPr="00FC186B">
        <w:rPr>
          <w:rStyle w:val="FootnoteReference"/>
        </w:rPr>
        <w:footnoteReference w:id="28"/>
      </w:r>
    </w:p>
    <w:p w14:paraId="3FAECAA7" w14:textId="77777777" w:rsidR="001A164B" w:rsidRPr="00FC186B" w:rsidRDefault="001A164B" w:rsidP="001A164B">
      <w:pPr>
        <w:spacing w:after="0" w:line="240" w:lineRule="auto"/>
        <w:ind w:left="360" w:right="386"/>
      </w:pPr>
    </w:p>
    <w:p w14:paraId="62538593" w14:textId="77777777" w:rsidR="00BB5DDC" w:rsidRDefault="00584258" w:rsidP="0068455A">
      <w:r w:rsidRPr="00FC186B">
        <w:t>James Aton</w:t>
      </w:r>
      <w:r w:rsidR="00FA7F81" w:rsidRPr="00FC186B">
        <w:t xml:space="preserve"> more recently argue</w:t>
      </w:r>
      <w:r w:rsidRPr="00FC186B">
        <w:t>d</w:t>
      </w:r>
      <w:r w:rsidR="00FA7F81" w:rsidRPr="00FC186B">
        <w:t xml:space="preserve"> that the Archaic era along the Green River, directly north of the study area</w:t>
      </w:r>
      <w:r w:rsidRPr="00FC186B">
        <w:t xml:space="preserve">, ended around 600 CE, </w:t>
      </w:r>
      <w:r w:rsidR="0051254A">
        <w:t>after which</w:t>
      </w:r>
      <w:r w:rsidRPr="00FC186B">
        <w:t xml:space="preserve"> the area was depopulated for three hundred years.</w:t>
      </w:r>
      <w:r w:rsidRPr="00FC186B">
        <w:rPr>
          <w:rStyle w:val="FootnoteReference"/>
        </w:rPr>
        <w:footnoteReference w:id="29"/>
      </w:r>
      <w:r w:rsidRPr="00FC186B">
        <w:t xml:space="preserve"> </w:t>
      </w:r>
    </w:p>
    <w:p w14:paraId="5F3A80C3" w14:textId="599E94F4" w:rsidR="00FA7F81" w:rsidRPr="00FC186B" w:rsidRDefault="00584258" w:rsidP="0068455A">
      <w:r w:rsidRPr="00FC186B">
        <w:t>Aton contend</w:t>
      </w:r>
      <w:r w:rsidR="006656F8">
        <w:t>ed</w:t>
      </w:r>
      <w:r w:rsidRPr="00FC186B">
        <w:t xml:space="preserve"> that both corn and the bow and arrow were introduced in that region between 50 BCE and 200 CE during the late Archaic.</w:t>
      </w:r>
      <w:r w:rsidRPr="00FC186B">
        <w:rPr>
          <w:rStyle w:val="FootnoteReference"/>
        </w:rPr>
        <w:footnoteReference w:id="30"/>
      </w:r>
      <w:r w:rsidR="00BE19BA" w:rsidRPr="00FC186B">
        <w:t xml:space="preserve"> The shift toward agriculture was not one way</w:t>
      </w:r>
      <w:r w:rsidR="00D12557">
        <w:t>:</w:t>
      </w:r>
      <w:r w:rsidR="00BE19BA" w:rsidRPr="00FC186B">
        <w:t xml:space="preserve"> Stuart report</w:t>
      </w:r>
      <w:r w:rsidR="00BB5DDC">
        <w:t>ed</w:t>
      </w:r>
      <w:r w:rsidR="00BE19BA" w:rsidRPr="00FC186B">
        <w:t xml:space="preserve"> that ‘a few, scattered Archaic- style sites (as late as 1000 CE) </w:t>
      </w:r>
      <w:r w:rsidR="00BE19BA" w:rsidRPr="00FC186B">
        <w:lastRenderedPageBreak/>
        <w:t xml:space="preserve">indicate some families drifted back toward more traditional hunting and gathering’ even in the </w:t>
      </w:r>
      <w:proofErr w:type="spellStart"/>
      <w:r w:rsidR="0051254A">
        <w:t>cent</w:t>
      </w:r>
      <w:r w:rsidR="00451A09">
        <w:t>re</w:t>
      </w:r>
      <w:proofErr w:type="spellEnd"/>
      <w:r w:rsidR="00BE19BA" w:rsidRPr="00FC186B">
        <w:t xml:space="preserve"> of Four Corners</w:t>
      </w:r>
      <w:r w:rsidR="0051254A">
        <w:t xml:space="preserve"> region, where early agriculture flourished</w:t>
      </w:r>
      <w:r w:rsidR="00BE19BA" w:rsidRPr="00FC186B">
        <w:t>.</w:t>
      </w:r>
      <w:r w:rsidR="00BE19BA" w:rsidRPr="00FC186B">
        <w:rPr>
          <w:rStyle w:val="FootnoteReference"/>
        </w:rPr>
        <w:footnoteReference w:id="31"/>
      </w:r>
      <w:r w:rsidR="006251C4" w:rsidRPr="00FC186B">
        <w:t xml:space="preserve"> In the study area, the archaic lifestyle was maintained in the deserts and most of </w:t>
      </w:r>
      <w:r w:rsidR="00BB5DDC">
        <w:t>C</w:t>
      </w:r>
      <w:r w:rsidR="006251C4" w:rsidRPr="00FC186B">
        <w:t>anyonlands, even while agriculturists occupied the valleys, according to Alice Hunt.</w:t>
      </w:r>
      <w:r w:rsidR="006251C4" w:rsidRPr="00FC186B">
        <w:rPr>
          <w:rStyle w:val="FootnoteReference"/>
        </w:rPr>
        <w:footnoteReference w:id="32"/>
      </w:r>
      <w:r w:rsidR="006251C4" w:rsidRPr="00FC186B">
        <w:t xml:space="preserve"> Hunt asserted that over 90% of the sites she discovered in a 500 square mile </w:t>
      </w:r>
      <w:r w:rsidR="0051254A">
        <w:t>(1300 km</w:t>
      </w:r>
      <w:r w:rsidR="0051254A">
        <w:rPr>
          <w:vertAlign w:val="superscript"/>
        </w:rPr>
        <w:t>2</w:t>
      </w:r>
      <w:r w:rsidR="0051254A">
        <w:t xml:space="preserve">) </w:t>
      </w:r>
      <w:r w:rsidR="006251C4" w:rsidRPr="00FC186B">
        <w:t xml:space="preserve">survey of the La Sal Mountains were </w:t>
      </w:r>
      <w:r w:rsidR="00754461" w:rsidRPr="00FC186B">
        <w:t>campsites, not dwellings, indicating that hunting and gathering was the preferred subsistence in this montane and canyon environment</w:t>
      </w:r>
      <w:r w:rsidR="006251C4" w:rsidRPr="00FC186B">
        <w:t>.</w:t>
      </w:r>
      <w:r w:rsidR="0066715A" w:rsidRPr="00FC186B">
        <w:rPr>
          <w:rStyle w:val="FootnoteReference"/>
        </w:rPr>
        <w:footnoteReference w:id="33"/>
      </w:r>
      <w:r w:rsidR="00414141">
        <w:t xml:space="preserve"> The salient feature of the Desert Archaic for the purposes of this study is nomadism. </w:t>
      </w:r>
      <w:r w:rsidR="00586D9C">
        <w:t>Because</w:t>
      </w:r>
      <w:r w:rsidR="00414141">
        <w:t xml:space="preserve"> the temporal definition of </w:t>
      </w:r>
      <w:r w:rsidR="00586D9C">
        <w:t>‘</w:t>
      </w:r>
      <w:r w:rsidR="00414141">
        <w:t>Archaic era</w:t>
      </w:r>
      <w:r w:rsidR="00586D9C">
        <w:t>’</w:t>
      </w:r>
      <w:r w:rsidR="00414141">
        <w:t xml:space="preserve"> varies regionally, this study </w:t>
      </w:r>
      <w:r w:rsidR="00586D9C">
        <w:t xml:space="preserve">only </w:t>
      </w:r>
      <w:r w:rsidR="00414141">
        <w:t xml:space="preserve">distinguishes between sedentary agriculturalists </w:t>
      </w:r>
      <w:r w:rsidR="00586D9C">
        <w:t xml:space="preserve">and ‘Archaic’ people who led a </w:t>
      </w:r>
      <w:r w:rsidR="00D12557">
        <w:t>nomadic</w:t>
      </w:r>
      <w:r w:rsidR="00586D9C">
        <w:t xml:space="preserve"> lifestyle of seasonal migration to optimize a hunting and gathering subsistence, regardless of timeframe.</w:t>
      </w:r>
    </w:p>
    <w:p w14:paraId="43D8D03A" w14:textId="70952910" w:rsidR="00754461" w:rsidRPr="00FC186B" w:rsidRDefault="00765F3E" w:rsidP="0068455A">
      <w:pPr>
        <w:pStyle w:val="Heading3"/>
      </w:pPr>
      <w:bookmarkStart w:id="38" w:name="_Toc101636971"/>
      <w:r>
        <w:t>Ancestral Puebloan</w:t>
      </w:r>
      <w:r w:rsidR="00BB5DDC">
        <w:t xml:space="preserve"> (AP)</w:t>
      </w:r>
      <w:bookmarkEnd w:id="38"/>
    </w:p>
    <w:p w14:paraId="5E352183" w14:textId="378D884F" w:rsidR="003830B0" w:rsidRPr="00FC186B" w:rsidRDefault="00F520D6" w:rsidP="0068455A">
      <w:r w:rsidRPr="00FC186B">
        <w:t xml:space="preserve">Francis </w:t>
      </w:r>
      <w:r w:rsidR="00754461" w:rsidRPr="00FC186B">
        <w:t>Smiley a</w:t>
      </w:r>
      <w:r w:rsidR="00E20D81" w:rsidRPr="00FC186B">
        <w:t>rgued</w:t>
      </w:r>
      <w:r w:rsidR="00754461" w:rsidRPr="00FC186B">
        <w:t xml:space="preserve"> that nomadic, Archaic peoples shared traits and behaviors across broad regional areas, but cultural traits became </w:t>
      </w:r>
      <w:r w:rsidRPr="00FC186B">
        <w:t>regionalized</w:t>
      </w:r>
      <w:r w:rsidR="00754461" w:rsidRPr="00FC186B">
        <w:t xml:space="preserve"> as people became sedentary and </w:t>
      </w:r>
      <w:r w:rsidR="00883226" w:rsidRPr="00FC186B">
        <w:t xml:space="preserve">more </w:t>
      </w:r>
      <w:r w:rsidR="00754461" w:rsidRPr="00FC186B">
        <w:t>isolated</w:t>
      </w:r>
      <w:r w:rsidR="00883226" w:rsidRPr="00FC186B">
        <w:t>.</w:t>
      </w:r>
      <w:r w:rsidR="00E20D81" w:rsidRPr="00FC186B">
        <w:rPr>
          <w:rStyle w:val="FootnoteReference"/>
        </w:rPr>
        <w:footnoteReference w:id="34"/>
      </w:r>
      <w:r w:rsidR="00754461" w:rsidRPr="00FC186B">
        <w:t xml:space="preserve"> </w:t>
      </w:r>
      <w:r w:rsidR="005D6092">
        <w:t xml:space="preserve">In the Four Corners region (bottom right in Figure 1), Ancestral Puebloans </w:t>
      </w:r>
      <w:r w:rsidR="00BB5DDC">
        <w:t xml:space="preserve">(AP) </w:t>
      </w:r>
      <w:r w:rsidR="005D6092">
        <w:t>mastered maize agriculture and villages emerged</w:t>
      </w:r>
      <w:r w:rsidR="005B410C">
        <w:t>,</w:t>
      </w:r>
      <w:r w:rsidR="005D6092">
        <w:t xml:space="preserve"> beginning with small unit pueblos of surface masonry, which culminated between 900 – 1200 CE in the Chaco culture with magnificent core and veneer masonry in multistory pueblos large enough to house thousands of </w:t>
      </w:r>
      <w:r w:rsidR="005D6092" w:rsidRPr="006F603D">
        <w:t>residents</w:t>
      </w:r>
      <w:r w:rsidR="006F603D" w:rsidRPr="006F603D">
        <w:t xml:space="preserve">, yet mysteriously only housing a few hundred, according to Kathy </w:t>
      </w:r>
      <w:r w:rsidR="006F603D" w:rsidRPr="006F603D">
        <w:lastRenderedPageBreak/>
        <w:t>Durand</w:t>
      </w:r>
      <w:r w:rsidR="005D6092" w:rsidRPr="006F603D">
        <w:t>.</w:t>
      </w:r>
      <w:r w:rsidR="006F603D" w:rsidRPr="006F603D">
        <w:rPr>
          <w:rStyle w:val="FootnoteReference"/>
        </w:rPr>
        <w:footnoteReference w:id="35"/>
      </w:r>
      <w:r w:rsidR="005D6092">
        <w:t xml:space="preserve"> Chaco outliers extended northward to the San Juan Basin in southeastern Utah, where small farmsteads and villages supported the city of Chaco with </w:t>
      </w:r>
      <w:r w:rsidR="00FF7487">
        <w:t xml:space="preserve">corn, according to Stephen </w:t>
      </w:r>
      <w:proofErr w:type="spellStart"/>
      <w:r w:rsidR="00FF7487">
        <w:t>Lekson</w:t>
      </w:r>
      <w:proofErr w:type="spellEnd"/>
      <w:r w:rsidR="00FF7487">
        <w:t>.</w:t>
      </w:r>
      <w:r w:rsidR="008702D0">
        <w:rPr>
          <w:rStyle w:val="FootnoteReference"/>
        </w:rPr>
        <w:footnoteReference w:id="36"/>
      </w:r>
      <w:r w:rsidR="00FF7487">
        <w:t xml:space="preserve"> At the Pecos Conference in 192</w:t>
      </w:r>
      <w:r w:rsidR="008702D0">
        <w:t>7</w:t>
      </w:r>
      <w:r w:rsidR="00FF7487">
        <w:t xml:space="preserve">, archaeologists agreed upon eight phases of development for the Chaco culture, including </w:t>
      </w:r>
      <w:proofErr w:type="spellStart"/>
      <w:r w:rsidR="00FF7487">
        <w:t>Basketmaker</w:t>
      </w:r>
      <w:proofErr w:type="spellEnd"/>
      <w:r w:rsidR="00765F3E">
        <w:t xml:space="preserve"> (BM)</w:t>
      </w:r>
      <w:r w:rsidR="00FF7487">
        <w:t xml:space="preserve"> I-III and Ancestral Pueblo</w:t>
      </w:r>
      <w:r w:rsidR="00765F3E">
        <w:t xml:space="preserve"> (AP)</w:t>
      </w:r>
      <w:r w:rsidR="00FF7487">
        <w:t xml:space="preserve"> I-V.</w:t>
      </w:r>
      <w:r w:rsidR="008702D0">
        <w:rPr>
          <w:rStyle w:val="FootnoteReference"/>
        </w:rPr>
        <w:footnoteReference w:id="37"/>
      </w:r>
      <w:r w:rsidR="00FF7487">
        <w:t xml:space="preserve">  </w:t>
      </w:r>
      <w:r w:rsidR="00E63610">
        <w:t>While ‘</w:t>
      </w:r>
      <w:proofErr w:type="spellStart"/>
      <w:r w:rsidR="00E63610">
        <w:t>Basketmaker</w:t>
      </w:r>
      <w:proofErr w:type="spellEnd"/>
      <w:r w:rsidR="00E63610">
        <w:t>’ generally meant pre-ceramic and was associated with initial steps toward maize agriculture,</w:t>
      </w:r>
      <w:r w:rsidR="00527C84">
        <w:t xml:space="preserve"> </w:t>
      </w:r>
      <w:r w:rsidR="009C17A8">
        <w:t xml:space="preserve">BM I </w:t>
      </w:r>
      <w:r w:rsidR="00527C84">
        <w:t>was</w:t>
      </w:r>
      <w:r w:rsidR="009C17A8">
        <w:t xml:space="preserve"> considered Archaic</w:t>
      </w:r>
      <w:r w:rsidR="00E63610">
        <w:t xml:space="preserve">, </w:t>
      </w:r>
      <w:r w:rsidR="006F603D" w:rsidRPr="0072776F">
        <w:t>according to Smiley</w:t>
      </w:r>
      <w:r w:rsidR="009C17A8" w:rsidRPr="0072776F">
        <w:t>.</w:t>
      </w:r>
      <w:r w:rsidR="006F603D" w:rsidRPr="0072776F">
        <w:rPr>
          <w:rStyle w:val="FootnoteReference"/>
        </w:rPr>
        <w:footnoteReference w:id="38"/>
      </w:r>
      <w:r w:rsidR="009C17A8">
        <w:t xml:space="preserve"> </w:t>
      </w:r>
      <w:r w:rsidR="00E63610">
        <w:t>P</w:t>
      </w:r>
      <w:r w:rsidR="009C17A8">
        <w:t xml:space="preserve">it houses </w:t>
      </w:r>
      <w:r w:rsidR="00875DBC">
        <w:t>and agriculture were</w:t>
      </w:r>
      <w:r w:rsidR="009C17A8">
        <w:t xml:space="preserve"> common</w:t>
      </w:r>
      <w:r w:rsidR="00E63610">
        <w:t xml:space="preserve"> by BM III</w:t>
      </w:r>
      <w:r w:rsidR="009C17A8">
        <w:t xml:space="preserve">, but only rudimentary ceramics </w:t>
      </w:r>
      <w:r w:rsidR="00875DBC">
        <w:t>were</w:t>
      </w:r>
      <w:r w:rsidR="009C17A8">
        <w:t xml:space="preserve"> produced</w:t>
      </w:r>
      <w:r w:rsidR="00C77497">
        <w:t>,</w:t>
      </w:r>
      <w:r w:rsidR="009C17A8">
        <w:t xml:space="preserve"> </w:t>
      </w:r>
      <w:r w:rsidR="00B670D7">
        <w:t xml:space="preserve">as </w:t>
      </w:r>
      <w:r w:rsidR="00346925">
        <w:t xml:space="preserve">Jennings </w:t>
      </w:r>
      <w:r w:rsidR="00B670D7">
        <w:t>explained.</w:t>
      </w:r>
      <w:r w:rsidR="00B670D7">
        <w:rPr>
          <w:rStyle w:val="FootnoteReference"/>
        </w:rPr>
        <w:footnoteReference w:id="39"/>
      </w:r>
      <w:r w:rsidR="009C17A8">
        <w:t xml:space="preserve"> </w:t>
      </w:r>
      <w:r w:rsidR="00346925">
        <w:t>Near</w:t>
      </w:r>
      <w:r w:rsidR="00C77497">
        <w:t xml:space="preserve"> Four Corners</w:t>
      </w:r>
      <w:r w:rsidR="006A4A22">
        <w:t>,</w:t>
      </w:r>
      <w:r w:rsidR="00C77497">
        <w:t xml:space="preserve"> the Pecos classification BM III ended around 750 CE, but </w:t>
      </w:r>
      <w:r w:rsidR="00837F31">
        <w:t>a</w:t>
      </w:r>
      <w:r w:rsidR="00875DBC">
        <w:t>ccording to Jennings</w:t>
      </w:r>
      <w:r w:rsidR="00330CB6">
        <w:t>,</w:t>
      </w:r>
      <w:r w:rsidR="00875DBC">
        <w:t xml:space="preserve"> </w:t>
      </w:r>
      <w:r w:rsidR="00330CB6">
        <w:t>b</w:t>
      </w:r>
      <w:r w:rsidR="00765F3E">
        <w:t xml:space="preserve">oth the cultural traits and the temporal designations of the Pecos classification rapidly fade as the culture extended into the </w:t>
      </w:r>
      <w:r w:rsidR="00765F3E" w:rsidRPr="00FC186B">
        <w:t>Northern Periphery of the Colorado Plateau, in which the study area is centered.</w:t>
      </w:r>
      <w:r w:rsidR="00765F3E" w:rsidRPr="00FC186B">
        <w:rPr>
          <w:rStyle w:val="FootnoteReference"/>
        </w:rPr>
        <w:footnoteReference w:id="40"/>
      </w:r>
      <w:r w:rsidR="00765F3E">
        <w:t xml:space="preserve"> </w:t>
      </w:r>
    </w:p>
    <w:p w14:paraId="2B8E9B49" w14:textId="3765708C" w:rsidR="00A3039B" w:rsidRPr="00FC186B" w:rsidRDefault="0070465B" w:rsidP="0068455A">
      <w:r w:rsidRPr="00FC186B">
        <w:t xml:space="preserve">The </w:t>
      </w:r>
      <w:r w:rsidR="00BB5DDC">
        <w:t>AP,</w:t>
      </w:r>
      <w:r w:rsidRPr="00FC186B">
        <w:t xml:space="preserve"> whose </w:t>
      </w:r>
      <w:r w:rsidR="007463C9" w:rsidRPr="00FC186B">
        <w:t>cultu</w:t>
      </w:r>
      <w:r w:rsidR="007463C9">
        <w:t>ral</w:t>
      </w:r>
      <w:r w:rsidR="007463C9" w:rsidRPr="00FC186B">
        <w:t xml:space="preserve"> </w:t>
      </w:r>
      <w:proofErr w:type="spellStart"/>
      <w:r w:rsidRPr="00FC186B">
        <w:t>epicent</w:t>
      </w:r>
      <w:r w:rsidR="00451A09">
        <w:t>re</w:t>
      </w:r>
      <w:proofErr w:type="spellEnd"/>
      <w:r w:rsidRPr="00FC186B">
        <w:t xml:space="preserve"> was Chaco, </w:t>
      </w:r>
      <w:r w:rsidR="00E82D9D">
        <w:t>NM</w:t>
      </w:r>
      <w:r w:rsidRPr="00FC186B">
        <w:t xml:space="preserve"> </w:t>
      </w:r>
      <w:r w:rsidR="00FF2211" w:rsidRPr="00FC186B">
        <w:t xml:space="preserve">and later Mesa Verde, </w:t>
      </w:r>
      <w:r w:rsidR="00561320">
        <w:t>C</w:t>
      </w:r>
      <w:r w:rsidR="00E82D9D">
        <w:t>O</w:t>
      </w:r>
      <w:r w:rsidR="00561320">
        <w:t xml:space="preserve"> </w:t>
      </w:r>
      <w:r w:rsidRPr="00FC186B">
        <w:t xml:space="preserve">reached the Colorado River near Moab during the Pueblo II </w:t>
      </w:r>
      <w:r w:rsidR="00E82D9D" w:rsidRPr="00FC186B">
        <w:t xml:space="preserve">expansion </w:t>
      </w:r>
      <w:r w:rsidRPr="00FC186B">
        <w:t>phase</w:t>
      </w:r>
      <w:r w:rsidR="00E82D9D">
        <w:t xml:space="preserve">, where a </w:t>
      </w:r>
      <w:r w:rsidR="00E82D9D" w:rsidRPr="00FC186B">
        <w:t>‘very sparse’</w:t>
      </w:r>
      <w:r w:rsidR="00E82D9D">
        <w:t xml:space="preserve"> AP population </w:t>
      </w:r>
      <w:r w:rsidRPr="00FC186B">
        <w:t>pursued farming in the valleys of the study area, according to Lloyd Pierson.</w:t>
      </w:r>
      <w:r w:rsidR="00FF2211" w:rsidRPr="00FC186B">
        <w:rPr>
          <w:rStyle w:val="FootnoteReference"/>
        </w:rPr>
        <w:footnoteReference w:id="41"/>
      </w:r>
      <w:r w:rsidRPr="00FC186B">
        <w:t xml:space="preserve"> </w:t>
      </w:r>
      <w:r w:rsidR="0088269E" w:rsidRPr="00FC186B">
        <w:t xml:space="preserve">Based on ceramic evidence summarized by </w:t>
      </w:r>
      <w:r w:rsidR="009540AB" w:rsidRPr="00FC186B">
        <w:t xml:space="preserve">David </w:t>
      </w:r>
      <w:proofErr w:type="spellStart"/>
      <w:r w:rsidR="0088269E" w:rsidRPr="00FC186B">
        <w:t>Breternitz</w:t>
      </w:r>
      <w:proofErr w:type="spellEnd"/>
      <w:r w:rsidR="009540AB" w:rsidRPr="00FC186B">
        <w:t xml:space="preserve"> et al.</w:t>
      </w:r>
      <w:r w:rsidR="0088269E" w:rsidRPr="00FC186B">
        <w:t>, th</w:t>
      </w:r>
      <w:r w:rsidR="0074175B" w:rsidRPr="00FC186B">
        <w:t>e AP</w:t>
      </w:r>
      <w:r w:rsidR="0088269E" w:rsidRPr="00FC186B">
        <w:t xml:space="preserve"> occupation </w:t>
      </w:r>
      <w:r w:rsidR="006A4A22">
        <w:t xml:space="preserve">around </w:t>
      </w:r>
      <w:r w:rsidR="006A4A22">
        <w:lastRenderedPageBreak/>
        <w:t xml:space="preserve">Moab </w:t>
      </w:r>
      <w:r w:rsidR="0088269E" w:rsidRPr="00FC186B">
        <w:t>lasted from 900 -1075 BCE, although potentially to 1282 BCE.</w:t>
      </w:r>
      <w:r w:rsidR="0088269E" w:rsidRPr="00FC186B">
        <w:rPr>
          <w:rStyle w:val="FootnoteReference"/>
        </w:rPr>
        <w:footnoteReference w:id="42"/>
      </w:r>
      <w:r w:rsidR="0088269E" w:rsidRPr="00FC186B">
        <w:t xml:space="preserve">  </w:t>
      </w:r>
      <w:r w:rsidR="00E82D9D">
        <w:t xml:space="preserve">For </w:t>
      </w:r>
      <w:r w:rsidR="001C2274" w:rsidRPr="00FC186B">
        <w:t xml:space="preserve">Pierson, ‘the cultural norms for the period as described from the large </w:t>
      </w:r>
      <w:proofErr w:type="spellStart"/>
      <w:r w:rsidR="001C2274" w:rsidRPr="00FC186B">
        <w:t>cent</w:t>
      </w:r>
      <w:r w:rsidR="00AD438E">
        <w:t>re</w:t>
      </w:r>
      <w:r w:rsidR="001C2274" w:rsidRPr="00FC186B">
        <w:t>s</w:t>
      </w:r>
      <w:proofErr w:type="spellEnd"/>
      <w:r w:rsidR="001C2274" w:rsidRPr="00FC186B">
        <w:t>, never quite seem to fit the local situation, and one wonders if one really dealing with the same culture.</w:t>
      </w:r>
      <w:r w:rsidR="00245F7E" w:rsidRPr="00FC186B">
        <w:t>’</w:t>
      </w:r>
      <w:r w:rsidR="001C2274" w:rsidRPr="00FC186B">
        <w:rPr>
          <w:rStyle w:val="FootnoteReference"/>
        </w:rPr>
        <w:footnoteReference w:id="43"/>
      </w:r>
      <w:r w:rsidR="00245F7E" w:rsidRPr="00FC186B">
        <w:t xml:space="preserve"> </w:t>
      </w:r>
      <w:r w:rsidR="0074175B" w:rsidRPr="00FC186B">
        <w:t xml:space="preserve">Western </w:t>
      </w:r>
      <w:proofErr w:type="spellStart"/>
      <w:r w:rsidR="0074175B" w:rsidRPr="00FC186B">
        <w:t>Basketmakers</w:t>
      </w:r>
      <w:proofErr w:type="spellEnd"/>
      <w:r w:rsidR="0074175B" w:rsidRPr="00FC186B">
        <w:t xml:space="preserve"> of Uto-Aztecan </w:t>
      </w:r>
      <w:r w:rsidR="00313482" w:rsidRPr="00FC186B">
        <w:t xml:space="preserve">(Mesoamerican) </w:t>
      </w:r>
      <w:r w:rsidR="0074175B" w:rsidRPr="00FC186B">
        <w:t>descent preceded the AP with a preceramic, agricultural lifestyle living in small hamlets of pit houses</w:t>
      </w:r>
      <w:r w:rsidR="005A1BAB" w:rsidRPr="00FC186B">
        <w:t xml:space="preserve"> in southeastern Utah, </w:t>
      </w:r>
      <w:r w:rsidR="00313482">
        <w:t>according to</w:t>
      </w:r>
      <w:r w:rsidR="00A3039B" w:rsidRPr="00FC186B">
        <w:t xml:space="preserve"> Steven </w:t>
      </w:r>
      <w:r w:rsidR="005A1BAB" w:rsidRPr="00FC186B">
        <w:t>LeBlanc, yet</w:t>
      </w:r>
      <w:r w:rsidR="008E2469">
        <w:t xml:space="preserve"> Pierson described a transfer of ideas into Archaic populations rather than a</w:t>
      </w:r>
      <w:r w:rsidR="005A1BAB" w:rsidRPr="00FC186B">
        <w:t xml:space="preserve"> </w:t>
      </w:r>
      <w:proofErr w:type="spellStart"/>
      <w:r w:rsidR="008E2469">
        <w:t>Basketmaker</w:t>
      </w:r>
      <w:proofErr w:type="spellEnd"/>
      <w:r w:rsidR="00E82D9D">
        <w:t xml:space="preserve"> </w:t>
      </w:r>
      <w:r w:rsidR="005A1BAB" w:rsidRPr="00FC186B">
        <w:t>migration into the Moab area</w:t>
      </w:r>
      <w:r w:rsidR="0074175B" w:rsidRPr="00FC186B">
        <w:t>.</w:t>
      </w:r>
      <w:r w:rsidR="005A1BAB" w:rsidRPr="00FC186B">
        <w:rPr>
          <w:rStyle w:val="FootnoteReference"/>
        </w:rPr>
        <w:footnoteReference w:id="44"/>
      </w:r>
      <w:r w:rsidR="0074175B" w:rsidRPr="00FC186B">
        <w:t xml:space="preserve"> </w:t>
      </w:r>
      <w:r w:rsidR="00A3039B" w:rsidRPr="00FC186B">
        <w:t xml:space="preserve">The architectural first stage of AP, known as the unit pueblo, was discontinued about 75 km south of the study area, on maps from William Ferguson and Arthur </w:t>
      </w:r>
      <w:proofErr w:type="spellStart"/>
      <w:r w:rsidR="00A3039B" w:rsidRPr="00FC186B">
        <w:t>Rohn</w:t>
      </w:r>
      <w:proofErr w:type="spellEnd"/>
      <w:r w:rsidR="00A3039B" w:rsidRPr="00FC186B">
        <w:t>.</w:t>
      </w:r>
      <w:r w:rsidR="00A3039B" w:rsidRPr="00FC186B">
        <w:rPr>
          <w:rStyle w:val="FootnoteReference"/>
        </w:rPr>
        <w:footnoteReference w:id="45"/>
      </w:r>
      <w:r w:rsidR="00A3039B" w:rsidRPr="00FC186B">
        <w:t xml:space="preserve"> The rich ceramic culture of the Four Corners is found in trade goods, but local manufacture appears to have not progressed beyond rudimentary grayware, according to Pierson.</w:t>
      </w:r>
      <w:r w:rsidR="00A3039B" w:rsidRPr="00FC186B">
        <w:rPr>
          <w:rStyle w:val="FootnoteReference"/>
        </w:rPr>
        <w:footnoteReference w:id="46"/>
      </w:r>
      <w:r w:rsidR="00A3039B" w:rsidRPr="00FC186B">
        <w:t xml:space="preserve"> </w:t>
      </w:r>
    </w:p>
    <w:p w14:paraId="531D1915" w14:textId="42DE96F2" w:rsidR="00C414FF" w:rsidRDefault="00FF2211" w:rsidP="0068455A">
      <w:r w:rsidRPr="00FC186B">
        <w:t>According to Black</w:t>
      </w:r>
      <w:r w:rsidR="00313482">
        <w:t xml:space="preserve"> et al., who </w:t>
      </w:r>
      <w:r w:rsidR="00330CB6">
        <w:t xml:space="preserve">conducted a pedestrian </w:t>
      </w:r>
      <w:r w:rsidR="00313482">
        <w:t>survey</w:t>
      </w:r>
      <w:r w:rsidR="00330CB6">
        <w:t xml:space="preserve"> of the</w:t>
      </w:r>
      <w:r w:rsidR="00313482">
        <w:t xml:space="preserve"> </w:t>
      </w:r>
      <w:r w:rsidRPr="00FC186B">
        <w:t xml:space="preserve">Lisbon Valley south of the La Sal Mountains, shifting climate and thin soils made, </w:t>
      </w:r>
      <w:r w:rsidR="007E2266">
        <w:t>‘</w:t>
      </w:r>
      <w:r w:rsidRPr="00FC186B">
        <w:t>the northern periphery marginal for societies dependent on maize agriculture.’</w:t>
      </w:r>
      <w:r w:rsidRPr="00FC186B">
        <w:rPr>
          <w:rStyle w:val="FootnoteReference"/>
        </w:rPr>
        <w:footnoteReference w:id="47"/>
      </w:r>
      <w:r w:rsidRPr="00FC186B">
        <w:t xml:space="preserve"> </w:t>
      </w:r>
      <w:r w:rsidR="001B4CF5" w:rsidRPr="00FC186B">
        <w:t xml:space="preserve">In contrast to the agriculturists of the San Juan basin, whose diet consisted of </w:t>
      </w:r>
      <w:r w:rsidR="00DC47BD">
        <w:t xml:space="preserve">around </w:t>
      </w:r>
      <w:r w:rsidR="001B4CF5" w:rsidRPr="00DC47BD">
        <w:t>70% corn</w:t>
      </w:r>
      <w:r w:rsidR="001B4CF5" w:rsidRPr="00FC186B">
        <w:t xml:space="preserve">, according to </w:t>
      </w:r>
      <w:r w:rsidR="00DC47BD">
        <w:t>Stuart</w:t>
      </w:r>
      <w:r w:rsidR="001B4CF5" w:rsidRPr="00FC186B">
        <w:t xml:space="preserve">, </w:t>
      </w:r>
      <w:r w:rsidR="00313482">
        <w:t>AP</w:t>
      </w:r>
      <w:r w:rsidR="001B4CF5" w:rsidRPr="00FC186B">
        <w:t xml:space="preserve"> near Moab </w:t>
      </w:r>
      <w:r w:rsidR="001B4CF5" w:rsidRPr="00FC186B">
        <w:lastRenderedPageBreak/>
        <w:t>may have been opportunistic horticulturists.</w:t>
      </w:r>
      <w:r w:rsidR="00DC47BD">
        <w:rPr>
          <w:rStyle w:val="FootnoteReference"/>
        </w:rPr>
        <w:footnoteReference w:id="48"/>
      </w:r>
      <w:r w:rsidR="001B4CF5" w:rsidRPr="00FC186B">
        <w:t xml:space="preserve"> Annual precipitation in Moab is</w:t>
      </w:r>
      <w:r w:rsidR="00C414FF" w:rsidRPr="00FC186B">
        <w:t xml:space="preserve"> 240 mm/yr.</w:t>
      </w:r>
      <w:r w:rsidR="00C414FF" w:rsidRPr="00FC186B">
        <w:rPr>
          <w:rStyle w:val="FootnoteReference"/>
        </w:rPr>
        <w:footnoteReference w:id="49"/>
      </w:r>
      <w:r w:rsidR="00C414FF" w:rsidRPr="00FC186B">
        <w:t xml:space="preserve"> Maize </w:t>
      </w:r>
      <w:r w:rsidR="009540AB" w:rsidRPr="00FC186B">
        <w:t xml:space="preserve">is a tropical plant which </w:t>
      </w:r>
      <w:r w:rsidR="00C414FF" w:rsidRPr="00FC186B">
        <w:t>requires 635 mm</w:t>
      </w:r>
      <w:r w:rsidR="00660228" w:rsidRPr="00FC186B">
        <w:t>/yr.</w:t>
      </w:r>
      <w:r w:rsidR="00C414FF" w:rsidRPr="00FC186B">
        <w:t xml:space="preserve"> </w:t>
      </w:r>
      <w:r w:rsidR="00660228" w:rsidRPr="00FC186B">
        <w:t xml:space="preserve">rainfall, </w:t>
      </w:r>
      <w:r w:rsidR="00C414FF" w:rsidRPr="00FC186B">
        <w:t xml:space="preserve">according to </w:t>
      </w:r>
      <w:proofErr w:type="spellStart"/>
      <w:r w:rsidR="00C414FF" w:rsidRPr="00FC186B">
        <w:t>Lekson</w:t>
      </w:r>
      <w:proofErr w:type="spellEnd"/>
      <w:r w:rsidR="00C414FF" w:rsidRPr="00FC186B">
        <w:t>, and 120 frost-free days to reach maturity.</w:t>
      </w:r>
      <w:r w:rsidR="00C414FF" w:rsidRPr="00FC186B">
        <w:rPr>
          <w:rStyle w:val="FootnoteReference"/>
        </w:rPr>
        <w:footnoteReference w:id="50"/>
      </w:r>
      <w:r w:rsidR="00C414FF" w:rsidRPr="00FC186B">
        <w:t xml:space="preserve"> West of the La </w:t>
      </w:r>
      <w:proofErr w:type="spellStart"/>
      <w:r w:rsidR="00C414FF" w:rsidRPr="00FC186B">
        <w:t>Sals</w:t>
      </w:r>
      <w:proofErr w:type="spellEnd"/>
      <w:r w:rsidR="00660228" w:rsidRPr="00FC186B">
        <w:t>,</w:t>
      </w:r>
      <w:r w:rsidR="00C414FF" w:rsidRPr="00FC186B">
        <w:t xml:space="preserve"> </w:t>
      </w:r>
      <w:r w:rsidR="00660228" w:rsidRPr="00FC186B">
        <w:t>there may have been</w:t>
      </w:r>
      <w:r w:rsidR="00C414FF" w:rsidRPr="00FC186B">
        <w:t xml:space="preserve"> enough frost-free days </w:t>
      </w:r>
      <w:r w:rsidR="00660228" w:rsidRPr="00FC186B">
        <w:t>to ripen corn,</w:t>
      </w:r>
      <w:r w:rsidR="00C414FF" w:rsidRPr="00FC186B">
        <w:t xml:space="preserve"> but irrigation</w:t>
      </w:r>
      <w:r w:rsidR="00660228" w:rsidRPr="00FC186B">
        <w:t xml:space="preserve"> was required to supplement rainfall</w:t>
      </w:r>
      <w:r w:rsidR="0085366D">
        <w:t>, while i</w:t>
      </w:r>
      <w:r w:rsidR="00C414FF" w:rsidRPr="00FC186B">
        <w:t xml:space="preserve">n the valleys north of the La </w:t>
      </w:r>
      <w:proofErr w:type="spellStart"/>
      <w:r w:rsidR="00C414FF" w:rsidRPr="00FC186B">
        <w:t>Sals</w:t>
      </w:r>
      <w:proofErr w:type="spellEnd"/>
      <w:r w:rsidR="00C414FF" w:rsidRPr="00FC186B">
        <w:t>, early frosts descend from snowy</w:t>
      </w:r>
      <w:r w:rsidR="00313482">
        <w:t xml:space="preserve"> slopes </w:t>
      </w:r>
      <w:r w:rsidR="00C414FF" w:rsidRPr="00FC186B">
        <w:t>shorten</w:t>
      </w:r>
      <w:r w:rsidR="00313482">
        <w:t>ing</w:t>
      </w:r>
      <w:r w:rsidR="00C414FF" w:rsidRPr="00FC186B">
        <w:t xml:space="preserve"> the</w:t>
      </w:r>
      <w:r w:rsidR="004F64A5">
        <w:t xml:space="preserve"> already marginal</w:t>
      </w:r>
      <w:r w:rsidR="00C414FF" w:rsidRPr="00FC186B">
        <w:t xml:space="preserve"> frost-free season for corn</w:t>
      </w:r>
      <w:r w:rsidR="0085366D">
        <w:t>, according to Jennings</w:t>
      </w:r>
      <w:r w:rsidR="00C414FF" w:rsidRPr="00FC186B">
        <w:t>.</w:t>
      </w:r>
      <w:r w:rsidR="00C414FF" w:rsidRPr="00FC186B">
        <w:rPr>
          <w:rStyle w:val="FootnoteReference"/>
        </w:rPr>
        <w:footnoteReference w:id="51"/>
      </w:r>
      <w:r w:rsidR="00C414FF" w:rsidRPr="00FC186B">
        <w:t xml:space="preserve"> </w:t>
      </w:r>
      <w:r w:rsidR="009A7E95" w:rsidRPr="00FC186B">
        <w:t xml:space="preserve">Within the study area, attempts at agriculture and sedentary lifestyles were sparse, short-lived, and continued to rely heavily on hunting and gathering to supplement the diet, </w:t>
      </w:r>
      <w:r w:rsidR="004F64A5">
        <w:t>in</w:t>
      </w:r>
      <w:r w:rsidR="009A7E95" w:rsidRPr="00FC186B">
        <w:t xml:space="preserve"> Pierson</w:t>
      </w:r>
      <w:r w:rsidR="004F64A5">
        <w:t>’s assessment</w:t>
      </w:r>
      <w:r w:rsidR="009A7E95" w:rsidRPr="00FC186B">
        <w:t>.</w:t>
      </w:r>
      <w:r w:rsidR="009A7E95" w:rsidRPr="00FC186B">
        <w:rPr>
          <w:rStyle w:val="FootnoteReference"/>
        </w:rPr>
        <w:footnoteReference w:id="52"/>
      </w:r>
    </w:p>
    <w:p w14:paraId="211A61B7" w14:textId="7E9CBCE2" w:rsidR="00AE690D" w:rsidRPr="00FC186B" w:rsidRDefault="00AE690D" w:rsidP="0068455A">
      <w:pPr>
        <w:pStyle w:val="Heading3"/>
      </w:pPr>
      <w:bookmarkStart w:id="40" w:name="_Toc101636972"/>
      <w:r>
        <w:t>The Fremont</w:t>
      </w:r>
      <w:bookmarkEnd w:id="40"/>
    </w:p>
    <w:p w14:paraId="44F44D91" w14:textId="738D7D5D" w:rsidR="00B339E2" w:rsidRDefault="00A87E99" w:rsidP="0068455A">
      <w:r>
        <w:t>Jennings delineated the Colorado River as the boundary between</w:t>
      </w:r>
      <w:r w:rsidR="00561320">
        <w:t xml:space="preserve"> the </w:t>
      </w:r>
      <w:r w:rsidR="004F64A5">
        <w:t>AP</w:t>
      </w:r>
      <w:r w:rsidR="00561320">
        <w:t xml:space="preserve"> </w:t>
      </w:r>
      <w:r>
        <w:t>to the south and the Fremont to the north.</w:t>
      </w:r>
      <w:r>
        <w:rPr>
          <w:rStyle w:val="FootnoteReference"/>
        </w:rPr>
        <w:footnoteReference w:id="53"/>
      </w:r>
      <w:r>
        <w:t xml:space="preserve"> The Fremont are</w:t>
      </w:r>
      <w:r w:rsidR="00561320">
        <w:t xml:space="preserve"> a second agricultural group, </w:t>
      </w:r>
      <w:r>
        <w:t>who</w:t>
      </w:r>
      <w:r w:rsidR="00FF2211" w:rsidRPr="00FC186B">
        <w:t xml:space="preserve"> emerged from Archaic peoples in the region north and </w:t>
      </w:r>
      <w:r>
        <w:t>ea</w:t>
      </w:r>
      <w:r w:rsidR="00FF2211" w:rsidRPr="00FC186B">
        <w:t xml:space="preserve">st of the Colorado River </w:t>
      </w:r>
      <w:r w:rsidR="00023138" w:rsidRPr="00FC186B">
        <w:t xml:space="preserve">around 500 </w:t>
      </w:r>
      <w:r w:rsidR="0089791D">
        <w:t>-1200 CE</w:t>
      </w:r>
      <w:r w:rsidR="007E4547" w:rsidRPr="00FC186B">
        <w:t>, according to Jennings</w:t>
      </w:r>
      <w:r w:rsidR="00561320">
        <w:t>.</w:t>
      </w:r>
      <w:r w:rsidR="00561320" w:rsidRPr="00FC186B">
        <w:rPr>
          <w:rStyle w:val="FootnoteReference"/>
        </w:rPr>
        <w:footnoteReference w:id="54"/>
      </w:r>
      <w:r w:rsidR="00561320">
        <w:t xml:space="preserve"> </w:t>
      </w:r>
      <w:r w:rsidR="004F64A5" w:rsidRPr="00FC186B">
        <w:t xml:space="preserve">David Madsen </w:t>
      </w:r>
      <w:r w:rsidR="004F64A5">
        <w:t>described t</w:t>
      </w:r>
      <w:r w:rsidR="00791307" w:rsidRPr="00FC186B">
        <w:t xml:space="preserve">he Fremont </w:t>
      </w:r>
      <w:r w:rsidR="00791307">
        <w:t>as</w:t>
      </w:r>
      <w:r w:rsidR="00791307" w:rsidRPr="00FC186B">
        <w:t xml:space="preserve"> ‘variable’ in their subsistence strategies, fluctuating between sedentary agricultural lives in pit houses to hunting and gathering and living in rock shelters,</w:t>
      </w:r>
      <w:r w:rsidR="004F64A5">
        <w:t xml:space="preserve"> and for whom only</w:t>
      </w:r>
      <w:r w:rsidR="00791307" w:rsidRPr="00FC186B">
        <w:t xml:space="preserve"> </w:t>
      </w:r>
      <w:r w:rsidR="00791307">
        <w:t xml:space="preserve">four </w:t>
      </w:r>
      <w:r w:rsidR="004F64A5">
        <w:t xml:space="preserve">minor </w:t>
      </w:r>
      <w:r w:rsidR="00791307">
        <w:t>cultural traits</w:t>
      </w:r>
      <w:r w:rsidR="004F64A5" w:rsidRPr="004F64A5">
        <w:t xml:space="preserve"> </w:t>
      </w:r>
      <w:r w:rsidR="004F64A5">
        <w:t>were distinctive</w:t>
      </w:r>
      <w:r w:rsidR="00791307" w:rsidRPr="00FC186B">
        <w:t>.</w:t>
      </w:r>
      <w:r w:rsidR="00791307" w:rsidRPr="00FC186B">
        <w:rPr>
          <w:rStyle w:val="FootnoteReference"/>
        </w:rPr>
        <w:footnoteReference w:id="55"/>
      </w:r>
      <w:r w:rsidR="00791307" w:rsidRPr="00FC186B">
        <w:t xml:space="preserve"> </w:t>
      </w:r>
      <w:r w:rsidR="00F0393E">
        <w:t>Based on g</w:t>
      </w:r>
      <w:r w:rsidR="00791307">
        <w:t xml:space="preserve">enetic </w:t>
      </w:r>
      <w:r w:rsidR="00BF5820">
        <w:t xml:space="preserve">mitochondrial DNA </w:t>
      </w:r>
      <w:r w:rsidR="00F0393E">
        <w:t xml:space="preserve">and linguistic evidence, Carol Patterson argued </w:t>
      </w:r>
      <w:r>
        <w:t xml:space="preserve">in 2018 </w:t>
      </w:r>
      <w:r w:rsidR="00F0393E">
        <w:t xml:space="preserve">that </w:t>
      </w:r>
      <w:r>
        <w:t>the</w:t>
      </w:r>
      <w:r w:rsidR="00791307">
        <w:t xml:space="preserve"> Fremont north of the study area </w:t>
      </w:r>
      <w:r w:rsidR="00F0393E">
        <w:t xml:space="preserve">were </w:t>
      </w:r>
      <w:r w:rsidR="005E1415">
        <w:t>AP</w:t>
      </w:r>
      <w:r w:rsidR="00F0393E">
        <w:t xml:space="preserve">, </w:t>
      </w:r>
      <w:r w:rsidR="005E1415">
        <w:t xml:space="preserve">who colonized </w:t>
      </w:r>
      <w:r w:rsidR="005E1415">
        <w:lastRenderedPageBreak/>
        <w:t xml:space="preserve">and farmed river valleys and side streams throughout eastern Utah to the Wyoming border, then </w:t>
      </w:r>
      <w:r w:rsidR="00F0393E">
        <w:t xml:space="preserve">eventually migrated to the </w:t>
      </w:r>
      <w:r w:rsidR="00791307">
        <w:t>Hopi</w:t>
      </w:r>
      <w:r w:rsidR="00F0393E">
        <w:t xml:space="preserve"> mesas.</w:t>
      </w:r>
      <w:r w:rsidR="00E656D6">
        <w:rPr>
          <w:rStyle w:val="FootnoteReference"/>
        </w:rPr>
        <w:footnoteReference w:id="56"/>
      </w:r>
      <w:r w:rsidR="00F0393E">
        <w:t xml:space="preserve"> </w:t>
      </w:r>
      <w:r w:rsidR="007F2219">
        <w:t xml:space="preserve">Patterson argued that AP </w:t>
      </w:r>
      <w:r w:rsidR="00182867">
        <w:t>created masonry structures along the Green River and</w:t>
      </w:r>
      <w:r w:rsidR="007F2219">
        <w:t xml:space="preserve"> farmed </w:t>
      </w:r>
      <w:r w:rsidR="00C160B2">
        <w:t>its tributaries.</w:t>
      </w:r>
      <w:r w:rsidR="007F2219">
        <w:rPr>
          <w:rStyle w:val="FootnoteReference"/>
        </w:rPr>
        <w:footnoteReference w:id="57"/>
      </w:r>
      <w:r w:rsidR="007F2219">
        <w:t xml:space="preserve"> </w:t>
      </w:r>
      <w:r w:rsidR="00F0393E">
        <w:t>C</w:t>
      </w:r>
      <w:r w:rsidR="00E656D6">
        <w:t>onnie</w:t>
      </w:r>
      <w:r w:rsidR="00F0393E">
        <w:t xml:space="preserve"> Mulligan questioned </w:t>
      </w:r>
      <w:r w:rsidR="00C160B2">
        <w:t>whether</w:t>
      </w:r>
      <w:r w:rsidR="00F0393E">
        <w:t xml:space="preserve"> Fremont are genetically linked to the AP and modern </w:t>
      </w:r>
      <w:r w:rsidR="00C160B2">
        <w:t>P</w:t>
      </w:r>
      <w:r w:rsidR="00F0393E">
        <w:t>ueblo groups.</w:t>
      </w:r>
      <w:r w:rsidR="00E656D6">
        <w:rPr>
          <w:rStyle w:val="FootnoteReference"/>
        </w:rPr>
        <w:footnoteReference w:id="58"/>
      </w:r>
      <w:r w:rsidR="00F0393E">
        <w:t xml:space="preserve"> The early </w:t>
      </w:r>
      <w:r w:rsidR="00C460E2">
        <w:t xml:space="preserve">regional </w:t>
      </w:r>
      <w:r w:rsidR="00F0393E">
        <w:t xml:space="preserve">archaeologist Hunt labeled the farmers in </w:t>
      </w:r>
      <w:r w:rsidR="00983722">
        <w:t>the valleys of the study area as ‘prehistoric Hopi’ and the hunter-gatherers in the mountains as ‘Fremont?’</w:t>
      </w:r>
      <w:r w:rsidR="009F3C56">
        <w:rPr>
          <w:rStyle w:val="FootnoteReference"/>
        </w:rPr>
        <w:footnoteReference w:id="59"/>
      </w:r>
      <w:r w:rsidR="00983722">
        <w:t xml:space="preserve"> While Hunt’s terms are no longer used, Pierson concluded that there was an </w:t>
      </w:r>
      <w:r w:rsidR="00C460E2">
        <w:t>‘</w:t>
      </w:r>
      <w:r w:rsidR="00983722">
        <w:t>interfingering</w:t>
      </w:r>
      <w:r w:rsidR="00C460E2">
        <w:t>’</w:t>
      </w:r>
      <w:r w:rsidR="00983722">
        <w:t xml:space="preserve"> of two groups that used different ecosystems in the study area.</w:t>
      </w:r>
      <w:r w:rsidR="00C460E2">
        <w:rPr>
          <w:rStyle w:val="FootnoteReference"/>
        </w:rPr>
        <w:footnoteReference w:id="60"/>
      </w:r>
      <w:r w:rsidR="00983722">
        <w:t xml:space="preserve"> </w:t>
      </w:r>
      <w:r w:rsidR="008662FD">
        <w:t xml:space="preserve">Contrary to </w:t>
      </w:r>
      <w:r w:rsidR="00136719">
        <w:t>Jennings’s</w:t>
      </w:r>
      <w:r w:rsidR="00983722">
        <w:t xml:space="preserve"> </w:t>
      </w:r>
      <w:r w:rsidR="00F5248E">
        <w:t>assertion of</w:t>
      </w:r>
      <w:r w:rsidR="00983722">
        <w:t xml:space="preserve"> </w:t>
      </w:r>
      <w:r w:rsidR="00F5248E">
        <w:t xml:space="preserve">the Colorado River as a </w:t>
      </w:r>
      <w:r w:rsidR="008662FD">
        <w:t xml:space="preserve">regional border between the </w:t>
      </w:r>
      <w:r w:rsidR="00983722">
        <w:t xml:space="preserve">Fremont and AP, a more complex map of riverine farming communities surrounded by hunter-gatherer peoples </w:t>
      </w:r>
      <w:r w:rsidR="00C160B2">
        <w:t xml:space="preserve">emerged, which may </w:t>
      </w:r>
      <w:r w:rsidR="00F62CD8" w:rsidRPr="005220FB">
        <w:t>extend across North America</w:t>
      </w:r>
      <w:r w:rsidR="007E2266">
        <w:t>,</w:t>
      </w:r>
      <w:r w:rsidR="00F62CD8" w:rsidRPr="005220FB">
        <w:t xml:space="preserve"> according to </w:t>
      </w:r>
      <w:proofErr w:type="spellStart"/>
      <w:r w:rsidR="00F62CD8" w:rsidRPr="005220FB">
        <w:t>Lekson</w:t>
      </w:r>
      <w:proofErr w:type="spellEnd"/>
      <w:r w:rsidR="00CE487F" w:rsidRPr="005220FB">
        <w:t>.</w:t>
      </w:r>
      <w:r w:rsidR="00F62CD8" w:rsidRPr="005220FB">
        <w:rPr>
          <w:rStyle w:val="FootnoteReference"/>
        </w:rPr>
        <w:footnoteReference w:id="61"/>
      </w:r>
      <w:r w:rsidR="00CE487F">
        <w:t xml:space="preserve"> </w:t>
      </w:r>
    </w:p>
    <w:p w14:paraId="57D44A4F" w14:textId="5EB6D146" w:rsidR="00983722" w:rsidRDefault="00136719" w:rsidP="0068455A">
      <w:r>
        <w:t>Whether these</w:t>
      </w:r>
      <w:r w:rsidR="008662FD">
        <w:t xml:space="preserve"> groups were maintaining territor</w:t>
      </w:r>
      <w:r>
        <w:t>ies</w:t>
      </w:r>
      <w:r w:rsidR="008662FD">
        <w:t xml:space="preserve"> </w:t>
      </w:r>
      <w:r>
        <w:t>along</w:t>
      </w:r>
      <w:r w:rsidR="008662FD">
        <w:t xml:space="preserve"> the river or crossing it for trade and intermarriage, neither the Fremont nor the AP retained the </w:t>
      </w:r>
      <w:r w:rsidR="009F3C56">
        <w:t>classic</w:t>
      </w:r>
      <w:r w:rsidR="008662FD">
        <w:t xml:space="preserve"> traits of their cultural </w:t>
      </w:r>
      <w:proofErr w:type="spellStart"/>
      <w:r w:rsidR="008662FD">
        <w:t>epicent</w:t>
      </w:r>
      <w:r w:rsidR="00AD438E">
        <w:t>re</w:t>
      </w:r>
      <w:r w:rsidR="008662FD">
        <w:t>s</w:t>
      </w:r>
      <w:proofErr w:type="spellEnd"/>
      <w:r w:rsidR="008662FD">
        <w:t xml:space="preserve"> and both had adopted adaptable lifestyles, often mixing horticulture with hunting and gathering</w:t>
      </w:r>
      <w:r w:rsidR="000B6D0B">
        <w:t xml:space="preserve">, leaving their cultures almost indistinguishable according to </w:t>
      </w:r>
      <w:r w:rsidR="000B6D0B" w:rsidRPr="005220FB">
        <w:t>Pierson</w:t>
      </w:r>
      <w:r w:rsidR="008662FD" w:rsidRPr="005220FB">
        <w:t>.</w:t>
      </w:r>
      <w:r w:rsidR="005220FB" w:rsidRPr="005220FB">
        <w:rPr>
          <w:rStyle w:val="FootnoteReference"/>
        </w:rPr>
        <w:footnoteReference w:id="62"/>
      </w:r>
      <w:r w:rsidR="000B6D0B">
        <w:t xml:space="preserve"> The architecture never progressed beyond pit houses and using </w:t>
      </w:r>
      <w:r w:rsidR="009C17A8">
        <w:t>R. G. Matson, et al.</w:t>
      </w:r>
      <w:r w:rsidR="000B6D0B">
        <w:t xml:space="preserve">’s formula for estimating </w:t>
      </w:r>
      <w:r w:rsidR="00C160B2">
        <w:t>sedentary</w:t>
      </w:r>
      <w:r w:rsidR="005C600A">
        <w:t xml:space="preserve"> </w:t>
      </w:r>
      <w:r w:rsidR="000B6D0B">
        <w:t xml:space="preserve">population, the </w:t>
      </w:r>
      <w:r w:rsidR="005C600A">
        <w:t>fifty</w:t>
      </w:r>
      <w:r w:rsidR="000B6D0B">
        <w:t xml:space="preserve"> known pit house ruins, generously </w:t>
      </w:r>
      <w:r w:rsidR="000B6D0B">
        <w:lastRenderedPageBreak/>
        <w:t xml:space="preserve">multiplied by four would only yield a population of </w:t>
      </w:r>
      <w:r w:rsidR="005C600A">
        <w:t>66</w:t>
      </w:r>
      <w:r w:rsidR="000B6D0B">
        <w:t xml:space="preserve"> on average over 150 years of occupancy in the study area.</w:t>
      </w:r>
      <w:r w:rsidR="009C17A8">
        <w:rPr>
          <w:rStyle w:val="FootnoteReference"/>
        </w:rPr>
        <w:footnoteReference w:id="63"/>
      </w:r>
      <w:r w:rsidR="000B6D0B">
        <w:t xml:space="preserve"> </w:t>
      </w:r>
      <w:r w:rsidR="00273301">
        <w:t xml:space="preserve">Aton described a depopulated region from 600-900 CE </w:t>
      </w:r>
      <w:r w:rsidR="00407841">
        <w:t>leaving only</w:t>
      </w:r>
      <w:r w:rsidR="000B6D0B">
        <w:t xml:space="preserve"> a couple of centuries </w:t>
      </w:r>
      <w:r w:rsidR="00407841">
        <w:t>during which a</w:t>
      </w:r>
      <w:r w:rsidR="000B6D0B">
        <w:t xml:space="preserve"> small group of settlers</w:t>
      </w:r>
      <w:r w:rsidR="00407841">
        <w:t xml:space="preserve"> attempted farming in the valleys of the study area</w:t>
      </w:r>
      <w:r w:rsidR="009C17A8">
        <w:t>.</w:t>
      </w:r>
      <w:r w:rsidR="00407841">
        <w:rPr>
          <w:rStyle w:val="FootnoteReference"/>
        </w:rPr>
        <w:footnoteReference w:id="64"/>
      </w:r>
      <w:r w:rsidR="009C17A8">
        <w:t xml:space="preserve"> </w:t>
      </w:r>
      <w:r w:rsidR="0089791D">
        <w:t xml:space="preserve">The rock art left by the AP and/or Fremont </w:t>
      </w:r>
      <w:r w:rsidR="009C17A8">
        <w:t>form</w:t>
      </w:r>
      <w:r w:rsidR="0089791D">
        <w:t>s</w:t>
      </w:r>
      <w:r w:rsidR="009C17A8">
        <w:t xml:space="preserve"> a </w:t>
      </w:r>
      <w:r w:rsidR="00DC47BD">
        <w:t>timestamp</w:t>
      </w:r>
      <w:r w:rsidR="009C17A8">
        <w:t xml:space="preserve"> of younger rock art superimposed over older elements, which can then be associated with people leading an </w:t>
      </w:r>
      <w:r w:rsidR="00B339E2">
        <w:t>a</w:t>
      </w:r>
      <w:r w:rsidR="009C17A8">
        <w:t>rchaic lifestyle.</w:t>
      </w:r>
    </w:p>
    <w:p w14:paraId="049D7D65" w14:textId="747022BF" w:rsidR="00983722" w:rsidRDefault="00C77497" w:rsidP="0068455A">
      <w:pPr>
        <w:pStyle w:val="Heading3"/>
      </w:pPr>
      <w:bookmarkStart w:id="42" w:name="_Toc101636973"/>
      <w:r>
        <w:t>Numic Tribes</w:t>
      </w:r>
      <w:bookmarkEnd w:id="42"/>
    </w:p>
    <w:p w14:paraId="6C92AD2E" w14:textId="24596BE3" w:rsidR="00155E35" w:rsidRDefault="00C414FF" w:rsidP="0068455A">
      <w:r w:rsidRPr="00FC186B">
        <w:t>The study area was culturally uniform in the protohistoric ~1200-1</w:t>
      </w:r>
      <w:r w:rsidR="002730FC">
        <w:t>8</w:t>
      </w:r>
      <w:r w:rsidRPr="00FC186B">
        <w:t>00</w:t>
      </w:r>
      <w:r w:rsidR="00155E35" w:rsidRPr="00FC186B">
        <w:t xml:space="preserve"> CE</w:t>
      </w:r>
      <w:r w:rsidRPr="00FC186B">
        <w:t xml:space="preserve"> phase during which the </w:t>
      </w:r>
      <w:r w:rsidR="00DF7B03" w:rsidRPr="00FC186B">
        <w:t xml:space="preserve">Numic-speaking </w:t>
      </w:r>
      <w:r w:rsidRPr="00FC186B">
        <w:t>Utes</w:t>
      </w:r>
      <w:r w:rsidR="00C77497">
        <w:t xml:space="preserve"> and Southern Paiutes</w:t>
      </w:r>
      <w:r w:rsidRPr="00FC186B">
        <w:t xml:space="preserve"> led a nomadic </w:t>
      </w:r>
      <w:r w:rsidR="00155E35" w:rsidRPr="00FC186B">
        <w:t>hunter-gatherer</w:t>
      </w:r>
      <w:r w:rsidRPr="00FC186B">
        <w:t xml:space="preserve"> lifestyle</w:t>
      </w:r>
      <w:r w:rsidR="00DF7B03" w:rsidRPr="00FC186B">
        <w:t>, mostly using wickiup brush shelters</w:t>
      </w:r>
      <w:r w:rsidR="007F2219">
        <w:t>, according to Pierson</w:t>
      </w:r>
      <w:r w:rsidR="00C77497">
        <w:t>.</w:t>
      </w:r>
      <w:r w:rsidR="00C77497" w:rsidRPr="00FC186B">
        <w:rPr>
          <w:rStyle w:val="FootnoteReference"/>
        </w:rPr>
        <w:footnoteReference w:id="65"/>
      </w:r>
      <w:r w:rsidR="00DF7B03" w:rsidRPr="00FC186B">
        <w:t xml:space="preserve"> </w:t>
      </w:r>
      <w:r w:rsidR="00C77497">
        <w:t xml:space="preserve">The Utes flourished with the introduction of the horse and were primarily a mountain people, </w:t>
      </w:r>
      <w:r w:rsidR="007B61A2">
        <w:t>whose</w:t>
      </w:r>
      <w:r w:rsidRPr="00FC186B">
        <w:t xml:space="preserve"> petroglyphs </w:t>
      </w:r>
      <w:r w:rsidR="007B61A2">
        <w:t>are</w:t>
      </w:r>
      <w:r w:rsidR="00C34C60" w:rsidRPr="00FC186B">
        <w:t xml:space="preserve"> </w:t>
      </w:r>
      <w:r w:rsidR="00155E35" w:rsidRPr="00FC186B">
        <w:t>often</w:t>
      </w:r>
      <w:r w:rsidRPr="00FC186B">
        <w:t xml:space="preserve"> identifiable by the depictions of horses and other European introductions</w:t>
      </w:r>
      <w:r w:rsidR="00C34C60" w:rsidRPr="00FC186B">
        <w:t>, a</w:t>
      </w:r>
      <w:r w:rsidR="00B339E2">
        <w:t>ccording to</w:t>
      </w:r>
      <w:r w:rsidR="00C34C60" w:rsidRPr="00FC186B">
        <w:t xml:space="preserve"> </w:t>
      </w:r>
      <w:r w:rsidR="00A856A2" w:rsidRPr="00FC186B">
        <w:t>Patterson</w:t>
      </w:r>
      <w:r w:rsidRPr="00FC186B">
        <w:t>.</w:t>
      </w:r>
      <w:r w:rsidR="00A601CC" w:rsidRPr="00FC186B">
        <w:rPr>
          <w:rStyle w:val="FootnoteReference"/>
        </w:rPr>
        <w:footnoteReference w:id="66"/>
      </w:r>
      <w:r w:rsidRPr="00FC186B">
        <w:t xml:space="preserve"> The importance of identifying the local rock art as part of the AP, Fremont or even Ute traditions </w:t>
      </w:r>
      <w:r w:rsidR="00842EFA">
        <w:t>was</w:t>
      </w:r>
      <w:r w:rsidRPr="00FC186B">
        <w:t xml:space="preserve"> solely used to recognize that it is of a significantly younger creation than Archaic elements, which are the subject of this study.</w:t>
      </w:r>
      <w:r w:rsidR="00155E35" w:rsidRPr="00FC186B">
        <w:t xml:space="preserve"> </w:t>
      </w:r>
      <w:r w:rsidR="00A601CC" w:rsidRPr="00FC186B">
        <w:t>Due to the extended time frame in which Ute rock art was produced, panels containing Ute elements are not included in this study.</w:t>
      </w:r>
    </w:p>
    <w:p w14:paraId="56747DAB" w14:textId="41BA28BF" w:rsidR="002730FC" w:rsidRPr="00FC186B" w:rsidRDefault="002730FC" w:rsidP="0068455A">
      <w:r>
        <w:lastRenderedPageBreak/>
        <w:t>In summary</w:t>
      </w:r>
      <w:r w:rsidR="005C600A">
        <w:t>,</w:t>
      </w:r>
      <w:r>
        <w:t xml:space="preserve"> the geologic and geographic attributes of the study area have favored the versatile approach of hunter-gathers. It remained remote from cultural </w:t>
      </w:r>
      <w:proofErr w:type="spellStart"/>
      <w:r>
        <w:t>cent</w:t>
      </w:r>
      <w:r w:rsidR="00AD438E">
        <w:t>re</w:t>
      </w:r>
      <w:r>
        <w:t>s</w:t>
      </w:r>
      <w:proofErr w:type="spellEnd"/>
      <w:r>
        <w:t xml:space="preserve"> and </w:t>
      </w:r>
      <w:r w:rsidR="00231EE4">
        <w:t xml:space="preserve">distinctions between groups seem more responsive to environmental conditions than cultural legacies. After a relatively short period of trying to pursue maize agriculture in a marginal environment, those who had once come from the south returned and hunting and gathering tribes from Western Great Basin </w:t>
      </w:r>
      <w:r w:rsidR="0097045E">
        <w:t>took</w:t>
      </w:r>
      <w:r w:rsidR="00231EE4">
        <w:t xml:space="preserve"> over the region </w:t>
      </w:r>
      <w:r w:rsidR="00CA1A7E">
        <w:t xml:space="preserve">to </w:t>
      </w:r>
      <w:r w:rsidR="00231EE4">
        <w:t>exploit the resources effectively</w:t>
      </w:r>
      <w:r w:rsidR="0097045E" w:rsidRPr="0097045E">
        <w:t xml:space="preserve"> </w:t>
      </w:r>
      <w:r w:rsidR="0097045E">
        <w:t>into protohistoric times</w:t>
      </w:r>
      <w:r w:rsidR="00231EE4">
        <w:t xml:space="preserve">. </w:t>
      </w:r>
    </w:p>
    <w:p w14:paraId="2474C0B6" w14:textId="77777777" w:rsidR="00C414FF" w:rsidRPr="00FC186B" w:rsidRDefault="00C414FF" w:rsidP="0068455A"/>
    <w:p w14:paraId="2B535170" w14:textId="6B9293B5" w:rsidR="00AC1181" w:rsidRPr="00FC186B" w:rsidRDefault="00CA1A7E" w:rsidP="0068455A">
      <w:bookmarkStart w:id="44" w:name="_Toc101636974"/>
      <w:r>
        <w:rPr>
          <w:rStyle w:val="Heading1Char"/>
        </w:rPr>
        <w:t>Literature Review</w:t>
      </w:r>
      <w:bookmarkEnd w:id="44"/>
      <w:r w:rsidR="000F3E19" w:rsidRPr="00FC186B">
        <w:t xml:space="preserve"> </w:t>
      </w:r>
    </w:p>
    <w:p w14:paraId="11D3B2B1" w14:textId="38B6A246" w:rsidR="009B45F6" w:rsidRPr="00FC186B" w:rsidRDefault="009B45F6" w:rsidP="0068455A">
      <w:r w:rsidRPr="00FC186B">
        <w:t xml:space="preserve">This study </w:t>
      </w:r>
      <w:r w:rsidR="00CA1A7E">
        <w:t>sought</w:t>
      </w:r>
      <w:r w:rsidRPr="00FC186B">
        <w:t xml:space="preserve"> to understand the importance of solstitial </w:t>
      </w:r>
      <w:r w:rsidR="005C600A">
        <w:t xml:space="preserve">horizon </w:t>
      </w:r>
      <w:r w:rsidRPr="00FC186B">
        <w:t xml:space="preserve">events to Archaic hunter and gathers, by applying skyscape archaeology methods to the placement of their rock art within the canyon landscapes. The academic context </w:t>
      </w:r>
      <w:r w:rsidR="00AF133E" w:rsidRPr="00FC186B">
        <w:t>begins with definitions of rock art, proceeds with the role of solstice tracking in emerging societies and concludes with the method of skyscape archaeology and means of applying it to the local rock art.</w:t>
      </w:r>
    </w:p>
    <w:p w14:paraId="270F4659" w14:textId="77777777" w:rsidR="00D47DEB" w:rsidRPr="00FC186B" w:rsidRDefault="00D47DEB" w:rsidP="0071627A">
      <w:pPr>
        <w:pStyle w:val="Heading2"/>
      </w:pPr>
      <w:bookmarkStart w:id="45" w:name="_Toc101636975"/>
      <w:r w:rsidRPr="00FC186B">
        <w:t>Rock Art</w:t>
      </w:r>
      <w:bookmarkEnd w:id="45"/>
    </w:p>
    <w:p w14:paraId="034AA692" w14:textId="1215BC04" w:rsidR="00325B4E" w:rsidRDefault="00E73DF2" w:rsidP="0068455A">
      <w:r w:rsidRPr="00FC186B">
        <w:t>The term ‘rock art’ is still in widespread use by researchers, such as Cole, who define</w:t>
      </w:r>
      <w:r w:rsidR="00CA1A7E">
        <w:t>d</w:t>
      </w:r>
      <w:r w:rsidRPr="00FC186B">
        <w:t xml:space="preserve"> it as ‘A body of pictorial data (images, marks, forms, technologies and their relationships) as well as to specific groups of imagery displayed on natural rock surfaces.’</w:t>
      </w:r>
      <w:r w:rsidRPr="00FC186B">
        <w:rPr>
          <w:rStyle w:val="FootnoteReference"/>
        </w:rPr>
        <w:footnoteReference w:id="67"/>
      </w:r>
      <w:r w:rsidRPr="00FC186B">
        <w:t xml:space="preserve"> Both Native descendants and researchers like Cole, Dissanayake and </w:t>
      </w:r>
      <w:proofErr w:type="spellStart"/>
      <w:r w:rsidRPr="00FC186B">
        <w:t>Malotki</w:t>
      </w:r>
      <w:proofErr w:type="spellEnd"/>
      <w:r w:rsidRPr="00FC186B">
        <w:t xml:space="preserve"> agree that the term ‘art’ conjures misleading Western concepts of ‘art’.</w:t>
      </w:r>
      <w:r w:rsidRPr="00FC186B">
        <w:rPr>
          <w:rStyle w:val="FootnoteReference"/>
        </w:rPr>
        <w:footnoteReference w:id="68"/>
      </w:r>
      <w:r w:rsidRPr="00FC186B">
        <w:t xml:space="preserve"> Yet </w:t>
      </w:r>
      <w:proofErr w:type="spellStart"/>
      <w:r w:rsidRPr="00FC186B">
        <w:t>Malotki</w:t>
      </w:r>
      <w:proofErr w:type="spellEnd"/>
      <w:r w:rsidRPr="00FC186B">
        <w:t xml:space="preserve"> dispute</w:t>
      </w:r>
      <w:r w:rsidR="0097045E">
        <w:t>d</w:t>
      </w:r>
      <w:r w:rsidRPr="00FC186B">
        <w:t xml:space="preserve"> the concept that rock </w:t>
      </w:r>
      <w:r w:rsidRPr="00FC186B">
        <w:lastRenderedPageBreak/>
        <w:t>art is a form of proto-writing</w:t>
      </w:r>
      <w:r w:rsidR="002E720F">
        <w:t>;</w:t>
      </w:r>
      <w:r w:rsidRPr="00FC186B">
        <w:t xml:space="preserve"> by</w:t>
      </w:r>
      <w:r w:rsidR="00322F91">
        <w:t xml:space="preserve"> contrast</w:t>
      </w:r>
      <w:r w:rsidRPr="00FC186B">
        <w:t xml:space="preserve"> LaVan Martineau</w:t>
      </w:r>
      <w:r w:rsidR="00322F91">
        <w:t xml:space="preserve"> and Patterson correlate</w:t>
      </w:r>
      <w:r w:rsidR="0097045E">
        <w:t>d</w:t>
      </w:r>
      <w:r w:rsidR="00322F91">
        <w:t xml:space="preserve"> the imagery to Indian sign language</w:t>
      </w:r>
      <w:r w:rsidRPr="00FC186B">
        <w:t>.</w:t>
      </w:r>
      <w:r w:rsidRPr="00FC186B">
        <w:rPr>
          <w:rStyle w:val="FootnoteReference"/>
        </w:rPr>
        <w:footnoteReference w:id="69"/>
      </w:r>
      <w:r w:rsidRPr="00FC186B">
        <w:t xml:space="preserve"> Dissanayake and </w:t>
      </w:r>
      <w:proofErr w:type="spellStart"/>
      <w:r w:rsidRPr="00FC186B">
        <w:t>Malotki</w:t>
      </w:r>
      <w:proofErr w:type="spellEnd"/>
      <w:r w:rsidRPr="00FC186B">
        <w:t xml:space="preserve"> seek to redefine rock art </w:t>
      </w:r>
      <w:r w:rsidR="008B18E9" w:rsidRPr="00FC186B">
        <w:t xml:space="preserve">as </w:t>
      </w:r>
      <w:r w:rsidRPr="00FC186B">
        <w:t xml:space="preserve">a form of </w:t>
      </w:r>
      <w:proofErr w:type="spellStart"/>
      <w:r w:rsidRPr="00FC186B">
        <w:t>artification</w:t>
      </w:r>
      <w:proofErr w:type="spellEnd"/>
      <w:r w:rsidRPr="00FC186B">
        <w:t xml:space="preserve"> or ‘making something ordinary extraordinary,’ which is considered a universal human trait.</w:t>
      </w:r>
      <w:r w:rsidRPr="00FC186B">
        <w:rPr>
          <w:rStyle w:val="FootnoteReference"/>
        </w:rPr>
        <w:footnoteReference w:id="70"/>
      </w:r>
      <w:r w:rsidRPr="00FC186B">
        <w:t xml:space="preserve"> </w:t>
      </w:r>
      <w:proofErr w:type="spellStart"/>
      <w:r w:rsidR="00F86DBE" w:rsidRPr="00FC186B">
        <w:t>Artification</w:t>
      </w:r>
      <w:proofErr w:type="spellEnd"/>
      <w:r w:rsidR="00F86DBE" w:rsidRPr="00FC186B">
        <w:t xml:space="preserve"> is a</w:t>
      </w:r>
      <w:r w:rsidR="006970FC" w:rsidRPr="00FC186B">
        <w:t xml:space="preserve"> particularly useful </w:t>
      </w:r>
      <w:r w:rsidR="00F86DBE" w:rsidRPr="00FC186B">
        <w:t xml:space="preserve">term </w:t>
      </w:r>
      <w:r w:rsidR="006970FC" w:rsidRPr="00FC186B">
        <w:t xml:space="preserve">in this study, where the question is not concerned with the meaning of the rock art </w:t>
      </w:r>
      <w:r w:rsidR="00F86DBE" w:rsidRPr="00FC186B">
        <w:t xml:space="preserve">figures </w:t>
      </w:r>
      <w:r w:rsidR="006970FC" w:rsidRPr="00FC186B">
        <w:t xml:space="preserve">but to </w:t>
      </w:r>
      <w:r w:rsidR="006D2E55">
        <w:rPr>
          <w:noProof/>
        </w:rPr>
        <w:drawing>
          <wp:anchor distT="0" distB="0" distL="114300" distR="114300" simplePos="0" relativeHeight="251671552" behindDoc="0" locked="0" layoutInCell="1" allowOverlap="1" wp14:anchorId="5748B448" wp14:editId="5036A063">
            <wp:simplePos x="0" y="0"/>
            <wp:positionH relativeFrom="margin">
              <wp:align>left</wp:align>
            </wp:positionH>
            <wp:positionV relativeFrom="page">
              <wp:posOffset>3142282</wp:posOffset>
            </wp:positionV>
            <wp:extent cx="5367528" cy="2935224"/>
            <wp:effectExtent l="0" t="0" r="5080" b="0"/>
            <wp:wrapSquare wrapText="bothSides"/>
            <wp:docPr id="18" name="Picture 18" descr="A close-up of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wall&#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67528" cy="2935224"/>
                    </a:xfrm>
                    <a:prstGeom prst="rect">
                      <a:avLst/>
                    </a:prstGeom>
                  </pic:spPr>
                </pic:pic>
              </a:graphicData>
            </a:graphic>
            <wp14:sizeRelH relativeFrom="margin">
              <wp14:pctWidth>0</wp14:pctWidth>
            </wp14:sizeRelH>
            <wp14:sizeRelV relativeFrom="margin">
              <wp14:pctHeight>0</wp14:pctHeight>
            </wp14:sizeRelV>
          </wp:anchor>
        </w:drawing>
      </w:r>
      <w:r w:rsidR="006970FC" w:rsidRPr="00FC186B">
        <w:t>determine why an ordinary place was made extraordinary</w:t>
      </w:r>
      <w:r w:rsidR="00F86DBE" w:rsidRPr="00FC186B">
        <w:t>.</w:t>
      </w:r>
      <w:r w:rsidR="006970FC" w:rsidRPr="00FC186B">
        <w:t xml:space="preserve"> </w:t>
      </w:r>
    </w:p>
    <w:p w14:paraId="38BB3849" w14:textId="269F223E" w:rsidR="00F12BC0" w:rsidRDefault="00F12BC0" w:rsidP="00F12BC0">
      <w:pPr>
        <w:pStyle w:val="Caption"/>
      </w:pPr>
      <w:r w:rsidRPr="008F6707">
        <w:rPr>
          <w:b/>
          <w:bCs/>
        </w:rPr>
        <w:t>Plate 1</w:t>
      </w:r>
      <w:r>
        <w:t xml:space="preserve"> </w:t>
      </w:r>
      <w:proofErr w:type="spellStart"/>
      <w:r>
        <w:t>Barlett</w:t>
      </w:r>
      <w:proofErr w:type="spellEnd"/>
      <w:r>
        <w:t xml:space="preserve"> Panel </w:t>
      </w:r>
      <w:r w:rsidR="009179E9">
        <w:t>has</w:t>
      </w:r>
      <w:r>
        <w:t xml:space="preserve"> Barrier Canyon Style</w:t>
      </w:r>
      <w:r w:rsidR="009179E9">
        <w:t xml:space="preserve"> pictographs</w:t>
      </w:r>
      <w:r>
        <w:t>. Photo: Author.</w:t>
      </w:r>
    </w:p>
    <w:p w14:paraId="55AEA366" w14:textId="49D72759" w:rsidR="00F12BC0" w:rsidRDefault="00D34697" w:rsidP="00F12BC0">
      <w:r>
        <w:t xml:space="preserve">Cole defined </w:t>
      </w:r>
      <w:r w:rsidR="00E73DF2" w:rsidRPr="00FC186B">
        <w:t xml:space="preserve">the basic </w:t>
      </w:r>
      <w:r w:rsidR="00BC68D0">
        <w:t>rock art categories by technique</w:t>
      </w:r>
      <w:r w:rsidR="00E73DF2" w:rsidRPr="00FC186B">
        <w:t xml:space="preserve">, </w:t>
      </w:r>
      <w:r w:rsidR="00BC68D0">
        <w:t>where</w:t>
      </w:r>
      <w:r w:rsidR="00E73DF2" w:rsidRPr="00FC186B">
        <w:t xml:space="preserve"> petroglyphs</w:t>
      </w:r>
      <w:r w:rsidR="00BC68D0">
        <w:t xml:space="preserve"> </w:t>
      </w:r>
      <w:r w:rsidR="00E73DF2" w:rsidRPr="00FC186B">
        <w:t>are ‘pecked, incised, abraded, gouged, etched or scratched’ into the rock and pictographs, or rock paintings, are painted onto the stone using pigments</w:t>
      </w:r>
      <w:r w:rsidR="008B18E9" w:rsidRPr="00FC186B">
        <w:t>.</w:t>
      </w:r>
      <w:r w:rsidR="00E73DF2" w:rsidRPr="00FC186B">
        <w:rPr>
          <w:rStyle w:val="FootnoteReference"/>
        </w:rPr>
        <w:footnoteReference w:id="71"/>
      </w:r>
      <w:r w:rsidR="00E73DF2" w:rsidRPr="00FC186B">
        <w:t xml:space="preserve"> </w:t>
      </w:r>
      <w:r w:rsidR="00C812B8" w:rsidRPr="00FC186B">
        <w:t xml:space="preserve">Pictographs are highly vulnerable to </w:t>
      </w:r>
      <w:r w:rsidR="00977FB7">
        <w:t>weathering</w:t>
      </w:r>
      <w:r w:rsidR="00C812B8" w:rsidRPr="00FC186B">
        <w:t xml:space="preserve"> </w:t>
      </w:r>
      <w:r w:rsidR="000F512E" w:rsidRPr="00FC186B">
        <w:t xml:space="preserve">and </w:t>
      </w:r>
      <w:r w:rsidR="000F512E">
        <w:t>generally only survive in protected locations</w:t>
      </w:r>
      <w:r w:rsidR="000F512E" w:rsidRPr="00325B4E">
        <w:t>.</w:t>
      </w:r>
      <w:r w:rsidR="000F512E" w:rsidRPr="00FC186B">
        <w:t xml:space="preserve"> </w:t>
      </w:r>
      <w:r w:rsidR="000F512E">
        <w:t xml:space="preserve">See </w:t>
      </w:r>
      <w:r w:rsidR="00BC68D0">
        <w:t>Plate 1</w:t>
      </w:r>
      <w:r w:rsidR="000F512E">
        <w:t xml:space="preserve">. </w:t>
      </w:r>
      <w:r w:rsidR="00BC68D0">
        <w:t>Because</w:t>
      </w:r>
      <w:r w:rsidR="000F512E" w:rsidRPr="00FC186B">
        <w:t xml:space="preserve"> erosion skews the sampling</w:t>
      </w:r>
      <w:r w:rsidR="000F512E">
        <w:t xml:space="preserve"> by location</w:t>
      </w:r>
      <w:r w:rsidR="000F512E" w:rsidRPr="00FC186B">
        <w:t xml:space="preserve">, pictographs have been excluded from the study. The </w:t>
      </w:r>
      <w:r w:rsidR="000F512E">
        <w:lastRenderedPageBreak/>
        <w:t xml:space="preserve">collective </w:t>
      </w:r>
      <w:r w:rsidR="000F512E" w:rsidRPr="00FC186B">
        <w:t xml:space="preserve">term ‘element’ is used to refer </w:t>
      </w:r>
      <w:r w:rsidR="000F512E">
        <w:t xml:space="preserve">to </w:t>
      </w:r>
      <w:r w:rsidR="00BC68D0">
        <w:t xml:space="preserve">individual </w:t>
      </w:r>
      <w:r w:rsidR="000F512E">
        <w:t xml:space="preserve">figures subdivided by researchers like Polly </w:t>
      </w:r>
      <w:proofErr w:type="spellStart"/>
      <w:r w:rsidR="000F512E">
        <w:t>Schaafsma</w:t>
      </w:r>
      <w:proofErr w:type="spellEnd"/>
      <w:r w:rsidR="000F512E">
        <w:t xml:space="preserve"> and Cole into</w:t>
      </w:r>
      <w:r w:rsidR="000F512E" w:rsidRPr="00FC186B">
        <w:t xml:space="preserve"> </w:t>
      </w:r>
      <w:r w:rsidR="000F512E">
        <w:t xml:space="preserve">‘types’ such as </w:t>
      </w:r>
      <w:r w:rsidR="000F512E" w:rsidRPr="00FC186B">
        <w:t xml:space="preserve">anthropomorphs </w:t>
      </w:r>
      <w:r w:rsidR="000F512E">
        <w:t>(</w:t>
      </w:r>
      <w:r w:rsidR="000F512E" w:rsidRPr="00FC186B">
        <w:t>human-like figures</w:t>
      </w:r>
      <w:r w:rsidR="000F512E">
        <w:t>)</w:t>
      </w:r>
      <w:r w:rsidR="000F512E" w:rsidRPr="00FC186B">
        <w:t xml:space="preserve">, </w:t>
      </w:r>
      <w:proofErr w:type="spellStart"/>
      <w:r w:rsidR="000F512E">
        <w:t>zoomorphs</w:t>
      </w:r>
      <w:proofErr w:type="spellEnd"/>
      <w:r>
        <w:t xml:space="preserve"> </w:t>
      </w:r>
      <w:r w:rsidR="00217B8F">
        <w:t>(</w:t>
      </w:r>
      <w:r>
        <w:t>animal-like figures)</w:t>
      </w:r>
      <w:r w:rsidRPr="00FC186B">
        <w:t xml:space="preserve">, </w:t>
      </w:r>
      <w:r>
        <w:t>and geometric or abstract figures</w:t>
      </w:r>
      <w:r w:rsidRPr="00FC186B">
        <w:t>.</w:t>
      </w:r>
      <w:r>
        <w:rPr>
          <w:rStyle w:val="FootnoteReference"/>
        </w:rPr>
        <w:footnoteReference w:id="72"/>
      </w:r>
      <w:r w:rsidRPr="00FC186B">
        <w:t xml:space="preserve"> </w:t>
      </w:r>
      <w:r>
        <w:t xml:space="preserve">Both </w:t>
      </w:r>
      <w:proofErr w:type="spellStart"/>
      <w:r>
        <w:t>Schaafsma</w:t>
      </w:r>
      <w:proofErr w:type="spellEnd"/>
      <w:r>
        <w:t xml:space="preserve"> and Cole have distinguished themselves on the classification of rock art styles</w:t>
      </w:r>
      <w:r w:rsidR="009179E9">
        <w:t xml:space="preserve">. </w:t>
      </w:r>
      <w:r w:rsidR="004A7E51">
        <w:t xml:space="preserve">Differentiating between styles in the study region was challenging because many elements recurred </w:t>
      </w:r>
      <w:r w:rsidR="0089785E">
        <w:t>during</w:t>
      </w:r>
      <w:r w:rsidR="004A7E51">
        <w:t xml:space="preserve"> different eras of depositio</w:t>
      </w:r>
      <w:r w:rsidR="0089785E">
        <w:t>n,</w:t>
      </w:r>
      <w:r w:rsidR="00B27BB1">
        <w:t xml:space="preserve"> as seen in </w:t>
      </w:r>
      <w:r w:rsidR="00536703">
        <w:t>P</w:t>
      </w:r>
      <w:r w:rsidR="00BC68D0">
        <w:t>late 2</w:t>
      </w:r>
      <w:r w:rsidR="00B27BB1">
        <w:t>.</w:t>
      </w:r>
    </w:p>
    <w:p w14:paraId="0ECC82E8" w14:textId="60F169C1" w:rsidR="00F24160" w:rsidRDefault="00F24160" w:rsidP="000F512E">
      <w:pPr>
        <w:keepLines/>
      </w:pPr>
    </w:p>
    <w:p w14:paraId="759D38B1" w14:textId="77777777" w:rsidR="00F12BC0" w:rsidRDefault="00F12BC0" w:rsidP="00F12BC0">
      <w:pPr>
        <w:pStyle w:val="Caption"/>
        <w:rPr>
          <w:b/>
          <w:bCs/>
        </w:rPr>
      </w:pPr>
      <w:r>
        <w:rPr>
          <w:noProof/>
        </w:rPr>
        <w:drawing>
          <wp:inline distT="0" distB="0" distL="0" distR="0" wp14:anchorId="69CEC95C" wp14:editId="26DA4093">
            <wp:extent cx="5469307" cy="3076486"/>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05079" cy="3096608"/>
                    </a:xfrm>
                    <a:prstGeom prst="rect">
                      <a:avLst/>
                    </a:prstGeom>
                  </pic:spPr>
                </pic:pic>
              </a:graphicData>
            </a:graphic>
          </wp:inline>
        </w:drawing>
      </w:r>
    </w:p>
    <w:p w14:paraId="5B49BD12" w14:textId="75485552" w:rsidR="00F12BC0" w:rsidRDefault="00F12BC0" w:rsidP="00F12BC0">
      <w:pPr>
        <w:pStyle w:val="Caption"/>
      </w:pPr>
      <w:r>
        <w:rPr>
          <w:b/>
          <w:bCs/>
        </w:rPr>
        <w:t xml:space="preserve">Plate 2 </w:t>
      </w:r>
      <w:r>
        <w:t xml:space="preserve">Hidden Valley petroglyph showing </w:t>
      </w:r>
      <w:proofErr w:type="spellStart"/>
      <w:r>
        <w:t>repatination</w:t>
      </w:r>
      <w:proofErr w:type="spellEnd"/>
      <w:r>
        <w:t xml:space="preserve"> of the older circled figure in contrast to the newer potentially AP figure on the right. Photo: Author</w:t>
      </w:r>
    </w:p>
    <w:p w14:paraId="168DD8D2" w14:textId="77777777" w:rsidR="00D34697" w:rsidRDefault="00D34697" w:rsidP="0068455A"/>
    <w:p w14:paraId="32FB5E0D" w14:textId="77777777" w:rsidR="00C51808" w:rsidRDefault="00E92A8B" w:rsidP="00C51808">
      <w:r w:rsidRPr="00FC186B">
        <w:lastRenderedPageBreak/>
        <w:t xml:space="preserve">Prehistoric rock art is ‘notoriously difficult’ to date chronologically, according to Phil </w:t>
      </w:r>
      <w:proofErr w:type="spellStart"/>
      <w:r w:rsidRPr="00FC186B">
        <w:t>Geib</w:t>
      </w:r>
      <w:proofErr w:type="spellEnd"/>
      <w:r w:rsidRPr="00FC186B">
        <w:t xml:space="preserve"> and Helen Fairley.</w:t>
      </w:r>
      <w:r w:rsidRPr="00FC186B">
        <w:rPr>
          <w:rStyle w:val="FootnoteReference"/>
        </w:rPr>
        <w:footnoteReference w:id="73"/>
      </w:r>
      <w:r w:rsidRPr="00FC186B">
        <w:t xml:space="preserve"> </w:t>
      </w:r>
      <w:r w:rsidR="00C51808">
        <w:t>Even where the distinctive Barrier Canyon Style (BCS) pictographs such as in the Great Gallery of Horseshoe Canyon have provided an opportunity for dating the results have been inconclusive with 1880-1520 BCE reported by Marv</w:t>
      </w:r>
      <w:r w:rsidR="00C51808" w:rsidRPr="00991D1E">
        <w:t>in Rowe</w:t>
      </w:r>
      <w:r w:rsidR="00C51808">
        <w:t xml:space="preserve"> using a</w:t>
      </w:r>
      <w:r w:rsidR="00C51808" w:rsidRPr="00F24160">
        <w:t xml:space="preserve">ccelerator </w:t>
      </w:r>
      <w:r w:rsidR="00C51808">
        <w:t>m</w:t>
      </w:r>
      <w:r w:rsidR="00C51808" w:rsidRPr="00F24160">
        <w:t xml:space="preserve">ass </w:t>
      </w:r>
      <w:r w:rsidR="00C51808">
        <w:t>s</w:t>
      </w:r>
      <w:r w:rsidR="00C51808" w:rsidRPr="00F24160">
        <w:t>pectrometry</w:t>
      </w:r>
      <w:r w:rsidR="00C51808">
        <w:t xml:space="preserve"> (AMS) radiocarbon dating, while Pederson et al. concluded the same panels date between 1-1000 CE based on OSL dating (optically stimulated luminescence) making the argument that BCS is Fremont and not late Archaic.</w:t>
      </w:r>
      <w:r w:rsidR="00C51808">
        <w:rPr>
          <w:rStyle w:val="FootnoteReference"/>
        </w:rPr>
        <w:footnoteReference w:id="74"/>
      </w:r>
      <w:r w:rsidR="00C51808">
        <w:t xml:space="preserve">  </w:t>
      </w:r>
    </w:p>
    <w:p w14:paraId="2309133A" w14:textId="13DD3097" w:rsidR="00CB0F9F" w:rsidRPr="00FC186B" w:rsidRDefault="00E92A8B" w:rsidP="0068455A">
      <w:proofErr w:type="spellStart"/>
      <w:r w:rsidRPr="00FC186B">
        <w:t>Malotki</w:t>
      </w:r>
      <w:proofErr w:type="spellEnd"/>
      <w:r w:rsidRPr="00FC186B">
        <w:t xml:space="preserve"> agrees on the difficulty of objective chronological dating of petroglyphs in 2018 but conclude</w:t>
      </w:r>
      <w:r w:rsidR="00ED61B8">
        <w:t>d</w:t>
      </w:r>
      <w:r w:rsidRPr="00FC186B">
        <w:t xml:space="preserve"> that ‘traditional archaeological methods of estimating rock art age’ still include, ‘degree of patination and weathering; superimposition; and the use of style and manufacturing techniqu</w:t>
      </w:r>
      <w:r w:rsidR="00217B8F">
        <w:t>e.</w:t>
      </w:r>
      <w:r w:rsidRPr="00FC186B">
        <w:t>’</w:t>
      </w:r>
      <w:r w:rsidRPr="00FC186B">
        <w:rPr>
          <w:rStyle w:val="FootnoteReference"/>
        </w:rPr>
        <w:footnoteReference w:id="75"/>
      </w:r>
      <w:r w:rsidRPr="00FC186B">
        <w:t xml:space="preserve"> Within the study area, AP petroglyphs are frequently superimposed over earlier petroglyphs </w:t>
      </w:r>
      <w:r w:rsidR="00ED61B8">
        <w:t>which</w:t>
      </w:r>
      <w:r w:rsidRPr="00FC186B">
        <w:t xml:space="preserve"> show </w:t>
      </w:r>
      <w:proofErr w:type="spellStart"/>
      <w:r w:rsidRPr="00FC186B">
        <w:t>repatination</w:t>
      </w:r>
      <w:proofErr w:type="spellEnd"/>
      <w:r w:rsidRPr="00FC186B">
        <w:t xml:space="preserve">. </w:t>
      </w:r>
      <w:proofErr w:type="spellStart"/>
      <w:r w:rsidRPr="00FC186B">
        <w:t>Repatination</w:t>
      </w:r>
      <w:proofErr w:type="spellEnd"/>
      <w:r w:rsidRPr="00FC186B">
        <w:t xml:space="preserve"> </w:t>
      </w:r>
      <w:r w:rsidR="009F22D9">
        <w:t xml:space="preserve">is </w:t>
      </w:r>
      <w:r w:rsidRPr="00FC186B">
        <w:t>the degree to which pecked petroglyphs have received a fresh ‘desert varnish’ patina since their creation, which takes 900-1,200 years to form in the nearby Glen Canyon area, according to Christy G. Turner II.</w:t>
      </w:r>
      <w:r w:rsidRPr="00FC186B">
        <w:rPr>
          <w:rStyle w:val="FootnoteReference"/>
        </w:rPr>
        <w:footnoteReference w:id="76"/>
      </w:r>
      <w:r w:rsidRPr="00FC186B">
        <w:t xml:space="preserve"> </w:t>
      </w:r>
      <w:r w:rsidR="002619AA">
        <w:t xml:space="preserve">David Whitley considered the presence of </w:t>
      </w:r>
      <w:proofErr w:type="spellStart"/>
      <w:r w:rsidR="002619AA">
        <w:t>repatination</w:t>
      </w:r>
      <w:proofErr w:type="spellEnd"/>
      <w:r w:rsidR="002619AA">
        <w:t xml:space="preserve"> an indicator that rock art was at least 2000 years old.</w:t>
      </w:r>
      <w:r w:rsidR="002619AA">
        <w:rPr>
          <w:rStyle w:val="FootnoteReference"/>
        </w:rPr>
        <w:footnoteReference w:id="77"/>
      </w:r>
      <w:r w:rsidR="002619AA">
        <w:t xml:space="preserve"> </w:t>
      </w:r>
      <w:proofErr w:type="spellStart"/>
      <w:r w:rsidR="00BE642B" w:rsidRPr="00FC186B">
        <w:t>Repatination</w:t>
      </w:r>
      <w:proofErr w:type="spellEnd"/>
      <w:r w:rsidR="00BE642B" w:rsidRPr="00FC186B">
        <w:t xml:space="preserve"> is only reliable on individual panels, </w:t>
      </w:r>
      <w:r w:rsidR="00BE642B" w:rsidRPr="00FC186B">
        <w:lastRenderedPageBreak/>
        <w:t xml:space="preserve">where the environmental conditions are a constant. </w:t>
      </w:r>
      <w:r w:rsidR="00CB0F9F" w:rsidRPr="00FC186B">
        <w:t>In a study of Paleo</w:t>
      </w:r>
      <w:r w:rsidR="00C51808">
        <w:t>-I</w:t>
      </w:r>
      <w:r w:rsidR="00CB0F9F" w:rsidRPr="00FC186B">
        <w:t>ndian rock art dating, Middleton, et al. concluded</w:t>
      </w:r>
      <w:r w:rsidR="004D6368">
        <w:t>:</w:t>
      </w:r>
      <w:r w:rsidR="00CB0F9F" w:rsidRPr="00FC186B">
        <w:t xml:space="preserve"> </w:t>
      </w:r>
    </w:p>
    <w:p w14:paraId="0283F8EA" w14:textId="798140F6" w:rsidR="00CB0F9F" w:rsidRDefault="007C2CCB" w:rsidP="001A164B">
      <w:pPr>
        <w:tabs>
          <w:tab w:val="left" w:pos="8730"/>
        </w:tabs>
        <w:spacing w:after="0" w:line="240" w:lineRule="auto"/>
        <w:ind w:left="360" w:right="296"/>
      </w:pPr>
      <w:r w:rsidRPr="00FC186B">
        <w:t xml:space="preserve">At least 47 of the 55 GBCA [Great Basin Carved Abstract] </w:t>
      </w:r>
      <w:r w:rsidR="00CB0F9F" w:rsidRPr="00FC186B">
        <w:t>(</w:t>
      </w:r>
      <w:r w:rsidRPr="00FC186B">
        <w:t>~</w:t>
      </w:r>
      <w:r w:rsidR="00CB0F9F" w:rsidRPr="00FC186B">
        <w:t>85%) sites also contain other styles of rock ar</w:t>
      </w:r>
      <w:r w:rsidR="00FE06E9" w:rsidRPr="00FC186B">
        <w:t xml:space="preserve">e </w:t>
      </w:r>
      <w:r w:rsidR="00CB0F9F" w:rsidRPr="00FC186B">
        <w:t>that are both superimposed on and less revarnished than the GBCA panels, suggesting that those styles postdate the GBCA style and the sites were revisited over many millennia.</w:t>
      </w:r>
      <w:r w:rsidR="00FE06E9" w:rsidRPr="00FC186B">
        <w:rPr>
          <w:rStyle w:val="FootnoteReference"/>
        </w:rPr>
        <w:footnoteReference w:id="78"/>
      </w:r>
      <w:r w:rsidR="00CB0F9F" w:rsidRPr="00FC186B">
        <w:t xml:space="preserve"> </w:t>
      </w:r>
    </w:p>
    <w:p w14:paraId="6EA611F4" w14:textId="77777777" w:rsidR="001A164B" w:rsidRPr="00FC186B" w:rsidRDefault="001A164B" w:rsidP="001A164B">
      <w:pPr>
        <w:tabs>
          <w:tab w:val="left" w:pos="8730"/>
        </w:tabs>
        <w:spacing w:after="0" w:line="240" w:lineRule="auto"/>
        <w:ind w:left="360" w:right="296"/>
      </w:pPr>
    </w:p>
    <w:p w14:paraId="445F189A" w14:textId="03ECECE4" w:rsidR="005A4DA9" w:rsidRDefault="000E2E05" w:rsidP="005A4DA9">
      <w:pPr>
        <w:autoSpaceDE w:val="0"/>
        <w:autoSpaceDN w:val="0"/>
        <w:adjustRightInd w:val="0"/>
        <w:spacing w:after="0"/>
      </w:pPr>
      <w:r>
        <w:t>Chester</w:t>
      </w:r>
      <w:r w:rsidR="00FE06E9" w:rsidRPr="00FC186B">
        <w:t xml:space="preserve"> </w:t>
      </w:r>
      <w:proofErr w:type="spellStart"/>
      <w:r w:rsidR="00151ECF">
        <w:t>Liwosz</w:t>
      </w:r>
      <w:proofErr w:type="spellEnd"/>
      <w:r w:rsidR="00151ECF">
        <w:t xml:space="preserve"> used three levels of </w:t>
      </w:r>
      <w:proofErr w:type="spellStart"/>
      <w:r w:rsidR="00151ECF">
        <w:t>repatination</w:t>
      </w:r>
      <w:proofErr w:type="spellEnd"/>
      <w:r w:rsidR="00151ECF">
        <w:t xml:space="preserve"> (none, partial, and complete) to assign relative dates to petroglyph elements in a Mojave canyon while ascertaining the prevalence of broad stylistic developments in rock art.</w:t>
      </w:r>
      <w:r w:rsidR="00BE2759">
        <w:rPr>
          <w:rStyle w:val="FootnoteReference"/>
        </w:rPr>
        <w:footnoteReference w:id="79"/>
      </w:r>
      <w:r w:rsidR="00151ECF">
        <w:t xml:space="preserve"> </w:t>
      </w:r>
      <w:proofErr w:type="spellStart"/>
      <w:r w:rsidR="00151ECF">
        <w:t>Liwosz</w:t>
      </w:r>
      <w:proofErr w:type="spellEnd"/>
      <w:r w:rsidR="00151ECF">
        <w:t xml:space="preserve"> showed that the oldest elements were exclusively abstract</w:t>
      </w:r>
      <w:r w:rsidR="00B50936">
        <w:t>, in</w:t>
      </w:r>
      <w:r w:rsidR="00BD56B5">
        <w:t>cl</w:t>
      </w:r>
      <w:r w:rsidR="00B50936">
        <w:t>uding</w:t>
      </w:r>
      <w:r w:rsidR="00151ECF">
        <w:t xml:space="preserve"> curvilinear and rectilinear </w:t>
      </w:r>
      <w:r>
        <w:t>styles</w:t>
      </w:r>
      <w:r w:rsidR="009F22D9">
        <w:t>;</w:t>
      </w:r>
      <w:r>
        <w:t xml:space="preserve"> figurative or representational elements were added subsequently </w:t>
      </w:r>
      <w:r w:rsidR="00BD56B5">
        <w:t>and</w:t>
      </w:r>
      <w:r>
        <w:t xml:space="preserve"> geometric figures were the youngest elements added to the</w:t>
      </w:r>
      <w:r w:rsidR="00BD0143">
        <w:t xml:space="preserve"> repertoire</w:t>
      </w:r>
      <w:r>
        <w:t xml:space="preserve">, </w:t>
      </w:r>
      <w:r w:rsidR="00BD56B5">
        <w:t>while</w:t>
      </w:r>
      <w:r>
        <w:t xml:space="preserve"> none of the styles were discontinued.</w:t>
      </w:r>
      <w:r w:rsidR="009411AF">
        <w:rPr>
          <w:rStyle w:val="FootnoteReference"/>
        </w:rPr>
        <w:footnoteReference w:id="80"/>
      </w:r>
      <w:r>
        <w:t xml:space="preserve"> </w:t>
      </w:r>
      <w:r w:rsidR="00151ECF">
        <w:t xml:space="preserve"> </w:t>
      </w:r>
      <w:r w:rsidR="00B50936" w:rsidRPr="00FC186B">
        <w:t xml:space="preserve">Don </w:t>
      </w:r>
      <w:proofErr w:type="spellStart"/>
      <w:r w:rsidR="00B50936" w:rsidRPr="00FC186B">
        <w:t>Laylander</w:t>
      </w:r>
      <w:proofErr w:type="spellEnd"/>
      <w:r w:rsidR="00B50936" w:rsidRPr="00FC186B">
        <w:t xml:space="preserve"> included ‘limitation of access’</w:t>
      </w:r>
      <w:r w:rsidR="00B50936">
        <w:t>, such as</w:t>
      </w:r>
      <w:r w:rsidR="00B50936" w:rsidRPr="00FC186B">
        <w:t xml:space="preserve"> sedimentary burial, water erosion, ramps and ceiling collapses that leave the rock art in awkwardly high, low or </w:t>
      </w:r>
      <w:r w:rsidR="00B50936">
        <w:t xml:space="preserve">in </w:t>
      </w:r>
      <w:r w:rsidR="00B50936" w:rsidRPr="00FC186B">
        <w:t>inaccessible positions relative to more recent panels as an additional means of relative chronological dating.</w:t>
      </w:r>
      <w:r w:rsidR="00B50936" w:rsidRPr="00FC186B">
        <w:rPr>
          <w:rStyle w:val="FootnoteReference"/>
        </w:rPr>
        <w:footnoteReference w:id="81"/>
      </w:r>
      <w:r w:rsidR="00B50936">
        <w:t xml:space="preserve"> </w:t>
      </w:r>
      <w:r w:rsidR="000510CC">
        <w:t>D</w:t>
      </w:r>
      <w:r w:rsidR="002729F8" w:rsidRPr="00FC186B">
        <w:t xml:space="preserve">ifferential </w:t>
      </w:r>
      <w:proofErr w:type="spellStart"/>
      <w:r w:rsidR="005B5488" w:rsidRPr="00FC186B">
        <w:t>repatination</w:t>
      </w:r>
      <w:proofErr w:type="spellEnd"/>
      <w:r w:rsidR="005B5488" w:rsidRPr="00FC186B">
        <w:t xml:space="preserve"> </w:t>
      </w:r>
      <w:r w:rsidR="002729F8" w:rsidRPr="00FC186B">
        <w:t xml:space="preserve">and weathering </w:t>
      </w:r>
      <w:r w:rsidR="005B5488" w:rsidRPr="00FC186B">
        <w:t xml:space="preserve">of elements </w:t>
      </w:r>
      <w:r w:rsidR="00AF6046">
        <w:t xml:space="preserve">compared to younger elements </w:t>
      </w:r>
      <w:r w:rsidR="000510CC">
        <w:t xml:space="preserve">was the primary determinant for archaic dating in this study. See </w:t>
      </w:r>
      <w:r w:rsidR="00536703">
        <w:t>Plate 2</w:t>
      </w:r>
      <w:r w:rsidR="003214B8">
        <w:t>.</w:t>
      </w:r>
    </w:p>
    <w:p w14:paraId="59DF7A20" w14:textId="5502C109" w:rsidR="00BE642B" w:rsidRDefault="005A4DA9" w:rsidP="005A4DA9">
      <w:pPr>
        <w:autoSpaceDE w:val="0"/>
        <w:autoSpaceDN w:val="0"/>
        <w:adjustRightInd w:val="0"/>
        <w:spacing w:after="0"/>
      </w:pPr>
      <w:r w:rsidRPr="005A4DA9">
        <w:lastRenderedPageBreak/>
        <w:t xml:space="preserve"> </w:t>
      </w:r>
      <w:r w:rsidRPr="00FC186B">
        <w:t>Regional archaeological surveys by Hunt, Tipps</w:t>
      </w:r>
      <w:r>
        <w:t xml:space="preserve">, </w:t>
      </w:r>
      <w:r w:rsidRPr="00FC186B">
        <w:t xml:space="preserve">Black, et al., </w:t>
      </w:r>
      <w:r>
        <w:t>and</w:t>
      </w:r>
      <w:r w:rsidRPr="00FC186B">
        <w:t xml:space="preserve"> Pierson established that Paleo-Indian, Archaic</w:t>
      </w:r>
      <w:r>
        <w:t>,</w:t>
      </w:r>
      <w:r w:rsidRPr="00FC186B">
        <w:t xml:space="preserve"> and Ute Indians hunted and gathered in </w:t>
      </w:r>
      <w:r>
        <w:t>C</w:t>
      </w:r>
      <w:r w:rsidRPr="00FC186B">
        <w:t xml:space="preserve">anyonlands and </w:t>
      </w:r>
      <w:r>
        <w:t xml:space="preserve">the </w:t>
      </w:r>
      <w:r w:rsidRPr="00FC186B">
        <w:t>mountains around Arches National Park for twelve millennia.</w:t>
      </w:r>
      <w:r w:rsidRPr="00FC186B">
        <w:rPr>
          <w:rStyle w:val="FootnoteReference"/>
        </w:rPr>
        <w:footnoteReference w:id="82"/>
      </w:r>
      <w:r w:rsidRPr="00FC186B">
        <w:t xml:space="preserve"> Dated evidence of sedentary agricultural</w:t>
      </w:r>
      <w:r>
        <w:t xml:space="preserve">ists either AP or Fremont </w:t>
      </w:r>
      <w:r w:rsidRPr="00293688">
        <w:t xml:space="preserve">was limited to the valleys and basins </w:t>
      </w:r>
      <w:r w:rsidRPr="00FC186B">
        <w:t xml:space="preserve">from </w:t>
      </w:r>
      <w:r>
        <w:t xml:space="preserve">about </w:t>
      </w:r>
      <w:r w:rsidRPr="00FC186B">
        <w:t>900 – 1150 CE, according to Pierson, Hunt, Black, and Tipps.</w:t>
      </w:r>
      <w:r w:rsidRPr="00FC186B">
        <w:rPr>
          <w:rStyle w:val="FootnoteReference"/>
        </w:rPr>
        <w:footnoteReference w:id="83"/>
      </w:r>
      <w:r w:rsidRPr="00FC186B">
        <w:t xml:space="preserve"> </w:t>
      </w:r>
      <w:r w:rsidR="00AF6046">
        <w:t xml:space="preserve">The </w:t>
      </w:r>
      <w:r w:rsidRPr="00FC186B">
        <w:t xml:space="preserve">short term occupation of the study area by sedentary </w:t>
      </w:r>
      <w:r>
        <w:t>agricultural</w:t>
      </w:r>
      <w:r w:rsidRPr="00FC186B">
        <w:t xml:space="preserve"> </w:t>
      </w:r>
      <w:r>
        <w:t>peoples</w:t>
      </w:r>
      <w:r w:rsidR="00AF6046">
        <w:t xml:space="preserve"> allowed differential depositions of rock art to be attributed initially to archaic groups with later superimpositions by sedentary </w:t>
      </w:r>
      <w:r w:rsidR="0053228C">
        <w:t xml:space="preserve">peoples. </w:t>
      </w:r>
    </w:p>
    <w:p w14:paraId="3C1923B6" w14:textId="1001DB48" w:rsidR="00331722" w:rsidRDefault="000510CC" w:rsidP="009E40EC">
      <w:pPr>
        <w:autoSpaceDE w:val="0"/>
        <w:autoSpaceDN w:val="0"/>
        <w:adjustRightInd w:val="0"/>
        <w:spacing w:after="0"/>
      </w:pPr>
      <w:r>
        <w:t>Two</w:t>
      </w:r>
      <w:r w:rsidR="00BE642B" w:rsidRPr="00FC186B">
        <w:t xml:space="preserve"> </w:t>
      </w:r>
      <w:r w:rsidRPr="00FC186B">
        <w:t>petroglyph</w:t>
      </w:r>
      <w:r>
        <w:t xml:space="preserve"> </w:t>
      </w:r>
      <w:r w:rsidR="009D2F9F" w:rsidRPr="00FC186B">
        <w:t>sites within the study area</w:t>
      </w:r>
      <w:r w:rsidR="00BE642B" w:rsidRPr="00FC186B">
        <w:t xml:space="preserve"> </w:t>
      </w:r>
      <w:r w:rsidR="009D2F9F" w:rsidRPr="00FC186B">
        <w:t>belong</w:t>
      </w:r>
      <w:r w:rsidR="0053228C">
        <w:t>ed</w:t>
      </w:r>
      <w:r w:rsidR="009D2F9F" w:rsidRPr="00FC186B">
        <w:t xml:space="preserve"> to the Western Archaic Tradition (WAT)</w:t>
      </w:r>
      <w:r w:rsidR="0053228C">
        <w:t>,</w:t>
      </w:r>
      <w:r w:rsidR="009D2F9F" w:rsidRPr="00FC186B">
        <w:t xml:space="preserve"> </w:t>
      </w:r>
      <w:r w:rsidR="009F22D9">
        <w:t>which was</w:t>
      </w:r>
      <w:r w:rsidR="009D2F9F" w:rsidRPr="00FC186B">
        <w:t xml:space="preserve"> documented by Dissanayake and </w:t>
      </w:r>
      <w:proofErr w:type="spellStart"/>
      <w:r w:rsidR="009D2F9F" w:rsidRPr="00FC186B">
        <w:t>Malotki</w:t>
      </w:r>
      <w:proofErr w:type="spellEnd"/>
      <w:r w:rsidR="009D2F9F" w:rsidRPr="00FC186B">
        <w:t xml:space="preserve"> as</w:t>
      </w:r>
      <w:r w:rsidR="00331722">
        <w:t>, ‘</w:t>
      </w:r>
      <w:r w:rsidR="007E09DE" w:rsidRPr="003B2694">
        <w:rPr>
          <w:color w:val="3C3C3C"/>
        </w:rPr>
        <w:t>Long-lived and widespread</w:t>
      </w:r>
      <w:r w:rsidR="003B2694">
        <w:rPr>
          <w:color w:val="3C3C3C"/>
        </w:rPr>
        <w:t xml:space="preserve"> </w:t>
      </w:r>
      <w:r w:rsidR="007E09DE" w:rsidRPr="003B2694">
        <w:rPr>
          <w:color w:val="3C3C3C"/>
        </w:rPr>
        <w:t xml:space="preserve">body of archetypal geometric rock </w:t>
      </w:r>
      <w:r w:rsidR="007E09DE" w:rsidRPr="003B2694">
        <w:rPr>
          <w:color w:val="282828"/>
        </w:rPr>
        <w:t xml:space="preserve">markings </w:t>
      </w:r>
      <w:r w:rsidR="007E09DE" w:rsidRPr="003B2694">
        <w:rPr>
          <w:color w:val="3C3C3C"/>
        </w:rPr>
        <w:t>that</w:t>
      </w:r>
      <w:r w:rsidR="00331722">
        <w:rPr>
          <w:color w:val="3C3C3C"/>
        </w:rPr>
        <w:t xml:space="preserve"> </w:t>
      </w:r>
      <w:r w:rsidR="007E09DE" w:rsidRPr="003B2694">
        <w:rPr>
          <w:color w:val="3C3C3C"/>
        </w:rPr>
        <w:t xml:space="preserve">originated with </w:t>
      </w:r>
      <w:r w:rsidR="007E09DE" w:rsidRPr="003B2694">
        <w:rPr>
          <w:color w:val="282828"/>
        </w:rPr>
        <w:t xml:space="preserve">hunter-gatherer </w:t>
      </w:r>
      <w:r w:rsidR="007E09DE" w:rsidRPr="003B2694">
        <w:rPr>
          <w:color w:val="3C3C3C"/>
        </w:rPr>
        <w:t xml:space="preserve">immigrants </w:t>
      </w:r>
      <w:r w:rsidR="007E09DE" w:rsidRPr="003B2694">
        <w:rPr>
          <w:color w:val="282828"/>
        </w:rPr>
        <w:t xml:space="preserve">in </w:t>
      </w:r>
      <w:r w:rsidR="007E09DE" w:rsidRPr="003B2694">
        <w:rPr>
          <w:color w:val="3C3C3C"/>
        </w:rPr>
        <w:t>western</w:t>
      </w:r>
      <w:r w:rsidR="003B2694">
        <w:rPr>
          <w:color w:val="3C3C3C"/>
        </w:rPr>
        <w:t xml:space="preserve"> </w:t>
      </w:r>
      <w:r w:rsidR="007E09DE" w:rsidRPr="003B2694">
        <w:rPr>
          <w:color w:val="3C3C3C"/>
        </w:rPr>
        <w:t>North America</w:t>
      </w:r>
      <w:r w:rsidR="00331722">
        <w:rPr>
          <w:color w:val="3C3C3C"/>
        </w:rPr>
        <w:t>.</w:t>
      </w:r>
      <w:r w:rsidR="003B2694">
        <w:rPr>
          <w:rStyle w:val="FootnoteReference"/>
        </w:rPr>
        <w:footnoteReference w:id="84"/>
      </w:r>
      <w:r w:rsidR="007E09DE">
        <w:rPr>
          <w:rFonts w:ascii="Times New Roman" w:hAnsi="Times New Roman" w:cs="Times New Roman"/>
          <w:color w:val="3C3C3C"/>
          <w:sz w:val="18"/>
          <w:szCs w:val="18"/>
        </w:rPr>
        <w:t xml:space="preserve"> </w:t>
      </w:r>
      <w:r w:rsidR="00CC0224">
        <w:t xml:space="preserve">This tradition includes </w:t>
      </w:r>
      <w:r w:rsidR="0076502C">
        <w:t xml:space="preserve">the </w:t>
      </w:r>
      <w:r w:rsidR="00CC0224">
        <w:t xml:space="preserve">subdivisions of </w:t>
      </w:r>
      <w:r w:rsidR="00331722">
        <w:t xml:space="preserve">Rectilinear Abstract and </w:t>
      </w:r>
      <w:r w:rsidR="00CC0224">
        <w:t xml:space="preserve">Great Basin Curvilinear </w:t>
      </w:r>
      <w:r w:rsidR="00837BD1">
        <w:t>Abstract</w:t>
      </w:r>
      <w:r w:rsidR="009F22D9">
        <w:t>,</w:t>
      </w:r>
      <w:r w:rsidR="00837BD1">
        <w:t xml:space="preserve"> defined in the Heizer-</w:t>
      </w:r>
      <w:proofErr w:type="spellStart"/>
      <w:r w:rsidR="00837BD1">
        <w:t>Baumhoff</w:t>
      </w:r>
      <w:proofErr w:type="spellEnd"/>
      <w:r w:rsidR="00837BD1">
        <w:t xml:space="preserve"> model</w:t>
      </w:r>
      <w:r w:rsidR="00331722">
        <w:t xml:space="preserve"> as </w:t>
      </w:r>
    </w:p>
    <w:p w14:paraId="3B1E10B5" w14:textId="3A9997C0" w:rsidR="00331722" w:rsidRDefault="00331722" w:rsidP="000510CC">
      <w:pPr>
        <w:widowControl w:val="0"/>
        <w:autoSpaceDE w:val="0"/>
        <w:autoSpaceDN w:val="0"/>
        <w:adjustRightInd w:val="0"/>
        <w:spacing w:after="0" w:line="240" w:lineRule="auto"/>
        <w:ind w:left="360" w:right="389"/>
      </w:pPr>
      <w:r>
        <w:t xml:space="preserve">The circle, in one context or another, is the common element of this style but perhaps a more </w:t>
      </w:r>
      <w:r w:rsidR="00737A21">
        <w:t>characteristic element is the curvilinear meander. These meanders have a vague sort of composition in that they tend to fill an area defined by the outline of a single boulder.</w:t>
      </w:r>
      <w:r w:rsidR="00737A21">
        <w:rPr>
          <w:rStyle w:val="FootnoteReference"/>
        </w:rPr>
        <w:footnoteReference w:id="85"/>
      </w:r>
    </w:p>
    <w:p w14:paraId="315F70D9" w14:textId="77777777" w:rsidR="00DB08B0" w:rsidRDefault="00DB08B0" w:rsidP="00331722">
      <w:pPr>
        <w:autoSpaceDE w:val="0"/>
        <w:autoSpaceDN w:val="0"/>
        <w:adjustRightInd w:val="0"/>
        <w:spacing w:after="0" w:line="240" w:lineRule="auto"/>
        <w:ind w:left="360" w:right="386"/>
      </w:pPr>
    </w:p>
    <w:p w14:paraId="20D18B07" w14:textId="5477D9BF" w:rsidR="00DB08B0" w:rsidRPr="00FC186B" w:rsidRDefault="003B2694" w:rsidP="00DB08B0">
      <w:pPr>
        <w:autoSpaceDE w:val="0"/>
        <w:autoSpaceDN w:val="0"/>
        <w:adjustRightInd w:val="0"/>
        <w:spacing w:after="0"/>
        <w:ind w:right="-58"/>
      </w:pPr>
      <w:r>
        <w:t>S</w:t>
      </w:r>
      <w:r w:rsidR="009D2F9F" w:rsidRPr="00FC186B">
        <w:t>ites</w:t>
      </w:r>
      <w:r>
        <w:t xml:space="preserve"> within the study area</w:t>
      </w:r>
      <w:r w:rsidR="0076502C">
        <w:t xml:space="preserve"> </w:t>
      </w:r>
      <w:r>
        <w:t>evidencing WAT imagery were</w:t>
      </w:r>
      <w:r w:rsidR="009D2F9F" w:rsidRPr="00FC186B">
        <w:t xml:space="preserve"> included in the Archaic panels, even where no younger rock is present. </w:t>
      </w:r>
      <w:r w:rsidR="003214B8">
        <w:t xml:space="preserve">See </w:t>
      </w:r>
      <w:r w:rsidR="00536703">
        <w:t>Plate 3</w:t>
      </w:r>
      <w:r w:rsidR="003214B8">
        <w:t>.</w:t>
      </w:r>
    </w:p>
    <w:p w14:paraId="219ECFA8" w14:textId="674A671D" w:rsidR="00B06446" w:rsidRDefault="005A4DA9" w:rsidP="00B06446">
      <w:pPr>
        <w:pStyle w:val="Caption"/>
      </w:pPr>
      <w:r w:rsidRPr="005A4DA9">
        <w:rPr>
          <w:b/>
          <w:bCs/>
          <w:noProof/>
        </w:rPr>
        <w:lastRenderedPageBreak/>
        <w:drawing>
          <wp:anchor distT="0" distB="0" distL="114300" distR="114300" simplePos="0" relativeHeight="251666432" behindDoc="0" locked="0" layoutInCell="1" allowOverlap="1" wp14:anchorId="6A9E0DAA" wp14:editId="0EC575DD">
            <wp:simplePos x="0" y="0"/>
            <wp:positionH relativeFrom="margin">
              <wp:align>left</wp:align>
            </wp:positionH>
            <wp:positionV relativeFrom="paragraph">
              <wp:posOffset>114935</wp:posOffset>
            </wp:positionV>
            <wp:extent cx="4892040" cy="3058795"/>
            <wp:effectExtent l="0" t="0" r="381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rcRect l="1651" r="1651"/>
                    <a:stretch>
                      <a:fillRect/>
                    </a:stretch>
                  </pic:blipFill>
                  <pic:spPr bwMode="auto">
                    <a:xfrm>
                      <a:off x="0" y="0"/>
                      <a:ext cx="4892040" cy="3058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6707">
        <w:rPr>
          <w:b/>
          <w:bCs/>
        </w:rPr>
        <w:t>Plate 3</w:t>
      </w:r>
      <w:r w:rsidR="00B06446">
        <w:t xml:space="preserve"> Example of </w:t>
      </w:r>
      <w:r w:rsidR="00CE27C0">
        <w:t xml:space="preserve">WAT style </w:t>
      </w:r>
      <w:r w:rsidR="00B06446">
        <w:t xml:space="preserve">petroglyph </w:t>
      </w:r>
      <w:r w:rsidR="000510CC">
        <w:t xml:space="preserve">with abstract curvilinear elements </w:t>
      </w:r>
      <w:r w:rsidR="00B06446">
        <w:t xml:space="preserve">in addition to </w:t>
      </w:r>
      <w:r w:rsidR="000510CC">
        <w:t xml:space="preserve">significant </w:t>
      </w:r>
      <w:proofErr w:type="spellStart"/>
      <w:r w:rsidR="00B06446">
        <w:t>repatination</w:t>
      </w:r>
      <w:proofErr w:type="spellEnd"/>
      <w:r w:rsidR="00B06446">
        <w:t xml:space="preserve"> and weathering. Photo: Author.</w:t>
      </w:r>
    </w:p>
    <w:p w14:paraId="1BEEC8F8" w14:textId="77777777" w:rsidR="005A4DA9" w:rsidRDefault="005A4DA9" w:rsidP="00B06446"/>
    <w:p w14:paraId="627ACCA9" w14:textId="77777777" w:rsidR="000510CC" w:rsidRDefault="000510CC" w:rsidP="00BD0143"/>
    <w:p w14:paraId="590B8D22" w14:textId="2C62B9B3" w:rsidR="00BD0143" w:rsidRPr="000959B5" w:rsidRDefault="00BD0143" w:rsidP="00BD0143">
      <w:r w:rsidRPr="000959B5">
        <w:t>Rock art is one of the rarest phenomena left by ancient Native Americans. In a pedestrian survey of the Squaw Flat region of the Needles District of Canyonlands National Park, Tipps found one rock art site out of eighty sites in an area of 355 ha.</w:t>
      </w:r>
      <w:r w:rsidRPr="000959B5">
        <w:rPr>
          <w:rStyle w:val="FootnoteReference"/>
        </w:rPr>
        <w:footnoteReference w:id="86"/>
      </w:r>
      <w:r w:rsidRPr="000959B5">
        <w:t xml:space="preserve"> In Black’s survey of 5500 ha in Lisbon Valley, two out of 539 sites </w:t>
      </w:r>
      <w:r>
        <w:t>included</w:t>
      </w:r>
      <w:r w:rsidRPr="000959B5">
        <w:t xml:space="preserve"> rock art, </w:t>
      </w:r>
      <w:r>
        <w:t>and</w:t>
      </w:r>
      <w:r w:rsidRPr="000959B5">
        <w:t xml:space="preserve"> Hunt’s survey of 1300 km</w:t>
      </w:r>
      <w:r w:rsidRPr="000959B5">
        <w:rPr>
          <w:vertAlign w:val="superscript"/>
        </w:rPr>
        <w:t>2</w:t>
      </w:r>
      <w:r w:rsidRPr="000959B5">
        <w:t xml:space="preserve"> of the La Sal Mountains found </w:t>
      </w:r>
      <w:r>
        <w:t>350 sites of which about twenty contained rock art</w:t>
      </w:r>
      <w:r w:rsidRPr="000959B5">
        <w:t>.</w:t>
      </w:r>
      <w:r w:rsidRPr="000959B5">
        <w:rPr>
          <w:rStyle w:val="FootnoteReference"/>
        </w:rPr>
        <w:footnoteReference w:id="87"/>
      </w:r>
      <w:r w:rsidRPr="000959B5">
        <w:t xml:space="preserve"> </w:t>
      </w:r>
      <w:r>
        <w:t xml:space="preserve">Henry Wallace and James </w:t>
      </w:r>
      <w:proofErr w:type="spellStart"/>
      <w:r>
        <w:t>Holmlund</w:t>
      </w:r>
      <w:proofErr w:type="spellEnd"/>
      <w:r>
        <w:t xml:space="preserve"> </w:t>
      </w:r>
      <w:r w:rsidRPr="000959B5">
        <w:t>estimate</w:t>
      </w:r>
      <w:r>
        <w:t>d</w:t>
      </w:r>
      <w:r w:rsidRPr="000959B5">
        <w:t xml:space="preserve"> that one </w:t>
      </w:r>
      <w:r>
        <w:t>element</w:t>
      </w:r>
      <w:r w:rsidRPr="000959B5">
        <w:t xml:space="preserve"> was produced every year, in the </w:t>
      </w:r>
      <w:r>
        <w:t>Picacho mountains in Arizona</w:t>
      </w:r>
      <w:r w:rsidRPr="000959B5">
        <w:t xml:space="preserve"> </w:t>
      </w:r>
      <w:r>
        <w:t>between 3000 BCE and 1450 CE</w:t>
      </w:r>
      <w:r w:rsidRPr="000959B5">
        <w:t>.</w:t>
      </w:r>
      <w:r>
        <w:rPr>
          <w:rStyle w:val="FootnoteReference"/>
        </w:rPr>
        <w:footnoteReference w:id="88"/>
      </w:r>
      <w:r w:rsidRPr="000959B5">
        <w:t xml:space="preserve"> </w:t>
      </w:r>
      <w:r>
        <w:t>T</w:t>
      </w:r>
      <w:r w:rsidRPr="000959B5">
        <w:t xml:space="preserve">he rarity of the petroglyphs and pictographs relative to other Native American sites, </w:t>
      </w:r>
      <w:r>
        <w:t>implies that there is significance to the location and type of rock art created</w:t>
      </w:r>
      <w:r w:rsidRPr="000959B5">
        <w:t>.</w:t>
      </w:r>
    </w:p>
    <w:p w14:paraId="4872437E" w14:textId="7C93D1C4" w:rsidR="008C341F" w:rsidRDefault="004D6368" w:rsidP="00B06446">
      <w:r>
        <w:lastRenderedPageBreak/>
        <w:t xml:space="preserve">In short, </w:t>
      </w:r>
      <w:r w:rsidR="004A3E63">
        <w:t xml:space="preserve">rock art was </w:t>
      </w:r>
      <w:r w:rsidR="00C7648F">
        <w:t>a rare</w:t>
      </w:r>
      <w:r w:rsidR="004A3E63">
        <w:t xml:space="preserve"> </w:t>
      </w:r>
      <w:r w:rsidR="00C7648F">
        <w:t>form of ‘</w:t>
      </w:r>
      <w:proofErr w:type="spellStart"/>
      <w:r w:rsidR="00C7648F">
        <w:t>artification</w:t>
      </w:r>
      <w:proofErr w:type="spellEnd"/>
      <w:r w:rsidR="00C7648F">
        <w:t>’ used for</w:t>
      </w:r>
      <w:r w:rsidR="004A3E63">
        <w:t xml:space="preserve"> marking locations in the landscape. </w:t>
      </w:r>
      <w:r w:rsidR="00C7648F">
        <w:t xml:space="preserve">To determine if the petroglyph sites </w:t>
      </w:r>
      <w:r w:rsidR="00165849">
        <w:t xml:space="preserve">originally </w:t>
      </w:r>
      <w:r w:rsidR="00C7648F">
        <w:t xml:space="preserve">marked locations for astronomical viewing for </w:t>
      </w:r>
      <w:r w:rsidR="008D268C">
        <w:t>early hunter-gatherer</w:t>
      </w:r>
      <w:r w:rsidR="00C7648F">
        <w:t xml:space="preserve"> peoples</w:t>
      </w:r>
      <w:r w:rsidR="00165849">
        <w:t xml:space="preserve">, the </w:t>
      </w:r>
      <w:r w:rsidR="008D268C">
        <w:t>a</w:t>
      </w:r>
      <w:r w:rsidR="00165849">
        <w:t xml:space="preserve">rchaic sites were distinguished from more recent panels that could have been created by agricultural peoples using relative dating methods </w:t>
      </w:r>
      <w:r w:rsidR="009F22D9">
        <w:t xml:space="preserve">of </w:t>
      </w:r>
      <w:r w:rsidR="00F7130F" w:rsidRPr="00FC186B">
        <w:t xml:space="preserve">superimposition, </w:t>
      </w:r>
      <w:r w:rsidR="00F7130F" w:rsidRPr="00A6505E">
        <w:t>weathering</w:t>
      </w:r>
      <w:r w:rsidR="00F7130F">
        <w:t>,</w:t>
      </w:r>
      <w:r w:rsidR="00F7130F" w:rsidRPr="00FC186B">
        <w:t xml:space="preserve"> and </w:t>
      </w:r>
      <w:proofErr w:type="spellStart"/>
      <w:r w:rsidR="00F7130F" w:rsidRPr="00FC186B">
        <w:t>repatination</w:t>
      </w:r>
      <w:proofErr w:type="spellEnd"/>
      <w:r w:rsidR="00165849">
        <w:t xml:space="preserve">, since chronometric dating is not available for petroglyphs. </w:t>
      </w:r>
      <w:r w:rsidR="008C341F" w:rsidRPr="00FC186B">
        <w:t>Because the A</w:t>
      </w:r>
      <w:r w:rsidR="00DB08B0">
        <w:t>P</w:t>
      </w:r>
      <w:r w:rsidR="008C341F" w:rsidRPr="00FC186B">
        <w:t xml:space="preserve"> occupation was short</w:t>
      </w:r>
      <w:r w:rsidR="004D7E9E">
        <w:t>-</w:t>
      </w:r>
      <w:r w:rsidR="008C341F" w:rsidRPr="00FC186B">
        <w:t>term in this area, the presence of two cultural layers implie</w:t>
      </w:r>
      <w:r w:rsidR="00F7130F">
        <w:t>d</w:t>
      </w:r>
      <w:r w:rsidR="008C341F" w:rsidRPr="00FC186B">
        <w:t xml:space="preserve"> the original layer belongs to the Archaic</w:t>
      </w:r>
      <w:r w:rsidR="0076502C">
        <w:t>, or those leading a hunter-gatherer lifestyle</w:t>
      </w:r>
      <w:r w:rsidR="008C341F" w:rsidRPr="00FC186B">
        <w:t>.</w:t>
      </w:r>
      <w:r w:rsidR="00165849">
        <w:t xml:space="preserve"> </w:t>
      </w:r>
    </w:p>
    <w:p w14:paraId="5E83438C" w14:textId="6E7BAA86" w:rsidR="00D47DEB" w:rsidRDefault="006D2E55" w:rsidP="0071627A">
      <w:pPr>
        <w:pStyle w:val="Heading2"/>
      </w:pPr>
      <w:bookmarkStart w:id="47" w:name="_Toc101636976"/>
      <w:r>
        <w:t>Solstice-observations in Emerging Societies</w:t>
      </w:r>
      <w:bookmarkEnd w:id="47"/>
    </w:p>
    <w:p w14:paraId="1276590B" w14:textId="63D1A4B3" w:rsidR="00F97C06" w:rsidRDefault="00434755" w:rsidP="0068455A">
      <w:r>
        <w:t xml:space="preserve">This section discusses the observation and celebration of solstices in emerging societies, including the </w:t>
      </w:r>
      <w:r w:rsidR="00C462A2">
        <w:t xml:space="preserve">debate of whether pre-agricultural societies had the need or inclination to watch and celebrate solar </w:t>
      </w:r>
      <w:r w:rsidR="004D7E9E">
        <w:t>turning points</w:t>
      </w:r>
      <w:r w:rsidR="00C462A2">
        <w:t>.</w:t>
      </w:r>
      <w:r w:rsidR="006D2E55">
        <w:t xml:space="preserve"> Beginning with Paleolithic and Archaic sites, </w:t>
      </w:r>
      <w:r w:rsidR="00F97C06">
        <w:t xml:space="preserve">the </w:t>
      </w:r>
      <w:r w:rsidR="006D2E55">
        <w:t xml:space="preserve">documentation becomes increasingly rugged as </w:t>
      </w:r>
      <w:r w:rsidR="00F97C06">
        <w:t>it applies to agricultural, sedentary societies, who used megalithic structures as fixed points to measure celestial movements.</w:t>
      </w:r>
      <w:r w:rsidR="006D2E55">
        <w:t xml:space="preserve"> </w:t>
      </w:r>
      <w:r w:rsidR="006F36F3">
        <w:t xml:space="preserve"> </w:t>
      </w:r>
    </w:p>
    <w:p w14:paraId="6142B451" w14:textId="77777777" w:rsidR="00F97C06" w:rsidRPr="00FC186B" w:rsidRDefault="00F97C06" w:rsidP="00F97C06">
      <w:pPr>
        <w:pStyle w:val="Heading3"/>
      </w:pPr>
      <w:bookmarkStart w:id="48" w:name="_Toc101636977"/>
      <w:bookmarkStart w:id="49" w:name="_Toc101014129"/>
      <w:r>
        <w:t>Paleolithic and Archaic Rock Art</w:t>
      </w:r>
      <w:bookmarkEnd w:id="48"/>
      <w:r>
        <w:t xml:space="preserve"> </w:t>
      </w:r>
      <w:bookmarkEnd w:id="49"/>
    </w:p>
    <w:p w14:paraId="570C5F8A" w14:textId="77777777" w:rsidR="00F97C06" w:rsidRDefault="00F97C06" w:rsidP="00F97C06">
      <w:r>
        <w:t>Evidence for</w:t>
      </w:r>
      <w:r w:rsidRPr="00FC186B">
        <w:t xml:space="preserve"> pre-agricultural solstice-watching</w:t>
      </w:r>
      <w:r>
        <w:t xml:space="preserve"> is sparse</w:t>
      </w:r>
      <w:r w:rsidRPr="00FC186B">
        <w:t xml:space="preserve">.  Villeneuve and Hayden cited Chantal </w:t>
      </w:r>
      <w:proofErr w:type="spellStart"/>
      <w:r w:rsidRPr="00FC186B">
        <w:t>Jeguès-Wolkiewiez’s</w:t>
      </w:r>
      <w:proofErr w:type="spellEnd"/>
      <w:r w:rsidRPr="00FC186B">
        <w:t xml:space="preserve"> documentation of painted caves in southern France, such as Lascaux</w:t>
      </w:r>
      <w:r>
        <w:t xml:space="preserve"> (</w:t>
      </w:r>
      <w:r w:rsidRPr="00FC186B">
        <w:t>17,000 BP</w:t>
      </w:r>
      <w:r>
        <w:t>),</w:t>
      </w:r>
      <w:r w:rsidRPr="00FC186B">
        <w:t xml:space="preserve"> where sunset on winter or summer solstice penetrate</w:t>
      </w:r>
      <w:r>
        <w:t>d</w:t>
      </w:r>
      <w:r w:rsidRPr="00FC186B">
        <w:t xml:space="preserve"> the caves’ entrance chambers.</w:t>
      </w:r>
      <w:r w:rsidRPr="00FC186B">
        <w:rPr>
          <w:rStyle w:val="FootnoteReference"/>
        </w:rPr>
        <w:footnoteReference w:id="89"/>
      </w:r>
      <w:r w:rsidRPr="00FC186B">
        <w:t xml:space="preserve"> The Spout Run site in Virginia include</w:t>
      </w:r>
      <w:r>
        <w:t>d</w:t>
      </w:r>
      <w:r w:rsidRPr="00FC186B">
        <w:t xml:space="preserve"> three concentric stone rings on </w:t>
      </w:r>
      <w:r w:rsidRPr="00FC186B">
        <w:lastRenderedPageBreak/>
        <w:t>the ground and petroglyphs on two adjacent boulders, which</w:t>
      </w:r>
      <w:r>
        <w:t>,</w:t>
      </w:r>
      <w:r w:rsidRPr="00FC186B">
        <w:t xml:space="preserve"> according to Wm</w:t>
      </w:r>
      <w:r>
        <w:t>.</w:t>
      </w:r>
      <w:r w:rsidRPr="00FC186B">
        <w:t xml:space="preserve"> Jack </w:t>
      </w:r>
      <w:proofErr w:type="spellStart"/>
      <w:r w:rsidRPr="00FC186B">
        <w:t>Hranicky</w:t>
      </w:r>
      <w:proofErr w:type="spellEnd"/>
      <w:r w:rsidRPr="00FC186B">
        <w:t xml:space="preserve">, </w:t>
      </w:r>
      <w:r>
        <w:t>were</w:t>
      </w:r>
      <w:r w:rsidRPr="00FC186B">
        <w:t xml:space="preserve"> aligned to summer solstice and the equinox sunrises and contain</w:t>
      </w:r>
      <w:r>
        <w:t>ed</w:t>
      </w:r>
      <w:r w:rsidRPr="00FC186B">
        <w:t xml:space="preserve"> a lithic tool </w:t>
      </w:r>
      <w:r>
        <w:t xml:space="preserve">and </w:t>
      </w:r>
      <w:r w:rsidRPr="00FC186B">
        <w:t>hearth charcoal dating to 11,200 -11,500 BP.</w:t>
      </w:r>
      <w:r w:rsidRPr="00FC186B">
        <w:rPr>
          <w:rStyle w:val="FootnoteReference"/>
        </w:rPr>
        <w:footnoteReference w:id="90"/>
      </w:r>
      <w:r w:rsidRPr="00FC186B">
        <w:t xml:space="preserve"> Paleolithic solstice-viewing sites are considered controversial by Hayden and Villeneuve.</w:t>
      </w:r>
      <w:r w:rsidRPr="00FC186B">
        <w:rPr>
          <w:rStyle w:val="FootnoteReference"/>
        </w:rPr>
        <w:footnoteReference w:id="91"/>
      </w:r>
      <w:r w:rsidRPr="00FC186B">
        <w:t xml:space="preserve">  </w:t>
      </w:r>
    </w:p>
    <w:p w14:paraId="10BA225A" w14:textId="30947D28" w:rsidR="00F97C06" w:rsidRDefault="004D7E9E" w:rsidP="00F97C06">
      <w:r>
        <w:t>I</w:t>
      </w:r>
      <w:r w:rsidR="001D17A3">
        <w:t>n the New World, t</w:t>
      </w:r>
      <w:r w:rsidR="00F97C06" w:rsidRPr="00FC186B">
        <w:t xml:space="preserve">en rock art sites used as observatories for solstice-viewing </w:t>
      </w:r>
      <w:r w:rsidR="00F97C06">
        <w:t>were documented among</w:t>
      </w:r>
      <w:r w:rsidR="00F97C06" w:rsidRPr="00FC186B">
        <w:t xml:space="preserve"> Californian hunter-gatherer tribes by Travis Hudson et al</w:t>
      </w:r>
      <w:r w:rsidR="00F97C06">
        <w:t>.</w:t>
      </w:r>
      <w:r w:rsidR="00F97C06" w:rsidRPr="00FC186B">
        <w:rPr>
          <w:rStyle w:val="FootnoteReference"/>
        </w:rPr>
        <w:footnoteReference w:id="92"/>
      </w:r>
      <w:r w:rsidR="00F97C06" w:rsidRPr="00FC186B">
        <w:t xml:space="preserve"> </w:t>
      </w:r>
      <w:r w:rsidR="00F97C06">
        <w:t>Cole cited two Barrier Canyon Style pictographs (2000 BCE- 400 CE) where on the solstice sunrise, ‘bursts of light extend from the “mouths,”’ of anthropomorphs.</w:t>
      </w:r>
      <w:r w:rsidR="00F97C06">
        <w:rPr>
          <w:rStyle w:val="FootnoteReference"/>
        </w:rPr>
        <w:footnoteReference w:id="93"/>
      </w:r>
    </w:p>
    <w:p w14:paraId="7B30AAD6" w14:textId="256EF639" w:rsidR="00F97C06" w:rsidRPr="00FC186B" w:rsidRDefault="00F97C06" w:rsidP="00F97C06">
      <w:pPr>
        <w:pStyle w:val="Heading3"/>
      </w:pPr>
      <w:bookmarkStart w:id="50" w:name="_Toc101636978"/>
      <w:r>
        <w:t>Sedentarism and Megaliths</w:t>
      </w:r>
      <w:bookmarkEnd w:id="50"/>
    </w:p>
    <w:p w14:paraId="63A45D9C" w14:textId="258A6526" w:rsidR="00284E0B" w:rsidRDefault="00E42AAB" w:rsidP="00284E0B">
      <w:r>
        <w:t>The oldest known s</w:t>
      </w:r>
      <w:r w:rsidR="00423CCE" w:rsidRPr="00FC186B">
        <w:t xml:space="preserve">olstice sunrise </w:t>
      </w:r>
      <w:r>
        <w:t>viewing c</w:t>
      </w:r>
      <w:r w:rsidR="00333575">
        <w:t xml:space="preserve">eremonial </w:t>
      </w:r>
      <w:proofErr w:type="spellStart"/>
      <w:r w:rsidR="00333575">
        <w:t>cent</w:t>
      </w:r>
      <w:r w:rsidR="00AD438E">
        <w:t>re</w:t>
      </w:r>
      <w:proofErr w:type="spellEnd"/>
      <w:r>
        <w:t xml:space="preserve"> in the Old World was documented </w:t>
      </w:r>
      <w:r w:rsidR="00284E0B">
        <w:t xml:space="preserve">by </w:t>
      </w:r>
      <w:proofErr w:type="spellStart"/>
      <w:r w:rsidR="00284E0B">
        <w:t>Malville</w:t>
      </w:r>
      <w:proofErr w:type="spellEnd"/>
      <w:r w:rsidR="00284E0B">
        <w:t xml:space="preserve"> </w:t>
      </w:r>
      <w:r>
        <w:t xml:space="preserve">in the </w:t>
      </w:r>
      <w:proofErr w:type="spellStart"/>
      <w:r>
        <w:t>Nabta</w:t>
      </w:r>
      <w:proofErr w:type="spellEnd"/>
      <w:r>
        <w:t xml:space="preserve"> Playa</w:t>
      </w:r>
      <w:r w:rsidR="00F96394">
        <w:t xml:space="preserve"> of southern</w:t>
      </w:r>
      <w:r w:rsidR="00333575">
        <w:t xml:space="preserve"> Egypt</w:t>
      </w:r>
      <w:r w:rsidR="00284E0B">
        <w:t>, where</w:t>
      </w:r>
      <w:r w:rsidR="00284E0B" w:rsidRPr="00284E0B">
        <w:t xml:space="preserve"> </w:t>
      </w:r>
      <w:r w:rsidR="00284E0B">
        <w:t xml:space="preserve">prehistoric pastoralists </w:t>
      </w:r>
      <w:r w:rsidR="004D7E9E">
        <w:t>aligned</w:t>
      </w:r>
      <w:r w:rsidR="00284E0B">
        <w:t xml:space="preserve"> megalith</w:t>
      </w:r>
      <w:r w:rsidR="004D7E9E">
        <w:t>s</w:t>
      </w:r>
      <w:r w:rsidR="00284E0B">
        <w:t xml:space="preserve"> to </w:t>
      </w:r>
      <w:r w:rsidR="0028107D">
        <w:t xml:space="preserve">summer </w:t>
      </w:r>
      <w:r w:rsidR="00284E0B">
        <w:t>solstice and important stars between 7500-6500 BP</w:t>
      </w:r>
      <w:r w:rsidR="003916F3" w:rsidRPr="00FC186B">
        <w:t>.</w:t>
      </w:r>
      <w:r>
        <w:rPr>
          <w:rStyle w:val="FootnoteReference"/>
        </w:rPr>
        <w:footnoteReference w:id="94"/>
      </w:r>
      <w:r w:rsidR="00423CCE" w:rsidRPr="00FC186B">
        <w:t xml:space="preserve"> </w:t>
      </w:r>
      <w:r w:rsidR="00284E0B">
        <w:t xml:space="preserve">According to </w:t>
      </w:r>
      <w:proofErr w:type="spellStart"/>
      <w:r w:rsidR="00284E0B">
        <w:t>Malville</w:t>
      </w:r>
      <w:proofErr w:type="spellEnd"/>
      <w:r w:rsidR="00284E0B">
        <w:t xml:space="preserve">, the seasonal filling of the desert lake drew a </w:t>
      </w:r>
      <w:r w:rsidR="0028107D">
        <w:t>nomadic</w:t>
      </w:r>
      <w:r w:rsidR="00284E0B">
        <w:t xml:space="preserve"> population</w:t>
      </w:r>
      <w:r w:rsidR="0028107D">
        <w:t>, which displayed symbolic thinking in ceremonial structures prior to the manifestation of the religious and political institutions of sedentarism.</w:t>
      </w:r>
      <w:r w:rsidR="00A414DC">
        <w:rPr>
          <w:rStyle w:val="FootnoteReference"/>
        </w:rPr>
        <w:footnoteReference w:id="95"/>
      </w:r>
      <w:r w:rsidR="00A414DC">
        <w:t xml:space="preserve"> </w:t>
      </w:r>
      <w:r w:rsidR="00333575" w:rsidRPr="00FC186B">
        <w:t xml:space="preserve">Ulrich </w:t>
      </w:r>
      <w:proofErr w:type="spellStart"/>
      <w:r w:rsidR="00333575" w:rsidRPr="00FC186B">
        <w:t>Boser</w:t>
      </w:r>
      <w:proofErr w:type="spellEnd"/>
      <w:r w:rsidR="00333575" w:rsidRPr="00FC186B">
        <w:t xml:space="preserve"> </w:t>
      </w:r>
      <w:r w:rsidR="00333575">
        <w:t xml:space="preserve">considered the </w:t>
      </w:r>
      <w:r w:rsidR="00423CCE" w:rsidRPr="00FC186B">
        <w:t xml:space="preserve">wooden henge enclosure </w:t>
      </w:r>
      <w:r w:rsidR="00F31840" w:rsidRPr="00FC186B">
        <w:t xml:space="preserve">in </w:t>
      </w:r>
      <w:proofErr w:type="spellStart"/>
      <w:r w:rsidR="00F31840" w:rsidRPr="00FC186B">
        <w:t>Goseck</w:t>
      </w:r>
      <w:proofErr w:type="spellEnd"/>
      <w:r w:rsidR="00F31840" w:rsidRPr="00FC186B">
        <w:t xml:space="preserve">, Germany </w:t>
      </w:r>
      <w:r w:rsidR="008E6C62">
        <w:t>among</w:t>
      </w:r>
      <w:r w:rsidR="00F31840">
        <w:t xml:space="preserve"> the oldest sites in Europe oriented to solstices,</w:t>
      </w:r>
      <w:r w:rsidR="00F31840" w:rsidRPr="00F31840">
        <w:t xml:space="preserve"> </w:t>
      </w:r>
      <w:r w:rsidR="00F31840">
        <w:lastRenderedPageBreak/>
        <w:t>used ceremonially by Neolithic farmers between</w:t>
      </w:r>
      <w:r w:rsidR="00F31840" w:rsidRPr="00FC186B">
        <w:t xml:space="preserve"> 4800- 4600 BCE</w:t>
      </w:r>
      <w:r w:rsidR="00F31840">
        <w:t>.</w:t>
      </w:r>
      <w:r w:rsidR="00F31840" w:rsidRPr="00FC186B">
        <w:rPr>
          <w:rStyle w:val="FootnoteReference"/>
        </w:rPr>
        <w:footnoteReference w:id="96"/>
      </w:r>
      <w:r w:rsidR="00F31840">
        <w:t xml:space="preserve"> </w:t>
      </w:r>
      <w:r w:rsidR="00284E0B">
        <w:t>A</w:t>
      </w:r>
      <w:r w:rsidR="00284E0B" w:rsidRPr="00FC186B">
        <w:t>ccording to Clive Ruggles</w:t>
      </w:r>
      <w:r w:rsidR="00284E0B">
        <w:t xml:space="preserve">, </w:t>
      </w:r>
      <w:r w:rsidR="00284E0B" w:rsidRPr="00FC186B">
        <w:t xml:space="preserve">Alexander Thom </w:t>
      </w:r>
      <w:r w:rsidR="002464A7">
        <w:t>established</w:t>
      </w:r>
      <w:r w:rsidR="00284E0B" w:rsidRPr="00FC186B">
        <w:t xml:space="preserve"> that Stonehenge</w:t>
      </w:r>
      <w:r w:rsidR="00284E0B">
        <w:t xml:space="preserve"> (3000 -1600 BCE) </w:t>
      </w:r>
      <w:r w:rsidR="00284E0B" w:rsidRPr="00FC186B">
        <w:t>was erected</w:t>
      </w:r>
      <w:r w:rsidR="00284E0B">
        <w:t xml:space="preserve"> by Neolithic farmers</w:t>
      </w:r>
      <w:r w:rsidR="00284E0B" w:rsidRPr="00FC186B">
        <w:t xml:space="preserve"> to mark alignments to solstice sunrise and sunset along the </w:t>
      </w:r>
      <w:r w:rsidR="00284E0B">
        <w:t>rolling hills of the</w:t>
      </w:r>
      <w:r w:rsidR="00284E0B" w:rsidRPr="00FC186B">
        <w:t xml:space="preserve"> English horizon.</w:t>
      </w:r>
      <w:r w:rsidR="00284E0B" w:rsidRPr="00FC186B">
        <w:rPr>
          <w:rStyle w:val="FootnoteReference"/>
        </w:rPr>
        <w:footnoteReference w:id="97"/>
      </w:r>
      <w:r w:rsidR="00284E0B" w:rsidRPr="00FC186B">
        <w:t xml:space="preserve"> </w:t>
      </w:r>
      <w:r w:rsidR="00284E0B">
        <w:t xml:space="preserve">Orientations of megalithic structures have continued to be discovered in the Old and New World among agricultural peoples, but </w:t>
      </w:r>
      <w:r w:rsidR="002464A7">
        <w:t>solstice observations</w:t>
      </w:r>
      <w:r w:rsidR="00284E0B">
        <w:t xml:space="preserve"> </w:t>
      </w:r>
      <w:r w:rsidR="002464A7">
        <w:t xml:space="preserve">prior to </w:t>
      </w:r>
      <w:r w:rsidR="00284E0B">
        <w:t xml:space="preserve"> sedentarism</w:t>
      </w:r>
      <w:r w:rsidR="002464A7">
        <w:t xml:space="preserve"> are rare and suggest non-subsistence motivation.</w:t>
      </w:r>
      <w:r w:rsidR="00284E0B">
        <w:t xml:space="preserve">  </w:t>
      </w:r>
    </w:p>
    <w:p w14:paraId="6ACF81EB" w14:textId="361B6DBF" w:rsidR="00EA2E7F" w:rsidRDefault="0083286D" w:rsidP="0068455A">
      <w:r w:rsidRPr="00FC186B">
        <w:t>In the New World</w:t>
      </w:r>
      <w:r w:rsidR="00244872" w:rsidRPr="00FC186B">
        <w:t>,</w:t>
      </w:r>
      <w:r w:rsidRPr="00FC186B">
        <w:t xml:space="preserve"> the </w:t>
      </w:r>
      <w:r w:rsidR="000D5C21">
        <w:t>so</w:t>
      </w:r>
      <w:r w:rsidR="00A43275">
        <w:t>lstice</w:t>
      </w:r>
      <w:r w:rsidR="000D5C21">
        <w:t xml:space="preserve"> orientations</w:t>
      </w:r>
      <w:r w:rsidRPr="00FC186B">
        <w:t xml:space="preserve"> </w:t>
      </w:r>
      <w:r w:rsidR="00FF5FE7" w:rsidRPr="00FC186B">
        <w:t>in</w:t>
      </w:r>
      <w:r w:rsidRPr="00FC186B">
        <w:t xml:space="preserve"> the architecture of </w:t>
      </w:r>
      <w:r w:rsidR="00DF53F9" w:rsidRPr="00FC186B">
        <w:t>the Torreon at Machu Picchu</w:t>
      </w:r>
      <w:r w:rsidR="00FF5FE7" w:rsidRPr="00FC186B">
        <w:t xml:space="preserve"> </w:t>
      </w:r>
      <w:r w:rsidR="00D415EF">
        <w:t>were</w:t>
      </w:r>
      <w:r w:rsidR="00FF5FE7" w:rsidRPr="00FC186B">
        <w:t xml:space="preserve"> established by</w:t>
      </w:r>
      <w:r w:rsidR="00A43275" w:rsidRPr="00A43275">
        <w:t xml:space="preserve"> </w:t>
      </w:r>
      <w:proofErr w:type="spellStart"/>
      <w:r w:rsidR="00A43275" w:rsidRPr="00FC186B">
        <w:t>Malville</w:t>
      </w:r>
      <w:proofErr w:type="spellEnd"/>
      <w:r w:rsidR="003916F3" w:rsidRPr="00FC186B">
        <w:t>;</w:t>
      </w:r>
      <w:r w:rsidR="00FF5FE7" w:rsidRPr="00FC186B">
        <w:t xml:space="preserve"> that of </w:t>
      </w:r>
      <w:r w:rsidR="009B46D3">
        <w:t>Mesoamerican</w:t>
      </w:r>
      <w:r w:rsidR="00FF5FE7" w:rsidRPr="00FC186B">
        <w:t xml:space="preserve"> pyramids by </w:t>
      </w:r>
      <w:r w:rsidR="00FF5FE7" w:rsidRPr="00FC186B">
        <w:softHyphen/>
      </w:r>
      <w:r w:rsidR="00FF5FE7" w:rsidRPr="00FC186B">
        <w:softHyphen/>
      </w:r>
      <w:r w:rsidR="00FF5FE7" w:rsidRPr="00FC186B">
        <w:softHyphen/>
      </w:r>
      <w:r w:rsidR="00EC7C51" w:rsidRPr="00FC186B">
        <w:t xml:space="preserve">Ivan </w:t>
      </w:r>
      <w:proofErr w:type="spellStart"/>
      <w:r w:rsidR="00721D32" w:rsidRPr="00FC186B">
        <w:t>Šprajc</w:t>
      </w:r>
      <w:proofErr w:type="spellEnd"/>
      <w:r w:rsidR="00721D32" w:rsidRPr="00FC186B">
        <w:t xml:space="preserve"> </w:t>
      </w:r>
      <w:r w:rsidR="00EC7C51" w:rsidRPr="00FC186B">
        <w:t xml:space="preserve">and </w:t>
      </w:r>
      <w:r w:rsidR="00DF53F9" w:rsidRPr="00FC186B">
        <w:t>Alonso Mendez, et al.</w:t>
      </w:r>
      <w:r w:rsidR="003916F3" w:rsidRPr="00FC186B">
        <w:t>;</w:t>
      </w:r>
      <w:r w:rsidR="00FF5FE7" w:rsidRPr="00FC186B">
        <w:t xml:space="preserve"> and that of Chaco</w:t>
      </w:r>
      <w:r w:rsidR="00C26D36" w:rsidRPr="00FC186B">
        <w:t>, New Mexico</w:t>
      </w:r>
      <w:r w:rsidR="00FF5FE7" w:rsidRPr="00FC186B">
        <w:t xml:space="preserve"> by</w:t>
      </w:r>
      <w:r w:rsidR="00A43275">
        <w:t xml:space="preserve"> </w:t>
      </w:r>
      <w:proofErr w:type="spellStart"/>
      <w:r w:rsidR="00A43275">
        <w:t>Malville</w:t>
      </w:r>
      <w:proofErr w:type="spellEnd"/>
      <w:r w:rsidR="00DF53F9" w:rsidRPr="00FC186B">
        <w:t>.</w:t>
      </w:r>
      <w:r w:rsidR="00DF53F9" w:rsidRPr="00FC186B">
        <w:rPr>
          <w:rStyle w:val="FootnoteReference"/>
        </w:rPr>
        <w:footnoteReference w:id="98"/>
      </w:r>
      <w:r w:rsidRPr="00FC186B">
        <w:t xml:space="preserve"> </w:t>
      </w:r>
      <w:r w:rsidR="00C26D36" w:rsidRPr="00FC186B">
        <w:t>D</w:t>
      </w:r>
      <w:r w:rsidR="00CF1534" w:rsidRPr="00FC186B">
        <w:t xml:space="preserve">ue to the organized labor force required to build </w:t>
      </w:r>
      <w:r w:rsidR="00C26D36" w:rsidRPr="00FC186B">
        <w:t>megalithic</w:t>
      </w:r>
      <w:r w:rsidR="00CF1534" w:rsidRPr="00FC186B">
        <w:t xml:space="preserve"> structure</w:t>
      </w:r>
      <w:r w:rsidR="00C26D36" w:rsidRPr="00FC186B">
        <w:t xml:space="preserve">s, they </w:t>
      </w:r>
      <w:r w:rsidR="00EA2E7F">
        <w:t>were</w:t>
      </w:r>
      <w:r w:rsidR="00C26D36" w:rsidRPr="00FC186B">
        <w:t xml:space="preserve"> considered evidence of advanced village formation and </w:t>
      </w:r>
      <w:r w:rsidR="00C26D36" w:rsidRPr="007A1CD8">
        <w:t>agricultural development</w:t>
      </w:r>
      <w:r w:rsidR="007A1CD8" w:rsidRPr="007A1CD8">
        <w:t xml:space="preserve"> by V. Gordon Childe</w:t>
      </w:r>
      <w:r w:rsidR="002464A7">
        <w:t xml:space="preserve"> (1892-1957)</w:t>
      </w:r>
      <w:r w:rsidR="00CF1534" w:rsidRPr="007A1CD8">
        <w:t>.</w:t>
      </w:r>
      <w:r w:rsidR="007A1CD8" w:rsidRPr="007A1CD8">
        <w:rPr>
          <w:rStyle w:val="FootnoteReference"/>
        </w:rPr>
        <w:footnoteReference w:id="99"/>
      </w:r>
      <w:r w:rsidR="00C26D36" w:rsidRPr="00FC186B">
        <w:t xml:space="preserve"> </w:t>
      </w:r>
    </w:p>
    <w:p w14:paraId="6B508216" w14:textId="7FB8639C" w:rsidR="001B0A0F" w:rsidRPr="00FC186B" w:rsidRDefault="00C26D36" w:rsidP="0068455A">
      <w:r w:rsidRPr="00FC186B">
        <w:t>The rise of astronomically oriented building</w:t>
      </w:r>
      <w:r w:rsidR="00A035CD" w:rsidRPr="00FC186B">
        <w:t xml:space="preserve">s in ancient civilizations </w:t>
      </w:r>
      <w:r w:rsidRPr="00FC186B">
        <w:t>was often concurrent with the development of calendars</w:t>
      </w:r>
      <w:r w:rsidR="00A035CD" w:rsidRPr="00FC186B">
        <w:t>, which were also based on celestial cycles</w:t>
      </w:r>
      <w:r w:rsidR="009B46D3">
        <w:t>,</w:t>
      </w:r>
      <w:r w:rsidR="00F01E72" w:rsidRPr="00FC186B">
        <w:t xml:space="preserve"> according to Ronald </w:t>
      </w:r>
      <w:proofErr w:type="spellStart"/>
      <w:r w:rsidR="00F01E72" w:rsidRPr="00FC186B">
        <w:t>Faulseit</w:t>
      </w:r>
      <w:proofErr w:type="spellEnd"/>
      <w:r w:rsidR="00FD4FA6" w:rsidRPr="00FC186B">
        <w:t xml:space="preserve"> and </w:t>
      </w:r>
      <w:proofErr w:type="spellStart"/>
      <w:r w:rsidR="00721D32" w:rsidRPr="00FC186B">
        <w:t>Šprajc</w:t>
      </w:r>
      <w:proofErr w:type="spellEnd"/>
      <w:r w:rsidR="00A035CD" w:rsidRPr="00FC186B">
        <w:t>.</w:t>
      </w:r>
      <w:r w:rsidR="00F01E72" w:rsidRPr="00FC186B">
        <w:rPr>
          <w:rStyle w:val="FootnoteReference"/>
        </w:rPr>
        <w:footnoteReference w:id="100"/>
      </w:r>
      <w:r w:rsidR="00A035CD" w:rsidRPr="00FC186B">
        <w:t xml:space="preserve"> Calendars </w:t>
      </w:r>
      <w:r w:rsidR="009B46D3">
        <w:t>were</w:t>
      </w:r>
      <w:r w:rsidR="00A035CD" w:rsidRPr="00FC186B">
        <w:t xml:space="preserve"> cited by</w:t>
      </w:r>
      <w:r w:rsidR="00FD4FA6" w:rsidRPr="00FC186B">
        <w:t xml:space="preserve"> </w:t>
      </w:r>
      <w:proofErr w:type="spellStart"/>
      <w:r w:rsidR="00477193" w:rsidRPr="00FC186B">
        <w:t>Šprajc</w:t>
      </w:r>
      <w:proofErr w:type="spellEnd"/>
      <w:r w:rsidR="00477193" w:rsidRPr="00FC186B">
        <w:t xml:space="preserve"> as</w:t>
      </w:r>
      <w:r w:rsidR="00A035CD" w:rsidRPr="00FC186B">
        <w:t xml:space="preserve"> a prerequisite </w:t>
      </w:r>
      <w:r w:rsidR="00477193" w:rsidRPr="00FC186B">
        <w:t xml:space="preserve">for the timing </w:t>
      </w:r>
      <w:r w:rsidR="00477193" w:rsidRPr="00FC186B">
        <w:lastRenderedPageBreak/>
        <w:t>of</w:t>
      </w:r>
      <w:r w:rsidR="00A035CD" w:rsidRPr="00FC186B">
        <w:t xml:space="preserve"> agricultural tasks.</w:t>
      </w:r>
      <w:r w:rsidR="00FD4FA6" w:rsidRPr="00FC186B">
        <w:rPr>
          <w:rStyle w:val="FootnoteReference"/>
        </w:rPr>
        <w:footnoteReference w:id="101"/>
      </w:r>
      <w:r w:rsidR="0057309C" w:rsidRPr="00FC186B">
        <w:t xml:space="preserve"> </w:t>
      </w:r>
      <w:r w:rsidR="004D73C5" w:rsidRPr="00FC186B">
        <w:t xml:space="preserve">Barber and Barber </w:t>
      </w:r>
      <w:r w:rsidR="00077043" w:rsidRPr="00FC186B">
        <w:t>entertain</w:t>
      </w:r>
      <w:r w:rsidR="009D2F9F" w:rsidRPr="00FC186B">
        <w:t>ed</w:t>
      </w:r>
      <w:r w:rsidR="00077043" w:rsidRPr="00FC186B">
        <w:t xml:space="preserve"> the possibility that Paleolithic people watched moon cycles or other astronomical phenomena, but conclude</w:t>
      </w:r>
      <w:r w:rsidR="009D2F9F" w:rsidRPr="00FC186B">
        <w:t>d</w:t>
      </w:r>
      <w:r w:rsidR="00077043" w:rsidRPr="00FC186B">
        <w:t xml:space="preserve"> that it was the rise of agriculture when, ‘time changed its significance and the observation of celestial cycles had to begin in </w:t>
      </w:r>
      <w:r w:rsidR="00665269" w:rsidRPr="00FC186B">
        <w:t>earnest</w:t>
      </w:r>
      <w:r w:rsidR="00077043" w:rsidRPr="00FC186B">
        <w:t>.’</w:t>
      </w:r>
      <w:r w:rsidR="00077043" w:rsidRPr="00FC186B">
        <w:rPr>
          <w:rStyle w:val="FootnoteReference"/>
        </w:rPr>
        <w:footnoteReference w:id="102"/>
      </w:r>
      <w:r w:rsidR="00665269" w:rsidRPr="00FC186B">
        <w:t xml:space="preserve"> </w:t>
      </w:r>
      <w:r w:rsidR="001B0A0F" w:rsidRPr="00FC186B">
        <w:t>M. Jane Young noted that, ‘as is common with agriculturalists, the Zunis devote most of their attention to the apparent recurrent motion of the sun.’</w:t>
      </w:r>
      <w:r w:rsidR="001B0A0F" w:rsidRPr="00FC186B">
        <w:rPr>
          <w:rStyle w:val="FootnoteReference"/>
        </w:rPr>
        <w:footnoteReference w:id="103"/>
      </w:r>
      <w:r w:rsidR="001B0A0F" w:rsidRPr="00FC186B">
        <w:t xml:space="preserve"> </w:t>
      </w:r>
      <w:r w:rsidR="00F327EC" w:rsidRPr="00FC186B">
        <w:t>While the</w:t>
      </w:r>
      <w:r w:rsidR="00665269" w:rsidRPr="00FC186B">
        <w:t xml:space="preserve"> archaeological record shows many cultures in which agriculture, calendars</w:t>
      </w:r>
      <w:r w:rsidR="00CF599D" w:rsidRPr="00FC186B">
        <w:t>,</w:t>
      </w:r>
      <w:r w:rsidR="00665269" w:rsidRPr="00FC186B">
        <w:t xml:space="preserve"> and megalithic structures based on astronomical orientations arose </w:t>
      </w:r>
      <w:r w:rsidR="00CF599D" w:rsidRPr="00FC186B">
        <w:t xml:space="preserve">simultaneously, </w:t>
      </w:r>
      <w:r w:rsidR="009D1DDC">
        <w:t xml:space="preserve">Lewis </w:t>
      </w:r>
      <w:r w:rsidR="002104B1" w:rsidRPr="00FC186B">
        <w:t>Binford’s</w:t>
      </w:r>
      <w:r w:rsidR="00F327EC" w:rsidRPr="00FC186B">
        <w:t xml:space="preserve"> processual approach of linking </w:t>
      </w:r>
      <w:r w:rsidR="002104B1" w:rsidRPr="00FC186B">
        <w:t xml:space="preserve">subsistence to </w:t>
      </w:r>
      <w:r w:rsidR="00304C39" w:rsidRPr="00FC186B">
        <w:t xml:space="preserve">societal patterns </w:t>
      </w:r>
      <w:r w:rsidR="009D2F9F" w:rsidRPr="00FC186B">
        <w:t xml:space="preserve">may not </w:t>
      </w:r>
      <w:r w:rsidR="002104B1" w:rsidRPr="00FC186B">
        <w:t>explain all</w:t>
      </w:r>
      <w:r w:rsidR="00304C39" w:rsidRPr="00FC186B">
        <w:t xml:space="preserve"> cultural phenomena</w:t>
      </w:r>
      <w:r w:rsidR="009D2F9F" w:rsidRPr="00FC186B">
        <w:t>.</w:t>
      </w:r>
      <w:r w:rsidR="002104B1" w:rsidRPr="00FC186B">
        <w:rPr>
          <w:rStyle w:val="FootnoteReference"/>
        </w:rPr>
        <w:footnoteReference w:id="104"/>
      </w:r>
      <w:r w:rsidR="00CF599D" w:rsidRPr="00FC186B">
        <w:t xml:space="preserve"> </w:t>
      </w:r>
      <w:r w:rsidR="007F504B">
        <w:t xml:space="preserve">The observation and celebration of </w:t>
      </w:r>
      <w:r w:rsidR="00AD542F" w:rsidRPr="00FC186B">
        <w:t xml:space="preserve"> </w:t>
      </w:r>
      <w:r w:rsidR="007F504B" w:rsidRPr="00FC186B">
        <w:t>solar cycles</w:t>
      </w:r>
      <w:r w:rsidR="007F504B">
        <w:t xml:space="preserve"> among</w:t>
      </w:r>
      <w:r w:rsidR="007F504B" w:rsidRPr="00FC186B">
        <w:t xml:space="preserve"> </w:t>
      </w:r>
      <w:r w:rsidR="00AD542F" w:rsidRPr="00FC186B">
        <w:t xml:space="preserve">Archaic people </w:t>
      </w:r>
      <w:r w:rsidR="007F504B">
        <w:t>may represent a part of the ritual fabric of their societies</w:t>
      </w:r>
      <w:r w:rsidR="00CF31C9">
        <w:t>.</w:t>
      </w:r>
    </w:p>
    <w:p w14:paraId="6B851FEA" w14:textId="2C238F80" w:rsidR="003C638B" w:rsidRPr="00FC186B" w:rsidRDefault="00F2716A" w:rsidP="0068455A">
      <w:r w:rsidRPr="00FC186B">
        <w:t xml:space="preserve">The association of astronomically oriented megalithic buildings with calendars and agriculture conflates these phenomena unnecessarily. In the Southwest, corn was a cultigen introduced onto the Colorado Plateau </w:t>
      </w:r>
      <w:r w:rsidR="009D1DDC" w:rsidRPr="00FC186B">
        <w:t xml:space="preserve">by </w:t>
      </w:r>
      <w:r w:rsidRPr="00FC186B">
        <w:t>at least 3000 BP</w:t>
      </w:r>
      <w:r w:rsidR="00D94EE1">
        <w:t>,</w:t>
      </w:r>
      <w:r w:rsidR="006E0D93" w:rsidRPr="00FC186B">
        <w:t xml:space="preserve"> according to Smiley</w:t>
      </w:r>
      <w:r w:rsidRPr="00FC186B">
        <w:t>.</w:t>
      </w:r>
      <w:r w:rsidR="00196C65" w:rsidRPr="00FC186B">
        <w:rPr>
          <w:rStyle w:val="FootnoteReference"/>
        </w:rPr>
        <w:footnoteReference w:id="105"/>
      </w:r>
      <w:r w:rsidRPr="00FC186B">
        <w:t xml:space="preserve"> As a cultigen, it can’t grow without human cultivation. </w:t>
      </w:r>
      <w:r w:rsidR="0084059C" w:rsidRPr="00FC186B">
        <w:t>Yet Smiley found that corn was grown around the Four Corners region for a thousand years before the local people became sedentary and began to build open air dwellings (</w:t>
      </w:r>
      <w:r w:rsidR="00230DEB" w:rsidRPr="00FC186B">
        <w:t>i.e.,</w:t>
      </w:r>
      <w:r w:rsidR="0084059C" w:rsidRPr="00FC186B">
        <w:t xml:space="preserve"> </w:t>
      </w:r>
      <w:r w:rsidR="003C638B" w:rsidRPr="00FC186B">
        <w:t>pit houses</w:t>
      </w:r>
      <w:r w:rsidR="00CF31C9">
        <w:t>,</w:t>
      </w:r>
      <w:r w:rsidR="003C638B" w:rsidRPr="00FC186B">
        <w:t xml:space="preserve"> instead of using</w:t>
      </w:r>
      <w:r w:rsidR="0084059C" w:rsidRPr="00FC186B">
        <w:t xml:space="preserve"> rock shelters).</w:t>
      </w:r>
      <w:r w:rsidR="009F4C58" w:rsidRPr="00FC186B">
        <w:rPr>
          <w:rStyle w:val="FootnoteReference"/>
        </w:rPr>
        <w:footnoteReference w:id="106"/>
      </w:r>
      <w:r w:rsidR="0084059C" w:rsidRPr="00FC186B">
        <w:t xml:space="preserve"> Sedentarism is a watershed decision that shifts from a minimalist material </w:t>
      </w:r>
      <w:r w:rsidR="0084059C" w:rsidRPr="00FC186B">
        <w:lastRenderedPageBreak/>
        <w:t>existence to the production of material goods and claims on territory</w:t>
      </w:r>
      <w:r w:rsidR="00B32560">
        <w:t>, according to Robert Heizer and Albert Elsasser.</w:t>
      </w:r>
      <w:r w:rsidR="00B32560">
        <w:rPr>
          <w:rStyle w:val="FootnoteReference"/>
        </w:rPr>
        <w:footnoteReference w:id="107"/>
      </w:r>
      <w:r w:rsidR="0084059C" w:rsidRPr="00FC186B">
        <w:t xml:space="preserve"> </w:t>
      </w:r>
      <w:r w:rsidR="00605FE6" w:rsidRPr="00FC186B">
        <w:t>I</w:t>
      </w:r>
      <w:r w:rsidR="00CF599D" w:rsidRPr="00FC186B">
        <w:t xml:space="preserve">n the study </w:t>
      </w:r>
      <w:r w:rsidR="00605FE6" w:rsidRPr="00FC186B">
        <w:t>region</w:t>
      </w:r>
      <w:r w:rsidR="00CF599D" w:rsidRPr="00FC186B">
        <w:t xml:space="preserve">, indigenous peoples used rock </w:t>
      </w:r>
      <w:r w:rsidR="00CF599D" w:rsidRPr="00293688">
        <w:t>shelters or slept in open campsites for</w:t>
      </w:r>
      <w:r w:rsidR="00CF599D" w:rsidRPr="00FC186B">
        <w:t xml:space="preserve"> millennia</w:t>
      </w:r>
      <w:r w:rsidR="007427EE" w:rsidRPr="00FC186B">
        <w:t xml:space="preserve">, according to Hunt, </w:t>
      </w:r>
      <w:r w:rsidR="00F47D80" w:rsidRPr="00FC186B">
        <w:t>Black et al.</w:t>
      </w:r>
      <w:r w:rsidR="00CF31C9">
        <w:t>,</w:t>
      </w:r>
      <w:r w:rsidR="00F47D80" w:rsidRPr="00FC186B">
        <w:t xml:space="preserve"> and </w:t>
      </w:r>
      <w:r w:rsidR="00683DB3" w:rsidRPr="00FC186B">
        <w:t>Pierson</w:t>
      </w:r>
      <w:r w:rsidR="007427EE" w:rsidRPr="00FC186B">
        <w:t>.</w:t>
      </w:r>
      <w:r w:rsidR="00605FE6" w:rsidRPr="00FC186B">
        <w:rPr>
          <w:rStyle w:val="FootnoteReference"/>
        </w:rPr>
        <w:footnoteReference w:id="108"/>
      </w:r>
      <w:r w:rsidR="00CF599D" w:rsidRPr="00FC186B">
        <w:t xml:space="preserve"> </w:t>
      </w:r>
      <w:r w:rsidR="00742B3D">
        <w:t xml:space="preserve">Archaic values of traditional conservatism and economy of effort, resulting in less than 500 hours of work per year, according to </w:t>
      </w:r>
      <w:r w:rsidR="00016156">
        <w:t>Stuart</w:t>
      </w:r>
      <w:r w:rsidR="00742B3D">
        <w:t>,</w:t>
      </w:r>
      <w:r w:rsidR="00016156">
        <w:t xml:space="preserve"> </w:t>
      </w:r>
      <w:r w:rsidR="00742B3D">
        <w:t xml:space="preserve">are inconsistent with </w:t>
      </w:r>
      <w:r w:rsidR="00016156">
        <w:t>large-scale megalithic projects.</w:t>
      </w:r>
      <w:r w:rsidR="00016156">
        <w:rPr>
          <w:rStyle w:val="FootnoteReference"/>
        </w:rPr>
        <w:footnoteReference w:id="109"/>
      </w:r>
      <w:r w:rsidR="00016156">
        <w:t xml:space="preserve"> </w:t>
      </w:r>
      <w:r w:rsidR="00274E02" w:rsidRPr="00FC186B">
        <w:t xml:space="preserve">As </w:t>
      </w:r>
      <w:proofErr w:type="spellStart"/>
      <w:r w:rsidR="00274E02" w:rsidRPr="00FC186B">
        <w:t>Šprajc</w:t>
      </w:r>
      <w:proofErr w:type="spellEnd"/>
      <w:r w:rsidR="00274E02" w:rsidRPr="00FC186B">
        <w:t xml:space="preserve"> note</w:t>
      </w:r>
      <w:r w:rsidR="00671794">
        <w:t>d</w:t>
      </w:r>
      <w:r w:rsidR="00274E02" w:rsidRPr="00FC186B">
        <w:t>, ‘The simple objective of timekeeping by means of solar observations could have been achieved without monumental constructions, even without archaeologically recoverable artifacts.’</w:t>
      </w:r>
      <w:r w:rsidR="00274E02" w:rsidRPr="00FC186B">
        <w:rPr>
          <w:rStyle w:val="FootnoteReference"/>
        </w:rPr>
        <w:footnoteReference w:id="110"/>
      </w:r>
      <w:r w:rsidR="00274E02" w:rsidRPr="00FC186B">
        <w:t xml:space="preserve"> </w:t>
      </w:r>
      <w:r w:rsidR="003C638B" w:rsidRPr="00FC186B">
        <w:t>Sedentarism divide</w:t>
      </w:r>
      <w:r w:rsidR="00016156">
        <w:t>d</w:t>
      </w:r>
      <w:r w:rsidR="003C638B" w:rsidRPr="00FC186B">
        <w:t xml:space="preserve"> the archaeological record between the obvious and the elusive.</w:t>
      </w:r>
    </w:p>
    <w:p w14:paraId="5744081D" w14:textId="2E585AC0" w:rsidR="0068340C" w:rsidRDefault="00C43F32" w:rsidP="0068455A">
      <w:r>
        <w:t>Among s</w:t>
      </w:r>
      <w:r w:rsidR="008E3417">
        <w:t>edentary</w:t>
      </w:r>
      <w:r w:rsidR="00B119D4">
        <w:t xml:space="preserve"> peoples </w:t>
      </w:r>
      <w:r>
        <w:t>the oral tradition sufficed to</w:t>
      </w:r>
      <w:r w:rsidR="00B119D4">
        <w:t xml:space="preserve"> maintain</w:t>
      </w:r>
      <w:r w:rsidR="008E3417">
        <w:t xml:space="preserve"> the fixed point of reference for viewing astronomical events. </w:t>
      </w:r>
      <w:r w:rsidR="00B119D4">
        <w:t xml:space="preserve">Among the Hopi, </w:t>
      </w:r>
      <w:r w:rsidR="00E81307" w:rsidRPr="00293688">
        <w:t xml:space="preserve">Florence Hawley Ellis’ </w:t>
      </w:r>
      <w:r w:rsidR="00B119D4">
        <w:t>documented</w:t>
      </w:r>
      <w:r w:rsidR="00E81307" w:rsidRPr="00293688">
        <w:t xml:space="preserve"> </w:t>
      </w:r>
      <w:r w:rsidR="00B119D4">
        <w:t>‘</w:t>
      </w:r>
      <w:r w:rsidR="00E81307" w:rsidRPr="00293688">
        <w:t>horizon calendars</w:t>
      </w:r>
      <w:r w:rsidR="00B119D4">
        <w:t xml:space="preserve">’, where remarkable horizon features were aligned to sunrise or sunset on </w:t>
      </w:r>
      <w:r w:rsidR="00326ACD">
        <w:t>sacred</w:t>
      </w:r>
      <w:r w:rsidR="00B119D4">
        <w:t xml:space="preserve"> dates, as viewed from a </w:t>
      </w:r>
      <w:r w:rsidR="00E81307" w:rsidRPr="00293688">
        <w:t>fixed location</w:t>
      </w:r>
      <w:r w:rsidR="00326ACD">
        <w:t>.</w:t>
      </w:r>
      <w:r w:rsidR="00E81307" w:rsidRPr="00293688">
        <w:rPr>
          <w:rStyle w:val="FootnoteReference"/>
        </w:rPr>
        <w:footnoteReference w:id="111"/>
      </w:r>
      <w:r w:rsidR="00E81307" w:rsidRPr="00293688">
        <w:t xml:space="preserve"> </w:t>
      </w:r>
      <w:proofErr w:type="spellStart"/>
      <w:r w:rsidR="00E81307" w:rsidRPr="00293688">
        <w:t>Šprajc</w:t>
      </w:r>
      <w:proofErr w:type="spellEnd"/>
      <w:r w:rsidR="00E81307" w:rsidRPr="00293688">
        <w:t xml:space="preserve"> attest</w:t>
      </w:r>
      <w:r w:rsidR="009D2F9F" w:rsidRPr="00293688">
        <w:t>ed</w:t>
      </w:r>
      <w:r w:rsidR="00E81307" w:rsidRPr="00293688">
        <w:t xml:space="preserve"> that such horizon calendars were used in Mesoamerican even after temples with astronomical alignments were in use.</w:t>
      </w:r>
      <w:r w:rsidR="00E81307" w:rsidRPr="00293688">
        <w:rPr>
          <w:rStyle w:val="FootnoteReference"/>
        </w:rPr>
        <w:footnoteReference w:id="112"/>
      </w:r>
      <w:r w:rsidR="00E81307" w:rsidRPr="00293688">
        <w:t xml:space="preserve"> </w:t>
      </w:r>
      <w:r w:rsidR="00326ACD">
        <w:t xml:space="preserve">The </w:t>
      </w:r>
      <w:r w:rsidR="009D1DDC" w:rsidRPr="00293688">
        <w:t xml:space="preserve">Desert Archaic </w:t>
      </w:r>
      <w:r w:rsidR="00311C52">
        <w:t>culture</w:t>
      </w:r>
      <w:r w:rsidR="009D1DDC" w:rsidRPr="00293688">
        <w:t xml:space="preserve"> predated </w:t>
      </w:r>
      <w:r w:rsidR="00326ACD">
        <w:t xml:space="preserve">the </w:t>
      </w:r>
      <w:r w:rsidR="00E81307" w:rsidRPr="00293688">
        <w:t xml:space="preserve">Mesoamerican </w:t>
      </w:r>
      <w:r w:rsidR="009D1DDC" w:rsidRPr="00293688">
        <w:t xml:space="preserve">migrations </w:t>
      </w:r>
      <w:r w:rsidR="00326ACD">
        <w:t>who became the</w:t>
      </w:r>
      <w:r w:rsidR="009D1DDC" w:rsidRPr="00293688">
        <w:t xml:space="preserve"> Hopi</w:t>
      </w:r>
      <w:r w:rsidR="00311C52">
        <w:t>,</w:t>
      </w:r>
      <w:r w:rsidR="009D1DDC" w:rsidRPr="00293688">
        <w:t xml:space="preserve"> </w:t>
      </w:r>
      <w:r w:rsidR="00326ACD">
        <w:t>so the two ethnologies can’t be directly linked</w:t>
      </w:r>
      <w:r w:rsidR="00311C52">
        <w:t xml:space="preserve">, but may share a </w:t>
      </w:r>
      <w:r w:rsidR="00C10337" w:rsidRPr="00293688">
        <w:t xml:space="preserve">generalized </w:t>
      </w:r>
      <w:r w:rsidR="00311C52">
        <w:t xml:space="preserve">Native American </w:t>
      </w:r>
      <w:r w:rsidR="00C10337" w:rsidRPr="00293688">
        <w:t xml:space="preserve">pattern of sky watching and worship. </w:t>
      </w:r>
      <w:r w:rsidR="00311C52">
        <w:t>T</w:t>
      </w:r>
      <w:r w:rsidR="00E81307" w:rsidRPr="00293688">
        <w:t xml:space="preserve">he </w:t>
      </w:r>
      <w:r w:rsidR="00311C52">
        <w:t xml:space="preserve">rugged </w:t>
      </w:r>
      <w:r w:rsidR="00E81307" w:rsidRPr="00293688">
        <w:t xml:space="preserve">landscape </w:t>
      </w:r>
      <w:r w:rsidR="00311C52">
        <w:t>of Canyonlands</w:t>
      </w:r>
      <w:r w:rsidR="00911CD9">
        <w:t>,</w:t>
      </w:r>
      <w:r w:rsidR="00311C52">
        <w:t xml:space="preserve"> </w:t>
      </w:r>
      <w:r w:rsidR="00E81307" w:rsidRPr="00293688">
        <w:lastRenderedPageBreak/>
        <w:t>highlighted by mountains, canyon walls and deep ravines</w:t>
      </w:r>
      <w:r w:rsidR="00311C52">
        <w:t xml:space="preserve">, can </w:t>
      </w:r>
      <w:r w:rsidR="00911CD9">
        <w:t>easily</w:t>
      </w:r>
      <w:r w:rsidR="00311C52">
        <w:t xml:space="preserve"> be used as horizon calendars</w:t>
      </w:r>
      <w:r w:rsidR="00E81307" w:rsidRPr="00293688">
        <w:t xml:space="preserve">. </w:t>
      </w:r>
      <w:r w:rsidR="00911CD9">
        <w:t xml:space="preserve">Ellis stated, that </w:t>
      </w:r>
      <w:r w:rsidR="00E81307" w:rsidRPr="00293688">
        <w:t xml:space="preserve">the Hopi, </w:t>
      </w:r>
      <w:r w:rsidR="00911CD9">
        <w:t>simply had</w:t>
      </w:r>
      <w:r w:rsidR="00E81307" w:rsidRPr="00293688">
        <w:t xml:space="preserve"> ‘a stone slab’ on the north side of the village to view sunrise.</w:t>
      </w:r>
      <w:r w:rsidR="00E81307" w:rsidRPr="00293688">
        <w:rPr>
          <w:rStyle w:val="FootnoteReference"/>
        </w:rPr>
        <w:footnoteReference w:id="113"/>
      </w:r>
      <w:r w:rsidR="00E81307" w:rsidRPr="00293688">
        <w:t xml:space="preserve"> </w:t>
      </w:r>
      <w:r w:rsidRPr="00293688">
        <w:t xml:space="preserve">Smiley </w:t>
      </w:r>
      <w:r>
        <w:t>concluded the desert Archaic had</w:t>
      </w:r>
      <w:r w:rsidRPr="00293688">
        <w:t xml:space="preserve"> high mobility and large ranges across the Colorado Plateau </w:t>
      </w:r>
      <w:r>
        <w:t xml:space="preserve">based </w:t>
      </w:r>
      <w:r w:rsidRPr="00293688">
        <w:t>on the stylistic uniformity of rock art across the region.</w:t>
      </w:r>
      <w:r w:rsidRPr="00293688">
        <w:rPr>
          <w:rStyle w:val="FootnoteReference"/>
        </w:rPr>
        <w:footnoteReference w:id="114"/>
      </w:r>
      <w:r w:rsidR="00E81307" w:rsidRPr="00293688">
        <w:t xml:space="preserve"> </w:t>
      </w:r>
      <w:r>
        <w:t>A</w:t>
      </w:r>
      <w:r w:rsidR="00E81307" w:rsidRPr="00293688">
        <w:t xml:space="preserve">ccording to Smiley, </w:t>
      </w:r>
      <w:r w:rsidRPr="00293688">
        <w:t xml:space="preserve">nomadic Archaic groups </w:t>
      </w:r>
      <w:r w:rsidR="00E81307" w:rsidRPr="00293688">
        <w:t xml:space="preserve">followed the pine nut mast hundreds of kilometers from year to year, </w:t>
      </w:r>
      <w:r w:rsidR="00686903">
        <w:t xml:space="preserve">making it </w:t>
      </w:r>
      <w:r w:rsidR="00686903" w:rsidRPr="00293688">
        <w:t>more of a challenge</w:t>
      </w:r>
      <w:r w:rsidR="00686903">
        <w:t xml:space="preserve"> to</w:t>
      </w:r>
      <w:r w:rsidR="00686903" w:rsidRPr="00293688">
        <w:t xml:space="preserve"> </w:t>
      </w:r>
      <w:r w:rsidR="00E81307" w:rsidRPr="00293688">
        <w:t xml:space="preserve">find the same </w:t>
      </w:r>
      <w:r w:rsidR="00686903">
        <w:t>solstice-</w:t>
      </w:r>
      <w:r w:rsidR="00E81307" w:rsidRPr="00293688">
        <w:t xml:space="preserve">viewing location </w:t>
      </w:r>
      <w:r w:rsidR="00686903">
        <w:t>when years had passed between visitations</w:t>
      </w:r>
      <w:r w:rsidR="00E81307" w:rsidRPr="00293688">
        <w:t>.</w:t>
      </w:r>
      <w:r w:rsidR="00E81307" w:rsidRPr="00293688">
        <w:rPr>
          <w:rStyle w:val="FootnoteReference"/>
        </w:rPr>
        <w:footnoteReference w:id="115"/>
      </w:r>
      <w:r w:rsidR="00E81307" w:rsidRPr="00293688">
        <w:t xml:space="preserve"> </w:t>
      </w:r>
    </w:p>
    <w:p w14:paraId="4734717F" w14:textId="40A68337" w:rsidR="00B16ABD" w:rsidRPr="00FC186B" w:rsidRDefault="00B16ABD" w:rsidP="00B16ABD">
      <w:pPr>
        <w:pStyle w:val="Heading3"/>
      </w:pPr>
      <w:bookmarkStart w:id="52" w:name="_Toc101014128"/>
      <w:bookmarkStart w:id="53" w:name="_Toc101636979"/>
      <w:r>
        <w:t>Petroglyphs and Solstice among Southwestern Agriculturalists</w:t>
      </w:r>
      <w:bookmarkEnd w:id="52"/>
      <w:bookmarkEnd w:id="53"/>
    </w:p>
    <w:p w14:paraId="533103B6" w14:textId="6066386B" w:rsidR="005A4DA9" w:rsidRDefault="00B823C8" w:rsidP="00812512">
      <w:r w:rsidRPr="00FC186B">
        <w:t xml:space="preserve">Among agricultural Southwestern cultures the connection between petroglyphs and solstice-watching is evident from the Hohokam in southern Arizona to the </w:t>
      </w:r>
      <w:r w:rsidR="006439F4">
        <w:t>AP</w:t>
      </w:r>
      <w:r w:rsidRPr="00FC186B">
        <w:t xml:space="preserve"> around Chaco and the Four Corners region. Todd Bostwick concluded </w:t>
      </w:r>
      <w:r w:rsidR="00812512">
        <w:t>that ‘</w:t>
      </w:r>
      <w:r w:rsidR="00812512" w:rsidRPr="00FC186B">
        <w:t>four years of sunrise and sunset observations have revealed that several rock art sites exhibit deliberate solar interactions during the winter and summer solstices</w:t>
      </w:r>
      <w:r w:rsidR="00812512">
        <w:t xml:space="preserve">,’ </w:t>
      </w:r>
      <w:r w:rsidR="001D17A3">
        <w:t>in</w:t>
      </w:r>
      <w:r w:rsidR="00812512">
        <w:t xml:space="preserve"> the Hohokam region of South Mountain.</w:t>
      </w:r>
      <w:r w:rsidR="00812512" w:rsidRPr="00812512">
        <w:rPr>
          <w:rStyle w:val="FootnoteReference"/>
          <w:color w:val="282425"/>
        </w:rPr>
        <w:t xml:space="preserve"> </w:t>
      </w:r>
      <w:r w:rsidR="00812512" w:rsidRPr="00FC186B">
        <w:rPr>
          <w:rStyle w:val="FootnoteReference"/>
          <w:color w:val="282425"/>
        </w:rPr>
        <w:footnoteReference w:id="116"/>
      </w:r>
      <w:r w:rsidR="00812512" w:rsidRPr="00FC186B">
        <w:t xml:space="preserve"> </w:t>
      </w:r>
    </w:p>
    <w:p w14:paraId="0979C078" w14:textId="3ECB21B7" w:rsidR="00B823C8" w:rsidRDefault="00812512" w:rsidP="002803DA">
      <w:pPr>
        <w:widowControl w:val="0"/>
        <w:autoSpaceDE w:val="0"/>
        <w:autoSpaceDN w:val="0"/>
        <w:adjustRightInd w:val="0"/>
        <w:spacing w:after="0"/>
      </w:pPr>
      <w:proofErr w:type="spellStart"/>
      <w:r w:rsidRPr="00FC186B">
        <w:t>Malville</w:t>
      </w:r>
      <w:proofErr w:type="spellEnd"/>
      <w:r w:rsidRPr="00FC186B">
        <w:t xml:space="preserve"> and Dennis </w:t>
      </w:r>
      <w:proofErr w:type="spellStart"/>
      <w:r w:rsidRPr="00FC186B">
        <w:t>Doxtater</w:t>
      </w:r>
      <w:proofErr w:type="spellEnd"/>
      <w:r w:rsidRPr="00FC186B">
        <w:t xml:space="preserve"> </w:t>
      </w:r>
      <w:r>
        <w:t xml:space="preserve"> noted </w:t>
      </w:r>
      <w:r w:rsidRPr="00FC186B">
        <w:t xml:space="preserve">several petroglyph sites with solstice </w:t>
      </w:r>
      <w:r w:rsidR="00922965" w:rsidRPr="00FC186B">
        <w:t>interactions</w:t>
      </w:r>
      <w:r w:rsidR="00922965">
        <w:t>, in</w:t>
      </w:r>
      <w:r w:rsidR="00B823C8" w:rsidRPr="00FC186B">
        <w:t xml:space="preserve"> addition to the </w:t>
      </w:r>
      <w:r w:rsidR="00922965" w:rsidRPr="00FC186B">
        <w:t>astronomical alignments at the foundation of the buildings and between cities</w:t>
      </w:r>
      <w:r w:rsidR="007F57F6">
        <w:t xml:space="preserve"> </w:t>
      </w:r>
      <w:r w:rsidR="00922965">
        <w:t xml:space="preserve">in the </w:t>
      </w:r>
      <w:r w:rsidR="00922965" w:rsidRPr="00FC186B">
        <w:t xml:space="preserve"> </w:t>
      </w:r>
      <w:r w:rsidR="00B823C8" w:rsidRPr="00FC186B">
        <w:t>monumental architecture of Chaco Canyon.</w:t>
      </w:r>
      <w:r w:rsidR="00B823C8" w:rsidRPr="00FC186B">
        <w:rPr>
          <w:rStyle w:val="FootnoteReference"/>
          <w:color w:val="282425"/>
        </w:rPr>
        <w:footnoteReference w:id="117"/>
      </w:r>
      <w:r w:rsidR="00B823C8" w:rsidRPr="00FC186B">
        <w:t xml:space="preserve"> </w:t>
      </w:r>
      <w:proofErr w:type="spellStart"/>
      <w:r w:rsidR="00B823C8" w:rsidRPr="00FC186B">
        <w:t>Malville</w:t>
      </w:r>
      <w:proofErr w:type="spellEnd"/>
      <w:r w:rsidR="00B823C8" w:rsidRPr="00FC186B">
        <w:t xml:space="preserve"> discussed the bundling </w:t>
      </w:r>
      <w:r w:rsidR="005448BC">
        <w:t>in Chaco Canyon</w:t>
      </w:r>
      <w:r w:rsidR="00922965" w:rsidRPr="00FC186B">
        <w:t xml:space="preserve"> </w:t>
      </w:r>
      <w:r w:rsidR="00B823C8" w:rsidRPr="00FC186B">
        <w:t xml:space="preserve">of </w:t>
      </w:r>
      <w:r w:rsidR="00922965">
        <w:t xml:space="preserve">the </w:t>
      </w:r>
      <w:r w:rsidR="00B823C8" w:rsidRPr="00FC186B">
        <w:t xml:space="preserve">Piedra del Sol and Headquarters </w:t>
      </w:r>
      <w:r w:rsidR="00922965">
        <w:t xml:space="preserve">petroglyph </w:t>
      </w:r>
      <w:r w:rsidR="00B823C8" w:rsidRPr="00FC186B">
        <w:t>site</w:t>
      </w:r>
      <w:r w:rsidR="00922965">
        <w:t xml:space="preserve">s </w:t>
      </w:r>
      <w:r w:rsidR="00B823C8" w:rsidRPr="00FC186B">
        <w:t xml:space="preserve">with the ‘Sun Dagger’, discovered by Anna </w:t>
      </w:r>
      <w:proofErr w:type="spellStart"/>
      <w:r w:rsidR="00B823C8" w:rsidRPr="00FC186B">
        <w:t>Sofaer</w:t>
      </w:r>
      <w:proofErr w:type="spellEnd"/>
      <w:r w:rsidR="00B823C8" w:rsidRPr="00FC186B">
        <w:t xml:space="preserve"> et al., where a shaft of light enters between fallen slabs </w:t>
      </w:r>
      <w:r w:rsidR="00B823C8" w:rsidRPr="00FC186B">
        <w:lastRenderedPageBreak/>
        <w:t>to bisect a spiral petroglyph</w:t>
      </w:r>
      <w:r w:rsidR="00A35785">
        <w:t xml:space="preserve"> around </w:t>
      </w:r>
      <w:r w:rsidR="00686903">
        <w:t xml:space="preserve">summer </w:t>
      </w:r>
      <w:r w:rsidR="00A35785">
        <w:t>solstice</w:t>
      </w:r>
      <w:r w:rsidR="00B823C8" w:rsidRPr="00FC186B">
        <w:t>.</w:t>
      </w:r>
      <w:r w:rsidR="00B823C8" w:rsidRPr="00FC186B">
        <w:rPr>
          <w:rStyle w:val="FootnoteReference"/>
          <w:color w:val="282425"/>
        </w:rPr>
        <w:footnoteReference w:id="118"/>
      </w:r>
      <w:r w:rsidR="00B823C8" w:rsidRPr="00FC186B">
        <w:t xml:space="preserve"> </w:t>
      </w:r>
      <w:proofErr w:type="spellStart"/>
      <w:r w:rsidR="002803DA">
        <w:t>Malville</w:t>
      </w:r>
      <w:proofErr w:type="spellEnd"/>
      <w:r w:rsidR="002803DA">
        <w:t xml:space="preserve"> described how</w:t>
      </w:r>
      <w:r w:rsidR="00B823C8" w:rsidRPr="00FC186B">
        <w:t xml:space="preserve"> Piedra del Sol petroglyphs allow views of summer solstice sunrise in a notch in the horizon, </w:t>
      </w:r>
      <w:r w:rsidR="00E46658">
        <w:t xml:space="preserve">while the December solstice sunrise is directly above </w:t>
      </w:r>
      <w:proofErr w:type="spellStart"/>
      <w:r w:rsidR="00E46658">
        <w:t>Fajada</w:t>
      </w:r>
      <w:proofErr w:type="spellEnd"/>
      <w:r w:rsidR="00E46658">
        <w:t xml:space="preserve"> Butte </w:t>
      </w:r>
      <w:r w:rsidR="00E46658" w:rsidRPr="00E46658">
        <w:rPr>
          <w:color w:val="222122"/>
        </w:rPr>
        <w:t>from the Great</w:t>
      </w:r>
      <w:r w:rsidR="00E46658">
        <w:rPr>
          <w:color w:val="222122"/>
        </w:rPr>
        <w:t xml:space="preserve"> </w:t>
      </w:r>
      <w:r w:rsidR="00E46658" w:rsidRPr="00E46658">
        <w:rPr>
          <w:color w:val="222122"/>
        </w:rPr>
        <w:t>Kiva (29SJ1253) i</w:t>
      </w:r>
      <w:r w:rsidR="002803DA">
        <w:rPr>
          <w:color w:val="222122"/>
        </w:rPr>
        <w:t xml:space="preserve">n </w:t>
      </w:r>
      <w:r w:rsidR="00E46658" w:rsidRPr="00E46658">
        <w:rPr>
          <w:color w:val="222122"/>
        </w:rPr>
        <w:t>Marcia’s Rincon.</w:t>
      </w:r>
      <w:r w:rsidR="008F3F73">
        <w:rPr>
          <w:rStyle w:val="FootnoteReference"/>
          <w:color w:val="222122"/>
        </w:rPr>
        <w:footnoteReference w:id="119"/>
      </w:r>
      <w:r w:rsidR="00B16ABD">
        <w:t xml:space="preserve"> </w:t>
      </w:r>
      <w:r w:rsidR="00B823C8" w:rsidRPr="00FC186B">
        <w:t>Holly House</w:t>
      </w:r>
      <w:r w:rsidR="00962271" w:rsidRPr="00FC186B">
        <w:t xml:space="preserve"> at </w:t>
      </w:r>
      <w:proofErr w:type="spellStart"/>
      <w:r w:rsidR="00962271" w:rsidRPr="00FC186B">
        <w:t>Hovenweep</w:t>
      </w:r>
      <w:proofErr w:type="spellEnd"/>
      <w:r w:rsidR="00B823C8" w:rsidRPr="00FC186B">
        <w:t xml:space="preserve"> is the site of another solstitial light and shadow interaction on spirals, according to </w:t>
      </w:r>
      <w:proofErr w:type="spellStart"/>
      <w:r w:rsidR="00B823C8" w:rsidRPr="00FC186B">
        <w:t>Malville</w:t>
      </w:r>
      <w:proofErr w:type="spellEnd"/>
      <w:r w:rsidR="00B823C8" w:rsidRPr="00FC186B">
        <w:t>.</w:t>
      </w:r>
      <w:r w:rsidR="00B16ABD" w:rsidRPr="00FC186B">
        <w:rPr>
          <w:rStyle w:val="FootnoteReference"/>
          <w:color w:val="282425"/>
        </w:rPr>
        <w:footnoteReference w:id="120"/>
      </w:r>
      <w:r w:rsidR="00B823C8" w:rsidRPr="00FC186B">
        <w:t xml:space="preserve"> The first illumination of petroglyphs, including anthropomorphs and </w:t>
      </w:r>
      <w:proofErr w:type="spellStart"/>
      <w:r w:rsidR="00B823C8" w:rsidRPr="00FC186B">
        <w:t>zoomorphs</w:t>
      </w:r>
      <w:proofErr w:type="spellEnd"/>
      <w:r w:rsidR="00B16ABD">
        <w:t xml:space="preserve"> </w:t>
      </w:r>
      <w:r w:rsidR="00B823C8" w:rsidRPr="00FC186B">
        <w:t>in addition to the more common spirals, circles</w:t>
      </w:r>
      <w:r w:rsidR="00962271" w:rsidRPr="00FC186B">
        <w:t>,</w:t>
      </w:r>
      <w:r w:rsidR="00B823C8" w:rsidRPr="00FC186B">
        <w:t xml:space="preserve"> and crosses, on solstice and equinox has been documented at an additional eighteen sites in the Four Corners area by the Robert and Anne Preston.</w:t>
      </w:r>
      <w:r w:rsidR="00B823C8" w:rsidRPr="00FC186B">
        <w:rPr>
          <w:rStyle w:val="FootnoteReference"/>
          <w:color w:val="282425"/>
        </w:rPr>
        <w:footnoteReference w:id="121"/>
      </w:r>
      <w:r w:rsidR="00B823C8" w:rsidRPr="00FC186B">
        <w:t xml:space="preserve"> </w:t>
      </w:r>
      <w:r w:rsidR="00FD4949">
        <w:t>According to Smiley,</w:t>
      </w:r>
      <w:r w:rsidR="00FD4949" w:rsidRPr="00FC186B">
        <w:t xml:space="preserve"> </w:t>
      </w:r>
      <w:r w:rsidR="00FD4949">
        <w:t>t</w:t>
      </w:r>
      <w:r w:rsidR="00B823C8" w:rsidRPr="00FC186B">
        <w:t>he Hohokam and Ancestral Puebloans were agricultural societies</w:t>
      </w:r>
      <w:r w:rsidR="009E2A76">
        <w:t xml:space="preserve">, which brought </w:t>
      </w:r>
      <w:r w:rsidR="00A35785">
        <w:t xml:space="preserve">corn </w:t>
      </w:r>
      <w:r w:rsidR="009E2A76">
        <w:t>from Mesoamerica</w:t>
      </w:r>
      <w:r w:rsidR="00606040">
        <w:t>.</w:t>
      </w:r>
      <w:r w:rsidR="00E938BB" w:rsidRPr="00E938BB">
        <w:rPr>
          <w:rStyle w:val="FootnoteReference"/>
          <w:color w:val="282425"/>
        </w:rPr>
        <w:t xml:space="preserve"> </w:t>
      </w:r>
      <w:r w:rsidR="00E938BB" w:rsidRPr="00FC186B">
        <w:rPr>
          <w:rStyle w:val="FootnoteReference"/>
          <w:color w:val="282425"/>
        </w:rPr>
        <w:footnoteReference w:id="122"/>
      </w:r>
      <w:r w:rsidR="00E938BB" w:rsidRPr="00FC186B">
        <w:t xml:space="preserve"> </w:t>
      </w:r>
      <w:r w:rsidR="00E938BB">
        <w:rPr>
          <w:sz w:val="23"/>
          <w:szCs w:val="23"/>
        </w:rPr>
        <w:t>Michael Mathiowetz</w:t>
      </w:r>
      <w:r w:rsidR="00E938BB">
        <w:t xml:space="preserve"> et. al. </w:t>
      </w:r>
      <w:r w:rsidR="00606040">
        <w:t>noticed headdresses and katsina myths</w:t>
      </w:r>
      <w:r w:rsidR="00A35785">
        <w:t>, which</w:t>
      </w:r>
      <w:r w:rsidR="00606040">
        <w:t xml:space="preserve"> showed broad </w:t>
      </w:r>
      <w:r w:rsidR="00686903">
        <w:t>similarities</w:t>
      </w:r>
      <w:r w:rsidR="00606040">
        <w:t xml:space="preserve"> </w:t>
      </w:r>
      <w:r w:rsidR="00E938BB">
        <w:t>in winter</w:t>
      </w:r>
      <w:r w:rsidR="00FD4949">
        <w:t xml:space="preserve"> solstice </w:t>
      </w:r>
      <w:r w:rsidR="00E938BB">
        <w:t xml:space="preserve">ceremonies between the Hopi and </w:t>
      </w:r>
      <w:r w:rsidR="00FD4949">
        <w:t>Mesoamerica</w:t>
      </w:r>
      <w:r w:rsidR="00E938BB">
        <w:t>, indicating astronomy migrated too</w:t>
      </w:r>
      <w:r w:rsidR="00B823C8" w:rsidRPr="00FC186B">
        <w:t>.</w:t>
      </w:r>
      <w:r w:rsidR="00E938BB">
        <w:rPr>
          <w:rStyle w:val="FootnoteReference"/>
        </w:rPr>
        <w:footnoteReference w:id="123"/>
      </w:r>
      <w:r w:rsidR="00B823C8" w:rsidRPr="00FC186B">
        <w:t xml:space="preserve"> </w:t>
      </w:r>
      <w:r w:rsidR="00A510B6">
        <w:t>The astronomy of Southwestern</w:t>
      </w:r>
      <w:r w:rsidR="00B823C8" w:rsidRPr="00FC186B">
        <w:t xml:space="preserve"> </w:t>
      </w:r>
      <w:r w:rsidR="00F606EA">
        <w:t xml:space="preserve">agricultural societies </w:t>
      </w:r>
      <w:r w:rsidR="00A510B6">
        <w:t xml:space="preserve">may be as Mesoamerican as the corn. </w:t>
      </w:r>
    </w:p>
    <w:p w14:paraId="38A26C4E" w14:textId="4044C4B6" w:rsidR="007F57F6" w:rsidRDefault="007F57F6" w:rsidP="007F57F6">
      <w:r>
        <w:t xml:space="preserve">In summary, evidence of solstice watching is not as well documented among nomadic groups as the megalithic and calendric methods of sedentary agriculturalists, but </w:t>
      </w:r>
      <w:proofErr w:type="spellStart"/>
      <w:r>
        <w:t>Nabta</w:t>
      </w:r>
      <w:proofErr w:type="spellEnd"/>
      <w:r>
        <w:t xml:space="preserve"> Playa indicates that </w:t>
      </w:r>
      <w:r w:rsidR="00A510B6">
        <w:t>solstice</w:t>
      </w:r>
      <w:r>
        <w:t xml:space="preserve"> was </w:t>
      </w:r>
      <w:r w:rsidR="00A510B6">
        <w:t xml:space="preserve">ritually </w:t>
      </w:r>
      <w:r>
        <w:t xml:space="preserve">honored by nomadic pastoralists by 7500 BP. </w:t>
      </w:r>
      <w:r w:rsidRPr="00293688">
        <w:t xml:space="preserve"> </w:t>
      </w:r>
      <w:r w:rsidR="00FE045D">
        <w:lastRenderedPageBreak/>
        <w:t>C</w:t>
      </w:r>
      <w:r w:rsidR="00FE045D" w:rsidRPr="00FC186B">
        <w:t>laims of Paleolithic solstice</w:t>
      </w:r>
      <w:r w:rsidR="00A510B6">
        <w:t>-</w:t>
      </w:r>
      <w:r w:rsidR="00FE045D" w:rsidRPr="00FC186B">
        <w:t>viewing sites are considered speculative</w:t>
      </w:r>
      <w:r w:rsidR="00FE045D">
        <w:t>.</w:t>
      </w:r>
      <w:r w:rsidR="00FE045D" w:rsidRPr="00FC186B">
        <w:t xml:space="preserve"> Petroglyphs </w:t>
      </w:r>
      <w:r w:rsidR="00FE045D">
        <w:t>were used for</w:t>
      </w:r>
      <w:r w:rsidR="00FE045D" w:rsidRPr="00FC186B">
        <w:t xml:space="preserve"> solstice</w:t>
      </w:r>
      <w:r w:rsidR="00A510B6">
        <w:t>-</w:t>
      </w:r>
      <w:r w:rsidR="00FE045D" w:rsidRPr="00FC186B">
        <w:t xml:space="preserve">viewing </w:t>
      </w:r>
      <w:r w:rsidR="00FE045D">
        <w:t>on rare occasions in Archaic rock art</w:t>
      </w:r>
      <w:r w:rsidR="00FE045D" w:rsidRPr="00FC186B">
        <w:t xml:space="preserve"> </w:t>
      </w:r>
      <w:r w:rsidR="00FE045D">
        <w:t xml:space="preserve">and more frequently </w:t>
      </w:r>
      <w:r w:rsidR="00FE045D" w:rsidRPr="00FC186B">
        <w:t>among agricultural Southwestern societies.</w:t>
      </w:r>
      <w:r w:rsidR="00FE045D">
        <w:t xml:space="preserve"> </w:t>
      </w:r>
      <w:r w:rsidRPr="00293688">
        <w:t xml:space="preserve">This research </w:t>
      </w:r>
      <w:r>
        <w:t>hypothesized</w:t>
      </w:r>
      <w:r w:rsidRPr="00293688">
        <w:t xml:space="preserve"> that where hunters and gathers lived </w:t>
      </w:r>
      <w:r>
        <w:t>intermittently</w:t>
      </w:r>
      <w:r w:rsidRPr="00293688">
        <w:t xml:space="preserve">, </w:t>
      </w:r>
      <w:proofErr w:type="spellStart"/>
      <w:r w:rsidRPr="00293688">
        <w:t>artification</w:t>
      </w:r>
      <w:proofErr w:type="spellEnd"/>
      <w:r w:rsidRPr="00293688">
        <w:t xml:space="preserve"> of stone anchored viewing locations for solstices.</w:t>
      </w:r>
    </w:p>
    <w:p w14:paraId="4642D7C3" w14:textId="718691D7" w:rsidR="0076718C" w:rsidRPr="00FC186B" w:rsidRDefault="0076718C" w:rsidP="00FE045D">
      <w:pPr>
        <w:pStyle w:val="Heading2"/>
      </w:pPr>
      <w:bookmarkStart w:id="55" w:name="_Toc101636980"/>
      <w:r w:rsidRPr="00FC186B">
        <w:t>Solstice Ethnology among Hunter Gather</w:t>
      </w:r>
      <w:r w:rsidR="00127D3D">
        <w:t>er</w:t>
      </w:r>
      <w:r w:rsidRPr="00FC186B">
        <w:t>s</w:t>
      </w:r>
      <w:bookmarkEnd w:id="55"/>
    </w:p>
    <w:p w14:paraId="581515F4" w14:textId="5CA019E6" w:rsidR="00C51B93" w:rsidRPr="00FC186B" w:rsidRDefault="00E90849" w:rsidP="0068455A">
      <w:r>
        <w:t>T</w:t>
      </w:r>
      <w:r w:rsidR="00906BC0" w:rsidRPr="00FC186B">
        <w:t>his section reviews</w:t>
      </w:r>
      <w:r w:rsidR="00F30178" w:rsidRPr="00FC186B">
        <w:t xml:space="preserve"> </w:t>
      </w:r>
      <w:r w:rsidR="00906BC0" w:rsidRPr="00FC186B">
        <w:t xml:space="preserve">ethnologies of </w:t>
      </w:r>
      <w:r w:rsidR="00F30178" w:rsidRPr="00FC186B">
        <w:t>solstice</w:t>
      </w:r>
      <w:r w:rsidR="00906BC0" w:rsidRPr="00FC186B">
        <w:t>-viewing or ceremonies among nomadic</w:t>
      </w:r>
      <w:r>
        <w:t>,</w:t>
      </w:r>
      <w:r w:rsidR="00906BC0" w:rsidRPr="00FC186B">
        <w:t xml:space="preserve"> </w:t>
      </w:r>
      <w:r w:rsidR="00DD3C99">
        <w:t>hunt</w:t>
      </w:r>
      <w:r w:rsidR="00906BC0" w:rsidRPr="00FC186B">
        <w:t xml:space="preserve">er-gather </w:t>
      </w:r>
      <w:r w:rsidR="00DD3C99">
        <w:t xml:space="preserve">traditional </w:t>
      </w:r>
      <w:r w:rsidR="00906BC0" w:rsidRPr="00FC186B">
        <w:t xml:space="preserve">peoples </w:t>
      </w:r>
      <w:r w:rsidR="00DD3C99">
        <w:t>with</w:t>
      </w:r>
      <w:r w:rsidR="00D17A97">
        <w:t xml:space="preserve"> a </w:t>
      </w:r>
      <w:r w:rsidR="00906BC0" w:rsidRPr="00FC186B">
        <w:t xml:space="preserve">discussion of </w:t>
      </w:r>
      <w:r w:rsidR="00DD3C99">
        <w:t>how they</w:t>
      </w:r>
      <w:r w:rsidR="00906BC0" w:rsidRPr="00FC186B">
        <w:t xml:space="preserve"> engage</w:t>
      </w:r>
      <w:r w:rsidR="00F333BF">
        <w:t>d the</w:t>
      </w:r>
      <w:r w:rsidR="00906BC0" w:rsidRPr="00FC186B">
        <w:t xml:space="preserve"> sky</w:t>
      </w:r>
      <w:r w:rsidR="00C51B93" w:rsidRPr="00FC186B">
        <w:t xml:space="preserve"> and sun</w:t>
      </w:r>
      <w:r w:rsidR="00906BC0" w:rsidRPr="00FC186B">
        <w:t xml:space="preserve"> </w:t>
      </w:r>
      <w:r w:rsidR="00C51B93" w:rsidRPr="00FC186B">
        <w:t>as an interactive aspect of the</w:t>
      </w:r>
      <w:r w:rsidR="00DD3C99">
        <w:t>ir</w:t>
      </w:r>
      <w:r w:rsidR="00C51B93" w:rsidRPr="00FC186B">
        <w:t xml:space="preserve"> world.</w:t>
      </w:r>
    </w:p>
    <w:p w14:paraId="53DAB0F4" w14:textId="4F8A39D2" w:rsidR="008E05DA" w:rsidRPr="00FC186B" w:rsidRDefault="00F333BF" w:rsidP="0068455A">
      <w:r w:rsidRPr="00FC186B">
        <w:t>Hudson et al</w:t>
      </w:r>
      <w:r w:rsidR="00C24776">
        <w:t>.</w:t>
      </w:r>
      <w:r>
        <w:rPr>
          <w:color w:val="282425"/>
        </w:rPr>
        <w:t xml:space="preserve"> determined i</w:t>
      </w:r>
      <w:r w:rsidR="00CD1EDD">
        <w:rPr>
          <w:color w:val="282425"/>
        </w:rPr>
        <w:t>n</w:t>
      </w:r>
      <w:r w:rsidR="00C51B93" w:rsidRPr="00FC186B">
        <w:t xml:space="preserve"> a cross-cultural study of </w:t>
      </w:r>
      <w:r w:rsidR="00D928A1" w:rsidRPr="00FC186B">
        <w:t xml:space="preserve">Californian </w:t>
      </w:r>
      <w:r w:rsidR="00962271" w:rsidRPr="00FC186B">
        <w:t>hunter-gatherer</w:t>
      </w:r>
      <w:r w:rsidR="00FD0F2F" w:rsidRPr="00FC186B">
        <w:t>s</w:t>
      </w:r>
      <w:r>
        <w:t xml:space="preserve"> th</w:t>
      </w:r>
      <w:r w:rsidR="00CD1EDD">
        <w:t xml:space="preserve">at thirty-four out of </w:t>
      </w:r>
      <w:r w:rsidR="00D17A97">
        <w:t>forty-nine</w:t>
      </w:r>
      <w:r w:rsidR="00D928A1" w:rsidRPr="00FC186B">
        <w:t xml:space="preserve"> tribes observed and celebrated one or both solstices</w:t>
      </w:r>
      <w:r w:rsidR="00E04A81">
        <w:t xml:space="preserve">, with only </w:t>
      </w:r>
      <w:r w:rsidR="00D928A1" w:rsidRPr="00FC186B">
        <w:t>two cultures den</w:t>
      </w:r>
      <w:r w:rsidR="00E04A81">
        <w:t xml:space="preserve">ying </w:t>
      </w:r>
      <w:r w:rsidR="00D928A1" w:rsidRPr="00FC186B">
        <w:t>solstice observances and seven lack</w:t>
      </w:r>
      <w:r w:rsidR="00E04A81">
        <w:t>ing</w:t>
      </w:r>
      <w:r w:rsidR="00D928A1" w:rsidRPr="00FC186B">
        <w:t xml:space="preserve"> information on the subject.</w:t>
      </w:r>
      <w:r w:rsidR="00E04A81" w:rsidRPr="00FC186B">
        <w:rPr>
          <w:rStyle w:val="FootnoteReference"/>
        </w:rPr>
        <w:footnoteReference w:id="124"/>
      </w:r>
      <w:r w:rsidR="00D928A1" w:rsidRPr="00FC186B">
        <w:t xml:space="preserve"> </w:t>
      </w:r>
      <w:r w:rsidR="00AD6D3A">
        <w:t>Among the Chumash, solstices were critical times when priests needed to</w:t>
      </w:r>
      <w:r w:rsidR="00AD6D3A" w:rsidRPr="00FC186B">
        <w:t xml:space="preserve"> </w:t>
      </w:r>
      <w:r w:rsidR="00AD6D3A">
        <w:t xml:space="preserve">‘”encourage” or </w:t>
      </w:r>
      <w:r w:rsidR="00AD6D3A" w:rsidRPr="00FC186B">
        <w:t xml:space="preserve">“pull” the sun </w:t>
      </w:r>
      <w:r w:rsidR="00AD6D3A">
        <w:t>back</w:t>
      </w:r>
      <w:r w:rsidR="00AD6D3A" w:rsidRPr="00FC186B">
        <w:t xml:space="preserve"> again’</w:t>
      </w:r>
      <w:r w:rsidR="00AD6D3A">
        <w:t xml:space="preserve"> on its solar path, according to Hudson</w:t>
      </w:r>
      <w:r w:rsidR="00C24776">
        <w:t xml:space="preserve"> et al</w:t>
      </w:r>
      <w:r w:rsidR="00AD6D3A" w:rsidRPr="00FC186B">
        <w:t>.</w:t>
      </w:r>
      <w:r w:rsidR="00AD6D3A" w:rsidRPr="00FC186B">
        <w:rPr>
          <w:rStyle w:val="FootnoteReference"/>
        </w:rPr>
        <w:footnoteReference w:id="125"/>
      </w:r>
      <w:r w:rsidR="00AD6D3A" w:rsidRPr="00FC186B">
        <w:t xml:space="preserve"> </w:t>
      </w:r>
      <w:r w:rsidR="00923700" w:rsidRPr="00FC186B">
        <w:t>I</w:t>
      </w:r>
      <w:r w:rsidR="008E05DA" w:rsidRPr="00FC186B">
        <w:t>n cross-cultural study of settlement patterns of 1</w:t>
      </w:r>
      <w:r w:rsidR="00D73FA3" w:rsidRPr="00FC186B">
        <w:t>97</w:t>
      </w:r>
      <w:r w:rsidR="008E05DA" w:rsidRPr="00FC186B">
        <w:t xml:space="preserve"> cultures by George Murdoch and Suzanne</w:t>
      </w:r>
      <w:r w:rsidR="00D17A97">
        <w:t xml:space="preserve"> </w:t>
      </w:r>
      <w:r w:rsidR="008E05DA" w:rsidRPr="00FC186B">
        <w:t>Wilson the data showed</w:t>
      </w:r>
      <w:r w:rsidR="00A510B6">
        <w:t xml:space="preserve"> </w:t>
      </w:r>
      <w:r w:rsidR="008E05DA" w:rsidRPr="00FC186B">
        <w:t>that prominent community ceremonials were calendrical in 64% of the cultures with permanent settlements.</w:t>
      </w:r>
      <w:r w:rsidR="008E05DA" w:rsidRPr="00FC186B">
        <w:rPr>
          <w:rStyle w:val="FootnoteReference"/>
        </w:rPr>
        <w:footnoteReference w:id="126"/>
      </w:r>
      <w:r w:rsidR="008E05DA" w:rsidRPr="00FC186B">
        <w:t xml:space="preserve"> </w:t>
      </w:r>
      <w:r w:rsidR="0018511C">
        <w:t>Yet t</w:t>
      </w:r>
      <w:r w:rsidR="008E05DA" w:rsidRPr="00FC186B">
        <w:t>hat metric went up to 100% in cultures with rotating settlements, while 57% of impermanent, 41% of semi-nomadic, 34% of migratory, and 43% of semi-sedentary cultures held prominent calendrical ceremonies.</w:t>
      </w:r>
      <w:r w:rsidR="008E05DA" w:rsidRPr="00FC186B">
        <w:rPr>
          <w:rStyle w:val="FootnoteReference"/>
        </w:rPr>
        <w:footnoteReference w:id="127"/>
      </w:r>
      <w:r w:rsidR="008E05DA" w:rsidRPr="00FC186B">
        <w:t xml:space="preserve"> </w:t>
      </w:r>
      <w:r w:rsidR="00923700" w:rsidRPr="00FC186B">
        <w:t xml:space="preserve">This data </w:t>
      </w:r>
      <w:r w:rsidR="00923700" w:rsidRPr="00FC186B">
        <w:lastRenderedPageBreak/>
        <w:t>indicates that time</w:t>
      </w:r>
      <w:r w:rsidR="00DD3C99">
        <w:t>,</w:t>
      </w:r>
      <w:r w:rsidR="00923700" w:rsidRPr="00FC186B">
        <w:t xml:space="preserve"> solstices</w:t>
      </w:r>
      <w:r w:rsidR="00DD3C99">
        <w:t xml:space="preserve"> and potentially</w:t>
      </w:r>
      <w:r w:rsidR="00923700" w:rsidRPr="00FC186B">
        <w:t xml:space="preserve"> </w:t>
      </w:r>
      <w:r w:rsidR="00DD3C99" w:rsidRPr="00FC186B">
        <w:t xml:space="preserve">calendars, </w:t>
      </w:r>
      <w:r w:rsidR="00735A62">
        <w:t>were</w:t>
      </w:r>
      <w:r w:rsidR="00923700" w:rsidRPr="00FC186B">
        <w:t xml:space="preserve"> </w:t>
      </w:r>
      <w:r w:rsidR="00DD3C99">
        <w:t>celebrated among</w:t>
      </w:r>
      <w:r w:rsidR="00923700" w:rsidRPr="00FC186B">
        <w:t xml:space="preserve"> many nomadic, migratory</w:t>
      </w:r>
      <w:r w:rsidR="00962271" w:rsidRPr="00FC186B">
        <w:t>,</w:t>
      </w:r>
      <w:r w:rsidR="00923700" w:rsidRPr="00FC186B">
        <w:t xml:space="preserve"> and non-agricultural peoples.</w:t>
      </w:r>
    </w:p>
    <w:p w14:paraId="7FE1E7FC" w14:textId="77777777" w:rsidR="00FE045D" w:rsidRPr="00FC186B" w:rsidRDefault="00F06956" w:rsidP="00FE045D">
      <w:r>
        <w:t>Ubiquitous beliefs across North American tribes</w:t>
      </w:r>
      <w:r w:rsidR="00F333BF">
        <w:t>, potentially</w:t>
      </w:r>
      <w:r>
        <w:t xml:space="preserve"> reaching back to Siberia may </w:t>
      </w:r>
      <w:r w:rsidR="00E644A3">
        <w:t>reveal</w:t>
      </w:r>
      <w:r>
        <w:t xml:space="preserve"> core attitudes of early Native Americans toward the sky and solstices. R</w:t>
      </w:r>
      <w:r w:rsidR="002C08BB">
        <w:t>oslyn</w:t>
      </w:r>
      <w:r>
        <w:t xml:space="preserve"> Frank note</w:t>
      </w:r>
      <w:r w:rsidR="00E644A3">
        <w:t>d</w:t>
      </w:r>
      <w:r>
        <w:t xml:space="preserve"> for the indigenous people of Siberia, ‘their </w:t>
      </w:r>
      <w:proofErr w:type="spellStart"/>
      <w:r>
        <w:t>skylore</w:t>
      </w:r>
      <w:proofErr w:type="spellEnd"/>
      <w:r>
        <w:t xml:space="preserve"> is not viewed as a separate conceptual sphere, but rather one that is intimately connected to their overall belief system: their lived cosmovision.’</w:t>
      </w:r>
      <w:r>
        <w:rPr>
          <w:rStyle w:val="FootnoteReference"/>
        </w:rPr>
        <w:footnoteReference w:id="128"/>
      </w:r>
      <w:r>
        <w:t xml:space="preserve"> </w:t>
      </w:r>
      <w:r w:rsidR="008327AB">
        <w:t xml:space="preserve">The sky </w:t>
      </w:r>
      <w:r w:rsidR="00E644A3">
        <w:t>was</w:t>
      </w:r>
      <w:r w:rsidR="008327AB">
        <w:t xml:space="preserve"> not only part of the landscape, but that landscape </w:t>
      </w:r>
      <w:r w:rsidR="00E644A3">
        <w:t>was</w:t>
      </w:r>
      <w:r w:rsidR="008327AB">
        <w:t xml:space="preserve"> living and interactive in the ‘</w:t>
      </w:r>
      <w:proofErr w:type="spellStart"/>
      <w:r w:rsidR="008327AB">
        <w:t>animic</w:t>
      </w:r>
      <w:proofErr w:type="spellEnd"/>
      <w:r w:rsidR="008327AB">
        <w:t xml:space="preserve"> ontologies’ characteristic of hunter-gatherers</w:t>
      </w:r>
      <w:r w:rsidR="00420C39">
        <w:t>,</w:t>
      </w:r>
      <w:r w:rsidR="00420C39" w:rsidRPr="00420C39">
        <w:t xml:space="preserve"> </w:t>
      </w:r>
      <w:r w:rsidR="00420C39">
        <w:t>according to Robert Wallis</w:t>
      </w:r>
      <w:r w:rsidR="008327AB">
        <w:t>.</w:t>
      </w:r>
      <w:r w:rsidR="008327AB">
        <w:rPr>
          <w:rStyle w:val="FootnoteReference"/>
        </w:rPr>
        <w:footnoteReference w:id="129"/>
      </w:r>
      <w:r w:rsidR="00455CF5">
        <w:t xml:space="preserve"> </w:t>
      </w:r>
      <w:r w:rsidR="00FE045D" w:rsidRPr="00FC186B">
        <w:t xml:space="preserve">E. B. Tylor’s (1832-1917) term </w:t>
      </w:r>
      <w:r w:rsidR="00FE045D" w:rsidRPr="00FC186B">
        <w:rPr>
          <w:i/>
          <w:iCs/>
        </w:rPr>
        <w:t>animism</w:t>
      </w:r>
      <w:r w:rsidR="00FE045D" w:rsidRPr="00FC186B">
        <w:t xml:space="preserve">, or ‘belief in spiritual beings’ is fraught with imperialist overtones but was so important to Tylor’s theories that he saw it as a universal first step in religious thought, according to David </w:t>
      </w:r>
      <w:proofErr w:type="spellStart"/>
      <w:r w:rsidR="00FE045D" w:rsidRPr="00FC186B">
        <w:t>Chidester</w:t>
      </w:r>
      <w:proofErr w:type="spellEnd"/>
      <w:r w:rsidR="00FE045D" w:rsidRPr="00FC186B">
        <w:t>, who went on to offer updated revisions of the theory as ‘</w:t>
      </w:r>
      <w:r w:rsidR="00FE045D" w:rsidRPr="00FC186B">
        <w:rPr>
          <w:color w:val="221E1F"/>
        </w:rPr>
        <w:t>the basic animistic propensity to project human characteristics of life, thought, and feeling onto the natural world’</w:t>
      </w:r>
      <w:r w:rsidR="00FE045D" w:rsidRPr="00FC186B">
        <w:t>.</w:t>
      </w:r>
      <w:r w:rsidR="00FE045D" w:rsidRPr="00FC186B">
        <w:rPr>
          <w:rStyle w:val="FootnoteReference"/>
        </w:rPr>
        <w:footnoteReference w:id="130"/>
      </w:r>
      <w:r w:rsidR="00FE045D" w:rsidRPr="00FC186B">
        <w:t xml:space="preserve"> </w:t>
      </w:r>
    </w:p>
    <w:p w14:paraId="79230BAD" w14:textId="4A65AA93" w:rsidR="00062A64" w:rsidRDefault="00062A64" w:rsidP="00062A64">
      <w:r w:rsidRPr="00FC186B">
        <w:t xml:space="preserve">When Native Americans address the world as ‘all my relations’ they are referring to the inanimate, as well as animate world, according to David </w:t>
      </w:r>
      <w:proofErr w:type="spellStart"/>
      <w:r w:rsidRPr="00FC186B">
        <w:t>Posthumus</w:t>
      </w:r>
      <w:proofErr w:type="spellEnd"/>
      <w:r w:rsidRPr="00FC186B">
        <w:t>.</w:t>
      </w:r>
      <w:r w:rsidRPr="00FC186B">
        <w:rPr>
          <w:rStyle w:val="FootnoteReference"/>
        </w:rPr>
        <w:footnoteReference w:id="131"/>
      </w:r>
      <w:r w:rsidRPr="00FC186B">
        <w:t xml:space="preserve"> </w:t>
      </w:r>
      <w:r w:rsidR="009D60A6">
        <w:t xml:space="preserve">A world rife with seen and unseen entities requires actors so </w:t>
      </w:r>
      <w:r w:rsidR="001C2D85">
        <w:t>Whitley</w:t>
      </w:r>
      <w:r w:rsidR="009D60A6">
        <w:t xml:space="preserve"> concluded</w:t>
      </w:r>
      <w:r w:rsidR="001C2D85" w:rsidRPr="00FC186B">
        <w:t xml:space="preserve"> ‘shamanism was the religious </w:t>
      </w:r>
      <w:r w:rsidR="001C2D85" w:rsidRPr="00FC186B">
        <w:lastRenderedPageBreak/>
        <w:t>system that underlies almost all Native American hunter-gatherer religions.’</w:t>
      </w:r>
      <w:r w:rsidR="001C2D85" w:rsidRPr="00FC186B">
        <w:rPr>
          <w:rStyle w:val="FootnoteReference"/>
        </w:rPr>
        <w:footnoteReference w:id="132"/>
      </w:r>
      <w:r w:rsidR="001C2D85" w:rsidRPr="00FC186B">
        <w:t xml:space="preserve"> Whitley introduce</w:t>
      </w:r>
      <w:r w:rsidR="001C2D85">
        <w:t>d</w:t>
      </w:r>
      <w:r w:rsidR="001C2D85" w:rsidRPr="00FC186B">
        <w:t xml:space="preserve"> the concept of </w:t>
      </w:r>
      <w:r w:rsidR="001C2D85" w:rsidRPr="00FC186B">
        <w:rPr>
          <w:i/>
          <w:iCs/>
        </w:rPr>
        <w:t xml:space="preserve">poha, </w:t>
      </w:r>
      <w:r w:rsidR="001C2D85" w:rsidRPr="00FC186B">
        <w:t xml:space="preserve">which translates to supernatural power among the </w:t>
      </w:r>
      <w:proofErr w:type="spellStart"/>
      <w:r w:rsidR="001C2D85" w:rsidRPr="00FC186B">
        <w:t>Numa</w:t>
      </w:r>
      <w:proofErr w:type="spellEnd"/>
      <w:r w:rsidR="001C2D85" w:rsidRPr="00FC186B">
        <w:t xml:space="preserve"> of the Great Basin, where shamans are ‘man having supernatural power’ and rock art represents ‘house of supernatural power’.</w:t>
      </w:r>
      <w:r w:rsidR="001C2D85" w:rsidRPr="00FC186B">
        <w:rPr>
          <w:rStyle w:val="FootnoteReference"/>
        </w:rPr>
        <w:footnoteReference w:id="133"/>
      </w:r>
      <w:r w:rsidR="009D60A6">
        <w:t xml:space="preserve"> Shamans served as specialists of interactions with the supernatural world.</w:t>
      </w:r>
    </w:p>
    <w:p w14:paraId="26E0CAEE" w14:textId="6E74EC0B" w:rsidR="001A5892" w:rsidRDefault="00D254C9" w:rsidP="001A5892">
      <w:r>
        <w:t xml:space="preserve">In stark contrast to Cartesian and Enlightenment ideologies, ‘the specific perception of the environment as filled with people, only some of whom are human, is not uncommon’ among traditional societies </w:t>
      </w:r>
      <w:r w:rsidR="00AD6D3A">
        <w:t>according to</w:t>
      </w:r>
      <w:r>
        <w:t xml:space="preserve"> Wallis.</w:t>
      </w:r>
      <w:r w:rsidR="00E644A3">
        <w:rPr>
          <w:rStyle w:val="FootnoteReference"/>
        </w:rPr>
        <w:footnoteReference w:id="134"/>
      </w:r>
      <w:r>
        <w:t xml:space="preserve"> </w:t>
      </w:r>
      <w:proofErr w:type="spellStart"/>
      <w:r>
        <w:t>Malville</w:t>
      </w:r>
      <w:proofErr w:type="spellEnd"/>
      <w:r>
        <w:t xml:space="preserve"> consider</w:t>
      </w:r>
      <w:r w:rsidR="00AD6D3A">
        <w:t>ed</w:t>
      </w:r>
      <w:r>
        <w:t xml:space="preserve"> this a ‘relational ontology’, </w:t>
      </w:r>
      <w:r w:rsidR="005D593F">
        <w:t>where</w:t>
      </w:r>
      <w:r w:rsidR="001A5892">
        <w:t xml:space="preserve"> ‘people can be involved in reciprocal relationships with things that we would normally identify as inanimate: stones, mountain, rivers, mummies, the sun, moon, planets, and stars.’</w:t>
      </w:r>
      <w:r w:rsidR="001A5892">
        <w:rPr>
          <w:rStyle w:val="FootnoteReference"/>
        </w:rPr>
        <w:footnoteReference w:id="135"/>
      </w:r>
      <w:r w:rsidR="001A5892">
        <w:t xml:space="preserve"> </w:t>
      </w:r>
      <w:r w:rsidR="005D593F">
        <w:t>In such a living landscape, the entanglement of earth and sun at solstice sunrise constitutes a theophany</w:t>
      </w:r>
      <w:r w:rsidR="0071168C">
        <w:t>, a gate between earth and sky</w:t>
      </w:r>
      <w:r w:rsidR="005D593F">
        <w:t xml:space="preserve">, according to </w:t>
      </w:r>
      <w:proofErr w:type="spellStart"/>
      <w:r w:rsidR="005D593F">
        <w:t>Malville</w:t>
      </w:r>
      <w:proofErr w:type="spellEnd"/>
      <w:r w:rsidR="005D593F">
        <w:t>.</w:t>
      </w:r>
      <w:r w:rsidR="0071168C">
        <w:rPr>
          <w:rStyle w:val="FootnoteReference"/>
        </w:rPr>
        <w:footnoteReference w:id="136"/>
      </w:r>
      <w:r w:rsidR="00062A64">
        <w:t xml:space="preserve"> </w:t>
      </w:r>
      <w:r w:rsidR="0062190F" w:rsidRPr="0071627A">
        <w:t xml:space="preserve">Mircea </w:t>
      </w:r>
      <w:r w:rsidR="0071168C" w:rsidRPr="0071627A">
        <w:t>Eliade</w:t>
      </w:r>
      <w:r w:rsidR="004A7C10" w:rsidRPr="0071627A">
        <w:t xml:space="preserve"> </w:t>
      </w:r>
      <w:r w:rsidR="00367026" w:rsidRPr="0071627A">
        <w:t xml:space="preserve">(1907-1986) </w:t>
      </w:r>
      <w:r w:rsidR="009D60A6">
        <w:t>went</w:t>
      </w:r>
      <w:r w:rsidR="0071168C" w:rsidRPr="0071627A">
        <w:t xml:space="preserve"> one step further to say that ‘whatever is “</w:t>
      </w:r>
      <w:proofErr w:type="spellStart"/>
      <w:r w:rsidR="0071168C" w:rsidRPr="0071627A">
        <w:t>cosm</w:t>
      </w:r>
      <w:r w:rsidR="00A84F5B" w:rsidRPr="0071627A">
        <w:t>i</w:t>
      </w:r>
      <w:r w:rsidR="0071168C" w:rsidRPr="0071627A">
        <w:t>cized</w:t>
      </w:r>
      <w:proofErr w:type="spellEnd"/>
      <w:r w:rsidR="0071168C" w:rsidRPr="0071627A">
        <w:t>”, whatever resembles a Cosmos,</w:t>
      </w:r>
      <w:r w:rsidR="00FA5CC9" w:rsidRPr="0071627A">
        <w:t xml:space="preserve">— </w:t>
      </w:r>
      <w:r w:rsidR="0071168C" w:rsidRPr="0071627A">
        <w:t>is sacred.’</w:t>
      </w:r>
      <w:r w:rsidR="0071168C" w:rsidRPr="0071627A">
        <w:rPr>
          <w:rStyle w:val="FootnoteReference"/>
        </w:rPr>
        <w:footnoteReference w:id="137"/>
      </w:r>
    </w:p>
    <w:p w14:paraId="6B69EAF3" w14:textId="49916182" w:rsidR="00923700" w:rsidRPr="00FC186B" w:rsidRDefault="001A5892" w:rsidP="0068455A">
      <w:r w:rsidRPr="00FC186B">
        <w:t>As</w:t>
      </w:r>
      <w:r w:rsidR="00062A64">
        <w:t xml:space="preserve"> </w:t>
      </w:r>
      <w:r w:rsidR="00C64C97" w:rsidRPr="00FC186B">
        <w:t xml:space="preserve">the solar turning point of winter </w:t>
      </w:r>
      <w:r w:rsidR="0018511C">
        <w:t xml:space="preserve">solstice </w:t>
      </w:r>
      <w:r w:rsidR="00C64C97" w:rsidRPr="00FC186B">
        <w:t>approaches in the northern hemisphere, the days become shorter, the sun rises in the south</w:t>
      </w:r>
      <w:r w:rsidR="0018511C">
        <w:t xml:space="preserve">east </w:t>
      </w:r>
      <w:r w:rsidR="00870F4E" w:rsidRPr="00FC186B">
        <w:t xml:space="preserve">and sets </w:t>
      </w:r>
      <w:r w:rsidR="00870F4E">
        <w:t>in the</w:t>
      </w:r>
      <w:r w:rsidR="0018511C">
        <w:t xml:space="preserve"> southwest</w:t>
      </w:r>
      <w:r w:rsidR="00870F4E">
        <w:t xml:space="preserve"> passing</w:t>
      </w:r>
      <w:r w:rsidR="00C64C97" w:rsidRPr="00FC186B">
        <w:t xml:space="preserve"> lower in the sky </w:t>
      </w:r>
      <w:r w:rsidR="00870F4E">
        <w:t xml:space="preserve">and </w:t>
      </w:r>
      <w:r w:rsidR="00C64C97" w:rsidRPr="00FC186B">
        <w:t>providing less warmth and energy for growth.  T</w:t>
      </w:r>
      <w:r w:rsidR="00CB2F08" w:rsidRPr="00FC186B">
        <w:t>he</w:t>
      </w:r>
      <w:r w:rsidR="00490067" w:rsidRPr="00FC186B">
        <w:t xml:space="preserve"> correlation between solar movements and the</w:t>
      </w:r>
      <w:r w:rsidR="00CB2F08" w:rsidRPr="00FC186B">
        <w:t xml:space="preserve"> seasonal variation could hardly have been missed by </w:t>
      </w:r>
      <w:r w:rsidR="00FD0F2F" w:rsidRPr="00FC186B">
        <w:t>peoples</w:t>
      </w:r>
      <w:r w:rsidR="00CB2F08" w:rsidRPr="00FC186B">
        <w:t xml:space="preserve"> who lived </w:t>
      </w:r>
      <w:r w:rsidR="00CB2F08" w:rsidRPr="00FC186B">
        <w:lastRenderedPageBreak/>
        <w:t>out</w:t>
      </w:r>
      <w:r w:rsidR="00FA6FE8">
        <w:t>side</w:t>
      </w:r>
      <w:r w:rsidR="00CB2F08" w:rsidRPr="00FC186B">
        <w:t>.</w:t>
      </w:r>
      <w:r w:rsidR="00490067" w:rsidRPr="00FC186B">
        <w:t xml:space="preserve"> The diminished light produced by the low trajectory of the sun in winter and the shorter days </w:t>
      </w:r>
      <w:r w:rsidR="0018511C">
        <w:t>are</w:t>
      </w:r>
      <w:r w:rsidR="00490067" w:rsidRPr="00FC186B">
        <w:t xml:space="preserve"> recognized today as the cause of Seasonal Affective Disorder (SAD)</w:t>
      </w:r>
      <w:r w:rsidR="00E91C6F" w:rsidRPr="00FC186B">
        <w:t>, a form of depression,</w:t>
      </w:r>
      <w:r w:rsidR="00490067" w:rsidRPr="00FC186B">
        <w:t xml:space="preserve"> by</w:t>
      </w:r>
      <w:r w:rsidR="00CB2F08" w:rsidRPr="00FC186B">
        <w:t xml:space="preserve"> </w:t>
      </w:r>
      <w:r w:rsidR="0039035C" w:rsidRPr="00FC186B">
        <w:t xml:space="preserve">Simon </w:t>
      </w:r>
      <w:r w:rsidR="006E075D" w:rsidRPr="00FC186B">
        <w:t xml:space="preserve">Harrison who concludes that, </w:t>
      </w:r>
      <w:r w:rsidR="00FA6FE8">
        <w:t>‘</w:t>
      </w:r>
      <w:r w:rsidR="006E075D" w:rsidRPr="00FC186B">
        <w:t>the ritual and symbolism connected with seasonality in some societies may be partly motivated by neurophysiology’.</w:t>
      </w:r>
      <w:r w:rsidR="006E075D" w:rsidRPr="00FC186B">
        <w:rPr>
          <w:rStyle w:val="FootnoteReference"/>
        </w:rPr>
        <w:footnoteReference w:id="138"/>
      </w:r>
      <w:r w:rsidR="006E075D" w:rsidRPr="00FC186B">
        <w:t xml:space="preserve"> </w:t>
      </w:r>
    </w:p>
    <w:p w14:paraId="624C58F9" w14:textId="4D7FC5FA" w:rsidR="00CA2D34" w:rsidRPr="00FC186B" w:rsidRDefault="00331D13" w:rsidP="0071627A">
      <w:pPr>
        <w:widowControl w:val="0"/>
      </w:pPr>
      <w:r>
        <w:t>In summary, d</w:t>
      </w:r>
      <w:r w:rsidR="00882ED6" w:rsidRPr="00FC186B">
        <w:t xml:space="preserve">eep-seated beliefs in </w:t>
      </w:r>
      <w:r w:rsidR="00FA5CC9">
        <w:t>relational ontologies</w:t>
      </w:r>
      <w:r w:rsidR="00FA6FE8">
        <w:t>, animism and shamanism</w:t>
      </w:r>
      <w:r w:rsidR="00D30357" w:rsidRPr="00FC186B">
        <w:t xml:space="preserve">, the evidence of calendrical ceremonies even among nomadic cultures and a wealth of cosmologies among </w:t>
      </w:r>
      <w:r w:rsidR="00FA2625">
        <w:t>traditional</w:t>
      </w:r>
      <w:r w:rsidR="00D30357" w:rsidRPr="00FC186B">
        <w:t xml:space="preserve"> cultures about the sacred beings in the sky and ritual interaction with those beings </w:t>
      </w:r>
      <w:r w:rsidR="00FA6FE8">
        <w:t>indicate</w:t>
      </w:r>
      <w:r w:rsidR="00D30357" w:rsidRPr="00FC186B">
        <w:t xml:space="preserve"> solar movements</w:t>
      </w:r>
      <w:r w:rsidR="00B90B83" w:rsidRPr="00FC186B">
        <w:t xml:space="preserve"> </w:t>
      </w:r>
      <w:r w:rsidR="00A31385" w:rsidRPr="00FC186B">
        <w:t>were</w:t>
      </w:r>
      <w:r w:rsidR="00D30357" w:rsidRPr="00FC186B">
        <w:t xml:space="preserve"> </w:t>
      </w:r>
      <w:r w:rsidR="00FA6FE8">
        <w:t>included</w:t>
      </w:r>
      <w:r w:rsidR="00D30357" w:rsidRPr="00FC186B">
        <w:t xml:space="preserve"> </w:t>
      </w:r>
      <w:r w:rsidR="00FA6FE8">
        <w:t>in</w:t>
      </w:r>
      <w:r w:rsidR="00D30357" w:rsidRPr="00FC186B">
        <w:t xml:space="preserve"> Archaic </w:t>
      </w:r>
      <w:r w:rsidR="00FA6FE8">
        <w:t>cosmologies</w:t>
      </w:r>
      <w:r w:rsidR="00D30357" w:rsidRPr="00FC186B">
        <w:t>.</w:t>
      </w:r>
      <w:r w:rsidR="00CA2D34" w:rsidRPr="00FC186B">
        <w:t xml:space="preserve"> </w:t>
      </w:r>
    </w:p>
    <w:p w14:paraId="16446729" w14:textId="1A06A30F" w:rsidR="00E92A8B" w:rsidRDefault="00E92A8B" w:rsidP="0071627A">
      <w:pPr>
        <w:pStyle w:val="Heading2"/>
      </w:pPr>
      <w:bookmarkStart w:id="56" w:name="_Toc101636981"/>
      <w:r w:rsidRPr="00FC186B">
        <w:t>Skyscape Archaeology</w:t>
      </w:r>
      <w:bookmarkEnd w:id="56"/>
    </w:p>
    <w:p w14:paraId="1AE35197" w14:textId="1E8E30DE" w:rsidR="006F36F3" w:rsidRDefault="006F36F3" w:rsidP="006F36F3">
      <w:r w:rsidRPr="00FC186B">
        <w:t>Fabio Silva’s definition of archaeoastronomy contextualize</w:t>
      </w:r>
      <w:r w:rsidR="00FA6FE8">
        <w:t>d</w:t>
      </w:r>
      <w:r w:rsidRPr="00FC186B">
        <w:t xml:space="preserve"> the discipline within the applicable culture:</w:t>
      </w:r>
    </w:p>
    <w:p w14:paraId="1DBDCF32" w14:textId="77777777" w:rsidR="006F36F3" w:rsidRDefault="006F36F3" w:rsidP="006F36F3">
      <w:pPr>
        <w:spacing w:after="0" w:line="240" w:lineRule="auto"/>
        <w:ind w:left="360" w:right="389"/>
      </w:pPr>
      <w:r w:rsidRPr="00FC186B">
        <w:t xml:space="preserve">Archaeoastronomy is the study of how people have understood, conceptualized, and used the phenomena in the sky and what role the sky played in their cultures, by </w:t>
      </w:r>
      <w:proofErr w:type="spellStart"/>
      <w:r w:rsidRPr="00FC186B">
        <w:t>analysing</w:t>
      </w:r>
      <w:proofErr w:type="spellEnd"/>
      <w:r w:rsidRPr="00FC186B">
        <w:t xml:space="preserve"> their material remains.</w:t>
      </w:r>
      <w:r w:rsidRPr="00FC186B">
        <w:rPr>
          <w:rStyle w:val="FootnoteReference"/>
        </w:rPr>
        <w:footnoteReference w:id="139"/>
      </w:r>
      <w:r w:rsidRPr="00FC186B">
        <w:t xml:space="preserve"> </w:t>
      </w:r>
    </w:p>
    <w:p w14:paraId="79ED2620" w14:textId="77777777" w:rsidR="005F1CAF" w:rsidRDefault="005F1CAF" w:rsidP="0068455A"/>
    <w:p w14:paraId="16A7A358" w14:textId="576F74BB" w:rsidR="00D36D3A" w:rsidRPr="00FC186B" w:rsidRDefault="00E91C6F" w:rsidP="0068455A">
      <w:r w:rsidRPr="00FC186B">
        <w:t>For Silva the practice of skyscape archaeology include</w:t>
      </w:r>
      <w:r w:rsidR="00FA6FE8">
        <w:t>d</w:t>
      </w:r>
      <w:r w:rsidRPr="00FC186B">
        <w:t xml:space="preserve"> three facets: pattern repetition, observing the horizon as the ‘mediator’ between earth and sky, and to ‘understand how they relate back down to human beliefs and practices, to their notions of time and space, to their structures and material remains.’</w:t>
      </w:r>
      <w:r w:rsidRPr="00FC186B">
        <w:rPr>
          <w:rStyle w:val="FootnoteReference"/>
        </w:rPr>
        <w:footnoteReference w:id="140"/>
      </w:r>
      <w:r w:rsidR="003776D2" w:rsidRPr="00FC186B">
        <w:t xml:space="preserve"> </w:t>
      </w:r>
      <w:r w:rsidR="002E051C" w:rsidRPr="00FC186B">
        <w:t xml:space="preserve">The </w:t>
      </w:r>
      <w:r w:rsidR="00E231E0" w:rsidRPr="00FC186B">
        <w:t>essence</w:t>
      </w:r>
      <w:r w:rsidR="002E051C" w:rsidRPr="00FC186B">
        <w:t xml:space="preserve"> of skyscape archaeology as </w:t>
      </w:r>
      <w:r w:rsidR="00367754" w:rsidRPr="00FC186B">
        <w:lastRenderedPageBreak/>
        <w:t>conceptualized</w:t>
      </w:r>
      <w:r w:rsidR="002E051C" w:rsidRPr="00FC186B">
        <w:t xml:space="preserve"> by</w:t>
      </w:r>
      <w:r w:rsidR="00367754" w:rsidRPr="00FC186B">
        <w:t xml:space="preserve"> </w:t>
      </w:r>
      <w:proofErr w:type="spellStart"/>
      <w:r w:rsidR="00367754" w:rsidRPr="00FC186B">
        <w:t>Malville</w:t>
      </w:r>
      <w:proofErr w:type="spellEnd"/>
      <w:r w:rsidR="00BC7C1D" w:rsidRPr="00FC186B">
        <w:t>,</w:t>
      </w:r>
      <w:r w:rsidR="00E231E0" w:rsidRPr="00FC186B">
        <w:t xml:space="preserve"> is</w:t>
      </w:r>
      <w:r w:rsidR="00BC7C1D" w:rsidRPr="00FC186B">
        <w:t>,</w:t>
      </w:r>
      <w:r w:rsidR="00E231E0" w:rsidRPr="00FC186B">
        <w:t xml:space="preserve"> </w:t>
      </w:r>
      <w:r w:rsidR="00BC7C1D" w:rsidRPr="00FC186B">
        <w:t xml:space="preserve">‘utilizing strong archaeological contextualization combined </w:t>
      </w:r>
      <w:r w:rsidR="009F14CC">
        <w:t xml:space="preserve">with </w:t>
      </w:r>
      <w:r w:rsidR="00BC7C1D" w:rsidRPr="00FC186B">
        <w:t xml:space="preserve">Geertzian </w:t>
      </w:r>
      <w:r w:rsidR="00367754" w:rsidRPr="00FC186B">
        <w:t>thick descriptions… to develop hypotheses about the meaning and intent in these cultures.’</w:t>
      </w:r>
      <w:r w:rsidR="00367754" w:rsidRPr="00FC186B">
        <w:rPr>
          <w:rStyle w:val="FootnoteReference"/>
        </w:rPr>
        <w:footnoteReference w:id="141"/>
      </w:r>
      <w:r w:rsidR="00367754" w:rsidRPr="00FC186B">
        <w:t xml:space="preserve"> </w:t>
      </w:r>
      <w:r w:rsidR="00FA6FE8">
        <w:t xml:space="preserve">Clifford </w:t>
      </w:r>
      <w:r w:rsidR="00FA6FE8" w:rsidRPr="00FC186B">
        <w:t>Geertz</w:t>
      </w:r>
      <w:r w:rsidR="00FA6FE8">
        <w:t xml:space="preserve"> </w:t>
      </w:r>
      <w:r w:rsidR="00544100">
        <w:t>employed</w:t>
      </w:r>
      <w:r w:rsidR="00FA6FE8" w:rsidRPr="00FC186B">
        <w:t xml:space="preserve"> </w:t>
      </w:r>
      <w:r w:rsidR="00283416" w:rsidRPr="00FC186B">
        <w:t>‘</w:t>
      </w:r>
      <w:r w:rsidR="00FA6FE8">
        <w:t>t</w:t>
      </w:r>
      <w:r w:rsidR="00283416" w:rsidRPr="00FC186B">
        <w:t>hick description’</w:t>
      </w:r>
      <w:r w:rsidR="007A3159" w:rsidRPr="00FC186B">
        <w:t xml:space="preserve"> </w:t>
      </w:r>
      <w:r w:rsidR="00AC1B8B">
        <w:t xml:space="preserve">as an analytical tool for understanding ontology by using </w:t>
      </w:r>
      <w:r w:rsidR="00AC1B8B" w:rsidRPr="00FC186B">
        <w:t xml:space="preserve">the repeated symbols of the language and </w:t>
      </w:r>
      <w:r w:rsidR="00AC1B8B">
        <w:t>behavior</w:t>
      </w:r>
      <w:r w:rsidR="00AC1B8B" w:rsidRPr="00FC186B">
        <w:t xml:space="preserve"> as </w:t>
      </w:r>
      <w:r w:rsidR="00AC1B8B">
        <w:t>the</w:t>
      </w:r>
      <w:r w:rsidR="00AC1B8B" w:rsidRPr="00FC186B">
        <w:t xml:space="preserve"> syntax</w:t>
      </w:r>
      <w:r w:rsidR="00AC1B8B">
        <w:t xml:space="preserve"> for culture and beliefs</w:t>
      </w:r>
      <w:r w:rsidR="00442BEA" w:rsidRPr="00FC186B">
        <w:t>.</w:t>
      </w:r>
      <w:r w:rsidR="009F14CC">
        <w:rPr>
          <w:rStyle w:val="FootnoteReference"/>
        </w:rPr>
        <w:footnoteReference w:id="142"/>
      </w:r>
      <w:r w:rsidR="00371EE1" w:rsidRPr="00FC186B">
        <w:t xml:space="preserve"> </w:t>
      </w:r>
      <w:r w:rsidR="00457C9A">
        <w:t xml:space="preserve">According to Timothy </w:t>
      </w:r>
      <w:proofErr w:type="spellStart"/>
      <w:r w:rsidR="00457C9A">
        <w:t>Darvill</w:t>
      </w:r>
      <w:proofErr w:type="spellEnd"/>
      <w:r w:rsidR="00457C9A">
        <w:t>, m</w:t>
      </w:r>
      <w:r w:rsidR="00444B15" w:rsidRPr="00FC186B">
        <w:t>ov</w:t>
      </w:r>
      <w:r w:rsidR="001174C5">
        <w:t>ing</w:t>
      </w:r>
      <w:r w:rsidR="00444B15" w:rsidRPr="00FC186B">
        <w:t xml:space="preserve"> away from the earlie</w:t>
      </w:r>
      <w:r w:rsidR="001174C5">
        <w:t>r</w:t>
      </w:r>
      <w:r w:rsidR="00444B15" w:rsidRPr="00FC186B">
        <w:t xml:space="preserve"> archaeoastronomical practice of relying solely on measurements, </w:t>
      </w:r>
      <w:r w:rsidR="001174C5">
        <w:t>require</w:t>
      </w:r>
      <w:r w:rsidR="00AC1B8B">
        <w:t>d</w:t>
      </w:r>
      <w:r w:rsidR="00444B15" w:rsidRPr="00FC186B">
        <w:t xml:space="preserve"> understand</w:t>
      </w:r>
      <w:r w:rsidR="001174C5">
        <w:t>ing</w:t>
      </w:r>
      <w:r w:rsidR="00444B15" w:rsidRPr="00FC186B">
        <w:t xml:space="preserve"> how the builders </w:t>
      </w:r>
      <w:r w:rsidR="00FA2625">
        <w:t>conceptualized</w:t>
      </w:r>
      <w:r w:rsidR="00444B15" w:rsidRPr="00FC186B">
        <w:t xml:space="preserve"> their world.</w:t>
      </w:r>
      <w:r w:rsidR="00457C9A">
        <w:rPr>
          <w:rStyle w:val="FootnoteReference"/>
        </w:rPr>
        <w:footnoteReference w:id="143"/>
      </w:r>
      <w:r w:rsidR="00444B15" w:rsidRPr="00FC186B">
        <w:t xml:space="preserve"> </w:t>
      </w:r>
      <w:r w:rsidR="00AD3897">
        <w:t>Following David Whitley’s approach with shamanism and</w:t>
      </w:r>
      <w:r w:rsidR="00AD3897" w:rsidRPr="00FC186B">
        <w:t xml:space="preserve"> </w:t>
      </w:r>
      <w:r w:rsidR="00AD3897">
        <w:t>early rock</w:t>
      </w:r>
      <w:r w:rsidR="00AD3897" w:rsidRPr="00AD3897">
        <w:t xml:space="preserve"> </w:t>
      </w:r>
      <w:r w:rsidR="00AD3897">
        <w:t>art, this research relied on t</w:t>
      </w:r>
      <w:r w:rsidR="00444B15" w:rsidRPr="00FC186B">
        <w:t>he most universal principles found among hunter gatherers and Native Americans, such as animism</w:t>
      </w:r>
      <w:r w:rsidR="00514A6F">
        <w:t>, shamanism,</w:t>
      </w:r>
      <w:r w:rsidR="00CA0706">
        <w:t xml:space="preserve"> </w:t>
      </w:r>
      <w:r w:rsidR="00444B15" w:rsidRPr="00FC186B">
        <w:t xml:space="preserve">and a belief in sky gods </w:t>
      </w:r>
      <w:r w:rsidR="00514A6F">
        <w:t>to</w:t>
      </w:r>
      <w:r w:rsidR="00444B15" w:rsidRPr="00FC186B">
        <w:t xml:space="preserve"> contextualiz</w:t>
      </w:r>
      <w:r w:rsidR="00514A6F">
        <w:t>e</w:t>
      </w:r>
      <w:r w:rsidR="00444B15" w:rsidRPr="00FC186B">
        <w:t xml:space="preserve"> </w:t>
      </w:r>
      <w:r w:rsidR="00444B15" w:rsidRPr="00FA5CC9">
        <w:t>the data</w:t>
      </w:r>
      <w:r w:rsidR="00AD3897">
        <w:t xml:space="preserve">, because there </w:t>
      </w:r>
      <w:r w:rsidR="00331D13">
        <w:t>were</w:t>
      </w:r>
      <w:r w:rsidR="00AD3897">
        <w:t xml:space="preserve"> no documented ethnologies or language remaining from the Desert Archaic</w:t>
      </w:r>
      <w:r w:rsidR="00FA5CC9">
        <w:t>.</w:t>
      </w:r>
      <w:r w:rsidR="001600FB">
        <w:rPr>
          <w:rStyle w:val="FootnoteReference"/>
        </w:rPr>
        <w:footnoteReference w:id="144"/>
      </w:r>
      <w:r w:rsidR="00444B15" w:rsidRPr="00FC186B">
        <w:t xml:space="preserve"> </w:t>
      </w:r>
    </w:p>
    <w:p w14:paraId="6A6E1CA7" w14:textId="171BC51F" w:rsidR="002567DA" w:rsidRPr="00FC186B" w:rsidRDefault="00CC0191" w:rsidP="0068455A">
      <w:r w:rsidRPr="00FC186B">
        <w:t xml:space="preserve">The skyscape </w:t>
      </w:r>
      <w:r w:rsidR="00514A6F">
        <w:t>perspective</w:t>
      </w:r>
      <w:r w:rsidR="002567DA" w:rsidRPr="00FC186B">
        <w:t xml:space="preserve"> is </w:t>
      </w:r>
      <w:r w:rsidR="00514A6F">
        <w:t>well-suited to</w:t>
      </w:r>
      <w:r w:rsidR="002567DA" w:rsidRPr="00FC186B">
        <w:t xml:space="preserve"> the study region, where </w:t>
      </w:r>
      <w:r w:rsidR="00CA0706">
        <w:t>the</w:t>
      </w:r>
      <w:r w:rsidR="00A31385" w:rsidRPr="00FC186B">
        <w:t xml:space="preserve"> </w:t>
      </w:r>
      <w:r w:rsidR="005E2E22" w:rsidRPr="00FC186B">
        <w:t xml:space="preserve">Desert </w:t>
      </w:r>
      <w:r w:rsidR="00A31385" w:rsidRPr="00FC186B">
        <w:t>Archaic people literally lived in the sky.</w:t>
      </w:r>
      <w:r w:rsidR="00375AAD">
        <w:t xml:space="preserve"> According to</w:t>
      </w:r>
      <w:r w:rsidR="00272A6C">
        <w:t xml:space="preserve"> </w:t>
      </w:r>
      <w:r w:rsidRPr="00FC186B">
        <w:t>Hunt</w:t>
      </w:r>
      <w:r w:rsidR="00375AAD">
        <w:t xml:space="preserve"> most of the sites in </w:t>
      </w:r>
      <w:r w:rsidRPr="00FC186B">
        <w:t xml:space="preserve">La Sal </w:t>
      </w:r>
      <w:r w:rsidR="00375AAD">
        <w:t xml:space="preserve">mountains </w:t>
      </w:r>
      <w:r w:rsidR="00272A6C">
        <w:t xml:space="preserve">were </w:t>
      </w:r>
      <w:r w:rsidRPr="00FC186B">
        <w:t>Archaic campsites</w:t>
      </w:r>
      <w:r w:rsidR="00A31385" w:rsidRPr="00FC186B">
        <w:t>.</w:t>
      </w:r>
      <w:r w:rsidR="009F2ACE" w:rsidRPr="00FC186B">
        <w:rPr>
          <w:rStyle w:val="FootnoteReference"/>
        </w:rPr>
        <w:footnoteReference w:id="145"/>
      </w:r>
      <w:r w:rsidRPr="00FC186B">
        <w:t xml:space="preserve"> </w:t>
      </w:r>
      <w:r w:rsidR="00375AAD">
        <w:t>Using natural shelters</w:t>
      </w:r>
      <w:r w:rsidR="00CA0706">
        <w:t xml:space="preserve"> and </w:t>
      </w:r>
      <w:r w:rsidR="00375AAD">
        <w:t xml:space="preserve">having </w:t>
      </w:r>
      <w:r w:rsidR="00CA0706">
        <w:t>few</w:t>
      </w:r>
      <w:r w:rsidR="00444B15" w:rsidRPr="00FC186B">
        <w:t xml:space="preserve"> material goods, </w:t>
      </w:r>
      <w:r w:rsidR="00375AAD">
        <w:t>means that the experience of an ‘Archaic’</w:t>
      </w:r>
      <w:r w:rsidR="00CA0706">
        <w:t xml:space="preserve"> environment is still available in wilderness areas. </w:t>
      </w:r>
      <w:r w:rsidR="00820048">
        <w:t>Christopher Tilley’s</w:t>
      </w:r>
      <w:r w:rsidR="00444B15" w:rsidRPr="00FC186B">
        <w:t xml:space="preserve"> phenomenology of the landscape</w:t>
      </w:r>
      <w:r w:rsidR="00820048">
        <w:t xml:space="preserve">, or </w:t>
      </w:r>
      <w:r w:rsidR="00F4145B">
        <w:t xml:space="preserve">the </w:t>
      </w:r>
      <w:r w:rsidR="000C61CE">
        <w:t>science</w:t>
      </w:r>
      <w:r w:rsidR="00820048">
        <w:t xml:space="preserve"> of </w:t>
      </w:r>
      <w:r w:rsidR="00F4145B">
        <w:t xml:space="preserve">a subjective experience of </w:t>
      </w:r>
      <w:r w:rsidR="00820048">
        <w:lastRenderedPageBreak/>
        <w:t xml:space="preserve">walking through </w:t>
      </w:r>
      <w:r w:rsidR="000C61CE">
        <w:t>a</w:t>
      </w:r>
      <w:r w:rsidR="00820048">
        <w:t xml:space="preserve"> region</w:t>
      </w:r>
      <w:r w:rsidR="000C61CE">
        <w:t>,</w:t>
      </w:r>
      <w:r w:rsidR="00820048">
        <w:t xml:space="preserve"> contribute</w:t>
      </w:r>
      <w:r w:rsidR="000C61CE">
        <w:t>d</w:t>
      </w:r>
      <w:r w:rsidR="00820048">
        <w:t xml:space="preserve"> valuable insights </w:t>
      </w:r>
      <w:r w:rsidR="000C61CE">
        <w:t>into the</w:t>
      </w:r>
      <w:r w:rsidR="00820048">
        <w:t xml:space="preserve"> nomads whose lives revolved around walking through the same environment.</w:t>
      </w:r>
      <w:r w:rsidR="000C61CE">
        <w:rPr>
          <w:rStyle w:val="FootnoteReference"/>
        </w:rPr>
        <w:footnoteReference w:id="146"/>
      </w:r>
      <w:r w:rsidR="00444B15" w:rsidRPr="00FC186B">
        <w:t xml:space="preserve"> </w:t>
      </w:r>
      <w:r w:rsidR="00820048">
        <w:t>Tilley point</w:t>
      </w:r>
      <w:r w:rsidR="000C61CE">
        <w:t>ed</w:t>
      </w:r>
      <w:r w:rsidR="00820048">
        <w:t xml:space="preserve"> out</w:t>
      </w:r>
      <w:r w:rsidR="000B0EEA">
        <w:t xml:space="preserve">, </w:t>
      </w:r>
      <w:r w:rsidR="000B0EEA" w:rsidRPr="00FC186B">
        <w:t>‘Features of the natural landscape may be held to have provided a symbolic resource of the utmost significance to prehistoric populations.’</w:t>
      </w:r>
      <w:r w:rsidR="000B0EEA" w:rsidRPr="00FC186B">
        <w:rPr>
          <w:rStyle w:val="FootnoteReference"/>
        </w:rPr>
        <w:footnoteReference w:id="147"/>
      </w:r>
      <w:r w:rsidR="000B0EEA" w:rsidRPr="00FC186B">
        <w:t xml:space="preserve"> </w:t>
      </w:r>
      <w:r w:rsidR="00F4145B">
        <w:t xml:space="preserve">What is significant in the </w:t>
      </w:r>
      <w:r w:rsidR="00816FC4">
        <w:t xml:space="preserve">unique </w:t>
      </w:r>
      <w:r w:rsidR="00570654">
        <w:t xml:space="preserve">high desert </w:t>
      </w:r>
      <w:r w:rsidR="00816FC4">
        <w:t xml:space="preserve">environment may be different from commonly held beliefs, such as watching sunrise over a sacred mountain, as noted by </w:t>
      </w:r>
      <w:proofErr w:type="spellStart"/>
      <w:r w:rsidR="000C61CE">
        <w:t>Malville</w:t>
      </w:r>
      <w:proofErr w:type="spellEnd"/>
      <w:r w:rsidR="000C61CE">
        <w:t xml:space="preserve"> and Bostwick.</w:t>
      </w:r>
      <w:r w:rsidR="00BD46FA" w:rsidRPr="00FC186B">
        <w:rPr>
          <w:rStyle w:val="FootnoteReference"/>
        </w:rPr>
        <w:footnoteReference w:id="148"/>
      </w:r>
      <w:r w:rsidR="00BD46FA" w:rsidRPr="00FC186B">
        <w:t xml:space="preserve"> In the high desert, where </w:t>
      </w:r>
      <w:r w:rsidR="0028324F">
        <w:t xml:space="preserve">diurnal </w:t>
      </w:r>
      <w:r w:rsidR="00BD46FA" w:rsidRPr="00FC186B">
        <w:t>temperature</w:t>
      </w:r>
      <w:r w:rsidR="0028324F">
        <w:t xml:space="preserve"> variation can be up to 25˚C</w:t>
      </w:r>
      <w:r w:rsidR="000C61CE">
        <w:t>,</w:t>
      </w:r>
      <w:r w:rsidR="0028324F">
        <w:t xml:space="preserve"> getting into the first light on winter solstice, when nighttime lows are </w:t>
      </w:r>
      <w:r w:rsidR="00F54FB3">
        <w:t xml:space="preserve">frequently </w:t>
      </w:r>
      <w:r w:rsidR="0028324F">
        <w:t>-15˚C</w:t>
      </w:r>
      <w:r w:rsidR="000C61CE">
        <w:t>,</w:t>
      </w:r>
      <w:r w:rsidR="0028324F">
        <w:t xml:space="preserve"> </w:t>
      </w:r>
      <w:r w:rsidR="00F54FB3">
        <w:t>was</w:t>
      </w:r>
      <w:r w:rsidR="0028324F">
        <w:t xml:space="preserve"> a physical as well as spiritual relief</w:t>
      </w:r>
      <w:r w:rsidR="00F54FB3">
        <w:t xml:space="preserve">, especially </w:t>
      </w:r>
      <w:r w:rsidR="00816FC4">
        <w:t>if</w:t>
      </w:r>
      <w:r w:rsidR="00F54FB3">
        <w:t xml:space="preserve"> </w:t>
      </w:r>
      <w:r w:rsidR="00816FC4">
        <w:t>the</w:t>
      </w:r>
      <w:r w:rsidR="00F54FB3">
        <w:t xml:space="preserve"> cliff face </w:t>
      </w:r>
      <w:r w:rsidR="007C7C58">
        <w:t xml:space="preserve">bearing petroglyphs </w:t>
      </w:r>
      <w:r w:rsidR="00F54FB3">
        <w:t>block</w:t>
      </w:r>
      <w:r w:rsidR="007C7C58">
        <w:t>ed</w:t>
      </w:r>
      <w:r w:rsidR="00F54FB3">
        <w:t xml:space="preserve"> the north wind.</w:t>
      </w:r>
      <w:r w:rsidR="00F54FB3">
        <w:rPr>
          <w:rStyle w:val="FootnoteReference"/>
        </w:rPr>
        <w:footnoteReference w:id="149"/>
      </w:r>
      <w:r w:rsidR="00F54FB3">
        <w:t xml:space="preserve"> Only in summer would the additional shade of waiting for sunrise over a mountain peak have been welcome or pragmatic.</w:t>
      </w:r>
    </w:p>
    <w:p w14:paraId="02309705" w14:textId="1F65EA30" w:rsidR="0003049E" w:rsidRDefault="0003049E" w:rsidP="0068455A">
      <w:r w:rsidRPr="00FC186B">
        <w:t xml:space="preserve">In summary this research is designed to look for repetitive patterns in </w:t>
      </w:r>
      <w:r w:rsidR="003B539E">
        <w:t xml:space="preserve">the </w:t>
      </w:r>
      <w:r w:rsidRPr="00FC186B">
        <w:t>placement of petroglyphs</w:t>
      </w:r>
      <w:r w:rsidR="00023EA7">
        <w:t xml:space="preserve"> relative to</w:t>
      </w:r>
      <w:r w:rsidRPr="00FC186B">
        <w:t xml:space="preserve"> the </w:t>
      </w:r>
      <w:r w:rsidR="00023EA7">
        <w:t>canyon skyscape</w:t>
      </w:r>
      <w:r w:rsidRPr="00FC186B">
        <w:t xml:space="preserve">, focus on the interaction between sky and earth at the horizon and use </w:t>
      </w:r>
      <w:r w:rsidR="0044458B" w:rsidRPr="00FC186B">
        <w:t xml:space="preserve">‘thick description’ gleaned from common Native American ontologies augmented by some phenomenological perceptions </w:t>
      </w:r>
      <w:r w:rsidR="00023EA7">
        <w:t>of the high desert</w:t>
      </w:r>
      <w:r w:rsidR="0044458B" w:rsidRPr="00FC186B">
        <w:t xml:space="preserve"> as the most effective means of applying sky</w:t>
      </w:r>
      <w:r w:rsidR="00DB0ECD" w:rsidRPr="00FC186B">
        <w:t>scape</w:t>
      </w:r>
      <w:r w:rsidR="0044458B" w:rsidRPr="00FC186B">
        <w:t xml:space="preserve"> archaeology to the understanding </w:t>
      </w:r>
      <w:r w:rsidR="00157654">
        <w:t xml:space="preserve">of the </w:t>
      </w:r>
      <w:r w:rsidR="00157654" w:rsidRPr="00FC186B">
        <w:t>placement</w:t>
      </w:r>
      <w:r w:rsidR="00157654">
        <w:t xml:space="preserve"> of</w:t>
      </w:r>
      <w:r w:rsidR="00157654" w:rsidRPr="00FC186B">
        <w:t xml:space="preserve"> </w:t>
      </w:r>
      <w:r w:rsidR="0044458B" w:rsidRPr="00FC186B">
        <w:t>Archai</w:t>
      </w:r>
      <w:r w:rsidR="00157654">
        <w:t>c</w:t>
      </w:r>
      <w:r w:rsidR="0044458B" w:rsidRPr="00FC186B">
        <w:t xml:space="preserve"> petroglyph</w:t>
      </w:r>
      <w:r w:rsidR="00157654">
        <w:t>s</w:t>
      </w:r>
      <w:r w:rsidR="0044458B" w:rsidRPr="00FC186B">
        <w:t>.</w:t>
      </w:r>
    </w:p>
    <w:p w14:paraId="23D6088F" w14:textId="77777777" w:rsidR="007C7C58" w:rsidRPr="00FC186B" w:rsidRDefault="007C7C58" w:rsidP="0068455A"/>
    <w:p w14:paraId="74CD1AB9" w14:textId="601F750F" w:rsidR="00831F9A" w:rsidRPr="00FC186B" w:rsidRDefault="00831F9A" w:rsidP="0068455A">
      <w:bookmarkStart w:id="58" w:name="_Toc101636982"/>
      <w:r w:rsidRPr="00D574D6">
        <w:rPr>
          <w:rStyle w:val="Heading1Char"/>
        </w:rPr>
        <w:lastRenderedPageBreak/>
        <w:t>The Method</w:t>
      </w:r>
      <w:bookmarkEnd w:id="58"/>
      <w:r w:rsidR="000F3E19" w:rsidRPr="00FC186B">
        <w:t xml:space="preserve"> </w:t>
      </w:r>
    </w:p>
    <w:p w14:paraId="6699A1F6" w14:textId="6BFBDF89" w:rsidR="00312C70" w:rsidRPr="00FC186B" w:rsidRDefault="002D7B6B" w:rsidP="0068455A">
      <w:r w:rsidRPr="00FC186B">
        <w:t xml:space="preserve">The research question is whether petroglyphs were used to mark optimal locations for viewing </w:t>
      </w:r>
      <w:r w:rsidR="006226F3" w:rsidRPr="00FC186B">
        <w:t xml:space="preserve">solstitial sunrise and sunset, while equinoctial events were also noted. </w:t>
      </w:r>
      <w:r w:rsidR="00157654">
        <w:t>‘</w:t>
      </w:r>
      <w:r w:rsidR="00E5101D" w:rsidRPr="00FC186B">
        <w:t>Sites</w:t>
      </w:r>
      <w:r w:rsidR="00157654">
        <w:t>’</w:t>
      </w:r>
      <w:r w:rsidR="00E5101D" w:rsidRPr="00FC186B">
        <w:t xml:space="preserve"> are defined as rock art that is separated from other rock art by a gap of </w:t>
      </w:r>
      <w:r w:rsidR="0067066D">
        <w:t>10 m</w:t>
      </w:r>
      <w:r w:rsidR="007113A5">
        <w:t>,</w:t>
      </w:r>
      <w:r w:rsidR="00E5101D" w:rsidRPr="00FC186B">
        <w:t xml:space="preserve"> or more. Panels were counted to </w:t>
      </w:r>
      <w:r w:rsidR="009F44C6">
        <w:t>emphasize</w:t>
      </w:r>
      <w:r w:rsidR="00E5101D" w:rsidRPr="00FC186B">
        <w:t xml:space="preserve"> the </w:t>
      </w:r>
      <w:r w:rsidR="009F44C6">
        <w:t xml:space="preserve">relative </w:t>
      </w:r>
      <w:r w:rsidR="00E5101D" w:rsidRPr="00FC186B">
        <w:t xml:space="preserve">size of sites. </w:t>
      </w:r>
      <w:r w:rsidR="00157654">
        <w:t>‘</w:t>
      </w:r>
      <w:r w:rsidR="00E5101D" w:rsidRPr="00FC186B">
        <w:t>Panels</w:t>
      </w:r>
      <w:r w:rsidR="00157654">
        <w:t>’</w:t>
      </w:r>
      <w:r w:rsidR="00E5101D" w:rsidRPr="00FC186B">
        <w:t xml:space="preserve"> </w:t>
      </w:r>
      <w:r w:rsidR="00C17071">
        <w:t>were</w:t>
      </w:r>
      <w:r w:rsidR="00E5101D" w:rsidRPr="00FC186B">
        <w:t xml:space="preserve"> distinguished by a </w:t>
      </w:r>
      <w:r w:rsidR="0067066D" w:rsidRPr="0067066D">
        <w:t>2</w:t>
      </w:r>
      <w:r w:rsidR="0067066D">
        <w:t xml:space="preserve"> </w:t>
      </w:r>
      <w:r w:rsidR="0067066D" w:rsidRPr="0067066D">
        <w:t>m</w:t>
      </w:r>
      <w:r w:rsidR="00E5101D" w:rsidRPr="0067066D">
        <w:t xml:space="preserve"> </w:t>
      </w:r>
      <w:r w:rsidR="00E5101D" w:rsidRPr="00FC186B">
        <w:t>separation</w:t>
      </w:r>
      <w:r w:rsidR="00F5275D">
        <w:t xml:space="preserve"> between groups of elements</w:t>
      </w:r>
      <w:r w:rsidR="00E5101D" w:rsidRPr="00FC186B">
        <w:t xml:space="preserve"> or by location on different faces of the rock. </w:t>
      </w:r>
      <w:r w:rsidR="00F5275D">
        <w:t>T</w:t>
      </w:r>
      <w:r w:rsidR="00F5275D" w:rsidRPr="00FC186B">
        <w:t xml:space="preserve">he azimuth and altitude of the lowest points on the horizon </w:t>
      </w:r>
      <w:r w:rsidR="00F5275D">
        <w:t xml:space="preserve">were measured from about 1m height and 2m in front of the panel </w:t>
      </w:r>
      <w:r w:rsidR="00F5275D" w:rsidRPr="00FC186B">
        <w:t xml:space="preserve">using a </w:t>
      </w:r>
      <w:proofErr w:type="spellStart"/>
      <w:r w:rsidR="00F5275D" w:rsidRPr="00FC186B">
        <w:t>Suunto</w:t>
      </w:r>
      <w:proofErr w:type="spellEnd"/>
      <w:r w:rsidR="00F5275D" w:rsidRPr="00FC186B">
        <w:t xml:space="preserve"> Tandem compass/clinometer. </w:t>
      </w:r>
      <w:r w:rsidR="0067066D">
        <w:t xml:space="preserve">Due to </w:t>
      </w:r>
      <w:r w:rsidR="009F44C6">
        <w:t>erratic</w:t>
      </w:r>
      <w:r w:rsidR="0067066D">
        <w:t xml:space="preserve"> horizon lines</w:t>
      </w:r>
      <w:r w:rsidR="00BF36FE">
        <w:t>,</w:t>
      </w:r>
      <w:r w:rsidR="0067066D">
        <w:t xml:space="preserve"> </w:t>
      </w:r>
      <w:r w:rsidR="00BF36FE">
        <w:t>between one to five low points</w:t>
      </w:r>
      <w:r w:rsidR="00B93A74">
        <w:t xml:space="preserve"> were measured</w:t>
      </w:r>
      <w:r w:rsidR="00BF36FE">
        <w:t xml:space="preserve"> from any observation point. </w:t>
      </w:r>
      <w:r w:rsidR="004B567D" w:rsidRPr="00FC186B">
        <w:t>After adjusting for magnetic declination</w:t>
      </w:r>
      <w:r w:rsidR="00312C70" w:rsidRPr="00FC186B">
        <w:t xml:space="preserve"> of 9.9</w:t>
      </w:r>
      <w:r w:rsidR="00FC6FD6">
        <w:t>0˚E</w:t>
      </w:r>
      <w:r w:rsidR="00312C70" w:rsidRPr="00FC186B">
        <w:t>, rounded off to 10</w:t>
      </w:r>
      <w:r w:rsidR="004B567D" w:rsidRPr="00FC186B">
        <w:t>, the position</w:t>
      </w:r>
      <w:r w:rsidR="0049209A">
        <w:t>s</w:t>
      </w:r>
      <w:r w:rsidR="004B567D" w:rsidRPr="00FC186B">
        <w:t xml:space="preserve"> of the low horizon points were </w:t>
      </w:r>
      <w:r w:rsidR="00B93A74">
        <w:t>plotted</w:t>
      </w:r>
      <w:r w:rsidR="004B567D" w:rsidRPr="00FC186B">
        <w:t xml:space="preserve"> </w:t>
      </w:r>
      <w:r w:rsidR="00B93A74">
        <w:t>as deviation from</w:t>
      </w:r>
      <w:r w:rsidR="00BF36FE">
        <w:t xml:space="preserve"> </w:t>
      </w:r>
      <w:r w:rsidR="00B93A74">
        <w:t xml:space="preserve">the </w:t>
      </w:r>
      <w:r w:rsidR="004B567D" w:rsidRPr="00FC186B">
        <w:t>solstice sunrise</w:t>
      </w:r>
      <w:r w:rsidR="0027727D">
        <w:t xml:space="preserve"> and sunset</w:t>
      </w:r>
      <w:r w:rsidR="004B567D" w:rsidRPr="00FC186B">
        <w:t xml:space="preserve"> </w:t>
      </w:r>
      <w:r w:rsidR="00BB6368" w:rsidRPr="00FC186B">
        <w:t xml:space="preserve">positions modeled in </w:t>
      </w:r>
      <w:proofErr w:type="spellStart"/>
      <w:r w:rsidR="00BB6368" w:rsidRPr="00FC186B">
        <w:t>Stellarium</w:t>
      </w:r>
      <w:proofErr w:type="spellEnd"/>
      <w:r w:rsidR="00B93A74">
        <w:t>, whenever actual observation was not possible.</w:t>
      </w:r>
      <w:r w:rsidR="00A85931">
        <w:rPr>
          <w:rStyle w:val="FootnoteReference"/>
        </w:rPr>
        <w:footnoteReference w:id="150"/>
      </w:r>
      <w:r w:rsidR="00BB6368" w:rsidRPr="00FC186B">
        <w:t xml:space="preserve"> </w:t>
      </w:r>
    </w:p>
    <w:p w14:paraId="78DDFA73" w14:textId="7E2D86AB" w:rsidR="002D7B6B" w:rsidRDefault="00B93A74" w:rsidP="0068455A">
      <w:r>
        <w:t>S</w:t>
      </w:r>
      <w:r w:rsidR="00BB6368" w:rsidRPr="00FC186B">
        <w:t>olstice sunrise</w:t>
      </w:r>
      <w:r w:rsidR="00157654">
        <w:t xml:space="preserve"> or sunset were photo-documented by looking at the horizon from a point directly in </w:t>
      </w:r>
      <w:r w:rsidR="00BB6368" w:rsidRPr="00FC186B">
        <w:t xml:space="preserve">front of the panel or </w:t>
      </w:r>
      <w:r w:rsidR="00157654">
        <w:t>by</w:t>
      </w:r>
      <w:r w:rsidR="00BB6368" w:rsidRPr="00FC186B">
        <w:t xml:space="preserve"> viewing the </w:t>
      </w:r>
      <w:r w:rsidR="00157654">
        <w:t>panel</w:t>
      </w:r>
      <w:r w:rsidR="00BB6368" w:rsidRPr="00FC186B">
        <w:t xml:space="preserve"> from below</w:t>
      </w:r>
      <w:r w:rsidR="0032170D">
        <w:t xml:space="preserve"> during solstice sunrise</w:t>
      </w:r>
      <w:r w:rsidR="00BB6368" w:rsidRPr="00FC186B">
        <w:t xml:space="preserve"> </w:t>
      </w:r>
      <w:r w:rsidR="00157654">
        <w:t xml:space="preserve">to ascertain where </w:t>
      </w:r>
      <w:r w:rsidR="00BB6368" w:rsidRPr="00FC186B">
        <w:t>first ligh</w:t>
      </w:r>
      <w:r w:rsidR="00157654">
        <w:t>t fell.</w:t>
      </w:r>
      <w:r w:rsidR="001C1F90">
        <w:t xml:space="preserve"> See </w:t>
      </w:r>
      <w:r w:rsidR="00536703">
        <w:t>Plate 4</w:t>
      </w:r>
      <w:r w:rsidR="001C1F90">
        <w:t>.</w:t>
      </w:r>
      <w:r w:rsidR="00157654">
        <w:t xml:space="preserve"> </w:t>
      </w:r>
      <w:r w:rsidR="0032170D">
        <w:t xml:space="preserve">Time permitted viewing only a few sites </w:t>
      </w:r>
      <w:r w:rsidR="00BF36FE">
        <w:t xml:space="preserve">on </w:t>
      </w:r>
      <w:r w:rsidR="0032170D">
        <w:t>the solstices,</w:t>
      </w:r>
      <w:r w:rsidR="00BB6368" w:rsidRPr="00FC186B">
        <w:t xml:space="preserve"> the remainder have been modeled</w:t>
      </w:r>
      <w:r w:rsidR="00157654">
        <w:t xml:space="preserve"> using </w:t>
      </w:r>
      <w:proofErr w:type="spellStart"/>
      <w:r w:rsidR="00157654">
        <w:t>Stellaruim</w:t>
      </w:r>
      <w:proofErr w:type="spellEnd"/>
      <w:r w:rsidR="00BB6368" w:rsidRPr="00FC186B">
        <w:t xml:space="preserve">. </w:t>
      </w:r>
      <w:r w:rsidR="00725AC4" w:rsidRPr="00FC186B">
        <w:t>Azimuths within five degrees of the actual sunrise</w:t>
      </w:r>
      <w:r w:rsidR="004762BD" w:rsidRPr="00FC186B">
        <w:t xml:space="preserve"> or sunset</w:t>
      </w:r>
      <w:r w:rsidR="00725AC4" w:rsidRPr="00FC186B">
        <w:t xml:space="preserve"> locations have been recorded as a positive result</w:t>
      </w:r>
      <w:r w:rsidR="003777F6">
        <w:t>, where the horizon remained low in the direction of exact sunrise</w:t>
      </w:r>
      <w:r w:rsidR="004B623B">
        <w:t>.</w:t>
      </w:r>
      <w:r w:rsidR="003777F6">
        <w:t xml:space="preserve"> </w:t>
      </w:r>
      <w:r w:rsidR="004B623B">
        <w:t>W</w:t>
      </w:r>
      <w:r w:rsidR="003777F6">
        <w:t>here cliffs or mesas occluded views of the sunrise</w:t>
      </w:r>
      <w:r w:rsidR="004B623B">
        <w:t>, the result was negative even if it was within the margin of error</w:t>
      </w:r>
      <w:r w:rsidR="004762BD" w:rsidRPr="00FC186B">
        <w:t>.</w:t>
      </w:r>
      <w:r w:rsidR="00725AC4" w:rsidRPr="00FC186B">
        <w:t xml:space="preserve"> </w:t>
      </w:r>
    </w:p>
    <w:p w14:paraId="47977933" w14:textId="0B08B8D7" w:rsidR="0027727D" w:rsidRPr="00FC186B" w:rsidRDefault="0027727D" w:rsidP="0068455A"/>
    <w:p w14:paraId="36F043A5" w14:textId="77777777" w:rsidR="004B623B" w:rsidRDefault="004B623B" w:rsidP="001C1F90">
      <w:pPr>
        <w:pStyle w:val="Caption"/>
        <w:rPr>
          <w:b/>
          <w:bCs/>
        </w:rPr>
      </w:pPr>
      <w:r>
        <w:rPr>
          <w:noProof/>
        </w:rPr>
        <w:lastRenderedPageBreak/>
        <w:drawing>
          <wp:inline distT="0" distB="0" distL="0" distR="0" wp14:anchorId="633D60BE" wp14:editId="44B53410">
            <wp:extent cx="5410200" cy="1236345"/>
            <wp:effectExtent l="0" t="0" r="0" b="1905"/>
            <wp:docPr id="7" name="Picture 7" descr="A picture containing sky, outdoor, mountain,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outdoor, mountain, nature&#10;&#10;Description automatically generated"/>
                    <pic:cNvPicPr/>
                  </pic:nvPicPr>
                  <pic:blipFill rotWithShape="1">
                    <a:blip r:embed="rId13" cstate="print">
                      <a:extLst>
                        <a:ext uri="{28A0092B-C50C-407E-A947-70E740481C1C}">
                          <a14:useLocalDpi xmlns:a14="http://schemas.microsoft.com/office/drawing/2010/main" val="0"/>
                        </a:ext>
                      </a:extLst>
                    </a:blip>
                    <a:srcRect l="8975"/>
                    <a:stretch/>
                  </pic:blipFill>
                  <pic:spPr bwMode="auto">
                    <a:xfrm>
                      <a:off x="0" y="0"/>
                      <a:ext cx="5410200" cy="1236345"/>
                    </a:xfrm>
                    <a:prstGeom prst="rect">
                      <a:avLst/>
                    </a:prstGeom>
                    <a:ln>
                      <a:noFill/>
                    </a:ln>
                    <a:extLst>
                      <a:ext uri="{53640926-AAD7-44D8-BBD7-CCE9431645EC}">
                        <a14:shadowObscured xmlns:a14="http://schemas.microsoft.com/office/drawing/2010/main"/>
                      </a:ext>
                    </a:extLst>
                  </pic:spPr>
                </pic:pic>
              </a:graphicData>
            </a:graphic>
          </wp:inline>
        </w:drawing>
      </w:r>
    </w:p>
    <w:p w14:paraId="3774D84D" w14:textId="69DE0319" w:rsidR="001C1F90" w:rsidRDefault="008F6707" w:rsidP="001C1F90">
      <w:pPr>
        <w:pStyle w:val="Caption"/>
      </w:pPr>
      <w:r>
        <w:rPr>
          <w:b/>
          <w:bCs/>
        </w:rPr>
        <w:t xml:space="preserve">Plate </w:t>
      </w:r>
      <w:r w:rsidR="00775309">
        <w:rPr>
          <w:b/>
          <w:bCs/>
        </w:rPr>
        <w:t>4</w:t>
      </w:r>
      <w:r w:rsidR="001C1F90">
        <w:t xml:space="preserve"> View from below of WSSR </w:t>
      </w:r>
      <w:r w:rsidR="00803FC7">
        <w:t xml:space="preserve">(winter solstice sunrise) </w:t>
      </w:r>
      <w:r w:rsidR="001C1F90">
        <w:t xml:space="preserve">on a sandstone </w:t>
      </w:r>
      <w:r w:rsidR="00C17071">
        <w:t xml:space="preserve">cliff </w:t>
      </w:r>
      <w:r w:rsidR="001C1F90">
        <w:t>with petroglyphs scattered along 600 m. Photo: Author</w:t>
      </w:r>
      <w:r w:rsidR="00544100">
        <w:t>.</w:t>
      </w:r>
    </w:p>
    <w:p w14:paraId="1A341D96" w14:textId="2D651BF3" w:rsidR="00176140" w:rsidRPr="00FC186B" w:rsidRDefault="00F87135" w:rsidP="0068455A">
      <w:proofErr w:type="spellStart"/>
      <w:r w:rsidRPr="00E13292">
        <w:t>Stellarium</w:t>
      </w:r>
      <w:proofErr w:type="spellEnd"/>
      <w:r>
        <w:t xml:space="preserve"> </w:t>
      </w:r>
      <w:r w:rsidR="00424649">
        <w:t xml:space="preserve">software </w:t>
      </w:r>
      <w:r>
        <w:t xml:space="preserve">was used to model </w:t>
      </w:r>
      <w:r w:rsidR="009B28DE">
        <w:t xml:space="preserve">every degree of </w:t>
      </w:r>
      <w:r>
        <w:t xml:space="preserve">the sun’s ascent/descent on the solstices </w:t>
      </w:r>
      <w:r w:rsidR="009B28DE">
        <w:t>in</w:t>
      </w:r>
      <w:r w:rsidR="00BE6279" w:rsidRPr="00FC186B">
        <w:t xml:space="preserve"> terrestrial</w:t>
      </w:r>
      <w:r w:rsidR="003777F6">
        <w:t xml:space="preserve"> coordinates</w:t>
      </w:r>
      <w:r w:rsidR="00BE6279" w:rsidRPr="00FC186B">
        <w:t>.</w:t>
      </w:r>
      <w:r w:rsidR="00035FA7" w:rsidRPr="00FC186B">
        <w:t xml:space="preserve"> </w:t>
      </w:r>
      <w:r w:rsidR="00BE6279" w:rsidRPr="00FC186B">
        <w:t xml:space="preserve"> Along horizontal </w:t>
      </w:r>
      <w:r w:rsidR="0049209A">
        <w:t>lines</w:t>
      </w:r>
      <w:r w:rsidR="009B28DE">
        <w:t>, such as a horizon,</w:t>
      </w:r>
      <w:r w:rsidR="00BE6279" w:rsidRPr="00FC186B">
        <w:t xml:space="preserve"> the discrepancy</w:t>
      </w:r>
      <w:r w:rsidR="009B28DE">
        <w:t xml:space="preserve"> between </w:t>
      </w:r>
      <w:r w:rsidR="009B28DE" w:rsidRPr="00FC186B">
        <w:t xml:space="preserve">the </w:t>
      </w:r>
      <w:r w:rsidR="004B623B">
        <w:t>modeled</w:t>
      </w:r>
      <w:r w:rsidR="009B28DE" w:rsidRPr="00FC186B">
        <w:t xml:space="preserve"> sunrise </w:t>
      </w:r>
      <w:r w:rsidR="004B623B">
        <w:t>azimuth</w:t>
      </w:r>
      <w:r w:rsidR="009B28DE">
        <w:t xml:space="preserve"> and the </w:t>
      </w:r>
      <w:r w:rsidR="009B28DE" w:rsidRPr="00FC186B">
        <w:t>low point</w:t>
      </w:r>
      <w:r w:rsidR="009B28DE">
        <w:t xml:space="preserve"> on the horizon was measured in azimuth degrees</w:t>
      </w:r>
      <w:r w:rsidR="00BE6279" w:rsidRPr="00FC186B">
        <w:t>. In the few instances</w:t>
      </w:r>
      <w:r w:rsidR="001577A4">
        <w:t>,</w:t>
      </w:r>
      <w:r w:rsidR="00BE6279" w:rsidRPr="00FC186B">
        <w:t xml:space="preserve"> where a vertical crack exposed the sunrise </w:t>
      </w:r>
      <w:r w:rsidR="009B28DE">
        <w:t xml:space="preserve">or sunset </w:t>
      </w:r>
      <w:r w:rsidR="00BE6279" w:rsidRPr="00FC186B">
        <w:t xml:space="preserve">the deviation </w:t>
      </w:r>
      <w:r w:rsidR="009B28DE">
        <w:t>was</w:t>
      </w:r>
      <w:r w:rsidR="00BE6279" w:rsidRPr="00FC186B">
        <w:t xml:space="preserve"> measured in altitude degrees. </w:t>
      </w:r>
      <w:r w:rsidR="00176140" w:rsidRPr="00FC186B">
        <w:t>Where a broader gap occurred on the horizon the breadth of the gap was considered for potential sunrise or sunset</w:t>
      </w:r>
      <w:r w:rsidR="0049400E">
        <w:t>, but in practice</w:t>
      </w:r>
      <w:r w:rsidR="004B623B">
        <w:t>,</w:t>
      </w:r>
      <w:r w:rsidR="0049400E">
        <w:t xml:space="preserve"> actual sunrise typically occurred on one side of the gap</w:t>
      </w:r>
      <w:r w:rsidR="00BF36FE">
        <w:t xml:space="preserve">. See </w:t>
      </w:r>
      <w:r w:rsidR="0049209A">
        <w:t>Plate</w:t>
      </w:r>
      <w:r w:rsidR="00BF36FE">
        <w:t xml:space="preserve"> </w:t>
      </w:r>
      <w:r w:rsidR="0049209A">
        <w:t>6</w:t>
      </w:r>
      <w:r w:rsidR="00BF36FE">
        <w:t>.</w:t>
      </w:r>
    </w:p>
    <w:p w14:paraId="103B72C0" w14:textId="5F308395" w:rsidR="00D22F93" w:rsidRDefault="003777F6" w:rsidP="0068455A">
      <w:r>
        <w:t>Skyscape measurements were made at 1</w:t>
      </w:r>
      <w:r w:rsidR="00B53570">
        <w:t>57</w:t>
      </w:r>
      <w:r w:rsidR="004F1DF9">
        <w:t xml:space="preserve"> Native American rock art sites and </w:t>
      </w:r>
      <w:r>
        <w:t>2</w:t>
      </w:r>
      <w:r w:rsidR="00B53570">
        <w:t>2</w:t>
      </w:r>
      <w:r w:rsidR="004F1DF9">
        <w:t xml:space="preserve"> non-rock art sites</w:t>
      </w:r>
      <w:r w:rsidR="001577A4">
        <w:t xml:space="preserve"> </w:t>
      </w:r>
      <w:r w:rsidR="00412E51">
        <w:t>within the study area</w:t>
      </w:r>
      <w:r w:rsidR="001577A4">
        <w:t xml:space="preserve">. </w:t>
      </w:r>
      <w:r w:rsidR="00590FBD">
        <w:t xml:space="preserve">The test sample included 115 petroglyph sites, which met </w:t>
      </w:r>
      <w:r w:rsidR="00406D79">
        <w:t>the criteria of having two periods of deposition of petroglyphs</w:t>
      </w:r>
      <w:r w:rsidR="00590FBD">
        <w:t>.</w:t>
      </w:r>
      <w:r w:rsidR="00406D79">
        <w:t xml:space="preserve"> </w:t>
      </w:r>
      <w:r w:rsidR="001577A4">
        <w:t>T</w:t>
      </w:r>
      <w:r w:rsidR="004F1DF9">
        <w:t xml:space="preserve">he </w:t>
      </w:r>
      <w:r w:rsidR="00590FBD">
        <w:t>2</w:t>
      </w:r>
      <w:r w:rsidR="00B53570">
        <w:t>2</w:t>
      </w:r>
      <w:r w:rsidR="00590FBD">
        <w:t xml:space="preserve"> </w:t>
      </w:r>
      <w:r w:rsidR="00406D79">
        <w:t>non-rock art sites</w:t>
      </w:r>
      <w:r w:rsidR="00F51CE3">
        <w:t xml:space="preserve"> </w:t>
      </w:r>
      <w:r w:rsidR="00590FBD">
        <w:t>used as a control group included</w:t>
      </w:r>
      <w:r w:rsidR="00406D79">
        <w:t xml:space="preserve"> </w:t>
      </w:r>
      <w:r w:rsidR="001577A4">
        <w:t>habitations,</w:t>
      </w:r>
      <w:r w:rsidR="00406D79">
        <w:t xml:space="preserve"> indicated by dry laid rock walls</w:t>
      </w:r>
      <w:r w:rsidR="001577A4">
        <w:t xml:space="preserve"> </w:t>
      </w:r>
      <w:r w:rsidR="00406D79">
        <w:t xml:space="preserve">or lithic tools in rock shelters, </w:t>
      </w:r>
      <w:r w:rsidR="00F61017">
        <w:t>and</w:t>
      </w:r>
      <w:r w:rsidR="00F51CE3">
        <w:t xml:space="preserve"> </w:t>
      </w:r>
      <w:r w:rsidR="001577A4">
        <w:t>limited activity sites</w:t>
      </w:r>
      <w:r w:rsidR="00406D79">
        <w:t xml:space="preserve"> such as lithic scatter</w:t>
      </w:r>
      <w:r w:rsidR="001577A4">
        <w:t xml:space="preserve">. </w:t>
      </w:r>
      <w:r w:rsidR="00590FBD">
        <w:t>Sites which failed to meet the test criteria included 1</w:t>
      </w:r>
      <w:r w:rsidR="00B53570">
        <w:t>3</w:t>
      </w:r>
      <w:r w:rsidR="001577A4">
        <w:t xml:space="preserve"> pictographs</w:t>
      </w:r>
      <w:r w:rsidR="00590FBD">
        <w:t xml:space="preserve"> panels</w:t>
      </w:r>
      <w:r w:rsidR="001577A4">
        <w:t xml:space="preserve">, </w:t>
      </w:r>
      <w:r w:rsidR="00EA362D">
        <w:t>t</w:t>
      </w:r>
      <w:r w:rsidR="00590FBD">
        <w:t xml:space="preserve">wo Ute petroglyph sites </w:t>
      </w:r>
      <w:r w:rsidR="00EA362D">
        <w:t>and 2</w:t>
      </w:r>
      <w:r w:rsidR="00B53570">
        <w:t>6</w:t>
      </w:r>
      <w:r w:rsidR="00EA362D">
        <w:t xml:space="preserve"> petroglyph sites </w:t>
      </w:r>
      <w:r w:rsidR="001577A4">
        <w:t xml:space="preserve">which </w:t>
      </w:r>
      <w:r w:rsidR="00EA362D">
        <w:t xml:space="preserve">appeared to have a singular time of creation, rendering no comparison for </w:t>
      </w:r>
      <w:proofErr w:type="spellStart"/>
      <w:r w:rsidR="00EA362D">
        <w:t>repatination</w:t>
      </w:r>
      <w:proofErr w:type="spellEnd"/>
      <w:r w:rsidR="00EA362D">
        <w:t xml:space="preserve">. </w:t>
      </w:r>
      <w:r w:rsidR="00305799">
        <w:t xml:space="preserve">Only </w:t>
      </w:r>
      <w:r w:rsidR="00146CA7">
        <w:t>two</w:t>
      </w:r>
      <w:r w:rsidR="00305799">
        <w:t xml:space="preserve"> sites </w:t>
      </w:r>
      <w:r w:rsidR="00D22F93">
        <w:t>easily identified as</w:t>
      </w:r>
      <w:r w:rsidR="00305799">
        <w:t xml:space="preserve"> Archaic </w:t>
      </w:r>
      <w:r w:rsidR="002443D2">
        <w:t>abstract</w:t>
      </w:r>
      <w:r w:rsidR="00305799">
        <w:t xml:space="preserve"> petroglyphs</w:t>
      </w:r>
      <w:r w:rsidR="00D22F93">
        <w:t xml:space="preserve"> (WAT)</w:t>
      </w:r>
      <w:r w:rsidR="00305799">
        <w:t xml:space="preserve"> </w:t>
      </w:r>
      <w:r w:rsidR="002443D2">
        <w:t>and show</w:t>
      </w:r>
      <w:r w:rsidR="00D22F93">
        <w:t>ing</w:t>
      </w:r>
      <w:r w:rsidR="002443D2">
        <w:t xml:space="preserve"> significant </w:t>
      </w:r>
      <w:proofErr w:type="spellStart"/>
      <w:r w:rsidR="002443D2">
        <w:t>repatination</w:t>
      </w:r>
      <w:proofErr w:type="spellEnd"/>
      <w:r w:rsidR="002443D2">
        <w:t xml:space="preserve"> were included, </w:t>
      </w:r>
      <w:r w:rsidR="00D22F93">
        <w:t>based on stylistic dating</w:t>
      </w:r>
      <w:r w:rsidR="002443D2">
        <w:t xml:space="preserve">. </w:t>
      </w:r>
      <w:r w:rsidR="00146CA7">
        <w:t xml:space="preserve">A couple of sites with petroglyphs showing the atlatl (a throwing spear) were included because atlatl use was discontinued around 400 CE with the introduction of the bow and arrow </w:t>
      </w:r>
      <w:r w:rsidR="00734F86">
        <w:t>which</w:t>
      </w:r>
      <w:r w:rsidR="00146CA7">
        <w:t xml:space="preserve"> date</w:t>
      </w:r>
      <w:r w:rsidR="00D17566">
        <w:t>d</w:t>
      </w:r>
      <w:r w:rsidR="00146CA7">
        <w:t xml:space="preserve"> the petroglyph before sedentary agriculture in the study area. </w:t>
      </w:r>
    </w:p>
    <w:p w14:paraId="0C97084C" w14:textId="7CDC5416" w:rsidR="00F072A5" w:rsidRPr="00FC186B" w:rsidRDefault="00F072A5" w:rsidP="00F072A5">
      <w:r w:rsidRPr="00FC186B">
        <w:lastRenderedPageBreak/>
        <w:t>Photo</w:t>
      </w:r>
      <w:r w:rsidR="00081025">
        <w:t>s</w:t>
      </w:r>
      <w:r>
        <w:t xml:space="preserve"> </w:t>
      </w:r>
      <w:r w:rsidRPr="00FC186B">
        <w:t xml:space="preserve">of the panels </w:t>
      </w:r>
      <w:r w:rsidR="00081025">
        <w:t>were used to show</w:t>
      </w:r>
      <w:r w:rsidRPr="00FC186B">
        <w:t xml:space="preserve"> variable levels of </w:t>
      </w:r>
      <w:proofErr w:type="spellStart"/>
      <w:r w:rsidRPr="00FC186B">
        <w:t>repatination</w:t>
      </w:r>
      <w:proofErr w:type="spellEnd"/>
      <w:r w:rsidRPr="00FC186B">
        <w:t xml:space="preserve"> between elements</w:t>
      </w:r>
      <w:r w:rsidR="00081025">
        <w:t xml:space="preserve">, indicating where Archaic, or ‘archaic lifestyle’ groups had originally chosen the site for rock art. </w:t>
      </w:r>
      <w:r w:rsidRPr="00FC186B">
        <w:t xml:space="preserve"> In the study area, </w:t>
      </w:r>
      <w:r w:rsidR="00081025">
        <w:t xml:space="preserve">Archaic </w:t>
      </w:r>
      <w:r w:rsidRPr="00FC186B">
        <w:t>conditions prevailed for 1</w:t>
      </w:r>
      <w:r w:rsidR="00D17566">
        <w:t>2</w:t>
      </w:r>
      <w:r w:rsidRPr="00FC186B">
        <w:t>,000 years except for several centuries of scattered farming attempts in this region between 900- 1</w:t>
      </w:r>
      <w:r w:rsidR="00E33B0A">
        <w:t>150</w:t>
      </w:r>
      <w:r w:rsidRPr="00FC186B">
        <w:t xml:space="preserve"> CE. </w:t>
      </w:r>
      <w:r>
        <w:t xml:space="preserve">Younger petroglyph elements have been associated with the </w:t>
      </w:r>
      <w:r w:rsidR="00081025">
        <w:t xml:space="preserve">AP or </w:t>
      </w:r>
      <w:r>
        <w:t xml:space="preserve">Fremont, but they could </w:t>
      </w:r>
      <w:r w:rsidR="00190702">
        <w:t>represent</w:t>
      </w:r>
      <w:r>
        <w:t xml:space="preserve"> multiple layers of Archaic</w:t>
      </w:r>
      <w:r w:rsidR="00190702">
        <w:t xml:space="preserve"> deposition</w:t>
      </w:r>
      <w:r>
        <w:t xml:space="preserve">. The high number of sites that are assessed with </w:t>
      </w:r>
      <w:r w:rsidR="00190702">
        <w:t xml:space="preserve">AP or </w:t>
      </w:r>
      <w:r>
        <w:t>Fremont superimposed over older elements would indicate that it had been a priority for the AP to add to or overwrite older rock art</w:t>
      </w:r>
      <w:r w:rsidR="00E33B0A">
        <w:t xml:space="preserve"> for ceremonial or territorial reasons</w:t>
      </w:r>
      <w:r>
        <w:t xml:space="preserve">. </w:t>
      </w:r>
    </w:p>
    <w:p w14:paraId="3E978170" w14:textId="00DF86C2" w:rsidR="00305799" w:rsidRDefault="00D22F93" w:rsidP="0068455A">
      <w:r>
        <w:t xml:space="preserve">Federal agencies do not disclose locations of archaeological sites to the public. </w:t>
      </w:r>
      <w:r w:rsidR="00590982">
        <w:t>M</w:t>
      </w:r>
      <w:r w:rsidR="00E852BA">
        <w:t xml:space="preserve">any sites in </w:t>
      </w:r>
      <w:r w:rsidR="00D84F39">
        <w:t xml:space="preserve">the study </w:t>
      </w:r>
      <w:r w:rsidR="00E852BA">
        <w:t xml:space="preserve">area </w:t>
      </w:r>
      <w:r w:rsidR="00590982">
        <w:t xml:space="preserve">probably remain </w:t>
      </w:r>
      <w:r w:rsidR="00E852BA">
        <w:t xml:space="preserve">undiscovered or undisclosed, but the publicly known sites in the study area have been </w:t>
      </w:r>
      <w:r w:rsidR="00590982">
        <w:t>measured</w:t>
      </w:r>
      <w:r w:rsidR="00E852BA">
        <w:t xml:space="preserve">, with few exceptions. </w:t>
      </w:r>
      <w:r w:rsidR="003C2ACA">
        <w:t xml:space="preserve">Given the amount of private land, statistically about 1500 archaeological sites of the 5300 in Grand County could be expected </w:t>
      </w:r>
      <w:r w:rsidR="002868A4">
        <w:t xml:space="preserve">to be </w:t>
      </w:r>
      <w:r w:rsidR="0000203C">
        <w:t xml:space="preserve">within </w:t>
      </w:r>
      <w:r w:rsidR="003C2ACA">
        <w:t>the study area.</w:t>
      </w:r>
      <w:r w:rsidR="00905102">
        <w:t xml:space="preserve"> </w:t>
      </w:r>
      <w:r w:rsidR="003C2ACA">
        <w:t xml:space="preserve">Many of these may be historical settler sites. About 10% </w:t>
      </w:r>
      <w:r w:rsidR="00B53570">
        <w:t xml:space="preserve">(179 </w:t>
      </w:r>
      <w:r w:rsidR="00905102">
        <w:t xml:space="preserve">sites) of this total were measured in this research of which </w:t>
      </w:r>
      <w:r w:rsidR="00B53570">
        <w:t xml:space="preserve">157 </w:t>
      </w:r>
      <w:r w:rsidR="00905102">
        <w:t>were rock art sites. Pedestrian studies in the adjacent Needles District of Canyonlands National Park by Tipps and Lisbon Valley by Black et al</w:t>
      </w:r>
      <w:r w:rsidR="002868A4">
        <w:t>.</w:t>
      </w:r>
      <w:r w:rsidR="00905102">
        <w:t xml:space="preserve"> yielded rock art in </w:t>
      </w:r>
      <w:r w:rsidR="002868A4">
        <w:t xml:space="preserve">about </w:t>
      </w:r>
      <w:r w:rsidR="00905102">
        <w:t>1%</w:t>
      </w:r>
      <w:r w:rsidR="002868A4">
        <w:t xml:space="preserve"> </w:t>
      </w:r>
      <w:r w:rsidR="00905102">
        <w:t>of the sites.</w:t>
      </w:r>
      <w:r w:rsidR="0000203C">
        <w:rPr>
          <w:rStyle w:val="FootnoteReference"/>
        </w:rPr>
        <w:footnoteReference w:id="151"/>
      </w:r>
      <w:r w:rsidR="00905102">
        <w:t xml:space="preserve"> This survey has measured</w:t>
      </w:r>
      <w:r w:rsidR="002868A4">
        <w:t xml:space="preserve"> </w:t>
      </w:r>
      <w:r w:rsidR="00905102">
        <w:t xml:space="preserve">ten times that expected </w:t>
      </w:r>
      <w:r w:rsidR="0000203C">
        <w:t xml:space="preserve">relative </w:t>
      </w:r>
      <w:r w:rsidR="00905102">
        <w:t>number</w:t>
      </w:r>
      <w:r w:rsidR="0000203C">
        <w:t xml:space="preserve"> of rock art sites in the study area</w:t>
      </w:r>
      <w:r w:rsidR="002868A4">
        <w:t>.</w:t>
      </w:r>
      <w:r w:rsidR="00905102">
        <w:t xml:space="preserve"> </w:t>
      </w:r>
      <w:r w:rsidR="00D84F39">
        <w:t>Three</w:t>
      </w:r>
      <w:r w:rsidR="00E852BA">
        <w:t xml:space="preserve"> site</w:t>
      </w:r>
      <w:r w:rsidR="00D84F39">
        <w:t>s</w:t>
      </w:r>
      <w:r w:rsidR="00E852BA">
        <w:t xml:space="preserve"> </w:t>
      </w:r>
      <w:r w:rsidR="00F51CE3">
        <w:t>w</w:t>
      </w:r>
      <w:r w:rsidR="003C2ACA">
        <w:t>ere</w:t>
      </w:r>
      <w:r w:rsidR="00F51CE3">
        <w:t xml:space="preserve"> </w:t>
      </w:r>
      <w:r w:rsidR="00E852BA">
        <w:t xml:space="preserve">not found, </w:t>
      </w:r>
      <w:r w:rsidR="00D84F39">
        <w:t>one was</w:t>
      </w:r>
      <w:r w:rsidR="00E852BA">
        <w:t xml:space="preserve"> in</w:t>
      </w:r>
      <w:r w:rsidR="00D84F39">
        <w:t xml:space="preserve"> an</w:t>
      </w:r>
      <w:r w:rsidR="00E852BA">
        <w:t xml:space="preserve"> </w:t>
      </w:r>
      <w:r w:rsidR="00F072A5">
        <w:t xml:space="preserve">inaccessible </w:t>
      </w:r>
      <w:proofErr w:type="spellStart"/>
      <w:r w:rsidR="00F072A5">
        <w:t>acrolocation</w:t>
      </w:r>
      <w:proofErr w:type="spellEnd"/>
      <w:r w:rsidR="000102C9">
        <w:t xml:space="preserve"> </w:t>
      </w:r>
      <w:r w:rsidR="00186119">
        <w:t>(</w:t>
      </w:r>
      <w:r w:rsidR="000102C9">
        <w:t>high on a cliff</w:t>
      </w:r>
      <w:r w:rsidR="00186119">
        <w:t>)</w:t>
      </w:r>
      <w:r w:rsidR="00035FA7">
        <w:t xml:space="preserve"> </w:t>
      </w:r>
      <w:r w:rsidR="00F072A5">
        <w:t xml:space="preserve">and another two </w:t>
      </w:r>
      <w:r w:rsidR="00905102">
        <w:t xml:space="preserve">known </w:t>
      </w:r>
      <w:r w:rsidR="00F072A5">
        <w:t xml:space="preserve">sites are on private land. </w:t>
      </w:r>
      <w:r w:rsidR="00803FC7">
        <w:t>Geographical distribution of sites can be seen in Plate 5.</w:t>
      </w:r>
    </w:p>
    <w:p w14:paraId="26F0A234" w14:textId="2A60C71F" w:rsidR="00F445F3" w:rsidRDefault="00176140" w:rsidP="0068455A">
      <w:r w:rsidRPr="00FC186B">
        <w:lastRenderedPageBreak/>
        <w:t xml:space="preserve">The results were tabulated among the </w:t>
      </w:r>
      <w:r w:rsidR="00E919D0">
        <w:t>250</w:t>
      </w:r>
      <w:r w:rsidR="002443D2">
        <w:t xml:space="preserve"> </w:t>
      </w:r>
      <w:r w:rsidRPr="00FC186B">
        <w:t>panels</w:t>
      </w:r>
      <w:r w:rsidR="002443D2">
        <w:t xml:space="preserve"> at 1</w:t>
      </w:r>
      <w:r w:rsidR="00E919D0">
        <w:t>1</w:t>
      </w:r>
      <w:r w:rsidR="002443D2">
        <w:t xml:space="preserve">5 </w:t>
      </w:r>
      <w:r w:rsidR="002868A4" w:rsidRPr="00FC186B">
        <w:t>eligible</w:t>
      </w:r>
      <w:r w:rsidR="002868A4">
        <w:t xml:space="preserve"> </w:t>
      </w:r>
      <w:r w:rsidR="002443D2">
        <w:t>sites</w:t>
      </w:r>
      <w:r w:rsidR="00412E51">
        <w:t>,</w:t>
      </w:r>
      <w:r w:rsidRPr="00FC186B">
        <w:t xml:space="preserve"> according to whether they were in locations to view early sunrise on winter solstice</w:t>
      </w:r>
      <w:r w:rsidR="001A029E" w:rsidRPr="00FC186B">
        <w:t xml:space="preserve"> (WSSR), </w:t>
      </w:r>
      <w:r w:rsidR="00312C70" w:rsidRPr="00FC186B">
        <w:t>or summer solstice (SSSR). Sunset locations for winter solstice (WSSS) and summer solstice (SSSS) were also calculated as were equinoctial sun rise and sunset labeled EQSR and EQSS, respectively.</w:t>
      </w:r>
      <w:r w:rsidR="000F05FD" w:rsidRPr="00FC186B">
        <w:t xml:space="preserve"> Results are summarized as percentages since nearly 100% of the publicly known rock art sites within the study area were visited.</w:t>
      </w:r>
      <w:r w:rsidR="00F34BB1">
        <w:t xml:space="preserve"> See </w:t>
      </w:r>
      <w:r w:rsidR="004D3814">
        <w:t>Table 1</w:t>
      </w:r>
      <w:r w:rsidR="00F34BB1">
        <w:t>.</w:t>
      </w:r>
    </w:p>
    <w:p w14:paraId="683013A3" w14:textId="38069016" w:rsidR="00F34BB1" w:rsidRPr="00FC186B" w:rsidRDefault="00F34BB1" w:rsidP="00F34BB1">
      <w:r>
        <w:t>In summary, petroglyphs</w:t>
      </w:r>
      <w:r w:rsidR="00190702">
        <w:t xml:space="preserve"> were measured for their positioning relative to low points in the horizon</w:t>
      </w:r>
      <w:r>
        <w:t xml:space="preserve">. Due to time constraints most of the sites </w:t>
      </w:r>
      <w:r w:rsidR="009126FE">
        <w:t xml:space="preserve">were </w:t>
      </w:r>
      <w:r>
        <w:t>tested</w:t>
      </w:r>
      <w:r w:rsidR="00F61017">
        <w:t xml:space="preserve"> for solstice viewing </w:t>
      </w:r>
      <w:r>
        <w:t xml:space="preserve">using </w:t>
      </w:r>
      <w:proofErr w:type="spellStart"/>
      <w:r w:rsidRPr="00424649">
        <w:t>Stellarium</w:t>
      </w:r>
      <w:proofErr w:type="spellEnd"/>
      <w:r>
        <w:t xml:space="preserve"> modeling. Pictographs and petroglyphs to which relative dating methods could not be applied with confidence were excluded from the test group. All rock art that could be found within the study has been measured with few exceptions.</w:t>
      </w:r>
      <w:r w:rsidR="00803FC7" w:rsidRPr="00803FC7">
        <w:t xml:space="preserve"> </w:t>
      </w:r>
      <w:r w:rsidR="00803FC7">
        <w:t>A total of 179 sites were measured for horizon features, including 22 non-rock art sites used as a control, and 42 rock art sites, which were not included because they did not meet test criteria. See Appendix A.</w:t>
      </w:r>
    </w:p>
    <w:p w14:paraId="47A6E1C5" w14:textId="77777777" w:rsidR="00F34BB1" w:rsidRDefault="00F34BB1" w:rsidP="0068455A"/>
    <w:p w14:paraId="1F0E07D8" w14:textId="2210E3E8" w:rsidR="00D50D94" w:rsidRDefault="00D50D94" w:rsidP="0068455A">
      <w:r>
        <w:rPr>
          <w:noProof/>
        </w:rPr>
        <w:lastRenderedPageBreak/>
        <w:drawing>
          <wp:inline distT="0" distB="0" distL="0" distR="0" wp14:anchorId="7D040B60" wp14:editId="13991B3A">
            <wp:extent cx="5800299" cy="3361819"/>
            <wp:effectExtent l="0" t="0" r="0" b="0"/>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24576" cy="3375890"/>
                    </a:xfrm>
                    <a:prstGeom prst="rect">
                      <a:avLst/>
                    </a:prstGeom>
                  </pic:spPr>
                </pic:pic>
              </a:graphicData>
            </a:graphic>
          </wp:inline>
        </w:drawing>
      </w:r>
    </w:p>
    <w:p w14:paraId="7659175A" w14:textId="2D474C2B" w:rsidR="00F34BB1" w:rsidRDefault="00775309" w:rsidP="00F34BB1">
      <w:pPr>
        <w:pStyle w:val="Caption"/>
      </w:pPr>
      <w:r>
        <w:rPr>
          <w:b/>
          <w:bCs/>
        </w:rPr>
        <w:t xml:space="preserve">Plate 5 </w:t>
      </w:r>
      <w:r w:rsidR="00FF170D">
        <w:t>Geographic distribution of sites using arbitrary names. Rock art</w:t>
      </w:r>
      <w:r w:rsidR="00F34BB1">
        <w:t xml:space="preserve"> frequently occur</w:t>
      </w:r>
      <w:r w:rsidR="00FF170D">
        <w:t>s</w:t>
      </w:r>
      <w:r w:rsidR="00F34BB1">
        <w:t xml:space="preserve"> along the river or tributaries. Image: Google Earth Pro.</w:t>
      </w:r>
    </w:p>
    <w:p w14:paraId="4DE1257A" w14:textId="7983C3CE" w:rsidR="00AC1181" w:rsidRPr="00FC186B" w:rsidRDefault="00617B8D" w:rsidP="0068455A">
      <w:pPr>
        <w:pStyle w:val="Heading1"/>
      </w:pPr>
      <w:bookmarkStart w:id="59" w:name="_Toc101636983"/>
      <w:r w:rsidRPr="00FC186B">
        <w:t>Results</w:t>
      </w:r>
      <w:bookmarkEnd w:id="59"/>
    </w:p>
    <w:p w14:paraId="09271EE8" w14:textId="0A1AC10B" w:rsidR="00955919" w:rsidRDefault="00401CB2" w:rsidP="0068455A">
      <w:r w:rsidRPr="00FC186B">
        <w:t>The research indicate</w:t>
      </w:r>
      <w:r w:rsidR="00803FC7">
        <w:t>d</w:t>
      </w:r>
      <w:r w:rsidRPr="00FC186B">
        <w:t xml:space="preserve"> that </w:t>
      </w:r>
      <w:r w:rsidR="00B83F6C">
        <w:t xml:space="preserve">Archaic </w:t>
      </w:r>
      <w:r w:rsidR="003105F4">
        <w:t xml:space="preserve">and hunter-gatherer </w:t>
      </w:r>
      <w:r w:rsidRPr="00FC186B">
        <w:t>petroglyphs</w:t>
      </w:r>
      <w:r w:rsidR="00990FAD">
        <w:t xml:space="preserve">, as determined by relative </w:t>
      </w:r>
      <w:proofErr w:type="spellStart"/>
      <w:r w:rsidR="00990FAD">
        <w:t>repatination</w:t>
      </w:r>
      <w:proofErr w:type="spellEnd"/>
      <w:r w:rsidR="00990FAD">
        <w:t xml:space="preserve"> and weathering,</w:t>
      </w:r>
      <w:r w:rsidRPr="00FC186B">
        <w:t xml:space="preserve"> were placed in locations for viewing the first light of winter solstice sunrise at a much higher rate than would have occurred at random</w:t>
      </w:r>
      <w:r w:rsidR="00803FC7">
        <w:t>ly</w:t>
      </w:r>
      <w:r w:rsidRPr="00FC186B">
        <w:t xml:space="preserve">. </w:t>
      </w:r>
      <w:r w:rsidR="004F1DF9">
        <w:t>T</w:t>
      </w:r>
      <w:r w:rsidR="00E314A9" w:rsidRPr="00FC186B">
        <w:t xml:space="preserve">he </w:t>
      </w:r>
      <w:r w:rsidR="004F1DF9">
        <w:t xml:space="preserve">random </w:t>
      </w:r>
      <w:r w:rsidR="00E314A9" w:rsidRPr="00FC186B">
        <w:t xml:space="preserve">chances of </w:t>
      </w:r>
      <w:r w:rsidR="004F1DF9">
        <w:t>a</w:t>
      </w:r>
      <w:r w:rsidR="00E314A9" w:rsidRPr="00FC186B">
        <w:t xml:space="preserve"> </w:t>
      </w:r>
      <w:r w:rsidR="009126FE">
        <w:t>low point</w:t>
      </w:r>
      <w:r w:rsidR="00E314A9" w:rsidRPr="00FC186B">
        <w:t xml:space="preserve"> </w:t>
      </w:r>
      <w:r w:rsidR="004F1DF9">
        <w:t xml:space="preserve">falling within five degrees of the </w:t>
      </w:r>
      <w:r w:rsidR="00FF170D">
        <w:t>exact</w:t>
      </w:r>
      <w:r w:rsidR="00090DA7">
        <w:t xml:space="preserve"> </w:t>
      </w:r>
      <w:r w:rsidR="004F1DF9">
        <w:t xml:space="preserve">sunrise azimuth degree is </w:t>
      </w:r>
      <w:r w:rsidR="00E314A9" w:rsidRPr="00FC186B">
        <w:t xml:space="preserve">2.7%.  </w:t>
      </w:r>
      <w:r w:rsidR="00090DA7">
        <w:t>Eighty-t</w:t>
      </w:r>
      <w:r w:rsidR="003105F4">
        <w:t>wo</w:t>
      </w:r>
      <w:r w:rsidR="00E314A9" w:rsidRPr="00FC186B">
        <w:t xml:space="preserve"> of the </w:t>
      </w:r>
      <w:r w:rsidR="00090DA7">
        <w:t>250</w:t>
      </w:r>
      <w:r w:rsidR="00E314A9" w:rsidRPr="00FC186B">
        <w:t xml:space="preserve"> panels</w:t>
      </w:r>
      <w:r w:rsidR="00A077EB">
        <w:t xml:space="preserve"> (</w:t>
      </w:r>
      <w:r w:rsidR="00A077EB" w:rsidRPr="00FC186B">
        <w:t>3</w:t>
      </w:r>
      <w:r w:rsidR="00A077EB">
        <w:t>2.8</w:t>
      </w:r>
      <w:r w:rsidR="00A077EB" w:rsidRPr="00FC186B">
        <w:t>%</w:t>
      </w:r>
      <w:r w:rsidR="00A077EB">
        <w:t>)</w:t>
      </w:r>
      <w:r w:rsidR="00A077EB" w:rsidRPr="00FC186B">
        <w:t xml:space="preserve"> </w:t>
      </w:r>
      <w:r w:rsidR="00E314A9" w:rsidRPr="00FC186B">
        <w:t xml:space="preserve">were in </w:t>
      </w:r>
      <w:r w:rsidR="00A077EB">
        <w:t xml:space="preserve">WSSR </w:t>
      </w:r>
      <w:r w:rsidR="00E314A9" w:rsidRPr="00FC186B">
        <w:t>observation locations</w:t>
      </w:r>
      <w:r w:rsidR="00A077EB">
        <w:t xml:space="preserve">, and 60 panels (24%) in WSSS locations, 24 panels (9.6%) were </w:t>
      </w:r>
      <w:r w:rsidR="003C68C6">
        <w:t xml:space="preserve">in </w:t>
      </w:r>
      <w:r w:rsidR="00A077EB">
        <w:t>SSSR</w:t>
      </w:r>
      <w:r w:rsidR="003C68C6">
        <w:t xml:space="preserve"> locations </w:t>
      </w:r>
      <w:r w:rsidR="00A077EB">
        <w:t xml:space="preserve">and 26 panels (10.4%) in </w:t>
      </w:r>
      <w:r w:rsidR="003C68C6">
        <w:t>SSSS positions.</w:t>
      </w:r>
      <w:r w:rsidR="00A077EB">
        <w:t xml:space="preserve"> </w:t>
      </w:r>
      <w:r w:rsidR="00AC51AC">
        <w:t xml:space="preserve">Of the 115 eligible petroglyph sites, </w:t>
      </w:r>
      <w:r w:rsidR="00ED25E7">
        <w:t>6</w:t>
      </w:r>
      <w:r w:rsidR="00AC51AC">
        <w:t xml:space="preserve">5% had views of first or last light on one of the solstices. By contrast, less than 10% of the </w:t>
      </w:r>
      <w:r w:rsidR="003C68C6">
        <w:t xml:space="preserve">22 </w:t>
      </w:r>
      <w:r w:rsidR="00AC51AC">
        <w:t>non-rock art</w:t>
      </w:r>
      <w:r w:rsidR="003C68C6">
        <w:t xml:space="preserve"> sites</w:t>
      </w:r>
      <w:r w:rsidR="00AC51AC">
        <w:t xml:space="preserve"> were in </w:t>
      </w:r>
      <w:r w:rsidR="003C68C6">
        <w:t>any solstice viewing</w:t>
      </w:r>
      <w:r w:rsidR="00AC51AC">
        <w:t xml:space="preserve"> locations. </w:t>
      </w:r>
      <w:r w:rsidR="00955919">
        <w:t>In t</w:t>
      </w:r>
      <w:r w:rsidR="00AC51AC">
        <w:t>he control group</w:t>
      </w:r>
      <w:r w:rsidR="00955919">
        <w:t xml:space="preserve">, </w:t>
      </w:r>
      <w:r w:rsidR="003105F4">
        <w:t xml:space="preserve">only two sites had views of first or last light on the solstices and another two witnessed first or last light on equinox. </w:t>
      </w:r>
      <w:r w:rsidR="00955919">
        <w:t xml:space="preserve">See </w:t>
      </w:r>
      <w:r w:rsidR="003C68C6">
        <w:t>Table 1</w:t>
      </w:r>
      <w:r w:rsidR="00955919">
        <w:t>.</w:t>
      </w:r>
    </w:p>
    <w:tbl>
      <w:tblPr>
        <w:tblStyle w:val="TableGrid"/>
        <w:tblpPr w:leftFromText="180" w:rightFromText="180" w:vertAnchor="text" w:horzAnchor="margin" w:tblpY="4020"/>
        <w:tblW w:w="0" w:type="auto"/>
        <w:tblLook w:val="04A0" w:firstRow="1" w:lastRow="0" w:firstColumn="1" w:lastColumn="0" w:noHBand="0" w:noVBand="1"/>
      </w:tblPr>
      <w:tblGrid>
        <w:gridCol w:w="1376"/>
        <w:gridCol w:w="1095"/>
        <w:gridCol w:w="1090"/>
        <w:gridCol w:w="1065"/>
        <w:gridCol w:w="1078"/>
        <w:gridCol w:w="1096"/>
        <w:gridCol w:w="1052"/>
        <w:gridCol w:w="1164"/>
      </w:tblGrid>
      <w:tr w:rsidR="003D7DF1" w14:paraId="18806B4C" w14:textId="77777777" w:rsidTr="003D7DF1">
        <w:tc>
          <w:tcPr>
            <w:tcW w:w="1376" w:type="dxa"/>
          </w:tcPr>
          <w:p w14:paraId="18D4B47A" w14:textId="77777777" w:rsidR="003D7DF1" w:rsidRDefault="003D7DF1" w:rsidP="003D7DF1"/>
        </w:tc>
        <w:tc>
          <w:tcPr>
            <w:tcW w:w="1095" w:type="dxa"/>
            <w:shd w:val="clear" w:color="auto" w:fill="B4C6E7" w:themeFill="accent1" w:themeFillTint="66"/>
            <w:vAlign w:val="bottom"/>
          </w:tcPr>
          <w:p w14:paraId="331C609F" w14:textId="77777777" w:rsidR="003D7DF1" w:rsidRDefault="003D7DF1" w:rsidP="003D7DF1">
            <w:r w:rsidRPr="00FC186B">
              <w:t>WSSR</w:t>
            </w:r>
          </w:p>
        </w:tc>
        <w:tc>
          <w:tcPr>
            <w:tcW w:w="1090" w:type="dxa"/>
            <w:shd w:val="clear" w:color="auto" w:fill="D9E2F3" w:themeFill="accent1" w:themeFillTint="33"/>
            <w:vAlign w:val="bottom"/>
          </w:tcPr>
          <w:p w14:paraId="62B3855B" w14:textId="77777777" w:rsidR="003D7DF1" w:rsidRDefault="003D7DF1" w:rsidP="003D7DF1">
            <w:r w:rsidRPr="00FC186B">
              <w:t>WSSS</w:t>
            </w:r>
          </w:p>
        </w:tc>
        <w:tc>
          <w:tcPr>
            <w:tcW w:w="1065" w:type="dxa"/>
            <w:shd w:val="clear" w:color="auto" w:fill="FFE599" w:themeFill="accent4" w:themeFillTint="66"/>
            <w:vAlign w:val="bottom"/>
          </w:tcPr>
          <w:p w14:paraId="1C0FECD8" w14:textId="77777777" w:rsidR="003D7DF1" w:rsidRDefault="003D7DF1" w:rsidP="003D7DF1">
            <w:r w:rsidRPr="00FC186B">
              <w:t>SSSR</w:t>
            </w:r>
          </w:p>
        </w:tc>
        <w:tc>
          <w:tcPr>
            <w:tcW w:w="1078" w:type="dxa"/>
            <w:shd w:val="clear" w:color="auto" w:fill="F7CAAC" w:themeFill="accent2" w:themeFillTint="66"/>
            <w:vAlign w:val="bottom"/>
          </w:tcPr>
          <w:p w14:paraId="29FDECD1" w14:textId="77777777" w:rsidR="003D7DF1" w:rsidRDefault="003D7DF1" w:rsidP="003D7DF1">
            <w:r w:rsidRPr="00FC186B">
              <w:t>SSSS</w:t>
            </w:r>
          </w:p>
        </w:tc>
        <w:tc>
          <w:tcPr>
            <w:tcW w:w="1096" w:type="dxa"/>
            <w:shd w:val="clear" w:color="auto" w:fill="C5E0B3" w:themeFill="accent6" w:themeFillTint="66"/>
            <w:vAlign w:val="bottom"/>
          </w:tcPr>
          <w:p w14:paraId="0D72D94F" w14:textId="77777777" w:rsidR="003D7DF1" w:rsidRDefault="003D7DF1" w:rsidP="003D7DF1">
            <w:r w:rsidRPr="00FC186B">
              <w:t>EQSR</w:t>
            </w:r>
          </w:p>
        </w:tc>
        <w:tc>
          <w:tcPr>
            <w:tcW w:w="1052" w:type="dxa"/>
            <w:shd w:val="clear" w:color="auto" w:fill="E2EFD9" w:themeFill="accent6" w:themeFillTint="33"/>
            <w:vAlign w:val="bottom"/>
          </w:tcPr>
          <w:p w14:paraId="0A0754D7" w14:textId="77777777" w:rsidR="003D7DF1" w:rsidRDefault="003D7DF1" w:rsidP="003D7DF1">
            <w:r w:rsidRPr="00FC186B">
              <w:t>EQSS</w:t>
            </w:r>
          </w:p>
        </w:tc>
        <w:tc>
          <w:tcPr>
            <w:tcW w:w="1164" w:type="dxa"/>
            <w:vAlign w:val="bottom"/>
          </w:tcPr>
          <w:p w14:paraId="564E64DE" w14:textId="77777777" w:rsidR="003D7DF1" w:rsidRDefault="003D7DF1" w:rsidP="003D7DF1">
            <w:r w:rsidRPr="00FC186B">
              <w:t>RANDOM</w:t>
            </w:r>
          </w:p>
        </w:tc>
      </w:tr>
      <w:tr w:rsidR="003D7DF1" w14:paraId="77F58683" w14:textId="77777777" w:rsidTr="003D7DF1">
        <w:tc>
          <w:tcPr>
            <w:tcW w:w="1376" w:type="dxa"/>
          </w:tcPr>
          <w:p w14:paraId="11A10380" w14:textId="77777777" w:rsidR="003D7DF1" w:rsidRDefault="003D7DF1" w:rsidP="003D7DF1">
            <w:r>
              <w:t>Archaic</w:t>
            </w:r>
          </w:p>
          <w:p w14:paraId="69100483" w14:textId="77777777" w:rsidR="003D7DF1" w:rsidRDefault="003D7DF1" w:rsidP="003D7DF1">
            <w:r>
              <w:t>petroglyphs</w:t>
            </w:r>
          </w:p>
        </w:tc>
        <w:tc>
          <w:tcPr>
            <w:tcW w:w="1095" w:type="dxa"/>
            <w:shd w:val="clear" w:color="auto" w:fill="B4C6E7" w:themeFill="accent1" w:themeFillTint="66"/>
            <w:vAlign w:val="bottom"/>
          </w:tcPr>
          <w:p w14:paraId="268A0C94" w14:textId="77777777" w:rsidR="003D7DF1" w:rsidRDefault="003D7DF1" w:rsidP="003D7DF1">
            <w:r w:rsidRPr="00FC186B">
              <w:t>3</w:t>
            </w:r>
            <w:r>
              <w:t>2.8</w:t>
            </w:r>
            <w:r w:rsidRPr="00FC186B">
              <w:t>%</w:t>
            </w:r>
          </w:p>
        </w:tc>
        <w:tc>
          <w:tcPr>
            <w:tcW w:w="1090" w:type="dxa"/>
            <w:shd w:val="clear" w:color="auto" w:fill="D9E2F3" w:themeFill="accent1" w:themeFillTint="33"/>
            <w:vAlign w:val="bottom"/>
          </w:tcPr>
          <w:p w14:paraId="19114E54" w14:textId="77777777" w:rsidR="003D7DF1" w:rsidRDefault="003D7DF1" w:rsidP="003D7DF1">
            <w:r w:rsidRPr="00FC186B">
              <w:t>2</w:t>
            </w:r>
            <w:r>
              <w:t>4</w:t>
            </w:r>
            <w:r w:rsidRPr="00FC186B">
              <w:t>%</w:t>
            </w:r>
          </w:p>
        </w:tc>
        <w:tc>
          <w:tcPr>
            <w:tcW w:w="1065" w:type="dxa"/>
            <w:shd w:val="clear" w:color="auto" w:fill="FFE599" w:themeFill="accent4" w:themeFillTint="66"/>
            <w:vAlign w:val="bottom"/>
          </w:tcPr>
          <w:p w14:paraId="47F6A7B5" w14:textId="77777777" w:rsidR="003D7DF1" w:rsidRDefault="003D7DF1" w:rsidP="003D7DF1">
            <w:r>
              <w:t>9.6</w:t>
            </w:r>
            <w:r w:rsidRPr="00FC186B">
              <w:t>%</w:t>
            </w:r>
          </w:p>
        </w:tc>
        <w:tc>
          <w:tcPr>
            <w:tcW w:w="1078" w:type="dxa"/>
            <w:shd w:val="clear" w:color="auto" w:fill="F7CAAC" w:themeFill="accent2" w:themeFillTint="66"/>
            <w:vAlign w:val="bottom"/>
          </w:tcPr>
          <w:p w14:paraId="5C8CB7A0" w14:textId="77777777" w:rsidR="003D7DF1" w:rsidRDefault="003D7DF1" w:rsidP="003D7DF1">
            <w:r>
              <w:t>10.4</w:t>
            </w:r>
            <w:r w:rsidRPr="00FC186B">
              <w:t>%</w:t>
            </w:r>
          </w:p>
        </w:tc>
        <w:tc>
          <w:tcPr>
            <w:tcW w:w="1096" w:type="dxa"/>
            <w:shd w:val="clear" w:color="auto" w:fill="C5E0B3" w:themeFill="accent6" w:themeFillTint="66"/>
            <w:vAlign w:val="bottom"/>
          </w:tcPr>
          <w:p w14:paraId="1D6D4C0B" w14:textId="77777777" w:rsidR="003D7DF1" w:rsidRDefault="003D7DF1" w:rsidP="003D7DF1">
            <w:r w:rsidRPr="00FC186B">
              <w:t>15</w:t>
            </w:r>
            <w:r>
              <w:t>.6</w:t>
            </w:r>
            <w:r w:rsidRPr="00FC186B">
              <w:t>%</w:t>
            </w:r>
          </w:p>
        </w:tc>
        <w:tc>
          <w:tcPr>
            <w:tcW w:w="1052" w:type="dxa"/>
            <w:shd w:val="clear" w:color="auto" w:fill="E2EFD9" w:themeFill="accent6" w:themeFillTint="33"/>
            <w:vAlign w:val="bottom"/>
          </w:tcPr>
          <w:p w14:paraId="050B1073" w14:textId="77777777" w:rsidR="003D7DF1" w:rsidRDefault="003D7DF1" w:rsidP="003D7DF1">
            <w:r>
              <w:t>2</w:t>
            </w:r>
            <w:r w:rsidRPr="00FC186B">
              <w:t>%</w:t>
            </w:r>
          </w:p>
        </w:tc>
        <w:tc>
          <w:tcPr>
            <w:tcW w:w="1164" w:type="dxa"/>
            <w:vAlign w:val="bottom"/>
          </w:tcPr>
          <w:p w14:paraId="1482C613" w14:textId="77777777" w:rsidR="003D7DF1" w:rsidRDefault="003D7DF1" w:rsidP="003D7DF1">
            <w:r w:rsidRPr="00FC186B">
              <w:t>2.7%</w:t>
            </w:r>
          </w:p>
        </w:tc>
      </w:tr>
      <w:tr w:rsidR="003D7DF1" w14:paraId="5D47EA6C" w14:textId="77777777" w:rsidTr="003D7DF1">
        <w:tc>
          <w:tcPr>
            <w:tcW w:w="1376" w:type="dxa"/>
          </w:tcPr>
          <w:p w14:paraId="213657F6" w14:textId="77777777" w:rsidR="003D7DF1" w:rsidRDefault="003D7DF1" w:rsidP="003D7DF1">
            <w:r>
              <w:t>N=115</w:t>
            </w:r>
          </w:p>
        </w:tc>
        <w:tc>
          <w:tcPr>
            <w:tcW w:w="1095" w:type="dxa"/>
            <w:shd w:val="clear" w:color="auto" w:fill="B4C6E7" w:themeFill="accent1" w:themeFillTint="66"/>
            <w:vAlign w:val="bottom"/>
          </w:tcPr>
          <w:p w14:paraId="3CD94252" w14:textId="77777777" w:rsidR="003D7DF1" w:rsidRDefault="003D7DF1" w:rsidP="003D7DF1">
            <w:r>
              <w:t>82</w:t>
            </w:r>
          </w:p>
        </w:tc>
        <w:tc>
          <w:tcPr>
            <w:tcW w:w="1090" w:type="dxa"/>
            <w:shd w:val="clear" w:color="auto" w:fill="D9E2F3" w:themeFill="accent1" w:themeFillTint="33"/>
            <w:vAlign w:val="bottom"/>
          </w:tcPr>
          <w:p w14:paraId="75D22857" w14:textId="77777777" w:rsidR="003D7DF1" w:rsidRDefault="003D7DF1" w:rsidP="003D7DF1">
            <w:r>
              <w:t>60</w:t>
            </w:r>
          </w:p>
        </w:tc>
        <w:tc>
          <w:tcPr>
            <w:tcW w:w="1065" w:type="dxa"/>
            <w:shd w:val="clear" w:color="auto" w:fill="FFE599" w:themeFill="accent4" w:themeFillTint="66"/>
            <w:vAlign w:val="bottom"/>
          </w:tcPr>
          <w:p w14:paraId="1A6288AB" w14:textId="77777777" w:rsidR="003D7DF1" w:rsidRDefault="003D7DF1" w:rsidP="003D7DF1">
            <w:r>
              <w:t>24</w:t>
            </w:r>
          </w:p>
        </w:tc>
        <w:tc>
          <w:tcPr>
            <w:tcW w:w="1078" w:type="dxa"/>
            <w:shd w:val="clear" w:color="auto" w:fill="F7CAAC" w:themeFill="accent2" w:themeFillTint="66"/>
            <w:vAlign w:val="bottom"/>
          </w:tcPr>
          <w:p w14:paraId="5121D3B9" w14:textId="77777777" w:rsidR="003D7DF1" w:rsidRDefault="003D7DF1" w:rsidP="003D7DF1">
            <w:r>
              <w:t>26</w:t>
            </w:r>
          </w:p>
        </w:tc>
        <w:tc>
          <w:tcPr>
            <w:tcW w:w="1096" w:type="dxa"/>
            <w:shd w:val="clear" w:color="auto" w:fill="C5E0B3" w:themeFill="accent6" w:themeFillTint="66"/>
            <w:vAlign w:val="bottom"/>
          </w:tcPr>
          <w:p w14:paraId="19C4449D" w14:textId="77777777" w:rsidR="003D7DF1" w:rsidRDefault="003D7DF1" w:rsidP="003D7DF1">
            <w:r>
              <w:t>39</w:t>
            </w:r>
          </w:p>
        </w:tc>
        <w:tc>
          <w:tcPr>
            <w:tcW w:w="1052" w:type="dxa"/>
            <w:shd w:val="clear" w:color="auto" w:fill="E2EFD9" w:themeFill="accent6" w:themeFillTint="33"/>
            <w:vAlign w:val="bottom"/>
          </w:tcPr>
          <w:p w14:paraId="1988FDCD" w14:textId="77777777" w:rsidR="003D7DF1" w:rsidRDefault="003D7DF1" w:rsidP="003D7DF1">
            <w:r>
              <w:t>5</w:t>
            </w:r>
          </w:p>
        </w:tc>
        <w:tc>
          <w:tcPr>
            <w:tcW w:w="1164" w:type="dxa"/>
            <w:vAlign w:val="bottom"/>
          </w:tcPr>
          <w:p w14:paraId="377D4EE1" w14:textId="77777777" w:rsidR="003D7DF1" w:rsidRDefault="003D7DF1" w:rsidP="003D7DF1"/>
        </w:tc>
      </w:tr>
      <w:tr w:rsidR="003D7DF1" w14:paraId="54B6A202" w14:textId="77777777" w:rsidTr="003D7DF1">
        <w:tc>
          <w:tcPr>
            <w:tcW w:w="1376" w:type="dxa"/>
          </w:tcPr>
          <w:p w14:paraId="2AF92586" w14:textId="77777777" w:rsidR="003D7DF1" w:rsidRDefault="003D7DF1" w:rsidP="003D7DF1">
            <w:r>
              <w:t>Non-rock art sites</w:t>
            </w:r>
          </w:p>
        </w:tc>
        <w:tc>
          <w:tcPr>
            <w:tcW w:w="1095" w:type="dxa"/>
            <w:shd w:val="clear" w:color="auto" w:fill="B4C6E7" w:themeFill="accent1" w:themeFillTint="66"/>
            <w:vAlign w:val="bottom"/>
          </w:tcPr>
          <w:p w14:paraId="33215BEC" w14:textId="77777777" w:rsidR="003D7DF1" w:rsidRDefault="003D7DF1" w:rsidP="003D7DF1">
            <w:r>
              <w:t>4.5</w:t>
            </w:r>
            <w:r w:rsidRPr="00FC186B">
              <w:t>%</w:t>
            </w:r>
          </w:p>
        </w:tc>
        <w:tc>
          <w:tcPr>
            <w:tcW w:w="1090" w:type="dxa"/>
            <w:shd w:val="clear" w:color="auto" w:fill="D9E2F3" w:themeFill="accent1" w:themeFillTint="33"/>
            <w:vAlign w:val="bottom"/>
          </w:tcPr>
          <w:p w14:paraId="21D04933" w14:textId="77777777" w:rsidR="003D7DF1" w:rsidRDefault="003D7DF1" w:rsidP="003D7DF1">
            <w:r>
              <w:t>0</w:t>
            </w:r>
            <w:r w:rsidRPr="00FC186B">
              <w:t>%</w:t>
            </w:r>
          </w:p>
        </w:tc>
        <w:tc>
          <w:tcPr>
            <w:tcW w:w="1065" w:type="dxa"/>
            <w:shd w:val="clear" w:color="auto" w:fill="FFE599" w:themeFill="accent4" w:themeFillTint="66"/>
            <w:vAlign w:val="bottom"/>
          </w:tcPr>
          <w:p w14:paraId="4E94E28C" w14:textId="77777777" w:rsidR="003D7DF1" w:rsidRDefault="003D7DF1" w:rsidP="003D7DF1">
            <w:r>
              <w:t>0</w:t>
            </w:r>
            <w:r w:rsidRPr="00FC186B">
              <w:t>%</w:t>
            </w:r>
          </w:p>
        </w:tc>
        <w:tc>
          <w:tcPr>
            <w:tcW w:w="1078" w:type="dxa"/>
            <w:shd w:val="clear" w:color="auto" w:fill="F7CAAC" w:themeFill="accent2" w:themeFillTint="66"/>
            <w:vAlign w:val="bottom"/>
          </w:tcPr>
          <w:p w14:paraId="40C3F777" w14:textId="77777777" w:rsidR="003D7DF1" w:rsidRDefault="003D7DF1" w:rsidP="003D7DF1">
            <w:r>
              <w:t>4.5</w:t>
            </w:r>
            <w:r w:rsidRPr="00FC186B">
              <w:t>%</w:t>
            </w:r>
          </w:p>
        </w:tc>
        <w:tc>
          <w:tcPr>
            <w:tcW w:w="1096" w:type="dxa"/>
            <w:shd w:val="clear" w:color="auto" w:fill="C5E0B3" w:themeFill="accent6" w:themeFillTint="66"/>
            <w:vAlign w:val="bottom"/>
          </w:tcPr>
          <w:p w14:paraId="38F96B92" w14:textId="77777777" w:rsidR="003D7DF1" w:rsidRDefault="003D7DF1" w:rsidP="003D7DF1">
            <w:r>
              <w:t>4.5</w:t>
            </w:r>
            <w:r w:rsidRPr="00FC186B">
              <w:t>%</w:t>
            </w:r>
          </w:p>
        </w:tc>
        <w:tc>
          <w:tcPr>
            <w:tcW w:w="1052" w:type="dxa"/>
            <w:shd w:val="clear" w:color="auto" w:fill="E2EFD9" w:themeFill="accent6" w:themeFillTint="33"/>
            <w:vAlign w:val="bottom"/>
          </w:tcPr>
          <w:p w14:paraId="53A083A0" w14:textId="77777777" w:rsidR="003D7DF1" w:rsidRDefault="003D7DF1" w:rsidP="003D7DF1">
            <w:r>
              <w:t>4.5</w:t>
            </w:r>
            <w:r w:rsidRPr="00FC186B">
              <w:t>%</w:t>
            </w:r>
          </w:p>
        </w:tc>
        <w:tc>
          <w:tcPr>
            <w:tcW w:w="1164" w:type="dxa"/>
            <w:vAlign w:val="bottom"/>
          </w:tcPr>
          <w:p w14:paraId="4FE664D2" w14:textId="77777777" w:rsidR="003D7DF1" w:rsidRDefault="003D7DF1" w:rsidP="003D7DF1">
            <w:r w:rsidRPr="00FC186B">
              <w:t>2.7%</w:t>
            </w:r>
          </w:p>
        </w:tc>
      </w:tr>
      <w:tr w:rsidR="003D7DF1" w14:paraId="624E4BB0" w14:textId="77777777" w:rsidTr="003D7DF1">
        <w:tc>
          <w:tcPr>
            <w:tcW w:w="1376" w:type="dxa"/>
          </w:tcPr>
          <w:p w14:paraId="7D71F8C5" w14:textId="77777777" w:rsidR="003D7DF1" w:rsidRDefault="003D7DF1" w:rsidP="003D7DF1">
            <w:r>
              <w:t>N=22</w:t>
            </w:r>
          </w:p>
        </w:tc>
        <w:tc>
          <w:tcPr>
            <w:tcW w:w="1095" w:type="dxa"/>
            <w:shd w:val="clear" w:color="auto" w:fill="B4C6E7" w:themeFill="accent1" w:themeFillTint="66"/>
            <w:vAlign w:val="bottom"/>
          </w:tcPr>
          <w:p w14:paraId="186199CD" w14:textId="77777777" w:rsidR="003D7DF1" w:rsidRDefault="003D7DF1" w:rsidP="003D7DF1">
            <w:r>
              <w:t>1</w:t>
            </w:r>
          </w:p>
        </w:tc>
        <w:tc>
          <w:tcPr>
            <w:tcW w:w="1090" w:type="dxa"/>
            <w:shd w:val="clear" w:color="auto" w:fill="D9E2F3" w:themeFill="accent1" w:themeFillTint="33"/>
            <w:vAlign w:val="bottom"/>
          </w:tcPr>
          <w:p w14:paraId="7356073D" w14:textId="77777777" w:rsidR="003D7DF1" w:rsidRDefault="003D7DF1" w:rsidP="003D7DF1">
            <w:r>
              <w:t>0</w:t>
            </w:r>
          </w:p>
        </w:tc>
        <w:tc>
          <w:tcPr>
            <w:tcW w:w="1065" w:type="dxa"/>
            <w:shd w:val="clear" w:color="auto" w:fill="FFE599" w:themeFill="accent4" w:themeFillTint="66"/>
            <w:vAlign w:val="bottom"/>
          </w:tcPr>
          <w:p w14:paraId="4660B116" w14:textId="77777777" w:rsidR="003D7DF1" w:rsidRDefault="003D7DF1" w:rsidP="003D7DF1">
            <w:r>
              <w:t>0</w:t>
            </w:r>
          </w:p>
        </w:tc>
        <w:tc>
          <w:tcPr>
            <w:tcW w:w="1078" w:type="dxa"/>
            <w:shd w:val="clear" w:color="auto" w:fill="F7CAAC" w:themeFill="accent2" w:themeFillTint="66"/>
            <w:vAlign w:val="bottom"/>
          </w:tcPr>
          <w:p w14:paraId="067671A3" w14:textId="77777777" w:rsidR="003D7DF1" w:rsidRDefault="003D7DF1" w:rsidP="003D7DF1">
            <w:r>
              <w:t>1</w:t>
            </w:r>
          </w:p>
        </w:tc>
        <w:tc>
          <w:tcPr>
            <w:tcW w:w="1096" w:type="dxa"/>
            <w:shd w:val="clear" w:color="auto" w:fill="C5E0B3" w:themeFill="accent6" w:themeFillTint="66"/>
            <w:vAlign w:val="bottom"/>
          </w:tcPr>
          <w:p w14:paraId="08F22920" w14:textId="77777777" w:rsidR="003D7DF1" w:rsidRDefault="003D7DF1" w:rsidP="003D7DF1">
            <w:r>
              <w:t>1</w:t>
            </w:r>
          </w:p>
        </w:tc>
        <w:tc>
          <w:tcPr>
            <w:tcW w:w="1052" w:type="dxa"/>
            <w:shd w:val="clear" w:color="auto" w:fill="E2EFD9" w:themeFill="accent6" w:themeFillTint="33"/>
            <w:vAlign w:val="bottom"/>
          </w:tcPr>
          <w:p w14:paraId="4D2058DC" w14:textId="77777777" w:rsidR="003D7DF1" w:rsidRDefault="003D7DF1" w:rsidP="003D7DF1">
            <w:r>
              <w:t>1</w:t>
            </w:r>
          </w:p>
        </w:tc>
        <w:tc>
          <w:tcPr>
            <w:tcW w:w="1164" w:type="dxa"/>
            <w:vAlign w:val="bottom"/>
          </w:tcPr>
          <w:p w14:paraId="6CFDDE83" w14:textId="77777777" w:rsidR="003D7DF1" w:rsidRDefault="003D7DF1" w:rsidP="003D7DF1"/>
        </w:tc>
      </w:tr>
    </w:tbl>
    <w:p w14:paraId="067E4B3B" w14:textId="07D0357F" w:rsidR="00617B8D" w:rsidRPr="00FC186B" w:rsidRDefault="00AC51AC" w:rsidP="0068455A">
      <w:r>
        <w:t xml:space="preserve"> </w:t>
      </w:r>
      <w:r w:rsidR="00B35E9C" w:rsidRPr="00FC186B">
        <w:t xml:space="preserve">Sites in good locations for viewing the solstice sunrise or sunsets tended to have multiple ages of rock art deposition and to have multiple panels spread along a cliff face or on boulders. </w:t>
      </w:r>
      <w:r w:rsidR="009126FE">
        <w:t>S</w:t>
      </w:r>
      <w:r w:rsidR="00B35E9C" w:rsidRPr="00FC186B">
        <w:t xml:space="preserve">ome sites had low horizon points for viewing more </w:t>
      </w:r>
      <w:r w:rsidR="009126FE">
        <w:t>than one</w:t>
      </w:r>
      <w:r w:rsidR="00B35E9C" w:rsidRPr="00FC186B">
        <w:t xml:space="preserve"> of the </w:t>
      </w:r>
      <w:r w:rsidR="009126FE">
        <w:t xml:space="preserve">solstice </w:t>
      </w:r>
      <w:r w:rsidR="003C68C6">
        <w:t>events</w:t>
      </w:r>
      <w:r w:rsidR="00A50517">
        <w:t>.</w:t>
      </w:r>
      <w:r w:rsidR="00B35E9C" w:rsidRPr="00FC186B">
        <w:t xml:space="preserve"> The </w:t>
      </w:r>
      <w:r w:rsidR="003D7DF1">
        <w:t>number</w:t>
      </w:r>
      <w:r w:rsidR="00B35E9C" w:rsidRPr="00FC186B">
        <w:t xml:space="preserve"> of </w:t>
      </w:r>
      <w:r w:rsidR="003C68C6">
        <w:t xml:space="preserve">panels at </w:t>
      </w:r>
      <w:r w:rsidR="003D7DF1">
        <w:t xml:space="preserve">either </w:t>
      </w:r>
      <w:r w:rsidR="008263CA">
        <w:t>WSSR</w:t>
      </w:r>
      <w:r w:rsidR="00B35E9C" w:rsidRPr="00FC186B">
        <w:t xml:space="preserve"> </w:t>
      </w:r>
      <w:r w:rsidR="007E29FD">
        <w:t>or</w:t>
      </w:r>
      <w:r w:rsidR="00B35E9C" w:rsidRPr="00FC186B">
        <w:t xml:space="preserve"> </w:t>
      </w:r>
      <w:r w:rsidR="008263CA">
        <w:t xml:space="preserve">WSSS </w:t>
      </w:r>
      <w:r w:rsidR="003D7DF1">
        <w:t>locations was</w:t>
      </w:r>
      <w:r w:rsidR="00B35E9C" w:rsidRPr="00FC186B">
        <w:t xml:space="preserve"> </w:t>
      </w:r>
      <w:r w:rsidR="00ED25E7">
        <w:t>143</w:t>
      </w:r>
      <w:r w:rsidR="00B35E9C" w:rsidRPr="00FC186B">
        <w:t xml:space="preserve"> </w:t>
      </w:r>
      <w:r w:rsidR="003D7DF1">
        <w:t>(</w:t>
      </w:r>
      <w:r w:rsidR="00E5101D" w:rsidRPr="00FC186B">
        <w:t>57.2%</w:t>
      </w:r>
      <w:r w:rsidR="003D7DF1">
        <w:t>)</w:t>
      </w:r>
      <w:r w:rsidR="00B35E9C" w:rsidRPr="00FC186B">
        <w:t>.</w:t>
      </w:r>
      <w:r w:rsidR="00E5101D" w:rsidRPr="00FC186B">
        <w:t xml:space="preserve"> Cumulative values for solstice viewing panels</w:t>
      </w:r>
      <w:r w:rsidR="008263CA">
        <w:t xml:space="preserve"> (WSSR, WSSS, SSSR and SSSS)</w:t>
      </w:r>
      <w:r w:rsidR="00E5101D" w:rsidRPr="00FC186B">
        <w:t xml:space="preserve"> </w:t>
      </w:r>
      <w:r w:rsidR="003D7DF1">
        <w:t>was</w:t>
      </w:r>
      <w:r w:rsidR="00E5101D" w:rsidRPr="00FC186B">
        <w:t xml:space="preserve"> 16</w:t>
      </w:r>
      <w:r w:rsidR="00C9576A">
        <w:t>6</w:t>
      </w:r>
      <w:r w:rsidR="00E5101D" w:rsidRPr="00FC186B">
        <w:t xml:space="preserve"> of 2</w:t>
      </w:r>
      <w:r w:rsidR="00C9576A">
        <w:t>50</w:t>
      </w:r>
      <w:r w:rsidR="00E5101D" w:rsidRPr="00FC186B">
        <w:t xml:space="preserve"> </w:t>
      </w:r>
      <w:r w:rsidR="003D7DF1">
        <w:t>(6</w:t>
      </w:r>
      <w:r w:rsidR="00C9576A">
        <w:t>6</w:t>
      </w:r>
      <w:r w:rsidR="00E5101D" w:rsidRPr="00FC186B">
        <w:t>%</w:t>
      </w:r>
      <w:r w:rsidR="003D7DF1">
        <w:t>)</w:t>
      </w:r>
      <w:r w:rsidR="00E5101D" w:rsidRPr="00FC186B">
        <w:t>.</w:t>
      </w:r>
      <w:r w:rsidR="007A300A">
        <w:t xml:space="preserve"> </w:t>
      </w:r>
      <w:r w:rsidR="003D7DF1">
        <w:t>Randomly only</w:t>
      </w:r>
      <w:r w:rsidR="007A300A">
        <w:t xml:space="preserve"> 11% </w:t>
      </w:r>
      <w:r w:rsidR="003D7DF1">
        <w:t>horizon low points</w:t>
      </w:r>
      <w:r w:rsidR="007A300A">
        <w:t xml:space="preserve"> would have fallen into selected </w:t>
      </w:r>
      <w:r w:rsidR="00035FA7">
        <w:t>40˚</w:t>
      </w:r>
      <w:r w:rsidR="007A300A">
        <w:t xml:space="preserve"> of the compass</w:t>
      </w:r>
      <w:r w:rsidR="007E29FD">
        <w:t xml:space="preserve"> directions</w:t>
      </w:r>
      <w:r w:rsidR="007A300A">
        <w:t>.</w:t>
      </w:r>
      <w:r w:rsidR="00B83F6C">
        <w:t xml:space="preserve"> See </w:t>
      </w:r>
      <w:r w:rsidR="004D3814">
        <w:t>Table 1</w:t>
      </w:r>
      <w:r w:rsidR="00B83F6C">
        <w:t>.</w:t>
      </w:r>
    </w:p>
    <w:p w14:paraId="36103657" w14:textId="51E9C56B" w:rsidR="00E314A9" w:rsidRPr="00FC186B" w:rsidRDefault="00775309" w:rsidP="00142735">
      <w:pPr>
        <w:pStyle w:val="Caption"/>
      </w:pPr>
      <w:r>
        <w:rPr>
          <w:b/>
          <w:bCs/>
        </w:rPr>
        <w:t xml:space="preserve">Table 1 </w:t>
      </w:r>
      <w:r w:rsidR="00142735">
        <w:t xml:space="preserve">Percentages and numbers of viewing </w:t>
      </w:r>
      <w:r w:rsidR="00ED25E7">
        <w:t xml:space="preserve">solstice </w:t>
      </w:r>
      <w:r w:rsidR="00142735">
        <w:t>locations among the sites.</w:t>
      </w:r>
    </w:p>
    <w:p w14:paraId="2BC2FF5C" w14:textId="632BB14A" w:rsidR="00E64239" w:rsidRDefault="00E5101D" w:rsidP="0068455A">
      <w:r w:rsidRPr="00FC186B">
        <w:t xml:space="preserve">By contrast, </w:t>
      </w:r>
      <w:r w:rsidR="00417A18">
        <w:t>two</w:t>
      </w:r>
      <w:r w:rsidRPr="00FC186B">
        <w:t xml:space="preserve"> non-rock art sites such as habitations and </w:t>
      </w:r>
      <w:r w:rsidR="007A300A">
        <w:t>limited activity</w:t>
      </w:r>
      <w:r w:rsidRPr="00FC186B">
        <w:t xml:space="preserve"> sites </w:t>
      </w:r>
      <w:r w:rsidR="007A3F79">
        <w:t>were</w:t>
      </w:r>
      <w:r w:rsidRPr="00FC186B">
        <w:t xml:space="preserve"> in any solstice viewing locations </w:t>
      </w:r>
      <w:r w:rsidR="007A300A">
        <w:t>(WSSR, WSSS, SSSR and SSSS)</w:t>
      </w:r>
      <w:r w:rsidR="007A300A" w:rsidRPr="00FC186B">
        <w:t xml:space="preserve"> </w:t>
      </w:r>
      <w:r w:rsidRPr="00FC186B">
        <w:t xml:space="preserve">comprising </w:t>
      </w:r>
      <w:r w:rsidR="006C017D">
        <w:t>9</w:t>
      </w:r>
      <w:r w:rsidR="00F75D8F" w:rsidRPr="00FC186B">
        <w:t>%.</w:t>
      </w:r>
      <w:r w:rsidR="007A300A">
        <w:t xml:space="preserve"> </w:t>
      </w:r>
      <w:r w:rsidR="004E5700" w:rsidRPr="00FC186B">
        <w:t xml:space="preserve">Cardinal orientations were </w:t>
      </w:r>
      <w:r w:rsidR="009571D6">
        <w:t xml:space="preserve">not </w:t>
      </w:r>
      <w:r w:rsidR="004E5700" w:rsidRPr="00FC186B">
        <w:t>sought out, but due north appeared frequently (46%) among the pictograph panels, potentially because that is the most protected orientation from the wind and rain.</w:t>
      </w:r>
      <w:r w:rsidR="00FA7687">
        <w:t xml:space="preserve"> The concern that the orientation of geologic faults would predispose views of WSSS and SSSS was allayed by the high frequency of WSSS</w:t>
      </w:r>
      <w:r w:rsidR="007A3F79">
        <w:t xml:space="preserve">, which was not geologically predisposed. </w:t>
      </w:r>
      <w:r w:rsidR="00035FA7">
        <w:t>Also,</w:t>
      </w:r>
      <w:r w:rsidR="007A3F79">
        <w:t xml:space="preserve"> the similar</w:t>
      </w:r>
      <w:r w:rsidR="00FA7687">
        <w:t xml:space="preserve"> frequency </w:t>
      </w:r>
      <w:r w:rsidR="007A3F79">
        <w:t>between</w:t>
      </w:r>
      <w:r w:rsidR="00FA7687">
        <w:t xml:space="preserve"> SSSR to SSSS</w:t>
      </w:r>
      <w:r w:rsidR="007A3F79">
        <w:t xml:space="preserve"> viewing locations was not geologically predicated</w:t>
      </w:r>
      <w:r w:rsidR="000E51F6">
        <w:t>.</w:t>
      </w:r>
      <w:r w:rsidR="00FA7687">
        <w:t xml:space="preserve"> </w:t>
      </w:r>
      <w:r w:rsidR="007A3F79">
        <w:t xml:space="preserve">Geologic predisposition predicted low </w:t>
      </w:r>
      <w:r w:rsidR="000E51F6">
        <w:t>WSSS</w:t>
      </w:r>
      <w:r w:rsidR="00FA7687">
        <w:t xml:space="preserve"> </w:t>
      </w:r>
      <w:r w:rsidR="000E51F6">
        <w:t xml:space="preserve">and SSSR </w:t>
      </w:r>
      <w:r w:rsidR="007A3F79">
        <w:t xml:space="preserve">values and high WSSR and SSSS values </w:t>
      </w:r>
      <w:r w:rsidR="00417A18">
        <w:t>i</w:t>
      </w:r>
      <w:r w:rsidR="007A3F79">
        <w:t>n valleys along the south</w:t>
      </w:r>
      <w:r w:rsidR="00546A70">
        <w:t>east</w:t>
      </w:r>
      <w:r w:rsidR="007A3F79">
        <w:t xml:space="preserve"> to north</w:t>
      </w:r>
      <w:r w:rsidR="00546A70">
        <w:t xml:space="preserve">west axis. </w:t>
      </w:r>
    </w:p>
    <w:p w14:paraId="4453B30C" w14:textId="40E6572E" w:rsidR="00854224" w:rsidRDefault="00854224" w:rsidP="0068455A">
      <w:r>
        <w:lastRenderedPageBreak/>
        <w:t xml:space="preserve">Each </w:t>
      </w:r>
      <w:r w:rsidR="006900EE">
        <w:t>of the 1</w:t>
      </w:r>
      <w:r w:rsidR="006C017D">
        <w:t>57</w:t>
      </w:r>
      <w:r w:rsidR="006900EE">
        <w:t xml:space="preserve"> </w:t>
      </w:r>
      <w:r w:rsidR="00546A70">
        <w:t xml:space="preserve">rock art </w:t>
      </w:r>
      <w:r>
        <w:t>site</w:t>
      </w:r>
      <w:r w:rsidR="006900EE">
        <w:t>s</w:t>
      </w:r>
      <w:r>
        <w:t xml:space="preserve"> had between one and five </w:t>
      </w:r>
      <w:r w:rsidR="00546A70">
        <w:t>measured</w:t>
      </w:r>
      <w:r>
        <w:t xml:space="preserve"> recesses in the horizon</w:t>
      </w:r>
      <w:r w:rsidR="00546A70">
        <w:t>.</w:t>
      </w:r>
      <w:r>
        <w:t xml:space="preserve"> The scatter plot</w:t>
      </w:r>
      <w:r w:rsidR="006900EE">
        <w:t>s</w:t>
      </w:r>
      <w:r>
        <w:t xml:space="preserve"> in </w:t>
      </w:r>
      <w:r w:rsidR="004D3814">
        <w:t>Tables</w:t>
      </w:r>
      <w:r>
        <w:t xml:space="preserve"> </w:t>
      </w:r>
      <w:r w:rsidR="004D3814">
        <w:t>2</w:t>
      </w:r>
      <w:r w:rsidR="006900EE">
        <w:t xml:space="preserve"> and </w:t>
      </w:r>
      <w:r w:rsidR="004D3814">
        <w:t>3</w:t>
      </w:r>
      <w:r>
        <w:t xml:space="preserve"> show </w:t>
      </w:r>
      <w:r w:rsidR="00CC2EF0">
        <w:t xml:space="preserve">all </w:t>
      </w:r>
      <w:r>
        <w:t xml:space="preserve">the random </w:t>
      </w:r>
      <w:r w:rsidR="00CC2EF0">
        <w:t xml:space="preserve">data </w:t>
      </w:r>
      <w:r>
        <w:t>points</w:t>
      </w:r>
      <w:r w:rsidR="00417A18">
        <w:t xml:space="preserve"> of the 115 test sites</w:t>
      </w:r>
      <w:r>
        <w:t xml:space="preserve"> in addition to the clusters and trendlines</w:t>
      </w:r>
      <w:r w:rsidR="00CC2EF0">
        <w:t xml:space="preserve">, which are </w:t>
      </w:r>
      <w:proofErr w:type="spellStart"/>
      <w:r w:rsidR="00CC2EF0">
        <w:t>colo</w:t>
      </w:r>
      <w:r w:rsidR="00AD438E">
        <w:t>u</w:t>
      </w:r>
      <w:r w:rsidR="00CC2EF0">
        <w:t>r</w:t>
      </w:r>
      <w:proofErr w:type="spellEnd"/>
      <w:r w:rsidR="00CC2EF0">
        <w:t>-coded where they met the criteria for an observation site.</w:t>
      </w:r>
      <w:r w:rsidR="006900EE">
        <w:t xml:space="preserve"> </w:t>
      </w:r>
    </w:p>
    <w:p w14:paraId="05BB6660" w14:textId="0C38CA3A" w:rsidR="002B55C5" w:rsidRDefault="002B55C5" w:rsidP="0068455A">
      <w:r>
        <w:rPr>
          <w:noProof/>
        </w:rPr>
        <w:drawing>
          <wp:inline distT="0" distB="0" distL="0" distR="0" wp14:anchorId="169D063A" wp14:editId="60CD7CF6">
            <wp:extent cx="5827667" cy="2593963"/>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68983" cy="2612353"/>
                    </a:xfrm>
                    <a:prstGeom prst="rect">
                      <a:avLst/>
                    </a:prstGeom>
                    <a:noFill/>
                  </pic:spPr>
                </pic:pic>
              </a:graphicData>
            </a:graphic>
          </wp:inline>
        </w:drawing>
      </w:r>
    </w:p>
    <w:p w14:paraId="785E63F3" w14:textId="1004C561" w:rsidR="00CC2EF0" w:rsidRDefault="00775309" w:rsidP="00F71C4C">
      <w:pPr>
        <w:pStyle w:val="Caption"/>
      </w:pPr>
      <w:r w:rsidRPr="00775309">
        <w:rPr>
          <w:b/>
          <w:bCs/>
        </w:rPr>
        <w:t>Table 2</w:t>
      </w:r>
      <w:r>
        <w:t xml:space="preserve"> Scatter</w:t>
      </w:r>
      <w:r w:rsidR="00F71C4C">
        <w:t xml:space="preserve"> plot of the petroglyph views of the eastern horizon low points.</w:t>
      </w:r>
    </w:p>
    <w:p w14:paraId="54F1507F" w14:textId="6661E124" w:rsidR="00D01F1A" w:rsidRDefault="002B55C5" w:rsidP="0068455A">
      <w:r>
        <w:rPr>
          <w:noProof/>
        </w:rPr>
        <w:drawing>
          <wp:inline distT="0" distB="0" distL="0" distR="0" wp14:anchorId="1D141DCB" wp14:editId="73E100EA">
            <wp:extent cx="5973849" cy="2649657"/>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38532" cy="2678347"/>
                    </a:xfrm>
                    <a:prstGeom prst="rect">
                      <a:avLst/>
                    </a:prstGeom>
                    <a:noFill/>
                  </pic:spPr>
                </pic:pic>
              </a:graphicData>
            </a:graphic>
          </wp:inline>
        </w:drawing>
      </w:r>
    </w:p>
    <w:p w14:paraId="54070A4D" w14:textId="1B9C6F5A" w:rsidR="00F71C4C" w:rsidRDefault="00775309" w:rsidP="00F71C4C">
      <w:pPr>
        <w:pStyle w:val="Caption"/>
      </w:pPr>
      <w:r w:rsidRPr="00775309">
        <w:rPr>
          <w:b/>
          <w:bCs/>
        </w:rPr>
        <w:t>Table 3</w:t>
      </w:r>
      <w:r>
        <w:t xml:space="preserve"> </w:t>
      </w:r>
      <w:r w:rsidR="00F71C4C" w:rsidRPr="003E01D7">
        <w:t xml:space="preserve">Scatter plot of the petroglyph views of the </w:t>
      </w:r>
      <w:r w:rsidR="00F71C4C">
        <w:t>western</w:t>
      </w:r>
      <w:r w:rsidR="00F71C4C" w:rsidRPr="003E01D7">
        <w:t xml:space="preserve"> horizon</w:t>
      </w:r>
      <w:r w:rsidR="00F71C4C">
        <w:t>.</w:t>
      </w:r>
    </w:p>
    <w:p w14:paraId="297D361A" w14:textId="33BF52B5" w:rsidR="000E51F6" w:rsidRDefault="000E51F6" w:rsidP="000E51F6">
      <w:r>
        <w:t xml:space="preserve">By comparison the random and matching coordinates for the non-rock art sites (control group) are plotted in </w:t>
      </w:r>
      <w:r w:rsidR="004D3814">
        <w:t>Table 4</w:t>
      </w:r>
      <w:r>
        <w:t>.</w:t>
      </w:r>
    </w:p>
    <w:p w14:paraId="33CBD832" w14:textId="5A4C98C8" w:rsidR="002B55C5" w:rsidRDefault="006900EE" w:rsidP="0068455A">
      <w:r>
        <w:rPr>
          <w:noProof/>
        </w:rPr>
        <w:lastRenderedPageBreak/>
        <w:drawing>
          <wp:inline distT="0" distB="0" distL="0" distR="0" wp14:anchorId="31CEBBB1" wp14:editId="0248877C">
            <wp:extent cx="5864134" cy="2409256"/>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3309" cy="2437676"/>
                    </a:xfrm>
                    <a:prstGeom prst="rect">
                      <a:avLst/>
                    </a:prstGeom>
                    <a:noFill/>
                  </pic:spPr>
                </pic:pic>
              </a:graphicData>
            </a:graphic>
          </wp:inline>
        </w:drawing>
      </w:r>
    </w:p>
    <w:p w14:paraId="4481D084" w14:textId="3806AF15" w:rsidR="002B55C5" w:rsidRDefault="00775309" w:rsidP="000E51F6">
      <w:pPr>
        <w:pStyle w:val="Caption"/>
      </w:pPr>
      <w:r w:rsidRPr="00775309">
        <w:rPr>
          <w:b/>
          <w:bCs/>
        </w:rPr>
        <w:t>Table 4</w:t>
      </w:r>
      <w:r w:rsidR="000E51F6">
        <w:t xml:space="preserve"> Scatter plot of control group horizon points across 360˚.</w:t>
      </w:r>
    </w:p>
    <w:p w14:paraId="552C8695" w14:textId="77777777" w:rsidR="000E51F6" w:rsidRPr="000E51F6" w:rsidRDefault="000E51F6" w:rsidP="000E51F6"/>
    <w:p w14:paraId="2DDB7E1D" w14:textId="1E6FD27A" w:rsidR="00DC616B" w:rsidRDefault="00911652" w:rsidP="0068455A">
      <w:r>
        <w:t>I</w:t>
      </w:r>
      <w:r w:rsidR="00DC616B">
        <w:t xml:space="preserve">n Moab solstice sunrise at </w:t>
      </w:r>
      <w:r w:rsidR="007C1926">
        <w:t xml:space="preserve">0˚ </w:t>
      </w:r>
      <w:r w:rsidR="00DC616B">
        <w:t>altitude occurs at 58</w:t>
      </w:r>
      <w:r w:rsidR="000E51F6">
        <w:t>˚</w:t>
      </w:r>
      <w:r w:rsidR="00DC616B">
        <w:t>azimuth in the summer and 120</w:t>
      </w:r>
      <w:r w:rsidR="000E51F6">
        <w:t xml:space="preserve">˚ </w:t>
      </w:r>
      <w:r w:rsidR="00DC616B">
        <w:t>azimuth in the winter. Solstice sunset in summer is 301</w:t>
      </w:r>
      <w:r w:rsidR="000E51F6">
        <w:t>˚</w:t>
      </w:r>
      <w:r w:rsidR="00546A70">
        <w:t xml:space="preserve"> azimuth</w:t>
      </w:r>
      <w:r w:rsidR="000E51F6">
        <w:t xml:space="preserve"> </w:t>
      </w:r>
      <w:r w:rsidR="00DC616B">
        <w:t>and 239</w:t>
      </w:r>
      <w:r w:rsidR="000E51F6">
        <w:t>˚</w:t>
      </w:r>
      <w:r w:rsidR="00DC616B">
        <w:t xml:space="preserve"> in winter at </w:t>
      </w:r>
      <w:r w:rsidR="007C1926">
        <w:t>0˚</w:t>
      </w:r>
      <w:r w:rsidR="00DC616B">
        <w:t xml:space="preserve"> altitude. The sun rises and sets at an angle resulting in the oblique trendlines that correspond to sunrise and sunset as the horizon line rises. </w:t>
      </w:r>
      <w:r w:rsidR="00D01F1A">
        <w:t>W</w:t>
      </w:r>
      <w:r w:rsidR="00DC616B">
        <w:t>he</w:t>
      </w:r>
      <w:r w:rsidR="00D01F1A">
        <w:t>re the</w:t>
      </w:r>
      <w:r w:rsidR="00DC616B">
        <w:t xml:space="preserve"> horizon</w:t>
      </w:r>
      <w:r w:rsidR="00F727C6">
        <w:t xml:space="preserve"> altitude</w:t>
      </w:r>
      <w:r w:rsidR="00DC616B">
        <w:t xml:space="preserve"> is above </w:t>
      </w:r>
      <w:r w:rsidR="000E51F6">
        <w:t>0˚</w:t>
      </w:r>
      <w:r w:rsidR="00417A18">
        <w:t>,</w:t>
      </w:r>
      <w:r w:rsidR="00DC616B">
        <w:t xml:space="preserve"> </w:t>
      </w:r>
      <w:r w:rsidR="00D01F1A">
        <w:t xml:space="preserve">the azimuth must be adjusted. </w:t>
      </w:r>
      <w:r w:rsidR="007C1926">
        <w:t xml:space="preserve">(For example, at 5˚ altitude, WSSR occurs at 126˚ azimuth.) </w:t>
      </w:r>
      <w:r w:rsidR="00F727C6">
        <w:t xml:space="preserve">The graph in </w:t>
      </w:r>
      <w:r w:rsidR="004D3814">
        <w:t>Table 5</w:t>
      </w:r>
      <w:r w:rsidR="00F727C6">
        <w:t xml:space="preserve"> depicts the total number of sites with the low horizon point aligned to the exact degree of WSSR relative to the number of sites that deviated from exact by up to five </w:t>
      </w:r>
      <w:r w:rsidR="005F2B82">
        <w:t>degrees in the margin of error</w:t>
      </w:r>
      <w:r w:rsidR="00D01F1A">
        <w:t>.</w:t>
      </w:r>
    </w:p>
    <w:p w14:paraId="4E61790C" w14:textId="12C11E7D" w:rsidR="0003282F" w:rsidRDefault="004872F9" w:rsidP="0003282F">
      <w:r>
        <w:rPr>
          <w:noProof/>
        </w:rPr>
        <w:lastRenderedPageBreak/>
        <w:drawing>
          <wp:inline distT="0" distB="0" distL="0" distR="0" wp14:anchorId="15BB66CC" wp14:editId="51635B3A">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FF5AE49" w14:textId="5D93E905" w:rsidR="006900EE" w:rsidRDefault="00775309" w:rsidP="004872F9">
      <w:pPr>
        <w:pStyle w:val="Caption"/>
      </w:pPr>
      <w:r>
        <w:rPr>
          <w:b/>
          <w:bCs/>
        </w:rPr>
        <w:t>Table 5</w:t>
      </w:r>
      <w:r w:rsidR="004872F9">
        <w:t xml:space="preserve"> Numbers of sites with exact matches to sunrise/sunset relative to sites within the 5</w:t>
      </w:r>
      <w:r w:rsidR="00EE30F6">
        <w:t>˚</w:t>
      </w:r>
      <w:r w:rsidR="004872F9">
        <w:t xml:space="preserve"> margin of error. Numbered bars are the total of exact matches.</w:t>
      </w:r>
    </w:p>
    <w:p w14:paraId="46D68DF6" w14:textId="77777777" w:rsidR="00911652" w:rsidRDefault="00911652" w:rsidP="0068455A"/>
    <w:p w14:paraId="6BE360BD" w14:textId="3CA24881" w:rsidR="00976024" w:rsidRPr="00FC186B" w:rsidRDefault="00976024" w:rsidP="0068455A">
      <w:r>
        <w:t>Detailed information on the sites is in Appendix A.</w:t>
      </w:r>
    </w:p>
    <w:p w14:paraId="73D8B309" w14:textId="77777777" w:rsidR="00E314A9" w:rsidRPr="00FC186B" w:rsidRDefault="00E314A9" w:rsidP="0068455A"/>
    <w:p w14:paraId="3F9351E2" w14:textId="27535064" w:rsidR="00774622" w:rsidRPr="00FC186B" w:rsidRDefault="00774622" w:rsidP="0068455A">
      <w:bookmarkStart w:id="60" w:name="_Toc101636984"/>
      <w:r w:rsidRPr="00D574D6">
        <w:rPr>
          <w:rStyle w:val="Heading1Char"/>
        </w:rPr>
        <w:t>Discussion</w:t>
      </w:r>
      <w:bookmarkEnd w:id="60"/>
      <w:r w:rsidR="000F3E19" w:rsidRPr="00FC186B">
        <w:t xml:space="preserve"> </w:t>
      </w:r>
    </w:p>
    <w:p w14:paraId="149357F1" w14:textId="301179F5" w:rsidR="004E5700" w:rsidRPr="00FC186B" w:rsidRDefault="004E5700" w:rsidP="0068455A">
      <w:r w:rsidRPr="00FC186B">
        <w:t>The discussion of the research findings proceeds in three parts, starting with the issues</w:t>
      </w:r>
      <w:r w:rsidR="00976024">
        <w:t>.</w:t>
      </w:r>
      <w:r w:rsidRPr="00FC186B">
        <w:t xml:space="preserve"> The second section rel</w:t>
      </w:r>
      <w:r w:rsidR="007A62B4">
        <w:t>a</w:t>
      </w:r>
      <w:r w:rsidRPr="00FC186B">
        <w:t xml:space="preserve">tes the findings to previous research </w:t>
      </w:r>
      <w:r w:rsidR="007A62B4">
        <w:t>including contextualizing solstice</w:t>
      </w:r>
      <w:r w:rsidR="00417A18">
        <w:t>-</w:t>
      </w:r>
      <w:r w:rsidR="007A62B4">
        <w:t>viewing into archaic</w:t>
      </w:r>
      <w:r w:rsidRPr="00FC186B">
        <w:t xml:space="preserve"> lifestyle</w:t>
      </w:r>
      <w:r w:rsidR="007A62B4">
        <w:t>s</w:t>
      </w:r>
      <w:r w:rsidR="005F2B82">
        <w:t xml:space="preserve"> and ontologies</w:t>
      </w:r>
      <w:r w:rsidRPr="00FC186B">
        <w:t xml:space="preserve"> </w:t>
      </w:r>
      <w:r w:rsidR="007A62B4">
        <w:t>of</w:t>
      </w:r>
      <w:r w:rsidRPr="00FC186B">
        <w:t xml:space="preserve"> </w:t>
      </w:r>
      <w:r w:rsidR="002B0496">
        <w:t>N</w:t>
      </w:r>
      <w:r w:rsidRPr="00FC186B">
        <w:t xml:space="preserve">ative Americans. The third section </w:t>
      </w:r>
      <w:r w:rsidR="00D332CC">
        <w:t xml:space="preserve">explores the phenomenology of </w:t>
      </w:r>
      <w:r w:rsidR="00F35153">
        <w:t>the sun and sky</w:t>
      </w:r>
      <w:r w:rsidR="00D332CC">
        <w:t xml:space="preserve"> in Canyonlands.</w:t>
      </w:r>
    </w:p>
    <w:p w14:paraId="31B9608A" w14:textId="77777777" w:rsidR="0082295F" w:rsidRPr="00FC186B" w:rsidRDefault="0082295F" w:rsidP="005142A5">
      <w:pPr>
        <w:pStyle w:val="Heading2"/>
      </w:pPr>
      <w:bookmarkStart w:id="61" w:name="_Toc101636985"/>
      <w:r w:rsidRPr="00FC186B">
        <w:t>Issues</w:t>
      </w:r>
      <w:bookmarkEnd w:id="61"/>
      <w:r w:rsidRPr="00FC186B">
        <w:t xml:space="preserve"> </w:t>
      </w:r>
    </w:p>
    <w:p w14:paraId="6D44284E" w14:textId="77F36FCD" w:rsidR="00D03127" w:rsidRDefault="00C83C80" w:rsidP="0068455A">
      <w:r w:rsidRPr="00FC186B">
        <w:t xml:space="preserve">Several issues arose in taking measurements. The first was where to stand. In many instances the rock art is several meters above </w:t>
      </w:r>
      <w:r>
        <w:t>a feasible location to stand</w:t>
      </w:r>
      <w:r w:rsidRPr="00FC186B">
        <w:t xml:space="preserve">, in which case the </w:t>
      </w:r>
      <w:r w:rsidRPr="00FC186B">
        <w:lastRenderedPageBreak/>
        <w:t xml:space="preserve">closest feasible location was used. In some instances, only a meter or less was level before the cliff ledge or talus slopes fell away from the site. Unlike orientations of buildings or even stone circles, the rock art </w:t>
      </w:r>
      <w:r w:rsidR="006D457C">
        <w:t xml:space="preserve">was placed on rocks </w:t>
      </w:r>
      <w:r w:rsidR="006D457C" w:rsidRPr="0054229D">
        <w:rPr>
          <w:i/>
          <w:iCs/>
        </w:rPr>
        <w:t>in situ</w:t>
      </w:r>
      <w:r w:rsidR="00D03127">
        <w:t>, which</w:t>
      </w:r>
      <w:r w:rsidRPr="00FC186B">
        <w:t xml:space="preserve"> do not dictate a specific view or orientation. Using tighter tolerances for the viewing locations of solstitial events would have been inconsistent with the vagaries of the natural environment</w:t>
      </w:r>
      <w:r>
        <w:t xml:space="preserve">. </w:t>
      </w:r>
    </w:p>
    <w:p w14:paraId="41283F30" w14:textId="340049C4" w:rsidR="00F35153" w:rsidRDefault="0082295F" w:rsidP="0068455A">
      <w:r w:rsidRPr="00FC186B">
        <w:t>The question of specificity framed every measurement. Although five degrees of azimuth on either side of exact sunr</w:t>
      </w:r>
      <w:r w:rsidR="007E5497" w:rsidRPr="00FC186B">
        <w:t>i</w:t>
      </w:r>
      <w:r w:rsidRPr="00FC186B">
        <w:t>se locations seem</w:t>
      </w:r>
      <w:r w:rsidR="00A50517">
        <w:t>ed</w:t>
      </w:r>
      <w:r w:rsidRPr="00FC186B">
        <w:t xml:space="preserve"> generous, especially compared to measurements of buildings taken with theodolites</w:t>
      </w:r>
      <w:r w:rsidR="007E5497" w:rsidRPr="00FC186B">
        <w:t>,</w:t>
      </w:r>
      <w:r w:rsidRPr="00FC186B">
        <w:t xml:space="preserve"> </w:t>
      </w:r>
      <w:r w:rsidR="007E5497" w:rsidRPr="00FC186B">
        <w:t>t</w:t>
      </w:r>
      <w:r w:rsidRPr="00FC186B">
        <w:t>he ability to take very accurate measurements using a compass and clinometer was compounded by the inability to access the same vantage point for all the panels and the precarious footing in many locations with narrow ledges, no ledges</w:t>
      </w:r>
      <w:r w:rsidR="007E5497" w:rsidRPr="00FC186B">
        <w:t>,</w:t>
      </w:r>
      <w:r w:rsidRPr="00FC186B">
        <w:t xml:space="preserve"> or steep talus slopes abutting the panels. </w:t>
      </w:r>
      <w:r w:rsidR="00F35153">
        <w:t>An additional challenge was to match the compass, which must be held level, with horizon points over altitudes of twenty degrees, as tilting the compass halts its free movement and accuracy.</w:t>
      </w:r>
    </w:p>
    <w:p w14:paraId="0BB1FF3C" w14:textId="2E519475" w:rsidR="0035588E" w:rsidRDefault="007E5497" w:rsidP="0035588E">
      <w:r w:rsidRPr="00FC186B">
        <w:t xml:space="preserve">When it became clear that larger palimpsest panels were in positions to gain first light on solstices, it seemed logical that these sites were used for the celebration of solar turning points. If larger groups aggregated for ritual celebrations, where did they stand or dance? </w:t>
      </w:r>
      <w:r w:rsidR="00C40F32" w:rsidRPr="00FC186B">
        <w:t xml:space="preserve">Some of the long panels could accommodate a crowd, but many could not, and the participants may have been many meters below or off to the side, on leveler ground. </w:t>
      </w:r>
      <w:r w:rsidR="004E1B32">
        <w:t>Where</w:t>
      </w:r>
      <w:r w:rsidR="000A25E2" w:rsidRPr="00FC186B">
        <w:t xml:space="preserve"> petroglyphs occur on cliff faces</w:t>
      </w:r>
      <w:r w:rsidR="004E1B32">
        <w:t>,</w:t>
      </w:r>
      <w:r w:rsidR="000A25E2" w:rsidRPr="00FC186B">
        <w:t xml:space="preserve"> the </w:t>
      </w:r>
      <w:r w:rsidR="004E1B32">
        <w:t xml:space="preserve">horizon </w:t>
      </w:r>
      <w:r w:rsidR="000A25E2" w:rsidRPr="00FC186B">
        <w:t xml:space="preserve">low points </w:t>
      </w:r>
      <w:r w:rsidR="00D24C54">
        <w:t>are</w:t>
      </w:r>
      <w:r w:rsidR="000A25E2" w:rsidRPr="00FC186B">
        <w:t xml:space="preserve"> often where the cliff face meets the </w:t>
      </w:r>
      <w:r w:rsidR="005F2B82">
        <w:t>side</w:t>
      </w:r>
      <w:r w:rsidR="000A25E2" w:rsidRPr="00FC186B">
        <w:t xml:space="preserve"> of the valley, stepping </w:t>
      </w:r>
      <w:r w:rsidR="00D24C54">
        <w:t xml:space="preserve">even a few meters </w:t>
      </w:r>
      <w:r w:rsidR="000A25E2" w:rsidRPr="00FC186B">
        <w:t>into the valley frequently opens the horizon quickly</w:t>
      </w:r>
      <w:r w:rsidR="00900EEE" w:rsidRPr="00FC186B">
        <w:t>, or bypasses a rock that occludes views along the cliff line. To achieve consistency in this wild environment was unattainable.</w:t>
      </w:r>
      <w:r w:rsidR="0035588E" w:rsidRPr="0035588E">
        <w:t xml:space="preserve"> </w:t>
      </w:r>
    </w:p>
    <w:p w14:paraId="675DC4C2" w14:textId="3BA95C9F" w:rsidR="0035588E" w:rsidRDefault="0035588E" w:rsidP="0035588E">
      <w:pPr>
        <w:rPr>
          <w:noProof/>
        </w:rPr>
      </w:pPr>
      <w:r>
        <w:lastRenderedPageBreak/>
        <w:t xml:space="preserve">The horizon in canyonlands is classically shaped as a mesa that slopes down to another level plane. </w:t>
      </w:r>
      <w:r w:rsidRPr="00FC186B">
        <w:t xml:space="preserve">Mesa edges are a logical place to look for the emergence of first light, but it is hard to gauge what part of the sloped edge was used as the location for sunrise. </w:t>
      </w:r>
      <w:r w:rsidR="005F2B82">
        <w:t>Although the</w:t>
      </w:r>
      <w:r>
        <w:t xml:space="preserve"> range along the low section of the horizon was measured, solstice events most often occurred on one side, where the slope up the mesa begins, as seen in </w:t>
      </w:r>
      <w:r w:rsidR="004D3814">
        <w:t>Plate 6</w:t>
      </w:r>
      <w:r>
        <w:t>. This research measured direct observation locations only</w:t>
      </w:r>
      <w:r w:rsidR="00036FFB">
        <w:t xml:space="preserve">, where the sun is seen cresting the horizon. </w:t>
      </w:r>
      <w:r>
        <w:t xml:space="preserve"> </w:t>
      </w:r>
      <w:r w:rsidR="00DF66C0">
        <w:t>W</w:t>
      </w:r>
      <w:r>
        <w:t>hile opportunities for indirect measurements of solstice</w:t>
      </w:r>
      <w:r w:rsidR="00DF66C0">
        <w:t xml:space="preserve">, such as the </w:t>
      </w:r>
      <w:r w:rsidR="00277A3D">
        <w:t>‘</w:t>
      </w:r>
      <w:r w:rsidR="00DF66C0">
        <w:t>Sun Dagger</w:t>
      </w:r>
      <w:r w:rsidR="00277A3D">
        <w:t>’</w:t>
      </w:r>
      <w:r w:rsidR="00DF66C0">
        <w:t xml:space="preserve"> light and shadow interactions</w:t>
      </w:r>
      <w:r>
        <w:t xml:space="preserve"> were abundant, few were </w:t>
      </w:r>
      <w:r w:rsidR="00AF3AF8">
        <w:t>apparent,</w:t>
      </w:r>
      <w:r>
        <w:t xml:space="preserve"> and their measurement was beyond the scope of this work.</w:t>
      </w:r>
    </w:p>
    <w:p w14:paraId="34699D43" w14:textId="109D6556" w:rsidR="00915CB5" w:rsidRPr="00FC186B" w:rsidRDefault="0035588E" w:rsidP="0068455A">
      <w:r>
        <w:rPr>
          <w:noProof/>
        </w:rPr>
        <w:drawing>
          <wp:inline distT="0" distB="0" distL="0" distR="0" wp14:anchorId="0145409B" wp14:editId="28C6C414">
            <wp:extent cx="5731510" cy="1805940"/>
            <wp:effectExtent l="0" t="0" r="2540" b="3810"/>
            <wp:docPr id="11" name="Picture 11" descr="A picture containing nature, sunse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nature, sunset, night sky&#10;&#10;Description automatically generated"/>
                    <pic:cNvPicPr/>
                  </pic:nvPicPr>
                  <pic:blipFill rotWithShape="1">
                    <a:blip r:embed="rId19" cstate="print">
                      <a:extLst>
                        <a:ext uri="{28A0092B-C50C-407E-A947-70E740481C1C}">
                          <a14:useLocalDpi xmlns:a14="http://schemas.microsoft.com/office/drawing/2010/main" val="0"/>
                        </a:ext>
                      </a:extLst>
                    </a:blip>
                    <a:srcRect t="18658"/>
                    <a:stretch/>
                  </pic:blipFill>
                  <pic:spPr bwMode="auto">
                    <a:xfrm>
                      <a:off x="0" y="0"/>
                      <a:ext cx="5731510" cy="1805940"/>
                    </a:xfrm>
                    <a:prstGeom prst="rect">
                      <a:avLst/>
                    </a:prstGeom>
                    <a:ln>
                      <a:noFill/>
                    </a:ln>
                    <a:extLst>
                      <a:ext uri="{53640926-AAD7-44D8-BBD7-CCE9431645EC}">
                        <a14:shadowObscured xmlns:a14="http://schemas.microsoft.com/office/drawing/2010/main"/>
                      </a:ext>
                    </a:extLst>
                  </pic:spPr>
                </pic:pic>
              </a:graphicData>
            </a:graphic>
          </wp:inline>
        </w:drawing>
      </w:r>
    </w:p>
    <w:p w14:paraId="623F4F7D" w14:textId="0D207A66" w:rsidR="0035588E" w:rsidRDefault="00775309" w:rsidP="0035588E">
      <w:pPr>
        <w:pStyle w:val="Caption"/>
      </w:pPr>
      <w:r>
        <w:rPr>
          <w:b/>
          <w:bCs/>
        </w:rPr>
        <w:t>Plate 6</w:t>
      </w:r>
      <w:r w:rsidR="005F2B82">
        <w:t xml:space="preserve"> </w:t>
      </w:r>
      <w:r w:rsidR="0035588E">
        <w:t>A Castle Valley SSSR from a petroglyph site with iconic mesa forms. Photo: Author.</w:t>
      </w:r>
    </w:p>
    <w:p w14:paraId="56B70C8B" w14:textId="4A6E208A" w:rsidR="00BC3EF8" w:rsidRDefault="003F73E5" w:rsidP="00BC3EF8">
      <w:pPr>
        <w:keepLines/>
        <w:widowControl w:val="0"/>
        <w:rPr>
          <w:noProof/>
        </w:rPr>
      </w:pPr>
      <w:r>
        <w:lastRenderedPageBreak/>
        <w:t>T</w:t>
      </w:r>
      <w:r w:rsidR="00915CB5" w:rsidRPr="00FC186B">
        <w:t xml:space="preserve">he research targeted </w:t>
      </w:r>
      <w:r w:rsidR="00C61A68">
        <w:t>narrow</w:t>
      </w:r>
      <w:r w:rsidR="00915CB5" w:rsidRPr="00FC186B">
        <w:t xml:space="preserve"> solstice</w:t>
      </w:r>
      <w:r w:rsidR="00277A3D">
        <w:t>-</w:t>
      </w:r>
      <w:r w:rsidR="00915CB5" w:rsidRPr="00FC186B">
        <w:t xml:space="preserve">viewings between fins, </w:t>
      </w:r>
      <w:r w:rsidR="00C61A68">
        <w:t xml:space="preserve">and </w:t>
      </w:r>
      <w:r w:rsidR="00915CB5" w:rsidRPr="00FC186B">
        <w:t>canyon cracks in the horizon, but while watching winter sunrise over the Colorado River</w:t>
      </w:r>
      <w:r w:rsidR="00DF66C0">
        <w:t xml:space="preserve"> (Plate 7)</w:t>
      </w:r>
      <w:r w:rsidR="00915CB5" w:rsidRPr="00FC186B">
        <w:t xml:space="preserve"> it was evident that a full kilometer of the cliff wall received first light within </w:t>
      </w:r>
      <w:r w:rsidR="00D03127">
        <w:t>a few minutes</w:t>
      </w:r>
      <w:r w:rsidR="001A3537">
        <w:t xml:space="preserve">, </w:t>
      </w:r>
      <w:r w:rsidR="00BB5265">
        <w:t>where</w:t>
      </w:r>
      <w:r w:rsidR="001A3537">
        <w:t xml:space="preserve"> the </w:t>
      </w:r>
      <w:r w:rsidR="00BB5265">
        <w:t xml:space="preserve">eastern </w:t>
      </w:r>
      <w:r w:rsidR="001A3537">
        <w:t xml:space="preserve">horizon varied </w:t>
      </w:r>
      <w:r w:rsidR="001A3537" w:rsidRPr="00220E73">
        <w:t xml:space="preserve">between 5 – </w:t>
      </w:r>
      <w:r w:rsidR="00220E73" w:rsidRPr="00220E73">
        <w:t>8</w:t>
      </w:r>
      <w:r w:rsidR="00EE30F6">
        <w:t xml:space="preserve">˚ </w:t>
      </w:r>
      <w:r w:rsidR="001A3537">
        <w:t>altitude</w:t>
      </w:r>
      <w:r w:rsidR="00915CB5" w:rsidRPr="00FC186B">
        <w:t xml:space="preserve">. </w:t>
      </w:r>
      <w:r w:rsidR="00BB5265">
        <w:t xml:space="preserve">Petroglyphs line this section of </w:t>
      </w:r>
      <w:r w:rsidR="00BC3EF8">
        <w:t>H</w:t>
      </w:r>
      <w:r w:rsidR="00BB5265">
        <w:t>ighway 279, known as Wall Str.</w:t>
      </w:r>
      <w:r w:rsidR="00BC3EF8">
        <w:t xml:space="preserve"> </w:t>
      </w:r>
      <w:r w:rsidR="00BB5265">
        <w:t>Both upstream and downstream of this section</w:t>
      </w:r>
      <w:r w:rsidR="00BC3EF8">
        <w:t xml:space="preserve"> where the petroglyphs are no longer present,</w:t>
      </w:r>
      <w:r w:rsidR="00BB5265">
        <w:t xml:space="preserve"> the </w:t>
      </w:r>
      <w:r w:rsidR="001A3537">
        <w:t xml:space="preserve">opposing cliff wall </w:t>
      </w:r>
      <w:r w:rsidR="00BB5265">
        <w:t>was between 22</w:t>
      </w:r>
      <w:r w:rsidR="00BC3EF8">
        <w:t>–</w:t>
      </w:r>
      <w:r w:rsidR="00BB5265">
        <w:t>33</w:t>
      </w:r>
      <w:r w:rsidR="00EE30F6">
        <w:t xml:space="preserve">˚ </w:t>
      </w:r>
      <w:r w:rsidR="001A3537">
        <w:t>altitude</w:t>
      </w:r>
      <w:r w:rsidR="00BC3EF8">
        <w:t>.</w:t>
      </w:r>
      <w:r w:rsidR="00BB5265">
        <w:t xml:space="preserve"> </w:t>
      </w:r>
      <w:r w:rsidR="00BC3EF8">
        <w:t>It</w:t>
      </w:r>
      <w:r w:rsidR="00875E8C">
        <w:t xml:space="preserve"> appeared that </w:t>
      </w:r>
      <w:r w:rsidR="00BC3EF8">
        <w:t>broad swaths of</w:t>
      </w:r>
      <w:r w:rsidR="00875E8C">
        <w:t xml:space="preserve"> lower horizon </w:t>
      </w:r>
      <w:r w:rsidR="00AF3AF8">
        <w:t>were</w:t>
      </w:r>
      <w:r w:rsidR="00875E8C">
        <w:t xml:space="preserve"> reason to locate petroglyphs in that area</w:t>
      </w:r>
      <w:r w:rsidR="00B2669C">
        <w:t xml:space="preserve">, </w:t>
      </w:r>
      <w:r w:rsidR="00F3376A">
        <w:t>yet</w:t>
      </w:r>
      <w:r w:rsidR="00B2669C">
        <w:t xml:space="preserve"> only the panels that met the criteria for sunrise </w:t>
      </w:r>
      <w:r w:rsidR="00B2669C">
        <w:rPr>
          <w:noProof/>
        </w:rPr>
        <w:t>at the lowest point between fins of sandstone were counted as WSSR sites.</w:t>
      </w:r>
    </w:p>
    <w:p w14:paraId="080C1310" w14:textId="000EE6C0" w:rsidR="00875E8C" w:rsidRDefault="00B51AB2" w:rsidP="00BC3EF8">
      <w:pPr>
        <w:keepLines/>
        <w:widowControl w:val="0"/>
      </w:pPr>
      <w:r>
        <w:rPr>
          <w:noProof/>
        </w:rPr>
        <w:drawing>
          <wp:inline distT="0" distB="0" distL="0" distR="0" wp14:anchorId="7C914291" wp14:editId="3D9FEB68">
            <wp:extent cx="5943600" cy="2639060"/>
            <wp:effectExtent l="0" t="0" r="0" b="8890"/>
            <wp:docPr id="4" name="Picture 4" descr="A picture containing outdoor, sky, mountain,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sky, mountain, natur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639060"/>
                    </a:xfrm>
                    <a:prstGeom prst="rect">
                      <a:avLst/>
                    </a:prstGeom>
                  </pic:spPr>
                </pic:pic>
              </a:graphicData>
            </a:graphic>
          </wp:inline>
        </w:drawing>
      </w:r>
    </w:p>
    <w:p w14:paraId="27E81572" w14:textId="11E7EAD8" w:rsidR="003C6F21" w:rsidRDefault="00775309" w:rsidP="00FB5382">
      <w:pPr>
        <w:pStyle w:val="Caption"/>
      </w:pPr>
      <w:r>
        <w:rPr>
          <w:b/>
          <w:bCs/>
        </w:rPr>
        <w:t>Plate 7</w:t>
      </w:r>
      <w:r w:rsidR="00FB5382">
        <w:t xml:space="preserve"> Sunrise over Back of Beyond Dec 16, 2022. The horizon line varies between </w:t>
      </w:r>
      <w:r w:rsidR="00220E73">
        <w:t>5-8</w:t>
      </w:r>
      <w:r w:rsidR="00FB5382">
        <w:t xml:space="preserve"> degrees altitude and illuminates 1 km of petroglyphs on the cliff face abutting Highway 279. Photo: Author</w:t>
      </w:r>
    </w:p>
    <w:p w14:paraId="6288E939" w14:textId="49FD3B85" w:rsidR="00094E98" w:rsidRDefault="00094E98" w:rsidP="0068455A"/>
    <w:p w14:paraId="374F21B2" w14:textId="5BEBC2CC" w:rsidR="003D095F" w:rsidRDefault="00543869" w:rsidP="0068455A">
      <w:r>
        <w:t>A</w:t>
      </w:r>
      <w:r w:rsidR="00B2669C">
        <w:t>nother</w:t>
      </w:r>
      <w:r>
        <w:t xml:space="preserve"> section of petroglyphs </w:t>
      </w:r>
      <w:r w:rsidR="0082632E">
        <w:t>was</w:t>
      </w:r>
      <w:r>
        <w:t xml:space="preserve"> scattered along the eastern cliff face in </w:t>
      </w:r>
      <w:r w:rsidR="00B51AB2">
        <w:t>Millcreek</w:t>
      </w:r>
      <w:r>
        <w:t xml:space="preserve">, </w:t>
      </w:r>
      <w:r w:rsidR="00B51AB2">
        <w:t>a narrow canyon that runs</w:t>
      </w:r>
      <w:r>
        <w:t xml:space="preserve"> </w:t>
      </w:r>
      <w:r w:rsidR="00B51AB2">
        <w:t>south</w:t>
      </w:r>
      <w:r w:rsidR="006E6AF7">
        <w:t>east</w:t>
      </w:r>
      <w:r w:rsidR="00B51AB2">
        <w:t xml:space="preserve"> to north</w:t>
      </w:r>
      <w:r w:rsidR="006E6AF7">
        <w:t>west</w:t>
      </w:r>
      <w:r w:rsidR="00B51AB2">
        <w:t>.</w:t>
      </w:r>
      <w:r>
        <w:t xml:space="preserve"> See </w:t>
      </w:r>
      <w:r w:rsidR="004D3814">
        <w:t>Plate 8</w:t>
      </w:r>
      <w:r w:rsidR="00A66CF2">
        <w:t>, between ‘Diamond Edge’ and ‘two concentric circles</w:t>
      </w:r>
      <w:r w:rsidR="00357B41">
        <w:t>.’</w:t>
      </w:r>
      <w:r w:rsidR="00B51AB2">
        <w:t xml:space="preserve"> </w:t>
      </w:r>
      <w:r w:rsidR="0082632E">
        <w:t>There are no</w:t>
      </w:r>
      <w:r w:rsidR="00B51AB2">
        <w:t xml:space="preserve"> views of </w:t>
      </w:r>
      <w:r>
        <w:t xml:space="preserve">SSSR and views of </w:t>
      </w:r>
      <w:r w:rsidR="00B51AB2">
        <w:t>WSSR</w:t>
      </w:r>
      <w:r>
        <w:t xml:space="preserve"> are rare</w:t>
      </w:r>
      <w:r w:rsidR="0082632E">
        <w:t xml:space="preserve">, </w:t>
      </w:r>
      <w:r w:rsidR="00BB3AA7">
        <w:t xml:space="preserve">but </w:t>
      </w:r>
      <w:r w:rsidR="0082632E">
        <w:t xml:space="preserve">low winter sun skims the </w:t>
      </w:r>
      <w:r w:rsidR="00BB3AA7">
        <w:t xml:space="preserve">western rim </w:t>
      </w:r>
      <w:r w:rsidR="0082632E">
        <w:t>all afternoon just reaching the petroglyphs</w:t>
      </w:r>
      <w:r w:rsidR="00474626">
        <w:t xml:space="preserve"> at the base of </w:t>
      </w:r>
      <w:r w:rsidR="00474626">
        <w:lastRenderedPageBreak/>
        <w:t>the eastern wall</w:t>
      </w:r>
      <w:r w:rsidR="00F3376A">
        <w:t xml:space="preserve">. </w:t>
      </w:r>
      <w:r w:rsidR="003A15D1">
        <w:t>E</w:t>
      </w:r>
      <w:r w:rsidR="003D095F">
        <w:t xml:space="preserve">astern cliffs </w:t>
      </w:r>
      <w:r w:rsidR="003A15D1">
        <w:t xml:space="preserve">may have </w:t>
      </w:r>
      <w:r w:rsidR="003D095F">
        <w:t xml:space="preserve">provided smoother sandstone with stronger patination, but </w:t>
      </w:r>
      <w:r w:rsidR="00474626">
        <w:t xml:space="preserve">late winter sun may have been motivation enough for their placement </w:t>
      </w:r>
      <w:r w:rsidR="003C56BE">
        <w:t>in</w:t>
      </w:r>
      <w:r w:rsidR="00474626">
        <w:t xml:space="preserve"> this heavily populated canyon.</w:t>
      </w:r>
      <w:r w:rsidR="0035588E">
        <w:t xml:space="preserve"> Again, most of the panels on the eastern cliff</w:t>
      </w:r>
      <w:r w:rsidR="00823D28">
        <w:t xml:space="preserve"> </w:t>
      </w:r>
      <w:r w:rsidR="0035588E">
        <w:t>face failed to meet the solstice viewing criteria.</w:t>
      </w:r>
    </w:p>
    <w:p w14:paraId="1AD286B9" w14:textId="77777777" w:rsidR="008D2505" w:rsidRDefault="008D2505" w:rsidP="008D2505">
      <w:pPr>
        <w:keepNext/>
      </w:pPr>
      <w:r>
        <w:rPr>
          <w:noProof/>
        </w:rPr>
        <w:drawing>
          <wp:inline distT="0" distB="0" distL="0" distR="0" wp14:anchorId="1E142D91" wp14:editId="74C43161">
            <wp:extent cx="5731510" cy="3322320"/>
            <wp:effectExtent l="0" t="0" r="2540" b="0"/>
            <wp:docPr id="14" name="Picture 14"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map of a city&#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3322320"/>
                    </a:xfrm>
                    <a:prstGeom prst="rect">
                      <a:avLst/>
                    </a:prstGeom>
                  </pic:spPr>
                </pic:pic>
              </a:graphicData>
            </a:graphic>
          </wp:inline>
        </w:drawing>
      </w:r>
    </w:p>
    <w:p w14:paraId="5E4B3CB0" w14:textId="14772EE3" w:rsidR="00142735" w:rsidRDefault="00775309" w:rsidP="008D2505">
      <w:pPr>
        <w:pStyle w:val="Caption"/>
      </w:pPr>
      <w:r>
        <w:rPr>
          <w:b/>
          <w:bCs/>
        </w:rPr>
        <w:t>Plate 8</w:t>
      </w:r>
      <w:r w:rsidR="008D2505">
        <w:t xml:space="preserve"> Map of Millcreek showing relationship between 42GR2616 and Golf Course Panel and their WSSS (orange) and WSSR (red). Blue lines are SSSR and SSSS for the Golf Course site. There are 20 sites on the eastern cliff between 'Diamond Edge' and "Two </w:t>
      </w:r>
      <w:r w:rsidR="00A227D5">
        <w:t xml:space="preserve">concentric </w:t>
      </w:r>
      <w:r w:rsidR="008D2505">
        <w:t>circles.' Map: Google Earth Pro.</w:t>
      </w:r>
    </w:p>
    <w:p w14:paraId="1F0CA7E1" w14:textId="29BDCBEE" w:rsidR="00A66CF2" w:rsidRDefault="00A66CF2" w:rsidP="00A66CF2">
      <w:r>
        <w:t xml:space="preserve">One of the largest palimpsest panels in Millcreek (42GR2616) is on the eastern cliff face in a WSSS location. Opposite this panel is a rare egress from Millcreek canyon </w:t>
      </w:r>
      <w:r w:rsidR="00EE30F6">
        <w:t>where</w:t>
      </w:r>
      <w:r>
        <w:t xml:space="preserve"> it is a short walk to the ‘Golf Course’</w:t>
      </w:r>
      <w:r w:rsidR="001D1CB5">
        <w:t xml:space="preserve"> site</w:t>
      </w:r>
      <w:r>
        <w:t xml:space="preserve"> with good views of WSSR. </w:t>
      </w:r>
      <w:r w:rsidR="00EE30F6">
        <w:t>These</w:t>
      </w:r>
      <w:r>
        <w:t xml:space="preserve"> WWSR and WSSS sites may have been paired with one another. See </w:t>
      </w:r>
      <w:r w:rsidR="004D3814">
        <w:t>Plate 8</w:t>
      </w:r>
      <w:r>
        <w:t xml:space="preserve">. </w:t>
      </w:r>
      <w:proofErr w:type="spellStart"/>
      <w:r>
        <w:t>Malville</w:t>
      </w:r>
      <w:proofErr w:type="spellEnd"/>
      <w:r>
        <w:t xml:space="preserve"> referred to this phenomenon as ‘bundling’ when he discovered related sites for observing solstices in Chaco </w:t>
      </w:r>
      <w:r w:rsidR="003C56BE">
        <w:t>C</w:t>
      </w:r>
      <w:r>
        <w:t>anyon.</w:t>
      </w:r>
      <w:r>
        <w:rPr>
          <w:rStyle w:val="FootnoteReference"/>
        </w:rPr>
        <w:footnoteReference w:id="152"/>
      </w:r>
    </w:p>
    <w:p w14:paraId="27CF10F3" w14:textId="37D49599" w:rsidR="00750857" w:rsidRDefault="002E6E0D" w:rsidP="0068455A">
      <w:r>
        <w:lastRenderedPageBreak/>
        <w:t xml:space="preserve">Another potential implementation of bundling was observed in </w:t>
      </w:r>
      <w:r w:rsidR="009A37C6">
        <w:t xml:space="preserve">the </w:t>
      </w:r>
      <w:r>
        <w:t>Kane Creek area.</w:t>
      </w:r>
      <w:r w:rsidR="006715AE">
        <w:t xml:space="preserve"> </w:t>
      </w:r>
      <w:r w:rsidR="00750857" w:rsidRPr="00FC186B">
        <w:t xml:space="preserve">In </w:t>
      </w:r>
      <w:r w:rsidR="006715AE">
        <w:t>a hanging valley above the confluence of</w:t>
      </w:r>
      <w:r w:rsidR="00750857" w:rsidRPr="00FC186B">
        <w:t xml:space="preserve"> Kane Creek </w:t>
      </w:r>
      <w:r w:rsidR="006715AE">
        <w:t>and</w:t>
      </w:r>
      <w:r w:rsidR="00750857" w:rsidRPr="00FC186B">
        <w:t xml:space="preserve"> the Colorado River six to twelve pit houses were located</w:t>
      </w:r>
      <w:r w:rsidR="009A37C6">
        <w:t xml:space="preserve"> </w:t>
      </w:r>
      <w:r w:rsidR="00F3376A">
        <w:t>where</w:t>
      </w:r>
      <w:r w:rsidR="00750857" w:rsidRPr="00FC186B">
        <w:t xml:space="preserve"> </w:t>
      </w:r>
      <w:r w:rsidR="009A37C6" w:rsidRPr="00FC186B">
        <w:t xml:space="preserve">views to the east </w:t>
      </w:r>
      <w:r w:rsidR="00F3376A">
        <w:t xml:space="preserve">were </w:t>
      </w:r>
      <w:r w:rsidR="009A37C6">
        <w:t>occluded by</w:t>
      </w:r>
      <w:r w:rsidR="00750857" w:rsidRPr="00FC186B">
        <w:t xml:space="preserve"> surrounding cliffs</w:t>
      </w:r>
      <w:r w:rsidR="009A37C6">
        <w:t>.</w:t>
      </w:r>
      <w:r w:rsidR="00750857" w:rsidRPr="00FC186B">
        <w:t xml:space="preserve"> </w:t>
      </w:r>
      <w:r w:rsidR="009A37C6">
        <w:t>The nearest WSSR site is ‘</w:t>
      </w:r>
      <w:r w:rsidR="009A37C6" w:rsidRPr="00FC186B">
        <w:t>Birthing Stone’</w:t>
      </w:r>
      <w:r w:rsidR="009A37C6">
        <w:t>, but t</w:t>
      </w:r>
      <w:r w:rsidR="00750857" w:rsidRPr="00FC186B">
        <w:t xml:space="preserve">here is a network of petroglyph sites </w:t>
      </w:r>
      <w:r w:rsidR="009A37C6">
        <w:t>sharing sightlines</w:t>
      </w:r>
      <w:r w:rsidR="00750857" w:rsidRPr="00FC186B">
        <w:t>,</w:t>
      </w:r>
      <w:r w:rsidR="009A37C6">
        <w:t xml:space="preserve"> which connect the sites, including the </w:t>
      </w:r>
      <w:r w:rsidR="00BF6568">
        <w:t>‘Owl Panel’</w:t>
      </w:r>
      <w:r w:rsidR="009A37C6">
        <w:t>,</w:t>
      </w:r>
      <w:r w:rsidR="00C2228E">
        <w:t xml:space="preserve"> where a broad bench has views of</w:t>
      </w:r>
      <w:r w:rsidR="009A37C6">
        <w:t xml:space="preserve"> </w:t>
      </w:r>
      <w:r w:rsidR="00BF6568">
        <w:t>‘</w:t>
      </w:r>
      <w:r w:rsidR="00750857" w:rsidRPr="00FC186B">
        <w:t>False Kiva</w:t>
      </w:r>
      <w:r w:rsidR="00BF6568">
        <w:t>’</w:t>
      </w:r>
      <w:r w:rsidR="00750857" w:rsidRPr="00FC186B">
        <w:t xml:space="preserve">, </w:t>
      </w:r>
      <w:r w:rsidR="00BF6568">
        <w:t>and</w:t>
      </w:r>
      <w:r w:rsidR="0084751A">
        <w:t xml:space="preserve"> the</w:t>
      </w:r>
      <w:r w:rsidR="00750857" w:rsidRPr="00FC186B">
        <w:t xml:space="preserve"> </w:t>
      </w:r>
      <w:r w:rsidR="00BF6568">
        <w:t>‘</w:t>
      </w:r>
      <w:r w:rsidR="00750857" w:rsidRPr="00FC186B">
        <w:t>Maiden</w:t>
      </w:r>
      <w:r w:rsidR="00BF6568">
        <w:t>’</w:t>
      </w:r>
      <w:r w:rsidR="00750857" w:rsidRPr="00FC186B">
        <w:t xml:space="preserve"> on the ridge overlooking the pit house village.</w:t>
      </w:r>
      <w:r w:rsidR="0084751A">
        <w:t xml:space="preserve"> The sightlines continue from</w:t>
      </w:r>
      <w:r w:rsidR="00750857" w:rsidRPr="00FC186B">
        <w:t xml:space="preserve"> </w:t>
      </w:r>
      <w:r w:rsidR="006E6AF7">
        <w:t>‘</w:t>
      </w:r>
      <w:r w:rsidR="00750857" w:rsidRPr="00FC186B">
        <w:t>Maiden</w:t>
      </w:r>
      <w:r w:rsidR="006E6AF7">
        <w:t>’</w:t>
      </w:r>
      <w:r w:rsidR="00750857" w:rsidRPr="00FC186B">
        <w:t xml:space="preserve"> </w:t>
      </w:r>
      <w:r w:rsidR="0084751A">
        <w:t xml:space="preserve">to </w:t>
      </w:r>
      <w:r w:rsidR="006E6AF7">
        <w:t>‘</w:t>
      </w:r>
      <w:r w:rsidR="0084751A">
        <w:t>Kane Creek Road Petroglyphs</w:t>
      </w:r>
      <w:r w:rsidR="006E6AF7">
        <w:t>’</w:t>
      </w:r>
      <w:r w:rsidR="00750857" w:rsidRPr="00FC186B">
        <w:t xml:space="preserve"> </w:t>
      </w:r>
      <w:r w:rsidR="0084751A">
        <w:t xml:space="preserve">and the </w:t>
      </w:r>
      <w:r w:rsidR="006E6AF7">
        <w:t>‘</w:t>
      </w:r>
      <w:r w:rsidR="0084751A">
        <w:t>Colorado Overlook</w:t>
      </w:r>
      <w:r w:rsidR="006E6AF7">
        <w:t>’</w:t>
      </w:r>
      <w:r w:rsidR="0084751A">
        <w:t xml:space="preserve"> panel with further </w:t>
      </w:r>
      <w:r w:rsidR="00C2228E">
        <w:t xml:space="preserve">sightlines </w:t>
      </w:r>
      <w:r w:rsidR="0084751A">
        <w:t xml:space="preserve">across the </w:t>
      </w:r>
      <w:r w:rsidR="00C2228E">
        <w:t xml:space="preserve">Colorado </w:t>
      </w:r>
      <w:r w:rsidR="0084751A">
        <w:t xml:space="preserve">river to </w:t>
      </w:r>
      <w:r w:rsidR="006E6AF7">
        <w:t>‘</w:t>
      </w:r>
      <w:r w:rsidR="0084751A">
        <w:t>Poison Spider Trailhead</w:t>
      </w:r>
      <w:r w:rsidR="006E6AF7">
        <w:t>’</w:t>
      </w:r>
      <w:r w:rsidR="0084751A">
        <w:t xml:space="preserve"> panels. </w:t>
      </w:r>
      <w:r w:rsidR="00750857" w:rsidRPr="00FC186B">
        <w:t xml:space="preserve">Therefore, while only the </w:t>
      </w:r>
      <w:r w:rsidR="004A5C87">
        <w:t>‘</w:t>
      </w:r>
      <w:r w:rsidR="00750857" w:rsidRPr="00FC186B">
        <w:t>Birthing Stone</w:t>
      </w:r>
      <w:r w:rsidR="004A5C87">
        <w:t>’</w:t>
      </w:r>
      <w:r w:rsidR="00750857" w:rsidRPr="00FC186B">
        <w:t xml:space="preserve"> meets the criteria for WSSR, the notification of sunrise could have been communicated through a network of petroglyph sites, which are unusually densely placed in this area</w:t>
      </w:r>
      <w:r w:rsidR="00750857">
        <w:t xml:space="preserve"> and all within sightlines</w:t>
      </w:r>
      <w:r w:rsidR="00750857" w:rsidRPr="00FC186B">
        <w:t>.</w:t>
      </w:r>
      <w:r w:rsidR="006B2A18">
        <w:t xml:space="preserve"> </w:t>
      </w:r>
      <w:r w:rsidR="00F0710D">
        <w:t xml:space="preserve">See </w:t>
      </w:r>
      <w:r w:rsidR="00775309">
        <w:t>Plate 9</w:t>
      </w:r>
      <w:r w:rsidR="00F0710D">
        <w:t xml:space="preserve">. </w:t>
      </w:r>
      <w:r w:rsidR="00840BF3">
        <w:t xml:space="preserve">There are numerous petroglyphs along both sides of this shallow section of the Colorado, which seem to be stylistically and culturally connected. </w:t>
      </w:r>
    </w:p>
    <w:p w14:paraId="0D3D5E93" w14:textId="190E0E92" w:rsidR="00E05388" w:rsidRDefault="00E05388" w:rsidP="0068455A">
      <w:r>
        <w:t xml:space="preserve">The issues that affected the research related to maintaining consistency of measurements </w:t>
      </w:r>
      <w:r w:rsidR="003C56BE">
        <w:t>under</w:t>
      </w:r>
      <w:r>
        <w:t xml:space="preserve"> inconsistent environmental conditions</w:t>
      </w:r>
      <w:r w:rsidR="003C56BE">
        <w:t>. There were also questions of how specific rock artists were in their criteria.</w:t>
      </w:r>
      <w:r>
        <w:t xml:space="preserve"> </w:t>
      </w:r>
    </w:p>
    <w:p w14:paraId="349F6168" w14:textId="064331FE" w:rsidR="00EB6EE8" w:rsidRPr="00FC186B" w:rsidRDefault="00EB6EE8" w:rsidP="0068455A">
      <w:r>
        <w:rPr>
          <w:noProof/>
        </w:rPr>
        <w:lastRenderedPageBreak/>
        <w:drawing>
          <wp:inline distT="0" distB="0" distL="0" distR="0" wp14:anchorId="5AE186B5" wp14:editId="220BAC64">
            <wp:extent cx="5943355" cy="3444874"/>
            <wp:effectExtent l="0" t="0" r="63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5943355" cy="3444874"/>
                    </a:xfrm>
                    <a:prstGeom prst="rect">
                      <a:avLst/>
                    </a:prstGeom>
                  </pic:spPr>
                </pic:pic>
              </a:graphicData>
            </a:graphic>
          </wp:inline>
        </w:drawing>
      </w:r>
    </w:p>
    <w:p w14:paraId="40BA6BB5" w14:textId="2D32BE4D" w:rsidR="006B2A18" w:rsidRDefault="00775309" w:rsidP="006B2A18">
      <w:pPr>
        <w:pStyle w:val="Caption"/>
      </w:pPr>
      <w:r>
        <w:rPr>
          <w:b/>
          <w:bCs/>
        </w:rPr>
        <w:t>Plate 9</w:t>
      </w:r>
      <w:r w:rsidR="006B2A18">
        <w:t xml:space="preserve"> Map of Kane Creek petroglyphs showing sightlines that could have connected watchers across an occluded landscape to communicate first light on the </w:t>
      </w:r>
      <w:r w:rsidR="004A5C87">
        <w:t>‘</w:t>
      </w:r>
      <w:r w:rsidR="006B2A18">
        <w:t>Birthing Stone</w:t>
      </w:r>
      <w:r w:rsidR="004A5C87">
        <w:t>’</w:t>
      </w:r>
      <w:r w:rsidR="006B2A18">
        <w:t xml:space="preserve"> in the bottom of the photo. The red line is the angle of WSSR.</w:t>
      </w:r>
      <w:r w:rsidR="00357B41">
        <w:t xml:space="preserve"> Image: Google Earth Pro.</w:t>
      </w:r>
    </w:p>
    <w:p w14:paraId="38B13959" w14:textId="3FA3D287" w:rsidR="00F50372" w:rsidRPr="00FC186B" w:rsidRDefault="002959F0" w:rsidP="0068455A">
      <w:pPr>
        <w:pStyle w:val="Heading3"/>
      </w:pPr>
      <w:bookmarkStart w:id="62" w:name="_Toc101636986"/>
      <w:r>
        <w:t>Rock Art in the Landscape</w:t>
      </w:r>
      <w:bookmarkEnd w:id="62"/>
    </w:p>
    <w:p w14:paraId="228FF7CA" w14:textId="2F35608B" w:rsidR="004D1688" w:rsidRDefault="004D1688" w:rsidP="0068455A">
      <w:bookmarkStart w:id="63" w:name="_Hlk100420158"/>
      <w:r w:rsidRPr="00FC186B">
        <w:t xml:space="preserve">It was anticipated that the location of rock art sites would </w:t>
      </w:r>
      <w:r w:rsidR="00E05388">
        <w:t xml:space="preserve">have </w:t>
      </w:r>
      <w:r w:rsidRPr="00FC186B">
        <w:t>be</w:t>
      </w:r>
      <w:r w:rsidR="00E05388">
        <w:t>en</w:t>
      </w:r>
      <w:r w:rsidRPr="00FC186B">
        <w:t xml:space="preserve"> motivated by multiple factors.</w:t>
      </w:r>
      <w:r>
        <w:t xml:space="preserve"> This section discusses the conditions that may have influenced the placement of rock art in the Canyonlands landscape.</w:t>
      </w:r>
    </w:p>
    <w:p w14:paraId="2859C6B2" w14:textId="06709276" w:rsidR="00202B1B" w:rsidRPr="00FC186B" w:rsidRDefault="004D1688" w:rsidP="0068455A">
      <w:r w:rsidRPr="00FC186B">
        <w:t xml:space="preserve"> </w:t>
      </w:r>
      <w:bookmarkEnd w:id="63"/>
      <w:r w:rsidR="0078391E">
        <w:t>J. D. Lewis</w:t>
      </w:r>
      <w:r w:rsidR="001D1CB5">
        <w:t>-</w:t>
      </w:r>
      <w:r w:rsidR="0078391E">
        <w:t>Williams</w:t>
      </w:r>
      <w:r w:rsidR="004D09EB" w:rsidRPr="00FC186B">
        <w:t xml:space="preserve"> </w:t>
      </w:r>
      <w:r w:rsidR="00220E73">
        <w:t>stated</w:t>
      </w:r>
      <w:r w:rsidR="004D09EB" w:rsidRPr="00FC186B">
        <w:t>, ‘North American rock art research is, fundamentally, a study of the archaeology of religion,’ because</w:t>
      </w:r>
      <w:r w:rsidR="0078391E">
        <w:t>,</w:t>
      </w:r>
      <w:r w:rsidR="004D09EB" w:rsidRPr="00FC186B">
        <w:t xml:space="preserve"> </w:t>
      </w:r>
      <w:r w:rsidR="0078391E">
        <w:t xml:space="preserve">according to Whitley, </w:t>
      </w:r>
      <w:r w:rsidR="004D09EB" w:rsidRPr="00FC186B">
        <w:t>there is a ‘consensus among Native Americans that rock art sites are sacred.’</w:t>
      </w:r>
      <w:r w:rsidR="004D09EB" w:rsidRPr="00FC186B">
        <w:rPr>
          <w:rStyle w:val="FootnoteReference"/>
        </w:rPr>
        <w:footnoteReference w:id="153"/>
      </w:r>
      <w:r w:rsidR="004D09EB" w:rsidRPr="00FC186B">
        <w:t xml:space="preserve"> </w:t>
      </w:r>
      <w:r w:rsidR="00202B1B" w:rsidRPr="00FC186B">
        <w:t xml:space="preserve">In many parts of the world the low point on the horizon would not have been considered as sacred as high points. </w:t>
      </w:r>
      <w:r w:rsidR="005865F0">
        <w:t xml:space="preserve">In Mesoamerica, </w:t>
      </w:r>
      <w:r w:rsidR="005865F0">
        <w:lastRenderedPageBreak/>
        <w:t xml:space="preserve">Mendez </w:t>
      </w:r>
      <w:r w:rsidR="00854777">
        <w:t xml:space="preserve">et al. </w:t>
      </w:r>
      <w:r w:rsidR="005865F0">
        <w:t xml:space="preserve">documented sunrise over a sacred mountain from the Temple of the Sun in Palenque on </w:t>
      </w:r>
      <w:r w:rsidR="00353D92">
        <w:t>winter solstice</w:t>
      </w:r>
      <w:r w:rsidR="005865F0">
        <w:t>, while</w:t>
      </w:r>
      <w:r w:rsidR="005865F0" w:rsidRPr="00B329FD">
        <w:t xml:space="preserve"> </w:t>
      </w:r>
      <w:proofErr w:type="spellStart"/>
      <w:r w:rsidR="00B329FD" w:rsidRPr="00B329FD">
        <w:t>Šprajc</w:t>
      </w:r>
      <w:proofErr w:type="spellEnd"/>
      <w:r w:rsidR="00B329FD">
        <w:t xml:space="preserve"> </w:t>
      </w:r>
      <w:r w:rsidR="005865F0">
        <w:t xml:space="preserve">documented </w:t>
      </w:r>
      <w:r w:rsidR="00E65BD4">
        <w:t>the Temple of the Sun oriented to the peak of Cerro Gordo in Teotihuacan.</w:t>
      </w:r>
      <w:r w:rsidR="00E65BD4">
        <w:rPr>
          <w:rStyle w:val="FootnoteReference"/>
        </w:rPr>
        <w:footnoteReference w:id="154"/>
      </w:r>
      <w:r w:rsidR="005865F0">
        <w:t xml:space="preserve"> </w:t>
      </w:r>
      <w:r w:rsidR="005B63ED">
        <w:t>Utes</w:t>
      </w:r>
      <w:r w:rsidR="005865F0">
        <w:t xml:space="preserve"> in the study area considered mountains sacred</w:t>
      </w:r>
      <w:r w:rsidR="005B63ED">
        <w:t>, according to Patterson</w:t>
      </w:r>
      <w:r w:rsidR="00202B1B" w:rsidRPr="00FC186B">
        <w:t>.</w:t>
      </w:r>
      <w:r w:rsidR="00EB6EE8">
        <w:rPr>
          <w:rStyle w:val="FootnoteReference"/>
        </w:rPr>
        <w:footnoteReference w:id="155"/>
      </w:r>
      <w:r w:rsidR="00202B1B" w:rsidRPr="00FC186B">
        <w:t xml:space="preserve"> S</w:t>
      </w:r>
      <w:r w:rsidR="00840BF3">
        <w:t xml:space="preserve">ome </w:t>
      </w:r>
      <w:r w:rsidR="00202B1B" w:rsidRPr="00FC186B">
        <w:t>of the large WSSR sites exhibit</w:t>
      </w:r>
      <w:r w:rsidR="00840BF3">
        <w:t>ed</w:t>
      </w:r>
      <w:r w:rsidR="00202B1B" w:rsidRPr="00FC186B">
        <w:t xml:space="preserve"> solstice sunrise just east of the La Sal Mountains,</w:t>
      </w:r>
      <w:r w:rsidR="004D09EB">
        <w:t xml:space="preserve"> so that the sun appeared to ascend the mountains,</w:t>
      </w:r>
      <w:r w:rsidR="00202B1B" w:rsidRPr="00FC186B">
        <w:t xml:space="preserve"> </w:t>
      </w:r>
      <w:r w:rsidR="00840BF3">
        <w:t>a</w:t>
      </w:r>
      <w:r w:rsidR="0084751A">
        <w:t xml:space="preserve"> view </w:t>
      </w:r>
      <w:r w:rsidR="00840BF3">
        <w:t xml:space="preserve">which </w:t>
      </w:r>
      <w:r w:rsidR="0084751A">
        <w:t xml:space="preserve">was geologically predisposed </w:t>
      </w:r>
      <w:r w:rsidR="0001154C">
        <w:t>by</w:t>
      </w:r>
      <w:r w:rsidR="0084751A">
        <w:t xml:space="preserve"> </w:t>
      </w:r>
      <w:r w:rsidR="0001154C">
        <w:t xml:space="preserve">the </w:t>
      </w:r>
      <w:r w:rsidR="00EA1789">
        <w:t xml:space="preserve">Paradox layer faulting in the study </w:t>
      </w:r>
      <w:r w:rsidR="004D09EB">
        <w:t xml:space="preserve">area as displayed in </w:t>
      </w:r>
      <w:r w:rsidR="0001154C">
        <w:t>Figure 1.</w:t>
      </w:r>
      <w:r w:rsidR="00EA1789">
        <w:t xml:space="preserve"> </w:t>
      </w:r>
      <w:r w:rsidR="004D09EB">
        <w:t>But t</w:t>
      </w:r>
      <w:r w:rsidR="000012B3" w:rsidRPr="00FC186B">
        <w:t xml:space="preserve">he skyline in </w:t>
      </w:r>
      <w:r w:rsidR="00220E73">
        <w:t>C</w:t>
      </w:r>
      <w:r w:rsidR="000012B3" w:rsidRPr="00FC186B">
        <w:t xml:space="preserve">anyonlands is dynamic and many different highpoints challenge the natural logic of high </w:t>
      </w:r>
      <w:r w:rsidR="00900EEE" w:rsidRPr="00FC186B">
        <w:t>places</w:t>
      </w:r>
      <w:r w:rsidR="00EA1789">
        <w:t>, specifically mountains,</w:t>
      </w:r>
      <w:r w:rsidR="00900EEE" w:rsidRPr="00FC186B">
        <w:t xml:space="preserve"> </w:t>
      </w:r>
      <w:r w:rsidR="000012B3" w:rsidRPr="00FC186B">
        <w:t xml:space="preserve">being closer to sky gods. See </w:t>
      </w:r>
      <w:r w:rsidR="004D3814">
        <w:t>Plate 10</w:t>
      </w:r>
      <w:r w:rsidR="00EA1789">
        <w:t xml:space="preserve">. </w:t>
      </w:r>
      <w:r w:rsidR="0063383D">
        <w:t>Overall,</w:t>
      </w:r>
      <w:r w:rsidR="004D09EB">
        <w:t xml:space="preserve"> it did not appear that rock art highlighted views of solstice sunrise over the mountains.</w:t>
      </w:r>
    </w:p>
    <w:p w14:paraId="4A0A9776" w14:textId="252D4F70" w:rsidR="00042268" w:rsidRDefault="000A25E2" w:rsidP="0068455A">
      <w:r w:rsidRPr="00FC186B">
        <w:rPr>
          <w:noProof/>
        </w:rPr>
        <mc:AlternateContent>
          <mc:Choice Requires="wps">
            <w:drawing>
              <wp:anchor distT="0" distB="0" distL="114300" distR="114300" simplePos="0" relativeHeight="251659264" behindDoc="0" locked="0" layoutInCell="1" allowOverlap="1" wp14:anchorId="22311016" wp14:editId="53916FF8">
                <wp:simplePos x="0" y="0"/>
                <wp:positionH relativeFrom="column">
                  <wp:posOffset>5151620</wp:posOffset>
                </wp:positionH>
                <wp:positionV relativeFrom="paragraph">
                  <wp:posOffset>844238</wp:posOffset>
                </wp:positionV>
                <wp:extent cx="234846" cy="144905"/>
                <wp:effectExtent l="0" t="0" r="13335" b="26670"/>
                <wp:wrapNone/>
                <wp:docPr id="2" name="Oval 2"/>
                <wp:cNvGraphicFramePr/>
                <a:graphic xmlns:a="http://schemas.openxmlformats.org/drawingml/2006/main">
                  <a:graphicData uri="http://schemas.microsoft.com/office/word/2010/wordprocessingShape">
                    <wps:wsp>
                      <wps:cNvSpPr/>
                      <wps:spPr>
                        <a:xfrm>
                          <a:off x="0" y="0"/>
                          <a:ext cx="234846" cy="14490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538877" id="Oval 2" o:spid="_x0000_s1026" style="position:absolute;margin-left:405.65pt;margin-top:66.5pt;width:18.5pt;height:11.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" filled="f" strokecolor="#70ad47 [3209]" strokeweight="1pt">
                <v:stroke joinstyle="miter"/>
              </v:oval>
            </w:pict>
          </mc:Fallback>
        </mc:AlternateContent>
      </w:r>
      <w:r w:rsidRPr="00FC186B">
        <w:rPr>
          <w:noProof/>
        </w:rPr>
        <w:drawing>
          <wp:inline distT="0" distB="0" distL="0" distR="0" wp14:anchorId="15F2FAF2" wp14:editId="130A49BA">
            <wp:extent cx="5943600" cy="1899285"/>
            <wp:effectExtent l="0" t="0" r="0" b="5715"/>
            <wp:docPr id="1" name="Picture 1" descr="A picture containing nature, mountain, hill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nature, mountain, hillsid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p>
    <w:p w14:paraId="564D31B6" w14:textId="717BE426" w:rsidR="00C84600" w:rsidRPr="00FC186B" w:rsidRDefault="00775309" w:rsidP="00C84600">
      <w:pPr>
        <w:pStyle w:val="Caption"/>
      </w:pPr>
      <w:r>
        <w:rPr>
          <w:b/>
          <w:bCs/>
        </w:rPr>
        <w:t>Plate 10</w:t>
      </w:r>
      <w:r w:rsidR="00C84600">
        <w:t xml:space="preserve"> A panoramic image of Millcreek from a petroglyph with a rare view of the La Sal Mountains, which are in the green circle. Photo: Author.</w:t>
      </w:r>
    </w:p>
    <w:p w14:paraId="219CB28D" w14:textId="58841C89" w:rsidR="006C1DFF" w:rsidRPr="00FC186B" w:rsidRDefault="002D0BF2" w:rsidP="006C1DFF">
      <w:r>
        <w:t>Many of the</w:t>
      </w:r>
      <w:r w:rsidRPr="00FC186B">
        <w:t xml:space="preserve"> largest sites were in optimal viewing locations for WSSR</w:t>
      </w:r>
      <w:r>
        <w:t xml:space="preserve">. </w:t>
      </w:r>
      <w:r w:rsidRPr="00FC186B">
        <w:t xml:space="preserve"> </w:t>
      </w:r>
      <w:r w:rsidR="006C1DFF">
        <w:t>Few</w:t>
      </w:r>
      <w:r w:rsidR="006C1DFF" w:rsidRPr="00FC186B">
        <w:t xml:space="preserve"> cultures</w:t>
      </w:r>
      <w:r w:rsidR="006C1DFF">
        <w:t xml:space="preserve"> have valued low points in the horizon</w:t>
      </w:r>
      <w:r w:rsidR="006C1DFF" w:rsidRPr="00FC186B">
        <w:t xml:space="preserve">. The decision to research that aspect of the skyscape is </w:t>
      </w:r>
      <w:r w:rsidR="006C1DFF" w:rsidRPr="00FC186B">
        <w:lastRenderedPageBreak/>
        <w:t>borne of witnessing solstice sunrise at various sites</w:t>
      </w:r>
      <w:r w:rsidR="006C1DFF">
        <w:t>.</w:t>
      </w:r>
      <w:r w:rsidR="006C1DFF" w:rsidRPr="00FC186B">
        <w:t xml:space="preserve"> </w:t>
      </w:r>
      <w:r w:rsidR="00AB3B0D">
        <w:t xml:space="preserve">If WSSR </w:t>
      </w:r>
      <w:r w:rsidR="009D15F0">
        <w:t xml:space="preserve">sites </w:t>
      </w:r>
      <w:r w:rsidR="00AB3B0D">
        <w:t>were places for gathering</w:t>
      </w:r>
      <w:r w:rsidR="009D15F0">
        <w:t>s</w:t>
      </w:r>
      <w:r w:rsidR="00AB3B0D">
        <w:t xml:space="preserve"> and ritual</w:t>
      </w:r>
      <w:r w:rsidR="009D15F0">
        <w:t>s</w:t>
      </w:r>
      <w:r w:rsidR="00AB3B0D">
        <w:t xml:space="preserve">, the low points were of pragmatic value. </w:t>
      </w:r>
      <w:r w:rsidR="006C1DFF">
        <w:t xml:space="preserve">The low humidity of the desert translates into immediate temperature shifts when moving from shade into sun. </w:t>
      </w:r>
      <w:r w:rsidR="006C1DFF" w:rsidRPr="00FC186B">
        <w:t>In many instances, the petroglyph</w:t>
      </w:r>
      <w:r w:rsidR="006C1DFF">
        <w:t xml:space="preserve"> site</w:t>
      </w:r>
      <w:r w:rsidR="006C1DFF" w:rsidRPr="00FC186B">
        <w:t xml:space="preserve">s seem to celebrate the winter sun, not necessarily in their </w:t>
      </w:r>
      <w:r w:rsidR="006C1DFF">
        <w:t>imagery</w:t>
      </w:r>
      <w:r w:rsidR="006C1DFF" w:rsidRPr="00FC186B">
        <w:t xml:space="preserve">, but </w:t>
      </w:r>
      <w:r w:rsidR="006C1DFF">
        <w:t>in locations</w:t>
      </w:r>
      <w:r w:rsidR="006C1DFF" w:rsidRPr="00FC186B">
        <w:t xml:space="preserve"> where the sun </w:t>
      </w:r>
      <w:r w:rsidR="00AB3B0D">
        <w:t xml:space="preserve">first appears or </w:t>
      </w:r>
      <w:r w:rsidR="006C1DFF" w:rsidRPr="00FC186B">
        <w:t xml:space="preserve">lingers. </w:t>
      </w:r>
      <w:r w:rsidR="006C1DFF">
        <w:t>Although some petroglyphs are</w:t>
      </w:r>
      <w:r w:rsidR="006C1DFF" w:rsidRPr="00FC186B">
        <w:t xml:space="preserve"> as high as possible on the cliffs</w:t>
      </w:r>
      <w:r w:rsidR="006C1DFF">
        <w:t xml:space="preserve">, </w:t>
      </w:r>
      <w:r w:rsidR="004D1688">
        <w:t xml:space="preserve">where the morning sun first reaches, </w:t>
      </w:r>
      <w:r w:rsidR="006C1DFF">
        <w:t>many more</w:t>
      </w:r>
      <w:r w:rsidR="006C1DFF" w:rsidRPr="00FC186B">
        <w:t xml:space="preserve"> were accessible to all members of the community.</w:t>
      </w:r>
    </w:p>
    <w:p w14:paraId="137A8658" w14:textId="17950A48" w:rsidR="006C1DFF" w:rsidRPr="00FC186B" w:rsidRDefault="006C1DFF" w:rsidP="006C1DFF">
      <w:r>
        <w:t xml:space="preserve">The largest site was in an </w:t>
      </w:r>
      <w:r w:rsidR="00AB3B0D">
        <w:t>alcove</w:t>
      </w:r>
      <w:r>
        <w:t xml:space="preserve"> cave</w:t>
      </w:r>
      <w:r w:rsidR="00410214">
        <w:t xml:space="preserve"> about 100 m above the creek</w:t>
      </w:r>
      <w:r>
        <w:t xml:space="preserve"> with a view of WSSS and had evidence of habitation, but most of the sites were located away from habitations</w:t>
      </w:r>
      <w:r w:rsidR="00085830">
        <w:t>, as</w:t>
      </w:r>
      <w:r>
        <w:t xml:space="preserve"> </w:t>
      </w:r>
      <w:proofErr w:type="spellStart"/>
      <w:r w:rsidR="00085830" w:rsidRPr="00FC186B">
        <w:t>Malotki</w:t>
      </w:r>
      <w:proofErr w:type="spellEnd"/>
      <w:r w:rsidR="00085830" w:rsidRPr="00FC186B">
        <w:t xml:space="preserve"> </w:t>
      </w:r>
      <w:r w:rsidR="004228AA">
        <w:t xml:space="preserve">and Weaver </w:t>
      </w:r>
      <w:r w:rsidR="00085830">
        <w:t>ha</w:t>
      </w:r>
      <w:r w:rsidR="004228AA">
        <w:t>ve</w:t>
      </w:r>
      <w:r w:rsidR="00085830">
        <w:t xml:space="preserve"> </w:t>
      </w:r>
      <w:r w:rsidR="00085830" w:rsidRPr="00FC186B">
        <w:t xml:space="preserve">argued is </w:t>
      </w:r>
      <w:r w:rsidR="00085830">
        <w:t>common</w:t>
      </w:r>
      <w:r w:rsidR="00085830" w:rsidRPr="00FC186B">
        <w:t>.</w:t>
      </w:r>
      <w:r w:rsidR="00085830">
        <w:rPr>
          <w:rStyle w:val="FootnoteReference"/>
        </w:rPr>
        <w:footnoteReference w:id="156"/>
      </w:r>
      <w:r w:rsidR="00085830" w:rsidRPr="00085830">
        <w:t xml:space="preserve"> </w:t>
      </w:r>
      <w:r w:rsidR="00085830" w:rsidRPr="00FC186B">
        <w:t xml:space="preserve">In this study, petroglyphs were found in only three </w:t>
      </w:r>
      <w:r w:rsidR="00F0710D">
        <w:t xml:space="preserve">habitation </w:t>
      </w:r>
      <w:r w:rsidR="00085830" w:rsidRPr="00FC186B">
        <w:t xml:space="preserve">caves and the artwork was concealed from distant views. In other words, petroglyphs were not used to announce locations of habitation. Pictographs, on the other hand, especially the large Barrier Canyon Style, were frequently found in </w:t>
      </w:r>
      <w:r w:rsidR="00F0710D">
        <w:t xml:space="preserve">habitation </w:t>
      </w:r>
      <w:r w:rsidR="00085830" w:rsidRPr="00FC186B">
        <w:t xml:space="preserve">caves </w:t>
      </w:r>
      <w:r w:rsidR="00F0710D">
        <w:t>which</w:t>
      </w:r>
      <w:r w:rsidR="00085830" w:rsidRPr="00FC186B">
        <w:t xml:space="preserve"> may be attributable to better preservation in </w:t>
      </w:r>
      <w:r w:rsidR="00F0710D">
        <w:t>those locations</w:t>
      </w:r>
      <w:r w:rsidR="00085830" w:rsidRPr="00FC186B">
        <w:t>.</w:t>
      </w:r>
    </w:p>
    <w:p w14:paraId="6BD32A52" w14:textId="6AE33D95" w:rsidR="00795BEB" w:rsidRDefault="004E3B25" w:rsidP="0068455A">
      <w:r w:rsidRPr="00FC186B">
        <w:t>Many sites were proximal to water sources</w:t>
      </w:r>
      <w:r w:rsidR="001A03DB">
        <w:t>.</w:t>
      </w:r>
      <w:r w:rsidRPr="00FC186B">
        <w:t xml:space="preserve"> </w:t>
      </w:r>
      <w:r w:rsidR="001A03DB">
        <w:t>I</w:t>
      </w:r>
      <w:r w:rsidRPr="00FC186B">
        <w:t>t seems unlikely that the petroglyphs were used to mark water sources</w:t>
      </w:r>
      <w:r w:rsidR="001A03DB">
        <w:t xml:space="preserve"> as </w:t>
      </w:r>
      <w:r w:rsidR="001A03DB" w:rsidRPr="00FC186B">
        <w:t xml:space="preserve">creeks, rivers, springs, and </w:t>
      </w:r>
      <w:r w:rsidR="00BF34EC">
        <w:t xml:space="preserve">the </w:t>
      </w:r>
      <w:r w:rsidR="001A03DB" w:rsidRPr="00FC186B">
        <w:t>associated vegetation are more obvious</w:t>
      </w:r>
      <w:r w:rsidR="00BF34EC">
        <w:t xml:space="preserve"> than rock art</w:t>
      </w:r>
      <w:r w:rsidR="001A03DB">
        <w:t>.</w:t>
      </w:r>
      <w:r>
        <w:t xml:space="preserve"> </w:t>
      </w:r>
      <w:r w:rsidR="006F7972">
        <w:t xml:space="preserve">Alex </w:t>
      </w:r>
      <w:r w:rsidR="00FA7064">
        <w:t>C</w:t>
      </w:r>
      <w:r w:rsidR="004E1B47">
        <w:t>arroll</w:t>
      </w:r>
      <w:r w:rsidR="00FA7064">
        <w:t xml:space="preserve"> et al. cited the three essential elements of </w:t>
      </w:r>
      <w:r w:rsidR="004E1B47">
        <w:t>locations for Numic</w:t>
      </w:r>
      <w:r w:rsidR="00BF34EC">
        <w:t xml:space="preserve"> peoples</w:t>
      </w:r>
      <w:r w:rsidR="004E1B47">
        <w:t xml:space="preserve"> (to which the Ute belong) </w:t>
      </w:r>
      <w:r w:rsidR="002D0BF2">
        <w:t xml:space="preserve">to hold </w:t>
      </w:r>
      <w:r w:rsidR="004E1B47">
        <w:t>ritual performances as</w:t>
      </w:r>
      <w:r w:rsidR="00BF34EC">
        <w:t>:</w:t>
      </w:r>
      <w:r w:rsidR="004E1B47">
        <w:t xml:space="preserve"> </w:t>
      </w:r>
      <w:r w:rsidR="001A03DB">
        <w:t xml:space="preserve">a </w:t>
      </w:r>
      <w:r w:rsidR="004E1B47">
        <w:t>water source, a salient landform or rock outcropping</w:t>
      </w:r>
      <w:r w:rsidR="001A03DB">
        <w:t>,</w:t>
      </w:r>
      <w:r w:rsidR="004E1B47">
        <w:t xml:space="preserve"> and rock art.</w:t>
      </w:r>
      <w:r w:rsidR="004E1B47">
        <w:rPr>
          <w:rStyle w:val="FootnoteReference"/>
        </w:rPr>
        <w:footnoteReference w:id="157"/>
      </w:r>
      <w:r w:rsidR="001A03DB">
        <w:t xml:space="preserve"> </w:t>
      </w:r>
      <w:r w:rsidR="006C1DFF">
        <w:t xml:space="preserve">Most of the sites were near a water </w:t>
      </w:r>
      <w:r w:rsidR="006C1DFF">
        <w:lastRenderedPageBreak/>
        <w:t xml:space="preserve">source, which </w:t>
      </w:r>
      <w:r w:rsidR="00795BEB">
        <w:t>correlates with Whitley’s finding</w:t>
      </w:r>
      <w:r w:rsidR="00C22C63">
        <w:t>s</w:t>
      </w:r>
      <w:r w:rsidR="00795BEB">
        <w:t xml:space="preserve"> in California </w:t>
      </w:r>
      <w:r w:rsidR="002D0BF2">
        <w:t xml:space="preserve">where he found </w:t>
      </w:r>
      <w:r w:rsidR="00795BEB">
        <w:t xml:space="preserve">rock art (a male activity) was </w:t>
      </w:r>
      <w:r w:rsidR="008D5E3C">
        <w:t xml:space="preserve">located in feminine gendered landscapes, such as deep canyons and by springs, while masculine landscapes </w:t>
      </w:r>
      <w:r w:rsidR="00C22C63">
        <w:t>such as</w:t>
      </w:r>
      <w:r w:rsidR="008D5E3C">
        <w:t xml:space="preserve"> mountains tops were visited during female puberty rituals in a counterbalancing </w:t>
      </w:r>
      <w:r w:rsidR="00C22C63">
        <w:t xml:space="preserve">or ‘inversion’ </w:t>
      </w:r>
      <w:r w:rsidR="008D5E3C">
        <w:t xml:space="preserve">of male/female </w:t>
      </w:r>
      <w:r w:rsidR="00C22C63">
        <w:t xml:space="preserve">in </w:t>
      </w:r>
      <w:r w:rsidR="008D5E3C">
        <w:t>landscapes and rituals.</w:t>
      </w:r>
      <w:r w:rsidR="008D5E3C">
        <w:rPr>
          <w:rStyle w:val="FootnoteReference"/>
        </w:rPr>
        <w:footnoteReference w:id="158"/>
      </w:r>
    </w:p>
    <w:p w14:paraId="3B6A0307" w14:textId="16C6DB68" w:rsidR="004E3B25" w:rsidRDefault="00C22C63" w:rsidP="0068455A">
      <w:r>
        <w:t>T</w:t>
      </w:r>
      <w:r w:rsidR="006C1DFF">
        <w:t xml:space="preserve">he </w:t>
      </w:r>
      <w:r w:rsidR="00555ED2">
        <w:t>four</w:t>
      </w:r>
      <w:r w:rsidR="006C1DFF">
        <w:t xml:space="preserve"> largest WSSR sites were about an hour walk away from water.</w:t>
      </w:r>
      <w:r w:rsidR="006C1DFF" w:rsidRPr="006C1DFF">
        <w:t xml:space="preserve"> </w:t>
      </w:r>
      <w:r w:rsidR="006C1DFF" w:rsidRPr="00FC186B">
        <w:t xml:space="preserve">In effect, they required a pilgrimage. </w:t>
      </w:r>
      <w:r w:rsidR="006C1DFF">
        <w:t xml:space="preserve">At winter solstice, these sites probably had snow on the ground, so water may not have been an issue as it would have been while visiting these sites in summer. According to </w:t>
      </w:r>
      <w:r w:rsidR="006C1DFF" w:rsidRPr="00A623A6">
        <w:t>Smiley,</w:t>
      </w:r>
      <w:r w:rsidR="006C1DFF">
        <w:t xml:space="preserve"> winters were the time of year that late Archaic people aggregated and held rituals or celebrations.</w:t>
      </w:r>
      <w:r w:rsidR="006C1DFF">
        <w:rPr>
          <w:rStyle w:val="FootnoteReference"/>
        </w:rPr>
        <w:footnoteReference w:id="159"/>
      </w:r>
      <w:r w:rsidR="00085830">
        <w:t xml:space="preserve"> </w:t>
      </w:r>
      <w:r w:rsidR="002D0BF2">
        <w:t xml:space="preserve">In Iceland </w:t>
      </w:r>
      <w:r w:rsidR="00BF34EC">
        <w:t xml:space="preserve">disparate and isolated bands of </w:t>
      </w:r>
      <w:r w:rsidR="008035E2" w:rsidRPr="00F22458">
        <w:t xml:space="preserve">Vikings </w:t>
      </w:r>
      <w:r>
        <w:t>developed</w:t>
      </w:r>
      <w:r w:rsidR="008035E2" w:rsidRPr="00F22458">
        <w:t xml:space="preserve"> a calendar to time their assemblies, </w:t>
      </w:r>
      <w:r w:rsidR="00F22458" w:rsidRPr="00F22458">
        <w:t>where</w:t>
      </w:r>
      <w:r w:rsidR="008035E2" w:rsidRPr="00F22458">
        <w:t xml:space="preserve">  </w:t>
      </w:r>
      <w:r w:rsidR="00F22458">
        <w:t>‘</w:t>
      </w:r>
      <w:proofErr w:type="spellStart"/>
      <w:r w:rsidR="008035E2" w:rsidRPr="00F22458">
        <w:rPr>
          <w:i/>
          <w:iCs/>
        </w:rPr>
        <w:t>Þing</w:t>
      </w:r>
      <w:proofErr w:type="spellEnd"/>
      <w:r w:rsidR="006F7972">
        <w:t xml:space="preserve"> [name of the assembly]</w:t>
      </w:r>
      <w:r w:rsidR="008035E2" w:rsidRPr="00F22458">
        <w:rPr>
          <w:i/>
          <w:iCs/>
        </w:rPr>
        <w:t xml:space="preserve"> </w:t>
      </w:r>
      <w:r w:rsidR="008035E2" w:rsidRPr="00F22458">
        <w:t xml:space="preserve">in its earliest form meant both ‘time’ and ‘meeting’ and it can therefore be translated as a </w:t>
      </w:r>
      <w:r w:rsidR="00F22458">
        <w:t>“</w:t>
      </w:r>
      <w:r w:rsidR="008035E2" w:rsidRPr="00F22458">
        <w:t>gathering at a fixed time</w:t>
      </w:r>
      <w:r w:rsidR="00F22458">
        <w:t>”</w:t>
      </w:r>
      <w:r w:rsidR="008035E2" w:rsidRPr="00F22458">
        <w:t>’.</w:t>
      </w:r>
      <w:r w:rsidR="008035E2" w:rsidRPr="00F22458">
        <w:rPr>
          <w:rStyle w:val="FootnoteReference"/>
        </w:rPr>
        <w:footnoteReference w:id="160"/>
      </w:r>
      <w:r w:rsidR="00F22458" w:rsidRPr="00F22458">
        <w:t xml:space="preserve"> </w:t>
      </w:r>
      <w:r w:rsidR="00F22458">
        <w:t xml:space="preserve">While not a calendar, </w:t>
      </w:r>
      <w:r w:rsidR="00C31104">
        <w:t xml:space="preserve">petroglyph </w:t>
      </w:r>
      <w:r w:rsidR="00857E05">
        <w:t>sites</w:t>
      </w:r>
      <w:r w:rsidR="00C31104">
        <w:t xml:space="preserve"> </w:t>
      </w:r>
      <w:r w:rsidR="00F22458">
        <w:t xml:space="preserve">set </w:t>
      </w:r>
      <w:r w:rsidR="00C31104">
        <w:t>to witness winter</w:t>
      </w:r>
      <w:r w:rsidR="00F22458">
        <w:t xml:space="preserve"> solstice may have </w:t>
      </w:r>
      <w:r w:rsidR="006F7972">
        <w:t>served as a time and place for</w:t>
      </w:r>
      <w:r w:rsidR="00F22458">
        <w:t xml:space="preserve"> </w:t>
      </w:r>
      <w:r w:rsidR="00373018">
        <w:t>hunter-gatherer</w:t>
      </w:r>
      <w:r w:rsidR="00F22458">
        <w:t xml:space="preserve"> </w:t>
      </w:r>
      <w:r w:rsidR="00373018">
        <w:t>reunions</w:t>
      </w:r>
      <w:r w:rsidR="00C31104">
        <w:t xml:space="preserve">, in an environment where </w:t>
      </w:r>
      <w:r w:rsidR="00C451B1">
        <w:t xml:space="preserve">annual </w:t>
      </w:r>
      <w:r w:rsidR="00C31104">
        <w:t xml:space="preserve">time markers were </w:t>
      </w:r>
      <w:r w:rsidR="00C451B1">
        <w:t>scarce</w:t>
      </w:r>
      <w:r w:rsidR="00486443">
        <w:t xml:space="preserve"> and communication between bands was sparse</w:t>
      </w:r>
      <w:r w:rsidR="00C31104">
        <w:t>.</w:t>
      </w:r>
      <w:r w:rsidR="00F22458">
        <w:t xml:space="preserve"> </w:t>
      </w:r>
    </w:p>
    <w:p w14:paraId="4EA06DDF" w14:textId="2807CA96" w:rsidR="00741A08" w:rsidRDefault="00642CF7" w:rsidP="0068455A">
      <w:proofErr w:type="spellStart"/>
      <w:r>
        <w:t>Malotki</w:t>
      </w:r>
      <w:proofErr w:type="spellEnd"/>
      <w:r>
        <w:t xml:space="preserve"> </w:t>
      </w:r>
      <w:r w:rsidR="004228AA">
        <w:t xml:space="preserve">and Weaver </w:t>
      </w:r>
      <w:r>
        <w:t>argue</w:t>
      </w:r>
      <w:r w:rsidR="004E3B25">
        <w:t>d</w:t>
      </w:r>
      <w:r>
        <w:t xml:space="preserve"> that </w:t>
      </w:r>
      <w:r w:rsidR="00EF1D02">
        <w:t>‘hunting magic must be included as one of the probable functions of rock art.’</w:t>
      </w:r>
      <w:r w:rsidR="00EF1D02">
        <w:rPr>
          <w:rStyle w:val="FootnoteReference"/>
        </w:rPr>
        <w:footnoteReference w:id="161"/>
      </w:r>
      <w:r w:rsidR="00EF1D02">
        <w:t xml:space="preserve"> </w:t>
      </w:r>
      <w:r w:rsidR="00716624" w:rsidRPr="00FC186B">
        <w:t>The description of game movement patterns and hunting strategies</w:t>
      </w:r>
      <w:r w:rsidR="006D76D7" w:rsidRPr="00FC186B">
        <w:t xml:space="preserve"> may have included elements of sympathetic magic in the Archaic mind, but </w:t>
      </w:r>
      <w:r w:rsidR="00C22C63">
        <w:t xml:space="preserve">were </w:t>
      </w:r>
      <w:r w:rsidR="006D76D7" w:rsidRPr="00FC186B">
        <w:t xml:space="preserve">pragmatic </w:t>
      </w:r>
      <w:r w:rsidR="006D76D7" w:rsidRPr="00FC186B">
        <w:lastRenderedPageBreak/>
        <w:t xml:space="preserve">in </w:t>
      </w:r>
      <w:r w:rsidR="004E3B25">
        <w:t>C</w:t>
      </w:r>
      <w:r w:rsidR="006D76D7" w:rsidRPr="00FC186B">
        <w:t xml:space="preserve">anyonlands, where </w:t>
      </w:r>
      <w:r w:rsidR="0014288C">
        <w:t>both hunter and prey had limited routes for exiting box canyons</w:t>
      </w:r>
      <w:r w:rsidR="006D76D7" w:rsidRPr="00FC186B">
        <w:t xml:space="preserve">. At least four large sites were placed in </w:t>
      </w:r>
      <w:r w:rsidR="00EF6EAC" w:rsidRPr="00FC186B">
        <w:t>good</w:t>
      </w:r>
      <w:r w:rsidR="006D76D7" w:rsidRPr="00FC186B">
        <w:t xml:space="preserve"> locations for watching game movements and hunting</w:t>
      </w:r>
      <w:r w:rsidR="004E3B25">
        <w:t>, such as canyons with springs</w:t>
      </w:r>
      <w:r w:rsidR="00EF1D02">
        <w:t>.</w:t>
      </w:r>
      <w:r w:rsidR="006D76D7" w:rsidRPr="00FC186B">
        <w:t xml:space="preserve"> </w:t>
      </w:r>
      <w:r w:rsidR="00EB5FDC">
        <w:t xml:space="preserve">Three of these sites </w:t>
      </w:r>
      <w:r w:rsidR="003E2EFD">
        <w:t>(</w:t>
      </w:r>
      <w:proofErr w:type="spellStart"/>
      <w:r w:rsidR="003E2EFD">
        <w:t>Amasa</w:t>
      </w:r>
      <w:proofErr w:type="spellEnd"/>
      <w:r w:rsidR="003E2EFD">
        <w:t xml:space="preserve"> Canyon, Poison Spider Trailhead, and Millcreek) </w:t>
      </w:r>
      <w:r w:rsidR="00EB5FDC">
        <w:t>did not have orientations to solstices</w:t>
      </w:r>
      <w:r w:rsidR="00A54350">
        <w:t>,</w:t>
      </w:r>
      <w:r w:rsidR="00EB5FDC">
        <w:t xml:space="preserve"> while one did.</w:t>
      </w:r>
    </w:p>
    <w:p w14:paraId="28360B29" w14:textId="5025F51D" w:rsidR="00AF2440" w:rsidRDefault="00EB5FDC" w:rsidP="00AF2440">
      <w:r w:rsidRPr="004359D6">
        <w:t xml:space="preserve">Margarita </w:t>
      </w:r>
      <w:proofErr w:type="spellStart"/>
      <w:r w:rsidRPr="004359D6">
        <w:t>Dìaz</w:t>
      </w:r>
      <w:proofErr w:type="spellEnd"/>
      <w:r w:rsidRPr="004359D6">
        <w:t xml:space="preserve">-Andreu et al., have provided evidence that rock art in the Mediterranean area </w:t>
      </w:r>
      <w:r>
        <w:t>was</w:t>
      </w:r>
      <w:r w:rsidRPr="004359D6">
        <w:t xml:space="preserve"> placed where landscape acoustics are enhanced.</w:t>
      </w:r>
      <w:r w:rsidRPr="004359D6">
        <w:rPr>
          <w:rStyle w:val="FootnoteReference"/>
        </w:rPr>
        <w:footnoteReference w:id="162"/>
      </w:r>
      <w:r w:rsidRPr="004359D6">
        <w:t xml:space="preserve"> </w:t>
      </w:r>
      <w:r w:rsidR="000A55D0">
        <w:t>Whitley consider</w:t>
      </w:r>
      <w:r w:rsidR="00C05E2C">
        <w:t>ed</w:t>
      </w:r>
      <w:r w:rsidR="000A55D0">
        <w:t xml:space="preserve"> Waller’s study of echoes at rock art sites in Horseshoe Canyon, U</w:t>
      </w:r>
      <w:r w:rsidR="00A16D5D">
        <w:t>T</w:t>
      </w:r>
      <w:r w:rsidR="000A55D0">
        <w:t xml:space="preserve"> as </w:t>
      </w:r>
      <w:r w:rsidR="00CF3E5B">
        <w:t>some of the strongest scientific evidence for site distribution.</w:t>
      </w:r>
      <w:r w:rsidR="00CF3E5B">
        <w:rPr>
          <w:rStyle w:val="FootnoteReference"/>
        </w:rPr>
        <w:footnoteReference w:id="163"/>
      </w:r>
      <w:r w:rsidR="00CF3E5B">
        <w:t xml:space="preserve"> </w:t>
      </w:r>
      <w:r w:rsidRPr="004359D6">
        <w:t>At two sites in th</w:t>
      </w:r>
      <w:r w:rsidR="00CF3E5B">
        <w:t>is</w:t>
      </w:r>
      <w:r w:rsidRPr="004359D6">
        <w:t xml:space="preserve"> study </w:t>
      </w:r>
      <w:r>
        <w:t xml:space="preserve">area </w:t>
      </w:r>
      <w:r w:rsidRPr="004359D6">
        <w:t>there were cupules and grinding areas on vertical or tilted stone faces, which could have been used to produce echoes against the opposing canyon wa</w:t>
      </w:r>
      <w:r>
        <w:t xml:space="preserve">ll. </w:t>
      </w:r>
      <w:r w:rsidR="00705051">
        <w:t xml:space="preserve">Because side-by-side canyon walls are prevalent in Canyonlands, </w:t>
      </w:r>
      <w:r w:rsidR="00C05E2C">
        <w:t xml:space="preserve">about </w:t>
      </w:r>
      <w:r w:rsidR="00AB31AD">
        <w:t>9</w:t>
      </w:r>
      <w:r w:rsidR="00857E05">
        <w:t>5</w:t>
      </w:r>
      <w:r w:rsidR="00CF3E5B">
        <w:t xml:space="preserve">% of the </w:t>
      </w:r>
      <w:r w:rsidR="00857E05">
        <w:t xml:space="preserve">rock art </w:t>
      </w:r>
      <w:r w:rsidR="00CF3E5B">
        <w:t xml:space="preserve">sites in this study </w:t>
      </w:r>
      <w:r w:rsidR="00705051">
        <w:t>had</w:t>
      </w:r>
      <w:r w:rsidR="00CF3E5B">
        <w:t xml:space="preserve"> an opposing cliff wall</w:t>
      </w:r>
      <w:r w:rsidR="00AB31AD">
        <w:t xml:space="preserve"> or mountain face</w:t>
      </w:r>
      <w:r w:rsidR="00CF3E5B">
        <w:t xml:space="preserve"> with good echo potential.</w:t>
      </w:r>
    </w:p>
    <w:p w14:paraId="7114AEC8" w14:textId="6BA0509F" w:rsidR="00E15279" w:rsidRPr="00FC186B" w:rsidRDefault="00F01BD2" w:rsidP="00AF2440">
      <w:proofErr w:type="spellStart"/>
      <w:r>
        <w:t>Malotki</w:t>
      </w:r>
      <w:proofErr w:type="spellEnd"/>
      <w:r>
        <w:t xml:space="preserve"> </w:t>
      </w:r>
      <w:r w:rsidR="004228AA">
        <w:t xml:space="preserve">and Weaver </w:t>
      </w:r>
      <w:r>
        <w:t xml:space="preserve">argued that positioning rock art away from habitation and ordinary activity sites, </w:t>
      </w:r>
      <w:r w:rsidR="00B41927">
        <w:t>may have been a prerequisite for shamanic activities</w:t>
      </w:r>
      <w:r w:rsidR="0019135D">
        <w:t xml:space="preserve"> by providing secrecy </w:t>
      </w:r>
      <w:r w:rsidR="00705051">
        <w:t>and</w:t>
      </w:r>
      <w:r w:rsidR="00B41927">
        <w:t xml:space="preserve"> to protect supernatural places and beings.</w:t>
      </w:r>
      <w:r w:rsidR="00B41927">
        <w:rPr>
          <w:rStyle w:val="FootnoteReference"/>
        </w:rPr>
        <w:footnoteReference w:id="164"/>
      </w:r>
      <w:r>
        <w:t xml:space="preserve"> </w:t>
      </w:r>
      <w:r w:rsidR="0070320F">
        <w:t>Seclusion is an important element in vision quests and initiation rites, which according to Whitley et al.</w:t>
      </w:r>
      <w:r w:rsidR="0070320F" w:rsidRPr="00FC186B">
        <w:t xml:space="preserve"> have been used among Native </w:t>
      </w:r>
      <w:r w:rsidR="0070320F" w:rsidRPr="00FC186B">
        <w:lastRenderedPageBreak/>
        <w:t xml:space="preserve">Americans </w:t>
      </w:r>
      <w:r w:rsidR="0070320F">
        <w:t>for up to 10,000 years.</w:t>
      </w:r>
      <w:r w:rsidR="0070320F">
        <w:rPr>
          <w:rStyle w:val="FootnoteReference"/>
        </w:rPr>
        <w:footnoteReference w:id="165"/>
      </w:r>
      <w:r w:rsidR="0070320F" w:rsidRPr="00FC186B">
        <w:t xml:space="preserve"> </w:t>
      </w:r>
      <w:r w:rsidR="0070320F">
        <w:t xml:space="preserve"> The shamanic theory originally proposed by Lewis-Williams</w:t>
      </w:r>
      <w:r w:rsidR="007B5ED6">
        <w:t xml:space="preserve"> and Thomas Dowson</w:t>
      </w:r>
      <w:r w:rsidR="0070320F">
        <w:t xml:space="preserve"> that rock art records and facilitates shamanic activities </w:t>
      </w:r>
      <w:r w:rsidR="006F7556">
        <w:t>and that the motifs are derived from entopic</w:t>
      </w:r>
      <w:r w:rsidR="00C05E2C">
        <w:t xml:space="preserve"> (neurologically produced) </w:t>
      </w:r>
      <w:r w:rsidR="006F7556">
        <w:t xml:space="preserve"> images seen during altered states of consciousness, </w:t>
      </w:r>
      <w:r w:rsidR="0070320F">
        <w:t>has been embraced by</w:t>
      </w:r>
      <w:r w:rsidR="006574C9">
        <w:t xml:space="preserve"> researchers like </w:t>
      </w:r>
      <w:proofErr w:type="spellStart"/>
      <w:r w:rsidR="006574C9">
        <w:t>Malotki</w:t>
      </w:r>
      <w:proofErr w:type="spellEnd"/>
      <w:r w:rsidR="006574C9">
        <w:t xml:space="preserve">, </w:t>
      </w:r>
      <w:proofErr w:type="spellStart"/>
      <w:r w:rsidR="006574C9">
        <w:t>Schaafsma</w:t>
      </w:r>
      <w:proofErr w:type="spellEnd"/>
      <w:r w:rsidR="004228AA">
        <w:t>,</w:t>
      </w:r>
      <w:r w:rsidR="00D1779B">
        <w:t xml:space="preserve"> Young</w:t>
      </w:r>
      <w:r w:rsidR="00AB31AD">
        <w:t>,</w:t>
      </w:r>
      <w:r w:rsidR="006574C9">
        <w:t xml:space="preserve"> and Whitley.</w:t>
      </w:r>
      <w:r w:rsidR="00EF3F50">
        <w:rPr>
          <w:rStyle w:val="FootnoteReference"/>
        </w:rPr>
        <w:footnoteReference w:id="166"/>
      </w:r>
      <w:r w:rsidR="0070320F">
        <w:t xml:space="preserve"> </w:t>
      </w:r>
      <w:r w:rsidR="00B160F9">
        <w:t xml:space="preserve">Whitley </w:t>
      </w:r>
      <w:r w:rsidR="002A15EC">
        <w:t>concluded</w:t>
      </w:r>
      <w:r w:rsidR="00B160F9">
        <w:t xml:space="preserve"> rock art</w:t>
      </w:r>
      <w:r w:rsidR="00AB31AD">
        <w:t xml:space="preserve"> served to </w:t>
      </w:r>
      <w:r w:rsidR="00B160F9">
        <w:t>document shamanic journeys</w:t>
      </w:r>
      <w:r w:rsidR="004F1985">
        <w:t>,</w:t>
      </w:r>
      <w:r w:rsidR="00B160F9">
        <w:t xml:space="preserve"> </w:t>
      </w:r>
      <w:r w:rsidR="004F1985">
        <w:t xml:space="preserve">which are later </w:t>
      </w:r>
      <w:r w:rsidR="00B160F9">
        <w:t>difficult to recall</w:t>
      </w:r>
      <w:r w:rsidR="002A15EC">
        <w:t>.</w:t>
      </w:r>
      <w:r w:rsidR="002A15EC">
        <w:rPr>
          <w:rStyle w:val="FootnoteReference"/>
        </w:rPr>
        <w:footnoteReference w:id="167"/>
      </w:r>
      <w:r w:rsidR="002A15EC">
        <w:t xml:space="preserve"> </w:t>
      </w:r>
      <w:r w:rsidR="00B160F9">
        <w:t xml:space="preserve"> </w:t>
      </w:r>
      <w:r w:rsidR="002A15EC">
        <w:t xml:space="preserve">Sites used for vision quests or similar rituals over many generations would explain the frequent occurrence of palimpsest panels. </w:t>
      </w:r>
      <w:r w:rsidR="00EF6EAC" w:rsidRPr="00FC186B">
        <w:t xml:space="preserve">Because </w:t>
      </w:r>
      <w:r w:rsidR="00A71928">
        <w:t>shamanism is ‘the initial New World religion’</w:t>
      </w:r>
      <w:r w:rsidR="00EF6EAC" w:rsidRPr="00FC186B">
        <w:t xml:space="preserve"> </w:t>
      </w:r>
      <w:r w:rsidR="00A54350">
        <w:t xml:space="preserve">in Native America, according to Whitley, </w:t>
      </w:r>
      <w:r w:rsidR="00EF6EAC" w:rsidRPr="00FC186B">
        <w:t xml:space="preserve">it </w:t>
      </w:r>
      <w:r w:rsidR="006F7556">
        <w:t>should be considered as a potential</w:t>
      </w:r>
      <w:r w:rsidR="00EF6EAC" w:rsidRPr="00FC186B">
        <w:t xml:space="preserve"> motivation for some of the rock art locations in the study area.</w:t>
      </w:r>
      <w:r w:rsidR="00785F3E">
        <w:rPr>
          <w:rStyle w:val="FootnoteReference"/>
        </w:rPr>
        <w:footnoteReference w:id="168"/>
      </w:r>
      <w:r w:rsidR="00597284" w:rsidRPr="00FC186B">
        <w:t xml:space="preserve"> </w:t>
      </w:r>
    </w:p>
    <w:p w14:paraId="4EE100AD" w14:textId="3E2A6906" w:rsidR="006E673A" w:rsidRPr="00FC186B" w:rsidRDefault="00E02191" w:rsidP="0068455A">
      <w:r w:rsidRPr="00FC186B">
        <w:t>In summary, given all the potential motivations for placing rock art in the landscape, the strong correlation between solstice</w:t>
      </w:r>
      <w:r w:rsidR="00F57EAA">
        <w:t>-</w:t>
      </w:r>
      <w:r w:rsidRPr="00FC186B">
        <w:t>viewing sites and petroglyphs indicates that the Archaic peoples of the study area were tracking the sun</w:t>
      </w:r>
      <w:r w:rsidR="007E48CD" w:rsidRPr="00FC186B">
        <w:t>’s annual journey. Even while recognizing the imprecision with which natural landscapes can be measured</w:t>
      </w:r>
      <w:r w:rsidR="006E673A" w:rsidRPr="00FC186B">
        <w:t xml:space="preserve"> and the range of solar events that might have interested hunter and gatherers, it can be concluded that Archaic </w:t>
      </w:r>
      <w:r w:rsidR="006E673A" w:rsidRPr="00FC186B">
        <w:lastRenderedPageBreak/>
        <w:t>people considered the sun a part of their sacred landscape and celebrated or at least measured its movements with rock art.</w:t>
      </w:r>
    </w:p>
    <w:p w14:paraId="477206C7" w14:textId="0DBCB2C4" w:rsidR="006E673A" w:rsidRPr="00FC186B" w:rsidRDefault="00EB409A" w:rsidP="00EB409A">
      <w:pPr>
        <w:pStyle w:val="Heading2"/>
      </w:pPr>
      <w:bookmarkStart w:id="67" w:name="_Toc101636987"/>
      <w:r>
        <w:t xml:space="preserve">Hunter-Gatherer </w:t>
      </w:r>
      <w:r w:rsidR="006E673A" w:rsidRPr="00FC186B">
        <w:t>Ethnology</w:t>
      </w:r>
      <w:bookmarkEnd w:id="67"/>
    </w:p>
    <w:p w14:paraId="3AED786D" w14:textId="6840EFC9" w:rsidR="00E15279" w:rsidRDefault="00CE2839" w:rsidP="009A15E0">
      <w:r w:rsidRPr="00FC186B">
        <w:t xml:space="preserve">The following discussion </w:t>
      </w:r>
      <w:r w:rsidR="00301B2E" w:rsidRPr="00FC186B">
        <w:t>provid</w:t>
      </w:r>
      <w:r w:rsidR="00301B2E">
        <w:t>es</w:t>
      </w:r>
      <w:r w:rsidR="00301B2E" w:rsidRPr="00FC186B">
        <w:t xml:space="preserve"> ‘thick description’</w:t>
      </w:r>
      <w:r w:rsidR="00301B2E">
        <w:t xml:space="preserve"> </w:t>
      </w:r>
      <w:r w:rsidRPr="00FC186B">
        <w:t>of solstice-viewing</w:t>
      </w:r>
      <w:r w:rsidR="008A6CE8">
        <w:t xml:space="preserve"> derived</w:t>
      </w:r>
      <w:r w:rsidR="00301B2E">
        <w:t xml:space="preserve"> from </w:t>
      </w:r>
      <w:r w:rsidRPr="00FC186B">
        <w:t>ethnologies of</w:t>
      </w:r>
      <w:r w:rsidR="00301B2E">
        <w:t xml:space="preserve"> </w:t>
      </w:r>
      <w:r w:rsidR="008A6CE8" w:rsidRPr="00FC186B">
        <w:t xml:space="preserve">Native American </w:t>
      </w:r>
      <w:r w:rsidR="008A6CE8">
        <w:t>hunter-gatherers</w:t>
      </w:r>
      <w:r w:rsidR="00EB409A">
        <w:t>, beginning with the relationship to sky or sky gods.</w:t>
      </w:r>
      <w:r w:rsidR="00301B2E">
        <w:t xml:space="preserve"> </w:t>
      </w:r>
      <w:r w:rsidR="008A6CE8">
        <w:t>Potential c</w:t>
      </w:r>
      <w:r w:rsidR="00301B2E">
        <w:t>ultural aspects</w:t>
      </w:r>
      <w:r w:rsidR="002D001F" w:rsidRPr="00FC186B">
        <w:t xml:space="preserve"> </w:t>
      </w:r>
      <w:r w:rsidR="008A6CE8">
        <w:t xml:space="preserve">of </w:t>
      </w:r>
      <w:r w:rsidR="00834E34">
        <w:t xml:space="preserve">the Desert Archaic </w:t>
      </w:r>
      <w:r w:rsidR="008A6CE8">
        <w:t xml:space="preserve">shared by </w:t>
      </w:r>
      <w:r w:rsidR="00834E34">
        <w:t xml:space="preserve">other </w:t>
      </w:r>
      <w:r w:rsidR="008A6CE8">
        <w:t xml:space="preserve">traditional </w:t>
      </w:r>
      <w:r w:rsidR="00834E34">
        <w:t xml:space="preserve">groups </w:t>
      </w:r>
      <w:r w:rsidR="002D001F" w:rsidRPr="00FC186B">
        <w:t>are animism</w:t>
      </w:r>
      <w:r w:rsidR="00834E34">
        <w:t>, shamanism,</w:t>
      </w:r>
      <w:r w:rsidR="002D001F" w:rsidRPr="00FC186B">
        <w:t xml:space="preserve"> </w:t>
      </w:r>
      <w:r w:rsidR="00A16D5D">
        <w:t>and</w:t>
      </w:r>
      <w:r w:rsidR="008A6CE8">
        <w:t xml:space="preserve"> a ‘reciprocal ontology’</w:t>
      </w:r>
      <w:r w:rsidR="009A15E0">
        <w:t>.</w:t>
      </w:r>
    </w:p>
    <w:p w14:paraId="5C40DCD0" w14:textId="77777777" w:rsidR="00EB409A" w:rsidRPr="00FC186B" w:rsidRDefault="00EB409A" w:rsidP="00EB409A">
      <w:pPr>
        <w:pStyle w:val="Heading3"/>
      </w:pPr>
      <w:bookmarkStart w:id="68" w:name="_Toc101636988"/>
      <w:r>
        <w:t>Relationship with the Sun</w:t>
      </w:r>
      <w:bookmarkEnd w:id="68"/>
    </w:p>
    <w:p w14:paraId="3F64021C" w14:textId="1D9672F0" w:rsidR="00EB409A" w:rsidRDefault="00EB409A" w:rsidP="00EB409A">
      <w:r w:rsidRPr="00FC186B">
        <w:t>Whitley argue</w:t>
      </w:r>
      <w:r w:rsidR="00DF2CD0">
        <w:t>d</w:t>
      </w:r>
      <w:r w:rsidRPr="00FC186B">
        <w:t xml:space="preserve"> that historical beliefs among traditional societies can reflect </w:t>
      </w:r>
      <w:r w:rsidR="009F347F">
        <w:t>A</w:t>
      </w:r>
      <w:r w:rsidRPr="00FC186B">
        <w:t>rchaic beliefs due to the extreme conservative nature of those belief systems and their adaptability.</w:t>
      </w:r>
      <w:r>
        <w:rPr>
          <w:rStyle w:val="FootnoteReference"/>
        </w:rPr>
        <w:footnoteReference w:id="169"/>
      </w:r>
      <w:r w:rsidRPr="00FC186B">
        <w:t xml:space="preserve"> Especially in </w:t>
      </w:r>
      <w:r>
        <w:t>models based on ‘invariant principles, uniformitarian laws, and timeless</w:t>
      </w:r>
      <w:r w:rsidRPr="00FC186B">
        <w:t xml:space="preserve"> </w:t>
      </w:r>
      <w:r>
        <w:t>characteristics’</w:t>
      </w:r>
      <w:r w:rsidRPr="00FC186B">
        <w:t xml:space="preserve"> </w:t>
      </w:r>
      <w:r>
        <w:t xml:space="preserve">of </w:t>
      </w:r>
      <w:r w:rsidRPr="00FC186B">
        <w:t xml:space="preserve">natural phenomena, Whitley </w:t>
      </w:r>
      <w:r w:rsidR="00A16D5D">
        <w:t>felt</w:t>
      </w:r>
      <w:r w:rsidRPr="00FC186B">
        <w:t xml:space="preserve"> that these perspectives can be applied even in the absence of ethnographic information.</w:t>
      </w:r>
      <w:r>
        <w:rPr>
          <w:rStyle w:val="FootnoteReference"/>
        </w:rPr>
        <w:footnoteReference w:id="170"/>
      </w:r>
      <w:r>
        <w:t xml:space="preserve"> The annual solar cycle may be such a process. </w:t>
      </w:r>
      <w:r w:rsidRPr="00FC186B">
        <w:t>Archaic peoples were keen observers of natural processes. While the slow path of the sun between the turning points in the northeast and southeast, may be somewhat harder to track among migratory people, the fact of the days being shorter and the sun lower in winter in contrast to the long hot days of summer was an unmistakable fact of life</w:t>
      </w:r>
      <w:r w:rsidR="0092569C">
        <w:t xml:space="preserve"> in the northern hemi</w:t>
      </w:r>
      <w:r w:rsidR="00DF2CD0">
        <w:t>s</w:t>
      </w:r>
      <w:r w:rsidR="0092569C">
        <w:t>phere</w:t>
      </w:r>
      <w:r w:rsidRPr="00FC186B">
        <w:t>. W</w:t>
      </w:r>
      <w:r w:rsidR="0092569C">
        <w:t>hile</w:t>
      </w:r>
      <w:r w:rsidRPr="00FC186B">
        <w:t xml:space="preserve"> the sun’s path along the horizon goes stationary </w:t>
      </w:r>
      <w:r>
        <w:t xml:space="preserve">(rises in the same location for three consecutive days) </w:t>
      </w:r>
      <w:r w:rsidRPr="00FC186B">
        <w:t xml:space="preserve">at both the southernmost WSSR location and the northernmost SSSR location, it is understandably the winter solstice that feels most threatening and has resulted more consistently in large ceremonies among Native </w:t>
      </w:r>
      <w:r w:rsidRPr="00FC186B">
        <w:lastRenderedPageBreak/>
        <w:t>Americans, such as the Hopi, where ceremonies</w:t>
      </w:r>
      <w:r w:rsidR="0092569C">
        <w:t xml:space="preserve"> to pull the sun back</w:t>
      </w:r>
      <w:r w:rsidR="00B160F9">
        <w:t xml:space="preserve"> were </w:t>
      </w:r>
      <w:r w:rsidR="0092569C" w:rsidRPr="00FC186B">
        <w:t xml:space="preserve">one </w:t>
      </w:r>
      <w:r w:rsidR="0092569C">
        <w:t xml:space="preserve">of </w:t>
      </w:r>
      <w:r w:rsidR="0092569C" w:rsidRPr="00FC186B">
        <w:t>the most important</w:t>
      </w:r>
      <w:r w:rsidR="00B160F9">
        <w:t>,</w:t>
      </w:r>
      <w:r w:rsidR="0092569C" w:rsidRPr="00FC186B">
        <w:t xml:space="preserve"> </w:t>
      </w:r>
      <w:r w:rsidRPr="00FC186B">
        <w:t>according to Ellis.</w:t>
      </w:r>
      <w:r w:rsidRPr="00FC186B">
        <w:rPr>
          <w:rStyle w:val="FootnoteReference"/>
        </w:rPr>
        <w:footnoteReference w:id="171"/>
      </w:r>
      <w:r w:rsidRPr="00FC186B">
        <w:t xml:space="preserve"> This research indicates that knowing the turning point of the sun at winter solstice was important enough to Archaic </w:t>
      </w:r>
      <w:r>
        <w:t>peoples</w:t>
      </w:r>
      <w:r w:rsidRPr="00FC186B">
        <w:t xml:space="preserve"> in the study area that they marked the locations for viewing </w:t>
      </w:r>
      <w:r>
        <w:t xml:space="preserve">solstices </w:t>
      </w:r>
      <w:r w:rsidRPr="00FC186B">
        <w:t>with petroglyphs. It is likely that the interaction of those tribes with the sun included ritual and ceremony</w:t>
      </w:r>
      <w:r w:rsidR="00B160F9">
        <w:t>.</w:t>
      </w:r>
      <w:r w:rsidRPr="00FC186B">
        <w:t xml:space="preserve"> </w:t>
      </w:r>
    </w:p>
    <w:p w14:paraId="7AB1D13F" w14:textId="28F3C224" w:rsidR="00EB409A" w:rsidRPr="00FC186B" w:rsidRDefault="00EB409A" w:rsidP="00EB409A">
      <w:r>
        <w:t>The inscription of petroglyphs at solstice viewing locations appears to be a mnemonic device for nomadic peoples, but it may have also been part of the ritual exchange with the sun being</w:t>
      </w:r>
      <w:r w:rsidR="009F347F">
        <w:t>.</w:t>
      </w:r>
      <w:r>
        <w:t xml:space="preserve"> The WSSR sites were often notably large sites, where one palimpsest panel of images from many generations comprised the central or focal point of the site</w:t>
      </w:r>
      <w:r w:rsidR="003000DE">
        <w:t>. A</w:t>
      </w:r>
      <w:r>
        <w:t xml:space="preserve">dditional smaller panels trailed along the cliff face for </w:t>
      </w:r>
      <w:r w:rsidR="00B160F9">
        <w:t>hundreds of meters</w:t>
      </w:r>
      <w:r>
        <w:t xml:space="preserve">. This phenomenon implies that large groups may have held ceremonies at these sites and that the production of rock art </w:t>
      </w:r>
      <w:r w:rsidR="00EC6774">
        <w:t>may have been a shared activity</w:t>
      </w:r>
      <w:r w:rsidR="005A1C3A">
        <w:t>.</w:t>
      </w:r>
      <w:r w:rsidR="00EC6774">
        <w:t xml:space="preserve"> </w:t>
      </w:r>
      <w:r w:rsidR="005A1C3A">
        <w:t>A</w:t>
      </w:r>
      <w:r w:rsidR="00EC6774">
        <w:t>lternatively subsequent generations chose to establish related sites rather than superimpose on older elements.</w:t>
      </w:r>
      <w:r w:rsidR="003000DE">
        <w:t xml:space="preserve"> </w:t>
      </w:r>
    </w:p>
    <w:p w14:paraId="12B55F5E" w14:textId="3AAC0223" w:rsidR="00EB409A" w:rsidRDefault="00EB409A" w:rsidP="00EB409A">
      <w:proofErr w:type="spellStart"/>
      <w:r w:rsidRPr="00FC186B">
        <w:t>Malotki</w:t>
      </w:r>
      <w:proofErr w:type="spellEnd"/>
      <w:r w:rsidRPr="00FC186B">
        <w:t xml:space="preserve"> and Dissanayake attested cupules </w:t>
      </w:r>
      <w:r w:rsidR="00A8687F">
        <w:t>were</w:t>
      </w:r>
      <w:r w:rsidRPr="00FC186B">
        <w:t xml:space="preserve"> among the oldest forms of </w:t>
      </w:r>
      <w:proofErr w:type="spellStart"/>
      <w:r w:rsidRPr="00FC186B">
        <w:t>artification</w:t>
      </w:r>
      <w:proofErr w:type="spellEnd"/>
      <w:r w:rsidRPr="00FC186B">
        <w:t xml:space="preserve"> of stone.</w:t>
      </w:r>
      <w:r w:rsidRPr="00FC186B">
        <w:rPr>
          <w:rStyle w:val="FootnoteReference"/>
        </w:rPr>
        <w:footnoteReference w:id="172"/>
      </w:r>
      <w:r w:rsidRPr="00FC186B">
        <w:t xml:space="preserve"> Although not common in the study area, stones </w:t>
      </w:r>
      <w:r w:rsidR="00EC6774">
        <w:t>which</w:t>
      </w:r>
      <w:r w:rsidRPr="00FC186B">
        <w:t xml:space="preserve"> have cupules, or pecked basins appear </w:t>
      </w:r>
      <w:r w:rsidR="00EC2121">
        <w:t>at</w:t>
      </w:r>
      <w:r w:rsidRPr="00FC186B">
        <w:t xml:space="preserve"> viewing locations for solstices, </w:t>
      </w:r>
      <w:r w:rsidR="00EC2121">
        <w:t xml:space="preserve">similar to those </w:t>
      </w:r>
      <w:r>
        <w:t>described</w:t>
      </w:r>
      <w:r w:rsidRPr="00FC186B">
        <w:t xml:space="preserve"> by </w:t>
      </w:r>
      <w:proofErr w:type="spellStart"/>
      <w:r w:rsidRPr="00FC186B">
        <w:t>Malville</w:t>
      </w:r>
      <w:proofErr w:type="spellEnd"/>
      <w:r>
        <w:t xml:space="preserve"> at Chimney Rock and Mesa Verde</w:t>
      </w:r>
      <w:r w:rsidRPr="00FC186B">
        <w:t xml:space="preserve">, </w:t>
      </w:r>
      <w:r w:rsidR="005A1C3A">
        <w:t xml:space="preserve">CO, </w:t>
      </w:r>
      <w:r w:rsidR="00EC6774">
        <w:t>where they may have been used for</w:t>
      </w:r>
      <w:r w:rsidRPr="00FC186B">
        <w:t xml:space="preserve"> offerings.</w:t>
      </w:r>
      <w:r w:rsidRPr="00FC186B">
        <w:rPr>
          <w:rStyle w:val="FootnoteReference"/>
        </w:rPr>
        <w:footnoteReference w:id="173"/>
      </w:r>
      <w:r w:rsidRPr="00FC186B">
        <w:t xml:space="preserve"> </w:t>
      </w:r>
      <w:proofErr w:type="spellStart"/>
      <w:r w:rsidR="00EC2121">
        <w:t>Malotki</w:t>
      </w:r>
      <w:proofErr w:type="spellEnd"/>
      <w:r w:rsidR="00EC2121">
        <w:t xml:space="preserve"> </w:t>
      </w:r>
      <w:r w:rsidR="00FC058C">
        <w:t xml:space="preserve">and Dissanayake </w:t>
      </w:r>
      <w:r w:rsidR="00EC2121">
        <w:t>contend</w:t>
      </w:r>
      <w:r w:rsidR="00C940EA">
        <w:t>ed</w:t>
      </w:r>
      <w:r w:rsidR="00EC2121">
        <w:t xml:space="preserve"> that the </w:t>
      </w:r>
      <w:r w:rsidRPr="00FC186B">
        <w:t>considerable work of creating a pecked basin len</w:t>
      </w:r>
      <w:r w:rsidR="005A1C3A">
        <w:t>t</w:t>
      </w:r>
      <w:r w:rsidRPr="00FC186B">
        <w:t xml:space="preserve"> deep symbolic meaning to places where they are found</w:t>
      </w:r>
      <w:r w:rsidR="003000DE">
        <w:t>.</w:t>
      </w:r>
      <w:r w:rsidR="00EC2121">
        <w:rPr>
          <w:rStyle w:val="FootnoteReference"/>
        </w:rPr>
        <w:footnoteReference w:id="174"/>
      </w:r>
      <w:r w:rsidR="003000DE">
        <w:t xml:space="preserve"> </w:t>
      </w:r>
      <w:r w:rsidR="00EC2121">
        <w:t>C</w:t>
      </w:r>
      <w:r w:rsidR="00EC2121" w:rsidRPr="00FC186B">
        <w:t>upule</w:t>
      </w:r>
      <w:r w:rsidR="00EC2121">
        <w:t>s may have</w:t>
      </w:r>
      <w:r w:rsidR="00EC2121" w:rsidRPr="00FC186B">
        <w:t xml:space="preserve"> served as </w:t>
      </w:r>
      <w:r w:rsidR="00EC2121" w:rsidRPr="00FC186B">
        <w:lastRenderedPageBreak/>
        <w:t>anchor</w:t>
      </w:r>
      <w:r w:rsidR="00EC2121">
        <w:t>s</w:t>
      </w:r>
      <w:r w:rsidR="00EC2121" w:rsidRPr="00FC186B">
        <w:t xml:space="preserve"> to the wanderings of the sun</w:t>
      </w:r>
      <w:r w:rsidR="00EC2121">
        <w:t>.</w:t>
      </w:r>
      <w:r w:rsidR="00EC2121" w:rsidRPr="00FC186B">
        <w:t xml:space="preserve"> </w:t>
      </w:r>
      <w:r w:rsidR="003000DE">
        <w:t>Holes in rock are linked to the feminine, considered a portal for supernatural beings</w:t>
      </w:r>
      <w:r w:rsidR="005A1C3A">
        <w:t>,</w:t>
      </w:r>
      <w:r w:rsidR="003000DE">
        <w:t xml:space="preserve"> and symbolize openings to the underworld</w:t>
      </w:r>
      <w:r w:rsidR="00BE3F34">
        <w:t>, according to Whitley.</w:t>
      </w:r>
      <w:r w:rsidR="00BE3F34">
        <w:rPr>
          <w:rStyle w:val="FootnoteReference"/>
        </w:rPr>
        <w:footnoteReference w:id="175"/>
      </w:r>
      <w:r w:rsidR="003000DE">
        <w:t xml:space="preserve"> </w:t>
      </w:r>
      <w:r w:rsidR="00D26023">
        <w:t xml:space="preserve">Scott </w:t>
      </w:r>
      <w:proofErr w:type="spellStart"/>
      <w:r w:rsidR="00D26023">
        <w:t>Ortman</w:t>
      </w:r>
      <w:proofErr w:type="spellEnd"/>
      <w:r w:rsidR="00D26023">
        <w:t xml:space="preserve"> described </w:t>
      </w:r>
      <w:r w:rsidR="00BE3F34">
        <w:t>the</w:t>
      </w:r>
      <w:r w:rsidR="00BE3F34" w:rsidRPr="009D498F">
        <w:rPr>
          <w:i/>
          <w:iCs/>
        </w:rPr>
        <w:t xml:space="preserve"> </w:t>
      </w:r>
      <w:proofErr w:type="spellStart"/>
      <w:r w:rsidR="00BE3F34" w:rsidRPr="009D498F">
        <w:rPr>
          <w:i/>
          <w:iCs/>
        </w:rPr>
        <w:t>s</w:t>
      </w:r>
      <w:r w:rsidR="00D26023" w:rsidRPr="009D498F">
        <w:rPr>
          <w:i/>
          <w:iCs/>
        </w:rPr>
        <w:t>h</w:t>
      </w:r>
      <w:r w:rsidR="00BE3F34" w:rsidRPr="009D498F">
        <w:rPr>
          <w:i/>
          <w:iCs/>
        </w:rPr>
        <w:t>ipapu</w:t>
      </w:r>
      <w:proofErr w:type="spellEnd"/>
      <w:r w:rsidR="00BE3F34">
        <w:t xml:space="preserve"> of</w:t>
      </w:r>
      <w:r w:rsidR="00D26023">
        <w:t xml:space="preserve"> AP</w:t>
      </w:r>
      <w:r w:rsidR="00BE3F34">
        <w:t xml:space="preserve"> kivas</w:t>
      </w:r>
      <w:r w:rsidR="00EC2121">
        <w:t>,</w:t>
      </w:r>
      <w:r w:rsidR="00BE3F34">
        <w:t xml:space="preserve"> the ritual holes in the earth</w:t>
      </w:r>
      <w:r w:rsidR="00EC2121">
        <w:t>en floor,</w:t>
      </w:r>
      <w:r w:rsidR="00BE3F34">
        <w:t xml:space="preserve"> </w:t>
      </w:r>
      <w:r w:rsidR="00EC2121">
        <w:t xml:space="preserve">as </w:t>
      </w:r>
      <w:r w:rsidR="00BE3F34">
        <w:t xml:space="preserve">symbolizing </w:t>
      </w:r>
      <w:r w:rsidR="0067599C">
        <w:t xml:space="preserve">points of </w:t>
      </w:r>
      <w:r w:rsidR="003000DE">
        <w:t>emergence</w:t>
      </w:r>
      <w:r w:rsidR="003D0871">
        <w:t xml:space="preserve"> from the underworld</w:t>
      </w:r>
      <w:r w:rsidR="00BE3F34">
        <w:t xml:space="preserve"> into this world</w:t>
      </w:r>
      <w:r w:rsidR="00D26023">
        <w:t>.</w:t>
      </w:r>
      <w:r w:rsidR="00D26023">
        <w:rPr>
          <w:rStyle w:val="FootnoteReference"/>
        </w:rPr>
        <w:footnoteReference w:id="176"/>
      </w:r>
      <w:r w:rsidR="003000DE">
        <w:t xml:space="preserve"> </w:t>
      </w:r>
      <w:r w:rsidR="0067599C">
        <w:t>Pecked basins and cupules placed at solstice positions, not only link sky and earth, but also symbolize access to all three of the ‘worlds’</w:t>
      </w:r>
      <w:r w:rsidR="00EC6774">
        <w:t>, including the underworld</w:t>
      </w:r>
      <w:r w:rsidR="005A1C3A">
        <w:t>,</w:t>
      </w:r>
      <w:r w:rsidR="0067599C">
        <w:t xml:space="preserve"> typically found in Native American </w:t>
      </w:r>
      <w:r w:rsidR="0067599C" w:rsidRPr="004F1985">
        <w:t>worldviews.</w:t>
      </w:r>
      <w:r w:rsidR="0067599C">
        <w:t xml:space="preserve"> By contrast, the narrative nature of</w:t>
      </w:r>
      <w:r w:rsidRPr="00FC186B">
        <w:t xml:space="preserve"> petroglyphs </w:t>
      </w:r>
      <w:r w:rsidR="003D0871">
        <w:t>enculture</w:t>
      </w:r>
      <w:r w:rsidR="00EC6774">
        <w:t>d</w:t>
      </w:r>
      <w:r w:rsidR="003D0871">
        <w:t xml:space="preserve"> </w:t>
      </w:r>
      <w:r w:rsidRPr="00FC186B">
        <w:t xml:space="preserve">viewing locations </w:t>
      </w:r>
      <w:r w:rsidR="00707383">
        <w:t>with</w:t>
      </w:r>
      <w:r w:rsidRPr="00FC186B">
        <w:t xml:space="preserve"> stories. Regardless of whether </w:t>
      </w:r>
      <w:r w:rsidR="003D6494">
        <w:t>the meaning of the petroglyphs can be deciphered</w:t>
      </w:r>
      <w:r w:rsidRPr="00FC186B">
        <w:t>, the Archaic people wove the movements of the sun together</w:t>
      </w:r>
      <w:r w:rsidR="007E496A">
        <w:t xml:space="preserve"> with</w:t>
      </w:r>
      <w:r w:rsidR="0067599C">
        <w:t xml:space="preserve"> terrestrial activities and </w:t>
      </w:r>
      <w:r w:rsidR="007E496A">
        <w:t>underworld influences</w:t>
      </w:r>
      <w:r w:rsidRPr="00FC186B">
        <w:t xml:space="preserve"> </w:t>
      </w:r>
      <w:r w:rsidR="007E496A">
        <w:t>through</w:t>
      </w:r>
      <w:r w:rsidRPr="00FC186B">
        <w:t xml:space="preserve"> human</w:t>
      </w:r>
      <w:r w:rsidR="007E496A">
        <w:t xml:space="preserve"> </w:t>
      </w:r>
      <w:r w:rsidRPr="00FC186B">
        <w:t xml:space="preserve">stories and rituals. These </w:t>
      </w:r>
      <w:r>
        <w:t>petroglyphs</w:t>
      </w:r>
      <w:r w:rsidR="009F347F">
        <w:t xml:space="preserve"> and cupules</w:t>
      </w:r>
      <w:r>
        <w:t>, situated in</w:t>
      </w:r>
      <w:r w:rsidRPr="00FC186B">
        <w:t xml:space="preserve"> the encultured landscape</w:t>
      </w:r>
      <w:r>
        <w:t>,</w:t>
      </w:r>
      <w:r w:rsidRPr="00FC186B">
        <w:t xml:space="preserve"> united the sky beings with the earth beings and potentially those below, as might be implied by drilling a hole in stone. </w:t>
      </w:r>
    </w:p>
    <w:p w14:paraId="46CE64E3" w14:textId="3DC50566" w:rsidR="00D01287" w:rsidRDefault="003D6494" w:rsidP="00EB409A">
      <w:r>
        <w:t>While Cartesian dualism and modern science</w:t>
      </w:r>
      <w:r w:rsidR="00455742" w:rsidRPr="00FC186B">
        <w:t xml:space="preserve"> make a distinction between the cosmos and the terrestrial world, there is no reason to believe that Archaic people did not perceive the sun, moon, and stars as part of ‘everything else in the world.’ In myths throughout North America, animals and humans interact with the sun as an equal member of the community of life, such as the </w:t>
      </w:r>
      <w:proofErr w:type="spellStart"/>
      <w:r w:rsidR="00455742" w:rsidRPr="00FC186B">
        <w:t>Ajumawi</w:t>
      </w:r>
      <w:proofErr w:type="spellEnd"/>
      <w:r w:rsidR="00455742" w:rsidRPr="00FC186B">
        <w:t xml:space="preserve"> (northern California) myth, retold by E.C. Krupp, in which Sun </w:t>
      </w:r>
      <w:r w:rsidR="00455742" w:rsidRPr="00FC186B">
        <w:lastRenderedPageBreak/>
        <w:t>and Moon were an old married couple who lived in the east and provided light to the world.</w:t>
      </w:r>
      <w:r w:rsidR="00455742" w:rsidRPr="00FC186B">
        <w:rPr>
          <w:rStyle w:val="FootnoteReference"/>
        </w:rPr>
        <w:footnoteReference w:id="177"/>
      </w:r>
      <w:r w:rsidR="00455742" w:rsidRPr="00FC186B">
        <w:t xml:space="preserve"> </w:t>
      </w:r>
    </w:p>
    <w:p w14:paraId="40A21FC0" w14:textId="77777777" w:rsidR="00B26FEE" w:rsidRDefault="00B26FEE" w:rsidP="00B26FEE">
      <w:pPr>
        <w:pStyle w:val="Heading3"/>
      </w:pPr>
      <w:bookmarkStart w:id="70" w:name="_Toc101636989"/>
      <w:r>
        <w:t>Time and Space</w:t>
      </w:r>
      <w:bookmarkEnd w:id="70"/>
    </w:p>
    <w:p w14:paraId="26A8DE78" w14:textId="490B582F" w:rsidR="00B26FEE" w:rsidRPr="00FC186B" w:rsidRDefault="00B26FEE" w:rsidP="00B26FEE">
      <w:r w:rsidRPr="00D50D94">
        <w:t xml:space="preserve">The marking of solstices </w:t>
      </w:r>
      <w:r w:rsidR="00AA4570">
        <w:t>as</w:t>
      </w:r>
      <w:r w:rsidR="00B725B0">
        <w:t xml:space="preserve"> spatial-temporal</w:t>
      </w:r>
      <w:r>
        <w:t xml:space="preserve"> horizon events</w:t>
      </w:r>
      <w:r w:rsidR="00B725B0">
        <w:t xml:space="preserve"> </w:t>
      </w:r>
      <w:r>
        <w:t xml:space="preserve">delineates the framework of the time and space perceived by a culture. </w:t>
      </w:r>
      <w:r w:rsidRPr="00FC186B">
        <w:t xml:space="preserve">Features that distinguish the traditional </w:t>
      </w:r>
      <w:r>
        <w:t xml:space="preserve">(hunter-gatherer) </w:t>
      </w:r>
      <w:r w:rsidRPr="00FC186B">
        <w:t xml:space="preserve">concepts of space and time from modern concepts are, according to R. A. </w:t>
      </w:r>
      <w:proofErr w:type="spellStart"/>
      <w:r w:rsidRPr="00FC186B">
        <w:t>Rundstrom</w:t>
      </w:r>
      <w:proofErr w:type="spellEnd"/>
      <w:r w:rsidRPr="00FC186B">
        <w:t>:</w:t>
      </w:r>
    </w:p>
    <w:p w14:paraId="376B73A4" w14:textId="77777777" w:rsidR="00B26FEE" w:rsidRDefault="00B26FEE" w:rsidP="00B26FEE">
      <w:pPr>
        <w:pStyle w:val="Default"/>
        <w:tabs>
          <w:tab w:val="left" w:pos="450"/>
        </w:tabs>
        <w:ind w:left="360" w:right="360"/>
        <w:rPr>
          <w:rFonts w:asciiTheme="minorHAnsi" w:hAnsiTheme="minorHAnsi" w:cstheme="minorHAnsi"/>
        </w:rPr>
      </w:pPr>
      <w:r w:rsidRPr="00FC186B">
        <w:rPr>
          <w:rFonts w:asciiTheme="minorHAnsi" w:hAnsiTheme="minorHAnsi" w:cstheme="minorHAnsi"/>
        </w:rPr>
        <w:t>...the principle of the ubiquity of relatedness; non-anthropocentricity; a cyclical concept of time; a more synthetic than analytic view of the construction of geographical knowledge; non-binary thinking; the idea that facts cannot be dissociated from values; that precise ambiguity exists and can be advantageous; an emphasis on oral performance and other non-inscriptive means of representation; and the presence of morality in all actions.</w:t>
      </w:r>
      <w:r w:rsidRPr="00FC186B">
        <w:rPr>
          <w:rStyle w:val="FootnoteReference"/>
          <w:rFonts w:asciiTheme="minorHAnsi" w:hAnsiTheme="minorHAnsi" w:cstheme="minorHAnsi"/>
        </w:rPr>
        <w:footnoteReference w:id="178"/>
      </w:r>
    </w:p>
    <w:p w14:paraId="30403072" w14:textId="77777777" w:rsidR="00B26FEE" w:rsidRPr="00FC186B" w:rsidRDefault="00B26FEE" w:rsidP="00B26FEE">
      <w:pPr>
        <w:pStyle w:val="Default"/>
        <w:tabs>
          <w:tab w:val="left" w:pos="450"/>
        </w:tabs>
        <w:ind w:left="360" w:right="360"/>
        <w:rPr>
          <w:rFonts w:asciiTheme="minorHAnsi" w:hAnsiTheme="minorHAnsi" w:cstheme="minorHAnsi"/>
        </w:rPr>
      </w:pPr>
    </w:p>
    <w:p w14:paraId="0BAE05F5" w14:textId="5C203FCB" w:rsidR="00FC4AD6" w:rsidRDefault="00B26FEE" w:rsidP="00B26FEE">
      <w:pPr>
        <w:pStyle w:val="Default"/>
        <w:tabs>
          <w:tab w:val="left" w:pos="450"/>
        </w:tabs>
        <w:spacing w:line="480" w:lineRule="auto"/>
        <w:rPr>
          <w:rFonts w:asciiTheme="minorHAnsi" w:hAnsiTheme="minorHAnsi" w:cstheme="minorHAnsi"/>
        </w:rPr>
      </w:pPr>
      <w:r w:rsidRPr="00FC186B">
        <w:rPr>
          <w:rFonts w:asciiTheme="minorHAnsi" w:hAnsiTheme="minorHAnsi" w:cstheme="minorHAnsi"/>
        </w:rPr>
        <w:t xml:space="preserve">This long list implies that modern scientists must rethink many of the basic premises of time and space to enter the mindset of traditional peoples. </w:t>
      </w:r>
      <w:r>
        <w:rPr>
          <w:rFonts w:asciiTheme="minorHAnsi" w:hAnsiTheme="minorHAnsi" w:cstheme="minorHAnsi"/>
        </w:rPr>
        <w:t>A</w:t>
      </w:r>
      <w:r w:rsidRPr="00FC186B">
        <w:rPr>
          <w:rFonts w:asciiTheme="minorHAnsi" w:hAnsiTheme="minorHAnsi" w:cstheme="minorHAnsi"/>
        </w:rPr>
        <w:t xml:space="preserve">ny system </w:t>
      </w:r>
      <w:r>
        <w:rPr>
          <w:rFonts w:asciiTheme="minorHAnsi" w:hAnsiTheme="minorHAnsi" w:cstheme="minorHAnsi"/>
        </w:rPr>
        <w:t>which</w:t>
      </w:r>
      <w:r w:rsidRPr="00FC186B">
        <w:rPr>
          <w:rFonts w:asciiTheme="minorHAnsi" w:hAnsiTheme="minorHAnsi" w:cstheme="minorHAnsi"/>
        </w:rPr>
        <w:t xml:space="preserve"> measured </w:t>
      </w:r>
      <w:r w:rsidR="00C11961">
        <w:rPr>
          <w:rFonts w:asciiTheme="minorHAnsi" w:hAnsiTheme="minorHAnsi" w:cstheme="minorHAnsi"/>
        </w:rPr>
        <w:t xml:space="preserve">time or space </w:t>
      </w:r>
      <w:r w:rsidRPr="00FC186B">
        <w:rPr>
          <w:rFonts w:asciiTheme="minorHAnsi" w:hAnsiTheme="minorHAnsi" w:cstheme="minorHAnsi"/>
        </w:rPr>
        <w:t xml:space="preserve">needed a fixed </w:t>
      </w:r>
      <w:r w:rsidR="00DE5207">
        <w:rPr>
          <w:rFonts w:asciiTheme="minorHAnsi" w:hAnsiTheme="minorHAnsi" w:cstheme="minorHAnsi"/>
        </w:rPr>
        <w:t xml:space="preserve">reference </w:t>
      </w:r>
      <w:r w:rsidRPr="00FC186B">
        <w:rPr>
          <w:rFonts w:asciiTheme="minorHAnsi" w:hAnsiTheme="minorHAnsi" w:cstheme="minorHAnsi"/>
        </w:rPr>
        <w:t xml:space="preserve">point. </w:t>
      </w:r>
      <w:r w:rsidR="00DE5207">
        <w:rPr>
          <w:rFonts w:asciiTheme="minorHAnsi" w:hAnsiTheme="minorHAnsi" w:cstheme="minorHAnsi"/>
        </w:rPr>
        <w:t xml:space="preserve">For time, the solstices are the most remarkable annual celestial event. A fixed location may have been </w:t>
      </w:r>
      <w:r w:rsidR="00A41F0B">
        <w:rPr>
          <w:rFonts w:asciiTheme="minorHAnsi" w:hAnsiTheme="minorHAnsi" w:cstheme="minorHAnsi"/>
        </w:rPr>
        <w:t xml:space="preserve">more </w:t>
      </w:r>
      <w:r w:rsidR="00DE5207">
        <w:rPr>
          <w:rFonts w:asciiTheme="minorHAnsi" w:hAnsiTheme="minorHAnsi" w:cstheme="minorHAnsi"/>
        </w:rPr>
        <w:t>elusive to nomadic people</w:t>
      </w:r>
      <w:r w:rsidR="00A41F0B">
        <w:rPr>
          <w:rFonts w:asciiTheme="minorHAnsi" w:hAnsiTheme="minorHAnsi" w:cstheme="minorHAnsi"/>
        </w:rPr>
        <w:t xml:space="preserve"> than a fixed time</w:t>
      </w:r>
      <w:r w:rsidR="00DE5207">
        <w:rPr>
          <w:rFonts w:asciiTheme="minorHAnsi" w:hAnsiTheme="minorHAnsi" w:cstheme="minorHAnsi"/>
        </w:rPr>
        <w:t>.</w:t>
      </w:r>
    </w:p>
    <w:p w14:paraId="341A5563" w14:textId="0BE900D4" w:rsidR="00BB13DE" w:rsidRDefault="00DE5207" w:rsidP="00B26FEE">
      <w:pPr>
        <w:pStyle w:val="Default"/>
        <w:tabs>
          <w:tab w:val="left" w:pos="450"/>
        </w:tabs>
        <w:spacing w:line="480" w:lineRule="auto"/>
        <w:rPr>
          <w:rFonts w:asciiTheme="minorHAnsi" w:hAnsiTheme="minorHAnsi" w:cstheme="minorHAnsi"/>
        </w:rPr>
      </w:pPr>
      <w:r>
        <w:rPr>
          <w:rFonts w:asciiTheme="minorHAnsi" w:hAnsiTheme="minorHAnsi" w:cstheme="minorHAnsi"/>
        </w:rPr>
        <w:t xml:space="preserve">The stable homeland of sedentary tribes is frequently marked by </w:t>
      </w:r>
      <w:r w:rsidR="009C7E1E">
        <w:rPr>
          <w:rFonts w:asciiTheme="minorHAnsi" w:hAnsiTheme="minorHAnsi" w:cstheme="minorHAnsi"/>
        </w:rPr>
        <w:t xml:space="preserve">a </w:t>
      </w:r>
      <w:proofErr w:type="spellStart"/>
      <w:r w:rsidR="009C7E1E">
        <w:rPr>
          <w:rFonts w:asciiTheme="minorHAnsi" w:hAnsiTheme="minorHAnsi" w:cstheme="minorHAnsi"/>
        </w:rPr>
        <w:t>cent</w:t>
      </w:r>
      <w:r w:rsidR="00AD438E">
        <w:rPr>
          <w:rFonts w:asciiTheme="minorHAnsi" w:hAnsiTheme="minorHAnsi" w:cstheme="minorHAnsi"/>
        </w:rPr>
        <w:t>re</w:t>
      </w:r>
      <w:proofErr w:type="spellEnd"/>
      <w:r w:rsidR="009C7E1E">
        <w:rPr>
          <w:rFonts w:asciiTheme="minorHAnsi" w:hAnsiTheme="minorHAnsi" w:cstheme="minorHAnsi"/>
        </w:rPr>
        <w:t xml:space="preserve"> place, which</w:t>
      </w:r>
      <w:r w:rsidR="008B4E21">
        <w:rPr>
          <w:rFonts w:asciiTheme="minorHAnsi" w:hAnsiTheme="minorHAnsi" w:cstheme="minorHAnsi"/>
        </w:rPr>
        <w:t>,</w:t>
      </w:r>
      <w:r w:rsidR="009C7E1E">
        <w:rPr>
          <w:rFonts w:asciiTheme="minorHAnsi" w:hAnsiTheme="minorHAnsi" w:cstheme="minorHAnsi"/>
        </w:rPr>
        <w:t xml:space="preserve"> according to Eliade</w:t>
      </w:r>
      <w:r w:rsidR="008B4E21">
        <w:rPr>
          <w:rFonts w:asciiTheme="minorHAnsi" w:hAnsiTheme="minorHAnsi" w:cstheme="minorHAnsi"/>
        </w:rPr>
        <w:t>,</w:t>
      </w:r>
      <w:r w:rsidR="009C7E1E">
        <w:rPr>
          <w:rFonts w:asciiTheme="minorHAnsi" w:hAnsiTheme="minorHAnsi" w:cstheme="minorHAnsi"/>
        </w:rPr>
        <w:t xml:space="preserve"> becomes their axis mundi and distinguishes between the sacred and the </w:t>
      </w:r>
      <w:r w:rsidR="009C7E1E">
        <w:rPr>
          <w:rFonts w:asciiTheme="minorHAnsi" w:hAnsiTheme="minorHAnsi" w:cstheme="minorHAnsi"/>
        </w:rPr>
        <w:lastRenderedPageBreak/>
        <w:t>profane.</w:t>
      </w:r>
      <w:r w:rsidR="00FD09B5">
        <w:rPr>
          <w:rStyle w:val="FootnoteReference"/>
          <w:rFonts w:asciiTheme="minorHAnsi" w:hAnsiTheme="minorHAnsi" w:cstheme="minorHAnsi"/>
        </w:rPr>
        <w:footnoteReference w:id="179"/>
      </w:r>
      <w:r w:rsidR="009C7E1E">
        <w:rPr>
          <w:rFonts w:asciiTheme="minorHAnsi" w:hAnsiTheme="minorHAnsi" w:cstheme="minorHAnsi"/>
        </w:rPr>
        <w:t xml:space="preserve">  Whitley </w:t>
      </w:r>
      <w:r w:rsidR="004862EB">
        <w:rPr>
          <w:rFonts w:asciiTheme="minorHAnsi" w:hAnsiTheme="minorHAnsi" w:cstheme="minorHAnsi"/>
        </w:rPr>
        <w:t>claimed that the ‘segregation of sacred and profane’ is non-existent in the ‘western North American ethnohistorical record</w:t>
      </w:r>
      <w:r w:rsidR="008B4E21">
        <w:rPr>
          <w:rFonts w:asciiTheme="minorHAnsi" w:hAnsiTheme="minorHAnsi" w:cstheme="minorHAnsi"/>
        </w:rPr>
        <w:t>,</w:t>
      </w:r>
      <w:r w:rsidR="004862EB">
        <w:rPr>
          <w:rFonts w:asciiTheme="minorHAnsi" w:hAnsiTheme="minorHAnsi" w:cstheme="minorHAnsi"/>
        </w:rPr>
        <w:t>’</w:t>
      </w:r>
      <w:r w:rsidR="008B4E21">
        <w:rPr>
          <w:rFonts w:asciiTheme="minorHAnsi" w:hAnsiTheme="minorHAnsi" w:cstheme="minorHAnsi"/>
        </w:rPr>
        <w:t xml:space="preserve"> because ‘the sacred inhered everywhere.’</w:t>
      </w:r>
      <w:r w:rsidR="004862EB">
        <w:rPr>
          <w:rStyle w:val="FootnoteReference"/>
          <w:rFonts w:asciiTheme="minorHAnsi" w:hAnsiTheme="minorHAnsi" w:cstheme="minorHAnsi"/>
        </w:rPr>
        <w:footnoteReference w:id="180"/>
      </w:r>
      <w:r w:rsidR="004862EB">
        <w:rPr>
          <w:rFonts w:asciiTheme="minorHAnsi" w:hAnsiTheme="minorHAnsi" w:cstheme="minorHAnsi"/>
        </w:rPr>
        <w:t xml:space="preserve"> </w:t>
      </w:r>
      <w:r w:rsidR="001F6758">
        <w:rPr>
          <w:rFonts w:asciiTheme="minorHAnsi" w:hAnsiTheme="minorHAnsi" w:cstheme="minorHAnsi"/>
        </w:rPr>
        <w:t>According to Stuart</w:t>
      </w:r>
      <w:r w:rsidR="00B26FEE">
        <w:rPr>
          <w:rFonts w:asciiTheme="minorHAnsi" w:hAnsiTheme="minorHAnsi" w:cstheme="minorHAnsi"/>
        </w:rPr>
        <w:t xml:space="preserve">, </w:t>
      </w:r>
      <w:r w:rsidR="001F6758">
        <w:rPr>
          <w:rFonts w:asciiTheme="minorHAnsi" w:hAnsiTheme="minorHAnsi" w:cstheme="minorHAnsi"/>
        </w:rPr>
        <w:t>for contemporary hunter-gatherers ‘</w:t>
      </w:r>
      <w:r w:rsidR="00B26FEE" w:rsidRPr="00FC186B">
        <w:rPr>
          <w:rFonts w:asciiTheme="minorHAnsi" w:hAnsiTheme="minorHAnsi" w:cstheme="minorHAnsi"/>
        </w:rPr>
        <w:t>home</w:t>
      </w:r>
      <w:r w:rsidR="001F6758">
        <w:rPr>
          <w:rFonts w:asciiTheme="minorHAnsi" w:hAnsiTheme="minorHAnsi" w:cstheme="minorHAnsi"/>
        </w:rPr>
        <w:t>’</w:t>
      </w:r>
      <w:r w:rsidR="00B26FEE" w:rsidRPr="00FC186B">
        <w:rPr>
          <w:rFonts w:asciiTheme="minorHAnsi" w:hAnsiTheme="minorHAnsi" w:cstheme="minorHAnsi"/>
        </w:rPr>
        <w:t xml:space="preserve"> </w:t>
      </w:r>
      <w:r w:rsidR="001F6758">
        <w:rPr>
          <w:rFonts w:asciiTheme="minorHAnsi" w:hAnsiTheme="minorHAnsi" w:cstheme="minorHAnsi"/>
        </w:rPr>
        <w:t>included their entire range</w:t>
      </w:r>
      <w:r w:rsidR="00434388">
        <w:rPr>
          <w:rFonts w:asciiTheme="minorHAnsi" w:hAnsiTheme="minorHAnsi" w:cstheme="minorHAnsi"/>
        </w:rPr>
        <w:t xml:space="preserve"> </w:t>
      </w:r>
      <w:r w:rsidR="00E91CB3">
        <w:rPr>
          <w:rFonts w:asciiTheme="minorHAnsi" w:hAnsiTheme="minorHAnsi" w:cstheme="minorHAnsi"/>
        </w:rPr>
        <w:t>and is considered</w:t>
      </w:r>
      <w:r w:rsidR="00B26FEE" w:rsidRPr="00FC186B">
        <w:rPr>
          <w:rFonts w:asciiTheme="minorHAnsi" w:hAnsiTheme="minorHAnsi" w:cstheme="minorHAnsi"/>
        </w:rPr>
        <w:t xml:space="preserve"> </w:t>
      </w:r>
      <w:r w:rsidR="00B26FEE" w:rsidRPr="00434388">
        <w:rPr>
          <w:rFonts w:asciiTheme="minorHAnsi" w:hAnsiTheme="minorHAnsi" w:cstheme="minorHAnsi"/>
        </w:rPr>
        <w:t>simply ‘earth’ or ‘the</w:t>
      </w:r>
      <w:r w:rsidR="00B26FEE" w:rsidRPr="00FC186B">
        <w:rPr>
          <w:rFonts w:asciiTheme="minorHAnsi" w:hAnsiTheme="minorHAnsi" w:cstheme="minorHAnsi"/>
        </w:rPr>
        <w:t xml:space="preserve"> land’</w:t>
      </w:r>
      <w:r w:rsidR="00434388">
        <w:rPr>
          <w:rFonts w:asciiTheme="minorHAnsi" w:hAnsiTheme="minorHAnsi" w:cstheme="minorHAnsi"/>
        </w:rPr>
        <w:t xml:space="preserve"> without a </w:t>
      </w:r>
      <w:proofErr w:type="spellStart"/>
      <w:r w:rsidR="00434388">
        <w:rPr>
          <w:rFonts w:asciiTheme="minorHAnsi" w:hAnsiTheme="minorHAnsi" w:cstheme="minorHAnsi"/>
        </w:rPr>
        <w:t>cent</w:t>
      </w:r>
      <w:r w:rsidR="00AD438E">
        <w:rPr>
          <w:rFonts w:asciiTheme="minorHAnsi" w:hAnsiTheme="minorHAnsi" w:cstheme="minorHAnsi"/>
        </w:rPr>
        <w:t>re</w:t>
      </w:r>
      <w:proofErr w:type="spellEnd"/>
      <w:r w:rsidR="00434388">
        <w:rPr>
          <w:rFonts w:asciiTheme="minorHAnsi" w:hAnsiTheme="minorHAnsi" w:cstheme="minorHAnsi"/>
        </w:rPr>
        <w:t xml:space="preserve"> place.</w:t>
      </w:r>
      <w:r w:rsidR="00434388">
        <w:rPr>
          <w:rStyle w:val="FootnoteReference"/>
          <w:rFonts w:asciiTheme="minorHAnsi" w:hAnsiTheme="minorHAnsi" w:cstheme="minorHAnsi"/>
        </w:rPr>
        <w:footnoteReference w:id="181"/>
      </w:r>
      <w:r w:rsidR="00434388">
        <w:rPr>
          <w:rFonts w:asciiTheme="minorHAnsi" w:hAnsiTheme="minorHAnsi" w:cstheme="minorHAnsi"/>
        </w:rPr>
        <w:t xml:space="preserve"> C</w:t>
      </w:r>
      <w:r w:rsidR="00B26FEE">
        <w:rPr>
          <w:rFonts w:asciiTheme="minorHAnsi" w:hAnsiTheme="minorHAnsi" w:cstheme="minorHAnsi"/>
        </w:rPr>
        <w:t>ould they have held an oral tradition to large enough to define specific rocks across hundreds of miles of territory? Was the ‘</w:t>
      </w:r>
      <w:proofErr w:type="spellStart"/>
      <w:r w:rsidR="00B26FEE">
        <w:rPr>
          <w:rFonts w:asciiTheme="minorHAnsi" w:hAnsiTheme="minorHAnsi" w:cstheme="minorHAnsi"/>
        </w:rPr>
        <w:t>artification</w:t>
      </w:r>
      <w:proofErr w:type="spellEnd"/>
      <w:r w:rsidR="00B26FEE">
        <w:rPr>
          <w:rFonts w:asciiTheme="minorHAnsi" w:hAnsiTheme="minorHAnsi" w:cstheme="minorHAnsi"/>
        </w:rPr>
        <w:t xml:space="preserve">’ of stone </w:t>
      </w:r>
      <w:r w:rsidR="00FC058C">
        <w:rPr>
          <w:rFonts w:asciiTheme="minorHAnsi" w:hAnsiTheme="minorHAnsi" w:cstheme="minorHAnsi"/>
        </w:rPr>
        <w:t>necessary</w:t>
      </w:r>
      <w:r w:rsidR="00B26FEE">
        <w:rPr>
          <w:rFonts w:asciiTheme="minorHAnsi" w:hAnsiTheme="minorHAnsi" w:cstheme="minorHAnsi"/>
        </w:rPr>
        <w:t xml:space="preserve"> to find solstitial viewing locations that were only visited every few years? </w:t>
      </w:r>
    </w:p>
    <w:p w14:paraId="0865FFE7" w14:textId="4E8305E4" w:rsidR="00255763" w:rsidRDefault="00255763" w:rsidP="00255763">
      <w:r>
        <w:t xml:space="preserve">Nomadism also questions the importance of an </w:t>
      </w:r>
      <w:r w:rsidRPr="00C546CB">
        <w:rPr>
          <w:i/>
          <w:iCs/>
        </w:rPr>
        <w:t>axis mundi</w:t>
      </w:r>
      <w:r>
        <w:t xml:space="preserve">. The Navaho are among the groups that believe that all land is sacred, according to </w:t>
      </w:r>
      <w:r w:rsidR="00D74880">
        <w:t xml:space="preserve">Emily </w:t>
      </w:r>
      <w:r>
        <w:t>Cousins.</w:t>
      </w:r>
      <w:r>
        <w:rPr>
          <w:rStyle w:val="FootnoteReference"/>
        </w:rPr>
        <w:footnoteReference w:id="182"/>
      </w:r>
      <w:r>
        <w:t xml:space="preserve"> Is there a ‘center place’ sacred to nomads, if they </w:t>
      </w:r>
      <w:r w:rsidR="00786509">
        <w:t>do not delineate ‘home’</w:t>
      </w:r>
      <w:r>
        <w:t xml:space="preserve">? </w:t>
      </w:r>
      <w:proofErr w:type="spellStart"/>
      <w:r w:rsidR="00FC058C">
        <w:t>Lekson</w:t>
      </w:r>
      <w:proofErr w:type="spellEnd"/>
      <w:r w:rsidR="00FC058C">
        <w:t xml:space="preserve"> described t</w:t>
      </w:r>
      <w:r>
        <w:t xml:space="preserve">he Hopi migration and search for the </w:t>
      </w:r>
      <w:proofErr w:type="spellStart"/>
      <w:r>
        <w:t>cent</w:t>
      </w:r>
      <w:r w:rsidR="00AD438E">
        <w:t>re</w:t>
      </w:r>
      <w:proofErr w:type="spellEnd"/>
      <w:r>
        <w:t xml:space="preserve"> place defined the history of an agricultural people looking for a new home</w:t>
      </w:r>
      <w:r w:rsidR="005A1C3A">
        <w:t xml:space="preserve">, where they could grow </w:t>
      </w:r>
      <w:r>
        <w:t>their tropical ‘mother corn.’</w:t>
      </w:r>
      <w:r>
        <w:rPr>
          <w:rStyle w:val="FootnoteReference"/>
        </w:rPr>
        <w:footnoteReference w:id="183"/>
      </w:r>
      <w:r>
        <w:t xml:space="preserve"> The Desert Archaic, may have revisited favorite hunting or gathering grounds, but the priority for their survival was to exploit a wide range of desert environments, which ultimately proved the most successful strategy in the </w:t>
      </w:r>
      <w:r w:rsidR="00A41F0B">
        <w:t>study area</w:t>
      </w:r>
      <w:r>
        <w:t>. In such a society</w:t>
      </w:r>
      <w:r w:rsidR="00A41F0B">
        <w:t xml:space="preserve"> could</w:t>
      </w:r>
      <w:r>
        <w:t xml:space="preserve"> a perception of all land as ‘home’</w:t>
      </w:r>
      <w:r w:rsidR="00203507">
        <w:t>,</w:t>
      </w:r>
      <w:r>
        <w:t xml:space="preserve"> </w:t>
      </w:r>
      <w:r w:rsidR="00203507">
        <w:t xml:space="preserve">seated in a moving cosmos, </w:t>
      </w:r>
      <w:r>
        <w:t xml:space="preserve">have provided the sacred rootedness that Archaic people desired, without planting themselves at the </w:t>
      </w:r>
      <w:proofErr w:type="spellStart"/>
      <w:r>
        <w:t>cent</w:t>
      </w:r>
      <w:r w:rsidR="00AD438E">
        <w:t>re</w:t>
      </w:r>
      <w:proofErr w:type="spellEnd"/>
      <w:r>
        <w:t xml:space="preserve"> of the universe with an axis </w:t>
      </w:r>
      <w:r w:rsidR="007203A2">
        <w:t>mundus</w:t>
      </w:r>
      <w:r>
        <w:t>?</w:t>
      </w:r>
    </w:p>
    <w:p w14:paraId="298F6566" w14:textId="28727179" w:rsidR="00B26FEE" w:rsidRDefault="00A7046A" w:rsidP="00B26FEE">
      <w:pPr>
        <w:pStyle w:val="Default"/>
        <w:tabs>
          <w:tab w:val="left" w:pos="450"/>
        </w:tabs>
        <w:spacing w:line="480" w:lineRule="auto"/>
        <w:rPr>
          <w:rFonts w:asciiTheme="minorHAnsi" w:hAnsiTheme="minorHAnsi" w:cstheme="minorHAnsi"/>
        </w:rPr>
      </w:pPr>
      <w:r>
        <w:rPr>
          <w:rFonts w:asciiTheme="minorHAnsi" w:hAnsiTheme="minorHAnsi" w:cstheme="minorHAnsi"/>
        </w:rPr>
        <w:lastRenderedPageBreak/>
        <w:t>The Chumash like many other coastal Californian</w:t>
      </w:r>
      <w:r w:rsidR="00C02406">
        <w:rPr>
          <w:rFonts w:asciiTheme="minorHAnsi" w:hAnsiTheme="minorHAnsi" w:cstheme="minorHAnsi"/>
        </w:rPr>
        <w:t xml:space="preserve"> hunter-gatherer</w:t>
      </w:r>
      <w:r>
        <w:rPr>
          <w:rFonts w:asciiTheme="minorHAnsi" w:hAnsiTheme="minorHAnsi" w:cstheme="minorHAnsi"/>
        </w:rPr>
        <w:t xml:space="preserve"> tribes had rich land and sea resources which allowed for a sedentary lifestyle within tribal territories</w:t>
      </w:r>
      <w:r w:rsidR="004B52F5">
        <w:rPr>
          <w:rFonts w:asciiTheme="minorHAnsi" w:hAnsiTheme="minorHAnsi" w:cstheme="minorHAnsi"/>
        </w:rPr>
        <w:t>, according to Heizer and Elsasser, who contrasted them to Great Basin tribes, who</w:t>
      </w:r>
      <w:r>
        <w:rPr>
          <w:rFonts w:asciiTheme="minorHAnsi" w:hAnsiTheme="minorHAnsi" w:cstheme="minorHAnsi"/>
        </w:rPr>
        <w:t xml:space="preserve"> </w:t>
      </w:r>
      <w:r w:rsidR="00FC4AD6">
        <w:rPr>
          <w:rFonts w:asciiTheme="minorHAnsi" w:hAnsiTheme="minorHAnsi" w:cstheme="minorHAnsi"/>
        </w:rPr>
        <w:t xml:space="preserve">followed the pinyon mast across hundreds of kilometers, resulting in small </w:t>
      </w:r>
      <w:r w:rsidR="00E91CB3">
        <w:rPr>
          <w:rFonts w:asciiTheme="minorHAnsi" w:hAnsiTheme="minorHAnsi" w:cstheme="minorHAnsi"/>
        </w:rPr>
        <w:t xml:space="preserve">nomadic </w:t>
      </w:r>
      <w:r w:rsidR="00FC4AD6">
        <w:rPr>
          <w:rFonts w:asciiTheme="minorHAnsi" w:hAnsiTheme="minorHAnsi" w:cstheme="minorHAnsi"/>
        </w:rPr>
        <w:t>groups</w:t>
      </w:r>
      <w:r w:rsidR="004B52F5">
        <w:rPr>
          <w:rFonts w:asciiTheme="minorHAnsi" w:hAnsiTheme="minorHAnsi" w:cstheme="minorHAnsi"/>
        </w:rPr>
        <w:t>.</w:t>
      </w:r>
      <w:r w:rsidR="004B52F5">
        <w:rPr>
          <w:rStyle w:val="FootnoteReference"/>
          <w:rFonts w:asciiTheme="minorHAnsi" w:hAnsiTheme="minorHAnsi" w:cstheme="minorHAnsi"/>
        </w:rPr>
        <w:footnoteReference w:id="184"/>
      </w:r>
      <w:r w:rsidR="004B52F5">
        <w:rPr>
          <w:rFonts w:asciiTheme="minorHAnsi" w:hAnsiTheme="minorHAnsi" w:cstheme="minorHAnsi"/>
        </w:rPr>
        <w:t xml:space="preserve"> </w:t>
      </w:r>
      <w:r w:rsidR="007E496A">
        <w:rPr>
          <w:rFonts w:asciiTheme="minorHAnsi" w:hAnsiTheme="minorHAnsi" w:cstheme="minorHAnsi"/>
        </w:rPr>
        <w:t xml:space="preserve">Steles and large megalithic </w:t>
      </w:r>
      <w:r>
        <w:rPr>
          <w:rFonts w:asciiTheme="minorHAnsi" w:hAnsiTheme="minorHAnsi" w:cstheme="minorHAnsi"/>
        </w:rPr>
        <w:t>m</w:t>
      </w:r>
      <w:r w:rsidR="00B26FEE" w:rsidRPr="00FC186B">
        <w:rPr>
          <w:rFonts w:asciiTheme="minorHAnsi" w:hAnsiTheme="minorHAnsi" w:cstheme="minorHAnsi"/>
        </w:rPr>
        <w:t xml:space="preserve">arkers are </w:t>
      </w:r>
      <w:r w:rsidR="00C26A1F">
        <w:rPr>
          <w:rFonts w:asciiTheme="minorHAnsi" w:hAnsiTheme="minorHAnsi" w:cstheme="minorHAnsi"/>
        </w:rPr>
        <w:t>rarely found in</w:t>
      </w:r>
      <w:r w:rsidR="00FC4AD6">
        <w:rPr>
          <w:rFonts w:asciiTheme="minorHAnsi" w:hAnsiTheme="minorHAnsi" w:cstheme="minorHAnsi"/>
        </w:rPr>
        <w:t xml:space="preserve"> highly mobile</w:t>
      </w:r>
      <w:r w:rsidR="00180A56">
        <w:rPr>
          <w:rFonts w:asciiTheme="minorHAnsi" w:hAnsiTheme="minorHAnsi" w:cstheme="minorHAnsi"/>
        </w:rPr>
        <w:t xml:space="preserve"> groups</w:t>
      </w:r>
      <w:r w:rsidR="00C26A1F">
        <w:rPr>
          <w:rFonts w:asciiTheme="minorHAnsi" w:hAnsiTheme="minorHAnsi" w:cstheme="minorHAnsi"/>
        </w:rPr>
        <w:t xml:space="preserve">, which makes </w:t>
      </w:r>
      <w:proofErr w:type="spellStart"/>
      <w:r w:rsidR="00C26A1F">
        <w:rPr>
          <w:rFonts w:asciiTheme="minorHAnsi" w:hAnsiTheme="minorHAnsi" w:cstheme="minorHAnsi"/>
        </w:rPr>
        <w:t>Nabta</w:t>
      </w:r>
      <w:proofErr w:type="spellEnd"/>
      <w:r w:rsidR="00C26A1F">
        <w:rPr>
          <w:rFonts w:asciiTheme="minorHAnsi" w:hAnsiTheme="minorHAnsi" w:cstheme="minorHAnsi"/>
        </w:rPr>
        <w:t xml:space="preserve"> Playa so unusual, according to </w:t>
      </w:r>
      <w:proofErr w:type="spellStart"/>
      <w:r w:rsidR="00C26A1F">
        <w:rPr>
          <w:rFonts w:asciiTheme="minorHAnsi" w:hAnsiTheme="minorHAnsi" w:cstheme="minorHAnsi"/>
        </w:rPr>
        <w:t>Malville</w:t>
      </w:r>
      <w:proofErr w:type="spellEnd"/>
      <w:r w:rsidR="00180A56">
        <w:rPr>
          <w:rFonts w:asciiTheme="minorHAnsi" w:hAnsiTheme="minorHAnsi" w:cstheme="minorHAnsi"/>
        </w:rPr>
        <w:t>.</w:t>
      </w:r>
      <w:r w:rsidR="00CE2BCC">
        <w:rPr>
          <w:rStyle w:val="FootnoteReference"/>
          <w:rFonts w:asciiTheme="minorHAnsi" w:hAnsiTheme="minorHAnsi" w:cstheme="minorHAnsi"/>
        </w:rPr>
        <w:footnoteReference w:id="185"/>
      </w:r>
      <w:r w:rsidR="00FC4AD6">
        <w:rPr>
          <w:rFonts w:asciiTheme="minorHAnsi" w:hAnsiTheme="minorHAnsi" w:cstheme="minorHAnsi"/>
        </w:rPr>
        <w:t xml:space="preserve"> </w:t>
      </w:r>
      <w:r w:rsidR="00B26FEE" w:rsidRPr="00FC186B">
        <w:rPr>
          <w:rFonts w:asciiTheme="minorHAnsi" w:hAnsiTheme="minorHAnsi" w:cstheme="minorHAnsi"/>
        </w:rPr>
        <w:t>Maps are useful</w:t>
      </w:r>
      <w:r w:rsidR="00B26FEE">
        <w:rPr>
          <w:rFonts w:asciiTheme="minorHAnsi" w:hAnsiTheme="minorHAnsi" w:cstheme="minorHAnsi"/>
        </w:rPr>
        <w:t>,</w:t>
      </w:r>
      <w:r w:rsidR="00B26FEE" w:rsidRPr="00FC186B">
        <w:rPr>
          <w:rFonts w:asciiTheme="minorHAnsi" w:hAnsiTheme="minorHAnsi" w:cstheme="minorHAnsi"/>
        </w:rPr>
        <w:t xml:space="preserve"> especially in places which </w:t>
      </w:r>
      <w:r w:rsidR="00C26A1F">
        <w:rPr>
          <w:rFonts w:asciiTheme="minorHAnsi" w:hAnsiTheme="minorHAnsi" w:cstheme="minorHAnsi"/>
        </w:rPr>
        <w:t>were</w:t>
      </w:r>
      <w:r w:rsidR="00B26FEE" w:rsidRPr="00FC186B">
        <w:rPr>
          <w:rFonts w:asciiTheme="minorHAnsi" w:hAnsiTheme="minorHAnsi" w:cstheme="minorHAnsi"/>
        </w:rPr>
        <w:t xml:space="preserve"> cyclically revisited and Patterson </w:t>
      </w:r>
      <w:r w:rsidR="00487499">
        <w:rPr>
          <w:rFonts w:asciiTheme="minorHAnsi" w:hAnsiTheme="minorHAnsi" w:cstheme="minorHAnsi"/>
        </w:rPr>
        <w:t xml:space="preserve">showed </w:t>
      </w:r>
      <w:r w:rsidR="00B26FEE" w:rsidRPr="00FC186B">
        <w:rPr>
          <w:rFonts w:asciiTheme="minorHAnsi" w:hAnsiTheme="minorHAnsi" w:cstheme="minorHAnsi"/>
        </w:rPr>
        <w:t xml:space="preserve">that </w:t>
      </w:r>
      <w:r w:rsidR="00B26FEE">
        <w:rPr>
          <w:rFonts w:asciiTheme="minorHAnsi" w:hAnsiTheme="minorHAnsi" w:cstheme="minorHAnsi"/>
        </w:rPr>
        <w:t xml:space="preserve">some </w:t>
      </w:r>
      <w:r w:rsidR="00B26FEE" w:rsidRPr="00FC186B">
        <w:rPr>
          <w:rFonts w:asciiTheme="minorHAnsi" w:hAnsiTheme="minorHAnsi" w:cstheme="minorHAnsi"/>
        </w:rPr>
        <w:t>rock art among the Utes were maps.</w:t>
      </w:r>
      <w:r w:rsidR="00B26FEE">
        <w:rPr>
          <w:rStyle w:val="FootnoteReference"/>
          <w:rFonts w:asciiTheme="minorHAnsi" w:hAnsiTheme="minorHAnsi" w:cstheme="minorHAnsi"/>
        </w:rPr>
        <w:footnoteReference w:id="186"/>
      </w:r>
      <w:r w:rsidR="00B26FEE" w:rsidRPr="00FC186B">
        <w:rPr>
          <w:rFonts w:asciiTheme="minorHAnsi" w:hAnsiTheme="minorHAnsi" w:cstheme="minorHAnsi"/>
        </w:rPr>
        <w:t xml:space="preserve"> </w:t>
      </w:r>
      <w:r w:rsidR="00B26FEE">
        <w:rPr>
          <w:rFonts w:asciiTheme="minorHAnsi" w:hAnsiTheme="minorHAnsi" w:cstheme="minorHAnsi"/>
        </w:rPr>
        <w:t>The marking of solstice</w:t>
      </w:r>
      <w:r w:rsidR="00A41F0B">
        <w:rPr>
          <w:rFonts w:asciiTheme="minorHAnsi" w:hAnsiTheme="minorHAnsi" w:cstheme="minorHAnsi"/>
        </w:rPr>
        <w:t>-</w:t>
      </w:r>
      <w:r w:rsidR="00B26FEE">
        <w:rPr>
          <w:rFonts w:asciiTheme="minorHAnsi" w:hAnsiTheme="minorHAnsi" w:cstheme="minorHAnsi"/>
        </w:rPr>
        <w:t xml:space="preserve">viewing locations </w:t>
      </w:r>
      <w:r w:rsidR="00E91CB3">
        <w:rPr>
          <w:rFonts w:asciiTheme="minorHAnsi" w:hAnsiTheme="minorHAnsi" w:cstheme="minorHAnsi"/>
        </w:rPr>
        <w:t xml:space="preserve">may have </w:t>
      </w:r>
      <w:r w:rsidR="00B26FEE">
        <w:rPr>
          <w:rFonts w:asciiTheme="minorHAnsi" w:hAnsiTheme="minorHAnsi" w:cstheme="minorHAnsi"/>
        </w:rPr>
        <w:t xml:space="preserve">provided a </w:t>
      </w:r>
      <w:r w:rsidR="00180A56">
        <w:rPr>
          <w:rFonts w:asciiTheme="minorHAnsi" w:hAnsiTheme="minorHAnsi" w:cstheme="minorHAnsi"/>
        </w:rPr>
        <w:t xml:space="preserve">spatial and temporal </w:t>
      </w:r>
      <w:r w:rsidR="00B26FEE">
        <w:rPr>
          <w:rFonts w:asciiTheme="minorHAnsi" w:hAnsiTheme="minorHAnsi" w:cstheme="minorHAnsi"/>
        </w:rPr>
        <w:t xml:space="preserve">map, in otherwise chaotic landscape of infinite stone and sky. </w:t>
      </w:r>
    </w:p>
    <w:p w14:paraId="71777434" w14:textId="52FBE577" w:rsidR="00DC2A99" w:rsidRPr="00FC186B" w:rsidRDefault="00DC2A99" w:rsidP="0068455A">
      <w:pPr>
        <w:pStyle w:val="Heading3"/>
      </w:pPr>
      <w:bookmarkStart w:id="71" w:name="_Toc101636990"/>
      <w:r>
        <w:t>Animism and Shamanism</w:t>
      </w:r>
      <w:bookmarkEnd w:id="71"/>
    </w:p>
    <w:p w14:paraId="36EF952D" w14:textId="49DA5174" w:rsidR="00C26A1F" w:rsidRDefault="00C26A1F" w:rsidP="00B26FEE">
      <w:r>
        <w:t xml:space="preserve">Rock art may have accessed </w:t>
      </w:r>
      <w:r w:rsidR="00487499">
        <w:t>celestial,</w:t>
      </w:r>
      <w:r>
        <w:t xml:space="preserve"> terrestrial and chthonic elements in the Native American </w:t>
      </w:r>
      <w:r w:rsidR="00C004AC">
        <w:t>supernatural world</w:t>
      </w:r>
      <w:r>
        <w:t>.</w:t>
      </w:r>
      <w:r w:rsidR="00C004AC">
        <w:t xml:space="preserve"> </w:t>
      </w:r>
      <w:r w:rsidR="00CE2BCC">
        <w:t xml:space="preserve">This section considers </w:t>
      </w:r>
      <w:r w:rsidR="00203507">
        <w:t xml:space="preserve">the </w:t>
      </w:r>
      <w:r w:rsidR="00CE2BCC">
        <w:t>animism found in North America and the concomitant form of shamanism</w:t>
      </w:r>
      <w:r w:rsidR="00BF6749">
        <w:t>, founded in relational ontologies,</w:t>
      </w:r>
      <w:r w:rsidR="00CE2BCC">
        <w:t xml:space="preserve"> needed to navigate that supernatural world.</w:t>
      </w:r>
    </w:p>
    <w:p w14:paraId="32ED2346" w14:textId="5773BE1C" w:rsidR="00506A04" w:rsidRDefault="00203507" w:rsidP="006D6E85">
      <w:r>
        <w:t>In</w:t>
      </w:r>
      <w:r w:rsidR="009D4205" w:rsidRPr="00FC186B">
        <w:t xml:space="preserve"> Native America, all aspects of the environment were considered sacred, </w:t>
      </w:r>
      <w:r w:rsidR="0060267B" w:rsidRPr="00FC186B">
        <w:t>alive</w:t>
      </w:r>
      <w:r w:rsidR="009D4205" w:rsidRPr="00FC186B">
        <w:t xml:space="preserve"> and</w:t>
      </w:r>
      <w:r w:rsidR="0060267B">
        <w:t xml:space="preserve"> with </w:t>
      </w:r>
      <w:r w:rsidR="0060267B" w:rsidRPr="001C2D85">
        <w:t>agency</w:t>
      </w:r>
      <w:r w:rsidR="001C2D85">
        <w:t>, according to</w:t>
      </w:r>
      <w:r w:rsidR="009D4205">
        <w:t xml:space="preserve"> </w:t>
      </w:r>
      <w:r w:rsidR="00180A56" w:rsidRPr="00FC186B">
        <w:t>Cousins</w:t>
      </w:r>
      <w:r w:rsidR="006D6E85">
        <w:t>, who</w:t>
      </w:r>
      <w:r w:rsidR="00180A56" w:rsidRPr="00FC186B">
        <w:t xml:space="preserve"> describe</w:t>
      </w:r>
      <w:r w:rsidR="00180A56">
        <w:t>d</w:t>
      </w:r>
      <w:r w:rsidR="00180A56" w:rsidRPr="00FC186B">
        <w:t xml:space="preserve"> the Native American perspective as, ‘Every particular form of the land is the locus of qualitatively different spirit beings.’</w:t>
      </w:r>
      <w:r w:rsidR="00180A56" w:rsidRPr="00FC186B">
        <w:rPr>
          <w:rStyle w:val="FootnoteReference"/>
        </w:rPr>
        <w:footnoteReference w:id="187"/>
      </w:r>
      <w:r w:rsidR="00180A56" w:rsidRPr="00FC186B">
        <w:t xml:space="preserve"> </w:t>
      </w:r>
      <w:r w:rsidR="005A2DB5">
        <w:t xml:space="preserve">According </w:t>
      </w:r>
      <w:r w:rsidR="005A2DB5">
        <w:lastRenderedPageBreak/>
        <w:t>to Heizer and Elsasser, the natives of California understood the animals to have intelligence and intention equal to that of humans.</w:t>
      </w:r>
      <w:r w:rsidR="00487499">
        <w:rPr>
          <w:rStyle w:val="FootnoteReference"/>
        </w:rPr>
        <w:footnoteReference w:id="188"/>
      </w:r>
      <w:r w:rsidR="001C2D85">
        <w:t xml:space="preserve"> The non-human beings that dwell in or manifest as rocks and springs </w:t>
      </w:r>
      <w:r w:rsidR="006D6E85">
        <w:t>were</w:t>
      </w:r>
      <w:r w:rsidR="001C2D85">
        <w:t xml:space="preserve"> frequently malevolent in Native American stories and need to be treated with respect. It is unsurprising that specialists would become mediators with the unseen, spirit world.</w:t>
      </w:r>
      <w:r w:rsidR="00506A04">
        <w:t xml:space="preserve"> </w:t>
      </w:r>
      <w:r w:rsidR="006D6E85">
        <w:t>As</w:t>
      </w:r>
      <w:r w:rsidR="001C2D85" w:rsidRPr="00FC186B">
        <w:t xml:space="preserve"> Susan Hector</w:t>
      </w:r>
      <w:r w:rsidR="006D6E85">
        <w:t xml:space="preserve"> noted among </w:t>
      </w:r>
      <w:r w:rsidR="001C2D85" w:rsidRPr="00FC186B">
        <w:t>California</w:t>
      </w:r>
      <w:r w:rsidR="006D6E85">
        <w:t>n</w:t>
      </w:r>
      <w:r w:rsidR="001C2D85" w:rsidRPr="00FC186B">
        <w:t xml:space="preserve"> hunter-gatherer</w:t>
      </w:r>
      <w:r w:rsidR="00506A04">
        <w:t>s,</w:t>
      </w:r>
      <w:r w:rsidR="001C2D85" w:rsidRPr="00FC186B">
        <w:t xml:space="preserve"> rock art sites are ‘sacred places, where power is concentrated’ and which must, ‘be maintained and managed,’ presumably by shamans.</w:t>
      </w:r>
      <w:r w:rsidR="001C2D85" w:rsidRPr="00FC186B">
        <w:rPr>
          <w:rStyle w:val="FootnoteReference"/>
        </w:rPr>
        <w:footnoteReference w:id="189"/>
      </w:r>
      <w:r w:rsidR="006D6E85">
        <w:t xml:space="preserve"> </w:t>
      </w:r>
    </w:p>
    <w:p w14:paraId="5BCDA4BB" w14:textId="067E24BB" w:rsidR="006D6E85" w:rsidRPr="00FC186B" w:rsidRDefault="006D6E85" w:rsidP="006D6E85">
      <w:r w:rsidRPr="00FC186B">
        <w:t xml:space="preserve">Cousins summarized, </w:t>
      </w:r>
      <w:r>
        <w:t>‘</w:t>
      </w:r>
      <w:r w:rsidRPr="00FC186B">
        <w:t>most Native American traditions stress interrelatedness among all things.’</w:t>
      </w:r>
      <w:r w:rsidRPr="00FC186B">
        <w:rPr>
          <w:rStyle w:val="FootnoteReference"/>
        </w:rPr>
        <w:footnoteReference w:id="190"/>
      </w:r>
      <w:r w:rsidR="00506A04">
        <w:t xml:space="preserve"> </w:t>
      </w:r>
      <w:r w:rsidRPr="00FC186B">
        <w:t xml:space="preserve">In </w:t>
      </w:r>
      <w:r>
        <w:t xml:space="preserve">an </w:t>
      </w:r>
      <w:proofErr w:type="spellStart"/>
      <w:r>
        <w:t>animic</w:t>
      </w:r>
      <w:proofErr w:type="spellEnd"/>
      <w:r>
        <w:t xml:space="preserve"> ontology</w:t>
      </w:r>
      <w:r w:rsidRPr="00FC186B">
        <w:t xml:space="preserve">, </w:t>
      </w:r>
      <w:r>
        <w:t>where</w:t>
      </w:r>
      <w:r w:rsidRPr="00FC186B">
        <w:t xml:space="preserve"> all aspects are alive and related, it follows that life </w:t>
      </w:r>
      <w:r>
        <w:t>is perceived as the</w:t>
      </w:r>
      <w:r w:rsidRPr="00FC186B">
        <w:t xml:space="preserve"> reciprocal interactions between th</w:t>
      </w:r>
      <w:r>
        <w:t>ose</w:t>
      </w:r>
      <w:r w:rsidRPr="00FC186B">
        <w:t xml:space="preserve"> living entities</w:t>
      </w:r>
      <w:r>
        <w:t>, both the seen and unseen</w:t>
      </w:r>
      <w:r w:rsidRPr="00FC186B">
        <w:t>. The oft-cited relationship between hunter and prey, which is honored through prayer and ritual is easier for the Western mind to grasp because animals and humans are both considered living beings. Cousins g</w:t>
      </w:r>
      <w:r>
        <w:t>ave</w:t>
      </w:r>
      <w:r w:rsidRPr="00FC186B">
        <w:t xml:space="preserve"> an example of the reciprocal relationship between the land and people, ‘The </w:t>
      </w:r>
      <w:proofErr w:type="spellStart"/>
      <w:r w:rsidRPr="00FC186B">
        <w:t>Lochsa</w:t>
      </w:r>
      <w:proofErr w:type="spellEnd"/>
      <w:r w:rsidRPr="00FC186B">
        <w:t xml:space="preserve"> River in Idaho, for instance, gives the Salish sacred songs they perform in their ceremonies.’</w:t>
      </w:r>
      <w:r w:rsidRPr="00B73520">
        <w:rPr>
          <w:rStyle w:val="FootnoteReference"/>
        </w:rPr>
        <w:footnoteReference w:id="191"/>
      </w:r>
      <w:r w:rsidRPr="0090505C">
        <w:rPr>
          <w:b/>
          <w:bCs/>
        </w:rPr>
        <w:t xml:space="preserve"> </w:t>
      </w:r>
      <w:r w:rsidRPr="00554C6D">
        <w:t>Tilley quote</w:t>
      </w:r>
      <w:r>
        <w:t>d</w:t>
      </w:r>
      <w:r w:rsidRPr="00554C6D">
        <w:t xml:space="preserve"> the Apache woman Annie Peaches, ‘the land is always stalking people. The land makes people live right.’</w:t>
      </w:r>
      <w:r w:rsidRPr="00554C6D">
        <w:rPr>
          <w:rStyle w:val="FootnoteReference"/>
        </w:rPr>
        <w:footnoteReference w:id="192"/>
      </w:r>
      <w:r>
        <w:t xml:space="preserve"> The land may not have been the only predator perceived in the landscape of Archaic people. </w:t>
      </w:r>
      <w:r w:rsidR="00506A04">
        <w:t xml:space="preserve">John </w:t>
      </w:r>
      <w:r w:rsidRPr="0090505C">
        <w:t xml:space="preserve">Loftin included solar movements among the natural cycles that the Hopi must ‘compel’, in </w:t>
      </w:r>
      <w:r w:rsidRPr="0090505C">
        <w:lastRenderedPageBreak/>
        <w:t xml:space="preserve">the words of J. Walter </w:t>
      </w:r>
      <w:proofErr w:type="spellStart"/>
      <w:r w:rsidRPr="0090505C">
        <w:t>Fewkes</w:t>
      </w:r>
      <w:proofErr w:type="spellEnd"/>
      <w:r w:rsidR="005D4448">
        <w:t xml:space="preserve"> (1850-1930)</w:t>
      </w:r>
      <w:r w:rsidRPr="0090505C">
        <w:t>, with their prayers and rites.</w:t>
      </w:r>
      <w:r w:rsidRPr="0090505C">
        <w:rPr>
          <w:rStyle w:val="FootnoteReference"/>
        </w:rPr>
        <w:footnoteReference w:id="193"/>
      </w:r>
      <w:r w:rsidRPr="0090505C">
        <w:t xml:space="preserve"> </w:t>
      </w:r>
      <w:r w:rsidR="005D4448">
        <w:t>O</w:t>
      </w:r>
      <w:r w:rsidRPr="00FC186B">
        <w:t xml:space="preserve">ne Hopi </w:t>
      </w:r>
      <w:r w:rsidR="005D4448">
        <w:t xml:space="preserve">quoted </w:t>
      </w:r>
      <w:r w:rsidRPr="00FC186B">
        <w:t>by Loftin</w:t>
      </w:r>
      <w:r w:rsidR="005D4448">
        <w:t xml:space="preserve"> said</w:t>
      </w:r>
      <w:r w:rsidRPr="00FC186B">
        <w:t>:</w:t>
      </w:r>
    </w:p>
    <w:p w14:paraId="7B357498" w14:textId="77777777" w:rsidR="006D6E85" w:rsidRDefault="006D6E85" w:rsidP="006D6E85">
      <w:pPr>
        <w:spacing w:after="0" w:line="240" w:lineRule="auto"/>
        <w:ind w:left="360" w:right="476"/>
      </w:pPr>
      <w:r w:rsidRPr="00FC186B">
        <w:t>A true Hopi is a part of the universe and must keep himself in balance. ... All things, animate and inanimate, have life and being. A true Hopi tries to be aware of the deep spiritual essence that is at the heart of all things. All things have inner meaning and form and power. The Hopi must reach into nature and help it move forward in its cycles, harmoniously and beautifully.</w:t>
      </w:r>
      <w:r w:rsidRPr="00FC186B">
        <w:rPr>
          <w:rStyle w:val="FootnoteReference"/>
        </w:rPr>
        <w:footnoteReference w:id="194"/>
      </w:r>
    </w:p>
    <w:p w14:paraId="4CC6E32E" w14:textId="77777777" w:rsidR="006D6E85" w:rsidRDefault="006D6E85" w:rsidP="006D6E85"/>
    <w:p w14:paraId="05062E36" w14:textId="77777777" w:rsidR="006D6E85" w:rsidRDefault="006D6E85" w:rsidP="006D6E85">
      <w:r>
        <w:t>A</w:t>
      </w:r>
      <w:r w:rsidRPr="00FC186B">
        <w:t>ccording to Whitley, ‘In traditional societies and thought, order is largely associated with human actions and interactions.’</w:t>
      </w:r>
      <w:r w:rsidRPr="00FC186B">
        <w:rPr>
          <w:rStyle w:val="FootnoteReference"/>
        </w:rPr>
        <w:footnoteReference w:id="195"/>
      </w:r>
      <w:r w:rsidRPr="00FC186B">
        <w:t xml:space="preserve"> Whitley contrasted this perspective with the modern, positivistic view where order stems from mechanistic physical laws.</w:t>
      </w:r>
      <w:r w:rsidRPr="00FC186B">
        <w:rPr>
          <w:rStyle w:val="FootnoteReference"/>
        </w:rPr>
        <w:footnoteReference w:id="196"/>
      </w:r>
      <w:r w:rsidRPr="00FC186B">
        <w:t xml:space="preserve"> </w:t>
      </w:r>
    </w:p>
    <w:p w14:paraId="158D4326" w14:textId="1D0D0446" w:rsidR="002463DC" w:rsidRDefault="006D6E85" w:rsidP="00B26FEE">
      <w:r>
        <w:t>The animism of Native America included stone and rock art,</w:t>
      </w:r>
      <w:r w:rsidR="002463DC">
        <w:t xml:space="preserve"> according to </w:t>
      </w:r>
      <w:r w:rsidR="00B160F9" w:rsidRPr="00FC186B">
        <w:t>Whitle</w:t>
      </w:r>
      <w:r w:rsidR="00982216">
        <w:t>y</w:t>
      </w:r>
      <w:r w:rsidR="002463DC">
        <w:t>, who</w:t>
      </w:r>
      <w:r w:rsidR="00B160F9" w:rsidRPr="00FC186B">
        <w:t xml:space="preserve"> claim</w:t>
      </w:r>
      <w:r w:rsidR="00982216">
        <w:t>ed</w:t>
      </w:r>
      <w:r w:rsidR="00B160F9" w:rsidRPr="00FC186B">
        <w:t xml:space="preserve"> that cracks, caves</w:t>
      </w:r>
      <w:r w:rsidR="002463DC">
        <w:t>,</w:t>
      </w:r>
      <w:r w:rsidR="00B160F9" w:rsidRPr="00FC186B">
        <w:t xml:space="preserve"> and holes in rock were used by California</w:t>
      </w:r>
      <w:r>
        <w:t>’s</w:t>
      </w:r>
      <w:r w:rsidR="00B160F9" w:rsidRPr="00FC186B">
        <w:t xml:space="preserve"> traditional shamans as openings to the underworld or other worlds.</w:t>
      </w:r>
      <w:r w:rsidR="00B160F9" w:rsidRPr="0060267B">
        <w:rPr>
          <w:rStyle w:val="FootnoteReference"/>
        </w:rPr>
        <w:footnoteReference w:id="197"/>
      </w:r>
      <w:r w:rsidR="00B160F9" w:rsidRPr="00FC186B">
        <w:t xml:space="preserve"> </w:t>
      </w:r>
      <w:r w:rsidR="00935154">
        <w:t xml:space="preserve">Hector </w:t>
      </w:r>
      <w:r w:rsidR="0049411A" w:rsidRPr="00FC186B">
        <w:t>noted that ‘the rock itself is often part of the sacred quality of a place’ and gave several examples of unmodified stones that were part of the cultural landscape</w:t>
      </w:r>
      <w:r w:rsidR="0060267B">
        <w:t xml:space="preserve">, </w:t>
      </w:r>
      <w:r w:rsidR="0049411A" w:rsidRPr="00FC186B">
        <w:t xml:space="preserve">associated </w:t>
      </w:r>
      <w:r w:rsidR="002463DC">
        <w:t xml:space="preserve">with </w:t>
      </w:r>
      <w:r w:rsidR="0049411A" w:rsidRPr="00FC186B">
        <w:t>stories or considered the manifestation of the spiritual being it represented, such as Toad Rock, where water flowed after an earthquake.</w:t>
      </w:r>
      <w:r w:rsidR="0049411A" w:rsidRPr="00FC186B">
        <w:rPr>
          <w:rStyle w:val="FootnoteReference"/>
        </w:rPr>
        <w:footnoteReference w:id="198"/>
      </w:r>
      <w:r w:rsidR="0049411A" w:rsidRPr="00FC186B">
        <w:t xml:space="preserve"> </w:t>
      </w:r>
      <w:r w:rsidR="002463DC">
        <w:t xml:space="preserve">Young described how the sacred ‘raw beings’ of the Zuni are often seen as </w:t>
      </w:r>
      <w:r w:rsidR="002463DC">
        <w:lastRenderedPageBreak/>
        <w:t>rocks that embody animals or supernatural beings.</w:t>
      </w:r>
      <w:r w:rsidR="002463DC">
        <w:rPr>
          <w:rStyle w:val="FootnoteReference"/>
        </w:rPr>
        <w:footnoteReference w:id="199"/>
      </w:r>
      <w:r w:rsidR="002463DC">
        <w:t xml:space="preserve"> According to Young, ‘rawness’ implies ‘closeness to the world of myth’ and the supernatural ‘ability to affect change in the physical world’, in contrast to humans, who are ‘finished beings’, among the least effective beings and reliant on the intervention of ‘raw beings’ as mediators.</w:t>
      </w:r>
      <w:r w:rsidR="002463DC">
        <w:rPr>
          <w:rStyle w:val="FootnoteReference"/>
        </w:rPr>
        <w:footnoteReference w:id="200"/>
      </w:r>
      <w:r w:rsidR="002463DC">
        <w:t xml:space="preserve"> </w:t>
      </w:r>
    </w:p>
    <w:p w14:paraId="239D5C6E" w14:textId="04FAAFC3" w:rsidR="001D723C" w:rsidRDefault="002463DC" w:rsidP="001C2D85">
      <w:r>
        <w:t xml:space="preserve">Rocks and rock art are considered supernatural beings worldwide. </w:t>
      </w:r>
      <w:r w:rsidR="009D4205">
        <w:t xml:space="preserve">In Australia, natural pits in rock were considered portals for spirit beings, according to </w:t>
      </w:r>
      <w:r w:rsidR="009D4205" w:rsidRPr="004359D6">
        <w:t>O. Winston Hampton and Bill Harney</w:t>
      </w:r>
      <w:r w:rsidR="009D4205">
        <w:t>.</w:t>
      </w:r>
      <w:r w:rsidR="009D4205">
        <w:rPr>
          <w:rStyle w:val="FootnoteReference"/>
        </w:rPr>
        <w:footnoteReference w:id="201"/>
      </w:r>
      <w:r w:rsidR="009D4205">
        <w:t xml:space="preserve"> </w:t>
      </w:r>
      <w:r w:rsidR="004F0258">
        <w:t xml:space="preserve"> </w:t>
      </w:r>
      <w:r w:rsidR="009D4205" w:rsidRPr="00092115">
        <w:t>Lewis-Williams</w:t>
      </w:r>
      <w:r w:rsidR="00092115" w:rsidRPr="00092115">
        <w:t xml:space="preserve"> and</w:t>
      </w:r>
      <w:r w:rsidR="004F0258">
        <w:t xml:space="preserve"> Dowson</w:t>
      </w:r>
      <w:r w:rsidR="009D4205">
        <w:t xml:space="preserve">, </w:t>
      </w:r>
      <w:r w:rsidR="00A806E3">
        <w:t>described the rock inscribed with petroglyphs</w:t>
      </w:r>
      <w:r w:rsidR="00F04D38">
        <w:t xml:space="preserve"> </w:t>
      </w:r>
      <w:r w:rsidR="009D4205">
        <w:t xml:space="preserve">as a living being through which the </w:t>
      </w:r>
      <w:r w:rsidR="004F0258">
        <w:t>beings of petroglyphs emerge and subside</w:t>
      </w:r>
      <w:r w:rsidR="00A806E3">
        <w:t xml:space="preserve"> in the San worldview, where the paint used in pictographs also has non-human personhood and agency</w:t>
      </w:r>
      <w:r w:rsidR="004F0258">
        <w:t>.</w:t>
      </w:r>
      <w:r w:rsidR="004F0258">
        <w:rPr>
          <w:rStyle w:val="FootnoteReference"/>
        </w:rPr>
        <w:footnoteReference w:id="202"/>
      </w:r>
      <w:r>
        <w:t xml:space="preserve"> </w:t>
      </w:r>
      <w:r w:rsidR="00F04D38">
        <w:t>A</w:t>
      </w:r>
      <w:r w:rsidR="000A34BF">
        <w:t xml:space="preserve">mong </w:t>
      </w:r>
      <w:r w:rsidR="00F04D38">
        <w:t xml:space="preserve">Australian aborigines </w:t>
      </w:r>
      <w:r w:rsidR="000A34BF">
        <w:t xml:space="preserve">the ‘ancestors’ </w:t>
      </w:r>
      <w:r w:rsidR="00F04D38">
        <w:t>who</w:t>
      </w:r>
      <w:r w:rsidR="000A34BF">
        <w:t xml:space="preserve"> created </w:t>
      </w:r>
      <w:r w:rsidR="00F04D38">
        <w:t xml:space="preserve">or simply became </w:t>
      </w:r>
      <w:r w:rsidR="000A34BF">
        <w:t xml:space="preserve">petroglyphs were non-human persons, </w:t>
      </w:r>
      <w:r w:rsidR="00F04D38">
        <w:t>according to</w:t>
      </w:r>
      <w:r w:rsidR="00F07063">
        <w:t xml:space="preserve"> </w:t>
      </w:r>
      <w:r w:rsidR="00271E90">
        <w:t xml:space="preserve">Martin </w:t>
      </w:r>
      <w:proofErr w:type="spellStart"/>
      <w:r w:rsidR="00271E90">
        <w:t>Porr</w:t>
      </w:r>
      <w:proofErr w:type="spellEnd"/>
      <w:r w:rsidR="00271E90">
        <w:t xml:space="preserve"> and Hannah Bell</w:t>
      </w:r>
      <w:r w:rsidR="000A34BF">
        <w:t>.</w:t>
      </w:r>
      <w:r w:rsidR="00CE2BCC">
        <w:rPr>
          <w:rStyle w:val="FootnoteReference"/>
        </w:rPr>
        <w:footnoteReference w:id="203"/>
      </w:r>
      <w:r w:rsidR="000A34BF">
        <w:t xml:space="preserve"> </w:t>
      </w:r>
      <w:r w:rsidR="001D723C">
        <w:t xml:space="preserve">Similarly, </w:t>
      </w:r>
      <w:proofErr w:type="spellStart"/>
      <w:r w:rsidR="00B17FDF">
        <w:t>Malville</w:t>
      </w:r>
      <w:proofErr w:type="spellEnd"/>
      <w:r w:rsidR="00B17FDF">
        <w:t xml:space="preserve"> called the </w:t>
      </w:r>
      <w:proofErr w:type="spellStart"/>
      <w:r w:rsidR="00B17FDF">
        <w:t>huacas</w:t>
      </w:r>
      <w:proofErr w:type="spellEnd"/>
      <w:r w:rsidR="00B17FDF">
        <w:t xml:space="preserve"> of Peru</w:t>
      </w:r>
      <w:r w:rsidR="005A2DB5">
        <w:t>, sacred</w:t>
      </w:r>
      <w:r w:rsidR="003D4059">
        <w:t>,</w:t>
      </w:r>
      <w:r w:rsidR="005A2DB5">
        <w:t xml:space="preserve"> natural and shaped monoliths,</w:t>
      </w:r>
      <w:r w:rsidR="00B17FDF">
        <w:t xml:space="preserve"> </w:t>
      </w:r>
      <w:r w:rsidR="00746D79">
        <w:t>‘</w:t>
      </w:r>
      <w:r w:rsidR="00B17FDF">
        <w:t>lithified ancestors</w:t>
      </w:r>
      <w:r w:rsidR="00746D79">
        <w:t>’</w:t>
      </w:r>
      <w:r w:rsidR="00B17FDF">
        <w:t xml:space="preserve"> from the prehistoric mythologies.</w:t>
      </w:r>
      <w:r w:rsidR="00B17FDF">
        <w:rPr>
          <w:rStyle w:val="FootnoteReference"/>
        </w:rPr>
        <w:footnoteReference w:id="204"/>
      </w:r>
      <w:r w:rsidR="00874637">
        <w:t xml:space="preserve"> </w:t>
      </w:r>
    </w:p>
    <w:p w14:paraId="00DAD6A5" w14:textId="32E8AF64" w:rsidR="001C2D85" w:rsidRPr="00FC186B" w:rsidRDefault="000A34BF" w:rsidP="001C2D85">
      <w:r>
        <w:t xml:space="preserve">Western researchers can continue to rationalize this ontology as long as it called myth or beliefs, but to </w:t>
      </w:r>
      <w:r w:rsidR="00D2723E">
        <w:t xml:space="preserve">allow an </w:t>
      </w:r>
      <w:proofErr w:type="spellStart"/>
      <w:r w:rsidR="00D2723E">
        <w:t>animic</w:t>
      </w:r>
      <w:proofErr w:type="spellEnd"/>
      <w:r w:rsidR="00D2723E">
        <w:t xml:space="preserve"> ontology equal footing with rationalism requires suspending beliefs in Cartesian dualities, the inanimate nature of matter and the intellectual superiority </w:t>
      </w:r>
      <w:r w:rsidR="00D2723E">
        <w:lastRenderedPageBreak/>
        <w:t>of humans. This research was based on the premise that Archaic people place</w:t>
      </w:r>
      <w:r w:rsidR="00027771">
        <w:t>d</w:t>
      </w:r>
      <w:r w:rsidR="00D2723E">
        <w:t xml:space="preserve"> </w:t>
      </w:r>
      <w:r w:rsidR="00027771">
        <w:t xml:space="preserve">petroglyphs </w:t>
      </w:r>
      <w:r w:rsidR="00D2723E">
        <w:t xml:space="preserve">in the landscape </w:t>
      </w:r>
      <w:r w:rsidR="0099324A">
        <w:t xml:space="preserve">at locations </w:t>
      </w:r>
      <w:r w:rsidR="00D2723E">
        <w:t xml:space="preserve">sacred </w:t>
      </w:r>
      <w:r w:rsidR="00027771">
        <w:t xml:space="preserve">to them </w:t>
      </w:r>
      <w:r w:rsidR="00D2723E">
        <w:t xml:space="preserve">due to the intersection of </w:t>
      </w:r>
      <w:r w:rsidR="00874637">
        <w:t>celestial</w:t>
      </w:r>
      <w:r w:rsidR="00D2723E">
        <w:t xml:space="preserve"> and terrestrial dynamics</w:t>
      </w:r>
      <w:r w:rsidR="00935154">
        <w:t>, such as a solstice sunrise</w:t>
      </w:r>
      <w:r w:rsidR="00D2723E">
        <w:t xml:space="preserve">. An </w:t>
      </w:r>
      <w:proofErr w:type="spellStart"/>
      <w:r w:rsidR="00D2723E">
        <w:t>animic</w:t>
      </w:r>
      <w:proofErr w:type="spellEnd"/>
      <w:r w:rsidR="00D2723E">
        <w:t xml:space="preserve"> </w:t>
      </w:r>
      <w:r w:rsidR="00027771">
        <w:t xml:space="preserve">worldview </w:t>
      </w:r>
      <w:r w:rsidR="00874637">
        <w:t>sees</w:t>
      </w:r>
      <w:r w:rsidR="00027771">
        <w:t xml:space="preserve"> sky and rock beings</w:t>
      </w:r>
      <w:r w:rsidR="00746D79">
        <w:t xml:space="preserve"> inhabit</w:t>
      </w:r>
      <w:r w:rsidR="00874637">
        <w:t>ing</w:t>
      </w:r>
      <w:r w:rsidR="00746D79">
        <w:t xml:space="preserve"> or</w:t>
      </w:r>
      <w:r w:rsidR="00027771">
        <w:t xml:space="preserve"> creat</w:t>
      </w:r>
      <w:r w:rsidR="00874637">
        <w:t>ing</w:t>
      </w:r>
      <w:r w:rsidR="00027771">
        <w:t xml:space="preserve"> the petroglyphs, probably at the time of creation to mark the mythic event of the sun being coaxed to return, often by an animal.</w:t>
      </w:r>
      <w:r w:rsidR="0099324A">
        <w:t xml:space="preserve"> </w:t>
      </w:r>
    </w:p>
    <w:p w14:paraId="1FD133E0" w14:textId="62ED449C" w:rsidR="001E3EE2" w:rsidRDefault="001E3EE2" w:rsidP="006D6E85">
      <w:r w:rsidRPr="00FC186B">
        <w:t>The relative rarity of rock art compared to habitation and task sites could be explained if the creation of rock art was restricted to shamans for their sacred rites.</w:t>
      </w:r>
      <w:r w:rsidR="001C3EF2" w:rsidRPr="00FC186B">
        <w:t xml:space="preserve"> The relative abundance of rock art within the study area, which is otherwise sparsely marked by material cultural remains, </w:t>
      </w:r>
      <w:r w:rsidR="00E2110F">
        <w:t>suggests</w:t>
      </w:r>
      <w:r w:rsidR="001C3EF2" w:rsidRPr="00FC186B">
        <w:t xml:space="preserve"> the region was considered a place of concentrated power.</w:t>
      </w:r>
      <w:r w:rsidR="001C2D85">
        <w:t xml:space="preserve"> </w:t>
      </w:r>
    </w:p>
    <w:p w14:paraId="536DCD7B" w14:textId="55EF05BD" w:rsidR="00B26FEE" w:rsidRDefault="00B26FEE" w:rsidP="00B26FEE">
      <w:r>
        <w:t>In summary, through a process of shedding modern preconceptions of time, space, and the nature of reality</w:t>
      </w:r>
      <w:r w:rsidR="007B418F">
        <w:t xml:space="preserve">, the animism, </w:t>
      </w:r>
      <w:r w:rsidR="00CE0419">
        <w:t>shamanism,</w:t>
      </w:r>
      <w:r w:rsidR="007B418F">
        <w:t xml:space="preserve"> and relational ontologies expressed by </w:t>
      </w:r>
      <w:r>
        <w:t>contemporary</w:t>
      </w:r>
      <w:r w:rsidR="007B418F">
        <w:t xml:space="preserve"> and historic</w:t>
      </w:r>
      <w:r>
        <w:t xml:space="preserve"> Native Americans </w:t>
      </w:r>
      <w:r w:rsidR="007B418F">
        <w:t>can be used to</w:t>
      </w:r>
      <w:r>
        <w:t xml:space="preserve"> contextualize Archaic rock art. In a worldview of interrelated and interactive, </w:t>
      </w:r>
      <w:r w:rsidR="00CE0419">
        <w:t>seen,</w:t>
      </w:r>
      <w:r>
        <w:t xml:space="preserve"> and unseen beings, the encultured landscape was defined and </w:t>
      </w:r>
      <w:r w:rsidR="00DE0578">
        <w:t xml:space="preserve">maintained </w:t>
      </w:r>
      <w:r>
        <w:t xml:space="preserve">through </w:t>
      </w:r>
      <w:r w:rsidR="007A533E">
        <w:t xml:space="preserve">the </w:t>
      </w:r>
      <w:r>
        <w:t xml:space="preserve">oral tradition and ritual action. </w:t>
      </w:r>
      <w:r w:rsidR="00250D06">
        <w:t>T</w:t>
      </w:r>
      <w:r w:rsidR="007B418F">
        <w:t xml:space="preserve">he stories of </w:t>
      </w:r>
      <w:r>
        <w:t xml:space="preserve">the hunter-gatherers of the study region may be lost, but the engravings made in the process of ritual, or simply as landmarks for viewing solstice attest </w:t>
      </w:r>
      <w:r w:rsidR="007A533E">
        <w:t xml:space="preserve">to </w:t>
      </w:r>
      <w:r>
        <w:t xml:space="preserve">the value afforded to the sun among Archaic, nomadic peoples. </w:t>
      </w:r>
      <w:r w:rsidR="007B418F" w:rsidRPr="00391170">
        <w:t>R</w:t>
      </w:r>
      <w:r w:rsidRPr="00391170">
        <w:t xml:space="preserve">ock art </w:t>
      </w:r>
      <w:r w:rsidR="007B418F" w:rsidRPr="00391170">
        <w:t xml:space="preserve">probably had </w:t>
      </w:r>
      <w:r w:rsidRPr="00391170">
        <w:t xml:space="preserve">multiple functions, </w:t>
      </w:r>
      <w:r w:rsidR="007B418F" w:rsidRPr="00391170">
        <w:t xml:space="preserve">yet </w:t>
      </w:r>
      <w:r w:rsidRPr="00391170">
        <w:t xml:space="preserve">the relatively high percentage of sites with early morning light on the solstice, indicate that this was one way the traditional people tracked </w:t>
      </w:r>
      <w:r w:rsidR="001F304F" w:rsidRPr="00391170">
        <w:t>annual celestial events</w:t>
      </w:r>
      <w:r w:rsidRPr="00391170">
        <w:t xml:space="preserve"> and that the turning of the sun’s path along the horizon was reason to celebrate among the Archaic people.</w:t>
      </w:r>
    </w:p>
    <w:p w14:paraId="3618F6C7" w14:textId="64A0ECDE" w:rsidR="009D2BFC" w:rsidRDefault="009D2BFC" w:rsidP="005142A5">
      <w:pPr>
        <w:pStyle w:val="Heading2"/>
      </w:pPr>
      <w:bookmarkStart w:id="73" w:name="_Toc101636991"/>
      <w:r>
        <w:t>Phenomenology of the Desert</w:t>
      </w:r>
      <w:bookmarkEnd w:id="73"/>
      <w:r>
        <w:t xml:space="preserve"> </w:t>
      </w:r>
    </w:p>
    <w:p w14:paraId="3E7CE126" w14:textId="4DBC1780" w:rsidR="0068455A" w:rsidRDefault="00260474" w:rsidP="0068455A">
      <w:r>
        <w:t xml:space="preserve">The essence of the desert has not changed since hunter-gatherers roamed this area. </w:t>
      </w:r>
      <w:r w:rsidR="00B775FD">
        <w:t>It is comprised of sky and stone, laid bare to sun, rain</w:t>
      </w:r>
      <w:r w:rsidR="001D723C">
        <w:t>,</w:t>
      </w:r>
      <w:r w:rsidR="00B775FD">
        <w:t xml:space="preserve"> and wind. </w:t>
      </w:r>
      <w:r w:rsidR="00A802D4">
        <w:t xml:space="preserve">This section considers the </w:t>
      </w:r>
      <w:r w:rsidR="00DC544E">
        <w:lastRenderedPageBreak/>
        <w:t>experience</w:t>
      </w:r>
      <w:r w:rsidR="00A802D4">
        <w:t xml:space="preserve"> of living between sun and stone, the</w:t>
      </w:r>
      <w:r w:rsidR="00DC544E">
        <w:t xml:space="preserve"> </w:t>
      </w:r>
      <w:r w:rsidR="00A802D4">
        <w:t>lifestyle of walking</w:t>
      </w:r>
      <w:r w:rsidR="007A533E">
        <w:t>,</w:t>
      </w:r>
      <w:r w:rsidR="00BD4ABE">
        <w:t xml:space="preserve"> </w:t>
      </w:r>
      <w:r w:rsidR="00A802D4">
        <w:t xml:space="preserve">and the sacred </w:t>
      </w:r>
      <w:r w:rsidR="00DC544E">
        <w:t>aspects</w:t>
      </w:r>
      <w:r w:rsidR="00A802D4">
        <w:t xml:space="preserve"> </w:t>
      </w:r>
      <w:r w:rsidR="00DC544E">
        <w:t xml:space="preserve">that </w:t>
      </w:r>
      <w:r w:rsidR="00A802D4">
        <w:t xml:space="preserve">spires </w:t>
      </w:r>
      <w:r w:rsidR="00DC544E">
        <w:t>may have had to Archaic peoples</w:t>
      </w:r>
      <w:r w:rsidR="00A802D4">
        <w:t>.</w:t>
      </w:r>
    </w:p>
    <w:p w14:paraId="00CC2C93" w14:textId="66686D1F" w:rsidR="00B775FD" w:rsidRDefault="001F304F" w:rsidP="0068455A">
      <w:r>
        <w:t xml:space="preserve">The sun defines life in the desert. </w:t>
      </w:r>
      <w:r w:rsidR="004F56FF">
        <w:t>With</w:t>
      </w:r>
      <w:r w:rsidR="00D40674">
        <w:t xml:space="preserve"> </w:t>
      </w:r>
      <w:r w:rsidR="004F56FF">
        <w:t xml:space="preserve">244 days of sunshine in Moab annually, the sky may have been the only ceiling </w:t>
      </w:r>
      <w:r w:rsidR="00A802D4">
        <w:t>Archaic people</w:t>
      </w:r>
      <w:r w:rsidR="004F56FF">
        <w:t xml:space="preserve"> needed on many nights.</w:t>
      </w:r>
      <w:r w:rsidR="004F56FF">
        <w:rPr>
          <w:rStyle w:val="FootnoteReference"/>
        </w:rPr>
        <w:footnoteReference w:id="205"/>
      </w:r>
      <w:r w:rsidR="004F56FF">
        <w:t xml:space="preserve"> </w:t>
      </w:r>
      <w:r w:rsidR="007E4E89">
        <w:t xml:space="preserve">The </w:t>
      </w:r>
      <w:r w:rsidR="001D723C">
        <w:t>high desert is a land of extremes.</w:t>
      </w:r>
      <w:r w:rsidR="007E4E89">
        <w:t xml:space="preserve"> In winter the sun’s warmth is the most precious commodity</w:t>
      </w:r>
      <w:r w:rsidR="00F44DDE">
        <w:t xml:space="preserve">, in summer it’s water and shade. Stone collects and stores temperatures and sometimes water. It is </w:t>
      </w:r>
      <w:r w:rsidR="007A6DAF">
        <w:t>one of few things</w:t>
      </w:r>
      <w:r w:rsidR="00F44DDE">
        <w:t xml:space="preserve"> that moderates the seasonal and daily swings between light and darkness, warmth and cold</w:t>
      </w:r>
      <w:r w:rsidR="00116966">
        <w:t>.</w:t>
      </w:r>
      <w:r w:rsidR="007A6DAF">
        <w:t xml:space="preserve"> For the Archaic people stone was shelter, tool, and canvas. </w:t>
      </w:r>
      <w:r w:rsidR="00ED11F7">
        <w:t xml:space="preserve"> In a world where everything was inhabited with life forces, the touching of sun on stone during a solstice sunrise </w:t>
      </w:r>
      <w:r w:rsidR="00D34668">
        <w:t>united</w:t>
      </w:r>
      <w:r w:rsidR="00ED11F7">
        <w:t xml:space="preserve"> two of the most </w:t>
      </w:r>
      <w:r w:rsidR="00DA5384">
        <w:t>essential</w:t>
      </w:r>
      <w:r w:rsidR="00ED11F7">
        <w:t xml:space="preserve"> beings in their universe</w:t>
      </w:r>
      <w:r w:rsidR="00D34668">
        <w:t xml:space="preserve">. </w:t>
      </w:r>
    </w:p>
    <w:p w14:paraId="75C6A5AD" w14:textId="09C73F59" w:rsidR="00854777" w:rsidRDefault="00520FF6" w:rsidP="00854777">
      <w:pPr>
        <w:rPr>
          <w:b/>
          <w:bCs/>
        </w:rPr>
      </w:pPr>
      <w:r>
        <w:t>Tim Ingold introduced the concept of dwelling in the weather world, a place of moving weather in contrast to ‘</w:t>
      </w:r>
      <w:proofErr w:type="spellStart"/>
      <w:r>
        <w:t>exhabitants</w:t>
      </w:r>
      <w:proofErr w:type="spellEnd"/>
      <w:r>
        <w:t xml:space="preserve">’ acting out their lives in empty space </w:t>
      </w:r>
      <w:r w:rsidR="007A533E">
        <w:t>above</w:t>
      </w:r>
      <w:r>
        <w:t xml:space="preserve"> the flat plane of the earth.</w:t>
      </w:r>
      <w:r>
        <w:rPr>
          <w:rStyle w:val="FootnoteReference"/>
        </w:rPr>
        <w:footnoteReference w:id="206"/>
      </w:r>
      <w:r>
        <w:t xml:space="preserve"> See Figure 2. </w:t>
      </w:r>
      <w:r w:rsidR="001D723C">
        <w:t xml:space="preserve">A weather-world </w:t>
      </w:r>
      <w:r>
        <w:t>would not have been a new concept to those living an archaic lifestyle in the desert. Canyonlands are, by definition, not a flat surface.</w:t>
      </w:r>
      <w:r w:rsidR="00F8376C" w:rsidRPr="00F8376C">
        <w:t xml:space="preserve"> </w:t>
      </w:r>
      <w:r w:rsidR="00F8376C">
        <w:t xml:space="preserve">Even while traversing a slope, one must cross deep ravines between every cliff-lined ridge. Hiking is more akin to navigating a three-dimensional maze than walking across a field. Without trees and buildings winds gain speed across the open land and the sun is </w:t>
      </w:r>
      <w:r w:rsidR="00F8376C">
        <w:lastRenderedPageBreak/>
        <w:t xml:space="preserve">relentless. </w:t>
      </w:r>
      <w:r w:rsidR="00854777" w:rsidRPr="002D00C0">
        <w:rPr>
          <w:noProof/>
        </w:rPr>
        <w:drawing>
          <wp:anchor distT="0" distB="0" distL="114300" distR="114300" simplePos="0" relativeHeight="251669504" behindDoc="0" locked="0" layoutInCell="1" allowOverlap="1" wp14:anchorId="71468BD6" wp14:editId="2D7240DD">
            <wp:simplePos x="0" y="0"/>
            <wp:positionH relativeFrom="margin">
              <wp:posOffset>-179705</wp:posOffset>
            </wp:positionH>
            <wp:positionV relativeFrom="paragraph">
              <wp:posOffset>1902460</wp:posOffset>
            </wp:positionV>
            <wp:extent cx="3529965" cy="3460115"/>
            <wp:effectExtent l="0" t="0" r="0"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7921"/>
                    <a:stretch/>
                  </pic:blipFill>
                  <pic:spPr bwMode="auto">
                    <a:xfrm>
                      <a:off x="0" y="0"/>
                      <a:ext cx="3529965" cy="3460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376C">
        <w:t>The image of a man walking in the vibrant waves of Ingold’s weather world take on deadly force and are inescapable in the desert. But the Archaic people would have felt another dimension in this ‘weather-world’, which are the currents and activities of the unseen world we call supernatural, as illustrated in Figure 3.</w:t>
      </w:r>
      <w:r w:rsidR="00854777" w:rsidRPr="00854777">
        <w:rPr>
          <w:b/>
          <w:bCs/>
        </w:rPr>
        <w:t xml:space="preserve"> </w:t>
      </w:r>
    </w:p>
    <w:p w14:paraId="3177982E" w14:textId="18530969" w:rsidR="00854777" w:rsidRDefault="00854777" w:rsidP="00854777">
      <w:pPr>
        <w:pStyle w:val="Caption"/>
      </w:pPr>
      <w:r w:rsidRPr="007203A2">
        <w:rPr>
          <w:b/>
          <w:bCs/>
        </w:rPr>
        <w:t xml:space="preserve">Figure </w:t>
      </w:r>
      <w:r>
        <w:rPr>
          <w:b/>
          <w:bCs/>
        </w:rPr>
        <w:t>2</w:t>
      </w:r>
      <w:r>
        <w:t xml:space="preserve"> Ingold's depictions of A: </w:t>
      </w:r>
      <w:proofErr w:type="spellStart"/>
      <w:r>
        <w:t>Exhabitant</w:t>
      </w:r>
      <w:proofErr w:type="spellEnd"/>
      <w:r>
        <w:t xml:space="preserve"> of the earth. B: Inhabitant of the weather-world. Source: </w:t>
      </w:r>
      <w:r w:rsidR="006404F8">
        <w:t xml:space="preserve">Tim </w:t>
      </w:r>
      <w:r>
        <w:t xml:space="preserve">Ingold, </w:t>
      </w:r>
      <w:r w:rsidR="006404F8">
        <w:t>‘</w:t>
      </w:r>
      <w:r w:rsidRPr="00DE5D6E">
        <w:rPr>
          <w:szCs w:val="22"/>
        </w:rPr>
        <w:t>Earth, Sky, Wind, and Weather’</w:t>
      </w:r>
      <w:r>
        <w:rPr>
          <w:szCs w:val="22"/>
        </w:rPr>
        <w:t>, p. S35.</w:t>
      </w:r>
    </w:p>
    <w:p w14:paraId="7FA5774F" w14:textId="0D7BD8ED" w:rsidR="00CD1381" w:rsidRDefault="00CD1381" w:rsidP="0068455A"/>
    <w:p w14:paraId="415AFEC6" w14:textId="1FC27522" w:rsidR="00DA5384" w:rsidRDefault="00916195" w:rsidP="0068455A">
      <w:r>
        <w:t>William Stafford stated, ‘The Navaho world is made of verbs.’</w:t>
      </w:r>
      <w:r>
        <w:rPr>
          <w:rStyle w:val="FootnoteReference"/>
        </w:rPr>
        <w:footnoteReference w:id="207"/>
      </w:r>
      <w:r w:rsidR="00E010D1">
        <w:t xml:space="preserve"> For ‘solstice’ and even ‘sun’ to be experienced as processes instead of things requires an ontological ground shift for modern </w:t>
      </w:r>
      <w:r w:rsidR="00F648A1">
        <w:t>Westerners</w:t>
      </w:r>
      <w:r w:rsidR="00E010D1">
        <w:t xml:space="preserve">. </w:t>
      </w:r>
      <w:r w:rsidR="00BE09DE">
        <w:t>In a lifestyle where humans moved constantly, did they perceive anything around them as static?</w:t>
      </w:r>
      <w:r w:rsidR="00C567D1">
        <w:t xml:space="preserve"> Was the sun a being that walked back and forth along the horizon?</w:t>
      </w:r>
      <w:r w:rsidR="00BE09DE">
        <w:t xml:space="preserve"> </w:t>
      </w:r>
      <w:r w:rsidR="00AF7FDB">
        <w:t xml:space="preserve"> </w:t>
      </w:r>
    </w:p>
    <w:p w14:paraId="7B2903C1" w14:textId="3F47B74C" w:rsidR="00854777" w:rsidRDefault="00854777" w:rsidP="00854777">
      <w:pPr>
        <w:pStyle w:val="Caption"/>
      </w:pPr>
      <w:r>
        <w:rPr>
          <w:noProof/>
        </w:rPr>
        <w:lastRenderedPageBreak/>
        <w:drawing>
          <wp:anchor distT="0" distB="0" distL="114300" distR="114300" simplePos="0" relativeHeight="251670528" behindDoc="0" locked="0" layoutInCell="1" allowOverlap="0" wp14:anchorId="64DBF7D8" wp14:editId="719BD6D4">
            <wp:simplePos x="0" y="0"/>
            <wp:positionH relativeFrom="margin">
              <wp:align>left</wp:align>
            </wp:positionH>
            <wp:positionV relativeFrom="margin">
              <wp:posOffset>-279400</wp:posOffset>
            </wp:positionV>
            <wp:extent cx="5739130" cy="363537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5" cstate="print">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t="5266" b="5266"/>
                    <a:stretch>
                      <a:fillRect/>
                    </a:stretch>
                  </pic:blipFill>
                  <pic:spPr bwMode="auto">
                    <a:xfrm>
                      <a:off x="0" y="0"/>
                      <a:ext cx="5739130" cy="3635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203A2">
        <w:rPr>
          <w:b/>
          <w:bCs/>
        </w:rPr>
        <w:t xml:space="preserve">Figure </w:t>
      </w:r>
      <w:r>
        <w:rPr>
          <w:b/>
          <w:bCs/>
        </w:rPr>
        <w:t>3</w:t>
      </w:r>
      <w:r>
        <w:t xml:space="preserve"> Canyonland’s world includes earth, wind (</w:t>
      </w:r>
      <w:r w:rsidR="008D07AD">
        <w:t>swirls</w:t>
      </w:r>
      <w:r>
        <w:t>), sun</w:t>
      </w:r>
      <w:r w:rsidR="008D07AD">
        <w:t>,</w:t>
      </w:r>
      <w:r>
        <w:t xml:space="preserve"> and unseen beings (</w:t>
      </w:r>
      <w:r w:rsidR="008D07AD">
        <w:t>stars</w:t>
      </w:r>
      <w:r>
        <w:t>). Illustration: Author.</w:t>
      </w:r>
    </w:p>
    <w:p w14:paraId="19E5CEB2" w14:textId="77777777" w:rsidR="00E85488" w:rsidRDefault="00E85488" w:rsidP="0068455A"/>
    <w:p w14:paraId="1C0CE3A1" w14:textId="026B92B2" w:rsidR="00927720" w:rsidRDefault="00BE09DE" w:rsidP="00927720">
      <w:r>
        <w:t>It could be argued that the primary technology of Archaic people was walking. The petroglyphs in the study area</w:t>
      </w:r>
      <w:r w:rsidR="0004703F">
        <w:t>,</w:t>
      </w:r>
      <w:r>
        <w:t xml:space="preserve"> </w:t>
      </w:r>
      <w:r w:rsidR="00F648A1">
        <w:t xml:space="preserve">defined by Mona Charles and Cole as </w:t>
      </w:r>
      <w:r w:rsidR="00DC544E">
        <w:t xml:space="preserve">the </w:t>
      </w:r>
      <w:r w:rsidR="00F648A1">
        <w:t xml:space="preserve">La Sal Mountain style of rock art </w:t>
      </w:r>
      <w:r w:rsidR="0004703F">
        <w:t>with</w:t>
      </w:r>
      <w:r w:rsidR="00F648A1">
        <w:t xml:space="preserve"> a preponderance of tracks and bear ‘paw prints’</w:t>
      </w:r>
      <w:r w:rsidR="0004703F" w:rsidRPr="0004703F">
        <w:t xml:space="preserve"> </w:t>
      </w:r>
      <w:r w:rsidR="0004703F">
        <w:t xml:space="preserve">frequently included </w:t>
      </w:r>
      <w:r w:rsidR="00927720" w:rsidRPr="00927720">
        <w:rPr>
          <w:b/>
          <w:bCs/>
        </w:rPr>
        <w:t xml:space="preserve"> </w:t>
      </w:r>
      <w:r w:rsidR="0004703F">
        <w:t>images of footprints</w:t>
      </w:r>
      <w:r w:rsidR="00F648A1">
        <w:t>.</w:t>
      </w:r>
      <w:r w:rsidR="00F648A1">
        <w:rPr>
          <w:rStyle w:val="FootnoteReference"/>
        </w:rPr>
        <w:footnoteReference w:id="208"/>
      </w:r>
      <w:r w:rsidR="00F648A1" w:rsidRPr="009A7CE1">
        <w:t xml:space="preserve"> </w:t>
      </w:r>
      <w:r w:rsidR="007C5B44">
        <w:t>B</w:t>
      </w:r>
      <w:r>
        <w:t xml:space="preserve">y contrast the </w:t>
      </w:r>
      <w:r w:rsidR="00D0531E">
        <w:t>AP regions</w:t>
      </w:r>
      <w:r w:rsidR="0028103F">
        <w:t xml:space="preserve"> of sedentary farmers</w:t>
      </w:r>
      <w:r w:rsidR="00D0531E">
        <w:t xml:space="preserve"> around Four Corners</w:t>
      </w:r>
      <w:r w:rsidR="0028103F">
        <w:t xml:space="preserve"> ha</w:t>
      </w:r>
      <w:r w:rsidR="00D0531E">
        <w:t>d</w:t>
      </w:r>
      <w:r w:rsidR="0028103F">
        <w:t xml:space="preserve"> a keynote of </w:t>
      </w:r>
      <w:r w:rsidR="00D0531E">
        <w:t xml:space="preserve">‘the ubiquitous </w:t>
      </w:r>
      <w:r w:rsidR="0028103F">
        <w:t>handprint</w:t>
      </w:r>
      <w:r w:rsidR="00D0531E">
        <w:t xml:space="preserve">’, </w:t>
      </w:r>
      <w:r w:rsidR="002C4B5C">
        <w:t>a</w:t>
      </w:r>
      <w:r w:rsidR="0028103F">
        <w:t>ccording to</w:t>
      </w:r>
      <w:r w:rsidR="007C5B44">
        <w:t xml:space="preserve"> </w:t>
      </w:r>
      <w:proofErr w:type="spellStart"/>
      <w:r w:rsidR="00D0531E">
        <w:t>Schaafsma</w:t>
      </w:r>
      <w:proofErr w:type="spellEnd"/>
      <w:r w:rsidR="007C5B44">
        <w:t>.</w:t>
      </w:r>
      <w:r w:rsidR="007C5B44">
        <w:rPr>
          <w:rStyle w:val="FootnoteReference"/>
        </w:rPr>
        <w:footnoteReference w:id="209"/>
      </w:r>
      <w:r w:rsidR="00927720" w:rsidRPr="00927720">
        <w:rPr>
          <w:noProof/>
        </w:rPr>
        <w:t xml:space="preserve"> </w:t>
      </w:r>
      <w:r w:rsidR="009A7CE1">
        <w:t>The</w:t>
      </w:r>
      <w:r w:rsidR="00927720" w:rsidRPr="00927720">
        <w:t xml:space="preserve"> </w:t>
      </w:r>
      <w:r w:rsidR="00927720">
        <w:t xml:space="preserve">sedentary agriculturalists to the south were ‘makers’, makers of pottery, </w:t>
      </w:r>
      <w:r w:rsidR="00927720" w:rsidRPr="00927720">
        <w:t xml:space="preserve">architecture, and ornamentation and they left their handprints in the rock art as well as in the wall mortar and pottery. See Plate </w:t>
      </w:r>
      <w:r w:rsidR="002717EC">
        <w:t>11</w:t>
      </w:r>
      <w:r w:rsidR="00927720" w:rsidRPr="00927720">
        <w:t xml:space="preserve">. By contrast, the hunter-gatherers were walkers, who lived by tracking </w:t>
      </w:r>
      <w:r w:rsidR="00927720" w:rsidRPr="00927720">
        <w:lastRenderedPageBreak/>
        <w:t>animals and wild plant harvests and left little but footprints, including in their rock art as seen in Plate 1</w:t>
      </w:r>
      <w:r w:rsidR="002717EC">
        <w:t>2</w:t>
      </w:r>
      <w:r w:rsidR="00927720" w:rsidRPr="00927720">
        <w:t xml:space="preserve">. Comfort was navigated by seeking out micro-environments to moderate weather conditions: a deep pool in summer, a sunny alcove in winter. </w:t>
      </w:r>
    </w:p>
    <w:p w14:paraId="1205D3DB" w14:textId="32F01F1D" w:rsidR="0004703F" w:rsidRDefault="009A7CE1" w:rsidP="00927720">
      <w:pPr>
        <w:pStyle w:val="Caption"/>
      </w:pPr>
      <w:r>
        <w:t xml:space="preserve"> </w:t>
      </w:r>
      <w:r w:rsidR="00927720">
        <w:rPr>
          <w:noProof/>
        </w:rPr>
        <w:drawing>
          <wp:inline distT="0" distB="0" distL="0" distR="0" wp14:anchorId="54267242" wp14:editId="0E803E39">
            <wp:extent cx="5733288" cy="2834640"/>
            <wp:effectExtent l="0" t="0" r="1270" b="3810"/>
            <wp:docPr id="9" name="Picture 9" descr="A picture containing rock,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rock, natur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3288" cy="2834640"/>
                    </a:xfrm>
                    <a:prstGeom prst="rect">
                      <a:avLst/>
                    </a:prstGeom>
                  </pic:spPr>
                </pic:pic>
              </a:graphicData>
            </a:graphic>
          </wp:inline>
        </w:drawing>
      </w:r>
      <w:r w:rsidR="00927720" w:rsidRPr="00927720">
        <w:rPr>
          <w:b/>
          <w:bCs/>
        </w:rPr>
        <w:t xml:space="preserve"> </w:t>
      </w:r>
      <w:r w:rsidR="00927720">
        <w:rPr>
          <w:b/>
          <w:bCs/>
        </w:rPr>
        <w:t>Plate 11</w:t>
      </w:r>
      <w:r w:rsidR="00927720">
        <w:t xml:space="preserve"> Handprints are more common south of the study area. This hand petroglyph in Millcreek is in front of an older panel of very faded </w:t>
      </w:r>
      <w:proofErr w:type="spellStart"/>
      <w:r w:rsidR="00927720">
        <w:t>zoomorphs</w:t>
      </w:r>
      <w:proofErr w:type="spellEnd"/>
      <w:r w:rsidR="00927720">
        <w:t xml:space="preserve"> on the half-light/half-dark cliff face in the </w:t>
      </w:r>
      <w:proofErr w:type="spellStart"/>
      <w:r w:rsidR="00927720">
        <w:t>cent</w:t>
      </w:r>
      <w:r w:rsidR="00AD438E">
        <w:t>re</w:t>
      </w:r>
      <w:proofErr w:type="spellEnd"/>
      <w:r w:rsidR="00927720">
        <w:t xml:space="preserve"> of the photo. Photo: Author</w:t>
      </w:r>
      <w:r w:rsidR="002717EC">
        <w:t>.</w:t>
      </w:r>
    </w:p>
    <w:p w14:paraId="42626F0A" w14:textId="5E75CA89" w:rsidR="001B5538" w:rsidRDefault="00AC7A31" w:rsidP="001B5538">
      <w:r>
        <w:rPr>
          <w:noProof/>
        </w:rPr>
        <w:lastRenderedPageBreak/>
        <w:drawing>
          <wp:anchor distT="0" distB="0" distL="114300" distR="114300" simplePos="0" relativeHeight="251662336" behindDoc="0" locked="0" layoutInCell="1" allowOverlap="1" wp14:anchorId="3B854102" wp14:editId="447584BF">
            <wp:simplePos x="0" y="0"/>
            <wp:positionH relativeFrom="margin">
              <wp:align>left</wp:align>
            </wp:positionH>
            <wp:positionV relativeFrom="paragraph">
              <wp:posOffset>12700</wp:posOffset>
            </wp:positionV>
            <wp:extent cx="3050540" cy="5425440"/>
            <wp:effectExtent l="0" t="0" r="0" b="3810"/>
            <wp:wrapSquare wrapText="bothSides"/>
            <wp:docPr id="8" name="Picture 8" descr="A close up of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rock&#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0540" cy="5425440"/>
                    </a:xfrm>
                    <a:prstGeom prst="rect">
                      <a:avLst/>
                    </a:prstGeom>
                  </pic:spPr>
                </pic:pic>
              </a:graphicData>
            </a:graphic>
            <wp14:sizeRelH relativeFrom="margin">
              <wp14:pctWidth>0</wp14:pctWidth>
            </wp14:sizeRelH>
            <wp14:sizeRelV relativeFrom="margin">
              <wp14:pctHeight>0</wp14:pctHeight>
            </wp14:sizeRelV>
          </wp:anchor>
        </w:drawing>
      </w:r>
      <w:r w:rsidR="0064716C">
        <w:t>Tilley made a science of walking through the landscape, as an ‘appropriation of the topographical system’ to understand the anthropology of a place.</w:t>
      </w:r>
      <w:r w:rsidR="0064716C">
        <w:rPr>
          <w:rStyle w:val="FootnoteReference"/>
        </w:rPr>
        <w:footnoteReference w:id="210"/>
      </w:r>
      <w:r w:rsidR="0064716C">
        <w:t xml:space="preserve"> Walking, hiking, climbing, and falling in Canyonlands instills a sense of movement that is life in the desert, the intimacy of sky and stone and the sacredness that is never quite benign. Footprints from an ancient past linger in the dry soil, and the rock art still beckons unseen beings.</w:t>
      </w:r>
      <w:r w:rsidR="00EB4ECD">
        <w:t xml:space="preserve"> </w:t>
      </w:r>
    </w:p>
    <w:p w14:paraId="0B7553B7" w14:textId="7D70B413" w:rsidR="00DE4DF1" w:rsidRDefault="00DE4DF1" w:rsidP="00DE4DF1">
      <w:pPr>
        <w:pStyle w:val="Caption"/>
      </w:pPr>
      <w:r>
        <w:rPr>
          <w:b/>
          <w:bCs/>
        </w:rPr>
        <w:t xml:space="preserve">Plate </w:t>
      </w:r>
      <w:r w:rsidR="002717EC">
        <w:rPr>
          <w:b/>
          <w:bCs/>
        </w:rPr>
        <w:t>12</w:t>
      </w:r>
      <w:r>
        <w:t xml:space="preserve"> Sandal prints are among the petroglyphs at the palimpsest panel at Courthouse Wash near Moab. Photo: Author.</w:t>
      </w:r>
    </w:p>
    <w:p w14:paraId="6C4622B1" w14:textId="77777777" w:rsidR="00DE4DF1" w:rsidRDefault="00DE4DF1" w:rsidP="001B5538"/>
    <w:p w14:paraId="52258994" w14:textId="37445651" w:rsidR="00E85488" w:rsidRDefault="00E85488" w:rsidP="001B5538">
      <w:pPr>
        <w:rPr>
          <w:noProof/>
        </w:rPr>
      </w:pPr>
    </w:p>
    <w:p w14:paraId="41D31835" w14:textId="6B8BD03A" w:rsidR="00433CB9" w:rsidRDefault="002717EC" w:rsidP="00782790">
      <w:r>
        <w:rPr>
          <w:noProof/>
        </w:rPr>
        <w:t>T</w:t>
      </w:r>
      <w:r w:rsidR="001B5538">
        <w:rPr>
          <w:noProof/>
        </w:rPr>
        <w:t>he emptiness</w:t>
      </w:r>
      <w:r w:rsidR="00C34E7F">
        <w:t xml:space="preserve"> </w:t>
      </w:r>
      <w:r w:rsidR="00357735">
        <w:t xml:space="preserve">is as important </w:t>
      </w:r>
      <w:r>
        <w:t>in the desert as what is present</w:t>
      </w:r>
      <w:r w:rsidR="00C34E7F">
        <w:t xml:space="preserve">. </w:t>
      </w:r>
      <w:r w:rsidR="001B5538">
        <w:t xml:space="preserve">Wind rivals stone and the dead heat of the air </w:t>
      </w:r>
      <w:r w:rsidR="00934D4B">
        <w:t>is as powerful a flashflood.</w:t>
      </w:r>
      <w:r w:rsidR="001B5538">
        <w:t xml:space="preserve"> </w:t>
      </w:r>
      <w:r w:rsidR="00625DE8">
        <w:t xml:space="preserve">Vast expanses of sandstone cliffs remain unmarked by rock art. Panels are clustered along waterways or in high </w:t>
      </w:r>
      <w:r w:rsidR="0020114B">
        <w:t xml:space="preserve">hanging </w:t>
      </w:r>
      <w:r w:rsidR="00625DE8">
        <w:t>valleys</w:t>
      </w:r>
      <w:r w:rsidR="0020114B">
        <w:t>, while the mesa</w:t>
      </w:r>
      <w:r w:rsidR="00391170">
        <w:t>s</w:t>
      </w:r>
      <w:r w:rsidR="0020114B">
        <w:t xml:space="preserve"> and badlands between remain free of rock art. </w:t>
      </w:r>
      <w:r w:rsidR="0027457B">
        <w:t xml:space="preserve">In Whitley’s ritualized counterbalancing of energies in the gendered landscape, the male-associated pecking of </w:t>
      </w:r>
      <w:r w:rsidR="0027457B">
        <w:lastRenderedPageBreak/>
        <w:t>petroglyphs occurred in female watery places.</w:t>
      </w:r>
      <w:r w:rsidR="000B5C3E">
        <w:rPr>
          <w:rStyle w:val="FootnoteReference"/>
        </w:rPr>
        <w:footnoteReference w:id="211"/>
      </w:r>
      <w:r w:rsidR="0027457B">
        <w:t xml:space="preserve"> </w:t>
      </w:r>
      <w:r w:rsidR="0020114B">
        <w:t xml:space="preserve"> </w:t>
      </w:r>
      <w:r w:rsidR="00E5269F">
        <w:t xml:space="preserve">In an apparent refutation of this gender </w:t>
      </w:r>
      <w:r w:rsidR="00357735">
        <w:t>inversion</w:t>
      </w:r>
      <w:r w:rsidR="00C34E7F">
        <w:t xml:space="preserve"> </w:t>
      </w:r>
      <w:r w:rsidR="00E5269F">
        <w:t xml:space="preserve">large petroglyph sites were </w:t>
      </w:r>
      <w:r w:rsidR="00357735">
        <w:t xml:space="preserve">sometimes </w:t>
      </w:r>
      <w:r w:rsidR="00E5269F">
        <w:t>located next to iconic</w:t>
      </w:r>
      <w:r w:rsidR="00C34E7F">
        <w:t xml:space="preserve"> monoliths jut</w:t>
      </w:r>
      <w:r w:rsidR="00E5269F">
        <w:t>ting</w:t>
      </w:r>
      <w:r w:rsidR="00C34E7F">
        <w:t xml:space="preserve"> up into the sky</w:t>
      </w:r>
      <w:r w:rsidR="00E5269F">
        <w:t>.</w:t>
      </w:r>
      <w:r w:rsidR="00C34E7F">
        <w:t xml:space="preserve"> </w:t>
      </w:r>
      <w:r w:rsidR="0027457B">
        <w:t>The smooth patinated faces of sandstone flank</w:t>
      </w:r>
      <w:r w:rsidR="00E5269F">
        <w:t>ing</w:t>
      </w:r>
      <w:r w:rsidR="0027457B">
        <w:t xml:space="preserve"> the base of spires </w:t>
      </w:r>
      <w:r w:rsidR="00E5269F">
        <w:t>was unmarked</w:t>
      </w:r>
      <w:r w:rsidR="0027457B">
        <w:t xml:space="preserve">. </w:t>
      </w:r>
      <w:r w:rsidR="00C34E7F">
        <w:t xml:space="preserve">If these stone needles were </w:t>
      </w:r>
      <w:r w:rsidR="00C34E7F" w:rsidRPr="00FA251B">
        <w:rPr>
          <w:i/>
          <w:iCs/>
        </w:rPr>
        <w:t>axes mundi</w:t>
      </w:r>
      <w:r w:rsidR="00C34E7F">
        <w:t xml:space="preserve">, were they so sacred that they were left unmodified? </w:t>
      </w:r>
      <w:r w:rsidR="002D4552">
        <w:t>Or are they</w:t>
      </w:r>
      <w:r w:rsidR="00C34E7F">
        <w:t xml:space="preserve"> lightning rods</w:t>
      </w:r>
      <w:r w:rsidR="00934D4B">
        <w:t>,</w:t>
      </w:r>
      <w:r w:rsidR="00C34E7F">
        <w:t xml:space="preserve"> </w:t>
      </w:r>
      <w:r w:rsidR="002D4552">
        <w:t>which</w:t>
      </w:r>
      <w:r w:rsidR="00C34E7F">
        <w:t xml:space="preserve"> connect literally with thunderstorms </w:t>
      </w:r>
      <w:r w:rsidR="00433CB9">
        <w:rPr>
          <w:noProof/>
        </w:rPr>
        <w:drawing>
          <wp:anchor distT="0" distB="0" distL="114300" distR="114300" simplePos="0" relativeHeight="251668480" behindDoc="0" locked="0" layoutInCell="1" allowOverlap="1" wp14:anchorId="5D8841C9" wp14:editId="2413E6EA">
            <wp:simplePos x="0" y="0"/>
            <wp:positionH relativeFrom="margin">
              <wp:posOffset>-121139</wp:posOffset>
            </wp:positionH>
            <wp:positionV relativeFrom="paragraph">
              <wp:posOffset>2167036</wp:posOffset>
            </wp:positionV>
            <wp:extent cx="3361055" cy="4857750"/>
            <wp:effectExtent l="0" t="0" r="0" b="0"/>
            <wp:wrapSquare wrapText="bothSides"/>
            <wp:docPr id="10" name="Picture 10" descr="A picture containing nature, valley, canyon, surround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nature, valley, canyon, surrounde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61055" cy="4857750"/>
                    </a:xfrm>
                    <a:prstGeom prst="rect">
                      <a:avLst/>
                    </a:prstGeom>
                  </pic:spPr>
                </pic:pic>
              </a:graphicData>
            </a:graphic>
            <wp14:sizeRelH relativeFrom="margin">
              <wp14:pctWidth>0</wp14:pctWidth>
            </wp14:sizeRelH>
            <wp14:sizeRelV relativeFrom="margin">
              <wp14:pctHeight>0</wp14:pctHeight>
            </wp14:sizeRelV>
          </wp:anchor>
        </w:drawing>
      </w:r>
      <w:r w:rsidR="00C34E7F">
        <w:t>throughout the summer</w:t>
      </w:r>
      <w:r>
        <w:t>?</w:t>
      </w:r>
      <w:r w:rsidR="00C02096">
        <w:t xml:space="preserve"> Did </w:t>
      </w:r>
      <w:r w:rsidR="00C34E7F">
        <w:t xml:space="preserve">nearby rock art panels commune with thunder gods without risking </w:t>
      </w:r>
      <w:r w:rsidR="00C02096">
        <w:t>lightning strikes</w:t>
      </w:r>
      <w:r w:rsidR="00C34E7F">
        <w:t xml:space="preserve">? </w:t>
      </w:r>
      <w:r w:rsidR="00433CB9">
        <w:t xml:space="preserve">H. R. </w:t>
      </w:r>
      <w:r w:rsidR="00400CEC">
        <w:t xml:space="preserve">Bell </w:t>
      </w:r>
      <w:r w:rsidR="00433CB9">
        <w:t>told</w:t>
      </w:r>
      <w:r w:rsidR="00400CEC">
        <w:t xml:space="preserve"> the story of Lightning Brothers in Australia, who charge the earth with energy that ‘fills up everything with power</w:t>
      </w:r>
      <w:r w:rsidR="00E91357">
        <w:t>’ and</w:t>
      </w:r>
      <w:r w:rsidR="00C34E7F">
        <w:t xml:space="preserve"> </w:t>
      </w:r>
      <w:r w:rsidR="00E91357">
        <w:t>‘</w:t>
      </w:r>
      <w:r w:rsidR="00400CEC">
        <w:t xml:space="preserve">Trees know how to grow in the right place because of that </w:t>
      </w:r>
      <w:r w:rsidR="00E91357">
        <w:t>energy,’</w:t>
      </w:r>
      <w:r w:rsidR="00400CEC">
        <w:t xml:space="preserve"> </w:t>
      </w:r>
      <w:r w:rsidR="00E91357">
        <w:t>which travels underground and connects everything.</w:t>
      </w:r>
      <w:r w:rsidR="00E91357">
        <w:rPr>
          <w:rStyle w:val="FootnoteReference"/>
        </w:rPr>
        <w:footnoteReference w:id="212"/>
      </w:r>
      <w:r w:rsidR="00E91357">
        <w:t xml:space="preserve"> </w:t>
      </w:r>
      <w:r w:rsidR="00C34E7F">
        <w:t xml:space="preserve">In </w:t>
      </w:r>
      <w:r w:rsidR="00C02096">
        <w:t xml:space="preserve">southern </w:t>
      </w:r>
      <w:r w:rsidR="00625DE8">
        <w:t>California</w:t>
      </w:r>
      <w:r w:rsidR="00C34E7F">
        <w:t xml:space="preserve">, </w:t>
      </w:r>
      <w:r w:rsidR="00625DE8">
        <w:t xml:space="preserve">Merle Walker </w:t>
      </w:r>
      <w:r w:rsidR="00C34E7F">
        <w:t xml:space="preserve">found that </w:t>
      </w:r>
    </w:p>
    <w:p w14:paraId="1883344B" w14:textId="77777777" w:rsidR="00433CB9" w:rsidRDefault="00433CB9" w:rsidP="00433CB9">
      <w:pPr>
        <w:pStyle w:val="Caption"/>
        <w:rPr>
          <w:b/>
          <w:bCs/>
        </w:rPr>
      </w:pPr>
    </w:p>
    <w:p w14:paraId="46177626" w14:textId="0D1C7A0E" w:rsidR="00433CB9" w:rsidRDefault="00433CB9" w:rsidP="00433CB9">
      <w:pPr>
        <w:pStyle w:val="Caption"/>
      </w:pPr>
      <w:r w:rsidRPr="009A09EE">
        <w:rPr>
          <w:b/>
          <w:bCs/>
        </w:rPr>
        <w:t>Plate 13</w:t>
      </w:r>
      <w:r>
        <w:t xml:space="preserve"> </w:t>
      </w:r>
      <w:r w:rsidRPr="007D3FBF">
        <w:t>Spires are found near many sites, but none of the bases of spires have petroglyphs that were found in</w:t>
      </w:r>
      <w:r>
        <w:t xml:space="preserve"> t</w:t>
      </w:r>
      <w:r w:rsidRPr="007D3FBF">
        <w:t xml:space="preserve">he </w:t>
      </w:r>
      <w:r>
        <w:t>study</w:t>
      </w:r>
      <w:r w:rsidRPr="007D3FBF">
        <w:t>. Photo: Author.</w:t>
      </w:r>
    </w:p>
    <w:p w14:paraId="0EFE3DFD" w14:textId="77777777" w:rsidR="00433CB9" w:rsidRDefault="00433CB9" w:rsidP="00782790"/>
    <w:p w14:paraId="0760D50B" w14:textId="47A7E4B8" w:rsidR="00782790" w:rsidRDefault="00625DE8" w:rsidP="00782790">
      <w:r>
        <w:lastRenderedPageBreak/>
        <w:t xml:space="preserve">a </w:t>
      </w:r>
      <w:r w:rsidR="00C34E7F">
        <w:t>lightning struck boulder w</w:t>
      </w:r>
      <w:r>
        <w:t>as</w:t>
      </w:r>
      <w:r w:rsidR="00C34E7F">
        <w:t xml:space="preserve"> subsequently adorned with petroglyphs</w:t>
      </w:r>
      <w:r>
        <w:t>, aligned to the magnetic traces</w:t>
      </w:r>
      <w:r w:rsidR="00C34E7F">
        <w:t>.</w:t>
      </w:r>
      <w:r>
        <w:rPr>
          <w:rStyle w:val="FootnoteReference"/>
        </w:rPr>
        <w:footnoteReference w:id="213"/>
      </w:r>
      <w:r w:rsidR="00C34E7F">
        <w:t xml:space="preserve"> </w:t>
      </w:r>
      <w:r w:rsidR="00782790">
        <w:t xml:space="preserve"> </w:t>
      </w:r>
    </w:p>
    <w:p w14:paraId="456ECD88" w14:textId="6DC02F4A" w:rsidR="00C34E7F" w:rsidRDefault="00C34E7F" w:rsidP="001B5538">
      <w:r>
        <w:t xml:space="preserve">The sun was only one of the </w:t>
      </w:r>
      <w:r w:rsidR="00357735">
        <w:t xml:space="preserve">sacred sky </w:t>
      </w:r>
      <w:r>
        <w:t xml:space="preserve">beings in traditional societies and prayers for </w:t>
      </w:r>
      <w:r w:rsidRPr="00FC186B">
        <w:t xml:space="preserve">rain </w:t>
      </w:r>
      <w:r>
        <w:t xml:space="preserve">in the desert </w:t>
      </w:r>
      <w:r w:rsidRPr="00FC186B">
        <w:t xml:space="preserve">are echoed </w:t>
      </w:r>
      <w:r w:rsidR="00782790">
        <w:t>today</w:t>
      </w:r>
      <w:r w:rsidRPr="00FC186B">
        <w:t>.</w:t>
      </w:r>
      <w:r w:rsidR="004401E5">
        <w:t xml:space="preserve"> </w:t>
      </w:r>
      <w:r w:rsidR="00630049">
        <w:t>The</w:t>
      </w:r>
      <w:r w:rsidR="00C02096">
        <w:t xml:space="preserve"> sedentary</w:t>
      </w:r>
      <w:r w:rsidR="00630049">
        <w:t xml:space="preserve"> </w:t>
      </w:r>
      <w:r>
        <w:t>Hopi</w:t>
      </w:r>
      <w:r w:rsidR="00C02096">
        <w:t xml:space="preserve"> prayed for rain </w:t>
      </w:r>
      <w:r w:rsidR="00782790">
        <w:t>in the desert to water</w:t>
      </w:r>
      <w:r w:rsidR="00C02096">
        <w:t xml:space="preserve"> their crops, but migratory bands may have simply moved up the mountain</w:t>
      </w:r>
      <w:r w:rsidR="00782790">
        <w:t>, where berries and rain were abundant.</w:t>
      </w:r>
      <w:r>
        <w:t xml:space="preserve"> </w:t>
      </w:r>
      <w:r w:rsidR="004F0776">
        <w:t xml:space="preserve">Regardless of the subsistence responses to the presence or absence of rain </w:t>
      </w:r>
      <w:r w:rsidR="00D205B6">
        <w:t xml:space="preserve">among Archaic people, the awe and wonder of watching water fall from the sky in the </w:t>
      </w:r>
      <w:r w:rsidR="002D4552">
        <w:t>desert has not changed over the millennia. Rain transforms the desert</w:t>
      </w:r>
      <w:r w:rsidR="00782790">
        <w:t>, while</w:t>
      </w:r>
      <w:r w:rsidR="002D4552">
        <w:t xml:space="preserve"> petrichor fills the air, the plants and soil swell with life. </w:t>
      </w:r>
      <w:r w:rsidR="00D205B6">
        <w:t>Thunderstorms are</w:t>
      </w:r>
      <w:r w:rsidR="004401E5">
        <w:t xml:space="preserve"> among </w:t>
      </w:r>
      <w:r w:rsidR="00D205B6">
        <w:t>the most powerful manifestations of supernatural beings</w:t>
      </w:r>
      <w:r w:rsidR="00027441">
        <w:t>;</w:t>
      </w:r>
      <w:r w:rsidR="00D205B6">
        <w:t xml:space="preserve"> the land and sky reverberate with energy even before lightning strikes</w:t>
      </w:r>
      <w:r w:rsidR="00027441">
        <w:t xml:space="preserve"> and in their wake are flashfloods and burning trees. The </w:t>
      </w:r>
      <w:r w:rsidR="00630049">
        <w:t xml:space="preserve">petroglyphs in high, dry valleys </w:t>
      </w:r>
      <w:r w:rsidR="00027441">
        <w:t xml:space="preserve">may have been </w:t>
      </w:r>
      <w:r w:rsidR="00630049">
        <w:t xml:space="preserve">sites </w:t>
      </w:r>
      <w:r w:rsidR="00027441">
        <w:t>for rituals of calling home the rain gods to their anchoring spires.</w:t>
      </w:r>
      <w:r w:rsidR="002D4552">
        <w:t xml:space="preserve"> See Plate 13.</w:t>
      </w:r>
    </w:p>
    <w:p w14:paraId="2BC68997" w14:textId="545744D6" w:rsidR="00C34E7F" w:rsidRDefault="00255763" w:rsidP="00C34E7F">
      <w:r>
        <w:t>The phenomenology of the desert indicated that the nexus of stone and sun would have been particularly salient to desert people who lived between those two elements</w:t>
      </w:r>
      <w:r w:rsidR="004F0776">
        <w:t>. Ingold’s weather-world was probably infused with supernatural forces as is common among hunter-gatherers, while the walking perception of the landscape</w:t>
      </w:r>
      <w:r w:rsidR="004401E5">
        <w:t>,</w:t>
      </w:r>
      <w:r w:rsidR="004F0776">
        <w:t xml:space="preserve"> that was so informative to Tilley</w:t>
      </w:r>
      <w:r w:rsidR="004401E5">
        <w:t>,</w:t>
      </w:r>
      <w:r w:rsidR="004F0776">
        <w:t xml:space="preserve"> was a way of life to </w:t>
      </w:r>
      <w:r w:rsidR="004401E5">
        <w:t xml:space="preserve">early </w:t>
      </w:r>
      <w:r w:rsidR="004F0776">
        <w:t xml:space="preserve">nomadic peoples.  </w:t>
      </w:r>
      <w:r w:rsidR="00027441">
        <w:t>Petroglyphs in proximity to spires may have been dedicated to rain gods who struck those towers regularly with the blessing of lightning and rain.</w:t>
      </w:r>
      <w:r w:rsidR="00AF3FD8">
        <w:t xml:space="preserve">  </w:t>
      </w:r>
    </w:p>
    <w:p w14:paraId="5F63C06A" w14:textId="221CCDF7" w:rsidR="00B75634" w:rsidRDefault="000F3E19" w:rsidP="003F7D59">
      <w:pPr>
        <w:pStyle w:val="Heading2"/>
      </w:pPr>
      <w:bookmarkStart w:id="76" w:name="_Toc101636992"/>
      <w:r w:rsidRPr="00D574D6">
        <w:rPr>
          <w:rStyle w:val="Heading1Char"/>
        </w:rPr>
        <w:lastRenderedPageBreak/>
        <w:t>Conclusion</w:t>
      </w:r>
      <w:bookmarkEnd w:id="76"/>
      <w:r w:rsidRPr="00FC186B">
        <w:t xml:space="preserve"> </w:t>
      </w:r>
    </w:p>
    <w:p w14:paraId="6C0307EA" w14:textId="52D79C0E" w:rsidR="007D2DD1" w:rsidRDefault="00BE72F4" w:rsidP="0068455A">
      <w:r>
        <w:t xml:space="preserve">The study area has offered a unique opportunity to address the question of whether Archaic people of east central Utah tracked the </w:t>
      </w:r>
      <w:r w:rsidR="002E4B05">
        <w:t xml:space="preserve">movement of the sun along the horizon and recognized the turning points of solstices. The positioning of petroglyphs within the landscape to receive first light, through low points along the horizon was used as the measure of </w:t>
      </w:r>
      <w:r w:rsidR="004F7351">
        <w:t xml:space="preserve">the frequency with which the nomadic Archaic people </w:t>
      </w:r>
      <w:r w:rsidR="004401E5">
        <w:t xml:space="preserve">anchored viewing points for solstice </w:t>
      </w:r>
      <w:r w:rsidR="004F7351">
        <w:t>observ</w:t>
      </w:r>
      <w:r w:rsidR="004401E5">
        <w:t>ations</w:t>
      </w:r>
      <w:r w:rsidR="004F7351">
        <w:t>. Because sedentary, agriculturalist</w:t>
      </w:r>
      <w:r w:rsidR="000D550A">
        <w:t>,</w:t>
      </w:r>
      <w:r w:rsidR="004F7351">
        <w:t xml:space="preserve"> ancestral Puebloans </w:t>
      </w:r>
      <w:r w:rsidR="003F7D59">
        <w:t xml:space="preserve">only occupied the study area </w:t>
      </w:r>
      <w:r w:rsidR="004F7351">
        <w:t xml:space="preserve">for about </w:t>
      </w:r>
      <w:r w:rsidR="00B746FA">
        <w:t>2</w:t>
      </w:r>
      <w:r w:rsidR="004F7351">
        <w:t>50 years</w:t>
      </w:r>
      <w:r w:rsidR="003F7D59">
        <w:t xml:space="preserve"> (based on dateable evidence)</w:t>
      </w:r>
      <w:r w:rsidR="000D550A">
        <w:t>, older petroglyph elements can be considered belonging to the nomadic groups leading an ‘archaic lifestyle’</w:t>
      </w:r>
      <w:r w:rsidR="003F7D59">
        <w:t xml:space="preserve">. </w:t>
      </w:r>
      <w:proofErr w:type="spellStart"/>
      <w:r w:rsidR="0002754B">
        <w:t>Repatination</w:t>
      </w:r>
      <w:proofErr w:type="spellEnd"/>
      <w:r w:rsidR="0002754B">
        <w:t xml:space="preserve">, weathering and iconic Western Archaic Tradition abstract curvilinear styles were the criteria for recognizing multiple ages of rock art on individual panels. </w:t>
      </w:r>
    </w:p>
    <w:p w14:paraId="5C3C8502" w14:textId="4601A181" w:rsidR="00D91D6C" w:rsidRDefault="007D2DD1" w:rsidP="00D91D6C">
      <w:r>
        <w:t xml:space="preserve">Skyscape measurements </w:t>
      </w:r>
      <w:r w:rsidR="0022602D">
        <w:t xml:space="preserve">were </w:t>
      </w:r>
      <w:proofErr w:type="spellStart"/>
      <w:r w:rsidR="00753054">
        <w:t>analy</w:t>
      </w:r>
      <w:r w:rsidR="00451A09">
        <w:t>s</w:t>
      </w:r>
      <w:r w:rsidR="00753054">
        <w:t>ed</w:t>
      </w:r>
      <w:proofErr w:type="spellEnd"/>
      <w:r w:rsidR="0022602D">
        <w:t xml:space="preserve"> for </w:t>
      </w:r>
      <w:r>
        <w:t xml:space="preserve">179 Native American sites, including almost all the publicly known </w:t>
      </w:r>
      <w:r w:rsidR="000F78E7">
        <w:t xml:space="preserve">rock art </w:t>
      </w:r>
      <w:r>
        <w:t>sites in the study area</w:t>
      </w:r>
      <w:r w:rsidR="0022602D">
        <w:t>. Pictographs and Ute petroglyphs were excluded from the test, as were petroglyph panels</w:t>
      </w:r>
      <w:r w:rsidR="00A27C51">
        <w:t xml:space="preserve"> with one date of creation. Non-rock sites, such as habitations and limited activity sites were used a control group.  </w:t>
      </w:r>
      <w:proofErr w:type="spellStart"/>
      <w:r w:rsidR="00261F5E">
        <w:t>Stellarium</w:t>
      </w:r>
      <w:proofErr w:type="spellEnd"/>
      <w:r w:rsidR="00261F5E">
        <w:t xml:space="preserve"> software was used to model solstice horizon events against low points in the horizon. Winter solstice sunrise falls on 32% of the petroglyph panels in the test group, while only 4.5% of the control group was situated to see first light on winter solstice. Winter solstice sunset also showed a marked increase </w:t>
      </w:r>
      <w:r w:rsidR="00D91D6C">
        <w:t xml:space="preserve">over the control group and the anticipated random distribution with 24% of the panels seeing last light on winter solstice. </w:t>
      </w:r>
      <w:r w:rsidR="00110A8C">
        <w:t>Some</w:t>
      </w:r>
      <w:r w:rsidR="00D91D6C">
        <w:t xml:space="preserve"> sites had low horizons at the point of more than one solar event. About 65% of the </w:t>
      </w:r>
      <w:r w:rsidR="000E5C05">
        <w:t>petroglyph panels</w:t>
      </w:r>
      <w:r w:rsidR="00D91D6C">
        <w:t xml:space="preserve"> had an orientation to one of the solstice sunrises or sunsets. In the control group</w:t>
      </w:r>
      <w:r w:rsidR="00110A8C">
        <w:t xml:space="preserve"> </w:t>
      </w:r>
      <w:r w:rsidR="000E5C05">
        <w:t>9</w:t>
      </w:r>
      <w:r w:rsidR="00D91D6C">
        <w:t>% of the non-rock art sites had viewing locations for any of the four solstice orientations.</w:t>
      </w:r>
      <w:r w:rsidR="000E5C05">
        <w:t xml:space="preserve"> Based on this </w:t>
      </w:r>
      <w:r w:rsidR="000E5C05">
        <w:lastRenderedPageBreak/>
        <w:t xml:space="preserve">research it </w:t>
      </w:r>
      <w:r w:rsidR="00110A8C">
        <w:t>was</w:t>
      </w:r>
      <w:r w:rsidR="000E5C05">
        <w:t xml:space="preserve"> concluded that hunter-gatherers </w:t>
      </w:r>
      <w:r w:rsidR="00110A8C">
        <w:t>created</w:t>
      </w:r>
      <w:r w:rsidR="001D5FE5">
        <w:t xml:space="preserve"> </w:t>
      </w:r>
      <w:r w:rsidR="00110A8C">
        <w:t xml:space="preserve">some </w:t>
      </w:r>
      <w:r w:rsidR="001D5FE5">
        <w:t>p</w:t>
      </w:r>
      <w:r w:rsidR="000E5C05">
        <w:t xml:space="preserve">etroglyphs </w:t>
      </w:r>
      <w:r w:rsidR="001D5FE5">
        <w:t>at optimal solstice</w:t>
      </w:r>
      <w:r w:rsidR="000F78E7">
        <w:t>-</w:t>
      </w:r>
      <w:r w:rsidR="001D5FE5">
        <w:t>viewing locations for ritual or time-keeping purposes.</w:t>
      </w:r>
      <w:r w:rsidR="000E5C05">
        <w:t xml:space="preserve"> </w:t>
      </w:r>
    </w:p>
    <w:p w14:paraId="18303B47" w14:textId="2F843251" w:rsidR="00BE72F4" w:rsidRDefault="00622449" w:rsidP="0068455A">
      <w:r>
        <w:t>In contrast to other studies, this research measured the relative value of solstice sunrise and sunset to non-agricultural people. It has been argued that tracking the sun and creating calendars only became a priority for earlier peoples when they needed the information for planting their crops</w:t>
      </w:r>
      <w:r w:rsidR="004A2ADD">
        <w:t xml:space="preserve">. While </w:t>
      </w:r>
      <w:r w:rsidR="004A2ADD" w:rsidRPr="004A7C10">
        <w:t>Huds</w:t>
      </w:r>
      <w:r w:rsidR="000E5C05" w:rsidRPr="004A7C10">
        <w:t>o</w:t>
      </w:r>
      <w:r w:rsidR="004A2ADD" w:rsidRPr="004A7C10">
        <w:t>n</w:t>
      </w:r>
      <w:r w:rsidR="004A2ADD">
        <w:t xml:space="preserve"> at al</w:t>
      </w:r>
      <w:r w:rsidR="00B746FA">
        <w:t>.</w:t>
      </w:r>
      <w:r w:rsidR="004A2ADD">
        <w:t xml:space="preserve"> established that the Chumash of California were hunter-gathers who tracked the solstices and held ceremonies to call the sun back, the California Indians were relatively sedentary hunter-gatherers</w:t>
      </w:r>
      <w:r w:rsidR="00D91D6C">
        <w:t>.</w:t>
      </w:r>
      <w:r w:rsidR="00CD41A9">
        <w:rPr>
          <w:rStyle w:val="FootnoteReference"/>
        </w:rPr>
        <w:footnoteReference w:id="214"/>
      </w:r>
      <w:r w:rsidR="004A2ADD">
        <w:t xml:space="preserve"> The Hohokam and </w:t>
      </w:r>
      <w:proofErr w:type="spellStart"/>
      <w:r w:rsidR="004A2ADD">
        <w:t>Chacoans</w:t>
      </w:r>
      <w:proofErr w:type="spellEnd"/>
      <w:r w:rsidR="004A2ADD">
        <w:t xml:space="preserve"> also tracked solstices but were both groups of Uto-Aztecan agriculturalist Southwestern tribes with strong influence from Mesoamerican farming and astronomy.</w:t>
      </w:r>
      <w:r>
        <w:t xml:space="preserve"> </w:t>
      </w:r>
      <w:r w:rsidR="004A2ADD">
        <w:t>Among the Chumash</w:t>
      </w:r>
      <w:r w:rsidR="00CC6544">
        <w:t>,</w:t>
      </w:r>
      <w:r w:rsidR="004A2ADD">
        <w:t xml:space="preserve"> the Hohokam</w:t>
      </w:r>
      <w:r w:rsidR="003931D7">
        <w:t xml:space="preserve">, </w:t>
      </w:r>
      <w:r w:rsidR="00CC6544">
        <w:t xml:space="preserve">and </w:t>
      </w:r>
      <w:r w:rsidR="00B746FA">
        <w:t>a</w:t>
      </w:r>
      <w:r w:rsidR="00CC6544">
        <w:t xml:space="preserve">ncestral Puebloans several studies have revealed patterns of using petroglyphs to mark solstice sunrise or sunset, but none of the previous studies attempted to measure all available rock art for orientation to solstice sunrise or sunset. </w:t>
      </w:r>
      <w:r w:rsidR="000F78E7">
        <w:t>T</w:t>
      </w:r>
      <w:r w:rsidR="00CC6544">
        <w:t xml:space="preserve">his research </w:t>
      </w:r>
      <w:r w:rsidR="003931D7">
        <w:t>sought</w:t>
      </w:r>
      <w:r w:rsidR="00CC6544">
        <w:t xml:space="preserve"> to establish a percentage, or measurement of value placed on each orientation by migratory, hunter-gatherer peoples.</w:t>
      </w:r>
    </w:p>
    <w:p w14:paraId="184E6C8F" w14:textId="27FFC6DE" w:rsidR="001C36E0" w:rsidRDefault="00C30265" w:rsidP="0068455A">
      <w:r>
        <w:t xml:space="preserve">Using </w:t>
      </w:r>
      <w:r w:rsidR="00110A8C">
        <w:t xml:space="preserve">a </w:t>
      </w:r>
      <w:r>
        <w:t xml:space="preserve">skyscape archaeology approach, the intention has been to establish repetition, back it up with ‘thick description’ and pertinent ethnological information and understand the relationship of the horizon to the cosmology of the Archaic peoples. Repetition was evidenced by the high percentage of </w:t>
      </w:r>
      <w:r w:rsidR="002164F6">
        <w:t xml:space="preserve">Archaic petroglyph </w:t>
      </w:r>
      <w:r>
        <w:t xml:space="preserve">sites in locations for </w:t>
      </w:r>
      <w:r w:rsidR="002164F6">
        <w:t>viewing the first light and last light of the winter solstice. Ethnologies of the Chumash, Hohokam</w:t>
      </w:r>
      <w:r w:rsidR="00B746FA">
        <w:t>,</w:t>
      </w:r>
      <w:r w:rsidR="002164F6">
        <w:t xml:space="preserve"> and Hopi affirm that winter solstice was an important ritual event in those groups. ‘Thick </w:t>
      </w:r>
      <w:r w:rsidR="002164F6">
        <w:lastRenderedPageBreak/>
        <w:t>description’ was derived from ubiquitous beliefs among Native American</w:t>
      </w:r>
      <w:r w:rsidR="000E5C05">
        <w:t xml:space="preserve"> peoples</w:t>
      </w:r>
      <w:r w:rsidR="002164F6">
        <w:t xml:space="preserve"> in animism, shamanism</w:t>
      </w:r>
      <w:r w:rsidR="009D0454">
        <w:t>,</w:t>
      </w:r>
      <w:r w:rsidR="002164F6">
        <w:t xml:space="preserve"> and the interrelatedness of the animate and inanimate entities in the world</w:t>
      </w:r>
      <w:r w:rsidR="007A6E9D">
        <w:t xml:space="preserve">, which led to the possibility of participation of the non-human beings in the creation of rock art. </w:t>
      </w:r>
      <w:r w:rsidR="002164F6">
        <w:t xml:space="preserve">The horizon as a mediator between sky </w:t>
      </w:r>
      <w:r w:rsidR="004D7A57">
        <w:t>and earth was intrinsically an aspect of watching solstice sunrise and sunset</w:t>
      </w:r>
      <w:r w:rsidR="007A6E9D">
        <w:t>, but cupules and petroglyphs add access to the underworld and the unseen world</w:t>
      </w:r>
      <w:r w:rsidR="00536839">
        <w:t xml:space="preserve"> in an enculturated landscape</w:t>
      </w:r>
      <w:r w:rsidR="004D7A57">
        <w:t xml:space="preserve">. </w:t>
      </w:r>
      <w:r w:rsidR="00407046">
        <w:t>Alternate motivations for the placement of rock art were also considered.</w:t>
      </w:r>
    </w:p>
    <w:p w14:paraId="0B743E17" w14:textId="37E60C5A" w:rsidR="004D7A57" w:rsidRDefault="004D7A57" w:rsidP="0068455A">
      <w:r>
        <w:t>Finally, the desert</w:t>
      </w:r>
      <w:r w:rsidR="001D5FE5">
        <w:t xml:space="preserve">’s contribution to the </w:t>
      </w:r>
      <w:r w:rsidR="007A6E9D">
        <w:t xml:space="preserve">Archaic experience </w:t>
      </w:r>
      <w:r w:rsidR="00536839">
        <w:t>through</w:t>
      </w:r>
      <w:r w:rsidR="007A6E9D">
        <w:t xml:space="preserve"> exposure to the elements, walking as a lifestyle and the potential meaning of spires as lightning beings was considered through Tilley’s </w:t>
      </w:r>
      <w:r w:rsidR="001D5FE5">
        <w:t xml:space="preserve">phenomenology of </w:t>
      </w:r>
      <w:r>
        <w:t xml:space="preserve">landscape </w:t>
      </w:r>
      <w:r w:rsidR="007A6E9D">
        <w:t xml:space="preserve">approach and the perspective of Ingold’s ‘weather-world.’ </w:t>
      </w:r>
    </w:p>
    <w:p w14:paraId="561CB90F" w14:textId="26F4467F" w:rsidR="002301AC" w:rsidRDefault="002301AC" w:rsidP="0068455A"/>
    <w:p w14:paraId="04414C02" w14:textId="580DA258" w:rsidR="002301AC" w:rsidRDefault="002301AC">
      <w:pPr>
        <w:spacing w:line="259" w:lineRule="auto"/>
      </w:pPr>
      <w:r>
        <w:br w:type="page"/>
      </w:r>
    </w:p>
    <w:p w14:paraId="25CACC89" w14:textId="77777777" w:rsidR="00807B33" w:rsidRDefault="00807B33" w:rsidP="00807B33">
      <w:pPr>
        <w:spacing w:after="0"/>
        <w:sectPr w:rsidR="00807B33" w:rsidSect="00DE37F3">
          <w:footerReference w:type="default" r:id="rId30"/>
          <w:pgSz w:w="11906" w:h="16838" w:code="9"/>
          <w:pgMar w:top="1440" w:right="1440" w:bottom="1440" w:left="1440" w:header="720" w:footer="720" w:gutter="0"/>
          <w:pgNumType w:start="1"/>
          <w:cols w:space="720"/>
          <w:docGrid w:linePitch="360"/>
        </w:sectPr>
      </w:pPr>
    </w:p>
    <w:p w14:paraId="48BBF82E" w14:textId="58367D16" w:rsidR="00807B33" w:rsidRDefault="00807B33" w:rsidP="00807B33">
      <w:pPr>
        <w:pStyle w:val="Heading1"/>
      </w:pPr>
      <w:bookmarkStart w:id="77" w:name="_Toc101636993"/>
      <w:r>
        <w:lastRenderedPageBreak/>
        <w:t>Appendix A</w:t>
      </w:r>
      <w:r w:rsidR="005142A5">
        <w:t>: Summary of Site Data</w:t>
      </w:r>
      <w:bookmarkEnd w:id="77"/>
    </w:p>
    <w:p w14:paraId="4FF67FF3" w14:textId="20357953" w:rsidR="00807B33" w:rsidRDefault="00807B33" w:rsidP="0068154E">
      <w:pPr>
        <w:spacing w:after="0" w:line="240" w:lineRule="auto"/>
      </w:pPr>
      <w:r w:rsidRPr="00882FD5">
        <w:rPr>
          <w:b/>
          <w:bCs/>
        </w:rPr>
        <w:t>Column 1</w:t>
      </w:r>
      <w:r>
        <w:t xml:space="preserve">: Site numbers are assigned for this research. </w:t>
      </w:r>
      <w:proofErr w:type="spellStart"/>
      <w:r>
        <w:t>Colo</w:t>
      </w:r>
      <w:r w:rsidR="003D4059">
        <w:t>u</w:t>
      </w:r>
      <w:r>
        <w:t>r</w:t>
      </w:r>
      <w:proofErr w:type="spellEnd"/>
      <w:r>
        <w:t xml:space="preserve"> codes are where the site matches criteria for WSSR (dark blue), WSSS (light blue), SSSR (light yellow, SSSS (light orange). See also columns 12-15.</w:t>
      </w:r>
    </w:p>
    <w:p w14:paraId="3E9777AD" w14:textId="3DA0BB16" w:rsidR="00807B33" w:rsidRDefault="00807B33" w:rsidP="0068154E">
      <w:pPr>
        <w:spacing w:after="0" w:line="240" w:lineRule="auto"/>
      </w:pPr>
      <w:r w:rsidRPr="00882FD5">
        <w:rPr>
          <w:b/>
          <w:bCs/>
        </w:rPr>
        <w:t>Column 2</w:t>
      </w:r>
      <w:r>
        <w:t xml:space="preserve">: Site names are mnemonics assigned for this research, except for the nine </w:t>
      </w:r>
      <w:r w:rsidR="0068154E">
        <w:t>publicly</w:t>
      </w:r>
      <w:r>
        <w:t xml:space="preserve"> known and named sites, where their common names are used. Magenta cells were used as the test group. Teal cells were excluded because they were single deposition sites. Orange sites were pictographs and excluded. White cells with</w:t>
      </w:r>
      <w:r w:rsidR="00190F70">
        <w:t xml:space="preserve"> s</w:t>
      </w:r>
      <w:r>
        <w:t xml:space="preserve">ite numbers beginning with ‘A’ are non-rock sites used as a control group and are all in the fifth </w:t>
      </w:r>
      <w:r w:rsidR="00190F70">
        <w:t>spreadsheet</w:t>
      </w:r>
      <w:r>
        <w:t>.</w:t>
      </w:r>
      <w:r w:rsidRPr="00807B33">
        <w:rPr>
          <w:noProof/>
        </w:rPr>
        <w:t xml:space="preserve"> </w:t>
      </w:r>
    </w:p>
    <w:p w14:paraId="53D6FEFD" w14:textId="77777777" w:rsidR="00807B33" w:rsidRDefault="00807B33" w:rsidP="0068154E">
      <w:pPr>
        <w:spacing w:after="0" w:line="240" w:lineRule="auto"/>
      </w:pPr>
      <w:r w:rsidRPr="00882FD5">
        <w:rPr>
          <w:b/>
          <w:bCs/>
        </w:rPr>
        <w:t>Column 3</w:t>
      </w:r>
      <w:r>
        <w:t>: Artifacts described the artifacts found at the site.</w:t>
      </w:r>
    </w:p>
    <w:p w14:paraId="7A011343" w14:textId="7D4E4611" w:rsidR="00807B33" w:rsidRDefault="00807B33" w:rsidP="0068154E">
      <w:pPr>
        <w:spacing w:after="0" w:line="240" w:lineRule="auto"/>
      </w:pPr>
      <w:r w:rsidRPr="00882FD5">
        <w:rPr>
          <w:b/>
          <w:bCs/>
        </w:rPr>
        <w:t>Column 4</w:t>
      </w:r>
      <w:r>
        <w:t xml:space="preserve">: Styles are based on </w:t>
      </w:r>
      <w:proofErr w:type="spellStart"/>
      <w:r>
        <w:t>repatination</w:t>
      </w:r>
      <w:proofErr w:type="spellEnd"/>
      <w:r>
        <w:t xml:space="preserve"> and weathering only, or dateable elements such atlatl, which were used to determine whether the site met test criteria. </w:t>
      </w:r>
      <w:r w:rsidRPr="00190F70">
        <w:rPr>
          <w:b/>
          <w:bCs/>
        </w:rPr>
        <w:t>Assignation of a culture is not definitive</w:t>
      </w:r>
      <w:r w:rsidR="00190F70">
        <w:rPr>
          <w:b/>
          <w:bCs/>
        </w:rPr>
        <w:t xml:space="preserve"> and beyond the scope of this work</w:t>
      </w:r>
      <w:r w:rsidRPr="00190F70">
        <w:rPr>
          <w:b/>
          <w:bCs/>
        </w:rPr>
        <w:t>.</w:t>
      </w:r>
    </w:p>
    <w:p w14:paraId="164CEC00" w14:textId="77777777" w:rsidR="00807B33" w:rsidRDefault="00807B33" w:rsidP="0068154E">
      <w:pPr>
        <w:spacing w:after="0" w:line="240" w:lineRule="auto"/>
      </w:pPr>
      <w:r w:rsidRPr="00882FD5">
        <w:rPr>
          <w:b/>
          <w:bCs/>
        </w:rPr>
        <w:t>Column 5</w:t>
      </w:r>
      <w:r>
        <w:t>: Panels lists the number of panels at a site. Panels &lt; 2m apart are considered contiguous. Panels &gt; 10m apart are considered separate sites. All the panels within one site are considered to share the same horizon low points.</w:t>
      </w:r>
    </w:p>
    <w:p w14:paraId="20067CD1" w14:textId="4BA4131A" w:rsidR="00807B33" w:rsidRDefault="00807B33" w:rsidP="00595174">
      <w:pPr>
        <w:tabs>
          <w:tab w:val="left" w:pos="12798"/>
        </w:tabs>
        <w:spacing w:after="0" w:line="240" w:lineRule="auto"/>
      </w:pPr>
      <w:r w:rsidRPr="000200DF">
        <w:t xml:space="preserve"> </w:t>
      </w:r>
      <w:r>
        <w:t xml:space="preserve"> </w:t>
      </w:r>
      <w:r w:rsidRPr="00882FD5">
        <w:rPr>
          <w:b/>
          <w:bCs/>
        </w:rPr>
        <w:t>Column 6</w:t>
      </w:r>
      <w:r>
        <w:t xml:space="preserve">: First event is the closest </w:t>
      </w:r>
      <w:r w:rsidR="00190F70">
        <w:t xml:space="preserve">low point </w:t>
      </w:r>
      <w:r>
        <w:t xml:space="preserve">match to a solstice sunrise or sunset observation point along the horizon. Exact matches, such as winter solstice sunrise, are WSSR+0. If the match is not exact, the degrees of azimuth required to meet the solar path is notated, </w:t>
      </w:r>
      <w:r w:rsidR="00595174">
        <w:t>i.e.,</w:t>
      </w:r>
      <w:r>
        <w:t xml:space="preserve"> SSSR+3</w:t>
      </w:r>
      <w:r w:rsidR="00190F70">
        <w:t xml:space="preserve"> means the low point is </w:t>
      </w:r>
      <w:r w:rsidR="00595174">
        <w:t>three degrees north of SSSR</w:t>
      </w:r>
      <w:r>
        <w:t>. This information is graphed in Table 5</w:t>
      </w:r>
      <w:r w:rsidR="00595174">
        <w:t>:</w:t>
      </w:r>
      <w:r>
        <w:t xml:space="preserve"> Degrees of Diffusion.</w:t>
      </w:r>
    </w:p>
    <w:p w14:paraId="33EF15F9" w14:textId="77777777" w:rsidR="00807B33" w:rsidRDefault="00807B33" w:rsidP="0068154E">
      <w:pPr>
        <w:spacing w:after="0" w:line="240" w:lineRule="auto"/>
      </w:pPr>
      <w:r w:rsidRPr="00882FD5">
        <w:rPr>
          <w:b/>
          <w:bCs/>
        </w:rPr>
        <w:t>Column 7</w:t>
      </w:r>
      <w:r>
        <w:t>: Second Event is either a second solstice orientation, an equinox viewing location (EQSR, EQSS), or in a few instances an orientation to a low point that is due north (N).</w:t>
      </w:r>
    </w:p>
    <w:p w14:paraId="762AC633" w14:textId="77777777" w:rsidR="00807B33" w:rsidRDefault="00807B33" w:rsidP="0068154E">
      <w:pPr>
        <w:spacing w:after="0" w:line="240" w:lineRule="auto"/>
      </w:pPr>
      <w:r w:rsidRPr="00882FD5">
        <w:rPr>
          <w:b/>
          <w:bCs/>
        </w:rPr>
        <w:t>Column 8</w:t>
      </w:r>
      <w:r>
        <w:t>: Setting is a description of the geologic and geographic features used for the rock art.</w:t>
      </w:r>
    </w:p>
    <w:p w14:paraId="62027D13" w14:textId="4BA6227E" w:rsidR="00807B33" w:rsidRDefault="00807B33" w:rsidP="0068154E">
      <w:pPr>
        <w:spacing w:after="0" w:line="240" w:lineRule="auto"/>
      </w:pPr>
      <w:r w:rsidRPr="00882FD5">
        <w:rPr>
          <w:b/>
          <w:bCs/>
        </w:rPr>
        <w:t>Column 9</w:t>
      </w:r>
      <w:r>
        <w:t>: Water describes the proximity to a water source. Sites over 45 min walk from a water source were considered ‘no’, not proximal to water.</w:t>
      </w:r>
    </w:p>
    <w:p w14:paraId="3F862B91" w14:textId="79FEF91D" w:rsidR="00A01E7A" w:rsidRDefault="00A01E7A" w:rsidP="0068154E">
      <w:pPr>
        <w:spacing w:after="0" w:line="240" w:lineRule="auto"/>
      </w:pPr>
      <w:r w:rsidRPr="00595174">
        <w:rPr>
          <w:b/>
          <w:bCs/>
        </w:rPr>
        <w:t>Column 10:</w:t>
      </w:r>
      <w:r>
        <w:t xml:space="preserve"> Habitation indicates whether any dwellings were adjacent to the rock art.</w:t>
      </w:r>
    </w:p>
    <w:p w14:paraId="4D369476" w14:textId="0E0E0A19" w:rsidR="0068154E" w:rsidRDefault="0068154E" w:rsidP="0068154E">
      <w:pPr>
        <w:spacing w:after="0" w:line="240" w:lineRule="auto"/>
      </w:pPr>
      <w:r w:rsidRPr="00882FD5">
        <w:rPr>
          <w:b/>
          <w:bCs/>
        </w:rPr>
        <w:t>Column 1</w:t>
      </w:r>
      <w:r w:rsidR="00A01E7A">
        <w:rPr>
          <w:b/>
          <w:bCs/>
        </w:rPr>
        <w:t>1</w:t>
      </w:r>
      <w:r>
        <w:t>: Acoustics are not tested but a notation of the proximity of cliff walls and mountains with potential acoustical properties.</w:t>
      </w:r>
    </w:p>
    <w:p w14:paraId="6AA44500" w14:textId="588E7359" w:rsidR="0068154E" w:rsidRDefault="0068154E" w:rsidP="0068154E">
      <w:pPr>
        <w:spacing w:after="0" w:line="240" w:lineRule="auto"/>
      </w:pPr>
      <w:r w:rsidRPr="00882FD5">
        <w:rPr>
          <w:b/>
          <w:bCs/>
        </w:rPr>
        <w:t>Columns 12-15</w:t>
      </w:r>
      <w:r>
        <w:t xml:space="preserve">: WSSR lists the number of panels at the site that meet the criteria for winter solstice sunrise and is </w:t>
      </w:r>
      <w:proofErr w:type="spellStart"/>
      <w:r>
        <w:t>colo</w:t>
      </w:r>
      <w:r w:rsidR="007A031A">
        <w:t>u</w:t>
      </w:r>
      <w:r>
        <w:t>r</w:t>
      </w:r>
      <w:proofErr w:type="spellEnd"/>
      <w:r w:rsidR="007A031A">
        <w:t>-</w:t>
      </w:r>
      <w:r>
        <w:t>coded dark blue. The same method is used in the next five columns.</w:t>
      </w:r>
    </w:p>
    <w:p w14:paraId="550CA0F8" w14:textId="0D3639B8" w:rsidR="0068154E" w:rsidRDefault="00A01E7A" w:rsidP="0068154E">
      <w:pPr>
        <w:spacing w:after="0" w:line="240" w:lineRule="auto"/>
      </w:pPr>
      <w:r>
        <w:rPr>
          <w:b/>
          <w:bCs/>
        </w:rPr>
        <w:t xml:space="preserve">Column </w:t>
      </w:r>
      <w:r w:rsidR="0068154E" w:rsidRPr="00882FD5">
        <w:rPr>
          <w:b/>
          <w:bCs/>
        </w:rPr>
        <w:t>16</w:t>
      </w:r>
      <w:r w:rsidR="0068154E">
        <w:t>: Location describes the canyons and valleys in which the sites were found. Publicly undisclosed (PU)</w:t>
      </w:r>
      <w:r w:rsidR="00595174">
        <w:t>sites have restrictions on location disclosures</w:t>
      </w:r>
      <w:r w:rsidR="0068154E">
        <w:t xml:space="preserve"> due to risk of vandalization. Publicly known sites are described in further detail in the sixth table of this </w:t>
      </w:r>
      <w:r w:rsidR="005142A5">
        <w:t>a</w:t>
      </w:r>
      <w:r w:rsidR="0068154E">
        <w:t>ppendix.</w:t>
      </w:r>
    </w:p>
    <w:p w14:paraId="4F1FB957" w14:textId="0F1626C2" w:rsidR="00A01E7A" w:rsidRDefault="00A01E7A" w:rsidP="0068154E">
      <w:pPr>
        <w:spacing w:after="0" w:line="240" w:lineRule="auto"/>
      </w:pPr>
    </w:p>
    <w:p w14:paraId="5FD9A662" w14:textId="77777777" w:rsidR="00A01E7A" w:rsidRDefault="00A01E7A" w:rsidP="0068154E">
      <w:pPr>
        <w:spacing w:after="0" w:line="240" w:lineRule="auto"/>
      </w:pPr>
    </w:p>
    <w:p w14:paraId="14852722" w14:textId="49D70D5A" w:rsidR="00807B33" w:rsidRDefault="0068154E" w:rsidP="00807B33">
      <w:pPr>
        <w:spacing w:after="0"/>
      </w:pPr>
      <w:r w:rsidRPr="000200DF">
        <w:rPr>
          <w:noProof/>
        </w:rPr>
        <w:lastRenderedPageBreak/>
        <w:drawing>
          <wp:inline distT="0" distB="0" distL="0" distR="0" wp14:anchorId="569E4E91" wp14:editId="1238FA8D">
            <wp:extent cx="8229600" cy="33731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29600" cy="3373120"/>
                    </a:xfrm>
                    <a:prstGeom prst="rect">
                      <a:avLst/>
                    </a:prstGeom>
                    <a:noFill/>
                    <a:ln>
                      <a:noFill/>
                    </a:ln>
                  </pic:spPr>
                </pic:pic>
              </a:graphicData>
            </a:graphic>
          </wp:inline>
        </w:drawing>
      </w:r>
    </w:p>
    <w:p w14:paraId="533B0609" w14:textId="71B814B0" w:rsidR="00807B33" w:rsidRDefault="0068154E" w:rsidP="00807B33">
      <w:pPr>
        <w:spacing w:after="0"/>
      </w:pPr>
      <w:r w:rsidRPr="000200DF">
        <w:rPr>
          <w:noProof/>
        </w:rPr>
        <w:lastRenderedPageBreak/>
        <w:drawing>
          <wp:inline distT="0" distB="0" distL="0" distR="0" wp14:anchorId="2F6C1615" wp14:editId="6097EF74">
            <wp:extent cx="8229600" cy="3887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229600" cy="3887470"/>
                    </a:xfrm>
                    <a:prstGeom prst="rect">
                      <a:avLst/>
                    </a:prstGeom>
                    <a:noFill/>
                    <a:ln>
                      <a:noFill/>
                    </a:ln>
                  </pic:spPr>
                </pic:pic>
              </a:graphicData>
            </a:graphic>
          </wp:inline>
        </w:drawing>
      </w:r>
    </w:p>
    <w:p w14:paraId="1A637A70" w14:textId="20547CD7" w:rsidR="00807B33" w:rsidRDefault="00807B33" w:rsidP="00807B33">
      <w:pPr>
        <w:spacing w:after="0"/>
      </w:pPr>
      <w:r w:rsidRPr="000200DF">
        <w:rPr>
          <w:noProof/>
        </w:rPr>
        <w:lastRenderedPageBreak/>
        <w:drawing>
          <wp:inline distT="0" distB="0" distL="0" distR="0" wp14:anchorId="2E7F5166" wp14:editId="65627511">
            <wp:extent cx="8229600" cy="4806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29600" cy="4806950"/>
                    </a:xfrm>
                    <a:prstGeom prst="rect">
                      <a:avLst/>
                    </a:prstGeom>
                    <a:noFill/>
                    <a:ln>
                      <a:noFill/>
                    </a:ln>
                  </pic:spPr>
                </pic:pic>
              </a:graphicData>
            </a:graphic>
          </wp:inline>
        </w:drawing>
      </w:r>
      <w:r w:rsidRPr="000200DF">
        <w:t xml:space="preserve"> </w:t>
      </w:r>
    </w:p>
    <w:p w14:paraId="755CD521" w14:textId="77777777" w:rsidR="00807B33" w:rsidRDefault="00807B33" w:rsidP="00807B33">
      <w:pPr>
        <w:spacing w:after="0"/>
      </w:pPr>
      <w:r w:rsidRPr="000200DF">
        <w:rPr>
          <w:noProof/>
        </w:rPr>
        <w:lastRenderedPageBreak/>
        <w:drawing>
          <wp:inline distT="0" distB="0" distL="0" distR="0" wp14:anchorId="0D32042A" wp14:editId="52D683D1">
            <wp:extent cx="8229600" cy="47047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29600" cy="4704715"/>
                    </a:xfrm>
                    <a:prstGeom prst="rect">
                      <a:avLst/>
                    </a:prstGeom>
                    <a:noFill/>
                    <a:ln>
                      <a:noFill/>
                    </a:ln>
                  </pic:spPr>
                </pic:pic>
              </a:graphicData>
            </a:graphic>
          </wp:inline>
        </w:drawing>
      </w:r>
      <w:r w:rsidRPr="000200DF">
        <w:t xml:space="preserve"> </w:t>
      </w:r>
    </w:p>
    <w:p w14:paraId="056946E8" w14:textId="77777777" w:rsidR="00807B33" w:rsidRDefault="00807B33" w:rsidP="00807B33">
      <w:pPr>
        <w:spacing w:after="0"/>
      </w:pPr>
    </w:p>
    <w:p w14:paraId="32D1E5C2" w14:textId="77777777" w:rsidR="00807B33" w:rsidRDefault="00807B33" w:rsidP="00807B33">
      <w:pPr>
        <w:spacing w:after="0"/>
      </w:pPr>
    </w:p>
    <w:p w14:paraId="39681526" w14:textId="77777777" w:rsidR="00807B33" w:rsidRDefault="00807B33" w:rsidP="00807B33">
      <w:pPr>
        <w:spacing w:after="0"/>
      </w:pPr>
    </w:p>
    <w:p w14:paraId="69002C31" w14:textId="77777777" w:rsidR="00807B33" w:rsidRDefault="00807B33" w:rsidP="00807B33">
      <w:pPr>
        <w:spacing w:after="0"/>
      </w:pPr>
      <w:r w:rsidRPr="000200DF">
        <w:rPr>
          <w:noProof/>
        </w:rPr>
        <w:drawing>
          <wp:inline distT="0" distB="0" distL="0" distR="0" wp14:anchorId="0A8BCA7C" wp14:editId="2FE3BD8E">
            <wp:extent cx="8229600" cy="266128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29600" cy="2661285"/>
                    </a:xfrm>
                    <a:prstGeom prst="rect">
                      <a:avLst/>
                    </a:prstGeom>
                    <a:noFill/>
                    <a:ln>
                      <a:noFill/>
                    </a:ln>
                  </pic:spPr>
                </pic:pic>
              </a:graphicData>
            </a:graphic>
          </wp:inline>
        </w:drawing>
      </w:r>
    </w:p>
    <w:p w14:paraId="46AC4864" w14:textId="77777777" w:rsidR="00807B33" w:rsidRDefault="00807B33" w:rsidP="00807B33">
      <w:pPr>
        <w:spacing w:after="0"/>
      </w:pPr>
    </w:p>
    <w:p w14:paraId="5A61F014" w14:textId="3BD0E980" w:rsidR="00807B33" w:rsidRDefault="00807B33" w:rsidP="00807B33">
      <w:pPr>
        <w:spacing w:after="0"/>
      </w:pPr>
    </w:p>
    <w:p w14:paraId="589A9C8E" w14:textId="3E74D13F" w:rsidR="00A01E7A" w:rsidRDefault="00A01E7A" w:rsidP="00807B33">
      <w:pPr>
        <w:spacing w:after="0"/>
      </w:pPr>
    </w:p>
    <w:p w14:paraId="228C39AD" w14:textId="788D68E0" w:rsidR="00A01E7A" w:rsidRDefault="00A01E7A" w:rsidP="00807B33">
      <w:pPr>
        <w:spacing w:after="0"/>
      </w:pPr>
    </w:p>
    <w:p w14:paraId="63FD6111" w14:textId="0A81C795" w:rsidR="00A01E7A" w:rsidRDefault="00A01E7A" w:rsidP="00807B33">
      <w:pPr>
        <w:spacing w:after="0"/>
      </w:pPr>
    </w:p>
    <w:p w14:paraId="2FD26304" w14:textId="352D59A9" w:rsidR="00A01E7A" w:rsidRDefault="00A01E7A" w:rsidP="00807B33">
      <w:pPr>
        <w:spacing w:after="0"/>
      </w:pPr>
    </w:p>
    <w:p w14:paraId="27D56DA1" w14:textId="77777777" w:rsidR="00A01E7A" w:rsidRDefault="00A01E7A" w:rsidP="00807B33">
      <w:pPr>
        <w:spacing w:after="0"/>
      </w:pPr>
    </w:p>
    <w:p w14:paraId="7A44219A" w14:textId="77777777" w:rsidR="00807B33" w:rsidRPr="00E1414E" w:rsidRDefault="00807B33" w:rsidP="00807B33">
      <w:pPr>
        <w:spacing w:after="0"/>
        <w:rPr>
          <w:b/>
          <w:bCs/>
        </w:rPr>
      </w:pPr>
      <w:r w:rsidRPr="00E1414E">
        <w:rPr>
          <w:b/>
          <w:bCs/>
        </w:rPr>
        <w:lastRenderedPageBreak/>
        <w:t>Table of Publicly Known Sites and their Locations</w:t>
      </w:r>
    </w:p>
    <w:p w14:paraId="22CA1831" w14:textId="77777777" w:rsidR="00807B33" w:rsidRDefault="00807B33" w:rsidP="00807B33">
      <w:pPr>
        <w:spacing w:after="0"/>
      </w:pPr>
    </w:p>
    <w:tbl>
      <w:tblPr>
        <w:tblStyle w:val="TableGrid"/>
        <w:tblW w:w="0" w:type="auto"/>
        <w:tblLook w:val="04A0" w:firstRow="1" w:lastRow="0" w:firstColumn="1" w:lastColumn="0" w:noHBand="0" w:noVBand="1"/>
      </w:tblPr>
      <w:tblGrid>
        <w:gridCol w:w="2590"/>
        <w:gridCol w:w="2590"/>
        <w:gridCol w:w="2590"/>
        <w:gridCol w:w="2590"/>
        <w:gridCol w:w="2590"/>
      </w:tblGrid>
      <w:tr w:rsidR="00807B33" w14:paraId="6A46261F" w14:textId="77777777" w:rsidTr="008C3886">
        <w:tc>
          <w:tcPr>
            <w:tcW w:w="2590" w:type="dxa"/>
          </w:tcPr>
          <w:p w14:paraId="3E0EE465" w14:textId="77777777" w:rsidR="00807B33" w:rsidRPr="00E1414E" w:rsidRDefault="00807B33" w:rsidP="008C3886">
            <w:pPr>
              <w:rPr>
                <w:b/>
                <w:bCs/>
              </w:rPr>
            </w:pPr>
            <w:r w:rsidRPr="00E1414E">
              <w:rPr>
                <w:b/>
                <w:bCs/>
              </w:rPr>
              <w:t>Common Name</w:t>
            </w:r>
          </w:p>
        </w:tc>
        <w:tc>
          <w:tcPr>
            <w:tcW w:w="2590" w:type="dxa"/>
          </w:tcPr>
          <w:p w14:paraId="5C5CD34D" w14:textId="77777777" w:rsidR="00807B33" w:rsidRPr="00E1414E" w:rsidRDefault="00807B33" w:rsidP="008C3886">
            <w:pPr>
              <w:rPr>
                <w:b/>
                <w:bCs/>
              </w:rPr>
            </w:pPr>
            <w:r w:rsidRPr="00E1414E">
              <w:rPr>
                <w:b/>
                <w:bCs/>
              </w:rPr>
              <w:t>Trinomial</w:t>
            </w:r>
          </w:p>
        </w:tc>
        <w:tc>
          <w:tcPr>
            <w:tcW w:w="2590" w:type="dxa"/>
          </w:tcPr>
          <w:p w14:paraId="70231E4A" w14:textId="77777777" w:rsidR="00807B33" w:rsidRPr="00E1414E" w:rsidRDefault="00807B33" w:rsidP="008C3886">
            <w:pPr>
              <w:rPr>
                <w:b/>
                <w:bCs/>
              </w:rPr>
            </w:pPr>
            <w:r w:rsidRPr="00E1414E">
              <w:rPr>
                <w:b/>
                <w:bCs/>
              </w:rPr>
              <w:t>Latitude</w:t>
            </w:r>
          </w:p>
        </w:tc>
        <w:tc>
          <w:tcPr>
            <w:tcW w:w="2590" w:type="dxa"/>
          </w:tcPr>
          <w:p w14:paraId="0E4DFD9D" w14:textId="77777777" w:rsidR="00807B33" w:rsidRPr="00E1414E" w:rsidRDefault="00807B33" w:rsidP="008C3886">
            <w:pPr>
              <w:rPr>
                <w:b/>
                <w:bCs/>
              </w:rPr>
            </w:pPr>
            <w:r w:rsidRPr="00E1414E">
              <w:rPr>
                <w:b/>
                <w:bCs/>
              </w:rPr>
              <w:t>Longitude</w:t>
            </w:r>
          </w:p>
        </w:tc>
        <w:tc>
          <w:tcPr>
            <w:tcW w:w="2590" w:type="dxa"/>
          </w:tcPr>
          <w:p w14:paraId="610725E8" w14:textId="77777777" w:rsidR="00807B33" w:rsidRPr="00E1414E" w:rsidRDefault="00807B33" w:rsidP="008C3886">
            <w:pPr>
              <w:rPr>
                <w:b/>
                <w:bCs/>
              </w:rPr>
            </w:pPr>
            <w:r w:rsidRPr="00E1414E">
              <w:rPr>
                <w:b/>
                <w:bCs/>
              </w:rPr>
              <w:t>Research Site Number</w:t>
            </w:r>
          </w:p>
        </w:tc>
      </w:tr>
      <w:tr w:rsidR="00807B33" w14:paraId="21F121B2" w14:textId="77777777" w:rsidTr="008C3886">
        <w:tc>
          <w:tcPr>
            <w:tcW w:w="2590" w:type="dxa"/>
          </w:tcPr>
          <w:p w14:paraId="2031623C" w14:textId="77777777" w:rsidR="00807B33" w:rsidRDefault="00807B33" w:rsidP="008C3886">
            <w:r>
              <w:t>Birthing Stone</w:t>
            </w:r>
          </w:p>
        </w:tc>
        <w:tc>
          <w:tcPr>
            <w:tcW w:w="2590" w:type="dxa"/>
          </w:tcPr>
          <w:p w14:paraId="21924BA6" w14:textId="77777777" w:rsidR="00807B33" w:rsidRDefault="00807B33" w:rsidP="008C3886"/>
        </w:tc>
        <w:tc>
          <w:tcPr>
            <w:tcW w:w="2590" w:type="dxa"/>
          </w:tcPr>
          <w:p w14:paraId="046CED75" w14:textId="77777777" w:rsidR="00807B33" w:rsidRDefault="00807B33" w:rsidP="008C3886">
            <w:r>
              <w:t>38˚31’21.61” N</w:t>
            </w:r>
          </w:p>
        </w:tc>
        <w:tc>
          <w:tcPr>
            <w:tcW w:w="2590" w:type="dxa"/>
          </w:tcPr>
          <w:p w14:paraId="61DE6649" w14:textId="77777777" w:rsidR="00807B33" w:rsidRDefault="00807B33" w:rsidP="008C3886">
            <w:r>
              <w:t>109˚36’09.67” W</w:t>
            </w:r>
          </w:p>
        </w:tc>
        <w:tc>
          <w:tcPr>
            <w:tcW w:w="2590" w:type="dxa"/>
          </w:tcPr>
          <w:p w14:paraId="2C06F4FC" w14:textId="77777777" w:rsidR="00807B33" w:rsidRDefault="00807B33" w:rsidP="008C3886">
            <w:r>
              <w:t>Site 18</w:t>
            </w:r>
          </w:p>
        </w:tc>
      </w:tr>
      <w:tr w:rsidR="00807B33" w14:paraId="7EA85993" w14:textId="77777777" w:rsidTr="008C3886">
        <w:tc>
          <w:tcPr>
            <w:tcW w:w="2590" w:type="dxa"/>
          </w:tcPr>
          <w:p w14:paraId="3AA65B58" w14:textId="77777777" w:rsidR="00807B33" w:rsidRDefault="00807B33" w:rsidP="008C3886">
            <w:r>
              <w:t>Moonflower Canyon</w:t>
            </w:r>
          </w:p>
        </w:tc>
        <w:tc>
          <w:tcPr>
            <w:tcW w:w="2590" w:type="dxa"/>
          </w:tcPr>
          <w:p w14:paraId="1B0B02DB" w14:textId="77777777" w:rsidR="00807B33" w:rsidRDefault="00807B33" w:rsidP="008C3886"/>
        </w:tc>
        <w:tc>
          <w:tcPr>
            <w:tcW w:w="2590" w:type="dxa"/>
          </w:tcPr>
          <w:p w14:paraId="107954C4" w14:textId="77777777" w:rsidR="00807B33" w:rsidRDefault="00807B33" w:rsidP="008C3886">
            <w:r>
              <w:t>38˚33’14.51” N</w:t>
            </w:r>
          </w:p>
        </w:tc>
        <w:tc>
          <w:tcPr>
            <w:tcW w:w="2590" w:type="dxa"/>
          </w:tcPr>
          <w:p w14:paraId="19B5A871" w14:textId="77777777" w:rsidR="00807B33" w:rsidRDefault="00807B33" w:rsidP="008C3886">
            <w:r>
              <w:t>109˚35’14.23” W</w:t>
            </w:r>
          </w:p>
        </w:tc>
        <w:tc>
          <w:tcPr>
            <w:tcW w:w="2590" w:type="dxa"/>
          </w:tcPr>
          <w:p w14:paraId="690BA43B" w14:textId="77777777" w:rsidR="00807B33" w:rsidRDefault="00807B33" w:rsidP="008C3886">
            <w:r>
              <w:t>Site 10</w:t>
            </w:r>
          </w:p>
        </w:tc>
      </w:tr>
      <w:tr w:rsidR="00807B33" w14:paraId="5980ED4F" w14:textId="77777777" w:rsidTr="008C3886">
        <w:tc>
          <w:tcPr>
            <w:tcW w:w="2590" w:type="dxa"/>
          </w:tcPr>
          <w:p w14:paraId="1B815D0F" w14:textId="77777777" w:rsidR="00807B33" w:rsidRDefault="00807B33" w:rsidP="008C3886">
            <w:r>
              <w:t>Wall Street Petroglyphs</w:t>
            </w:r>
          </w:p>
        </w:tc>
        <w:tc>
          <w:tcPr>
            <w:tcW w:w="2590" w:type="dxa"/>
          </w:tcPr>
          <w:p w14:paraId="4CDBB747" w14:textId="77777777" w:rsidR="00807B33" w:rsidRDefault="00807B33" w:rsidP="008C3886"/>
        </w:tc>
        <w:tc>
          <w:tcPr>
            <w:tcW w:w="2590" w:type="dxa"/>
          </w:tcPr>
          <w:p w14:paraId="24130CCA" w14:textId="77777777" w:rsidR="00807B33" w:rsidRDefault="00807B33" w:rsidP="008C3886">
            <w:r>
              <w:t>38˚32’39.85” N</w:t>
            </w:r>
          </w:p>
        </w:tc>
        <w:tc>
          <w:tcPr>
            <w:tcW w:w="2590" w:type="dxa"/>
          </w:tcPr>
          <w:p w14:paraId="09DE6DBD" w14:textId="77777777" w:rsidR="00807B33" w:rsidRDefault="00807B33" w:rsidP="008C3886">
            <w:r>
              <w:t>109˚36’00.38” W</w:t>
            </w:r>
          </w:p>
        </w:tc>
        <w:tc>
          <w:tcPr>
            <w:tcW w:w="2590" w:type="dxa"/>
          </w:tcPr>
          <w:p w14:paraId="3524A2A9" w14:textId="77777777" w:rsidR="00807B33" w:rsidRDefault="00807B33" w:rsidP="008C3886">
            <w:r>
              <w:t>Site 31</w:t>
            </w:r>
          </w:p>
        </w:tc>
      </w:tr>
      <w:tr w:rsidR="00807B33" w14:paraId="776DC7A9" w14:textId="77777777" w:rsidTr="008C3886">
        <w:tc>
          <w:tcPr>
            <w:tcW w:w="2590" w:type="dxa"/>
          </w:tcPr>
          <w:p w14:paraId="421CC737" w14:textId="77777777" w:rsidR="00807B33" w:rsidRDefault="00807B33" w:rsidP="008C3886">
            <w:r>
              <w:t>Poison Spider Trail Head</w:t>
            </w:r>
          </w:p>
        </w:tc>
        <w:tc>
          <w:tcPr>
            <w:tcW w:w="2590" w:type="dxa"/>
          </w:tcPr>
          <w:p w14:paraId="651368D0" w14:textId="77777777" w:rsidR="00807B33" w:rsidRDefault="00807B33" w:rsidP="008C3886"/>
        </w:tc>
        <w:tc>
          <w:tcPr>
            <w:tcW w:w="2590" w:type="dxa"/>
          </w:tcPr>
          <w:p w14:paraId="34A8D99E" w14:textId="77777777" w:rsidR="00807B33" w:rsidRDefault="00807B33" w:rsidP="008C3886">
            <w:r>
              <w:t>38˚32’02.40” N</w:t>
            </w:r>
          </w:p>
        </w:tc>
        <w:tc>
          <w:tcPr>
            <w:tcW w:w="2590" w:type="dxa"/>
          </w:tcPr>
          <w:p w14:paraId="4CB14502" w14:textId="77777777" w:rsidR="00807B33" w:rsidRDefault="00807B33" w:rsidP="008C3886">
            <w:r>
              <w:t>109˚36’29.20” W</w:t>
            </w:r>
          </w:p>
        </w:tc>
        <w:tc>
          <w:tcPr>
            <w:tcW w:w="2590" w:type="dxa"/>
          </w:tcPr>
          <w:p w14:paraId="47B149EC" w14:textId="77777777" w:rsidR="00807B33" w:rsidRDefault="00807B33" w:rsidP="008C3886">
            <w:r>
              <w:t>Site 35</w:t>
            </w:r>
          </w:p>
        </w:tc>
      </w:tr>
      <w:tr w:rsidR="00807B33" w14:paraId="2CEE7BFB" w14:textId="77777777" w:rsidTr="008C3886">
        <w:tc>
          <w:tcPr>
            <w:tcW w:w="2590" w:type="dxa"/>
          </w:tcPr>
          <w:p w14:paraId="499191EF" w14:textId="77777777" w:rsidR="00807B33" w:rsidRDefault="00807B33" w:rsidP="008C3886">
            <w:r>
              <w:t>Courthouse Wash</w:t>
            </w:r>
          </w:p>
        </w:tc>
        <w:tc>
          <w:tcPr>
            <w:tcW w:w="2590" w:type="dxa"/>
          </w:tcPr>
          <w:p w14:paraId="70985B42" w14:textId="77777777" w:rsidR="00807B33" w:rsidRDefault="00807B33" w:rsidP="008C3886"/>
        </w:tc>
        <w:tc>
          <w:tcPr>
            <w:tcW w:w="2590" w:type="dxa"/>
          </w:tcPr>
          <w:p w14:paraId="1FF1E039" w14:textId="77777777" w:rsidR="00807B33" w:rsidRDefault="00807B33" w:rsidP="008C3886">
            <w:r>
              <w:t>38˚36’25.46” N</w:t>
            </w:r>
          </w:p>
        </w:tc>
        <w:tc>
          <w:tcPr>
            <w:tcW w:w="2590" w:type="dxa"/>
          </w:tcPr>
          <w:p w14:paraId="1D33BE41" w14:textId="77777777" w:rsidR="00807B33" w:rsidRDefault="00807B33" w:rsidP="008C3886">
            <w:r>
              <w:t>109˚34’53.40” W</w:t>
            </w:r>
          </w:p>
        </w:tc>
        <w:tc>
          <w:tcPr>
            <w:tcW w:w="2590" w:type="dxa"/>
          </w:tcPr>
          <w:p w14:paraId="65168B65" w14:textId="77777777" w:rsidR="00807B33" w:rsidRDefault="00807B33" w:rsidP="008C3886">
            <w:r>
              <w:t>Site 81</w:t>
            </w:r>
          </w:p>
        </w:tc>
      </w:tr>
      <w:tr w:rsidR="00807B33" w14:paraId="43A01974" w14:textId="77777777" w:rsidTr="008C3886">
        <w:tc>
          <w:tcPr>
            <w:tcW w:w="2590" w:type="dxa"/>
          </w:tcPr>
          <w:p w14:paraId="5417214D" w14:textId="77777777" w:rsidR="00807B33" w:rsidRDefault="00807B33" w:rsidP="008C3886">
            <w:r>
              <w:t>Golf Course Panel</w:t>
            </w:r>
          </w:p>
        </w:tc>
        <w:tc>
          <w:tcPr>
            <w:tcW w:w="2590" w:type="dxa"/>
          </w:tcPr>
          <w:p w14:paraId="16656E00" w14:textId="77777777" w:rsidR="00807B33" w:rsidRDefault="00807B33" w:rsidP="008C3886"/>
        </w:tc>
        <w:tc>
          <w:tcPr>
            <w:tcW w:w="2590" w:type="dxa"/>
          </w:tcPr>
          <w:p w14:paraId="4C39C679" w14:textId="77777777" w:rsidR="00807B33" w:rsidRDefault="00807B33" w:rsidP="008C3886">
            <w:r>
              <w:t>38˚32’19.40” N</w:t>
            </w:r>
          </w:p>
        </w:tc>
        <w:tc>
          <w:tcPr>
            <w:tcW w:w="2590" w:type="dxa"/>
          </w:tcPr>
          <w:p w14:paraId="5F7FECF1" w14:textId="77777777" w:rsidR="00807B33" w:rsidRDefault="00807B33" w:rsidP="008C3886">
            <w:r>
              <w:t>109˚28’43.18” W</w:t>
            </w:r>
          </w:p>
        </w:tc>
        <w:tc>
          <w:tcPr>
            <w:tcW w:w="2590" w:type="dxa"/>
          </w:tcPr>
          <w:p w14:paraId="49B1C359" w14:textId="77777777" w:rsidR="00807B33" w:rsidRDefault="00807B33" w:rsidP="008C3886">
            <w:r>
              <w:t>Site 82</w:t>
            </w:r>
          </w:p>
        </w:tc>
      </w:tr>
      <w:tr w:rsidR="00807B33" w14:paraId="6936F16E" w14:textId="77777777" w:rsidTr="008C3886">
        <w:tc>
          <w:tcPr>
            <w:tcW w:w="2590" w:type="dxa"/>
          </w:tcPr>
          <w:p w14:paraId="6FFD5519" w14:textId="77777777" w:rsidR="00807B33" w:rsidRDefault="00807B33" w:rsidP="008C3886">
            <w:proofErr w:type="spellStart"/>
            <w:r>
              <w:t>Steelbender</w:t>
            </w:r>
            <w:proofErr w:type="spellEnd"/>
            <w:r>
              <w:t xml:space="preserve"> Panel</w:t>
            </w:r>
          </w:p>
        </w:tc>
        <w:tc>
          <w:tcPr>
            <w:tcW w:w="2590" w:type="dxa"/>
          </w:tcPr>
          <w:p w14:paraId="64B697BE" w14:textId="77777777" w:rsidR="00807B33" w:rsidRDefault="00807B33" w:rsidP="008C3886"/>
        </w:tc>
        <w:tc>
          <w:tcPr>
            <w:tcW w:w="2590" w:type="dxa"/>
          </w:tcPr>
          <w:p w14:paraId="4BE83102" w14:textId="77777777" w:rsidR="00807B33" w:rsidRDefault="00807B33" w:rsidP="008C3886">
            <w:r>
              <w:t>38˚32’22.10” N</w:t>
            </w:r>
          </w:p>
        </w:tc>
        <w:tc>
          <w:tcPr>
            <w:tcW w:w="2590" w:type="dxa"/>
          </w:tcPr>
          <w:p w14:paraId="25AD0387" w14:textId="77777777" w:rsidR="00807B33" w:rsidRDefault="00807B33" w:rsidP="008C3886">
            <w:r>
              <w:t>109˚28’05.90” W</w:t>
            </w:r>
          </w:p>
        </w:tc>
        <w:tc>
          <w:tcPr>
            <w:tcW w:w="2590" w:type="dxa"/>
          </w:tcPr>
          <w:p w14:paraId="796D17CC" w14:textId="77777777" w:rsidR="00807B33" w:rsidRDefault="00807B33" w:rsidP="008C3886">
            <w:r>
              <w:t>Site 139</w:t>
            </w:r>
          </w:p>
        </w:tc>
      </w:tr>
      <w:tr w:rsidR="00807B33" w14:paraId="266BA3C6" w14:textId="77777777" w:rsidTr="008C3886">
        <w:tc>
          <w:tcPr>
            <w:tcW w:w="2590" w:type="dxa"/>
          </w:tcPr>
          <w:p w14:paraId="7BD900C5" w14:textId="77777777" w:rsidR="00807B33" w:rsidRDefault="00807B33" w:rsidP="008C3886">
            <w:r>
              <w:t>Millcreek Panel ‘Allred’</w:t>
            </w:r>
          </w:p>
        </w:tc>
        <w:tc>
          <w:tcPr>
            <w:tcW w:w="2590" w:type="dxa"/>
          </w:tcPr>
          <w:p w14:paraId="4EFF706A" w14:textId="77777777" w:rsidR="00807B33" w:rsidRDefault="00807B33" w:rsidP="008C3886">
            <w:r>
              <w:t>42GR2616</w:t>
            </w:r>
          </w:p>
        </w:tc>
        <w:tc>
          <w:tcPr>
            <w:tcW w:w="2590" w:type="dxa"/>
          </w:tcPr>
          <w:p w14:paraId="38886D3F" w14:textId="77777777" w:rsidR="00807B33" w:rsidRDefault="00807B33" w:rsidP="008C3886">
            <w:r>
              <w:t>38˚32’46.54” N</w:t>
            </w:r>
          </w:p>
        </w:tc>
        <w:tc>
          <w:tcPr>
            <w:tcW w:w="2590" w:type="dxa"/>
          </w:tcPr>
          <w:p w14:paraId="64D3E273" w14:textId="77777777" w:rsidR="00807B33" w:rsidRDefault="00807B33" w:rsidP="008C3886">
            <w:r>
              <w:t>109˚28’10.79” W</w:t>
            </w:r>
          </w:p>
        </w:tc>
        <w:tc>
          <w:tcPr>
            <w:tcW w:w="2590" w:type="dxa"/>
          </w:tcPr>
          <w:p w14:paraId="2FA34A71" w14:textId="77777777" w:rsidR="00807B33" w:rsidRDefault="00807B33" w:rsidP="008C3886">
            <w:r>
              <w:t>Site 75</w:t>
            </w:r>
          </w:p>
        </w:tc>
      </w:tr>
      <w:tr w:rsidR="00807B33" w14:paraId="32F0A9D7" w14:textId="77777777" w:rsidTr="008C3886">
        <w:tc>
          <w:tcPr>
            <w:tcW w:w="2590" w:type="dxa"/>
          </w:tcPr>
          <w:p w14:paraId="0A76AACA" w14:textId="77777777" w:rsidR="00807B33" w:rsidRDefault="00807B33" w:rsidP="008C3886">
            <w:r>
              <w:t>‘Old Shamans’</w:t>
            </w:r>
          </w:p>
        </w:tc>
        <w:tc>
          <w:tcPr>
            <w:tcW w:w="2590" w:type="dxa"/>
          </w:tcPr>
          <w:p w14:paraId="0582C248" w14:textId="77777777" w:rsidR="00807B33" w:rsidRDefault="00807B33" w:rsidP="008C3886">
            <w:r>
              <w:t>42GR3008 (PU)</w:t>
            </w:r>
          </w:p>
        </w:tc>
        <w:tc>
          <w:tcPr>
            <w:tcW w:w="2590" w:type="dxa"/>
          </w:tcPr>
          <w:p w14:paraId="0463EECB" w14:textId="77777777" w:rsidR="00807B33" w:rsidRDefault="00807B33" w:rsidP="008C3886"/>
        </w:tc>
        <w:tc>
          <w:tcPr>
            <w:tcW w:w="2590" w:type="dxa"/>
          </w:tcPr>
          <w:p w14:paraId="08CCA2CA" w14:textId="77777777" w:rsidR="00807B33" w:rsidRDefault="00807B33" w:rsidP="008C3886"/>
        </w:tc>
        <w:tc>
          <w:tcPr>
            <w:tcW w:w="2590" w:type="dxa"/>
          </w:tcPr>
          <w:p w14:paraId="2D8DC5F9" w14:textId="77777777" w:rsidR="00807B33" w:rsidRDefault="00807B33" w:rsidP="008C3886">
            <w:r>
              <w:t>Site 45</w:t>
            </w:r>
          </w:p>
        </w:tc>
      </w:tr>
      <w:tr w:rsidR="00807B33" w14:paraId="161C2EAF" w14:textId="77777777" w:rsidTr="008C3886">
        <w:tc>
          <w:tcPr>
            <w:tcW w:w="2590" w:type="dxa"/>
          </w:tcPr>
          <w:p w14:paraId="55B0626A" w14:textId="77777777" w:rsidR="00807B33" w:rsidRDefault="00807B33" w:rsidP="008C3886">
            <w:r>
              <w:t>Sego Canyon</w:t>
            </w:r>
          </w:p>
        </w:tc>
        <w:tc>
          <w:tcPr>
            <w:tcW w:w="2590" w:type="dxa"/>
          </w:tcPr>
          <w:p w14:paraId="6ABC5705" w14:textId="77777777" w:rsidR="00807B33" w:rsidRDefault="00807B33" w:rsidP="008C3886"/>
        </w:tc>
        <w:tc>
          <w:tcPr>
            <w:tcW w:w="2590" w:type="dxa"/>
          </w:tcPr>
          <w:p w14:paraId="566344D7" w14:textId="77777777" w:rsidR="00807B33" w:rsidRDefault="00807B33" w:rsidP="008C3886">
            <w:r>
              <w:t>38˚59’54.91” N</w:t>
            </w:r>
          </w:p>
        </w:tc>
        <w:tc>
          <w:tcPr>
            <w:tcW w:w="2590" w:type="dxa"/>
          </w:tcPr>
          <w:p w14:paraId="3954C6C5" w14:textId="77777777" w:rsidR="00807B33" w:rsidRDefault="00807B33" w:rsidP="008C3886">
            <w:r>
              <w:t>109˚42’29.46” W</w:t>
            </w:r>
          </w:p>
        </w:tc>
        <w:tc>
          <w:tcPr>
            <w:tcW w:w="2590" w:type="dxa"/>
          </w:tcPr>
          <w:p w14:paraId="045A452B" w14:textId="77777777" w:rsidR="00807B33" w:rsidRDefault="00807B33" w:rsidP="008C3886">
            <w:r>
              <w:t>Site 93</w:t>
            </w:r>
          </w:p>
        </w:tc>
      </w:tr>
    </w:tbl>
    <w:p w14:paraId="52379B8E" w14:textId="77777777" w:rsidR="00807B33" w:rsidRPr="00BD42DD" w:rsidRDefault="00807B33" w:rsidP="00807B33">
      <w:pPr>
        <w:spacing w:after="0"/>
      </w:pPr>
      <w:r>
        <w:t xml:space="preserve"> Trinomials are derived from </w:t>
      </w:r>
      <w:r>
        <w:rPr>
          <w:i/>
          <w:iCs/>
        </w:rPr>
        <w:t xml:space="preserve">Legacy on Stone, </w:t>
      </w:r>
      <w:r>
        <w:t>Sally J. Cole.</w:t>
      </w:r>
    </w:p>
    <w:p w14:paraId="701578A9" w14:textId="77777777" w:rsidR="00807B33" w:rsidRDefault="00807B33" w:rsidP="00E41944">
      <w:pPr>
        <w:pStyle w:val="Heading1"/>
        <w:sectPr w:rsidR="00807B33" w:rsidSect="00A01E7A">
          <w:pgSz w:w="16838" w:h="11906" w:orient="landscape" w:code="9"/>
          <w:pgMar w:top="1440" w:right="1440" w:bottom="1440" w:left="1440" w:header="720" w:footer="720" w:gutter="0"/>
          <w:pgNumType w:start="80"/>
          <w:cols w:space="720"/>
          <w:docGrid w:linePitch="360"/>
        </w:sectPr>
      </w:pPr>
    </w:p>
    <w:p w14:paraId="04A2BD16" w14:textId="4D472DA4" w:rsidR="00E41944" w:rsidRDefault="00E41944" w:rsidP="00E41944">
      <w:pPr>
        <w:pStyle w:val="Heading1"/>
      </w:pPr>
      <w:bookmarkStart w:id="78" w:name="_Toc101636994"/>
      <w:r>
        <w:lastRenderedPageBreak/>
        <w:t>Bibliography</w:t>
      </w:r>
      <w:bookmarkEnd w:id="78"/>
    </w:p>
    <w:p w14:paraId="723CA099" w14:textId="77777777" w:rsidR="00E41944" w:rsidRPr="009B5D68" w:rsidRDefault="00E41944" w:rsidP="00E41944">
      <w:pPr>
        <w:pStyle w:val="FootnoteText"/>
        <w:rPr>
          <w:szCs w:val="22"/>
        </w:rPr>
      </w:pPr>
    </w:p>
    <w:p w14:paraId="1AEA02D9" w14:textId="77777777" w:rsidR="00E41944" w:rsidRPr="007F18FC" w:rsidRDefault="00E41944" w:rsidP="00E41944">
      <w:pPr>
        <w:pStyle w:val="FootnoteText"/>
        <w:rPr>
          <w:szCs w:val="22"/>
        </w:rPr>
      </w:pPr>
      <w:r w:rsidRPr="007F18FC">
        <w:rPr>
          <w:szCs w:val="22"/>
        </w:rPr>
        <w:t xml:space="preserve">Aton, James M., ‘Walls of Rock Art: Unfolding the Native Story’ in </w:t>
      </w:r>
      <w:r w:rsidRPr="007F18FC">
        <w:rPr>
          <w:i/>
          <w:iCs/>
          <w:szCs w:val="22"/>
        </w:rPr>
        <w:t>The River Knows Everything: Desolation Canyon and the Green</w:t>
      </w:r>
      <w:r w:rsidRPr="007F18FC">
        <w:rPr>
          <w:szCs w:val="22"/>
        </w:rPr>
        <w:t xml:space="preserve"> (Boulder: University Press of Colorado, 2009)</w:t>
      </w:r>
    </w:p>
    <w:p w14:paraId="1E7BFCA6" w14:textId="77777777" w:rsidR="00E41944" w:rsidRPr="007F18FC" w:rsidRDefault="00E41944" w:rsidP="00E41944">
      <w:pPr>
        <w:pStyle w:val="FootnoteText"/>
        <w:rPr>
          <w:szCs w:val="22"/>
        </w:rPr>
      </w:pPr>
    </w:p>
    <w:p w14:paraId="0CF034D1" w14:textId="13C3DCC9" w:rsidR="00E41944" w:rsidRPr="007F18FC" w:rsidRDefault="00E41944" w:rsidP="00E41944">
      <w:pPr>
        <w:pStyle w:val="FootnoteText"/>
        <w:rPr>
          <w:szCs w:val="22"/>
        </w:rPr>
      </w:pPr>
      <w:proofErr w:type="spellStart"/>
      <w:r w:rsidRPr="007F18FC">
        <w:rPr>
          <w:szCs w:val="22"/>
        </w:rPr>
        <w:t>Aveni</w:t>
      </w:r>
      <w:proofErr w:type="spellEnd"/>
      <w:r w:rsidRPr="007F18FC">
        <w:rPr>
          <w:szCs w:val="22"/>
        </w:rPr>
        <w:t xml:space="preserve">, Anthony, ‘Horizon Astronomy in </w:t>
      </w:r>
      <w:proofErr w:type="spellStart"/>
      <w:r w:rsidRPr="007F18FC">
        <w:rPr>
          <w:szCs w:val="22"/>
        </w:rPr>
        <w:t>Incaic</w:t>
      </w:r>
      <w:proofErr w:type="spellEnd"/>
      <w:r w:rsidRPr="007F18FC">
        <w:rPr>
          <w:szCs w:val="22"/>
        </w:rPr>
        <w:t xml:space="preserve"> Cuzco’ in </w:t>
      </w:r>
      <w:r w:rsidRPr="007F18FC">
        <w:rPr>
          <w:i/>
          <w:iCs/>
          <w:szCs w:val="22"/>
        </w:rPr>
        <w:t>Foundations of New World Cultural Astronomy: A Reader with Commentary</w:t>
      </w:r>
      <w:r w:rsidRPr="007F18FC">
        <w:rPr>
          <w:szCs w:val="22"/>
        </w:rPr>
        <w:t xml:space="preserve">, ed. by Anthony </w:t>
      </w:r>
      <w:proofErr w:type="spellStart"/>
      <w:r w:rsidRPr="007F18FC">
        <w:rPr>
          <w:szCs w:val="22"/>
        </w:rPr>
        <w:t>Aveni</w:t>
      </w:r>
      <w:proofErr w:type="spellEnd"/>
      <w:r w:rsidRPr="007F18FC">
        <w:rPr>
          <w:i/>
          <w:iCs/>
          <w:szCs w:val="22"/>
        </w:rPr>
        <w:t xml:space="preserve"> </w:t>
      </w:r>
      <w:r w:rsidRPr="007F18FC">
        <w:rPr>
          <w:szCs w:val="22"/>
        </w:rPr>
        <w:t>(Boulder: University Press of Colorado, 2008), pp. 109-123.</w:t>
      </w:r>
    </w:p>
    <w:p w14:paraId="7626EB1F" w14:textId="77777777" w:rsidR="00E41944" w:rsidRPr="007F18FC" w:rsidRDefault="00E41944" w:rsidP="00E41944">
      <w:pPr>
        <w:pStyle w:val="FootnoteText"/>
        <w:rPr>
          <w:szCs w:val="22"/>
        </w:rPr>
      </w:pPr>
    </w:p>
    <w:p w14:paraId="63DF5D4E" w14:textId="53BE0BCA" w:rsidR="00E41944" w:rsidRPr="007F18FC" w:rsidRDefault="00092115" w:rsidP="00E41944">
      <w:pPr>
        <w:pStyle w:val="FootnoteText"/>
        <w:rPr>
          <w:szCs w:val="22"/>
          <w:shd w:val="clear" w:color="auto" w:fill="FFFFFF"/>
        </w:rPr>
      </w:pPr>
      <w:r w:rsidRPr="007F18FC">
        <w:rPr>
          <w:szCs w:val="22"/>
          <w:shd w:val="clear" w:color="auto" w:fill="FFFFFF"/>
        </w:rPr>
        <w:t xml:space="preserve">Basso, Keith H., ‘Stalking with stories: names, places and moral narratives among the western Apache’, in </w:t>
      </w:r>
      <w:r w:rsidRPr="007F18FC">
        <w:rPr>
          <w:i/>
          <w:iCs/>
          <w:szCs w:val="22"/>
          <w:shd w:val="clear" w:color="auto" w:fill="FFFFFF"/>
        </w:rPr>
        <w:t>Text, Play and Story,</w:t>
      </w:r>
      <w:r w:rsidRPr="007F18FC">
        <w:rPr>
          <w:szCs w:val="22"/>
          <w:shd w:val="clear" w:color="auto" w:fill="FFFFFF"/>
        </w:rPr>
        <w:t xml:space="preserve"> ed. by E. Bruner (Prospect Heights, IL: Waveland Press, 1984)</w:t>
      </w:r>
    </w:p>
    <w:p w14:paraId="3CD71AED" w14:textId="77777777" w:rsidR="00092115" w:rsidRPr="007F18FC" w:rsidRDefault="00092115" w:rsidP="00E41944">
      <w:pPr>
        <w:pStyle w:val="FootnoteText"/>
        <w:rPr>
          <w:szCs w:val="22"/>
        </w:rPr>
      </w:pPr>
    </w:p>
    <w:p w14:paraId="0B0B5726" w14:textId="18596175" w:rsidR="00E41944" w:rsidRDefault="00E41944" w:rsidP="00E41944">
      <w:pPr>
        <w:spacing w:after="0" w:line="240" w:lineRule="auto"/>
        <w:rPr>
          <w:sz w:val="22"/>
          <w:szCs w:val="22"/>
        </w:rPr>
      </w:pPr>
      <w:r w:rsidRPr="007F18FC">
        <w:rPr>
          <w:sz w:val="22"/>
          <w:szCs w:val="22"/>
        </w:rPr>
        <w:t>Barber, Elizabeth Wayland and Paul T. B</w:t>
      </w:r>
      <w:r w:rsidR="00D46A2E">
        <w:rPr>
          <w:sz w:val="22"/>
          <w:szCs w:val="22"/>
        </w:rPr>
        <w:t>arber</w:t>
      </w:r>
      <w:r w:rsidRPr="007F18FC">
        <w:rPr>
          <w:sz w:val="22"/>
          <w:szCs w:val="22"/>
        </w:rPr>
        <w:t xml:space="preserve">, </w:t>
      </w:r>
      <w:r w:rsidRPr="007F18FC">
        <w:rPr>
          <w:i/>
          <w:iCs/>
          <w:sz w:val="22"/>
          <w:szCs w:val="22"/>
        </w:rPr>
        <w:t>When They Severed Earth from Sky: How the Human Mind Shapes Myth</w:t>
      </w:r>
      <w:r w:rsidRPr="007F18FC">
        <w:rPr>
          <w:sz w:val="22"/>
          <w:szCs w:val="22"/>
        </w:rPr>
        <w:t xml:space="preserve"> (Princeton: Princeton University Press, 2006)</w:t>
      </w:r>
    </w:p>
    <w:p w14:paraId="37FC735C" w14:textId="6AE2708D" w:rsidR="00A254CB" w:rsidRDefault="00A254CB" w:rsidP="00E41944">
      <w:pPr>
        <w:spacing w:after="0" w:line="240" w:lineRule="auto"/>
        <w:rPr>
          <w:sz w:val="22"/>
          <w:szCs w:val="22"/>
        </w:rPr>
      </w:pPr>
    </w:p>
    <w:p w14:paraId="41B12D20" w14:textId="457E34C1" w:rsidR="000E15CD" w:rsidRPr="007F18FC" w:rsidRDefault="00A254CB" w:rsidP="000E15CD">
      <w:pPr>
        <w:pStyle w:val="FootnoteText"/>
        <w:rPr>
          <w:szCs w:val="22"/>
        </w:rPr>
      </w:pPr>
      <w:r>
        <w:t>Bell</w:t>
      </w:r>
      <w:r w:rsidRPr="00E91357">
        <w:rPr>
          <w:szCs w:val="22"/>
        </w:rPr>
        <w:t xml:space="preserve">, </w:t>
      </w:r>
      <w:r>
        <w:t xml:space="preserve">H. R., </w:t>
      </w:r>
      <w:proofErr w:type="spellStart"/>
      <w:r w:rsidRPr="00E91357">
        <w:rPr>
          <w:i/>
          <w:iCs/>
          <w:szCs w:val="22"/>
        </w:rPr>
        <w:t>Storymen</w:t>
      </w:r>
      <w:proofErr w:type="spellEnd"/>
      <w:r w:rsidRPr="00E91357">
        <w:rPr>
          <w:szCs w:val="22"/>
        </w:rPr>
        <w:t xml:space="preserve"> </w:t>
      </w:r>
      <w:r>
        <w:rPr>
          <w:szCs w:val="22"/>
        </w:rPr>
        <w:t>(</w:t>
      </w:r>
      <w:r w:rsidRPr="00E91357">
        <w:rPr>
          <w:szCs w:val="22"/>
        </w:rPr>
        <w:t>Cambridge: Cambridge University, 2009)</w:t>
      </w:r>
      <w:r>
        <w:rPr>
          <w:szCs w:val="22"/>
        </w:rPr>
        <w:t xml:space="preserve"> </w:t>
      </w:r>
      <w:r w:rsidR="000E15CD">
        <w:rPr>
          <w:szCs w:val="22"/>
        </w:rPr>
        <w:t>cited in</w:t>
      </w:r>
      <w:r w:rsidR="000E15CD" w:rsidRPr="007F18FC">
        <w:rPr>
          <w:szCs w:val="22"/>
        </w:rPr>
        <w:t xml:space="preserve"> Martin </w:t>
      </w:r>
      <w:proofErr w:type="spellStart"/>
      <w:r w:rsidR="000E15CD">
        <w:rPr>
          <w:szCs w:val="22"/>
        </w:rPr>
        <w:t>Porr</w:t>
      </w:r>
      <w:proofErr w:type="spellEnd"/>
      <w:r w:rsidR="000E15CD">
        <w:rPr>
          <w:szCs w:val="22"/>
        </w:rPr>
        <w:t xml:space="preserve"> </w:t>
      </w:r>
      <w:r w:rsidR="000E15CD" w:rsidRPr="007F18FC">
        <w:rPr>
          <w:szCs w:val="22"/>
        </w:rPr>
        <w:t xml:space="preserve">and Hannah Rachel Bell, ‘” Rock-art”, “Animism” and Two-way Thinking: Towards a Complementary Epistemology in the Understanding of Material Culture and “Rock-art” of Hunting and Gathering People’, </w:t>
      </w:r>
      <w:r w:rsidR="000E15CD" w:rsidRPr="007F18FC">
        <w:rPr>
          <w:i/>
          <w:iCs/>
          <w:szCs w:val="22"/>
        </w:rPr>
        <w:t>Journal of Archaeological Method and Theory</w:t>
      </w:r>
      <w:r w:rsidR="000E15CD" w:rsidRPr="007F18FC">
        <w:rPr>
          <w:szCs w:val="22"/>
        </w:rPr>
        <w:t xml:space="preserve">, Vol. 19, No. 1 (March 2012), pp. 161-205. </w:t>
      </w:r>
    </w:p>
    <w:p w14:paraId="0C04D327" w14:textId="451CFDDD" w:rsidR="00A254CB" w:rsidRPr="007F18FC" w:rsidRDefault="00A254CB" w:rsidP="00E41944">
      <w:pPr>
        <w:spacing w:after="0" w:line="240" w:lineRule="auto"/>
        <w:rPr>
          <w:sz w:val="22"/>
          <w:szCs w:val="22"/>
        </w:rPr>
      </w:pPr>
    </w:p>
    <w:p w14:paraId="2248006A" w14:textId="77777777" w:rsidR="00E41944" w:rsidRPr="007F18FC" w:rsidRDefault="00E41944" w:rsidP="00E41944">
      <w:pPr>
        <w:pStyle w:val="FootnoteText"/>
        <w:rPr>
          <w:szCs w:val="22"/>
        </w:rPr>
      </w:pPr>
      <w:r w:rsidRPr="007F18FC">
        <w:rPr>
          <w:szCs w:val="22"/>
        </w:rPr>
        <w:t xml:space="preserve">Bestplaces.net </w:t>
      </w:r>
      <w:hyperlink r:id="rId36" w:anchor=":~:text=On%20average%2C%20there%20are%20244%20sunny%20days%20per%20year%20in%20Moab.&amp;text=Precipitation%20is%20rain%2C%20snow%2C%20sleet,that%20falls%20to%20the%20ground" w:history="1">
        <w:r w:rsidRPr="007F18FC">
          <w:rPr>
            <w:rStyle w:val="Hyperlink"/>
            <w:szCs w:val="22"/>
          </w:rPr>
          <w:t>https://www.bestplaces.net/climate/city/utah/moab#:~:text=On%20average%2C%20there%20are%20244%20sunny%20days%20per%20year%20in%20Moab.&amp;text=Precipitation%20is%20rain%2C%20snow%2C%20sleet,that%20falls%20to%20the%20ground</w:t>
        </w:r>
      </w:hyperlink>
      <w:r w:rsidRPr="007F18FC">
        <w:rPr>
          <w:szCs w:val="22"/>
        </w:rPr>
        <w:t>. [Accessed March 3, 2022]</w:t>
      </w:r>
    </w:p>
    <w:p w14:paraId="3F449E3A" w14:textId="77777777" w:rsidR="00E41944" w:rsidRPr="007F18FC" w:rsidRDefault="00E41944" w:rsidP="00E41944">
      <w:pPr>
        <w:pStyle w:val="FootnoteText"/>
        <w:rPr>
          <w:szCs w:val="22"/>
        </w:rPr>
      </w:pPr>
    </w:p>
    <w:p w14:paraId="4676E7FE" w14:textId="77777777" w:rsidR="00E41944" w:rsidRPr="007F18FC" w:rsidRDefault="00E41944" w:rsidP="00E41944">
      <w:pPr>
        <w:pStyle w:val="FootnoteText"/>
        <w:rPr>
          <w:szCs w:val="22"/>
        </w:rPr>
      </w:pPr>
      <w:r w:rsidRPr="007F18FC">
        <w:rPr>
          <w:szCs w:val="22"/>
        </w:rPr>
        <w:t xml:space="preserve">Binford, Lewis R., ‘Mobility, Housing, and Environment: A Comparative Study’, </w:t>
      </w:r>
      <w:r w:rsidRPr="007F18FC">
        <w:rPr>
          <w:i/>
          <w:iCs/>
          <w:szCs w:val="22"/>
        </w:rPr>
        <w:t>Journal of Anthropological Research</w:t>
      </w:r>
      <w:r w:rsidRPr="007F18FC">
        <w:rPr>
          <w:szCs w:val="22"/>
        </w:rPr>
        <w:t>, Vol. 46, No. 2 (Summer, 1990), pp. 119-152.</w:t>
      </w:r>
    </w:p>
    <w:p w14:paraId="5AAEDBB4" w14:textId="77777777" w:rsidR="00E41944" w:rsidRPr="007F18FC" w:rsidRDefault="00E41944" w:rsidP="00E41944">
      <w:pPr>
        <w:spacing w:after="0" w:line="240" w:lineRule="auto"/>
        <w:rPr>
          <w:sz w:val="22"/>
          <w:szCs w:val="22"/>
        </w:rPr>
      </w:pPr>
    </w:p>
    <w:p w14:paraId="012F7FD5" w14:textId="77777777" w:rsidR="00E41944" w:rsidRPr="007F18FC" w:rsidRDefault="00E41944" w:rsidP="00E41944">
      <w:pPr>
        <w:pStyle w:val="FootnoteText"/>
        <w:rPr>
          <w:szCs w:val="22"/>
        </w:rPr>
      </w:pPr>
      <w:r w:rsidRPr="007F18FC">
        <w:rPr>
          <w:szCs w:val="22"/>
        </w:rPr>
        <w:t xml:space="preserve">Black, Kevin D., James M. Copeland and Steven M. Horvath, Jr., </w:t>
      </w:r>
      <w:r w:rsidRPr="007F18FC">
        <w:rPr>
          <w:i/>
          <w:iCs/>
          <w:szCs w:val="22"/>
        </w:rPr>
        <w:t>An Archaeological Survey of the Lisbon Valley Study Tract of the Moab District of San Juan County, Utah</w:t>
      </w:r>
      <w:r w:rsidRPr="007F18FC">
        <w:rPr>
          <w:szCs w:val="22"/>
        </w:rPr>
        <w:t xml:space="preserve"> (Montrose, Colorado: Centuries Research, Inc., 1981)</w:t>
      </w:r>
    </w:p>
    <w:p w14:paraId="1647B006" w14:textId="77777777" w:rsidR="00E41944" w:rsidRPr="007F18FC" w:rsidRDefault="00E41944" w:rsidP="00E41944">
      <w:pPr>
        <w:pStyle w:val="FootnoteText"/>
        <w:rPr>
          <w:szCs w:val="22"/>
        </w:rPr>
      </w:pPr>
    </w:p>
    <w:p w14:paraId="57389F03" w14:textId="77777777" w:rsidR="00E41944" w:rsidRPr="007F18FC" w:rsidRDefault="00E41944" w:rsidP="00E41944">
      <w:pPr>
        <w:pStyle w:val="FootnoteText"/>
        <w:rPr>
          <w:szCs w:val="22"/>
        </w:rPr>
      </w:pPr>
      <w:proofErr w:type="spellStart"/>
      <w:r w:rsidRPr="007F18FC">
        <w:rPr>
          <w:szCs w:val="22"/>
        </w:rPr>
        <w:t>Boser</w:t>
      </w:r>
      <w:proofErr w:type="spellEnd"/>
      <w:r w:rsidRPr="007F18FC">
        <w:rPr>
          <w:szCs w:val="22"/>
        </w:rPr>
        <w:t xml:space="preserve">, Ulrich, ‘Solar Circle’, </w:t>
      </w:r>
      <w:r w:rsidRPr="007F18FC">
        <w:rPr>
          <w:i/>
          <w:iCs/>
          <w:szCs w:val="22"/>
        </w:rPr>
        <w:t>Archaeology,</w:t>
      </w:r>
      <w:r w:rsidRPr="007F18FC">
        <w:rPr>
          <w:szCs w:val="22"/>
        </w:rPr>
        <w:t xml:space="preserve"> Vol. 59, No. 4 (July/August 2006), pp. 30-35.</w:t>
      </w:r>
    </w:p>
    <w:p w14:paraId="32390A59" w14:textId="77777777" w:rsidR="00E41944" w:rsidRPr="007F18FC" w:rsidRDefault="00E41944" w:rsidP="00E41944">
      <w:pPr>
        <w:spacing w:after="0" w:line="240" w:lineRule="auto"/>
        <w:rPr>
          <w:sz w:val="22"/>
          <w:szCs w:val="22"/>
        </w:rPr>
      </w:pPr>
    </w:p>
    <w:p w14:paraId="514EC8CE" w14:textId="1B643D01"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Bostwick, Todd W., ‘Saluting the Sun: A Hohokam Calendar’, in </w:t>
      </w:r>
      <w:r w:rsidRPr="007F18FC">
        <w:rPr>
          <w:rFonts w:asciiTheme="minorHAnsi" w:hAnsiTheme="minorHAnsi" w:cstheme="minorHAnsi"/>
          <w:i/>
          <w:iCs/>
          <w:sz w:val="22"/>
          <w:szCs w:val="22"/>
        </w:rPr>
        <w:t>Landscape of the Spirits: Hohokam Rock Art at South Mountain Park</w:t>
      </w:r>
      <w:r w:rsidRPr="007F18FC">
        <w:rPr>
          <w:rFonts w:asciiTheme="minorHAnsi" w:hAnsiTheme="minorHAnsi" w:cstheme="minorHAnsi"/>
          <w:sz w:val="22"/>
          <w:szCs w:val="22"/>
        </w:rPr>
        <w:t xml:space="preserve"> (Tucson: University of Arizona Press, 2002)</w:t>
      </w:r>
    </w:p>
    <w:p w14:paraId="567A63D2" w14:textId="77777777" w:rsidR="00E41944" w:rsidRPr="007F18FC" w:rsidRDefault="00E41944" w:rsidP="00E41944">
      <w:pPr>
        <w:pStyle w:val="Default"/>
        <w:rPr>
          <w:rFonts w:asciiTheme="minorHAnsi" w:hAnsiTheme="minorHAnsi" w:cstheme="minorHAnsi"/>
          <w:sz w:val="22"/>
          <w:szCs w:val="22"/>
        </w:rPr>
      </w:pPr>
    </w:p>
    <w:p w14:paraId="30545917" w14:textId="233212C9" w:rsidR="00E41944" w:rsidRPr="007F18FC" w:rsidRDefault="00E41944" w:rsidP="00E41944">
      <w:pPr>
        <w:pStyle w:val="FootnoteText"/>
        <w:rPr>
          <w:szCs w:val="22"/>
        </w:rPr>
      </w:pPr>
      <w:proofErr w:type="spellStart"/>
      <w:r w:rsidRPr="007F18FC">
        <w:rPr>
          <w:szCs w:val="22"/>
        </w:rPr>
        <w:t>Breternitz</w:t>
      </w:r>
      <w:proofErr w:type="spellEnd"/>
      <w:r w:rsidRPr="007F18FC">
        <w:rPr>
          <w:szCs w:val="22"/>
        </w:rPr>
        <w:t xml:space="preserve">, David, Arthur H. </w:t>
      </w:r>
      <w:proofErr w:type="spellStart"/>
      <w:r w:rsidRPr="007F18FC">
        <w:rPr>
          <w:szCs w:val="22"/>
        </w:rPr>
        <w:t>Rohn</w:t>
      </w:r>
      <w:proofErr w:type="spellEnd"/>
      <w:r w:rsidRPr="007F18FC">
        <w:rPr>
          <w:szCs w:val="22"/>
        </w:rPr>
        <w:t xml:space="preserve">, and Elizabeth A. Morris, ‘Prehistoric Ceramics of the Mesa Verde Region.’, </w:t>
      </w:r>
      <w:r w:rsidRPr="007F18FC">
        <w:rPr>
          <w:i/>
          <w:iCs/>
          <w:szCs w:val="22"/>
        </w:rPr>
        <w:t xml:space="preserve">Museum of Northern Arizona Ceramics Series, </w:t>
      </w:r>
      <w:r w:rsidRPr="007F18FC">
        <w:rPr>
          <w:szCs w:val="22"/>
        </w:rPr>
        <w:t xml:space="preserve">No. 5 (Flagstaff: Museum of Northern Arizona, 1974) cited in Pierson, </w:t>
      </w:r>
      <w:r w:rsidRPr="007F18FC">
        <w:rPr>
          <w:i/>
          <w:iCs/>
          <w:szCs w:val="22"/>
        </w:rPr>
        <w:t xml:space="preserve">East Central, </w:t>
      </w:r>
      <w:r w:rsidRPr="007F18FC">
        <w:rPr>
          <w:szCs w:val="22"/>
        </w:rPr>
        <w:t>p. 62.</w:t>
      </w:r>
    </w:p>
    <w:p w14:paraId="53077811" w14:textId="60961637" w:rsidR="002F6A17" w:rsidRPr="007F18FC" w:rsidRDefault="002F6A17" w:rsidP="00E41944">
      <w:pPr>
        <w:pStyle w:val="FootnoteText"/>
        <w:rPr>
          <w:szCs w:val="22"/>
        </w:rPr>
      </w:pPr>
    </w:p>
    <w:p w14:paraId="58B3C241" w14:textId="77777777" w:rsidR="00522EF7" w:rsidRPr="007F18FC" w:rsidRDefault="00522EF7" w:rsidP="00522EF7">
      <w:pPr>
        <w:pStyle w:val="FootnoteText"/>
        <w:rPr>
          <w:szCs w:val="22"/>
        </w:rPr>
      </w:pPr>
      <w:r w:rsidRPr="007F18FC">
        <w:rPr>
          <w:szCs w:val="22"/>
        </w:rPr>
        <w:t xml:space="preserve">Carroll, Alex K., M. Nieves </w:t>
      </w:r>
      <w:proofErr w:type="spellStart"/>
      <w:r w:rsidRPr="007F18FC">
        <w:rPr>
          <w:szCs w:val="22"/>
        </w:rPr>
        <w:t>Zedeño</w:t>
      </w:r>
      <w:proofErr w:type="spellEnd"/>
      <w:r w:rsidRPr="007F18FC">
        <w:rPr>
          <w:szCs w:val="22"/>
        </w:rPr>
        <w:t xml:space="preserve"> and Richard W. </w:t>
      </w:r>
      <w:proofErr w:type="spellStart"/>
      <w:r w:rsidRPr="007F18FC">
        <w:rPr>
          <w:szCs w:val="22"/>
        </w:rPr>
        <w:t>Stoffle</w:t>
      </w:r>
      <w:proofErr w:type="spellEnd"/>
      <w:r w:rsidRPr="007F18FC">
        <w:rPr>
          <w:szCs w:val="22"/>
        </w:rPr>
        <w:t xml:space="preserve">, ‘Landscapes of the Ghost Dance: A Cartography of Numic Ritual’, </w:t>
      </w:r>
      <w:r w:rsidRPr="007F18FC">
        <w:rPr>
          <w:i/>
          <w:iCs/>
          <w:szCs w:val="22"/>
        </w:rPr>
        <w:t>Journal of Archaeological Method and Theory</w:t>
      </w:r>
      <w:r w:rsidRPr="007F18FC">
        <w:rPr>
          <w:szCs w:val="22"/>
        </w:rPr>
        <w:t>, Vol. 11, No. 2,</w:t>
      </w:r>
    </w:p>
    <w:p w14:paraId="5AA074F5" w14:textId="67D50CE5" w:rsidR="00522EF7" w:rsidRPr="007F18FC" w:rsidRDefault="00522EF7" w:rsidP="00522EF7">
      <w:pPr>
        <w:rPr>
          <w:sz w:val="22"/>
          <w:szCs w:val="22"/>
        </w:rPr>
      </w:pPr>
      <w:r w:rsidRPr="007F18FC">
        <w:rPr>
          <w:sz w:val="22"/>
          <w:szCs w:val="22"/>
        </w:rPr>
        <w:t>Recent Advances in the Archaeology of Place, Part 2 (Jun. 2004), pp. 127-156.</w:t>
      </w:r>
    </w:p>
    <w:p w14:paraId="23F58CB3" w14:textId="63B9668F" w:rsidR="002F6A17" w:rsidRPr="007F18FC" w:rsidRDefault="002F6A17" w:rsidP="002F6A17">
      <w:pPr>
        <w:pStyle w:val="FootnoteText"/>
        <w:rPr>
          <w:szCs w:val="22"/>
        </w:rPr>
      </w:pPr>
      <w:r w:rsidRPr="007F18FC">
        <w:rPr>
          <w:color w:val="000000"/>
          <w:spacing w:val="-5"/>
          <w:szCs w:val="22"/>
          <w:shd w:val="clear" w:color="auto" w:fill="FFFFFF"/>
        </w:rPr>
        <w:t xml:space="preserve">Castleton, Kenneth B., </w:t>
      </w:r>
      <w:r w:rsidRPr="007F18FC">
        <w:rPr>
          <w:i/>
          <w:iCs/>
          <w:color w:val="000000"/>
          <w:spacing w:val="-5"/>
          <w:szCs w:val="22"/>
          <w:shd w:val="clear" w:color="auto" w:fill="FFFFFF"/>
        </w:rPr>
        <w:t>Petroglyphs and Pictographs of Utah</w:t>
      </w:r>
      <w:r w:rsidRPr="007F18FC">
        <w:rPr>
          <w:color w:val="000000"/>
          <w:spacing w:val="-5"/>
          <w:szCs w:val="22"/>
          <w:shd w:val="clear" w:color="auto" w:fill="FFFFFF"/>
        </w:rPr>
        <w:t xml:space="preserve">, </w:t>
      </w:r>
      <w:r w:rsidRPr="007F18FC">
        <w:rPr>
          <w:i/>
          <w:iCs/>
          <w:color w:val="000000"/>
          <w:spacing w:val="-5"/>
          <w:szCs w:val="22"/>
          <w:shd w:val="clear" w:color="auto" w:fill="FFFFFF"/>
        </w:rPr>
        <w:t xml:space="preserve">Vol. Two </w:t>
      </w:r>
      <w:r w:rsidRPr="007F18FC">
        <w:rPr>
          <w:color w:val="000000"/>
          <w:spacing w:val="-5"/>
          <w:szCs w:val="22"/>
          <w:shd w:val="clear" w:color="auto" w:fill="FFFFFF"/>
        </w:rPr>
        <w:t>(Salt Lake City: Museum of Natural History, 1979)</w:t>
      </w:r>
    </w:p>
    <w:p w14:paraId="2EEA8D1D" w14:textId="77777777" w:rsidR="00E41944" w:rsidRPr="007F18FC" w:rsidRDefault="00E41944" w:rsidP="00E41944">
      <w:pPr>
        <w:spacing w:after="0" w:line="240" w:lineRule="auto"/>
        <w:rPr>
          <w:sz w:val="22"/>
          <w:szCs w:val="22"/>
        </w:rPr>
      </w:pPr>
    </w:p>
    <w:p w14:paraId="77346F7E" w14:textId="593D816E" w:rsidR="00E41944" w:rsidRDefault="00E41944" w:rsidP="00E41944">
      <w:pPr>
        <w:pStyle w:val="FootnoteText"/>
        <w:rPr>
          <w:szCs w:val="22"/>
        </w:rPr>
      </w:pPr>
      <w:r w:rsidRPr="007F18FC">
        <w:rPr>
          <w:szCs w:val="22"/>
        </w:rPr>
        <w:lastRenderedPageBreak/>
        <w:t xml:space="preserve">Charles, Mona C., and Sally J. Cole, ‘Chronology and Cultural Variation in </w:t>
      </w:r>
      <w:proofErr w:type="spellStart"/>
      <w:r w:rsidRPr="007F18FC">
        <w:rPr>
          <w:szCs w:val="22"/>
        </w:rPr>
        <w:t>Basketmaker</w:t>
      </w:r>
      <w:proofErr w:type="spellEnd"/>
      <w:r w:rsidRPr="007F18FC">
        <w:rPr>
          <w:szCs w:val="22"/>
        </w:rPr>
        <w:t xml:space="preserve"> II’, </w:t>
      </w:r>
      <w:r w:rsidRPr="007F18FC">
        <w:rPr>
          <w:i/>
          <w:iCs/>
          <w:szCs w:val="22"/>
        </w:rPr>
        <w:t>Kiva</w:t>
      </w:r>
      <w:r w:rsidRPr="007F18FC">
        <w:rPr>
          <w:szCs w:val="22"/>
        </w:rPr>
        <w:t xml:space="preserve">, Vol. 72, No. 2, Symposium: </w:t>
      </w:r>
      <w:proofErr w:type="spellStart"/>
      <w:r w:rsidRPr="007F18FC">
        <w:rPr>
          <w:szCs w:val="22"/>
        </w:rPr>
        <w:t>Basketmaker</w:t>
      </w:r>
      <w:proofErr w:type="spellEnd"/>
      <w:r w:rsidRPr="007F18FC">
        <w:rPr>
          <w:szCs w:val="22"/>
        </w:rPr>
        <w:t xml:space="preserve"> II: A View from the Colorado Plateau (Winter, 2006), pp. 167-216.  </w:t>
      </w:r>
    </w:p>
    <w:p w14:paraId="279B2C22" w14:textId="06F8DFA9" w:rsidR="00D46A2E" w:rsidRDefault="00D46A2E" w:rsidP="00E41944">
      <w:pPr>
        <w:pStyle w:val="FootnoteText"/>
        <w:rPr>
          <w:szCs w:val="22"/>
        </w:rPr>
      </w:pPr>
    </w:p>
    <w:p w14:paraId="2D7DC5D6" w14:textId="6DDBE12D" w:rsidR="00431CD6" w:rsidRDefault="00D46A2E" w:rsidP="00431CD6">
      <w:pPr>
        <w:pStyle w:val="FootnoteText"/>
      </w:pPr>
      <w:proofErr w:type="spellStart"/>
      <w:r>
        <w:t>Chérieau</w:t>
      </w:r>
      <w:proofErr w:type="spellEnd"/>
      <w:r>
        <w:t xml:space="preserve">, Fabien, </w:t>
      </w:r>
      <w:proofErr w:type="spellStart"/>
      <w:r>
        <w:t>Stellarium</w:t>
      </w:r>
      <w:proofErr w:type="spellEnd"/>
      <w:r>
        <w:t xml:space="preserve"> v. 01.21.1, 2001, Linux, Windows, MacOS.</w:t>
      </w:r>
      <w:r w:rsidR="00431CD6" w:rsidRPr="00431CD6">
        <w:t xml:space="preserve"> </w:t>
      </w:r>
      <w:hyperlink r:id="rId37" w:history="1">
        <w:r w:rsidR="00431CD6" w:rsidRPr="007B0262">
          <w:rPr>
            <w:rStyle w:val="Hyperlink"/>
          </w:rPr>
          <w:t>https://stellarium.org/release/2021/06/24/stellarium-0.21.1.html</w:t>
        </w:r>
      </w:hyperlink>
    </w:p>
    <w:p w14:paraId="14A8F891" w14:textId="4D1B807A" w:rsidR="00D46A2E" w:rsidRPr="007F18FC" w:rsidRDefault="00D46A2E" w:rsidP="00E41944">
      <w:pPr>
        <w:pStyle w:val="FootnoteText"/>
        <w:rPr>
          <w:szCs w:val="22"/>
        </w:rPr>
      </w:pPr>
    </w:p>
    <w:p w14:paraId="4F037B4F" w14:textId="616A3AA3" w:rsidR="00E41944" w:rsidRPr="007F18FC" w:rsidRDefault="00E41944" w:rsidP="00E41944">
      <w:pPr>
        <w:pStyle w:val="FootnoteText"/>
        <w:rPr>
          <w:szCs w:val="22"/>
        </w:rPr>
      </w:pPr>
      <w:proofErr w:type="spellStart"/>
      <w:r w:rsidRPr="007F18FC">
        <w:rPr>
          <w:szCs w:val="22"/>
        </w:rPr>
        <w:t>Chidester</w:t>
      </w:r>
      <w:proofErr w:type="spellEnd"/>
      <w:r w:rsidRPr="007F18FC">
        <w:rPr>
          <w:szCs w:val="22"/>
        </w:rPr>
        <w:t xml:space="preserve">, David, ‘Animism’ in </w:t>
      </w:r>
      <w:r w:rsidRPr="007F18FC">
        <w:rPr>
          <w:i/>
          <w:iCs/>
          <w:szCs w:val="22"/>
        </w:rPr>
        <w:t>Religion: Material Dynamics</w:t>
      </w:r>
      <w:r w:rsidRPr="007F18FC">
        <w:rPr>
          <w:szCs w:val="22"/>
        </w:rPr>
        <w:t xml:space="preserve"> (Oakland: University of California Press, 2018), pp. 23</w:t>
      </w:r>
      <w:r w:rsidR="002F6A17" w:rsidRPr="007F18FC">
        <w:rPr>
          <w:szCs w:val="22"/>
        </w:rPr>
        <w:t>-</w:t>
      </w:r>
      <w:r w:rsidRPr="007F18FC">
        <w:rPr>
          <w:szCs w:val="22"/>
        </w:rPr>
        <w:t>29.</w:t>
      </w:r>
    </w:p>
    <w:p w14:paraId="539E6F7F" w14:textId="77777777" w:rsidR="00E41944" w:rsidRPr="007F18FC" w:rsidRDefault="00E41944" w:rsidP="00E41944">
      <w:pPr>
        <w:spacing w:after="0" w:line="240" w:lineRule="auto"/>
        <w:rPr>
          <w:sz w:val="22"/>
          <w:szCs w:val="22"/>
        </w:rPr>
      </w:pPr>
    </w:p>
    <w:p w14:paraId="165CFE0B" w14:textId="467BB5D1" w:rsidR="007A1CD8" w:rsidRPr="007A1CD8" w:rsidRDefault="007A1CD8" w:rsidP="00E41944">
      <w:pPr>
        <w:spacing w:after="0" w:line="240" w:lineRule="auto"/>
        <w:rPr>
          <w:sz w:val="22"/>
          <w:szCs w:val="22"/>
        </w:rPr>
      </w:pPr>
      <w:r w:rsidRPr="007A1CD8">
        <w:rPr>
          <w:sz w:val="22"/>
          <w:szCs w:val="22"/>
        </w:rPr>
        <w:t>Childe</w:t>
      </w:r>
      <w:r>
        <w:rPr>
          <w:sz w:val="22"/>
          <w:szCs w:val="22"/>
        </w:rPr>
        <w:t>,</w:t>
      </w:r>
      <w:r w:rsidRPr="007A1CD8">
        <w:rPr>
          <w:sz w:val="22"/>
          <w:szCs w:val="22"/>
        </w:rPr>
        <w:t xml:space="preserve"> V. G., ‘The Birth of </w:t>
      </w:r>
      <w:proofErr w:type="spellStart"/>
      <w:r w:rsidRPr="007A1CD8">
        <w:rPr>
          <w:sz w:val="22"/>
          <w:szCs w:val="22"/>
        </w:rPr>
        <w:t>Civilisation</w:t>
      </w:r>
      <w:proofErr w:type="spellEnd"/>
      <w:r w:rsidRPr="007A1CD8">
        <w:rPr>
          <w:sz w:val="22"/>
          <w:szCs w:val="22"/>
        </w:rPr>
        <w:t xml:space="preserve">’ </w:t>
      </w:r>
      <w:r w:rsidRPr="007A1CD8">
        <w:rPr>
          <w:i/>
          <w:iCs/>
          <w:sz w:val="22"/>
          <w:szCs w:val="22"/>
        </w:rPr>
        <w:t>Past &amp; Present</w:t>
      </w:r>
      <w:r w:rsidRPr="007A1CD8">
        <w:rPr>
          <w:sz w:val="22"/>
          <w:szCs w:val="22"/>
        </w:rPr>
        <w:t>, No. 2 (Nov. 1952), pp. 1-10.</w:t>
      </w:r>
    </w:p>
    <w:p w14:paraId="4A148B1E" w14:textId="77777777" w:rsidR="007A1CD8" w:rsidRDefault="007A1CD8" w:rsidP="00E41944">
      <w:pPr>
        <w:spacing w:after="0" w:line="240" w:lineRule="auto"/>
      </w:pPr>
    </w:p>
    <w:p w14:paraId="00284743" w14:textId="088AA625" w:rsidR="00E41944" w:rsidRPr="007F18FC" w:rsidRDefault="00E41944" w:rsidP="00E41944">
      <w:pPr>
        <w:spacing w:after="0" w:line="240" w:lineRule="auto"/>
        <w:rPr>
          <w:sz w:val="22"/>
          <w:szCs w:val="22"/>
        </w:rPr>
      </w:pPr>
      <w:r w:rsidRPr="007F18FC">
        <w:rPr>
          <w:sz w:val="22"/>
          <w:szCs w:val="22"/>
        </w:rPr>
        <w:t xml:space="preserve">Cole, Sally J., </w:t>
      </w:r>
      <w:r w:rsidRPr="007F18FC">
        <w:rPr>
          <w:i/>
          <w:iCs/>
          <w:sz w:val="22"/>
          <w:szCs w:val="22"/>
        </w:rPr>
        <w:t>Legacy on Stone: Rock Art of the Colorado Plateau and Four Corners Region, Revised and Updated</w:t>
      </w:r>
      <w:r w:rsidRPr="007F18FC">
        <w:rPr>
          <w:sz w:val="22"/>
          <w:szCs w:val="22"/>
        </w:rPr>
        <w:t xml:space="preserve"> (Boulder: Johnson Books, 2009)</w:t>
      </w:r>
    </w:p>
    <w:p w14:paraId="24428CF0" w14:textId="77777777" w:rsidR="00E41944" w:rsidRPr="007F18FC" w:rsidRDefault="00E41944" w:rsidP="00E41944">
      <w:pPr>
        <w:spacing w:after="0" w:line="240" w:lineRule="auto"/>
        <w:rPr>
          <w:sz w:val="22"/>
          <w:szCs w:val="22"/>
        </w:rPr>
      </w:pPr>
    </w:p>
    <w:p w14:paraId="2825A47D" w14:textId="77777777" w:rsidR="00E41944" w:rsidRPr="007F18FC" w:rsidRDefault="00E41944" w:rsidP="00E41944">
      <w:pPr>
        <w:spacing w:after="0" w:line="240" w:lineRule="auto"/>
        <w:rPr>
          <w:sz w:val="22"/>
          <w:szCs w:val="22"/>
        </w:rPr>
      </w:pPr>
      <w:r w:rsidRPr="007F18FC">
        <w:rPr>
          <w:sz w:val="22"/>
          <w:szCs w:val="22"/>
        </w:rPr>
        <w:t xml:space="preserve">Condit, Tom and Gabriel Cooney, ‘Heritage Guide No. 8: Newgrange, Co. </w:t>
      </w:r>
      <w:proofErr w:type="spellStart"/>
      <w:r w:rsidRPr="007F18FC">
        <w:rPr>
          <w:sz w:val="22"/>
          <w:szCs w:val="22"/>
        </w:rPr>
        <w:t>Meath</w:t>
      </w:r>
      <w:proofErr w:type="spellEnd"/>
      <w:r w:rsidRPr="007F18FC">
        <w:rPr>
          <w:sz w:val="22"/>
          <w:szCs w:val="22"/>
        </w:rPr>
        <w:t xml:space="preserve">: Neolithic religion and the mid-winter sunrise’, </w:t>
      </w:r>
      <w:r w:rsidRPr="007F18FC">
        <w:rPr>
          <w:i/>
          <w:iCs/>
          <w:sz w:val="22"/>
          <w:szCs w:val="22"/>
        </w:rPr>
        <w:t xml:space="preserve">Archaeology Ireland, </w:t>
      </w:r>
      <w:r w:rsidRPr="007F18FC">
        <w:rPr>
          <w:sz w:val="22"/>
          <w:szCs w:val="22"/>
        </w:rPr>
        <w:t>November (1999)</w:t>
      </w:r>
    </w:p>
    <w:p w14:paraId="47241458" w14:textId="77777777" w:rsidR="00E41944" w:rsidRPr="007F18FC" w:rsidRDefault="00E41944" w:rsidP="00E41944">
      <w:pPr>
        <w:pStyle w:val="FootnoteText"/>
        <w:rPr>
          <w:szCs w:val="22"/>
        </w:rPr>
      </w:pPr>
    </w:p>
    <w:p w14:paraId="4E2D5201" w14:textId="4DDCD912" w:rsidR="00E41944" w:rsidRDefault="00E41944" w:rsidP="00E41944">
      <w:pPr>
        <w:spacing w:after="0" w:line="240" w:lineRule="auto"/>
        <w:rPr>
          <w:sz w:val="22"/>
          <w:szCs w:val="22"/>
        </w:rPr>
      </w:pPr>
      <w:r w:rsidRPr="007F18FC">
        <w:rPr>
          <w:sz w:val="22"/>
          <w:szCs w:val="22"/>
        </w:rPr>
        <w:t xml:space="preserve">Cousins, Emily, ‘Mountains Made Alive: Native American Relationships with Sacred Land’ </w:t>
      </w:r>
      <w:proofErr w:type="spellStart"/>
      <w:r w:rsidRPr="007F18FC">
        <w:rPr>
          <w:i/>
          <w:iCs/>
          <w:sz w:val="22"/>
          <w:szCs w:val="22"/>
        </w:rPr>
        <w:t>CrossCurrents</w:t>
      </w:r>
      <w:proofErr w:type="spellEnd"/>
      <w:r w:rsidRPr="007F18FC">
        <w:rPr>
          <w:sz w:val="22"/>
          <w:szCs w:val="22"/>
        </w:rPr>
        <w:t>, Vol. 46, No. 4, Spiritualities in a Post-Einsteinian Universe, (Winter 1996/1997), pp. 497-509.</w:t>
      </w:r>
    </w:p>
    <w:p w14:paraId="2C806414" w14:textId="77777777" w:rsidR="00D46A2E" w:rsidRDefault="00D46A2E" w:rsidP="00E41944">
      <w:pPr>
        <w:spacing w:after="0" w:line="240" w:lineRule="auto"/>
        <w:rPr>
          <w:sz w:val="22"/>
          <w:szCs w:val="22"/>
        </w:rPr>
      </w:pPr>
    </w:p>
    <w:p w14:paraId="42B0E4A9" w14:textId="36E02F17" w:rsidR="00457C9A" w:rsidRPr="00457C9A" w:rsidRDefault="00457C9A" w:rsidP="00E41944">
      <w:pPr>
        <w:spacing w:after="0" w:line="240" w:lineRule="auto"/>
        <w:rPr>
          <w:sz w:val="22"/>
          <w:szCs w:val="22"/>
        </w:rPr>
      </w:pPr>
      <w:proofErr w:type="spellStart"/>
      <w:r w:rsidRPr="00457C9A">
        <w:rPr>
          <w:sz w:val="22"/>
          <w:szCs w:val="22"/>
        </w:rPr>
        <w:t>Darvill</w:t>
      </w:r>
      <w:proofErr w:type="spellEnd"/>
      <w:r>
        <w:rPr>
          <w:sz w:val="22"/>
          <w:szCs w:val="22"/>
        </w:rPr>
        <w:t>,</w:t>
      </w:r>
      <w:r w:rsidRPr="00457C9A">
        <w:rPr>
          <w:sz w:val="22"/>
          <w:szCs w:val="22"/>
        </w:rPr>
        <w:t xml:space="preserve"> Timothy, ‘Afterword: Dances Beneath a Diamond Sky’, in </w:t>
      </w:r>
      <w:r w:rsidRPr="00457C9A">
        <w:rPr>
          <w:i/>
          <w:iCs/>
          <w:sz w:val="22"/>
          <w:szCs w:val="22"/>
        </w:rPr>
        <w:t>Skyscapes: The Role and Importance of the Sky in Archaeology</w:t>
      </w:r>
      <w:r w:rsidRPr="00457C9A">
        <w:rPr>
          <w:sz w:val="22"/>
          <w:szCs w:val="22"/>
        </w:rPr>
        <w:t>, ed. by Fabio Silva and Nicholas Campion (Oxford: Oxbow Books, 2015), pp. 140-148.</w:t>
      </w:r>
    </w:p>
    <w:p w14:paraId="502803FF" w14:textId="77777777" w:rsidR="00E41944" w:rsidRPr="007F18FC" w:rsidRDefault="00E41944" w:rsidP="00E41944">
      <w:pPr>
        <w:pStyle w:val="FootnoteText"/>
        <w:rPr>
          <w:szCs w:val="22"/>
        </w:rPr>
      </w:pPr>
    </w:p>
    <w:p w14:paraId="2A2E3A5C" w14:textId="77777777" w:rsidR="00E41944" w:rsidRPr="007F18FC" w:rsidRDefault="00E41944" w:rsidP="00E41944">
      <w:pPr>
        <w:pStyle w:val="FootnoteText"/>
        <w:rPr>
          <w:szCs w:val="22"/>
        </w:rPr>
      </w:pPr>
      <w:proofErr w:type="spellStart"/>
      <w:r w:rsidRPr="007F18FC">
        <w:rPr>
          <w:szCs w:val="22"/>
        </w:rPr>
        <w:t>Dìaz</w:t>
      </w:r>
      <w:proofErr w:type="spellEnd"/>
      <w:r w:rsidRPr="007F18FC">
        <w:rPr>
          <w:szCs w:val="22"/>
        </w:rPr>
        <w:t xml:space="preserve">-Andreu, Margarita, Angelo Farina, Enrico </w:t>
      </w:r>
      <w:proofErr w:type="spellStart"/>
      <w:r w:rsidRPr="007F18FC">
        <w:rPr>
          <w:szCs w:val="22"/>
        </w:rPr>
        <w:t>Armelloni</w:t>
      </w:r>
      <w:proofErr w:type="spellEnd"/>
      <w:r w:rsidRPr="007F18FC">
        <w:rPr>
          <w:szCs w:val="22"/>
        </w:rPr>
        <w:t xml:space="preserve">, Laura </w:t>
      </w:r>
      <w:proofErr w:type="spellStart"/>
      <w:r w:rsidRPr="007F18FC">
        <w:rPr>
          <w:szCs w:val="22"/>
        </w:rPr>
        <w:t>Coltofean</w:t>
      </w:r>
      <w:proofErr w:type="spellEnd"/>
      <w:r w:rsidRPr="007F18FC">
        <w:rPr>
          <w:szCs w:val="22"/>
        </w:rPr>
        <w:t xml:space="preserve">, Mathieu Picas and Tommaso Mattioli, ‘Acoustic effects at prehistoric landscapes: an </w:t>
      </w:r>
      <w:proofErr w:type="spellStart"/>
      <w:r w:rsidRPr="007F18FC">
        <w:rPr>
          <w:szCs w:val="22"/>
        </w:rPr>
        <w:t>archaeoacoustics</w:t>
      </w:r>
      <w:proofErr w:type="spellEnd"/>
      <w:r w:rsidRPr="007F18FC">
        <w:rPr>
          <w:szCs w:val="22"/>
        </w:rPr>
        <w:t xml:space="preserve"> analysis of rock art sites from the Western Mediterranean’, </w:t>
      </w:r>
      <w:r w:rsidRPr="007F18FC">
        <w:rPr>
          <w:i/>
          <w:iCs/>
          <w:szCs w:val="22"/>
        </w:rPr>
        <w:t>Proceedings of the 23</w:t>
      </w:r>
      <w:r w:rsidRPr="007F18FC">
        <w:rPr>
          <w:i/>
          <w:iCs/>
          <w:szCs w:val="22"/>
          <w:vertAlign w:val="superscript"/>
        </w:rPr>
        <w:t>rd</w:t>
      </w:r>
      <w:r w:rsidRPr="007F18FC">
        <w:rPr>
          <w:i/>
          <w:iCs/>
          <w:szCs w:val="22"/>
        </w:rPr>
        <w:t xml:space="preserve"> International Congress on Acoustics, </w:t>
      </w:r>
      <w:r w:rsidRPr="007F18FC">
        <w:rPr>
          <w:szCs w:val="22"/>
        </w:rPr>
        <w:t>(Sept. 2019), pp. 281-287.</w:t>
      </w:r>
    </w:p>
    <w:p w14:paraId="4A81A467" w14:textId="77777777" w:rsidR="00E41944" w:rsidRPr="007F18FC" w:rsidRDefault="00E41944" w:rsidP="00E41944">
      <w:pPr>
        <w:spacing w:after="0" w:line="240" w:lineRule="auto"/>
        <w:rPr>
          <w:sz w:val="22"/>
          <w:szCs w:val="22"/>
        </w:rPr>
      </w:pPr>
    </w:p>
    <w:p w14:paraId="6A8CDA1C" w14:textId="77777777" w:rsidR="00E41944" w:rsidRPr="007F18FC" w:rsidRDefault="00E41944" w:rsidP="00E41944">
      <w:pPr>
        <w:pStyle w:val="FootnoteText"/>
        <w:rPr>
          <w:szCs w:val="22"/>
        </w:rPr>
      </w:pPr>
      <w:proofErr w:type="spellStart"/>
      <w:r w:rsidRPr="007F18FC">
        <w:rPr>
          <w:szCs w:val="22"/>
        </w:rPr>
        <w:t>Doelling</w:t>
      </w:r>
      <w:proofErr w:type="spellEnd"/>
      <w:r w:rsidRPr="007F18FC">
        <w:rPr>
          <w:szCs w:val="22"/>
        </w:rPr>
        <w:t xml:space="preserve">, </w:t>
      </w:r>
      <w:proofErr w:type="spellStart"/>
      <w:r w:rsidRPr="007F18FC">
        <w:rPr>
          <w:szCs w:val="22"/>
        </w:rPr>
        <w:t>Hellmut</w:t>
      </w:r>
      <w:proofErr w:type="spellEnd"/>
      <w:r w:rsidRPr="007F18FC">
        <w:rPr>
          <w:szCs w:val="22"/>
        </w:rPr>
        <w:t xml:space="preserve"> H., </w:t>
      </w:r>
      <w:r w:rsidRPr="007F18FC">
        <w:rPr>
          <w:i/>
          <w:iCs/>
          <w:szCs w:val="22"/>
        </w:rPr>
        <w:t>The Geology of Arches National Park: To Accompany Map 74</w:t>
      </w:r>
      <w:r w:rsidRPr="007F18FC">
        <w:rPr>
          <w:szCs w:val="22"/>
        </w:rPr>
        <w:t xml:space="preserve"> (Salt Lake City: Utah Geological and Mineral Survey, 1985)</w:t>
      </w:r>
    </w:p>
    <w:p w14:paraId="38984415" w14:textId="77777777" w:rsidR="00E41944" w:rsidRPr="007F18FC" w:rsidRDefault="00E41944" w:rsidP="00E41944">
      <w:pPr>
        <w:pStyle w:val="FootnoteText"/>
        <w:rPr>
          <w:szCs w:val="22"/>
        </w:rPr>
      </w:pPr>
    </w:p>
    <w:p w14:paraId="4478A049" w14:textId="77777777" w:rsidR="00E41944" w:rsidRPr="007F18FC" w:rsidRDefault="00E41944" w:rsidP="00E41944">
      <w:pPr>
        <w:pStyle w:val="FootnoteText"/>
        <w:rPr>
          <w:szCs w:val="22"/>
        </w:rPr>
      </w:pPr>
      <w:proofErr w:type="spellStart"/>
      <w:r w:rsidRPr="007F18FC">
        <w:rPr>
          <w:szCs w:val="22"/>
        </w:rPr>
        <w:t>Doxtater</w:t>
      </w:r>
      <w:proofErr w:type="spellEnd"/>
      <w:r w:rsidRPr="007F18FC">
        <w:rPr>
          <w:szCs w:val="22"/>
        </w:rPr>
        <w:t xml:space="preserve">, Dennis, ‘A Hypothetical Layout of Chaco Canyon Structures via Large-Scale Alignments between Significant Natural Features’, </w:t>
      </w:r>
      <w:r w:rsidRPr="007F18FC">
        <w:rPr>
          <w:i/>
          <w:iCs/>
          <w:szCs w:val="22"/>
        </w:rPr>
        <w:t>Kiva</w:t>
      </w:r>
      <w:r w:rsidRPr="007F18FC">
        <w:rPr>
          <w:szCs w:val="22"/>
        </w:rPr>
        <w:t>, Vol. 68, No. 1 (Fall, 2002), pp. 23-47.</w:t>
      </w:r>
    </w:p>
    <w:p w14:paraId="62A9F55F" w14:textId="77777777" w:rsidR="00E41944" w:rsidRPr="007F18FC" w:rsidRDefault="00E41944" w:rsidP="00E41944">
      <w:pPr>
        <w:pStyle w:val="FootnoteText"/>
        <w:rPr>
          <w:szCs w:val="22"/>
        </w:rPr>
      </w:pPr>
    </w:p>
    <w:p w14:paraId="0DAAEA6B" w14:textId="50C46ECD" w:rsidR="00D35CE4" w:rsidRPr="007F18FC" w:rsidRDefault="00D35CE4" w:rsidP="00D35CE4">
      <w:pPr>
        <w:pStyle w:val="FootnoteText"/>
        <w:rPr>
          <w:szCs w:val="22"/>
        </w:rPr>
      </w:pPr>
      <w:r w:rsidRPr="007F18FC">
        <w:rPr>
          <w:szCs w:val="22"/>
        </w:rPr>
        <w:t xml:space="preserve">Durand, Kathy </w:t>
      </w:r>
      <w:proofErr w:type="spellStart"/>
      <w:r w:rsidRPr="007F18FC">
        <w:rPr>
          <w:szCs w:val="22"/>
        </w:rPr>
        <w:t>Roler</w:t>
      </w:r>
      <w:proofErr w:type="spellEnd"/>
      <w:r w:rsidRPr="007F18FC">
        <w:rPr>
          <w:szCs w:val="22"/>
        </w:rPr>
        <w:t xml:space="preserve">, ‘Function of Chaco-Era Great Houses’, </w:t>
      </w:r>
      <w:r w:rsidRPr="007F18FC">
        <w:rPr>
          <w:i/>
          <w:iCs/>
          <w:szCs w:val="22"/>
        </w:rPr>
        <w:t>Kiva</w:t>
      </w:r>
      <w:r w:rsidRPr="007F18FC">
        <w:rPr>
          <w:szCs w:val="22"/>
        </w:rPr>
        <w:t>, Vol. 69, No. 2, The Chaco World (Winter, 2003), pp. 141-169.</w:t>
      </w:r>
    </w:p>
    <w:p w14:paraId="1ADB8E3C" w14:textId="73EC4C84" w:rsidR="006A68CE" w:rsidRPr="007F18FC" w:rsidRDefault="006A68CE" w:rsidP="00D35CE4">
      <w:pPr>
        <w:pStyle w:val="FootnoteText"/>
        <w:rPr>
          <w:szCs w:val="22"/>
        </w:rPr>
      </w:pPr>
    </w:p>
    <w:p w14:paraId="4B40510C" w14:textId="43D001A2" w:rsidR="006A68CE" w:rsidRPr="007F18FC" w:rsidRDefault="00471127" w:rsidP="00D35CE4">
      <w:pPr>
        <w:pStyle w:val="FootnoteText"/>
        <w:rPr>
          <w:szCs w:val="22"/>
        </w:rPr>
      </w:pPr>
      <w:r w:rsidRPr="007F18FC">
        <w:rPr>
          <w:szCs w:val="22"/>
        </w:rPr>
        <w:t xml:space="preserve">Eliade, </w:t>
      </w:r>
      <w:r w:rsidR="00D46A2E" w:rsidRPr="007F18FC">
        <w:rPr>
          <w:szCs w:val="22"/>
        </w:rPr>
        <w:t xml:space="preserve">Mircea, </w:t>
      </w:r>
      <w:r w:rsidR="006A68CE" w:rsidRPr="007F18FC">
        <w:rPr>
          <w:i/>
          <w:iCs/>
          <w:szCs w:val="22"/>
        </w:rPr>
        <w:t>The Sacred and the Profane: The Nature of Religion</w:t>
      </w:r>
      <w:r w:rsidR="006A68CE" w:rsidRPr="007F18FC">
        <w:rPr>
          <w:szCs w:val="22"/>
        </w:rPr>
        <w:t>, trans. by Willard R. Trask (New</w:t>
      </w:r>
      <w:r w:rsidR="00D46A2E">
        <w:rPr>
          <w:szCs w:val="22"/>
        </w:rPr>
        <w:t xml:space="preserve"> </w:t>
      </w:r>
      <w:r w:rsidR="006A68CE" w:rsidRPr="007F18FC">
        <w:rPr>
          <w:szCs w:val="22"/>
        </w:rPr>
        <w:t>York: Harcourt, Brace and world, Inc., 1957)</w:t>
      </w:r>
    </w:p>
    <w:p w14:paraId="040C1EFA" w14:textId="600D16E3" w:rsidR="006A46F2" w:rsidRPr="007F18FC" w:rsidRDefault="006A46F2" w:rsidP="00D35CE4">
      <w:pPr>
        <w:pStyle w:val="FootnoteText"/>
        <w:rPr>
          <w:szCs w:val="22"/>
        </w:rPr>
      </w:pPr>
    </w:p>
    <w:p w14:paraId="7206DAEC" w14:textId="114D8F5B" w:rsidR="006A46F2" w:rsidRPr="007F18FC" w:rsidRDefault="006A46F2" w:rsidP="006A46F2">
      <w:pPr>
        <w:pStyle w:val="FootnoteText"/>
        <w:rPr>
          <w:szCs w:val="22"/>
        </w:rPr>
      </w:pPr>
      <w:r w:rsidRPr="007F18FC">
        <w:rPr>
          <w:szCs w:val="22"/>
        </w:rPr>
        <w:t xml:space="preserve">Eliade, Mircea, </w:t>
      </w:r>
      <w:r w:rsidRPr="007F18FC">
        <w:rPr>
          <w:i/>
          <w:iCs/>
          <w:szCs w:val="22"/>
        </w:rPr>
        <w:t>Myth and Reality</w:t>
      </w:r>
      <w:r w:rsidRPr="007F18FC">
        <w:rPr>
          <w:szCs w:val="22"/>
        </w:rPr>
        <w:t xml:space="preserve"> (New York: Harper and Row, 1962)</w:t>
      </w:r>
    </w:p>
    <w:p w14:paraId="57034EF1" w14:textId="77777777" w:rsidR="00D35CE4" w:rsidRPr="007F18FC" w:rsidRDefault="00D35CE4" w:rsidP="00E41944">
      <w:pPr>
        <w:pStyle w:val="FootnoteText"/>
        <w:rPr>
          <w:szCs w:val="22"/>
        </w:rPr>
      </w:pPr>
    </w:p>
    <w:p w14:paraId="38564909" w14:textId="35A104A1" w:rsidR="00E41944" w:rsidRPr="007F18FC" w:rsidRDefault="00E41944" w:rsidP="00E41944">
      <w:pPr>
        <w:pStyle w:val="FootnoteText"/>
        <w:rPr>
          <w:szCs w:val="22"/>
        </w:rPr>
      </w:pPr>
      <w:r w:rsidRPr="007F18FC">
        <w:rPr>
          <w:szCs w:val="22"/>
        </w:rPr>
        <w:t xml:space="preserve">Ellis, Florence Hawley, ‘A Thousand Years of the Pueblo Sun-Moon-Star Calendar’ in </w:t>
      </w:r>
      <w:r w:rsidRPr="007F18FC">
        <w:rPr>
          <w:i/>
          <w:iCs/>
          <w:szCs w:val="22"/>
        </w:rPr>
        <w:t>Foundations of New World Cultural Astronomy: A Reader with Commentary</w:t>
      </w:r>
      <w:r w:rsidRPr="007F18FC">
        <w:rPr>
          <w:szCs w:val="22"/>
        </w:rPr>
        <w:t xml:space="preserve">, ed. by Anthony </w:t>
      </w:r>
      <w:proofErr w:type="spellStart"/>
      <w:r w:rsidRPr="007F18FC">
        <w:rPr>
          <w:szCs w:val="22"/>
        </w:rPr>
        <w:t>Aveni</w:t>
      </w:r>
      <w:proofErr w:type="spellEnd"/>
      <w:r w:rsidRPr="007F18FC">
        <w:rPr>
          <w:szCs w:val="22"/>
        </w:rPr>
        <w:t xml:space="preserve"> (Boulder: University Press of Colorado, 2008), </w:t>
      </w:r>
      <w:r w:rsidRPr="00FA0ECB">
        <w:rPr>
          <w:szCs w:val="22"/>
        </w:rPr>
        <w:t xml:space="preserve">pp. </w:t>
      </w:r>
      <w:r w:rsidR="00FA0ECB">
        <w:rPr>
          <w:szCs w:val="22"/>
        </w:rPr>
        <w:t>647-668.</w:t>
      </w:r>
    </w:p>
    <w:p w14:paraId="7233530C" w14:textId="77777777" w:rsidR="00E41944" w:rsidRPr="007F18FC" w:rsidRDefault="00E41944" w:rsidP="00E41944">
      <w:pPr>
        <w:pStyle w:val="FootnoteText"/>
        <w:rPr>
          <w:szCs w:val="22"/>
        </w:rPr>
      </w:pPr>
    </w:p>
    <w:p w14:paraId="3605E76D" w14:textId="15FBBFCC" w:rsidR="00E41944" w:rsidRPr="007F18FC" w:rsidRDefault="00E41944" w:rsidP="00E41944">
      <w:pPr>
        <w:pStyle w:val="Default"/>
        <w:rPr>
          <w:rFonts w:asciiTheme="minorHAnsi" w:hAnsiTheme="minorHAnsi" w:cstheme="minorHAnsi"/>
          <w:sz w:val="22"/>
          <w:szCs w:val="22"/>
        </w:rPr>
      </w:pPr>
      <w:proofErr w:type="spellStart"/>
      <w:r w:rsidRPr="007F18FC">
        <w:rPr>
          <w:rFonts w:asciiTheme="minorHAnsi" w:hAnsiTheme="minorHAnsi" w:cstheme="minorHAnsi"/>
          <w:sz w:val="22"/>
          <w:szCs w:val="22"/>
        </w:rPr>
        <w:t>Faulseit</w:t>
      </w:r>
      <w:proofErr w:type="spellEnd"/>
      <w:r w:rsidRPr="007F18FC">
        <w:rPr>
          <w:rFonts w:asciiTheme="minorHAnsi" w:hAnsiTheme="minorHAnsi" w:cstheme="minorHAnsi"/>
          <w:sz w:val="22"/>
          <w:szCs w:val="22"/>
        </w:rPr>
        <w:t xml:space="preserve">, Ronald F., ‘Mountain of Sustenance: Site Organization at </w:t>
      </w:r>
      <w:proofErr w:type="spellStart"/>
      <w:r w:rsidRPr="007F18FC">
        <w:rPr>
          <w:rFonts w:asciiTheme="minorHAnsi" w:hAnsiTheme="minorHAnsi" w:cstheme="minorHAnsi"/>
          <w:sz w:val="22"/>
          <w:szCs w:val="22"/>
        </w:rPr>
        <w:t>Dainzú-Macuilxóchitl</w:t>
      </w:r>
      <w:proofErr w:type="spellEnd"/>
      <w:r w:rsidRPr="007F18FC">
        <w:rPr>
          <w:rFonts w:asciiTheme="minorHAnsi" w:hAnsiTheme="minorHAnsi" w:cstheme="minorHAnsi"/>
          <w:sz w:val="22"/>
          <w:szCs w:val="22"/>
        </w:rPr>
        <w:t xml:space="preserve"> and Mesoamerican Concepts of Space and Time</w:t>
      </w:r>
      <w:r w:rsidRPr="007F18FC">
        <w:rPr>
          <w:rFonts w:asciiTheme="minorHAnsi" w:hAnsiTheme="minorHAnsi" w:cstheme="minorHAnsi"/>
          <w:i/>
          <w:iCs/>
          <w:sz w:val="22"/>
          <w:szCs w:val="22"/>
        </w:rPr>
        <w:t xml:space="preserve">’ </w:t>
      </w:r>
      <w:r w:rsidRPr="007F18FC">
        <w:rPr>
          <w:rFonts w:asciiTheme="minorHAnsi" w:hAnsiTheme="minorHAnsi" w:cstheme="minorHAnsi"/>
          <w:sz w:val="22"/>
          <w:szCs w:val="22"/>
        </w:rPr>
        <w:t>in</w:t>
      </w:r>
      <w:r w:rsidRPr="007F18FC">
        <w:rPr>
          <w:rFonts w:asciiTheme="minorHAnsi" w:hAnsiTheme="minorHAnsi" w:cstheme="minorHAnsi"/>
          <w:i/>
          <w:iCs/>
          <w:sz w:val="22"/>
          <w:szCs w:val="22"/>
        </w:rPr>
        <w:t xml:space="preserve"> Cosmology, Calendars, and Horizon-Based Astronomy </w:t>
      </w:r>
      <w:r w:rsidRPr="007F18FC">
        <w:rPr>
          <w:rFonts w:asciiTheme="minorHAnsi" w:hAnsiTheme="minorHAnsi" w:cstheme="minorHAnsi"/>
          <w:i/>
          <w:iCs/>
          <w:sz w:val="22"/>
          <w:szCs w:val="22"/>
        </w:rPr>
        <w:lastRenderedPageBreak/>
        <w:t xml:space="preserve">in Ancient Mesoamerica, </w:t>
      </w:r>
      <w:r w:rsidRPr="007F18FC">
        <w:rPr>
          <w:rFonts w:asciiTheme="minorHAnsi" w:hAnsiTheme="minorHAnsi" w:cstheme="minorHAnsi"/>
          <w:sz w:val="22"/>
          <w:szCs w:val="22"/>
        </w:rPr>
        <w:t xml:space="preserve">eds. Anne S. Dowd and Susan </w:t>
      </w:r>
      <w:proofErr w:type="spellStart"/>
      <w:r w:rsidRPr="007F18FC">
        <w:rPr>
          <w:rFonts w:asciiTheme="minorHAnsi" w:hAnsiTheme="minorHAnsi" w:cstheme="minorHAnsi"/>
          <w:sz w:val="22"/>
          <w:szCs w:val="22"/>
        </w:rPr>
        <w:t>Milbrath</w:t>
      </w:r>
      <w:proofErr w:type="spellEnd"/>
      <w:r w:rsidRPr="007F18FC">
        <w:rPr>
          <w:rFonts w:asciiTheme="minorHAnsi" w:hAnsiTheme="minorHAnsi" w:cstheme="minorHAnsi"/>
          <w:sz w:val="22"/>
          <w:szCs w:val="22"/>
        </w:rPr>
        <w:t xml:space="preserve"> (Boulder, University Press of Colorado, 2015)</w:t>
      </w:r>
    </w:p>
    <w:p w14:paraId="1B8C0203" w14:textId="77777777" w:rsidR="00E41944" w:rsidRPr="007F18FC" w:rsidRDefault="00E41944" w:rsidP="00E41944">
      <w:pPr>
        <w:pStyle w:val="FootnoteText"/>
        <w:rPr>
          <w:szCs w:val="22"/>
        </w:rPr>
      </w:pPr>
    </w:p>
    <w:p w14:paraId="623F2674" w14:textId="75F9BB50" w:rsidR="00E41944" w:rsidRPr="007F18FC" w:rsidRDefault="00E41944" w:rsidP="00FA0ECB">
      <w:pPr>
        <w:pStyle w:val="FootnoteText"/>
        <w:rPr>
          <w:szCs w:val="22"/>
        </w:rPr>
      </w:pPr>
      <w:r w:rsidRPr="007F18FC">
        <w:rPr>
          <w:szCs w:val="22"/>
        </w:rPr>
        <w:t xml:space="preserve">Feist, Gregory J., ‘Origins of the Scientific Thinking’ in </w:t>
      </w:r>
      <w:r w:rsidRPr="007F18FC">
        <w:rPr>
          <w:i/>
          <w:iCs/>
          <w:szCs w:val="22"/>
        </w:rPr>
        <w:t xml:space="preserve">The Psychology of Science and the Origins of the Scientific Mind </w:t>
      </w:r>
      <w:r w:rsidRPr="007F18FC">
        <w:rPr>
          <w:szCs w:val="22"/>
        </w:rPr>
        <w:t>(New Haven: Yale University Press, 2008)</w:t>
      </w:r>
    </w:p>
    <w:p w14:paraId="2BB31DB0" w14:textId="77777777" w:rsidR="00E41944" w:rsidRPr="007F18FC" w:rsidRDefault="00E41944" w:rsidP="00E41944">
      <w:pPr>
        <w:pStyle w:val="FootnoteText"/>
        <w:rPr>
          <w:szCs w:val="22"/>
        </w:rPr>
      </w:pPr>
    </w:p>
    <w:p w14:paraId="1186B1D9" w14:textId="035867B6" w:rsidR="00E41944" w:rsidRDefault="00E41944" w:rsidP="00E41944">
      <w:pPr>
        <w:spacing w:after="0" w:line="240" w:lineRule="auto"/>
        <w:rPr>
          <w:sz w:val="22"/>
          <w:szCs w:val="22"/>
        </w:rPr>
      </w:pPr>
      <w:r w:rsidRPr="007F18FC">
        <w:rPr>
          <w:sz w:val="22"/>
          <w:szCs w:val="22"/>
        </w:rPr>
        <w:t xml:space="preserve">Ferguson, William M. and Arthur H. </w:t>
      </w:r>
      <w:proofErr w:type="spellStart"/>
      <w:r w:rsidRPr="007F18FC">
        <w:rPr>
          <w:sz w:val="22"/>
          <w:szCs w:val="22"/>
        </w:rPr>
        <w:t>Rohn</w:t>
      </w:r>
      <w:proofErr w:type="spellEnd"/>
      <w:r w:rsidRPr="007F18FC">
        <w:rPr>
          <w:sz w:val="22"/>
          <w:szCs w:val="22"/>
        </w:rPr>
        <w:t xml:space="preserve">, </w:t>
      </w:r>
      <w:r w:rsidRPr="007F18FC">
        <w:rPr>
          <w:i/>
          <w:iCs/>
          <w:sz w:val="22"/>
          <w:szCs w:val="22"/>
        </w:rPr>
        <w:t xml:space="preserve">Anasazi Ruins of the Southwest in Color </w:t>
      </w:r>
      <w:r w:rsidRPr="007F18FC">
        <w:rPr>
          <w:sz w:val="22"/>
          <w:szCs w:val="22"/>
        </w:rPr>
        <w:t>(Albuquerque: University of New Mexico Press, 1987)</w:t>
      </w:r>
    </w:p>
    <w:p w14:paraId="718F6C28" w14:textId="26353FD5" w:rsidR="005D4448" w:rsidRDefault="005D4448" w:rsidP="00E41944">
      <w:pPr>
        <w:spacing w:after="0" w:line="240" w:lineRule="auto"/>
        <w:rPr>
          <w:sz w:val="22"/>
          <w:szCs w:val="22"/>
        </w:rPr>
      </w:pPr>
    </w:p>
    <w:p w14:paraId="63DE873F" w14:textId="49DF599F" w:rsidR="005D4448" w:rsidRPr="007F18FC" w:rsidRDefault="005D4448" w:rsidP="00E41944">
      <w:pPr>
        <w:spacing w:after="0" w:line="240" w:lineRule="auto"/>
        <w:rPr>
          <w:sz w:val="22"/>
          <w:szCs w:val="22"/>
        </w:rPr>
      </w:pPr>
      <w:proofErr w:type="spellStart"/>
      <w:r w:rsidRPr="00B15770">
        <w:rPr>
          <w:sz w:val="22"/>
          <w:szCs w:val="22"/>
        </w:rPr>
        <w:t>Fewkes</w:t>
      </w:r>
      <w:proofErr w:type="spellEnd"/>
      <w:r w:rsidR="00813EE9">
        <w:rPr>
          <w:sz w:val="22"/>
          <w:szCs w:val="22"/>
        </w:rPr>
        <w:t>,</w:t>
      </w:r>
      <w:r w:rsidR="00813EE9" w:rsidRPr="00813EE9">
        <w:rPr>
          <w:sz w:val="22"/>
          <w:szCs w:val="22"/>
        </w:rPr>
        <w:t xml:space="preserve"> </w:t>
      </w:r>
      <w:r w:rsidR="00813EE9" w:rsidRPr="00B15770">
        <w:rPr>
          <w:sz w:val="22"/>
          <w:szCs w:val="22"/>
        </w:rPr>
        <w:t>J. Walter</w:t>
      </w:r>
      <w:r w:rsidRPr="00B15770">
        <w:rPr>
          <w:sz w:val="22"/>
          <w:szCs w:val="22"/>
        </w:rPr>
        <w:t>,</w:t>
      </w:r>
      <w:r>
        <w:t xml:space="preserve"> </w:t>
      </w:r>
      <w:r w:rsidRPr="00B15770">
        <w:rPr>
          <w:sz w:val="22"/>
          <w:szCs w:val="22"/>
        </w:rPr>
        <w:t xml:space="preserve">‘Sun Worship of the Hopi Indians.’, </w:t>
      </w:r>
      <w:r>
        <w:rPr>
          <w:sz w:val="22"/>
          <w:szCs w:val="22"/>
        </w:rPr>
        <w:t xml:space="preserve">in </w:t>
      </w:r>
      <w:r w:rsidRPr="00B15770">
        <w:rPr>
          <w:i/>
          <w:iCs/>
          <w:sz w:val="22"/>
          <w:szCs w:val="22"/>
        </w:rPr>
        <w:t>Smithsonian Report</w:t>
      </w:r>
      <w:r w:rsidRPr="00B15770">
        <w:rPr>
          <w:sz w:val="22"/>
          <w:szCs w:val="22"/>
        </w:rPr>
        <w:t xml:space="preserve"> (Washington: Government Printing, 1918), pp. 493-526</w:t>
      </w:r>
      <w:r>
        <w:rPr>
          <w:sz w:val="22"/>
          <w:szCs w:val="22"/>
        </w:rPr>
        <w:t>.</w:t>
      </w:r>
    </w:p>
    <w:p w14:paraId="2EFE1150" w14:textId="77777777" w:rsidR="00FA0ECB" w:rsidRDefault="00FA0ECB" w:rsidP="00E41944">
      <w:pPr>
        <w:pStyle w:val="FootnoteText"/>
        <w:rPr>
          <w:szCs w:val="22"/>
        </w:rPr>
      </w:pPr>
    </w:p>
    <w:p w14:paraId="6FC51FCC" w14:textId="0893F3D6" w:rsidR="0030732F" w:rsidRPr="007F18FC" w:rsidRDefault="0030732F" w:rsidP="00E41944">
      <w:pPr>
        <w:pStyle w:val="FootnoteText"/>
        <w:rPr>
          <w:szCs w:val="22"/>
        </w:rPr>
      </w:pPr>
      <w:r w:rsidRPr="007F18FC">
        <w:rPr>
          <w:szCs w:val="22"/>
        </w:rPr>
        <w:t>Frank, Roslyn. M., ‘</w:t>
      </w:r>
      <w:proofErr w:type="spellStart"/>
      <w:r w:rsidRPr="007F18FC">
        <w:rPr>
          <w:szCs w:val="22"/>
        </w:rPr>
        <w:t>Skylore</w:t>
      </w:r>
      <w:proofErr w:type="spellEnd"/>
      <w:r w:rsidRPr="007F18FC">
        <w:rPr>
          <w:szCs w:val="22"/>
        </w:rPr>
        <w:t xml:space="preserve"> of the Indigenous People of Northern Eurasia’, in </w:t>
      </w:r>
      <w:r w:rsidRPr="007F18FC">
        <w:rPr>
          <w:i/>
          <w:iCs/>
          <w:szCs w:val="22"/>
        </w:rPr>
        <w:t>Handbook of Archaeoastronomy and Ethnoastronomy</w:t>
      </w:r>
      <w:r w:rsidRPr="007F18FC">
        <w:rPr>
          <w:szCs w:val="22"/>
        </w:rPr>
        <w:t xml:space="preserve">, ed. Clive L. N. Ruggles (New York: Springer </w:t>
      </w:r>
      <w:proofErr w:type="spellStart"/>
      <w:r w:rsidRPr="007F18FC">
        <w:rPr>
          <w:szCs w:val="22"/>
        </w:rPr>
        <w:t>Science+Business</w:t>
      </w:r>
      <w:proofErr w:type="spellEnd"/>
      <w:r w:rsidRPr="007F18FC">
        <w:rPr>
          <w:szCs w:val="22"/>
        </w:rPr>
        <w:t xml:space="preserve"> Media, 2015), pp. 1679-1686.</w:t>
      </w:r>
    </w:p>
    <w:p w14:paraId="054817A6" w14:textId="77777777" w:rsidR="0030732F" w:rsidRPr="007F18FC" w:rsidRDefault="0030732F" w:rsidP="00E41944">
      <w:pPr>
        <w:pStyle w:val="FootnoteText"/>
        <w:rPr>
          <w:szCs w:val="22"/>
        </w:rPr>
      </w:pPr>
    </w:p>
    <w:p w14:paraId="71BFEAD4" w14:textId="77777777" w:rsidR="00E41944" w:rsidRPr="007F18FC" w:rsidRDefault="00E41944" w:rsidP="00E41944">
      <w:pPr>
        <w:pStyle w:val="FootnoteText"/>
        <w:rPr>
          <w:szCs w:val="22"/>
        </w:rPr>
      </w:pPr>
      <w:r w:rsidRPr="007F18FC">
        <w:rPr>
          <w:szCs w:val="22"/>
        </w:rPr>
        <w:t xml:space="preserve">Geertz, Clifford, ‘Deep Play: Notes on the Balinese Cockfight’, </w:t>
      </w:r>
      <w:r w:rsidRPr="007F18FC">
        <w:rPr>
          <w:i/>
          <w:iCs/>
          <w:szCs w:val="22"/>
        </w:rPr>
        <w:t>Daedalus,</w:t>
      </w:r>
      <w:r w:rsidRPr="007F18FC">
        <w:rPr>
          <w:szCs w:val="22"/>
        </w:rPr>
        <w:t xml:space="preserve"> Vol. 101, No. 1, Myth, Symbol, and Culture (Winter, 1972), pp. 1-37.</w:t>
      </w:r>
    </w:p>
    <w:p w14:paraId="6AA0B3BC" w14:textId="77777777" w:rsidR="00E41944" w:rsidRPr="007F18FC" w:rsidRDefault="00E41944" w:rsidP="00E41944">
      <w:pPr>
        <w:pStyle w:val="FootnoteText"/>
        <w:rPr>
          <w:szCs w:val="22"/>
        </w:rPr>
      </w:pPr>
    </w:p>
    <w:p w14:paraId="321C22B7" w14:textId="77777777" w:rsidR="00E41944" w:rsidRPr="007F18FC" w:rsidRDefault="00E41944" w:rsidP="00E41944">
      <w:pPr>
        <w:pStyle w:val="FootnoteText"/>
        <w:rPr>
          <w:szCs w:val="22"/>
        </w:rPr>
      </w:pPr>
      <w:proofErr w:type="spellStart"/>
      <w:r w:rsidRPr="007F18FC">
        <w:rPr>
          <w:szCs w:val="22"/>
        </w:rPr>
        <w:t>Geib</w:t>
      </w:r>
      <w:proofErr w:type="spellEnd"/>
      <w:r w:rsidRPr="007F18FC">
        <w:rPr>
          <w:szCs w:val="22"/>
        </w:rPr>
        <w:t xml:space="preserve">, Phil R. and Helen C. Fairley, ‘Radiocarbon Dating of Fremont Anthropomorphic Rock Art in Glen Canyon, South Central Utah’, </w:t>
      </w:r>
      <w:r w:rsidRPr="007F18FC">
        <w:rPr>
          <w:i/>
          <w:iCs/>
          <w:szCs w:val="22"/>
        </w:rPr>
        <w:t>Journal of Field Archaeology</w:t>
      </w:r>
      <w:r w:rsidRPr="007F18FC">
        <w:rPr>
          <w:szCs w:val="22"/>
        </w:rPr>
        <w:t>, Vol. 19, No. 2, (Summer, 1992), pp. 155-168.</w:t>
      </w:r>
    </w:p>
    <w:p w14:paraId="7C6CA423" w14:textId="77777777" w:rsidR="00E41944" w:rsidRPr="007F18FC" w:rsidRDefault="00E41944" w:rsidP="00E41944">
      <w:pPr>
        <w:spacing w:after="0" w:line="240" w:lineRule="auto"/>
        <w:rPr>
          <w:sz w:val="22"/>
          <w:szCs w:val="22"/>
        </w:rPr>
      </w:pPr>
    </w:p>
    <w:p w14:paraId="6EE1D4DD" w14:textId="63EB0938" w:rsidR="00E41944" w:rsidRPr="007F18FC" w:rsidRDefault="00E41944" w:rsidP="00E41944">
      <w:pPr>
        <w:pStyle w:val="FootnoteText"/>
        <w:rPr>
          <w:szCs w:val="22"/>
        </w:rPr>
      </w:pPr>
      <w:proofErr w:type="spellStart"/>
      <w:r w:rsidRPr="007F18FC">
        <w:rPr>
          <w:szCs w:val="22"/>
        </w:rPr>
        <w:t>Geib</w:t>
      </w:r>
      <w:proofErr w:type="spellEnd"/>
      <w:r w:rsidRPr="007F18FC">
        <w:rPr>
          <w:szCs w:val="22"/>
        </w:rPr>
        <w:t xml:space="preserve">, Phil R. and Edward A. Jolie, ‘The Role of Basketry in Early Holocene Small Seed Exploitation: Implications of a Ca. 9,000 Year-Old Basket from Cowboy Cave, Utah’, </w:t>
      </w:r>
      <w:r w:rsidRPr="007F18FC">
        <w:rPr>
          <w:i/>
          <w:iCs/>
          <w:szCs w:val="22"/>
        </w:rPr>
        <w:t>American Antiquity</w:t>
      </w:r>
      <w:r w:rsidRPr="007F18FC">
        <w:rPr>
          <w:szCs w:val="22"/>
        </w:rPr>
        <w:t>, Vol. 73, No. 1 (Jan. 2008), pp. 83-102.</w:t>
      </w:r>
    </w:p>
    <w:p w14:paraId="0D18613A" w14:textId="77777777" w:rsidR="00E41944" w:rsidRPr="007F18FC" w:rsidRDefault="00E41944" w:rsidP="00E41944">
      <w:pPr>
        <w:pStyle w:val="FootnoteText"/>
        <w:rPr>
          <w:szCs w:val="22"/>
        </w:rPr>
      </w:pPr>
    </w:p>
    <w:p w14:paraId="7B56A73D" w14:textId="77777777" w:rsidR="00E41944" w:rsidRPr="007F18FC" w:rsidRDefault="00E41944" w:rsidP="00E41944">
      <w:pPr>
        <w:pStyle w:val="FootnoteText"/>
        <w:rPr>
          <w:szCs w:val="22"/>
        </w:rPr>
      </w:pPr>
      <w:proofErr w:type="spellStart"/>
      <w:r w:rsidRPr="007F18FC">
        <w:rPr>
          <w:szCs w:val="22"/>
        </w:rPr>
        <w:t>Gunnerson</w:t>
      </w:r>
      <w:proofErr w:type="spellEnd"/>
      <w:r w:rsidRPr="007F18FC">
        <w:rPr>
          <w:szCs w:val="22"/>
        </w:rPr>
        <w:t xml:space="preserve">, James H., ‘The Fremont Culture: Internal Dimensions and External Relationships’ </w:t>
      </w:r>
      <w:r w:rsidRPr="007F18FC">
        <w:rPr>
          <w:i/>
          <w:iCs/>
          <w:szCs w:val="22"/>
        </w:rPr>
        <w:t>American Antiquity</w:t>
      </w:r>
      <w:r w:rsidRPr="007F18FC">
        <w:rPr>
          <w:szCs w:val="22"/>
        </w:rPr>
        <w:t>, Vol. 25, No. 3 (Jan. 1960), pp. 373-380.</w:t>
      </w:r>
    </w:p>
    <w:p w14:paraId="465ABFB4" w14:textId="77777777" w:rsidR="00E41944" w:rsidRPr="007F18FC" w:rsidRDefault="00E41944" w:rsidP="00E41944">
      <w:pPr>
        <w:pStyle w:val="FootnoteText"/>
        <w:rPr>
          <w:szCs w:val="22"/>
        </w:rPr>
      </w:pPr>
    </w:p>
    <w:p w14:paraId="18DA49D3" w14:textId="77777777" w:rsidR="00E41944" w:rsidRPr="007F18FC" w:rsidRDefault="00E41944" w:rsidP="00E41944">
      <w:pPr>
        <w:spacing w:after="0" w:line="240" w:lineRule="auto"/>
        <w:rPr>
          <w:sz w:val="22"/>
          <w:szCs w:val="22"/>
        </w:rPr>
      </w:pPr>
      <w:r w:rsidRPr="007F18FC">
        <w:rPr>
          <w:sz w:val="22"/>
          <w:szCs w:val="22"/>
        </w:rPr>
        <w:t xml:space="preserve">Hampton, O. Winston, and Bill Harney, 2000 ‘Mixed Media Dimensions of Dreamtime Painting, Abraded Grooves, and Sacred Rock in the Northern Territory, Australia’, </w:t>
      </w:r>
      <w:r w:rsidRPr="007F18FC">
        <w:rPr>
          <w:i/>
          <w:iCs/>
          <w:sz w:val="22"/>
          <w:szCs w:val="22"/>
        </w:rPr>
        <w:t>Rock Art Papers,</w:t>
      </w:r>
      <w:r w:rsidRPr="007F18FC">
        <w:rPr>
          <w:sz w:val="22"/>
          <w:szCs w:val="22"/>
        </w:rPr>
        <w:t xml:space="preserve"> Vol. 15, (2000), pp. 1-15, cited in Susan M. Hector, ‘Cupule Petroglyphs as Elements of the Cultural Landscape’ </w:t>
      </w:r>
      <w:r w:rsidRPr="007F18FC">
        <w:rPr>
          <w:i/>
          <w:iCs/>
          <w:sz w:val="22"/>
          <w:szCs w:val="22"/>
        </w:rPr>
        <w:t>Journal of California and Great Basin Anthropology</w:t>
      </w:r>
      <w:r w:rsidRPr="007F18FC">
        <w:rPr>
          <w:sz w:val="22"/>
          <w:szCs w:val="22"/>
        </w:rPr>
        <w:t xml:space="preserve">, Vol. 29, No. 1 (2009), pp. 68-76. </w:t>
      </w:r>
    </w:p>
    <w:p w14:paraId="094ED0EA" w14:textId="77777777" w:rsidR="00E41944" w:rsidRPr="007F18FC" w:rsidRDefault="00E41944" w:rsidP="00E41944">
      <w:pPr>
        <w:spacing w:after="0" w:line="240" w:lineRule="auto"/>
        <w:rPr>
          <w:sz w:val="22"/>
          <w:szCs w:val="22"/>
        </w:rPr>
      </w:pPr>
    </w:p>
    <w:p w14:paraId="2FB14965" w14:textId="2635DC59" w:rsidR="00E41944" w:rsidRPr="007F18FC" w:rsidRDefault="00E41944" w:rsidP="00E41944">
      <w:pPr>
        <w:pStyle w:val="FootnoteText"/>
        <w:rPr>
          <w:szCs w:val="22"/>
        </w:rPr>
      </w:pPr>
      <w:r w:rsidRPr="007F18FC">
        <w:rPr>
          <w:szCs w:val="22"/>
        </w:rPr>
        <w:t xml:space="preserve">Harrison, Simon, ‘Emotional Climates: Ritual, Seasonality and Affective Disorders’, </w:t>
      </w:r>
      <w:r w:rsidRPr="007F18FC">
        <w:rPr>
          <w:i/>
          <w:iCs/>
          <w:szCs w:val="22"/>
        </w:rPr>
        <w:t>The Journal of the Royal Anthropological Institute</w:t>
      </w:r>
      <w:r w:rsidRPr="007F18FC">
        <w:rPr>
          <w:szCs w:val="22"/>
        </w:rPr>
        <w:t>, Vol. 10, No. 3 (Sep. 2004), pp. 583-602.</w:t>
      </w:r>
    </w:p>
    <w:p w14:paraId="3F597DDC" w14:textId="77777777" w:rsidR="00E41944" w:rsidRPr="007F18FC" w:rsidRDefault="00E41944" w:rsidP="00E41944">
      <w:pPr>
        <w:pStyle w:val="FootnoteText"/>
        <w:rPr>
          <w:szCs w:val="22"/>
        </w:rPr>
      </w:pPr>
    </w:p>
    <w:p w14:paraId="0E7014DB" w14:textId="3D04318B" w:rsidR="002F6A17" w:rsidRPr="007F18FC" w:rsidRDefault="002F6A17" w:rsidP="00E41944">
      <w:pPr>
        <w:pStyle w:val="FootnoteText"/>
        <w:rPr>
          <w:color w:val="000000"/>
          <w:spacing w:val="-5"/>
          <w:szCs w:val="22"/>
          <w:shd w:val="clear" w:color="auto" w:fill="FFFFFF"/>
        </w:rPr>
      </w:pPr>
      <w:r w:rsidRPr="007F18FC">
        <w:rPr>
          <w:color w:val="000000"/>
          <w:spacing w:val="-5"/>
          <w:szCs w:val="22"/>
          <w:shd w:val="clear" w:color="auto" w:fill="FFFFFF"/>
        </w:rPr>
        <w:t xml:space="preserve">Heizer, Robert F. and Martin A. </w:t>
      </w:r>
      <w:proofErr w:type="spellStart"/>
      <w:r w:rsidRPr="007F18FC">
        <w:rPr>
          <w:color w:val="000000"/>
          <w:spacing w:val="-5"/>
          <w:szCs w:val="22"/>
          <w:shd w:val="clear" w:color="auto" w:fill="FFFFFF"/>
        </w:rPr>
        <w:t>Baumhoff</w:t>
      </w:r>
      <w:proofErr w:type="spellEnd"/>
      <w:r w:rsidRPr="007F18FC">
        <w:rPr>
          <w:color w:val="000000"/>
          <w:spacing w:val="-5"/>
          <w:szCs w:val="22"/>
          <w:shd w:val="clear" w:color="auto" w:fill="FFFFFF"/>
        </w:rPr>
        <w:t>,</w:t>
      </w:r>
      <w:r w:rsidRPr="007F18FC">
        <w:rPr>
          <w:rStyle w:val="HTMLCite"/>
          <w:color w:val="000000"/>
          <w:spacing w:val="-5"/>
          <w:szCs w:val="22"/>
          <w:shd w:val="clear" w:color="auto" w:fill="FFFFFF"/>
        </w:rPr>
        <w:t xml:space="preserve"> Prehistoric Rock Art of Nevada and Eastern California</w:t>
      </w:r>
      <w:r w:rsidRPr="007F18FC">
        <w:rPr>
          <w:color w:val="000000"/>
          <w:spacing w:val="-5"/>
          <w:szCs w:val="22"/>
          <w:shd w:val="clear" w:color="auto" w:fill="FFFFFF"/>
        </w:rPr>
        <w:t> (Berkley and Los Angeles: University of California Press, 1962)</w:t>
      </w:r>
      <w:r w:rsidR="00FA0ECB">
        <w:rPr>
          <w:color w:val="000000"/>
          <w:spacing w:val="-5"/>
          <w:szCs w:val="22"/>
          <w:shd w:val="clear" w:color="auto" w:fill="FFFFFF"/>
        </w:rPr>
        <w:t>,</w:t>
      </w:r>
      <w:r w:rsidRPr="007F18FC">
        <w:rPr>
          <w:color w:val="000000"/>
          <w:spacing w:val="-5"/>
          <w:szCs w:val="22"/>
          <w:shd w:val="clear" w:color="auto" w:fill="FFFFFF"/>
        </w:rPr>
        <w:t xml:space="preserve"> cited by Kenneth B. Castleton, </w:t>
      </w:r>
      <w:r w:rsidRPr="007F18FC">
        <w:rPr>
          <w:i/>
          <w:iCs/>
          <w:color w:val="000000"/>
          <w:spacing w:val="-5"/>
          <w:szCs w:val="22"/>
          <w:shd w:val="clear" w:color="auto" w:fill="FFFFFF"/>
        </w:rPr>
        <w:t>Petroglyphs and Pictographs of Utah</w:t>
      </w:r>
      <w:r w:rsidRPr="007F18FC">
        <w:rPr>
          <w:color w:val="000000"/>
          <w:spacing w:val="-5"/>
          <w:szCs w:val="22"/>
          <w:shd w:val="clear" w:color="auto" w:fill="FFFFFF"/>
        </w:rPr>
        <w:t xml:space="preserve">, </w:t>
      </w:r>
      <w:r w:rsidRPr="007F18FC">
        <w:rPr>
          <w:i/>
          <w:iCs/>
          <w:color w:val="000000"/>
          <w:spacing w:val="-5"/>
          <w:szCs w:val="22"/>
          <w:shd w:val="clear" w:color="auto" w:fill="FFFFFF"/>
        </w:rPr>
        <w:t xml:space="preserve">Vol. Two </w:t>
      </w:r>
      <w:r w:rsidRPr="007F18FC">
        <w:rPr>
          <w:color w:val="000000"/>
          <w:spacing w:val="-5"/>
          <w:szCs w:val="22"/>
          <w:shd w:val="clear" w:color="auto" w:fill="FFFFFF"/>
        </w:rPr>
        <w:t>(Salt Lake City: Museum of Natural History,1979)</w:t>
      </w:r>
    </w:p>
    <w:p w14:paraId="43347DF6" w14:textId="4FD11112" w:rsidR="00CF5849" w:rsidRPr="007F18FC" w:rsidRDefault="00CF5849" w:rsidP="00E41944">
      <w:pPr>
        <w:pStyle w:val="FootnoteText"/>
        <w:rPr>
          <w:color w:val="000000"/>
          <w:spacing w:val="-5"/>
          <w:szCs w:val="22"/>
          <w:shd w:val="clear" w:color="auto" w:fill="FFFFFF"/>
        </w:rPr>
      </w:pPr>
    </w:p>
    <w:p w14:paraId="72C96992" w14:textId="586D9C74" w:rsidR="00CF5849" w:rsidRPr="007F18FC" w:rsidRDefault="00CF5849" w:rsidP="00CF5849">
      <w:pPr>
        <w:pStyle w:val="FootnoteText"/>
        <w:rPr>
          <w:szCs w:val="22"/>
        </w:rPr>
      </w:pPr>
      <w:r w:rsidRPr="007F18FC">
        <w:rPr>
          <w:szCs w:val="22"/>
        </w:rPr>
        <w:t>Heizer</w:t>
      </w:r>
      <w:r w:rsidR="00753054">
        <w:rPr>
          <w:szCs w:val="22"/>
        </w:rPr>
        <w:t>,</w:t>
      </w:r>
      <w:r w:rsidRPr="007F18FC">
        <w:rPr>
          <w:szCs w:val="22"/>
        </w:rPr>
        <w:t xml:space="preserve"> </w:t>
      </w:r>
      <w:r w:rsidR="00753054" w:rsidRPr="007F18FC">
        <w:rPr>
          <w:szCs w:val="22"/>
        </w:rPr>
        <w:t xml:space="preserve">Robert F. </w:t>
      </w:r>
      <w:r w:rsidRPr="007F18FC">
        <w:rPr>
          <w:szCs w:val="22"/>
        </w:rPr>
        <w:t xml:space="preserve">and Albert B. Elsasser, </w:t>
      </w:r>
      <w:r w:rsidRPr="007F18FC">
        <w:rPr>
          <w:i/>
          <w:iCs/>
          <w:szCs w:val="22"/>
        </w:rPr>
        <w:t xml:space="preserve">The Natural World of the California Indians </w:t>
      </w:r>
      <w:r w:rsidRPr="007F18FC">
        <w:rPr>
          <w:szCs w:val="22"/>
        </w:rPr>
        <w:t xml:space="preserve">(Berkley, Los Angeles, London: University of California Press, 1980) </w:t>
      </w:r>
    </w:p>
    <w:p w14:paraId="4DFE5C19" w14:textId="322000A7" w:rsidR="00DE5D6E" w:rsidRPr="007F18FC" w:rsidRDefault="00DE5D6E" w:rsidP="00CF5849">
      <w:pPr>
        <w:pStyle w:val="FootnoteText"/>
        <w:rPr>
          <w:szCs w:val="22"/>
        </w:rPr>
      </w:pPr>
    </w:p>
    <w:p w14:paraId="2288BD0D" w14:textId="2289A419" w:rsidR="00CF5849" w:rsidRPr="007F18FC" w:rsidRDefault="00DE5D6E" w:rsidP="00E41944">
      <w:pPr>
        <w:pStyle w:val="FootnoteText"/>
        <w:rPr>
          <w:szCs w:val="22"/>
        </w:rPr>
      </w:pPr>
      <w:r w:rsidRPr="007F18FC">
        <w:rPr>
          <w:szCs w:val="22"/>
        </w:rPr>
        <w:t xml:space="preserve">Ingold, Tim, ‘Earth, Sky, Wind, and Weather’, </w:t>
      </w:r>
      <w:r w:rsidRPr="007F18FC">
        <w:rPr>
          <w:i/>
          <w:iCs/>
          <w:szCs w:val="22"/>
        </w:rPr>
        <w:t>The Journal of the Royal Anthropological Institute</w:t>
      </w:r>
      <w:r w:rsidRPr="007F18FC">
        <w:rPr>
          <w:szCs w:val="22"/>
        </w:rPr>
        <w:t>, Vol. 13, Wind, Life, Health: Anthropological and Historical Perspectives (2007), pp. S19-S38.</w:t>
      </w:r>
    </w:p>
    <w:p w14:paraId="58BA6403" w14:textId="77777777" w:rsidR="00E41944" w:rsidRPr="007F18FC" w:rsidRDefault="00E41944" w:rsidP="00E41944">
      <w:pPr>
        <w:pStyle w:val="FootnoteText"/>
        <w:rPr>
          <w:szCs w:val="22"/>
        </w:rPr>
      </w:pPr>
    </w:p>
    <w:p w14:paraId="019BA953" w14:textId="77777777" w:rsidR="00E41944" w:rsidRPr="007F18FC" w:rsidRDefault="00E41944" w:rsidP="00E41944">
      <w:pPr>
        <w:pStyle w:val="FootnoteText"/>
        <w:rPr>
          <w:szCs w:val="22"/>
        </w:rPr>
      </w:pPr>
      <w:proofErr w:type="spellStart"/>
      <w:r w:rsidRPr="007F18FC">
        <w:rPr>
          <w:szCs w:val="22"/>
        </w:rPr>
        <w:t>Hensey</w:t>
      </w:r>
      <w:proofErr w:type="spellEnd"/>
      <w:r w:rsidRPr="007F18FC">
        <w:rPr>
          <w:szCs w:val="22"/>
        </w:rPr>
        <w:t xml:space="preserve">, Robert, </w:t>
      </w:r>
      <w:r w:rsidRPr="007F18FC">
        <w:rPr>
          <w:i/>
          <w:iCs/>
          <w:szCs w:val="22"/>
        </w:rPr>
        <w:t>First Light: The Origins of Newgrange</w:t>
      </w:r>
      <w:r w:rsidRPr="007F18FC">
        <w:rPr>
          <w:szCs w:val="22"/>
        </w:rPr>
        <w:t xml:space="preserve"> (Oxford: Oxbow Books, 2015)</w:t>
      </w:r>
    </w:p>
    <w:p w14:paraId="4BBB8DA6" w14:textId="77777777" w:rsidR="00E41944" w:rsidRPr="007F18FC" w:rsidRDefault="00E41944" w:rsidP="00E41944">
      <w:pPr>
        <w:pStyle w:val="FootnoteText"/>
        <w:rPr>
          <w:szCs w:val="22"/>
        </w:rPr>
      </w:pPr>
    </w:p>
    <w:p w14:paraId="7535F17E" w14:textId="77777777" w:rsidR="00E41944" w:rsidRPr="007F18FC" w:rsidRDefault="00E41944" w:rsidP="00E41944">
      <w:pPr>
        <w:pStyle w:val="FootnoteText"/>
        <w:rPr>
          <w:szCs w:val="22"/>
        </w:rPr>
      </w:pPr>
      <w:r w:rsidRPr="007F18FC">
        <w:rPr>
          <w:szCs w:val="22"/>
        </w:rPr>
        <w:lastRenderedPageBreak/>
        <w:t xml:space="preserve">Headwaters Economics, </w:t>
      </w:r>
      <w:hyperlink r:id="rId38" w:anchor=":~:text=Grand%20County%20consists%20largely%20of,47%20percent%20of%20private%20employment" w:history="1">
        <w:r w:rsidRPr="007F18FC">
          <w:rPr>
            <w:rStyle w:val="Hyperlink"/>
            <w:szCs w:val="22"/>
          </w:rPr>
          <w:t>https://headwaterseconomics.org/economic-development/economic-grand-county/#:~:text=Grand%20County%20consists%20largely%20of,47%20percent%20of%20private%20employment</w:t>
        </w:r>
      </w:hyperlink>
      <w:r w:rsidRPr="007F18FC">
        <w:rPr>
          <w:szCs w:val="22"/>
        </w:rPr>
        <w:t>. [Accessed Jan. 22, 2022]</w:t>
      </w:r>
    </w:p>
    <w:p w14:paraId="317E726C" w14:textId="77777777" w:rsidR="00E41944" w:rsidRPr="007F18FC" w:rsidRDefault="00E41944" w:rsidP="00E41944">
      <w:pPr>
        <w:pStyle w:val="Default"/>
        <w:rPr>
          <w:rFonts w:asciiTheme="minorHAnsi" w:hAnsiTheme="minorHAnsi" w:cstheme="minorHAnsi"/>
          <w:sz w:val="22"/>
          <w:szCs w:val="22"/>
        </w:rPr>
      </w:pPr>
    </w:p>
    <w:p w14:paraId="5AF8789E" w14:textId="705A9D9F" w:rsidR="00E41944"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Hector, Susan M., ‘Cupule Petroglyphs as Elements of the Cultural Landscape’ </w:t>
      </w:r>
      <w:r w:rsidRPr="007F18FC">
        <w:rPr>
          <w:rFonts w:asciiTheme="minorHAnsi" w:hAnsiTheme="minorHAnsi" w:cstheme="minorHAnsi"/>
          <w:i/>
          <w:iCs/>
          <w:sz w:val="22"/>
          <w:szCs w:val="22"/>
        </w:rPr>
        <w:t>Journal of California and Great Basin Anthropology</w:t>
      </w:r>
      <w:r w:rsidRPr="007F18FC">
        <w:rPr>
          <w:rFonts w:asciiTheme="minorHAnsi" w:hAnsiTheme="minorHAnsi" w:cstheme="minorHAnsi"/>
          <w:sz w:val="22"/>
          <w:szCs w:val="22"/>
        </w:rPr>
        <w:t xml:space="preserve">, Vol. 29, No. 1 (2009), pp. 68-76. </w:t>
      </w:r>
    </w:p>
    <w:p w14:paraId="5F5DD0FA" w14:textId="77777777" w:rsidR="005C02BE" w:rsidRPr="007F18FC" w:rsidRDefault="005C02BE" w:rsidP="00E41944">
      <w:pPr>
        <w:pStyle w:val="Default"/>
        <w:rPr>
          <w:rFonts w:asciiTheme="minorHAnsi" w:hAnsiTheme="minorHAnsi" w:cstheme="minorHAnsi"/>
          <w:sz w:val="22"/>
          <w:szCs w:val="22"/>
        </w:rPr>
      </w:pPr>
    </w:p>
    <w:p w14:paraId="4A6389B3" w14:textId="2D26ED19" w:rsidR="00E41944" w:rsidRPr="007F18FC" w:rsidRDefault="00E41944" w:rsidP="00E41944">
      <w:pPr>
        <w:pStyle w:val="FootnoteText"/>
        <w:rPr>
          <w:szCs w:val="22"/>
        </w:rPr>
      </w:pPr>
      <w:proofErr w:type="spellStart"/>
      <w:r w:rsidRPr="007F18FC">
        <w:rPr>
          <w:szCs w:val="22"/>
        </w:rPr>
        <w:t>Hranicky</w:t>
      </w:r>
      <w:proofErr w:type="spellEnd"/>
      <w:r w:rsidRPr="007F18FC">
        <w:rPr>
          <w:szCs w:val="22"/>
        </w:rPr>
        <w:t xml:space="preserve">, Wm Jack, ‘The Oldest Above Ground Site in North America’, </w:t>
      </w:r>
      <w:r w:rsidRPr="007F18FC">
        <w:rPr>
          <w:i/>
          <w:iCs/>
          <w:szCs w:val="22"/>
        </w:rPr>
        <w:t>Central States Archaeological Journal</w:t>
      </w:r>
      <w:r w:rsidRPr="007F18FC">
        <w:rPr>
          <w:szCs w:val="22"/>
        </w:rPr>
        <w:t>, Vol. 59, No. 2 (April 2012), pp. 82-86.</w:t>
      </w:r>
    </w:p>
    <w:p w14:paraId="79D52783" w14:textId="77777777" w:rsidR="00E41944" w:rsidRPr="007F18FC" w:rsidRDefault="00E41944" w:rsidP="00E41944">
      <w:pPr>
        <w:pStyle w:val="FootnoteText"/>
        <w:rPr>
          <w:szCs w:val="22"/>
        </w:rPr>
      </w:pPr>
    </w:p>
    <w:p w14:paraId="0159C8AD" w14:textId="77777777" w:rsidR="00E41944" w:rsidRPr="007F18FC" w:rsidRDefault="00E41944" w:rsidP="00E41944">
      <w:pPr>
        <w:pStyle w:val="FootnoteText"/>
        <w:rPr>
          <w:szCs w:val="22"/>
        </w:rPr>
      </w:pPr>
      <w:r w:rsidRPr="007F18FC">
        <w:rPr>
          <w:szCs w:val="22"/>
        </w:rPr>
        <w:t xml:space="preserve">Hudson, Travis, Georgia Lee, and Ken Hedges, ‘Solstice Observers and Observatories in Native California’, </w:t>
      </w:r>
      <w:r w:rsidRPr="007F18FC">
        <w:rPr>
          <w:i/>
          <w:iCs/>
          <w:szCs w:val="22"/>
        </w:rPr>
        <w:t xml:space="preserve">Journal of California and Great Basin Anthropology, </w:t>
      </w:r>
      <w:r w:rsidRPr="007F18FC">
        <w:rPr>
          <w:szCs w:val="22"/>
        </w:rPr>
        <w:t>Vol. 1, No. 1 (Summer, 1979), pp. 38-63.</w:t>
      </w:r>
    </w:p>
    <w:p w14:paraId="6C744087" w14:textId="77777777" w:rsidR="00E41944" w:rsidRPr="007F18FC" w:rsidRDefault="00E41944" w:rsidP="00E41944">
      <w:pPr>
        <w:pStyle w:val="FootnoteText"/>
        <w:rPr>
          <w:szCs w:val="22"/>
        </w:rPr>
      </w:pPr>
    </w:p>
    <w:p w14:paraId="42DC7747" w14:textId="77777777" w:rsidR="00E41944" w:rsidRPr="007F18FC" w:rsidRDefault="00E41944" w:rsidP="00E41944">
      <w:pPr>
        <w:spacing w:after="0" w:line="240" w:lineRule="auto"/>
        <w:rPr>
          <w:sz w:val="22"/>
          <w:szCs w:val="22"/>
        </w:rPr>
      </w:pPr>
      <w:r w:rsidRPr="007F18FC">
        <w:rPr>
          <w:sz w:val="22"/>
          <w:szCs w:val="22"/>
        </w:rPr>
        <w:t xml:space="preserve">Hunt, Alice, </w:t>
      </w:r>
      <w:r w:rsidRPr="007F18FC">
        <w:rPr>
          <w:i/>
          <w:iCs/>
          <w:sz w:val="22"/>
          <w:szCs w:val="22"/>
        </w:rPr>
        <w:t xml:space="preserve">Archaeological Survey of the La Sal Mountains Area, Utah </w:t>
      </w:r>
      <w:r w:rsidRPr="007F18FC">
        <w:rPr>
          <w:sz w:val="22"/>
          <w:szCs w:val="22"/>
        </w:rPr>
        <w:t>(Salt Lake City: University of Utah Press, 1955)</w:t>
      </w:r>
    </w:p>
    <w:p w14:paraId="1ED8A3F4" w14:textId="77777777" w:rsidR="00E41944" w:rsidRPr="007F18FC" w:rsidRDefault="00E41944" w:rsidP="00E41944">
      <w:pPr>
        <w:pStyle w:val="FootnoteText"/>
        <w:rPr>
          <w:szCs w:val="22"/>
        </w:rPr>
      </w:pPr>
    </w:p>
    <w:p w14:paraId="78169437" w14:textId="77777777" w:rsidR="00E41944" w:rsidRPr="007F18FC" w:rsidRDefault="00E41944" w:rsidP="00E41944">
      <w:pPr>
        <w:spacing w:after="0" w:line="240" w:lineRule="auto"/>
        <w:rPr>
          <w:sz w:val="22"/>
          <w:szCs w:val="22"/>
        </w:rPr>
      </w:pPr>
      <w:proofErr w:type="spellStart"/>
      <w:r w:rsidRPr="007F18FC">
        <w:rPr>
          <w:sz w:val="22"/>
          <w:szCs w:val="22"/>
        </w:rPr>
        <w:t>Jeguès-Wolkiewiez</w:t>
      </w:r>
      <w:proofErr w:type="spellEnd"/>
      <w:r w:rsidRPr="007F18FC">
        <w:rPr>
          <w:sz w:val="22"/>
          <w:szCs w:val="22"/>
        </w:rPr>
        <w:t xml:space="preserve">, Chantal, ‘Lascaux, vision du </w:t>
      </w:r>
      <w:proofErr w:type="spellStart"/>
      <w:r w:rsidRPr="007F18FC">
        <w:rPr>
          <w:sz w:val="22"/>
          <w:szCs w:val="22"/>
        </w:rPr>
        <w:t>ciel</w:t>
      </w:r>
      <w:proofErr w:type="spellEnd"/>
      <w:r w:rsidRPr="007F18FC">
        <w:rPr>
          <w:sz w:val="22"/>
          <w:szCs w:val="22"/>
        </w:rPr>
        <w:t xml:space="preserve"> des </w:t>
      </w:r>
      <w:proofErr w:type="spellStart"/>
      <w:r w:rsidRPr="007F18FC">
        <w:rPr>
          <w:sz w:val="22"/>
          <w:szCs w:val="22"/>
        </w:rPr>
        <w:t>Magdalénien</w:t>
      </w:r>
      <w:proofErr w:type="spellEnd"/>
      <w:r w:rsidRPr="007F18FC">
        <w:rPr>
          <w:sz w:val="22"/>
          <w:szCs w:val="22"/>
        </w:rPr>
        <w:t xml:space="preserve">’, in </w:t>
      </w:r>
      <w:proofErr w:type="spellStart"/>
      <w:r w:rsidRPr="007F18FC">
        <w:rPr>
          <w:i/>
          <w:iCs/>
          <w:sz w:val="22"/>
          <w:szCs w:val="22"/>
        </w:rPr>
        <w:t>Arte</w:t>
      </w:r>
      <w:proofErr w:type="spellEnd"/>
      <w:r w:rsidRPr="007F18FC">
        <w:rPr>
          <w:i/>
          <w:iCs/>
          <w:sz w:val="22"/>
          <w:szCs w:val="22"/>
        </w:rPr>
        <w:t xml:space="preserve"> </w:t>
      </w:r>
      <w:proofErr w:type="spellStart"/>
      <w:r w:rsidRPr="007F18FC">
        <w:rPr>
          <w:i/>
          <w:iCs/>
          <w:sz w:val="22"/>
          <w:szCs w:val="22"/>
        </w:rPr>
        <w:t>preistorica</w:t>
      </w:r>
      <w:proofErr w:type="spellEnd"/>
      <w:r w:rsidRPr="007F18FC">
        <w:rPr>
          <w:i/>
          <w:iCs/>
          <w:sz w:val="22"/>
          <w:szCs w:val="22"/>
        </w:rPr>
        <w:t xml:space="preserve"> e </w:t>
      </w:r>
      <w:proofErr w:type="spellStart"/>
      <w:r w:rsidRPr="007F18FC">
        <w:rPr>
          <w:i/>
          <w:iCs/>
          <w:sz w:val="22"/>
          <w:szCs w:val="22"/>
        </w:rPr>
        <w:t>tribale</w:t>
      </w:r>
      <w:proofErr w:type="spellEnd"/>
      <w:r w:rsidRPr="007F18FC">
        <w:rPr>
          <w:i/>
          <w:iCs/>
          <w:sz w:val="22"/>
          <w:szCs w:val="22"/>
        </w:rPr>
        <w:t xml:space="preserve">: </w:t>
      </w:r>
      <w:proofErr w:type="spellStart"/>
      <w:r w:rsidRPr="007F18FC">
        <w:rPr>
          <w:i/>
          <w:iCs/>
          <w:sz w:val="22"/>
          <w:szCs w:val="22"/>
        </w:rPr>
        <w:t>conservazione</w:t>
      </w:r>
      <w:proofErr w:type="spellEnd"/>
      <w:r w:rsidRPr="007F18FC">
        <w:rPr>
          <w:i/>
          <w:iCs/>
          <w:sz w:val="22"/>
          <w:szCs w:val="22"/>
        </w:rPr>
        <w:t xml:space="preserve"> e </w:t>
      </w:r>
      <w:proofErr w:type="spellStart"/>
      <w:r w:rsidRPr="007F18FC">
        <w:rPr>
          <w:i/>
          <w:iCs/>
          <w:sz w:val="22"/>
          <w:szCs w:val="22"/>
        </w:rPr>
        <w:t>salvaguardia</w:t>
      </w:r>
      <w:proofErr w:type="spellEnd"/>
      <w:r w:rsidRPr="007F18FC">
        <w:rPr>
          <w:i/>
          <w:iCs/>
          <w:sz w:val="22"/>
          <w:szCs w:val="22"/>
        </w:rPr>
        <w:t xml:space="preserve"> </w:t>
      </w:r>
      <w:proofErr w:type="spellStart"/>
      <w:r w:rsidRPr="007F18FC">
        <w:rPr>
          <w:i/>
          <w:iCs/>
          <w:sz w:val="22"/>
          <w:szCs w:val="22"/>
        </w:rPr>
        <w:t>dei</w:t>
      </w:r>
      <w:proofErr w:type="spellEnd"/>
      <w:r w:rsidRPr="007F18FC">
        <w:rPr>
          <w:i/>
          <w:iCs/>
          <w:sz w:val="22"/>
          <w:szCs w:val="22"/>
        </w:rPr>
        <w:t xml:space="preserve"> </w:t>
      </w:r>
      <w:proofErr w:type="spellStart"/>
      <w:r w:rsidRPr="007F18FC">
        <w:rPr>
          <w:i/>
          <w:iCs/>
          <w:sz w:val="22"/>
          <w:szCs w:val="22"/>
        </w:rPr>
        <w:t>messaggi</w:t>
      </w:r>
      <w:proofErr w:type="spellEnd"/>
      <w:r w:rsidRPr="007F18FC">
        <w:rPr>
          <w:sz w:val="22"/>
          <w:szCs w:val="22"/>
        </w:rPr>
        <w:t xml:space="preserve">. Presentation at Symposium 2000 </w:t>
      </w:r>
      <w:proofErr w:type="spellStart"/>
      <w:r w:rsidRPr="007F18FC">
        <w:rPr>
          <w:sz w:val="22"/>
          <w:szCs w:val="22"/>
        </w:rPr>
        <w:t>d’Art</w:t>
      </w:r>
      <w:proofErr w:type="spellEnd"/>
      <w:r w:rsidRPr="007F18FC">
        <w:rPr>
          <w:sz w:val="22"/>
          <w:szCs w:val="22"/>
        </w:rPr>
        <w:t xml:space="preserve"> </w:t>
      </w:r>
      <w:proofErr w:type="spellStart"/>
      <w:r w:rsidRPr="007F18FC">
        <w:rPr>
          <w:sz w:val="22"/>
          <w:szCs w:val="22"/>
        </w:rPr>
        <w:t>Rupestre</w:t>
      </w:r>
      <w:proofErr w:type="spellEnd"/>
      <w:r w:rsidRPr="007F18FC">
        <w:rPr>
          <w:sz w:val="22"/>
          <w:szCs w:val="22"/>
        </w:rPr>
        <w:t xml:space="preserve">, Val </w:t>
      </w:r>
      <w:proofErr w:type="spellStart"/>
      <w:r w:rsidRPr="007F18FC">
        <w:rPr>
          <w:sz w:val="22"/>
          <w:szCs w:val="22"/>
        </w:rPr>
        <w:t>Camonica</w:t>
      </w:r>
      <w:proofErr w:type="spellEnd"/>
      <w:r w:rsidRPr="007F18FC">
        <w:rPr>
          <w:sz w:val="22"/>
          <w:szCs w:val="22"/>
        </w:rPr>
        <w:t xml:space="preserve">, 2000,  </w:t>
      </w:r>
      <w:hyperlink r:id="rId39" w:history="1">
        <w:r w:rsidRPr="007F18FC">
          <w:rPr>
            <w:rStyle w:val="Hyperlink"/>
            <w:rFonts w:eastAsia="PalatinoLinotype-Roman"/>
            <w:sz w:val="22"/>
            <w:szCs w:val="22"/>
          </w:rPr>
          <w:t>http://www.archeociel.com/lascaux.htm</w:t>
        </w:r>
      </w:hyperlink>
      <w:r w:rsidRPr="007F18FC">
        <w:rPr>
          <w:sz w:val="22"/>
          <w:szCs w:val="22"/>
        </w:rPr>
        <w:t xml:space="preserve">; ‘Cro-Magnon: premier </w:t>
      </w:r>
      <w:proofErr w:type="spellStart"/>
      <w:r w:rsidRPr="007F18FC">
        <w:rPr>
          <w:sz w:val="22"/>
          <w:szCs w:val="22"/>
        </w:rPr>
        <w:t>astronome</w:t>
      </w:r>
      <w:proofErr w:type="spellEnd"/>
      <w:r w:rsidRPr="007F18FC">
        <w:rPr>
          <w:sz w:val="22"/>
          <w:szCs w:val="22"/>
        </w:rPr>
        <w:t xml:space="preserve"> de </w:t>
      </w:r>
      <w:proofErr w:type="spellStart"/>
      <w:r w:rsidRPr="007F18FC">
        <w:rPr>
          <w:sz w:val="22"/>
          <w:szCs w:val="22"/>
        </w:rPr>
        <w:t>l’humanité</w:t>
      </w:r>
      <w:proofErr w:type="spellEnd"/>
      <w:r w:rsidRPr="007F18FC">
        <w:rPr>
          <w:sz w:val="22"/>
          <w:szCs w:val="22"/>
        </w:rPr>
        <w:t xml:space="preserve">?’, </w:t>
      </w:r>
      <w:r w:rsidRPr="007F18FC">
        <w:rPr>
          <w:i/>
          <w:iCs/>
          <w:sz w:val="22"/>
          <w:szCs w:val="22"/>
        </w:rPr>
        <w:t xml:space="preserve">Science et vie </w:t>
      </w:r>
      <w:r w:rsidRPr="007F18FC">
        <w:rPr>
          <w:sz w:val="22"/>
          <w:szCs w:val="22"/>
        </w:rPr>
        <w:t xml:space="preserve">(Nov. 2007), pp. 93–101; ‘Lascaux et les </w:t>
      </w:r>
      <w:proofErr w:type="spellStart"/>
      <w:r w:rsidRPr="007F18FC">
        <w:rPr>
          <w:sz w:val="22"/>
          <w:szCs w:val="22"/>
        </w:rPr>
        <w:t>astres</w:t>
      </w:r>
      <w:proofErr w:type="spellEnd"/>
      <w:r w:rsidRPr="007F18FC">
        <w:rPr>
          <w:sz w:val="22"/>
          <w:szCs w:val="22"/>
        </w:rPr>
        <w:t xml:space="preserve">.’ </w:t>
      </w:r>
      <w:r w:rsidRPr="007F18FC">
        <w:rPr>
          <w:i/>
          <w:iCs/>
          <w:sz w:val="22"/>
          <w:szCs w:val="22"/>
        </w:rPr>
        <w:t xml:space="preserve">Les dossiers </w:t>
      </w:r>
      <w:proofErr w:type="spellStart"/>
      <w:r w:rsidRPr="007F18FC">
        <w:rPr>
          <w:i/>
          <w:iCs/>
          <w:sz w:val="22"/>
          <w:szCs w:val="22"/>
        </w:rPr>
        <w:t>d’archaeologie</w:t>
      </w:r>
      <w:proofErr w:type="spellEnd"/>
      <w:r w:rsidRPr="007F18FC">
        <w:rPr>
          <w:i/>
          <w:iCs/>
          <w:sz w:val="22"/>
          <w:szCs w:val="22"/>
        </w:rPr>
        <w:t xml:space="preserve"> </w:t>
      </w:r>
      <w:r w:rsidRPr="007F18FC">
        <w:rPr>
          <w:sz w:val="22"/>
          <w:szCs w:val="22"/>
        </w:rPr>
        <w:t xml:space="preserve">(Hors Série) 15, 2008, pp. 22–9, cited by Brian Hayden and Suzanne Villeneuve, ‘Astronomy in the Upper Paleolithic?’, </w:t>
      </w:r>
      <w:r w:rsidRPr="007F18FC">
        <w:rPr>
          <w:i/>
          <w:iCs/>
          <w:sz w:val="22"/>
          <w:szCs w:val="22"/>
        </w:rPr>
        <w:t xml:space="preserve">Cambridge Archaeological Journal </w:t>
      </w:r>
      <w:r w:rsidRPr="007F18FC">
        <w:rPr>
          <w:sz w:val="22"/>
          <w:szCs w:val="22"/>
        </w:rPr>
        <w:t>Vol.</w:t>
      </w:r>
      <w:r w:rsidRPr="007F18FC">
        <w:rPr>
          <w:i/>
          <w:iCs/>
          <w:sz w:val="22"/>
          <w:szCs w:val="22"/>
        </w:rPr>
        <w:t xml:space="preserve"> </w:t>
      </w:r>
      <w:r w:rsidRPr="007F18FC">
        <w:rPr>
          <w:sz w:val="22"/>
          <w:szCs w:val="22"/>
        </w:rPr>
        <w:t xml:space="preserve">21, No. 3, (2011), pp. 331–55. </w:t>
      </w:r>
      <w:hyperlink r:id="rId40" w:history="1">
        <w:r w:rsidRPr="007F18FC">
          <w:rPr>
            <w:rStyle w:val="Hyperlink"/>
            <w:sz w:val="22"/>
            <w:szCs w:val="22"/>
          </w:rPr>
          <w:t>https://www.cambridge.org/core</w:t>
        </w:r>
      </w:hyperlink>
      <w:r w:rsidRPr="007F18FC">
        <w:rPr>
          <w:color w:val="0172D0"/>
          <w:sz w:val="22"/>
          <w:szCs w:val="22"/>
        </w:rPr>
        <w:t xml:space="preserve"> </w:t>
      </w:r>
      <w:r w:rsidRPr="007F18FC">
        <w:rPr>
          <w:sz w:val="22"/>
          <w:szCs w:val="22"/>
        </w:rPr>
        <w:t xml:space="preserve">[Accessed February 20, 2022]. </w:t>
      </w:r>
    </w:p>
    <w:p w14:paraId="1540F440" w14:textId="77777777" w:rsidR="00E41944" w:rsidRPr="007F18FC" w:rsidRDefault="00E41944" w:rsidP="00E41944">
      <w:pPr>
        <w:pStyle w:val="FootnoteText"/>
        <w:rPr>
          <w:szCs w:val="22"/>
        </w:rPr>
      </w:pPr>
    </w:p>
    <w:p w14:paraId="77E6EEDF" w14:textId="77777777" w:rsidR="00E41944" w:rsidRPr="007F18FC" w:rsidRDefault="00E41944" w:rsidP="00E41944">
      <w:pPr>
        <w:pStyle w:val="FootnoteText"/>
        <w:rPr>
          <w:szCs w:val="22"/>
        </w:rPr>
      </w:pPr>
      <w:r w:rsidRPr="007F18FC">
        <w:rPr>
          <w:szCs w:val="22"/>
        </w:rPr>
        <w:t xml:space="preserve">Jennings, Jesse D., </w:t>
      </w:r>
      <w:r w:rsidRPr="007F18FC">
        <w:rPr>
          <w:i/>
          <w:iCs/>
          <w:szCs w:val="22"/>
        </w:rPr>
        <w:t>Prehistory of Utah and the Eastern Great Basin</w:t>
      </w:r>
      <w:r w:rsidRPr="007F18FC">
        <w:rPr>
          <w:szCs w:val="22"/>
        </w:rPr>
        <w:t xml:space="preserve"> (Salt Lake City: University of Utah Press, 1973)</w:t>
      </w:r>
    </w:p>
    <w:p w14:paraId="7166E6FB" w14:textId="77777777" w:rsidR="00E41944" w:rsidRPr="007F18FC" w:rsidRDefault="00E41944" w:rsidP="00E41944">
      <w:pPr>
        <w:pStyle w:val="FootnoteText"/>
        <w:rPr>
          <w:szCs w:val="22"/>
        </w:rPr>
      </w:pPr>
    </w:p>
    <w:p w14:paraId="13B822B2" w14:textId="2CD04524" w:rsidR="00E41944" w:rsidRPr="007F18FC" w:rsidRDefault="00E41944" w:rsidP="00E41944">
      <w:pPr>
        <w:pStyle w:val="Default"/>
        <w:rPr>
          <w:rFonts w:asciiTheme="minorHAnsi" w:hAnsiTheme="minorHAnsi" w:cstheme="minorHAnsi"/>
          <w:sz w:val="22"/>
          <w:szCs w:val="22"/>
        </w:rPr>
      </w:pPr>
      <w:proofErr w:type="spellStart"/>
      <w:r w:rsidRPr="007F18FC">
        <w:rPr>
          <w:rFonts w:asciiTheme="minorHAnsi" w:hAnsiTheme="minorHAnsi" w:cstheme="minorHAnsi"/>
          <w:sz w:val="22"/>
          <w:szCs w:val="22"/>
        </w:rPr>
        <w:t>Kolm</w:t>
      </w:r>
      <w:proofErr w:type="spellEnd"/>
      <w:r w:rsidRPr="007F18FC">
        <w:rPr>
          <w:rFonts w:asciiTheme="minorHAnsi" w:hAnsiTheme="minorHAnsi" w:cstheme="minorHAnsi"/>
          <w:sz w:val="22"/>
          <w:szCs w:val="22"/>
        </w:rPr>
        <w:t xml:space="preserve">, Kenneth E., Hydrologic Systems Analysis, LLC., Golden, Colorado and Paul K.M. van der </w:t>
      </w:r>
      <w:proofErr w:type="spellStart"/>
      <w:r w:rsidRPr="007F18FC">
        <w:rPr>
          <w:rFonts w:asciiTheme="minorHAnsi" w:hAnsiTheme="minorHAnsi" w:cstheme="minorHAnsi"/>
          <w:sz w:val="22"/>
          <w:szCs w:val="22"/>
        </w:rPr>
        <w:t>Heijde</w:t>
      </w:r>
      <w:proofErr w:type="spellEnd"/>
      <w:r w:rsidRPr="007F18FC">
        <w:rPr>
          <w:rFonts w:asciiTheme="minorHAnsi" w:hAnsiTheme="minorHAnsi" w:cstheme="minorHAnsi"/>
          <w:sz w:val="22"/>
          <w:szCs w:val="22"/>
        </w:rPr>
        <w:t>, Heath Hydrology, Inc., Boulder, Colorado,</w:t>
      </w:r>
      <w:r w:rsidRPr="007F18FC">
        <w:rPr>
          <w:rFonts w:asciiTheme="minorHAnsi" w:hAnsiTheme="minorHAnsi" w:cstheme="minorHAnsi"/>
          <w:b/>
          <w:bCs/>
          <w:sz w:val="22"/>
          <w:szCs w:val="22"/>
        </w:rPr>
        <w:t xml:space="preserve"> </w:t>
      </w:r>
      <w:r w:rsidRPr="007F18FC">
        <w:rPr>
          <w:rFonts w:asciiTheme="minorHAnsi" w:hAnsiTheme="minorHAnsi" w:cstheme="minorHAnsi"/>
          <w:sz w:val="22"/>
          <w:szCs w:val="22"/>
        </w:rPr>
        <w:t>‘Hydrologic Assessment of the Surface Water and Groundwater Resources of Castle Valley, Utah: Part 1: Hydrologic and Environmental Analysis (HESA) and Preliminary Water Budget’, prepared for the Town of Castle Valley, March 2016</w:t>
      </w:r>
    </w:p>
    <w:p w14:paraId="1A17D5B7" w14:textId="77777777" w:rsidR="00E41944" w:rsidRPr="007F18FC" w:rsidRDefault="00E41944" w:rsidP="00E41944">
      <w:pPr>
        <w:pStyle w:val="Default"/>
        <w:rPr>
          <w:rFonts w:asciiTheme="minorHAnsi" w:hAnsiTheme="minorHAnsi" w:cstheme="minorHAnsi"/>
          <w:sz w:val="22"/>
          <w:szCs w:val="22"/>
        </w:rPr>
      </w:pPr>
    </w:p>
    <w:p w14:paraId="1F6E9929" w14:textId="6CEFDDF4" w:rsidR="00E41944" w:rsidRPr="007F18FC" w:rsidRDefault="00E41944" w:rsidP="00E41944">
      <w:pPr>
        <w:spacing w:after="0" w:line="240" w:lineRule="auto"/>
        <w:rPr>
          <w:sz w:val="22"/>
          <w:szCs w:val="22"/>
        </w:rPr>
      </w:pPr>
      <w:r w:rsidRPr="007F18FC">
        <w:rPr>
          <w:sz w:val="22"/>
          <w:szCs w:val="22"/>
        </w:rPr>
        <w:t>Krupp, E. C., Beyond the Blue Horizon: Myths and Legends of the Sun, Moon, Stars and Planets (New York: Harper Collins Publishers, 1991)</w:t>
      </w:r>
    </w:p>
    <w:p w14:paraId="4922C251" w14:textId="77777777" w:rsidR="00D71105" w:rsidRPr="007F18FC" w:rsidRDefault="00D71105" w:rsidP="00E41944">
      <w:pPr>
        <w:spacing w:after="0" w:line="240" w:lineRule="auto"/>
        <w:rPr>
          <w:sz w:val="22"/>
          <w:szCs w:val="22"/>
        </w:rPr>
      </w:pPr>
    </w:p>
    <w:p w14:paraId="70F67EE7" w14:textId="0D39C9CE" w:rsidR="00E41944" w:rsidRPr="007F18FC" w:rsidRDefault="00E41944" w:rsidP="00E41944">
      <w:pPr>
        <w:spacing w:after="0" w:line="240" w:lineRule="auto"/>
        <w:rPr>
          <w:sz w:val="22"/>
          <w:szCs w:val="22"/>
        </w:rPr>
      </w:pPr>
      <w:proofErr w:type="spellStart"/>
      <w:r w:rsidRPr="007F18FC">
        <w:rPr>
          <w:sz w:val="22"/>
          <w:szCs w:val="22"/>
        </w:rPr>
        <w:t>Laylander</w:t>
      </w:r>
      <w:proofErr w:type="spellEnd"/>
      <w:r w:rsidRPr="007F18FC">
        <w:rPr>
          <w:sz w:val="22"/>
          <w:szCs w:val="22"/>
        </w:rPr>
        <w:t xml:space="preserve">, Don, ‘Preemptive Positioning and Relative Chronology in Rock Art’ </w:t>
      </w:r>
      <w:r w:rsidRPr="007F18FC">
        <w:rPr>
          <w:i/>
          <w:iCs/>
          <w:sz w:val="22"/>
          <w:szCs w:val="22"/>
        </w:rPr>
        <w:t>Proceedings of the Society for California Archaeology,</w:t>
      </w:r>
      <w:r w:rsidRPr="007F18FC">
        <w:rPr>
          <w:sz w:val="22"/>
          <w:szCs w:val="22"/>
        </w:rPr>
        <w:t xml:space="preserve"> Vol. 24 (2010), </w:t>
      </w:r>
      <w:r w:rsidRPr="00237FE2">
        <w:rPr>
          <w:sz w:val="22"/>
          <w:szCs w:val="22"/>
        </w:rPr>
        <w:t>p</w:t>
      </w:r>
      <w:r w:rsidR="00237FE2" w:rsidRPr="00237FE2">
        <w:rPr>
          <w:sz w:val="22"/>
          <w:szCs w:val="22"/>
        </w:rPr>
        <w:t>p</w:t>
      </w:r>
      <w:r w:rsidRPr="00237FE2">
        <w:rPr>
          <w:sz w:val="22"/>
          <w:szCs w:val="22"/>
        </w:rPr>
        <w:t>. 1</w:t>
      </w:r>
      <w:r w:rsidR="00237FE2" w:rsidRPr="00237FE2">
        <w:rPr>
          <w:sz w:val="22"/>
          <w:szCs w:val="22"/>
        </w:rPr>
        <w:t>-3.</w:t>
      </w:r>
    </w:p>
    <w:p w14:paraId="3B6F48EC" w14:textId="77777777" w:rsidR="00E41944" w:rsidRPr="007F18FC" w:rsidRDefault="00E41944" w:rsidP="00E41944">
      <w:pPr>
        <w:pStyle w:val="FootnoteText"/>
        <w:rPr>
          <w:i/>
          <w:iCs/>
          <w:szCs w:val="22"/>
        </w:rPr>
      </w:pPr>
    </w:p>
    <w:p w14:paraId="374D59E1" w14:textId="77777777" w:rsidR="00E41944" w:rsidRPr="007F18FC" w:rsidRDefault="00E41944" w:rsidP="00E41944">
      <w:pPr>
        <w:pStyle w:val="FootnoteText"/>
        <w:rPr>
          <w:szCs w:val="22"/>
        </w:rPr>
      </w:pPr>
      <w:r w:rsidRPr="007F18FC">
        <w:rPr>
          <w:szCs w:val="22"/>
        </w:rPr>
        <w:t xml:space="preserve">LeBlanc, Steven A., ‘The Case for an Early Farmer Migration into the Greater American Southwest’ in </w:t>
      </w:r>
      <w:r w:rsidRPr="007F18FC">
        <w:rPr>
          <w:i/>
          <w:iCs/>
          <w:szCs w:val="22"/>
        </w:rPr>
        <w:t xml:space="preserve">Archaeology without Borders: Contact, Commerce, and Change in the U.S. Southwest and Northwestern Mexico, </w:t>
      </w:r>
      <w:r w:rsidRPr="007F18FC">
        <w:rPr>
          <w:szCs w:val="22"/>
        </w:rPr>
        <w:t xml:space="preserve">ed. by Laurie D. Webster, Maxine E. </w:t>
      </w:r>
      <w:proofErr w:type="spellStart"/>
      <w:r w:rsidRPr="007F18FC">
        <w:rPr>
          <w:szCs w:val="22"/>
        </w:rPr>
        <w:t>McBrinn</w:t>
      </w:r>
      <w:proofErr w:type="spellEnd"/>
      <w:r w:rsidRPr="007F18FC">
        <w:rPr>
          <w:szCs w:val="22"/>
        </w:rPr>
        <w:t xml:space="preserve"> and Eduardo </w:t>
      </w:r>
      <w:proofErr w:type="spellStart"/>
      <w:r w:rsidRPr="007F18FC">
        <w:rPr>
          <w:szCs w:val="22"/>
        </w:rPr>
        <w:t>Gamboa</w:t>
      </w:r>
      <w:proofErr w:type="spellEnd"/>
      <w:r w:rsidRPr="007F18FC">
        <w:rPr>
          <w:szCs w:val="22"/>
        </w:rPr>
        <w:t xml:space="preserve"> Carrera (Boulder: University Press of Colorado, 2008)</w:t>
      </w:r>
    </w:p>
    <w:p w14:paraId="1307FFCC" w14:textId="77777777" w:rsidR="00621D05" w:rsidRPr="007F18FC" w:rsidRDefault="00621D05" w:rsidP="00E41944">
      <w:pPr>
        <w:pStyle w:val="Default"/>
        <w:rPr>
          <w:rFonts w:asciiTheme="minorHAnsi" w:hAnsiTheme="minorHAnsi" w:cstheme="minorHAnsi"/>
          <w:sz w:val="22"/>
          <w:szCs w:val="22"/>
        </w:rPr>
      </w:pPr>
    </w:p>
    <w:p w14:paraId="51E9AE9A" w14:textId="34F8581B" w:rsidR="00E41944" w:rsidRPr="007F18FC" w:rsidRDefault="00E41944" w:rsidP="00E41944">
      <w:pPr>
        <w:pStyle w:val="FootnoteText"/>
        <w:rPr>
          <w:szCs w:val="22"/>
        </w:rPr>
      </w:pPr>
      <w:proofErr w:type="spellStart"/>
      <w:r w:rsidRPr="007F18FC">
        <w:rPr>
          <w:szCs w:val="22"/>
        </w:rPr>
        <w:t>Lekson</w:t>
      </w:r>
      <w:proofErr w:type="spellEnd"/>
      <w:r w:rsidRPr="007F18FC">
        <w:rPr>
          <w:szCs w:val="22"/>
        </w:rPr>
        <w:t xml:space="preserve">, Stephen H., </w:t>
      </w:r>
      <w:r w:rsidRPr="007F18FC">
        <w:rPr>
          <w:i/>
          <w:iCs/>
          <w:szCs w:val="22"/>
        </w:rPr>
        <w:t>A History of the Ancient Southwest</w:t>
      </w:r>
      <w:r w:rsidRPr="007F18FC">
        <w:rPr>
          <w:szCs w:val="22"/>
        </w:rPr>
        <w:t xml:space="preserve"> (Santa Fe: School for Advanced Research, 2008)</w:t>
      </w:r>
    </w:p>
    <w:p w14:paraId="2CBB8735" w14:textId="77777777" w:rsidR="00E41944" w:rsidRPr="007F18FC" w:rsidRDefault="00E41944" w:rsidP="00E41944">
      <w:pPr>
        <w:pStyle w:val="FootnoteText"/>
        <w:rPr>
          <w:szCs w:val="22"/>
        </w:rPr>
      </w:pPr>
    </w:p>
    <w:p w14:paraId="3DE98172" w14:textId="4217B5A0" w:rsidR="005C02BE" w:rsidRDefault="005C02BE" w:rsidP="005C02BE">
      <w:pPr>
        <w:pStyle w:val="FootnoteText"/>
        <w:rPr>
          <w:szCs w:val="22"/>
        </w:rPr>
      </w:pPr>
      <w:r w:rsidRPr="007F18FC">
        <w:rPr>
          <w:szCs w:val="22"/>
        </w:rPr>
        <w:t xml:space="preserve">Lewis-Williams, J. David and Thomas A. Dowson, ‘Through the Veil: San Rock Paintings and the Rock Face’, </w:t>
      </w:r>
      <w:r w:rsidRPr="007F18FC">
        <w:rPr>
          <w:i/>
          <w:iCs/>
          <w:szCs w:val="22"/>
        </w:rPr>
        <w:t>The South African Archaeological Bulletin</w:t>
      </w:r>
      <w:r w:rsidRPr="007F18FC">
        <w:rPr>
          <w:szCs w:val="22"/>
        </w:rPr>
        <w:t>, Vol. 45, No. 151 (Jun. 1990), pp. 5-16.</w:t>
      </w:r>
    </w:p>
    <w:p w14:paraId="229F9258" w14:textId="77777777" w:rsidR="005C02BE" w:rsidRPr="007F18FC" w:rsidRDefault="005C02BE" w:rsidP="005C02BE">
      <w:pPr>
        <w:pStyle w:val="FootnoteText"/>
        <w:rPr>
          <w:szCs w:val="22"/>
        </w:rPr>
      </w:pPr>
    </w:p>
    <w:p w14:paraId="313EC203" w14:textId="4CF93B16" w:rsidR="00E41944" w:rsidRPr="007F18FC" w:rsidRDefault="00E41944" w:rsidP="00E41944">
      <w:pPr>
        <w:pStyle w:val="FootnoteText"/>
        <w:rPr>
          <w:szCs w:val="22"/>
        </w:rPr>
      </w:pPr>
      <w:r w:rsidRPr="007F18FC">
        <w:rPr>
          <w:szCs w:val="22"/>
        </w:rPr>
        <w:lastRenderedPageBreak/>
        <w:t xml:space="preserve">Lewis-Williams, J. D., ‘ACRA: a retrospect’, in </w:t>
      </w:r>
      <w:r w:rsidRPr="007F18FC">
        <w:rPr>
          <w:i/>
          <w:iCs/>
          <w:szCs w:val="22"/>
        </w:rPr>
        <w:t xml:space="preserve">Perceiving Rock Art: Social and Political Perspectives, </w:t>
      </w:r>
      <w:r w:rsidRPr="007F18FC">
        <w:rPr>
          <w:szCs w:val="22"/>
        </w:rPr>
        <w:t xml:space="preserve">by K. </w:t>
      </w:r>
      <w:proofErr w:type="spellStart"/>
      <w:r w:rsidRPr="007F18FC">
        <w:rPr>
          <w:szCs w:val="22"/>
        </w:rPr>
        <w:t>Helskog</w:t>
      </w:r>
      <w:proofErr w:type="spellEnd"/>
      <w:r w:rsidRPr="007F18FC">
        <w:rPr>
          <w:szCs w:val="22"/>
        </w:rPr>
        <w:t xml:space="preserve"> and B. Olsen (Oslo: Novus </w:t>
      </w:r>
      <w:proofErr w:type="spellStart"/>
      <w:r w:rsidRPr="007F18FC">
        <w:rPr>
          <w:szCs w:val="22"/>
        </w:rPr>
        <w:t>forlag</w:t>
      </w:r>
      <w:proofErr w:type="spellEnd"/>
      <w:r w:rsidRPr="007F18FC">
        <w:rPr>
          <w:szCs w:val="22"/>
        </w:rPr>
        <w:t xml:space="preserve">, 1995), cited by David S. Whitley, ‘Science and the sacred: interpretive theory in U. S. rock art research’, in </w:t>
      </w:r>
      <w:r w:rsidRPr="007F18FC">
        <w:rPr>
          <w:i/>
          <w:iCs/>
          <w:szCs w:val="22"/>
        </w:rPr>
        <w:t>Theoretical Perspectives on Rock Art Research,</w:t>
      </w:r>
      <w:r w:rsidRPr="007F18FC">
        <w:rPr>
          <w:szCs w:val="22"/>
        </w:rPr>
        <w:t xml:space="preserve"> ed. by Knut </w:t>
      </w:r>
      <w:proofErr w:type="spellStart"/>
      <w:r w:rsidRPr="007F18FC">
        <w:rPr>
          <w:szCs w:val="22"/>
        </w:rPr>
        <w:t>Helskog</w:t>
      </w:r>
      <w:proofErr w:type="spellEnd"/>
      <w:r w:rsidRPr="007F18FC">
        <w:rPr>
          <w:szCs w:val="22"/>
        </w:rPr>
        <w:t xml:space="preserve"> (Oslo: Novus </w:t>
      </w:r>
      <w:proofErr w:type="spellStart"/>
      <w:r w:rsidRPr="007F18FC">
        <w:rPr>
          <w:szCs w:val="22"/>
        </w:rPr>
        <w:t>forlag</w:t>
      </w:r>
      <w:proofErr w:type="spellEnd"/>
      <w:r w:rsidRPr="007F18FC">
        <w:rPr>
          <w:szCs w:val="22"/>
        </w:rPr>
        <w:t>, 2001), pp</w:t>
      </w:r>
      <w:r w:rsidR="00E167EC" w:rsidRPr="007F18FC">
        <w:rPr>
          <w:szCs w:val="22"/>
        </w:rPr>
        <w:t>.</w:t>
      </w:r>
      <w:r w:rsidRPr="007F18FC">
        <w:rPr>
          <w:szCs w:val="22"/>
        </w:rPr>
        <w:t xml:space="preserve"> 124-151. </w:t>
      </w:r>
    </w:p>
    <w:p w14:paraId="0AB38160" w14:textId="77777777" w:rsidR="007B5ED6" w:rsidRPr="007F18FC" w:rsidRDefault="007B5ED6" w:rsidP="00D71105">
      <w:pPr>
        <w:pStyle w:val="FootnoteText"/>
        <w:rPr>
          <w:szCs w:val="22"/>
        </w:rPr>
      </w:pPr>
    </w:p>
    <w:p w14:paraId="54C23C00" w14:textId="39C363A3" w:rsidR="00D71105" w:rsidRPr="007F18FC" w:rsidRDefault="00D71105" w:rsidP="00D71105">
      <w:pPr>
        <w:pStyle w:val="FootnoteText"/>
        <w:rPr>
          <w:szCs w:val="22"/>
        </w:rPr>
      </w:pPr>
      <w:proofErr w:type="spellStart"/>
      <w:r w:rsidRPr="007F18FC">
        <w:rPr>
          <w:szCs w:val="22"/>
        </w:rPr>
        <w:t>Liwosz</w:t>
      </w:r>
      <w:proofErr w:type="spellEnd"/>
      <w:r w:rsidRPr="007F18FC">
        <w:rPr>
          <w:szCs w:val="22"/>
        </w:rPr>
        <w:t xml:space="preserve">, Chester R., ‘Synesthetic Petroglyphs: A </w:t>
      </w:r>
      <w:r w:rsidR="005C02BE">
        <w:rPr>
          <w:szCs w:val="22"/>
        </w:rPr>
        <w:t>V</w:t>
      </w:r>
      <w:r w:rsidRPr="007F18FC">
        <w:rPr>
          <w:szCs w:val="22"/>
        </w:rPr>
        <w:t xml:space="preserve">ision Quest Perspective on the Significance of a Mohave Desert Slot Canyon Rock Art Site’ </w:t>
      </w:r>
      <w:r w:rsidRPr="007F18FC">
        <w:rPr>
          <w:i/>
          <w:iCs/>
          <w:szCs w:val="22"/>
        </w:rPr>
        <w:t xml:space="preserve">Society for California Archaeology Proceedings, </w:t>
      </w:r>
      <w:r w:rsidRPr="007F18FC">
        <w:rPr>
          <w:szCs w:val="22"/>
        </w:rPr>
        <w:t>Vol.</w:t>
      </w:r>
      <w:r w:rsidRPr="007F18FC">
        <w:rPr>
          <w:b/>
          <w:bCs/>
          <w:szCs w:val="22"/>
        </w:rPr>
        <w:t xml:space="preserve"> </w:t>
      </w:r>
      <w:r w:rsidRPr="007F18FC">
        <w:rPr>
          <w:szCs w:val="22"/>
        </w:rPr>
        <w:t>28, (2014), pp. 426-437.</w:t>
      </w:r>
    </w:p>
    <w:p w14:paraId="266B8306" w14:textId="77777777" w:rsidR="00E41944" w:rsidRPr="007F18FC" w:rsidRDefault="00E41944" w:rsidP="00E41944">
      <w:pPr>
        <w:pStyle w:val="Default"/>
        <w:rPr>
          <w:rFonts w:asciiTheme="minorHAnsi" w:hAnsiTheme="minorHAnsi" w:cstheme="minorHAnsi"/>
          <w:sz w:val="22"/>
          <w:szCs w:val="22"/>
        </w:rPr>
      </w:pPr>
    </w:p>
    <w:p w14:paraId="058E33BB" w14:textId="77777777" w:rsidR="00E41944" w:rsidRPr="007F18FC" w:rsidRDefault="00E41944" w:rsidP="00E41944">
      <w:pPr>
        <w:pStyle w:val="FootnoteText"/>
        <w:rPr>
          <w:szCs w:val="22"/>
        </w:rPr>
      </w:pPr>
      <w:r w:rsidRPr="007F18FC">
        <w:rPr>
          <w:szCs w:val="22"/>
        </w:rPr>
        <w:t xml:space="preserve">Loftin, John D., ‘Supplication and Participation: The Distance and Relation of the Sacred in Hopi Prayer Rites’, </w:t>
      </w:r>
      <w:r w:rsidRPr="007F18FC">
        <w:rPr>
          <w:i/>
          <w:iCs/>
          <w:szCs w:val="22"/>
        </w:rPr>
        <w:t xml:space="preserve">Anthropos, </w:t>
      </w:r>
      <w:r w:rsidRPr="007F18FC">
        <w:rPr>
          <w:szCs w:val="22"/>
        </w:rPr>
        <w:t xml:space="preserve">Bd. 81, H 1./3. (1986), pp. 177-201. </w:t>
      </w:r>
    </w:p>
    <w:p w14:paraId="3B634967" w14:textId="77777777" w:rsidR="00E41944" w:rsidRPr="007F18FC" w:rsidRDefault="00E41944" w:rsidP="00E41944">
      <w:pPr>
        <w:pStyle w:val="FootnoteText"/>
        <w:rPr>
          <w:szCs w:val="22"/>
        </w:rPr>
      </w:pPr>
    </w:p>
    <w:p w14:paraId="6B03BE4C" w14:textId="7E62139F" w:rsidR="00E41944" w:rsidRPr="007F18FC" w:rsidRDefault="00E41944" w:rsidP="00E41944">
      <w:pPr>
        <w:pStyle w:val="FootnoteText"/>
        <w:rPr>
          <w:szCs w:val="22"/>
        </w:rPr>
      </w:pPr>
      <w:proofErr w:type="spellStart"/>
      <w:r w:rsidRPr="007F18FC">
        <w:rPr>
          <w:szCs w:val="22"/>
        </w:rPr>
        <w:t>Lomsdalen</w:t>
      </w:r>
      <w:proofErr w:type="spellEnd"/>
      <w:r w:rsidRPr="007F18FC">
        <w:rPr>
          <w:szCs w:val="22"/>
        </w:rPr>
        <w:t xml:space="preserve">, Tore, ‘Can Archaeoastronomy Inform Archaeology on the Building Chronology of the </w:t>
      </w:r>
      <w:proofErr w:type="spellStart"/>
      <w:r w:rsidRPr="007F18FC">
        <w:rPr>
          <w:szCs w:val="22"/>
        </w:rPr>
        <w:t>Mnajdra</w:t>
      </w:r>
      <w:proofErr w:type="spellEnd"/>
      <w:r w:rsidRPr="007F18FC">
        <w:rPr>
          <w:szCs w:val="22"/>
        </w:rPr>
        <w:t xml:space="preserve"> Neolithic Temple in Malta?’, in </w:t>
      </w:r>
      <w:r w:rsidRPr="007F18FC">
        <w:rPr>
          <w:i/>
          <w:iCs/>
          <w:szCs w:val="22"/>
        </w:rPr>
        <w:t>Skyscapes: The Role and Importance of the Sky in Archaeology</w:t>
      </w:r>
      <w:r w:rsidRPr="007F18FC">
        <w:rPr>
          <w:szCs w:val="22"/>
        </w:rPr>
        <w:t>, ed. by Fabio Silva and Nicholas Campion (Oxford: Oxbow Books, 2015</w:t>
      </w:r>
      <w:r w:rsidRPr="008861AB">
        <w:rPr>
          <w:szCs w:val="22"/>
        </w:rPr>
        <w:t>), pp. 59-75</w:t>
      </w:r>
      <w:r w:rsidR="008861AB">
        <w:rPr>
          <w:szCs w:val="22"/>
        </w:rPr>
        <w:t>.</w:t>
      </w:r>
    </w:p>
    <w:p w14:paraId="09A84733" w14:textId="77777777" w:rsidR="00E41944" w:rsidRPr="007F18FC" w:rsidRDefault="00E41944" w:rsidP="00E41944">
      <w:pPr>
        <w:spacing w:after="0" w:line="240" w:lineRule="auto"/>
        <w:rPr>
          <w:sz w:val="22"/>
          <w:szCs w:val="22"/>
        </w:rPr>
      </w:pPr>
    </w:p>
    <w:p w14:paraId="17C01E10" w14:textId="77777777" w:rsidR="00E41944" w:rsidRPr="007F18FC" w:rsidRDefault="00E41944" w:rsidP="00E41944">
      <w:pPr>
        <w:pStyle w:val="FootnoteText"/>
        <w:rPr>
          <w:szCs w:val="22"/>
        </w:rPr>
      </w:pPr>
      <w:r w:rsidRPr="007F18FC">
        <w:rPr>
          <w:szCs w:val="22"/>
        </w:rPr>
        <w:t xml:space="preserve">Mackenzie, </w:t>
      </w:r>
      <w:proofErr w:type="spellStart"/>
      <w:r w:rsidRPr="007F18FC">
        <w:rPr>
          <w:szCs w:val="22"/>
        </w:rPr>
        <w:t>Kierin</w:t>
      </w:r>
      <w:proofErr w:type="spellEnd"/>
      <w:r w:rsidRPr="007F18FC">
        <w:rPr>
          <w:szCs w:val="22"/>
        </w:rPr>
        <w:t xml:space="preserve">, Willington </w:t>
      </w:r>
      <w:proofErr w:type="spellStart"/>
      <w:r w:rsidRPr="007F18FC">
        <w:rPr>
          <w:szCs w:val="22"/>
        </w:rPr>
        <w:t>Siabato</w:t>
      </w:r>
      <w:proofErr w:type="spellEnd"/>
      <w:r w:rsidRPr="007F18FC">
        <w:rPr>
          <w:szCs w:val="22"/>
        </w:rPr>
        <w:t xml:space="preserve">, </w:t>
      </w:r>
      <w:proofErr w:type="spellStart"/>
      <w:r w:rsidRPr="007F18FC">
        <w:rPr>
          <w:szCs w:val="22"/>
        </w:rPr>
        <w:t>Femke</w:t>
      </w:r>
      <w:proofErr w:type="spellEnd"/>
      <w:r w:rsidRPr="007F18FC">
        <w:rPr>
          <w:szCs w:val="22"/>
        </w:rPr>
        <w:t xml:space="preserve"> </w:t>
      </w:r>
      <w:proofErr w:type="spellStart"/>
      <w:r w:rsidRPr="007F18FC">
        <w:rPr>
          <w:szCs w:val="22"/>
        </w:rPr>
        <w:t>Reitsma</w:t>
      </w:r>
      <w:proofErr w:type="spellEnd"/>
      <w:r w:rsidRPr="007F18FC">
        <w:rPr>
          <w:szCs w:val="22"/>
        </w:rPr>
        <w:t xml:space="preserve"> and Christophe </w:t>
      </w:r>
      <w:proofErr w:type="spellStart"/>
      <w:r w:rsidRPr="007F18FC">
        <w:rPr>
          <w:szCs w:val="22"/>
        </w:rPr>
        <w:t>Claramunt</w:t>
      </w:r>
      <w:proofErr w:type="spellEnd"/>
      <w:r w:rsidRPr="007F18FC">
        <w:rPr>
          <w:szCs w:val="22"/>
        </w:rPr>
        <w:t>, ‘</w:t>
      </w:r>
      <w:proofErr w:type="spellStart"/>
      <w:r w:rsidRPr="007F18FC">
        <w:rPr>
          <w:szCs w:val="22"/>
        </w:rPr>
        <w:t>Spatio</w:t>
      </w:r>
      <w:proofErr w:type="spellEnd"/>
      <w:r w:rsidRPr="007F18FC">
        <w:rPr>
          <w:szCs w:val="22"/>
        </w:rPr>
        <w:t xml:space="preserve">-temporal </w:t>
      </w:r>
      <w:proofErr w:type="spellStart"/>
      <w:r w:rsidRPr="007F18FC">
        <w:rPr>
          <w:szCs w:val="22"/>
        </w:rPr>
        <w:t>Visualisation</w:t>
      </w:r>
      <w:proofErr w:type="spellEnd"/>
      <w:r w:rsidRPr="007F18FC">
        <w:rPr>
          <w:szCs w:val="22"/>
        </w:rPr>
        <w:t xml:space="preserve"> and Data Exploration of Traditional Ecological Knowledge/Indigenous Knowledge’, </w:t>
      </w:r>
      <w:r w:rsidRPr="007F18FC">
        <w:rPr>
          <w:i/>
          <w:iCs/>
          <w:szCs w:val="22"/>
        </w:rPr>
        <w:t xml:space="preserve">Conservation &amp; Society, </w:t>
      </w:r>
      <w:r w:rsidRPr="007F18FC">
        <w:rPr>
          <w:szCs w:val="22"/>
        </w:rPr>
        <w:t>Vol. 15, No. 1 (2017), pp. 41-58.</w:t>
      </w:r>
    </w:p>
    <w:p w14:paraId="404DF792" w14:textId="77777777" w:rsidR="00E41944" w:rsidRPr="007F18FC" w:rsidRDefault="00E41944" w:rsidP="00E41944">
      <w:pPr>
        <w:pStyle w:val="FootnoteText"/>
        <w:rPr>
          <w:szCs w:val="22"/>
        </w:rPr>
      </w:pPr>
    </w:p>
    <w:p w14:paraId="0A1F78E1" w14:textId="77777777" w:rsidR="00E41944" w:rsidRPr="007F18FC" w:rsidRDefault="00E41944" w:rsidP="00E41944">
      <w:pPr>
        <w:pStyle w:val="FootnoteText"/>
        <w:rPr>
          <w:szCs w:val="22"/>
        </w:rPr>
      </w:pPr>
      <w:r w:rsidRPr="007F18FC">
        <w:rPr>
          <w:szCs w:val="22"/>
        </w:rPr>
        <w:t xml:space="preserve">Madsen, David B., </w:t>
      </w:r>
      <w:r w:rsidRPr="007F18FC">
        <w:rPr>
          <w:i/>
          <w:iCs/>
          <w:szCs w:val="22"/>
        </w:rPr>
        <w:t xml:space="preserve">Exploring the Fremont </w:t>
      </w:r>
      <w:r w:rsidRPr="007F18FC">
        <w:rPr>
          <w:szCs w:val="22"/>
        </w:rPr>
        <w:t>(Salt Lake City: Utah Museum of Natural History, 1989)</w:t>
      </w:r>
    </w:p>
    <w:p w14:paraId="746D053C" w14:textId="77777777" w:rsidR="00E41944" w:rsidRPr="007F18FC" w:rsidRDefault="00E41944" w:rsidP="00E41944">
      <w:pPr>
        <w:pStyle w:val="FootnoteText"/>
        <w:rPr>
          <w:szCs w:val="22"/>
        </w:rPr>
      </w:pPr>
    </w:p>
    <w:p w14:paraId="156EC32A" w14:textId="77777777" w:rsidR="00E41944" w:rsidRPr="007F18FC" w:rsidRDefault="00E41944" w:rsidP="00E41944">
      <w:pPr>
        <w:pStyle w:val="FootnoteText"/>
        <w:rPr>
          <w:szCs w:val="22"/>
        </w:rPr>
      </w:pPr>
      <w:proofErr w:type="spellStart"/>
      <w:r w:rsidRPr="007F18FC">
        <w:rPr>
          <w:szCs w:val="22"/>
        </w:rPr>
        <w:t>Malotki</w:t>
      </w:r>
      <w:proofErr w:type="spellEnd"/>
      <w:r w:rsidRPr="007F18FC">
        <w:rPr>
          <w:szCs w:val="22"/>
        </w:rPr>
        <w:t xml:space="preserve">, </w:t>
      </w:r>
      <w:proofErr w:type="spellStart"/>
      <w:r w:rsidRPr="007F18FC">
        <w:rPr>
          <w:szCs w:val="22"/>
        </w:rPr>
        <w:t>Ekkehart</w:t>
      </w:r>
      <w:proofErr w:type="spellEnd"/>
      <w:r w:rsidRPr="007F18FC">
        <w:rPr>
          <w:szCs w:val="22"/>
        </w:rPr>
        <w:t xml:space="preserve"> and Dennis E. Weaver, Jr., </w:t>
      </w:r>
      <w:r w:rsidRPr="007F18FC">
        <w:rPr>
          <w:i/>
          <w:iCs/>
          <w:szCs w:val="22"/>
        </w:rPr>
        <w:t>Stone Chisel and Yucca Brush: Colorado Plateau Rock Art</w:t>
      </w:r>
      <w:r w:rsidRPr="007F18FC">
        <w:rPr>
          <w:szCs w:val="22"/>
        </w:rPr>
        <w:t>, (Walnut, CA: Kiva Publishing, 2002)</w:t>
      </w:r>
    </w:p>
    <w:p w14:paraId="5541D92E" w14:textId="77777777" w:rsidR="00E41944" w:rsidRPr="007F18FC" w:rsidRDefault="00E41944" w:rsidP="00E41944">
      <w:pPr>
        <w:pStyle w:val="FootnoteText"/>
        <w:rPr>
          <w:szCs w:val="22"/>
        </w:rPr>
      </w:pPr>
    </w:p>
    <w:p w14:paraId="5A359905" w14:textId="77777777" w:rsidR="00E41944" w:rsidRPr="007F18FC" w:rsidRDefault="00E41944" w:rsidP="00E41944">
      <w:pPr>
        <w:spacing w:after="0" w:line="240" w:lineRule="auto"/>
        <w:rPr>
          <w:sz w:val="22"/>
          <w:szCs w:val="22"/>
        </w:rPr>
      </w:pPr>
      <w:proofErr w:type="spellStart"/>
      <w:r w:rsidRPr="007F18FC">
        <w:rPr>
          <w:sz w:val="22"/>
          <w:szCs w:val="22"/>
        </w:rPr>
        <w:t>Malotki</w:t>
      </w:r>
      <w:proofErr w:type="spellEnd"/>
      <w:r w:rsidRPr="007F18FC">
        <w:rPr>
          <w:sz w:val="22"/>
          <w:szCs w:val="22"/>
        </w:rPr>
        <w:t xml:space="preserve">, </w:t>
      </w:r>
      <w:proofErr w:type="spellStart"/>
      <w:r w:rsidRPr="007F18FC">
        <w:rPr>
          <w:sz w:val="22"/>
          <w:szCs w:val="22"/>
        </w:rPr>
        <w:t>Ekkehart</w:t>
      </w:r>
      <w:proofErr w:type="spellEnd"/>
      <w:r w:rsidRPr="007F18FC">
        <w:rPr>
          <w:sz w:val="22"/>
          <w:szCs w:val="22"/>
        </w:rPr>
        <w:t xml:space="preserve">, ‘Early rock art at the Upper Sand Island Site near Bluff, Utah, United States: addenda et corrigenda’, </w:t>
      </w:r>
      <w:r w:rsidRPr="007F18FC">
        <w:rPr>
          <w:i/>
          <w:iCs/>
          <w:sz w:val="22"/>
          <w:szCs w:val="22"/>
        </w:rPr>
        <w:t xml:space="preserve">Rock Art Research, </w:t>
      </w:r>
      <w:r w:rsidRPr="007F18FC">
        <w:rPr>
          <w:sz w:val="22"/>
          <w:szCs w:val="22"/>
        </w:rPr>
        <w:t>Vol. 29, No. 2, (2012), pp. 234-238.</w:t>
      </w:r>
    </w:p>
    <w:p w14:paraId="553C3074" w14:textId="77777777" w:rsidR="00E41944" w:rsidRPr="007F18FC" w:rsidRDefault="00E41944" w:rsidP="00E41944">
      <w:pPr>
        <w:pStyle w:val="FootnoteText"/>
        <w:rPr>
          <w:szCs w:val="22"/>
        </w:rPr>
      </w:pPr>
    </w:p>
    <w:p w14:paraId="011BB19A" w14:textId="77777777" w:rsidR="00E41944" w:rsidRPr="007F18FC" w:rsidRDefault="00E41944" w:rsidP="00E41944">
      <w:pPr>
        <w:pStyle w:val="FootnoteText"/>
        <w:rPr>
          <w:szCs w:val="22"/>
        </w:rPr>
      </w:pPr>
      <w:proofErr w:type="spellStart"/>
      <w:r w:rsidRPr="007F18FC">
        <w:rPr>
          <w:szCs w:val="22"/>
        </w:rPr>
        <w:t>Malotki</w:t>
      </w:r>
      <w:proofErr w:type="spellEnd"/>
      <w:r w:rsidRPr="007F18FC">
        <w:rPr>
          <w:szCs w:val="22"/>
        </w:rPr>
        <w:t xml:space="preserve">, </w:t>
      </w:r>
      <w:proofErr w:type="spellStart"/>
      <w:r w:rsidRPr="007F18FC">
        <w:rPr>
          <w:szCs w:val="22"/>
        </w:rPr>
        <w:t>Ekkehart</w:t>
      </w:r>
      <w:proofErr w:type="spellEnd"/>
      <w:r w:rsidRPr="007F18FC">
        <w:rPr>
          <w:szCs w:val="22"/>
        </w:rPr>
        <w:t xml:space="preserve"> and Ellen Dissanayake, </w:t>
      </w:r>
      <w:r w:rsidRPr="007F18FC">
        <w:rPr>
          <w:i/>
          <w:iCs/>
          <w:szCs w:val="22"/>
        </w:rPr>
        <w:t xml:space="preserve">Early Rock Art of the American West: The Geometric Enigma </w:t>
      </w:r>
      <w:r w:rsidRPr="007F18FC">
        <w:rPr>
          <w:szCs w:val="22"/>
        </w:rPr>
        <w:t>(Seattle: University of Washington Press, 2018)</w:t>
      </w:r>
    </w:p>
    <w:p w14:paraId="1E792429" w14:textId="77777777" w:rsidR="00E41944" w:rsidRPr="007F18FC" w:rsidRDefault="00E41944" w:rsidP="00E41944">
      <w:pPr>
        <w:spacing w:after="0" w:line="240" w:lineRule="auto"/>
        <w:rPr>
          <w:sz w:val="22"/>
          <w:szCs w:val="22"/>
        </w:rPr>
      </w:pPr>
    </w:p>
    <w:p w14:paraId="286CE9C0" w14:textId="77777777" w:rsidR="00E41944" w:rsidRPr="007F18FC" w:rsidRDefault="00E41944" w:rsidP="00E41944">
      <w:pPr>
        <w:spacing w:after="0" w:line="240" w:lineRule="auto"/>
        <w:rPr>
          <w:sz w:val="22"/>
          <w:szCs w:val="22"/>
        </w:rPr>
      </w:pPr>
      <w:proofErr w:type="spellStart"/>
      <w:r w:rsidRPr="007F18FC">
        <w:rPr>
          <w:sz w:val="22"/>
          <w:szCs w:val="22"/>
        </w:rPr>
        <w:t>Malville</w:t>
      </w:r>
      <w:proofErr w:type="spellEnd"/>
      <w:r w:rsidRPr="007F18FC">
        <w:rPr>
          <w:sz w:val="22"/>
          <w:szCs w:val="22"/>
        </w:rPr>
        <w:t>, J. McKim,</w:t>
      </w:r>
      <w:r w:rsidRPr="007F18FC">
        <w:rPr>
          <w:i/>
          <w:iCs/>
          <w:sz w:val="22"/>
          <w:szCs w:val="22"/>
        </w:rPr>
        <w:t xml:space="preserve"> </w:t>
      </w:r>
      <w:r w:rsidRPr="007F18FC">
        <w:rPr>
          <w:sz w:val="22"/>
          <w:szCs w:val="22"/>
        </w:rPr>
        <w:t>‘Astronomy and Social Integration Among the Anasazi’</w:t>
      </w:r>
      <w:r w:rsidRPr="007F18FC">
        <w:rPr>
          <w:i/>
          <w:iCs/>
          <w:sz w:val="22"/>
          <w:szCs w:val="22"/>
        </w:rPr>
        <w:t xml:space="preserve"> in Proceedings of the Anasazi Symposium 1991, </w:t>
      </w:r>
      <w:r w:rsidRPr="007F18FC">
        <w:rPr>
          <w:sz w:val="22"/>
          <w:szCs w:val="22"/>
        </w:rPr>
        <w:t>compiled by Art Hutchinson and Jack E. Smith (Mesa Verde: Mesa Verde Museum Association, 1991), pp. 149-156.</w:t>
      </w:r>
    </w:p>
    <w:p w14:paraId="75503A35" w14:textId="75A10443" w:rsidR="00E41944" w:rsidRPr="007F18FC" w:rsidRDefault="00E41944" w:rsidP="00E41944">
      <w:pPr>
        <w:spacing w:after="0" w:line="240" w:lineRule="auto"/>
        <w:rPr>
          <w:sz w:val="22"/>
          <w:szCs w:val="22"/>
        </w:rPr>
      </w:pPr>
    </w:p>
    <w:p w14:paraId="3D2D7254" w14:textId="1CC34083" w:rsidR="00844E60" w:rsidRPr="007F18FC" w:rsidRDefault="00844E60" w:rsidP="00E41944">
      <w:pPr>
        <w:spacing w:after="0" w:line="240" w:lineRule="auto"/>
        <w:rPr>
          <w:sz w:val="22"/>
          <w:szCs w:val="22"/>
        </w:rPr>
      </w:pPr>
      <w:proofErr w:type="spellStart"/>
      <w:r w:rsidRPr="007F18FC">
        <w:rPr>
          <w:sz w:val="22"/>
          <w:szCs w:val="22"/>
        </w:rPr>
        <w:t>Malville</w:t>
      </w:r>
      <w:proofErr w:type="spellEnd"/>
      <w:r w:rsidRPr="007F18FC">
        <w:rPr>
          <w:sz w:val="22"/>
          <w:szCs w:val="22"/>
        </w:rPr>
        <w:t xml:space="preserve">, J. McKim, ‘Enigmas of </w:t>
      </w:r>
      <w:proofErr w:type="spellStart"/>
      <w:r w:rsidRPr="007F18FC">
        <w:rPr>
          <w:sz w:val="22"/>
          <w:szCs w:val="22"/>
        </w:rPr>
        <w:t>Fajada</w:t>
      </w:r>
      <w:proofErr w:type="spellEnd"/>
      <w:r w:rsidRPr="007F18FC">
        <w:rPr>
          <w:sz w:val="22"/>
          <w:szCs w:val="22"/>
        </w:rPr>
        <w:t xml:space="preserve"> Butte Chaco Canyon’ </w:t>
      </w:r>
      <w:r w:rsidR="00436888">
        <w:rPr>
          <w:sz w:val="22"/>
          <w:szCs w:val="22"/>
        </w:rPr>
        <w:t>(</w:t>
      </w:r>
      <w:r w:rsidRPr="007F18FC">
        <w:rPr>
          <w:sz w:val="22"/>
          <w:szCs w:val="22"/>
        </w:rPr>
        <w:t>unpublished</w:t>
      </w:r>
      <w:r w:rsidR="00436888">
        <w:rPr>
          <w:sz w:val="22"/>
          <w:szCs w:val="22"/>
        </w:rPr>
        <w:t>)</w:t>
      </w:r>
      <w:r w:rsidRPr="007F18FC">
        <w:rPr>
          <w:sz w:val="22"/>
          <w:szCs w:val="22"/>
        </w:rPr>
        <w:t>.</w:t>
      </w:r>
    </w:p>
    <w:p w14:paraId="49E73B44" w14:textId="77777777" w:rsidR="00844E60" w:rsidRPr="007F18FC" w:rsidRDefault="00844E60" w:rsidP="00E41944">
      <w:pPr>
        <w:spacing w:after="0" w:line="240" w:lineRule="auto"/>
        <w:rPr>
          <w:sz w:val="22"/>
          <w:szCs w:val="22"/>
        </w:rPr>
      </w:pPr>
    </w:p>
    <w:p w14:paraId="21D60871" w14:textId="14B3D415" w:rsidR="00E41944" w:rsidRPr="007F18FC" w:rsidRDefault="00E41944" w:rsidP="00E41944">
      <w:pPr>
        <w:pStyle w:val="FootnoteText"/>
        <w:rPr>
          <w:szCs w:val="22"/>
        </w:rPr>
      </w:pPr>
      <w:proofErr w:type="spellStart"/>
      <w:r w:rsidRPr="007F18FC">
        <w:rPr>
          <w:szCs w:val="22"/>
        </w:rPr>
        <w:t>Malville</w:t>
      </w:r>
      <w:proofErr w:type="spellEnd"/>
      <w:r w:rsidRPr="007F18FC">
        <w:rPr>
          <w:szCs w:val="22"/>
        </w:rPr>
        <w:t xml:space="preserve">, J. McKim, </w:t>
      </w:r>
      <w:r w:rsidRPr="007F18FC">
        <w:rPr>
          <w:i/>
          <w:iCs/>
          <w:szCs w:val="22"/>
        </w:rPr>
        <w:t>Guide to Prehistoric Astronomy in the Southwest, Revised and Updated</w:t>
      </w:r>
      <w:r w:rsidRPr="007F18FC">
        <w:rPr>
          <w:szCs w:val="22"/>
        </w:rPr>
        <w:t xml:space="preserve"> (Boulder: Johnson Books, 2008)</w:t>
      </w:r>
    </w:p>
    <w:p w14:paraId="51DBE38C" w14:textId="77777777" w:rsidR="0021353B" w:rsidRPr="007F18FC" w:rsidRDefault="0021353B" w:rsidP="00E41944">
      <w:pPr>
        <w:pStyle w:val="FootnoteText"/>
        <w:rPr>
          <w:szCs w:val="22"/>
        </w:rPr>
      </w:pPr>
    </w:p>
    <w:p w14:paraId="6F39BA7A" w14:textId="214B4847" w:rsidR="0021353B" w:rsidRPr="007F18FC" w:rsidRDefault="0021353B" w:rsidP="0021353B">
      <w:pPr>
        <w:pStyle w:val="FootnoteText"/>
        <w:rPr>
          <w:szCs w:val="22"/>
        </w:rPr>
      </w:pPr>
      <w:proofErr w:type="spellStart"/>
      <w:r w:rsidRPr="007F18FC">
        <w:rPr>
          <w:szCs w:val="22"/>
        </w:rPr>
        <w:t>Malville</w:t>
      </w:r>
      <w:proofErr w:type="spellEnd"/>
      <w:r w:rsidRPr="007F18FC">
        <w:rPr>
          <w:szCs w:val="22"/>
        </w:rPr>
        <w:t xml:space="preserve">, J. McKim, ‘Climate Change, Nomadic Pastoralism and Astronomy at </w:t>
      </w:r>
      <w:proofErr w:type="spellStart"/>
      <w:r w:rsidRPr="007F18FC">
        <w:rPr>
          <w:szCs w:val="22"/>
        </w:rPr>
        <w:t>Nabta</w:t>
      </w:r>
      <w:proofErr w:type="spellEnd"/>
      <w:r w:rsidRPr="007F18FC">
        <w:rPr>
          <w:szCs w:val="22"/>
        </w:rPr>
        <w:t xml:space="preserve"> Playa, Southern Egypt’, </w:t>
      </w:r>
      <w:r w:rsidR="00436888" w:rsidRPr="007F18FC">
        <w:rPr>
          <w:szCs w:val="22"/>
        </w:rPr>
        <w:t>(</w:t>
      </w:r>
      <w:r w:rsidRPr="007F18FC">
        <w:rPr>
          <w:szCs w:val="22"/>
        </w:rPr>
        <w:t>unpublished,</w:t>
      </w:r>
      <w:r w:rsidR="00436888" w:rsidRPr="007F18FC">
        <w:rPr>
          <w:szCs w:val="22"/>
        </w:rPr>
        <w:t xml:space="preserve"> </w:t>
      </w:r>
      <w:r w:rsidRPr="007F18FC">
        <w:rPr>
          <w:szCs w:val="22"/>
        </w:rPr>
        <w:t>2011)</w:t>
      </w:r>
    </w:p>
    <w:p w14:paraId="76886A9A" w14:textId="6A6E8FA0" w:rsidR="0021353B" w:rsidRPr="007F18FC" w:rsidRDefault="0021353B" w:rsidP="0021353B">
      <w:pPr>
        <w:pStyle w:val="FootnoteText"/>
        <w:rPr>
          <w:szCs w:val="22"/>
        </w:rPr>
      </w:pPr>
    </w:p>
    <w:p w14:paraId="2E88ECBB" w14:textId="4F5CE12F" w:rsidR="0021353B" w:rsidRPr="007F18FC" w:rsidRDefault="0021353B" w:rsidP="0021353B">
      <w:pPr>
        <w:pStyle w:val="FootnoteText"/>
        <w:rPr>
          <w:szCs w:val="22"/>
        </w:rPr>
      </w:pPr>
      <w:proofErr w:type="spellStart"/>
      <w:r w:rsidRPr="007F18FC">
        <w:rPr>
          <w:szCs w:val="22"/>
        </w:rPr>
        <w:t>Malville</w:t>
      </w:r>
      <w:proofErr w:type="spellEnd"/>
      <w:r w:rsidRPr="007F18FC">
        <w:rPr>
          <w:szCs w:val="22"/>
        </w:rPr>
        <w:t xml:space="preserve">, J. McKim, ‘Machu Picchu’ in </w:t>
      </w:r>
      <w:r w:rsidRPr="007F18FC">
        <w:rPr>
          <w:i/>
          <w:iCs/>
          <w:szCs w:val="22"/>
        </w:rPr>
        <w:t>Handbook of Archaeoastronomy and Ethnoastronomy</w:t>
      </w:r>
      <w:r w:rsidRPr="007F18FC">
        <w:rPr>
          <w:szCs w:val="22"/>
        </w:rPr>
        <w:t xml:space="preserve">, ed. Clive L. N. Ruggles (New York: Springer </w:t>
      </w:r>
      <w:proofErr w:type="spellStart"/>
      <w:r w:rsidRPr="007F18FC">
        <w:rPr>
          <w:szCs w:val="22"/>
        </w:rPr>
        <w:t>Science+Business</w:t>
      </w:r>
      <w:proofErr w:type="spellEnd"/>
      <w:r w:rsidRPr="007F18FC">
        <w:rPr>
          <w:szCs w:val="22"/>
        </w:rPr>
        <w:t xml:space="preserve"> Media, 2015), pp. 884-888.</w:t>
      </w:r>
    </w:p>
    <w:p w14:paraId="2B0E989D" w14:textId="77777777" w:rsidR="00E41944" w:rsidRPr="007F18FC" w:rsidRDefault="00E41944" w:rsidP="00E41944">
      <w:pPr>
        <w:pStyle w:val="FootnoteText"/>
        <w:rPr>
          <w:szCs w:val="22"/>
        </w:rPr>
      </w:pPr>
    </w:p>
    <w:p w14:paraId="6A019666" w14:textId="22B14785" w:rsidR="00E41944" w:rsidRPr="007F18FC" w:rsidRDefault="00E41944" w:rsidP="00E41944">
      <w:pPr>
        <w:pStyle w:val="FootnoteText"/>
        <w:rPr>
          <w:szCs w:val="22"/>
        </w:rPr>
      </w:pPr>
      <w:proofErr w:type="spellStart"/>
      <w:r w:rsidRPr="007F18FC">
        <w:rPr>
          <w:szCs w:val="22"/>
        </w:rPr>
        <w:t>Malville</w:t>
      </w:r>
      <w:proofErr w:type="spellEnd"/>
      <w:r w:rsidRPr="007F18FC">
        <w:rPr>
          <w:szCs w:val="22"/>
        </w:rPr>
        <w:t xml:space="preserve">, J. McKim, ‘Preface: The Meaning and Intent in Ancient Skyscapes – An Andean Perspective’, in </w:t>
      </w:r>
      <w:r w:rsidRPr="007F18FC">
        <w:rPr>
          <w:i/>
          <w:iCs/>
          <w:szCs w:val="22"/>
        </w:rPr>
        <w:t>Skyscapes: The Role and Importance of the Sky in Archaeology</w:t>
      </w:r>
      <w:r w:rsidRPr="007F18FC">
        <w:rPr>
          <w:szCs w:val="22"/>
        </w:rPr>
        <w:t xml:space="preserve">, ed. by Fabio Silva and Nicholas Campion (Oxford: Oxbow Books, 2015) </w:t>
      </w:r>
    </w:p>
    <w:p w14:paraId="0611818D" w14:textId="6CBF9AD2" w:rsidR="0021353B" w:rsidRPr="007F18FC" w:rsidRDefault="0021353B" w:rsidP="00E41944">
      <w:pPr>
        <w:pStyle w:val="FootnoteText"/>
        <w:rPr>
          <w:szCs w:val="22"/>
        </w:rPr>
      </w:pPr>
    </w:p>
    <w:p w14:paraId="4F816962" w14:textId="4AC53E84" w:rsidR="006A46F2" w:rsidRPr="007F18FC" w:rsidRDefault="006A46F2" w:rsidP="006A46F2">
      <w:pPr>
        <w:pStyle w:val="FootnoteText"/>
        <w:rPr>
          <w:szCs w:val="22"/>
        </w:rPr>
      </w:pPr>
      <w:proofErr w:type="spellStart"/>
      <w:r w:rsidRPr="007F18FC">
        <w:rPr>
          <w:szCs w:val="22"/>
        </w:rPr>
        <w:lastRenderedPageBreak/>
        <w:t>Malville</w:t>
      </w:r>
      <w:proofErr w:type="spellEnd"/>
      <w:r w:rsidRPr="007F18FC">
        <w:rPr>
          <w:szCs w:val="22"/>
        </w:rPr>
        <w:t xml:space="preserve">, </w:t>
      </w:r>
      <w:r w:rsidR="00522EF7" w:rsidRPr="007F18FC">
        <w:rPr>
          <w:szCs w:val="22"/>
        </w:rPr>
        <w:t xml:space="preserve">J McKim, </w:t>
      </w:r>
      <w:r w:rsidRPr="007F18FC">
        <w:rPr>
          <w:szCs w:val="22"/>
        </w:rPr>
        <w:t xml:space="preserve">‘Animism, Reciprocity and Entanglement’, </w:t>
      </w:r>
      <w:r w:rsidRPr="007F18FC">
        <w:rPr>
          <w:i/>
          <w:iCs/>
          <w:szCs w:val="22"/>
        </w:rPr>
        <w:t xml:space="preserve">Mediterranean Archaeology and Archaeometry, </w:t>
      </w:r>
      <w:r w:rsidRPr="007F18FC">
        <w:rPr>
          <w:szCs w:val="22"/>
        </w:rPr>
        <w:t xml:space="preserve">Vol. 16, No. 4, (2016), pp. 51-58. </w:t>
      </w:r>
    </w:p>
    <w:p w14:paraId="59F3BF50" w14:textId="77777777" w:rsidR="00E41944" w:rsidRPr="007F18FC" w:rsidRDefault="00E41944" w:rsidP="00E41944">
      <w:pPr>
        <w:spacing w:after="0" w:line="240" w:lineRule="auto"/>
        <w:rPr>
          <w:sz w:val="22"/>
          <w:szCs w:val="22"/>
        </w:rPr>
      </w:pPr>
    </w:p>
    <w:p w14:paraId="76FF4E5B" w14:textId="77777777" w:rsidR="00E41944" w:rsidRPr="007F18FC" w:rsidRDefault="00E41944" w:rsidP="00E41944">
      <w:pPr>
        <w:pStyle w:val="FootnoteText"/>
        <w:rPr>
          <w:szCs w:val="22"/>
        </w:rPr>
      </w:pPr>
      <w:proofErr w:type="spellStart"/>
      <w:r w:rsidRPr="007F18FC">
        <w:rPr>
          <w:szCs w:val="22"/>
        </w:rPr>
        <w:t>Malville</w:t>
      </w:r>
      <w:proofErr w:type="spellEnd"/>
      <w:r w:rsidRPr="007F18FC">
        <w:rPr>
          <w:szCs w:val="22"/>
        </w:rPr>
        <w:t>, J. McKim, ‘Entangling the Cosmos: Astronomy of the Ancestral Pueblos – Sacred Skyscapes and Medicine Bundles’ (2021, unpublished)</w:t>
      </w:r>
    </w:p>
    <w:p w14:paraId="3B6DE149" w14:textId="77777777" w:rsidR="00E41944" w:rsidRPr="007F18FC" w:rsidRDefault="00E41944" w:rsidP="00E41944">
      <w:pPr>
        <w:pStyle w:val="FootnoteText"/>
        <w:rPr>
          <w:szCs w:val="22"/>
        </w:rPr>
      </w:pPr>
    </w:p>
    <w:p w14:paraId="01687A7A" w14:textId="1AEDFF0A" w:rsidR="00E41944" w:rsidRDefault="00E41944" w:rsidP="00E41944">
      <w:pPr>
        <w:spacing w:after="0" w:line="240" w:lineRule="auto"/>
        <w:rPr>
          <w:sz w:val="22"/>
          <w:szCs w:val="22"/>
        </w:rPr>
      </w:pPr>
      <w:r w:rsidRPr="007F18FC">
        <w:rPr>
          <w:sz w:val="22"/>
          <w:szCs w:val="22"/>
        </w:rPr>
        <w:t xml:space="preserve">Martineau, LaVan, </w:t>
      </w:r>
      <w:r w:rsidRPr="007F18FC">
        <w:rPr>
          <w:i/>
          <w:iCs/>
          <w:sz w:val="22"/>
          <w:szCs w:val="22"/>
        </w:rPr>
        <w:t>The Rocks Begin to Speak</w:t>
      </w:r>
      <w:r w:rsidRPr="007F18FC">
        <w:rPr>
          <w:sz w:val="22"/>
          <w:szCs w:val="22"/>
        </w:rPr>
        <w:t xml:space="preserve"> (Las Vegas: KC Publications, 1973)</w:t>
      </w:r>
    </w:p>
    <w:p w14:paraId="375DDA3B" w14:textId="77777777" w:rsidR="005C02BE" w:rsidRPr="007F18FC" w:rsidRDefault="005C02BE" w:rsidP="00E41944">
      <w:pPr>
        <w:spacing w:after="0" w:line="240" w:lineRule="auto"/>
        <w:rPr>
          <w:sz w:val="22"/>
          <w:szCs w:val="22"/>
        </w:rPr>
      </w:pPr>
    </w:p>
    <w:p w14:paraId="202F3C57" w14:textId="77777777" w:rsidR="00E41944" w:rsidRPr="007F18FC" w:rsidRDefault="00E41944" w:rsidP="00E41944">
      <w:pPr>
        <w:spacing w:after="0" w:line="240" w:lineRule="auto"/>
        <w:rPr>
          <w:sz w:val="22"/>
          <w:szCs w:val="22"/>
        </w:rPr>
      </w:pPr>
      <w:r w:rsidRPr="007F18FC">
        <w:rPr>
          <w:sz w:val="22"/>
          <w:szCs w:val="22"/>
        </w:rPr>
        <w:t xml:space="preserve">Matson, R. G., William D. </w:t>
      </w:r>
      <w:proofErr w:type="spellStart"/>
      <w:r w:rsidRPr="007F18FC">
        <w:rPr>
          <w:sz w:val="22"/>
          <w:szCs w:val="22"/>
        </w:rPr>
        <w:t>Lipe</w:t>
      </w:r>
      <w:proofErr w:type="spellEnd"/>
      <w:r w:rsidRPr="007F18FC">
        <w:rPr>
          <w:sz w:val="22"/>
          <w:szCs w:val="22"/>
        </w:rPr>
        <w:t xml:space="preserve"> and William R. </w:t>
      </w:r>
      <w:proofErr w:type="spellStart"/>
      <w:r w:rsidRPr="007F18FC">
        <w:rPr>
          <w:sz w:val="22"/>
          <w:szCs w:val="22"/>
        </w:rPr>
        <w:t>Haase</w:t>
      </w:r>
      <w:proofErr w:type="spellEnd"/>
      <w:r w:rsidRPr="007F18FC">
        <w:rPr>
          <w:sz w:val="22"/>
          <w:szCs w:val="22"/>
        </w:rPr>
        <w:t xml:space="preserve"> IV, ‘Adaptational Continuities and Occupational Discontinuities: The Cedar Mesa Anasazi’ </w:t>
      </w:r>
      <w:r w:rsidRPr="007F18FC">
        <w:rPr>
          <w:i/>
          <w:iCs/>
          <w:sz w:val="22"/>
          <w:szCs w:val="22"/>
        </w:rPr>
        <w:t>Journal of Field Archaeology</w:t>
      </w:r>
      <w:r w:rsidRPr="007F18FC">
        <w:rPr>
          <w:sz w:val="22"/>
          <w:szCs w:val="22"/>
        </w:rPr>
        <w:t>, Vol. 15, No. 3 (Autumn, 1988), pp. 245-264.</w:t>
      </w:r>
    </w:p>
    <w:p w14:paraId="4F2A9AEA" w14:textId="073DA4A3" w:rsidR="00E41944" w:rsidRDefault="00E41944" w:rsidP="00E41944">
      <w:pPr>
        <w:pStyle w:val="FootnoteText"/>
        <w:rPr>
          <w:szCs w:val="22"/>
        </w:rPr>
      </w:pPr>
    </w:p>
    <w:p w14:paraId="62E1AFD2" w14:textId="5FA97E23" w:rsidR="00E938BB" w:rsidRDefault="00E938BB" w:rsidP="00E41944">
      <w:pPr>
        <w:pStyle w:val="FootnoteText"/>
        <w:rPr>
          <w:sz w:val="23"/>
          <w:szCs w:val="23"/>
        </w:rPr>
      </w:pPr>
      <w:r>
        <w:rPr>
          <w:sz w:val="23"/>
          <w:szCs w:val="23"/>
        </w:rPr>
        <w:t xml:space="preserve">Mathiowetz, Michael, Polly </w:t>
      </w:r>
      <w:proofErr w:type="spellStart"/>
      <w:r>
        <w:rPr>
          <w:sz w:val="23"/>
          <w:szCs w:val="23"/>
        </w:rPr>
        <w:t>Schaafsma</w:t>
      </w:r>
      <w:proofErr w:type="spellEnd"/>
      <w:r>
        <w:rPr>
          <w:sz w:val="23"/>
          <w:szCs w:val="23"/>
        </w:rPr>
        <w:t xml:space="preserve">, Jeremy </w:t>
      </w:r>
      <w:proofErr w:type="spellStart"/>
      <w:r>
        <w:rPr>
          <w:sz w:val="23"/>
          <w:szCs w:val="23"/>
        </w:rPr>
        <w:t>Coltman</w:t>
      </w:r>
      <w:proofErr w:type="spellEnd"/>
      <w:r>
        <w:rPr>
          <w:sz w:val="23"/>
          <w:szCs w:val="23"/>
        </w:rPr>
        <w:t xml:space="preserve"> and Karl Taube, ‘The Darts of Dawn: The </w:t>
      </w:r>
      <w:proofErr w:type="spellStart"/>
      <w:r>
        <w:rPr>
          <w:sz w:val="23"/>
          <w:szCs w:val="23"/>
        </w:rPr>
        <w:t>Tlahuizcalpantecuhtli</w:t>
      </w:r>
      <w:proofErr w:type="spellEnd"/>
      <w:r>
        <w:rPr>
          <w:sz w:val="23"/>
          <w:szCs w:val="23"/>
        </w:rPr>
        <w:t xml:space="preserve"> Venus Complex in the Iconography of Mesoamerica and the American Southwest’, </w:t>
      </w:r>
      <w:r w:rsidRPr="00E938BB">
        <w:rPr>
          <w:i/>
          <w:iCs/>
          <w:sz w:val="23"/>
          <w:szCs w:val="23"/>
        </w:rPr>
        <w:t>Journal of the Southwest</w:t>
      </w:r>
      <w:r>
        <w:rPr>
          <w:sz w:val="23"/>
          <w:szCs w:val="23"/>
        </w:rPr>
        <w:t>, Vol. 57, No. 1 (Spring 2015), pp. 1-102.</w:t>
      </w:r>
    </w:p>
    <w:p w14:paraId="0458FC61" w14:textId="77777777" w:rsidR="00E938BB" w:rsidRPr="007F18FC" w:rsidRDefault="00E938BB" w:rsidP="00E41944">
      <w:pPr>
        <w:pStyle w:val="FootnoteText"/>
        <w:rPr>
          <w:szCs w:val="22"/>
        </w:rPr>
      </w:pPr>
    </w:p>
    <w:p w14:paraId="3085E906" w14:textId="5DF7F432" w:rsidR="00E41944" w:rsidRDefault="00E41944" w:rsidP="00E41944">
      <w:pPr>
        <w:pStyle w:val="FootnoteText"/>
        <w:rPr>
          <w:szCs w:val="22"/>
        </w:rPr>
      </w:pPr>
      <w:r w:rsidRPr="007F18FC">
        <w:rPr>
          <w:szCs w:val="22"/>
        </w:rPr>
        <w:t xml:space="preserve">Mendez, Alonso, Edwin L. Barnhart, Christopher Powell, and Carol </w:t>
      </w:r>
      <w:proofErr w:type="spellStart"/>
      <w:r w:rsidRPr="007F18FC">
        <w:rPr>
          <w:szCs w:val="22"/>
        </w:rPr>
        <w:t>Karasik</w:t>
      </w:r>
      <w:proofErr w:type="spellEnd"/>
      <w:r w:rsidRPr="007F18FC">
        <w:rPr>
          <w:szCs w:val="22"/>
        </w:rPr>
        <w:t xml:space="preserve">, ‘Astronomical Observations from the Temple of the Sun’ in </w:t>
      </w:r>
      <w:r w:rsidRPr="007F18FC">
        <w:rPr>
          <w:i/>
          <w:iCs/>
          <w:szCs w:val="22"/>
        </w:rPr>
        <w:t>Foundations of New World Cultural Astronomy: A Reader with Commentary</w:t>
      </w:r>
      <w:r w:rsidRPr="007F18FC">
        <w:rPr>
          <w:szCs w:val="22"/>
        </w:rPr>
        <w:t xml:space="preserve">, ed. by Anthony </w:t>
      </w:r>
      <w:proofErr w:type="spellStart"/>
      <w:r w:rsidRPr="007F18FC">
        <w:rPr>
          <w:szCs w:val="22"/>
        </w:rPr>
        <w:t>Aveni</w:t>
      </w:r>
      <w:proofErr w:type="spellEnd"/>
      <w:r w:rsidRPr="007F18FC">
        <w:rPr>
          <w:szCs w:val="22"/>
        </w:rPr>
        <w:t xml:space="preserve"> (Boulder: University Press of Colorado, 2008), pp. 305-346</w:t>
      </w:r>
      <w:r w:rsidR="00436888">
        <w:rPr>
          <w:szCs w:val="22"/>
        </w:rPr>
        <w:t>.</w:t>
      </w:r>
    </w:p>
    <w:p w14:paraId="0C6005E6" w14:textId="5ACEF2F6" w:rsidR="00237FE2" w:rsidRDefault="00237FE2" w:rsidP="00E41944">
      <w:pPr>
        <w:pStyle w:val="FootnoteText"/>
        <w:rPr>
          <w:szCs w:val="22"/>
        </w:rPr>
      </w:pPr>
    </w:p>
    <w:p w14:paraId="504BC03A" w14:textId="19D2EF7C" w:rsidR="00237FE2" w:rsidRPr="007F18FC" w:rsidRDefault="00237FE2" w:rsidP="00E41944">
      <w:pPr>
        <w:pStyle w:val="FootnoteText"/>
        <w:rPr>
          <w:szCs w:val="22"/>
        </w:rPr>
      </w:pPr>
      <w:r w:rsidRPr="00E65BD4">
        <w:rPr>
          <w:rFonts w:eastAsia="Code2000"/>
          <w:szCs w:val="22"/>
        </w:rPr>
        <w:t>Mendez, Alonso</w:t>
      </w:r>
      <w:r>
        <w:rPr>
          <w:rFonts w:eastAsia="Code2000"/>
          <w:szCs w:val="22"/>
        </w:rPr>
        <w:t>,</w:t>
      </w:r>
      <w:r w:rsidRPr="00E65BD4">
        <w:rPr>
          <w:rFonts w:eastAsia="Code2000"/>
          <w:szCs w:val="22"/>
        </w:rPr>
        <w:t xml:space="preserve"> Carol </w:t>
      </w:r>
      <w:proofErr w:type="spellStart"/>
      <w:r w:rsidRPr="00E65BD4">
        <w:rPr>
          <w:rFonts w:eastAsia="Code2000"/>
          <w:szCs w:val="22"/>
        </w:rPr>
        <w:t>Karasik</w:t>
      </w:r>
      <w:proofErr w:type="spellEnd"/>
      <w:r w:rsidRPr="00E65BD4">
        <w:rPr>
          <w:rFonts w:eastAsia="Code2000"/>
          <w:szCs w:val="22"/>
        </w:rPr>
        <w:t>, Edwin L. Barnhart and Christopher</w:t>
      </w:r>
      <w:r>
        <w:rPr>
          <w:rFonts w:eastAsia="Code2000"/>
          <w:szCs w:val="22"/>
        </w:rPr>
        <w:t xml:space="preserve"> </w:t>
      </w:r>
      <w:r w:rsidRPr="00E65BD4">
        <w:rPr>
          <w:rFonts w:eastAsia="Code2000"/>
          <w:szCs w:val="22"/>
        </w:rPr>
        <w:t>Powell</w:t>
      </w:r>
      <w:r>
        <w:rPr>
          <w:rFonts w:eastAsia="Code2000"/>
          <w:szCs w:val="22"/>
        </w:rPr>
        <w:t>, ‘</w:t>
      </w:r>
      <w:r w:rsidRPr="00E65BD4">
        <w:rPr>
          <w:rFonts w:eastAsia="Code2000"/>
          <w:szCs w:val="22"/>
        </w:rPr>
        <w:t>The astronomical architecture of Palenque’s Temple of the Sun</w:t>
      </w:r>
      <w:r>
        <w:rPr>
          <w:rFonts w:eastAsia="Code2000"/>
          <w:szCs w:val="22"/>
        </w:rPr>
        <w:t xml:space="preserve">’, in </w:t>
      </w:r>
      <w:r w:rsidRPr="00237FE2">
        <w:rPr>
          <w:rFonts w:eastAsia="Code2000"/>
          <w:i/>
          <w:iCs/>
          <w:szCs w:val="22"/>
        </w:rPr>
        <w:t>Archaeoastronomy and the Maya</w:t>
      </w:r>
      <w:r>
        <w:rPr>
          <w:rFonts w:eastAsia="Code2000"/>
          <w:szCs w:val="22"/>
        </w:rPr>
        <w:t xml:space="preserve">, (eds.) </w:t>
      </w:r>
      <w:r w:rsidRPr="00E65BD4">
        <w:rPr>
          <w:rFonts w:eastAsia="Code2000"/>
          <w:szCs w:val="22"/>
        </w:rPr>
        <w:t>Gerardo Aldana, Gerardo Villalobos and Edwin L. Barnhart</w:t>
      </w:r>
      <w:r>
        <w:rPr>
          <w:rFonts w:eastAsia="Code2000"/>
          <w:szCs w:val="22"/>
        </w:rPr>
        <w:t xml:space="preserve"> (Oxford:</w:t>
      </w:r>
      <w:r w:rsidRPr="00E65BD4">
        <w:rPr>
          <w:rFonts w:eastAsia="Code2000"/>
          <w:szCs w:val="22"/>
        </w:rPr>
        <w:t xml:space="preserve"> Oxbow Books</w:t>
      </w:r>
      <w:r>
        <w:rPr>
          <w:rFonts w:eastAsia="Code2000"/>
          <w:szCs w:val="22"/>
        </w:rPr>
        <w:t xml:space="preserve">, 2014) </w:t>
      </w:r>
    </w:p>
    <w:p w14:paraId="1C495D74" w14:textId="77777777" w:rsidR="00E41944" w:rsidRPr="007F18FC" w:rsidRDefault="00E41944" w:rsidP="00E41944">
      <w:pPr>
        <w:spacing w:after="0" w:line="240" w:lineRule="auto"/>
        <w:rPr>
          <w:sz w:val="22"/>
          <w:szCs w:val="22"/>
        </w:rPr>
      </w:pPr>
    </w:p>
    <w:p w14:paraId="4592EF8D" w14:textId="77777777" w:rsidR="00E41944" w:rsidRPr="007F18FC" w:rsidRDefault="00E41944" w:rsidP="00E41944">
      <w:pPr>
        <w:spacing w:after="0" w:line="240" w:lineRule="auto"/>
        <w:rPr>
          <w:sz w:val="22"/>
          <w:szCs w:val="22"/>
        </w:rPr>
      </w:pPr>
      <w:r w:rsidRPr="007F18FC">
        <w:rPr>
          <w:sz w:val="22"/>
          <w:szCs w:val="22"/>
        </w:rPr>
        <w:t xml:space="preserve">Middleton, Emily S., Geoffrey M. Smith, William J. Cannon, Mary F. Ricks, ‘Paleoindian rock art: establishing the antiquity of Great Basin Carved Abstract petroglyphs in the northern Great Basin’, </w:t>
      </w:r>
      <w:r w:rsidRPr="007F18FC">
        <w:rPr>
          <w:i/>
          <w:iCs/>
          <w:sz w:val="22"/>
          <w:szCs w:val="22"/>
        </w:rPr>
        <w:t>Journal of Archaeological Science</w:t>
      </w:r>
      <w:r w:rsidRPr="007F18FC">
        <w:rPr>
          <w:sz w:val="22"/>
          <w:szCs w:val="22"/>
        </w:rPr>
        <w:t>, Vol. 43, (2014), pp. 21-30.</w:t>
      </w:r>
    </w:p>
    <w:p w14:paraId="30FCC7D8" w14:textId="77777777" w:rsidR="00E41944" w:rsidRPr="007F18FC" w:rsidRDefault="00E41944" w:rsidP="00E41944">
      <w:pPr>
        <w:pStyle w:val="Default"/>
        <w:rPr>
          <w:rFonts w:asciiTheme="minorHAnsi" w:hAnsiTheme="minorHAnsi" w:cstheme="minorHAnsi"/>
          <w:sz w:val="22"/>
          <w:szCs w:val="22"/>
        </w:rPr>
      </w:pPr>
    </w:p>
    <w:p w14:paraId="6C8B7837" w14:textId="77777777"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Mulligan, Connie J., ‘Anthropological Applications of Ancient DNA: Problems and Prospects’, </w:t>
      </w:r>
      <w:r w:rsidRPr="007F18FC">
        <w:rPr>
          <w:rFonts w:asciiTheme="minorHAnsi" w:hAnsiTheme="minorHAnsi" w:cstheme="minorHAnsi"/>
          <w:i/>
          <w:iCs/>
          <w:sz w:val="22"/>
          <w:szCs w:val="22"/>
        </w:rPr>
        <w:t>American Antiquity</w:t>
      </w:r>
      <w:r w:rsidRPr="007F18FC">
        <w:rPr>
          <w:rFonts w:asciiTheme="minorHAnsi" w:hAnsiTheme="minorHAnsi" w:cstheme="minorHAnsi"/>
          <w:sz w:val="22"/>
          <w:szCs w:val="22"/>
        </w:rPr>
        <w:t>, Vol. 71, No. 2 (Apr. 2006), pp. 365-380.</w:t>
      </w:r>
    </w:p>
    <w:p w14:paraId="3D8FD283" w14:textId="77777777" w:rsidR="00E41944" w:rsidRPr="007F18FC" w:rsidRDefault="00E41944" w:rsidP="00E41944">
      <w:pPr>
        <w:pStyle w:val="FootnoteText"/>
        <w:rPr>
          <w:szCs w:val="22"/>
        </w:rPr>
      </w:pPr>
    </w:p>
    <w:p w14:paraId="518BC13B" w14:textId="38C1854D" w:rsidR="00E41944" w:rsidRPr="007F18FC" w:rsidRDefault="00E41944" w:rsidP="00E41944">
      <w:pPr>
        <w:pStyle w:val="FootnoteText"/>
        <w:rPr>
          <w:szCs w:val="22"/>
        </w:rPr>
      </w:pPr>
      <w:r w:rsidRPr="007F18FC">
        <w:rPr>
          <w:szCs w:val="22"/>
        </w:rPr>
        <w:t xml:space="preserve">Murdock, George </w:t>
      </w:r>
      <w:r w:rsidR="005C02BE" w:rsidRPr="007F18FC">
        <w:rPr>
          <w:szCs w:val="22"/>
        </w:rPr>
        <w:t>P.,</w:t>
      </w:r>
      <w:r w:rsidRPr="007F18FC">
        <w:rPr>
          <w:szCs w:val="22"/>
        </w:rPr>
        <w:t xml:space="preserve"> and Suzanne F. Wilson, ‘Settlement Patterns and Community Organization: Cross-Cultural Codes 3’, </w:t>
      </w:r>
      <w:r w:rsidRPr="007F18FC">
        <w:rPr>
          <w:i/>
          <w:iCs/>
          <w:szCs w:val="22"/>
        </w:rPr>
        <w:t>Ethnology,</w:t>
      </w:r>
      <w:r w:rsidRPr="007F18FC">
        <w:rPr>
          <w:szCs w:val="22"/>
        </w:rPr>
        <w:t xml:space="preserve"> Vol. 11, No. 3 (Jul. 1972), pp. 254-295. </w:t>
      </w:r>
    </w:p>
    <w:p w14:paraId="60FF9C5D" w14:textId="77777777" w:rsidR="00E41944" w:rsidRPr="007F18FC" w:rsidRDefault="00E41944" w:rsidP="00E41944">
      <w:pPr>
        <w:spacing w:after="0" w:line="240" w:lineRule="auto"/>
        <w:rPr>
          <w:sz w:val="22"/>
          <w:szCs w:val="22"/>
        </w:rPr>
      </w:pPr>
    </w:p>
    <w:p w14:paraId="491E7B78" w14:textId="7D3781CA" w:rsidR="00E41944" w:rsidRPr="007F18FC" w:rsidRDefault="00E41944" w:rsidP="00E41944">
      <w:pPr>
        <w:pStyle w:val="FootnoteText"/>
        <w:rPr>
          <w:szCs w:val="22"/>
        </w:rPr>
      </w:pPr>
      <w:r w:rsidRPr="007F18FC">
        <w:rPr>
          <w:szCs w:val="22"/>
        </w:rPr>
        <w:t>Nunn</w:t>
      </w:r>
      <w:r w:rsidR="00753054">
        <w:rPr>
          <w:szCs w:val="22"/>
        </w:rPr>
        <w:t>,</w:t>
      </w:r>
      <w:r w:rsidR="00753054" w:rsidRPr="00753054">
        <w:rPr>
          <w:szCs w:val="22"/>
        </w:rPr>
        <w:t xml:space="preserve"> </w:t>
      </w:r>
      <w:r w:rsidR="00753054" w:rsidRPr="007F18FC">
        <w:rPr>
          <w:szCs w:val="22"/>
        </w:rPr>
        <w:t>Greg</w:t>
      </w:r>
      <w:r w:rsidRPr="007F18FC">
        <w:rPr>
          <w:szCs w:val="22"/>
        </w:rPr>
        <w:t>, personal communication, 2021</w:t>
      </w:r>
    </w:p>
    <w:p w14:paraId="0D2387F2" w14:textId="27230085" w:rsidR="00652291" w:rsidRPr="007F18FC" w:rsidRDefault="00652291" w:rsidP="00E41944">
      <w:pPr>
        <w:spacing w:after="0" w:line="240" w:lineRule="auto"/>
        <w:rPr>
          <w:sz w:val="22"/>
          <w:szCs w:val="22"/>
        </w:rPr>
      </w:pPr>
    </w:p>
    <w:p w14:paraId="04D7AB3D" w14:textId="711E7C8E" w:rsidR="00652291" w:rsidRPr="007F18FC" w:rsidRDefault="00652291" w:rsidP="00E41944">
      <w:pPr>
        <w:spacing w:after="0" w:line="240" w:lineRule="auto"/>
        <w:rPr>
          <w:sz w:val="22"/>
          <w:szCs w:val="22"/>
        </w:rPr>
      </w:pPr>
      <w:proofErr w:type="spellStart"/>
      <w:r w:rsidRPr="007F18FC">
        <w:rPr>
          <w:sz w:val="22"/>
          <w:szCs w:val="22"/>
        </w:rPr>
        <w:t>Ortman</w:t>
      </w:r>
      <w:proofErr w:type="spellEnd"/>
      <w:r w:rsidRPr="007F18FC">
        <w:rPr>
          <w:sz w:val="22"/>
          <w:szCs w:val="22"/>
        </w:rPr>
        <w:t xml:space="preserve">, Scott G., ‘Architectural Metaphor and </w:t>
      </w:r>
      <w:proofErr w:type="spellStart"/>
      <w:r w:rsidRPr="007F18FC">
        <w:rPr>
          <w:sz w:val="22"/>
          <w:szCs w:val="22"/>
        </w:rPr>
        <w:t>Chacoan</w:t>
      </w:r>
      <w:proofErr w:type="spellEnd"/>
      <w:r w:rsidRPr="007F18FC">
        <w:rPr>
          <w:sz w:val="22"/>
          <w:szCs w:val="22"/>
        </w:rPr>
        <w:t xml:space="preserve"> Influence in the Northern San Juan’, in </w:t>
      </w:r>
      <w:r w:rsidRPr="007F18FC">
        <w:rPr>
          <w:i/>
          <w:iCs/>
          <w:sz w:val="22"/>
          <w:szCs w:val="22"/>
        </w:rPr>
        <w:t>Archaeology without Borders: Contact, Commerce, and Change in the U.S. Southwest and Northwestern Mexico</w:t>
      </w:r>
      <w:r w:rsidRPr="007F18FC">
        <w:rPr>
          <w:sz w:val="22"/>
          <w:szCs w:val="22"/>
        </w:rPr>
        <w:t xml:space="preserve">, eds. Laurie D. Webster, Maxine E. </w:t>
      </w:r>
      <w:proofErr w:type="spellStart"/>
      <w:r w:rsidRPr="007F18FC">
        <w:rPr>
          <w:sz w:val="22"/>
          <w:szCs w:val="22"/>
        </w:rPr>
        <w:t>McBrinn</w:t>
      </w:r>
      <w:proofErr w:type="spellEnd"/>
      <w:r w:rsidRPr="007F18FC">
        <w:rPr>
          <w:sz w:val="22"/>
          <w:szCs w:val="22"/>
        </w:rPr>
        <w:t xml:space="preserve"> and Eduardo </w:t>
      </w:r>
      <w:proofErr w:type="spellStart"/>
      <w:r w:rsidRPr="007F18FC">
        <w:rPr>
          <w:sz w:val="22"/>
          <w:szCs w:val="22"/>
        </w:rPr>
        <w:t>Gamboa</w:t>
      </w:r>
      <w:proofErr w:type="spellEnd"/>
      <w:r w:rsidRPr="007F18FC">
        <w:rPr>
          <w:sz w:val="22"/>
          <w:szCs w:val="22"/>
        </w:rPr>
        <w:t xml:space="preserve"> Carrera (Boulder: University Press of Colorado, 2008)</w:t>
      </w:r>
    </w:p>
    <w:p w14:paraId="03CAF78B" w14:textId="77777777" w:rsidR="00E41944" w:rsidRPr="007F18FC" w:rsidRDefault="00E41944" w:rsidP="00E41944">
      <w:pPr>
        <w:spacing w:after="0" w:line="240" w:lineRule="auto"/>
        <w:rPr>
          <w:sz w:val="22"/>
          <w:szCs w:val="22"/>
        </w:rPr>
      </w:pPr>
    </w:p>
    <w:p w14:paraId="0ED8BCD6" w14:textId="054BD43C" w:rsidR="00E41944" w:rsidRPr="007F18FC" w:rsidRDefault="00E41944" w:rsidP="00E41944">
      <w:pPr>
        <w:spacing w:after="0" w:line="240" w:lineRule="auto"/>
        <w:rPr>
          <w:sz w:val="22"/>
          <w:szCs w:val="22"/>
        </w:rPr>
      </w:pPr>
      <w:r w:rsidRPr="007F18FC">
        <w:rPr>
          <w:sz w:val="22"/>
          <w:szCs w:val="22"/>
        </w:rPr>
        <w:t>Patterson, Carol, ‘Ute Indian Rock Art Maps and Game Drives in Western Colorado: A Preliminary Study of Ute</w:t>
      </w:r>
      <w:r w:rsidR="00434FAE" w:rsidRPr="007F18FC">
        <w:rPr>
          <w:sz w:val="22"/>
          <w:szCs w:val="22"/>
        </w:rPr>
        <w:t xml:space="preserve"> </w:t>
      </w:r>
      <w:r w:rsidRPr="007F18FC">
        <w:rPr>
          <w:sz w:val="22"/>
          <w:szCs w:val="22"/>
        </w:rPr>
        <w:t xml:space="preserve">Rock Art Maps in Gunnison Gorge National Conservation Area and Dominguez-Escalante National Conservation Area’, </w:t>
      </w:r>
      <w:r w:rsidRPr="007F18FC">
        <w:rPr>
          <w:i/>
          <w:iCs/>
          <w:sz w:val="22"/>
          <w:szCs w:val="22"/>
        </w:rPr>
        <w:t xml:space="preserve">IFRAO 2013 Proceedings, American Indian Rock Art, </w:t>
      </w:r>
      <w:r w:rsidRPr="007F18FC">
        <w:rPr>
          <w:sz w:val="22"/>
          <w:szCs w:val="22"/>
        </w:rPr>
        <w:t xml:space="preserve">Vol. 40, (2013), pp #-#, ed. by Mavis Greer Session and Peggy Whitehead. </w:t>
      </w:r>
      <w:hyperlink r:id="rId41" w:history="1">
        <w:r w:rsidRPr="007F18FC">
          <w:rPr>
            <w:rStyle w:val="Hyperlink"/>
            <w:sz w:val="22"/>
            <w:szCs w:val="22"/>
          </w:rPr>
          <w:t>https://www.academia.edu/4925944/Ute_Indian_Rock_Art_Maps_and_Game_Drives_in_Western_Colorado_A_Preliminary_Study_of_Ute_Rock_Art_Maps_in_Gunnison_Gorge_National_Conservation_Area_and_Dominguez_Escalante_National_Conservation_Area</w:t>
        </w:r>
      </w:hyperlink>
      <w:r w:rsidRPr="007F18FC">
        <w:rPr>
          <w:sz w:val="22"/>
          <w:szCs w:val="22"/>
        </w:rPr>
        <w:t>, [Accessed February 25, 2022].</w:t>
      </w:r>
    </w:p>
    <w:p w14:paraId="2BD110EB" w14:textId="77777777" w:rsidR="00E41944" w:rsidRPr="007F18FC" w:rsidRDefault="00E41944" w:rsidP="00E41944">
      <w:pPr>
        <w:pStyle w:val="FootnoteText"/>
        <w:rPr>
          <w:szCs w:val="22"/>
        </w:rPr>
      </w:pPr>
    </w:p>
    <w:p w14:paraId="4E5FC248" w14:textId="5DCEDC4C" w:rsidR="00E41944" w:rsidRPr="007F18FC" w:rsidRDefault="00E41944" w:rsidP="00E41944">
      <w:pPr>
        <w:spacing w:after="0" w:line="240" w:lineRule="auto"/>
        <w:rPr>
          <w:sz w:val="22"/>
          <w:szCs w:val="22"/>
        </w:rPr>
      </w:pPr>
      <w:r w:rsidRPr="007F18FC">
        <w:rPr>
          <w:sz w:val="22"/>
          <w:szCs w:val="22"/>
        </w:rPr>
        <w:lastRenderedPageBreak/>
        <w:t xml:space="preserve">Patterson, Carol, ‘Petroglyphs of Western Colorado and the Northern Ute Indian Reservation as Interpreted by Clifford Duncan’, </w:t>
      </w:r>
      <w:r w:rsidRPr="007F18FC">
        <w:rPr>
          <w:i/>
          <w:iCs/>
          <w:sz w:val="22"/>
          <w:szCs w:val="22"/>
        </w:rPr>
        <w:t>Transactions of the American Philosophical Society,</w:t>
      </w:r>
      <w:r w:rsidRPr="007F18FC">
        <w:rPr>
          <w:sz w:val="22"/>
          <w:szCs w:val="22"/>
        </w:rPr>
        <w:t xml:space="preserve"> New Series, Vol. 105, No. 5 (2015), pp. i-151.</w:t>
      </w:r>
    </w:p>
    <w:p w14:paraId="4AAD10E2" w14:textId="77777777" w:rsidR="00E41944" w:rsidRPr="007F18FC" w:rsidRDefault="00E41944" w:rsidP="00E41944">
      <w:pPr>
        <w:pStyle w:val="FootnoteText"/>
        <w:rPr>
          <w:szCs w:val="22"/>
        </w:rPr>
      </w:pPr>
    </w:p>
    <w:p w14:paraId="6C6D87F0" w14:textId="77777777" w:rsidR="00E41944" w:rsidRPr="007F18FC" w:rsidRDefault="00E41944" w:rsidP="00E41944">
      <w:pPr>
        <w:pStyle w:val="FootnoteText"/>
        <w:rPr>
          <w:szCs w:val="22"/>
        </w:rPr>
      </w:pPr>
      <w:r w:rsidRPr="007F18FC">
        <w:rPr>
          <w:szCs w:val="22"/>
        </w:rPr>
        <w:t xml:space="preserve">Patterson, Carol, ‘The </w:t>
      </w:r>
      <w:proofErr w:type="spellStart"/>
      <w:r w:rsidRPr="007F18FC">
        <w:rPr>
          <w:szCs w:val="22"/>
        </w:rPr>
        <w:t>Mu:kwitsi</w:t>
      </w:r>
      <w:proofErr w:type="spellEnd"/>
      <w:r w:rsidRPr="007F18FC">
        <w:rPr>
          <w:szCs w:val="22"/>
        </w:rPr>
        <w:t xml:space="preserve">/Hopi (Fremont) and Numic Immigrants Depicted in Nine Mile Canyon Rock Art.’ (2018), </w:t>
      </w:r>
      <w:hyperlink r:id="rId42" w:history="1">
        <w:r w:rsidRPr="007F18FC">
          <w:rPr>
            <w:rStyle w:val="Hyperlink"/>
            <w:szCs w:val="22"/>
          </w:rPr>
          <w:t>https://www.academia.edu/36439563/The_Mu_kwitsi_Hopi_Fremont_abandonment_and_Numic_Immigrants_into_Nine_Mile_Canyon_as_Depicted_in_the_Rock_Art</w:t>
        </w:r>
      </w:hyperlink>
      <w:r w:rsidRPr="007F18FC">
        <w:rPr>
          <w:szCs w:val="22"/>
        </w:rPr>
        <w:t xml:space="preserve"> [Accessed Mar. 5, 2022]</w:t>
      </w:r>
    </w:p>
    <w:p w14:paraId="4104FA39" w14:textId="77777777" w:rsidR="00E41944" w:rsidRPr="007F18FC" w:rsidRDefault="00E41944" w:rsidP="00E41944">
      <w:pPr>
        <w:pStyle w:val="FootnoteText"/>
        <w:rPr>
          <w:szCs w:val="22"/>
        </w:rPr>
      </w:pPr>
    </w:p>
    <w:p w14:paraId="7700363E" w14:textId="77777777" w:rsidR="00E41944" w:rsidRPr="007F18FC" w:rsidRDefault="00E41944" w:rsidP="00E41944">
      <w:pPr>
        <w:spacing w:after="0" w:line="240" w:lineRule="auto"/>
        <w:rPr>
          <w:sz w:val="22"/>
          <w:szCs w:val="22"/>
        </w:rPr>
      </w:pPr>
      <w:r w:rsidRPr="007F18FC">
        <w:rPr>
          <w:sz w:val="22"/>
          <w:szCs w:val="22"/>
        </w:rPr>
        <w:t xml:space="preserve">Patterson, Carol, ‘What Can Be Learnt from Body Postures and Gestures of Anthropomorphic Figures in Petroglyphs of the Southwest USA’ in </w:t>
      </w:r>
      <w:r w:rsidRPr="007F18FC">
        <w:rPr>
          <w:i/>
          <w:iCs/>
          <w:sz w:val="22"/>
          <w:szCs w:val="22"/>
        </w:rPr>
        <w:t>Anthropomorphic Images in Rock Art Paintings and Rock Carvings</w:t>
      </w:r>
      <w:r w:rsidRPr="007F18FC">
        <w:rPr>
          <w:sz w:val="22"/>
          <w:szCs w:val="22"/>
        </w:rPr>
        <w:t xml:space="preserve">, ed. by Terence </w:t>
      </w:r>
      <w:proofErr w:type="spellStart"/>
      <w:r w:rsidRPr="007F18FC">
        <w:rPr>
          <w:sz w:val="22"/>
          <w:szCs w:val="22"/>
        </w:rPr>
        <w:t>Meaden</w:t>
      </w:r>
      <w:proofErr w:type="spellEnd"/>
      <w:r w:rsidRPr="007F18FC">
        <w:rPr>
          <w:sz w:val="22"/>
          <w:szCs w:val="22"/>
        </w:rPr>
        <w:t xml:space="preserve"> and Herman Bender (Oxford: </w:t>
      </w:r>
      <w:proofErr w:type="spellStart"/>
      <w:r w:rsidRPr="007F18FC">
        <w:rPr>
          <w:sz w:val="22"/>
          <w:szCs w:val="22"/>
        </w:rPr>
        <w:t>Archaeopress</w:t>
      </w:r>
      <w:proofErr w:type="spellEnd"/>
      <w:r w:rsidRPr="007F18FC">
        <w:rPr>
          <w:sz w:val="22"/>
          <w:szCs w:val="22"/>
        </w:rPr>
        <w:t>, 2020), pp. 179-199.</w:t>
      </w:r>
    </w:p>
    <w:p w14:paraId="58490536" w14:textId="77777777" w:rsidR="00434FAE" w:rsidRPr="007F18FC" w:rsidRDefault="00434FAE" w:rsidP="00434FAE">
      <w:pPr>
        <w:spacing w:line="240" w:lineRule="auto"/>
        <w:rPr>
          <w:sz w:val="22"/>
          <w:szCs w:val="22"/>
        </w:rPr>
      </w:pPr>
    </w:p>
    <w:p w14:paraId="6E9AC766" w14:textId="2FE458AB" w:rsidR="00434FAE" w:rsidRPr="007F18FC" w:rsidRDefault="00434FAE" w:rsidP="00434FAE">
      <w:pPr>
        <w:spacing w:line="240" w:lineRule="auto"/>
        <w:rPr>
          <w:sz w:val="22"/>
          <w:szCs w:val="22"/>
        </w:rPr>
      </w:pPr>
      <w:r w:rsidRPr="007F18FC">
        <w:rPr>
          <w:sz w:val="22"/>
          <w:szCs w:val="22"/>
        </w:rPr>
        <w:t xml:space="preserve">Pederson, Joel L., Melissa S. </w:t>
      </w:r>
      <w:proofErr w:type="spellStart"/>
      <w:r w:rsidRPr="007F18FC">
        <w:rPr>
          <w:sz w:val="22"/>
          <w:szCs w:val="22"/>
        </w:rPr>
        <w:t>Chapot</w:t>
      </w:r>
      <w:proofErr w:type="spellEnd"/>
      <w:r w:rsidRPr="007F18FC">
        <w:rPr>
          <w:sz w:val="22"/>
          <w:szCs w:val="22"/>
        </w:rPr>
        <w:t xml:space="preserve">, Steven R. Simms, Reza </w:t>
      </w:r>
      <w:proofErr w:type="spellStart"/>
      <w:r w:rsidRPr="007F18FC">
        <w:rPr>
          <w:sz w:val="22"/>
          <w:szCs w:val="22"/>
        </w:rPr>
        <w:t>Sohbati</w:t>
      </w:r>
      <w:proofErr w:type="spellEnd"/>
      <w:r w:rsidRPr="007F18FC">
        <w:rPr>
          <w:sz w:val="22"/>
          <w:szCs w:val="22"/>
        </w:rPr>
        <w:t xml:space="preserve">, Tammy M. </w:t>
      </w:r>
      <w:proofErr w:type="spellStart"/>
      <w:r w:rsidRPr="007F18FC">
        <w:rPr>
          <w:sz w:val="22"/>
          <w:szCs w:val="22"/>
        </w:rPr>
        <w:t>Rittenour</w:t>
      </w:r>
      <w:proofErr w:type="spellEnd"/>
      <w:r w:rsidRPr="007F18FC">
        <w:rPr>
          <w:sz w:val="22"/>
          <w:szCs w:val="22"/>
        </w:rPr>
        <w:t>, Andrew S. Murray, and Gary Cox,</w:t>
      </w:r>
      <w:r w:rsidRPr="007F18FC">
        <w:rPr>
          <w:rFonts w:eastAsia="Times New Roman"/>
          <w:sz w:val="22"/>
          <w:szCs w:val="22"/>
        </w:rPr>
        <w:t xml:space="preserve"> ‘Age of Barrier Canyon-Style Rock Art Constrained by Cross-Cutting Relations and Luminescence Dating Techniques’, </w:t>
      </w:r>
      <w:r w:rsidRPr="007F18FC">
        <w:rPr>
          <w:rFonts w:eastAsia="Times New Roman"/>
          <w:i/>
          <w:iCs/>
          <w:sz w:val="22"/>
          <w:szCs w:val="22"/>
        </w:rPr>
        <w:t>Proceedings of the National Academy of Sciences of the United States of America</w:t>
      </w:r>
      <w:r w:rsidRPr="007F18FC">
        <w:rPr>
          <w:rFonts w:eastAsia="Times New Roman"/>
          <w:sz w:val="22"/>
          <w:szCs w:val="22"/>
        </w:rPr>
        <w:t>, Vol. 111, no. 36, (2014), pp. 12986–</w:t>
      </w:r>
      <w:r w:rsidR="00E05829">
        <w:rPr>
          <w:rFonts w:eastAsia="Times New Roman"/>
          <w:sz w:val="22"/>
          <w:szCs w:val="22"/>
        </w:rPr>
        <w:t>129</w:t>
      </w:r>
      <w:r w:rsidRPr="007F18FC">
        <w:rPr>
          <w:rFonts w:eastAsia="Times New Roman"/>
          <w:sz w:val="22"/>
          <w:szCs w:val="22"/>
        </w:rPr>
        <w:t xml:space="preserve">91. </w:t>
      </w:r>
      <w:r w:rsidRPr="007F18FC">
        <w:rPr>
          <w:sz w:val="22"/>
          <w:szCs w:val="22"/>
        </w:rPr>
        <w:t xml:space="preserve"> </w:t>
      </w:r>
    </w:p>
    <w:p w14:paraId="229F1563" w14:textId="0A0DAD46" w:rsidR="00E41944" w:rsidRPr="007F18FC" w:rsidRDefault="00E41944" w:rsidP="00E41944">
      <w:pPr>
        <w:pStyle w:val="FootnoteText"/>
        <w:rPr>
          <w:szCs w:val="22"/>
        </w:rPr>
      </w:pPr>
      <w:r w:rsidRPr="007F18FC">
        <w:rPr>
          <w:szCs w:val="22"/>
        </w:rPr>
        <w:t xml:space="preserve">Pierson, Lloyd M., </w:t>
      </w:r>
      <w:r w:rsidRPr="007F18FC">
        <w:rPr>
          <w:i/>
          <w:iCs/>
          <w:szCs w:val="22"/>
        </w:rPr>
        <w:t>Cultural Resource Summary for the East Central Portion of Moab District</w:t>
      </w:r>
      <w:r w:rsidRPr="007F18FC">
        <w:rPr>
          <w:szCs w:val="22"/>
        </w:rPr>
        <w:t>, Bureau of Land Management Cultural Resource Series, Vol. 10, (Salt Lake City: Bureau of Land Management</w:t>
      </w:r>
      <w:r w:rsidR="00AC29C9">
        <w:rPr>
          <w:szCs w:val="22"/>
        </w:rPr>
        <w:t>, 1980</w:t>
      </w:r>
      <w:r w:rsidRPr="007F18FC">
        <w:rPr>
          <w:szCs w:val="22"/>
        </w:rPr>
        <w:t>)</w:t>
      </w:r>
    </w:p>
    <w:p w14:paraId="2B66BAC6" w14:textId="1F1805B7" w:rsidR="006A68CE" w:rsidRPr="007F18FC" w:rsidRDefault="006A68CE" w:rsidP="00E41944">
      <w:pPr>
        <w:pStyle w:val="FootnoteText"/>
        <w:rPr>
          <w:szCs w:val="22"/>
        </w:rPr>
      </w:pPr>
    </w:p>
    <w:p w14:paraId="4DFCF7E6" w14:textId="6BD235D4" w:rsidR="006A68CE" w:rsidRPr="007F18FC" w:rsidRDefault="006A68CE" w:rsidP="006A68CE">
      <w:pPr>
        <w:pStyle w:val="FootnoteText"/>
        <w:rPr>
          <w:szCs w:val="22"/>
        </w:rPr>
      </w:pPr>
      <w:proofErr w:type="spellStart"/>
      <w:r w:rsidRPr="007F18FC">
        <w:rPr>
          <w:szCs w:val="22"/>
        </w:rPr>
        <w:t>Porr</w:t>
      </w:r>
      <w:proofErr w:type="spellEnd"/>
      <w:r w:rsidRPr="007F18FC">
        <w:rPr>
          <w:szCs w:val="22"/>
        </w:rPr>
        <w:t xml:space="preserve">, Martin and Hannah Rachel Bell, ‘” Rock-art”, “Animism” and Two-way Thinking: Towards a Complementary Epistemology in the Understanding of Material Culture and “Rock-art” of Hunting and Gathering People’, </w:t>
      </w:r>
      <w:r w:rsidRPr="007F18FC">
        <w:rPr>
          <w:i/>
          <w:iCs/>
          <w:szCs w:val="22"/>
        </w:rPr>
        <w:t>Journal of Archaeological Method and Theory</w:t>
      </w:r>
      <w:r w:rsidRPr="007F18FC">
        <w:rPr>
          <w:szCs w:val="22"/>
        </w:rPr>
        <w:t xml:space="preserve">, Vol. 19, No. 1 (March 2012), pp. 161-205. </w:t>
      </w:r>
    </w:p>
    <w:p w14:paraId="35E5AB94" w14:textId="77777777" w:rsidR="00E41944" w:rsidRPr="007F18FC" w:rsidRDefault="00E41944" w:rsidP="00E41944">
      <w:pPr>
        <w:spacing w:after="0" w:line="240" w:lineRule="auto"/>
        <w:rPr>
          <w:sz w:val="22"/>
          <w:szCs w:val="22"/>
        </w:rPr>
      </w:pPr>
    </w:p>
    <w:p w14:paraId="34C4D965" w14:textId="0BF44AC9" w:rsidR="00E41944" w:rsidRPr="007F18FC" w:rsidRDefault="00E41944" w:rsidP="00E41944">
      <w:pPr>
        <w:spacing w:after="0" w:line="240" w:lineRule="auto"/>
        <w:rPr>
          <w:sz w:val="22"/>
          <w:szCs w:val="22"/>
        </w:rPr>
      </w:pPr>
      <w:proofErr w:type="spellStart"/>
      <w:r w:rsidRPr="007F18FC">
        <w:rPr>
          <w:sz w:val="22"/>
          <w:szCs w:val="22"/>
        </w:rPr>
        <w:t>Posthumus</w:t>
      </w:r>
      <w:proofErr w:type="spellEnd"/>
      <w:r w:rsidRPr="007F18FC">
        <w:rPr>
          <w:sz w:val="22"/>
          <w:szCs w:val="22"/>
        </w:rPr>
        <w:t xml:space="preserve">, David C., ‘The Living Rock, Grandfather of All Things’ in </w:t>
      </w:r>
      <w:r w:rsidRPr="007F18FC">
        <w:rPr>
          <w:i/>
          <w:iCs/>
          <w:sz w:val="22"/>
          <w:szCs w:val="22"/>
        </w:rPr>
        <w:t>All My Relatives: Exploring Lakota Ontology, Belief, and Ritual</w:t>
      </w:r>
      <w:r w:rsidRPr="007F18FC">
        <w:rPr>
          <w:sz w:val="22"/>
          <w:szCs w:val="22"/>
        </w:rPr>
        <w:t xml:space="preserve"> (Lincoln: University of Nebraska Press, 2018), pp. 73-91.</w:t>
      </w:r>
    </w:p>
    <w:p w14:paraId="7ED4CA09" w14:textId="77777777" w:rsidR="00E41944" w:rsidRPr="007F18FC" w:rsidRDefault="00E41944" w:rsidP="00E41944">
      <w:pPr>
        <w:pStyle w:val="FootnoteText"/>
        <w:rPr>
          <w:szCs w:val="22"/>
        </w:rPr>
      </w:pPr>
    </w:p>
    <w:p w14:paraId="4457AD03" w14:textId="43413A46" w:rsidR="00E41944" w:rsidRPr="007F18FC" w:rsidRDefault="0032564F" w:rsidP="00E41944">
      <w:pPr>
        <w:pStyle w:val="FootnoteText"/>
        <w:rPr>
          <w:szCs w:val="22"/>
        </w:rPr>
      </w:pPr>
      <w:proofErr w:type="spellStart"/>
      <w:r w:rsidRPr="007F18FC">
        <w:rPr>
          <w:szCs w:val="22"/>
        </w:rPr>
        <w:t>Prasciunas</w:t>
      </w:r>
      <w:proofErr w:type="spellEnd"/>
      <w:r w:rsidRPr="007F18FC">
        <w:rPr>
          <w:szCs w:val="22"/>
        </w:rPr>
        <w:t xml:space="preserve">, Mary M., ‘Mapping Clovis: Projectile Points, Behavior and Bias’, </w:t>
      </w:r>
      <w:r w:rsidRPr="007F18FC">
        <w:rPr>
          <w:i/>
          <w:iCs/>
          <w:szCs w:val="22"/>
        </w:rPr>
        <w:t xml:space="preserve">American Antiquity, </w:t>
      </w:r>
      <w:r w:rsidRPr="007F18FC">
        <w:rPr>
          <w:szCs w:val="22"/>
        </w:rPr>
        <w:t>Vol. 76, No. 1, (2011), pp. 107-127.</w:t>
      </w:r>
    </w:p>
    <w:p w14:paraId="1FA4087F" w14:textId="34E85CCE" w:rsidR="0032564F" w:rsidRPr="007F18FC" w:rsidRDefault="0032564F" w:rsidP="00E41944">
      <w:pPr>
        <w:pStyle w:val="FootnoteText"/>
        <w:rPr>
          <w:szCs w:val="22"/>
        </w:rPr>
      </w:pPr>
    </w:p>
    <w:p w14:paraId="513D135E" w14:textId="4710F83B" w:rsidR="00434FAE" w:rsidRPr="007F18FC" w:rsidRDefault="00434FAE" w:rsidP="00E41944">
      <w:pPr>
        <w:pStyle w:val="FootnoteText"/>
        <w:rPr>
          <w:szCs w:val="22"/>
        </w:rPr>
      </w:pPr>
      <w:r w:rsidRPr="007F18FC">
        <w:rPr>
          <w:szCs w:val="22"/>
        </w:rPr>
        <w:t xml:space="preserve">Rowe, Marvin, in a letter to Dr. Nancy </w:t>
      </w:r>
      <w:proofErr w:type="spellStart"/>
      <w:r w:rsidRPr="007F18FC">
        <w:rPr>
          <w:szCs w:val="22"/>
        </w:rPr>
        <w:t>Coulam</w:t>
      </w:r>
      <w:proofErr w:type="spellEnd"/>
      <w:r w:rsidRPr="007F18FC">
        <w:rPr>
          <w:szCs w:val="22"/>
        </w:rPr>
        <w:t>, Canyonlands National Park, cited in Tipps,</w:t>
      </w:r>
      <w:r w:rsidRPr="007F18FC">
        <w:rPr>
          <w:i/>
          <w:iCs/>
          <w:szCs w:val="22"/>
        </w:rPr>
        <w:t xml:space="preserve"> Holocene</w:t>
      </w:r>
      <w:r w:rsidRPr="007F18FC">
        <w:rPr>
          <w:szCs w:val="22"/>
        </w:rPr>
        <w:t>, p.156</w:t>
      </w:r>
    </w:p>
    <w:p w14:paraId="2D3DBF80" w14:textId="77777777" w:rsidR="00434FAE" w:rsidRPr="007F18FC" w:rsidRDefault="00434FAE" w:rsidP="00E41944">
      <w:pPr>
        <w:spacing w:after="0" w:line="240" w:lineRule="auto"/>
        <w:rPr>
          <w:sz w:val="22"/>
          <w:szCs w:val="22"/>
        </w:rPr>
      </w:pPr>
    </w:p>
    <w:p w14:paraId="72951BBC" w14:textId="16AAB065" w:rsidR="00E41944" w:rsidRPr="007F18FC" w:rsidRDefault="00E41944" w:rsidP="00E41944">
      <w:pPr>
        <w:spacing w:after="0" w:line="240" w:lineRule="auto"/>
        <w:rPr>
          <w:sz w:val="22"/>
          <w:szCs w:val="22"/>
        </w:rPr>
      </w:pPr>
      <w:r w:rsidRPr="007F18FC">
        <w:rPr>
          <w:sz w:val="22"/>
          <w:szCs w:val="22"/>
        </w:rPr>
        <w:t xml:space="preserve">Ruggles, Clive, </w:t>
      </w:r>
      <w:r w:rsidRPr="007F18FC">
        <w:rPr>
          <w:i/>
          <w:iCs/>
          <w:sz w:val="22"/>
          <w:szCs w:val="22"/>
        </w:rPr>
        <w:t>Astronomy in Prehistoric Britain and Ireland</w:t>
      </w:r>
      <w:r w:rsidRPr="007F18FC">
        <w:rPr>
          <w:sz w:val="22"/>
          <w:szCs w:val="22"/>
        </w:rPr>
        <w:t xml:space="preserve"> (New Haven and London: Yale University Press, 1999)</w:t>
      </w:r>
    </w:p>
    <w:p w14:paraId="037FD1C5" w14:textId="77777777" w:rsidR="00E05829" w:rsidRDefault="00E05829" w:rsidP="0032564F">
      <w:pPr>
        <w:spacing w:after="0" w:line="240" w:lineRule="auto"/>
        <w:rPr>
          <w:sz w:val="22"/>
          <w:szCs w:val="22"/>
        </w:rPr>
      </w:pPr>
    </w:p>
    <w:p w14:paraId="1C05B506" w14:textId="4DCF764C" w:rsidR="0032564F" w:rsidRPr="007F18FC" w:rsidRDefault="0032564F" w:rsidP="0032564F">
      <w:pPr>
        <w:spacing w:after="0" w:line="240" w:lineRule="auto"/>
        <w:rPr>
          <w:sz w:val="22"/>
          <w:szCs w:val="22"/>
        </w:rPr>
      </w:pPr>
      <w:r w:rsidRPr="007F18FC">
        <w:rPr>
          <w:sz w:val="22"/>
          <w:szCs w:val="22"/>
        </w:rPr>
        <w:t xml:space="preserve">Ruggles, Clive L.N., ‘Stonehenge and its Landscape’, in </w:t>
      </w:r>
      <w:r w:rsidRPr="007F18FC">
        <w:rPr>
          <w:i/>
          <w:iCs/>
          <w:sz w:val="22"/>
          <w:szCs w:val="22"/>
        </w:rPr>
        <w:t>Handbook of Archaeoastronomy and Ethnoastronomy</w:t>
      </w:r>
      <w:r w:rsidRPr="007F18FC">
        <w:rPr>
          <w:sz w:val="22"/>
          <w:szCs w:val="22"/>
        </w:rPr>
        <w:t xml:space="preserve">, ed. Clive L. N. Ruggles (New York: Springer </w:t>
      </w:r>
      <w:proofErr w:type="spellStart"/>
      <w:r w:rsidRPr="007F18FC">
        <w:rPr>
          <w:sz w:val="22"/>
          <w:szCs w:val="22"/>
        </w:rPr>
        <w:t>Science+Business</w:t>
      </w:r>
      <w:proofErr w:type="spellEnd"/>
      <w:r w:rsidRPr="007F18FC">
        <w:rPr>
          <w:sz w:val="22"/>
          <w:szCs w:val="22"/>
        </w:rPr>
        <w:t xml:space="preserve"> Media, 2015), pp. 122</w:t>
      </w:r>
      <w:r w:rsidR="00431CD6">
        <w:rPr>
          <w:sz w:val="22"/>
          <w:szCs w:val="22"/>
        </w:rPr>
        <w:t>3-1238.</w:t>
      </w:r>
    </w:p>
    <w:p w14:paraId="11EEC587" w14:textId="77777777" w:rsidR="0032564F" w:rsidRPr="007F18FC" w:rsidRDefault="0032564F" w:rsidP="0032564F">
      <w:pPr>
        <w:spacing w:after="0" w:line="240" w:lineRule="auto"/>
        <w:rPr>
          <w:sz w:val="22"/>
          <w:szCs w:val="22"/>
        </w:rPr>
      </w:pPr>
    </w:p>
    <w:p w14:paraId="0A35719B" w14:textId="6A733219" w:rsidR="00E41944" w:rsidRPr="007F18FC" w:rsidRDefault="00E41944" w:rsidP="00E41944">
      <w:pPr>
        <w:pStyle w:val="FootnoteText"/>
        <w:rPr>
          <w:szCs w:val="22"/>
        </w:rPr>
      </w:pPr>
      <w:proofErr w:type="spellStart"/>
      <w:r w:rsidRPr="007F18FC">
        <w:rPr>
          <w:szCs w:val="22"/>
        </w:rPr>
        <w:t>Rundstrom</w:t>
      </w:r>
      <w:proofErr w:type="spellEnd"/>
      <w:r w:rsidRPr="007F18FC">
        <w:rPr>
          <w:szCs w:val="22"/>
        </w:rPr>
        <w:t xml:space="preserve">, R.A., ‘Mapping, the white man’s burden.’ </w:t>
      </w:r>
      <w:r w:rsidRPr="007F18FC">
        <w:rPr>
          <w:i/>
          <w:iCs/>
          <w:szCs w:val="22"/>
        </w:rPr>
        <w:t xml:space="preserve">The common property resource digest, </w:t>
      </w:r>
      <w:r w:rsidRPr="007F18FC">
        <w:rPr>
          <w:szCs w:val="22"/>
        </w:rPr>
        <w:t>Vol.</w:t>
      </w:r>
      <w:r w:rsidRPr="007F18FC">
        <w:rPr>
          <w:i/>
          <w:iCs/>
          <w:szCs w:val="22"/>
        </w:rPr>
        <w:t xml:space="preserve"> </w:t>
      </w:r>
      <w:r w:rsidRPr="007F18FC">
        <w:rPr>
          <w:szCs w:val="22"/>
        </w:rPr>
        <w:t xml:space="preserve">45, (1998), pp. 1–9, cited by </w:t>
      </w:r>
      <w:proofErr w:type="spellStart"/>
      <w:r w:rsidRPr="007F18FC">
        <w:rPr>
          <w:szCs w:val="22"/>
        </w:rPr>
        <w:t>Kierin</w:t>
      </w:r>
      <w:proofErr w:type="spellEnd"/>
      <w:r w:rsidRPr="007F18FC">
        <w:rPr>
          <w:szCs w:val="22"/>
        </w:rPr>
        <w:t xml:space="preserve"> Mackenzie, Willington </w:t>
      </w:r>
      <w:proofErr w:type="spellStart"/>
      <w:r w:rsidRPr="007F18FC">
        <w:rPr>
          <w:szCs w:val="22"/>
        </w:rPr>
        <w:t>Siabato</w:t>
      </w:r>
      <w:proofErr w:type="spellEnd"/>
      <w:r w:rsidRPr="007F18FC">
        <w:rPr>
          <w:szCs w:val="22"/>
        </w:rPr>
        <w:t xml:space="preserve">, </w:t>
      </w:r>
      <w:proofErr w:type="spellStart"/>
      <w:r w:rsidRPr="007F18FC">
        <w:rPr>
          <w:szCs w:val="22"/>
        </w:rPr>
        <w:t>Femke</w:t>
      </w:r>
      <w:proofErr w:type="spellEnd"/>
      <w:r w:rsidRPr="007F18FC">
        <w:rPr>
          <w:szCs w:val="22"/>
        </w:rPr>
        <w:t xml:space="preserve"> </w:t>
      </w:r>
      <w:proofErr w:type="spellStart"/>
      <w:r w:rsidRPr="007F18FC">
        <w:rPr>
          <w:szCs w:val="22"/>
        </w:rPr>
        <w:t>Reitsma</w:t>
      </w:r>
      <w:proofErr w:type="spellEnd"/>
      <w:r w:rsidRPr="007F18FC">
        <w:rPr>
          <w:szCs w:val="22"/>
        </w:rPr>
        <w:t xml:space="preserve"> and Christophe </w:t>
      </w:r>
      <w:proofErr w:type="spellStart"/>
      <w:r w:rsidRPr="007F18FC">
        <w:rPr>
          <w:szCs w:val="22"/>
        </w:rPr>
        <w:t>Claramunt</w:t>
      </w:r>
      <w:proofErr w:type="spellEnd"/>
      <w:r w:rsidRPr="007F18FC">
        <w:rPr>
          <w:szCs w:val="22"/>
        </w:rPr>
        <w:t>, ‘</w:t>
      </w:r>
      <w:proofErr w:type="spellStart"/>
      <w:r w:rsidRPr="007F18FC">
        <w:rPr>
          <w:szCs w:val="22"/>
        </w:rPr>
        <w:t>Spatio</w:t>
      </w:r>
      <w:proofErr w:type="spellEnd"/>
      <w:r w:rsidRPr="007F18FC">
        <w:rPr>
          <w:szCs w:val="22"/>
        </w:rPr>
        <w:t xml:space="preserve">-temporal </w:t>
      </w:r>
      <w:proofErr w:type="spellStart"/>
      <w:r w:rsidRPr="007F18FC">
        <w:rPr>
          <w:szCs w:val="22"/>
        </w:rPr>
        <w:t>Visualisation</w:t>
      </w:r>
      <w:proofErr w:type="spellEnd"/>
      <w:r w:rsidRPr="007F18FC">
        <w:rPr>
          <w:szCs w:val="22"/>
        </w:rPr>
        <w:t xml:space="preserve"> and Data Exploration of Traditional Ecological Knowledge/Indigenous Knowledge’, </w:t>
      </w:r>
      <w:r w:rsidRPr="007F18FC">
        <w:rPr>
          <w:i/>
          <w:iCs/>
          <w:szCs w:val="22"/>
        </w:rPr>
        <w:t xml:space="preserve">Conservation &amp; Society, </w:t>
      </w:r>
      <w:r w:rsidRPr="007F18FC">
        <w:rPr>
          <w:szCs w:val="22"/>
        </w:rPr>
        <w:t>Vol. 15, No. 1 (2017), pp. 41-58.</w:t>
      </w:r>
    </w:p>
    <w:p w14:paraId="488FC74D" w14:textId="77777777" w:rsidR="00E41944" w:rsidRPr="007F18FC" w:rsidRDefault="00E41944" w:rsidP="00E41944">
      <w:pPr>
        <w:pStyle w:val="FootnoteText"/>
        <w:rPr>
          <w:szCs w:val="22"/>
        </w:rPr>
      </w:pPr>
    </w:p>
    <w:p w14:paraId="3F53EF78" w14:textId="4CAAA6D2" w:rsidR="00E41944" w:rsidRPr="007F18FC" w:rsidRDefault="00E41944" w:rsidP="00E41944">
      <w:pPr>
        <w:spacing w:after="0" w:line="240" w:lineRule="auto"/>
        <w:rPr>
          <w:sz w:val="22"/>
          <w:szCs w:val="22"/>
        </w:rPr>
      </w:pPr>
      <w:r w:rsidRPr="007F18FC">
        <w:rPr>
          <w:sz w:val="22"/>
          <w:szCs w:val="22"/>
        </w:rPr>
        <w:t xml:space="preserve">Sabo III, George and Jan F. </w:t>
      </w:r>
      <w:proofErr w:type="spellStart"/>
      <w:r w:rsidRPr="007F18FC">
        <w:rPr>
          <w:sz w:val="22"/>
          <w:szCs w:val="22"/>
        </w:rPr>
        <w:t>Simek</w:t>
      </w:r>
      <w:proofErr w:type="spellEnd"/>
      <w:r w:rsidRPr="007F18FC">
        <w:rPr>
          <w:sz w:val="22"/>
          <w:szCs w:val="22"/>
        </w:rPr>
        <w:t xml:space="preserve">, ‘Materiality and cultural landscapes in Native America’ </w:t>
      </w:r>
      <w:r w:rsidRPr="007F18FC">
        <w:rPr>
          <w:i/>
          <w:iCs/>
          <w:sz w:val="22"/>
          <w:szCs w:val="22"/>
        </w:rPr>
        <w:t xml:space="preserve">Transforming the Landscape: Rock Art and the Mississippian Cosmos, </w:t>
      </w:r>
      <w:r w:rsidRPr="007F18FC">
        <w:rPr>
          <w:sz w:val="22"/>
          <w:szCs w:val="22"/>
        </w:rPr>
        <w:t>ed. by</w:t>
      </w:r>
      <w:r w:rsidRPr="007F18FC">
        <w:rPr>
          <w:i/>
          <w:iCs/>
          <w:sz w:val="22"/>
          <w:szCs w:val="22"/>
        </w:rPr>
        <w:t xml:space="preserve"> </w:t>
      </w:r>
      <w:r w:rsidRPr="007F18FC">
        <w:rPr>
          <w:sz w:val="22"/>
          <w:szCs w:val="22"/>
        </w:rPr>
        <w:t xml:space="preserve">Carol Diaz-Granados, Jan </w:t>
      </w:r>
      <w:proofErr w:type="spellStart"/>
      <w:r w:rsidRPr="007F18FC">
        <w:rPr>
          <w:sz w:val="22"/>
          <w:szCs w:val="22"/>
        </w:rPr>
        <w:t>Simek</w:t>
      </w:r>
      <w:proofErr w:type="spellEnd"/>
      <w:r w:rsidRPr="007F18FC">
        <w:rPr>
          <w:sz w:val="22"/>
          <w:szCs w:val="22"/>
        </w:rPr>
        <w:t>, George Sabo III and Mark Wagner (Oxford: Oxbow Books, Limited, 2018)</w:t>
      </w:r>
    </w:p>
    <w:p w14:paraId="49CEA7FF" w14:textId="180FB615" w:rsidR="00E167EC" w:rsidRPr="007F18FC" w:rsidRDefault="00E167EC" w:rsidP="00E41944">
      <w:pPr>
        <w:spacing w:after="0" w:line="240" w:lineRule="auto"/>
        <w:rPr>
          <w:sz w:val="22"/>
          <w:szCs w:val="22"/>
        </w:rPr>
      </w:pPr>
    </w:p>
    <w:p w14:paraId="2DC9124E" w14:textId="27A4B3C1" w:rsidR="00E167EC" w:rsidRPr="007F18FC" w:rsidRDefault="00E167EC" w:rsidP="00E41944">
      <w:pPr>
        <w:spacing w:after="0" w:line="240" w:lineRule="auto"/>
        <w:rPr>
          <w:sz w:val="22"/>
          <w:szCs w:val="22"/>
        </w:rPr>
      </w:pPr>
      <w:proofErr w:type="spellStart"/>
      <w:r w:rsidRPr="007F18FC">
        <w:rPr>
          <w:sz w:val="22"/>
          <w:szCs w:val="22"/>
        </w:rPr>
        <w:t>Sanmark</w:t>
      </w:r>
      <w:proofErr w:type="spellEnd"/>
      <w:r w:rsidRPr="007F18FC">
        <w:rPr>
          <w:sz w:val="22"/>
          <w:szCs w:val="22"/>
        </w:rPr>
        <w:t xml:space="preserve">, Alexandra, ‘Assembly Research: Past and Present’, in </w:t>
      </w:r>
      <w:r w:rsidRPr="007F18FC">
        <w:rPr>
          <w:i/>
          <w:iCs/>
          <w:sz w:val="22"/>
          <w:szCs w:val="22"/>
        </w:rPr>
        <w:t>Viking Law and Order</w:t>
      </w:r>
      <w:r w:rsidRPr="007F18FC">
        <w:rPr>
          <w:sz w:val="22"/>
          <w:szCs w:val="22"/>
        </w:rPr>
        <w:t xml:space="preserve">: </w:t>
      </w:r>
      <w:r w:rsidRPr="007F18FC">
        <w:rPr>
          <w:i/>
          <w:iCs/>
          <w:sz w:val="22"/>
          <w:szCs w:val="22"/>
        </w:rPr>
        <w:t>Places and Rituals of Assembly in the Medieval North</w:t>
      </w:r>
      <w:r w:rsidRPr="007F18FC">
        <w:rPr>
          <w:sz w:val="22"/>
          <w:szCs w:val="22"/>
        </w:rPr>
        <w:t xml:space="preserve"> (Edinburgh: Edinburgh University Press, 2019)</w:t>
      </w:r>
    </w:p>
    <w:p w14:paraId="7490CCE0" w14:textId="72109E70" w:rsidR="00DE5D6E" w:rsidRPr="007F18FC" w:rsidRDefault="00DE5D6E" w:rsidP="00E41944">
      <w:pPr>
        <w:spacing w:after="0" w:line="240" w:lineRule="auto"/>
        <w:rPr>
          <w:sz w:val="22"/>
          <w:szCs w:val="22"/>
        </w:rPr>
      </w:pPr>
    </w:p>
    <w:p w14:paraId="029B32A4" w14:textId="6CA9E90E" w:rsidR="00DE5D6E" w:rsidRPr="007F18FC" w:rsidRDefault="00DE5D6E" w:rsidP="00E41944">
      <w:pPr>
        <w:spacing w:after="0" w:line="240" w:lineRule="auto"/>
        <w:rPr>
          <w:sz w:val="22"/>
          <w:szCs w:val="22"/>
        </w:rPr>
      </w:pPr>
      <w:proofErr w:type="spellStart"/>
      <w:r w:rsidRPr="007F18FC">
        <w:rPr>
          <w:sz w:val="22"/>
          <w:szCs w:val="22"/>
        </w:rPr>
        <w:t>Schaafsma</w:t>
      </w:r>
      <w:proofErr w:type="spellEnd"/>
      <w:r w:rsidRPr="007F18FC">
        <w:rPr>
          <w:sz w:val="22"/>
          <w:szCs w:val="22"/>
        </w:rPr>
        <w:t xml:space="preserve">, </w:t>
      </w:r>
      <w:r w:rsidR="000C07C2" w:rsidRPr="007F18FC">
        <w:rPr>
          <w:sz w:val="22"/>
          <w:szCs w:val="22"/>
        </w:rPr>
        <w:t xml:space="preserve">Polly, </w:t>
      </w:r>
      <w:r w:rsidRPr="007F18FC">
        <w:rPr>
          <w:i/>
          <w:iCs/>
          <w:sz w:val="22"/>
          <w:szCs w:val="22"/>
        </w:rPr>
        <w:t xml:space="preserve">Indian Rock Art of the Southwest </w:t>
      </w:r>
      <w:r w:rsidRPr="007F18FC">
        <w:rPr>
          <w:sz w:val="22"/>
          <w:szCs w:val="22"/>
        </w:rPr>
        <w:t>(Santa Fe and Albuquerque: School of American Research and University of New Mexico Press, 1980)</w:t>
      </w:r>
    </w:p>
    <w:p w14:paraId="7E2BEA83" w14:textId="57CBAB1D" w:rsidR="00E41944" w:rsidRPr="007F18FC" w:rsidRDefault="00E41944" w:rsidP="00E41944">
      <w:pPr>
        <w:spacing w:after="0" w:line="240" w:lineRule="auto"/>
        <w:rPr>
          <w:sz w:val="22"/>
          <w:szCs w:val="22"/>
        </w:rPr>
      </w:pPr>
    </w:p>
    <w:p w14:paraId="3B70659B" w14:textId="30107F71" w:rsidR="000D74AD" w:rsidRPr="007F18FC" w:rsidRDefault="000D74AD" w:rsidP="00E41944">
      <w:pPr>
        <w:spacing w:after="0" w:line="240" w:lineRule="auto"/>
        <w:rPr>
          <w:sz w:val="22"/>
          <w:szCs w:val="22"/>
        </w:rPr>
      </w:pPr>
      <w:proofErr w:type="spellStart"/>
      <w:r w:rsidRPr="007F18FC">
        <w:rPr>
          <w:sz w:val="22"/>
          <w:szCs w:val="22"/>
        </w:rPr>
        <w:t>Schaafsma</w:t>
      </w:r>
      <w:proofErr w:type="spellEnd"/>
      <w:r w:rsidR="00D71105" w:rsidRPr="007F18FC">
        <w:rPr>
          <w:sz w:val="22"/>
          <w:szCs w:val="22"/>
        </w:rPr>
        <w:t>, Polly</w:t>
      </w:r>
      <w:r w:rsidRPr="007F18FC">
        <w:rPr>
          <w:sz w:val="22"/>
          <w:szCs w:val="22"/>
        </w:rPr>
        <w:t xml:space="preserve">, ‘Form, Content, and Function: Theory and Method in North American Rock Art Studies’, </w:t>
      </w:r>
      <w:r w:rsidRPr="007F18FC">
        <w:rPr>
          <w:i/>
          <w:iCs/>
          <w:sz w:val="22"/>
          <w:szCs w:val="22"/>
        </w:rPr>
        <w:t>Advances in Archaeological Method and Theory</w:t>
      </w:r>
      <w:r w:rsidRPr="007F18FC">
        <w:rPr>
          <w:sz w:val="22"/>
          <w:szCs w:val="22"/>
        </w:rPr>
        <w:t>, Vol. 8 (1985), pp. 237-277.</w:t>
      </w:r>
    </w:p>
    <w:p w14:paraId="4B8E6939" w14:textId="77777777" w:rsidR="000D74AD" w:rsidRPr="007F18FC" w:rsidRDefault="000D74AD" w:rsidP="00E41944">
      <w:pPr>
        <w:spacing w:after="0" w:line="240" w:lineRule="auto"/>
        <w:rPr>
          <w:sz w:val="22"/>
          <w:szCs w:val="22"/>
        </w:rPr>
      </w:pPr>
    </w:p>
    <w:p w14:paraId="1216B639" w14:textId="6876E8A9" w:rsidR="00E41944" w:rsidRPr="007F18FC" w:rsidRDefault="00E41944" w:rsidP="00E41944">
      <w:pPr>
        <w:pStyle w:val="FootnoteText"/>
        <w:rPr>
          <w:szCs w:val="22"/>
        </w:rPr>
      </w:pPr>
      <w:proofErr w:type="spellStart"/>
      <w:r w:rsidRPr="007F18FC">
        <w:rPr>
          <w:color w:val="000000"/>
          <w:szCs w:val="22"/>
        </w:rPr>
        <w:t>Schaafsma</w:t>
      </w:r>
      <w:proofErr w:type="spellEnd"/>
      <w:r w:rsidRPr="007F18FC">
        <w:rPr>
          <w:color w:val="000000"/>
          <w:szCs w:val="22"/>
        </w:rPr>
        <w:t>, Polly and M. Jane Young</w:t>
      </w:r>
      <w:r w:rsidRPr="007F18FC">
        <w:rPr>
          <w:szCs w:val="22"/>
        </w:rPr>
        <w:t xml:space="preserve">, </w:t>
      </w:r>
      <w:r w:rsidRPr="007F18FC">
        <w:rPr>
          <w:color w:val="000000"/>
          <w:szCs w:val="22"/>
        </w:rPr>
        <w:t>‘Rock Art of the Zuni Region: Cultural-Historical Implications’</w:t>
      </w:r>
      <w:r w:rsidRPr="007F18FC">
        <w:rPr>
          <w:szCs w:val="22"/>
        </w:rPr>
        <w:t xml:space="preserve"> in</w:t>
      </w:r>
      <w:r w:rsidRPr="007F18FC">
        <w:rPr>
          <w:i/>
          <w:iCs/>
          <w:szCs w:val="22"/>
        </w:rPr>
        <w:t xml:space="preserve"> </w:t>
      </w:r>
      <w:r w:rsidRPr="007F18FC">
        <w:rPr>
          <w:i/>
          <w:iCs/>
          <w:color w:val="000000"/>
          <w:szCs w:val="22"/>
        </w:rPr>
        <w:t>Zuni Origins</w:t>
      </w:r>
      <w:r w:rsidRPr="007F18FC">
        <w:rPr>
          <w:i/>
          <w:iCs/>
          <w:szCs w:val="22"/>
        </w:rPr>
        <w:t xml:space="preserve">: </w:t>
      </w:r>
      <w:r w:rsidRPr="007F18FC">
        <w:rPr>
          <w:i/>
          <w:iCs/>
          <w:color w:val="000000"/>
          <w:szCs w:val="22"/>
        </w:rPr>
        <w:t>Toward a New Synthesis of Southwestern Archaeology</w:t>
      </w:r>
      <w:r w:rsidRPr="007F18FC">
        <w:rPr>
          <w:i/>
          <w:iCs/>
          <w:szCs w:val="22"/>
        </w:rPr>
        <w:t xml:space="preserve">, </w:t>
      </w:r>
      <w:r w:rsidRPr="007F18FC">
        <w:rPr>
          <w:szCs w:val="22"/>
        </w:rPr>
        <w:t>ed</w:t>
      </w:r>
      <w:r w:rsidR="00E05829">
        <w:rPr>
          <w:szCs w:val="22"/>
        </w:rPr>
        <w:t>s</w:t>
      </w:r>
      <w:r w:rsidRPr="007F18FC">
        <w:rPr>
          <w:szCs w:val="22"/>
        </w:rPr>
        <w:t>.</w:t>
      </w:r>
      <w:r w:rsidRPr="007F18FC">
        <w:rPr>
          <w:color w:val="000000"/>
          <w:szCs w:val="22"/>
        </w:rPr>
        <w:t xml:space="preserve"> David A. Gregory</w:t>
      </w:r>
      <w:r w:rsidRPr="007F18FC">
        <w:rPr>
          <w:szCs w:val="22"/>
        </w:rPr>
        <w:t xml:space="preserve"> and</w:t>
      </w:r>
      <w:r w:rsidRPr="007F18FC">
        <w:rPr>
          <w:color w:val="000000"/>
          <w:szCs w:val="22"/>
        </w:rPr>
        <w:t xml:space="preserve"> David R. Wilcox</w:t>
      </w:r>
      <w:r w:rsidRPr="007F18FC">
        <w:rPr>
          <w:szCs w:val="22"/>
        </w:rPr>
        <w:t xml:space="preserve"> (Tucson: </w:t>
      </w:r>
      <w:r w:rsidRPr="007F18FC">
        <w:rPr>
          <w:color w:val="000000"/>
          <w:szCs w:val="22"/>
        </w:rPr>
        <w:t>Published by: University of Arizona Press</w:t>
      </w:r>
      <w:r w:rsidRPr="007F18FC">
        <w:rPr>
          <w:szCs w:val="22"/>
        </w:rPr>
        <w:t xml:space="preserve">, </w:t>
      </w:r>
      <w:r w:rsidRPr="007F18FC">
        <w:rPr>
          <w:color w:val="000000"/>
          <w:szCs w:val="22"/>
        </w:rPr>
        <w:t>2007)</w:t>
      </w:r>
    </w:p>
    <w:p w14:paraId="0C596434" w14:textId="77777777" w:rsidR="00E41944" w:rsidRPr="007F18FC" w:rsidRDefault="00E41944" w:rsidP="00E41944">
      <w:pPr>
        <w:pStyle w:val="FootnoteText"/>
        <w:rPr>
          <w:szCs w:val="22"/>
        </w:rPr>
      </w:pPr>
    </w:p>
    <w:p w14:paraId="5C65DAE8" w14:textId="77777777" w:rsidR="00E41944" w:rsidRPr="007F18FC" w:rsidRDefault="00E41944" w:rsidP="00E41944">
      <w:pPr>
        <w:pStyle w:val="FootnoteText"/>
        <w:rPr>
          <w:szCs w:val="22"/>
        </w:rPr>
      </w:pPr>
      <w:r w:rsidRPr="007F18FC">
        <w:rPr>
          <w:szCs w:val="22"/>
        </w:rPr>
        <w:t xml:space="preserve">Silva, Fabio, ‘The Role and Importance of the Sky in Archaeology: An Introduction’ in </w:t>
      </w:r>
      <w:r w:rsidRPr="007F18FC">
        <w:rPr>
          <w:i/>
          <w:iCs/>
          <w:szCs w:val="22"/>
        </w:rPr>
        <w:t xml:space="preserve">Skyscapes: The Role and Importance of the Sky in Archaeology, </w:t>
      </w:r>
      <w:r w:rsidRPr="007F18FC">
        <w:rPr>
          <w:szCs w:val="22"/>
        </w:rPr>
        <w:t>eds. Fabio Silva and Nicholas Campion (Oxford and Philadelphia: Oxbow Books, 2015)</w:t>
      </w:r>
    </w:p>
    <w:p w14:paraId="4A8BE314" w14:textId="77777777" w:rsidR="00E41944" w:rsidRPr="007F18FC" w:rsidRDefault="00E41944" w:rsidP="00E41944">
      <w:pPr>
        <w:pStyle w:val="FootnoteText"/>
        <w:rPr>
          <w:szCs w:val="22"/>
        </w:rPr>
      </w:pPr>
    </w:p>
    <w:p w14:paraId="73934636" w14:textId="77777777" w:rsidR="00E41944" w:rsidRPr="007F18FC" w:rsidRDefault="00E41944" w:rsidP="00E41944">
      <w:pPr>
        <w:pStyle w:val="FootnoteText"/>
        <w:rPr>
          <w:szCs w:val="22"/>
        </w:rPr>
      </w:pPr>
      <w:r w:rsidRPr="007F18FC">
        <w:rPr>
          <w:szCs w:val="22"/>
        </w:rPr>
        <w:t xml:space="preserve">Smiley, Francis E., ‘The Agricultural Transition in the Northern Southwest: Patterns in the Current Chronometric Data’, </w:t>
      </w:r>
      <w:r w:rsidRPr="007F18FC">
        <w:rPr>
          <w:i/>
          <w:iCs/>
          <w:szCs w:val="22"/>
        </w:rPr>
        <w:t>Kiva</w:t>
      </w:r>
      <w:r w:rsidRPr="007F18FC">
        <w:rPr>
          <w:szCs w:val="22"/>
        </w:rPr>
        <w:t xml:space="preserve">, Vol. 60, No. 2, Anasazi Origins: Recent Research on the </w:t>
      </w:r>
      <w:proofErr w:type="spellStart"/>
      <w:r w:rsidRPr="007F18FC">
        <w:rPr>
          <w:szCs w:val="22"/>
        </w:rPr>
        <w:t>Basketmaker</w:t>
      </w:r>
      <w:proofErr w:type="spellEnd"/>
      <w:r w:rsidRPr="007F18FC">
        <w:rPr>
          <w:szCs w:val="22"/>
        </w:rPr>
        <w:t xml:space="preserve"> II (Winter, 1994), pp. 165-189.</w:t>
      </w:r>
    </w:p>
    <w:p w14:paraId="0B574424" w14:textId="77777777" w:rsidR="00E05829" w:rsidRDefault="00E05829" w:rsidP="00E41944">
      <w:pPr>
        <w:pStyle w:val="Default"/>
        <w:rPr>
          <w:rFonts w:asciiTheme="minorHAnsi" w:hAnsiTheme="minorHAnsi" w:cstheme="minorHAnsi"/>
          <w:sz w:val="22"/>
          <w:szCs w:val="22"/>
        </w:rPr>
      </w:pPr>
    </w:p>
    <w:p w14:paraId="4578C7A8" w14:textId="34C88306"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Smiley, Francis E., ‘Kayenta Farmers and Villagers’ in </w:t>
      </w:r>
      <w:r w:rsidRPr="007F18FC">
        <w:rPr>
          <w:rFonts w:asciiTheme="minorHAnsi" w:hAnsiTheme="minorHAnsi" w:cstheme="minorHAnsi"/>
          <w:i/>
          <w:iCs/>
          <w:sz w:val="22"/>
          <w:szCs w:val="22"/>
        </w:rPr>
        <w:t>Prehistoric Culture Change on the Colorado Plateau: Ten Thousand Years on Black Mesa</w:t>
      </w:r>
      <w:r w:rsidRPr="007F18FC">
        <w:rPr>
          <w:rFonts w:asciiTheme="minorHAnsi" w:hAnsiTheme="minorHAnsi" w:cstheme="minorHAnsi"/>
          <w:sz w:val="22"/>
          <w:szCs w:val="22"/>
        </w:rPr>
        <w:t>, eds. Shirley Powell and Francis E. Smiley (Tucson: University of Arizona Press, 2002)</w:t>
      </w:r>
    </w:p>
    <w:p w14:paraId="4590492E" w14:textId="77777777" w:rsidR="00E41944" w:rsidRPr="007F18FC" w:rsidRDefault="00E41944" w:rsidP="00E41944">
      <w:pPr>
        <w:pStyle w:val="Default"/>
        <w:rPr>
          <w:rFonts w:asciiTheme="minorHAnsi" w:hAnsiTheme="minorHAnsi" w:cstheme="minorHAnsi"/>
          <w:sz w:val="22"/>
          <w:szCs w:val="22"/>
        </w:rPr>
      </w:pPr>
    </w:p>
    <w:p w14:paraId="4B5438AF" w14:textId="4C3A373F" w:rsidR="00E41944" w:rsidRDefault="00E41944" w:rsidP="00E41944">
      <w:pPr>
        <w:pStyle w:val="Default"/>
        <w:rPr>
          <w:rFonts w:asciiTheme="minorHAnsi" w:hAnsiTheme="minorHAnsi" w:cstheme="minorHAnsi"/>
          <w:sz w:val="22"/>
          <w:szCs w:val="22"/>
        </w:rPr>
      </w:pPr>
      <w:proofErr w:type="spellStart"/>
      <w:r w:rsidRPr="007F18FC">
        <w:rPr>
          <w:rFonts w:asciiTheme="minorHAnsi" w:hAnsiTheme="minorHAnsi" w:cstheme="minorHAnsi"/>
          <w:sz w:val="22"/>
          <w:szCs w:val="22"/>
        </w:rPr>
        <w:t>Sofaer</w:t>
      </w:r>
      <w:proofErr w:type="spellEnd"/>
      <w:r w:rsidRPr="007F18FC">
        <w:rPr>
          <w:rFonts w:asciiTheme="minorHAnsi" w:hAnsiTheme="minorHAnsi" w:cstheme="minorHAnsi"/>
          <w:sz w:val="22"/>
          <w:szCs w:val="22"/>
        </w:rPr>
        <w:t xml:space="preserve">, Anna, Volker </w:t>
      </w:r>
      <w:proofErr w:type="spellStart"/>
      <w:r w:rsidRPr="007F18FC">
        <w:rPr>
          <w:rFonts w:asciiTheme="minorHAnsi" w:hAnsiTheme="minorHAnsi" w:cstheme="minorHAnsi"/>
          <w:sz w:val="22"/>
          <w:szCs w:val="22"/>
        </w:rPr>
        <w:t>Zinser</w:t>
      </w:r>
      <w:proofErr w:type="spellEnd"/>
      <w:r w:rsidRPr="007F18FC">
        <w:rPr>
          <w:rFonts w:asciiTheme="minorHAnsi" w:hAnsiTheme="minorHAnsi" w:cstheme="minorHAnsi"/>
          <w:sz w:val="22"/>
          <w:szCs w:val="22"/>
        </w:rPr>
        <w:t xml:space="preserve"> and Rolf M. Sinclair, ‘A Unique Solar Marking Construct’, </w:t>
      </w:r>
      <w:r w:rsidRPr="007F18FC">
        <w:rPr>
          <w:rFonts w:asciiTheme="minorHAnsi" w:hAnsiTheme="minorHAnsi" w:cstheme="minorHAnsi"/>
          <w:i/>
          <w:iCs/>
          <w:sz w:val="22"/>
          <w:szCs w:val="22"/>
        </w:rPr>
        <w:t>Science</w:t>
      </w:r>
      <w:r w:rsidRPr="007F18FC">
        <w:rPr>
          <w:rFonts w:asciiTheme="minorHAnsi" w:hAnsiTheme="minorHAnsi" w:cstheme="minorHAnsi"/>
          <w:sz w:val="22"/>
          <w:szCs w:val="22"/>
        </w:rPr>
        <w:t>, New Series, Vol. 206, No. 4416 (Oct. 19, 1979), pp. 283-291.</w:t>
      </w:r>
    </w:p>
    <w:p w14:paraId="70664580" w14:textId="1E8522A2" w:rsidR="00237FE2" w:rsidRDefault="00237FE2" w:rsidP="00E41944">
      <w:pPr>
        <w:pStyle w:val="Default"/>
        <w:rPr>
          <w:rFonts w:asciiTheme="minorHAnsi" w:hAnsiTheme="minorHAnsi" w:cstheme="minorHAnsi"/>
          <w:sz w:val="22"/>
          <w:szCs w:val="22"/>
        </w:rPr>
      </w:pPr>
    </w:p>
    <w:p w14:paraId="1511D780" w14:textId="07896ACF" w:rsidR="00237FE2" w:rsidRPr="007F18FC" w:rsidRDefault="00237FE2" w:rsidP="00237FE2">
      <w:pPr>
        <w:pStyle w:val="FootnoteText"/>
        <w:rPr>
          <w:szCs w:val="22"/>
        </w:rPr>
      </w:pPr>
      <w:proofErr w:type="spellStart"/>
      <w:r w:rsidRPr="00B329FD">
        <w:rPr>
          <w:szCs w:val="22"/>
        </w:rPr>
        <w:t>Šprajc</w:t>
      </w:r>
      <w:proofErr w:type="spellEnd"/>
      <w:r>
        <w:rPr>
          <w:szCs w:val="22"/>
        </w:rPr>
        <w:t xml:space="preserve">, </w:t>
      </w:r>
      <w:r w:rsidRPr="00B329FD">
        <w:rPr>
          <w:szCs w:val="22"/>
        </w:rPr>
        <w:t>Ivan</w:t>
      </w:r>
      <w:r>
        <w:rPr>
          <w:szCs w:val="22"/>
        </w:rPr>
        <w:t>,</w:t>
      </w:r>
      <w:r w:rsidRPr="00B329FD">
        <w:rPr>
          <w:szCs w:val="22"/>
        </w:rPr>
        <w:t xml:space="preserve"> </w:t>
      </w:r>
      <w:r>
        <w:rPr>
          <w:szCs w:val="22"/>
        </w:rPr>
        <w:t>‘</w:t>
      </w:r>
      <w:r w:rsidRPr="00B329FD">
        <w:rPr>
          <w:szCs w:val="22"/>
        </w:rPr>
        <w:t>Astronomical Alignments at Teotihuacan, Mexico</w:t>
      </w:r>
      <w:r>
        <w:rPr>
          <w:szCs w:val="22"/>
        </w:rPr>
        <w:t xml:space="preserve">’, </w:t>
      </w:r>
      <w:r w:rsidRPr="00B329FD">
        <w:rPr>
          <w:i/>
          <w:iCs/>
          <w:szCs w:val="22"/>
        </w:rPr>
        <w:t>Latin American Antiquity</w:t>
      </w:r>
      <w:r w:rsidRPr="00B329FD">
        <w:rPr>
          <w:szCs w:val="22"/>
        </w:rPr>
        <w:t>, Vol. 11, No. 4 (Dec. 2000), pp. 403-415</w:t>
      </w:r>
      <w:r>
        <w:rPr>
          <w:szCs w:val="22"/>
        </w:rPr>
        <w:t>.</w:t>
      </w:r>
    </w:p>
    <w:p w14:paraId="790F7CA5" w14:textId="77777777" w:rsidR="00E41944" w:rsidRPr="007F18FC" w:rsidRDefault="00E41944" w:rsidP="00E41944">
      <w:pPr>
        <w:pStyle w:val="FootnoteText"/>
        <w:rPr>
          <w:szCs w:val="22"/>
        </w:rPr>
      </w:pPr>
    </w:p>
    <w:p w14:paraId="622DB56F" w14:textId="2DDDCD14" w:rsidR="00E41944" w:rsidRPr="007F18FC" w:rsidRDefault="00E41944" w:rsidP="00E41944">
      <w:pPr>
        <w:pStyle w:val="FootnoteText"/>
        <w:rPr>
          <w:szCs w:val="22"/>
        </w:rPr>
      </w:pPr>
      <w:proofErr w:type="spellStart"/>
      <w:r w:rsidRPr="007F18FC">
        <w:rPr>
          <w:szCs w:val="22"/>
        </w:rPr>
        <w:t>Šprajc</w:t>
      </w:r>
      <w:proofErr w:type="spellEnd"/>
      <w:r w:rsidRPr="007F18FC">
        <w:rPr>
          <w:szCs w:val="22"/>
        </w:rPr>
        <w:t xml:space="preserve">, Ivan, ‘Astronomical Alignments at the </w:t>
      </w:r>
      <w:proofErr w:type="spellStart"/>
      <w:r w:rsidRPr="007F18FC">
        <w:rPr>
          <w:szCs w:val="22"/>
        </w:rPr>
        <w:t>Templo</w:t>
      </w:r>
      <w:proofErr w:type="spellEnd"/>
      <w:r w:rsidRPr="007F18FC">
        <w:rPr>
          <w:szCs w:val="22"/>
        </w:rPr>
        <w:t xml:space="preserve"> Mayor of Tenochtitlan, Mexico’ in </w:t>
      </w:r>
      <w:r w:rsidRPr="007F18FC">
        <w:rPr>
          <w:i/>
          <w:iCs/>
          <w:szCs w:val="22"/>
        </w:rPr>
        <w:t>Foundations of New World Cultural Astronomy: A Reader with Commentary</w:t>
      </w:r>
      <w:r w:rsidRPr="007F18FC">
        <w:rPr>
          <w:szCs w:val="22"/>
        </w:rPr>
        <w:t xml:space="preserve">, ed. Anthony </w:t>
      </w:r>
      <w:proofErr w:type="spellStart"/>
      <w:r w:rsidRPr="007F18FC">
        <w:rPr>
          <w:szCs w:val="22"/>
        </w:rPr>
        <w:t>Aveni</w:t>
      </w:r>
      <w:proofErr w:type="spellEnd"/>
      <w:r w:rsidRPr="007F18FC">
        <w:rPr>
          <w:szCs w:val="22"/>
        </w:rPr>
        <w:t xml:space="preserve"> (Boulder: University Press of Colorado, 2008), pp. 273-303</w:t>
      </w:r>
      <w:r w:rsidR="00E05829">
        <w:rPr>
          <w:szCs w:val="22"/>
        </w:rPr>
        <w:t>.</w:t>
      </w:r>
    </w:p>
    <w:p w14:paraId="0E9647F5" w14:textId="77777777" w:rsidR="00E41944" w:rsidRPr="007F18FC" w:rsidRDefault="00E41944" w:rsidP="00E41944">
      <w:pPr>
        <w:pStyle w:val="FootnoteText"/>
        <w:rPr>
          <w:szCs w:val="22"/>
        </w:rPr>
      </w:pPr>
    </w:p>
    <w:p w14:paraId="3653334F" w14:textId="3111545B" w:rsidR="00E41944" w:rsidRPr="007F18FC" w:rsidRDefault="00E41944" w:rsidP="00E41944">
      <w:pPr>
        <w:pStyle w:val="FootnoteText"/>
        <w:rPr>
          <w:szCs w:val="22"/>
        </w:rPr>
      </w:pPr>
      <w:proofErr w:type="spellStart"/>
      <w:r w:rsidRPr="007F18FC">
        <w:rPr>
          <w:szCs w:val="22"/>
        </w:rPr>
        <w:t>Šprajc</w:t>
      </w:r>
      <w:proofErr w:type="spellEnd"/>
      <w:r w:rsidRPr="007F18FC">
        <w:rPr>
          <w:szCs w:val="22"/>
        </w:rPr>
        <w:t xml:space="preserve">, Ivan, ‘Astronomy, Architecture, and Landscape in </w:t>
      </w:r>
      <w:proofErr w:type="spellStart"/>
      <w:r w:rsidRPr="007F18FC">
        <w:rPr>
          <w:szCs w:val="22"/>
        </w:rPr>
        <w:t>Prehispanic</w:t>
      </w:r>
      <w:proofErr w:type="spellEnd"/>
      <w:r w:rsidRPr="007F18FC">
        <w:rPr>
          <w:szCs w:val="22"/>
        </w:rPr>
        <w:t xml:space="preserve"> Mesoamerica’, </w:t>
      </w:r>
      <w:r w:rsidRPr="007F18FC">
        <w:rPr>
          <w:i/>
          <w:iCs/>
          <w:szCs w:val="22"/>
        </w:rPr>
        <w:t>Journal of Archaeological Research</w:t>
      </w:r>
      <w:r w:rsidRPr="007F18FC">
        <w:rPr>
          <w:szCs w:val="22"/>
        </w:rPr>
        <w:t>, Vol. 26, No. 2 (June 2018), pp. 197-251.</w:t>
      </w:r>
    </w:p>
    <w:p w14:paraId="30E4251B" w14:textId="77777777" w:rsidR="00E41944" w:rsidRPr="007F18FC" w:rsidRDefault="00E41944" w:rsidP="00E41944">
      <w:pPr>
        <w:pStyle w:val="Default"/>
        <w:rPr>
          <w:rFonts w:asciiTheme="minorHAnsi" w:hAnsiTheme="minorHAnsi" w:cstheme="minorHAnsi"/>
          <w:sz w:val="22"/>
          <w:szCs w:val="22"/>
        </w:rPr>
      </w:pPr>
    </w:p>
    <w:p w14:paraId="3B705A9F" w14:textId="77777777"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Stafford, William, ‘In the All-Verbs Navaho World’, </w:t>
      </w:r>
      <w:r w:rsidRPr="007F18FC">
        <w:rPr>
          <w:rFonts w:asciiTheme="minorHAnsi" w:hAnsiTheme="minorHAnsi" w:cstheme="minorHAnsi"/>
          <w:i/>
          <w:iCs/>
          <w:sz w:val="22"/>
          <w:szCs w:val="22"/>
        </w:rPr>
        <w:t>Rhetoric Review</w:t>
      </w:r>
      <w:r w:rsidRPr="007F18FC">
        <w:rPr>
          <w:rFonts w:asciiTheme="minorHAnsi" w:hAnsiTheme="minorHAnsi" w:cstheme="minorHAnsi"/>
          <w:sz w:val="22"/>
          <w:szCs w:val="22"/>
        </w:rPr>
        <w:t>, Vol. 10, No. 1 (Autumn, 1991), p. 70.</w:t>
      </w:r>
    </w:p>
    <w:p w14:paraId="2A901CFE" w14:textId="77777777" w:rsidR="00E13292" w:rsidRDefault="00E13292" w:rsidP="00E41944">
      <w:pPr>
        <w:pStyle w:val="FootnoteText"/>
        <w:rPr>
          <w:szCs w:val="22"/>
        </w:rPr>
      </w:pPr>
    </w:p>
    <w:p w14:paraId="296F0F6B" w14:textId="6306319B" w:rsidR="00E41944" w:rsidRPr="007F18FC" w:rsidRDefault="00E41944" w:rsidP="00E41944">
      <w:pPr>
        <w:pStyle w:val="FootnoteText"/>
        <w:rPr>
          <w:szCs w:val="22"/>
        </w:rPr>
      </w:pPr>
      <w:r w:rsidRPr="007F18FC">
        <w:rPr>
          <w:szCs w:val="22"/>
        </w:rPr>
        <w:t xml:space="preserve">Stuart, David E., </w:t>
      </w:r>
      <w:r w:rsidRPr="007F18FC">
        <w:rPr>
          <w:i/>
          <w:iCs/>
          <w:szCs w:val="22"/>
        </w:rPr>
        <w:t xml:space="preserve">Anasazi America: Seventeen Centuries on the Road from Center Place, Second Edition </w:t>
      </w:r>
      <w:r w:rsidRPr="007F18FC">
        <w:rPr>
          <w:szCs w:val="22"/>
        </w:rPr>
        <w:t>(Albuquerque: University of New Mexico Press, 2014)</w:t>
      </w:r>
    </w:p>
    <w:p w14:paraId="24AF3797" w14:textId="77777777" w:rsidR="00E41944" w:rsidRPr="007F18FC" w:rsidRDefault="00E41944" w:rsidP="00E41944">
      <w:pPr>
        <w:pStyle w:val="Default"/>
        <w:rPr>
          <w:rFonts w:asciiTheme="minorHAnsi" w:hAnsiTheme="minorHAnsi" w:cstheme="minorHAnsi"/>
          <w:sz w:val="22"/>
          <w:szCs w:val="22"/>
        </w:rPr>
      </w:pPr>
    </w:p>
    <w:p w14:paraId="70F46CC6" w14:textId="77777777"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Thomsen, Dietrick E., ‘</w:t>
      </w:r>
      <w:proofErr w:type="spellStart"/>
      <w:r w:rsidRPr="007F18FC">
        <w:rPr>
          <w:rFonts w:asciiTheme="minorHAnsi" w:hAnsiTheme="minorHAnsi" w:cstheme="minorHAnsi"/>
          <w:sz w:val="22"/>
          <w:szCs w:val="22"/>
        </w:rPr>
        <w:t>Sunwatchers</w:t>
      </w:r>
      <w:proofErr w:type="spellEnd"/>
      <w:r w:rsidRPr="007F18FC">
        <w:rPr>
          <w:rFonts w:asciiTheme="minorHAnsi" w:hAnsiTheme="minorHAnsi" w:cstheme="minorHAnsi"/>
          <w:sz w:val="22"/>
          <w:szCs w:val="22"/>
        </w:rPr>
        <w:t xml:space="preserve"> of the American Southwest’, </w:t>
      </w:r>
      <w:r w:rsidRPr="007F18FC">
        <w:rPr>
          <w:rFonts w:asciiTheme="minorHAnsi" w:hAnsiTheme="minorHAnsi" w:cstheme="minorHAnsi"/>
          <w:i/>
          <w:iCs/>
          <w:sz w:val="22"/>
          <w:szCs w:val="22"/>
        </w:rPr>
        <w:t>Science News</w:t>
      </w:r>
      <w:r w:rsidRPr="007F18FC">
        <w:rPr>
          <w:rFonts w:asciiTheme="minorHAnsi" w:hAnsiTheme="minorHAnsi" w:cstheme="minorHAnsi"/>
          <w:sz w:val="22"/>
          <w:szCs w:val="22"/>
        </w:rPr>
        <w:t>, Vol. 123, No. 25 (Jun. 18, 1983), pp. 394-395.</w:t>
      </w:r>
    </w:p>
    <w:p w14:paraId="6BFDEEB9" w14:textId="77777777" w:rsidR="00E41944" w:rsidRPr="007F18FC" w:rsidRDefault="00E41944" w:rsidP="00E41944">
      <w:pPr>
        <w:pStyle w:val="FootnoteText"/>
        <w:rPr>
          <w:szCs w:val="22"/>
        </w:rPr>
      </w:pPr>
    </w:p>
    <w:p w14:paraId="07BC26B9" w14:textId="77777777" w:rsidR="00E41944" w:rsidRPr="007F18FC" w:rsidRDefault="00E41944" w:rsidP="00E41944">
      <w:pPr>
        <w:spacing w:after="0" w:line="240" w:lineRule="auto"/>
        <w:rPr>
          <w:sz w:val="22"/>
          <w:szCs w:val="22"/>
        </w:rPr>
      </w:pPr>
      <w:r w:rsidRPr="007F18FC">
        <w:rPr>
          <w:sz w:val="22"/>
          <w:szCs w:val="22"/>
        </w:rPr>
        <w:t xml:space="preserve">Tilley, Christopher, </w:t>
      </w:r>
      <w:r w:rsidRPr="007F18FC">
        <w:rPr>
          <w:i/>
          <w:iCs/>
          <w:sz w:val="22"/>
          <w:szCs w:val="22"/>
        </w:rPr>
        <w:t>A Phenomenology of Landscape: Places, Paths and Monuments</w:t>
      </w:r>
      <w:r w:rsidRPr="007F18FC">
        <w:rPr>
          <w:sz w:val="22"/>
          <w:szCs w:val="22"/>
        </w:rPr>
        <w:t xml:space="preserve"> (Explorations in Anthropology) (Oxford: Berg Publishers, 1997)</w:t>
      </w:r>
    </w:p>
    <w:p w14:paraId="58262FE4" w14:textId="77777777" w:rsidR="00E41944" w:rsidRPr="007F18FC" w:rsidRDefault="00E41944" w:rsidP="00E41944">
      <w:pPr>
        <w:spacing w:after="0" w:line="240" w:lineRule="auto"/>
        <w:rPr>
          <w:sz w:val="22"/>
          <w:szCs w:val="22"/>
        </w:rPr>
      </w:pPr>
    </w:p>
    <w:p w14:paraId="4C082FDE" w14:textId="77777777" w:rsidR="00E41944" w:rsidRPr="007F18FC" w:rsidRDefault="00E41944" w:rsidP="00E41944">
      <w:pPr>
        <w:spacing w:after="0" w:line="240" w:lineRule="auto"/>
        <w:rPr>
          <w:sz w:val="22"/>
          <w:szCs w:val="22"/>
        </w:rPr>
      </w:pPr>
      <w:r w:rsidRPr="007F18FC">
        <w:rPr>
          <w:sz w:val="22"/>
          <w:szCs w:val="22"/>
        </w:rPr>
        <w:lastRenderedPageBreak/>
        <w:t xml:space="preserve">Tipps, Betsy L., </w:t>
      </w:r>
      <w:r w:rsidRPr="007F18FC">
        <w:rPr>
          <w:i/>
          <w:iCs/>
          <w:sz w:val="22"/>
          <w:szCs w:val="22"/>
        </w:rPr>
        <w:t xml:space="preserve">Holocene Archeology Near Squaw Butte, Canyonlands National Park, Utah, </w:t>
      </w:r>
      <w:r w:rsidRPr="007F18FC">
        <w:rPr>
          <w:sz w:val="22"/>
          <w:szCs w:val="22"/>
        </w:rPr>
        <w:t>Cultural Resources Report 411-04-9102</w:t>
      </w:r>
      <w:r w:rsidRPr="007F18FC">
        <w:rPr>
          <w:i/>
          <w:iCs/>
          <w:sz w:val="22"/>
          <w:szCs w:val="22"/>
        </w:rPr>
        <w:t xml:space="preserve"> </w:t>
      </w:r>
      <w:r w:rsidRPr="007F18FC">
        <w:rPr>
          <w:sz w:val="22"/>
          <w:szCs w:val="22"/>
        </w:rPr>
        <w:t>(Denver: National Park Service, 1995)</w:t>
      </w:r>
    </w:p>
    <w:p w14:paraId="71214305" w14:textId="77777777" w:rsidR="00E41944" w:rsidRPr="007F18FC" w:rsidRDefault="00E41944" w:rsidP="00E41944">
      <w:pPr>
        <w:pStyle w:val="FootnoteText"/>
        <w:rPr>
          <w:szCs w:val="22"/>
        </w:rPr>
      </w:pPr>
    </w:p>
    <w:p w14:paraId="2414FBD2" w14:textId="77777777" w:rsidR="00E41944" w:rsidRPr="007F18FC" w:rsidRDefault="00E41944" w:rsidP="00E41944">
      <w:pPr>
        <w:pStyle w:val="FootnoteText"/>
        <w:rPr>
          <w:szCs w:val="22"/>
        </w:rPr>
      </w:pPr>
      <w:r w:rsidRPr="007F18FC">
        <w:rPr>
          <w:szCs w:val="22"/>
        </w:rPr>
        <w:t xml:space="preserve">Turner, II, Christy G., </w:t>
      </w:r>
      <w:r w:rsidRPr="007F18FC">
        <w:rPr>
          <w:i/>
          <w:iCs/>
          <w:szCs w:val="22"/>
        </w:rPr>
        <w:t xml:space="preserve">Petroglyphs of the Glen Canyon Area, </w:t>
      </w:r>
      <w:r w:rsidRPr="007F18FC">
        <w:rPr>
          <w:szCs w:val="22"/>
        </w:rPr>
        <w:t>Bulletin 38, Glen Canyon Series 4,</w:t>
      </w:r>
      <w:r w:rsidRPr="007F18FC">
        <w:rPr>
          <w:i/>
          <w:iCs/>
          <w:szCs w:val="22"/>
        </w:rPr>
        <w:t xml:space="preserve"> </w:t>
      </w:r>
      <w:r w:rsidRPr="007F18FC">
        <w:rPr>
          <w:szCs w:val="22"/>
        </w:rPr>
        <w:t xml:space="preserve">(Flagstaff: Museum of Northern Arizona, 1963), cited in Cole, </w:t>
      </w:r>
      <w:r w:rsidRPr="007F18FC">
        <w:rPr>
          <w:i/>
          <w:iCs/>
          <w:szCs w:val="22"/>
        </w:rPr>
        <w:t>Legacy,</w:t>
      </w:r>
      <w:r w:rsidRPr="007F18FC">
        <w:rPr>
          <w:szCs w:val="22"/>
        </w:rPr>
        <w:t xml:space="preserve"> p. 4</w:t>
      </w:r>
    </w:p>
    <w:p w14:paraId="540D7B6F" w14:textId="77777777" w:rsidR="00E41944" w:rsidRPr="007F18FC" w:rsidRDefault="00E41944" w:rsidP="00E41944">
      <w:pPr>
        <w:pStyle w:val="FootnoteText"/>
        <w:rPr>
          <w:szCs w:val="22"/>
        </w:rPr>
      </w:pPr>
    </w:p>
    <w:p w14:paraId="24452A7E" w14:textId="77777777"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USCLimatedata.com </w:t>
      </w:r>
      <w:hyperlink r:id="rId43" w:history="1">
        <w:r w:rsidRPr="007F18FC">
          <w:rPr>
            <w:rStyle w:val="Hyperlink"/>
            <w:rFonts w:asciiTheme="minorHAnsi" w:hAnsiTheme="minorHAnsi" w:cstheme="minorHAnsi"/>
            <w:sz w:val="22"/>
            <w:szCs w:val="22"/>
          </w:rPr>
          <w:t>https://www.usclimatedata.com/climate/moab/utah/united-states/usut0165</w:t>
        </w:r>
      </w:hyperlink>
      <w:r w:rsidRPr="007F18FC">
        <w:rPr>
          <w:rFonts w:asciiTheme="minorHAnsi" w:hAnsiTheme="minorHAnsi" w:cstheme="minorHAnsi"/>
          <w:sz w:val="22"/>
          <w:szCs w:val="22"/>
        </w:rPr>
        <w:t xml:space="preserve"> [Accessed Feb. 15, 2022]</w:t>
      </w:r>
    </w:p>
    <w:p w14:paraId="0C7BDD19" w14:textId="77777777" w:rsidR="00E41944" w:rsidRPr="007F18FC" w:rsidRDefault="00E41944" w:rsidP="00E41944">
      <w:pPr>
        <w:pStyle w:val="Default"/>
        <w:rPr>
          <w:rFonts w:asciiTheme="minorHAnsi" w:hAnsiTheme="minorHAnsi" w:cstheme="minorHAnsi"/>
          <w:sz w:val="22"/>
          <w:szCs w:val="22"/>
        </w:rPr>
      </w:pPr>
    </w:p>
    <w:p w14:paraId="06DDB9D7" w14:textId="6D16CDAD" w:rsidR="00E41944" w:rsidRPr="007F18FC" w:rsidRDefault="00E41944"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Weather Atlas </w:t>
      </w:r>
      <w:hyperlink r:id="rId44" w:history="1">
        <w:r w:rsidRPr="007F18FC">
          <w:rPr>
            <w:rStyle w:val="Hyperlink"/>
            <w:rFonts w:asciiTheme="minorHAnsi" w:hAnsiTheme="minorHAnsi" w:cstheme="minorHAnsi"/>
            <w:sz w:val="22"/>
            <w:szCs w:val="22"/>
          </w:rPr>
          <w:t>https://www.weather-us.com/en/utah-usa/arches-national-park-climate</w:t>
        </w:r>
      </w:hyperlink>
      <w:r w:rsidRPr="007F18FC">
        <w:rPr>
          <w:rFonts w:asciiTheme="minorHAnsi" w:hAnsiTheme="minorHAnsi" w:cstheme="minorHAnsi"/>
          <w:sz w:val="22"/>
          <w:szCs w:val="22"/>
        </w:rPr>
        <w:t xml:space="preserve"> [Accessed Jan. 23, 2022]</w:t>
      </w:r>
    </w:p>
    <w:p w14:paraId="1EDD4A54" w14:textId="2A794252" w:rsidR="000C07C2" w:rsidRPr="007F18FC" w:rsidRDefault="000C07C2" w:rsidP="00E41944">
      <w:pPr>
        <w:pStyle w:val="Default"/>
        <w:rPr>
          <w:rFonts w:asciiTheme="minorHAnsi" w:hAnsiTheme="minorHAnsi" w:cstheme="minorHAnsi"/>
          <w:sz w:val="22"/>
          <w:szCs w:val="22"/>
        </w:rPr>
      </w:pPr>
    </w:p>
    <w:p w14:paraId="08F21A69" w14:textId="3B6C084D" w:rsidR="000C07C2" w:rsidRPr="007F18FC" w:rsidRDefault="000C07C2" w:rsidP="00E41944">
      <w:pPr>
        <w:pStyle w:val="Default"/>
        <w:rPr>
          <w:rFonts w:asciiTheme="minorHAnsi" w:hAnsiTheme="minorHAnsi" w:cstheme="minorHAnsi"/>
          <w:sz w:val="22"/>
          <w:szCs w:val="22"/>
        </w:rPr>
      </w:pPr>
      <w:r w:rsidRPr="007F18FC">
        <w:rPr>
          <w:rFonts w:asciiTheme="minorHAnsi" w:hAnsiTheme="minorHAnsi" w:cstheme="minorHAnsi"/>
          <w:sz w:val="22"/>
          <w:szCs w:val="22"/>
        </w:rPr>
        <w:t xml:space="preserve">Walker, Merle E., ‘Petroglyphs, Lightning, and Magnetism’, </w:t>
      </w:r>
      <w:r w:rsidRPr="007F18FC">
        <w:rPr>
          <w:rFonts w:asciiTheme="minorHAnsi" w:hAnsiTheme="minorHAnsi" w:cstheme="minorHAnsi"/>
          <w:i/>
          <w:iCs/>
          <w:sz w:val="22"/>
          <w:szCs w:val="22"/>
        </w:rPr>
        <w:t>Journal of California and Great Basin Anthropology</w:t>
      </w:r>
      <w:r w:rsidRPr="007F18FC">
        <w:rPr>
          <w:rFonts w:asciiTheme="minorHAnsi" w:hAnsiTheme="minorHAnsi" w:cstheme="minorHAnsi"/>
          <w:sz w:val="22"/>
          <w:szCs w:val="22"/>
        </w:rPr>
        <w:t>, Vol. 27, No. 1 (2007), pp. 52-71.</w:t>
      </w:r>
    </w:p>
    <w:p w14:paraId="032F1199" w14:textId="12B8FA47" w:rsidR="00E41944" w:rsidRDefault="00E41944" w:rsidP="00E41944">
      <w:pPr>
        <w:pStyle w:val="FootnoteText"/>
        <w:rPr>
          <w:szCs w:val="22"/>
        </w:rPr>
      </w:pPr>
    </w:p>
    <w:p w14:paraId="369FC754" w14:textId="77777777" w:rsidR="004A7C10" w:rsidRPr="00753E8F" w:rsidRDefault="004A7C10" w:rsidP="004A7C10">
      <w:pPr>
        <w:autoSpaceDE w:val="0"/>
        <w:autoSpaceDN w:val="0"/>
        <w:adjustRightInd w:val="0"/>
        <w:spacing w:after="0" w:line="240" w:lineRule="auto"/>
        <w:rPr>
          <w:color w:val="3A3A3A"/>
          <w:sz w:val="22"/>
          <w:szCs w:val="22"/>
        </w:rPr>
      </w:pPr>
      <w:r w:rsidRPr="00753E8F">
        <w:rPr>
          <w:color w:val="3A3A3A"/>
          <w:sz w:val="22"/>
          <w:szCs w:val="22"/>
        </w:rPr>
        <w:t xml:space="preserve">Wallace, </w:t>
      </w:r>
      <w:r w:rsidRPr="00753E8F">
        <w:rPr>
          <w:color w:val="242424"/>
          <w:sz w:val="22"/>
          <w:szCs w:val="22"/>
        </w:rPr>
        <w:t xml:space="preserve">Henry </w:t>
      </w:r>
      <w:r w:rsidRPr="00753E8F">
        <w:rPr>
          <w:color w:val="3A3A3A"/>
          <w:sz w:val="22"/>
          <w:szCs w:val="22"/>
        </w:rPr>
        <w:t>D</w:t>
      </w:r>
      <w:r w:rsidRPr="00753E8F">
        <w:rPr>
          <w:color w:val="0A0A0A"/>
          <w:sz w:val="22"/>
          <w:szCs w:val="22"/>
        </w:rPr>
        <w:t>.</w:t>
      </w:r>
      <w:r w:rsidRPr="00753E8F">
        <w:rPr>
          <w:color w:val="3A3A3A"/>
          <w:sz w:val="22"/>
          <w:szCs w:val="22"/>
        </w:rPr>
        <w:t xml:space="preserve">, and James P. </w:t>
      </w:r>
      <w:proofErr w:type="spellStart"/>
      <w:r w:rsidRPr="00753E8F">
        <w:rPr>
          <w:color w:val="3A3A3A"/>
          <w:sz w:val="22"/>
          <w:szCs w:val="22"/>
        </w:rPr>
        <w:t>Holm</w:t>
      </w:r>
      <w:r w:rsidRPr="00753E8F">
        <w:rPr>
          <w:color w:val="0A0A0A"/>
          <w:sz w:val="22"/>
          <w:szCs w:val="22"/>
        </w:rPr>
        <w:t>l</w:t>
      </w:r>
      <w:r w:rsidRPr="00753E8F">
        <w:rPr>
          <w:color w:val="3A3A3A"/>
          <w:sz w:val="22"/>
          <w:szCs w:val="22"/>
        </w:rPr>
        <w:t>und</w:t>
      </w:r>
      <w:proofErr w:type="spellEnd"/>
      <w:r w:rsidRPr="00753E8F">
        <w:rPr>
          <w:color w:val="3A3A3A"/>
          <w:sz w:val="22"/>
          <w:szCs w:val="22"/>
        </w:rPr>
        <w:t xml:space="preserve">, ‘Petroglyphs of the Picacho </w:t>
      </w:r>
      <w:r w:rsidRPr="00753E8F">
        <w:rPr>
          <w:color w:val="4F4F4F"/>
          <w:sz w:val="22"/>
          <w:szCs w:val="22"/>
        </w:rPr>
        <w:t xml:space="preserve">Mountains, </w:t>
      </w:r>
      <w:r w:rsidRPr="00753E8F">
        <w:rPr>
          <w:color w:val="3A3A3A"/>
          <w:sz w:val="22"/>
          <w:szCs w:val="22"/>
        </w:rPr>
        <w:t>South</w:t>
      </w:r>
    </w:p>
    <w:p w14:paraId="2AAEBE94" w14:textId="77777777" w:rsidR="004A7C10" w:rsidRPr="00753E8F" w:rsidRDefault="004A7C10" w:rsidP="004A7C10">
      <w:pPr>
        <w:autoSpaceDE w:val="0"/>
        <w:autoSpaceDN w:val="0"/>
        <w:adjustRightInd w:val="0"/>
        <w:spacing w:after="0" w:line="240" w:lineRule="auto"/>
        <w:rPr>
          <w:color w:val="3A3A3A"/>
          <w:sz w:val="22"/>
          <w:szCs w:val="22"/>
        </w:rPr>
      </w:pPr>
      <w:r w:rsidRPr="00753E8F">
        <w:rPr>
          <w:color w:val="3A3A3A"/>
          <w:sz w:val="22"/>
          <w:szCs w:val="22"/>
        </w:rPr>
        <w:t>Central Arizona’,</w:t>
      </w:r>
      <w:r w:rsidRPr="00753E8F">
        <w:rPr>
          <w:i/>
          <w:iCs/>
          <w:color w:val="3A3A3A"/>
          <w:sz w:val="22"/>
          <w:szCs w:val="22"/>
        </w:rPr>
        <w:t xml:space="preserve"> Anthropological Papers</w:t>
      </w:r>
      <w:r w:rsidRPr="00753E8F">
        <w:rPr>
          <w:color w:val="3A3A3A"/>
          <w:sz w:val="22"/>
          <w:szCs w:val="22"/>
        </w:rPr>
        <w:t xml:space="preserve">, No. 6. (Tucson, </w:t>
      </w:r>
      <w:r w:rsidRPr="00753E8F">
        <w:rPr>
          <w:color w:val="4F4F4F"/>
          <w:sz w:val="22"/>
          <w:szCs w:val="22"/>
        </w:rPr>
        <w:t xml:space="preserve">AZ: </w:t>
      </w:r>
      <w:r w:rsidRPr="00753E8F">
        <w:rPr>
          <w:color w:val="3A3A3A"/>
          <w:sz w:val="22"/>
          <w:szCs w:val="22"/>
        </w:rPr>
        <w:t>Institute for American</w:t>
      </w:r>
    </w:p>
    <w:p w14:paraId="5D663F85" w14:textId="23FFF0BD" w:rsidR="004A7C10" w:rsidRDefault="004A7C10" w:rsidP="004A7C10">
      <w:pPr>
        <w:pStyle w:val="FootnoteText"/>
        <w:rPr>
          <w:color w:val="3A3A3A"/>
          <w:szCs w:val="22"/>
        </w:rPr>
      </w:pPr>
      <w:r w:rsidRPr="00753E8F">
        <w:rPr>
          <w:color w:val="3A3A3A"/>
          <w:szCs w:val="22"/>
        </w:rPr>
        <w:t>Research</w:t>
      </w:r>
      <w:r>
        <w:rPr>
          <w:color w:val="3A3A3A"/>
          <w:szCs w:val="22"/>
        </w:rPr>
        <w:t>,</w:t>
      </w:r>
      <w:r w:rsidRPr="00753E8F">
        <w:rPr>
          <w:color w:val="3A3A3A"/>
          <w:szCs w:val="22"/>
        </w:rPr>
        <w:t xml:space="preserve"> 1986)</w:t>
      </w:r>
    </w:p>
    <w:p w14:paraId="6DC94AD3" w14:textId="77777777" w:rsidR="004A7C10" w:rsidRPr="007F18FC" w:rsidRDefault="004A7C10" w:rsidP="004A7C10">
      <w:pPr>
        <w:pStyle w:val="FootnoteText"/>
        <w:rPr>
          <w:szCs w:val="22"/>
        </w:rPr>
      </w:pPr>
    </w:p>
    <w:p w14:paraId="0938793B" w14:textId="77777777" w:rsidR="00A1320B" w:rsidRPr="007F18FC" w:rsidRDefault="00A1320B" w:rsidP="00A1320B">
      <w:pPr>
        <w:autoSpaceDE w:val="0"/>
        <w:autoSpaceDN w:val="0"/>
        <w:adjustRightInd w:val="0"/>
        <w:spacing w:after="0" w:line="240" w:lineRule="auto"/>
        <w:rPr>
          <w:sz w:val="22"/>
          <w:szCs w:val="22"/>
        </w:rPr>
      </w:pPr>
      <w:r w:rsidRPr="007F18FC">
        <w:rPr>
          <w:sz w:val="22"/>
          <w:szCs w:val="22"/>
        </w:rPr>
        <w:t>Waller, Steven, ‘Spatial Correlation of Rock Art and Acoustics Exemplified in Hor</w:t>
      </w:r>
      <w:r>
        <w:rPr>
          <w:sz w:val="22"/>
          <w:szCs w:val="22"/>
        </w:rPr>
        <w:t>s</w:t>
      </w:r>
      <w:r w:rsidRPr="007F18FC">
        <w:rPr>
          <w:sz w:val="22"/>
          <w:szCs w:val="22"/>
        </w:rPr>
        <w:t>eshoe Canyon.’</w:t>
      </w:r>
    </w:p>
    <w:p w14:paraId="568F7EDC" w14:textId="5A02A120" w:rsidR="00A1320B" w:rsidRDefault="00A1320B" w:rsidP="00A1320B">
      <w:pPr>
        <w:pStyle w:val="FootnoteText"/>
        <w:rPr>
          <w:szCs w:val="22"/>
        </w:rPr>
      </w:pPr>
      <w:r w:rsidRPr="007F18FC">
        <w:rPr>
          <w:i/>
          <w:iCs/>
          <w:szCs w:val="22"/>
        </w:rPr>
        <w:t xml:space="preserve">American Indian Rock Art, Vol. </w:t>
      </w:r>
      <w:r w:rsidRPr="007F18FC">
        <w:rPr>
          <w:szCs w:val="22"/>
        </w:rPr>
        <w:t>24, (2000), pp. 85</w:t>
      </w:r>
      <w:r>
        <w:rPr>
          <w:szCs w:val="22"/>
        </w:rPr>
        <w:t>-</w:t>
      </w:r>
      <w:r w:rsidRPr="007F18FC">
        <w:rPr>
          <w:szCs w:val="22"/>
        </w:rPr>
        <w:t xml:space="preserve">94. </w:t>
      </w:r>
    </w:p>
    <w:p w14:paraId="31EC3559" w14:textId="77777777" w:rsidR="00A1320B" w:rsidRPr="007F18FC" w:rsidRDefault="00A1320B" w:rsidP="00A1320B">
      <w:pPr>
        <w:pStyle w:val="FootnoteText"/>
        <w:rPr>
          <w:szCs w:val="22"/>
        </w:rPr>
      </w:pPr>
    </w:p>
    <w:p w14:paraId="40DF4A39" w14:textId="3CB5C29C" w:rsidR="0030732F" w:rsidRPr="007F18FC" w:rsidRDefault="0030732F" w:rsidP="00E41944">
      <w:pPr>
        <w:pStyle w:val="FootnoteText"/>
        <w:rPr>
          <w:szCs w:val="22"/>
        </w:rPr>
      </w:pPr>
      <w:r w:rsidRPr="007F18FC">
        <w:rPr>
          <w:szCs w:val="22"/>
        </w:rPr>
        <w:t xml:space="preserve">Wallis, Robert J., </w:t>
      </w:r>
      <w:proofErr w:type="spellStart"/>
      <w:r w:rsidRPr="007F18FC">
        <w:rPr>
          <w:szCs w:val="22"/>
        </w:rPr>
        <w:t>‘Re</w:t>
      </w:r>
      <w:proofErr w:type="spellEnd"/>
      <w:r w:rsidRPr="007F18FC">
        <w:rPr>
          <w:szCs w:val="22"/>
        </w:rPr>
        <w:t xml:space="preserve">-enchanting Rock Art Landscapes: </w:t>
      </w:r>
      <w:proofErr w:type="spellStart"/>
      <w:r w:rsidRPr="007F18FC">
        <w:rPr>
          <w:szCs w:val="22"/>
        </w:rPr>
        <w:t>Animic</w:t>
      </w:r>
      <w:proofErr w:type="spellEnd"/>
      <w:r w:rsidRPr="007F18FC">
        <w:rPr>
          <w:szCs w:val="22"/>
        </w:rPr>
        <w:t xml:space="preserve"> Ontologies, Non-Human Agency, and Rhizomatic Personhood’, </w:t>
      </w:r>
      <w:r w:rsidRPr="007F18FC">
        <w:rPr>
          <w:i/>
          <w:iCs/>
          <w:szCs w:val="22"/>
        </w:rPr>
        <w:t>Time and Mind: The Journal of Archaeology</w:t>
      </w:r>
      <w:r w:rsidRPr="007F18FC">
        <w:rPr>
          <w:szCs w:val="22"/>
        </w:rPr>
        <w:t>, Consciousness and Culture, Vol. 2, No. 1, (March 2009), pp.47-70.</w:t>
      </w:r>
    </w:p>
    <w:p w14:paraId="591EF579" w14:textId="77777777" w:rsidR="0030732F" w:rsidRPr="007F18FC" w:rsidRDefault="0030732F" w:rsidP="00E41944">
      <w:pPr>
        <w:pStyle w:val="FootnoteText"/>
        <w:rPr>
          <w:szCs w:val="22"/>
        </w:rPr>
      </w:pPr>
    </w:p>
    <w:p w14:paraId="3FC2DFAB" w14:textId="77777777" w:rsidR="00E41944" w:rsidRPr="007F18FC" w:rsidRDefault="00E41944" w:rsidP="00E41944">
      <w:pPr>
        <w:pStyle w:val="FootnoteText"/>
        <w:rPr>
          <w:szCs w:val="22"/>
        </w:rPr>
      </w:pPr>
      <w:r w:rsidRPr="007F18FC">
        <w:rPr>
          <w:szCs w:val="22"/>
        </w:rPr>
        <w:t xml:space="preserve">Whitley, David S., ‘Finding rain in the desert: landscape, gender and far Western North American rock art’, (1998) </w:t>
      </w:r>
      <w:hyperlink r:id="rId45" w:history="1">
        <w:r w:rsidRPr="007F18FC">
          <w:rPr>
            <w:rStyle w:val="Hyperlink"/>
            <w:szCs w:val="22"/>
          </w:rPr>
          <w:t>https://www.academia.edu/3170207/Finding_rain_in_the_desert_landscape_gender_and_far_western_North_American_rock_art</w:t>
        </w:r>
      </w:hyperlink>
      <w:r w:rsidRPr="007F18FC">
        <w:rPr>
          <w:szCs w:val="22"/>
        </w:rPr>
        <w:t xml:space="preserve"> [Accessed March 2, 2022].</w:t>
      </w:r>
    </w:p>
    <w:p w14:paraId="320B68BC" w14:textId="77777777" w:rsidR="00E41944" w:rsidRPr="007F18FC" w:rsidRDefault="00E41944" w:rsidP="00E41944">
      <w:pPr>
        <w:pStyle w:val="FootnoteText"/>
        <w:rPr>
          <w:szCs w:val="22"/>
        </w:rPr>
      </w:pPr>
    </w:p>
    <w:p w14:paraId="5AD411D7" w14:textId="363B9B8C" w:rsidR="00E41944" w:rsidRPr="007F18FC" w:rsidRDefault="00E41944" w:rsidP="00E41944">
      <w:pPr>
        <w:pStyle w:val="FootnoteText"/>
        <w:rPr>
          <w:szCs w:val="22"/>
        </w:rPr>
      </w:pPr>
      <w:r w:rsidRPr="007F18FC">
        <w:rPr>
          <w:szCs w:val="22"/>
        </w:rPr>
        <w:t xml:space="preserve">Whitley, David S., Joseph M. Simon and Ronald I. Dorn, ‘The Vision Quest in </w:t>
      </w:r>
      <w:proofErr w:type="spellStart"/>
      <w:r w:rsidRPr="007F18FC">
        <w:rPr>
          <w:szCs w:val="22"/>
        </w:rPr>
        <w:t>Coso</w:t>
      </w:r>
      <w:proofErr w:type="spellEnd"/>
      <w:r w:rsidRPr="007F18FC">
        <w:rPr>
          <w:szCs w:val="22"/>
        </w:rPr>
        <w:t xml:space="preserve"> Range’, </w:t>
      </w:r>
      <w:r w:rsidRPr="007F18FC">
        <w:rPr>
          <w:i/>
          <w:iCs/>
          <w:szCs w:val="22"/>
        </w:rPr>
        <w:t xml:space="preserve">American Indian Rock Art, </w:t>
      </w:r>
      <w:r w:rsidRPr="007F18FC">
        <w:rPr>
          <w:szCs w:val="22"/>
        </w:rPr>
        <w:t>Vol. 25, (1999), pp. 1-31.</w:t>
      </w:r>
    </w:p>
    <w:p w14:paraId="27CB1564" w14:textId="35005467" w:rsidR="00FE4CF1" w:rsidRPr="007F18FC" w:rsidRDefault="00FE4CF1" w:rsidP="00E41944">
      <w:pPr>
        <w:pStyle w:val="FootnoteText"/>
        <w:rPr>
          <w:szCs w:val="22"/>
        </w:rPr>
      </w:pPr>
    </w:p>
    <w:p w14:paraId="68B2BA4C" w14:textId="5647BE85" w:rsidR="00FE4CF1" w:rsidRPr="007F18FC" w:rsidRDefault="00FE4CF1" w:rsidP="00E41944">
      <w:pPr>
        <w:pStyle w:val="FootnoteText"/>
        <w:rPr>
          <w:szCs w:val="22"/>
        </w:rPr>
      </w:pPr>
      <w:r w:rsidRPr="007F18FC">
        <w:rPr>
          <w:szCs w:val="22"/>
        </w:rPr>
        <w:t xml:space="preserve">Whitley, David S., ‘Issues in Archaeoastronomy and Rock Art’, </w:t>
      </w:r>
      <w:r w:rsidRPr="007F18FC">
        <w:rPr>
          <w:i/>
          <w:iCs/>
          <w:szCs w:val="22"/>
        </w:rPr>
        <w:t xml:space="preserve">International Council on Monuments and Sites, </w:t>
      </w:r>
      <w:proofErr w:type="spellStart"/>
      <w:r w:rsidRPr="007F18FC">
        <w:rPr>
          <w:i/>
          <w:iCs/>
          <w:szCs w:val="22"/>
        </w:rPr>
        <w:t>Comite</w:t>
      </w:r>
      <w:proofErr w:type="spellEnd"/>
      <w:r w:rsidRPr="007F18FC">
        <w:rPr>
          <w:i/>
          <w:iCs/>
          <w:szCs w:val="22"/>
        </w:rPr>
        <w:t xml:space="preserve"> </w:t>
      </w:r>
      <w:proofErr w:type="spellStart"/>
      <w:r w:rsidRPr="007F18FC">
        <w:rPr>
          <w:i/>
          <w:iCs/>
          <w:szCs w:val="22"/>
        </w:rPr>
        <w:t>Internationale</w:t>
      </w:r>
      <w:proofErr w:type="spellEnd"/>
      <w:r w:rsidRPr="007F18FC">
        <w:rPr>
          <w:i/>
          <w:iCs/>
          <w:szCs w:val="22"/>
        </w:rPr>
        <w:t xml:space="preserve"> de </w:t>
      </w:r>
      <w:proofErr w:type="spellStart"/>
      <w:r w:rsidRPr="007F18FC">
        <w:rPr>
          <w:i/>
          <w:iCs/>
          <w:szCs w:val="22"/>
        </w:rPr>
        <w:t>Arte</w:t>
      </w:r>
      <w:proofErr w:type="spellEnd"/>
      <w:r w:rsidRPr="007F18FC">
        <w:rPr>
          <w:i/>
          <w:iCs/>
          <w:szCs w:val="22"/>
        </w:rPr>
        <w:t xml:space="preserve"> </w:t>
      </w:r>
      <w:proofErr w:type="spellStart"/>
      <w:r w:rsidRPr="007F18FC">
        <w:rPr>
          <w:i/>
          <w:iCs/>
          <w:szCs w:val="22"/>
        </w:rPr>
        <w:t>Rupestre</w:t>
      </w:r>
      <w:proofErr w:type="spellEnd"/>
      <w:r w:rsidRPr="007F18FC">
        <w:rPr>
          <w:i/>
          <w:iCs/>
          <w:szCs w:val="22"/>
        </w:rPr>
        <w:t xml:space="preserve">, </w:t>
      </w:r>
      <w:r w:rsidRPr="007F18FC">
        <w:rPr>
          <w:szCs w:val="22"/>
        </w:rPr>
        <w:t>(2006), pp. 85-102.</w:t>
      </w:r>
    </w:p>
    <w:p w14:paraId="14BD423F" w14:textId="77777777" w:rsidR="00E41944" w:rsidRPr="007F18FC" w:rsidRDefault="00E41944" w:rsidP="00E41944">
      <w:pPr>
        <w:pStyle w:val="FootnoteText"/>
        <w:rPr>
          <w:szCs w:val="22"/>
        </w:rPr>
      </w:pPr>
    </w:p>
    <w:p w14:paraId="3BA315E5" w14:textId="77777777" w:rsidR="00E41944" w:rsidRPr="007F18FC" w:rsidRDefault="00E41944" w:rsidP="00E41944">
      <w:pPr>
        <w:pStyle w:val="FootnoteText"/>
        <w:rPr>
          <w:szCs w:val="22"/>
        </w:rPr>
      </w:pPr>
      <w:r w:rsidRPr="007F18FC">
        <w:rPr>
          <w:szCs w:val="22"/>
        </w:rPr>
        <w:t xml:space="preserve">Whitley, David S., ‘Science and the sacred: interpretive theory in U. S. rock art research’, in </w:t>
      </w:r>
      <w:r w:rsidRPr="007F18FC">
        <w:rPr>
          <w:i/>
          <w:iCs/>
          <w:szCs w:val="22"/>
        </w:rPr>
        <w:t>Theoretical Perspectives on Rock Art Research,</w:t>
      </w:r>
      <w:r w:rsidRPr="007F18FC">
        <w:rPr>
          <w:szCs w:val="22"/>
        </w:rPr>
        <w:t xml:space="preserve"> ed. by Knut </w:t>
      </w:r>
      <w:proofErr w:type="spellStart"/>
      <w:r w:rsidRPr="007F18FC">
        <w:rPr>
          <w:szCs w:val="22"/>
        </w:rPr>
        <w:t>Helskog</w:t>
      </w:r>
      <w:proofErr w:type="spellEnd"/>
      <w:r w:rsidRPr="007F18FC">
        <w:rPr>
          <w:szCs w:val="22"/>
        </w:rPr>
        <w:t xml:space="preserve"> (Oslo: Novus </w:t>
      </w:r>
      <w:proofErr w:type="spellStart"/>
      <w:r w:rsidRPr="007F18FC">
        <w:rPr>
          <w:szCs w:val="22"/>
        </w:rPr>
        <w:t>forlag</w:t>
      </w:r>
      <w:proofErr w:type="spellEnd"/>
      <w:r w:rsidRPr="007F18FC">
        <w:rPr>
          <w:szCs w:val="22"/>
        </w:rPr>
        <w:t xml:space="preserve">, 2001), pp 124-151. </w:t>
      </w:r>
    </w:p>
    <w:p w14:paraId="2220DEBB" w14:textId="77777777" w:rsidR="00A3089C" w:rsidRDefault="00A3089C" w:rsidP="00E41944">
      <w:pPr>
        <w:spacing w:after="0" w:line="240" w:lineRule="auto"/>
        <w:rPr>
          <w:sz w:val="22"/>
          <w:szCs w:val="22"/>
        </w:rPr>
      </w:pPr>
    </w:p>
    <w:p w14:paraId="61A04F3F" w14:textId="039C66D0" w:rsidR="00E41944" w:rsidRPr="007F18FC" w:rsidRDefault="00E41944" w:rsidP="00E41944">
      <w:pPr>
        <w:spacing w:after="0" w:line="240" w:lineRule="auto"/>
        <w:rPr>
          <w:sz w:val="22"/>
          <w:szCs w:val="22"/>
        </w:rPr>
      </w:pPr>
      <w:r w:rsidRPr="007F18FC">
        <w:rPr>
          <w:sz w:val="22"/>
          <w:szCs w:val="22"/>
        </w:rPr>
        <w:t xml:space="preserve">Whitley, David S., </w:t>
      </w:r>
      <w:r w:rsidRPr="007F18FC">
        <w:rPr>
          <w:i/>
          <w:iCs/>
          <w:sz w:val="22"/>
          <w:szCs w:val="22"/>
        </w:rPr>
        <w:t>The Art of the Shaman: Rock Art of California</w:t>
      </w:r>
      <w:r w:rsidRPr="007F18FC">
        <w:rPr>
          <w:sz w:val="22"/>
          <w:szCs w:val="22"/>
        </w:rPr>
        <w:t xml:space="preserve">. (Salt Lake City: University of Utah Press, 2000), pp. 82-82, cited by Susan M. Hector, ‘Cupule Petroglyphs as Elements of the Cultural Landscape’ </w:t>
      </w:r>
      <w:r w:rsidRPr="007F18FC">
        <w:rPr>
          <w:i/>
          <w:iCs/>
          <w:sz w:val="22"/>
          <w:szCs w:val="22"/>
        </w:rPr>
        <w:t>Journal of California and Great Basin Anthropology</w:t>
      </w:r>
      <w:r w:rsidRPr="007F18FC">
        <w:rPr>
          <w:sz w:val="22"/>
          <w:szCs w:val="22"/>
        </w:rPr>
        <w:t>, Vol. 29, No. 1 (2009), pp. 68-76.</w:t>
      </w:r>
    </w:p>
    <w:p w14:paraId="0EBBBFE1" w14:textId="53BCD0D6" w:rsidR="007B5ED6" w:rsidRPr="007F18FC" w:rsidRDefault="007B5ED6" w:rsidP="00E41944">
      <w:pPr>
        <w:spacing w:after="0" w:line="240" w:lineRule="auto"/>
        <w:rPr>
          <w:sz w:val="22"/>
          <w:szCs w:val="22"/>
        </w:rPr>
      </w:pPr>
    </w:p>
    <w:p w14:paraId="0DA48121" w14:textId="7AFA8B3A" w:rsidR="007B5ED6" w:rsidRPr="007F18FC" w:rsidRDefault="007B5ED6" w:rsidP="00E41944">
      <w:pPr>
        <w:spacing w:after="0" w:line="240" w:lineRule="auto"/>
        <w:rPr>
          <w:sz w:val="22"/>
          <w:szCs w:val="22"/>
        </w:rPr>
      </w:pPr>
      <w:r w:rsidRPr="007F18FC">
        <w:rPr>
          <w:sz w:val="22"/>
          <w:szCs w:val="22"/>
        </w:rPr>
        <w:t xml:space="preserve">David S. Whitley, ‘Rock Art, Religion and Ritual’, pp. 307-327. </w:t>
      </w:r>
      <w:hyperlink r:id="rId46" w:history="1">
        <w:r w:rsidRPr="007F18FC">
          <w:rPr>
            <w:rStyle w:val="Hyperlink"/>
            <w:sz w:val="22"/>
            <w:szCs w:val="22"/>
          </w:rPr>
          <w:t>https://www.academia.edu/14548487/Rock_Art_Religion_and_Ritual</w:t>
        </w:r>
      </w:hyperlink>
      <w:r w:rsidRPr="007F18FC">
        <w:rPr>
          <w:sz w:val="22"/>
          <w:szCs w:val="22"/>
        </w:rPr>
        <w:t xml:space="preserve"> [accessed April 5, 2022].</w:t>
      </w:r>
    </w:p>
    <w:p w14:paraId="1FC87876" w14:textId="77777777" w:rsidR="00E41944" w:rsidRPr="007F18FC" w:rsidRDefault="00E41944" w:rsidP="00E41944">
      <w:pPr>
        <w:spacing w:after="0" w:line="240" w:lineRule="auto"/>
        <w:rPr>
          <w:sz w:val="22"/>
          <w:szCs w:val="22"/>
        </w:rPr>
      </w:pPr>
    </w:p>
    <w:p w14:paraId="5E0D1481" w14:textId="77777777" w:rsidR="00E41944" w:rsidRPr="007F18FC" w:rsidRDefault="00E41944" w:rsidP="00E41944">
      <w:pPr>
        <w:pStyle w:val="FootnoteText"/>
        <w:rPr>
          <w:szCs w:val="22"/>
        </w:rPr>
      </w:pPr>
      <w:r w:rsidRPr="007F18FC">
        <w:rPr>
          <w:szCs w:val="22"/>
        </w:rPr>
        <w:t xml:space="preserve">Wikipedia: Diurnal Temperature Variation </w:t>
      </w:r>
      <w:hyperlink r:id="rId47" w:history="1">
        <w:r w:rsidRPr="007F18FC">
          <w:rPr>
            <w:rStyle w:val="Hyperlink"/>
            <w:szCs w:val="22"/>
          </w:rPr>
          <w:t>https://en.wikipedia.org/wiki/Diurnal_air_temperature_variation</w:t>
        </w:r>
      </w:hyperlink>
      <w:r w:rsidRPr="007F18FC">
        <w:rPr>
          <w:szCs w:val="22"/>
        </w:rPr>
        <w:t xml:space="preserve"> [Accessed Mar. 9, 2022].</w:t>
      </w:r>
    </w:p>
    <w:p w14:paraId="064509BA" w14:textId="77777777" w:rsidR="00E41944" w:rsidRPr="007F18FC" w:rsidRDefault="00E41944" w:rsidP="00E41944">
      <w:pPr>
        <w:pStyle w:val="FootnoteText"/>
        <w:rPr>
          <w:szCs w:val="22"/>
        </w:rPr>
      </w:pPr>
    </w:p>
    <w:p w14:paraId="2192E5C3" w14:textId="77777777" w:rsidR="00E41944" w:rsidRPr="007F18FC" w:rsidRDefault="00E41944" w:rsidP="00E41944">
      <w:pPr>
        <w:pStyle w:val="FootnoteText"/>
        <w:rPr>
          <w:szCs w:val="22"/>
        </w:rPr>
      </w:pPr>
      <w:r w:rsidRPr="007F18FC">
        <w:rPr>
          <w:szCs w:val="22"/>
        </w:rPr>
        <w:lastRenderedPageBreak/>
        <w:t xml:space="preserve">Young, M. Jane, </w:t>
      </w:r>
      <w:r w:rsidRPr="007F18FC">
        <w:rPr>
          <w:i/>
          <w:iCs/>
          <w:szCs w:val="22"/>
        </w:rPr>
        <w:t xml:space="preserve">Signs from the Zuni Cultural Symbolism and Perceptions of Rock Art </w:t>
      </w:r>
      <w:r w:rsidRPr="007F18FC">
        <w:rPr>
          <w:szCs w:val="22"/>
        </w:rPr>
        <w:t>(Albuquerque: University of New Mexico Press, 1988)</w:t>
      </w:r>
    </w:p>
    <w:p w14:paraId="1E19FDF6" w14:textId="1631670F" w:rsidR="002301AC" w:rsidRPr="007F18FC" w:rsidRDefault="002301AC" w:rsidP="0068455A">
      <w:pPr>
        <w:rPr>
          <w:sz w:val="22"/>
          <w:szCs w:val="22"/>
        </w:rPr>
      </w:pPr>
    </w:p>
    <w:p w14:paraId="004B5982" w14:textId="77777777" w:rsidR="006909AA" w:rsidRPr="007F18FC" w:rsidRDefault="006909AA" w:rsidP="0068455A">
      <w:pPr>
        <w:rPr>
          <w:sz w:val="22"/>
          <w:szCs w:val="22"/>
        </w:rPr>
      </w:pPr>
    </w:p>
    <w:sectPr w:rsidR="006909AA" w:rsidRPr="007F18FC" w:rsidSect="00A01E7A">
      <w:pgSz w:w="11906" w:h="16838" w:code="9"/>
      <w:pgMar w:top="1440" w:right="1440" w:bottom="1440" w:left="1440" w:header="720" w:footer="720" w:gutter="0"/>
      <w:pgNumType w:start="9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877EA" w14:textId="77777777" w:rsidR="009B196A" w:rsidRDefault="009B196A" w:rsidP="0068455A">
      <w:r>
        <w:separator/>
      </w:r>
    </w:p>
  </w:endnote>
  <w:endnote w:type="continuationSeparator" w:id="0">
    <w:p w14:paraId="3648908F" w14:textId="77777777" w:rsidR="009B196A" w:rsidRDefault="009B196A" w:rsidP="0068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Linotype-Roman">
    <w:altName w:val="Yu Gothic"/>
    <w:panose1 w:val="00000000000000000000"/>
    <w:charset w:val="80"/>
    <w:family w:val="auto"/>
    <w:notTrueType/>
    <w:pitch w:val="default"/>
    <w:sig w:usb0="00000001" w:usb1="08070000" w:usb2="00000010" w:usb3="00000000" w:csb0="00020000" w:csb1="00000000"/>
  </w:font>
  <w:font w:name="NotoSans">
    <w:altName w:val="Calibri"/>
    <w:panose1 w:val="00000000000000000000"/>
    <w:charset w:val="00"/>
    <w:family w:val="auto"/>
    <w:notTrueType/>
    <w:pitch w:val="default"/>
    <w:sig w:usb0="00000003" w:usb1="00000000" w:usb2="00000000" w:usb3="00000000" w:csb0="00000001" w:csb1="00000000"/>
  </w:font>
  <w:font w:name="Code2000">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677394"/>
      <w:docPartObj>
        <w:docPartGallery w:val="Page Numbers (Bottom of Page)"/>
        <w:docPartUnique/>
      </w:docPartObj>
    </w:sdtPr>
    <w:sdtEndPr>
      <w:rPr>
        <w:noProof/>
      </w:rPr>
    </w:sdtEndPr>
    <w:sdtContent>
      <w:p w14:paraId="04520E58" w14:textId="003688FF" w:rsidR="000959B5" w:rsidRDefault="000959B5" w:rsidP="0068455A">
        <w:pPr>
          <w:pStyle w:val="Footer"/>
        </w:pPr>
        <w:r>
          <w:fldChar w:fldCharType="begin"/>
        </w:r>
        <w:r>
          <w:instrText xml:space="preserve"> PAGE   \* MERGEFORMAT </w:instrText>
        </w:r>
        <w:r>
          <w:fldChar w:fldCharType="separate"/>
        </w:r>
        <w:r>
          <w:rPr>
            <w:noProof/>
          </w:rPr>
          <w:t>2</w:t>
        </w:r>
        <w:r>
          <w:rPr>
            <w:noProof/>
          </w:rPr>
          <w:fldChar w:fldCharType="end"/>
        </w:r>
      </w:p>
    </w:sdtContent>
  </w:sdt>
  <w:p w14:paraId="4DF3D176" w14:textId="77777777" w:rsidR="000959B5" w:rsidRDefault="000959B5" w:rsidP="006845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58944" w14:textId="77777777" w:rsidR="009B196A" w:rsidRDefault="009B196A" w:rsidP="0068455A">
      <w:r>
        <w:separator/>
      </w:r>
    </w:p>
  </w:footnote>
  <w:footnote w:type="continuationSeparator" w:id="0">
    <w:p w14:paraId="388947FC" w14:textId="77777777" w:rsidR="009B196A" w:rsidRDefault="009B196A" w:rsidP="0068455A">
      <w:r>
        <w:continuationSeparator/>
      </w:r>
    </w:p>
  </w:footnote>
  <w:footnote w:id="1">
    <w:p w14:paraId="644D9D01" w14:textId="6E2E3631" w:rsidR="007F6C91" w:rsidRDefault="007F6C91">
      <w:pPr>
        <w:pStyle w:val="FootnoteText"/>
      </w:pPr>
      <w:r>
        <w:rPr>
          <w:rStyle w:val="FootnoteReference"/>
        </w:rPr>
        <w:footnoteRef/>
      </w:r>
      <w:r>
        <w:t xml:space="preserve"> </w:t>
      </w:r>
      <w:r w:rsidRPr="00187EF5">
        <w:rPr>
          <w:szCs w:val="22"/>
        </w:rPr>
        <w:t xml:space="preserve">Clive L.N. Ruggles, ‘Stonehenge and its Landscape’, in </w:t>
      </w:r>
      <w:r w:rsidRPr="00187EF5">
        <w:rPr>
          <w:i/>
          <w:iCs/>
          <w:szCs w:val="22"/>
        </w:rPr>
        <w:t>Handbook of Archaeoastronomy and Ethnoastronomy</w:t>
      </w:r>
      <w:r w:rsidRPr="00187EF5">
        <w:rPr>
          <w:szCs w:val="22"/>
        </w:rPr>
        <w:t>, ed. Clive L. N. Ruggles (New York: Springer Science+Business Media, 2015), pp. 1224, 1229, 1236</w:t>
      </w:r>
      <w:r w:rsidR="005426EF">
        <w:rPr>
          <w:szCs w:val="22"/>
        </w:rPr>
        <w:t>.</w:t>
      </w:r>
    </w:p>
  </w:footnote>
  <w:footnote w:id="2">
    <w:p w14:paraId="37E7B297" w14:textId="501915A4" w:rsidR="00A20538" w:rsidRPr="00187EF5" w:rsidRDefault="00A20538" w:rsidP="00FB1620">
      <w:pPr>
        <w:autoSpaceDE w:val="0"/>
        <w:autoSpaceDN w:val="0"/>
        <w:adjustRightInd w:val="0"/>
        <w:spacing w:after="0" w:line="240" w:lineRule="auto"/>
        <w:rPr>
          <w:sz w:val="22"/>
          <w:szCs w:val="22"/>
        </w:rPr>
      </w:pPr>
      <w:r w:rsidRPr="00187EF5">
        <w:rPr>
          <w:rStyle w:val="FootnoteReference"/>
          <w:sz w:val="22"/>
          <w:szCs w:val="22"/>
        </w:rPr>
        <w:footnoteRef/>
      </w:r>
      <w:r w:rsidR="007F6C91">
        <w:rPr>
          <w:sz w:val="22"/>
          <w:szCs w:val="22"/>
        </w:rPr>
        <w:t xml:space="preserve"> </w:t>
      </w:r>
      <w:r w:rsidR="006142AD" w:rsidRPr="00187EF5">
        <w:rPr>
          <w:sz w:val="22"/>
          <w:szCs w:val="22"/>
        </w:rPr>
        <w:t xml:space="preserve">Robert Hensey, </w:t>
      </w:r>
      <w:r w:rsidR="006142AD" w:rsidRPr="00187EF5">
        <w:rPr>
          <w:i/>
          <w:iCs/>
          <w:sz w:val="22"/>
          <w:szCs w:val="22"/>
        </w:rPr>
        <w:t>First Light: The Origins of Newgrange</w:t>
      </w:r>
      <w:r w:rsidR="006142AD" w:rsidRPr="00187EF5">
        <w:rPr>
          <w:sz w:val="22"/>
          <w:szCs w:val="22"/>
        </w:rPr>
        <w:t xml:space="preserve"> (Oxford: Oxbow Books, 2015), p. 66; </w:t>
      </w:r>
      <w:r w:rsidRPr="00187EF5">
        <w:rPr>
          <w:sz w:val="22"/>
          <w:szCs w:val="22"/>
        </w:rPr>
        <w:t xml:space="preserve">Tore Lomsdalen, ‘Can Archaeoastronomy Inform Archaeology on the Building Chronology of the Mnajdra Neolithic Temple in Malta?’, </w:t>
      </w:r>
      <w:r w:rsidR="00106F3F" w:rsidRPr="00187EF5">
        <w:rPr>
          <w:sz w:val="22"/>
          <w:szCs w:val="22"/>
        </w:rPr>
        <w:t xml:space="preserve">in </w:t>
      </w:r>
      <w:r w:rsidR="00106F3F" w:rsidRPr="00187EF5">
        <w:rPr>
          <w:i/>
          <w:iCs/>
          <w:sz w:val="22"/>
          <w:szCs w:val="22"/>
        </w:rPr>
        <w:t>Skyscapes: The Role and Importance of the Sky in Archaeology</w:t>
      </w:r>
      <w:r w:rsidR="00106F3F" w:rsidRPr="00187EF5">
        <w:rPr>
          <w:sz w:val="22"/>
          <w:szCs w:val="22"/>
        </w:rPr>
        <w:t xml:space="preserve">, ed. </w:t>
      </w:r>
      <w:r w:rsidR="00D076D1" w:rsidRPr="00187EF5">
        <w:rPr>
          <w:sz w:val="22"/>
          <w:szCs w:val="22"/>
        </w:rPr>
        <w:t xml:space="preserve">by </w:t>
      </w:r>
      <w:r w:rsidR="00106F3F" w:rsidRPr="00187EF5">
        <w:rPr>
          <w:sz w:val="22"/>
          <w:szCs w:val="22"/>
        </w:rPr>
        <w:t>Fabio Silva and Nicholas Campion (Oxford: Oxbow Books, 2015), pp. 59-75;</w:t>
      </w:r>
      <w:r w:rsidR="000C548E" w:rsidRPr="00187EF5">
        <w:rPr>
          <w:sz w:val="22"/>
          <w:szCs w:val="22"/>
        </w:rPr>
        <w:t xml:space="preserve"> </w:t>
      </w:r>
      <w:r w:rsidR="009E682E" w:rsidRPr="00187EF5">
        <w:rPr>
          <w:sz w:val="22"/>
          <w:szCs w:val="22"/>
        </w:rPr>
        <w:t xml:space="preserve">Anthony Aveni, ‘Horizon Astronomy in Incaic Cuzco’ in </w:t>
      </w:r>
      <w:r w:rsidR="009E682E" w:rsidRPr="00187EF5">
        <w:rPr>
          <w:i/>
          <w:iCs/>
          <w:sz w:val="22"/>
          <w:szCs w:val="22"/>
        </w:rPr>
        <w:t>Foundations of New World Cultural Astronomy: A Reader with Commentary</w:t>
      </w:r>
      <w:r w:rsidR="009E682E" w:rsidRPr="00187EF5">
        <w:rPr>
          <w:sz w:val="22"/>
          <w:szCs w:val="22"/>
        </w:rPr>
        <w:t>, ed.</w:t>
      </w:r>
      <w:r w:rsidR="00955B04" w:rsidRPr="00187EF5">
        <w:rPr>
          <w:sz w:val="22"/>
          <w:szCs w:val="22"/>
        </w:rPr>
        <w:t xml:space="preserve"> by</w:t>
      </w:r>
      <w:r w:rsidR="009E682E" w:rsidRPr="00187EF5">
        <w:rPr>
          <w:sz w:val="22"/>
          <w:szCs w:val="22"/>
        </w:rPr>
        <w:t xml:space="preserve"> Anthony Aveni</w:t>
      </w:r>
      <w:r w:rsidR="009E682E" w:rsidRPr="00187EF5">
        <w:rPr>
          <w:i/>
          <w:iCs/>
          <w:sz w:val="22"/>
          <w:szCs w:val="22"/>
        </w:rPr>
        <w:t xml:space="preserve"> </w:t>
      </w:r>
      <w:r w:rsidR="009E682E" w:rsidRPr="00187EF5">
        <w:rPr>
          <w:sz w:val="22"/>
          <w:szCs w:val="22"/>
        </w:rPr>
        <w:t>(Boulder: University Press of Colorado, 2008), pp. 110, 122.</w:t>
      </w:r>
      <w:r w:rsidR="00DF2783" w:rsidRPr="00187EF5">
        <w:rPr>
          <w:sz w:val="22"/>
          <w:szCs w:val="22"/>
        </w:rPr>
        <w:t xml:space="preserve"> </w:t>
      </w:r>
    </w:p>
  </w:footnote>
  <w:footnote w:id="3">
    <w:p w14:paraId="41184BBA" w14:textId="48688890" w:rsidR="00F145EF" w:rsidRPr="00187EF5" w:rsidRDefault="009E75F1" w:rsidP="00DA189C">
      <w:pPr>
        <w:spacing w:after="0" w:line="240" w:lineRule="auto"/>
        <w:rPr>
          <w:sz w:val="22"/>
          <w:szCs w:val="22"/>
        </w:rPr>
      </w:pPr>
      <w:r w:rsidRPr="00187EF5">
        <w:rPr>
          <w:rStyle w:val="FootnoteReference"/>
          <w:sz w:val="22"/>
          <w:szCs w:val="22"/>
        </w:rPr>
        <w:footnoteRef/>
      </w:r>
      <w:r w:rsidRPr="00187EF5">
        <w:rPr>
          <w:sz w:val="22"/>
          <w:szCs w:val="22"/>
        </w:rPr>
        <w:t xml:space="preserve"> </w:t>
      </w:r>
      <w:r w:rsidR="00A13CBC" w:rsidRPr="00187EF5">
        <w:rPr>
          <w:sz w:val="22"/>
          <w:szCs w:val="22"/>
        </w:rPr>
        <w:t xml:space="preserve">Aveni, </w:t>
      </w:r>
      <w:r w:rsidR="00A13CBC" w:rsidRPr="00187EF5">
        <w:rPr>
          <w:i/>
          <w:iCs/>
          <w:sz w:val="22"/>
          <w:szCs w:val="22"/>
        </w:rPr>
        <w:t xml:space="preserve">Horizon, </w:t>
      </w:r>
      <w:r w:rsidR="00A13CBC" w:rsidRPr="00187EF5">
        <w:rPr>
          <w:sz w:val="22"/>
          <w:szCs w:val="22"/>
        </w:rPr>
        <w:t xml:space="preserve">p. 110; </w:t>
      </w:r>
      <w:r w:rsidR="00F145EF" w:rsidRPr="00187EF5">
        <w:rPr>
          <w:sz w:val="22"/>
          <w:szCs w:val="22"/>
        </w:rPr>
        <w:t xml:space="preserve">Gregory J. Feist, ‘Origins of the Scientific Thinking’ in </w:t>
      </w:r>
      <w:r w:rsidR="00F145EF" w:rsidRPr="00187EF5">
        <w:rPr>
          <w:i/>
          <w:iCs/>
          <w:sz w:val="22"/>
          <w:szCs w:val="22"/>
        </w:rPr>
        <w:t xml:space="preserve">The Psychology of Science and the Origins of the Scientific Mind </w:t>
      </w:r>
      <w:r w:rsidR="00F145EF" w:rsidRPr="00187EF5">
        <w:rPr>
          <w:sz w:val="22"/>
          <w:szCs w:val="22"/>
        </w:rPr>
        <w:t xml:space="preserve">(New Haven: Yale University Press, </w:t>
      </w:r>
      <w:r w:rsidR="0076360A" w:rsidRPr="00187EF5">
        <w:rPr>
          <w:sz w:val="22"/>
          <w:szCs w:val="22"/>
        </w:rPr>
        <w:t>2008)</w:t>
      </w:r>
      <w:r w:rsidR="00D076D1" w:rsidRPr="00187EF5">
        <w:rPr>
          <w:sz w:val="22"/>
          <w:szCs w:val="22"/>
        </w:rPr>
        <w:t>,</w:t>
      </w:r>
      <w:r w:rsidR="0076360A" w:rsidRPr="00187EF5">
        <w:rPr>
          <w:sz w:val="22"/>
          <w:szCs w:val="22"/>
        </w:rPr>
        <w:t xml:space="preserve"> p. 199</w:t>
      </w:r>
      <w:r w:rsidR="003742F7" w:rsidRPr="00187EF5">
        <w:rPr>
          <w:sz w:val="22"/>
          <w:szCs w:val="22"/>
        </w:rPr>
        <w:t>.</w:t>
      </w:r>
    </w:p>
    <w:p w14:paraId="7B9B0069" w14:textId="1231F71D" w:rsidR="009E75F1" w:rsidRPr="00DA189C" w:rsidRDefault="00F145EF" w:rsidP="00DA189C">
      <w:pPr>
        <w:spacing w:after="0" w:line="240" w:lineRule="auto"/>
        <w:rPr>
          <w:i/>
          <w:iCs/>
          <w:sz w:val="20"/>
          <w:szCs w:val="20"/>
        </w:rPr>
      </w:pPr>
      <w:r w:rsidRPr="00187EF5">
        <w:rPr>
          <w:sz w:val="22"/>
          <w:szCs w:val="22"/>
        </w:rPr>
        <w:t>Tom</w:t>
      </w:r>
      <w:r w:rsidR="009E75F1" w:rsidRPr="00187EF5">
        <w:rPr>
          <w:sz w:val="22"/>
          <w:szCs w:val="22"/>
        </w:rPr>
        <w:t xml:space="preserve"> Condit and Gabriel Cooney, ‘Heritage Guide No. 8: Newgrange, Co. Meath: Ne</w:t>
      </w:r>
      <w:r w:rsidR="00A13CBC" w:rsidRPr="00187EF5">
        <w:rPr>
          <w:sz w:val="22"/>
          <w:szCs w:val="22"/>
        </w:rPr>
        <w:t xml:space="preserve">olithic religion and the mid-winter sunrise’, </w:t>
      </w:r>
      <w:r w:rsidR="00A13CBC" w:rsidRPr="00187EF5">
        <w:rPr>
          <w:i/>
          <w:iCs/>
          <w:sz w:val="22"/>
          <w:szCs w:val="22"/>
        </w:rPr>
        <w:t xml:space="preserve">Archaeology Ireland, </w:t>
      </w:r>
      <w:r w:rsidR="00A13CBC" w:rsidRPr="00187EF5">
        <w:rPr>
          <w:sz w:val="22"/>
          <w:szCs w:val="22"/>
        </w:rPr>
        <w:t>November (1999), p. 4</w:t>
      </w:r>
      <w:r w:rsidR="0076360A" w:rsidRPr="00187EF5">
        <w:rPr>
          <w:sz w:val="22"/>
          <w:szCs w:val="22"/>
        </w:rPr>
        <w:t>.</w:t>
      </w:r>
    </w:p>
  </w:footnote>
  <w:footnote w:id="4">
    <w:p w14:paraId="00E37849" w14:textId="68F6BFFA" w:rsidR="008643A4" w:rsidRPr="00187EF5" w:rsidRDefault="008643A4" w:rsidP="00DA189C">
      <w:pPr>
        <w:spacing w:after="0" w:line="240" w:lineRule="auto"/>
        <w:rPr>
          <w:sz w:val="22"/>
          <w:szCs w:val="22"/>
        </w:rPr>
      </w:pPr>
      <w:r w:rsidRPr="00187EF5">
        <w:rPr>
          <w:rStyle w:val="FootnoteReference"/>
          <w:sz w:val="22"/>
          <w:szCs w:val="22"/>
        </w:rPr>
        <w:footnoteRef/>
      </w:r>
      <w:r w:rsidRPr="00187EF5">
        <w:rPr>
          <w:sz w:val="22"/>
          <w:szCs w:val="22"/>
        </w:rPr>
        <w:t xml:space="preserve"> Elizabeth Wayland Barber and Paul T. Barber, </w:t>
      </w:r>
      <w:r w:rsidRPr="00187EF5">
        <w:rPr>
          <w:i/>
          <w:iCs/>
          <w:sz w:val="22"/>
          <w:szCs w:val="22"/>
        </w:rPr>
        <w:t>When They Severed Earth from Sky: How the Human Mind Shapes Myth</w:t>
      </w:r>
      <w:r w:rsidR="00804484" w:rsidRPr="00187EF5">
        <w:rPr>
          <w:sz w:val="22"/>
          <w:szCs w:val="22"/>
        </w:rPr>
        <w:t xml:space="preserve"> (Princeton: Princeton University Press, 2006), p. 178</w:t>
      </w:r>
      <w:r w:rsidR="008E2A69" w:rsidRPr="00187EF5">
        <w:rPr>
          <w:sz w:val="22"/>
          <w:szCs w:val="22"/>
        </w:rPr>
        <w:t>.</w:t>
      </w:r>
    </w:p>
  </w:footnote>
  <w:footnote w:id="5">
    <w:p w14:paraId="410E030D" w14:textId="02412C7F" w:rsidR="00512005" w:rsidRDefault="00512005">
      <w:pPr>
        <w:pStyle w:val="FootnoteText"/>
      </w:pPr>
      <w:r>
        <w:rPr>
          <w:rStyle w:val="FootnoteReference"/>
        </w:rPr>
        <w:footnoteRef/>
      </w:r>
      <w:r>
        <w:t xml:space="preserve"> </w:t>
      </w:r>
      <w:r w:rsidRPr="008378CC">
        <w:t xml:space="preserve">Ekkehart Malotki and Ellen Dissanayake, </w:t>
      </w:r>
      <w:r w:rsidRPr="008378CC">
        <w:rPr>
          <w:i/>
          <w:iCs/>
        </w:rPr>
        <w:t xml:space="preserve">Early Rock Art of the American West: The Geometric Enigma </w:t>
      </w:r>
      <w:r w:rsidRPr="008378CC">
        <w:t>(Seattle: University of Washington Press, 2018),</w:t>
      </w:r>
      <w:r>
        <w:t xml:space="preserve"> p. 41.</w:t>
      </w:r>
    </w:p>
  </w:footnote>
  <w:footnote w:id="6">
    <w:p w14:paraId="6DAF23F1" w14:textId="77777777" w:rsidR="000E0813" w:rsidRDefault="000E0813" w:rsidP="000E0813">
      <w:pPr>
        <w:pStyle w:val="FootnoteText"/>
      </w:pPr>
      <w:r>
        <w:rPr>
          <w:rStyle w:val="FootnoteReference"/>
        </w:rPr>
        <w:footnoteRef/>
      </w:r>
      <w:r>
        <w:t xml:space="preserve"> Barbers, </w:t>
      </w:r>
      <w:r>
        <w:rPr>
          <w:i/>
          <w:iCs/>
        </w:rPr>
        <w:t>Severed Earth,</w:t>
      </w:r>
      <w:r>
        <w:t xml:space="preserve"> p. 180.</w:t>
      </w:r>
    </w:p>
  </w:footnote>
  <w:footnote w:id="7">
    <w:p w14:paraId="0677A843" w14:textId="47457B24" w:rsidR="00062998" w:rsidRPr="00187EF5" w:rsidRDefault="00062998" w:rsidP="0068455A">
      <w:pPr>
        <w:pStyle w:val="FootnoteText"/>
        <w:rPr>
          <w:szCs w:val="22"/>
        </w:rPr>
      </w:pPr>
      <w:r w:rsidRPr="00187EF5">
        <w:rPr>
          <w:rStyle w:val="FootnoteReference"/>
          <w:szCs w:val="22"/>
        </w:rPr>
        <w:footnoteRef/>
      </w:r>
      <w:r w:rsidRPr="00187EF5">
        <w:rPr>
          <w:szCs w:val="22"/>
        </w:rPr>
        <w:t xml:space="preserve"> Barbers, </w:t>
      </w:r>
      <w:r w:rsidRPr="00187EF5">
        <w:rPr>
          <w:i/>
          <w:iCs/>
          <w:szCs w:val="22"/>
        </w:rPr>
        <w:t>Severed Earth</w:t>
      </w:r>
      <w:r w:rsidRPr="00187EF5">
        <w:rPr>
          <w:szCs w:val="22"/>
        </w:rPr>
        <w:t>, p. 178</w:t>
      </w:r>
      <w:r w:rsidR="003742F7" w:rsidRPr="00187EF5">
        <w:rPr>
          <w:szCs w:val="22"/>
        </w:rPr>
        <w:t>.</w:t>
      </w:r>
    </w:p>
  </w:footnote>
  <w:footnote w:id="8">
    <w:p w14:paraId="377ED1CE" w14:textId="72BAE377" w:rsidR="00062998" w:rsidRDefault="00062998" w:rsidP="0068455A">
      <w:pPr>
        <w:pStyle w:val="FootnoteText"/>
      </w:pPr>
      <w:r w:rsidRPr="00187EF5">
        <w:rPr>
          <w:rStyle w:val="FootnoteReference"/>
          <w:szCs w:val="22"/>
        </w:rPr>
        <w:footnoteRef/>
      </w:r>
      <w:r w:rsidRPr="00187EF5">
        <w:rPr>
          <w:szCs w:val="22"/>
        </w:rPr>
        <w:t xml:space="preserve"> George Sabo III and Jan F. Simek, ‘Materiality and cultural landscapes in Native America’</w:t>
      </w:r>
      <w:r w:rsidR="00E50708">
        <w:rPr>
          <w:szCs w:val="22"/>
        </w:rPr>
        <w:t xml:space="preserve">, in </w:t>
      </w:r>
      <w:r w:rsidRPr="00187EF5">
        <w:rPr>
          <w:i/>
          <w:iCs/>
          <w:szCs w:val="22"/>
        </w:rPr>
        <w:t xml:space="preserve">Transforming the Landscape: Rock Art and the Mississippian Cosmos, </w:t>
      </w:r>
      <w:r w:rsidRPr="00187EF5">
        <w:rPr>
          <w:szCs w:val="22"/>
        </w:rPr>
        <w:t>ed.</w:t>
      </w:r>
      <w:r w:rsidR="0092249C" w:rsidRPr="00187EF5">
        <w:rPr>
          <w:szCs w:val="22"/>
        </w:rPr>
        <w:t xml:space="preserve"> by</w:t>
      </w:r>
      <w:r w:rsidRPr="00187EF5">
        <w:rPr>
          <w:i/>
          <w:iCs/>
          <w:szCs w:val="22"/>
        </w:rPr>
        <w:t xml:space="preserve"> </w:t>
      </w:r>
      <w:r w:rsidRPr="00187EF5">
        <w:rPr>
          <w:szCs w:val="22"/>
        </w:rPr>
        <w:t xml:space="preserve">Carol Diaz-Granados, Jan Simek, George Sabo </w:t>
      </w:r>
      <w:r w:rsidR="004D631D" w:rsidRPr="00187EF5">
        <w:rPr>
          <w:szCs w:val="22"/>
        </w:rPr>
        <w:t>III,</w:t>
      </w:r>
      <w:r w:rsidRPr="00187EF5">
        <w:rPr>
          <w:szCs w:val="22"/>
        </w:rPr>
        <w:t xml:space="preserve"> and Mark Wagner (Oxford: Oxbow Books, Limited, 2018), pp. </w:t>
      </w:r>
      <w:r w:rsidR="003B56FF">
        <w:rPr>
          <w:szCs w:val="22"/>
        </w:rPr>
        <w:t>5-25</w:t>
      </w:r>
      <w:r w:rsidRPr="00187EF5">
        <w:rPr>
          <w:szCs w:val="22"/>
        </w:rPr>
        <w:t>.</w:t>
      </w:r>
    </w:p>
  </w:footnote>
  <w:footnote w:id="9">
    <w:p w14:paraId="09FFF325" w14:textId="4EE8988C" w:rsidR="00766BEA" w:rsidRDefault="00C414FF" w:rsidP="0068455A">
      <w:pPr>
        <w:pStyle w:val="FootnoteText"/>
        <w:rPr>
          <w:szCs w:val="22"/>
        </w:rPr>
      </w:pPr>
      <w:r w:rsidRPr="00187EF5">
        <w:rPr>
          <w:rStyle w:val="FootnoteReference"/>
          <w:szCs w:val="22"/>
        </w:rPr>
        <w:footnoteRef/>
      </w:r>
      <w:r w:rsidRPr="00187EF5">
        <w:rPr>
          <w:szCs w:val="22"/>
        </w:rPr>
        <w:t xml:space="preserve"> Headwaters Economics,</w:t>
      </w:r>
    </w:p>
    <w:p w14:paraId="52C3582C" w14:textId="06B53522" w:rsidR="00C414FF" w:rsidRPr="00187EF5" w:rsidRDefault="009B196A" w:rsidP="0068455A">
      <w:pPr>
        <w:pStyle w:val="FootnoteText"/>
        <w:rPr>
          <w:szCs w:val="22"/>
        </w:rPr>
      </w:pPr>
      <w:hyperlink r:id="rId1" w:history="1">
        <w:r w:rsidR="00766BEA" w:rsidRPr="004F714E">
          <w:rPr>
            <w:rStyle w:val="Hyperlink"/>
            <w:szCs w:val="22"/>
          </w:rPr>
          <w:t>https://headwaterseconomics.org/economic-development/economic-grand-</w:t>
        </w:r>
      </w:hyperlink>
      <w:r w:rsidR="00766BEA" w:rsidRPr="004D631D">
        <w:rPr>
          <w:rStyle w:val="Hyperlink"/>
          <w:szCs w:val="22"/>
        </w:rPr>
        <w:t>county/#:~:text=Grand%20County%20consists%20largely%20of,47%20percent%20of%20private%20employment</w:t>
      </w:r>
      <w:r w:rsidR="00C414FF" w:rsidRPr="00187EF5">
        <w:rPr>
          <w:szCs w:val="22"/>
        </w:rPr>
        <w:t xml:space="preserve">. </w:t>
      </w:r>
      <w:r w:rsidR="00EA50F6" w:rsidRPr="00187EF5">
        <w:rPr>
          <w:szCs w:val="22"/>
        </w:rPr>
        <w:t>[</w:t>
      </w:r>
      <w:r w:rsidR="00C414FF" w:rsidRPr="00187EF5">
        <w:rPr>
          <w:szCs w:val="22"/>
        </w:rPr>
        <w:t>Accessed</w:t>
      </w:r>
      <w:r w:rsidR="00EA50F6" w:rsidRPr="00187EF5">
        <w:rPr>
          <w:szCs w:val="22"/>
        </w:rPr>
        <w:t xml:space="preserve"> Jan. </w:t>
      </w:r>
      <w:r w:rsidR="00C414FF" w:rsidRPr="00187EF5">
        <w:rPr>
          <w:szCs w:val="22"/>
        </w:rPr>
        <w:t>22</w:t>
      </w:r>
      <w:r w:rsidR="00EA50F6" w:rsidRPr="00187EF5">
        <w:rPr>
          <w:szCs w:val="22"/>
        </w:rPr>
        <w:t>, 20</w:t>
      </w:r>
      <w:r w:rsidR="00C414FF" w:rsidRPr="00187EF5">
        <w:rPr>
          <w:szCs w:val="22"/>
        </w:rPr>
        <w:t>22</w:t>
      </w:r>
      <w:r w:rsidR="00EA50F6" w:rsidRPr="00187EF5">
        <w:rPr>
          <w:szCs w:val="22"/>
        </w:rPr>
        <w:t>]</w:t>
      </w:r>
    </w:p>
  </w:footnote>
  <w:footnote w:id="10">
    <w:p w14:paraId="2B1A61E2" w14:textId="3AA709CE" w:rsidR="00C414FF" w:rsidRDefault="00C414FF" w:rsidP="0068455A">
      <w:pPr>
        <w:pStyle w:val="FootnoteText"/>
      </w:pPr>
      <w:r w:rsidRPr="00187EF5">
        <w:rPr>
          <w:rStyle w:val="FootnoteReference"/>
          <w:szCs w:val="22"/>
        </w:rPr>
        <w:footnoteRef/>
      </w:r>
      <w:r w:rsidRPr="00187EF5">
        <w:rPr>
          <w:szCs w:val="22"/>
        </w:rPr>
        <w:t xml:space="preserve"> Hellmut H. Doelling, </w:t>
      </w:r>
      <w:r w:rsidRPr="00187EF5">
        <w:rPr>
          <w:i/>
          <w:iCs/>
          <w:szCs w:val="22"/>
        </w:rPr>
        <w:t>The Geology of Arches National Park: To Accompany Map 74</w:t>
      </w:r>
      <w:r w:rsidRPr="00187EF5">
        <w:rPr>
          <w:szCs w:val="22"/>
        </w:rPr>
        <w:t xml:space="preserve"> (Salt Lake City: Utah Geological and Mineral Survey, 1985), pp. 1-9.</w:t>
      </w:r>
    </w:p>
  </w:footnote>
  <w:footnote w:id="11">
    <w:p w14:paraId="05803341" w14:textId="19F63470" w:rsidR="006F1359" w:rsidRPr="00187EF5" w:rsidRDefault="006F1359" w:rsidP="0068455A">
      <w:pPr>
        <w:pStyle w:val="FootnoteText"/>
        <w:rPr>
          <w:szCs w:val="22"/>
        </w:rPr>
      </w:pPr>
      <w:r w:rsidRPr="00187EF5">
        <w:rPr>
          <w:rStyle w:val="FootnoteReference"/>
          <w:szCs w:val="22"/>
        </w:rPr>
        <w:footnoteRef/>
      </w:r>
      <w:r w:rsidRPr="00187EF5">
        <w:rPr>
          <w:szCs w:val="22"/>
        </w:rPr>
        <w:t xml:space="preserve"> Doelling, </w:t>
      </w:r>
      <w:r w:rsidRPr="00187EF5">
        <w:rPr>
          <w:i/>
          <w:iCs/>
          <w:szCs w:val="22"/>
        </w:rPr>
        <w:t>Geology of Arches</w:t>
      </w:r>
      <w:r w:rsidRPr="00187EF5">
        <w:rPr>
          <w:szCs w:val="22"/>
        </w:rPr>
        <w:t>, p. 6.</w:t>
      </w:r>
    </w:p>
  </w:footnote>
  <w:footnote w:id="12">
    <w:p w14:paraId="2E29E309" w14:textId="33C7A9CA" w:rsidR="00C414FF" w:rsidRPr="00187EF5" w:rsidRDefault="00C414FF" w:rsidP="0068455A">
      <w:pPr>
        <w:pStyle w:val="FootnoteText"/>
        <w:rPr>
          <w:szCs w:val="22"/>
        </w:rPr>
      </w:pPr>
      <w:r w:rsidRPr="00187EF5">
        <w:rPr>
          <w:rStyle w:val="FootnoteReference"/>
          <w:szCs w:val="22"/>
        </w:rPr>
        <w:footnoteRef/>
      </w:r>
      <w:r w:rsidRPr="00187EF5">
        <w:rPr>
          <w:szCs w:val="22"/>
        </w:rPr>
        <w:t xml:space="preserve"> </w:t>
      </w:r>
      <w:r w:rsidR="00CE5AED" w:rsidRPr="00187EF5">
        <w:rPr>
          <w:szCs w:val="22"/>
        </w:rPr>
        <w:t xml:space="preserve">Sally J. Cole, </w:t>
      </w:r>
      <w:r w:rsidR="00CE5AED" w:rsidRPr="00187EF5">
        <w:rPr>
          <w:i/>
          <w:iCs/>
          <w:szCs w:val="22"/>
        </w:rPr>
        <w:t>Legacy on Stone: Rock Art of the Colorado Plateau and Four Corners Region, Revised and Updated</w:t>
      </w:r>
      <w:r w:rsidR="00CE5AED" w:rsidRPr="00187EF5">
        <w:rPr>
          <w:szCs w:val="22"/>
        </w:rPr>
        <w:t xml:space="preserve"> (Boulder: Johnson Books, 2009),</w:t>
      </w:r>
      <w:r w:rsidRPr="00187EF5">
        <w:rPr>
          <w:szCs w:val="22"/>
        </w:rPr>
        <w:t xml:space="preserve"> p. 4.</w:t>
      </w:r>
    </w:p>
  </w:footnote>
  <w:footnote w:id="13">
    <w:p w14:paraId="17F79222" w14:textId="77777777" w:rsidR="00C414FF" w:rsidRDefault="00C414FF" w:rsidP="0068455A">
      <w:pPr>
        <w:pStyle w:val="FootnoteText"/>
      </w:pPr>
      <w:r w:rsidRPr="00187EF5">
        <w:rPr>
          <w:rStyle w:val="FootnoteReference"/>
          <w:szCs w:val="22"/>
        </w:rPr>
        <w:footnoteRef/>
      </w:r>
      <w:r w:rsidRPr="00187EF5">
        <w:rPr>
          <w:szCs w:val="22"/>
        </w:rPr>
        <w:t xml:space="preserve"> Doelling, </w:t>
      </w:r>
      <w:r w:rsidRPr="00187EF5">
        <w:rPr>
          <w:i/>
          <w:iCs/>
          <w:szCs w:val="22"/>
        </w:rPr>
        <w:t xml:space="preserve">Geology of Arches, </w:t>
      </w:r>
      <w:r w:rsidRPr="00187EF5">
        <w:rPr>
          <w:szCs w:val="22"/>
        </w:rPr>
        <w:t>pp. 1, 9-11.</w:t>
      </w:r>
    </w:p>
  </w:footnote>
  <w:footnote w:id="14">
    <w:p w14:paraId="0FADEF3B" w14:textId="7F4D500B" w:rsidR="00C414FF" w:rsidRPr="00EA50F6" w:rsidRDefault="00C414FF" w:rsidP="0068455A">
      <w:pPr>
        <w:pStyle w:val="FootnoteText"/>
        <w:rPr>
          <w:szCs w:val="22"/>
        </w:rPr>
      </w:pPr>
      <w:r w:rsidRPr="00EA50F6">
        <w:rPr>
          <w:rStyle w:val="FootnoteReference"/>
          <w:szCs w:val="22"/>
        </w:rPr>
        <w:footnoteRef/>
      </w:r>
      <w:r w:rsidRPr="00EA50F6">
        <w:rPr>
          <w:szCs w:val="22"/>
        </w:rPr>
        <w:t xml:space="preserve"> </w:t>
      </w:r>
      <w:r w:rsidR="00A81A2D" w:rsidRPr="00EA50F6">
        <w:rPr>
          <w:szCs w:val="22"/>
        </w:rPr>
        <w:t xml:space="preserve">Jesse D. Jennings, </w:t>
      </w:r>
      <w:r w:rsidR="00A81A2D" w:rsidRPr="00EA50F6">
        <w:rPr>
          <w:i/>
          <w:iCs/>
          <w:szCs w:val="22"/>
        </w:rPr>
        <w:t>Prehistory of Utah and the Eastern Great Basin</w:t>
      </w:r>
      <w:r w:rsidR="00A81A2D" w:rsidRPr="00EA50F6">
        <w:rPr>
          <w:szCs w:val="22"/>
        </w:rPr>
        <w:t xml:space="preserve"> (Salt Lake City: University of Utah Press, 1973)</w:t>
      </w:r>
      <w:r w:rsidRPr="00EA50F6">
        <w:rPr>
          <w:szCs w:val="22"/>
        </w:rPr>
        <w:t>, p. 9.</w:t>
      </w:r>
    </w:p>
  </w:footnote>
  <w:footnote w:id="15">
    <w:p w14:paraId="1EBF6BD9" w14:textId="55BC7172" w:rsidR="00C414FF" w:rsidRPr="00EA50F6" w:rsidRDefault="00C414FF" w:rsidP="00C414FF">
      <w:pPr>
        <w:pStyle w:val="Default"/>
        <w:rPr>
          <w:rFonts w:asciiTheme="minorHAnsi" w:hAnsiTheme="minorHAnsi" w:cstheme="minorHAnsi"/>
          <w:sz w:val="22"/>
          <w:szCs w:val="22"/>
        </w:rPr>
      </w:pPr>
      <w:r w:rsidRPr="00EA50F6">
        <w:rPr>
          <w:rStyle w:val="FootnoteReference"/>
          <w:rFonts w:asciiTheme="minorHAnsi" w:hAnsiTheme="minorHAnsi" w:cstheme="minorHAnsi"/>
          <w:sz w:val="22"/>
          <w:szCs w:val="22"/>
        </w:rPr>
        <w:footnoteRef/>
      </w:r>
      <w:r w:rsidRPr="00EA50F6">
        <w:rPr>
          <w:rFonts w:asciiTheme="minorHAnsi" w:hAnsiTheme="minorHAnsi" w:cstheme="minorHAnsi"/>
          <w:sz w:val="22"/>
          <w:szCs w:val="22"/>
        </w:rPr>
        <w:t xml:space="preserve"> Dr. Kenneth E. Kolm, Hydrologic Systems Analysis, LLC., Golden, Colorado and Paul K.M. van der Heijde, Heath Hydrology, Inc., Boulder, Colorado,</w:t>
      </w:r>
      <w:r w:rsidRPr="00EA50F6">
        <w:rPr>
          <w:rFonts w:asciiTheme="minorHAnsi" w:hAnsiTheme="minorHAnsi" w:cstheme="minorHAnsi"/>
          <w:b/>
          <w:bCs/>
          <w:sz w:val="22"/>
          <w:szCs w:val="22"/>
        </w:rPr>
        <w:t xml:space="preserve"> </w:t>
      </w:r>
      <w:r w:rsidRPr="00EA50F6">
        <w:rPr>
          <w:rFonts w:asciiTheme="minorHAnsi" w:hAnsiTheme="minorHAnsi" w:cstheme="minorHAnsi"/>
          <w:sz w:val="22"/>
          <w:szCs w:val="22"/>
        </w:rPr>
        <w:t xml:space="preserve">‘Hydrologic Assessment of the Surface Water and Groundwater Resources of Castle Valley, Utah: Part 1: Hydrologic and Environmental Analysis (HESA) and Preliminary Water Budget’, prepared for the Town of Castle Valley, March, 2016, p. 6.; Weather Atlas </w:t>
      </w:r>
      <w:hyperlink r:id="rId2" w:history="1">
        <w:r w:rsidRPr="00EA50F6">
          <w:rPr>
            <w:rStyle w:val="Hyperlink"/>
            <w:rFonts w:asciiTheme="minorHAnsi" w:hAnsiTheme="minorHAnsi" w:cstheme="minorHAnsi"/>
            <w:sz w:val="22"/>
            <w:szCs w:val="22"/>
          </w:rPr>
          <w:t>https://www.weather-us.com/en/utah-usa/arches-national-park-climate</w:t>
        </w:r>
      </w:hyperlink>
      <w:r w:rsidRPr="00EA50F6">
        <w:rPr>
          <w:rFonts w:asciiTheme="minorHAnsi" w:hAnsiTheme="minorHAnsi" w:cstheme="minorHAnsi"/>
          <w:sz w:val="22"/>
          <w:szCs w:val="22"/>
        </w:rPr>
        <w:t xml:space="preserve"> [Accessed </w:t>
      </w:r>
      <w:r w:rsidR="001A23D2">
        <w:rPr>
          <w:rFonts w:asciiTheme="minorHAnsi" w:hAnsiTheme="minorHAnsi" w:cstheme="minorHAnsi"/>
          <w:sz w:val="22"/>
          <w:szCs w:val="22"/>
        </w:rPr>
        <w:t>Jan. 23, 20</w:t>
      </w:r>
      <w:r w:rsidRPr="00EA50F6">
        <w:rPr>
          <w:rFonts w:asciiTheme="minorHAnsi" w:hAnsiTheme="minorHAnsi" w:cstheme="minorHAnsi"/>
          <w:sz w:val="22"/>
          <w:szCs w:val="22"/>
        </w:rPr>
        <w:t>22].</w:t>
      </w:r>
    </w:p>
  </w:footnote>
  <w:footnote w:id="16">
    <w:p w14:paraId="216A5D0A" w14:textId="7325A215" w:rsidR="003F2B6B" w:rsidRPr="00EA50F6" w:rsidRDefault="003F2B6B" w:rsidP="0068455A">
      <w:pPr>
        <w:pStyle w:val="FootnoteText"/>
        <w:rPr>
          <w:szCs w:val="22"/>
        </w:rPr>
      </w:pPr>
      <w:r w:rsidRPr="00EA50F6">
        <w:rPr>
          <w:rStyle w:val="FootnoteReference"/>
          <w:szCs w:val="22"/>
        </w:rPr>
        <w:footnoteRef/>
      </w:r>
      <w:r w:rsidRPr="00EA50F6">
        <w:rPr>
          <w:szCs w:val="22"/>
        </w:rPr>
        <w:t xml:space="preserve"> David E. Stuart, </w:t>
      </w:r>
      <w:r w:rsidRPr="00EA50F6">
        <w:rPr>
          <w:i/>
          <w:iCs/>
          <w:szCs w:val="22"/>
        </w:rPr>
        <w:t xml:space="preserve">Anasazi America: Seventeen Centuries on the Road from Center Place, Second Edition </w:t>
      </w:r>
      <w:r w:rsidRPr="00EA50F6">
        <w:rPr>
          <w:szCs w:val="22"/>
        </w:rPr>
        <w:t xml:space="preserve">(Albuquerque: University of New Mexico Press, 2014), pp. </w:t>
      </w:r>
      <w:r w:rsidR="00017487" w:rsidRPr="00EA50F6">
        <w:rPr>
          <w:szCs w:val="22"/>
        </w:rPr>
        <w:t>8</w:t>
      </w:r>
      <w:r w:rsidRPr="00EA50F6">
        <w:rPr>
          <w:szCs w:val="22"/>
        </w:rPr>
        <w:t>-11.</w:t>
      </w:r>
    </w:p>
  </w:footnote>
  <w:footnote w:id="17">
    <w:p w14:paraId="027DB8C8" w14:textId="5D4C5302" w:rsidR="00187EF5" w:rsidRPr="00187EF5" w:rsidRDefault="00187EF5">
      <w:pPr>
        <w:pStyle w:val="FootnoteText"/>
      </w:pPr>
      <w:r>
        <w:rPr>
          <w:rStyle w:val="FootnoteReference"/>
        </w:rPr>
        <w:footnoteRef/>
      </w:r>
      <w:r>
        <w:t xml:space="preserve"> </w:t>
      </w:r>
      <w:r w:rsidRPr="00187EF5">
        <w:rPr>
          <w:szCs w:val="22"/>
        </w:rPr>
        <w:t xml:space="preserve">Mary </w:t>
      </w:r>
      <w:r>
        <w:rPr>
          <w:szCs w:val="22"/>
        </w:rPr>
        <w:t xml:space="preserve">M. Prasciunas, </w:t>
      </w:r>
      <w:r w:rsidR="0032564F">
        <w:rPr>
          <w:szCs w:val="22"/>
        </w:rPr>
        <w:t>‘</w:t>
      </w:r>
      <w:r>
        <w:rPr>
          <w:szCs w:val="22"/>
        </w:rPr>
        <w:t xml:space="preserve">Mapping Clovis: Projectile Points, Behavior and Bias’, </w:t>
      </w:r>
      <w:r>
        <w:rPr>
          <w:i/>
          <w:iCs/>
          <w:szCs w:val="22"/>
        </w:rPr>
        <w:t xml:space="preserve">American Antiquity, </w:t>
      </w:r>
      <w:r>
        <w:rPr>
          <w:szCs w:val="22"/>
        </w:rPr>
        <w:t xml:space="preserve">Vol. 76, No. </w:t>
      </w:r>
      <w:r w:rsidR="008378CC">
        <w:rPr>
          <w:szCs w:val="22"/>
        </w:rPr>
        <w:t xml:space="preserve">1, (2011), pp. 119-121. </w:t>
      </w:r>
    </w:p>
  </w:footnote>
  <w:footnote w:id="18">
    <w:p w14:paraId="444789F6" w14:textId="77777777" w:rsidR="003A634E" w:rsidRPr="00EA50F6" w:rsidRDefault="003A634E" w:rsidP="00DA189C">
      <w:pPr>
        <w:spacing w:after="0" w:line="240" w:lineRule="auto"/>
        <w:rPr>
          <w:sz w:val="22"/>
          <w:szCs w:val="22"/>
        </w:rPr>
      </w:pPr>
      <w:r w:rsidRPr="00EA50F6">
        <w:rPr>
          <w:rStyle w:val="FootnoteReference"/>
          <w:sz w:val="22"/>
          <w:szCs w:val="22"/>
        </w:rPr>
        <w:footnoteRef/>
      </w:r>
      <w:r w:rsidRPr="00EA50F6">
        <w:rPr>
          <w:sz w:val="22"/>
          <w:szCs w:val="22"/>
        </w:rPr>
        <w:t xml:space="preserve"> Ekkehart Malotki, ‘Early rock art at the Upper Sand Island Site near Bluff, Utah, United States: addenda et corrigenda’, </w:t>
      </w:r>
      <w:r w:rsidRPr="00EA50F6">
        <w:rPr>
          <w:i/>
          <w:iCs/>
          <w:sz w:val="22"/>
          <w:szCs w:val="22"/>
        </w:rPr>
        <w:t xml:space="preserve">Rock Art Research, </w:t>
      </w:r>
      <w:r w:rsidRPr="00EA50F6">
        <w:rPr>
          <w:sz w:val="22"/>
          <w:szCs w:val="22"/>
        </w:rPr>
        <w:t>Vol. 29, No. 2, (2012), pp. 234-238.</w:t>
      </w:r>
    </w:p>
  </w:footnote>
  <w:footnote w:id="19">
    <w:p w14:paraId="34D9E180" w14:textId="39590E9C" w:rsidR="00C414FF" w:rsidRPr="00EA50F6" w:rsidRDefault="00C414FF" w:rsidP="0068455A">
      <w:pPr>
        <w:pStyle w:val="FootnoteText"/>
        <w:rPr>
          <w:szCs w:val="22"/>
        </w:rPr>
      </w:pPr>
      <w:r w:rsidRPr="00EA50F6">
        <w:rPr>
          <w:rStyle w:val="FootnoteReference"/>
          <w:szCs w:val="22"/>
        </w:rPr>
        <w:footnoteRef/>
      </w:r>
      <w:r w:rsidRPr="00EA50F6">
        <w:rPr>
          <w:szCs w:val="22"/>
        </w:rPr>
        <w:t xml:space="preserve"> Greg Nunn, personal communication, 2021</w:t>
      </w:r>
      <w:r w:rsidR="001A23D2">
        <w:rPr>
          <w:szCs w:val="22"/>
        </w:rPr>
        <w:t>.</w:t>
      </w:r>
    </w:p>
  </w:footnote>
  <w:footnote w:id="20">
    <w:p w14:paraId="6D557B78" w14:textId="4E7E02A6" w:rsidR="003F2B6B" w:rsidRPr="008378CC" w:rsidRDefault="003F2B6B" w:rsidP="0068455A">
      <w:pPr>
        <w:pStyle w:val="FootnoteText"/>
        <w:rPr>
          <w:szCs w:val="22"/>
        </w:rPr>
      </w:pPr>
      <w:r w:rsidRPr="008378CC">
        <w:rPr>
          <w:rStyle w:val="FootnoteReference"/>
          <w:szCs w:val="22"/>
        </w:rPr>
        <w:footnoteRef/>
      </w:r>
      <w:r w:rsidRPr="008378CC">
        <w:rPr>
          <w:szCs w:val="22"/>
        </w:rPr>
        <w:t xml:space="preserve"> Stuart, </w:t>
      </w:r>
      <w:r w:rsidRPr="008378CC">
        <w:rPr>
          <w:i/>
          <w:iCs/>
          <w:szCs w:val="22"/>
        </w:rPr>
        <w:t>Anasazi America</w:t>
      </w:r>
      <w:r w:rsidRPr="008378CC">
        <w:rPr>
          <w:szCs w:val="22"/>
        </w:rPr>
        <w:t>, p. 9.</w:t>
      </w:r>
    </w:p>
  </w:footnote>
  <w:footnote w:id="21">
    <w:p w14:paraId="4B4752CE" w14:textId="7AB202B7" w:rsidR="00017487" w:rsidRPr="008378CC" w:rsidRDefault="00017487" w:rsidP="0068455A">
      <w:pPr>
        <w:pStyle w:val="FootnoteText"/>
        <w:rPr>
          <w:szCs w:val="22"/>
        </w:rPr>
      </w:pPr>
      <w:r w:rsidRPr="008378CC">
        <w:rPr>
          <w:rStyle w:val="FootnoteReference"/>
          <w:szCs w:val="22"/>
        </w:rPr>
        <w:footnoteRef/>
      </w:r>
      <w:r w:rsidRPr="008378CC">
        <w:rPr>
          <w:szCs w:val="22"/>
        </w:rPr>
        <w:t xml:space="preserve"> Stuart, </w:t>
      </w:r>
      <w:r w:rsidRPr="008378CC">
        <w:rPr>
          <w:i/>
          <w:iCs/>
          <w:szCs w:val="22"/>
        </w:rPr>
        <w:t xml:space="preserve">Anasazi America, </w:t>
      </w:r>
      <w:r w:rsidRPr="008378CC">
        <w:rPr>
          <w:szCs w:val="22"/>
        </w:rPr>
        <w:t>p</w:t>
      </w:r>
      <w:r w:rsidR="00590F65" w:rsidRPr="008378CC">
        <w:rPr>
          <w:szCs w:val="22"/>
        </w:rPr>
        <w:t>p</w:t>
      </w:r>
      <w:r w:rsidRPr="008378CC">
        <w:rPr>
          <w:szCs w:val="22"/>
        </w:rPr>
        <w:t xml:space="preserve">. </w:t>
      </w:r>
      <w:r w:rsidR="00590F65" w:rsidRPr="008378CC">
        <w:rPr>
          <w:szCs w:val="22"/>
        </w:rPr>
        <w:t>11-18.</w:t>
      </w:r>
    </w:p>
  </w:footnote>
  <w:footnote w:id="22">
    <w:p w14:paraId="7F6A3D7A" w14:textId="77777777" w:rsidR="00C414FF" w:rsidRPr="008378CC" w:rsidRDefault="00C414FF" w:rsidP="0068455A">
      <w:pPr>
        <w:pStyle w:val="FootnoteText"/>
        <w:rPr>
          <w:szCs w:val="22"/>
        </w:rPr>
      </w:pPr>
      <w:r w:rsidRPr="008378CC">
        <w:rPr>
          <w:rStyle w:val="FootnoteReference"/>
          <w:szCs w:val="22"/>
        </w:rPr>
        <w:footnoteRef/>
      </w:r>
      <w:r w:rsidRPr="008378CC">
        <w:rPr>
          <w:szCs w:val="22"/>
        </w:rPr>
        <w:t xml:space="preserve"> Phil R. Geib and Edward A. Jolie, ‘The Role of Basketry in Early Holocene Small Seed Exploitation: Implications of a Ca. 9,000 Year-Old Basket from Cowboy Cave, Utah’, </w:t>
      </w:r>
      <w:r w:rsidRPr="008378CC">
        <w:rPr>
          <w:i/>
          <w:iCs/>
          <w:szCs w:val="22"/>
        </w:rPr>
        <w:t>American Antiquity</w:t>
      </w:r>
      <w:r w:rsidRPr="008378CC">
        <w:rPr>
          <w:szCs w:val="22"/>
        </w:rPr>
        <w:t>, Vol. 73, No. 1 (Jan., 2008), pp. 83-102.</w:t>
      </w:r>
    </w:p>
  </w:footnote>
  <w:footnote w:id="23">
    <w:p w14:paraId="5305F04D" w14:textId="291FAA87" w:rsidR="00590F65" w:rsidRPr="008378CC" w:rsidRDefault="00590F65" w:rsidP="0068455A">
      <w:pPr>
        <w:pStyle w:val="FootnoteText"/>
        <w:rPr>
          <w:szCs w:val="22"/>
        </w:rPr>
      </w:pPr>
      <w:r w:rsidRPr="008378CC">
        <w:rPr>
          <w:rStyle w:val="FootnoteReference"/>
          <w:szCs w:val="22"/>
        </w:rPr>
        <w:footnoteRef/>
      </w:r>
      <w:r w:rsidRPr="008378CC">
        <w:rPr>
          <w:szCs w:val="22"/>
        </w:rPr>
        <w:t xml:space="preserve"> Stuart, </w:t>
      </w:r>
      <w:r w:rsidRPr="008378CC">
        <w:rPr>
          <w:i/>
          <w:iCs/>
          <w:szCs w:val="22"/>
        </w:rPr>
        <w:t xml:space="preserve">Anasazi America, </w:t>
      </w:r>
      <w:r w:rsidRPr="008378CC">
        <w:rPr>
          <w:szCs w:val="22"/>
        </w:rPr>
        <w:t>pp. 11-18.</w:t>
      </w:r>
    </w:p>
  </w:footnote>
  <w:footnote w:id="24">
    <w:p w14:paraId="5B09812F" w14:textId="49D6572F" w:rsidR="00292D40" w:rsidRPr="008378CC" w:rsidRDefault="00292D40" w:rsidP="0068455A">
      <w:pPr>
        <w:pStyle w:val="FootnoteText"/>
        <w:rPr>
          <w:szCs w:val="22"/>
        </w:rPr>
      </w:pPr>
      <w:r w:rsidRPr="008378CC">
        <w:rPr>
          <w:rStyle w:val="FootnoteReference"/>
          <w:szCs w:val="22"/>
        </w:rPr>
        <w:footnoteRef/>
      </w:r>
      <w:r w:rsidRPr="008378CC">
        <w:rPr>
          <w:szCs w:val="22"/>
        </w:rPr>
        <w:t xml:space="preserve"> Kevin D. Black, James M. Copeland and Steven M. Horvath, Jr., </w:t>
      </w:r>
      <w:r w:rsidRPr="008378CC">
        <w:rPr>
          <w:i/>
          <w:iCs/>
          <w:szCs w:val="22"/>
        </w:rPr>
        <w:t>An Archaeological Survey of the Lisbon Valley Study Tract of the Moab District of San Juan County, Utah</w:t>
      </w:r>
      <w:r w:rsidRPr="008378CC">
        <w:rPr>
          <w:szCs w:val="22"/>
        </w:rPr>
        <w:t xml:space="preserve"> (Montrose, Colorado: Centuries Research, Inc., 1981), p. 149.</w:t>
      </w:r>
    </w:p>
  </w:footnote>
  <w:footnote w:id="25">
    <w:p w14:paraId="3EC1C6CD" w14:textId="77777777" w:rsidR="008E4B76" w:rsidRDefault="008E4B76" w:rsidP="0068455A">
      <w:pPr>
        <w:pStyle w:val="FootnoteText"/>
      </w:pPr>
      <w:r w:rsidRPr="008378CC">
        <w:rPr>
          <w:rStyle w:val="FootnoteReference"/>
          <w:szCs w:val="22"/>
        </w:rPr>
        <w:footnoteRef/>
      </w:r>
      <w:r w:rsidRPr="008378CC">
        <w:rPr>
          <w:szCs w:val="22"/>
        </w:rPr>
        <w:t xml:space="preserve"> Betsy L. Tipps, </w:t>
      </w:r>
      <w:r w:rsidRPr="008378CC">
        <w:rPr>
          <w:i/>
          <w:iCs/>
          <w:szCs w:val="22"/>
        </w:rPr>
        <w:t xml:space="preserve">Holocene Archeology Near Squaw Butte, Canyonlands National Park, Utah, </w:t>
      </w:r>
      <w:r w:rsidRPr="008378CC">
        <w:rPr>
          <w:szCs w:val="22"/>
        </w:rPr>
        <w:t>Cultural Resources Report 411-04-9102</w:t>
      </w:r>
      <w:r w:rsidRPr="008378CC">
        <w:rPr>
          <w:i/>
          <w:iCs/>
          <w:szCs w:val="22"/>
        </w:rPr>
        <w:t xml:space="preserve"> </w:t>
      </w:r>
      <w:r w:rsidRPr="008378CC">
        <w:rPr>
          <w:szCs w:val="22"/>
        </w:rPr>
        <w:t>(Denver: National Park Service, 1995), p. 184.</w:t>
      </w:r>
    </w:p>
  </w:footnote>
  <w:footnote w:id="26">
    <w:p w14:paraId="6F967914" w14:textId="2B15ADC9" w:rsidR="00EC4B52" w:rsidRDefault="00EC4B52">
      <w:pPr>
        <w:pStyle w:val="FootnoteText"/>
      </w:pPr>
      <w:r>
        <w:rPr>
          <w:rStyle w:val="FootnoteReference"/>
        </w:rPr>
        <w:footnoteRef/>
      </w:r>
      <w:r w:rsidRPr="008378CC">
        <w:rPr>
          <w:szCs w:val="22"/>
        </w:rPr>
        <w:t xml:space="preserve">Stuart, </w:t>
      </w:r>
      <w:r w:rsidRPr="008378CC">
        <w:rPr>
          <w:i/>
          <w:iCs/>
          <w:szCs w:val="22"/>
        </w:rPr>
        <w:t xml:space="preserve">Anasazi America, </w:t>
      </w:r>
      <w:r w:rsidRPr="008378CC">
        <w:rPr>
          <w:szCs w:val="22"/>
        </w:rPr>
        <w:t>pp. 11-18.</w:t>
      </w:r>
    </w:p>
  </w:footnote>
  <w:footnote w:id="27">
    <w:p w14:paraId="15124E2A" w14:textId="352FBBF3" w:rsidR="003830B0" w:rsidRPr="008378CC" w:rsidRDefault="003830B0" w:rsidP="0068455A">
      <w:pPr>
        <w:pStyle w:val="FootnoteText"/>
        <w:rPr>
          <w:szCs w:val="22"/>
        </w:rPr>
      </w:pPr>
      <w:r w:rsidRPr="008378CC">
        <w:rPr>
          <w:rStyle w:val="FootnoteReference"/>
          <w:szCs w:val="22"/>
        </w:rPr>
        <w:footnoteRef/>
      </w:r>
      <w:r w:rsidRPr="008378CC">
        <w:rPr>
          <w:szCs w:val="22"/>
        </w:rPr>
        <w:t xml:space="preserve"> </w:t>
      </w:r>
      <w:r w:rsidR="00A81A2D" w:rsidRPr="008378CC">
        <w:rPr>
          <w:szCs w:val="22"/>
        </w:rPr>
        <w:t xml:space="preserve">Jennings, </w:t>
      </w:r>
      <w:r w:rsidR="00A81A2D" w:rsidRPr="008378CC">
        <w:rPr>
          <w:i/>
          <w:iCs/>
          <w:szCs w:val="22"/>
        </w:rPr>
        <w:t>Prehistory of Utah</w:t>
      </w:r>
      <w:r w:rsidR="00A81A2D" w:rsidRPr="008378CC">
        <w:rPr>
          <w:szCs w:val="22"/>
        </w:rPr>
        <w:t xml:space="preserve">, </w:t>
      </w:r>
      <w:r w:rsidRPr="008378CC">
        <w:rPr>
          <w:szCs w:val="22"/>
        </w:rPr>
        <w:t>pp. 29-93.</w:t>
      </w:r>
    </w:p>
  </w:footnote>
  <w:footnote w:id="28">
    <w:p w14:paraId="644790B5" w14:textId="3DE78BBF" w:rsidR="00FA7F81" w:rsidRPr="008378CC" w:rsidRDefault="00FA7F81" w:rsidP="0068455A">
      <w:pPr>
        <w:pStyle w:val="FootnoteText"/>
        <w:rPr>
          <w:szCs w:val="22"/>
        </w:rPr>
      </w:pPr>
      <w:r w:rsidRPr="008378CC">
        <w:rPr>
          <w:rStyle w:val="FootnoteReference"/>
          <w:szCs w:val="22"/>
        </w:rPr>
        <w:footnoteRef/>
      </w:r>
      <w:r w:rsidRPr="008378CC">
        <w:rPr>
          <w:szCs w:val="22"/>
        </w:rPr>
        <w:t xml:space="preserve"> Jennings, </w:t>
      </w:r>
      <w:r w:rsidRPr="008378CC">
        <w:rPr>
          <w:i/>
          <w:iCs/>
          <w:szCs w:val="22"/>
        </w:rPr>
        <w:t>Prehistory of Utah,</w:t>
      </w:r>
      <w:r w:rsidRPr="008378CC">
        <w:rPr>
          <w:szCs w:val="22"/>
        </w:rPr>
        <w:t xml:space="preserve"> p. 92.</w:t>
      </w:r>
    </w:p>
  </w:footnote>
  <w:footnote w:id="29">
    <w:p w14:paraId="0DF2A93A" w14:textId="15C5A61A" w:rsidR="00584258" w:rsidRPr="008378CC" w:rsidRDefault="00584258" w:rsidP="0068455A">
      <w:pPr>
        <w:pStyle w:val="FootnoteText"/>
        <w:rPr>
          <w:szCs w:val="22"/>
        </w:rPr>
      </w:pPr>
      <w:r w:rsidRPr="008378CC">
        <w:rPr>
          <w:rStyle w:val="FootnoteReference"/>
          <w:szCs w:val="22"/>
        </w:rPr>
        <w:footnoteRef/>
      </w:r>
      <w:r w:rsidRPr="008378CC">
        <w:rPr>
          <w:szCs w:val="22"/>
        </w:rPr>
        <w:t xml:space="preserve"> James M. Aton, ‘Walls of Rock Art: Unfolding the Native Story’ in </w:t>
      </w:r>
      <w:r w:rsidRPr="008378CC">
        <w:rPr>
          <w:i/>
          <w:iCs/>
          <w:szCs w:val="22"/>
        </w:rPr>
        <w:t>The River Knows Everything: Desolation Canyon and the Green</w:t>
      </w:r>
      <w:r w:rsidRPr="008378CC">
        <w:rPr>
          <w:szCs w:val="22"/>
        </w:rPr>
        <w:t xml:space="preserve"> (Boulder: University Press of Colorado, 2009), pp. 42-43.</w:t>
      </w:r>
    </w:p>
  </w:footnote>
  <w:footnote w:id="30">
    <w:p w14:paraId="3B367C0D" w14:textId="3E9A1A32" w:rsidR="00584258" w:rsidRPr="008378CC" w:rsidRDefault="00584258" w:rsidP="0068455A">
      <w:pPr>
        <w:pStyle w:val="FootnoteText"/>
        <w:rPr>
          <w:szCs w:val="22"/>
        </w:rPr>
      </w:pPr>
      <w:r w:rsidRPr="008378CC">
        <w:rPr>
          <w:rStyle w:val="FootnoteReference"/>
          <w:szCs w:val="22"/>
        </w:rPr>
        <w:footnoteRef/>
      </w:r>
      <w:r w:rsidRPr="008378CC">
        <w:rPr>
          <w:szCs w:val="22"/>
        </w:rPr>
        <w:t xml:space="preserve"> Aton, </w:t>
      </w:r>
      <w:r w:rsidRPr="008378CC">
        <w:rPr>
          <w:i/>
          <w:iCs/>
          <w:szCs w:val="22"/>
        </w:rPr>
        <w:t xml:space="preserve">River Knows, </w:t>
      </w:r>
      <w:r w:rsidRPr="008378CC">
        <w:rPr>
          <w:szCs w:val="22"/>
        </w:rPr>
        <w:t>p. 43.</w:t>
      </w:r>
    </w:p>
  </w:footnote>
  <w:footnote w:id="31">
    <w:p w14:paraId="3B9E143F" w14:textId="3D1DD8E2" w:rsidR="00BE19BA" w:rsidRPr="008378CC" w:rsidRDefault="00BE19BA" w:rsidP="0068455A">
      <w:pPr>
        <w:pStyle w:val="FootnoteText"/>
        <w:rPr>
          <w:szCs w:val="22"/>
        </w:rPr>
      </w:pPr>
      <w:r w:rsidRPr="008378CC">
        <w:rPr>
          <w:rStyle w:val="FootnoteReference"/>
          <w:szCs w:val="22"/>
        </w:rPr>
        <w:footnoteRef/>
      </w:r>
      <w:r w:rsidRPr="008378CC">
        <w:rPr>
          <w:szCs w:val="22"/>
        </w:rPr>
        <w:t xml:space="preserve"> Stuart, </w:t>
      </w:r>
      <w:r w:rsidRPr="008378CC">
        <w:rPr>
          <w:i/>
          <w:iCs/>
          <w:szCs w:val="22"/>
        </w:rPr>
        <w:t>Anasazi America</w:t>
      </w:r>
      <w:r w:rsidRPr="008378CC">
        <w:rPr>
          <w:szCs w:val="22"/>
        </w:rPr>
        <w:t>, p. 36.</w:t>
      </w:r>
    </w:p>
  </w:footnote>
  <w:footnote w:id="32">
    <w:p w14:paraId="052F0204" w14:textId="72A83460" w:rsidR="006251C4" w:rsidRDefault="006251C4" w:rsidP="0068455A">
      <w:pPr>
        <w:pStyle w:val="FootnoteText"/>
      </w:pPr>
      <w:r w:rsidRPr="008378CC">
        <w:rPr>
          <w:rStyle w:val="FootnoteReference"/>
          <w:szCs w:val="22"/>
        </w:rPr>
        <w:footnoteRef/>
      </w:r>
      <w:r w:rsidRPr="008378CC">
        <w:rPr>
          <w:szCs w:val="22"/>
        </w:rPr>
        <w:t xml:space="preserve"> Alice Hunt, </w:t>
      </w:r>
      <w:r w:rsidRPr="008378CC">
        <w:rPr>
          <w:i/>
          <w:iCs/>
          <w:szCs w:val="22"/>
        </w:rPr>
        <w:t xml:space="preserve">Archaeological Survey of the La Sal Mountains Area, Utah </w:t>
      </w:r>
      <w:r w:rsidRPr="008378CC">
        <w:rPr>
          <w:szCs w:val="22"/>
        </w:rPr>
        <w:t>(Salt Lake City: University of Utah Press, 1955) pp. 1-240.</w:t>
      </w:r>
    </w:p>
  </w:footnote>
  <w:footnote w:id="33">
    <w:p w14:paraId="0882728A" w14:textId="557700B0" w:rsidR="0066715A" w:rsidRPr="008378CC" w:rsidRDefault="0066715A" w:rsidP="0068455A">
      <w:pPr>
        <w:pStyle w:val="FootnoteText"/>
        <w:rPr>
          <w:szCs w:val="22"/>
        </w:rPr>
      </w:pPr>
      <w:r w:rsidRPr="008378CC">
        <w:rPr>
          <w:rStyle w:val="FootnoteReference"/>
          <w:szCs w:val="22"/>
        </w:rPr>
        <w:footnoteRef/>
      </w:r>
      <w:r w:rsidRPr="008378CC">
        <w:rPr>
          <w:szCs w:val="22"/>
        </w:rPr>
        <w:t xml:space="preserve"> Hunt, </w:t>
      </w:r>
      <w:r w:rsidRPr="008378CC">
        <w:rPr>
          <w:i/>
          <w:iCs/>
          <w:szCs w:val="22"/>
        </w:rPr>
        <w:t>La Sal Mountains,</w:t>
      </w:r>
      <w:r w:rsidRPr="008378CC">
        <w:rPr>
          <w:szCs w:val="22"/>
        </w:rPr>
        <w:t xml:space="preserve"> p</w:t>
      </w:r>
      <w:r w:rsidR="00754461" w:rsidRPr="008378CC">
        <w:rPr>
          <w:szCs w:val="22"/>
        </w:rPr>
        <w:t>. 8.</w:t>
      </w:r>
    </w:p>
  </w:footnote>
  <w:footnote w:id="34">
    <w:p w14:paraId="73D3A564" w14:textId="10322F47" w:rsidR="00E20D81" w:rsidRPr="008378CC" w:rsidRDefault="00E20D81" w:rsidP="0068455A">
      <w:pPr>
        <w:pStyle w:val="FootnoteText"/>
        <w:rPr>
          <w:szCs w:val="22"/>
        </w:rPr>
      </w:pPr>
      <w:r w:rsidRPr="008378CC">
        <w:rPr>
          <w:rStyle w:val="FootnoteReference"/>
          <w:szCs w:val="22"/>
        </w:rPr>
        <w:footnoteRef/>
      </w:r>
      <w:r w:rsidRPr="008378CC">
        <w:rPr>
          <w:szCs w:val="22"/>
        </w:rPr>
        <w:t xml:space="preserve"> </w:t>
      </w:r>
      <w:r w:rsidR="00F520D6" w:rsidRPr="008378CC">
        <w:rPr>
          <w:szCs w:val="22"/>
        </w:rPr>
        <w:t xml:space="preserve">Francis E. Smiley, ‘Kayenta Farmers and Villagers’ in </w:t>
      </w:r>
      <w:r w:rsidR="00F520D6" w:rsidRPr="008378CC">
        <w:rPr>
          <w:i/>
          <w:iCs/>
          <w:szCs w:val="22"/>
        </w:rPr>
        <w:t>Prehistoric Culture Change on the Colorado Plateau: Ten Thousand Years on Black Mesa</w:t>
      </w:r>
      <w:r w:rsidR="00F520D6" w:rsidRPr="008378CC">
        <w:rPr>
          <w:szCs w:val="22"/>
        </w:rPr>
        <w:t>, eds. Shirley Powell and Francis E. Smiley (Tucson: University of Arizona Press, 2002), pp. 47, 63.</w:t>
      </w:r>
    </w:p>
  </w:footnote>
  <w:footnote w:id="35">
    <w:p w14:paraId="28F644D6" w14:textId="54195D86" w:rsidR="006F603D" w:rsidRPr="006F603D" w:rsidRDefault="006F603D">
      <w:pPr>
        <w:pStyle w:val="FootnoteText"/>
        <w:rPr>
          <w:szCs w:val="22"/>
        </w:rPr>
      </w:pPr>
      <w:r w:rsidRPr="006F603D">
        <w:rPr>
          <w:rStyle w:val="FootnoteReference"/>
          <w:szCs w:val="22"/>
        </w:rPr>
        <w:footnoteRef/>
      </w:r>
      <w:r w:rsidRPr="006F603D">
        <w:rPr>
          <w:szCs w:val="22"/>
        </w:rPr>
        <w:t xml:space="preserve"> Kathy Roler Durand, ‘Function of Chaco-Era Great Houses’, </w:t>
      </w:r>
      <w:r w:rsidRPr="006F603D">
        <w:rPr>
          <w:i/>
          <w:iCs/>
          <w:szCs w:val="22"/>
        </w:rPr>
        <w:t>Kiva</w:t>
      </w:r>
      <w:r w:rsidRPr="006F603D">
        <w:rPr>
          <w:szCs w:val="22"/>
        </w:rPr>
        <w:t>, Vol. 69, No. 2, The Chaco World (Winter, 2003), pp. 141-169</w:t>
      </w:r>
      <w:r w:rsidR="00D35CE4">
        <w:rPr>
          <w:szCs w:val="22"/>
        </w:rPr>
        <w:t>.</w:t>
      </w:r>
    </w:p>
  </w:footnote>
  <w:footnote w:id="36">
    <w:p w14:paraId="67EDED26" w14:textId="479CA3DD" w:rsidR="008702D0" w:rsidRPr="008378CC" w:rsidRDefault="008702D0" w:rsidP="008702D0">
      <w:pPr>
        <w:pStyle w:val="FootnoteText"/>
        <w:rPr>
          <w:szCs w:val="22"/>
        </w:rPr>
      </w:pPr>
      <w:r w:rsidRPr="008378CC">
        <w:rPr>
          <w:rStyle w:val="FootnoteReference"/>
          <w:szCs w:val="22"/>
        </w:rPr>
        <w:footnoteRef/>
      </w:r>
      <w:r w:rsidRPr="008378CC">
        <w:rPr>
          <w:szCs w:val="22"/>
        </w:rPr>
        <w:t xml:space="preserve"> </w:t>
      </w:r>
      <w:r w:rsidR="00CE5AED" w:rsidRPr="008378CC">
        <w:rPr>
          <w:szCs w:val="22"/>
        </w:rPr>
        <w:t xml:space="preserve">Stephen H. Lekson, </w:t>
      </w:r>
      <w:r w:rsidR="00CE5AED" w:rsidRPr="008378CC">
        <w:rPr>
          <w:i/>
          <w:iCs/>
          <w:szCs w:val="22"/>
        </w:rPr>
        <w:t>A History of the Ancient Southwest</w:t>
      </w:r>
      <w:r w:rsidR="00CE5AED" w:rsidRPr="008378CC">
        <w:rPr>
          <w:szCs w:val="22"/>
        </w:rPr>
        <w:t xml:space="preserve"> (Santa Fe: School for Advanced Research, 2008), </w:t>
      </w:r>
      <w:r w:rsidRPr="008378CC">
        <w:rPr>
          <w:szCs w:val="22"/>
        </w:rPr>
        <w:t>p. 128.</w:t>
      </w:r>
    </w:p>
  </w:footnote>
  <w:footnote w:id="37">
    <w:p w14:paraId="168B7ED2" w14:textId="17801A93" w:rsidR="008702D0" w:rsidRDefault="008702D0">
      <w:pPr>
        <w:pStyle w:val="FootnoteText"/>
      </w:pPr>
      <w:r w:rsidRPr="008378CC">
        <w:rPr>
          <w:rStyle w:val="FootnoteReference"/>
          <w:szCs w:val="22"/>
        </w:rPr>
        <w:footnoteRef/>
      </w:r>
      <w:r w:rsidRPr="008378CC">
        <w:rPr>
          <w:szCs w:val="22"/>
        </w:rPr>
        <w:t xml:space="preserve"> Jennings, </w:t>
      </w:r>
      <w:r w:rsidRPr="008378CC">
        <w:rPr>
          <w:i/>
          <w:iCs/>
          <w:szCs w:val="22"/>
        </w:rPr>
        <w:t>Prehistory of Utah,</w:t>
      </w:r>
      <w:r w:rsidRPr="008378CC">
        <w:rPr>
          <w:szCs w:val="22"/>
        </w:rPr>
        <w:t xml:space="preserve"> p. 97.</w:t>
      </w:r>
    </w:p>
  </w:footnote>
  <w:footnote w:id="38">
    <w:p w14:paraId="2222B43A" w14:textId="76CC40AD" w:rsidR="006F603D" w:rsidRDefault="006F603D">
      <w:pPr>
        <w:pStyle w:val="FootnoteText"/>
      </w:pPr>
      <w:r>
        <w:rPr>
          <w:rStyle w:val="FootnoteReference"/>
        </w:rPr>
        <w:footnoteRef/>
      </w:r>
      <w:r>
        <w:t xml:space="preserve"> </w:t>
      </w:r>
      <w:r w:rsidR="0072776F">
        <w:t>Smiley, Kayenta, pp. 42-48.</w:t>
      </w:r>
    </w:p>
  </w:footnote>
  <w:footnote w:id="39">
    <w:p w14:paraId="64174987" w14:textId="2FE72918" w:rsidR="00B670D7" w:rsidRDefault="00B670D7">
      <w:pPr>
        <w:pStyle w:val="FootnoteText"/>
      </w:pPr>
      <w:r>
        <w:rPr>
          <w:rStyle w:val="FootnoteReference"/>
        </w:rPr>
        <w:footnoteRef/>
      </w:r>
      <w:r>
        <w:t xml:space="preserve"> Jennings, </w:t>
      </w:r>
      <w:r w:rsidRPr="008378CC">
        <w:rPr>
          <w:i/>
          <w:iCs/>
          <w:szCs w:val="22"/>
        </w:rPr>
        <w:t>Prehistory of Utah</w:t>
      </w:r>
      <w:r w:rsidRPr="008378CC">
        <w:rPr>
          <w:szCs w:val="22"/>
        </w:rPr>
        <w:t xml:space="preserve">, p. </w:t>
      </w:r>
      <w:r>
        <w:rPr>
          <w:szCs w:val="22"/>
        </w:rPr>
        <w:t>107.</w:t>
      </w:r>
    </w:p>
  </w:footnote>
  <w:footnote w:id="40">
    <w:p w14:paraId="383266E5" w14:textId="77777777" w:rsidR="00765F3E" w:rsidRPr="008378CC" w:rsidRDefault="00765F3E" w:rsidP="0068455A">
      <w:pPr>
        <w:pStyle w:val="FootnoteText"/>
        <w:rPr>
          <w:szCs w:val="22"/>
        </w:rPr>
      </w:pPr>
      <w:r w:rsidRPr="008378CC">
        <w:rPr>
          <w:rStyle w:val="FootnoteReference"/>
          <w:szCs w:val="22"/>
        </w:rPr>
        <w:footnoteRef/>
      </w:r>
      <w:r w:rsidRPr="008378CC">
        <w:rPr>
          <w:szCs w:val="22"/>
        </w:rPr>
        <w:t xml:space="preserve"> Jennings, </w:t>
      </w:r>
      <w:r w:rsidRPr="008378CC">
        <w:rPr>
          <w:i/>
          <w:iCs/>
          <w:szCs w:val="22"/>
        </w:rPr>
        <w:t>Prehistory of Utah</w:t>
      </w:r>
      <w:r w:rsidRPr="008378CC">
        <w:rPr>
          <w:szCs w:val="22"/>
        </w:rPr>
        <w:t>, p. 98.</w:t>
      </w:r>
    </w:p>
  </w:footnote>
  <w:footnote w:id="41">
    <w:p w14:paraId="75F7015C" w14:textId="22B80853" w:rsidR="00FF2211" w:rsidRPr="008378CC" w:rsidRDefault="00FF2211" w:rsidP="0068455A">
      <w:pPr>
        <w:pStyle w:val="FootnoteText"/>
        <w:rPr>
          <w:szCs w:val="22"/>
        </w:rPr>
      </w:pPr>
      <w:r w:rsidRPr="008378CC">
        <w:rPr>
          <w:rStyle w:val="FootnoteReference"/>
          <w:szCs w:val="22"/>
        </w:rPr>
        <w:footnoteRef/>
      </w:r>
      <w:r w:rsidRPr="008378CC">
        <w:rPr>
          <w:szCs w:val="22"/>
        </w:rPr>
        <w:t xml:space="preserve"> </w:t>
      </w:r>
      <w:r w:rsidR="003B698D" w:rsidRPr="008378CC">
        <w:rPr>
          <w:szCs w:val="22"/>
        </w:rPr>
        <w:t xml:space="preserve">Lloyd M. Pierson, </w:t>
      </w:r>
      <w:r w:rsidR="003B698D" w:rsidRPr="008378CC">
        <w:rPr>
          <w:i/>
          <w:iCs/>
          <w:szCs w:val="22"/>
        </w:rPr>
        <w:t>Cultural Resource Summary for the East Central Portion of Moab District</w:t>
      </w:r>
      <w:r w:rsidR="003B698D" w:rsidRPr="008378CC">
        <w:rPr>
          <w:szCs w:val="22"/>
        </w:rPr>
        <w:t>, Bureau of Land Management Cultural Resource Series, Vol. 10, (Salt Lake City: Bureau of Land Management</w:t>
      </w:r>
      <w:r w:rsidR="00AC29C9">
        <w:rPr>
          <w:szCs w:val="22"/>
        </w:rPr>
        <w:t>, 1980</w:t>
      </w:r>
      <w:r w:rsidR="003B698D" w:rsidRPr="008378CC">
        <w:rPr>
          <w:szCs w:val="22"/>
        </w:rPr>
        <w:t xml:space="preserve">), </w:t>
      </w:r>
      <w:r w:rsidR="0088269E" w:rsidRPr="008378CC">
        <w:rPr>
          <w:szCs w:val="22"/>
        </w:rPr>
        <w:t>pp. 55-64.</w:t>
      </w:r>
    </w:p>
  </w:footnote>
  <w:footnote w:id="42">
    <w:p w14:paraId="5A0DE6D5" w14:textId="39CD8AA0" w:rsidR="0088269E" w:rsidRPr="008378CC" w:rsidRDefault="0088269E" w:rsidP="0068455A">
      <w:pPr>
        <w:pStyle w:val="FootnoteText"/>
        <w:rPr>
          <w:i/>
          <w:iCs/>
          <w:szCs w:val="22"/>
        </w:rPr>
      </w:pPr>
      <w:r w:rsidRPr="008378CC">
        <w:rPr>
          <w:rStyle w:val="FootnoteReference"/>
          <w:szCs w:val="22"/>
        </w:rPr>
        <w:footnoteRef/>
      </w:r>
      <w:r w:rsidRPr="008378CC">
        <w:rPr>
          <w:szCs w:val="22"/>
        </w:rPr>
        <w:t xml:space="preserve"> </w:t>
      </w:r>
      <w:r w:rsidR="009540AB" w:rsidRPr="008378CC">
        <w:rPr>
          <w:szCs w:val="22"/>
        </w:rPr>
        <w:t xml:space="preserve">David </w:t>
      </w:r>
      <w:r w:rsidRPr="008378CC">
        <w:rPr>
          <w:szCs w:val="22"/>
        </w:rPr>
        <w:t>Breternitz</w:t>
      </w:r>
      <w:r w:rsidR="009540AB" w:rsidRPr="008378CC">
        <w:rPr>
          <w:szCs w:val="22"/>
        </w:rPr>
        <w:t xml:space="preserve">, Arthur H. Rohn, and Elizabeth A. Morris, ‘Prehistoric Ceramics of the Mesa Verde Region.’, </w:t>
      </w:r>
      <w:r w:rsidR="009540AB" w:rsidRPr="008378CC">
        <w:rPr>
          <w:i/>
          <w:iCs/>
          <w:szCs w:val="22"/>
        </w:rPr>
        <w:t xml:space="preserve">Museum of Northern Arizona Ceramics Series, </w:t>
      </w:r>
      <w:r w:rsidR="009540AB" w:rsidRPr="008378CC">
        <w:rPr>
          <w:szCs w:val="22"/>
        </w:rPr>
        <w:t>No. 5 (Flagstaff: Museum of Northern Arizona, 1974) cited in Pierson,</w:t>
      </w:r>
      <w:r w:rsidR="001C2274" w:rsidRPr="008378CC">
        <w:rPr>
          <w:szCs w:val="22"/>
        </w:rPr>
        <w:t xml:space="preserve"> </w:t>
      </w:r>
      <w:r w:rsidR="001C2274" w:rsidRPr="008378CC">
        <w:rPr>
          <w:i/>
          <w:iCs/>
          <w:szCs w:val="22"/>
        </w:rPr>
        <w:t xml:space="preserve">East Central, </w:t>
      </w:r>
      <w:r w:rsidR="009540AB" w:rsidRPr="008378CC">
        <w:rPr>
          <w:szCs w:val="22"/>
        </w:rPr>
        <w:t>p. 62.</w:t>
      </w:r>
    </w:p>
  </w:footnote>
  <w:footnote w:id="43">
    <w:p w14:paraId="13A59BDA" w14:textId="32603CB1" w:rsidR="001C2274" w:rsidRPr="008378CC" w:rsidRDefault="001C2274" w:rsidP="0068455A">
      <w:pPr>
        <w:pStyle w:val="FootnoteText"/>
        <w:rPr>
          <w:szCs w:val="22"/>
        </w:rPr>
      </w:pPr>
      <w:r w:rsidRPr="008378CC">
        <w:rPr>
          <w:rStyle w:val="FootnoteReference"/>
          <w:szCs w:val="22"/>
        </w:rPr>
        <w:footnoteRef/>
      </w:r>
      <w:r w:rsidRPr="008378CC">
        <w:rPr>
          <w:szCs w:val="22"/>
        </w:rPr>
        <w:t xml:space="preserve"> Pierson, </w:t>
      </w:r>
      <w:r w:rsidR="003B698D" w:rsidRPr="008378CC">
        <w:rPr>
          <w:i/>
          <w:iCs/>
          <w:szCs w:val="22"/>
        </w:rPr>
        <w:t xml:space="preserve">East Central, </w:t>
      </w:r>
      <w:r w:rsidRPr="008378CC">
        <w:rPr>
          <w:szCs w:val="22"/>
        </w:rPr>
        <w:t>p. 64.</w:t>
      </w:r>
    </w:p>
  </w:footnote>
  <w:footnote w:id="44">
    <w:p w14:paraId="0018E037" w14:textId="3F43DCFB" w:rsidR="005A1BAB" w:rsidRPr="008378CC" w:rsidRDefault="005A1BAB" w:rsidP="0068455A">
      <w:pPr>
        <w:pStyle w:val="FootnoteText"/>
        <w:rPr>
          <w:szCs w:val="22"/>
        </w:rPr>
      </w:pPr>
      <w:r w:rsidRPr="008378CC">
        <w:rPr>
          <w:rStyle w:val="FootnoteReference"/>
          <w:szCs w:val="22"/>
        </w:rPr>
        <w:footnoteRef/>
      </w:r>
      <w:r w:rsidRPr="008378CC">
        <w:rPr>
          <w:szCs w:val="22"/>
        </w:rPr>
        <w:t xml:space="preserve"> Steven A. LeBlanc, ‘The Case for an Early Farmer Migration into the Greater American Southwest’ in </w:t>
      </w:r>
      <w:r w:rsidRPr="008378CC">
        <w:rPr>
          <w:i/>
          <w:iCs/>
          <w:szCs w:val="22"/>
        </w:rPr>
        <w:t xml:space="preserve">Archaeology without Borders: Contact, Commerce, and Change in the U.S. Southwest and Northwestern Mexico, </w:t>
      </w:r>
      <w:r w:rsidRPr="008378CC">
        <w:rPr>
          <w:szCs w:val="22"/>
        </w:rPr>
        <w:t>ed. by Laurie D. Webster, Maxine E. McBrinn and Eduardo Gamboa Carrera (Boulder: University Press of Colorado, 2008), p. 108</w:t>
      </w:r>
      <w:r w:rsidR="008E2469">
        <w:rPr>
          <w:szCs w:val="22"/>
        </w:rPr>
        <w:t xml:space="preserve">; </w:t>
      </w:r>
      <w:r w:rsidR="008E2469" w:rsidRPr="008378CC">
        <w:rPr>
          <w:szCs w:val="22"/>
        </w:rPr>
        <w:t>Pierson,</w:t>
      </w:r>
      <w:r w:rsidR="008E2469" w:rsidRPr="008378CC">
        <w:rPr>
          <w:i/>
          <w:iCs/>
          <w:szCs w:val="22"/>
        </w:rPr>
        <w:t xml:space="preserve"> East Central, </w:t>
      </w:r>
      <w:r w:rsidR="008E2469" w:rsidRPr="008378CC">
        <w:rPr>
          <w:szCs w:val="22"/>
        </w:rPr>
        <w:t>p</w:t>
      </w:r>
      <w:r w:rsidR="008E2469">
        <w:rPr>
          <w:szCs w:val="22"/>
        </w:rPr>
        <w:t>p. 107-108.</w:t>
      </w:r>
    </w:p>
  </w:footnote>
  <w:footnote w:id="45">
    <w:p w14:paraId="3EDA6C1A" w14:textId="0C386499" w:rsidR="00A3039B" w:rsidRPr="00A3039B" w:rsidRDefault="00A3039B" w:rsidP="0068455A">
      <w:pPr>
        <w:pStyle w:val="FootnoteText"/>
      </w:pPr>
      <w:r w:rsidRPr="008378CC">
        <w:rPr>
          <w:rStyle w:val="FootnoteReference"/>
          <w:szCs w:val="22"/>
        </w:rPr>
        <w:footnoteRef/>
      </w:r>
      <w:r w:rsidRPr="008378CC">
        <w:rPr>
          <w:szCs w:val="22"/>
        </w:rPr>
        <w:t xml:space="preserve"> </w:t>
      </w:r>
      <w:r w:rsidR="00837F31" w:rsidRPr="008378CC">
        <w:rPr>
          <w:szCs w:val="22"/>
        </w:rPr>
        <w:t xml:space="preserve">William M. Ferguson and Arthur H. Rohn, </w:t>
      </w:r>
      <w:r w:rsidR="00837F31" w:rsidRPr="008378CC">
        <w:rPr>
          <w:i/>
          <w:iCs/>
          <w:szCs w:val="22"/>
        </w:rPr>
        <w:t xml:space="preserve">Anasazi Ruins of the Southwest in Color </w:t>
      </w:r>
      <w:r w:rsidR="00837F31" w:rsidRPr="008378CC">
        <w:rPr>
          <w:szCs w:val="22"/>
        </w:rPr>
        <w:t>(Albuquerque: University of New Mexico Press, 1987), pp. 8-15.</w:t>
      </w:r>
    </w:p>
  </w:footnote>
  <w:footnote w:id="46">
    <w:p w14:paraId="5C71FA89" w14:textId="77777777" w:rsidR="00A3039B" w:rsidRPr="008378CC" w:rsidRDefault="00A3039B" w:rsidP="0068455A">
      <w:pPr>
        <w:pStyle w:val="FootnoteText"/>
        <w:rPr>
          <w:szCs w:val="22"/>
        </w:rPr>
      </w:pPr>
      <w:r w:rsidRPr="008378CC">
        <w:rPr>
          <w:rStyle w:val="FootnoteReference"/>
          <w:szCs w:val="22"/>
        </w:rPr>
        <w:footnoteRef/>
      </w:r>
      <w:r w:rsidRPr="008378CC">
        <w:rPr>
          <w:szCs w:val="22"/>
        </w:rPr>
        <w:t xml:space="preserve"> Pierson,</w:t>
      </w:r>
      <w:r w:rsidRPr="008378CC">
        <w:rPr>
          <w:i/>
          <w:iCs/>
          <w:szCs w:val="22"/>
        </w:rPr>
        <w:t xml:space="preserve"> East Central, </w:t>
      </w:r>
      <w:r w:rsidRPr="008378CC">
        <w:rPr>
          <w:szCs w:val="22"/>
        </w:rPr>
        <w:t>p. 64.</w:t>
      </w:r>
    </w:p>
  </w:footnote>
  <w:footnote w:id="47">
    <w:p w14:paraId="62E628E1" w14:textId="372936EC" w:rsidR="00FF2211" w:rsidRPr="008378CC" w:rsidRDefault="00FF2211" w:rsidP="0068455A">
      <w:pPr>
        <w:pStyle w:val="FootnoteText"/>
        <w:rPr>
          <w:szCs w:val="22"/>
        </w:rPr>
      </w:pPr>
      <w:r w:rsidRPr="008378CC">
        <w:rPr>
          <w:rStyle w:val="FootnoteReference"/>
          <w:szCs w:val="22"/>
        </w:rPr>
        <w:footnoteRef/>
      </w:r>
      <w:r w:rsidRPr="008378CC">
        <w:rPr>
          <w:szCs w:val="22"/>
        </w:rPr>
        <w:t xml:space="preserve"> Black, </w:t>
      </w:r>
      <w:r w:rsidRPr="008378CC">
        <w:rPr>
          <w:i/>
          <w:iCs/>
          <w:szCs w:val="22"/>
        </w:rPr>
        <w:t xml:space="preserve">Lisbon Valley, </w:t>
      </w:r>
      <w:r w:rsidRPr="008378CC">
        <w:rPr>
          <w:szCs w:val="22"/>
        </w:rPr>
        <w:t>p. 37.</w:t>
      </w:r>
    </w:p>
  </w:footnote>
  <w:footnote w:id="48">
    <w:p w14:paraId="338355F8" w14:textId="7D17C767" w:rsidR="00DC47BD" w:rsidRPr="008378CC" w:rsidRDefault="00DC47BD" w:rsidP="0068455A">
      <w:pPr>
        <w:pStyle w:val="FootnoteText"/>
        <w:rPr>
          <w:szCs w:val="22"/>
        </w:rPr>
      </w:pPr>
      <w:r w:rsidRPr="008378CC">
        <w:rPr>
          <w:rStyle w:val="FootnoteReference"/>
          <w:szCs w:val="22"/>
        </w:rPr>
        <w:footnoteRef/>
      </w:r>
      <w:r w:rsidRPr="008378CC">
        <w:rPr>
          <w:szCs w:val="22"/>
        </w:rPr>
        <w:t xml:space="preserve"> Stuart, </w:t>
      </w:r>
      <w:r w:rsidRPr="008378CC">
        <w:rPr>
          <w:i/>
          <w:iCs/>
          <w:szCs w:val="22"/>
        </w:rPr>
        <w:t>Anasazi America,</w:t>
      </w:r>
      <w:r w:rsidRPr="008378CC">
        <w:rPr>
          <w:szCs w:val="22"/>
        </w:rPr>
        <w:t xml:space="preserve"> p. 103.</w:t>
      </w:r>
    </w:p>
  </w:footnote>
  <w:footnote w:id="49">
    <w:p w14:paraId="29C55EDE" w14:textId="57FEB7C5" w:rsidR="00C414FF" w:rsidRPr="008378CC" w:rsidRDefault="00C414FF" w:rsidP="0068455A">
      <w:pPr>
        <w:pStyle w:val="FootnoteText"/>
        <w:rPr>
          <w:szCs w:val="22"/>
        </w:rPr>
      </w:pPr>
      <w:r w:rsidRPr="008378CC">
        <w:rPr>
          <w:rStyle w:val="FootnoteReference"/>
          <w:szCs w:val="22"/>
        </w:rPr>
        <w:footnoteRef/>
      </w:r>
      <w:r w:rsidRPr="008378CC">
        <w:rPr>
          <w:szCs w:val="22"/>
        </w:rPr>
        <w:t xml:space="preserve"> </w:t>
      </w:r>
      <w:bookmarkStart w:id="39" w:name="_Hlk97538581"/>
      <w:r w:rsidR="003111CF" w:rsidRPr="008378CC">
        <w:fldChar w:fldCharType="begin"/>
      </w:r>
      <w:r w:rsidR="003111CF" w:rsidRPr="008378CC">
        <w:rPr>
          <w:szCs w:val="22"/>
        </w:rPr>
        <w:instrText xml:space="preserve"> HYPERLINK "https://www.usclimatedata.com/climate/moab/utah/united-states/usut0165" </w:instrText>
      </w:r>
      <w:r w:rsidR="003111CF" w:rsidRPr="008378CC">
        <w:fldChar w:fldCharType="separate"/>
      </w:r>
      <w:r w:rsidRPr="008378CC">
        <w:rPr>
          <w:rStyle w:val="Hyperlink"/>
          <w:szCs w:val="22"/>
        </w:rPr>
        <w:t>https://www.usclimatedata.com/climate/moab/utah/united-states/usut0165</w:t>
      </w:r>
      <w:r w:rsidR="003111CF" w:rsidRPr="008378CC">
        <w:rPr>
          <w:rStyle w:val="Hyperlink"/>
          <w:szCs w:val="22"/>
        </w:rPr>
        <w:fldChar w:fldCharType="end"/>
      </w:r>
      <w:r w:rsidRPr="008378CC">
        <w:rPr>
          <w:szCs w:val="22"/>
        </w:rPr>
        <w:t xml:space="preserve"> [Accessed Feb. 15, 2022]</w:t>
      </w:r>
      <w:bookmarkEnd w:id="39"/>
    </w:p>
  </w:footnote>
  <w:footnote w:id="50">
    <w:p w14:paraId="13D533B5" w14:textId="14A3D3A3" w:rsidR="00C414FF" w:rsidRPr="008378CC" w:rsidRDefault="00C414FF" w:rsidP="0068455A">
      <w:pPr>
        <w:pStyle w:val="FootnoteText"/>
        <w:rPr>
          <w:szCs w:val="22"/>
        </w:rPr>
      </w:pPr>
      <w:r w:rsidRPr="008378CC">
        <w:rPr>
          <w:rStyle w:val="FootnoteReference"/>
          <w:szCs w:val="22"/>
        </w:rPr>
        <w:footnoteRef/>
      </w:r>
      <w:r w:rsidRPr="008378CC">
        <w:rPr>
          <w:szCs w:val="22"/>
        </w:rPr>
        <w:t xml:space="preserve"> Lekson,</w:t>
      </w:r>
      <w:r w:rsidRPr="008378CC">
        <w:rPr>
          <w:i/>
          <w:iCs/>
          <w:szCs w:val="22"/>
        </w:rPr>
        <w:t xml:space="preserve"> History of the Ancient Southwest</w:t>
      </w:r>
      <w:r w:rsidR="00CE5AED" w:rsidRPr="008378CC">
        <w:rPr>
          <w:szCs w:val="22"/>
        </w:rPr>
        <w:t xml:space="preserve">, </w:t>
      </w:r>
      <w:r w:rsidRPr="008378CC">
        <w:rPr>
          <w:szCs w:val="22"/>
        </w:rPr>
        <w:t>p. 16</w:t>
      </w:r>
      <w:r w:rsidR="00A3039B" w:rsidRPr="008378CC">
        <w:rPr>
          <w:szCs w:val="22"/>
        </w:rPr>
        <w:t xml:space="preserve">; Pierson, </w:t>
      </w:r>
      <w:r w:rsidR="00A3039B" w:rsidRPr="008378CC">
        <w:rPr>
          <w:i/>
          <w:iCs/>
          <w:szCs w:val="22"/>
        </w:rPr>
        <w:t xml:space="preserve">East Central, </w:t>
      </w:r>
      <w:r w:rsidR="00A3039B" w:rsidRPr="008378CC">
        <w:rPr>
          <w:szCs w:val="22"/>
        </w:rPr>
        <w:t>p. 62</w:t>
      </w:r>
      <w:r w:rsidRPr="008378CC">
        <w:rPr>
          <w:szCs w:val="22"/>
        </w:rPr>
        <w:t>.</w:t>
      </w:r>
    </w:p>
  </w:footnote>
  <w:footnote w:id="51">
    <w:p w14:paraId="752D5E0C" w14:textId="5D18E76C" w:rsidR="00C414FF" w:rsidRPr="008378CC" w:rsidRDefault="00C414FF" w:rsidP="0068455A">
      <w:pPr>
        <w:pStyle w:val="FootnoteText"/>
        <w:rPr>
          <w:szCs w:val="22"/>
        </w:rPr>
      </w:pPr>
      <w:r w:rsidRPr="008378CC">
        <w:rPr>
          <w:rStyle w:val="FootnoteReference"/>
          <w:szCs w:val="22"/>
        </w:rPr>
        <w:footnoteRef/>
      </w:r>
      <w:r w:rsidRPr="008378CC">
        <w:rPr>
          <w:szCs w:val="22"/>
        </w:rPr>
        <w:t xml:space="preserve"> </w:t>
      </w:r>
      <w:r w:rsidR="00FA7F81" w:rsidRPr="008378CC">
        <w:rPr>
          <w:szCs w:val="22"/>
        </w:rPr>
        <w:t xml:space="preserve">Jennings, </w:t>
      </w:r>
      <w:r w:rsidR="00FA7F81" w:rsidRPr="008378CC">
        <w:rPr>
          <w:i/>
          <w:iCs/>
          <w:szCs w:val="22"/>
        </w:rPr>
        <w:t>Prehistory of Utah</w:t>
      </w:r>
      <w:r w:rsidR="00FA7F81" w:rsidRPr="008378CC">
        <w:rPr>
          <w:szCs w:val="22"/>
        </w:rPr>
        <w:t>, p. 8.</w:t>
      </w:r>
    </w:p>
  </w:footnote>
  <w:footnote w:id="52">
    <w:p w14:paraId="7B8F5674" w14:textId="2F448156" w:rsidR="009A7E95" w:rsidRPr="008378CC" w:rsidRDefault="009A7E95" w:rsidP="0068455A">
      <w:pPr>
        <w:pStyle w:val="FootnoteText"/>
        <w:rPr>
          <w:szCs w:val="22"/>
        </w:rPr>
      </w:pPr>
      <w:r w:rsidRPr="008378CC">
        <w:rPr>
          <w:rStyle w:val="FootnoteReference"/>
          <w:szCs w:val="22"/>
        </w:rPr>
        <w:footnoteRef/>
      </w:r>
      <w:r w:rsidRPr="008378CC">
        <w:rPr>
          <w:szCs w:val="22"/>
        </w:rPr>
        <w:t xml:space="preserve"> Pierson, </w:t>
      </w:r>
      <w:r w:rsidRPr="008378CC">
        <w:rPr>
          <w:i/>
          <w:iCs/>
          <w:szCs w:val="22"/>
        </w:rPr>
        <w:t xml:space="preserve">East Central, </w:t>
      </w:r>
      <w:r w:rsidRPr="008378CC">
        <w:rPr>
          <w:szCs w:val="22"/>
        </w:rPr>
        <w:t>pp. 55-64.</w:t>
      </w:r>
    </w:p>
  </w:footnote>
  <w:footnote w:id="53">
    <w:p w14:paraId="42D56F73" w14:textId="65F5278B" w:rsidR="00A87E99" w:rsidRPr="008378CC" w:rsidRDefault="00A87E99" w:rsidP="0068455A">
      <w:pPr>
        <w:pStyle w:val="FootnoteText"/>
        <w:rPr>
          <w:szCs w:val="22"/>
        </w:rPr>
      </w:pPr>
      <w:r w:rsidRPr="008378CC">
        <w:rPr>
          <w:rStyle w:val="FootnoteReference"/>
          <w:szCs w:val="22"/>
        </w:rPr>
        <w:footnoteRef/>
      </w:r>
      <w:r w:rsidRPr="008378CC">
        <w:rPr>
          <w:szCs w:val="22"/>
        </w:rPr>
        <w:t xml:space="preserve"> Jennings, </w:t>
      </w:r>
      <w:r w:rsidRPr="008378CC">
        <w:rPr>
          <w:i/>
          <w:iCs/>
          <w:szCs w:val="22"/>
        </w:rPr>
        <w:t>Prehistory of Utah</w:t>
      </w:r>
      <w:r w:rsidRPr="008378CC">
        <w:rPr>
          <w:szCs w:val="22"/>
        </w:rPr>
        <w:t>, p. 155.</w:t>
      </w:r>
    </w:p>
  </w:footnote>
  <w:footnote w:id="54">
    <w:p w14:paraId="61E36B58" w14:textId="09B14601" w:rsidR="00561320" w:rsidRPr="008378CC" w:rsidRDefault="00561320" w:rsidP="0068455A">
      <w:pPr>
        <w:pStyle w:val="FootnoteText"/>
        <w:rPr>
          <w:szCs w:val="22"/>
        </w:rPr>
      </w:pPr>
      <w:r w:rsidRPr="008378CC">
        <w:rPr>
          <w:rStyle w:val="FootnoteReference"/>
          <w:szCs w:val="22"/>
        </w:rPr>
        <w:footnoteRef/>
      </w:r>
      <w:r w:rsidRPr="008378CC">
        <w:rPr>
          <w:szCs w:val="22"/>
        </w:rPr>
        <w:t xml:space="preserve"> Jennings, </w:t>
      </w:r>
      <w:r w:rsidRPr="008378CC">
        <w:rPr>
          <w:i/>
          <w:iCs/>
          <w:szCs w:val="22"/>
        </w:rPr>
        <w:t xml:space="preserve">Prehistory of Utah, </w:t>
      </w:r>
      <w:r w:rsidRPr="008378CC">
        <w:rPr>
          <w:szCs w:val="22"/>
        </w:rPr>
        <w:t xml:space="preserve">p. 98; James H. Gunnerson, ‘The Fremont Culture: Internal Dimensions and External Relationships’ </w:t>
      </w:r>
      <w:r w:rsidRPr="008378CC">
        <w:rPr>
          <w:i/>
          <w:iCs/>
          <w:szCs w:val="22"/>
        </w:rPr>
        <w:t>American Antiquity</w:t>
      </w:r>
      <w:r w:rsidRPr="008378CC">
        <w:rPr>
          <w:szCs w:val="22"/>
        </w:rPr>
        <w:t>, Vol. 25, No. 3 (Jan. 1960), p. 379.</w:t>
      </w:r>
    </w:p>
  </w:footnote>
  <w:footnote w:id="55">
    <w:p w14:paraId="61B0C6AB" w14:textId="77777777" w:rsidR="00791307" w:rsidRPr="008378CC" w:rsidRDefault="00791307" w:rsidP="0068455A">
      <w:pPr>
        <w:pStyle w:val="FootnoteText"/>
        <w:rPr>
          <w:szCs w:val="22"/>
        </w:rPr>
      </w:pPr>
      <w:r w:rsidRPr="008378CC">
        <w:rPr>
          <w:rStyle w:val="FootnoteReference"/>
          <w:szCs w:val="22"/>
        </w:rPr>
        <w:footnoteRef/>
      </w:r>
      <w:r w:rsidRPr="008378CC">
        <w:rPr>
          <w:szCs w:val="22"/>
        </w:rPr>
        <w:t xml:space="preserve"> David B. Madsen, </w:t>
      </w:r>
      <w:r w:rsidRPr="008378CC">
        <w:rPr>
          <w:i/>
          <w:iCs/>
          <w:szCs w:val="22"/>
        </w:rPr>
        <w:t xml:space="preserve">Exploring the Fremont </w:t>
      </w:r>
      <w:r w:rsidRPr="008378CC">
        <w:rPr>
          <w:szCs w:val="22"/>
        </w:rPr>
        <w:t>(Salt Lake City: Utah Museum of Natural History, 1989), pp. 2-3.</w:t>
      </w:r>
    </w:p>
  </w:footnote>
  <w:footnote w:id="56">
    <w:p w14:paraId="4418F9A8" w14:textId="48DD24FE" w:rsidR="00E656D6" w:rsidRPr="008378CC" w:rsidRDefault="00E656D6" w:rsidP="0068455A">
      <w:pPr>
        <w:pStyle w:val="FootnoteText"/>
        <w:rPr>
          <w:szCs w:val="22"/>
        </w:rPr>
      </w:pPr>
      <w:r w:rsidRPr="008378CC">
        <w:rPr>
          <w:rStyle w:val="FootnoteReference"/>
          <w:szCs w:val="22"/>
        </w:rPr>
        <w:footnoteRef/>
      </w:r>
      <w:r w:rsidRPr="008378CC">
        <w:rPr>
          <w:szCs w:val="22"/>
        </w:rPr>
        <w:t xml:space="preserve"> Carol Patterson, ‘The Mu:kwitsi/Hopi (Fremont) and Numic Immigrants Depicted in Nine Mile Canyon Rock Art.’ (2018), </w:t>
      </w:r>
      <w:hyperlink r:id="rId3" w:history="1">
        <w:r w:rsidR="00C2624E" w:rsidRPr="008378CC">
          <w:rPr>
            <w:rStyle w:val="Hyperlink"/>
            <w:szCs w:val="22"/>
          </w:rPr>
          <w:t>https://www.academia.edu/36439563/The_Mu_kwitsi_Hopi_Fremont_abandonment_and_Numic_Immigrants_into_Nine_Mile_Canyon_as_Depicted_in_the_Rock_Art</w:t>
        </w:r>
      </w:hyperlink>
      <w:r w:rsidR="00C2624E" w:rsidRPr="008378CC">
        <w:rPr>
          <w:szCs w:val="22"/>
        </w:rPr>
        <w:t xml:space="preserve"> [</w:t>
      </w:r>
      <w:r w:rsidR="00FA6695" w:rsidRPr="008378CC">
        <w:rPr>
          <w:szCs w:val="22"/>
        </w:rPr>
        <w:t>A</w:t>
      </w:r>
      <w:r w:rsidR="00C2624E" w:rsidRPr="008378CC">
        <w:rPr>
          <w:szCs w:val="22"/>
        </w:rPr>
        <w:t>ccessed Mar. 5, 2022]</w:t>
      </w:r>
    </w:p>
  </w:footnote>
  <w:footnote w:id="57">
    <w:p w14:paraId="7D18F609" w14:textId="77777777" w:rsidR="007F2219" w:rsidRPr="008378CC" w:rsidRDefault="007F2219" w:rsidP="007F2219">
      <w:pPr>
        <w:pStyle w:val="FootnoteText"/>
        <w:rPr>
          <w:szCs w:val="22"/>
        </w:rPr>
      </w:pPr>
      <w:r w:rsidRPr="008378CC">
        <w:rPr>
          <w:rStyle w:val="FootnoteReference"/>
          <w:szCs w:val="22"/>
        </w:rPr>
        <w:footnoteRef/>
      </w:r>
      <w:r w:rsidRPr="008378CC">
        <w:rPr>
          <w:szCs w:val="22"/>
        </w:rPr>
        <w:t xml:space="preserve"> Patterson, ‘Mu:kwitsi/Hopi’, pp. 1-52.</w:t>
      </w:r>
    </w:p>
  </w:footnote>
  <w:footnote w:id="58">
    <w:p w14:paraId="5D3075A9" w14:textId="70D75386" w:rsidR="00E656D6" w:rsidRPr="008378CC" w:rsidRDefault="00E656D6" w:rsidP="00E656D6">
      <w:pPr>
        <w:pStyle w:val="Default"/>
        <w:rPr>
          <w:rFonts w:asciiTheme="minorHAnsi" w:hAnsiTheme="minorHAnsi" w:cstheme="minorHAnsi"/>
          <w:sz w:val="22"/>
          <w:szCs w:val="22"/>
        </w:rPr>
      </w:pPr>
      <w:r w:rsidRPr="008378CC">
        <w:rPr>
          <w:rStyle w:val="FootnoteReference"/>
          <w:rFonts w:asciiTheme="minorHAnsi" w:hAnsiTheme="minorHAnsi" w:cstheme="minorHAnsi"/>
          <w:sz w:val="22"/>
          <w:szCs w:val="22"/>
        </w:rPr>
        <w:footnoteRef/>
      </w:r>
      <w:r w:rsidRPr="008378CC">
        <w:rPr>
          <w:rFonts w:asciiTheme="minorHAnsi" w:hAnsiTheme="minorHAnsi" w:cstheme="minorHAnsi"/>
          <w:sz w:val="22"/>
          <w:szCs w:val="22"/>
        </w:rPr>
        <w:t xml:space="preserve"> Connie J. Mulligan, ‘Anthropological Applications of Ancient DNA: Problems and Prospects’, </w:t>
      </w:r>
      <w:r w:rsidRPr="008378CC">
        <w:rPr>
          <w:rFonts w:asciiTheme="minorHAnsi" w:hAnsiTheme="minorHAnsi" w:cstheme="minorHAnsi"/>
          <w:i/>
          <w:iCs/>
          <w:sz w:val="22"/>
          <w:szCs w:val="22"/>
        </w:rPr>
        <w:t>American Antiquity</w:t>
      </w:r>
      <w:r w:rsidRPr="008378CC">
        <w:rPr>
          <w:rFonts w:asciiTheme="minorHAnsi" w:hAnsiTheme="minorHAnsi" w:cstheme="minorHAnsi"/>
          <w:sz w:val="22"/>
          <w:szCs w:val="22"/>
        </w:rPr>
        <w:t>, Vol. 71, No. 2 (Apr.</w:t>
      </w:r>
      <w:r w:rsidR="00FA6695" w:rsidRPr="008378CC">
        <w:rPr>
          <w:rFonts w:asciiTheme="minorHAnsi" w:hAnsiTheme="minorHAnsi" w:cstheme="minorHAnsi"/>
          <w:sz w:val="22"/>
          <w:szCs w:val="22"/>
        </w:rPr>
        <w:t xml:space="preserve"> </w:t>
      </w:r>
      <w:r w:rsidRPr="008378CC">
        <w:rPr>
          <w:rFonts w:asciiTheme="minorHAnsi" w:hAnsiTheme="minorHAnsi" w:cstheme="minorHAnsi"/>
          <w:sz w:val="22"/>
          <w:szCs w:val="22"/>
        </w:rPr>
        <w:t>2006), pp. 371-372</w:t>
      </w:r>
      <w:r w:rsidR="000D74AD">
        <w:rPr>
          <w:rFonts w:asciiTheme="minorHAnsi" w:hAnsiTheme="minorHAnsi" w:cstheme="minorHAnsi"/>
          <w:sz w:val="22"/>
          <w:szCs w:val="22"/>
        </w:rPr>
        <w:t>.</w:t>
      </w:r>
    </w:p>
  </w:footnote>
  <w:footnote w:id="59">
    <w:p w14:paraId="58DD8371" w14:textId="77450736" w:rsidR="009F3C56" w:rsidRPr="008378CC" w:rsidRDefault="009F3C56" w:rsidP="0068455A">
      <w:pPr>
        <w:pStyle w:val="FootnoteText"/>
        <w:rPr>
          <w:szCs w:val="22"/>
        </w:rPr>
      </w:pPr>
      <w:r w:rsidRPr="008378CC">
        <w:rPr>
          <w:rStyle w:val="FootnoteReference"/>
          <w:szCs w:val="22"/>
        </w:rPr>
        <w:footnoteRef/>
      </w:r>
      <w:r w:rsidRPr="008378CC">
        <w:rPr>
          <w:szCs w:val="22"/>
        </w:rPr>
        <w:t xml:space="preserve"> Hunt, </w:t>
      </w:r>
      <w:r w:rsidRPr="008378CC">
        <w:rPr>
          <w:i/>
          <w:iCs/>
          <w:szCs w:val="22"/>
        </w:rPr>
        <w:t>La Sal Mountains</w:t>
      </w:r>
      <w:r w:rsidRPr="008378CC">
        <w:rPr>
          <w:szCs w:val="22"/>
        </w:rPr>
        <w:t>, pp</w:t>
      </w:r>
      <w:r w:rsidR="00807C11" w:rsidRPr="008378CC">
        <w:rPr>
          <w:szCs w:val="22"/>
        </w:rPr>
        <w:t>.</w:t>
      </w:r>
      <w:r w:rsidRPr="008378CC">
        <w:rPr>
          <w:szCs w:val="22"/>
        </w:rPr>
        <w:t xml:space="preserve"> 17-21.</w:t>
      </w:r>
    </w:p>
  </w:footnote>
  <w:footnote w:id="60">
    <w:p w14:paraId="6E134AC2" w14:textId="0FC9810A" w:rsidR="00C460E2" w:rsidRDefault="00C460E2" w:rsidP="0068455A">
      <w:pPr>
        <w:pStyle w:val="FootnoteText"/>
      </w:pPr>
      <w:r w:rsidRPr="008378CC">
        <w:rPr>
          <w:rStyle w:val="FootnoteReference"/>
          <w:szCs w:val="22"/>
        </w:rPr>
        <w:footnoteRef/>
      </w:r>
      <w:r w:rsidRPr="008378CC">
        <w:rPr>
          <w:szCs w:val="22"/>
        </w:rPr>
        <w:t xml:space="preserve"> Pierson, </w:t>
      </w:r>
      <w:r w:rsidRPr="008378CC">
        <w:rPr>
          <w:i/>
          <w:iCs/>
          <w:szCs w:val="22"/>
        </w:rPr>
        <w:t xml:space="preserve">East Central, </w:t>
      </w:r>
      <w:r w:rsidRPr="008378CC">
        <w:rPr>
          <w:szCs w:val="22"/>
        </w:rPr>
        <w:t>p. 45.</w:t>
      </w:r>
    </w:p>
  </w:footnote>
  <w:footnote w:id="61">
    <w:p w14:paraId="2999B770" w14:textId="3EC46ABE" w:rsidR="00F62CD8" w:rsidRPr="008378CC" w:rsidRDefault="00F62CD8" w:rsidP="0068455A">
      <w:pPr>
        <w:pStyle w:val="FootnoteText"/>
        <w:rPr>
          <w:szCs w:val="22"/>
        </w:rPr>
      </w:pPr>
      <w:r w:rsidRPr="008378CC">
        <w:rPr>
          <w:rStyle w:val="FootnoteReference"/>
          <w:szCs w:val="22"/>
        </w:rPr>
        <w:footnoteRef/>
      </w:r>
      <w:r w:rsidRPr="008378CC">
        <w:rPr>
          <w:szCs w:val="22"/>
        </w:rPr>
        <w:t xml:space="preserve"> </w:t>
      </w:r>
      <w:r w:rsidR="000A77A8" w:rsidRPr="008378CC">
        <w:rPr>
          <w:szCs w:val="22"/>
        </w:rPr>
        <w:t>Lekson,</w:t>
      </w:r>
      <w:r w:rsidR="000A77A8" w:rsidRPr="008378CC">
        <w:rPr>
          <w:i/>
          <w:iCs/>
          <w:szCs w:val="22"/>
        </w:rPr>
        <w:t xml:space="preserve"> History of the Ancient Southwest</w:t>
      </w:r>
      <w:r w:rsidR="000A77A8" w:rsidRPr="008378CC">
        <w:rPr>
          <w:szCs w:val="22"/>
        </w:rPr>
        <w:t xml:space="preserve">, </w:t>
      </w:r>
      <w:r w:rsidR="005220FB" w:rsidRPr="008378CC">
        <w:rPr>
          <w:szCs w:val="22"/>
        </w:rPr>
        <w:t>p. 226.</w:t>
      </w:r>
    </w:p>
  </w:footnote>
  <w:footnote w:id="62">
    <w:p w14:paraId="2DBF711E" w14:textId="5B8A69E3" w:rsidR="005220FB" w:rsidRPr="008378CC" w:rsidRDefault="005220FB" w:rsidP="0068455A">
      <w:pPr>
        <w:pStyle w:val="FootnoteText"/>
        <w:rPr>
          <w:szCs w:val="22"/>
        </w:rPr>
      </w:pPr>
      <w:r w:rsidRPr="008378CC">
        <w:rPr>
          <w:rStyle w:val="FootnoteReference"/>
          <w:szCs w:val="22"/>
        </w:rPr>
        <w:footnoteRef/>
      </w:r>
      <w:r w:rsidRPr="008378CC">
        <w:rPr>
          <w:szCs w:val="22"/>
        </w:rPr>
        <w:t xml:space="preserve"> Pierson, </w:t>
      </w:r>
      <w:r w:rsidRPr="008378CC">
        <w:rPr>
          <w:i/>
          <w:iCs/>
          <w:szCs w:val="22"/>
        </w:rPr>
        <w:t xml:space="preserve">East Central, </w:t>
      </w:r>
      <w:r w:rsidRPr="008378CC">
        <w:rPr>
          <w:szCs w:val="22"/>
        </w:rPr>
        <w:t>pp. 64-65.</w:t>
      </w:r>
    </w:p>
  </w:footnote>
  <w:footnote w:id="63">
    <w:p w14:paraId="32A9832B" w14:textId="5E3736C6" w:rsidR="009C17A8" w:rsidRDefault="009C17A8" w:rsidP="0068455A">
      <w:pPr>
        <w:pStyle w:val="FootnoteText"/>
      </w:pPr>
      <w:bookmarkStart w:id="41" w:name="_Hlk97539061"/>
      <w:r w:rsidRPr="008378CC">
        <w:rPr>
          <w:rStyle w:val="FootnoteReference"/>
          <w:szCs w:val="22"/>
        </w:rPr>
        <w:footnoteRef/>
      </w:r>
      <w:r w:rsidRPr="008378CC">
        <w:rPr>
          <w:szCs w:val="22"/>
        </w:rPr>
        <w:t xml:space="preserve"> R. G. Matson, William D. Lipe and William R. Haase IV, ‘Adaptational Continuities and Occupational Discontinuities: The Cedar Mesa Anasazi’ </w:t>
      </w:r>
      <w:r w:rsidRPr="008378CC">
        <w:rPr>
          <w:i/>
          <w:iCs/>
          <w:szCs w:val="22"/>
        </w:rPr>
        <w:t>Journal of Field Archaeology</w:t>
      </w:r>
      <w:r w:rsidRPr="008378CC">
        <w:rPr>
          <w:szCs w:val="22"/>
        </w:rPr>
        <w:t xml:space="preserve">, Vol. 15, No. 3 (Autumn, 1988), </w:t>
      </w:r>
      <w:bookmarkEnd w:id="41"/>
      <w:r w:rsidRPr="008378CC">
        <w:rPr>
          <w:szCs w:val="22"/>
        </w:rPr>
        <w:t>p. 250</w:t>
      </w:r>
      <w:r w:rsidR="00652804">
        <w:rPr>
          <w:szCs w:val="22"/>
        </w:rPr>
        <w:t>.</w:t>
      </w:r>
    </w:p>
  </w:footnote>
  <w:footnote w:id="64">
    <w:p w14:paraId="533F3827" w14:textId="648CBBCA" w:rsidR="00407841" w:rsidRDefault="00407841">
      <w:pPr>
        <w:pStyle w:val="FootnoteText"/>
      </w:pPr>
      <w:r>
        <w:rPr>
          <w:rStyle w:val="FootnoteReference"/>
        </w:rPr>
        <w:footnoteRef/>
      </w:r>
      <w:r>
        <w:t xml:space="preserve"> </w:t>
      </w:r>
      <w:r w:rsidRPr="008378CC">
        <w:rPr>
          <w:szCs w:val="22"/>
        </w:rPr>
        <w:t xml:space="preserve">Aton, </w:t>
      </w:r>
      <w:r w:rsidRPr="008378CC">
        <w:rPr>
          <w:i/>
          <w:iCs/>
          <w:szCs w:val="22"/>
        </w:rPr>
        <w:t xml:space="preserve">River Knows, </w:t>
      </w:r>
      <w:r w:rsidRPr="008378CC">
        <w:rPr>
          <w:szCs w:val="22"/>
        </w:rPr>
        <w:t>p</w:t>
      </w:r>
      <w:r>
        <w:rPr>
          <w:szCs w:val="22"/>
        </w:rPr>
        <w:t>p. 42-43</w:t>
      </w:r>
      <w:r w:rsidR="007B61A2">
        <w:rPr>
          <w:szCs w:val="22"/>
        </w:rPr>
        <w:t>.</w:t>
      </w:r>
    </w:p>
  </w:footnote>
  <w:footnote w:id="65">
    <w:p w14:paraId="473C0CCF" w14:textId="77777777" w:rsidR="00C77497" w:rsidRPr="008378CC" w:rsidRDefault="00C77497" w:rsidP="0068455A">
      <w:pPr>
        <w:pStyle w:val="FootnoteText"/>
        <w:rPr>
          <w:szCs w:val="22"/>
        </w:rPr>
      </w:pPr>
      <w:r w:rsidRPr="008378CC">
        <w:rPr>
          <w:rStyle w:val="FootnoteReference"/>
          <w:szCs w:val="22"/>
        </w:rPr>
        <w:footnoteRef/>
      </w:r>
      <w:r w:rsidRPr="008378CC">
        <w:rPr>
          <w:szCs w:val="22"/>
        </w:rPr>
        <w:t xml:space="preserve"> Pierson, </w:t>
      </w:r>
      <w:r w:rsidRPr="008378CC">
        <w:rPr>
          <w:i/>
          <w:iCs/>
          <w:szCs w:val="22"/>
        </w:rPr>
        <w:t xml:space="preserve">East Central, </w:t>
      </w:r>
      <w:r w:rsidRPr="008378CC">
        <w:rPr>
          <w:szCs w:val="22"/>
        </w:rPr>
        <w:t>pp. 65-71.</w:t>
      </w:r>
    </w:p>
  </w:footnote>
  <w:footnote w:id="66">
    <w:p w14:paraId="1A25BB32" w14:textId="7D76C0DB" w:rsidR="00A601CC" w:rsidRDefault="00A601CC" w:rsidP="0068455A">
      <w:pPr>
        <w:pStyle w:val="FootnoteText"/>
      </w:pPr>
      <w:r w:rsidRPr="008378CC">
        <w:rPr>
          <w:rStyle w:val="FootnoteReference"/>
          <w:szCs w:val="22"/>
        </w:rPr>
        <w:footnoteRef/>
      </w:r>
      <w:r w:rsidRPr="008378CC">
        <w:rPr>
          <w:szCs w:val="22"/>
        </w:rPr>
        <w:t xml:space="preserve"> </w:t>
      </w:r>
      <w:bookmarkStart w:id="43" w:name="_Hlk97539169"/>
      <w:r w:rsidRPr="008378CC">
        <w:rPr>
          <w:szCs w:val="22"/>
        </w:rPr>
        <w:t xml:space="preserve">Carol Patterson, ‘Petroglyphs of Western Colorado and the Northern Ute Indian Reservation as Interpreted by Clifford Duncan’, </w:t>
      </w:r>
      <w:r w:rsidRPr="008378CC">
        <w:rPr>
          <w:i/>
          <w:iCs/>
          <w:szCs w:val="22"/>
        </w:rPr>
        <w:t>Transactions of the American Philosophical Society,</w:t>
      </w:r>
      <w:r w:rsidRPr="008378CC">
        <w:rPr>
          <w:szCs w:val="22"/>
        </w:rPr>
        <w:t xml:space="preserve"> New Series, Vol. 105, No. 5 (2015)</w:t>
      </w:r>
      <w:bookmarkEnd w:id="43"/>
      <w:r w:rsidRPr="008378CC">
        <w:rPr>
          <w:szCs w:val="22"/>
        </w:rPr>
        <w:t>, p. 14.</w:t>
      </w:r>
    </w:p>
  </w:footnote>
  <w:footnote w:id="67">
    <w:p w14:paraId="02C96930" w14:textId="7A2BEFDF" w:rsidR="00E73DF2" w:rsidRPr="008378CC" w:rsidRDefault="00E73DF2" w:rsidP="008378CC">
      <w:pPr>
        <w:pStyle w:val="FootnoteText"/>
      </w:pPr>
      <w:r w:rsidRPr="008378CC">
        <w:rPr>
          <w:rStyle w:val="FootnoteReference"/>
          <w:szCs w:val="22"/>
        </w:rPr>
        <w:footnoteRef/>
      </w:r>
      <w:r w:rsidRPr="008378CC">
        <w:t xml:space="preserve"> </w:t>
      </w:r>
      <w:r w:rsidR="000A77A8" w:rsidRPr="008378CC">
        <w:t xml:space="preserve">Cole, </w:t>
      </w:r>
      <w:r w:rsidR="000A77A8" w:rsidRPr="008378CC">
        <w:rPr>
          <w:i/>
          <w:iCs/>
        </w:rPr>
        <w:t>Legacy,</w:t>
      </w:r>
      <w:r w:rsidR="000A77A8" w:rsidRPr="008378CC">
        <w:t xml:space="preserve"> </w:t>
      </w:r>
      <w:r w:rsidRPr="008378CC">
        <w:t xml:space="preserve">p. 1; </w:t>
      </w:r>
      <w:r w:rsidR="00512005" w:rsidRPr="008378CC">
        <w:t xml:space="preserve">Malotki and Dissanayake, </w:t>
      </w:r>
      <w:r w:rsidR="00512005" w:rsidRPr="008378CC">
        <w:rPr>
          <w:i/>
          <w:iCs/>
        </w:rPr>
        <w:t>Early Rock Art</w:t>
      </w:r>
      <w:r w:rsidR="00512005" w:rsidRPr="008378CC">
        <w:t>, pp. 23-45</w:t>
      </w:r>
      <w:r w:rsidRPr="008378CC">
        <w:t>.</w:t>
      </w:r>
    </w:p>
  </w:footnote>
  <w:footnote w:id="68">
    <w:p w14:paraId="03D4FF6D" w14:textId="1A0CDCA7" w:rsidR="00E73DF2" w:rsidRPr="008378CC" w:rsidRDefault="00E73DF2" w:rsidP="008378CC">
      <w:pPr>
        <w:pStyle w:val="FootnoteText"/>
      </w:pPr>
      <w:r w:rsidRPr="008378CC">
        <w:rPr>
          <w:rStyle w:val="FootnoteReference"/>
          <w:szCs w:val="22"/>
        </w:rPr>
        <w:footnoteRef/>
      </w:r>
      <w:r w:rsidRPr="008378CC">
        <w:t xml:space="preserve"> Cole, </w:t>
      </w:r>
      <w:r w:rsidRPr="008378CC">
        <w:rPr>
          <w:i/>
          <w:iCs/>
        </w:rPr>
        <w:t>Legacy,</w:t>
      </w:r>
      <w:r w:rsidRPr="008378CC">
        <w:t xml:space="preserve"> p. 1-2; Malotki and Dissanayake, </w:t>
      </w:r>
      <w:r w:rsidRPr="008378CC">
        <w:rPr>
          <w:i/>
          <w:iCs/>
        </w:rPr>
        <w:t>Early Rock Art</w:t>
      </w:r>
      <w:r w:rsidRPr="008378CC">
        <w:t>, pp. 176-179</w:t>
      </w:r>
      <w:r w:rsidR="006C59BE" w:rsidRPr="008378CC">
        <w:t>.</w:t>
      </w:r>
    </w:p>
  </w:footnote>
  <w:footnote w:id="69">
    <w:p w14:paraId="1D57B9CA" w14:textId="1451C35D" w:rsidR="00E73DF2" w:rsidRPr="008378CC" w:rsidRDefault="00E73DF2" w:rsidP="008378CC">
      <w:pPr>
        <w:pStyle w:val="FootnoteText"/>
      </w:pPr>
      <w:r w:rsidRPr="008378CC">
        <w:rPr>
          <w:rStyle w:val="FootnoteReference"/>
          <w:szCs w:val="22"/>
        </w:rPr>
        <w:footnoteRef/>
      </w:r>
      <w:r w:rsidRPr="008378CC">
        <w:t xml:space="preserve"> LaVan Martineau, </w:t>
      </w:r>
      <w:r w:rsidRPr="008378CC">
        <w:rPr>
          <w:i/>
          <w:iCs/>
        </w:rPr>
        <w:t>The Rocks Begin to Speak</w:t>
      </w:r>
      <w:r w:rsidRPr="008378CC">
        <w:t xml:space="preserve"> (Las Vegas: KC Publications, 1973), pp. 3-11</w:t>
      </w:r>
      <w:r w:rsidR="00322F91" w:rsidRPr="008378CC">
        <w:t xml:space="preserve">; </w:t>
      </w:r>
      <w:r w:rsidR="0047672C" w:rsidRPr="008378CC">
        <w:t xml:space="preserve">Carol </w:t>
      </w:r>
      <w:r w:rsidR="00322F91" w:rsidRPr="008378CC">
        <w:t>Patterson, ‘</w:t>
      </w:r>
      <w:r w:rsidR="0047672C" w:rsidRPr="008378CC">
        <w:t xml:space="preserve">What Can Be Learnt from Body Postures and Gestures of Anthropomorphic Figures in Petroglyphs of the Southwest USA’ </w:t>
      </w:r>
      <w:bookmarkStart w:id="46" w:name="_Hlk97539286"/>
      <w:r w:rsidR="0047672C" w:rsidRPr="008378CC">
        <w:t xml:space="preserve">in </w:t>
      </w:r>
      <w:r w:rsidR="0047672C" w:rsidRPr="008378CC">
        <w:rPr>
          <w:i/>
          <w:iCs/>
        </w:rPr>
        <w:t>Anthropomorphic Images in Rock Art Paintings and Rock Carvings</w:t>
      </w:r>
      <w:r w:rsidR="0047672C" w:rsidRPr="008378CC">
        <w:t>, ed.</w:t>
      </w:r>
      <w:r w:rsidR="000A77A8" w:rsidRPr="008378CC">
        <w:t xml:space="preserve"> by</w:t>
      </w:r>
      <w:r w:rsidR="0047672C" w:rsidRPr="008378CC">
        <w:t xml:space="preserve"> Terence Meaden and Herman Bender (Oxford: Archaeopress, 2020), pp. 179-199.</w:t>
      </w:r>
      <w:bookmarkEnd w:id="46"/>
    </w:p>
  </w:footnote>
  <w:footnote w:id="70">
    <w:p w14:paraId="497F45E7" w14:textId="77777777" w:rsidR="00E73DF2" w:rsidRDefault="00E73DF2" w:rsidP="008378CC">
      <w:pPr>
        <w:pStyle w:val="FootnoteText"/>
      </w:pPr>
      <w:r w:rsidRPr="008378CC">
        <w:rPr>
          <w:rStyle w:val="FootnoteReference"/>
          <w:szCs w:val="22"/>
        </w:rPr>
        <w:footnoteRef/>
      </w:r>
      <w:r w:rsidRPr="008378CC">
        <w:t xml:space="preserve"> Malotki and Dissanayake, </w:t>
      </w:r>
      <w:r w:rsidRPr="008378CC">
        <w:rPr>
          <w:i/>
          <w:iCs/>
        </w:rPr>
        <w:t>Early Rock Art</w:t>
      </w:r>
      <w:r w:rsidRPr="008378CC">
        <w:t>, pp. 23-45.</w:t>
      </w:r>
    </w:p>
  </w:footnote>
  <w:footnote w:id="71">
    <w:p w14:paraId="32A97D1B" w14:textId="4302A2C2" w:rsidR="00E73DF2" w:rsidRDefault="00E73DF2" w:rsidP="0068455A">
      <w:pPr>
        <w:pStyle w:val="FootnoteText"/>
      </w:pPr>
      <w:r>
        <w:rPr>
          <w:rStyle w:val="FootnoteReference"/>
        </w:rPr>
        <w:footnoteRef/>
      </w:r>
      <w:r>
        <w:t xml:space="preserve"> Cole, </w:t>
      </w:r>
      <w:r>
        <w:rPr>
          <w:i/>
          <w:iCs/>
        </w:rPr>
        <w:t>Legacy,</w:t>
      </w:r>
      <w:r>
        <w:t xml:space="preserve"> p</w:t>
      </w:r>
      <w:r w:rsidR="00FE60CC">
        <w:t>p</w:t>
      </w:r>
      <w:r>
        <w:t>. 3-5</w:t>
      </w:r>
      <w:r w:rsidR="009B0013">
        <w:t>.</w:t>
      </w:r>
    </w:p>
  </w:footnote>
  <w:footnote w:id="72">
    <w:p w14:paraId="58D63754" w14:textId="77777777" w:rsidR="00D34697" w:rsidRPr="001A447C" w:rsidRDefault="00D34697" w:rsidP="00D34697">
      <w:pPr>
        <w:pStyle w:val="FootnoteText"/>
      </w:pPr>
      <w:r>
        <w:rPr>
          <w:rStyle w:val="FootnoteReference"/>
        </w:rPr>
        <w:footnoteRef/>
      </w:r>
      <w:r>
        <w:t xml:space="preserve"> Polly Schaafsma, ‘</w:t>
      </w:r>
      <w:r w:rsidRPr="00076379">
        <w:t>Form, Content, and Function: Theory and Method in North American Rock Art Studies</w:t>
      </w:r>
      <w:r>
        <w:t xml:space="preserve">’, </w:t>
      </w:r>
      <w:r w:rsidRPr="00076379">
        <w:rPr>
          <w:i/>
          <w:iCs/>
          <w:sz w:val="23"/>
          <w:szCs w:val="23"/>
        </w:rPr>
        <w:t>Advances in Archaeological Method and Theory</w:t>
      </w:r>
      <w:r>
        <w:rPr>
          <w:sz w:val="23"/>
          <w:szCs w:val="23"/>
        </w:rPr>
        <w:t xml:space="preserve">, Vol. 8 (1985), p. 247; </w:t>
      </w:r>
      <w:r>
        <w:t xml:space="preserve">Cole, </w:t>
      </w:r>
      <w:r>
        <w:rPr>
          <w:i/>
          <w:iCs/>
        </w:rPr>
        <w:t>Legacy,</w:t>
      </w:r>
      <w:r>
        <w:t xml:space="preserve"> pp. 42-43.</w:t>
      </w:r>
    </w:p>
  </w:footnote>
  <w:footnote w:id="73">
    <w:p w14:paraId="74B1B835" w14:textId="06D0A625" w:rsidR="00E92A8B" w:rsidRPr="00A43275" w:rsidRDefault="00E92A8B" w:rsidP="0068455A">
      <w:pPr>
        <w:pStyle w:val="FootnoteText"/>
        <w:rPr>
          <w:szCs w:val="22"/>
        </w:rPr>
      </w:pPr>
      <w:r w:rsidRPr="00A43275">
        <w:rPr>
          <w:rStyle w:val="FootnoteReference"/>
          <w:szCs w:val="22"/>
        </w:rPr>
        <w:footnoteRef/>
      </w:r>
      <w:r w:rsidRPr="00A43275">
        <w:rPr>
          <w:szCs w:val="22"/>
        </w:rPr>
        <w:t xml:space="preserve"> Phil R. Geib and Helen C. Fairley, ‘Radiocarbon Dating of Fremont Anthropomorphic Rock Art in Glen Canyon, South Central Utah’, </w:t>
      </w:r>
      <w:r w:rsidRPr="00A43275">
        <w:rPr>
          <w:i/>
          <w:iCs/>
          <w:szCs w:val="22"/>
        </w:rPr>
        <w:t>Journal of Field Archaeology</w:t>
      </w:r>
      <w:r w:rsidRPr="00A43275">
        <w:rPr>
          <w:szCs w:val="22"/>
        </w:rPr>
        <w:t>, Vol. 19, No. 2, (</w:t>
      </w:r>
      <w:r w:rsidR="00F05E42" w:rsidRPr="00A43275">
        <w:rPr>
          <w:szCs w:val="22"/>
        </w:rPr>
        <w:t xml:space="preserve">Summer, </w:t>
      </w:r>
      <w:r w:rsidRPr="00A43275">
        <w:rPr>
          <w:szCs w:val="22"/>
        </w:rPr>
        <w:t>1992), pp. 155-168.</w:t>
      </w:r>
    </w:p>
  </w:footnote>
  <w:footnote w:id="74">
    <w:p w14:paraId="5EFD9673" w14:textId="77777777" w:rsidR="00C51808" w:rsidRDefault="00C51808" w:rsidP="00C51808">
      <w:pPr>
        <w:autoSpaceDE w:val="0"/>
        <w:autoSpaceDN w:val="0"/>
        <w:adjustRightInd w:val="0"/>
        <w:spacing w:after="0" w:line="240" w:lineRule="auto"/>
      </w:pPr>
      <w:r w:rsidRPr="005409F5">
        <w:rPr>
          <w:rStyle w:val="FootnoteReference"/>
          <w:sz w:val="22"/>
          <w:szCs w:val="22"/>
        </w:rPr>
        <w:footnoteRef/>
      </w:r>
      <w:r w:rsidRPr="005409F5">
        <w:rPr>
          <w:sz w:val="22"/>
          <w:szCs w:val="22"/>
        </w:rPr>
        <w:t xml:space="preserve"> </w:t>
      </w:r>
      <w:r>
        <w:rPr>
          <w:sz w:val="22"/>
          <w:szCs w:val="22"/>
        </w:rPr>
        <w:t xml:space="preserve">Marvin </w:t>
      </w:r>
      <w:r w:rsidRPr="00991D1E">
        <w:rPr>
          <w:sz w:val="22"/>
          <w:szCs w:val="22"/>
        </w:rPr>
        <w:t>Rowe</w:t>
      </w:r>
      <w:r>
        <w:rPr>
          <w:sz w:val="22"/>
          <w:szCs w:val="22"/>
        </w:rPr>
        <w:t>, in a letter to Dr. Nancy Coulam, Canyonlands National Park,</w:t>
      </w:r>
      <w:r w:rsidRPr="005409F5">
        <w:rPr>
          <w:sz w:val="22"/>
          <w:szCs w:val="22"/>
        </w:rPr>
        <w:t xml:space="preserve"> cited in Tipps,</w:t>
      </w:r>
      <w:r w:rsidRPr="005409F5">
        <w:rPr>
          <w:i/>
          <w:iCs/>
          <w:sz w:val="22"/>
          <w:szCs w:val="22"/>
        </w:rPr>
        <w:t xml:space="preserve"> Holocene</w:t>
      </w:r>
      <w:r w:rsidRPr="005409F5">
        <w:rPr>
          <w:sz w:val="22"/>
          <w:szCs w:val="22"/>
        </w:rPr>
        <w:t>, p.</w:t>
      </w:r>
      <w:r>
        <w:rPr>
          <w:sz w:val="22"/>
          <w:szCs w:val="22"/>
        </w:rPr>
        <w:t xml:space="preserve"> </w:t>
      </w:r>
      <w:r w:rsidRPr="005409F5">
        <w:rPr>
          <w:sz w:val="22"/>
          <w:szCs w:val="22"/>
        </w:rPr>
        <w:t>156; Joel L. Pederson, Melissa S. Chapot, Steven R. Simms, Reza Sohbati, Tammy M. Rittenour, Andrew S. Murray,</w:t>
      </w:r>
      <w:r>
        <w:rPr>
          <w:sz w:val="22"/>
          <w:szCs w:val="22"/>
        </w:rPr>
        <w:t xml:space="preserve"> </w:t>
      </w:r>
      <w:r w:rsidRPr="005409F5">
        <w:rPr>
          <w:sz w:val="22"/>
          <w:szCs w:val="22"/>
        </w:rPr>
        <w:t>and Gary Cox,</w:t>
      </w:r>
      <w:r w:rsidRPr="00046BD9">
        <w:rPr>
          <w:rFonts w:eastAsia="Times New Roman"/>
          <w:sz w:val="22"/>
          <w:szCs w:val="22"/>
        </w:rPr>
        <w:t xml:space="preserve"> </w:t>
      </w:r>
      <w:r>
        <w:rPr>
          <w:rFonts w:eastAsia="Times New Roman"/>
          <w:sz w:val="22"/>
          <w:szCs w:val="22"/>
        </w:rPr>
        <w:t>‘</w:t>
      </w:r>
      <w:r w:rsidRPr="00046BD9">
        <w:rPr>
          <w:rFonts w:eastAsia="Times New Roman"/>
          <w:sz w:val="22"/>
          <w:szCs w:val="22"/>
        </w:rPr>
        <w:t>Age of Barrier Canyon-Style Rock Art Constrained b</w:t>
      </w:r>
      <w:r>
        <w:rPr>
          <w:rFonts w:eastAsia="Times New Roman"/>
          <w:sz w:val="22"/>
          <w:szCs w:val="22"/>
        </w:rPr>
        <w:t>y</w:t>
      </w:r>
      <w:r w:rsidRPr="00046BD9">
        <w:rPr>
          <w:rFonts w:eastAsia="Times New Roman"/>
          <w:sz w:val="22"/>
          <w:szCs w:val="22"/>
        </w:rPr>
        <w:t xml:space="preserve"> Cross-Cutting Relations and </w:t>
      </w:r>
      <w:r>
        <w:rPr>
          <w:rFonts w:eastAsia="Times New Roman"/>
          <w:sz w:val="22"/>
          <w:szCs w:val="22"/>
        </w:rPr>
        <w:t>Lumines</w:t>
      </w:r>
      <w:r w:rsidRPr="00046BD9">
        <w:rPr>
          <w:rFonts w:eastAsia="Times New Roman"/>
          <w:sz w:val="22"/>
          <w:szCs w:val="22"/>
        </w:rPr>
        <w:t>cence Dating Techniques</w:t>
      </w:r>
      <w:r>
        <w:rPr>
          <w:rFonts w:eastAsia="Times New Roman"/>
          <w:sz w:val="22"/>
          <w:szCs w:val="22"/>
        </w:rPr>
        <w:t>’,</w:t>
      </w:r>
      <w:r w:rsidRPr="00046BD9">
        <w:rPr>
          <w:rFonts w:eastAsia="Times New Roman"/>
          <w:sz w:val="22"/>
          <w:szCs w:val="22"/>
        </w:rPr>
        <w:t xml:space="preserve"> </w:t>
      </w:r>
      <w:r w:rsidRPr="00046BD9">
        <w:rPr>
          <w:rFonts w:eastAsia="Times New Roman"/>
          <w:i/>
          <w:iCs/>
          <w:sz w:val="22"/>
          <w:szCs w:val="22"/>
        </w:rPr>
        <w:t>Proceedings of the National Academy of Sciences of the United States of America</w:t>
      </w:r>
      <w:r w:rsidRPr="00046BD9">
        <w:rPr>
          <w:rFonts w:eastAsia="Times New Roman"/>
          <w:sz w:val="22"/>
          <w:szCs w:val="22"/>
        </w:rPr>
        <w:t xml:space="preserve">, </w:t>
      </w:r>
      <w:r>
        <w:rPr>
          <w:rFonts w:eastAsia="Times New Roman"/>
          <w:sz w:val="22"/>
          <w:szCs w:val="22"/>
        </w:rPr>
        <w:t>V</w:t>
      </w:r>
      <w:r w:rsidRPr="00046BD9">
        <w:rPr>
          <w:rFonts w:eastAsia="Times New Roman"/>
          <w:sz w:val="22"/>
          <w:szCs w:val="22"/>
        </w:rPr>
        <w:t xml:space="preserve">ol. 111, </w:t>
      </w:r>
      <w:r>
        <w:rPr>
          <w:rFonts w:eastAsia="Times New Roman"/>
          <w:sz w:val="22"/>
          <w:szCs w:val="22"/>
        </w:rPr>
        <w:t>N</w:t>
      </w:r>
      <w:r w:rsidRPr="00046BD9">
        <w:rPr>
          <w:rFonts w:eastAsia="Times New Roman"/>
          <w:sz w:val="22"/>
          <w:szCs w:val="22"/>
        </w:rPr>
        <w:t xml:space="preserve">o. 36, </w:t>
      </w:r>
      <w:r>
        <w:rPr>
          <w:rFonts w:eastAsia="Times New Roman"/>
          <w:sz w:val="22"/>
          <w:szCs w:val="22"/>
        </w:rPr>
        <w:t>(</w:t>
      </w:r>
      <w:r w:rsidRPr="00046BD9">
        <w:rPr>
          <w:rFonts w:eastAsia="Times New Roman"/>
          <w:sz w:val="22"/>
          <w:szCs w:val="22"/>
        </w:rPr>
        <w:t>2014</w:t>
      </w:r>
      <w:r>
        <w:rPr>
          <w:rFonts w:eastAsia="Times New Roman"/>
          <w:sz w:val="22"/>
          <w:szCs w:val="22"/>
        </w:rPr>
        <w:t>)</w:t>
      </w:r>
      <w:r w:rsidRPr="00046BD9">
        <w:rPr>
          <w:rFonts w:eastAsia="Times New Roman"/>
          <w:sz w:val="22"/>
          <w:szCs w:val="22"/>
        </w:rPr>
        <w:t>, pp. 12986–91</w:t>
      </w:r>
      <w:r>
        <w:rPr>
          <w:rFonts w:eastAsia="Times New Roman"/>
          <w:sz w:val="22"/>
          <w:szCs w:val="22"/>
        </w:rPr>
        <w:t>.</w:t>
      </w:r>
      <w:r w:rsidRPr="00046BD9">
        <w:rPr>
          <w:rFonts w:ascii="Times New Roman" w:eastAsia="Times New Roman" w:hAnsi="Times New Roman" w:cs="Times New Roman"/>
        </w:rPr>
        <w:t xml:space="preserve"> </w:t>
      </w:r>
      <w:r>
        <w:t xml:space="preserve"> </w:t>
      </w:r>
    </w:p>
  </w:footnote>
  <w:footnote w:id="75">
    <w:p w14:paraId="60F4B05B" w14:textId="3E5030F8" w:rsidR="00E92A8B" w:rsidRPr="00A43275" w:rsidRDefault="00E92A8B" w:rsidP="0068455A">
      <w:pPr>
        <w:pStyle w:val="FootnoteText"/>
        <w:rPr>
          <w:i/>
          <w:iCs/>
          <w:szCs w:val="22"/>
        </w:rPr>
      </w:pPr>
      <w:r w:rsidRPr="00A43275">
        <w:rPr>
          <w:rStyle w:val="FootnoteReference"/>
          <w:szCs w:val="22"/>
        </w:rPr>
        <w:footnoteRef/>
      </w:r>
      <w:r w:rsidRPr="00A43275">
        <w:rPr>
          <w:szCs w:val="22"/>
        </w:rPr>
        <w:t xml:space="preserve"> </w:t>
      </w:r>
      <w:r w:rsidR="005D2C03" w:rsidRPr="00A43275">
        <w:rPr>
          <w:szCs w:val="22"/>
        </w:rPr>
        <w:t xml:space="preserve">Malotki and Dissanayake, </w:t>
      </w:r>
      <w:r w:rsidR="005D2C03" w:rsidRPr="00A43275">
        <w:rPr>
          <w:i/>
          <w:iCs/>
          <w:szCs w:val="22"/>
        </w:rPr>
        <w:t>Early Rock Art</w:t>
      </w:r>
      <w:r w:rsidR="005D2C03" w:rsidRPr="00A43275">
        <w:rPr>
          <w:szCs w:val="22"/>
        </w:rPr>
        <w:t xml:space="preserve">, </w:t>
      </w:r>
      <w:r w:rsidRPr="00A43275">
        <w:rPr>
          <w:szCs w:val="22"/>
        </w:rPr>
        <w:t>pp. 56-57.</w:t>
      </w:r>
    </w:p>
  </w:footnote>
  <w:footnote w:id="76">
    <w:p w14:paraId="261E6A80" w14:textId="43AA27BB" w:rsidR="00E92A8B" w:rsidRPr="00A43275" w:rsidRDefault="00E92A8B" w:rsidP="0068455A">
      <w:pPr>
        <w:pStyle w:val="FootnoteText"/>
        <w:rPr>
          <w:szCs w:val="22"/>
        </w:rPr>
      </w:pPr>
      <w:r w:rsidRPr="00A43275">
        <w:rPr>
          <w:rStyle w:val="FootnoteReference"/>
          <w:szCs w:val="22"/>
        </w:rPr>
        <w:footnoteRef/>
      </w:r>
      <w:r w:rsidRPr="00A43275">
        <w:rPr>
          <w:szCs w:val="22"/>
        </w:rPr>
        <w:t xml:space="preserve"> Christy G. Turner, II, </w:t>
      </w:r>
      <w:r w:rsidRPr="00A43275">
        <w:rPr>
          <w:i/>
          <w:iCs/>
          <w:szCs w:val="22"/>
        </w:rPr>
        <w:t xml:space="preserve">Petroglyphs of the Glen Canyon Area, </w:t>
      </w:r>
      <w:r w:rsidRPr="00A43275">
        <w:rPr>
          <w:szCs w:val="22"/>
        </w:rPr>
        <w:t>Bulletin 38, Glen Canyon Series 4,</w:t>
      </w:r>
      <w:r w:rsidRPr="00A43275">
        <w:rPr>
          <w:i/>
          <w:iCs/>
          <w:szCs w:val="22"/>
        </w:rPr>
        <w:t xml:space="preserve"> </w:t>
      </w:r>
      <w:r w:rsidRPr="00A43275">
        <w:rPr>
          <w:szCs w:val="22"/>
        </w:rPr>
        <w:t xml:space="preserve">(Flagstaff: Museum of Northern Arizona, 1963), cited in Cole, </w:t>
      </w:r>
      <w:r w:rsidRPr="00A43275">
        <w:rPr>
          <w:i/>
          <w:iCs/>
          <w:szCs w:val="22"/>
        </w:rPr>
        <w:t>Legacy,</w:t>
      </w:r>
      <w:r w:rsidRPr="00A43275">
        <w:rPr>
          <w:szCs w:val="22"/>
        </w:rPr>
        <w:t xml:space="preserve"> p. 4</w:t>
      </w:r>
      <w:r w:rsidR="00BD0143">
        <w:rPr>
          <w:szCs w:val="22"/>
        </w:rPr>
        <w:t>.</w:t>
      </w:r>
    </w:p>
  </w:footnote>
  <w:footnote w:id="77">
    <w:p w14:paraId="01D3BA05" w14:textId="0A73755E" w:rsidR="002619AA" w:rsidRPr="00A43275" w:rsidRDefault="002619AA" w:rsidP="0068455A">
      <w:pPr>
        <w:pStyle w:val="FootnoteText"/>
        <w:rPr>
          <w:szCs w:val="22"/>
        </w:rPr>
      </w:pPr>
      <w:r w:rsidRPr="00A43275">
        <w:rPr>
          <w:rStyle w:val="FootnoteReference"/>
          <w:szCs w:val="22"/>
        </w:rPr>
        <w:footnoteRef/>
      </w:r>
      <w:r w:rsidRPr="00A43275">
        <w:rPr>
          <w:szCs w:val="22"/>
        </w:rPr>
        <w:t xml:space="preserve"> David S. Whitley, ‘Finding rain in the desert: landscape, gender and far Western North American rock art’, </w:t>
      </w:r>
      <w:r w:rsidR="00B206DF" w:rsidRPr="00A43275">
        <w:rPr>
          <w:szCs w:val="22"/>
        </w:rPr>
        <w:t>(1998), p.14</w:t>
      </w:r>
      <w:r w:rsidR="00434FAE">
        <w:rPr>
          <w:szCs w:val="22"/>
        </w:rPr>
        <w:t>.</w:t>
      </w:r>
      <w:r w:rsidR="00B206DF" w:rsidRPr="00A43275">
        <w:rPr>
          <w:szCs w:val="22"/>
        </w:rPr>
        <w:t xml:space="preserve"> </w:t>
      </w:r>
      <w:hyperlink r:id="rId4" w:history="1">
        <w:r w:rsidR="00B206DF" w:rsidRPr="00A43275">
          <w:rPr>
            <w:rStyle w:val="Hyperlink"/>
            <w:szCs w:val="22"/>
          </w:rPr>
          <w:t>https://www.academia.edu/3170207/Finding_rain_in_the_desert_landscape_gender_and_far_western_North_American_rock_art</w:t>
        </w:r>
      </w:hyperlink>
      <w:r w:rsidR="00B206DF" w:rsidRPr="00A43275">
        <w:rPr>
          <w:szCs w:val="22"/>
        </w:rPr>
        <w:t xml:space="preserve"> [</w:t>
      </w:r>
      <w:r w:rsidR="00760477" w:rsidRPr="00A43275">
        <w:rPr>
          <w:szCs w:val="22"/>
        </w:rPr>
        <w:t>A</w:t>
      </w:r>
      <w:r w:rsidR="00B206DF" w:rsidRPr="00A43275">
        <w:rPr>
          <w:szCs w:val="22"/>
        </w:rPr>
        <w:t>ccessed March 2, 2022].</w:t>
      </w:r>
    </w:p>
  </w:footnote>
  <w:footnote w:id="78">
    <w:p w14:paraId="65ABE9BA" w14:textId="60FDBB0B" w:rsidR="00FE06E9" w:rsidRPr="00A30573" w:rsidRDefault="00FE06E9" w:rsidP="00A30573">
      <w:pPr>
        <w:spacing w:after="0" w:line="240" w:lineRule="auto"/>
        <w:rPr>
          <w:sz w:val="20"/>
          <w:szCs w:val="20"/>
        </w:rPr>
      </w:pPr>
      <w:r w:rsidRPr="00A43275">
        <w:rPr>
          <w:rStyle w:val="FootnoteReference"/>
          <w:sz w:val="22"/>
          <w:szCs w:val="22"/>
        </w:rPr>
        <w:footnoteRef/>
      </w:r>
      <w:r w:rsidRPr="00A43275">
        <w:rPr>
          <w:sz w:val="22"/>
          <w:szCs w:val="22"/>
        </w:rPr>
        <w:t xml:space="preserve"> Emily S. Middleton, Geoffrey M. Smith, William J. Cannon, Mary F. Ricks, ‘Paleoindian rock art: establishing the antiquity of Great Basin Carved Abstract petroglyphs in the northern Great Basin’, </w:t>
      </w:r>
      <w:r w:rsidRPr="00A43275">
        <w:rPr>
          <w:i/>
          <w:iCs/>
          <w:sz w:val="22"/>
          <w:szCs w:val="22"/>
        </w:rPr>
        <w:t>Journal of Archaeological Science</w:t>
      </w:r>
      <w:r w:rsidRPr="00A43275">
        <w:rPr>
          <w:sz w:val="22"/>
          <w:szCs w:val="22"/>
        </w:rPr>
        <w:t>, Vol. 43, (2014), pp. 21-30.</w:t>
      </w:r>
    </w:p>
  </w:footnote>
  <w:footnote w:id="79">
    <w:p w14:paraId="1FFAB6B4" w14:textId="73EEDB6F" w:rsidR="00BE2759" w:rsidRDefault="00BE2759" w:rsidP="009411AF">
      <w:pPr>
        <w:autoSpaceDE w:val="0"/>
        <w:autoSpaceDN w:val="0"/>
        <w:adjustRightInd w:val="0"/>
        <w:spacing w:after="0" w:line="240" w:lineRule="auto"/>
      </w:pPr>
      <w:r>
        <w:rPr>
          <w:rStyle w:val="FootnoteReference"/>
        </w:rPr>
        <w:footnoteRef/>
      </w:r>
      <w:r>
        <w:t xml:space="preserve"> </w:t>
      </w:r>
      <w:r>
        <w:rPr>
          <w:sz w:val="22"/>
          <w:szCs w:val="22"/>
        </w:rPr>
        <w:t xml:space="preserve">Chester R. Liwosz, ‘Synesthetic Petroglyphs: A </w:t>
      </w:r>
      <w:r w:rsidR="005C02BE">
        <w:rPr>
          <w:sz w:val="22"/>
          <w:szCs w:val="22"/>
        </w:rPr>
        <w:t>V</w:t>
      </w:r>
      <w:r>
        <w:rPr>
          <w:sz w:val="22"/>
          <w:szCs w:val="22"/>
        </w:rPr>
        <w:t xml:space="preserve">ision Quest Perspective on the Significance of a Mohave Desert Slot Canyon Rock Art Site’ </w:t>
      </w:r>
      <w:r>
        <w:rPr>
          <w:i/>
          <w:iCs/>
          <w:sz w:val="22"/>
          <w:szCs w:val="22"/>
        </w:rPr>
        <w:t>Society for California Archaeology Proceedings</w:t>
      </w:r>
      <w:r w:rsidRPr="00BE2759">
        <w:rPr>
          <w:i/>
          <w:iCs/>
          <w:sz w:val="22"/>
          <w:szCs w:val="22"/>
        </w:rPr>
        <w:t xml:space="preserve">, </w:t>
      </w:r>
      <w:r w:rsidRPr="00BE2759">
        <w:rPr>
          <w:sz w:val="22"/>
          <w:szCs w:val="22"/>
        </w:rPr>
        <w:t>Vol.</w:t>
      </w:r>
      <w:r>
        <w:rPr>
          <w:b/>
          <w:bCs/>
          <w:sz w:val="22"/>
          <w:szCs w:val="22"/>
        </w:rPr>
        <w:t xml:space="preserve"> </w:t>
      </w:r>
      <w:r>
        <w:rPr>
          <w:sz w:val="22"/>
          <w:szCs w:val="22"/>
        </w:rPr>
        <w:t xml:space="preserve">28, (2014), pp. </w:t>
      </w:r>
      <w:r w:rsidR="009411AF">
        <w:rPr>
          <w:sz w:val="22"/>
          <w:szCs w:val="22"/>
        </w:rPr>
        <w:t>426-437.</w:t>
      </w:r>
    </w:p>
  </w:footnote>
  <w:footnote w:id="80">
    <w:p w14:paraId="406ECC1A" w14:textId="4A68BE65" w:rsidR="009411AF" w:rsidRDefault="009411AF">
      <w:pPr>
        <w:pStyle w:val="FootnoteText"/>
      </w:pPr>
      <w:r>
        <w:rPr>
          <w:rStyle w:val="FootnoteReference"/>
        </w:rPr>
        <w:footnoteRef/>
      </w:r>
      <w:r>
        <w:t xml:space="preserve"> Liwosz, ‘Synesthetic Petroglyphs’, pp. 431-433.</w:t>
      </w:r>
    </w:p>
  </w:footnote>
  <w:footnote w:id="81">
    <w:p w14:paraId="77DEB4D9" w14:textId="77777777" w:rsidR="00B50936" w:rsidRPr="002729F8" w:rsidRDefault="00B50936" w:rsidP="00B50936">
      <w:pPr>
        <w:pStyle w:val="FootnoteText"/>
      </w:pPr>
      <w:r>
        <w:rPr>
          <w:rStyle w:val="FootnoteReference"/>
        </w:rPr>
        <w:footnoteRef/>
      </w:r>
      <w:r>
        <w:t xml:space="preserve"> Don Laylander, ‘Preemptive Positioning and Relative Chronology in Rock Art’ </w:t>
      </w:r>
      <w:r>
        <w:rPr>
          <w:i/>
          <w:iCs/>
        </w:rPr>
        <w:t>Proceedings of the Society for California Archaeology,</w:t>
      </w:r>
      <w:r>
        <w:t xml:space="preserve"> Vol. 24 (2010), p. 1.</w:t>
      </w:r>
    </w:p>
  </w:footnote>
  <w:footnote w:id="82">
    <w:p w14:paraId="0F33D8BA" w14:textId="77777777" w:rsidR="005A4DA9" w:rsidRDefault="005A4DA9" w:rsidP="005A4DA9">
      <w:pPr>
        <w:pStyle w:val="FootnoteText"/>
      </w:pPr>
      <w:r>
        <w:rPr>
          <w:rStyle w:val="FootnoteReference"/>
        </w:rPr>
        <w:footnoteRef/>
      </w:r>
      <w:r>
        <w:t xml:space="preserve"> Hunt, </w:t>
      </w:r>
      <w:r>
        <w:rPr>
          <w:i/>
          <w:iCs/>
        </w:rPr>
        <w:t>La Sal Mountains</w:t>
      </w:r>
      <w:r>
        <w:t xml:space="preserve">, pp. 1-240; Black et al., </w:t>
      </w:r>
      <w:r>
        <w:rPr>
          <w:i/>
          <w:iCs/>
        </w:rPr>
        <w:t xml:space="preserve">Lisbon Valley, </w:t>
      </w:r>
      <w:r>
        <w:t>pp. 1-153;</w:t>
      </w:r>
      <w:r w:rsidRPr="00F05E42">
        <w:t xml:space="preserve"> </w:t>
      </w:r>
      <w:r>
        <w:t xml:space="preserve">Pierson, </w:t>
      </w:r>
      <w:r>
        <w:rPr>
          <w:i/>
          <w:iCs/>
        </w:rPr>
        <w:t xml:space="preserve">East Central, </w:t>
      </w:r>
      <w:r>
        <w:t>pp. 3-133.</w:t>
      </w:r>
    </w:p>
  </w:footnote>
  <w:footnote w:id="83">
    <w:p w14:paraId="530E186A" w14:textId="77777777" w:rsidR="005A4DA9" w:rsidRDefault="005A4DA9" w:rsidP="005A4DA9">
      <w:pPr>
        <w:pStyle w:val="FootnoteText"/>
      </w:pPr>
      <w:r>
        <w:rPr>
          <w:rStyle w:val="FootnoteReference"/>
        </w:rPr>
        <w:footnoteRef/>
      </w:r>
      <w:r>
        <w:t xml:space="preserve"> Pierson, </w:t>
      </w:r>
      <w:r>
        <w:rPr>
          <w:i/>
          <w:iCs/>
        </w:rPr>
        <w:t xml:space="preserve">East Central, </w:t>
      </w:r>
      <w:r>
        <w:t xml:space="preserve">pp. 108-109; Hunt, </w:t>
      </w:r>
      <w:r w:rsidRPr="000E2C14">
        <w:rPr>
          <w:i/>
          <w:iCs/>
        </w:rPr>
        <w:t>La Sal Mountains</w:t>
      </w:r>
      <w:r>
        <w:t xml:space="preserve">, pp. 1, 20; Black et al., </w:t>
      </w:r>
      <w:r>
        <w:rPr>
          <w:i/>
          <w:iCs/>
        </w:rPr>
        <w:t xml:space="preserve">Lisbon Valley, </w:t>
      </w:r>
      <w:r>
        <w:t xml:space="preserve">p. 149; Tipps, </w:t>
      </w:r>
      <w:r>
        <w:rPr>
          <w:i/>
          <w:iCs/>
        </w:rPr>
        <w:t xml:space="preserve">Holocene, </w:t>
      </w:r>
      <w:r>
        <w:t>pp. 146-147, 178-183.</w:t>
      </w:r>
    </w:p>
  </w:footnote>
  <w:footnote w:id="84">
    <w:p w14:paraId="34290B6A" w14:textId="1B19DC80" w:rsidR="003B2694" w:rsidRPr="007E09DE" w:rsidRDefault="003B2694" w:rsidP="003B2694">
      <w:pPr>
        <w:pStyle w:val="FootnoteText"/>
      </w:pPr>
      <w:r>
        <w:rPr>
          <w:rStyle w:val="FootnoteReference"/>
        </w:rPr>
        <w:footnoteRef/>
      </w:r>
      <w:r>
        <w:t xml:space="preserve"> Malotki and Dassanayake, </w:t>
      </w:r>
      <w:r>
        <w:rPr>
          <w:i/>
          <w:iCs/>
        </w:rPr>
        <w:t xml:space="preserve">Early Rock Art, </w:t>
      </w:r>
      <w:r>
        <w:t>pp. 46-50, 260.</w:t>
      </w:r>
    </w:p>
  </w:footnote>
  <w:footnote w:id="85">
    <w:p w14:paraId="2825CCBA" w14:textId="30CB024A" w:rsidR="00737A21" w:rsidRPr="00DB08B0" w:rsidRDefault="00737A21">
      <w:pPr>
        <w:pStyle w:val="FootnoteText"/>
      </w:pPr>
      <w:r>
        <w:rPr>
          <w:rStyle w:val="FootnoteReference"/>
        </w:rPr>
        <w:footnoteRef/>
      </w:r>
      <w:r>
        <w:t xml:space="preserve"> </w:t>
      </w:r>
      <w:r w:rsidRPr="00DB08B0">
        <w:rPr>
          <w:color w:val="000000"/>
          <w:spacing w:val="-5"/>
          <w:shd w:val="clear" w:color="auto" w:fill="FFFFFF"/>
        </w:rPr>
        <w:t>Robert F. Heizer</w:t>
      </w:r>
      <w:r w:rsidR="00DB08B0">
        <w:rPr>
          <w:color w:val="000000"/>
          <w:spacing w:val="-5"/>
          <w:shd w:val="clear" w:color="auto" w:fill="FFFFFF"/>
        </w:rPr>
        <w:t xml:space="preserve"> and </w:t>
      </w:r>
      <w:r w:rsidRPr="00DB08B0">
        <w:rPr>
          <w:color w:val="000000"/>
          <w:spacing w:val="-5"/>
          <w:shd w:val="clear" w:color="auto" w:fill="FFFFFF"/>
        </w:rPr>
        <w:t>Martin A. Baumhoff,</w:t>
      </w:r>
      <w:r w:rsidRPr="00DB08B0">
        <w:rPr>
          <w:rStyle w:val="HTMLCite"/>
          <w:color w:val="000000"/>
          <w:spacing w:val="-5"/>
          <w:shd w:val="clear" w:color="auto" w:fill="FFFFFF"/>
        </w:rPr>
        <w:t xml:space="preserve"> Prehistoric Rock Art of Nevada and Eastern California</w:t>
      </w:r>
      <w:r w:rsidRPr="00DB08B0">
        <w:rPr>
          <w:color w:val="000000"/>
          <w:spacing w:val="-5"/>
          <w:shd w:val="clear" w:color="auto" w:fill="FFFFFF"/>
        </w:rPr>
        <w:t> (Berkley and Los Angeles: University of California Press, 1962), p. 205</w:t>
      </w:r>
      <w:r w:rsidR="00DB08B0" w:rsidRPr="00DB08B0">
        <w:rPr>
          <w:color w:val="000000"/>
          <w:spacing w:val="-5"/>
          <w:shd w:val="clear" w:color="auto" w:fill="FFFFFF"/>
        </w:rPr>
        <w:t>,</w:t>
      </w:r>
      <w:r w:rsidRPr="00DB08B0">
        <w:rPr>
          <w:color w:val="000000"/>
          <w:spacing w:val="-5"/>
          <w:shd w:val="clear" w:color="auto" w:fill="FFFFFF"/>
        </w:rPr>
        <w:t xml:space="preserve"> cited </w:t>
      </w:r>
      <w:r w:rsidR="00DB08B0" w:rsidRPr="00DB08B0">
        <w:rPr>
          <w:color w:val="000000"/>
          <w:spacing w:val="-5"/>
          <w:shd w:val="clear" w:color="auto" w:fill="FFFFFF"/>
        </w:rPr>
        <w:t>by Kenneth B. Castleton,</w:t>
      </w:r>
      <w:r w:rsidRPr="00DB08B0">
        <w:rPr>
          <w:color w:val="000000"/>
          <w:spacing w:val="-5"/>
          <w:shd w:val="clear" w:color="auto" w:fill="FFFFFF"/>
        </w:rPr>
        <w:t xml:space="preserve"> </w:t>
      </w:r>
      <w:r w:rsidR="00DB08B0" w:rsidRPr="00DB08B0">
        <w:rPr>
          <w:i/>
          <w:iCs/>
          <w:color w:val="000000"/>
          <w:spacing w:val="-5"/>
          <w:shd w:val="clear" w:color="auto" w:fill="FFFFFF"/>
        </w:rPr>
        <w:t>Petroglyphs and Pictographs of Utah</w:t>
      </w:r>
      <w:r w:rsidR="00DB08B0" w:rsidRPr="00DB08B0">
        <w:rPr>
          <w:color w:val="000000"/>
          <w:spacing w:val="-5"/>
          <w:shd w:val="clear" w:color="auto" w:fill="FFFFFF"/>
        </w:rPr>
        <w:t xml:space="preserve">, </w:t>
      </w:r>
      <w:r w:rsidR="00DB08B0" w:rsidRPr="00DB08B0">
        <w:rPr>
          <w:i/>
          <w:iCs/>
          <w:color w:val="000000"/>
          <w:spacing w:val="-5"/>
          <w:shd w:val="clear" w:color="auto" w:fill="FFFFFF"/>
        </w:rPr>
        <w:t xml:space="preserve">Vol. Two </w:t>
      </w:r>
      <w:r w:rsidR="00DB08B0" w:rsidRPr="00DB08B0">
        <w:rPr>
          <w:color w:val="000000"/>
          <w:spacing w:val="-5"/>
          <w:shd w:val="clear" w:color="auto" w:fill="FFFFFF"/>
        </w:rPr>
        <w:t>(Salt Lake City: Museum of Natural History,</w:t>
      </w:r>
      <w:r w:rsidR="00D415EF">
        <w:rPr>
          <w:color w:val="000000"/>
          <w:spacing w:val="-5"/>
          <w:shd w:val="clear" w:color="auto" w:fill="FFFFFF"/>
        </w:rPr>
        <w:t xml:space="preserve"> </w:t>
      </w:r>
      <w:r w:rsidR="00DB08B0" w:rsidRPr="00DB08B0">
        <w:rPr>
          <w:color w:val="000000"/>
          <w:spacing w:val="-5"/>
          <w:shd w:val="clear" w:color="auto" w:fill="FFFFFF"/>
        </w:rPr>
        <w:t>1979), p. 5</w:t>
      </w:r>
      <w:r w:rsidR="002F6A17">
        <w:rPr>
          <w:color w:val="000000"/>
          <w:spacing w:val="-5"/>
          <w:shd w:val="clear" w:color="auto" w:fill="FFFFFF"/>
        </w:rPr>
        <w:t>.</w:t>
      </w:r>
    </w:p>
  </w:footnote>
  <w:footnote w:id="86">
    <w:p w14:paraId="2B322619" w14:textId="77777777" w:rsidR="00BD0143" w:rsidRPr="000E2C14" w:rsidRDefault="00BD0143" w:rsidP="00BD0143">
      <w:pPr>
        <w:pStyle w:val="FootnoteText"/>
      </w:pPr>
      <w:r>
        <w:rPr>
          <w:rStyle w:val="FootnoteReference"/>
        </w:rPr>
        <w:footnoteRef/>
      </w:r>
      <w:r>
        <w:t xml:space="preserve"> Tipps, </w:t>
      </w:r>
      <w:r>
        <w:rPr>
          <w:i/>
          <w:iCs/>
        </w:rPr>
        <w:t xml:space="preserve">Holocene, </w:t>
      </w:r>
      <w:r>
        <w:t>p. 171.</w:t>
      </w:r>
    </w:p>
  </w:footnote>
  <w:footnote w:id="87">
    <w:p w14:paraId="3DEC5144" w14:textId="77777777" w:rsidR="00BD0143" w:rsidRPr="00EF382D" w:rsidRDefault="00BD0143" w:rsidP="00BD0143">
      <w:pPr>
        <w:pStyle w:val="FootnoteText"/>
      </w:pPr>
      <w:r>
        <w:rPr>
          <w:rStyle w:val="FootnoteReference"/>
        </w:rPr>
        <w:footnoteRef/>
      </w:r>
      <w:r>
        <w:t xml:space="preserve"> Black et al., </w:t>
      </w:r>
      <w:r>
        <w:rPr>
          <w:i/>
          <w:iCs/>
        </w:rPr>
        <w:t>Lisbon Valley,</w:t>
      </w:r>
      <w:r>
        <w:t xml:space="preserve"> p. 149; Hunt, </w:t>
      </w:r>
      <w:r>
        <w:rPr>
          <w:i/>
          <w:iCs/>
        </w:rPr>
        <w:t>La Sal Mountains</w:t>
      </w:r>
      <w:r>
        <w:t>, p. 179.</w:t>
      </w:r>
    </w:p>
  </w:footnote>
  <w:footnote w:id="88">
    <w:p w14:paraId="2DF682C8" w14:textId="77777777" w:rsidR="00BD0143" w:rsidRPr="00753E8F" w:rsidRDefault="00BD0143" w:rsidP="00BD0143">
      <w:pPr>
        <w:autoSpaceDE w:val="0"/>
        <w:autoSpaceDN w:val="0"/>
        <w:adjustRightInd w:val="0"/>
        <w:spacing w:after="0" w:line="240" w:lineRule="auto"/>
        <w:rPr>
          <w:color w:val="3A3A3A"/>
          <w:sz w:val="22"/>
          <w:szCs w:val="22"/>
        </w:rPr>
      </w:pPr>
      <w:r>
        <w:rPr>
          <w:rStyle w:val="FootnoteReference"/>
        </w:rPr>
        <w:footnoteRef/>
      </w:r>
      <w:r>
        <w:t xml:space="preserve"> </w:t>
      </w:r>
      <w:r w:rsidRPr="00753E8F">
        <w:rPr>
          <w:color w:val="242424"/>
          <w:sz w:val="22"/>
          <w:szCs w:val="22"/>
        </w:rPr>
        <w:t xml:space="preserve">Henry </w:t>
      </w:r>
      <w:r w:rsidRPr="00753E8F">
        <w:rPr>
          <w:color w:val="3A3A3A"/>
          <w:sz w:val="22"/>
          <w:szCs w:val="22"/>
        </w:rPr>
        <w:t>D</w:t>
      </w:r>
      <w:r w:rsidRPr="00753E8F">
        <w:rPr>
          <w:color w:val="0A0A0A"/>
          <w:sz w:val="22"/>
          <w:szCs w:val="22"/>
        </w:rPr>
        <w:t>.</w:t>
      </w:r>
      <w:r w:rsidRPr="004A7C10">
        <w:rPr>
          <w:color w:val="3A3A3A"/>
          <w:sz w:val="22"/>
          <w:szCs w:val="22"/>
        </w:rPr>
        <w:t xml:space="preserve"> </w:t>
      </w:r>
      <w:r w:rsidRPr="00753E8F">
        <w:rPr>
          <w:color w:val="3A3A3A"/>
          <w:sz w:val="22"/>
          <w:szCs w:val="22"/>
        </w:rPr>
        <w:t>Wallace and James P. Holm</w:t>
      </w:r>
      <w:r w:rsidRPr="00753E8F">
        <w:rPr>
          <w:color w:val="0A0A0A"/>
          <w:sz w:val="22"/>
          <w:szCs w:val="22"/>
        </w:rPr>
        <w:t>l</w:t>
      </w:r>
      <w:r w:rsidRPr="00753E8F">
        <w:rPr>
          <w:color w:val="3A3A3A"/>
          <w:sz w:val="22"/>
          <w:szCs w:val="22"/>
        </w:rPr>
        <w:t xml:space="preserve">und, ‘Petroglyphs of the Picacho </w:t>
      </w:r>
      <w:r w:rsidRPr="00753E8F">
        <w:rPr>
          <w:color w:val="4F4F4F"/>
          <w:sz w:val="22"/>
          <w:szCs w:val="22"/>
        </w:rPr>
        <w:t xml:space="preserve">Mountains, </w:t>
      </w:r>
      <w:r w:rsidRPr="00753E8F">
        <w:rPr>
          <w:color w:val="3A3A3A"/>
          <w:sz w:val="22"/>
          <w:szCs w:val="22"/>
        </w:rPr>
        <w:t>South</w:t>
      </w:r>
    </w:p>
    <w:p w14:paraId="65040DC4" w14:textId="77777777" w:rsidR="00BD0143" w:rsidRPr="00753E8F" w:rsidRDefault="00BD0143" w:rsidP="00BD0143">
      <w:pPr>
        <w:autoSpaceDE w:val="0"/>
        <w:autoSpaceDN w:val="0"/>
        <w:adjustRightInd w:val="0"/>
        <w:spacing w:after="0" w:line="240" w:lineRule="auto"/>
        <w:rPr>
          <w:color w:val="3A3A3A"/>
          <w:sz w:val="22"/>
          <w:szCs w:val="22"/>
        </w:rPr>
      </w:pPr>
      <w:r w:rsidRPr="00753E8F">
        <w:rPr>
          <w:color w:val="3A3A3A"/>
          <w:sz w:val="22"/>
          <w:szCs w:val="22"/>
        </w:rPr>
        <w:t>Central Arizona’,</w:t>
      </w:r>
      <w:r w:rsidRPr="00753E8F">
        <w:rPr>
          <w:i/>
          <w:iCs/>
          <w:color w:val="3A3A3A"/>
          <w:sz w:val="22"/>
          <w:szCs w:val="22"/>
        </w:rPr>
        <w:t xml:space="preserve"> Anthropological Papers</w:t>
      </w:r>
      <w:r w:rsidRPr="00753E8F">
        <w:rPr>
          <w:color w:val="3A3A3A"/>
          <w:sz w:val="22"/>
          <w:szCs w:val="22"/>
        </w:rPr>
        <w:t xml:space="preserve">, No. 6. (Tucson, </w:t>
      </w:r>
      <w:r w:rsidRPr="00753E8F">
        <w:rPr>
          <w:color w:val="4F4F4F"/>
          <w:sz w:val="22"/>
          <w:szCs w:val="22"/>
        </w:rPr>
        <w:t xml:space="preserve">AZ: </w:t>
      </w:r>
      <w:r w:rsidRPr="00753E8F">
        <w:rPr>
          <w:color w:val="3A3A3A"/>
          <w:sz w:val="22"/>
          <w:szCs w:val="22"/>
        </w:rPr>
        <w:t>Institute for American</w:t>
      </w:r>
    </w:p>
    <w:p w14:paraId="6791139C" w14:textId="77777777" w:rsidR="00BD0143" w:rsidRPr="00753E8F" w:rsidRDefault="00BD0143" w:rsidP="00BD0143">
      <w:pPr>
        <w:pStyle w:val="FootnoteText"/>
      </w:pPr>
      <w:r w:rsidRPr="00753E8F">
        <w:rPr>
          <w:color w:val="3A3A3A"/>
          <w:szCs w:val="22"/>
        </w:rPr>
        <w:t xml:space="preserve">Research 1986), </w:t>
      </w:r>
      <w:r>
        <w:rPr>
          <w:color w:val="3A3A3A"/>
          <w:szCs w:val="22"/>
        </w:rPr>
        <w:t xml:space="preserve">p. 221, </w:t>
      </w:r>
      <w:r w:rsidRPr="00753E8F">
        <w:rPr>
          <w:color w:val="3A3A3A"/>
          <w:szCs w:val="22"/>
        </w:rPr>
        <w:t>cited in</w:t>
      </w:r>
      <w:r>
        <w:rPr>
          <w:rFonts w:ascii="Times New Roman" w:hAnsi="Times New Roman" w:cs="Times New Roman"/>
          <w:color w:val="3A3A3A"/>
          <w:sz w:val="17"/>
          <w:szCs w:val="17"/>
        </w:rPr>
        <w:t xml:space="preserve"> </w:t>
      </w:r>
      <w:r w:rsidRPr="00A43275">
        <w:rPr>
          <w:szCs w:val="22"/>
        </w:rPr>
        <w:t xml:space="preserve">Malotki and Dissanayake, </w:t>
      </w:r>
      <w:r w:rsidRPr="00A43275">
        <w:rPr>
          <w:i/>
          <w:iCs/>
          <w:szCs w:val="22"/>
        </w:rPr>
        <w:t>Early Rock Art</w:t>
      </w:r>
      <w:r>
        <w:rPr>
          <w:i/>
          <w:iCs/>
          <w:szCs w:val="22"/>
        </w:rPr>
        <w:t>,</w:t>
      </w:r>
      <w:r>
        <w:rPr>
          <w:szCs w:val="22"/>
        </w:rPr>
        <w:t xml:space="preserve"> p. 149.</w:t>
      </w:r>
    </w:p>
  </w:footnote>
  <w:footnote w:id="89">
    <w:p w14:paraId="4FC49BC7" w14:textId="77777777" w:rsidR="00F97C06" w:rsidRPr="00E90849" w:rsidRDefault="00F97C06" w:rsidP="00F97C06">
      <w:pPr>
        <w:spacing w:after="0" w:line="240" w:lineRule="auto"/>
        <w:rPr>
          <w:sz w:val="22"/>
          <w:szCs w:val="22"/>
        </w:rPr>
      </w:pPr>
      <w:r w:rsidRPr="00E90849">
        <w:rPr>
          <w:rStyle w:val="FootnoteReference"/>
          <w:sz w:val="22"/>
          <w:szCs w:val="22"/>
        </w:rPr>
        <w:footnoteRef/>
      </w:r>
      <w:r w:rsidRPr="00E90849">
        <w:rPr>
          <w:sz w:val="22"/>
          <w:szCs w:val="22"/>
        </w:rPr>
        <w:t xml:space="preserve"> Chantal Jeguès-Wolkiewiez, ‘Lascaux, vision du ciel des Magdalénien’, in </w:t>
      </w:r>
      <w:r w:rsidRPr="00E90849">
        <w:rPr>
          <w:i/>
          <w:iCs/>
          <w:sz w:val="22"/>
          <w:szCs w:val="22"/>
        </w:rPr>
        <w:t>Arte preistorica e tribale: conservazione e salvaguardia dei messaggi</w:t>
      </w:r>
      <w:r w:rsidRPr="00E90849">
        <w:rPr>
          <w:sz w:val="22"/>
          <w:szCs w:val="22"/>
        </w:rPr>
        <w:t xml:space="preserve">. Presentation at Symposium 2000 d’Art Rupestre, Val Camonica, 2000,  </w:t>
      </w:r>
      <w:hyperlink r:id="rId5" w:history="1">
        <w:r w:rsidRPr="00E90849">
          <w:rPr>
            <w:rStyle w:val="Hyperlink"/>
            <w:rFonts w:eastAsia="PalatinoLinotype-Roman"/>
            <w:sz w:val="22"/>
            <w:szCs w:val="22"/>
          </w:rPr>
          <w:t>http://www.archeociel.com/lascaux.htm</w:t>
        </w:r>
      </w:hyperlink>
      <w:r w:rsidRPr="00E90849">
        <w:rPr>
          <w:sz w:val="22"/>
          <w:szCs w:val="22"/>
        </w:rPr>
        <w:t xml:space="preserve">; ‘Cro-Magnon: premier astronome de l’humanité?’, </w:t>
      </w:r>
      <w:r w:rsidRPr="00E90849">
        <w:rPr>
          <w:i/>
          <w:iCs/>
          <w:sz w:val="22"/>
          <w:szCs w:val="22"/>
        </w:rPr>
        <w:t xml:space="preserve">Science et vie </w:t>
      </w:r>
      <w:r w:rsidRPr="00E90849">
        <w:rPr>
          <w:sz w:val="22"/>
          <w:szCs w:val="22"/>
        </w:rPr>
        <w:t xml:space="preserve">(Nov. 2007), pp. 93–101; ‘Lascaux et les astres.’ </w:t>
      </w:r>
      <w:r w:rsidRPr="00E90849">
        <w:rPr>
          <w:i/>
          <w:iCs/>
          <w:sz w:val="22"/>
          <w:szCs w:val="22"/>
        </w:rPr>
        <w:t xml:space="preserve">Les dossiers d’archaeologie </w:t>
      </w:r>
      <w:r w:rsidRPr="00E90849">
        <w:rPr>
          <w:sz w:val="22"/>
          <w:szCs w:val="22"/>
        </w:rPr>
        <w:t xml:space="preserve">(Hors Série) 15, 2008, pp. 22–9, cited by Brian Hayden and Suzanne Villeneuve, ‘Astronomy in the Upper Paleolithic?’, </w:t>
      </w:r>
      <w:r w:rsidRPr="00E90849">
        <w:rPr>
          <w:i/>
          <w:iCs/>
          <w:sz w:val="22"/>
          <w:szCs w:val="22"/>
        </w:rPr>
        <w:t xml:space="preserve">Cambridge Archaeological Journal </w:t>
      </w:r>
      <w:r w:rsidRPr="00E90849">
        <w:rPr>
          <w:sz w:val="22"/>
          <w:szCs w:val="22"/>
        </w:rPr>
        <w:t>Vol.</w:t>
      </w:r>
      <w:r w:rsidRPr="00E90849">
        <w:rPr>
          <w:i/>
          <w:iCs/>
          <w:sz w:val="22"/>
          <w:szCs w:val="22"/>
        </w:rPr>
        <w:t xml:space="preserve"> </w:t>
      </w:r>
      <w:r w:rsidRPr="00E90849">
        <w:rPr>
          <w:sz w:val="22"/>
          <w:szCs w:val="22"/>
        </w:rPr>
        <w:t xml:space="preserve">21, No. 3, (2011), p. 332. </w:t>
      </w:r>
      <w:hyperlink r:id="rId6" w:history="1">
        <w:r w:rsidRPr="00E90849">
          <w:rPr>
            <w:rStyle w:val="Hyperlink"/>
            <w:sz w:val="22"/>
            <w:szCs w:val="22"/>
          </w:rPr>
          <w:t>https://www.cambridge.org/core</w:t>
        </w:r>
      </w:hyperlink>
      <w:r w:rsidRPr="00E90849">
        <w:rPr>
          <w:color w:val="0172D0"/>
          <w:sz w:val="22"/>
          <w:szCs w:val="22"/>
        </w:rPr>
        <w:t xml:space="preserve"> </w:t>
      </w:r>
      <w:r w:rsidRPr="00E90849">
        <w:rPr>
          <w:sz w:val="22"/>
          <w:szCs w:val="22"/>
        </w:rPr>
        <w:t>[Accessed February 20, 2022].</w:t>
      </w:r>
      <w:r w:rsidRPr="00E90849">
        <w:rPr>
          <w:rFonts w:ascii="NotoSans" w:hAnsi="NotoSans" w:cs="NotoSans"/>
          <w:sz w:val="22"/>
          <w:szCs w:val="22"/>
        </w:rPr>
        <w:t xml:space="preserve"> </w:t>
      </w:r>
    </w:p>
  </w:footnote>
  <w:footnote w:id="90">
    <w:p w14:paraId="44990D44" w14:textId="77777777" w:rsidR="00F97C06" w:rsidRPr="00E90849" w:rsidRDefault="00F97C06" w:rsidP="00F97C06">
      <w:pPr>
        <w:pStyle w:val="FootnoteText"/>
        <w:rPr>
          <w:szCs w:val="22"/>
        </w:rPr>
      </w:pPr>
      <w:r w:rsidRPr="00E90849">
        <w:rPr>
          <w:rStyle w:val="FootnoteReference"/>
          <w:szCs w:val="22"/>
        </w:rPr>
        <w:footnoteRef/>
      </w:r>
      <w:r w:rsidRPr="00E90849">
        <w:rPr>
          <w:szCs w:val="22"/>
        </w:rPr>
        <w:t xml:space="preserve"> Wm Jack Hranicky, ‘The Oldest Above Ground Site in North America’, </w:t>
      </w:r>
      <w:r w:rsidRPr="00E90849">
        <w:rPr>
          <w:i/>
          <w:iCs/>
          <w:szCs w:val="22"/>
        </w:rPr>
        <w:t>Central States Archaeological Journal</w:t>
      </w:r>
      <w:r w:rsidRPr="00E90849">
        <w:rPr>
          <w:szCs w:val="22"/>
        </w:rPr>
        <w:t>, Vol. 59, No. 2 (April 2012), pp. 82-86.</w:t>
      </w:r>
    </w:p>
  </w:footnote>
  <w:footnote w:id="91">
    <w:p w14:paraId="3E9EB9BA" w14:textId="77777777" w:rsidR="00F97C06" w:rsidRPr="00E90849" w:rsidRDefault="00F97C06" w:rsidP="00F97C06">
      <w:pPr>
        <w:pStyle w:val="FootnoteText"/>
        <w:rPr>
          <w:szCs w:val="22"/>
        </w:rPr>
      </w:pPr>
      <w:r w:rsidRPr="00E90849">
        <w:rPr>
          <w:rStyle w:val="FootnoteReference"/>
          <w:szCs w:val="22"/>
        </w:rPr>
        <w:footnoteRef/>
      </w:r>
      <w:r w:rsidRPr="00E90849">
        <w:rPr>
          <w:szCs w:val="22"/>
        </w:rPr>
        <w:t xml:space="preserve"> Hayden and Villeneuve, ‘Upper Paleolithic’, p. 334.</w:t>
      </w:r>
    </w:p>
  </w:footnote>
  <w:footnote w:id="92">
    <w:p w14:paraId="6A47EE1B" w14:textId="77777777" w:rsidR="00F97C06" w:rsidRPr="00E90849" w:rsidRDefault="00F97C06" w:rsidP="00F97C06">
      <w:pPr>
        <w:pStyle w:val="FootnoteText"/>
        <w:rPr>
          <w:szCs w:val="22"/>
        </w:rPr>
      </w:pPr>
      <w:r w:rsidRPr="00E90849">
        <w:rPr>
          <w:rStyle w:val="FootnoteReference"/>
          <w:szCs w:val="22"/>
        </w:rPr>
        <w:footnoteRef/>
      </w:r>
      <w:r w:rsidRPr="00E90849">
        <w:rPr>
          <w:szCs w:val="22"/>
        </w:rPr>
        <w:t xml:space="preserve"> Travis Hudson, Georgia Lee, and Ken Hedges, ‘Solstice Observers and Observatories in Native California’, </w:t>
      </w:r>
      <w:r w:rsidRPr="00E90849">
        <w:rPr>
          <w:i/>
          <w:iCs/>
          <w:szCs w:val="22"/>
        </w:rPr>
        <w:t xml:space="preserve">Journal of California and Great Basin Anthropology, </w:t>
      </w:r>
      <w:r w:rsidRPr="00E90849">
        <w:rPr>
          <w:szCs w:val="22"/>
        </w:rPr>
        <w:t>Vol. 1, No. 1 (Summer 1979), pp.45-47.</w:t>
      </w:r>
    </w:p>
  </w:footnote>
  <w:footnote w:id="93">
    <w:p w14:paraId="64868455" w14:textId="77777777" w:rsidR="00F97C06" w:rsidRDefault="00F97C06" w:rsidP="00F97C06">
      <w:pPr>
        <w:pStyle w:val="FootnoteText"/>
      </w:pPr>
      <w:r w:rsidRPr="00E90849">
        <w:rPr>
          <w:rStyle w:val="FootnoteReference"/>
          <w:szCs w:val="22"/>
        </w:rPr>
        <w:footnoteRef/>
      </w:r>
      <w:r w:rsidRPr="00E90849">
        <w:rPr>
          <w:szCs w:val="22"/>
        </w:rPr>
        <w:t xml:space="preserve"> Cole, </w:t>
      </w:r>
      <w:r w:rsidRPr="00E90849">
        <w:rPr>
          <w:i/>
          <w:iCs/>
          <w:szCs w:val="22"/>
        </w:rPr>
        <w:t>Legacy,</w:t>
      </w:r>
      <w:r w:rsidRPr="00E90849">
        <w:rPr>
          <w:szCs w:val="22"/>
        </w:rPr>
        <w:t xml:space="preserve"> p</w:t>
      </w:r>
      <w:r>
        <w:rPr>
          <w:szCs w:val="22"/>
        </w:rPr>
        <w:t>p</w:t>
      </w:r>
      <w:r w:rsidRPr="00E90849">
        <w:rPr>
          <w:szCs w:val="22"/>
        </w:rPr>
        <w:t>.</w:t>
      </w:r>
      <w:r>
        <w:rPr>
          <w:szCs w:val="22"/>
        </w:rPr>
        <w:t xml:space="preserve"> 60,</w:t>
      </w:r>
      <w:r w:rsidRPr="00E90849">
        <w:rPr>
          <w:szCs w:val="22"/>
        </w:rPr>
        <w:t xml:space="preserve"> 66.</w:t>
      </w:r>
    </w:p>
  </w:footnote>
  <w:footnote w:id="94">
    <w:p w14:paraId="341D1EC1" w14:textId="7FD0C054" w:rsidR="00E42AAB" w:rsidRPr="00D970B1" w:rsidRDefault="00E42AAB" w:rsidP="00333575">
      <w:pPr>
        <w:autoSpaceDE w:val="0"/>
        <w:autoSpaceDN w:val="0"/>
        <w:adjustRightInd w:val="0"/>
        <w:spacing w:after="0" w:line="240" w:lineRule="auto"/>
        <w:rPr>
          <w:sz w:val="22"/>
          <w:szCs w:val="22"/>
        </w:rPr>
      </w:pPr>
      <w:r w:rsidRPr="00D970B1">
        <w:rPr>
          <w:rStyle w:val="FootnoteReference"/>
          <w:sz w:val="22"/>
          <w:szCs w:val="22"/>
        </w:rPr>
        <w:footnoteRef/>
      </w:r>
      <w:r w:rsidRPr="00D970B1">
        <w:rPr>
          <w:sz w:val="22"/>
          <w:szCs w:val="22"/>
        </w:rPr>
        <w:t xml:space="preserve"> </w:t>
      </w:r>
      <w:r w:rsidR="00372FB0" w:rsidRPr="00D970B1">
        <w:rPr>
          <w:sz w:val="22"/>
          <w:szCs w:val="22"/>
        </w:rPr>
        <w:t>J. McKim Malville, ‘Climate Change, Nomadic Pastoralism and Astronomy</w:t>
      </w:r>
      <w:r w:rsidR="001E3DE7" w:rsidRPr="00D970B1">
        <w:rPr>
          <w:sz w:val="22"/>
          <w:szCs w:val="22"/>
        </w:rPr>
        <w:t xml:space="preserve"> </w:t>
      </w:r>
      <w:r w:rsidR="00372FB0" w:rsidRPr="00D970B1">
        <w:rPr>
          <w:sz w:val="22"/>
          <w:szCs w:val="22"/>
        </w:rPr>
        <w:t>at Nabta Playa, Southern Egypt’</w:t>
      </w:r>
      <w:r w:rsidR="001E3DE7" w:rsidRPr="00D970B1">
        <w:rPr>
          <w:sz w:val="22"/>
          <w:szCs w:val="22"/>
        </w:rPr>
        <w:t xml:space="preserve">, </w:t>
      </w:r>
      <w:r w:rsidR="00652804" w:rsidRPr="00D970B1">
        <w:rPr>
          <w:sz w:val="22"/>
          <w:szCs w:val="22"/>
        </w:rPr>
        <w:t>(</w:t>
      </w:r>
      <w:r w:rsidR="001E3DE7" w:rsidRPr="00D970B1">
        <w:rPr>
          <w:sz w:val="22"/>
          <w:szCs w:val="22"/>
        </w:rPr>
        <w:t>unpublished,</w:t>
      </w:r>
      <w:r w:rsidR="00652804" w:rsidRPr="00D970B1">
        <w:rPr>
          <w:sz w:val="22"/>
          <w:szCs w:val="22"/>
        </w:rPr>
        <w:t xml:space="preserve"> </w:t>
      </w:r>
      <w:r w:rsidR="001E3DE7" w:rsidRPr="00D970B1">
        <w:rPr>
          <w:sz w:val="22"/>
          <w:szCs w:val="22"/>
        </w:rPr>
        <w:t>2011)</w:t>
      </w:r>
      <w:r w:rsidR="00844E60">
        <w:rPr>
          <w:sz w:val="22"/>
          <w:szCs w:val="22"/>
        </w:rPr>
        <w:t>.</w:t>
      </w:r>
    </w:p>
  </w:footnote>
  <w:footnote w:id="95">
    <w:p w14:paraId="68A6CA50" w14:textId="3D5EB72F" w:rsidR="00A414DC" w:rsidRDefault="00A414DC">
      <w:pPr>
        <w:pStyle w:val="FootnoteText"/>
      </w:pPr>
      <w:r>
        <w:rPr>
          <w:rStyle w:val="FootnoteReference"/>
        </w:rPr>
        <w:footnoteRef/>
      </w:r>
      <w:r>
        <w:t xml:space="preserve"> Malville, ‘Nabta Playa’, unpublished</w:t>
      </w:r>
    </w:p>
  </w:footnote>
  <w:footnote w:id="96">
    <w:p w14:paraId="6A20756F" w14:textId="77777777" w:rsidR="00F31840" w:rsidRDefault="00F31840" w:rsidP="00F31840">
      <w:pPr>
        <w:pStyle w:val="FootnoteText"/>
      </w:pPr>
      <w:r w:rsidRPr="00D970B1">
        <w:rPr>
          <w:rStyle w:val="FootnoteReference"/>
          <w:szCs w:val="22"/>
        </w:rPr>
        <w:footnoteRef/>
      </w:r>
      <w:r w:rsidRPr="00D970B1">
        <w:rPr>
          <w:szCs w:val="22"/>
        </w:rPr>
        <w:t xml:space="preserve"> Ulrich Boser, ‘Solar Circle’, </w:t>
      </w:r>
      <w:r w:rsidRPr="00D970B1">
        <w:rPr>
          <w:i/>
          <w:iCs/>
          <w:szCs w:val="22"/>
        </w:rPr>
        <w:t>Archaeology,</w:t>
      </w:r>
      <w:r w:rsidRPr="00D970B1">
        <w:rPr>
          <w:szCs w:val="22"/>
        </w:rPr>
        <w:t xml:space="preserve"> Vol. 59, No. 4 (July/August 2006), pp. 30, 32-34.</w:t>
      </w:r>
    </w:p>
  </w:footnote>
  <w:footnote w:id="97">
    <w:p w14:paraId="4FE36707" w14:textId="77777777" w:rsidR="00284E0B" w:rsidRPr="00D970B1" w:rsidRDefault="00284E0B" w:rsidP="00284E0B">
      <w:pPr>
        <w:pStyle w:val="FootnoteText"/>
        <w:rPr>
          <w:szCs w:val="22"/>
        </w:rPr>
      </w:pPr>
      <w:r w:rsidRPr="00D970B1">
        <w:rPr>
          <w:rStyle w:val="FootnoteReference"/>
          <w:szCs w:val="22"/>
        </w:rPr>
        <w:footnoteRef/>
      </w:r>
      <w:r w:rsidRPr="00D970B1">
        <w:rPr>
          <w:szCs w:val="22"/>
        </w:rPr>
        <w:t xml:space="preserve"> Ruggles, </w:t>
      </w:r>
      <w:r w:rsidRPr="00D970B1">
        <w:rPr>
          <w:i/>
          <w:iCs/>
          <w:szCs w:val="22"/>
        </w:rPr>
        <w:t xml:space="preserve">Astronomy in Prehistoric Britain, </w:t>
      </w:r>
      <w:r w:rsidRPr="00D970B1">
        <w:rPr>
          <w:szCs w:val="22"/>
        </w:rPr>
        <w:t>pp. 1-11</w:t>
      </w:r>
      <w:r>
        <w:rPr>
          <w:szCs w:val="22"/>
        </w:rPr>
        <w:t>, 44-45</w:t>
      </w:r>
      <w:r w:rsidRPr="00D970B1">
        <w:rPr>
          <w:szCs w:val="22"/>
        </w:rPr>
        <w:t>.</w:t>
      </w:r>
    </w:p>
  </w:footnote>
  <w:footnote w:id="98">
    <w:p w14:paraId="1C2566A6" w14:textId="343FF720" w:rsidR="00DF53F9" w:rsidRDefault="00DF53F9" w:rsidP="0068455A">
      <w:pPr>
        <w:pStyle w:val="FootnoteText"/>
      </w:pPr>
      <w:r>
        <w:rPr>
          <w:rStyle w:val="FootnoteReference"/>
        </w:rPr>
        <w:footnoteRef/>
      </w:r>
      <w:r>
        <w:t xml:space="preserve"> </w:t>
      </w:r>
      <w:r w:rsidR="00D970B1">
        <w:t>J. McKim Malville</w:t>
      </w:r>
      <w:r w:rsidR="00EC7C51">
        <w:t xml:space="preserve">, ‘Machu Picchu’ </w:t>
      </w:r>
      <w:r w:rsidR="00D970B1" w:rsidRPr="00187EF5">
        <w:rPr>
          <w:szCs w:val="22"/>
        </w:rPr>
        <w:t xml:space="preserve">in </w:t>
      </w:r>
      <w:r w:rsidR="00D970B1" w:rsidRPr="00187EF5">
        <w:rPr>
          <w:i/>
          <w:iCs/>
          <w:szCs w:val="22"/>
        </w:rPr>
        <w:t>Handbook of Archaeoastronomy and Ethnoastronomy</w:t>
      </w:r>
      <w:r w:rsidR="00D970B1" w:rsidRPr="00187EF5">
        <w:rPr>
          <w:szCs w:val="22"/>
        </w:rPr>
        <w:t>, ed. Clive L. N. Ruggles (New York: Springer Science+Business Media, 2015)</w:t>
      </w:r>
      <w:r w:rsidR="00EC7C51">
        <w:t xml:space="preserve">, pp. </w:t>
      </w:r>
      <w:r w:rsidR="00E43C54">
        <w:t>884-888</w:t>
      </w:r>
      <w:r w:rsidR="00EC7C51">
        <w:t xml:space="preserve">; </w:t>
      </w:r>
      <w:r w:rsidR="002748BC" w:rsidRPr="002748BC">
        <w:t>Ivan Šprajc</w:t>
      </w:r>
      <w:r w:rsidR="006C59BE">
        <w:t xml:space="preserve">, ‘Astronomical Alignments at the Templo Mayor of Tenochtitlan, Mexico’ in </w:t>
      </w:r>
      <w:r w:rsidR="006C59BE" w:rsidRPr="00EC7C51">
        <w:rPr>
          <w:i/>
          <w:iCs/>
        </w:rPr>
        <w:t>Foundations of New World Cultural Astronomy: A Reader with Commentary</w:t>
      </w:r>
      <w:r w:rsidR="006C59BE">
        <w:t xml:space="preserve">, ed. Anthony Aveni (Boulder: University Press of Colorado, 2008), pp. 273-303; </w:t>
      </w:r>
      <w:r>
        <w:t xml:space="preserve">Alonso Mendez, Edwin L. Barnhart, Christopher Powell, and Carol Karasik, ‘Astronomical Observations from the Temple of the Sun’ in </w:t>
      </w:r>
      <w:r w:rsidR="00477B3F" w:rsidRPr="00EC7C51">
        <w:rPr>
          <w:i/>
          <w:iCs/>
        </w:rPr>
        <w:t>Foundations of New World Cultural Astronomy: A Reader with Commentary</w:t>
      </w:r>
      <w:r w:rsidR="00477B3F">
        <w:t>, ed.</w:t>
      </w:r>
      <w:r w:rsidR="00B01306">
        <w:t xml:space="preserve"> by</w:t>
      </w:r>
      <w:r w:rsidR="00477B3F">
        <w:t xml:space="preserve"> Anthony Aveni (Boulder: University Press of Colorado, 2008), pp. 305-346; J. McKim Malville, </w:t>
      </w:r>
      <w:r w:rsidR="00477B3F" w:rsidRPr="00FC3592">
        <w:rPr>
          <w:i/>
          <w:iCs/>
        </w:rPr>
        <w:t>Guide to Prehistoric Astronomy in the Southwest, Revised and Updated</w:t>
      </w:r>
      <w:r w:rsidR="00477B3F">
        <w:t xml:space="preserve"> (Boulder: Johnson Books, 2008), pp.</w:t>
      </w:r>
      <w:r w:rsidR="00EC7C51">
        <w:t xml:space="preserve"> 49-79.</w:t>
      </w:r>
    </w:p>
  </w:footnote>
  <w:footnote w:id="99">
    <w:p w14:paraId="5D3DBBCB" w14:textId="343C8C44" w:rsidR="007A1CD8" w:rsidRDefault="007A1CD8">
      <w:pPr>
        <w:pStyle w:val="FootnoteText"/>
      </w:pPr>
      <w:r>
        <w:rPr>
          <w:rStyle w:val="FootnoteReference"/>
        </w:rPr>
        <w:footnoteRef/>
      </w:r>
      <w:r>
        <w:t xml:space="preserve"> V. G. Childe, ‘The Birth of Civilisation’ </w:t>
      </w:r>
      <w:r w:rsidRPr="007A1CD8">
        <w:rPr>
          <w:i/>
          <w:iCs/>
        </w:rPr>
        <w:t>Past &amp; Present</w:t>
      </w:r>
      <w:r>
        <w:t>, No. 2 (Nov. 1952), pp. 1-10.</w:t>
      </w:r>
    </w:p>
  </w:footnote>
  <w:footnote w:id="100">
    <w:p w14:paraId="7202AA9C" w14:textId="7D7F12C2" w:rsidR="00F01E72" w:rsidRPr="00E43C54" w:rsidRDefault="00F01E72" w:rsidP="002748BC">
      <w:pPr>
        <w:pStyle w:val="Default"/>
        <w:rPr>
          <w:rFonts w:asciiTheme="minorHAnsi" w:hAnsiTheme="minorHAnsi" w:cstheme="minorHAnsi"/>
          <w:sz w:val="22"/>
          <w:szCs w:val="22"/>
        </w:rPr>
      </w:pPr>
      <w:r w:rsidRPr="00E43C54">
        <w:rPr>
          <w:rStyle w:val="FootnoteReference"/>
          <w:rFonts w:asciiTheme="minorHAnsi" w:hAnsiTheme="minorHAnsi" w:cstheme="minorHAnsi"/>
          <w:sz w:val="22"/>
          <w:szCs w:val="22"/>
        </w:rPr>
        <w:footnoteRef/>
      </w:r>
      <w:r w:rsidRPr="00E43C54">
        <w:rPr>
          <w:rFonts w:asciiTheme="minorHAnsi" w:hAnsiTheme="minorHAnsi" w:cstheme="minorHAnsi"/>
          <w:sz w:val="22"/>
          <w:szCs w:val="22"/>
        </w:rPr>
        <w:t xml:space="preserve"> Ronald F. Faulseit, ‘Mountain of Sustenance: Site Organization at Dainzú-Macuilxóchitl and Mesoamerican Concepts of Space and Time</w:t>
      </w:r>
      <w:r w:rsidRPr="00E43C54">
        <w:rPr>
          <w:rFonts w:asciiTheme="minorHAnsi" w:hAnsiTheme="minorHAnsi" w:cstheme="minorHAnsi"/>
          <w:i/>
          <w:iCs/>
          <w:sz w:val="22"/>
          <w:szCs w:val="22"/>
        </w:rPr>
        <w:t xml:space="preserve">’ </w:t>
      </w:r>
      <w:r w:rsidRPr="00E43C54">
        <w:rPr>
          <w:rFonts w:asciiTheme="minorHAnsi" w:hAnsiTheme="minorHAnsi" w:cstheme="minorHAnsi"/>
          <w:sz w:val="22"/>
          <w:szCs w:val="22"/>
        </w:rPr>
        <w:t>in</w:t>
      </w:r>
      <w:r w:rsidRPr="00E43C54">
        <w:rPr>
          <w:rFonts w:asciiTheme="minorHAnsi" w:hAnsiTheme="minorHAnsi" w:cstheme="minorHAnsi"/>
          <w:i/>
          <w:iCs/>
          <w:sz w:val="22"/>
          <w:szCs w:val="22"/>
        </w:rPr>
        <w:t xml:space="preserve"> Cosmology, Calendars, and Horizon-Based Astronomy in Ancient Mesoamerica</w:t>
      </w:r>
      <w:r w:rsidR="00FD4FA6" w:rsidRPr="00E43C54">
        <w:rPr>
          <w:rFonts w:asciiTheme="minorHAnsi" w:hAnsiTheme="minorHAnsi" w:cstheme="minorHAnsi"/>
          <w:i/>
          <w:iCs/>
          <w:sz w:val="22"/>
          <w:szCs w:val="22"/>
        </w:rPr>
        <w:t xml:space="preserve">, </w:t>
      </w:r>
      <w:r w:rsidR="00FD4FA6" w:rsidRPr="00E43C54">
        <w:rPr>
          <w:rFonts w:asciiTheme="minorHAnsi" w:hAnsiTheme="minorHAnsi" w:cstheme="minorHAnsi"/>
          <w:sz w:val="22"/>
          <w:szCs w:val="22"/>
        </w:rPr>
        <w:t>eds.</w:t>
      </w:r>
      <w:r w:rsidRPr="00E43C54">
        <w:rPr>
          <w:rFonts w:asciiTheme="minorHAnsi" w:hAnsiTheme="minorHAnsi" w:cstheme="minorHAnsi"/>
          <w:sz w:val="22"/>
          <w:szCs w:val="22"/>
        </w:rPr>
        <w:t xml:space="preserve"> </w:t>
      </w:r>
      <w:r w:rsidR="00FD4FA6" w:rsidRPr="00E43C54">
        <w:rPr>
          <w:rFonts w:asciiTheme="minorHAnsi" w:hAnsiTheme="minorHAnsi" w:cstheme="minorHAnsi"/>
          <w:sz w:val="22"/>
          <w:szCs w:val="22"/>
        </w:rPr>
        <w:t xml:space="preserve">Anne S. Dowd and Susan Milbrath (Boulder, University Press of Colorado, 2015), </w:t>
      </w:r>
      <w:r w:rsidRPr="00E43C54">
        <w:rPr>
          <w:rFonts w:asciiTheme="minorHAnsi" w:hAnsiTheme="minorHAnsi" w:cstheme="minorHAnsi"/>
          <w:sz w:val="22"/>
          <w:szCs w:val="22"/>
        </w:rPr>
        <w:t>p. 88</w:t>
      </w:r>
      <w:r w:rsidR="002748BC" w:rsidRPr="00E43C54">
        <w:rPr>
          <w:rFonts w:asciiTheme="minorHAnsi" w:hAnsiTheme="minorHAnsi" w:cstheme="minorHAnsi"/>
          <w:sz w:val="22"/>
          <w:szCs w:val="22"/>
        </w:rPr>
        <w:t xml:space="preserve">; Ivan Šprajc, ‘Astronomy, Architecture, and Landscape in Prehispanic Mesoamerica’, </w:t>
      </w:r>
      <w:r w:rsidR="002748BC" w:rsidRPr="00E43C54">
        <w:rPr>
          <w:rFonts w:asciiTheme="minorHAnsi" w:hAnsiTheme="minorHAnsi" w:cstheme="minorHAnsi"/>
          <w:i/>
          <w:iCs/>
          <w:sz w:val="22"/>
          <w:szCs w:val="22"/>
        </w:rPr>
        <w:t>Journal of Archaeological Research</w:t>
      </w:r>
      <w:r w:rsidR="002748BC" w:rsidRPr="00E43C54">
        <w:rPr>
          <w:rFonts w:asciiTheme="minorHAnsi" w:hAnsiTheme="minorHAnsi" w:cstheme="minorHAnsi"/>
          <w:sz w:val="22"/>
          <w:szCs w:val="22"/>
        </w:rPr>
        <w:t>, Vol. 26, No. 2 (June</w:t>
      </w:r>
      <w:r w:rsidR="00745A7B" w:rsidRPr="00E43C54">
        <w:rPr>
          <w:rFonts w:asciiTheme="minorHAnsi" w:hAnsiTheme="minorHAnsi" w:cstheme="minorHAnsi"/>
          <w:sz w:val="22"/>
          <w:szCs w:val="22"/>
        </w:rPr>
        <w:t xml:space="preserve"> </w:t>
      </w:r>
      <w:r w:rsidR="002748BC" w:rsidRPr="00E43C54">
        <w:rPr>
          <w:rFonts w:asciiTheme="minorHAnsi" w:hAnsiTheme="minorHAnsi" w:cstheme="minorHAnsi"/>
          <w:sz w:val="22"/>
          <w:szCs w:val="22"/>
        </w:rPr>
        <w:t>2018), p. 197</w:t>
      </w:r>
      <w:r w:rsidR="00304C39" w:rsidRPr="00E43C54">
        <w:rPr>
          <w:rFonts w:asciiTheme="minorHAnsi" w:hAnsiTheme="minorHAnsi" w:cstheme="minorHAnsi"/>
          <w:sz w:val="22"/>
          <w:szCs w:val="22"/>
        </w:rPr>
        <w:t>.</w:t>
      </w:r>
    </w:p>
  </w:footnote>
  <w:footnote w:id="101">
    <w:p w14:paraId="5733DE31" w14:textId="6A148A72" w:rsidR="00FD4FA6" w:rsidRPr="002748BC" w:rsidRDefault="00FD4FA6" w:rsidP="0068455A">
      <w:pPr>
        <w:pStyle w:val="FootnoteText"/>
        <w:rPr>
          <w:i/>
          <w:iCs/>
        </w:rPr>
      </w:pPr>
      <w:r w:rsidRPr="002748BC">
        <w:rPr>
          <w:rStyle w:val="FootnoteReference"/>
        </w:rPr>
        <w:footnoteRef/>
      </w:r>
      <w:r w:rsidRPr="002748BC">
        <w:t xml:space="preserve"> </w:t>
      </w:r>
      <w:r w:rsidR="002748BC" w:rsidRPr="002748BC">
        <w:t>Šprajc,</w:t>
      </w:r>
      <w:r w:rsidR="002748BC">
        <w:t xml:space="preserve"> </w:t>
      </w:r>
      <w:r w:rsidR="002748BC">
        <w:rPr>
          <w:i/>
          <w:iCs/>
        </w:rPr>
        <w:t xml:space="preserve">Cosmology, </w:t>
      </w:r>
      <w:r w:rsidR="002748BC" w:rsidRPr="002748BC">
        <w:t>p. 197</w:t>
      </w:r>
      <w:r w:rsidR="00477193">
        <w:t>.</w:t>
      </w:r>
    </w:p>
  </w:footnote>
  <w:footnote w:id="102">
    <w:p w14:paraId="7AF9CF37" w14:textId="2E192A35" w:rsidR="00077043" w:rsidRPr="00665269" w:rsidRDefault="00077043" w:rsidP="0068455A">
      <w:pPr>
        <w:pStyle w:val="FootnoteText"/>
      </w:pPr>
      <w:r>
        <w:rPr>
          <w:rStyle w:val="FootnoteReference"/>
        </w:rPr>
        <w:footnoteRef/>
      </w:r>
      <w:r>
        <w:t xml:space="preserve"> Barbers, </w:t>
      </w:r>
      <w:r>
        <w:rPr>
          <w:i/>
          <w:iCs/>
        </w:rPr>
        <w:t>Severed</w:t>
      </w:r>
      <w:r w:rsidR="00665269">
        <w:rPr>
          <w:i/>
          <w:iCs/>
        </w:rPr>
        <w:t xml:space="preserve"> Earth,</w:t>
      </w:r>
      <w:r w:rsidR="00665269">
        <w:t xml:space="preserve"> p. 179</w:t>
      </w:r>
      <w:r w:rsidR="00304C39">
        <w:t>.</w:t>
      </w:r>
    </w:p>
  </w:footnote>
  <w:footnote w:id="103">
    <w:p w14:paraId="76877F40" w14:textId="77777777" w:rsidR="001B0A0F" w:rsidRPr="004047DD" w:rsidRDefault="001B0A0F" w:rsidP="0068455A">
      <w:pPr>
        <w:pStyle w:val="FootnoteText"/>
      </w:pPr>
      <w:r>
        <w:rPr>
          <w:rStyle w:val="FootnoteReference"/>
        </w:rPr>
        <w:footnoteRef/>
      </w:r>
      <w:r>
        <w:t xml:space="preserve"> M. Jane Young, </w:t>
      </w:r>
      <w:r>
        <w:rPr>
          <w:i/>
          <w:iCs/>
        </w:rPr>
        <w:t xml:space="preserve">Signs from the Zuni Cultural Symbolism and Perceptions of Rock Art </w:t>
      </w:r>
      <w:r>
        <w:t>(Albuquerque: University of New Mexico Press, 1988), p. 95.</w:t>
      </w:r>
    </w:p>
  </w:footnote>
  <w:footnote w:id="104">
    <w:p w14:paraId="30DBA3CA" w14:textId="0EFF94BD" w:rsidR="002104B1" w:rsidRPr="00304C39" w:rsidRDefault="002104B1" w:rsidP="0068455A">
      <w:pPr>
        <w:pStyle w:val="FootnoteText"/>
      </w:pPr>
      <w:r>
        <w:rPr>
          <w:rStyle w:val="FootnoteReference"/>
        </w:rPr>
        <w:footnoteRef/>
      </w:r>
      <w:r>
        <w:t xml:space="preserve"> </w:t>
      </w:r>
      <w:r w:rsidR="00304C39" w:rsidRPr="00304C39">
        <w:t>Lewis R. Binford</w:t>
      </w:r>
      <w:r w:rsidR="00304C39">
        <w:t>,</w:t>
      </w:r>
      <w:r w:rsidR="00304C39" w:rsidRPr="00304C39">
        <w:t xml:space="preserve"> </w:t>
      </w:r>
      <w:r w:rsidR="00304C39">
        <w:t>‘</w:t>
      </w:r>
      <w:r w:rsidR="00304C39" w:rsidRPr="00304C39">
        <w:t>Mobility, Housing, and Environment: A Comparative Study</w:t>
      </w:r>
      <w:r w:rsidR="00304C39">
        <w:t xml:space="preserve">’, </w:t>
      </w:r>
      <w:r w:rsidR="00304C39" w:rsidRPr="00304C39">
        <w:rPr>
          <w:i/>
          <w:iCs/>
        </w:rPr>
        <w:t>Journal of Anthropological Research</w:t>
      </w:r>
      <w:r w:rsidR="00304C39" w:rsidRPr="00304C39">
        <w:t xml:space="preserve">, Vol. 46, No. 2 (Summer, 1990), </w:t>
      </w:r>
      <w:r w:rsidR="00304C39">
        <w:t>p. 119.</w:t>
      </w:r>
    </w:p>
  </w:footnote>
  <w:footnote w:id="105">
    <w:p w14:paraId="00F2C646" w14:textId="38713414" w:rsidR="00196C65" w:rsidRDefault="00196C65" w:rsidP="0068455A">
      <w:pPr>
        <w:pStyle w:val="FootnoteText"/>
      </w:pPr>
      <w:r>
        <w:rPr>
          <w:rStyle w:val="FootnoteReference"/>
        </w:rPr>
        <w:footnoteRef/>
      </w:r>
      <w:r>
        <w:t xml:space="preserve"> </w:t>
      </w:r>
      <w:r w:rsidR="00745A7B">
        <w:t xml:space="preserve">Smiley, </w:t>
      </w:r>
      <w:r w:rsidR="00745A7B">
        <w:rPr>
          <w:i/>
          <w:iCs/>
        </w:rPr>
        <w:t>Kayenta,</w:t>
      </w:r>
      <w:r w:rsidR="00745A7B">
        <w:t xml:space="preserve"> </w:t>
      </w:r>
      <w:r w:rsidR="009F4C58">
        <w:t>p. 40.</w:t>
      </w:r>
    </w:p>
  </w:footnote>
  <w:footnote w:id="106">
    <w:p w14:paraId="74542C32" w14:textId="588E280F" w:rsidR="009F4C58" w:rsidRDefault="009F4C58" w:rsidP="0068455A">
      <w:pPr>
        <w:pStyle w:val="FootnoteText"/>
      </w:pPr>
      <w:r>
        <w:rPr>
          <w:rStyle w:val="FootnoteReference"/>
        </w:rPr>
        <w:footnoteRef/>
      </w:r>
      <w:r>
        <w:t xml:space="preserve"> Smiley, </w:t>
      </w:r>
      <w:r>
        <w:rPr>
          <w:i/>
          <w:iCs/>
        </w:rPr>
        <w:t>Kayenta,</w:t>
      </w:r>
      <w:r>
        <w:t xml:space="preserve"> pp. 37-48.</w:t>
      </w:r>
    </w:p>
  </w:footnote>
  <w:footnote w:id="107">
    <w:p w14:paraId="50206A13" w14:textId="251914A5" w:rsidR="00B32560" w:rsidRPr="00B32560" w:rsidRDefault="00B32560">
      <w:pPr>
        <w:pStyle w:val="FootnoteText"/>
      </w:pPr>
      <w:r>
        <w:rPr>
          <w:rStyle w:val="FootnoteReference"/>
        </w:rPr>
        <w:footnoteRef/>
      </w:r>
      <w:r>
        <w:t xml:space="preserve"> Robert F. Heizer and Albert B. Elsasser, </w:t>
      </w:r>
      <w:r>
        <w:rPr>
          <w:i/>
          <w:iCs/>
        </w:rPr>
        <w:t xml:space="preserve">The Natural World of the California Indians </w:t>
      </w:r>
      <w:r>
        <w:t>(Berkley, Los Angeles, London: University of California Press, 1980)</w:t>
      </w:r>
      <w:r w:rsidR="00CF5849">
        <w:t>,</w:t>
      </w:r>
      <w:r>
        <w:t xml:space="preserve"> p. 74.</w:t>
      </w:r>
    </w:p>
  </w:footnote>
  <w:footnote w:id="108">
    <w:p w14:paraId="49398D99" w14:textId="078B9966" w:rsidR="00605FE6" w:rsidRPr="00823EF6" w:rsidRDefault="00605FE6" w:rsidP="0068455A">
      <w:pPr>
        <w:pStyle w:val="FootnoteText"/>
        <w:rPr>
          <w:i/>
          <w:iCs/>
        </w:rPr>
      </w:pPr>
      <w:r>
        <w:rPr>
          <w:rStyle w:val="FootnoteReference"/>
        </w:rPr>
        <w:footnoteRef/>
      </w:r>
      <w:r>
        <w:t xml:space="preserve"> Hunt, </w:t>
      </w:r>
      <w:r w:rsidRPr="00B90B83">
        <w:rPr>
          <w:i/>
          <w:iCs/>
        </w:rPr>
        <w:t>La Sal Mountains</w:t>
      </w:r>
      <w:r w:rsidRPr="00293688">
        <w:t>, p</w:t>
      </w:r>
      <w:r w:rsidR="00230DEB">
        <w:t>p</w:t>
      </w:r>
      <w:r w:rsidRPr="00293688">
        <w:t xml:space="preserve">. </w:t>
      </w:r>
      <w:r w:rsidR="00230DEB">
        <w:t>1-21</w:t>
      </w:r>
      <w:r w:rsidRPr="00293688">
        <w:t>;</w:t>
      </w:r>
      <w:r>
        <w:t xml:space="preserve"> Black, </w:t>
      </w:r>
      <w:r>
        <w:rPr>
          <w:i/>
          <w:iCs/>
        </w:rPr>
        <w:t xml:space="preserve">Lisbon Valley, </w:t>
      </w:r>
      <w:r>
        <w:t>pp.</w:t>
      </w:r>
      <w:r w:rsidR="00823EF6">
        <w:t xml:space="preserve"> 28-31, 88-110; Pierson, </w:t>
      </w:r>
      <w:r w:rsidR="00823EF6">
        <w:rPr>
          <w:i/>
          <w:iCs/>
        </w:rPr>
        <w:t xml:space="preserve">East Central, </w:t>
      </w:r>
      <w:r w:rsidR="00823EF6" w:rsidRPr="00D07CC2">
        <w:t>pp.</w:t>
      </w:r>
      <w:r w:rsidR="00D07CC2" w:rsidRPr="00D07CC2">
        <w:t xml:space="preserve"> 22-44.</w:t>
      </w:r>
    </w:p>
  </w:footnote>
  <w:footnote w:id="109">
    <w:p w14:paraId="48ADC9E9" w14:textId="4BD8B221" w:rsidR="00016156" w:rsidRDefault="00016156">
      <w:pPr>
        <w:pStyle w:val="FootnoteText"/>
      </w:pPr>
      <w:r>
        <w:rPr>
          <w:rStyle w:val="FootnoteReference"/>
        </w:rPr>
        <w:footnoteRef/>
      </w:r>
      <w:r>
        <w:t xml:space="preserve"> Stuart, </w:t>
      </w:r>
      <w:r w:rsidRPr="00016156">
        <w:rPr>
          <w:i/>
          <w:iCs/>
        </w:rPr>
        <w:t>Anasazi America</w:t>
      </w:r>
      <w:r>
        <w:t>, p. 9.</w:t>
      </w:r>
    </w:p>
  </w:footnote>
  <w:footnote w:id="110">
    <w:p w14:paraId="5B51FCBD" w14:textId="3B66132B" w:rsidR="00274E02" w:rsidRPr="003805BC" w:rsidRDefault="00274E02" w:rsidP="00274E02">
      <w:pPr>
        <w:pStyle w:val="Default"/>
        <w:rPr>
          <w:rFonts w:asciiTheme="minorHAnsi" w:hAnsiTheme="minorHAnsi" w:cstheme="minorHAnsi"/>
          <w:sz w:val="22"/>
          <w:szCs w:val="22"/>
        </w:rPr>
      </w:pPr>
      <w:r w:rsidRPr="003805BC">
        <w:rPr>
          <w:rStyle w:val="FootnoteReference"/>
          <w:rFonts w:asciiTheme="minorHAnsi" w:hAnsiTheme="minorHAnsi" w:cstheme="minorHAnsi"/>
          <w:sz w:val="22"/>
          <w:szCs w:val="22"/>
        </w:rPr>
        <w:footnoteRef/>
      </w:r>
      <w:r w:rsidRPr="003805BC">
        <w:rPr>
          <w:rFonts w:asciiTheme="minorHAnsi" w:hAnsiTheme="minorHAnsi" w:cstheme="minorHAnsi"/>
          <w:sz w:val="22"/>
          <w:szCs w:val="22"/>
        </w:rPr>
        <w:t xml:space="preserve"> Šprajc, ‘Astronomy</w:t>
      </w:r>
      <w:r w:rsidR="00683DB3" w:rsidRPr="003805BC">
        <w:rPr>
          <w:rFonts w:asciiTheme="minorHAnsi" w:hAnsiTheme="minorHAnsi" w:cstheme="minorHAnsi"/>
          <w:sz w:val="22"/>
          <w:szCs w:val="22"/>
        </w:rPr>
        <w:t>’, p. 227</w:t>
      </w:r>
      <w:r w:rsidR="00C17207">
        <w:rPr>
          <w:rFonts w:asciiTheme="minorHAnsi" w:hAnsiTheme="minorHAnsi" w:cstheme="minorHAnsi"/>
          <w:sz w:val="22"/>
          <w:szCs w:val="22"/>
        </w:rPr>
        <w:t>.</w:t>
      </w:r>
    </w:p>
  </w:footnote>
  <w:footnote w:id="111">
    <w:p w14:paraId="777CB18B" w14:textId="0A30535A" w:rsidR="00E81307" w:rsidRPr="003805BC" w:rsidRDefault="00E81307" w:rsidP="0068455A">
      <w:pPr>
        <w:pStyle w:val="FootnoteText"/>
        <w:rPr>
          <w:szCs w:val="22"/>
        </w:rPr>
      </w:pPr>
      <w:r w:rsidRPr="003805BC">
        <w:rPr>
          <w:rStyle w:val="FootnoteReference"/>
          <w:szCs w:val="22"/>
        </w:rPr>
        <w:footnoteRef/>
      </w:r>
      <w:r w:rsidRPr="003805BC">
        <w:rPr>
          <w:szCs w:val="22"/>
        </w:rPr>
        <w:t xml:space="preserve"> </w:t>
      </w:r>
      <w:bookmarkStart w:id="51" w:name="_Hlk97541490"/>
      <w:r w:rsidRPr="003805BC">
        <w:rPr>
          <w:szCs w:val="22"/>
        </w:rPr>
        <w:t xml:space="preserve">Florence Hawley Ellis, ‘A Thousand Years of the Pueblo Sun-Moon-Star Calendar’ in </w:t>
      </w:r>
      <w:r w:rsidRPr="003805BC">
        <w:rPr>
          <w:i/>
          <w:iCs/>
          <w:szCs w:val="22"/>
        </w:rPr>
        <w:t>Foundations of New World Cultural Astronomy: A Reader with Commentary</w:t>
      </w:r>
      <w:r w:rsidRPr="003805BC">
        <w:rPr>
          <w:szCs w:val="22"/>
        </w:rPr>
        <w:t>, ed.</w:t>
      </w:r>
      <w:r w:rsidR="00093B6A" w:rsidRPr="003805BC">
        <w:rPr>
          <w:szCs w:val="22"/>
        </w:rPr>
        <w:t xml:space="preserve"> by</w:t>
      </w:r>
      <w:r w:rsidRPr="003805BC">
        <w:rPr>
          <w:szCs w:val="22"/>
        </w:rPr>
        <w:t xml:space="preserve"> Anthony Aveni (Boulder: University Press of Colorado, 2008), pp. 650, 660-664.</w:t>
      </w:r>
    </w:p>
    <w:bookmarkEnd w:id="51"/>
  </w:footnote>
  <w:footnote w:id="112">
    <w:p w14:paraId="05B42347" w14:textId="77777777" w:rsidR="00E81307" w:rsidRPr="003805BC" w:rsidRDefault="00E81307" w:rsidP="0068455A">
      <w:pPr>
        <w:pStyle w:val="FootnoteText"/>
        <w:rPr>
          <w:szCs w:val="22"/>
        </w:rPr>
      </w:pPr>
      <w:r w:rsidRPr="003805BC">
        <w:rPr>
          <w:rStyle w:val="FootnoteReference"/>
          <w:szCs w:val="22"/>
        </w:rPr>
        <w:footnoteRef/>
      </w:r>
      <w:r w:rsidRPr="003805BC">
        <w:rPr>
          <w:szCs w:val="22"/>
        </w:rPr>
        <w:t xml:space="preserve"> Šprajc, ‘Astronomy’, p. 218.</w:t>
      </w:r>
    </w:p>
  </w:footnote>
  <w:footnote w:id="113">
    <w:p w14:paraId="6AB9FEFB" w14:textId="1FCBD836" w:rsidR="00E81307" w:rsidRDefault="00E81307" w:rsidP="0068455A">
      <w:pPr>
        <w:pStyle w:val="FootnoteText"/>
      </w:pPr>
      <w:r w:rsidRPr="003805BC">
        <w:rPr>
          <w:rStyle w:val="FootnoteReference"/>
          <w:szCs w:val="22"/>
        </w:rPr>
        <w:footnoteRef/>
      </w:r>
      <w:r w:rsidRPr="003805BC">
        <w:rPr>
          <w:szCs w:val="22"/>
        </w:rPr>
        <w:t xml:space="preserve"> Ellis, </w:t>
      </w:r>
      <w:r w:rsidR="00FC3592" w:rsidRPr="003805BC">
        <w:rPr>
          <w:szCs w:val="22"/>
        </w:rPr>
        <w:t>‘</w:t>
      </w:r>
      <w:r w:rsidRPr="003805BC">
        <w:rPr>
          <w:szCs w:val="22"/>
        </w:rPr>
        <w:t>Pueblo</w:t>
      </w:r>
      <w:r w:rsidR="00FC3592" w:rsidRPr="003805BC">
        <w:rPr>
          <w:szCs w:val="22"/>
        </w:rPr>
        <w:t>’</w:t>
      </w:r>
      <w:r w:rsidRPr="003805BC">
        <w:rPr>
          <w:szCs w:val="22"/>
        </w:rPr>
        <w:t>, p. 663</w:t>
      </w:r>
      <w:r w:rsidR="006E0D93" w:rsidRPr="003805BC">
        <w:rPr>
          <w:szCs w:val="22"/>
        </w:rPr>
        <w:t>.</w:t>
      </w:r>
    </w:p>
  </w:footnote>
  <w:footnote w:id="114">
    <w:p w14:paraId="0D897E35" w14:textId="77777777" w:rsidR="00C43F32" w:rsidRPr="00425C5C" w:rsidRDefault="00C43F32" w:rsidP="00C43F32">
      <w:pPr>
        <w:pStyle w:val="FootnoteText"/>
      </w:pPr>
      <w:r>
        <w:rPr>
          <w:rStyle w:val="FootnoteReference"/>
        </w:rPr>
        <w:footnoteRef/>
      </w:r>
      <w:r>
        <w:t xml:space="preserve"> Smiley, </w:t>
      </w:r>
      <w:r>
        <w:rPr>
          <w:i/>
          <w:iCs/>
        </w:rPr>
        <w:t>Kayenta,</w:t>
      </w:r>
      <w:r>
        <w:t xml:space="preserve"> pp. 46-47.</w:t>
      </w:r>
    </w:p>
  </w:footnote>
  <w:footnote w:id="115">
    <w:p w14:paraId="7C77D91E" w14:textId="0CA4D59B" w:rsidR="00E81307" w:rsidRPr="0084435B" w:rsidRDefault="00E81307" w:rsidP="0068455A">
      <w:pPr>
        <w:pStyle w:val="FootnoteText"/>
      </w:pPr>
      <w:r>
        <w:rPr>
          <w:rStyle w:val="FootnoteReference"/>
        </w:rPr>
        <w:footnoteRef/>
      </w:r>
      <w:r>
        <w:t xml:space="preserve"> </w:t>
      </w:r>
      <w:r w:rsidR="006E0D93">
        <w:t xml:space="preserve">Smiley, </w:t>
      </w:r>
      <w:r w:rsidR="006E0D93">
        <w:rPr>
          <w:i/>
          <w:iCs/>
        </w:rPr>
        <w:t>Kayenta,</w:t>
      </w:r>
      <w:r w:rsidR="006E0D93">
        <w:t xml:space="preserve"> pp. 46-47.</w:t>
      </w:r>
    </w:p>
  </w:footnote>
  <w:footnote w:id="116">
    <w:p w14:paraId="3E1D6153" w14:textId="77777777" w:rsidR="00812512" w:rsidRPr="00C17207" w:rsidRDefault="00812512" w:rsidP="00812512">
      <w:pPr>
        <w:pStyle w:val="Default"/>
        <w:rPr>
          <w:rFonts w:asciiTheme="minorHAnsi" w:hAnsiTheme="minorHAnsi" w:cstheme="minorHAnsi"/>
          <w:sz w:val="22"/>
          <w:szCs w:val="22"/>
        </w:rPr>
      </w:pPr>
      <w:r w:rsidRPr="00C17207">
        <w:rPr>
          <w:rStyle w:val="FootnoteReference"/>
          <w:rFonts w:asciiTheme="minorHAnsi" w:hAnsiTheme="minorHAnsi" w:cstheme="minorHAnsi"/>
          <w:sz w:val="22"/>
          <w:szCs w:val="22"/>
        </w:rPr>
        <w:footnoteRef/>
      </w:r>
      <w:r w:rsidRPr="00C17207">
        <w:rPr>
          <w:rFonts w:asciiTheme="minorHAnsi" w:hAnsiTheme="minorHAnsi" w:cstheme="minorHAnsi"/>
          <w:sz w:val="22"/>
          <w:szCs w:val="22"/>
        </w:rPr>
        <w:t xml:space="preserve"> Todd W. Bostwick, ‘Saluting the Sun: A Hohokam Calendar’, in </w:t>
      </w:r>
      <w:r w:rsidRPr="00C17207">
        <w:rPr>
          <w:rFonts w:asciiTheme="minorHAnsi" w:hAnsiTheme="minorHAnsi" w:cstheme="minorHAnsi"/>
          <w:i/>
          <w:iCs/>
          <w:sz w:val="22"/>
          <w:szCs w:val="22"/>
        </w:rPr>
        <w:t>Landscape of the Spirits: Hohokam Rock Art at South Mountain Park</w:t>
      </w:r>
      <w:r w:rsidRPr="00C17207">
        <w:rPr>
          <w:rFonts w:asciiTheme="minorHAnsi" w:hAnsiTheme="minorHAnsi" w:cstheme="minorHAnsi"/>
          <w:sz w:val="22"/>
          <w:szCs w:val="22"/>
        </w:rPr>
        <w:t xml:space="preserve"> (Tucson: University of Arizona Press, 2002), p. 32.</w:t>
      </w:r>
    </w:p>
  </w:footnote>
  <w:footnote w:id="117">
    <w:p w14:paraId="1ED96B2D" w14:textId="77777777" w:rsidR="00B823C8" w:rsidRDefault="00B823C8" w:rsidP="0068455A">
      <w:pPr>
        <w:pStyle w:val="FootnoteText"/>
      </w:pPr>
      <w:r>
        <w:rPr>
          <w:rStyle w:val="FootnoteReference"/>
        </w:rPr>
        <w:footnoteRef/>
      </w:r>
      <w:r>
        <w:t xml:space="preserve"> Malville, </w:t>
      </w:r>
      <w:r w:rsidRPr="00E23C02">
        <w:rPr>
          <w:i/>
          <w:iCs/>
        </w:rPr>
        <w:t>Prehistoric Astronomy of the Southwest</w:t>
      </w:r>
      <w:r>
        <w:t>, pp. 49-</w:t>
      </w:r>
      <w:r w:rsidRPr="00EA2C01">
        <w:t>64; Dennis Doxtater</w:t>
      </w:r>
      <w:r>
        <w:t>,</w:t>
      </w:r>
      <w:r w:rsidRPr="00EA2C01">
        <w:t xml:space="preserve"> </w:t>
      </w:r>
      <w:r>
        <w:t>‘</w:t>
      </w:r>
      <w:r w:rsidRPr="00EA2C01">
        <w:t>A Hypothetical Layout of Chaco Canyon Structures via Large-Scale Alignments between Significant Natural Features</w:t>
      </w:r>
      <w:r>
        <w:t xml:space="preserve">’, </w:t>
      </w:r>
      <w:r w:rsidRPr="00EA2C01">
        <w:rPr>
          <w:i/>
          <w:iCs/>
        </w:rPr>
        <w:t>Kiva</w:t>
      </w:r>
      <w:r w:rsidRPr="00EA2C01">
        <w:t>, Vol. 68, No. 1 (Fall, 2002), pp. 23-47</w:t>
      </w:r>
      <w:r>
        <w:t>.</w:t>
      </w:r>
    </w:p>
  </w:footnote>
  <w:footnote w:id="118">
    <w:p w14:paraId="15F15DF0" w14:textId="1A013D63" w:rsidR="00B823C8" w:rsidRPr="00E46658" w:rsidRDefault="00B823C8" w:rsidP="006439F4">
      <w:pPr>
        <w:pStyle w:val="FootnoteText"/>
        <w:rPr>
          <w:szCs w:val="22"/>
        </w:rPr>
      </w:pPr>
      <w:r w:rsidRPr="00E46658">
        <w:rPr>
          <w:rStyle w:val="FootnoteReference"/>
          <w:szCs w:val="22"/>
        </w:rPr>
        <w:footnoteRef/>
      </w:r>
      <w:r w:rsidRPr="00E46658">
        <w:rPr>
          <w:szCs w:val="22"/>
        </w:rPr>
        <w:t xml:space="preserve"> J. </w:t>
      </w:r>
      <w:r w:rsidR="002232E0" w:rsidRPr="00E46658">
        <w:rPr>
          <w:szCs w:val="22"/>
        </w:rPr>
        <w:t>M</w:t>
      </w:r>
      <w:r w:rsidRPr="00E46658">
        <w:rPr>
          <w:szCs w:val="22"/>
        </w:rPr>
        <w:t xml:space="preserve">cKim Malville, ‘Entangling the Cosmos: Astronomy of the Ancestral Pueblos – Sacred Skyscapes and Medicine Bundles’ (2021, unpublished), pp. 8-17; Malville, </w:t>
      </w:r>
      <w:r w:rsidRPr="00E46658">
        <w:rPr>
          <w:i/>
          <w:iCs/>
          <w:szCs w:val="22"/>
        </w:rPr>
        <w:t>Prehistoric Astronomy of the Southwest</w:t>
      </w:r>
      <w:r w:rsidRPr="00E46658">
        <w:rPr>
          <w:szCs w:val="22"/>
        </w:rPr>
        <w:t>, pp. 64-70</w:t>
      </w:r>
      <w:r w:rsidR="006439F4" w:rsidRPr="00E46658">
        <w:rPr>
          <w:szCs w:val="22"/>
        </w:rPr>
        <w:t xml:space="preserve">; </w:t>
      </w:r>
      <w:bookmarkStart w:id="54" w:name="_Hlk97816269"/>
      <w:r w:rsidR="006439F4" w:rsidRPr="00E46658">
        <w:rPr>
          <w:szCs w:val="22"/>
        </w:rPr>
        <w:t xml:space="preserve">Anna Sofaer, Volker Zinser and Rolf M. Sinclair, ‘A Unique Solar Marking Construct’, </w:t>
      </w:r>
      <w:r w:rsidR="006439F4" w:rsidRPr="00E46658">
        <w:rPr>
          <w:i/>
          <w:iCs/>
          <w:szCs w:val="22"/>
        </w:rPr>
        <w:t>Science</w:t>
      </w:r>
      <w:r w:rsidR="006439F4" w:rsidRPr="00E46658">
        <w:rPr>
          <w:szCs w:val="22"/>
        </w:rPr>
        <w:t>, New Series, Vol. 206, No. 4416 (Oct. 19, 1979), pp. 283-291.</w:t>
      </w:r>
      <w:bookmarkEnd w:id="54"/>
    </w:p>
  </w:footnote>
  <w:footnote w:id="119">
    <w:p w14:paraId="448ED917" w14:textId="57755E5F" w:rsidR="008F3F73" w:rsidRDefault="008F3F73">
      <w:pPr>
        <w:pStyle w:val="FootnoteText"/>
      </w:pPr>
      <w:r>
        <w:rPr>
          <w:rStyle w:val="FootnoteReference"/>
        </w:rPr>
        <w:footnoteRef/>
      </w:r>
      <w:r>
        <w:t xml:space="preserve"> J. McKim Malville</w:t>
      </w:r>
      <w:r w:rsidRPr="001058F3">
        <w:t>, ‘Enigmas of Fajada Butte Chaco Canyon’</w:t>
      </w:r>
      <w:r w:rsidR="00CF5849">
        <w:t xml:space="preserve"> </w:t>
      </w:r>
      <w:r w:rsidR="001058F3">
        <w:t>(unpublished).</w:t>
      </w:r>
    </w:p>
  </w:footnote>
  <w:footnote w:id="120">
    <w:p w14:paraId="7D1770C9" w14:textId="77777777" w:rsidR="00B16ABD" w:rsidRPr="00E46658" w:rsidRDefault="00B16ABD" w:rsidP="00B16ABD">
      <w:pPr>
        <w:pStyle w:val="FootnoteText"/>
        <w:rPr>
          <w:szCs w:val="22"/>
        </w:rPr>
      </w:pPr>
      <w:r w:rsidRPr="00E46658">
        <w:rPr>
          <w:rStyle w:val="FootnoteReference"/>
          <w:szCs w:val="22"/>
        </w:rPr>
        <w:footnoteRef/>
      </w:r>
      <w:r w:rsidRPr="00E46658">
        <w:rPr>
          <w:szCs w:val="22"/>
        </w:rPr>
        <w:t xml:space="preserve"> Malville, </w:t>
      </w:r>
      <w:r w:rsidRPr="00E46658">
        <w:rPr>
          <w:i/>
          <w:iCs/>
          <w:szCs w:val="22"/>
        </w:rPr>
        <w:t>Prehistoric Astronomy of the Southwest</w:t>
      </w:r>
      <w:r w:rsidRPr="00E46658">
        <w:rPr>
          <w:szCs w:val="22"/>
        </w:rPr>
        <w:t>, pp. 64-70, 142-145.</w:t>
      </w:r>
    </w:p>
  </w:footnote>
  <w:footnote w:id="121">
    <w:p w14:paraId="75AF6988" w14:textId="5A19DA19" w:rsidR="00B823C8" w:rsidRPr="00E46658" w:rsidRDefault="00B823C8" w:rsidP="00FC3592">
      <w:pPr>
        <w:pStyle w:val="Default"/>
        <w:rPr>
          <w:rFonts w:asciiTheme="minorHAnsi" w:hAnsiTheme="minorHAnsi" w:cstheme="minorHAnsi"/>
          <w:sz w:val="22"/>
          <w:szCs w:val="22"/>
        </w:rPr>
      </w:pPr>
      <w:r w:rsidRPr="00E46658">
        <w:rPr>
          <w:rStyle w:val="FootnoteReference"/>
          <w:rFonts w:asciiTheme="minorHAnsi" w:hAnsiTheme="minorHAnsi" w:cstheme="minorHAnsi"/>
          <w:sz w:val="22"/>
          <w:szCs w:val="22"/>
        </w:rPr>
        <w:footnoteRef/>
      </w:r>
      <w:r w:rsidRPr="00E46658">
        <w:rPr>
          <w:rFonts w:asciiTheme="minorHAnsi" w:hAnsiTheme="minorHAnsi" w:cstheme="minorHAnsi"/>
          <w:sz w:val="22"/>
          <w:szCs w:val="22"/>
        </w:rPr>
        <w:t xml:space="preserve"> Dietrick E. Thomsen, ‘Sunwatchers of the American Southwest’, </w:t>
      </w:r>
      <w:r w:rsidRPr="00E46658">
        <w:rPr>
          <w:rFonts w:asciiTheme="minorHAnsi" w:hAnsiTheme="minorHAnsi" w:cstheme="minorHAnsi"/>
          <w:i/>
          <w:iCs/>
          <w:sz w:val="22"/>
          <w:szCs w:val="22"/>
        </w:rPr>
        <w:t>Science News</w:t>
      </w:r>
      <w:r w:rsidRPr="00E46658">
        <w:rPr>
          <w:rFonts w:asciiTheme="minorHAnsi" w:hAnsiTheme="minorHAnsi" w:cstheme="minorHAnsi"/>
          <w:sz w:val="22"/>
          <w:szCs w:val="22"/>
        </w:rPr>
        <w:t>, Vol. 123, No. 25 (Jun. 18, 1983), pp. 394-395.</w:t>
      </w:r>
    </w:p>
  </w:footnote>
  <w:footnote w:id="122">
    <w:p w14:paraId="23A6D2C0" w14:textId="77777777" w:rsidR="00E938BB" w:rsidRPr="00E46658" w:rsidRDefault="00E938BB" w:rsidP="00E938BB">
      <w:pPr>
        <w:pStyle w:val="FootnoteText"/>
        <w:rPr>
          <w:szCs w:val="22"/>
        </w:rPr>
      </w:pPr>
      <w:r w:rsidRPr="00E46658">
        <w:rPr>
          <w:rStyle w:val="FootnoteReference"/>
          <w:szCs w:val="22"/>
        </w:rPr>
        <w:footnoteRef/>
      </w:r>
      <w:r w:rsidRPr="00E46658">
        <w:rPr>
          <w:szCs w:val="22"/>
        </w:rPr>
        <w:t xml:space="preserve"> Francis E. Smiley, ‘The Agricultural Transition in the Northern Southwest: Patterns in the Current Chronometric Data’, </w:t>
      </w:r>
      <w:r w:rsidRPr="00E46658">
        <w:rPr>
          <w:i/>
          <w:iCs/>
          <w:szCs w:val="22"/>
        </w:rPr>
        <w:t>Kiva</w:t>
      </w:r>
      <w:r w:rsidRPr="00E46658">
        <w:rPr>
          <w:szCs w:val="22"/>
        </w:rPr>
        <w:t xml:space="preserve">, Vol. 60, No. 2, Anasazi Origins: Recent Research on the Basketmaker II (Winter, 1994), p. 176.  </w:t>
      </w:r>
    </w:p>
  </w:footnote>
  <w:footnote w:id="123">
    <w:p w14:paraId="548D06C4" w14:textId="14864E06" w:rsidR="00E938BB" w:rsidRDefault="00E938BB">
      <w:pPr>
        <w:pStyle w:val="FootnoteText"/>
      </w:pPr>
      <w:r>
        <w:rPr>
          <w:rStyle w:val="FootnoteReference"/>
        </w:rPr>
        <w:footnoteRef/>
      </w:r>
      <w:r>
        <w:t xml:space="preserve"> </w:t>
      </w:r>
      <w:r>
        <w:rPr>
          <w:sz w:val="23"/>
          <w:szCs w:val="23"/>
        </w:rPr>
        <w:t xml:space="preserve">Michael Mathiowetz, Polly Schaafsma, Jeremy Coltman and Karl Taube, ‘The Darts of Dawn: The Tlahuizcalpantecuhtli Venus Complex in the Iconography of Mesoamerica and the American Southwest’, </w:t>
      </w:r>
      <w:r w:rsidRPr="00E938BB">
        <w:rPr>
          <w:i/>
          <w:iCs/>
          <w:sz w:val="23"/>
          <w:szCs w:val="23"/>
        </w:rPr>
        <w:t>Journal of the Southwest</w:t>
      </w:r>
      <w:r>
        <w:rPr>
          <w:sz w:val="23"/>
          <w:szCs w:val="23"/>
        </w:rPr>
        <w:t>, Vol. 57, No. 1 (Spring 2015), pp. 34-36.</w:t>
      </w:r>
    </w:p>
  </w:footnote>
  <w:footnote w:id="124">
    <w:p w14:paraId="59611172" w14:textId="77777777" w:rsidR="00E04A81" w:rsidRDefault="00E04A81" w:rsidP="00E04A81">
      <w:pPr>
        <w:pStyle w:val="FootnoteText"/>
      </w:pPr>
      <w:r>
        <w:rPr>
          <w:rStyle w:val="FootnoteReference"/>
        </w:rPr>
        <w:footnoteRef/>
      </w:r>
      <w:r>
        <w:t xml:space="preserve"> Hudson, ‘Solstice Observers’, pp. 39-45.</w:t>
      </w:r>
    </w:p>
  </w:footnote>
  <w:footnote w:id="125">
    <w:p w14:paraId="1E33A652" w14:textId="77777777" w:rsidR="00AD6D3A" w:rsidRPr="00E90849" w:rsidRDefault="00AD6D3A" w:rsidP="00AD6D3A">
      <w:pPr>
        <w:pStyle w:val="FootnoteText"/>
        <w:rPr>
          <w:szCs w:val="22"/>
        </w:rPr>
      </w:pPr>
      <w:r w:rsidRPr="00E90849">
        <w:rPr>
          <w:rStyle w:val="FootnoteReference"/>
          <w:szCs w:val="22"/>
        </w:rPr>
        <w:footnoteRef/>
      </w:r>
      <w:r w:rsidRPr="00E90849">
        <w:rPr>
          <w:szCs w:val="22"/>
        </w:rPr>
        <w:t xml:space="preserve"> Hudson, ‘Solstice Observers’, p. 40.</w:t>
      </w:r>
    </w:p>
  </w:footnote>
  <w:footnote w:id="126">
    <w:p w14:paraId="05F3FD69" w14:textId="4CFF6682" w:rsidR="008E05DA" w:rsidRDefault="008E05DA" w:rsidP="0068455A">
      <w:pPr>
        <w:pStyle w:val="FootnoteText"/>
      </w:pPr>
      <w:r>
        <w:rPr>
          <w:rStyle w:val="FootnoteReference"/>
        </w:rPr>
        <w:footnoteRef/>
      </w:r>
      <w:r>
        <w:t xml:space="preserve"> </w:t>
      </w:r>
      <w:r w:rsidRPr="001115B2">
        <w:t>George P. Murdock and Suzanne F. Wilson</w:t>
      </w:r>
      <w:r>
        <w:t>, ‘</w:t>
      </w:r>
      <w:r w:rsidRPr="001115B2">
        <w:t>Settlement Patterns and Community Organization: Cross-Cultural Codes 3</w:t>
      </w:r>
      <w:r>
        <w:t>’,</w:t>
      </w:r>
      <w:r w:rsidRPr="001115B2">
        <w:t xml:space="preserve"> </w:t>
      </w:r>
      <w:r w:rsidRPr="001115B2">
        <w:rPr>
          <w:i/>
          <w:iCs/>
        </w:rPr>
        <w:t>Ethnology,</w:t>
      </w:r>
      <w:r w:rsidRPr="001115B2">
        <w:t xml:space="preserve"> Vol. 11, No. 3 (Jul. 1972), pp. 254-295</w:t>
      </w:r>
      <w:r>
        <w:t>.</w:t>
      </w:r>
      <w:r w:rsidRPr="001115B2">
        <w:t xml:space="preserve"> </w:t>
      </w:r>
    </w:p>
  </w:footnote>
  <w:footnote w:id="127">
    <w:p w14:paraId="7C4D553F" w14:textId="1CEEA60E" w:rsidR="008E05DA" w:rsidRPr="00DD3C99" w:rsidRDefault="008E05DA" w:rsidP="0068455A">
      <w:pPr>
        <w:pStyle w:val="FootnoteText"/>
        <w:rPr>
          <w:szCs w:val="22"/>
        </w:rPr>
      </w:pPr>
      <w:r w:rsidRPr="00DD3C99">
        <w:rPr>
          <w:rStyle w:val="FootnoteReference"/>
          <w:szCs w:val="22"/>
        </w:rPr>
        <w:footnoteRef/>
      </w:r>
      <w:r w:rsidRPr="00DD3C99">
        <w:rPr>
          <w:szCs w:val="22"/>
        </w:rPr>
        <w:t xml:space="preserve"> Murdock, </w:t>
      </w:r>
      <w:r w:rsidR="00575073" w:rsidRPr="00DD3C99">
        <w:rPr>
          <w:szCs w:val="22"/>
        </w:rPr>
        <w:t>Settlement Patterns’</w:t>
      </w:r>
      <w:r w:rsidRPr="00DD3C99">
        <w:rPr>
          <w:i/>
          <w:iCs/>
          <w:szCs w:val="22"/>
        </w:rPr>
        <w:t>,</w:t>
      </w:r>
      <w:r w:rsidRPr="00DD3C99">
        <w:rPr>
          <w:szCs w:val="22"/>
        </w:rPr>
        <w:t xml:space="preserve"> pp. 254-295.</w:t>
      </w:r>
    </w:p>
  </w:footnote>
  <w:footnote w:id="128">
    <w:p w14:paraId="27EECE89" w14:textId="4D07E8E5" w:rsidR="00F06956" w:rsidRPr="005D593F" w:rsidRDefault="00F06956">
      <w:pPr>
        <w:pStyle w:val="FootnoteText"/>
        <w:rPr>
          <w:szCs w:val="22"/>
        </w:rPr>
      </w:pPr>
      <w:r w:rsidRPr="005D593F">
        <w:rPr>
          <w:rStyle w:val="FootnoteReference"/>
          <w:szCs w:val="22"/>
        </w:rPr>
        <w:footnoteRef/>
      </w:r>
      <w:r w:rsidRPr="005D593F">
        <w:rPr>
          <w:szCs w:val="22"/>
        </w:rPr>
        <w:t xml:space="preserve"> Roslyn.</w:t>
      </w:r>
      <w:r w:rsidR="002C08BB" w:rsidRPr="005D593F">
        <w:rPr>
          <w:szCs w:val="22"/>
        </w:rPr>
        <w:t xml:space="preserve"> </w:t>
      </w:r>
      <w:r w:rsidRPr="005D593F">
        <w:rPr>
          <w:szCs w:val="22"/>
        </w:rPr>
        <w:t>M. Frank,</w:t>
      </w:r>
      <w:r w:rsidR="002C08BB" w:rsidRPr="005D593F">
        <w:rPr>
          <w:szCs w:val="22"/>
        </w:rPr>
        <w:t xml:space="preserve"> ‘Skylore of the Indigenous People of Northern Eurasia’, in </w:t>
      </w:r>
      <w:r w:rsidR="002C08BB" w:rsidRPr="005D593F">
        <w:rPr>
          <w:i/>
          <w:iCs/>
          <w:szCs w:val="22"/>
        </w:rPr>
        <w:t>Handbook of Archaeoastronomy and Ethnoastronomy</w:t>
      </w:r>
      <w:r w:rsidR="002C08BB" w:rsidRPr="005D593F">
        <w:rPr>
          <w:szCs w:val="22"/>
        </w:rPr>
        <w:t>, ed. Clive L. N. Ruggles (New York: Springer Science+Business Media, 2015), p</w:t>
      </w:r>
      <w:r w:rsidR="00823D28">
        <w:rPr>
          <w:szCs w:val="22"/>
        </w:rPr>
        <w:t>. 1680.</w:t>
      </w:r>
    </w:p>
  </w:footnote>
  <w:footnote w:id="129">
    <w:p w14:paraId="1E032081" w14:textId="437E83F7" w:rsidR="008327AB" w:rsidRPr="005D593F" w:rsidRDefault="008327AB" w:rsidP="00420C39">
      <w:pPr>
        <w:autoSpaceDE w:val="0"/>
        <w:autoSpaceDN w:val="0"/>
        <w:adjustRightInd w:val="0"/>
        <w:spacing w:after="0" w:line="240" w:lineRule="auto"/>
        <w:rPr>
          <w:sz w:val="22"/>
          <w:szCs w:val="22"/>
        </w:rPr>
      </w:pPr>
      <w:r w:rsidRPr="005D593F">
        <w:rPr>
          <w:rStyle w:val="FootnoteReference"/>
          <w:sz w:val="22"/>
          <w:szCs w:val="22"/>
        </w:rPr>
        <w:footnoteRef/>
      </w:r>
      <w:r w:rsidRPr="005D593F">
        <w:rPr>
          <w:sz w:val="22"/>
          <w:szCs w:val="22"/>
        </w:rPr>
        <w:t xml:space="preserve"> Robert J. Wallis, ‘Re-enchanting Rock Art Landscapes: Animic Ontologies, Non-Human Agency, and </w:t>
      </w:r>
      <w:r w:rsidR="00420C39" w:rsidRPr="005D593F">
        <w:rPr>
          <w:sz w:val="22"/>
          <w:szCs w:val="22"/>
        </w:rPr>
        <w:t xml:space="preserve">Rhizomatic Personhood’, </w:t>
      </w:r>
      <w:r w:rsidR="00420C39" w:rsidRPr="005D593F">
        <w:rPr>
          <w:i/>
          <w:iCs/>
          <w:sz w:val="22"/>
          <w:szCs w:val="22"/>
        </w:rPr>
        <w:t>Time and Mind: The Journal of Archaeology</w:t>
      </w:r>
      <w:r w:rsidR="00420C39" w:rsidRPr="005D593F">
        <w:rPr>
          <w:sz w:val="22"/>
          <w:szCs w:val="22"/>
        </w:rPr>
        <w:t>, Consciousness and Culture, Vol. 2, No. 1, (March 2009), p. 53.</w:t>
      </w:r>
    </w:p>
  </w:footnote>
  <w:footnote w:id="130">
    <w:p w14:paraId="0D451B35" w14:textId="77777777" w:rsidR="00FE045D" w:rsidRDefault="00FE045D" w:rsidP="00FE045D">
      <w:pPr>
        <w:pStyle w:val="FootnoteText"/>
      </w:pPr>
      <w:r>
        <w:rPr>
          <w:rStyle w:val="FootnoteReference"/>
        </w:rPr>
        <w:footnoteRef/>
      </w:r>
      <w:r>
        <w:t xml:space="preserve"> </w:t>
      </w:r>
      <w:r w:rsidRPr="00B00998">
        <w:t>David Chidester</w:t>
      </w:r>
      <w:r>
        <w:t>,</w:t>
      </w:r>
      <w:r w:rsidRPr="00B00998">
        <w:t xml:space="preserve"> </w:t>
      </w:r>
      <w:r>
        <w:t>‘</w:t>
      </w:r>
      <w:r w:rsidRPr="00B00998">
        <w:t>Animism</w:t>
      </w:r>
      <w:r>
        <w:t xml:space="preserve">’ in </w:t>
      </w:r>
      <w:r w:rsidRPr="00B00998">
        <w:rPr>
          <w:i/>
          <w:iCs/>
        </w:rPr>
        <w:t>Religion: Material Dynamics</w:t>
      </w:r>
      <w:r w:rsidRPr="00B00998">
        <w:t xml:space="preserve"> </w:t>
      </w:r>
      <w:r>
        <w:t xml:space="preserve">(Oakland: </w:t>
      </w:r>
      <w:r w:rsidRPr="00B00998">
        <w:t>University of California Press</w:t>
      </w:r>
      <w:r>
        <w:t>, 2018), pp. 23, 29.</w:t>
      </w:r>
    </w:p>
  </w:footnote>
  <w:footnote w:id="131">
    <w:p w14:paraId="70C9D778" w14:textId="77777777" w:rsidR="00062A64" w:rsidRDefault="00062A64" w:rsidP="00062A64">
      <w:pPr>
        <w:pStyle w:val="FootnoteText"/>
      </w:pPr>
      <w:r>
        <w:rPr>
          <w:rStyle w:val="FootnoteReference"/>
        </w:rPr>
        <w:footnoteRef/>
      </w:r>
      <w:r>
        <w:t xml:space="preserve"> David C. Posthumus, ‘The Living Rock, Grandfather of All Things’ in </w:t>
      </w:r>
      <w:r w:rsidRPr="00F06F24">
        <w:rPr>
          <w:i/>
          <w:iCs/>
        </w:rPr>
        <w:t>All My Relatives: Exploring Lakota Ontology, Belief, and Ritual</w:t>
      </w:r>
      <w:r>
        <w:t xml:space="preserve"> (Lincoln: University of Nebraska Press, 2018), pp. 73-91.</w:t>
      </w:r>
    </w:p>
  </w:footnote>
  <w:footnote w:id="132">
    <w:p w14:paraId="41F93E0D" w14:textId="77777777" w:rsidR="001C2D85" w:rsidRPr="00D517EF" w:rsidRDefault="001C2D85" w:rsidP="001C2D85">
      <w:pPr>
        <w:pStyle w:val="FootnoteText"/>
        <w:rPr>
          <w:szCs w:val="22"/>
        </w:rPr>
      </w:pPr>
      <w:r w:rsidRPr="00D517EF">
        <w:rPr>
          <w:rStyle w:val="FootnoteReference"/>
          <w:szCs w:val="22"/>
        </w:rPr>
        <w:footnoteRef/>
      </w:r>
      <w:r w:rsidRPr="00D517EF">
        <w:rPr>
          <w:szCs w:val="22"/>
        </w:rPr>
        <w:t xml:space="preserve"> Whitley, ‘Science and the sacred’, p. 125. </w:t>
      </w:r>
    </w:p>
  </w:footnote>
  <w:footnote w:id="133">
    <w:p w14:paraId="11CE4920" w14:textId="77777777" w:rsidR="001C2D85" w:rsidRPr="00D517EF" w:rsidRDefault="001C2D85" w:rsidP="001C2D85">
      <w:pPr>
        <w:pStyle w:val="FootnoteText"/>
        <w:rPr>
          <w:szCs w:val="22"/>
        </w:rPr>
      </w:pPr>
      <w:r w:rsidRPr="00D517EF">
        <w:rPr>
          <w:rStyle w:val="FootnoteReference"/>
          <w:szCs w:val="22"/>
        </w:rPr>
        <w:footnoteRef/>
      </w:r>
      <w:r w:rsidRPr="00D517EF">
        <w:rPr>
          <w:szCs w:val="22"/>
        </w:rPr>
        <w:t xml:space="preserve"> Whitley, ‘Science and the sacred’, p. 125. </w:t>
      </w:r>
    </w:p>
  </w:footnote>
  <w:footnote w:id="134">
    <w:p w14:paraId="7C0F6CA5" w14:textId="72FBECFE" w:rsidR="00E644A3" w:rsidRDefault="00E644A3">
      <w:pPr>
        <w:pStyle w:val="FootnoteText"/>
      </w:pPr>
      <w:r>
        <w:rPr>
          <w:rStyle w:val="FootnoteReference"/>
        </w:rPr>
        <w:footnoteRef/>
      </w:r>
      <w:r>
        <w:t xml:space="preserve"> Wallis, ‘Re-enchanting Rock Art’, p. 53.</w:t>
      </w:r>
    </w:p>
  </w:footnote>
  <w:footnote w:id="135">
    <w:p w14:paraId="3C801D5D" w14:textId="579D6444" w:rsidR="001A5892" w:rsidRDefault="001A5892">
      <w:pPr>
        <w:pStyle w:val="FootnoteText"/>
      </w:pPr>
      <w:r w:rsidRPr="005D593F">
        <w:rPr>
          <w:rStyle w:val="FootnoteReference"/>
          <w:szCs w:val="22"/>
        </w:rPr>
        <w:footnoteRef/>
      </w:r>
      <w:r w:rsidRPr="005D593F">
        <w:rPr>
          <w:szCs w:val="22"/>
        </w:rPr>
        <w:t xml:space="preserve"> J McKim Malville, </w:t>
      </w:r>
      <w:r w:rsidR="005D593F" w:rsidRPr="005D593F">
        <w:rPr>
          <w:szCs w:val="22"/>
        </w:rPr>
        <w:t>‘</w:t>
      </w:r>
      <w:r w:rsidRPr="005D593F">
        <w:rPr>
          <w:szCs w:val="22"/>
        </w:rPr>
        <w:t>Animism, Reciproci</w:t>
      </w:r>
      <w:r w:rsidR="005D593F" w:rsidRPr="005D593F">
        <w:rPr>
          <w:szCs w:val="22"/>
        </w:rPr>
        <w:t xml:space="preserve">ty and Entanglement’, </w:t>
      </w:r>
      <w:r w:rsidR="005D593F" w:rsidRPr="005D593F">
        <w:rPr>
          <w:i/>
          <w:iCs/>
          <w:szCs w:val="22"/>
        </w:rPr>
        <w:t xml:space="preserve">Mediterranean Archaeology and Archaeometry, </w:t>
      </w:r>
      <w:r w:rsidR="005D593F" w:rsidRPr="005D593F">
        <w:rPr>
          <w:szCs w:val="22"/>
        </w:rPr>
        <w:t xml:space="preserve">Vol. 16, No. 4, (2016), </w:t>
      </w:r>
      <w:r w:rsidR="00823D28">
        <w:rPr>
          <w:szCs w:val="22"/>
        </w:rPr>
        <w:t>p</w:t>
      </w:r>
      <w:r w:rsidR="005D593F" w:rsidRPr="005D593F">
        <w:rPr>
          <w:szCs w:val="22"/>
        </w:rPr>
        <w:t>. 53</w:t>
      </w:r>
      <w:r w:rsidR="00823D28">
        <w:rPr>
          <w:szCs w:val="22"/>
        </w:rPr>
        <w:t>.</w:t>
      </w:r>
    </w:p>
  </w:footnote>
  <w:footnote w:id="136">
    <w:p w14:paraId="14C4F5BD" w14:textId="4C1C66EF" w:rsidR="0071168C" w:rsidRDefault="0071168C">
      <w:pPr>
        <w:pStyle w:val="FootnoteText"/>
      </w:pPr>
      <w:r>
        <w:rPr>
          <w:rStyle w:val="FootnoteReference"/>
        </w:rPr>
        <w:footnoteRef/>
      </w:r>
      <w:r>
        <w:t xml:space="preserve"> Malville, ‘Animism’, p. 53</w:t>
      </w:r>
      <w:r w:rsidR="00823D28">
        <w:t>.</w:t>
      </w:r>
    </w:p>
  </w:footnote>
  <w:footnote w:id="137">
    <w:p w14:paraId="2395C360" w14:textId="78A5BDAE" w:rsidR="0071168C" w:rsidRDefault="0071168C">
      <w:pPr>
        <w:pStyle w:val="FootnoteText"/>
      </w:pPr>
      <w:r>
        <w:rPr>
          <w:rStyle w:val="FootnoteReference"/>
        </w:rPr>
        <w:footnoteRef/>
      </w:r>
      <w:r>
        <w:t xml:space="preserve"> Mircea Eliade, </w:t>
      </w:r>
      <w:r w:rsidRPr="00A84F5B">
        <w:rPr>
          <w:i/>
          <w:iCs/>
        </w:rPr>
        <w:t>Myth and Reality</w:t>
      </w:r>
      <w:r w:rsidR="00A84F5B">
        <w:t xml:space="preserve"> (New York: Harper and Row, 1962), p.</w:t>
      </w:r>
      <w:r w:rsidR="00823D28">
        <w:t xml:space="preserve"> </w:t>
      </w:r>
      <w:r w:rsidR="00A84F5B">
        <w:t>32.</w:t>
      </w:r>
    </w:p>
  </w:footnote>
  <w:footnote w:id="138">
    <w:p w14:paraId="3B36BA2D" w14:textId="096ABAC5" w:rsidR="006E075D" w:rsidRDefault="006E075D" w:rsidP="0068455A">
      <w:pPr>
        <w:pStyle w:val="FootnoteText"/>
      </w:pPr>
      <w:r w:rsidRPr="00DD3C99">
        <w:rPr>
          <w:rStyle w:val="FootnoteReference"/>
          <w:szCs w:val="22"/>
        </w:rPr>
        <w:footnoteRef/>
      </w:r>
      <w:r w:rsidRPr="00DD3C99">
        <w:rPr>
          <w:szCs w:val="22"/>
        </w:rPr>
        <w:t xml:space="preserve"> </w:t>
      </w:r>
      <w:r w:rsidR="0039035C" w:rsidRPr="00DD3C99">
        <w:rPr>
          <w:szCs w:val="22"/>
        </w:rPr>
        <w:t xml:space="preserve">Simon Harrison, </w:t>
      </w:r>
      <w:r w:rsidRPr="00DD3C99">
        <w:rPr>
          <w:szCs w:val="22"/>
        </w:rPr>
        <w:t>‘Emotional Climates: Ritual, Seasonality and Affective Disorders</w:t>
      </w:r>
      <w:r w:rsidR="0039035C" w:rsidRPr="00DD3C99">
        <w:rPr>
          <w:szCs w:val="22"/>
        </w:rPr>
        <w:t>’,</w:t>
      </w:r>
      <w:r w:rsidRPr="00DD3C99">
        <w:rPr>
          <w:szCs w:val="22"/>
        </w:rPr>
        <w:t xml:space="preserve"> </w:t>
      </w:r>
      <w:r w:rsidRPr="00DD3C99">
        <w:rPr>
          <w:i/>
          <w:iCs/>
          <w:szCs w:val="22"/>
        </w:rPr>
        <w:t>The Journal of the Royal Anthropological Institute</w:t>
      </w:r>
      <w:r w:rsidRPr="00DD3C99">
        <w:rPr>
          <w:szCs w:val="22"/>
        </w:rPr>
        <w:t xml:space="preserve">, Vol. 10, No. 3 (Sep. 2004), </w:t>
      </w:r>
      <w:r w:rsidR="0039035C" w:rsidRPr="00DD3C99">
        <w:rPr>
          <w:szCs w:val="22"/>
        </w:rPr>
        <w:t>p. 583.</w:t>
      </w:r>
    </w:p>
  </w:footnote>
  <w:footnote w:id="139">
    <w:p w14:paraId="15C273A1" w14:textId="77777777" w:rsidR="006F36F3" w:rsidRPr="00D970B1" w:rsidRDefault="006F36F3" w:rsidP="006F36F3">
      <w:pPr>
        <w:pStyle w:val="FootnoteText"/>
        <w:rPr>
          <w:szCs w:val="22"/>
        </w:rPr>
      </w:pPr>
      <w:r w:rsidRPr="00D970B1">
        <w:rPr>
          <w:rStyle w:val="FootnoteReference"/>
          <w:szCs w:val="22"/>
        </w:rPr>
        <w:footnoteRef/>
      </w:r>
      <w:r w:rsidRPr="00D970B1">
        <w:rPr>
          <w:szCs w:val="22"/>
        </w:rPr>
        <w:t xml:space="preserve"> Fabio Silva, ‘The Role and Importance of the Sky in Archaeology: An Introduction’ in </w:t>
      </w:r>
      <w:r w:rsidRPr="00D970B1">
        <w:rPr>
          <w:i/>
          <w:iCs/>
          <w:szCs w:val="22"/>
        </w:rPr>
        <w:t xml:space="preserve">Skyscapes: The Role and Importance of the Sky in Archaeology, </w:t>
      </w:r>
      <w:r w:rsidRPr="00D970B1">
        <w:rPr>
          <w:szCs w:val="22"/>
        </w:rPr>
        <w:t>eds. Fabio Silva and Nicholas Campion (Oxford and Philadelphia: Oxbow Books, 2015), p. 2.</w:t>
      </w:r>
    </w:p>
  </w:footnote>
  <w:footnote w:id="140">
    <w:p w14:paraId="7B34BDE0" w14:textId="68A6DF17" w:rsidR="00E91C6F" w:rsidRDefault="00E91C6F" w:rsidP="0068455A">
      <w:pPr>
        <w:pStyle w:val="FootnoteText"/>
      </w:pPr>
      <w:r>
        <w:rPr>
          <w:rStyle w:val="FootnoteReference"/>
        </w:rPr>
        <w:footnoteRef/>
      </w:r>
      <w:r>
        <w:t xml:space="preserve"> Silva, ‘Introduction’</w:t>
      </w:r>
      <w:r w:rsidR="0058153A">
        <w:t xml:space="preserve">, </w:t>
      </w:r>
      <w:r>
        <w:t>pp</w:t>
      </w:r>
      <w:r w:rsidR="004F773B">
        <w:t>.</w:t>
      </w:r>
      <w:r>
        <w:t xml:space="preserve"> 3,</w:t>
      </w:r>
      <w:r w:rsidR="005F1CAF">
        <w:t xml:space="preserve"> </w:t>
      </w:r>
      <w:r>
        <w:t xml:space="preserve">6.  </w:t>
      </w:r>
    </w:p>
  </w:footnote>
  <w:footnote w:id="141">
    <w:p w14:paraId="25916457" w14:textId="6EBB15BA" w:rsidR="00367754" w:rsidRDefault="00367754" w:rsidP="0068455A">
      <w:pPr>
        <w:pStyle w:val="FootnoteText"/>
      </w:pPr>
      <w:r>
        <w:rPr>
          <w:rStyle w:val="FootnoteReference"/>
        </w:rPr>
        <w:footnoteRef/>
      </w:r>
      <w:r>
        <w:t xml:space="preserve"> </w:t>
      </w:r>
      <w:r w:rsidR="00E9120C">
        <w:t xml:space="preserve">J. McKim Malville, ‘Preface: The Meaning and Intent in Ancient Skyscapes – An Andean Perspective’, in </w:t>
      </w:r>
      <w:r w:rsidR="00E9120C">
        <w:rPr>
          <w:i/>
          <w:iCs/>
        </w:rPr>
        <w:t>Skyscapes: The Role and Importance of the Sky in Archaeology</w:t>
      </w:r>
      <w:r w:rsidR="00E9120C">
        <w:t>, ed.</w:t>
      </w:r>
      <w:r w:rsidR="00511A5A">
        <w:t xml:space="preserve"> by</w:t>
      </w:r>
      <w:r w:rsidR="00E9120C">
        <w:t xml:space="preserve"> Fabio Silva and Nicholas Campion (Oxford: Oxbow Books, 2015), p. xv. </w:t>
      </w:r>
      <w:r>
        <w:t xml:space="preserve"> </w:t>
      </w:r>
    </w:p>
  </w:footnote>
  <w:footnote w:id="142">
    <w:p w14:paraId="3522995F" w14:textId="797CFDEF" w:rsidR="009F14CC" w:rsidRPr="00480D1C" w:rsidRDefault="009F14CC" w:rsidP="0068455A">
      <w:pPr>
        <w:pStyle w:val="FootnoteText"/>
      </w:pPr>
      <w:r>
        <w:rPr>
          <w:rStyle w:val="FootnoteReference"/>
        </w:rPr>
        <w:footnoteRef/>
      </w:r>
      <w:r>
        <w:t xml:space="preserve"> Clifford </w:t>
      </w:r>
      <w:r w:rsidRPr="00480D1C">
        <w:t>Geertz,</w:t>
      </w:r>
      <w:r>
        <w:t xml:space="preserve"> </w:t>
      </w:r>
      <w:r w:rsidR="00480D1C">
        <w:t>‘</w:t>
      </w:r>
      <w:r w:rsidR="00480D1C" w:rsidRPr="00480D1C">
        <w:t>Deep Play: Notes on the Balinese Cockfight</w:t>
      </w:r>
      <w:r w:rsidR="00480D1C">
        <w:t>’,</w:t>
      </w:r>
      <w:r w:rsidR="00480D1C" w:rsidRPr="00480D1C">
        <w:t xml:space="preserve"> </w:t>
      </w:r>
      <w:r w:rsidR="00480D1C" w:rsidRPr="00480D1C">
        <w:rPr>
          <w:i/>
          <w:iCs/>
        </w:rPr>
        <w:t>Daedalus,</w:t>
      </w:r>
      <w:r w:rsidR="00480D1C" w:rsidRPr="00480D1C">
        <w:t xml:space="preserve"> Vol. 101, No. 1, Myth, Symbol, and Culture (Winter, 1972), pp. 1-37</w:t>
      </w:r>
      <w:r w:rsidR="00230DEB">
        <w:t>.</w:t>
      </w:r>
    </w:p>
  </w:footnote>
  <w:footnote w:id="143">
    <w:p w14:paraId="41FFFC6C" w14:textId="58038C88" w:rsidR="00457C9A" w:rsidRDefault="00457C9A">
      <w:pPr>
        <w:pStyle w:val="FootnoteText"/>
      </w:pPr>
      <w:r>
        <w:rPr>
          <w:rStyle w:val="FootnoteReference"/>
        </w:rPr>
        <w:footnoteRef/>
      </w:r>
      <w:r>
        <w:t xml:space="preserve"> Timothy Darvill, ‘Afterword: Dances Beneath a Diamond Sky’, in </w:t>
      </w:r>
      <w:r>
        <w:rPr>
          <w:i/>
          <w:iCs/>
        </w:rPr>
        <w:t>Skyscapes: The Role and Importance of the Sky in Archaeology</w:t>
      </w:r>
      <w:r>
        <w:t>, ed. by Fabio Silva and Nicholas Campion (Oxford: Oxbow Books, 2015), pp. 140-148.</w:t>
      </w:r>
    </w:p>
  </w:footnote>
  <w:footnote w:id="144">
    <w:p w14:paraId="431FDE7A" w14:textId="681105DE" w:rsidR="001600FB" w:rsidRDefault="001600FB">
      <w:pPr>
        <w:pStyle w:val="FootnoteText"/>
      </w:pPr>
      <w:r>
        <w:rPr>
          <w:rStyle w:val="FootnoteReference"/>
        </w:rPr>
        <w:footnoteRef/>
      </w:r>
      <w:r>
        <w:t xml:space="preserve"> </w:t>
      </w:r>
      <w:r w:rsidRPr="00D517EF">
        <w:rPr>
          <w:szCs w:val="22"/>
        </w:rPr>
        <w:t xml:space="preserve">David S. Whitley, ‘Science and the sacred: interpretive theory in U. S. rock art research’, in </w:t>
      </w:r>
      <w:r w:rsidRPr="00D517EF">
        <w:rPr>
          <w:i/>
          <w:iCs/>
          <w:szCs w:val="22"/>
        </w:rPr>
        <w:t>Theoretical Perspectives on Rock Art Research,</w:t>
      </w:r>
      <w:r w:rsidRPr="00D517EF">
        <w:rPr>
          <w:szCs w:val="22"/>
        </w:rPr>
        <w:t xml:space="preserve"> ed. by Knut Helskog (Oslo: Novus forlag, 2001), pp</w:t>
      </w:r>
      <w:r w:rsidR="006A46F2">
        <w:rPr>
          <w:szCs w:val="22"/>
        </w:rPr>
        <w:t>.</w:t>
      </w:r>
      <w:r w:rsidRPr="00D517EF">
        <w:rPr>
          <w:szCs w:val="22"/>
        </w:rPr>
        <w:t xml:space="preserve"> 124-151.</w:t>
      </w:r>
    </w:p>
  </w:footnote>
  <w:footnote w:id="145">
    <w:p w14:paraId="410C434F" w14:textId="4205F461" w:rsidR="009F2ACE" w:rsidRDefault="009F2ACE" w:rsidP="0068455A">
      <w:pPr>
        <w:pStyle w:val="FootnoteText"/>
      </w:pPr>
      <w:r>
        <w:rPr>
          <w:rStyle w:val="FootnoteReference"/>
        </w:rPr>
        <w:footnoteRef/>
      </w:r>
      <w:r>
        <w:t xml:space="preserve"> </w:t>
      </w:r>
      <w:r w:rsidR="00B90B83">
        <w:t xml:space="preserve">Hunt, </w:t>
      </w:r>
      <w:r w:rsidR="00B90B83" w:rsidRPr="00511A5A">
        <w:rPr>
          <w:i/>
          <w:iCs/>
        </w:rPr>
        <w:t>La Sal Mountains,</w:t>
      </w:r>
      <w:r w:rsidR="00B90B83" w:rsidRPr="00230DEB">
        <w:t xml:space="preserve"> p. </w:t>
      </w:r>
      <w:r w:rsidR="00230DEB" w:rsidRPr="00230DEB">
        <w:t>8</w:t>
      </w:r>
      <w:r w:rsidR="00230DEB">
        <w:t>.</w:t>
      </w:r>
    </w:p>
  </w:footnote>
  <w:footnote w:id="146">
    <w:p w14:paraId="008DFD2A" w14:textId="1C5F24D0" w:rsidR="000C61CE" w:rsidRDefault="000C61CE">
      <w:pPr>
        <w:pStyle w:val="FootnoteText"/>
      </w:pPr>
      <w:r>
        <w:rPr>
          <w:rStyle w:val="FootnoteReference"/>
        </w:rPr>
        <w:footnoteRef/>
      </w:r>
      <w:r>
        <w:t xml:space="preserve"> Christopher Tilley,</w:t>
      </w:r>
      <w:r w:rsidRPr="004F7BD7">
        <w:t xml:space="preserve"> </w:t>
      </w:r>
      <w:r w:rsidRPr="004F773B">
        <w:rPr>
          <w:i/>
          <w:iCs/>
        </w:rPr>
        <w:t>A Phenomenology of Landscape: Places, Paths and Monuments</w:t>
      </w:r>
      <w:r w:rsidRPr="004F7BD7">
        <w:t xml:space="preserve"> (Explorations in Anthropology)</w:t>
      </w:r>
      <w:r>
        <w:t xml:space="preserve"> (Oxford: Berg Publishers, 1997)</w:t>
      </w:r>
      <w:r w:rsidR="009F44C6">
        <w:t>, pp. 12-13.</w:t>
      </w:r>
    </w:p>
  </w:footnote>
  <w:footnote w:id="147">
    <w:p w14:paraId="7DC6A219" w14:textId="09140660" w:rsidR="000B0EEA" w:rsidRPr="009F44C6" w:rsidRDefault="000B0EEA" w:rsidP="000B0EEA">
      <w:pPr>
        <w:pStyle w:val="FootnoteText"/>
        <w:rPr>
          <w:i/>
          <w:iCs/>
        </w:rPr>
      </w:pPr>
      <w:r>
        <w:rPr>
          <w:rStyle w:val="FootnoteReference"/>
        </w:rPr>
        <w:footnoteRef/>
      </w:r>
      <w:r>
        <w:t xml:space="preserve"> </w:t>
      </w:r>
      <w:r w:rsidR="009F44C6">
        <w:t xml:space="preserve">Tilley, </w:t>
      </w:r>
      <w:r w:rsidR="009F44C6">
        <w:rPr>
          <w:i/>
          <w:iCs/>
        </w:rPr>
        <w:t xml:space="preserve">Phenomenology, </w:t>
      </w:r>
      <w:r w:rsidR="009F44C6" w:rsidRPr="009F44C6">
        <w:t>p. 25</w:t>
      </w:r>
      <w:r w:rsidR="009F44C6">
        <w:t>.</w:t>
      </w:r>
    </w:p>
  </w:footnote>
  <w:footnote w:id="148">
    <w:p w14:paraId="70A4929A" w14:textId="4121EE9A" w:rsidR="00BD46FA" w:rsidRPr="006E0D93" w:rsidRDefault="00BD46FA" w:rsidP="0068455A">
      <w:pPr>
        <w:pStyle w:val="FootnoteText"/>
        <w:rPr>
          <w:i/>
          <w:iCs/>
        </w:rPr>
      </w:pPr>
      <w:r>
        <w:rPr>
          <w:rStyle w:val="FootnoteReference"/>
        </w:rPr>
        <w:footnoteRef/>
      </w:r>
      <w:r>
        <w:t xml:space="preserve"> Malville,</w:t>
      </w:r>
      <w:r w:rsidR="004F773B">
        <w:t xml:space="preserve"> </w:t>
      </w:r>
      <w:r w:rsidR="00823D28">
        <w:t>‘</w:t>
      </w:r>
      <w:r w:rsidR="001F05BF">
        <w:t>Enigmas’</w:t>
      </w:r>
      <w:r w:rsidR="004F773B">
        <w:t>;</w:t>
      </w:r>
      <w:r>
        <w:t xml:space="preserve"> Bostwick</w:t>
      </w:r>
      <w:r w:rsidR="006E0D93">
        <w:t xml:space="preserve">, </w:t>
      </w:r>
      <w:r w:rsidR="0000203C">
        <w:t>‘</w:t>
      </w:r>
      <w:r w:rsidR="006E0D93" w:rsidRPr="0000203C">
        <w:t>Saluting the Sun</w:t>
      </w:r>
      <w:r w:rsidR="0000203C">
        <w:t>’</w:t>
      </w:r>
      <w:r w:rsidR="006E0D93" w:rsidRPr="0000203C">
        <w:t>,</w:t>
      </w:r>
      <w:r w:rsidR="006E0D93">
        <w:rPr>
          <w:i/>
          <w:iCs/>
        </w:rPr>
        <w:t xml:space="preserve"> </w:t>
      </w:r>
      <w:r w:rsidR="006E0D93" w:rsidRPr="006E0D93">
        <w:t>p. 195.</w:t>
      </w:r>
    </w:p>
  </w:footnote>
  <w:footnote w:id="149">
    <w:p w14:paraId="17DED35C" w14:textId="63EB85C8" w:rsidR="00F54FB3" w:rsidRDefault="00F54FB3">
      <w:pPr>
        <w:pStyle w:val="FootnoteText"/>
      </w:pPr>
      <w:r>
        <w:rPr>
          <w:rStyle w:val="FootnoteReference"/>
        </w:rPr>
        <w:footnoteRef/>
      </w:r>
      <w:r>
        <w:t xml:space="preserve"> </w:t>
      </w:r>
      <w:bookmarkStart w:id="57" w:name="_Hlk97816402"/>
      <w:r w:rsidR="005B4B26">
        <w:fldChar w:fldCharType="begin"/>
      </w:r>
      <w:r w:rsidR="005B4B26">
        <w:instrText xml:space="preserve"> HYPERLINK "https://en.wikipedia.org/wiki/Diurnal_air_temperature_variation" </w:instrText>
      </w:r>
      <w:r w:rsidR="005B4B26">
        <w:fldChar w:fldCharType="separate"/>
      </w:r>
      <w:r w:rsidRPr="000B46B9">
        <w:rPr>
          <w:rStyle w:val="Hyperlink"/>
        </w:rPr>
        <w:t>https://en.wikipedia.org/wiki/Diurnal_air_temperature_variation</w:t>
      </w:r>
      <w:r w:rsidR="005B4B26">
        <w:rPr>
          <w:rStyle w:val="Hyperlink"/>
        </w:rPr>
        <w:fldChar w:fldCharType="end"/>
      </w:r>
      <w:r>
        <w:t xml:space="preserve"> [Accessed Mar. 9, 2022].</w:t>
      </w:r>
      <w:bookmarkEnd w:id="57"/>
    </w:p>
  </w:footnote>
  <w:footnote w:id="150">
    <w:p w14:paraId="511EB709" w14:textId="0768F252" w:rsidR="00A85931" w:rsidRDefault="00A85931">
      <w:pPr>
        <w:pStyle w:val="FootnoteText"/>
      </w:pPr>
      <w:r>
        <w:rPr>
          <w:rStyle w:val="FootnoteReference"/>
        </w:rPr>
        <w:footnoteRef/>
      </w:r>
      <w:r>
        <w:t xml:space="preserve"> Fabien Ch</w:t>
      </w:r>
      <w:r w:rsidR="00D46A2E">
        <w:t>é</w:t>
      </w:r>
      <w:r>
        <w:t>rieau, Stellarium v. 01.21.1, 2001, Linux, Windows, MacOS.</w:t>
      </w:r>
    </w:p>
  </w:footnote>
  <w:footnote w:id="151">
    <w:p w14:paraId="6F8CA752" w14:textId="52D5323C" w:rsidR="0000203C" w:rsidRPr="00C602AB" w:rsidRDefault="0000203C">
      <w:pPr>
        <w:pStyle w:val="FootnoteText"/>
        <w:rPr>
          <w:i/>
          <w:iCs/>
        </w:rPr>
      </w:pPr>
      <w:r>
        <w:rPr>
          <w:rStyle w:val="FootnoteReference"/>
        </w:rPr>
        <w:footnoteRef/>
      </w:r>
      <w:r>
        <w:t xml:space="preserve"> Tipps, </w:t>
      </w:r>
      <w:r w:rsidR="00C602AB">
        <w:rPr>
          <w:i/>
          <w:iCs/>
        </w:rPr>
        <w:t xml:space="preserve">Holocene, </w:t>
      </w:r>
      <w:r w:rsidR="00C602AB" w:rsidRPr="002868A4">
        <w:t>p.</w:t>
      </w:r>
      <w:r w:rsidR="002868A4" w:rsidRPr="002868A4">
        <w:t xml:space="preserve"> 95</w:t>
      </w:r>
      <w:r w:rsidR="00C602AB" w:rsidRPr="002868A4">
        <w:t>;</w:t>
      </w:r>
      <w:r w:rsidR="00C602AB" w:rsidRPr="00C602AB">
        <w:rPr>
          <w:szCs w:val="22"/>
        </w:rPr>
        <w:t xml:space="preserve"> </w:t>
      </w:r>
      <w:r w:rsidR="00C602AB" w:rsidRPr="008378CC">
        <w:rPr>
          <w:szCs w:val="22"/>
        </w:rPr>
        <w:t xml:space="preserve">Black, </w:t>
      </w:r>
      <w:r w:rsidR="00C602AB" w:rsidRPr="008378CC">
        <w:rPr>
          <w:i/>
          <w:iCs/>
          <w:szCs w:val="22"/>
        </w:rPr>
        <w:t xml:space="preserve">Lisbon Valley, </w:t>
      </w:r>
      <w:r w:rsidR="00C602AB" w:rsidRPr="008378CC">
        <w:rPr>
          <w:szCs w:val="22"/>
        </w:rPr>
        <w:t xml:space="preserve">p. </w:t>
      </w:r>
      <w:r w:rsidR="00793BA9">
        <w:rPr>
          <w:szCs w:val="22"/>
        </w:rPr>
        <w:t>114.</w:t>
      </w:r>
    </w:p>
  </w:footnote>
  <w:footnote w:id="152">
    <w:p w14:paraId="439126D9" w14:textId="3CBCCA77" w:rsidR="00A66CF2" w:rsidRDefault="00A66CF2" w:rsidP="00A66CF2">
      <w:pPr>
        <w:pStyle w:val="FootnoteText"/>
      </w:pPr>
      <w:r>
        <w:rPr>
          <w:rStyle w:val="FootnoteReference"/>
        </w:rPr>
        <w:footnoteRef/>
      </w:r>
      <w:r>
        <w:t xml:space="preserve"> Malville, ‘Entangling the Cosmos’, pp</w:t>
      </w:r>
      <w:r w:rsidR="00E167EC">
        <w:t>.</w:t>
      </w:r>
      <w:r>
        <w:t xml:space="preserve"> 8-17.</w:t>
      </w:r>
    </w:p>
  </w:footnote>
  <w:footnote w:id="153">
    <w:p w14:paraId="5565F900" w14:textId="40628FD9" w:rsidR="004D09EB" w:rsidRPr="00D517EF" w:rsidRDefault="004D09EB" w:rsidP="004D09EB">
      <w:pPr>
        <w:pStyle w:val="FootnoteText"/>
        <w:rPr>
          <w:szCs w:val="22"/>
        </w:rPr>
      </w:pPr>
      <w:r w:rsidRPr="00D517EF">
        <w:rPr>
          <w:rStyle w:val="FootnoteReference"/>
          <w:szCs w:val="22"/>
        </w:rPr>
        <w:footnoteRef/>
      </w:r>
      <w:r w:rsidRPr="00D517EF">
        <w:rPr>
          <w:szCs w:val="22"/>
        </w:rPr>
        <w:t xml:space="preserve"> J. D. Lewis-Williams, ‘ACRA: a retrospect’, in </w:t>
      </w:r>
      <w:r w:rsidRPr="00D517EF">
        <w:rPr>
          <w:i/>
          <w:iCs/>
          <w:szCs w:val="22"/>
        </w:rPr>
        <w:t xml:space="preserve">Perceiving Rock Art: Social and Political Perspectives, </w:t>
      </w:r>
      <w:r w:rsidRPr="00D517EF">
        <w:rPr>
          <w:szCs w:val="22"/>
        </w:rPr>
        <w:t xml:space="preserve">by K. Helskog and B. Olsen (Oslo: Novus forlag, 1995), pp. 409-415, cited by David S. Whitley, ‘Science and the sacred: interpretive theory in U. S. rock art research’, in </w:t>
      </w:r>
      <w:r w:rsidRPr="00D517EF">
        <w:rPr>
          <w:i/>
          <w:iCs/>
          <w:szCs w:val="22"/>
        </w:rPr>
        <w:t>Theoretical Perspectives on Rock Art Research,</w:t>
      </w:r>
      <w:r w:rsidRPr="00D517EF">
        <w:rPr>
          <w:szCs w:val="22"/>
        </w:rPr>
        <w:t xml:space="preserve"> ed. by Knut Helskog (Oslo: Novus forlag, 2001), p. 124; Whitley, ‘Science and the sacred’, p. 125. </w:t>
      </w:r>
    </w:p>
  </w:footnote>
  <w:footnote w:id="154">
    <w:p w14:paraId="06F562A8" w14:textId="38CC824D" w:rsidR="00E65BD4" w:rsidRDefault="00E65BD4" w:rsidP="00E65BD4">
      <w:pPr>
        <w:autoSpaceDE w:val="0"/>
        <w:autoSpaceDN w:val="0"/>
        <w:adjustRightInd w:val="0"/>
        <w:spacing w:after="0" w:line="240" w:lineRule="auto"/>
      </w:pPr>
      <w:r>
        <w:rPr>
          <w:rStyle w:val="FootnoteReference"/>
        </w:rPr>
        <w:footnoteRef/>
      </w:r>
      <w:r>
        <w:t xml:space="preserve"> </w:t>
      </w:r>
      <w:r w:rsidRPr="00E65BD4">
        <w:rPr>
          <w:rFonts w:eastAsia="Code2000"/>
          <w:sz w:val="22"/>
          <w:szCs w:val="22"/>
        </w:rPr>
        <w:t>Alonso Mendez, Carol Karasik, Edwin L. Barnhart and Christopher</w:t>
      </w:r>
      <w:r w:rsidR="00B329FD">
        <w:rPr>
          <w:rFonts w:eastAsia="Code2000"/>
          <w:sz w:val="22"/>
          <w:szCs w:val="22"/>
        </w:rPr>
        <w:t xml:space="preserve"> </w:t>
      </w:r>
      <w:r w:rsidRPr="00E65BD4">
        <w:rPr>
          <w:rFonts w:eastAsia="Code2000"/>
          <w:sz w:val="22"/>
          <w:szCs w:val="22"/>
        </w:rPr>
        <w:t>Powell</w:t>
      </w:r>
      <w:r>
        <w:rPr>
          <w:rFonts w:eastAsia="Code2000"/>
          <w:sz w:val="22"/>
          <w:szCs w:val="22"/>
        </w:rPr>
        <w:t>, ‘</w:t>
      </w:r>
      <w:r w:rsidRPr="00E65BD4">
        <w:rPr>
          <w:rFonts w:eastAsia="Code2000"/>
          <w:sz w:val="22"/>
          <w:szCs w:val="22"/>
        </w:rPr>
        <w:t>The astronomical architecture of Palenque’s Temple of the Sun</w:t>
      </w:r>
      <w:r>
        <w:rPr>
          <w:rFonts w:eastAsia="Code2000"/>
          <w:sz w:val="22"/>
          <w:szCs w:val="22"/>
        </w:rPr>
        <w:t xml:space="preserve">’, in </w:t>
      </w:r>
      <w:r w:rsidRPr="00E65BD4">
        <w:rPr>
          <w:rFonts w:eastAsia="Code2000"/>
          <w:sz w:val="22"/>
          <w:szCs w:val="22"/>
        </w:rPr>
        <w:t>Archaeoastronomy and the Maya</w:t>
      </w:r>
      <w:r>
        <w:rPr>
          <w:rFonts w:eastAsia="Code2000"/>
          <w:sz w:val="22"/>
          <w:szCs w:val="22"/>
        </w:rPr>
        <w:t xml:space="preserve">, (eds.) </w:t>
      </w:r>
      <w:r w:rsidRPr="00E65BD4">
        <w:rPr>
          <w:rFonts w:eastAsia="Code2000"/>
          <w:sz w:val="22"/>
          <w:szCs w:val="22"/>
        </w:rPr>
        <w:t>Gerardo Aldana, Gerardo Villalobos and Edwin L. Barnhart</w:t>
      </w:r>
      <w:r>
        <w:rPr>
          <w:rFonts w:eastAsia="Code2000"/>
          <w:sz w:val="22"/>
          <w:szCs w:val="22"/>
        </w:rPr>
        <w:t xml:space="preserve"> (Oxford:</w:t>
      </w:r>
      <w:r w:rsidRPr="00E65BD4">
        <w:rPr>
          <w:rFonts w:eastAsia="Code2000"/>
          <w:sz w:val="22"/>
          <w:szCs w:val="22"/>
        </w:rPr>
        <w:t xml:space="preserve"> Oxbow Books</w:t>
      </w:r>
      <w:r w:rsidR="00B329FD">
        <w:rPr>
          <w:rFonts w:eastAsia="Code2000"/>
          <w:sz w:val="22"/>
          <w:szCs w:val="22"/>
        </w:rPr>
        <w:t xml:space="preserve">, 2014), pp. 59-61; </w:t>
      </w:r>
      <w:r w:rsidR="00B329FD" w:rsidRPr="00B329FD">
        <w:rPr>
          <w:sz w:val="22"/>
          <w:szCs w:val="22"/>
        </w:rPr>
        <w:t>Ivan Šprajc</w:t>
      </w:r>
      <w:r w:rsidR="00B329FD">
        <w:rPr>
          <w:sz w:val="22"/>
          <w:szCs w:val="22"/>
        </w:rPr>
        <w:t>, ‘</w:t>
      </w:r>
      <w:r w:rsidR="00B329FD" w:rsidRPr="00B329FD">
        <w:rPr>
          <w:sz w:val="22"/>
          <w:szCs w:val="22"/>
        </w:rPr>
        <w:t>Astronomical Alignments at Teotihuacan, Mexico</w:t>
      </w:r>
      <w:r w:rsidR="00B329FD">
        <w:rPr>
          <w:sz w:val="22"/>
          <w:szCs w:val="22"/>
        </w:rPr>
        <w:t xml:space="preserve">’, </w:t>
      </w:r>
      <w:r w:rsidR="00B329FD" w:rsidRPr="00B329FD">
        <w:rPr>
          <w:i/>
          <w:iCs/>
          <w:sz w:val="22"/>
          <w:szCs w:val="22"/>
        </w:rPr>
        <w:t>Latin American Antiquity</w:t>
      </w:r>
      <w:r w:rsidR="00B329FD" w:rsidRPr="00B329FD">
        <w:rPr>
          <w:sz w:val="22"/>
          <w:szCs w:val="22"/>
        </w:rPr>
        <w:t xml:space="preserve">, Vol. 11, No. 4 (Dec. 2000), </w:t>
      </w:r>
      <w:r w:rsidR="00B329FD">
        <w:rPr>
          <w:sz w:val="22"/>
          <w:szCs w:val="22"/>
        </w:rPr>
        <w:t>pp. 405-408.</w:t>
      </w:r>
    </w:p>
  </w:footnote>
  <w:footnote w:id="155">
    <w:p w14:paraId="5979288B" w14:textId="3A5C5CE5" w:rsidR="00EB6EE8" w:rsidRDefault="00EB6EE8" w:rsidP="00FA7064">
      <w:pPr>
        <w:spacing w:after="0" w:line="240" w:lineRule="auto"/>
      </w:pPr>
      <w:r w:rsidRPr="00D517EF">
        <w:rPr>
          <w:rStyle w:val="FootnoteReference"/>
          <w:sz w:val="22"/>
          <w:szCs w:val="22"/>
        </w:rPr>
        <w:footnoteRef/>
      </w:r>
      <w:bookmarkStart w:id="64" w:name="_Hlk97543171"/>
      <w:r w:rsidRPr="00D517EF">
        <w:rPr>
          <w:sz w:val="22"/>
          <w:szCs w:val="22"/>
        </w:rPr>
        <w:t xml:space="preserve"> </w:t>
      </w:r>
      <w:r w:rsidR="00B01306" w:rsidRPr="00D517EF">
        <w:rPr>
          <w:sz w:val="22"/>
          <w:szCs w:val="22"/>
        </w:rPr>
        <w:t xml:space="preserve">Patterson, ‘Petroglyphs of Western Colorado’, </w:t>
      </w:r>
      <w:r w:rsidRPr="00D517EF">
        <w:rPr>
          <w:sz w:val="22"/>
          <w:szCs w:val="22"/>
        </w:rPr>
        <w:t>p. 5</w:t>
      </w:r>
      <w:r w:rsidR="00FA7064">
        <w:rPr>
          <w:sz w:val="22"/>
          <w:szCs w:val="22"/>
        </w:rPr>
        <w:t>.</w:t>
      </w:r>
      <w:bookmarkEnd w:id="64"/>
    </w:p>
  </w:footnote>
  <w:footnote w:id="156">
    <w:p w14:paraId="5430F314" w14:textId="6297E10B" w:rsidR="00085830" w:rsidRDefault="00085830" w:rsidP="00085830">
      <w:pPr>
        <w:pStyle w:val="FootnoteText"/>
      </w:pPr>
      <w:r>
        <w:rPr>
          <w:rStyle w:val="FootnoteReference"/>
        </w:rPr>
        <w:footnoteRef/>
      </w:r>
      <w:r>
        <w:t xml:space="preserve"> </w:t>
      </w:r>
      <w:bookmarkStart w:id="65" w:name="_Hlk97543280"/>
      <w:r>
        <w:t>Ekkehart Malotki and Dennis E. Weaver,</w:t>
      </w:r>
      <w:r w:rsidRPr="00642CF7">
        <w:t xml:space="preserve"> </w:t>
      </w:r>
      <w:r>
        <w:t xml:space="preserve">Jr., </w:t>
      </w:r>
      <w:r w:rsidRPr="00642CF7">
        <w:rPr>
          <w:i/>
          <w:iCs/>
        </w:rPr>
        <w:t>Stone Chisel and Yucca Brush: Colorado Plateau Rock Art</w:t>
      </w:r>
      <w:r>
        <w:t>, (Walnut, CA: Kiva Publishing, 2002), p</w:t>
      </w:r>
      <w:bookmarkEnd w:id="65"/>
      <w:r w:rsidR="003E2EFD">
        <w:t>. 90.</w:t>
      </w:r>
    </w:p>
  </w:footnote>
  <w:footnote w:id="157">
    <w:p w14:paraId="721FC003" w14:textId="39EEE5B4" w:rsidR="004E1B47" w:rsidRDefault="004E1B47" w:rsidP="004E1B47">
      <w:pPr>
        <w:pStyle w:val="FootnoteText"/>
      </w:pPr>
      <w:r>
        <w:rPr>
          <w:rStyle w:val="FootnoteReference"/>
        </w:rPr>
        <w:footnoteRef/>
      </w:r>
      <w:r>
        <w:t xml:space="preserve"> Alex K. Carroll, M. Nieves Zedeño and Richard W. Stoffle, ‘Landscapes of the Ghost Dance: A Cartography of Numic Ritual’, </w:t>
      </w:r>
      <w:r w:rsidRPr="004E1B47">
        <w:rPr>
          <w:i/>
          <w:iCs/>
        </w:rPr>
        <w:t>Journal of Archaeological Method and Theory</w:t>
      </w:r>
      <w:r>
        <w:t>, Vol. 11, No. 2,</w:t>
      </w:r>
    </w:p>
    <w:p w14:paraId="6B884693" w14:textId="203545AF" w:rsidR="004E1B47" w:rsidRDefault="004E1B47" w:rsidP="004E1B47">
      <w:pPr>
        <w:pStyle w:val="FootnoteText"/>
      </w:pPr>
      <w:r>
        <w:t>Recent Advances in the Archaeology of Place, Part 2 (Jun. 2004), p. 132.</w:t>
      </w:r>
    </w:p>
  </w:footnote>
  <w:footnote w:id="158">
    <w:p w14:paraId="16D54964" w14:textId="505B56DC" w:rsidR="008D5E3C" w:rsidRPr="00C22C63" w:rsidRDefault="008D5E3C">
      <w:pPr>
        <w:pStyle w:val="FootnoteText"/>
      </w:pPr>
      <w:r>
        <w:rPr>
          <w:rStyle w:val="FootnoteReference"/>
        </w:rPr>
        <w:footnoteRef/>
      </w:r>
      <w:r>
        <w:t xml:space="preserve"> </w:t>
      </w:r>
      <w:r w:rsidR="00C22C63">
        <w:t>Whitley, ‘Finding Rain’, pp. 18-26.</w:t>
      </w:r>
    </w:p>
  </w:footnote>
  <w:footnote w:id="159">
    <w:p w14:paraId="063F921A" w14:textId="77777777" w:rsidR="006C1DFF" w:rsidRPr="006574C9" w:rsidRDefault="006C1DFF" w:rsidP="006C1DFF">
      <w:pPr>
        <w:pStyle w:val="FootnoteText"/>
        <w:rPr>
          <w:szCs w:val="22"/>
        </w:rPr>
      </w:pPr>
      <w:r w:rsidRPr="006574C9">
        <w:rPr>
          <w:rStyle w:val="FootnoteReference"/>
          <w:szCs w:val="22"/>
        </w:rPr>
        <w:footnoteRef/>
      </w:r>
      <w:r w:rsidRPr="006574C9">
        <w:rPr>
          <w:szCs w:val="22"/>
        </w:rPr>
        <w:t xml:space="preserve"> Smiley, </w:t>
      </w:r>
      <w:r w:rsidRPr="006574C9">
        <w:rPr>
          <w:i/>
          <w:iCs/>
          <w:szCs w:val="22"/>
        </w:rPr>
        <w:t>Kayenta,</w:t>
      </w:r>
      <w:r w:rsidRPr="006574C9">
        <w:rPr>
          <w:szCs w:val="22"/>
        </w:rPr>
        <w:t xml:space="preserve"> p. 59.</w:t>
      </w:r>
    </w:p>
  </w:footnote>
  <w:footnote w:id="160">
    <w:p w14:paraId="27DB932D" w14:textId="4AE5D181" w:rsidR="008035E2" w:rsidRPr="006574C9" w:rsidRDefault="008035E2">
      <w:pPr>
        <w:pStyle w:val="FootnoteText"/>
        <w:rPr>
          <w:szCs w:val="22"/>
        </w:rPr>
      </w:pPr>
      <w:r w:rsidRPr="006574C9">
        <w:rPr>
          <w:rStyle w:val="FootnoteReference"/>
          <w:szCs w:val="22"/>
        </w:rPr>
        <w:footnoteRef/>
      </w:r>
      <w:r w:rsidRPr="006574C9">
        <w:rPr>
          <w:szCs w:val="22"/>
        </w:rPr>
        <w:t xml:space="preserve"> Alexandra Sanmark, ‘Assembly Research: Past and Present’, in </w:t>
      </w:r>
      <w:r w:rsidRPr="006574C9">
        <w:rPr>
          <w:i/>
          <w:iCs/>
          <w:szCs w:val="22"/>
        </w:rPr>
        <w:t>Viking Law and Order</w:t>
      </w:r>
      <w:r w:rsidRPr="006574C9">
        <w:rPr>
          <w:szCs w:val="22"/>
        </w:rPr>
        <w:t xml:space="preserve">: </w:t>
      </w:r>
      <w:r w:rsidRPr="006574C9">
        <w:rPr>
          <w:i/>
          <w:iCs/>
          <w:szCs w:val="22"/>
        </w:rPr>
        <w:t>Places and Rituals of Assembly in the Medieval North</w:t>
      </w:r>
      <w:r w:rsidRPr="006574C9">
        <w:rPr>
          <w:szCs w:val="22"/>
        </w:rPr>
        <w:t xml:space="preserve"> (Edinburgh: Edinburgh University Press,</w:t>
      </w:r>
      <w:r w:rsidR="0063383D">
        <w:rPr>
          <w:szCs w:val="22"/>
        </w:rPr>
        <w:t xml:space="preserve"> 2019)</w:t>
      </w:r>
      <w:r w:rsidR="00A351E1">
        <w:rPr>
          <w:szCs w:val="22"/>
        </w:rPr>
        <w:t>, p.</w:t>
      </w:r>
      <w:r w:rsidR="00E167EC">
        <w:rPr>
          <w:szCs w:val="22"/>
        </w:rPr>
        <w:t xml:space="preserve"> 4.</w:t>
      </w:r>
    </w:p>
  </w:footnote>
  <w:footnote w:id="161">
    <w:p w14:paraId="3E97E6FF" w14:textId="274B4F06" w:rsidR="00EF1D02" w:rsidRPr="006574C9" w:rsidRDefault="00EF1D02" w:rsidP="0068455A">
      <w:pPr>
        <w:pStyle w:val="FootnoteText"/>
        <w:rPr>
          <w:szCs w:val="22"/>
        </w:rPr>
      </w:pPr>
      <w:r w:rsidRPr="006574C9">
        <w:rPr>
          <w:rStyle w:val="FootnoteReference"/>
          <w:szCs w:val="22"/>
        </w:rPr>
        <w:footnoteRef/>
      </w:r>
      <w:r w:rsidRPr="006574C9">
        <w:rPr>
          <w:szCs w:val="22"/>
        </w:rPr>
        <w:t xml:space="preserve"> Malotki and Weaver, </w:t>
      </w:r>
      <w:r w:rsidRPr="006574C9">
        <w:rPr>
          <w:i/>
          <w:iCs/>
          <w:szCs w:val="22"/>
        </w:rPr>
        <w:t>Stone Chisel,</w:t>
      </w:r>
      <w:r w:rsidRPr="006574C9">
        <w:rPr>
          <w:szCs w:val="22"/>
        </w:rPr>
        <w:t xml:space="preserve"> </w:t>
      </w:r>
      <w:r w:rsidR="00BB4406">
        <w:rPr>
          <w:szCs w:val="22"/>
        </w:rPr>
        <w:t>p. 61.</w:t>
      </w:r>
    </w:p>
  </w:footnote>
  <w:footnote w:id="162">
    <w:p w14:paraId="6A8F44AB" w14:textId="77777777" w:rsidR="00EB5FDC" w:rsidRPr="00085847" w:rsidRDefault="00EB5FDC" w:rsidP="00EB5FDC">
      <w:pPr>
        <w:pStyle w:val="FootnoteText"/>
      </w:pPr>
      <w:r w:rsidRPr="006574C9">
        <w:rPr>
          <w:rStyle w:val="FootnoteReference"/>
          <w:szCs w:val="22"/>
        </w:rPr>
        <w:footnoteRef/>
      </w:r>
      <w:r w:rsidRPr="006574C9">
        <w:rPr>
          <w:szCs w:val="22"/>
        </w:rPr>
        <w:t xml:space="preserve"> Margarita Dìaz-Andreu, Angelo Farina, Enrico Armelloni, Laura Coltofean, Mathieu Picas and Tommaso Mattioli, ‘Acoustic effects at prehistoric landscapes: an archaeoacoustics analysis of rock art sites from the Western Mediterranean’, </w:t>
      </w:r>
      <w:r w:rsidRPr="006574C9">
        <w:rPr>
          <w:i/>
          <w:iCs/>
          <w:szCs w:val="22"/>
        </w:rPr>
        <w:t>Proceedings of the 23</w:t>
      </w:r>
      <w:r w:rsidRPr="006574C9">
        <w:rPr>
          <w:i/>
          <w:iCs/>
          <w:szCs w:val="22"/>
          <w:vertAlign w:val="superscript"/>
        </w:rPr>
        <w:t>rd</w:t>
      </w:r>
      <w:r w:rsidRPr="006574C9">
        <w:rPr>
          <w:i/>
          <w:iCs/>
          <w:szCs w:val="22"/>
        </w:rPr>
        <w:t xml:space="preserve"> International Congress on Acoustics, </w:t>
      </w:r>
      <w:r w:rsidRPr="006574C9">
        <w:rPr>
          <w:szCs w:val="22"/>
        </w:rPr>
        <w:t>(Sept. 2019), pp. 281-287.</w:t>
      </w:r>
    </w:p>
  </w:footnote>
  <w:footnote w:id="163">
    <w:p w14:paraId="56305D50" w14:textId="50B0B688" w:rsidR="00AD3A27" w:rsidRPr="0034558D" w:rsidRDefault="00CF3E5B" w:rsidP="00AD3A27">
      <w:pPr>
        <w:autoSpaceDE w:val="0"/>
        <w:autoSpaceDN w:val="0"/>
        <w:adjustRightInd w:val="0"/>
        <w:spacing w:after="0" w:line="240" w:lineRule="auto"/>
        <w:rPr>
          <w:sz w:val="22"/>
          <w:szCs w:val="22"/>
        </w:rPr>
      </w:pPr>
      <w:r w:rsidRPr="006574C9">
        <w:rPr>
          <w:rStyle w:val="FootnoteReference"/>
          <w:sz w:val="22"/>
          <w:szCs w:val="22"/>
        </w:rPr>
        <w:footnoteRef/>
      </w:r>
      <w:r w:rsidRPr="006574C9">
        <w:rPr>
          <w:sz w:val="22"/>
          <w:szCs w:val="22"/>
        </w:rPr>
        <w:t xml:space="preserve"> </w:t>
      </w:r>
      <w:r w:rsidR="00AD3A27" w:rsidRPr="0034558D">
        <w:rPr>
          <w:sz w:val="22"/>
          <w:szCs w:val="22"/>
        </w:rPr>
        <w:t>Steven Waller, ‘Spatial Correlation of Rock Art and Acoustics Exemplified in Hor</w:t>
      </w:r>
      <w:r w:rsidR="00431CD6">
        <w:rPr>
          <w:sz w:val="22"/>
          <w:szCs w:val="22"/>
        </w:rPr>
        <w:t>s</w:t>
      </w:r>
      <w:r w:rsidR="00AD3A27" w:rsidRPr="0034558D">
        <w:rPr>
          <w:sz w:val="22"/>
          <w:szCs w:val="22"/>
        </w:rPr>
        <w:t>eshoe Canyon.’</w:t>
      </w:r>
    </w:p>
    <w:p w14:paraId="77F264FB" w14:textId="5019BE1E" w:rsidR="00CF3E5B" w:rsidRPr="0034558D" w:rsidRDefault="00AD3A27" w:rsidP="00AD3A27">
      <w:pPr>
        <w:pStyle w:val="FootnoteText"/>
        <w:rPr>
          <w:szCs w:val="22"/>
        </w:rPr>
      </w:pPr>
      <w:r w:rsidRPr="0034558D">
        <w:rPr>
          <w:i/>
          <w:iCs/>
          <w:szCs w:val="22"/>
        </w:rPr>
        <w:t xml:space="preserve">American Indian Rock Art, Vol. </w:t>
      </w:r>
      <w:r w:rsidRPr="0034558D">
        <w:rPr>
          <w:szCs w:val="22"/>
        </w:rPr>
        <w:t>24</w:t>
      </w:r>
      <w:r w:rsidR="00625949" w:rsidRPr="0034558D">
        <w:rPr>
          <w:szCs w:val="22"/>
        </w:rPr>
        <w:t xml:space="preserve">, (2000), pp. </w:t>
      </w:r>
      <w:r w:rsidRPr="0034558D">
        <w:rPr>
          <w:szCs w:val="22"/>
        </w:rPr>
        <w:t xml:space="preserve">85–94, cited by David S. Whitley, ‘Issues in Archaeoastronomy and Rock Art’, </w:t>
      </w:r>
      <w:r w:rsidRPr="0034558D">
        <w:rPr>
          <w:i/>
          <w:iCs/>
          <w:szCs w:val="22"/>
        </w:rPr>
        <w:t>International Council on Monuments and Sites, Comite Internationale de Arte Rupestre</w:t>
      </w:r>
      <w:r w:rsidR="00B47230" w:rsidRPr="0034558D">
        <w:rPr>
          <w:i/>
          <w:iCs/>
          <w:szCs w:val="22"/>
        </w:rPr>
        <w:t xml:space="preserve">, </w:t>
      </w:r>
      <w:r w:rsidR="00B47230" w:rsidRPr="0034558D">
        <w:rPr>
          <w:szCs w:val="22"/>
        </w:rPr>
        <w:t>(2006), p. 90.</w:t>
      </w:r>
    </w:p>
  </w:footnote>
  <w:footnote w:id="164">
    <w:p w14:paraId="373A1356" w14:textId="1E3E0ED5" w:rsidR="00B41927" w:rsidRPr="0034558D" w:rsidRDefault="00B41927" w:rsidP="0068455A">
      <w:pPr>
        <w:pStyle w:val="FootnoteText"/>
        <w:rPr>
          <w:szCs w:val="22"/>
        </w:rPr>
      </w:pPr>
      <w:r w:rsidRPr="0034558D">
        <w:rPr>
          <w:rStyle w:val="FootnoteReference"/>
          <w:szCs w:val="22"/>
        </w:rPr>
        <w:footnoteRef/>
      </w:r>
      <w:r w:rsidRPr="0034558D">
        <w:rPr>
          <w:szCs w:val="22"/>
        </w:rPr>
        <w:t xml:space="preserve"> Malotki and Weaver, </w:t>
      </w:r>
      <w:r w:rsidRPr="0034558D">
        <w:rPr>
          <w:i/>
          <w:iCs/>
          <w:szCs w:val="22"/>
        </w:rPr>
        <w:t>Stone Chisel,</w:t>
      </w:r>
      <w:r w:rsidRPr="0034558D">
        <w:rPr>
          <w:szCs w:val="22"/>
        </w:rPr>
        <w:t xml:space="preserve"> </w:t>
      </w:r>
      <w:r w:rsidR="00BB4406" w:rsidRPr="0034558D">
        <w:rPr>
          <w:szCs w:val="22"/>
        </w:rPr>
        <w:t>p. 65.</w:t>
      </w:r>
    </w:p>
  </w:footnote>
  <w:footnote w:id="165">
    <w:p w14:paraId="75ED5056" w14:textId="77777777" w:rsidR="0070320F" w:rsidRPr="0034558D" w:rsidRDefault="0070320F" w:rsidP="0070320F">
      <w:pPr>
        <w:pStyle w:val="FootnoteText"/>
        <w:rPr>
          <w:szCs w:val="22"/>
        </w:rPr>
      </w:pPr>
      <w:r w:rsidRPr="0034558D">
        <w:rPr>
          <w:rStyle w:val="FootnoteReference"/>
          <w:szCs w:val="22"/>
        </w:rPr>
        <w:footnoteRef/>
      </w:r>
      <w:r w:rsidRPr="0034558D">
        <w:rPr>
          <w:szCs w:val="22"/>
        </w:rPr>
        <w:t xml:space="preserve"> David S. Whitley, Joseph M. Simon and Ronald I. Dorn, ‘The Vision Quest in Coso Range’, </w:t>
      </w:r>
      <w:r w:rsidRPr="0034558D">
        <w:rPr>
          <w:i/>
          <w:iCs/>
          <w:szCs w:val="22"/>
        </w:rPr>
        <w:t xml:space="preserve">American Indian Rock Art, </w:t>
      </w:r>
      <w:r w:rsidRPr="0034558D">
        <w:rPr>
          <w:szCs w:val="22"/>
        </w:rPr>
        <w:t>Vol. 25, (1999), pp. 1-31.</w:t>
      </w:r>
    </w:p>
  </w:footnote>
  <w:footnote w:id="166">
    <w:p w14:paraId="070A63F3" w14:textId="075FF2E3" w:rsidR="00EF3F50" w:rsidRPr="0034558D" w:rsidRDefault="00EF3F50">
      <w:pPr>
        <w:pStyle w:val="FootnoteText"/>
        <w:rPr>
          <w:szCs w:val="22"/>
        </w:rPr>
      </w:pPr>
      <w:r w:rsidRPr="0034558D">
        <w:rPr>
          <w:rStyle w:val="FootnoteReference"/>
          <w:szCs w:val="22"/>
        </w:rPr>
        <w:footnoteRef/>
      </w:r>
      <w:r w:rsidRPr="0034558D">
        <w:rPr>
          <w:szCs w:val="22"/>
        </w:rPr>
        <w:t xml:space="preserve"> </w:t>
      </w:r>
      <w:r w:rsidR="006909AA" w:rsidRPr="0034558D">
        <w:rPr>
          <w:szCs w:val="22"/>
        </w:rPr>
        <w:t xml:space="preserve">J. David Lewis-Williams and Thomas A. Dowson, ‘Through the Veil: San Rock Paintings and the Rock Face’, </w:t>
      </w:r>
      <w:r w:rsidR="006909AA" w:rsidRPr="0034558D">
        <w:rPr>
          <w:i/>
          <w:iCs/>
          <w:szCs w:val="22"/>
        </w:rPr>
        <w:t>The South African Archaeological Bulletin</w:t>
      </w:r>
      <w:r w:rsidR="006909AA" w:rsidRPr="0034558D">
        <w:rPr>
          <w:szCs w:val="22"/>
        </w:rPr>
        <w:t>, Vol. 45, No. 151 (Jun., 1990)</w:t>
      </w:r>
      <w:r w:rsidRPr="0034558D">
        <w:rPr>
          <w:szCs w:val="22"/>
        </w:rPr>
        <w:t xml:space="preserve">, </w:t>
      </w:r>
      <w:r w:rsidR="00D45660" w:rsidRPr="0034558D">
        <w:rPr>
          <w:szCs w:val="22"/>
        </w:rPr>
        <w:t xml:space="preserve">pp. 5-16; </w:t>
      </w:r>
      <w:bookmarkStart w:id="66" w:name="_Hlk97810589"/>
      <w:r w:rsidR="00D45660" w:rsidRPr="0034558D">
        <w:rPr>
          <w:szCs w:val="22"/>
        </w:rPr>
        <w:t>Polly Schaafsma and M. Jane Young, ‘Rock Art of the Zuni Region: Cultural-Historical Implications’ in</w:t>
      </w:r>
      <w:r w:rsidR="00D45660" w:rsidRPr="0034558D">
        <w:rPr>
          <w:i/>
          <w:iCs/>
          <w:szCs w:val="22"/>
        </w:rPr>
        <w:t xml:space="preserve"> Zuni Origins: Toward a New Synthesis of Southwestern Archaeology, </w:t>
      </w:r>
      <w:r w:rsidR="00D45660" w:rsidRPr="0034558D">
        <w:rPr>
          <w:szCs w:val="22"/>
        </w:rPr>
        <w:t xml:space="preserve">ed. by David A. Gregory and David R. Wilcox (Tucson: Published by: University of Arizona Press, 2007), </w:t>
      </w:r>
      <w:bookmarkEnd w:id="66"/>
      <w:r w:rsidR="00D45660" w:rsidRPr="0034558D">
        <w:rPr>
          <w:szCs w:val="22"/>
        </w:rPr>
        <w:t xml:space="preserve">p. 254; Malotki and Dissanayake, </w:t>
      </w:r>
      <w:r w:rsidR="00D45660" w:rsidRPr="0034558D">
        <w:rPr>
          <w:i/>
          <w:iCs/>
          <w:szCs w:val="22"/>
        </w:rPr>
        <w:t xml:space="preserve">Early Rock Art, </w:t>
      </w:r>
      <w:r w:rsidR="00D45660" w:rsidRPr="0034558D">
        <w:rPr>
          <w:szCs w:val="22"/>
        </w:rPr>
        <w:t>pp. 169-176; David S. Whitley, ‘Rock Art, Religion and Ritual’</w:t>
      </w:r>
      <w:r w:rsidR="00E049B1" w:rsidRPr="0034558D">
        <w:rPr>
          <w:szCs w:val="22"/>
        </w:rPr>
        <w:t>,</w:t>
      </w:r>
      <w:r w:rsidR="00D45660" w:rsidRPr="0034558D">
        <w:rPr>
          <w:szCs w:val="22"/>
        </w:rPr>
        <w:t xml:space="preserve"> </w:t>
      </w:r>
      <w:r w:rsidR="00E049B1" w:rsidRPr="0034558D">
        <w:rPr>
          <w:szCs w:val="22"/>
        </w:rPr>
        <w:t xml:space="preserve">pp. 307-327. </w:t>
      </w:r>
      <w:hyperlink r:id="rId7" w:history="1">
        <w:r w:rsidR="00E049B1" w:rsidRPr="0034558D">
          <w:rPr>
            <w:rStyle w:val="Hyperlink"/>
            <w:szCs w:val="22"/>
          </w:rPr>
          <w:t>https://www.academia.edu/14548487/Rock_Art_Religion_and_Ritual</w:t>
        </w:r>
      </w:hyperlink>
      <w:r w:rsidR="00E049B1" w:rsidRPr="0034558D">
        <w:rPr>
          <w:szCs w:val="22"/>
        </w:rPr>
        <w:t xml:space="preserve"> [accessed April 5, 2022].</w:t>
      </w:r>
    </w:p>
  </w:footnote>
  <w:footnote w:id="167">
    <w:p w14:paraId="4725AE16" w14:textId="77777777" w:rsidR="002A15EC" w:rsidRDefault="002A15EC" w:rsidP="002A15EC">
      <w:pPr>
        <w:pStyle w:val="FootnoteText"/>
      </w:pPr>
      <w:r w:rsidRPr="0034558D">
        <w:rPr>
          <w:rStyle w:val="FootnoteReference"/>
          <w:szCs w:val="22"/>
        </w:rPr>
        <w:footnoteRef/>
      </w:r>
      <w:r w:rsidRPr="0034558D">
        <w:rPr>
          <w:szCs w:val="22"/>
        </w:rPr>
        <w:t xml:space="preserve"> Whitley, ‘Science and the sacred’, p. 139.</w:t>
      </w:r>
    </w:p>
  </w:footnote>
  <w:footnote w:id="168">
    <w:p w14:paraId="1C0F3E5A" w14:textId="69D051C4" w:rsidR="00785F3E" w:rsidRDefault="00785F3E">
      <w:pPr>
        <w:pStyle w:val="FootnoteText"/>
      </w:pPr>
      <w:r>
        <w:rPr>
          <w:rStyle w:val="FootnoteReference"/>
        </w:rPr>
        <w:footnoteRef/>
      </w:r>
      <w:r>
        <w:t xml:space="preserve"> Whitley, ‘Rock Art, Religion and Ritual’, p.</w:t>
      </w:r>
      <w:r w:rsidR="00A71928">
        <w:t xml:space="preserve"> 321.</w:t>
      </w:r>
    </w:p>
  </w:footnote>
  <w:footnote w:id="169">
    <w:p w14:paraId="531847D4" w14:textId="77777777" w:rsidR="00EB409A" w:rsidRDefault="00EB409A" w:rsidP="00EB409A">
      <w:pPr>
        <w:pStyle w:val="FootnoteText"/>
      </w:pPr>
      <w:r>
        <w:rPr>
          <w:rStyle w:val="FootnoteReference"/>
        </w:rPr>
        <w:footnoteRef/>
      </w:r>
      <w:r>
        <w:t xml:space="preserve"> Whitley, ‘Science and the sacred’, pp. 132-133.</w:t>
      </w:r>
    </w:p>
  </w:footnote>
  <w:footnote w:id="170">
    <w:p w14:paraId="65887012" w14:textId="77777777" w:rsidR="00EB409A" w:rsidRDefault="00EB409A" w:rsidP="00EB409A">
      <w:pPr>
        <w:pStyle w:val="FootnoteText"/>
      </w:pPr>
      <w:r>
        <w:rPr>
          <w:rStyle w:val="FootnoteReference"/>
        </w:rPr>
        <w:footnoteRef/>
      </w:r>
      <w:r>
        <w:t xml:space="preserve"> Whitley, ‘Science and the sacred’, p. 133.</w:t>
      </w:r>
    </w:p>
  </w:footnote>
  <w:footnote w:id="171">
    <w:p w14:paraId="79C965B4" w14:textId="2BAF2A0A" w:rsidR="00EB409A" w:rsidRDefault="00EB409A" w:rsidP="00EB409A">
      <w:pPr>
        <w:pStyle w:val="FootnoteText"/>
      </w:pPr>
      <w:r>
        <w:rPr>
          <w:rStyle w:val="FootnoteReference"/>
        </w:rPr>
        <w:footnoteRef/>
      </w:r>
      <w:r>
        <w:t xml:space="preserve"> Ellis, ‘</w:t>
      </w:r>
      <w:r w:rsidRPr="001C36E0">
        <w:t>Pueblo</w:t>
      </w:r>
      <w:r>
        <w:t>’</w:t>
      </w:r>
      <w:r w:rsidRPr="001C36E0">
        <w:t>,</w:t>
      </w:r>
      <w:r>
        <w:t xml:space="preserve"> p. 65</w:t>
      </w:r>
      <w:r w:rsidR="00163EAD">
        <w:t>1</w:t>
      </w:r>
      <w:r>
        <w:t>1.</w:t>
      </w:r>
    </w:p>
  </w:footnote>
  <w:footnote w:id="172">
    <w:p w14:paraId="11647A23" w14:textId="77777777" w:rsidR="00EB409A" w:rsidRDefault="00EB409A" w:rsidP="00EB409A">
      <w:pPr>
        <w:pStyle w:val="FootnoteText"/>
      </w:pPr>
      <w:r>
        <w:rPr>
          <w:rStyle w:val="FootnoteReference"/>
        </w:rPr>
        <w:footnoteRef/>
      </w:r>
      <w:r>
        <w:t xml:space="preserve"> Malotki, </w:t>
      </w:r>
      <w:r w:rsidRPr="005A70FE">
        <w:rPr>
          <w:i/>
          <w:iCs/>
        </w:rPr>
        <w:t>Early Rock Art,</w:t>
      </w:r>
      <w:r>
        <w:t xml:space="preserve"> p. 68.</w:t>
      </w:r>
    </w:p>
  </w:footnote>
  <w:footnote w:id="173">
    <w:p w14:paraId="56AE5B31" w14:textId="77777777" w:rsidR="00EB409A" w:rsidRPr="00D517EF" w:rsidRDefault="00EB409A" w:rsidP="00EB409A">
      <w:pPr>
        <w:spacing w:after="0" w:line="240" w:lineRule="auto"/>
        <w:rPr>
          <w:sz w:val="22"/>
          <w:szCs w:val="22"/>
        </w:rPr>
      </w:pPr>
      <w:r w:rsidRPr="00D517EF">
        <w:rPr>
          <w:rStyle w:val="FootnoteReference"/>
          <w:sz w:val="22"/>
          <w:szCs w:val="22"/>
        </w:rPr>
        <w:footnoteRef/>
      </w:r>
      <w:r w:rsidRPr="00D517EF">
        <w:rPr>
          <w:sz w:val="22"/>
          <w:szCs w:val="22"/>
        </w:rPr>
        <w:t xml:space="preserve"> J. McKim Malville,</w:t>
      </w:r>
      <w:r w:rsidRPr="00D517EF">
        <w:rPr>
          <w:i/>
          <w:iCs/>
          <w:sz w:val="22"/>
          <w:szCs w:val="22"/>
        </w:rPr>
        <w:t xml:space="preserve"> </w:t>
      </w:r>
      <w:r w:rsidRPr="00D517EF">
        <w:rPr>
          <w:sz w:val="22"/>
          <w:szCs w:val="22"/>
        </w:rPr>
        <w:t>‘Astronomy and Social Integration Among the Anasazi’</w:t>
      </w:r>
      <w:r w:rsidRPr="00D517EF">
        <w:rPr>
          <w:i/>
          <w:iCs/>
          <w:sz w:val="22"/>
          <w:szCs w:val="22"/>
        </w:rPr>
        <w:t xml:space="preserve"> in Proceedings of the Anasazi Symposium 1991, </w:t>
      </w:r>
      <w:r w:rsidRPr="00D517EF">
        <w:rPr>
          <w:sz w:val="22"/>
          <w:szCs w:val="22"/>
        </w:rPr>
        <w:t>compiled by Art Hutchinson and Jack E. Smith (Mesa Verde: Mesa Verde Museum Association, 1991), pp. 149-156.</w:t>
      </w:r>
    </w:p>
  </w:footnote>
  <w:footnote w:id="174">
    <w:p w14:paraId="70F3AD3E" w14:textId="10ACEB57" w:rsidR="00EC2121" w:rsidRPr="00EC2121" w:rsidRDefault="00EC2121">
      <w:pPr>
        <w:pStyle w:val="FootnoteText"/>
      </w:pPr>
      <w:r>
        <w:rPr>
          <w:rStyle w:val="FootnoteReference"/>
        </w:rPr>
        <w:footnoteRef/>
      </w:r>
      <w:r>
        <w:t xml:space="preserve"> Malotki and Dissanayake, </w:t>
      </w:r>
      <w:r>
        <w:rPr>
          <w:i/>
          <w:iCs/>
        </w:rPr>
        <w:t>Early Rock Art,</w:t>
      </w:r>
      <w:r>
        <w:t xml:space="preserve"> p. 110.</w:t>
      </w:r>
    </w:p>
  </w:footnote>
  <w:footnote w:id="175">
    <w:p w14:paraId="02E73B44" w14:textId="279EB83F" w:rsidR="00BE3F34" w:rsidRDefault="00BE3F34">
      <w:pPr>
        <w:pStyle w:val="FootnoteText"/>
      </w:pPr>
      <w:r>
        <w:rPr>
          <w:rStyle w:val="FootnoteReference"/>
        </w:rPr>
        <w:footnoteRef/>
      </w:r>
      <w:r>
        <w:t xml:space="preserve"> Whitley, ‘Finding Rain’, pp. 18-27.</w:t>
      </w:r>
    </w:p>
  </w:footnote>
  <w:footnote w:id="176">
    <w:p w14:paraId="2AA41A92" w14:textId="0BD798B0" w:rsidR="00D26023" w:rsidRDefault="00D26023">
      <w:pPr>
        <w:pStyle w:val="FootnoteText"/>
      </w:pPr>
      <w:r>
        <w:rPr>
          <w:rStyle w:val="FootnoteReference"/>
        </w:rPr>
        <w:footnoteRef/>
      </w:r>
      <w:r>
        <w:t xml:space="preserve"> </w:t>
      </w:r>
      <w:r w:rsidR="003D0871" w:rsidRPr="00652291">
        <w:rPr>
          <w:szCs w:val="22"/>
        </w:rPr>
        <w:t>Scott G. Ortman, ‘</w:t>
      </w:r>
      <w:r w:rsidRPr="00652291">
        <w:rPr>
          <w:szCs w:val="22"/>
        </w:rPr>
        <w:t>Architectural Metaphor and Chacoan Influence in the Northern San Juan</w:t>
      </w:r>
      <w:r w:rsidR="003D0871" w:rsidRPr="00652291">
        <w:rPr>
          <w:szCs w:val="22"/>
        </w:rPr>
        <w:t>’, in ‘</w:t>
      </w:r>
      <w:r w:rsidRPr="00652291">
        <w:rPr>
          <w:szCs w:val="22"/>
        </w:rPr>
        <w:t>Archaeology without Borders: Contact, Commerce, and Change in the U.S. Southwest and Northwestern Mexico</w:t>
      </w:r>
      <w:r w:rsidR="003D0871" w:rsidRPr="00652291">
        <w:rPr>
          <w:szCs w:val="22"/>
        </w:rPr>
        <w:t>’,</w:t>
      </w:r>
      <w:r w:rsidRPr="00652291">
        <w:rPr>
          <w:szCs w:val="22"/>
        </w:rPr>
        <w:t xml:space="preserve"> </w:t>
      </w:r>
      <w:r w:rsidR="003D0871" w:rsidRPr="00652291">
        <w:rPr>
          <w:szCs w:val="22"/>
        </w:rPr>
        <w:t>eds.</w:t>
      </w:r>
      <w:r w:rsidRPr="00652291">
        <w:rPr>
          <w:szCs w:val="22"/>
        </w:rPr>
        <w:t xml:space="preserve"> Laurie D. Webster, Maxine E. McBrinn and Eduardo Gamboa Carrera </w:t>
      </w:r>
      <w:r w:rsidR="003D0871" w:rsidRPr="00652291">
        <w:rPr>
          <w:szCs w:val="22"/>
        </w:rPr>
        <w:t>(Boulder:</w:t>
      </w:r>
      <w:r w:rsidRPr="00652291">
        <w:rPr>
          <w:szCs w:val="22"/>
        </w:rPr>
        <w:t xml:space="preserve"> University Press of Colorado</w:t>
      </w:r>
      <w:r w:rsidR="003D0871" w:rsidRPr="00652291">
        <w:rPr>
          <w:szCs w:val="22"/>
        </w:rPr>
        <w:t>, 2008), p. 228.</w:t>
      </w:r>
    </w:p>
  </w:footnote>
  <w:footnote w:id="177">
    <w:p w14:paraId="6EE52F19" w14:textId="77777777" w:rsidR="00455742" w:rsidRPr="0035750C" w:rsidRDefault="00455742" w:rsidP="00455742">
      <w:pPr>
        <w:pStyle w:val="FootnoteText"/>
      </w:pPr>
      <w:r>
        <w:rPr>
          <w:rStyle w:val="FootnoteReference"/>
        </w:rPr>
        <w:footnoteRef/>
      </w:r>
      <w:r>
        <w:t xml:space="preserve"> </w:t>
      </w:r>
      <w:bookmarkStart w:id="69" w:name="_Hlk97544323"/>
      <w:r>
        <w:t>E. C. Krupp, Beyond the Blue Horizon: Myths and Legends of the Sun, Moon, Stars and Planets (New York: Harper Collins Publishers, 1991), p. 13.</w:t>
      </w:r>
      <w:bookmarkEnd w:id="69"/>
    </w:p>
  </w:footnote>
  <w:footnote w:id="178">
    <w:p w14:paraId="79C63EF1" w14:textId="44B6E38E" w:rsidR="00B26FEE" w:rsidRPr="00D517EF" w:rsidRDefault="00B26FEE" w:rsidP="00B26FEE">
      <w:pPr>
        <w:pStyle w:val="FootnoteText"/>
        <w:rPr>
          <w:szCs w:val="22"/>
        </w:rPr>
      </w:pPr>
      <w:r w:rsidRPr="00D517EF">
        <w:rPr>
          <w:rStyle w:val="FootnoteReference"/>
          <w:szCs w:val="22"/>
        </w:rPr>
        <w:footnoteRef/>
      </w:r>
      <w:r w:rsidRPr="00D517EF">
        <w:rPr>
          <w:szCs w:val="22"/>
        </w:rPr>
        <w:t xml:space="preserve"> R.A. Rundstrom, ‘Mapping, the white man’s burden.’ </w:t>
      </w:r>
      <w:r w:rsidRPr="00D517EF">
        <w:rPr>
          <w:i/>
          <w:iCs/>
          <w:szCs w:val="22"/>
        </w:rPr>
        <w:t xml:space="preserve">The common property resource digest, </w:t>
      </w:r>
      <w:r w:rsidRPr="00D517EF">
        <w:rPr>
          <w:szCs w:val="22"/>
        </w:rPr>
        <w:t>Vol.</w:t>
      </w:r>
      <w:r w:rsidRPr="00D517EF">
        <w:rPr>
          <w:i/>
          <w:iCs/>
          <w:szCs w:val="22"/>
        </w:rPr>
        <w:t xml:space="preserve"> </w:t>
      </w:r>
      <w:r w:rsidRPr="00D517EF">
        <w:rPr>
          <w:szCs w:val="22"/>
        </w:rPr>
        <w:t xml:space="preserve">45, (1998), pp. 1–9, p. 8, cited by Kierin Mackenzie, Willington Siabato, Femke Reitsma and Christophe Claramunt, ‘Spatio-temporal Visualisation and Data Exploration of Traditional Ecological Knowledge/Indigenous Knowledge’, </w:t>
      </w:r>
      <w:r w:rsidRPr="00D517EF">
        <w:rPr>
          <w:i/>
          <w:iCs/>
          <w:szCs w:val="22"/>
        </w:rPr>
        <w:t xml:space="preserve">Conservation &amp; Society, </w:t>
      </w:r>
      <w:r w:rsidRPr="00D517EF">
        <w:rPr>
          <w:szCs w:val="22"/>
        </w:rPr>
        <w:t>Vol. 15, No. 1 (2017), p. 42.</w:t>
      </w:r>
    </w:p>
  </w:footnote>
  <w:footnote w:id="179">
    <w:p w14:paraId="70759793" w14:textId="5745660A" w:rsidR="00FD09B5" w:rsidRDefault="00FD09B5">
      <w:pPr>
        <w:pStyle w:val="FootnoteText"/>
      </w:pPr>
      <w:r>
        <w:rPr>
          <w:rStyle w:val="FootnoteReference"/>
        </w:rPr>
        <w:footnoteRef/>
      </w:r>
      <w:r>
        <w:t xml:space="preserve"> Mircea Eliade, </w:t>
      </w:r>
      <w:r w:rsidRPr="008B4E21">
        <w:rPr>
          <w:i/>
          <w:iCs/>
        </w:rPr>
        <w:t>The Sacred and the Profane: The Nature of Religion</w:t>
      </w:r>
      <w:r w:rsidR="008B4E21">
        <w:t>, trans. by Willard R. Trask</w:t>
      </w:r>
      <w:r>
        <w:t xml:space="preserve"> (New</w:t>
      </w:r>
      <w:r w:rsidR="00A41F0B">
        <w:t xml:space="preserve"> </w:t>
      </w:r>
      <w:r>
        <w:t xml:space="preserve">York: Harcourt, Brace and </w:t>
      </w:r>
      <w:r w:rsidR="008B4E21">
        <w:t>world, Inc., 1957), pp. 20-44.</w:t>
      </w:r>
    </w:p>
  </w:footnote>
  <w:footnote w:id="180">
    <w:p w14:paraId="62864DD3" w14:textId="5E3E9723" w:rsidR="004862EB" w:rsidRDefault="004862EB">
      <w:pPr>
        <w:pStyle w:val="FootnoteText"/>
      </w:pPr>
      <w:r>
        <w:rPr>
          <w:rStyle w:val="FootnoteReference"/>
        </w:rPr>
        <w:footnoteRef/>
      </w:r>
      <w:r>
        <w:t xml:space="preserve"> Whitley, ‘Finding Rain’, p. 25.</w:t>
      </w:r>
    </w:p>
  </w:footnote>
  <w:footnote w:id="181">
    <w:p w14:paraId="4DDA1EE7" w14:textId="2D1F8291" w:rsidR="00434388" w:rsidRPr="00434388" w:rsidRDefault="00434388">
      <w:pPr>
        <w:pStyle w:val="FootnoteText"/>
        <w:rPr>
          <w:i/>
          <w:iCs/>
        </w:rPr>
      </w:pPr>
      <w:r>
        <w:rPr>
          <w:rStyle w:val="FootnoteReference"/>
        </w:rPr>
        <w:footnoteRef/>
      </w:r>
      <w:r>
        <w:t xml:space="preserve"> Stuart, </w:t>
      </w:r>
      <w:r>
        <w:rPr>
          <w:i/>
          <w:iCs/>
        </w:rPr>
        <w:t>Anasazi America</w:t>
      </w:r>
      <w:r w:rsidRPr="00434388">
        <w:t>, p. 9.</w:t>
      </w:r>
    </w:p>
  </w:footnote>
  <w:footnote w:id="182">
    <w:p w14:paraId="28C16BD2" w14:textId="39FFB045" w:rsidR="00255763" w:rsidRDefault="00255763" w:rsidP="00255763">
      <w:pPr>
        <w:pStyle w:val="FootnoteText"/>
      </w:pPr>
      <w:r>
        <w:rPr>
          <w:rStyle w:val="FootnoteReference"/>
        </w:rPr>
        <w:footnoteRef/>
      </w:r>
      <w:r>
        <w:t xml:space="preserve"> </w:t>
      </w:r>
      <w:r w:rsidR="00D74880" w:rsidRPr="00DF6795">
        <w:rPr>
          <w:szCs w:val="22"/>
        </w:rPr>
        <w:t xml:space="preserve">Emily Cousins, ‘Mountains Made Alive: Native American Relationships with Sacred Land’ </w:t>
      </w:r>
      <w:r w:rsidR="00D74880" w:rsidRPr="00DF6795">
        <w:rPr>
          <w:i/>
          <w:iCs/>
          <w:szCs w:val="22"/>
        </w:rPr>
        <w:t>CrossCurrents</w:t>
      </w:r>
      <w:r w:rsidR="00D74880" w:rsidRPr="00DF6795">
        <w:rPr>
          <w:szCs w:val="22"/>
        </w:rPr>
        <w:t>, Vol. 46, No. 4, Spiritualities in a Post-Einsteinian Universe, (Winter 1996/1997)</w:t>
      </w:r>
      <w:r>
        <w:t>, p. 504.</w:t>
      </w:r>
    </w:p>
  </w:footnote>
  <w:footnote w:id="183">
    <w:p w14:paraId="1F522092" w14:textId="77777777" w:rsidR="00255763" w:rsidRPr="00092115" w:rsidRDefault="00255763" w:rsidP="00255763">
      <w:pPr>
        <w:pStyle w:val="FootnoteText"/>
        <w:rPr>
          <w:szCs w:val="22"/>
        </w:rPr>
      </w:pPr>
      <w:r>
        <w:rPr>
          <w:rStyle w:val="FootnoteReference"/>
        </w:rPr>
        <w:footnoteRef/>
      </w:r>
      <w:r>
        <w:t xml:space="preserve"> </w:t>
      </w:r>
      <w:r w:rsidRPr="00092115">
        <w:rPr>
          <w:szCs w:val="22"/>
        </w:rPr>
        <w:t xml:space="preserve">Lekson, </w:t>
      </w:r>
      <w:r w:rsidRPr="00092115">
        <w:rPr>
          <w:i/>
          <w:iCs/>
          <w:szCs w:val="22"/>
        </w:rPr>
        <w:t>A History of the Ancient Southwest</w:t>
      </w:r>
      <w:r w:rsidRPr="00092115">
        <w:rPr>
          <w:szCs w:val="22"/>
        </w:rPr>
        <w:t>, p. 39.</w:t>
      </w:r>
    </w:p>
  </w:footnote>
  <w:footnote w:id="184">
    <w:p w14:paraId="54985FC6" w14:textId="51C21F60" w:rsidR="004B52F5" w:rsidRPr="00092115" w:rsidRDefault="004B52F5" w:rsidP="004B52F5">
      <w:pPr>
        <w:pStyle w:val="FootnoteText"/>
        <w:rPr>
          <w:szCs w:val="22"/>
        </w:rPr>
      </w:pPr>
      <w:r w:rsidRPr="00092115">
        <w:rPr>
          <w:rStyle w:val="FootnoteReference"/>
          <w:szCs w:val="22"/>
        </w:rPr>
        <w:footnoteRef/>
      </w:r>
      <w:r w:rsidR="00CE2BCC" w:rsidRPr="00092115">
        <w:rPr>
          <w:szCs w:val="22"/>
        </w:rPr>
        <w:t xml:space="preserve"> </w:t>
      </w:r>
      <w:r w:rsidRPr="00092115">
        <w:rPr>
          <w:szCs w:val="22"/>
        </w:rPr>
        <w:t xml:space="preserve">Heizer, </w:t>
      </w:r>
      <w:r w:rsidRPr="00092115">
        <w:rPr>
          <w:i/>
          <w:iCs/>
          <w:szCs w:val="22"/>
        </w:rPr>
        <w:t>California Indians</w:t>
      </w:r>
      <w:r w:rsidRPr="00092115">
        <w:rPr>
          <w:szCs w:val="22"/>
        </w:rPr>
        <w:t>, pp. 60-64,</w:t>
      </w:r>
      <w:r w:rsidR="00C26A1F" w:rsidRPr="00092115">
        <w:rPr>
          <w:szCs w:val="22"/>
        </w:rPr>
        <w:t xml:space="preserve"> 74</w:t>
      </w:r>
      <w:r w:rsidRPr="00092115">
        <w:rPr>
          <w:szCs w:val="22"/>
        </w:rPr>
        <w:t>.</w:t>
      </w:r>
    </w:p>
  </w:footnote>
  <w:footnote w:id="185">
    <w:p w14:paraId="21522D09" w14:textId="28551C2D" w:rsidR="00CE2BCC" w:rsidRPr="00092115" w:rsidRDefault="00CE2BCC">
      <w:pPr>
        <w:pStyle w:val="FootnoteText"/>
        <w:rPr>
          <w:szCs w:val="22"/>
        </w:rPr>
      </w:pPr>
      <w:r w:rsidRPr="00092115">
        <w:rPr>
          <w:rStyle w:val="FootnoteReference"/>
          <w:szCs w:val="22"/>
        </w:rPr>
        <w:footnoteRef/>
      </w:r>
      <w:r w:rsidRPr="00092115">
        <w:rPr>
          <w:szCs w:val="22"/>
        </w:rPr>
        <w:t xml:space="preserve"> Malville, ‘Nabta Playa’, p. 3.</w:t>
      </w:r>
    </w:p>
  </w:footnote>
  <w:footnote w:id="186">
    <w:p w14:paraId="7DDC15F7" w14:textId="1D406CAD" w:rsidR="00B26FEE" w:rsidRPr="00DF6795" w:rsidRDefault="00B26FEE" w:rsidP="00B26FEE">
      <w:pPr>
        <w:spacing w:after="0" w:line="240" w:lineRule="auto"/>
        <w:rPr>
          <w:i/>
          <w:iCs/>
          <w:sz w:val="22"/>
          <w:szCs w:val="22"/>
        </w:rPr>
      </w:pPr>
      <w:r w:rsidRPr="00DF6795">
        <w:rPr>
          <w:rStyle w:val="FootnoteReference"/>
          <w:sz w:val="22"/>
          <w:szCs w:val="22"/>
        </w:rPr>
        <w:footnoteRef/>
      </w:r>
      <w:r w:rsidRPr="00DF6795">
        <w:rPr>
          <w:sz w:val="22"/>
          <w:szCs w:val="22"/>
        </w:rPr>
        <w:t xml:space="preserve"> Carol Patterson, ‘Ute Indian Rock Art Maps and Game Drives in Western Colorado: A Preliminary Study of Ute</w:t>
      </w:r>
      <w:r w:rsidR="0073162F" w:rsidRPr="00DF6795">
        <w:rPr>
          <w:sz w:val="22"/>
          <w:szCs w:val="22"/>
        </w:rPr>
        <w:t xml:space="preserve"> </w:t>
      </w:r>
      <w:r w:rsidRPr="00DF6795">
        <w:rPr>
          <w:sz w:val="22"/>
          <w:szCs w:val="22"/>
        </w:rPr>
        <w:t xml:space="preserve">Rock Art Maps in Gunnison Gorge National Conservation Area and Dominguez-Escalante National Conservation Area’, </w:t>
      </w:r>
      <w:r w:rsidRPr="00DF6795">
        <w:rPr>
          <w:i/>
          <w:iCs/>
          <w:sz w:val="22"/>
          <w:szCs w:val="22"/>
        </w:rPr>
        <w:t xml:space="preserve">IFRAO 2013 Proceedings, American Indian Rock Art, </w:t>
      </w:r>
      <w:r w:rsidRPr="00DF6795">
        <w:rPr>
          <w:sz w:val="22"/>
          <w:szCs w:val="22"/>
        </w:rPr>
        <w:t xml:space="preserve">Vol. 40, (2013), pp #-#, ed. by Mavis Greer Session and Peggy Whitehead. </w:t>
      </w:r>
      <w:hyperlink r:id="rId8" w:history="1">
        <w:r w:rsidRPr="00DF6795">
          <w:rPr>
            <w:rStyle w:val="Hyperlink"/>
            <w:sz w:val="22"/>
            <w:szCs w:val="22"/>
          </w:rPr>
          <w:t>https://www.academia.edu/4925944/Ute_Indian_Rock_Art_Maps_and_Game_Drives_in_Western_Colorado_A_Preliminary_Study_of_Ute_Rock_Art_Maps_in_Gunnison_Gorge_National_Conservation_Area_and_Dominguez_Escalante_National_Conservation_Area</w:t>
        </w:r>
      </w:hyperlink>
      <w:r w:rsidRPr="00DF6795">
        <w:rPr>
          <w:sz w:val="22"/>
          <w:szCs w:val="22"/>
        </w:rPr>
        <w:t>, [Accessed February 25, 2022].</w:t>
      </w:r>
    </w:p>
  </w:footnote>
  <w:footnote w:id="187">
    <w:p w14:paraId="4012F8C1" w14:textId="30117A9F" w:rsidR="00180A56" w:rsidRDefault="00180A56" w:rsidP="00180A56">
      <w:pPr>
        <w:pStyle w:val="FootnoteText"/>
      </w:pPr>
      <w:r w:rsidRPr="00DF6795">
        <w:rPr>
          <w:rStyle w:val="FootnoteReference"/>
          <w:szCs w:val="22"/>
        </w:rPr>
        <w:footnoteRef/>
      </w:r>
      <w:r w:rsidRPr="00DF6795">
        <w:rPr>
          <w:szCs w:val="22"/>
        </w:rPr>
        <w:t xml:space="preserve"> Cousins, ‘Mountains Made Alive</w:t>
      </w:r>
      <w:r w:rsidR="00D74880">
        <w:rPr>
          <w:szCs w:val="22"/>
        </w:rPr>
        <w:t xml:space="preserve">’, </w:t>
      </w:r>
      <w:r w:rsidRPr="00DF6795">
        <w:rPr>
          <w:szCs w:val="22"/>
        </w:rPr>
        <w:t>p. 500.</w:t>
      </w:r>
    </w:p>
  </w:footnote>
  <w:footnote w:id="188">
    <w:p w14:paraId="0E511264" w14:textId="08F1B03B" w:rsidR="00487499" w:rsidRDefault="00487499">
      <w:pPr>
        <w:pStyle w:val="FootnoteText"/>
      </w:pPr>
      <w:r>
        <w:rPr>
          <w:rStyle w:val="FootnoteReference"/>
        </w:rPr>
        <w:footnoteRef/>
      </w:r>
      <w:r>
        <w:t xml:space="preserve"> </w:t>
      </w:r>
      <w:r w:rsidR="004D2F53" w:rsidRPr="00092115">
        <w:rPr>
          <w:szCs w:val="22"/>
        </w:rPr>
        <w:t xml:space="preserve">Heizer, </w:t>
      </w:r>
      <w:r w:rsidR="004D2F53" w:rsidRPr="00092115">
        <w:rPr>
          <w:i/>
          <w:iCs/>
          <w:szCs w:val="22"/>
        </w:rPr>
        <w:t>California Indians</w:t>
      </w:r>
      <w:r w:rsidR="004D2F53" w:rsidRPr="00092115">
        <w:rPr>
          <w:szCs w:val="22"/>
        </w:rPr>
        <w:t>, p</w:t>
      </w:r>
      <w:r w:rsidR="004D2F53">
        <w:rPr>
          <w:szCs w:val="22"/>
        </w:rPr>
        <w:t>. 209.</w:t>
      </w:r>
    </w:p>
  </w:footnote>
  <w:footnote w:id="189">
    <w:p w14:paraId="521636E9" w14:textId="77777777" w:rsidR="001C2D85" w:rsidRPr="001E3EE2" w:rsidRDefault="001C2D85" w:rsidP="001C2D85">
      <w:pPr>
        <w:pStyle w:val="Default"/>
        <w:rPr>
          <w:rFonts w:asciiTheme="minorHAnsi" w:hAnsiTheme="minorHAnsi" w:cstheme="minorHAnsi"/>
          <w:sz w:val="20"/>
          <w:szCs w:val="20"/>
        </w:rPr>
      </w:pPr>
      <w:r w:rsidRPr="00D517EF">
        <w:rPr>
          <w:rStyle w:val="FootnoteReference"/>
          <w:rFonts w:asciiTheme="minorHAnsi" w:hAnsiTheme="minorHAnsi" w:cstheme="minorHAnsi"/>
          <w:sz w:val="22"/>
          <w:szCs w:val="22"/>
        </w:rPr>
        <w:footnoteRef/>
      </w:r>
      <w:r w:rsidRPr="00D517EF">
        <w:rPr>
          <w:rFonts w:asciiTheme="minorHAnsi" w:hAnsiTheme="minorHAnsi" w:cstheme="minorHAnsi"/>
          <w:sz w:val="22"/>
          <w:szCs w:val="22"/>
        </w:rPr>
        <w:t xml:space="preserve"> Susan M. Hector, ‘Cupule Petroglyphs as Elements of the Cultural Landscape’ </w:t>
      </w:r>
      <w:r w:rsidRPr="00D517EF">
        <w:rPr>
          <w:rFonts w:asciiTheme="minorHAnsi" w:hAnsiTheme="minorHAnsi" w:cstheme="minorHAnsi"/>
          <w:i/>
          <w:iCs/>
          <w:sz w:val="22"/>
          <w:szCs w:val="22"/>
        </w:rPr>
        <w:t>Journal of California and Great Basin Anthropology</w:t>
      </w:r>
      <w:r w:rsidRPr="00D517EF">
        <w:rPr>
          <w:rFonts w:asciiTheme="minorHAnsi" w:hAnsiTheme="minorHAnsi" w:cstheme="minorHAnsi"/>
          <w:sz w:val="22"/>
          <w:szCs w:val="22"/>
        </w:rPr>
        <w:t>, Vol. 29, No. 1 (2009), p. 68.</w:t>
      </w:r>
    </w:p>
  </w:footnote>
  <w:footnote w:id="190">
    <w:p w14:paraId="5B7C284B" w14:textId="77777777" w:rsidR="006D6E85" w:rsidRDefault="006D6E85" w:rsidP="006D6E85">
      <w:pPr>
        <w:pStyle w:val="FootnoteText"/>
      </w:pPr>
      <w:r>
        <w:rPr>
          <w:rStyle w:val="FootnoteReference"/>
        </w:rPr>
        <w:footnoteRef/>
      </w:r>
      <w:r>
        <w:t xml:space="preserve"> Cousins, ‘Mountains Made Alive’, p. 501.</w:t>
      </w:r>
    </w:p>
  </w:footnote>
  <w:footnote w:id="191">
    <w:p w14:paraId="4522BB7C" w14:textId="77777777" w:rsidR="006D6E85" w:rsidRDefault="006D6E85" w:rsidP="006D6E85">
      <w:pPr>
        <w:pStyle w:val="FootnoteText"/>
      </w:pPr>
      <w:r>
        <w:rPr>
          <w:rStyle w:val="FootnoteReference"/>
        </w:rPr>
        <w:footnoteRef/>
      </w:r>
      <w:r>
        <w:t xml:space="preserve"> Cousins, ‘Mountains Made Alive’, p. 501.</w:t>
      </w:r>
    </w:p>
  </w:footnote>
  <w:footnote w:id="192">
    <w:p w14:paraId="607F4FA6" w14:textId="77777777" w:rsidR="006D6E85" w:rsidRDefault="006D6E85" w:rsidP="006D6E85">
      <w:pPr>
        <w:pStyle w:val="FootnoteText"/>
      </w:pPr>
      <w:r>
        <w:rPr>
          <w:rStyle w:val="FootnoteReference"/>
        </w:rPr>
        <w:footnoteRef/>
      </w:r>
      <w:r>
        <w:t xml:space="preserve"> Annie Peaches, cited by </w:t>
      </w:r>
      <w:r w:rsidRPr="00625D1B">
        <w:rPr>
          <w:shd w:val="clear" w:color="auto" w:fill="FFFFFF"/>
        </w:rPr>
        <w:t>Keith H.</w:t>
      </w:r>
      <w:r>
        <w:rPr>
          <w:shd w:val="clear" w:color="auto" w:fill="FFFFFF"/>
        </w:rPr>
        <w:t xml:space="preserve"> Basso,</w:t>
      </w:r>
      <w:r w:rsidRPr="00625D1B">
        <w:rPr>
          <w:shd w:val="clear" w:color="auto" w:fill="FFFFFF"/>
        </w:rPr>
        <w:t xml:space="preserve"> </w:t>
      </w:r>
      <w:r>
        <w:rPr>
          <w:shd w:val="clear" w:color="auto" w:fill="FFFFFF"/>
        </w:rPr>
        <w:t xml:space="preserve">‘Stalking with stories: names, places and moral narratives among the western Apache’, in </w:t>
      </w:r>
      <w:r>
        <w:rPr>
          <w:i/>
          <w:iCs/>
          <w:shd w:val="clear" w:color="auto" w:fill="FFFFFF"/>
        </w:rPr>
        <w:t>Text, Play and Story,</w:t>
      </w:r>
      <w:r>
        <w:rPr>
          <w:shd w:val="clear" w:color="auto" w:fill="FFFFFF"/>
        </w:rPr>
        <w:t xml:space="preserve"> ed. by E. Bruner (Prospect Heights, IL: Waveland Press, 1984), p. 21, </w:t>
      </w:r>
      <w:r>
        <w:t xml:space="preserve">cited in Tilley, </w:t>
      </w:r>
      <w:r w:rsidRPr="004F7BD7">
        <w:rPr>
          <w:i/>
          <w:iCs/>
        </w:rPr>
        <w:t>Phenomenology</w:t>
      </w:r>
      <w:r>
        <w:t>, p. 33.</w:t>
      </w:r>
    </w:p>
  </w:footnote>
  <w:footnote w:id="193">
    <w:p w14:paraId="0F1F77B6" w14:textId="31C40338" w:rsidR="006D6E85" w:rsidRDefault="006D6E85" w:rsidP="00B15770">
      <w:pPr>
        <w:pStyle w:val="Default"/>
      </w:pPr>
      <w:r w:rsidRPr="00B15770">
        <w:rPr>
          <w:rStyle w:val="FootnoteReference"/>
          <w:rFonts w:asciiTheme="minorHAnsi" w:hAnsiTheme="minorHAnsi" w:cstheme="minorHAnsi"/>
          <w:sz w:val="22"/>
          <w:szCs w:val="22"/>
        </w:rPr>
        <w:footnoteRef/>
      </w:r>
      <w:r w:rsidRPr="00B15770">
        <w:rPr>
          <w:rFonts w:asciiTheme="minorHAnsi" w:hAnsiTheme="minorHAnsi" w:cstheme="minorHAnsi"/>
          <w:sz w:val="22"/>
          <w:szCs w:val="22"/>
        </w:rPr>
        <w:t xml:space="preserve"> </w:t>
      </w:r>
      <w:r w:rsidR="00B15770" w:rsidRPr="00B15770">
        <w:rPr>
          <w:rFonts w:asciiTheme="minorHAnsi" w:hAnsiTheme="minorHAnsi" w:cstheme="minorHAnsi"/>
          <w:sz w:val="22"/>
          <w:szCs w:val="22"/>
        </w:rPr>
        <w:t>J. Walter Fewkes,</w:t>
      </w:r>
      <w:r w:rsidR="00B15770">
        <w:t xml:space="preserve"> </w:t>
      </w:r>
      <w:r w:rsidR="00B15770" w:rsidRPr="00B15770">
        <w:rPr>
          <w:rFonts w:asciiTheme="minorHAnsi" w:hAnsiTheme="minorHAnsi" w:cstheme="minorHAnsi"/>
          <w:sz w:val="22"/>
          <w:szCs w:val="22"/>
        </w:rPr>
        <w:t>‘Sun Worship of the Hopi Indians.’,</w:t>
      </w:r>
      <w:r w:rsidR="005D4448">
        <w:rPr>
          <w:rFonts w:asciiTheme="minorHAnsi" w:hAnsiTheme="minorHAnsi" w:cstheme="minorHAnsi"/>
          <w:sz w:val="22"/>
          <w:szCs w:val="22"/>
        </w:rPr>
        <w:t xml:space="preserve"> in</w:t>
      </w:r>
      <w:r w:rsidR="00B15770" w:rsidRPr="00B15770">
        <w:rPr>
          <w:rFonts w:asciiTheme="minorHAnsi" w:hAnsiTheme="minorHAnsi" w:cstheme="minorHAnsi"/>
          <w:sz w:val="22"/>
          <w:szCs w:val="22"/>
        </w:rPr>
        <w:t xml:space="preserve"> </w:t>
      </w:r>
      <w:r w:rsidR="00B15770" w:rsidRPr="00B15770">
        <w:rPr>
          <w:rFonts w:asciiTheme="minorHAnsi" w:hAnsiTheme="minorHAnsi" w:cstheme="minorHAnsi"/>
          <w:i/>
          <w:iCs/>
          <w:sz w:val="22"/>
          <w:szCs w:val="22"/>
        </w:rPr>
        <w:t>Smithsonian Report</w:t>
      </w:r>
      <w:r w:rsidR="00B15770" w:rsidRPr="00B15770">
        <w:rPr>
          <w:rFonts w:asciiTheme="minorHAnsi" w:hAnsiTheme="minorHAnsi" w:cstheme="minorHAnsi"/>
          <w:sz w:val="22"/>
          <w:szCs w:val="22"/>
        </w:rPr>
        <w:t xml:space="preserve"> (Washington: Government Printing, 1918), pp. 493-526</w:t>
      </w:r>
      <w:r w:rsidR="00B15770">
        <w:rPr>
          <w:rFonts w:asciiTheme="minorHAnsi" w:hAnsiTheme="minorHAnsi" w:cstheme="minorHAnsi"/>
          <w:sz w:val="22"/>
          <w:szCs w:val="22"/>
        </w:rPr>
        <w:t>, cited by</w:t>
      </w:r>
      <w:r w:rsidR="00B15770" w:rsidRPr="00B15770">
        <w:rPr>
          <w:rFonts w:cstheme="minorBidi"/>
          <w:sz w:val="15"/>
          <w:szCs w:val="15"/>
        </w:rPr>
        <w:t xml:space="preserve"> </w:t>
      </w:r>
      <w:r>
        <w:t xml:space="preserve">John D. Loftin, ‘Supplication and Participation: The Distance and Relation of the Sacred in Hopi Prayer Rites’, </w:t>
      </w:r>
      <w:r>
        <w:rPr>
          <w:i/>
          <w:iCs/>
        </w:rPr>
        <w:t xml:space="preserve">Anthropos, </w:t>
      </w:r>
      <w:r>
        <w:t>Bd. 81, H 1. / 3. (1986), p. 179.</w:t>
      </w:r>
    </w:p>
  </w:footnote>
  <w:footnote w:id="194">
    <w:p w14:paraId="454043E1" w14:textId="77777777" w:rsidR="006D6E85" w:rsidRDefault="006D6E85" w:rsidP="006D6E85">
      <w:pPr>
        <w:pStyle w:val="FootnoteText"/>
      </w:pPr>
      <w:r>
        <w:rPr>
          <w:rStyle w:val="FootnoteReference"/>
        </w:rPr>
        <w:footnoteRef/>
      </w:r>
      <w:r>
        <w:t xml:space="preserve"> Loftin, ‘Supplication and Participation’, p. 183</w:t>
      </w:r>
    </w:p>
  </w:footnote>
  <w:footnote w:id="195">
    <w:p w14:paraId="4D78E282" w14:textId="77777777" w:rsidR="006D6E85" w:rsidRDefault="006D6E85" w:rsidP="006D6E85">
      <w:pPr>
        <w:pStyle w:val="FootnoteText"/>
      </w:pPr>
      <w:r>
        <w:rPr>
          <w:rStyle w:val="FootnoteReference"/>
        </w:rPr>
        <w:footnoteRef/>
      </w:r>
      <w:r>
        <w:t xml:space="preserve"> Whitley, ‘Science and the sacred’, p. 130. </w:t>
      </w:r>
    </w:p>
  </w:footnote>
  <w:footnote w:id="196">
    <w:p w14:paraId="319671EA" w14:textId="77777777" w:rsidR="006D6E85" w:rsidRDefault="006D6E85" w:rsidP="006D6E85">
      <w:pPr>
        <w:pStyle w:val="FootnoteText"/>
      </w:pPr>
      <w:r>
        <w:rPr>
          <w:rStyle w:val="FootnoteReference"/>
        </w:rPr>
        <w:footnoteRef/>
      </w:r>
      <w:r>
        <w:t xml:space="preserve"> Whitley, ‘Science and the sacred’, p. 130. </w:t>
      </w:r>
    </w:p>
  </w:footnote>
  <w:footnote w:id="197">
    <w:p w14:paraId="0F5A2774" w14:textId="77777777" w:rsidR="00B160F9" w:rsidRPr="00D517EF" w:rsidRDefault="00B160F9" w:rsidP="00B160F9">
      <w:pPr>
        <w:pStyle w:val="Default"/>
        <w:rPr>
          <w:rFonts w:asciiTheme="minorHAnsi" w:hAnsiTheme="minorHAnsi" w:cstheme="minorHAnsi"/>
          <w:sz w:val="22"/>
          <w:szCs w:val="22"/>
        </w:rPr>
      </w:pPr>
      <w:r w:rsidRPr="00D517EF">
        <w:rPr>
          <w:rStyle w:val="FootnoteReference"/>
          <w:rFonts w:asciiTheme="minorHAnsi" w:hAnsiTheme="minorHAnsi" w:cstheme="minorHAnsi"/>
          <w:sz w:val="22"/>
          <w:szCs w:val="22"/>
        </w:rPr>
        <w:footnoteRef/>
      </w:r>
      <w:r w:rsidRPr="00D517EF">
        <w:rPr>
          <w:rFonts w:asciiTheme="minorHAnsi" w:hAnsiTheme="minorHAnsi" w:cstheme="minorHAnsi"/>
          <w:sz w:val="22"/>
          <w:szCs w:val="22"/>
        </w:rPr>
        <w:t xml:space="preserve"> David S. Whitley, </w:t>
      </w:r>
      <w:r w:rsidRPr="00D517EF">
        <w:rPr>
          <w:rFonts w:asciiTheme="minorHAnsi" w:hAnsiTheme="minorHAnsi" w:cstheme="minorHAnsi"/>
          <w:i/>
          <w:iCs/>
          <w:sz w:val="22"/>
          <w:szCs w:val="22"/>
        </w:rPr>
        <w:t>The Art of the Shaman: Rock Art of California</w:t>
      </w:r>
      <w:r w:rsidRPr="00D517EF">
        <w:rPr>
          <w:rFonts w:asciiTheme="minorHAnsi" w:hAnsiTheme="minorHAnsi" w:cstheme="minorHAnsi"/>
          <w:sz w:val="22"/>
          <w:szCs w:val="22"/>
        </w:rPr>
        <w:t xml:space="preserve">. (Salt Lake City: University of Utah Press, 2000), pp. 82-82, cited by Susan M. Hector, ‘Cupule Petroglyphs as Elements of the Cultural Landscape’ </w:t>
      </w:r>
      <w:r w:rsidRPr="00D517EF">
        <w:rPr>
          <w:rFonts w:asciiTheme="minorHAnsi" w:hAnsiTheme="minorHAnsi" w:cstheme="minorHAnsi"/>
          <w:i/>
          <w:iCs/>
          <w:sz w:val="22"/>
          <w:szCs w:val="22"/>
        </w:rPr>
        <w:t>Journal of California and Great Basin Anthropology</w:t>
      </w:r>
      <w:r w:rsidRPr="00D517EF">
        <w:rPr>
          <w:rFonts w:asciiTheme="minorHAnsi" w:hAnsiTheme="minorHAnsi" w:cstheme="minorHAnsi"/>
          <w:sz w:val="22"/>
          <w:szCs w:val="22"/>
        </w:rPr>
        <w:t>, Vol. 29, No. 1 (2009), pp. 68-76.</w:t>
      </w:r>
    </w:p>
  </w:footnote>
  <w:footnote w:id="198">
    <w:p w14:paraId="27CAAE9F" w14:textId="77777777" w:rsidR="0049411A" w:rsidRPr="006A68CE" w:rsidRDefault="0049411A" w:rsidP="0049411A">
      <w:pPr>
        <w:pStyle w:val="FootnoteText"/>
        <w:rPr>
          <w:szCs w:val="22"/>
        </w:rPr>
      </w:pPr>
      <w:r w:rsidRPr="006A68CE">
        <w:rPr>
          <w:rStyle w:val="FootnoteReference"/>
          <w:szCs w:val="22"/>
        </w:rPr>
        <w:footnoteRef/>
      </w:r>
      <w:r w:rsidRPr="006A68CE">
        <w:rPr>
          <w:szCs w:val="22"/>
        </w:rPr>
        <w:t xml:space="preserve"> Hector, ‘Cupule Petroglyphs’, p. 69. </w:t>
      </w:r>
    </w:p>
  </w:footnote>
  <w:footnote w:id="199">
    <w:p w14:paraId="6314A061" w14:textId="77777777" w:rsidR="002463DC" w:rsidRDefault="002463DC" w:rsidP="002463DC">
      <w:pPr>
        <w:pStyle w:val="FootnoteText"/>
      </w:pPr>
      <w:r>
        <w:rPr>
          <w:rStyle w:val="FootnoteReference"/>
        </w:rPr>
        <w:footnoteRef/>
      </w:r>
      <w:r>
        <w:t xml:space="preserve"> Young, </w:t>
      </w:r>
      <w:r>
        <w:rPr>
          <w:i/>
          <w:iCs/>
        </w:rPr>
        <w:t xml:space="preserve">Signs from the Ancestors, </w:t>
      </w:r>
      <w:r>
        <w:t xml:space="preserve">pp. 125-128. </w:t>
      </w:r>
    </w:p>
  </w:footnote>
  <w:footnote w:id="200">
    <w:p w14:paraId="29599729" w14:textId="77777777" w:rsidR="002463DC" w:rsidRPr="00F1715A" w:rsidRDefault="002463DC" w:rsidP="002463DC">
      <w:pPr>
        <w:pStyle w:val="FootnoteText"/>
      </w:pPr>
      <w:r>
        <w:rPr>
          <w:rStyle w:val="FootnoteReference"/>
        </w:rPr>
        <w:footnoteRef/>
      </w:r>
      <w:r>
        <w:t xml:space="preserve"> Young, </w:t>
      </w:r>
      <w:r w:rsidRPr="001C36E0">
        <w:rPr>
          <w:i/>
          <w:iCs/>
        </w:rPr>
        <w:t>Signs from the Ancestors,</w:t>
      </w:r>
      <w:r>
        <w:t xml:space="preserve"> p. 128</w:t>
      </w:r>
    </w:p>
  </w:footnote>
  <w:footnote w:id="201">
    <w:p w14:paraId="6198BB15" w14:textId="5E58F69A" w:rsidR="009D4205" w:rsidRPr="006A68CE" w:rsidRDefault="009D4205" w:rsidP="009D4205">
      <w:pPr>
        <w:pStyle w:val="Default"/>
        <w:rPr>
          <w:rFonts w:asciiTheme="minorHAnsi" w:hAnsiTheme="minorHAnsi" w:cstheme="minorHAnsi"/>
          <w:sz w:val="22"/>
          <w:szCs w:val="22"/>
        </w:rPr>
      </w:pPr>
      <w:r w:rsidRPr="006A68CE">
        <w:rPr>
          <w:rStyle w:val="FootnoteReference"/>
          <w:rFonts w:asciiTheme="minorHAnsi" w:hAnsiTheme="minorHAnsi" w:cstheme="minorHAnsi"/>
          <w:sz w:val="22"/>
          <w:szCs w:val="22"/>
        </w:rPr>
        <w:footnoteRef/>
      </w:r>
      <w:r w:rsidRPr="006A68CE">
        <w:rPr>
          <w:rFonts w:asciiTheme="minorHAnsi" w:hAnsiTheme="minorHAnsi" w:cstheme="minorHAnsi"/>
          <w:sz w:val="22"/>
          <w:szCs w:val="22"/>
        </w:rPr>
        <w:t xml:space="preserve"> </w:t>
      </w:r>
      <w:bookmarkStart w:id="72" w:name="_Hlk97543438"/>
      <w:r w:rsidRPr="006A68CE">
        <w:rPr>
          <w:rFonts w:asciiTheme="minorHAnsi" w:hAnsiTheme="minorHAnsi" w:cstheme="minorHAnsi"/>
          <w:color w:val="auto"/>
          <w:sz w:val="22"/>
          <w:szCs w:val="22"/>
        </w:rPr>
        <w:t xml:space="preserve">O. Winston Hampton and Bill Harney, 2000 ‘Mixed Media Dimensions of Dreamtime Painting, Abraded Grooves, and Sacred Rock in the Northern Territory, Australia’, </w:t>
      </w:r>
      <w:r w:rsidRPr="006A68CE">
        <w:rPr>
          <w:rFonts w:asciiTheme="minorHAnsi" w:hAnsiTheme="minorHAnsi" w:cstheme="minorHAnsi"/>
          <w:i/>
          <w:iCs/>
          <w:color w:val="auto"/>
          <w:sz w:val="22"/>
          <w:szCs w:val="22"/>
        </w:rPr>
        <w:t>Rock Art Papers,</w:t>
      </w:r>
      <w:r w:rsidRPr="006A68CE">
        <w:rPr>
          <w:rFonts w:asciiTheme="minorHAnsi" w:hAnsiTheme="minorHAnsi" w:cstheme="minorHAnsi"/>
          <w:color w:val="auto"/>
          <w:sz w:val="22"/>
          <w:szCs w:val="22"/>
        </w:rPr>
        <w:t xml:space="preserve"> Vol. 15, (2000), pp. 1-15</w:t>
      </w:r>
      <w:r w:rsidRPr="006A68CE">
        <w:rPr>
          <w:rFonts w:asciiTheme="minorHAnsi" w:hAnsiTheme="minorHAnsi" w:cstheme="minorHAnsi"/>
          <w:sz w:val="22"/>
          <w:szCs w:val="22"/>
        </w:rPr>
        <w:t xml:space="preserve">, cited in Susan M. Hector, ‘Cupule Petroglyphs as Elements of the Cultural Landscape’ </w:t>
      </w:r>
      <w:r w:rsidRPr="006A68CE">
        <w:rPr>
          <w:rFonts w:asciiTheme="minorHAnsi" w:hAnsiTheme="minorHAnsi" w:cstheme="minorHAnsi"/>
          <w:i/>
          <w:iCs/>
          <w:sz w:val="22"/>
          <w:szCs w:val="22"/>
        </w:rPr>
        <w:t>Journal of California and Great Basin Anthropology</w:t>
      </w:r>
      <w:r w:rsidRPr="006A68CE">
        <w:rPr>
          <w:rFonts w:asciiTheme="minorHAnsi" w:hAnsiTheme="minorHAnsi" w:cstheme="minorHAnsi"/>
          <w:sz w:val="22"/>
          <w:szCs w:val="22"/>
        </w:rPr>
        <w:t>, Vol. 29, No. 1 (2009), p. 70.</w:t>
      </w:r>
      <w:bookmarkEnd w:id="72"/>
    </w:p>
  </w:footnote>
  <w:footnote w:id="202">
    <w:p w14:paraId="3124B6DB" w14:textId="16395B55" w:rsidR="004F0258" w:rsidRPr="006A68CE" w:rsidRDefault="004F0258">
      <w:pPr>
        <w:pStyle w:val="FootnoteText"/>
        <w:rPr>
          <w:szCs w:val="22"/>
        </w:rPr>
      </w:pPr>
      <w:r w:rsidRPr="006A68CE">
        <w:rPr>
          <w:rStyle w:val="FootnoteReference"/>
          <w:szCs w:val="22"/>
        </w:rPr>
        <w:footnoteRef/>
      </w:r>
      <w:r w:rsidRPr="006A68CE">
        <w:rPr>
          <w:szCs w:val="22"/>
        </w:rPr>
        <w:t xml:space="preserve"> Lewis-Williams, ‘Through the Veil</w:t>
      </w:r>
      <w:r w:rsidR="006A68CE" w:rsidRPr="006A68CE">
        <w:rPr>
          <w:szCs w:val="22"/>
        </w:rPr>
        <w:t xml:space="preserve">’, </w:t>
      </w:r>
      <w:r w:rsidRPr="006A68CE">
        <w:rPr>
          <w:szCs w:val="22"/>
        </w:rPr>
        <w:t>pp. 5-16</w:t>
      </w:r>
      <w:r w:rsidR="006A68CE" w:rsidRPr="006A68CE">
        <w:rPr>
          <w:szCs w:val="22"/>
        </w:rPr>
        <w:t>.</w:t>
      </w:r>
    </w:p>
  </w:footnote>
  <w:footnote w:id="203">
    <w:p w14:paraId="284CF628" w14:textId="3BE5D746" w:rsidR="00CE2BCC" w:rsidRPr="006A68CE" w:rsidRDefault="00CE2BCC">
      <w:pPr>
        <w:pStyle w:val="FootnoteText"/>
        <w:rPr>
          <w:szCs w:val="22"/>
        </w:rPr>
      </w:pPr>
      <w:r w:rsidRPr="006A68CE">
        <w:rPr>
          <w:rStyle w:val="FootnoteReference"/>
          <w:szCs w:val="22"/>
        </w:rPr>
        <w:footnoteRef/>
      </w:r>
      <w:r w:rsidRPr="006A68CE">
        <w:rPr>
          <w:szCs w:val="22"/>
        </w:rPr>
        <w:t xml:space="preserve"> </w:t>
      </w:r>
      <w:r w:rsidR="00271E90" w:rsidRPr="006A68CE">
        <w:rPr>
          <w:szCs w:val="22"/>
        </w:rPr>
        <w:t xml:space="preserve">Martin Porr and Hannah Rachel Bell, </w:t>
      </w:r>
      <w:r w:rsidR="00BF6749" w:rsidRPr="006A68CE">
        <w:rPr>
          <w:szCs w:val="22"/>
        </w:rPr>
        <w:t>‘” Rock</w:t>
      </w:r>
      <w:r w:rsidR="00271E90" w:rsidRPr="006A68CE">
        <w:rPr>
          <w:szCs w:val="22"/>
        </w:rPr>
        <w:t xml:space="preserve">-art”, “Animism” and Two-way Thinking: Towards a Complementary Epistemology in the Understanding of Material Culture and “Rock-art” of Hunting and Gathering People’, </w:t>
      </w:r>
      <w:r w:rsidR="00271E90" w:rsidRPr="006A68CE">
        <w:rPr>
          <w:i/>
          <w:iCs/>
          <w:szCs w:val="22"/>
        </w:rPr>
        <w:t>Journal of Archaeological Method and Theory</w:t>
      </w:r>
      <w:r w:rsidR="00271E90" w:rsidRPr="006A68CE">
        <w:rPr>
          <w:szCs w:val="22"/>
        </w:rPr>
        <w:t xml:space="preserve">, Vol. 19, No. 1 (March 2012), </w:t>
      </w:r>
      <w:r w:rsidR="0034558D">
        <w:rPr>
          <w:szCs w:val="22"/>
        </w:rPr>
        <w:t>p.</w:t>
      </w:r>
      <w:r w:rsidR="00271E90" w:rsidRPr="006A68CE">
        <w:rPr>
          <w:szCs w:val="22"/>
        </w:rPr>
        <w:t xml:space="preserve"> 183.</w:t>
      </w:r>
    </w:p>
  </w:footnote>
  <w:footnote w:id="204">
    <w:p w14:paraId="684199D6" w14:textId="67DA4805" w:rsidR="00B17FDF" w:rsidRDefault="00B17FDF">
      <w:pPr>
        <w:pStyle w:val="FootnoteText"/>
      </w:pPr>
      <w:r w:rsidRPr="006A68CE">
        <w:rPr>
          <w:rStyle w:val="FootnoteReference"/>
          <w:szCs w:val="22"/>
        </w:rPr>
        <w:footnoteRef/>
      </w:r>
      <w:r w:rsidRPr="006A68CE">
        <w:rPr>
          <w:szCs w:val="22"/>
        </w:rPr>
        <w:t xml:space="preserve"> Malville, ‘Animism’, p 55.</w:t>
      </w:r>
    </w:p>
  </w:footnote>
  <w:footnote w:id="205">
    <w:p w14:paraId="35942F94" w14:textId="1BA255D3" w:rsidR="004F56FF" w:rsidRDefault="004F56FF">
      <w:pPr>
        <w:pStyle w:val="FootnoteText"/>
      </w:pPr>
      <w:r>
        <w:rPr>
          <w:rStyle w:val="FootnoteReference"/>
        </w:rPr>
        <w:footnoteRef/>
      </w:r>
      <w:bookmarkStart w:id="74" w:name="_Hlk97545009"/>
      <w:r w:rsidR="003111CF">
        <w:fldChar w:fldCharType="begin"/>
      </w:r>
      <w:r w:rsidR="003111CF">
        <w:instrText xml:space="preserve"> HYPERLINK "https://www.bestplaces.net/climate/city/utah/moab" \l ":~:text=On%20average%2C%20there%20are%20244%20sunny%20days%20per%20year%20in%20Moab.&amp;text=Precipitation%20is%20rain%2C%20snow%2C%20sleet,that%20falls%20to%20the%20ground" </w:instrText>
      </w:r>
      <w:r w:rsidR="003111CF">
        <w:fldChar w:fldCharType="separate"/>
      </w:r>
      <w:r w:rsidRPr="00A67F19">
        <w:rPr>
          <w:rStyle w:val="Hyperlink"/>
        </w:rPr>
        <w:t>https://www.bestplaces.net/climate/city/utah/moab#:~:text=On%20average%2C%20there%20are%20244%20sunny%20days%20per%20year%20in%20Moab.&amp;text=Precipitation%20is%20rain%2C%20snow%2C%20sleet,that%20falls%20to%20the%20ground</w:t>
      </w:r>
      <w:r w:rsidR="003111CF">
        <w:rPr>
          <w:rStyle w:val="Hyperlink"/>
        </w:rPr>
        <w:fldChar w:fldCharType="end"/>
      </w:r>
      <w:r w:rsidRPr="004F56FF">
        <w:t>.</w:t>
      </w:r>
      <w:r>
        <w:t xml:space="preserve"> [</w:t>
      </w:r>
      <w:r w:rsidR="00841660">
        <w:t>A</w:t>
      </w:r>
      <w:r>
        <w:t>ccessed March 3, 2022]</w:t>
      </w:r>
      <w:bookmarkEnd w:id="74"/>
    </w:p>
    <w:p w14:paraId="06DB0C22" w14:textId="77777777" w:rsidR="004F56FF" w:rsidRDefault="004F56FF">
      <w:pPr>
        <w:pStyle w:val="FootnoteText"/>
      </w:pPr>
    </w:p>
  </w:footnote>
  <w:footnote w:id="206">
    <w:p w14:paraId="2E2A7C6D" w14:textId="77777777" w:rsidR="00520FF6" w:rsidRPr="00DE5D6E" w:rsidRDefault="00520FF6" w:rsidP="00520FF6">
      <w:pPr>
        <w:pStyle w:val="Default"/>
        <w:rPr>
          <w:rFonts w:asciiTheme="minorHAnsi" w:hAnsiTheme="minorHAnsi" w:cstheme="minorHAnsi"/>
          <w:sz w:val="22"/>
          <w:szCs w:val="22"/>
        </w:rPr>
      </w:pPr>
      <w:r w:rsidRPr="00DE5D6E">
        <w:rPr>
          <w:rStyle w:val="FootnoteReference"/>
          <w:rFonts w:asciiTheme="minorHAnsi" w:hAnsiTheme="minorHAnsi" w:cstheme="minorHAnsi"/>
          <w:sz w:val="22"/>
          <w:szCs w:val="22"/>
        </w:rPr>
        <w:footnoteRef/>
      </w:r>
      <w:r w:rsidRPr="00DE5D6E">
        <w:rPr>
          <w:rFonts w:asciiTheme="minorHAnsi" w:hAnsiTheme="minorHAnsi" w:cstheme="minorHAnsi"/>
          <w:sz w:val="22"/>
          <w:szCs w:val="22"/>
        </w:rPr>
        <w:t xml:space="preserve"> Tim Ingold, </w:t>
      </w:r>
      <w:r>
        <w:rPr>
          <w:rFonts w:asciiTheme="minorHAnsi" w:hAnsiTheme="minorHAnsi" w:cstheme="minorHAnsi"/>
          <w:sz w:val="22"/>
          <w:szCs w:val="22"/>
        </w:rPr>
        <w:t>‘</w:t>
      </w:r>
      <w:r w:rsidRPr="00DE5D6E">
        <w:rPr>
          <w:rFonts w:asciiTheme="minorHAnsi" w:hAnsiTheme="minorHAnsi" w:cstheme="minorHAnsi"/>
          <w:sz w:val="22"/>
          <w:szCs w:val="22"/>
        </w:rPr>
        <w:t xml:space="preserve">Earth, Sky, Wind, and Weather’, </w:t>
      </w:r>
      <w:r w:rsidRPr="00DE5D6E">
        <w:rPr>
          <w:rFonts w:asciiTheme="minorHAnsi" w:hAnsiTheme="minorHAnsi" w:cstheme="minorHAnsi"/>
          <w:i/>
          <w:iCs/>
          <w:sz w:val="22"/>
          <w:szCs w:val="22"/>
        </w:rPr>
        <w:t>The Journal of the Royal Anthropological Institute</w:t>
      </w:r>
      <w:r w:rsidRPr="00DE5D6E">
        <w:rPr>
          <w:rFonts w:asciiTheme="minorHAnsi" w:hAnsiTheme="minorHAnsi" w:cstheme="minorHAnsi"/>
          <w:sz w:val="22"/>
          <w:szCs w:val="22"/>
        </w:rPr>
        <w:t>, Vol. 13, Wind, Life, Health: Anthropological and Historical Perspectives (2007), pp. S32-S37.</w:t>
      </w:r>
    </w:p>
    <w:p w14:paraId="2EF43DE9" w14:textId="77777777" w:rsidR="00520FF6" w:rsidRDefault="00520FF6" w:rsidP="00520FF6">
      <w:pPr>
        <w:pStyle w:val="FootnoteText"/>
      </w:pPr>
    </w:p>
  </w:footnote>
  <w:footnote w:id="207">
    <w:p w14:paraId="775D60AC" w14:textId="6C2DBB9E" w:rsidR="00916195" w:rsidRPr="00916195" w:rsidRDefault="00916195" w:rsidP="00916195">
      <w:pPr>
        <w:pStyle w:val="Default"/>
        <w:rPr>
          <w:sz w:val="23"/>
          <w:szCs w:val="23"/>
        </w:rPr>
      </w:pPr>
      <w:r>
        <w:rPr>
          <w:rStyle w:val="FootnoteReference"/>
        </w:rPr>
        <w:footnoteRef/>
      </w:r>
      <w:r>
        <w:t xml:space="preserve"> </w:t>
      </w:r>
      <w:bookmarkStart w:id="75" w:name="_Hlk97545370"/>
      <w:r w:rsidRPr="00916195">
        <w:rPr>
          <w:rFonts w:asciiTheme="minorHAnsi" w:hAnsiTheme="minorHAnsi" w:cstheme="minorHAnsi"/>
          <w:sz w:val="20"/>
          <w:szCs w:val="20"/>
        </w:rPr>
        <w:t xml:space="preserve">William Stafford, ‘In the All-Verbs Navaho World’, </w:t>
      </w:r>
      <w:r w:rsidRPr="00916195">
        <w:rPr>
          <w:rFonts w:asciiTheme="minorHAnsi" w:hAnsiTheme="minorHAnsi" w:cstheme="minorHAnsi"/>
          <w:i/>
          <w:iCs/>
          <w:sz w:val="20"/>
          <w:szCs w:val="20"/>
        </w:rPr>
        <w:t>Rhetoric Review</w:t>
      </w:r>
      <w:r w:rsidRPr="00916195">
        <w:rPr>
          <w:rFonts w:asciiTheme="minorHAnsi" w:hAnsiTheme="minorHAnsi" w:cstheme="minorHAnsi"/>
          <w:sz w:val="20"/>
          <w:szCs w:val="20"/>
        </w:rPr>
        <w:t>, Vol. 10, No. 1 (Autumn, 1991), p. 70</w:t>
      </w:r>
      <w:r>
        <w:rPr>
          <w:rFonts w:asciiTheme="minorHAnsi" w:hAnsiTheme="minorHAnsi" w:cstheme="minorHAnsi"/>
          <w:sz w:val="20"/>
          <w:szCs w:val="20"/>
        </w:rPr>
        <w:t>.</w:t>
      </w:r>
      <w:bookmarkEnd w:id="75"/>
    </w:p>
  </w:footnote>
  <w:footnote w:id="208">
    <w:p w14:paraId="11A12F4F" w14:textId="6C4AD045" w:rsidR="00F648A1" w:rsidRDefault="00F648A1" w:rsidP="00F648A1">
      <w:pPr>
        <w:pStyle w:val="FootnoteText"/>
      </w:pPr>
      <w:r>
        <w:rPr>
          <w:rStyle w:val="FootnoteReference"/>
        </w:rPr>
        <w:footnoteRef/>
      </w:r>
      <w:r>
        <w:t xml:space="preserve"> Mona C. Charles and Sally J. Cole, </w:t>
      </w:r>
      <w:r w:rsidRPr="00627E33">
        <w:t>‘Chronology and Cultural Variation in Basketmaker II</w:t>
      </w:r>
      <w:r>
        <w:t xml:space="preserve">’, </w:t>
      </w:r>
      <w:r w:rsidRPr="00627E33">
        <w:rPr>
          <w:i/>
          <w:iCs/>
        </w:rPr>
        <w:t>Kiva</w:t>
      </w:r>
      <w:r w:rsidRPr="00627E33">
        <w:t xml:space="preserve">, Vol. 72, No. 2, Symposium: Basketmaker II: A View from the Colorado Plateau (Winter, 2006), </w:t>
      </w:r>
      <w:r>
        <w:t>pp. 194-195.</w:t>
      </w:r>
    </w:p>
  </w:footnote>
  <w:footnote w:id="209">
    <w:p w14:paraId="6C57EC4F" w14:textId="287999E2" w:rsidR="007C5B44" w:rsidRPr="002566DD" w:rsidRDefault="007C5B44">
      <w:pPr>
        <w:pStyle w:val="FootnoteText"/>
      </w:pPr>
      <w:r>
        <w:rPr>
          <w:rStyle w:val="FootnoteReference"/>
        </w:rPr>
        <w:footnoteRef/>
      </w:r>
      <w:r>
        <w:t xml:space="preserve"> </w:t>
      </w:r>
      <w:r w:rsidR="00D0531E">
        <w:t xml:space="preserve">Polly Schaafsma, </w:t>
      </w:r>
      <w:r w:rsidR="00D0531E">
        <w:rPr>
          <w:i/>
          <w:iCs/>
        </w:rPr>
        <w:t xml:space="preserve">Indian Rock Art of the </w:t>
      </w:r>
      <w:r w:rsidR="002566DD">
        <w:rPr>
          <w:i/>
          <w:iCs/>
        </w:rPr>
        <w:t xml:space="preserve">Southwest </w:t>
      </w:r>
      <w:r w:rsidR="002566DD">
        <w:t>(Santa Fe and Albuquerque: School of American Research and University of New Mexico Press, 1980), p. 126</w:t>
      </w:r>
      <w:r w:rsidR="00DC544E">
        <w:t>.</w:t>
      </w:r>
    </w:p>
  </w:footnote>
  <w:footnote w:id="210">
    <w:p w14:paraId="23625D97" w14:textId="77777777" w:rsidR="0064716C" w:rsidRDefault="0064716C" w:rsidP="0064716C">
      <w:pPr>
        <w:pStyle w:val="FootnoteText"/>
      </w:pPr>
      <w:r>
        <w:rPr>
          <w:rStyle w:val="FootnoteReference"/>
        </w:rPr>
        <w:footnoteRef/>
      </w:r>
      <w:r>
        <w:t xml:space="preserve"> Tilley, </w:t>
      </w:r>
      <w:r w:rsidRPr="007F18FC">
        <w:rPr>
          <w:i/>
          <w:iCs/>
        </w:rPr>
        <w:t>Phenomenology of Landscape</w:t>
      </w:r>
      <w:r>
        <w:t>, p. 28.</w:t>
      </w:r>
    </w:p>
  </w:footnote>
  <w:footnote w:id="211">
    <w:p w14:paraId="63B8006B" w14:textId="02D40DEE" w:rsidR="000B5C3E" w:rsidRDefault="000B5C3E">
      <w:pPr>
        <w:pStyle w:val="FootnoteText"/>
      </w:pPr>
      <w:r w:rsidRPr="00476175">
        <w:rPr>
          <w:rStyle w:val="FootnoteReference"/>
        </w:rPr>
        <w:footnoteRef/>
      </w:r>
      <w:r>
        <w:t xml:space="preserve"> </w:t>
      </w:r>
      <w:r w:rsidR="00476175">
        <w:t>Whitley, ‘Finding Rain’, pp. 18-26.</w:t>
      </w:r>
    </w:p>
  </w:footnote>
  <w:footnote w:id="212">
    <w:p w14:paraId="0FCDF298" w14:textId="0DA769B2" w:rsidR="00E91357" w:rsidRDefault="00E91357" w:rsidP="00E91357">
      <w:pPr>
        <w:pStyle w:val="Default"/>
      </w:pPr>
      <w:r>
        <w:rPr>
          <w:rStyle w:val="FootnoteReference"/>
        </w:rPr>
        <w:footnoteRef/>
      </w:r>
      <w:r>
        <w:t xml:space="preserve"> H. R. Bell</w:t>
      </w:r>
      <w:r w:rsidRPr="00E91357">
        <w:rPr>
          <w:rFonts w:asciiTheme="minorHAnsi" w:hAnsiTheme="minorHAnsi" w:cstheme="minorHAnsi"/>
          <w:sz w:val="22"/>
          <w:szCs w:val="22"/>
        </w:rPr>
        <w:t xml:space="preserve">, </w:t>
      </w:r>
      <w:r w:rsidRPr="00E91357">
        <w:rPr>
          <w:rFonts w:asciiTheme="minorHAnsi" w:hAnsiTheme="minorHAnsi" w:cstheme="minorHAnsi"/>
          <w:i/>
          <w:iCs/>
          <w:sz w:val="22"/>
          <w:szCs w:val="22"/>
        </w:rPr>
        <w:t>Storymen</w:t>
      </w:r>
      <w:r w:rsidRPr="00E91357">
        <w:rPr>
          <w:rFonts w:asciiTheme="minorHAnsi" w:hAnsiTheme="minorHAnsi" w:cstheme="minorHAnsi"/>
          <w:sz w:val="22"/>
          <w:szCs w:val="22"/>
        </w:rPr>
        <w:t xml:space="preserve"> </w:t>
      </w:r>
      <w:r>
        <w:rPr>
          <w:rFonts w:asciiTheme="minorHAnsi" w:hAnsiTheme="minorHAnsi" w:cstheme="minorHAnsi"/>
          <w:sz w:val="22"/>
          <w:szCs w:val="22"/>
        </w:rPr>
        <w:t>(</w:t>
      </w:r>
      <w:r w:rsidRPr="00E91357">
        <w:rPr>
          <w:rFonts w:asciiTheme="minorHAnsi" w:hAnsiTheme="minorHAnsi" w:cstheme="minorHAnsi"/>
          <w:sz w:val="22"/>
          <w:szCs w:val="22"/>
        </w:rPr>
        <w:t>Cambridge: Cambridge University, 2009), p. 115</w:t>
      </w:r>
      <w:r>
        <w:rPr>
          <w:rFonts w:asciiTheme="minorHAnsi" w:hAnsiTheme="minorHAnsi" w:cstheme="minorHAnsi"/>
          <w:sz w:val="22"/>
          <w:szCs w:val="22"/>
        </w:rPr>
        <w:t xml:space="preserve"> cited in Porr and Bell, ‘Animism’, p.</w:t>
      </w:r>
      <w:r w:rsidR="00753054">
        <w:rPr>
          <w:rFonts w:asciiTheme="minorHAnsi" w:hAnsiTheme="minorHAnsi" w:cstheme="minorHAnsi"/>
          <w:sz w:val="22"/>
          <w:szCs w:val="22"/>
        </w:rPr>
        <w:t xml:space="preserve"> </w:t>
      </w:r>
      <w:r>
        <w:rPr>
          <w:rFonts w:asciiTheme="minorHAnsi" w:hAnsiTheme="minorHAnsi" w:cstheme="minorHAnsi"/>
          <w:sz w:val="22"/>
          <w:szCs w:val="22"/>
        </w:rPr>
        <w:t>192.</w:t>
      </w:r>
    </w:p>
  </w:footnote>
  <w:footnote w:id="213">
    <w:p w14:paraId="5C49A5E3" w14:textId="3A87460B" w:rsidR="00625DE8" w:rsidRPr="000C07C2" w:rsidRDefault="00625DE8" w:rsidP="00625DE8">
      <w:pPr>
        <w:pStyle w:val="Default"/>
        <w:rPr>
          <w:rFonts w:asciiTheme="minorHAnsi" w:hAnsiTheme="minorHAnsi" w:cstheme="minorHAnsi"/>
          <w:sz w:val="22"/>
          <w:szCs w:val="22"/>
        </w:rPr>
      </w:pPr>
      <w:r w:rsidRPr="000C07C2">
        <w:rPr>
          <w:rStyle w:val="FootnoteReference"/>
          <w:rFonts w:asciiTheme="minorHAnsi" w:hAnsiTheme="minorHAnsi" w:cstheme="minorHAnsi"/>
          <w:sz w:val="22"/>
          <w:szCs w:val="22"/>
        </w:rPr>
        <w:footnoteRef/>
      </w:r>
      <w:r w:rsidRPr="000C07C2">
        <w:rPr>
          <w:rFonts w:asciiTheme="minorHAnsi" w:hAnsiTheme="minorHAnsi" w:cstheme="minorHAnsi"/>
          <w:sz w:val="22"/>
          <w:szCs w:val="22"/>
        </w:rPr>
        <w:t xml:space="preserve"> Merle E. Walker, ‘Petroglyphs, Lightning, and Magnetism’, </w:t>
      </w:r>
      <w:r w:rsidRPr="000C07C2">
        <w:rPr>
          <w:rFonts w:asciiTheme="minorHAnsi" w:hAnsiTheme="minorHAnsi" w:cstheme="minorHAnsi"/>
          <w:i/>
          <w:iCs/>
          <w:sz w:val="22"/>
          <w:szCs w:val="22"/>
        </w:rPr>
        <w:t>Journal of California and Great Basin Anthropology</w:t>
      </w:r>
      <w:r w:rsidRPr="000C07C2">
        <w:rPr>
          <w:rFonts w:asciiTheme="minorHAnsi" w:hAnsiTheme="minorHAnsi" w:cstheme="minorHAnsi"/>
          <w:sz w:val="22"/>
          <w:szCs w:val="22"/>
        </w:rPr>
        <w:t xml:space="preserve">, Vol. 27, No. 1 (2007), pp. 57-71. </w:t>
      </w:r>
    </w:p>
  </w:footnote>
  <w:footnote w:id="214">
    <w:p w14:paraId="5A9DA442" w14:textId="06CD68B2" w:rsidR="00CD41A9" w:rsidRDefault="00CD41A9">
      <w:pPr>
        <w:pStyle w:val="FootnoteText"/>
      </w:pPr>
      <w:r>
        <w:rPr>
          <w:rStyle w:val="FootnoteReference"/>
        </w:rPr>
        <w:footnoteRef/>
      </w:r>
      <w:r>
        <w:t xml:space="preserve"> Hudson, ‘Solstice Observers’, pp. 40-41.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A6071"/>
    <w:multiLevelType w:val="hybridMultilevel"/>
    <w:tmpl w:val="1C92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2878CB"/>
    <w:multiLevelType w:val="multilevel"/>
    <w:tmpl w:val="C08C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316165">
    <w:abstractNumId w:val="1"/>
  </w:num>
  <w:num w:numId="2" w16cid:durableId="412430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22"/>
    <w:rsid w:val="000006FA"/>
    <w:rsid w:val="00000945"/>
    <w:rsid w:val="000012B3"/>
    <w:rsid w:val="0000203C"/>
    <w:rsid w:val="00004272"/>
    <w:rsid w:val="00004909"/>
    <w:rsid w:val="000066FB"/>
    <w:rsid w:val="00006715"/>
    <w:rsid w:val="0000753E"/>
    <w:rsid w:val="000102C9"/>
    <w:rsid w:val="0001154C"/>
    <w:rsid w:val="00011E1D"/>
    <w:rsid w:val="000134D3"/>
    <w:rsid w:val="0001377E"/>
    <w:rsid w:val="00016156"/>
    <w:rsid w:val="00016CC0"/>
    <w:rsid w:val="00017487"/>
    <w:rsid w:val="000221EF"/>
    <w:rsid w:val="00023138"/>
    <w:rsid w:val="00023487"/>
    <w:rsid w:val="000235CF"/>
    <w:rsid w:val="00023EA7"/>
    <w:rsid w:val="000244D4"/>
    <w:rsid w:val="00027441"/>
    <w:rsid w:val="0002754B"/>
    <w:rsid w:val="00027771"/>
    <w:rsid w:val="0003049E"/>
    <w:rsid w:val="00030B59"/>
    <w:rsid w:val="0003282F"/>
    <w:rsid w:val="00035676"/>
    <w:rsid w:val="00035FA7"/>
    <w:rsid w:val="00036FFB"/>
    <w:rsid w:val="00037F7B"/>
    <w:rsid w:val="00042268"/>
    <w:rsid w:val="00042634"/>
    <w:rsid w:val="000428DA"/>
    <w:rsid w:val="00043809"/>
    <w:rsid w:val="00045390"/>
    <w:rsid w:val="00045BBA"/>
    <w:rsid w:val="00046BD9"/>
    <w:rsid w:val="0004703F"/>
    <w:rsid w:val="000504ED"/>
    <w:rsid w:val="000510CC"/>
    <w:rsid w:val="00056DF6"/>
    <w:rsid w:val="00060FA0"/>
    <w:rsid w:val="00062998"/>
    <w:rsid w:val="00062A64"/>
    <w:rsid w:val="000673E7"/>
    <w:rsid w:val="00070CF4"/>
    <w:rsid w:val="000722F1"/>
    <w:rsid w:val="00074392"/>
    <w:rsid w:val="00076379"/>
    <w:rsid w:val="00077043"/>
    <w:rsid w:val="00080175"/>
    <w:rsid w:val="00081025"/>
    <w:rsid w:val="0008395A"/>
    <w:rsid w:val="000852F2"/>
    <w:rsid w:val="00085830"/>
    <w:rsid w:val="00085847"/>
    <w:rsid w:val="00086BA1"/>
    <w:rsid w:val="00090DA7"/>
    <w:rsid w:val="00092115"/>
    <w:rsid w:val="00093B6A"/>
    <w:rsid w:val="00094E98"/>
    <w:rsid w:val="000959B5"/>
    <w:rsid w:val="000A25E2"/>
    <w:rsid w:val="000A2F96"/>
    <w:rsid w:val="000A34BF"/>
    <w:rsid w:val="000A4178"/>
    <w:rsid w:val="000A55D0"/>
    <w:rsid w:val="000A70CF"/>
    <w:rsid w:val="000A728C"/>
    <w:rsid w:val="000A77A8"/>
    <w:rsid w:val="000A7AF0"/>
    <w:rsid w:val="000B0921"/>
    <w:rsid w:val="000B0EEA"/>
    <w:rsid w:val="000B2D54"/>
    <w:rsid w:val="000B49F6"/>
    <w:rsid w:val="000B50EB"/>
    <w:rsid w:val="000B5326"/>
    <w:rsid w:val="000B5C3E"/>
    <w:rsid w:val="000B6D0B"/>
    <w:rsid w:val="000B7212"/>
    <w:rsid w:val="000B7E0E"/>
    <w:rsid w:val="000C07C2"/>
    <w:rsid w:val="000C1931"/>
    <w:rsid w:val="000C2D2D"/>
    <w:rsid w:val="000C32FE"/>
    <w:rsid w:val="000C4B65"/>
    <w:rsid w:val="000C548E"/>
    <w:rsid w:val="000C61CE"/>
    <w:rsid w:val="000D29BF"/>
    <w:rsid w:val="000D3FB7"/>
    <w:rsid w:val="000D550A"/>
    <w:rsid w:val="000D5C21"/>
    <w:rsid w:val="000D74AD"/>
    <w:rsid w:val="000D7D6B"/>
    <w:rsid w:val="000D7D95"/>
    <w:rsid w:val="000E0813"/>
    <w:rsid w:val="000E15CD"/>
    <w:rsid w:val="000E2C14"/>
    <w:rsid w:val="000E2E05"/>
    <w:rsid w:val="000E3BFF"/>
    <w:rsid w:val="000E3F3B"/>
    <w:rsid w:val="000E4634"/>
    <w:rsid w:val="000E4FB5"/>
    <w:rsid w:val="000E4FFD"/>
    <w:rsid w:val="000E5199"/>
    <w:rsid w:val="000E51F6"/>
    <w:rsid w:val="000E5C05"/>
    <w:rsid w:val="000E6DEE"/>
    <w:rsid w:val="000E717D"/>
    <w:rsid w:val="000F05FD"/>
    <w:rsid w:val="000F0CF2"/>
    <w:rsid w:val="000F2695"/>
    <w:rsid w:val="000F28B1"/>
    <w:rsid w:val="000F3571"/>
    <w:rsid w:val="000F3E19"/>
    <w:rsid w:val="000F512E"/>
    <w:rsid w:val="000F78E7"/>
    <w:rsid w:val="00101CCF"/>
    <w:rsid w:val="00102BFB"/>
    <w:rsid w:val="00103989"/>
    <w:rsid w:val="001058F3"/>
    <w:rsid w:val="00106F3F"/>
    <w:rsid w:val="00106FE1"/>
    <w:rsid w:val="00107123"/>
    <w:rsid w:val="00110A8C"/>
    <w:rsid w:val="001115B2"/>
    <w:rsid w:val="00112CA3"/>
    <w:rsid w:val="0011360B"/>
    <w:rsid w:val="00116966"/>
    <w:rsid w:val="001174C5"/>
    <w:rsid w:val="00124234"/>
    <w:rsid w:val="00124399"/>
    <w:rsid w:val="00126ECC"/>
    <w:rsid w:val="00127569"/>
    <w:rsid w:val="00127D3D"/>
    <w:rsid w:val="0013138B"/>
    <w:rsid w:val="00131E98"/>
    <w:rsid w:val="00133217"/>
    <w:rsid w:val="00135D8B"/>
    <w:rsid w:val="00136719"/>
    <w:rsid w:val="00142735"/>
    <w:rsid w:val="0014288C"/>
    <w:rsid w:val="00143A1A"/>
    <w:rsid w:val="0014581F"/>
    <w:rsid w:val="00146CA7"/>
    <w:rsid w:val="001477CF"/>
    <w:rsid w:val="00150834"/>
    <w:rsid w:val="00151ECF"/>
    <w:rsid w:val="00155E35"/>
    <w:rsid w:val="00157267"/>
    <w:rsid w:val="00157654"/>
    <w:rsid w:val="001577A4"/>
    <w:rsid w:val="001600FB"/>
    <w:rsid w:val="00160BD0"/>
    <w:rsid w:val="00161F73"/>
    <w:rsid w:val="00163EAD"/>
    <w:rsid w:val="00165849"/>
    <w:rsid w:val="00170855"/>
    <w:rsid w:val="001722E0"/>
    <w:rsid w:val="00173175"/>
    <w:rsid w:val="00173D23"/>
    <w:rsid w:val="00174C34"/>
    <w:rsid w:val="00176140"/>
    <w:rsid w:val="00176C07"/>
    <w:rsid w:val="00180A56"/>
    <w:rsid w:val="0018203F"/>
    <w:rsid w:val="001823C4"/>
    <w:rsid w:val="00182867"/>
    <w:rsid w:val="00182E54"/>
    <w:rsid w:val="001831DC"/>
    <w:rsid w:val="00183E0C"/>
    <w:rsid w:val="00184E4D"/>
    <w:rsid w:val="0018511C"/>
    <w:rsid w:val="00186119"/>
    <w:rsid w:val="001862B5"/>
    <w:rsid w:val="00186645"/>
    <w:rsid w:val="00187A6C"/>
    <w:rsid w:val="00187EF5"/>
    <w:rsid w:val="00190702"/>
    <w:rsid w:val="00190A88"/>
    <w:rsid w:val="00190F70"/>
    <w:rsid w:val="0019135D"/>
    <w:rsid w:val="0019173F"/>
    <w:rsid w:val="001926DE"/>
    <w:rsid w:val="00194997"/>
    <w:rsid w:val="00194A0F"/>
    <w:rsid w:val="0019519A"/>
    <w:rsid w:val="00196C65"/>
    <w:rsid w:val="00197DAE"/>
    <w:rsid w:val="001A029E"/>
    <w:rsid w:val="001A03DB"/>
    <w:rsid w:val="001A164B"/>
    <w:rsid w:val="001A23D2"/>
    <w:rsid w:val="001A3537"/>
    <w:rsid w:val="001A356C"/>
    <w:rsid w:val="001A3FEF"/>
    <w:rsid w:val="001A447C"/>
    <w:rsid w:val="001A5892"/>
    <w:rsid w:val="001B0A0F"/>
    <w:rsid w:val="001B3DA2"/>
    <w:rsid w:val="001B4CF5"/>
    <w:rsid w:val="001B5538"/>
    <w:rsid w:val="001B5D87"/>
    <w:rsid w:val="001B66FE"/>
    <w:rsid w:val="001B6B01"/>
    <w:rsid w:val="001C0465"/>
    <w:rsid w:val="001C06CE"/>
    <w:rsid w:val="001C11C7"/>
    <w:rsid w:val="001C1F90"/>
    <w:rsid w:val="001C2274"/>
    <w:rsid w:val="001C2D85"/>
    <w:rsid w:val="001C36E0"/>
    <w:rsid w:val="001C3EF2"/>
    <w:rsid w:val="001C4CFB"/>
    <w:rsid w:val="001C523C"/>
    <w:rsid w:val="001D17A3"/>
    <w:rsid w:val="001D1CB5"/>
    <w:rsid w:val="001D36F8"/>
    <w:rsid w:val="001D4159"/>
    <w:rsid w:val="001D5FE5"/>
    <w:rsid w:val="001D723C"/>
    <w:rsid w:val="001D7B8E"/>
    <w:rsid w:val="001E1C41"/>
    <w:rsid w:val="001E2B9B"/>
    <w:rsid w:val="001E3DE7"/>
    <w:rsid w:val="001E3EE2"/>
    <w:rsid w:val="001E418D"/>
    <w:rsid w:val="001E46E4"/>
    <w:rsid w:val="001F0034"/>
    <w:rsid w:val="001F05BF"/>
    <w:rsid w:val="001F0CA6"/>
    <w:rsid w:val="001F304F"/>
    <w:rsid w:val="001F394F"/>
    <w:rsid w:val="001F4EC0"/>
    <w:rsid w:val="001F561E"/>
    <w:rsid w:val="001F6758"/>
    <w:rsid w:val="00201108"/>
    <w:rsid w:val="0020114B"/>
    <w:rsid w:val="00202440"/>
    <w:rsid w:val="00202B1B"/>
    <w:rsid w:val="00203507"/>
    <w:rsid w:val="00205AB4"/>
    <w:rsid w:val="0020687A"/>
    <w:rsid w:val="00210284"/>
    <w:rsid w:val="002104B1"/>
    <w:rsid w:val="0021353B"/>
    <w:rsid w:val="002160B2"/>
    <w:rsid w:val="002164F6"/>
    <w:rsid w:val="00216D13"/>
    <w:rsid w:val="0021748B"/>
    <w:rsid w:val="00217B8F"/>
    <w:rsid w:val="00220E73"/>
    <w:rsid w:val="002210FA"/>
    <w:rsid w:val="002215BA"/>
    <w:rsid w:val="00221910"/>
    <w:rsid w:val="00222480"/>
    <w:rsid w:val="00222C20"/>
    <w:rsid w:val="002232E0"/>
    <w:rsid w:val="00223E15"/>
    <w:rsid w:val="00223E91"/>
    <w:rsid w:val="002259AE"/>
    <w:rsid w:val="0022602D"/>
    <w:rsid w:val="00230048"/>
    <w:rsid w:val="002301AC"/>
    <w:rsid w:val="00230802"/>
    <w:rsid w:val="00230DEB"/>
    <w:rsid w:val="00231EE4"/>
    <w:rsid w:val="00232C19"/>
    <w:rsid w:val="00232E88"/>
    <w:rsid w:val="00236905"/>
    <w:rsid w:val="002371EA"/>
    <w:rsid w:val="00237FE2"/>
    <w:rsid w:val="002408DC"/>
    <w:rsid w:val="002416BA"/>
    <w:rsid w:val="00241DE3"/>
    <w:rsid w:val="002425EC"/>
    <w:rsid w:val="00243AE2"/>
    <w:rsid w:val="002443D2"/>
    <w:rsid w:val="00244872"/>
    <w:rsid w:val="00245F7E"/>
    <w:rsid w:val="002463DC"/>
    <w:rsid w:val="002464A7"/>
    <w:rsid w:val="00246519"/>
    <w:rsid w:val="00246F42"/>
    <w:rsid w:val="00250317"/>
    <w:rsid w:val="00250D06"/>
    <w:rsid w:val="0025205D"/>
    <w:rsid w:val="00252CD8"/>
    <w:rsid w:val="00253F50"/>
    <w:rsid w:val="002547E6"/>
    <w:rsid w:val="00255763"/>
    <w:rsid w:val="002566DD"/>
    <w:rsid w:val="002567DA"/>
    <w:rsid w:val="00256E03"/>
    <w:rsid w:val="00256F01"/>
    <w:rsid w:val="002570A2"/>
    <w:rsid w:val="002571B7"/>
    <w:rsid w:val="00260474"/>
    <w:rsid w:val="002619AA"/>
    <w:rsid w:val="00261F5E"/>
    <w:rsid w:val="00263692"/>
    <w:rsid w:val="0026375C"/>
    <w:rsid w:val="00263B17"/>
    <w:rsid w:val="00265AA0"/>
    <w:rsid w:val="00266C0F"/>
    <w:rsid w:val="002676FB"/>
    <w:rsid w:val="002717EC"/>
    <w:rsid w:val="00271E90"/>
    <w:rsid w:val="002729F8"/>
    <w:rsid w:val="00272A6C"/>
    <w:rsid w:val="002730FC"/>
    <w:rsid w:val="00273301"/>
    <w:rsid w:val="00273940"/>
    <w:rsid w:val="0027457B"/>
    <w:rsid w:val="002748BC"/>
    <w:rsid w:val="00274E02"/>
    <w:rsid w:val="002757F4"/>
    <w:rsid w:val="002765B4"/>
    <w:rsid w:val="0027727D"/>
    <w:rsid w:val="00277353"/>
    <w:rsid w:val="00277A3D"/>
    <w:rsid w:val="002801A0"/>
    <w:rsid w:val="002803DA"/>
    <w:rsid w:val="00280590"/>
    <w:rsid w:val="00280D11"/>
    <w:rsid w:val="0028103F"/>
    <w:rsid w:val="0028107D"/>
    <w:rsid w:val="002823C3"/>
    <w:rsid w:val="0028324F"/>
    <w:rsid w:val="00283416"/>
    <w:rsid w:val="002847A4"/>
    <w:rsid w:val="00284E0B"/>
    <w:rsid w:val="00286689"/>
    <w:rsid w:val="002868A4"/>
    <w:rsid w:val="00287691"/>
    <w:rsid w:val="0028786D"/>
    <w:rsid w:val="002905F7"/>
    <w:rsid w:val="00292D40"/>
    <w:rsid w:val="00293688"/>
    <w:rsid w:val="002959F0"/>
    <w:rsid w:val="002A15EC"/>
    <w:rsid w:val="002A3935"/>
    <w:rsid w:val="002A6D6B"/>
    <w:rsid w:val="002A7027"/>
    <w:rsid w:val="002A71AF"/>
    <w:rsid w:val="002A7E9B"/>
    <w:rsid w:val="002B0496"/>
    <w:rsid w:val="002B289B"/>
    <w:rsid w:val="002B30ED"/>
    <w:rsid w:val="002B40EB"/>
    <w:rsid w:val="002B55C5"/>
    <w:rsid w:val="002B5B0B"/>
    <w:rsid w:val="002B6830"/>
    <w:rsid w:val="002B6B81"/>
    <w:rsid w:val="002C08BB"/>
    <w:rsid w:val="002C1BE2"/>
    <w:rsid w:val="002C1D85"/>
    <w:rsid w:val="002C2AD6"/>
    <w:rsid w:val="002C4B5C"/>
    <w:rsid w:val="002C552D"/>
    <w:rsid w:val="002C65F3"/>
    <w:rsid w:val="002D001F"/>
    <w:rsid w:val="002D00C0"/>
    <w:rsid w:val="002D0BF2"/>
    <w:rsid w:val="002D4552"/>
    <w:rsid w:val="002D6108"/>
    <w:rsid w:val="002D616B"/>
    <w:rsid w:val="002D783A"/>
    <w:rsid w:val="002D7B6B"/>
    <w:rsid w:val="002E051C"/>
    <w:rsid w:val="002E1958"/>
    <w:rsid w:val="002E28F7"/>
    <w:rsid w:val="002E2F3E"/>
    <w:rsid w:val="002E32BA"/>
    <w:rsid w:val="002E4AF4"/>
    <w:rsid w:val="002E4B05"/>
    <w:rsid w:val="002E5EB7"/>
    <w:rsid w:val="002E6208"/>
    <w:rsid w:val="002E69E0"/>
    <w:rsid w:val="002E6E0D"/>
    <w:rsid w:val="002E720F"/>
    <w:rsid w:val="002E7473"/>
    <w:rsid w:val="002E7D69"/>
    <w:rsid w:val="002F390A"/>
    <w:rsid w:val="002F394C"/>
    <w:rsid w:val="002F3FD6"/>
    <w:rsid w:val="002F406F"/>
    <w:rsid w:val="002F5083"/>
    <w:rsid w:val="002F6A17"/>
    <w:rsid w:val="003000DE"/>
    <w:rsid w:val="00301B2E"/>
    <w:rsid w:val="0030214C"/>
    <w:rsid w:val="0030232D"/>
    <w:rsid w:val="00302E19"/>
    <w:rsid w:val="0030350A"/>
    <w:rsid w:val="00304063"/>
    <w:rsid w:val="00304C39"/>
    <w:rsid w:val="0030544D"/>
    <w:rsid w:val="00305799"/>
    <w:rsid w:val="0030732F"/>
    <w:rsid w:val="00307ED4"/>
    <w:rsid w:val="003105F4"/>
    <w:rsid w:val="00310726"/>
    <w:rsid w:val="003111CF"/>
    <w:rsid w:val="00311C52"/>
    <w:rsid w:val="00311CF8"/>
    <w:rsid w:val="003123B4"/>
    <w:rsid w:val="00312C70"/>
    <w:rsid w:val="00313482"/>
    <w:rsid w:val="00313598"/>
    <w:rsid w:val="00313B46"/>
    <w:rsid w:val="003214B8"/>
    <w:rsid w:val="0032170D"/>
    <w:rsid w:val="00322F91"/>
    <w:rsid w:val="0032564F"/>
    <w:rsid w:val="00325B4E"/>
    <w:rsid w:val="00325EA4"/>
    <w:rsid w:val="00326109"/>
    <w:rsid w:val="00326ACD"/>
    <w:rsid w:val="00327764"/>
    <w:rsid w:val="00327C88"/>
    <w:rsid w:val="00330CB6"/>
    <w:rsid w:val="00331722"/>
    <w:rsid w:val="00331D13"/>
    <w:rsid w:val="00333575"/>
    <w:rsid w:val="00341106"/>
    <w:rsid w:val="00341571"/>
    <w:rsid w:val="00343B09"/>
    <w:rsid w:val="00343B60"/>
    <w:rsid w:val="00343F73"/>
    <w:rsid w:val="0034548A"/>
    <w:rsid w:val="0034558D"/>
    <w:rsid w:val="00346925"/>
    <w:rsid w:val="003506FB"/>
    <w:rsid w:val="003519A2"/>
    <w:rsid w:val="00353C17"/>
    <w:rsid w:val="00353D92"/>
    <w:rsid w:val="00353F97"/>
    <w:rsid w:val="0035588E"/>
    <w:rsid w:val="003561C7"/>
    <w:rsid w:val="0035685C"/>
    <w:rsid w:val="0035750C"/>
    <w:rsid w:val="00357735"/>
    <w:rsid w:val="00357B41"/>
    <w:rsid w:val="003603FD"/>
    <w:rsid w:val="003608A9"/>
    <w:rsid w:val="00361752"/>
    <w:rsid w:val="0036176B"/>
    <w:rsid w:val="003617DD"/>
    <w:rsid w:val="0036283A"/>
    <w:rsid w:val="00362C53"/>
    <w:rsid w:val="0036422D"/>
    <w:rsid w:val="00364C73"/>
    <w:rsid w:val="00364F78"/>
    <w:rsid w:val="00365BE5"/>
    <w:rsid w:val="00367026"/>
    <w:rsid w:val="00367754"/>
    <w:rsid w:val="00371742"/>
    <w:rsid w:val="00371EE1"/>
    <w:rsid w:val="00372FB0"/>
    <w:rsid w:val="00373018"/>
    <w:rsid w:val="003742F7"/>
    <w:rsid w:val="003743ED"/>
    <w:rsid w:val="003745E8"/>
    <w:rsid w:val="00375AAD"/>
    <w:rsid w:val="00376139"/>
    <w:rsid w:val="00376A5F"/>
    <w:rsid w:val="003771BA"/>
    <w:rsid w:val="003776D2"/>
    <w:rsid w:val="003777F6"/>
    <w:rsid w:val="003805BC"/>
    <w:rsid w:val="00380BE5"/>
    <w:rsid w:val="003810AC"/>
    <w:rsid w:val="00381135"/>
    <w:rsid w:val="00381654"/>
    <w:rsid w:val="003830B0"/>
    <w:rsid w:val="003837B0"/>
    <w:rsid w:val="00385AEC"/>
    <w:rsid w:val="00387022"/>
    <w:rsid w:val="0039035C"/>
    <w:rsid w:val="003905B5"/>
    <w:rsid w:val="00391170"/>
    <w:rsid w:val="003916F3"/>
    <w:rsid w:val="003931D7"/>
    <w:rsid w:val="00396347"/>
    <w:rsid w:val="003A15D1"/>
    <w:rsid w:val="003A162C"/>
    <w:rsid w:val="003A4404"/>
    <w:rsid w:val="003A5DD8"/>
    <w:rsid w:val="003A634E"/>
    <w:rsid w:val="003A656B"/>
    <w:rsid w:val="003A72F6"/>
    <w:rsid w:val="003A7594"/>
    <w:rsid w:val="003B143E"/>
    <w:rsid w:val="003B1D51"/>
    <w:rsid w:val="003B2694"/>
    <w:rsid w:val="003B539E"/>
    <w:rsid w:val="003B56FF"/>
    <w:rsid w:val="003B5C30"/>
    <w:rsid w:val="003B63C1"/>
    <w:rsid w:val="003B698D"/>
    <w:rsid w:val="003B73BD"/>
    <w:rsid w:val="003C0E9E"/>
    <w:rsid w:val="003C0EAA"/>
    <w:rsid w:val="003C2ACA"/>
    <w:rsid w:val="003C56BE"/>
    <w:rsid w:val="003C638B"/>
    <w:rsid w:val="003C68C6"/>
    <w:rsid w:val="003C6F21"/>
    <w:rsid w:val="003D0871"/>
    <w:rsid w:val="003D095F"/>
    <w:rsid w:val="003D0F4E"/>
    <w:rsid w:val="003D0FF5"/>
    <w:rsid w:val="003D1FF1"/>
    <w:rsid w:val="003D2C07"/>
    <w:rsid w:val="003D2CDE"/>
    <w:rsid w:val="003D3BC0"/>
    <w:rsid w:val="003D4059"/>
    <w:rsid w:val="003D6494"/>
    <w:rsid w:val="003D69C4"/>
    <w:rsid w:val="003D7DF1"/>
    <w:rsid w:val="003E2EFD"/>
    <w:rsid w:val="003E4BC9"/>
    <w:rsid w:val="003E4DBD"/>
    <w:rsid w:val="003E7FE4"/>
    <w:rsid w:val="003F09FF"/>
    <w:rsid w:val="003F1E01"/>
    <w:rsid w:val="003F2B6B"/>
    <w:rsid w:val="003F4263"/>
    <w:rsid w:val="003F73E5"/>
    <w:rsid w:val="003F7A73"/>
    <w:rsid w:val="003F7B20"/>
    <w:rsid w:val="003F7D59"/>
    <w:rsid w:val="00400CEC"/>
    <w:rsid w:val="00401CB2"/>
    <w:rsid w:val="00404219"/>
    <w:rsid w:val="0040463D"/>
    <w:rsid w:val="004047DD"/>
    <w:rsid w:val="00404B4D"/>
    <w:rsid w:val="00406601"/>
    <w:rsid w:val="00406AA5"/>
    <w:rsid w:val="00406D79"/>
    <w:rsid w:val="00406E06"/>
    <w:rsid w:val="00407046"/>
    <w:rsid w:val="00407841"/>
    <w:rsid w:val="00410214"/>
    <w:rsid w:val="004105C3"/>
    <w:rsid w:val="004105EE"/>
    <w:rsid w:val="004109FA"/>
    <w:rsid w:val="00411A97"/>
    <w:rsid w:val="00412E51"/>
    <w:rsid w:val="00414141"/>
    <w:rsid w:val="0041462D"/>
    <w:rsid w:val="004152DC"/>
    <w:rsid w:val="00415A14"/>
    <w:rsid w:val="00416697"/>
    <w:rsid w:val="00417A18"/>
    <w:rsid w:val="00417A1D"/>
    <w:rsid w:val="00420C39"/>
    <w:rsid w:val="00421379"/>
    <w:rsid w:val="00421AD5"/>
    <w:rsid w:val="00421E79"/>
    <w:rsid w:val="004228AA"/>
    <w:rsid w:val="00423920"/>
    <w:rsid w:val="00423CCE"/>
    <w:rsid w:val="00424649"/>
    <w:rsid w:val="00425125"/>
    <w:rsid w:val="00425C5C"/>
    <w:rsid w:val="004272FE"/>
    <w:rsid w:val="00430B44"/>
    <w:rsid w:val="00430F88"/>
    <w:rsid w:val="00431CD6"/>
    <w:rsid w:val="00432CFA"/>
    <w:rsid w:val="00432E8D"/>
    <w:rsid w:val="0043395A"/>
    <w:rsid w:val="00433CB9"/>
    <w:rsid w:val="00434388"/>
    <w:rsid w:val="00434755"/>
    <w:rsid w:val="00434FAE"/>
    <w:rsid w:val="004359D6"/>
    <w:rsid w:val="00436888"/>
    <w:rsid w:val="004401E5"/>
    <w:rsid w:val="00442BEA"/>
    <w:rsid w:val="0044411A"/>
    <w:rsid w:val="0044458B"/>
    <w:rsid w:val="00444756"/>
    <w:rsid w:val="00444B15"/>
    <w:rsid w:val="0044566F"/>
    <w:rsid w:val="00447097"/>
    <w:rsid w:val="004506F9"/>
    <w:rsid w:val="00451539"/>
    <w:rsid w:val="00451A09"/>
    <w:rsid w:val="004524F2"/>
    <w:rsid w:val="0045377C"/>
    <w:rsid w:val="00454FF7"/>
    <w:rsid w:val="00455742"/>
    <w:rsid w:val="00455CF5"/>
    <w:rsid w:val="00456849"/>
    <w:rsid w:val="00456EED"/>
    <w:rsid w:val="00457C9A"/>
    <w:rsid w:val="004615F8"/>
    <w:rsid w:val="00461921"/>
    <w:rsid w:val="00464650"/>
    <w:rsid w:val="00464DA2"/>
    <w:rsid w:val="00467EB3"/>
    <w:rsid w:val="00471127"/>
    <w:rsid w:val="00471206"/>
    <w:rsid w:val="00473EB4"/>
    <w:rsid w:val="00474626"/>
    <w:rsid w:val="00474AB9"/>
    <w:rsid w:val="004750C5"/>
    <w:rsid w:val="00476175"/>
    <w:rsid w:val="004762BD"/>
    <w:rsid w:val="0047672C"/>
    <w:rsid w:val="00477193"/>
    <w:rsid w:val="00477B3F"/>
    <w:rsid w:val="00480D1C"/>
    <w:rsid w:val="00481AFC"/>
    <w:rsid w:val="004824FE"/>
    <w:rsid w:val="00483C9E"/>
    <w:rsid w:val="004854D8"/>
    <w:rsid w:val="004856BC"/>
    <w:rsid w:val="004862EB"/>
    <w:rsid w:val="00486443"/>
    <w:rsid w:val="00486618"/>
    <w:rsid w:val="00487173"/>
    <w:rsid w:val="004872F9"/>
    <w:rsid w:val="00487499"/>
    <w:rsid w:val="00490067"/>
    <w:rsid w:val="0049020C"/>
    <w:rsid w:val="004919AA"/>
    <w:rsid w:val="00491FE9"/>
    <w:rsid w:val="0049209A"/>
    <w:rsid w:val="0049400E"/>
    <w:rsid w:val="0049411A"/>
    <w:rsid w:val="00497289"/>
    <w:rsid w:val="004A09F4"/>
    <w:rsid w:val="004A17AA"/>
    <w:rsid w:val="004A2ADD"/>
    <w:rsid w:val="004A2FD3"/>
    <w:rsid w:val="004A3433"/>
    <w:rsid w:val="004A3E63"/>
    <w:rsid w:val="004A552C"/>
    <w:rsid w:val="004A5C87"/>
    <w:rsid w:val="004A66D8"/>
    <w:rsid w:val="004A787C"/>
    <w:rsid w:val="004A7C10"/>
    <w:rsid w:val="004A7CB9"/>
    <w:rsid w:val="004A7E51"/>
    <w:rsid w:val="004B15F1"/>
    <w:rsid w:val="004B386D"/>
    <w:rsid w:val="004B3E0F"/>
    <w:rsid w:val="004B52F5"/>
    <w:rsid w:val="004B567D"/>
    <w:rsid w:val="004B623B"/>
    <w:rsid w:val="004B73CD"/>
    <w:rsid w:val="004B783B"/>
    <w:rsid w:val="004B7CE0"/>
    <w:rsid w:val="004C1C4A"/>
    <w:rsid w:val="004C37DA"/>
    <w:rsid w:val="004D09EB"/>
    <w:rsid w:val="004D0F96"/>
    <w:rsid w:val="004D1688"/>
    <w:rsid w:val="004D1710"/>
    <w:rsid w:val="004D1C0B"/>
    <w:rsid w:val="004D2C01"/>
    <w:rsid w:val="004D2F53"/>
    <w:rsid w:val="004D2F7C"/>
    <w:rsid w:val="004D3814"/>
    <w:rsid w:val="004D3D0E"/>
    <w:rsid w:val="004D3EC7"/>
    <w:rsid w:val="004D41D4"/>
    <w:rsid w:val="004D631D"/>
    <w:rsid w:val="004D6368"/>
    <w:rsid w:val="004D6393"/>
    <w:rsid w:val="004D67E4"/>
    <w:rsid w:val="004D73C5"/>
    <w:rsid w:val="004D7A57"/>
    <w:rsid w:val="004D7B90"/>
    <w:rsid w:val="004D7C45"/>
    <w:rsid w:val="004D7E9E"/>
    <w:rsid w:val="004E0610"/>
    <w:rsid w:val="004E0BB2"/>
    <w:rsid w:val="004E1B32"/>
    <w:rsid w:val="004E1B47"/>
    <w:rsid w:val="004E265C"/>
    <w:rsid w:val="004E2B00"/>
    <w:rsid w:val="004E2DEE"/>
    <w:rsid w:val="004E3B25"/>
    <w:rsid w:val="004E510F"/>
    <w:rsid w:val="004E5332"/>
    <w:rsid w:val="004E5527"/>
    <w:rsid w:val="004E5700"/>
    <w:rsid w:val="004E7BC9"/>
    <w:rsid w:val="004F0258"/>
    <w:rsid w:val="004F0776"/>
    <w:rsid w:val="004F0C47"/>
    <w:rsid w:val="004F18AE"/>
    <w:rsid w:val="004F1985"/>
    <w:rsid w:val="004F1DF9"/>
    <w:rsid w:val="004F54CA"/>
    <w:rsid w:val="004F56FF"/>
    <w:rsid w:val="004F64A5"/>
    <w:rsid w:val="004F6565"/>
    <w:rsid w:val="004F7351"/>
    <w:rsid w:val="004F773B"/>
    <w:rsid w:val="004F77D2"/>
    <w:rsid w:val="004F7891"/>
    <w:rsid w:val="004F7BD7"/>
    <w:rsid w:val="00501E4F"/>
    <w:rsid w:val="005028AF"/>
    <w:rsid w:val="00502F10"/>
    <w:rsid w:val="00503DDB"/>
    <w:rsid w:val="0050612E"/>
    <w:rsid w:val="00506A04"/>
    <w:rsid w:val="00506FCE"/>
    <w:rsid w:val="0050790B"/>
    <w:rsid w:val="00511673"/>
    <w:rsid w:val="00511A5A"/>
    <w:rsid w:val="00512005"/>
    <w:rsid w:val="0051254A"/>
    <w:rsid w:val="005133C0"/>
    <w:rsid w:val="005142A5"/>
    <w:rsid w:val="00514A6F"/>
    <w:rsid w:val="0051703A"/>
    <w:rsid w:val="005176CD"/>
    <w:rsid w:val="005202DF"/>
    <w:rsid w:val="00520624"/>
    <w:rsid w:val="00520FF6"/>
    <w:rsid w:val="005220FB"/>
    <w:rsid w:val="0052279B"/>
    <w:rsid w:val="00522EF7"/>
    <w:rsid w:val="0052387E"/>
    <w:rsid w:val="005248BA"/>
    <w:rsid w:val="00524D8E"/>
    <w:rsid w:val="00526C35"/>
    <w:rsid w:val="00527C84"/>
    <w:rsid w:val="005318CF"/>
    <w:rsid w:val="0053228C"/>
    <w:rsid w:val="005333F9"/>
    <w:rsid w:val="00534095"/>
    <w:rsid w:val="005344C7"/>
    <w:rsid w:val="00535B1B"/>
    <w:rsid w:val="00536703"/>
    <w:rsid w:val="00536839"/>
    <w:rsid w:val="0053698B"/>
    <w:rsid w:val="00537C92"/>
    <w:rsid w:val="005409F5"/>
    <w:rsid w:val="00542247"/>
    <w:rsid w:val="0054229D"/>
    <w:rsid w:val="005426EF"/>
    <w:rsid w:val="00543869"/>
    <w:rsid w:val="00544100"/>
    <w:rsid w:val="005448BC"/>
    <w:rsid w:val="00545C31"/>
    <w:rsid w:val="00546A70"/>
    <w:rsid w:val="005504DE"/>
    <w:rsid w:val="00550600"/>
    <w:rsid w:val="00554C6D"/>
    <w:rsid w:val="00555B06"/>
    <w:rsid w:val="00555ED2"/>
    <w:rsid w:val="00561320"/>
    <w:rsid w:val="0056183D"/>
    <w:rsid w:val="005620F2"/>
    <w:rsid w:val="00562F89"/>
    <w:rsid w:val="00563B2E"/>
    <w:rsid w:val="00563C92"/>
    <w:rsid w:val="00564CB5"/>
    <w:rsid w:val="00564E44"/>
    <w:rsid w:val="00565D75"/>
    <w:rsid w:val="00565E94"/>
    <w:rsid w:val="00570654"/>
    <w:rsid w:val="00571DB3"/>
    <w:rsid w:val="0057309C"/>
    <w:rsid w:val="00575073"/>
    <w:rsid w:val="00576375"/>
    <w:rsid w:val="00576AEC"/>
    <w:rsid w:val="005804A2"/>
    <w:rsid w:val="00580F8C"/>
    <w:rsid w:val="0058153A"/>
    <w:rsid w:val="0058186C"/>
    <w:rsid w:val="00581E5B"/>
    <w:rsid w:val="00584258"/>
    <w:rsid w:val="00585964"/>
    <w:rsid w:val="00585D30"/>
    <w:rsid w:val="005865F0"/>
    <w:rsid w:val="005866B5"/>
    <w:rsid w:val="00586D9C"/>
    <w:rsid w:val="00590982"/>
    <w:rsid w:val="00590F65"/>
    <w:rsid w:val="00590FBD"/>
    <w:rsid w:val="005915DB"/>
    <w:rsid w:val="005928B2"/>
    <w:rsid w:val="00593E7C"/>
    <w:rsid w:val="00595174"/>
    <w:rsid w:val="00597284"/>
    <w:rsid w:val="00597E50"/>
    <w:rsid w:val="005A0D84"/>
    <w:rsid w:val="005A1BAB"/>
    <w:rsid w:val="005A1C3A"/>
    <w:rsid w:val="005A20C5"/>
    <w:rsid w:val="005A287E"/>
    <w:rsid w:val="005A2DB5"/>
    <w:rsid w:val="005A4DA9"/>
    <w:rsid w:val="005A6AD4"/>
    <w:rsid w:val="005A70FE"/>
    <w:rsid w:val="005B291F"/>
    <w:rsid w:val="005B410C"/>
    <w:rsid w:val="005B4B26"/>
    <w:rsid w:val="005B5121"/>
    <w:rsid w:val="005B5488"/>
    <w:rsid w:val="005B5894"/>
    <w:rsid w:val="005B63ED"/>
    <w:rsid w:val="005C02BE"/>
    <w:rsid w:val="005C1BDE"/>
    <w:rsid w:val="005C600A"/>
    <w:rsid w:val="005C61B5"/>
    <w:rsid w:val="005D2C03"/>
    <w:rsid w:val="005D4448"/>
    <w:rsid w:val="005D4689"/>
    <w:rsid w:val="005D4766"/>
    <w:rsid w:val="005D593F"/>
    <w:rsid w:val="005D6092"/>
    <w:rsid w:val="005E1415"/>
    <w:rsid w:val="005E2E22"/>
    <w:rsid w:val="005E3C57"/>
    <w:rsid w:val="005F1CAF"/>
    <w:rsid w:val="005F2555"/>
    <w:rsid w:val="005F2B82"/>
    <w:rsid w:val="005F2C61"/>
    <w:rsid w:val="005F2D12"/>
    <w:rsid w:val="005F4E20"/>
    <w:rsid w:val="005F51C9"/>
    <w:rsid w:val="005F735B"/>
    <w:rsid w:val="0060267B"/>
    <w:rsid w:val="00602E34"/>
    <w:rsid w:val="0060469C"/>
    <w:rsid w:val="00605077"/>
    <w:rsid w:val="00605FE6"/>
    <w:rsid w:val="00606040"/>
    <w:rsid w:val="0060620F"/>
    <w:rsid w:val="006100CF"/>
    <w:rsid w:val="00610C01"/>
    <w:rsid w:val="00611077"/>
    <w:rsid w:val="00611485"/>
    <w:rsid w:val="006142AD"/>
    <w:rsid w:val="00614D0D"/>
    <w:rsid w:val="00615BCB"/>
    <w:rsid w:val="00616427"/>
    <w:rsid w:val="0061649A"/>
    <w:rsid w:val="00617B8D"/>
    <w:rsid w:val="00617CB3"/>
    <w:rsid w:val="0062076C"/>
    <w:rsid w:val="00620AB0"/>
    <w:rsid w:val="0062190F"/>
    <w:rsid w:val="00621D05"/>
    <w:rsid w:val="006220AB"/>
    <w:rsid w:val="006220FB"/>
    <w:rsid w:val="00622439"/>
    <w:rsid w:val="00622449"/>
    <w:rsid w:val="006225F5"/>
    <w:rsid w:val="006226F3"/>
    <w:rsid w:val="00622A08"/>
    <w:rsid w:val="0062497A"/>
    <w:rsid w:val="00624AB5"/>
    <w:rsid w:val="006251C4"/>
    <w:rsid w:val="00625949"/>
    <w:rsid w:val="00625C11"/>
    <w:rsid w:val="00625D1B"/>
    <w:rsid w:val="00625DE8"/>
    <w:rsid w:val="0062751B"/>
    <w:rsid w:val="00627E33"/>
    <w:rsid w:val="00630049"/>
    <w:rsid w:val="00632522"/>
    <w:rsid w:val="006333FB"/>
    <w:rsid w:val="0063383D"/>
    <w:rsid w:val="00633F13"/>
    <w:rsid w:val="006375B0"/>
    <w:rsid w:val="006404F8"/>
    <w:rsid w:val="00640D93"/>
    <w:rsid w:val="00641909"/>
    <w:rsid w:val="00642964"/>
    <w:rsid w:val="00642C74"/>
    <w:rsid w:val="00642CF7"/>
    <w:rsid w:val="006439F4"/>
    <w:rsid w:val="0064716C"/>
    <w:rsid w:val="00647211"/>
    <w:rsid w:val="00652291"/>
    <w:rsid w:val="00652804"/>
    <w:rsid w:val="0065282B"/>
    <w:rsid w:val="00653AA7"/>
    <w:rsid w:val="00654978"/>
    <w:rsid w:val="00655961"/>
    <w:rsid w:val="00655F9B"/>
    <w:rsid w:val="00656610"/>
    <w:rsid w:val="006574C9"/>
    <w:rsid w:val="00660228"/>
    <w:rsid w:val="006636BF"/>
    <w:rsid w:val="00664AAE"/>
    <w:rsid w:val="00665269"/>
    <w:rsid w:val="006656F8"/>
    <w:rsid w:val="00665800"/>
    <w:rsid w:val="0066715A"/>
    <w:rsid w:val="0067066D"/>
    <w:rsid w:val="0067121E"/>
    <w:rsid w:val="006715AE"/>
    <w:rsid w:val="00671794"/>
    <w:rsid w:val="00673DD3"/>
    <w:rsid w:val="0067599C"/>
    <w:rsid w:val="00676D26"/>
    <w:rsid w:val="00680524"/>
    <w:rsid w:val="0068154E"/>
    <w:rsid w:val="0068340C"/>
    <w:rsid w:val="00683BA1"/>
    <w:rsid w:val="00683DB3"/>
    <w:rsid w:val="0068455A"/>
    <w:rsid w:val="0068555E"/>
    <w:rsid w:val="00686903"/>
    <w:rsid w:val="00687078"/>
    <w:rsid w:val="006900EE"/>
    <w:rsid w:val="006909AA"/>
    <w:rsid w:val="006915E1"/>
    <w:rsid w:val="0069187F"/>
    <w:rsid w:val="00691CAC"/>
    <w:rsid w:val="00692948"/>
    <w:rsid w:val="00692D58"/>
    <w:rsid w:val="006930AC"/>
    <w:rsid w:val="00693A27"/>
    <w:rsid w:val="00693E4B"/>
    <w:rsid w:val="006941EC"/>
    <w:rsid w:val="006970FC"/>
    <w:rsid w:val="006A30CF"/>
    <w:rsid w:val="006A3412"/>
    <w:rsid w:val="006A46F2"/>
    <w:rsid w:val="006A4A22"/>
    <w:rsid w:val="006A5AD9"/>
    <w:rsid w:val="006A68CE"/>
    <w:rsid w:val="006A6FA8"/>
    <w:rsid w:val="006A766B"/>
    <w:rsid w:val="006B1013"/>
    <w:rsid w:val="006B2A18"/>
    <w:rsid w:val="006B4AF4"/>
    <w:rsid w:val="006B4F0D"/>
    <w:rsid w:val="006B70A5"/>
    <w:rsid w:val="006C017D"/>
    <w:rsid w:val="006C1DFF"/>
    <w:rsid w:val="006C233E"/>
    <w:rsid w:val="006C27E0"/>
    <w:rsid w:val="006C2871"/>
    <w:rsid w:val="006C59BE"/>
    <w:rsid w:val="006C6ABF"/>
    <w:rsid w:val="006C7695"/>
    <w:rsid w:val="006D0370"/>
    <w:rsid w:val="006D0D34"/>
    <w:rsid w:val="006D1D35"/>
    <w:rsid w:val="006D2E55"/>
    <w:rsid w:val="006D44E7"/>
    <w:rsid w:val="006D457C"/>
    <w:rsid w:val="006D4EDF"/>
    <w:rsid w:val="006D6E85"/>
    <w:rsid w:val="006D76D7"/>
    <w:rsid w:val="006E075D"/>
    <w:rsid w:val="006E0D93"/>
    <w:rsid w:val="006E1262"/>
    <w:rsid w:val="006E26DF"/>
    <w:rsid w:val="006E30C7"/>
    <w:rsid w:val="006E330F"/>
    <w:rsid w:val="006E3AA9"/>
    <w:rsid w:val="006E3E1B"/>
    <w:rsid w:val="006E59FD"/>
    <w:rsid w:val="006E673A"/>
    <w:rsid w:val="006E6AF7"/>
    <w:rsid w:val="006E71C5"/>
    <w:rsid w:val="006F1359"/>
    <w:rsid w:val="006F19C5"/>
    <w:rsid w:val="006F1B2D"/>
    <w:rsid w:val="006F36F3"/>
    <w:rsid w:val="006F4698"/>
    <w:rsid w:val="006F5B17"/>
    <w:rsid w:val="006F5C6C"/>
    <w:rsid w:val="006F603D"/>
    <w:rsid w:val="006F66D5"/>
    <w:rsid w:val="006F7556"/>
    <w:rsid w:val="006F7972"/>
    <w:rsid w:val="007011F0"/>
    <w:rsid w:val="00701649"/>
    <w:rsid w:val="007024B5"/>
    <w:rsid w:val="00702A8F"/>
    <w:rsid w:val="0070320F"/>
    <w:rsid w:val="0070465B"/>
    <w:rsid w:val="00705051"/>
    <w:rsid w:val="00705639"/>
    <w:rsid w:val="00705F24"/>
    <w:rsid w:val="00706553"/>
    <w:rsid w:val="00707383"/>
    <w:rsid w:val="007113A5"/>
    <w:rsid w:val="0071148B"/>
    <w:rsid w:val="0071168C"/>
    <w:rsid w:val="00714AD6"/>
    <w:rsid w:val="0071627A"/>
    <w:rsid w:val="00716624"/>
    <w:rsid w:val="00717256"/>
    <w:rsid w:val="0071769E"/>
    <w:rsid w:val="007203A2"/>
    <w:rsid w:val="007214DD"/>
    <w:rsid w:val="00721D32"/>
    <w:rsid w:val="0072392D"/>
    <w:rsid w:val="00725AC4"/>
    <w:rsid w:val="0072723B"/>
    <w:rsid w:val="0072776F"/>
    <w:rsid w:val="0073162F"/>
    <w:rsid w:val="007340EF"/>
    <w:rsid w:val="00734DAB"/>
    <w:rsid w:val="00734F86"/>
    <w:rsid w:val="00735A62"/>
    <w:rsid w:val="00737A21"/>
    <w:rsid w:val="0074175B"/>
    <w:rsid w:val="00741A08"/>
    <w:rsid w:val="007427EE"/>
    <w:rsid w:val="00742B3D"/>
    <w:rsid w:val="00743087"/>
    <w:rsid w:val="007439BD"/>
    <w:rsid w:val="00745A7B"/>
    <w:rsid w:val="007463C9"/>
    <w:rsid w:val="00746D79"/>
    <w:rsid w:val="00750857"/>
    <w:rsid w:val="00752DBB"/>
    <w:rsid w:val="00753054"/>
    <w:rsid w:val="00753603"/>
    <w:rsid w:val="00753E8F"/>
    <w:rsid w:val="00754461"/>
    <w:rsid w:val="00754F6D"/>
    <w:rsid w:val="00756213"/>
    <w:rsid w:val="007566DE"/>
    <w:rsid w:val="00760477"/>
    <w:rsid w:val="00760E09"/>
    <w:rsid w:val="007612B4"/>
    <w:rsid w:val="0076360A"/>
    <w:rsid w:val="00764513"/>
    <w:rsid w:val="00764E3E"/>
    <w:rsid w:val="0076502C"/>
    <w:rsid w:val="00765F3E"/>
    <w:rsid w:val="00766BEA"/>
    <w:rsid w:val="0076718C"/>
    <w:rsid w:val="007675D1"/>
    <w:rsid w:val="00774622"/>
    <w:rsid w:val="00775309"/>
    <w:rsid w:val="00776A15"/>
    <w:rsid w:val="007774F0"/>
    <w:rsid w:val="00782790"/>
    <w:rsid w:val="0078391E"/>
    <w:rsid w:val="00785F3E"/>
    <w:rsid w:val="00786509"/>
    <w:rsid w:val="00791307"/>
    <w:rsid w:val="007927DA"/>
    <w:rsid w:val="00792B8E"/>
    <w:rsid w:val="0079367D"/>
    <w:rsid w:val="00793BA9"/>
    <w:rsid w:val="007953C1"/>
    <w:rsid w:val="00795BEB"/>
    <w:rsid w:val="007A031A"/>
    <w:rsid w:val="007A1CD8"/>
    <w:rsid w:val="007A2079"/>
    <w:rsid w:val="007A300A"/>
    <w:rsid w:val="007A3159"/>
    <w:rsid w:val="007A3564"/>
    <w:rsid w:val="007A3F79"/>
    <w:rsid w:val="007A4260"/>
    <w:rsid w:val="007A533E"/>
    <w:rsid w:val="007A5475"/>
    <w:rsid w:val="007A62B4"/>
    <w:rsid w:val="007A68AD"/>
    <w:rsid w:val="007A6DAF"/>
    <w:rsid w:val="007A6E9D"/>
    <w:rsid w:val="007A755C"/>
    <w:rsid w:val="007B0F01"/>
    <w:rsid w:val="007B1AA2"/>
    <w:rsid w:val="007B418F"/>
    <w:rsid w:val="007B43FF"/>
    <w:rsid w:val="007B52A8"/>
    <w:rsid w:val="007B5809"/>
    <w:rsid w:val="007B5ED6"/>
    <w:rsid w:val="007B5FBB"/>
    <w:rsid w:val="007B61A2"/>
    <w:rsid w:val="007B6E98"/>
    <w:rsid w:val="007B7972"/>
    <w:rsid w:val="007C0E1C"/>
    <w:rsid w:val="007C1926"/>
    <w:rsid w:val="007C2243"/>
    <w:rsid w:val="007C2CCB"/>
    <w:rsid w:val="007C37B0"/>
    <w:rsid w:val="007C5357"/>
    <w:rsid w:val="007C5B44"/>
    <w:rsid w:val="007C7C58"/>
    <w:rsid w:val="007C7F88"/>
    <w:rsid w:val="007D05CE"/>
    <w:rsid w:val="007D11AF"/>
    <w:rsid w:val="007D2DD1"/>
    <w:rsid w:val="007D38E6"/>
    <w:rsid w:val="007E09DE"/>
    <w:rsid w:val="007E2266"/>
    <w:rsid w:val="007E2708"/>
    <w:rsid w:val="007E29FD"/>
    <w:rsid w:val="007E2E06"/>
    <w:rsid w:val="007E4547"/>
    <w:rsid w:val="007E48CD"/>
    <w:rsid w:val="007E496A"/>
    <w:rsid w:val="007E4E89"/>
    <w:rsid w:val="007E5497"/>
    <w:rsid w:val="007E6D8B"/>
    <w:rsid w:val="007F0AC3"/>
    <w:rsid w:val="007F11FF"/>
    <w:rsid w:val="007F18FC"/>
    <w:rsid w:val="007F2219"/>
    <w:rsid w:val="007F2F46"/>
    <w:rsid w:val="007F322E"/>
    <w:rsid w:val="007F480B"/>
    <w:rsid w:val="007F4A38"/>
    <w:rsid w:val="007F4C05"/>
    <w:rsid w:val="007F504B"/>
    <w:rsid w:val="007F524E"/>
    <w:rsid w:val="007F57F6"/>
    <w:rsid w:val="007F6C91"/>
    <w:rsid w:val="008001A4"/>
    <w:rsid w:val="0080074C"/>
    <w:rsid w:val="008035E2"/>
    <w:rsid w:val="00803FC7"/>
    <w:rsid w:val="00804484"/>
    <w:rsid w:val="00804659"/>
    <w:rsid w:val="00804EC1"/>
    <w:rsid w:val="00807B33"/>
    <w:rsid w:val="00807C11"/>
    <w:rsid w:val="00810438"/>
    <w:rsid w:val="008116D1"/>
    <w:rsid w:val="00812512"/>
    <w:rsid w:val="00813C0E"/>
    <w:rsid w:val="00813EE9"/>
    <w:rsid w:val="00816FC4"/>
    <w:rsid w:val="008170CB"/>
    <w:rsid w:val="00820048"/>
    <w:rsid w:val="008203E3"/>
    <w:rsid w:val="0082124C"/>
    <w:rsid w:val="0082295F"/>
    <w:rsid w:val="008231A2"/>
    <w:rsid w:val="00823D28"/>
    <w:rsid w:val="00823EF6"/>
    <w:rsid w:val="00825034"/>
    <w:rsid w:val="0082504C"/>
    <w:rsid w:val="0082632E"/>
    <w:rsid w:val="008263CA"/>
    <w:rsid w:val="008316A2"/>
    <w:rsid w:val="00831F9A"/>
    <w:rsid w:val="008327AB"/>
    <w:rsid w:val="0083286D"/>
    <w:rsid w:val="00833DAA"/>
    <w:rsid w:val="0083497C"/>
    <w:rsid w:val="00834E34"/>
    <w:rsid w:val="00836AB7"/>
    <w:rsid w:val="0083721B"/>
    <w:rsid w:val="008373BB"/>
    <w:rsid w:val="008378CC"/>
    <w:rsid w:val="00837BD1"/>
    <w:rsid w:val="00837F31"/>
    <w:rsid w:val="0084059C"/>
    <w:rsid w:val="00840BF3"/>
    <w:rsid w:val="0084132E"/>
    <w:rsid w:val="00841660"/>
    <w:rsid w:val="00842221"/>
    <w:rsid w:val="00842EFA"/>
    <w:rsid w:val="0084435B"/>
    <w:rsid w:val="00844E60"/>
    <w:rsid w:val="0084751A"/>
    <w:rsid w:val="00850E0C"/>
    <w:rsid w:val="008523A5"/>
    <w:rsid w:val="0085366D"/>
    <w:rsid w:val="0085372F"/>
    <w:rsid w:val="00853D05"/>
    <w:rsid w:val="00854224"/>
    <w:rsid w:val="00854777"/>
    <w:rsid w:val="008549FC"/>
    <w:rsid w:val="00855DC4"/>
    <w:rsid w:val="00856715"/>
    <w:rsid w:val="00857E05"/>
    <w:rsid w:val="00857FC7"/>
    <w:rsid w:val="00860549"/>
    <w:rsid w:val="0086105F"/>
    <w:rsid w:val="008625AA"/>
    <w:rsid w:val="008643A4"/>
    <w:rsid w:val="0086444F"/>
    <w:rsid w:val="008662FD"/>
    <w:rsid w:val="008678CA"/>
    <w:rsid w:val="00867984"/>
    <w:rsid w:val="0087009C"/>
    <w:rsid w:val="008702D0"/>
    <w:rsid w:val="008702FF"/>
    <w:rsid w:val="00870F4E"/>
    <w:rsid w:val="00872302"/>
    <w:rsid w:val="008724B0"/>
    <w:rsid w:val="00874637"/>
    <w:rsid w:val="00874E99"/>
    <w:rsid w:val="00875A32"/>
    <w:rsid w:val="00875DBC"/>
    <w:rsid w:val="00875E8C"/>
    <w:rsid w:val="00880543"/>
    <w:rsid w:val="0088269E"/>
    <w:rsid w:val="00882ED6"/>
    <w:rsid w:val="00883226"/>
    <w:rsid w:val="00883D9E"/>
    <w:rsid w:val="0088436C"/>
    <w:rsid w:val="008861AB"/>
    <w:rsid w:val="00886239"/>
    <w:rsid w:val="00893456"/>
    <w:rsid w:val="00893A7C"/>
    <w:rsid w:val="0089580B"/>
    <w:rsid w:val="0089734F"/>
    <w:rsid w:val="0089785E"/>
    <w:rsid w:val="0089791D"/>
    <w:rsid w:val="00897CFA"/>
    <w:rsid w:val="008A1648"/>
    <w:rsid w:val="008A18EA"/>
    <w:rsid w:val="008A2F5A"/>
    <w:rsid w:val="008A6CE8"/>
    <w:rsid w:val="008B01C2"/>
    <w:rsid w:val="008B18E9"/>
    <w:rsid w:val="008B3BD5"/>
    <w:rsid w:val="008B46A6"/>
    <w:rsid w:val="008B4E21"/>
    <w:rsid w:val="008B5F46"/>
    <w:rsid w:val="008C0B63"/>
    <w:rsid w:val="008C1B97"/>
    <w:rsid w:val="008C21B6"/>
    <w:rsid w:val="008C2D3D"/>
    <w:rsid w:val="008C341F"/>
    <w:rsid w:val="008C4525"/>
    <w:rsid w:val="008C4AC4"/>
    <w:rsid w:val="008C54C1"/>
    <w:rsid w:val="008D07AD"/>
    <w:rsid w:val="008D0932"/>
    <w:rsid w:val="008D2505"/>
    <w:rsid w:val="008D25F7"/>
    <w:rsid w:val="008D268C"/>
    <w:rsid w:val="008D27DD"/>
    <w:rsid w:val="008D43E6"/>
    <w:rsid w:val="008D46B7"/>
    <w:rsid w:val="008D5685"/>
    <w:rsid w:val="008D5E3C"/>
    <w:rsid w:val="008D6F47"/>
    <w:rsid w:val="008E05DA"/>
    <w:rsid w:val="008E2469"/>
    <w:rsid w:val="008E2A69"/>
    <w:rsid w:val="008E3417"/>
    <w:rsid w:val="008E43AF"/>
    <w:rsid w:val="008E4862"/>
    <w:rsid w:val="008E4B76"/>
    <w:rsid w:val="008E6C62"/>
    <w:rsid w:val="008E71AD"/>
    <w:rsid w:val="008F3F73"/>
    <w:rsid w:val="008F6707"/>
    <w:rsid w:val="008F6B68"/>
    <w:rsid w:val="00900EEE"/>
    <w:rsid w:val="00903181"/>
    <w:rsid w:val="00903285"/>
    <w:rsid w:val="0090386B"/>
    <w:rsid w:val="00904B91"/>
    <w:rsid w:val="00904BD0"/>
    <w:rsid w:val="0090505C"/>
    <w:rsid w:val="00905102"/>
    <w:rsid w:val="00906BC0"/>
    <w:rsid w:val="00910CD3"/>
    <w:rsid w:val="00911652"/>
    <w:rsid w:val="00911CD9"/>
    <w:rsid w:val="009123DE"/>
    <w:rsid w:val="009126FE"/>
    <w:rsid w:val="0091447C"/>
    <w:rsid w:val="00914E82"/>
    <w:rsid w:val="00915CB5"/>
    <w:rsid w:val="00916195"/>
    <w:rsid w:val="009179E9"/>
    <w:rsid w:val="00921DF1"/>
    <w:rsid w:val="0092249C"/>
    <w:rsid w:val="0092267F"/>
    <w:rsid w:val="00922965"/>
    <w:rsid w:val="00923700"/>
    <w:rsid w:val="00924CB5"/>
    <w:rsid w:val="0092569C"/>
    <w:rsid w:val="00925D53"/>
    <w:rsid w:val="00927720"/>
    <w:rsid w:val="00934878"/>
    <w:rsid w:val="00934D4B"/>
    <w:rsid w:val="00935154"/>
    <w:rsid w:val="009352C2"/>
    <w:rsid w:val="00940E9C"/>
    <w:rsid w:val="009411AF"/>
    <w:rsid w:val="00941A8C"/>
    <w:rsid w:val="00947D82"/>
    <w:rsid w:val="00947E63"/>
    <w:rsid w:val="009515E8"/>
    <w:rsid w:val="009526D0"/>
    <w:rsid w:val="009540AB"/>
    <w:rsid w:val="009551B5"/>
    <w:rsid w:val="00955919"/>
    <w:rsid w:val="00955B04"/>
    <w:rsid w:val="00956E12"/>
    <w:rsid w:val="009571D6"/>
    <w:rsid w:val="00957EB0"/>
    <w:rsid w:val="00962271"/>
    <w:rsid w:val="00962D56"/>
    <w:rsid w:val="0096384C"/>
    <w:rsid w:val="00963A48"/>
    <w:rsid w:val="009658FC"/>
    <w:rsid w:val="0096716C"/>
    <w:rsid w:val="00967826"/>
    <w:rsid w:val="00970276"/>
    <w:rsid w:val="0097045E"/>
    <w:rsid w:val="00970A6E"/>
    <w:rsid w:val="009737E3"/>
    <w:rsid w:val="009742BC"/>
    <w:rsid w:val="00974D5F"/>
    <w:rsid w:val="0097568B"/>
    <w:rsid w:val="00976024"/>
    <w:rsid w:val="00977BDD"/>
    <w:rsid w:val="00977FB7"/>
    <w:rsid w:val="00982216"/>
    <w:rsid w:val="00983722"/>
    <w:rsid w:val="0098599B"/>
    <w:rsid w:val="009866F8"/>
    <w:rsid w:val="009870B7"/>
    <w:rsid w:val="0099008D"/>
    <w:rsid w:val="00990FAD"/>
    <w:rsid w:val="00991D1E"/>
    <w:rsid w:val="0099324A"/>
    <w:rsid w:val="00993587"/>
    <w:rsid w:val="009949A0"/>
    <w:rsid w:val="009967AC"/>
    <w:rsid w:val="009A09EE"/>
    <w:rsid w:val="009A15E0"/>
    <w:rsid w:val="009A2C94"/>
    <w:rsid w:val="009A3075"/>
    <w:rsid w:val="009A37C6"/>
    <w:rsid w:val="009A4368"/>
    <w:rsid w:val="009A5CC1"/>
    <w:rsid w:val="009A7612"/>
    <w:rsid w:val="009A7658"/>
    <w:rsid w:val="009A7CE1"/>
    <w:rsid w:val="009A7E95"/>
    <w:rsid w:val="009B0013"/>
    <w:rsid w:val="009B196A"/>
    <w:rsid w:val="009B1F70"/>
    <w:rsid w:val="009B28DE"/>
    <w:rsid w:val="009B3832"/>
    <w:rsid w:val="009B45A3"/>
    <w:rsid w:val="009B45F6"/>
    <w:rsid w:val="009B46D3"/>
    <w:rsid w:val="009B4BF9"/>
    <w:rsid w:val="009B5FA6"/>
    <w:rsid w:val="009C0182"/>
    <w:rsid w:val="009C17A8"/>
    <w:rsid w:val="009C3078"/>
    <w:rsid w:val="009C3183"/>
    <w:rsid w:val="009C48C2"/>
    <w:rsid w:val="009C7E1E"/>
    <w:rsid w:val="009D02D1"/>
    <w:rsid w:val="009D0454"/>
    <w:rsid w:val="009D15F0"/>
    <w:rsid w:val="009D1DDC"/>
    <w:rsid w:val="009D1DEE"/>
    <w:rsid w:val="009D2BFC"/>
    <w:rsid w:val="009D2F9F"/>
    <w:rsid w:val="009D3E1F"/>
    <w:rsid w:val="009D4205"/>
    <w:rsid w:val="009D4460"/>
    <w:rsid w:val="009D498F"/>
    <w:rsid w:val="009D60A6"/>
    <w:rsid w:val="009D7631"/>
    <w:rsid w:val="009D7D4C"/>
    <w:rsid w:val="009E085C"/>
    <w:rsid w:val="009E08AD"/>
    <w:rsid w:val="009E16F2"/>
    <w:rsid w:val="009E2A76"/>
    <w:rsid w:val="009E4033"/>
    <w:rsid w:val="009E40EC"/>
    <w:rsid w:val="009E5BFE"/>
    <w:rsid w:val="009E682E"/>
    <w:rsid w:val="009E75F1"/>
    <w:rsid w:val="009E770D"/>
    <w:rsid w:val="009F14CC"/>
    <w:rsid w:val="009F22D9"/>
    <w:rsid w:val="009F2813"/>
    <w:rsid w:val="009F2ACE"/>
    <w:rsid w:val="009F347F"/>
    <w:rsid w:val="009F3C56"/>
    <w:rsid w:val="009F44C6"/>
    <w:rsid w:val="009F4C58"/>
    <w:rsid w:val="009F507E"/>
    <w:rsid w:val="009F6543"/>
    <w:rsid w:val="00A00499"/>
    <w:rsid w:val="00A01E7A"/>
    <w:rsid w:val="00A02C5D"/>
    <w:rsid w:val="00A035CD"/>
    <w:rsid w:val="00A077EB"/>
    <w:rsid w:val="00A07D20"/>
    <w:rsid w:val="00A101E6"/>
    <w:rsid w:val="00A10E25"/>
    <w:rsid w:val="00A1320B"/>
    <w:rsid w:val="00A13CBC"/>
    <w:rsid w:val="00A14BD2"/>
    <w:rsid w:val="00A159A3"/>
    <w:rsid w:val="00A16D5D"/>
    <w:rsid w:val="00A17410"/>
    <w:rsid w:val="00A17879"/>
    <w:rsid w:val="00A20538"/>
    <w:rsid w:val="00A227D5"/>
    <w:rsid w:val="00A2416D"/>
    <w:rsid w:val="00A25450"/>
    <w:rsid w:val="00A254CB"/>
    <w:rsid w:val="00A27B70"/>
    <w:rsid w:val="00A27C51"/>
    <w:rsid w:val="00A3039B"/>
    <w:rsid w:val="00A30573"/>
    <w:rsid w:val="00A3089C"/>
    <w:rsid w:val="00A309CB"/>
    <w:rsid w:val="00A31385"/>
    <w:rsid w:val="00A351E1"/>
    <w:rsid w:val="00A35785"/>
    <w:rsid w:val="00A363D2"/>
    <w:rsid w:val="00A3689D"/>
    <w:rsid w:val="00A37BAC"/>
    <w:rsid w:val="00A414DC"/>
    <w:rsid w:val="00A41F0B"/>
    <w:rsid w:val="00A423A9"/>
    <w:rsid w:val="00A42BBB"/>
    <w:rsid w:val="00A43275"/>
    <w:rsid w:val="00A44932"/>
    <w:rsid w:val="00A45BC7"/>
    <w:rsid w:val="00A46C1C"/>
    <w:rsid w:val="00A46FF0"/>
    <w:rsid w:val="00A50517"/>
    <w:rsid w:val="00A510B6"/>
    <w:rsid w:val="00A51DBD"/>
    <w:rsid w:val="00A52C2E"/>
    <w:rsid w:val="00A54350"/>
    <w:rsid w:val="00A5523C"/>
    <w:rsid w:val="00A55FBE"/>
    <w:rsid w:val="00A601CC"/>
    <w:rsid w:val="00A60508"/>
    <w:rsid w:val="00A60C8D"/>
    <w:rsid w:val="00A60F50"/>
    <w:rsid w:val="00A6160E"/>
    <w:rsid w:val="00A623A6"/>
    <w:rsid w:val="00A623CE"/>
    <w:rsid w:val="00A625FD"/>
    <w:rsid w:val="00A6505E"/>
    <w:rsid w:val="00A65561"/>
    <w:rsid w:val="00A65C96"/>
    <w:rsid w:val="00A66BFD"/>
    <w:rsid w:val="00A66CF2"/>
    <w:rsid w:val="00A700B9"/>
    <w:rsid w:val="00A7046A"/>
    <w:rsid w:val="00A7061A"/>
    <w:rsid w:val="00A7113F"/>
    <w:rsid w:val="00A71928"/>
    <w:rsid w:val="00A7393F"/>
    <w:rsid w:val="00A75684"/>
    <w:rsid w:val="00A76180"/>
    <w:rsid w:val="00A77F85"/>
    <w:rsid w:val="00A802D4"/>
    <w:rsid w:val="00A806E3"/>
    <w:rsid w:val="00A812C0"/>
    <w:rsid w:val="00A81A2D"/>
    <w:rsid w:val="00A81DF8"/>
    <w:rsid w:val="00A83363"/>
    <w:rsid w:val="00A8431C"/>
    <w:rsid w:val="00A84F5B"/>
    <w:rsid w:val="00A856A2"/>
    <w:rsid w:val="00A85931"/>
    <w:rsid w:val="00A8687F"/>
    <w:rsid w:val="00A87285"/>
    <w:rsid w:val="00A87E99"/>
    <w:rsid w:val="00A9092D"/>
    <w:rsid w:val="00A91F0F"/>
    <w:rsid w:val="00A924B9"/>
    <w:rsid w:val="00A96880"/>
    <w:rsid w:val="00A96E44"/>
    <w:rsid w:val="00A976F9"/>
    <w:rsid w:val="00AA0569"/>
    <w:rsid w:val="00AA2D1D"/>
    <w:rsid w:val="00AA4570"/>
    <w:rsid w:val="00AA5318"/>
    <w:rsid w:val="00AA6CC2"/>
    <w:rsid w:val="00AB175D"/>
    <w:rsid w:val="00AB1897"/>
    <w:rsid w:val="00AB31AD"/>
    <w:rsid w:val="00AB3B0D"/>
    <w:rsid w:val="00AB41AD"/>
    <w:rsid w:val="00AB479F"/>
    <w:rsid w:val="00AB5E0C"/>
    <w:rsid w:val="00AC1181"/>
    <w:rsid w:val="00AC1B8B"/>
    <w:rsid w:val="00AC29C9"/>
    <w:rsid w:val="00AC3B2F"/>
    <w:rsid w:val="00AC4945"/>
    <w:rsid w:val="00AC51AC"/>
    <w:rsid w:val="00AC52A0"/>
    <w:rsid w:val="00AC7A31"/>
    <w:rsid w:val="00AC7BCF"/>
    <w:rsid w:val="00AD0905"/>
    <w:rsid w:val="00AD24AC"/>
    <w:rsid w:val="00AD3897"/>
    <w:rsid w:val="00AD3A27"/>
    <w:rsid w:val="00AD438E"/>
    <w:rsid w:val="00AD542F"/>
    <w:rsid w:val="00AD5445"/>
    <w:rsid w:val="00AD5DCA"/>
    <w:rsid w:val="00AD6D3A"/>
    <w:rsid w:val="00AD7FD8"/>
    <w:rsid w:val="00AE19C4"/>
    <w:rsid w:val="00AE30AE"/>
    <w:rsid w:val="00AE3284"/>
    <w:rsid w:val="00AE57DD"/>
    <w:rsid w:val="00AE690D"/>
    <w:rsid w:val="00AE716C"/>
    <w:rsid w:val="00AE7ED6"/>
    <w:rsid w:val="00AF0945"/>
    <w:rsid w:val="00AF133E"/>
    <w:rsid w:val="00AF2440"/>
    <w:rsid w:val="00AF3AF8"/>
    <w:rsid w:val="00AF3FD8"/>
    <w:rsid w:val="00AF5778"/>
    <w:rsid w:val="00AF6046"/>
    <w:rsid w:val="00AF63A3"/>
    <w:rsid w:val="00AF6F59"/>
    <w:rsid w:val="00AF7FDB"/>
    <w:rsid w:val="00B00998"/>
    <w:rsid w:val="00B01306"/>
    <w:rsid w:val="00B03A98"/>
    <w:rsid w:val="00B03AD3"/>
    <w:rsid w:val="00B05048"/>
    <w:rsid w:val="00B0544B"/>
    <w:rsid w:val="00B0590B"/>
    <w:rsid w:val="00B06446"/>
    <w:rsid w:val="00B0721F"/>
    <w:rsid w:val="00B119D4"/>
    <w:rsid w:val="00B15770"/>
    <w:rsid w:val="00B160F9"/>
    <w:rsid w:val="00B16ABD"/>
    <w:rsid w:val="00B175C5"/>
    <w:rsid w:val="00B17A26"/>
    <w:rsid w:val="00B17CB9"/>
    <w:rsid w:val="00B17FDF"/>
    <w:rsid w:val="00B206DF"/>
    <w:rsid w:val="00B21145"/>
    <w:rsid w:val="00B222AE"/>
    <w:rsid w:val="00B25EBE"/>
    <w:rsid w:val="00B26163"/>
    <w:rsid w:val="00B2669C"/>
    <w:rsid w:val="00B26FEE"/>
    <w:rsid w:val="00B27BB1"/>
    <w:rsid w:val="00B30681"/>
    <w:rsid w:val="00B31563"/>
    <w:rsid w:val="00B32560"/>
    <w:rsid w:val="00B329FD"/>
    <w:rsid w:val="00B339E2"/>
    <w:rsid w:val="00B34515"/>
    <w:rsid w:val="00B356A2"/>
    <w:rsid w:val="00B35E9C"/>
    <w:rsid w:val="00B37382"/>
    <w:rsid w:val="00B40378"/>
    <w:rsid w:val="00B41927"/>
    <w:rsid w:val="00B428E8"/>
    <w:rsid w:val="00B445E6"/>
    <w:rsid w:val="00B46EF7"/>
    <w:rsid w:val="00B47230"/>
    <w:rsid w:val="00B47ACE"/>
    <w:rsid w:val="00B50936"/>
    <w:rsid w:val="00B51AB2"/>
    <w:rsid w:val="00B52006"/>
    <w:rsid w:val="00B53077"/>
    <w:rsid w:val="00B53570"/>
    <w:rsid w:val="00B53CCF"/>
    <w:rsid w:val="00B54861"/>
    <w:rsid w:val="00B60A52"/>
    <w:rsid w:val="00B62037"/>
    <w:rsid w:val="00B6225A"/>
    <w:rsid w:val="00B63AEE"/>
    <w:rsid w:val="00B647CB"/>
    <w:rsid w:val="00B661EE"/>
    <w:rsid w:val="00B670D7"/>
    <w:rsid w:val="00B703E2"/>
    <w:rsid w:val="00B70445"/>
    <w:rsid w:val="00B725B0"/>
    <w:rsid w:val="00B73520"/>
    <w:rsid w:val="00B74561"/>
    <w:rsid w:val="00B746FA"/>
    <w:rsid w:val="00B75634"/>
    <w:rsid w:val="00B75668"/>
    <w:rsid w:val="00B775FD"/>
    <w:rsid w:val="00B814F2"/>
    <w:rsid w:val="00B823C8"/>
    <w:rsid w:val="00B826BF"/>
    <w:rsid w:val="00B83F6C"/>
    <w:rsid w:val="00B90040"/>
    <w:rsid w:val="00B90146"/>
    <w:rsid w:val="00B90B83"/>
    <w:rsid w:val="00B93A74"/>
    <w:rsid w:val="00B97BCA"/>
    <w:rsid w:val="00BA0B7E"/>
    <w:rsid w:val="00BA4482"/>
    <w:rsid w:val="00BA58EA"/>
    <w:rsid w:val="00BB0EED"/>
    <w:rsid w:val="00BB13DE"/>
    <w:rsid w:val="00BB17EF"/>
    <w:rsid w:val="00BB3AA7"/>
    <w:rsid w:val="00BB3F7C"/>
    <w:rsid w:val="00BB4406"/>
    <w:rsid w:val="00BB5265"/>
    <w:rsid w:val="00BB5DDC"/>
    <w:rsid w:val="00BB5E3C"/>
    <w:rsid w:val="00BB6368"/>
    <w:rsid w:val="00BB6580"/>
    <w:rsid w:val="00BB6A60"/>
    <w:rsid w:val="00BC2A04"/>
    <w:rsid w:val="00BC3DA2"/>
    <w:rsid w:val="00BC3EF8"/>
    <w:rsid w:val="00BC68D0"/>
    <w:rsid w:val="00BC768F"/>
    <w:rsid w:val="00BC7C1D"/>
    <w:rsid w:val="00BC7C29"/>
    <w:rsid w:val="00BD0143"/>
    <w:rsid w:val="00BD15DB"/>
    <w:rsid w:val="00BD1820"/>
    <w:rsid w:val="00BD42D0"/>
    <w:rsid w:val="00BD46FA"/>
    <w:rsid w:val="00BD4ABE"/>
    <w:rsid w:val="00BD56B5"/>
    <w:rsid w:val="00BD61B1"/>
    <w:rsid w:val="00BD74B7"/>
    <w:rsid w:val="00BE09DE"/>
    <w:rsid w:val="00BE19BA"/>
    <w:rsid w:val="00BE2759"/>
    <w:rsid w:val="00BE3F34"/>
    <w:rsid w:val="00BE6279"/>
    <w:rsid w:val="00BE642B"/>
    <w:rsid w:val="00BE6996"/>
    <w:rsid w:val="00BE72F4"/>
    <w:rsid w:val="00BE76A9"/>
    <w:rsid w:val="00BF272B"/>
    <w:rsid w:val="00BF34EC"/>
    <w:rsid w:val="00BF36FE"/>
    <w:rsid w:val="00BF5820"/>
    <w:rsid w:val="00BF6568"/>
    <w:rsid w:val="00BF6749"/>
    <w:rsid w:val="00BF71D3"/>
    <w:rsid w:val="00BF7D78"/>
    <w:rsid w:val="00C004AC"/>
    <w:rsid w:val="00C02096"/>
    <w:rsid w:val="00C02406"/>
    <w:rsid w:val="00C02A64"/>
    <w:rsid w:val="00C040CF"/>
    <w:rsid w:val="00C05E2C"/>
    <w:rsid w:val="00C064C7"/>
    <w:rsid w:val="00C07FDA"/>
    <w:rsid w:val="00C10337"/>
    <w:rsid w:val="00C11393"/>
    <w:rsid w:val="00C11961"/>
    <w:rsid w:val="00C14395"/>
    <w:rsid w:val="00C15156"/>
    <w:rsid w:val="00C160B2"/>
    <w:rsid w:val="00C17071"/>
    <w:rsid w:val="00C17207"/>
    <w:rsid w:val="00C2228E"/>
    <w:rsid w:val="00C22788"/>
    <w:rsid w:val="00C22C63"/>
    <w:rsid w:val="00C2300C"/>
    <w:rsid w:val="00C244AB"/>
    <w:rsid w:val="00C24776"/>
    <w:rsid w:val="00C24951"/>
    <w:rsid w:val="00C24B8A"/>
    <w:rsid w:val="00C2624E"/>
    <w:rsid w:val="00C26A1F"/>
    <w:rsid w:val="00C26D36"/>
    <w:rsid w:val="00C30265"/>
    <w:rsid w:val="00C30569"/>
    <w:rsid w:val="00C31104"/>
    <w:rsid w:val="00C34C60"/>
    <w:rsid w:val="00C34E7F"/>
    <w:rsid w:val="00C40F32"/>
    <w:rsid w:val="00C414FF"/>
    <w:rsid w:val="00C41F3F"/>
    <w:rsid w:val="00C4240D"/>
    <w:rsid w:val="00C42EBC"/>
    <w:rsid w:val="00C43F32"/>
    <w:rsid w:val="00C451B1"/>
    <w:rsid w:val="00C460E2"/>
    <w:rsid w:val="00C462A2"/>
    <w:rsid w:val="00C50679"/>
    <w:rsid w:val="00C51808"/>
    <w:rsid w:val="00C51B93"/>
    <w:rsid w:val="00C5412B"/>
    <w:rsid w:val="00C546CB"/>
    <w:rsid w:val="00C567D1"/>
    <w:rsid w:val="00C602AB"/>
    <w:rsid w:val="00C60638"/>
    <w:rsid w:val="00C61A68"/>
    <w:rsid w:val="00C6367A"/>
    <w:rsid w:val="00C643BD"/>
    <w:rsid w:val="00C64C97"/>
    <w:rsid w:val="00C65805"/>
    <w:rsid w:val="00C671F3"/>
    <w:rsid w:val="00C6762D"/>
    <w:rsid w:val="00C71825"/>
    <w:rsid w:val="00C71B79"/>
    <w:rsid w:val="00C74F5F"/>
    <w:rsid w:val="00C752F9"/>
    <w:rsid w:val="00C7648F"/>
    <w:rsid w:val="00C76665"/>
    <w:rsid w:val="00C767EE"/>
    <w:rsid w:val="00C76BA3"/>
    <w:rsid w:val="00C77497"/>
    <w:rsid w:val="00C77C75"/>
    <w:rsid w:val="00C802F8"/>
    <w:rsid w:val="00C812B8"/>
    <w:rsid w:val="00C8267B"/>
    <w:rsid w:val="00C82944"/>
    <w:rsid w:val="00C83C80"/>
    <w:rsid w:val="00C841D0"/>
    <w:rsid w:val="00C84600"/>
    <w:rsid w:val="00C84BDE"/>
    <w:rsid w:val="00C876FF"/>
    <w:rsid w:val="00C9069E"/>
    <w:rsid w:val="00C940EA"/>
    <w:rsid w:val="00C9576A"/>
    <w:rsid w:val="00CA0706"/>
    <w:rsid w:val="00CA088C"/>
    <w:rsid w:val="00CA1A7E"/>
    <w:rsid w:val="00CA22B7"/>
    <w:rsid w:val="00CA2D34"/>
    <w:rsid w:val="00CA3160"/>
    <w:rsid w:val="00CA6DF3"/>
    <w:rsid w:val="00CB05A6"/>
    <w:rsid w:val="00CB0F9F"/>
    <w:rsid w:val="00CB209A"/>
    <w:rsid w:val="00CB2F08"/>
    <w:rsid w:val="00CB4133"/>
    <w:rsid w:val="00CB4F48"/>
    <w:rsid w:val="00CB5153"/>
    <w:rsid w:val="00CB5C88"/>
    <w:rsid w:val="00CB7088"/>
    <w:rsid w:val="00CC0191"/>
    <w:rsid w:val="00CC0224"/>
    <w:rsid w:val="00CC19AB"/>
    <w:rsid w:val="00CC2EF0"/>
    <w:rsid w:val="00CC387B"/>
    <w:rsid w:val="00CC551D"/>
    <w:rsid w:val="00CC56DA"/>
    <w:rsid w:val="00CC6544"/>
    <w:rsid w:val="00CC6D30"/>
    <w:rsid w:val="00CC6EC9"/>
    <w:rsid w:val="00CC786F"/>
    <w:rsid w:val="00CD1381"/>
    <w:rsid w:val="00CD1EDD"/>
    <w:rsid w:val="00CD41A9"/>
    <w:rsid w:val="00CD4AF2"/>
    <w:rsid w:val="00CD5E4D"/>
    <w:rsid w:val="00CD7DA2"/>
    <w:rsid w:val="00CE016B"/>
    <w:rsid w:val="00CE0419"/>
    <w:rsid w:val="00CE27C0"/>
    <w:rsid w:val="00CE27CB"/>
    <w:rsid w:val="00CE2839"/>
    <w:rsid w:val="00CE2BCC"/>
    <w:rsid w:val="00CE487F"/>
    <w:rsid w:val="00CE5AED"/>
    <w:rsid w:val="00CE6460"/>
    <w:rsid w:val="00CF0E06"/>
    <w:rsid w:val="00CF1000"/>
    <w:rsid w:val="00CF1534"/>
    <w:rsid w:val="00CF3145"/>
    <w:rsid w:val="00CF31C9"/>
    <w:rsid w:val="00CF3425"/>
    <w:rsid w:val="00CF3E5B"/>
    <w:rsid w:val="00CF3EA5"/>
    <w:rsid w:val="00CF51C7"/>
    <w:rsid w:val="00CF5849"/>
    <w:rsid w:val="00CF58AE"/>
    <w:rsid w:val="00CF599D"/>
    <w:rsid w:val="00CF735E"/>
    <w:rsid w:val="00CF7563"/>
    <w:rsid w:val="00D01287"/>
    <w:rsid w:val="00D01F1A"/>
    <w:rsid w:val="00D02847"/>
    <w:rsid w:val="00D03127"/>
    <w:rsid w:val="00D0531E"/>
    <w:rsid w:val="00D057CF"/>
    <w:rsid w:val="00D05A0B"/>
    <w:rsid w:val="00D073AC"/>
    <w:rsid w:val="00D076D1"/>
    <w:rsid w:val="00D07CC2"/>
    <w:rsid w:val="00D07D54"/>
    <w:rsid w:val="00D114DD"/>
    <w:rsid w:val="00D12557"/>
    <w:rsid w:val="00D164DC"/>
    <w:rsid w:val="00D16D1E"/>
    <w:rsid w:val="00D17566"/>
    <w:rsid w:val="00D1779B"/>
    <w:rsid w:val="00D17A97"/>
    <w:rsid w:val="00D205B6"/>
    <w:rsid w:val="00D2060C"/>
    <w:rsid w:val="00D22F93"/>
    <w:rsid w:val="00D24C54"/>
    <w:rsid w:val="00D254C9"/>
    <w:rsid w:val="00D26023"/>
    <w:rsid w:val="00D267E4"/>
    <w:rsid w:val="00D26866"/>
    <w:rsid w:val="00D2723E"/>
    <w:rsid w:val="00D30357"/>
    <w:rsid w:val="00D321F1"/>
    <w:rsid w:val="00D323D5"/>
    <w:rsid w:val="00D332CC"/>
    <w:rsid w:val="00D340A6"/>
    <w:rsid w:val="00D341E1"/>
    <w:rsid w:val="00D34668"/>
    <w:rsid w:val="00D34697"/>
    <w:rsid w:val="00D35A61"/>
    <w:rsid w:val="00D35CD9"/>
    <w:rsid w:val="00D35CE4"/>
    <w:rsid w:val="00D36D3A"/>
    <w:rsid w:val="00D373A9"/>
    <w:rsid w:val="00D40674"/>
    <w:rsid w:val="00D415EF"/>
    <w:rsid w:val="00D4252E"/>
    <w:rsid w:val="00D43603"/>
    <w:rsid w:val="00D45660"/>
    <w:rsid w:val="00D46A2E"/>
    <w:rsid w:val="00D47DEB"/>
    <w:rsid w:val="00D50D94"/>
    <w:rsid w:val="00D517EF"/>
    <w:rsid w:val="00D527AD"/>
    <w:rsid w:val="00D52A1B"/>
    <w:rsid w:val="00D52EB8"/>
    <w:rsid w:val="00D53E40"/>
    <w:rsid w:val="00D555A0"/>
    <w:rsid w:val="00D574D6"/>
    <w:rsid w:val="00D60041"/>
    <w:rsid w:val="00D617B8"/>
    <w:rsid w:val="00D61B4C"/>
    <w:rsid w:val="00D63395"/>
    <w:rsid w:val="00D639E9"/>
    <w:rsid w:val="00D647BF"/>
    <w:rsid w:val="00D6726D"/>
    <w:rsid w:val="00D71105"/>
    <w:rsid w:val="00D72FB1"/>
    <w:rsid w:val="00D73FA3"/>
    <w:rsid w:val="00D74880"/>
    <w:rsid w:val="00D75C95"/>
    <w:rsid w:val="00D77BDD"/>
    <w:rsid w:val="00D81C1F"/>
    <w:rsid w:val="00D8407E"/>
    <w:rsid w:val="00D84F39"/>
    <w:rsid w:val="00D85EAB"/>
    <w:rsid w:val="00D874D9"/>
    <w:rsid w:val="00D91459"/>
    <w:rsid w:val="00D91D6C"/>
    <w:rsid w:val="00D924E1"/>
    <w:rsid w:val="00D928A1"/>
    <w:rsid w:val="00D94EE1"/>
    <w:rsid w:val="00D94F08"/>
    <w:rsid w:val="00D9622D"/>
    <w:rsid w:val="00D9634B"/>
    <w:rsid w:val="00D96E41"/>
    <w:rsid w:val="00D970B1"/>
    <w:rsid w:val="00DA0BFA"/>
    <w:rsid w:val="00DA189C"/>
    <w:rsid w:val="00DA21BF"/>
    <w:rsid w:val="00DA4281"/>
    <w:rsid w:val="00DA5384"/>
    <w:rsid w:val="00DA5C6D"/>
    <w:rsid w:val="00DA67A9"/>
    <w:rsid w:val="00DA7E7F"/>
    <w:rsid w:val="00DB0352"/>
    <w:rsid w:val="00DB08B0"/>
    <w:rsid w:val="00DB0ECD"/>
    <w:rsid w:val="00DB173C"/>
    <w:rsid w:val="00DB2185"/>
    <w:rsid w:val="00DB22C6"/>
    <w:rsid w:val="00DB3240"/>
    <w:rsid w:val="00DB37A2"/>
    <w:rsid w:val="00DB6005"/>
    <w:rsid w:val="00DB7FAF"/>
    <w:rsid w:val="00DC0B2F"/>
    <w:rsid w:val="00DC168D"/>
    <w:rsid w:val="00DC2A99"/>
    <w:rsid w:val="00DC47BD"/>
    <w:rsid w:val="00DC544E"/>
    <w:rsid w:val="00DC5D56"/>
    <w:rsid w:val="00DC616B"/>
    <w:rsid w:val="00DC674A"/>
    <w:rsid w:val="00DD0BC9"/>
    <w:rsid w:val="00DD347E"/>
    <w:rsid w:val="00DD3661"/>
    <w:rsid w:val="00DD3780"/>
    <w:rsid w:val="00DD3C99"/>
    <w:rsid w:val="00DD4073"/>
    <w:rsid w:val="00DD67A2"/>
    <w:rsid w:val="00DD7574"/>
    <w:rsid w:val="00DE0578"/>
    <w:rsid w:val="00DE37F3"/>
    <w:rsid w:val="00DE4DF1"/>
    <w:rsid w:val="00DE5207"/>
    <w:rsid w:val="00DE5D6E"/>
    <w:rsid w:val="00DE5FAA"/>
    <w:rsid w:val="00DE7BA7"/>
    <w:rsid w:val="00DF19BC"/>
    <w:rsid w:val="00DF2133"/>
    <w:rsid w:val="00DF2783"/>
    <w:rsid w:val="00DF2CD0"/>
    <w:rsid w:val="00DF53F9"/>
    <w:rsid w:val="00DF5832"/>
    <w:rsid w:val="00DF66C0"/>
    <w:rsid w:val="00DF6795"/>
    <w:rsid w:val="00DF7B03"/>
    <w:rsid w:val="00E010D1"/>
    <w:rsid w:val="00E02191"/>
    <w:rsid w:val="00E04851"/>
    <w:rsid w:val="00E049B1"/>
    <w:rsid w:val="00E04A81"/>
    <w:rsid w:val="00E05388"/>
    <w:rsid w:val="00E05829"/>
    <w:rsid w:val="00E100F4"/>
    <w:rsid w:val="00E1111F"/>
    <w:rsid w:val="00E115BC"/>
    <w:rsid w:val="00E12C95"/>
    <w:rsid w:val="00E13292"/>
    <w:rsid w:val="00E13F89"/>
    <w:rsid w:val="00E14061"/>
    <w:rsid w:val="00E15279"/>
    <w:rsid w:val="00E167EC"/>
    <w:rsid w:val="00E17B95"/>
    <w:rsid w:val="00E20403"/>
    <w:rsid w:val="00E20ABC"/>
    <w:rsid w:val="00E20D81"/>
    <w:rsid w:val="00E2110F"/>
    <w:rsid w:val="00E231D3"/>
    <w:rsid w:val="00E231E0"/>
    <w:rsid w:val="00E23C02"/>
    <w:rsid w:val="00E240D8"/>
    <w:rsid w:val="00E314A9"/>
    <w:rsid w:val="00E338C1"/>
    <w:rsid w:val="00E33B0A"/>
    <w:rsid w:val="00E375E9"/>
    <w:rsid w:val="00E4036C"/>
    <w:rsid w:val="00E41944"/>
    <w:rsid w:val="00E42568"/>
    <w:rsid w:val="00E42AAB"/>
    <w:rsid w:val="00E43C54"/>
    <w:rsid w:val="00E46658"/>
    <w:rsid w:val="00E503AA"/>
    <w:rsid w:val="00E50708"/>
    <w:rsid w:val="00E5101D"/>
    <w:rsid w:val="00E51FD5"/>
    <w:rsid w:val="00E520FD"/>
    <w:rsid w:val="00E5269F"/>
    <w:rsid w:val="00E5407F"/>
    <w:rsid w:val="00E5509A"/>
    <w:rsid w:val="00E600FB"/>
    <w:rsid w:val="00E60707"/>
    <w:rsid w:val="00E62B1E"/>
    <w:rsid w:val="00E63610"/>
    <w:rsid w:val="00E63984"/>
    <w:rsid w:val="00E64239"/>
    <w:rsid w:val="00E644A3"/>
    <w:rsid w:val="00E656D6"/>
    <w:rsid w:val="00E65BD4"/>
    <w:rsid w:val="00E65FBC"/>
    <w:rsid w:val="00E672EB"/>
    <w:rsid w:val="00E73DF2"/>
    <w:rsid w:val="00E749E9"/>
    <w:rsid w:val="00E75997"/>
    <w:rsid w:val="00E77DB7"/>
    <w:rsid w:val="00E81307"/>
    <w:rsid w:val="00E824B7"/>
    <w:rsid w:val="00E82D9D"/>
    <w:rsid w:val="00E836CB"/>
    <w:rsid w:val="00E83A3D"/>
    <w:rsid w:val="00E8445C"/>
    <w:rsid w:val="00E8520B"/>
    <w:rsid w:val="00E852BA"/>
    <w:rsid w:val="00E85488"/>
    <w:rsid w:val="00E90849"/>
    <w:rsid w:val="00E9120C"/>
    <w:rsid w:val="00E91357"/>
    <w:rsid w:val="00E919D0"/>
    <w:rsid w:val="00E91C6F"/>
    <w:rsid w:val="00E91CB3"/>
    <w:rsid w:val="00E92A8B"/>
    <w:rsid w:val="00E93519"/>
    <w:rsid w:val="00E93703"/>
    <w:rsid w:val="00E938BB"/>
    <w:rsid w:val="00E938E3"/>
    <w:rsid w:val="00E961D9"/>
    <w:rsid w:val="00E96A13"/>
    <w:rsid w:val="00EA0E45"/>
    <w:rsid w:val="00EA1789"/>
    <w:rsid w:val="00EA2C01"/>
    <w:rsid w:val="00EA2C09"/>
    <w:rsid w:val="00EA2E7F"/>
    <w:rsid w:val="00EA3237"/>
    <w:rsid w:val="00EA362D"/>
    <w:rsid w:val="00EA3711"/>
    <w:rsid w:val="00EA50F6"/>
    <w:rsid w:val="00EA60DB"/>
    <w:rsid w:val="00EB17B9"/>
    <w:rsid w:val="00EB247D"/>
    <w:rsid w:val="00EB409A"/>
    <w:rsid w:val="00EB42A3"/>
    <w:rsid w:val="00EB4ECD"/>
    <w:rsid w:val="00EB5E76"/>
    <w:rsid w:val="00EB5FDC"/>
    <w:rsid w:val="00EB6EE8"/>
    <w:rsid w:val="00EC0737"/>
    <w:rsid w:val="00EC18E1"/>
    <w:rsid w:val="00EC2121"/>
    <w:rsid w:val="00EC4B52"/>
    <w:rsid w:val="00EC4C72"/>
    <w:rsid w:val="00EC4CFB"/>
    <w:rsid w:val="00EC6087"/>
    <w:rsid w:val="00EC6191"/>
    <w:rsid w:val="00EC63B9"/>
    <w:rsid w:val="00EC66C3"/>
    <w:rsid w:val="00EC6774"/>
    <w:rsid w:val="00EC7C51"/>
    <w:rsid w:val="00ED11F7"/>
    <w:rsid w:val="00ED25E7"/>
    <w:rsid w:val="00ED51F2"/>
    <w:rsid w:val="00ED61B8"/>
    <w:rsid w:val="00EE07FC"/>
    <w:rsid w:val="00EE2765"/>
    <w:rsid w:val="00EE2AE4"/>
    <w:rsid w:val="00EE30F6"/>
    <w:rsid w:val="00EE3789"/>
    <w:rsid w:val="00EE45BB"/>
    <w:rsid w:val="00EE68EB"/>
    <w:rsid w:val="00EE6E7E"/>
    <w:rsid w:val="00EF094D"/>
    <w:rsid w:val="00EF1438"/>
    <w:rsid w:val="00EF1D02"/>
    <w:rsid w:val="00EF382D"/>
    <w:rsid w:val="00EF3F50"/>
    <w:rsid w:val="00EF4119"/>
    <w:rsid w:val="00EF4A0F"/>
    <w:rsid w:val="00EF5DC4"/>
    <w:rsid w:val="00EF6EAC"/>
    <w:rsid w:val="00EF7D56"/>
    <w:rsid w:val="00F00F6B"/>
    <w:rsid w:val="00F01BD2"/>
    <w:rsid w:val="00F01CBC"/>
    <w:rsid w:val="00F01E72"/>
    <w:rsid w:val="00F02DF9"/>
    <w:rsid w:val="00F0393E"/>
    <w:rsid w:val="00F04D38"/>
    <w:rsid w:val="00F056A7"/>
    <w:rsid w:val="00F05E42"/>
    <w:rsid w:val="00F06956"/>
    <w:rsid w:val="00F06F24"/>
    <w:rsid w:val="00F07063"/>
    <w:rsid w:val="00F0710D"/>
    <w:rsid w:val="00F072A5"/>
    <w:rsid w:val="00F07ED4"/>
    <w:rsid w:val="00F12BC0"/>
    <w:rsid w:val="00F12E5F"/>
    <w:rsid w:val="00F145EF"/>
    <w:rsid w:val="00F14B67"/>
    <w:rsid w:val="00F15575"/>
    <w:rsid w:val="00F162EC"/>
    <w:rsid w:val="00F1715A"/>
    <w:rsid w:val="00F20014"/>
    <w:rsid w:val="00F2056D"/>
    <w:rsid w:val="00F207BF"/>
    <w:rsid w:val="00F21541"/>
    <w:rsid w:val="00F22458"/>
    <w:rsid w:val="00F2342C"/>
    <w:rsid w:val="00F24137"/>
    <w:rsid w:val="00F24160"/>
    <w:rsid w:val="00F2716A"/>
    <w:rsid w:val="00F30178"/>
    <w:rsid w:val="00F31722"/>
    <w:rsid w:val="00F31840"/>
    <w:rsid w:val="00F327EC"/>
    <w:rsid w:val="00F333BF"/>
    <w:rsid w:val="00F336A4"/>
    <w:rsid w:val="00F3376A"/>
    <w:rsid w:val="00F33862"/>
    <w:rsid w:val="00F3409B"/>
    <w:rsid w:val="00F34BB1"/>
    <w:rsid w:val="00F35048"/>
    <w:rsid w:val="00F35153"/>
    <w:rsid w:val="00F372CE"/>
    <w:rsid w:val="00F4145B"/>
    <w:rsid w:val="00F4389B"/>
    <w:rsid w:val="00F439BA"/>
    <w:rsid w:val="00F445F3"/>
    <w:rsid w:val="00F44DDE"/>
    <w:rsid w:val="00F47D80"/>
    <w:rsid w:val="00F50125"/>
    <w:rsid w:val="00F50372"/>
    <w:rsid w:val="00F50752"/>
    <w:rsid w:val="00F51CE3"/>
    <w:rsid w:val="00F520D6"/>
    <w:rsid w:val="00F5233A"/>
    <w:rsid w:val="00F5248E"/>
    <w:rsid w:val="00F5275D"/>
    <w:rsid w:val="00F54FB3"/>
    <w:rsid w:val="00F56735"/>
    <w:rsid w:val="00F57EAA"/>
    <w:rsid w:val="00F6035F"/>
    <w:rsid w:val="00F606EA"/>
    <w:rsid w:val="00F60F43"/>
    <w:rsid w:val="00F61017"/>
    <w:rsid w:val="00F6190D"/>
    <w:rsid w:val="00F62CD8"/>
    <w:rsid w:val="00F648A1"/>
    <w:rsid w:val="00F648CC"/>
    <w:rsid w:val="00F66664"/>
    <w:rsid w:val="00F70C0F"/>
    <w:rsid w:val="00F7130F"/>
    <w:rsid w:val="00F71C4C"/>
    <w:rsid w:val="00F727C6"/>
    <w:rsid w:val="00F75070"/>
    <w:rsid w:val="00F75D8F"/>
    <w:rsid w:val="00F7706E"/>
    <w:rsid w:val="00F770DE"/>
    <w:rsid w:val="00F77940"/>
    <w:rsid w:val="00F8376C"/>
    <w:rsid w:val="00F839F3"/>
    <w:rsid w:val="00F83B38"/>
    <w:rsid w:val="00F84791"/>
    <w:rsid w:val="00F84E7E"/>
    <w:rsid w:val="00F85358"/>
    <w:rsid w:val="00F86DBE"/>
    <w:rsid w:val="00F87135"/>
    <w:rsid w:val="00F87498"/>
    <w:rsid w:val="00F9058F"/>
    <w:rsid w:val="00F90A51"/>
    <w:rsid w:val="00F9178F"/>
    <w:rsid w:val="00F94966"/>
    <w:rsid w:val="00F96394"/>
    <w:rsid w:val="00F97431"/>
    <w:rsid w:val="00F97C06"/>
    <w:rsid w:val="00FA0ECB"/>
    <w:rsid w:val="00FA251B"/>
    <w:rsid w:val="00FA2625"/>
    <w:rsid w:val="00FA4510"/>
    <w:rsid w:val="00FA564E"/>
    <w:rsid w:val="00FA5CC9"/>
    <w:rsid w:val="00FA604C"/>
    <w:rsid w:val="00FA6695"/>
    <w:rsid w:val="00FA6FE8"/>
    <w:rsid w:val="00FA7064"/>
    <w:rsid w:val="00FA7386"/>
    <w:rsid w:val="00FA7687"/>
    <w:rsid w:val="00FA7F81"/>
    <w:rsid w:val="00FB137B"/>
    <w:rsid w:val="00FB1620"/>
    <w:rsid w:val="00FB17CE"/>
    <w:rsid w:val="00FB5382"/>
    <w:rsid w:val="00FC058C"/>
    <w:rsid w:val="00FC186B"/>
    <w:rsid w:val="00FC289A"/>
    <w:rsid w:val="00FC3592"/>
    <w:rsid w:val="00FC3FF6"/>
    <w:rsid w:val="00FC4AD6"/>
    <w:rsid w:val="00FC594C"/>
    <w:rsid w:val="00FC658F"/>
    <w:rsid w:val="00FC65EC"/>
    <w:rsid w:val="00FC6E65"/>
    <w:rsid w:val="00FC6FD6"/>
    <w:rsid w:val="00FD09B5"/>
    <w:rsid w:val="00FD0F2F"/>
    <w:rsid w:val="00FD1727"/>
    <w:rsid w:val="00FD21A5"/>
    <w:rsid w:val="00FD4949"/>
    <w:rsid w:val="00FD4D21"/>
    <w:rsid w:val="00FD4FA6"/>
    <w:rsid w:val="00FD7794"/>
    <w:rsid w:val="00FE045D"/>
    <w:rsid w:val="00FE06E9"/>
    <w:rsid w:val="00FE0B05"/>
    <w:rsid w:val="00FE13BA"/>
    <w:rsid w:val="00FE3B9D"/>
    <w:rsid w:val="00FE4CF1"/>
    <w:rsid w:val="00FE60CC"/>
    <w:rsid w:val="00FF0BBE"/>
    <w:rsid w:val="00FF0E04"/>
    <w:rsid w:val="00FF170D"/>
    <w:rsid w:val="00FF2211"/>
    <w:rsid w:val="00FF446B"/>
    <w:rsid w:val="00FF5A6F"/>
    <w:rsid w:val="00FF5B81"/>
    <w:rsid w:val="00FF5BA1"/>
    <w:rsid w:val="00FF5FE7"/>
    <w:rsid w:val="00FF61CB"/>
    <w:rsid w:val="00FF6B8B"/>
    <w:rsid w:val="00FF6F56"/>
    <w:rsid w:val="00FF7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87439"/>
  <w15:chartTrackingRefBased/>
  <w15:docId w15:val="{5E03182A-3FFA-4C24-8C9F-04D2B287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55A"/>
    <w:pPr>
      <w:spacing w:line="480" w:lineRule="auto"/>
    </w:pPr>
    <w:rPr>
      <w:rFonts w:cstheme="minorHAnsi"/>
      <w:sz w:val="24"/>
      <w:szCs w:val="24"/>
    </w:rPr>
  </w:style>
  <w:style w:type="paragraph" w:styleId="Heading1">
    <w:name w:val="heading 1"/>
    <w:basedOn w:val="Normal"/>
    <w:next w:val="Normal"/>
    <w:link w:val="Heading1Char"/>
    <w:uiPriority w:val="9"/>
    <w:qFormat/>
    <w:rsid w:val="00D574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4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462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46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4622"/>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915DB"/>
    <w:rPr>
      <w:sz w:val="16"/>
      <w:szCs w:val="16"/>
    </w:rPr>
  </w:style>
  <w:style w:type="paragraph" w:styleId="CommentText">
    <w:name w:val="annotation text"/>
    <w:basedOn w:val="Normal"/>
    <w:link w:val="CommentTextChar"/>
    <w:uiPriority w:val="99"/>
    <w:semiHidden/>
    <w:unhideWhenUsed/>
    <w:rsid w:val="005915DB"/>
    <w:pPr>
      <w:spacing w:line="240" w:lineRule="auto"/>
    </w:pPr>
    <w:rPr>
      <w:sz w:val="20"/>
      <w:szCs w:val="20"/>
    </w:rPr>
  </w:style>
  <w:style w:type="character" w:customStyle="1" w:styleId="CommentTextChar">
    <w:name w:val="Comment Text Char"/>
    <w:basedOn w:val="DefaultParagraphFont"/>
    <w:link w:val="CommentText"/>
    <w:uiPriority w:val="99"/>
    <w:semiHidden/>
    <w:rsid w:val="005915DB"/>
    <w:rPr>
      <w:sz w:val="20"/>
      <w:szCs w:val="20"/>
    </w:rPr>
  </w:style>
  <w:style w:type="paragraph" w:styleId="CommentSubject">
    <w:name w:val="annotation subject"/>
    <w:basedOn w:val="CommentText"/>
    <w:next w:val="CommentText"/>
    <w:link w:val="CommentSubjectChar"/>
    <w:uiPriority w:val="99"/>
    <w:semiHidden/>
    <w:unhideWhenUsed/>
    <w:rsid w:val="005915DB"/>
    <w:rPr>
      <w:b/>
      <w:bCs/>
    </w:rPr>
  </w:style>
  <w:style w:type="character" w:customStyle="1" w:styleId="CommentSubjectChar">
    <w:name w:val="Comment Subject Char"/>
    <w:basedOn w:val="CommentTextChar"/>
    <w:link w:val="CommentSubject"/>
    <w:uiPriority w:val="99"/>
    <w:semiHidden/>
    <w:rsid w:val="005915DB"/>
    <w:rPr>
      <w:b/>
      <w:bCs/>
      <w:sz w:val="20"/>
      <w:szCs w:val="20"/>
    </w:rPr>
  </w:style>
  <w:style w:type="paragraph" w:styleId="FootnoteText">
    <w:name w:val="footnote text"/>
    <w:basedOn w:val="Normal"/>
    <w:link w:val="FootnoteTextChar"/>
    <w:uiPriority w:val="99"/>
    <w:unhideWhenUsed/>
    <w:rsid w:val="008378CC"/>
    <w:pPr>
      <w:spacing w:after="0" w:line="240" w:lineRule="auto"/>
    </w:pPr>
    <w:rPr>
      <w:sz w:val="22"/>
      <w:szCs w:val="20"/>
    </w:rPr>
  </w:style>
  <w:style w:type="character" w:customStyle="1" w:styleId="FootnoteTextChar">
    <w:name w:val="Footnote Text Char"/>
    <w:basedOn w:val="DefaultParagraphFont"/>
    <w:link w:val="FootnoteText"/>
    <w:uiPriority w:val="99"/>
    <w:rsid w:val="008378CC"/>
    <w:rPr>
      <w:rFonts w:cstheme="minorHAnsi"/>
      <w:szCs w:val="20"/>
    </w:rPr>
  </w:style>
  <w:style w:type="character" w:styleId="FootnoteReference">
    <w:name w:val="footnote reference"/>
    <w:basedOn w:val="DefaultParagraphFont"/>
    <w:uiPriority w:val="99"/>
    <w:semiHidden/>
    <w:unhideWhenUsed/>
    <w:rsid w:val="004F18AE"/>
    <w:rPr>
      <w:vertAlign w:val="superscript"/>
    </w:rPr>
  </w:style>
  <w:style w:type="character" w:styleId="Hyperlink">
    <w:name w:val="Hyperlink"/>
    <w:basedOn w:val="DefaultParagraphFont"/>
    <w:uiPriority w:val="99"/>
    <w:unhideWhenUsed/>
    <w:rsid w:val="004F18AE"/>
    <w:rPr>
      <w:color w:val="0563C1" w:themeColor="hyperlink"/>
      <w:u w:val="single"/>
    </w:rPr>
  </w:style>
  <w:style w:type="character" w:styleId="UnresolvedMention">
    <w:name w:val="Unresolved Mention"/>
    <w:basedOn w:val="DefaultParagraphFont"/>
    <w:uiPriority w:val="99"/>
    <w:semiHidden/>
    <w:unhideWhenUsed/>
    <w:rsid w:val="004F18AE"/>
    <w:rPr>
      <w:color w:val="605E5C"/>
      <w:shd w:val="clear" w:color="auto" w:fill="E1DFDD"/>
    </w:rPr>
  </w:style>
  <w:style w:type="character" w:styleId="SubtleReference">
    <w:name w:val="Subtle Reference"/>
    <w:basedOn w:val="DefaultParagraphFont"/>
    <w:uiPriority w:val="31"/>
    <w:qFormat/>
    <w:rsid w:val="008643A4"/>
    <w:rPr>
      <w:smallCaps/>
      <w:color w:val="5A5A5A" w:themeColor="text1" w:themeTint="A5"/>
    </w:rPr>
  </w:style>
  <w:style w:type="paragraph" w:customStyle="1" w:styleId="Default">
    <w:name w:val="Default"/>
    <w:rsid w:val="002748BC"/>
    <w:pPr>
      <w:autoSpaceDE w:val="0"/>
      <w:autoSpaceDN w:val="0"/>
      <w:adjustRightInd w:val="0"/>
      <w:spacing w:after="0" w:line="240" w:lineRule="auto"/>
    </w:pPr>
    <w:rPr>
      <w:rFonts w:ascii="Code" w:hAnsi="Code" w:cs="Code"/>
      <w:color w:val="000000"/>
      <w:sz w:val="24"/>
      <w:szCs w:val="24"/>
    </w:rPr>
  </w:style>
  <w:style w:type="character" w:styleId="HTMLCite">
    <w:name w:val="HTML Cite"/>
    <w:basedOn w:val="DefaultParagraphFont"/>
    <w:uiPriority w:val="99"/>
    <w:semiHidden/>
    <w:unhideWhenUsed/>
    <w:rsid w:val="00FE13BA"/>
    <w:rPr>
      <w:i/>
      <w:iCs/>
    </w:rPr>
  </w:style>
  <w:style w:type="paragraph" w:styleId="ListParagraph">
    <w:name w:val="List Paragraph"/>
    <w:basedOn w:val="Normal"/>
    <w:uiPriority w:val="34"/>
    <w:qFormat/>
    <w:rsid w:val="00597284"/>
    <w:pPr>
      <w:ind w:left="720"/>
      <w:contextualSpacing/>
    </w:pPr>
  </w:style>
  <w:style w:type="table" w:styleId="TableGrid">
    <w:name w:val="Table Grid"/>
    <w:basedOn w:val="TableNormal"/>
    <w:uiPriority w:val="39"/>
    <w:rsid w:val="00957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574D6"/>
    <w:rPr>
      <w:rFonts w:asciiTheme="majorHAnsi" w:eastAsiaTheme="majorEastAsia" w:hAnsiTheme="majorHAnsi" w:cstheme="majorBidi"/>
      <w:color w:val="2F5496" w:themeColor="accent1" w:themeShade="BF"/>
      <w:sz w:val="32"/>
      <w:szCs w:val="32"/>
    </w:rPr>
  </w:style>
  <w:style w:type="character" w:customStyle="1" w:styleId="nlmarticle-title">
    <w:name w:val="nlm_article-title"/>
    <w:basedOn w:val="DefaultParagraphFont"/>
    <w:rsid w:val="005133C0"/>
  </w:style>
  <w:style w:type="character" w:customStyle="1" w:styleId="nlmsubtitle">
    <w:name w:val="nlm_subtitle"/>
    <w:basedOn w:val="DefaultParagraphFont"/>
    <w:rsid w:val="005133C0"/>
  </w:style>
  <w:style w:type="paragraph" w:styleId="Header">
    <w:name w:val="header"/>
    <w:basedOn w:val="Normal"/>
    <w:link w:val="HeaderChar"/>
    <w:uiPriority w:val="99"/>
    <w:unhideWhenUsed/>
    <w:rsid w:val="000959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59B5"/>
  </w:style>
  <w:style w:type="paragraph" w:styleId="Footer">
    <w:name w:val="footer"/>
    <w:basedOn w:val="Normal"/>
    <w:link w:val="FooterChar"/>
    <w:uiPriority w:val="99"/>
    <w:unhideWhenUsed/>
    <w:rsid w:val="00095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59B5"/>
  </w:style>
  <w:style w:type="paragraph" w:styleId="Caption">
    <w:name w:val="caption"/>
    <w:basedOn w:val="Normal"/>
    <w:next w:val="Normal"/>
    <w:uiPriority w:val="35"/>
    <w:unhideWhenUsed/>
    <w:qFormat/>
    <w:rsid w:val="00D9622D"/>
    <w:pPr>
      <w:spacing w:after="200" w:line="240" w:lineRule="auto"/>
    </w:pPr>
    <w:rPr>
      <w:i/>
      <w:iCs/>
      <w:color w:val="44546A" w:themeColor="text2"/>
      <w:sz w:val="22"/>
      <w:szCs w:val="18"/>
    </w:rPr>
  </w:style>
  <w:style w:type="character" w:styleId="FollowedHyperlink">
    <w:name w:val="FollowedHyperlink"/>
    <w:basedOn w:val="DefaultParagraphFont"/>
    <w:uiPriority w:val="99"/>
    <w:semiHidden/>
    <w:unhideWhenUsed/>
    <w:rsid w:val="00766BEA"/>
    <w:rPr>
      <w:color w:val="954F72" w:themeColor="followedHyperlink"/>
      <w:u w:val="single"/>
    </w:rPr>
  </w:style>
  <w:style w:type="paragraph" w:styleId="TOCHeading">
    <w:name w:val="TOC Heading"/>
    <w:basedOn w:val="Heading1"/>
    <w:next w:val="Normal"/>
    <w:uiPriority w:val="39"/>
    <w:unhideWhenUsed/>
    <w:qFormat/>
    <w:rsid w:val="00DB3240"/>
    <w:pPr>
      <w:spacing w:line="259" w:lineRule="auto"/>
      <w:outlineLvl w:val="9"/>
    </w:pPr>
  </w:style>
  <w:style w:type="paragraph" w:styleId="TOC1">
    <w:name w:val="toc 1"/>
    <w:basedOn w:val="Normal"/>
    <w:next w:val="Normal"/>
    <w:autoRedefine/>
    <w:uiPriority w:val="39"/>
    <w:unhideWhenUsed/>
    <w:rsid w:val="00DB3240"/>
    <w:pPr>
      <w:spacing w:after="100"/>
    </w:pPr>
  </w:style>
  <w:style w:type="paragraph" w:styleId="TOC3">
    <w:name w:val="toc 3"/>
    <w:basedOn w:val="Normal"/>
    <w:next w:val="Normal"/>
    <w:autoRedefine/>
    <w:uiPriority w:val="39"/>
    <w:unhideWhenUsed/>
    <w:rsid w:val="00DB3240"/>
    <w:pPr>
      <w:spacing w:after="100"/>
      <w:ind w:left="480"/>
    </w:pPr>
  </w:style>
  <w:style w:type="paragraph" w:styleId="TOC2">
    <w:name w:val="toc 2"/>
    <w:basedOn w:val="Normal"/>
    <w:next w:val="Normal"/>
    <w:autoRedefine/>
    <w:uiPriority w:val="39"/>
    <w:unhideWhenUsed/>
    <w:rsid w:val="00DB3240"/>
    <w:pPr>
      <w:spacing w:after="100"/>
      <w:ind w:left="240"/>
    </w:pPr>
  </w:style>
  <w:style w:type="paragraph" w:styleId="NoSpacing">
    <w:name w:val="No Spacing"/>
    <w:uiPriority w:val="1"/>
    <w:qFormat/>
    <w:rsid w:val="005142A5"/>
    <w:pPr>
      <w:spacing w:after="0" w:line="240" w:lineRule="auto"/>
    </w:pPr>
    <w:rPr>
      <w:rFonts w:cs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67057">
      <w:bodyDiv w:val="1"/>
      <w:marLeft w:val="0"/>
      <w:marRight w:val="0"/>
      <w:marTop w:val="0"/>
      <w:marBottom w:val="0"/>
      <w:divBdr>
        <w:top w:val="none" w:sz="0" w:space="0" w:color="auto"/>
        <w:left w:val="none" w:sz="0" w:space="0" w:color="auto"/>
        <w:bottom w:val="none" w:sz="0" w:space="0" w:color="auto"/>
        <w:right w:val="none" w:sz="0" w:space="0" w:color="auto"/>
      </w:divBdr>
    </w:div>
    <w:div w:id="245071232">
      <w:bodyDiv w:val="1"/>
      <w:marLeft w:val="0"/>
      <w:marRight w:val="0"/>
      <w:marTop w:val="0"/>
      <w:marBottom w:val="0"/>
      <w:divBdr>
        <w:top w:val="none" w:sz="0" w:space="0" w:color="auto"/>
        <w:left w:val="none" w:sz="0" w:space="0" w:color="auto"/>
        <w:bottom w:val="none" w:sz="0" w:space="0" w:color="auto"/>
        <w:right w:val="none" w:sz="0" w:space="0" w:color="auto"/>
      </w:divBdr>
    </w:div>
    <w:div w:id="297540831">
      <w:bodyDiv w:val="1"/>
      <w:marLeft w:val="0"/>
      <w:marRight w:val="0"/>
      <w:marTop w:val="0"/>
      <w:marBottom w:val="0"/>
      <w:divBdr>
        <w:top w:val="none" w:sz="0" w:space="0" w:color="auto"/>
        <w:left w:val="none" w:sz="0" w:space="0" w:color="auto"/>
        <w:bottom w:val="none" w:sz="0" w:space="0" w:color="auto"/>
        <w:right w:val="none" w:sz="0" w:space="0" w:color="auto"/>
      </w:divBdr>
      <w:divsChild>
        <w:div w:id="30764537">
          <w:marLeft w:val="0"/>
          <w:marRight w:val="0"/>
          <w:marTop w:val="0"/>
          <w:marBottom w:val="0"/>
          <w:divBdr>
            <w:top w:val="none" w:sz="0" w:space="0" w:color="auto"/>
            <w:left w:val="none" w:sz="0" w:space="0" w:color="auto"/>
            <w:bottom w:val="none" w:sz="0" w:space="0" w:color="auto"/>
            <w:right w:val="none" w:sz="0" w:space="0" w:color="auto"/>
          </w:divBdr>
          <w:divsChild>
            <w:div w:id="779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1598">
      <w:bodyDiv w:val="1"/>
      <w:marLeft w:val="0"/>
      <w:marRight w:val="0"/>
      <w:marTop w:val="0"/>
      <w:marBottom w:val="0"/>
      <w:divBdr>
        <w:top w:val="none" w:sz="0" w:space="0" w:color="auto"/>
        <w:left w:val="none" w:sz="0" w:space="0" w:color="auto"/>
        <w:bottom w:val="none" w:sz="0" w:space="0" w:color="auto"/>
        <w:right w:val="none" w:sz="0" w:space="0" w:color="auto"/>
      </w:divBdr>
    </w:div>
    <w:div w:id="657733173">
      <w:bodyDiv w:val="1"/>
      <w:marLeft w:val="0"/>
      <w:marRight w:val="0"/>
      <w:marTop w:val="0"/>
      <w:marBottom w:val="0"/>
      <w:divBdr>
        <w:top w:val="none" w:sz="0" w:space="0" w:color="auto"/>
        <w:left w:val="none" w:sz="0" w:space="0" w:color="auto"/>
        <w:bottom w:val="none" w:sz="0" w:space="0" w:color="auto"/>
        <w:right w:val="none" w:sz="0" w:space="0" w:color="auto"/>
      </w:divBdr>
    </w:div>
    <w:div w:id="661197483">
      <w:bodyDiv w:val="1"/>
      <w:marLeft w:val="0"/>
      <w:marRight w:val="0"/>
      <w:marTop w:val="0"/>
      <w:marBottom w:val="0"/>
      <w:divBdr>
        <w:top w:val="none" w:sz="0" w:space="0" w:color="auto"/>
        <w:left w:val="none" w:sz="0" w:space="0" w:color="auto"/>
        <w:bottom w:val="none" w:sz="0" w:space="0" w:color="auto"/>
        <w:right w:val="none" w:sz="0" w:space="0" w:color="auto"/>
      </w:divBdr>
    </w:div>
    <w:div w:id="1168398353">
      <w:bodyDiv w:val="1"/>
      <w:marLeft w:val="0"/>
      <w:marRight w:val="0"/>
      <w:marTop w:val="0"/>
      <w:marBottom w:val="0"/>
      <w:divBdr>
        <w:top w:val="none" w:sz="0" w:space="0" w:color="auto"/>
        <w:left w:val="none" w:sz="0" w:space="0" w:color="auto"/>
        <w:bottom w:val="none" w:sz="0" w:space="0" w:color="auto"/>
        <w:right w:val="none" w:sz="0" w:space="0" w:color="auto"/>
      </w:divBdr>
    </w:div>
    <w:div w:id="1203593358">
      <w:bodyDiv w:val="1"/>
      <w:marLeft w:val="0"/>
      <w:marRight w:val="0"/>
      <w:marTop w:val="0"/>
      <w:marBottom w:val="0"/>
      <w:divBdr>
        <w:top w:val="none" w:sz="0" w:space="0" w:color="auto"/>
        <w:left w:val="none" w:sz="0" w:space="0" w:color="auto"/>
        <w:bottom w:val="none" w:sz="0" w:space="0" w:color="auto"/>
        <w:right w:val="none" w:sz="0" w:space="0" w:color="auto"/>
      </w:divBdr>
    </w:div>
    <w:div w:id="1229345845">
      <w:bodyDiv w:val="1"/>
      <w:marLeft w:val="0"/>
      <w:marRight w:val="0"/>
      <w:marTop w:val="0"/>
      <w:marBottom w:val="0"/>
      <w:divBdr>
        <w:top w:val="none" w:sz="0" w:space="0" w:color="auto"/>
        <w:left w:val="none" w:sz="0" w:space="0" w:color="auto"/>
        <w:bottom w:val="none" w:sz="0" w:space="0" w:color="auto"/>
        <w:right w:val="none" w:sz="0" w:space="0" w:color="auto"/>
      </w:divBdr>
    </w:div>
    <w:div w:id="1341007455">
      <w:bodyDiv w:val="1"/>
      <w:marLeft w:val="0"/>
      <w:marRight w:val="0"/>
      <w:marTop w:val="0"/>
      <w:marBottom w:val="0"/>
      <w:divBdr>
        <w:top w:val="none" w:sz="0" w:space="0" w:color="auto"/>
        <w:left w:val="none" w:sz="0" w:space="0" w:color="auto"/>
        <w:bottom w:val="none" w:sz="0" w:space="0" w:color="auto"/>
        <w:right w:val="none" w:sz="0" w:space="0" w:color="auto"/>
      </w:divBdr>
    </w:div>
    <w:div w:id="1437408417">
      <w:bodyDiv w:val="1"/>
      <w:marLeft w:val="0"/>
      <w:marRight w:val="0"/>
      <w:marTop w:val="0"/>
      <w:marBottom w:val="0"/>
      <w:divBdr>
        <w:top w:val="none" w:sz="0" w:space="0" w:color="auto"/>
        <w:left w:val="none" w:sz="0" w:space="0" w:color="auto"/>
        <w:bottom w:val="none" w:sz="0" w:space="0" w:color="auto"/>
        <w:right w:val="none" w:sz="0" w:space="0" w:color="auto"/>
      </w:divBdr>
    </w:div>
    <w:div w:id="1463303462">
      <w:bodyDiv w:val="1"/>
      <w:marLeft w:val="0"/>
      <w:marRight w:val="0"/>
      <w:marTop w:val="0"/>
      <w:marBottom w:val="0"/>
      <w:divBdr>
        <w:top w:val="none" w:sz="0" w:space="0" w:color="auto"/>
        <w:left w:val="none" w:sz="0" w:space="0" w:color="auto"/>
        <w:bottom w:val="none" w:sz="0" w:space="0" w:color="auto"/>
        <w:right w:val="none" w:sz="0" w:space="0" w:color="auto"/>
      </w:divBdr>
    </w:div>
    <w:div w:id="1754669039">
      <w:bodyDiv w:val="1"/>
      <w:marLeft w:val="0"/>
      <w:marRight w:val="0"/>
      <w:marTop w:val="0"/>
      <w:marBottom w:val="0"/>
      <w:divBdr>
        <w:top w:val="none" w:sz="0" w:space="0" w:color="auto"/>
        <w:left w:val="none" w:sz="0" w:space="0" w:color="auto"/>
        <w:bottom w:val="none" w:sz="0" w:space="0" w:color="auto"/>
        <w:right w:val="none" w:sz="0" w:space="0" w:color="auto"/>
      </w:divBdr>
    </w:div>
    <w:div w:id="1856461378">
      <w:bodyDiv w:val="1"/>
      <w:marLeft w:val="0"/>
      <w:marRight w:val="0"/>
      <w:marTop w:val="0"/>
      <w:marBottom w:val="0"/>
      <w:divBdr>
        <w:top w:val="none" w:sz="0" w:space="0" w:color="auto"/>
        <w:left w:val="none" w:sz="0" w:space="0" w:color="auto"/>
        <w:bottom w:val="none" w:sz="0" w:space="0" w:color="auto"/>
        <w:right w:val="none" w:sz="0" w:space="0" w:color="auto"/>
      </w:divBdr>
    </w:div>
    <w:div w:id="1927810861">
      <w:bodyDiv w:val="1"/>
      <w:marLeft w:val="0"/>
      <w:marRight w:val="0"/>
      <w:marTop w:val="0"/>
      <w:marBottom w:val="0"/>
      <w:divBdr>
        <w:top w:val="none" w:sz="0" w:space="0" w:color="auto"/>
        <w:left w:val="none" w:sz="0" w:space="0" w:color="auto"/>
        <w:bottom w:val="none" w:sz="0" w:space="0" w:color="auto"/>
        <w:right w:val="none" w:sz="0" w:space="0" w:color="auto"/>
      </w:divBdr>
    </w:div>
    <w:div w:id="1938976680">
      <w:bodyDiv w:val="1"/>
      <w:marLeft w:val="0"/>
      <w:marRight w:val="0"/>
      <w:marTop w:val="0"/>
      <w:marBottom w:val="0"/>
      <w:divBdr>
        <w:top w:val="none" w:sz="0" w:space="0" w:color="auto"/>
        <w:left w:val="none" w:sz="0" w:space="0" w:color="auto"/>
        <w:bottom w:val="none" w:sz="0" w:space="0" w:color="auto"/>
        <w:right w:val="none" w:sz="0" w:space="0" w:color="auto"/>
      </w:divBdr>
    </w:div>
    <w:div w:id="1952273036">
      <w:bodyDiv w:val="1"/>
      <w:marLeft w:val="0"/>
      <w:marRight w:val="0"/>
      <w:marTop w:val="0"/>
      <w:marBottom w:val="0"/>
      <w:divBdr>
        <w:top w:val="none" w:sz="0" w:space="0" w:color="auto"/>
        <w:left w:val="none" w:sz="0" w:space="0" w:color="auto"/>
        <w:bottom w:val="none" w:sz="0" w:space="0" w:color="auto"/>
        <w:right w:val="none" w:sz="0" w:space="0" w:color="auto"/>
      </w:divBdr>
    </w:div>
    <w:div w:id="198207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1.xml"/><Relationship Id="rId26" Type="http://schemas.microsoft.com/office/2007/relationships/hdphoto" Target="media/hdphoto1.wdp"/><Relationship Id="rId39" Type="http://schemas.openxmlformats.org/officeDocument/2006/relationships/hyperlink" Target="http://www.archeociel.com/lascaux.htm" TargetMode="External"/><Relationship Id="rId21" Type="http://schemas.openxmlformats.org/officeDocument/2006/relationships/image" Target="media/image13.jpg"/><Relationship Id="rId34" Type="http://schemas.openxmlformats.org/officeDocument/2006/relationships/image" Target="media/image24.emf"/><Relationship Id="rId42" Type="http://schemas.openxmlformats.org/officeDocument/2006/relationships/hyperlink" Target="https://www.academia.edu/36439563/The_Mu_kwitsi_Hopi_Fremont_abandonment_and_Numic_Immigrants_into_Nine_Mile_Canyon_as_Depicted_in_the_Rock_Art" TargetMode="External"/><Relationship Id="rId47" Type="http://schemas.openxmlformats.org/officeDocument/2006/relationships/hyperlink" Target="https://en.wikipedia.org/wiki/Diurnal_air_temperature_varia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6.emf"/><Relationship Id="rId32" Type="http://schemas.openxmlformats.org/officeDocument/2006/relationships/image" Target="media/image22.emf"/><Relationship Id="rId37" Type="http://schemas.openxmlformats.org/officeDocument/2006/relationships/hyperlink" Target="https://stellarium.org/release/2021/06/24/stellarium-0.21.1.html" TargetMode="External"/><Relationship Id="rId40" Type="http://schemas.openxmlformats.org/officeDocument/2006/relationships/hyperlink" Target="https://www.cambridge.org/core" TargetMode="External"/><Relationship Id="rId45" Type="http://schemas.openxmlformats.org/officeDocument/2006/relationships/hyperlink" Target="https://www.academia.edu/3170207/Finding_rain_in_the_desert_landscape_gender_and_far_western_North_American_rock_ar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hyperlink" Target="https://www.bestplaces.net/climate/city/utah/moab" TargetMode="External"/><Relationship Id="rId49"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jpeg"/><Relationship Id="rId31" Type="http://schemas.openxmlformats.org/officeDocument/2006/relationships/image" Target="media/image21.emf"/><Relationship Id="rId44" Type="http://schemas.openxmlformats.org/officeDocument/2006/relationships/hyperlink" Target="https://www.weather-us.com/en/utah-usa/arches-national-park-clima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4.jpg"/><Relationship Id="rId27" Type="http://schemas.openxmlformats.org/officeDocument/2006/relationships/image" Target="media/image18.jpg"/><Relationship Id="rId30" Type="http://schemas.openxmlformats.org/officeDocument/2006/relationships/footer" Target="footer1.xml"/><Relationship Id="rId35" Type="http://schemas.openxmlformats.org/officeDocument/2006/relationships/image" Target="media/image25.emf"/><Relationship Id="rId43" Type="http://schemas.openxmlformats.org/officeDocument/2006/relationships/hyperlink" Target="https://www.usclimatedata.com/climate/moab/utah/united-states/usut0165"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3.emf"/><Relationship Id="rId38" Type="http://schemas.openxmlformats.org/officeDocument/2006/relationships/hyperlink" Target="https://headwaterseconomics.org/economic-development/economic-grand-county/" TargetMode="External"/><Relationship Id="rId46" Type="http://schemas.openxmlformats.org/officeDocument/2006/relationships/hyperlink" Target="https://www.academia.edu/14548487/Rock_Art_Religion_and_Ritual" TargetMode="External"/><Relationship Id="rId20" Type="http://schemas.openxmlformats.org/officeDocument/2006/relationships/image" Target="media/image12.jpeg"/><Relationship Id="rId41" Type="http://schemas.openxmlformats.org/officeDocument/2006/relationships/hyperlink" Target="https://www.academia.edu/4925944/Ute_Indian_Rock_Art_Maps_and_Game_Drives_in_Western_Colorado_A_Preliminary_Study_of_Ute_Rock_Art_Maps_in_Gunnison_Gorge_National_Conservation_Area_and_Dominguez_Escalante_National_Conservation_Area"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academia.edu/4925944/Ute_Indian_Rock_Art_Maps_and_Game_Drives_in_Western_Colorado_A_Preliminary_Study_of_Ute_Rock_Art_Maps_in_Gunnison_Gorge_National_Conservation_Area_and_Dominguez_Escalante_National_Conservation_Area" TargetMode="External"/><Relationship Id="rId3" Type="http://schemas.openxmlformats.org/officeDocument/2006/relationships/hyperlink" Target="https://www.academia.edu/36439563/The_Mu_kwitsi_Hopi_Fremont_abandonment_and_Numic_Immigrants_into_Nine_Mile_Canyon_as_Depicted_in_the_Rock_Art" TargetMode="External"/><Relationship Id="rId7" Type="http://schemas.openxmlformats.org/officeDocument/2006/relationships/hyperlink" Target="https://www.academia.edu/14548487/Rock_Art_Religion_and_Ritual" TargetMode="External"/><Relationship Id="rId2" Type="http://schemas.openxmlformats.org/officeDocument/2006/relationships/hyperlink" Target="https://www.weather-us.com/en/utah-usa/arches-national-park-climate" TargetMode="External"/><Relationship Id="rId1" Type="http://schemas.openxmlformats.org/officeDocument/2006/relationships/hyperlink" Target="https://headwaterseconomics.org/economic-development/economic-grand-" TargetMode="External"/><Relationship Id="rId6" Type="http://schemas.openxmlformats.org/officeDocument/2006/relationships/hyperlink" Target="https://www.cambridge.org/core" TargetMode="External"/><Relationship Id="rId5" Type="http://schemas.openxmlformats.org/officeDocument/2006/relationships/hyperlink" Target="http://www.archeociel.com/lascaux.htm" TargetMode="External"/><Relationship Id="rId4" Type="http://schemas.openxmlformats.org/officeDocument/2006/relationships/hyperlink" Target="https://www.academia.edu/3170207/Finding_rain_in_the_desert_landscape_gender_and_far_western_North_American_rock_ar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DIFFUSION OF POINTS FROM EXACT </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-4</c:v>
                </c:pt>
              </c:strCache>
            </c:strRef>
          </c:tx>
          <c:spPr>
            <a:gradFill flip="none" rotWithShape="1">
              <a:gsLst>
                <a:gs pos="0">
                  <a:schemeClr val="accent5">
                    <a:tint val="43000"/>
                  </a:schemeClr>
                </a:gs>
                <a:gs pos="75000">
                  <a:schemeClr val="accent5">
                    <a:tint val="43000"/>
                    <a:lumMod val="60000"/>
                    <a:lumOff val="40000"/>
                  </a:schemeClr>
                </a:gs>
                <a:gs pos="51000">
                  <a:schemeClr val="accent5">
                    <a:tint val="43000"/>
                    <a:alpha val="75000"/>
                  </a:schemeClr>
                </a:gs>
                <a:gs pos="100000">
                  <a:schemeClr val="accent5">
                    <a:tint val="43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Sheet1!$B$2:$B$5</c:f>
              <c:numCache>
                <c:formatCode>General</c:formatCode>
                <c:ptCount val="4"/>
                <c:pt idx="0">
                  <c:v>0</c:v>
                </c:pt>
                <c:pt idx="3">
                  <c:v>2</c:v>
                </c:pt>
              </c:numCache>
            </c:numRef>
          </c:val>
          <c:extLst>
            <c:ext xmlns:c16="http://schemas.microsoft.com/office/drawing/2014/chart" uri="{C3380CC4-5D6E-409C-BE32-E72D297353CC}">
              <c16:uniqueId val="{00000000-99FA-4EF0-9517-FCD76A112AF8}"/>
            </c:ext>
          </c:extLst>
        </c:ser>
        <c:ser>
          <c:idx val="1"/>
          <c:order val="1"/>
          <c:tx>
            <c:strRef>
              <c:f>Sheet1!$C$1</c:f>
              <c:strCache>
                <c:ptCount val="1"/>
                <c:pt idx="0">
                  <c:v>-3</c:v>
                </c:pt>
              </c:strCache>
            </c:strRef>
          </c:tx>
          <c:spPr>
            <a:gradFill flip="none" rotWithShape="1">
              <a:gsLst>
                <a:gs pos="0">
                  <a:schemeClr val="accent5">
                    <a:tint val="56000"/>
                  </a:schemeClr>
                </a:gs>
                <a:gs pos="75000">
                  <a:schemeClr val="accent5">
                    <a:tint val="56000"/>
                    <a:lumMod val="60000"/>
                    <a:lumOff val="40000"/>
                  </a:schemeClr>
                </a:gs>
                <a:gs pos="51000">
                  <a:schemeClr val="accent5">
                    <a:tint val="56000"/>
                    <a:alpha val="75000"/>
                  </a:schemeClr>
                </a:gs>
                <a:gs pos="100000">
                  <a:schemeClr val="accent5">
                    <a:tint val="56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Sheet1!$C$2:$C$5</c:f>
              <c:numCache>
                <c:formatCode>General</c:formatCode>
                <c:ptCount val="4"/>
                <c:pt idx="0">
                  <c:v>3</c:v>
                </c:pt>
                <c:pt idx="1">
                  <c:v>1</c:v>
                </c:pt>
                <c:pt idx="3">
                  <c:v>1</c:v>
                </c:pt>
              </c:numCache>
            </c:numRef>
          </c:val>
          <c:extLst>
            <c:ext xmlns:c16="http://schemas.microsoft.com/office/drawing/2014/chart" uri="{C3380CC4-5D6E-409C-BE32-E72D297353CC}">
              <c16:uniqueId val="{00000001-99FA-4EF0-9517-FCD76A112AF8}"/>
            </c:ext>
          </c:extLst>
        </c:ser>
        <c:ser>
          <c:idx val="2"/>
          <c:order val="2"/>
          <c:tx>
            <c:strRef>
              <c:f>Sheet1!$D$1</c:f>
              <c:strCache>
                <c:ptCount val="1"/>
                <c:pt idx="0">
                  <c:v>-2</c:v>
                </c:pt>
              </c:strCache>
            </c:strRef>
          </c:tx>
          <c:spPr>
            <a:gradFill flip="none" rotWithShape="1">
              <a:gsLst>
                <a:gs pos="0">
                  <a:schemeClr val="accent5">
                    <a:tint val="69000"/>
                  </a:schemeClr>
                </a:gs>
                <a:gs pos="75000">
                  <a:schemeClr val="accent5">
                    <a:tint val="69000"/>
                    <a:lumMod val="60000"/>
                    <a:lumOff val="40000"/>
                  </a:schemeClr>
                </a:gs>
                <a:gs pos="51000">
                  <a:schemeClr val="accent5">
                    <a:tint val="69000"/>
                    <a:alpha val="75000"/>
                  </a:schemeClr>
                </a:gs>
                <a:gs pos="100000">
                  <a:schemeClr val="accent5">
                    <a:tint val="69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Sheet1!$D$2:$D$5</c:f>
              <c:numCache>
                <c:formatCode>General</c:formatCode>
                <c:ptCount val="4"/>
                <c:pt idx="0">
                  <c:v>1</c:v>
                </c:pt>
                <c:pt idx="3">
                  <c:v>2</c:v>
                </c:pt>
              </c:numCache>
            </c:numRef>
          </c:val>
          <c:extLst>
            <c:ext xmlns:c16="http://schemas.microsoft.com/office/drawing/2014/chart" uri="{C3380CC4-5D6E-409C-BE32-E72D297353CC}">
              <c16:uniqueId val="{00000002-99FA-4EF0-9517-FCD76A112AF8}"/>
            </c:ext>
          </c:extLst>
        </c:ser>
        <c:ser>
          <c:idx val="3"/>
          <c:order val="3"/>
          <c:tx>
            <c:strRef>
              <c:f>Sheet1!$E$1</c:f>
              <c:strCache>
                <c:ptCount val="1"/>
                <c:pt idx="0">
                  <c:v>-1</c:v>
                </c:pt>
              </c:strCache>
            </c:strRef>
          </c:tx>
          <c:spPr>
            <a:gradFill flip="none" rotWithShape="1">
              <a:gsLst>
                <a:gs pos="0">
                  <a:schemeClr val="accent5">
                    <a:tint val="81000"/>
                  </a:schemeClr>
                </a:gs>
                <a:gs pos="75000">
                  <a:schemeClr val="accent5">
                    <a:tint val="81000"/>
                    <a:lumMod val="60000"/>
                    <a:lumOff val="40000"/>
                  </a:schemeClr>
                </a:gs>
                <a:gs pos="51000">
                  <a:schemeClr val="accent5">
                    <a:tint val="81000"/>
                    <a:alpha val="75000"/>
                  </a:schemeClr>
                </a:gs>
                <a:gs pos="100000">
                  <a:schemeClr val="accent5">
                    <a:tint val="81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Sheet1!$E$2:$E$5</c:f>
              <c:numCache>
                <c:formatCode>General</c:formatCode>
                <c:ptCount val="4"/>
                <c:pt idx="0">
                  <c:v>3</c:v>
                </c:pt>
                <c:pt idx="1">
                  <c:v>1</c:v>
                </c:pt>
                <c:pt idx="3">
                  <c:v>1</c:v>
                </c:pt>
              </c:numCache>
            </c:numRef>
          </c:val>
          <c:extLst>
            <c:ext xmlns:c16="http://schemas.microsoft.com/office/drawing/2014/chart" uri="{C3380CC4-5D6E-409C-BE32-E72D297353CC}">
              <c16:uniqueId val="{00000003-99FA-4EF0-9517-FCD76A112AF8}"/>
            </c:ext>
          </c:extLst>
        </c:ser>
        <c:ser>
          <c:idx val="4"/>
          <c:order val="4"/>
          <c:tx>
            <c:v>0</c:v>
          </c:tx>
          <c:spPr>
            <a:gradFill flip="none" rotWithShape="1">
              <a:gsLst>
                <a:gs pos="0">
                  <a:schemeClr val="accent5">
                    <a:tint val="94000"/>
                  </a:schemeClr>
                </a:gs>
                <a:gs pos="75000">
                  <a:schemeClr val="accent5">
                    <a:tint val="94000"/>
                    <a:lumMod val="60000"/>
                    <a:lumOff val="40000"/>
                  </a:schemeClr>
                </a:gs>
                <a:gs pos="51000">
                  <a:schemeClr val="accent5">
                    <a:tint val="94000"/>
                    <a:alpha val="75000"/>
                  </a:schemeClr>
                </a:gs>
                <a:gs pos="100000">
                  <a:schemeClr val="accent5">
                    <a:tint val="94000"/>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WSSR</c:v>
                </c:pt>
                <c:pt idx="1">
                  <c:v>SSSR</c:v>
                </c:pt>
                <c:pt idx="2">
                  <c:v>WSSS</c:v>
                </c:pt>
                <c:pt idx="3">
                  <c:v>SSSS</c:v>
                </c:pt>
              </c:strCache>
            </c:strRef>
          </c:cat>
          <c:val>
            <c:numRef>
              <c:f>Sheet1!$F$2:$F$5</c:f>
              <c:numCache>
                <c:formatCode>General</c:formatCode>
                <c:ptCount val="4"/>
                <c:pt idx="0">
                  <c:v>15</c:v>
                </c:pt>
                <c:pt idx="1">
                  <c:v>8</c:v>
                </c:pt>
                <c:pt idx="2">
                  <c:v>5</c:v>
                </c:pt>
                <c:pt idx="3">
                  <c:v>3</c:v>
                </c:pt>
              </c:numCache>
            </c:numRef>
          </c:val>
          <c:extLst>
            <c:ext xmlns:c16="http://schemas.microsoft.com/office/drawing/2014/chart" uri="{C3380CC4-5D6E-409C-BE32-E72D297353CC}">
              <c16:uniqueId val="{00000004-99FA-4EF0-9517-FCD76A112AF8}"/>
            </c:ext>
          </c:extLst>
        </c:ser>
        <c:ser>
          <c:idx val="5"/>
          <c:order val="5"/>
          <c:tx>
            <c:strRef>
              <c:f>Sheet1!$G$1</c:f>
              <c:strCache>
                <c:ptCount val="1"/>
                <c:pt idx="0">
                  <c:v>1</c:v>
                </c:pt>
              </c:strCache>
            </c:strRef>
          </c:tx>
          <c:spPr>
            <a:gradFill flip="none" rotWithShape="1">
              <a:gsLst>
                <a:gs pos="0">
                  <a:schemeClr val="accent5">
                    <a:shade val="93000"/>
                  </a:schemeClr>
                </a:gs>
                <a:gs pos="75000">
                  <a:schemeClr val="accent5">
                    <a:shade val="93000"/>
                    <a:lumMod val="60000"/>
                    <a:lumOff val="40000"/>
                  </a:schemeClr>
                </a:gs>
                <a:gs pos="51000">
                  <a:schemeClr val="accent5">
                    <a:shade val="93000"/>
                    <a:alpha val="75000"/>
                  </a:schemeClr>
                </a:gs>
                <a:gs pos="100000">
                  <a:schemeClr val="accent5">
                    <a:shade val="93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Sheet1!$G$2:$G$5</c:f>
              <c:numCache>
                <c:formatCode>General</c:formatCode>
                <c:ptCount val="4"/>
                <c:pt idx="0">
                  <c:v>3</c:v>
                </c:pt>
                <c:pt idx="2">
                  <c:v>1</c:v>
                </c:pt>
                <c:pt idx="3">
                  <c:v>3</c:v>
                </c:pt>
              </c:numCache>
            </c:numRef>
          </c:val>
          <c:extLst>
            <c:ext xmlns:c16="http://schemas.microsoft.com/office/drawing/2014/chart" uri="{C3380CC4-5D6E-409C-BE32-E72D297353CC}">
              <c16:uniqueId val="{00000005-99FA-4EF0-9517-FCD76A112AF8}"/>
            </c:ext>
          </c:extLst>
        </c:ser>
        <c:ser>
          <c:idx val="6"/>
          <c:order val="6"/>
          <c:tx>
            <c:strRef>
              <c:f>Sheet1!$H$1</c:f>
              <c:strCache>
                <c:ptCount val="1"/>
                <c:pt idx="0">
                  <c:v>2</c:v>
                </c:pt>
              </c:strCache>
            </c:strRef>
          </c:tx>
          <c:spPr>
            <a:gradFill flip="none" rotWithShape="1">
              <a:gsLst>
                <a:gs pos="0">
                  <a:schemeClr val="accent5">
                    <a:shade val="80000"/>
                  </a:schemeClr>
                </a:gs>
                <a:gs pos="75000">
                  <a:schemeClr val="accent5">
                    <a:shade val="80000"/>
                    <a:lumMod val="60000"/>
                    <a:lumOff val="40000"/>
                  </a:schemeClr>
                </a:gs>
                <a:gs pos="51000">
                  <a:schemeClr val="accent5">
                    <a:shade val="80000"/>
                    <a:alpha val="75000"/>
                  </a:schemeClr>
                </a:gs>
                <a:gs pos="100000">
                  <a:schemeClr val="accent5">
                    <a:shade val="80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Sheet1!$H$2:$H$5</c:f>
              <c:numCache>
                <c:formatCode>General</c:formatCode>
                <c:ptCount val="4"/>
                <c:pt idx="0">
                  <c:v>6</c:v>
                </c:pt>
                <c:pt idx="2">
                  <c:v>1</c:v>
                </c:pt>
                <c:pt idx="3">
                  <c:v>1</c:v>
                </c:pt>
              </c:numCache>
            </c:numRef>
          </c:val>
          <c:extLst>
            <c:ext xmlns:c16="http://schemas.microsoft.com/office/drawing/2014/chart" uri="{C3380CC4-5D6E-409C-BE32-E72D297353CC}">
              <c16:uniqueId val="{00000006-99FA-4EF0-9517-FCD76A112AF8}"/>
            </c:ext>
          </c:extLst>
        </c:ser>
        <c:ser>
          <c:idx val="7"/>
          <c:order val="7"/>
          <c:tx>
            <c:strRef>
              <c:f>Sheet1!$I$1</c:f>
              <c:strCache>
                <c:ptCount val="1"/>
                <c:pt idx="0">
                  <c:v>3</c:v>
                </c:pt>
              </c:strCache>
            </c:strRef>
          </c:tx>
          <c:spPr>
            <a:gradFill flip="none" rotWithShape="1">
              <a:gsLst>
                <a:gs pos="0">
                  <a:schemeClr val="accent5">
                    <a:shade val="68000"/>
                  </a:schemeClr>
                </a:gs>
                <a:gs pos="75000">
                  <a:schemeClr val="accent5">
                    <a:shade val="68000"/>
                    <a:lumMod val="60000"/>
                    <a:lumOff val="40000"/>
                  </a:schemeClr>
                </a:gs>
                <a:gs pos="51000">
                  <a:schemeClr val="accent5">
                    <a:shade val="68000"/>
                    <a:alpha val="75000"/>
                  </a:schemeClr>
                </a:gs>
                <a:gs pos="100000">
                  <a:schemeClr val="accent5">
                    <a:shade val="68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Sheet1!$I$2:$I$5</c:f>
              <c:numCache>
                <c:formatCode>General</c:formatCode>
                <c:ptCount val="4"/>
                <c:pt idx="0">
                  <c:v>1</c:v>
                </c:pt>
                <c:pt idx="2">
                  <c:v>1</c:v>
                </c:pt>
                <c:pt idx="3">
                  <c:v>2</c:v>
                </c:pt>
              </c:numCache>
            </c:numRef>
          </c:val>
          <c:extLst>
            <c:ext xmlns:c16="http://schemas.microsoft.com/office/drawing/2014/chart" uri="{C3380CC4-5D6E-409C-BE32-E72D297353CC}">
              <c16:uniqueId val="{00000007-99FA-4EF0-9517-FCD76A112AF8}"/>
            </c:ext>
          </c:extLst>
        </c:ser>
        <c:ser>
          <c:idx val="8"/>
          <c:order val="8"/>
          <c:tx>
            <c:strRef>
              <c:f>Sheet1!$J$1</c:f>
              <c:strCache>
                <c:ptCount val="1"/>
                <c:pt idx="0">
                  <c:v>4</c:v>
                </c:pt>
              </c:strCache>
            </c:strRef>
          </c:tx>
          <c:spPr>
            <a:gradFill flip="none" rotWithShape="1">
              <a:gsLst>
                <a:gs pos="0">
                  <a:schemeClr val="accent5">
                    <a:shade val="55000"/>
                  </a:schemeClr>
                </a:gs>
                <a:gs pos="75000">
                  <a:schemeClr val="accent5">
                    <a:shade val="55000"/>
                    <a:lumMod val="60000"/>
                    <a:lumOff val="40000"/>
                  </a:schemeClr>
                </a:gs>
                <a:gs pos="51000">
                  <a:schemeClr val="accent5">
                    <a:shade val="55000"/>
                    <a:alpha val="75000"/>
                  </a:schemeClr>
                </a:gs>
                <a:gs pos="100000">
                  <a:schemeClr val="accent5">
                    <a:shade val="55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Sheet1!$J$2:$J$5</c:f>
              <c:numCache>
                <c:formatCode>General</c:formatCode>
                <c:ptCount val="4"/>
                <c:pt idx="0">
                  <c:v>3</c:v>
                </c:pt>
                <c:pt idx="1">
                  <c:v>1</c:v>
                </c:pt>
              </c:numCache>
            </c:numRef>
          </c:val>
          <c:extLst>
            <c:ext xmlns:c16="http://schemas.microsoft.com/office/drawing/2014/chart" uri="{C3380CC4-5D6E-409C-BE32-E72D297353CC}">
              <c16:uniqueId val="{00000008-99FA-4EF0-9517-FCD76A112AF8}"/>
            </c:ext>
          </c:extLst>
        </c:ser>
        <c:ser>
          <c:idx val="9"/>
          <c:order val="9"/>
          <c:tx>
            <c:strRef>
              <c:f>Sheet1!$K$1</c:f>
              <c:strCache>
                <c:ptCount val="1"/>
                <c:pt idx="0">
                  <c:v>5</c:v>
                </c:pt>
              </c:strCache>
            </c:strRef>
          </c:tx>
          <c:spPr>
            <a:gradFill flip="none" rotWithShape="1">
              <a:gsLst>
                <a:gs pos="0">
                  <a:schemeClr val="accent5">
                    <a:shade val="42000"/>
                  </a:schemeClr>
                </a:gs>
                <a:gs pos="75000">
                  <a:schemeClr val="accent5">
                    <a:shade val="42000"/>
                    <a:lumMod val="60000"/>
                    <a:lumOff val="40000"/>
                  </a:schemeClr>
                </a:gs>
                <a:gs pos="51000">
                  <a:schemeClr val="accent5">
                    <a:shade val="42000"/>
                    <a:alpha val="75000"/>
                  </a:schemeClr>
                </a:gs>
                <a:gs pos="100000">
                  <a:schemeClr val="accent5">
                    <a:shade val="42000"/>
                    <a:lumMod val="20000"/>
                    <a:lumOff val="80000"/>
                    <a:alpha val="15000"/>
                  </a:schemeClr>
                </a:gs>
              </a:gsLst>
              <a:lin ang="5400000" scaled="0"/>
            </a:gradFill>
            <a:ln>
              <a:noFill/>
            </a:ln>
            <a:effectLst/>
          </c:spPr>
          <c:invertIfNegative val="0"/>
          <c:cat>
            <c:strRef>
              <c:f>Sheet1!$A$2:$A$5</c:f>
              <c:strCache>
                <c:ptCount val="4"/>
                <c:pt idx="0">
                  <c:v>WSSR</c:v>
                </c:pt>
                <c:pt idx="1">
                  <c:v>SSSR</c:v>
                </c:pt>
                <c:pt idx="2">
                  <c:v>WSSS</c:v>
                </c:pt>
                <c:pt idx="3">
                  <c:v>SSSS</c:v>
                </c:pt>
              </c:strCache>
            </c:strRef>
          </c:cat>
          <c:val>
            <c:numRef>
              <c:f>Sheet1!$K$2:$K$5</c:f>
              <c:numCache>
                <c:formatCode>General</c:formatCode>
                <c:ptCount val="4"/>
                <c:pt idx="0">
                  <c:v>0</c:v>
                </c:pt>
                <c:pt idx="1">
                  <c:v>1</c:v>
                </c:pt>
                <c:pt idx="2">
                  <c:v>1</c:v>
                </c:pt>
                <c:pt idx="3">
                  <c:v>2</c:v>
                </c:pt>
              </c:numCache>
            </c:numRef>
          </c:val>
          <c:extLst>
            <c:ext xmlns:c16="http://schemas.microsoft.com/office/drawing/2014/chart" uri="{C3380CC4-5D6E-409C-BE32-E72D297353CC}">
              <c16:uniqueId val="{00000009-99FA-4EF0-9517-FCD76A112AF8}"/>
            </c:ext>
          </c:extLst>
        </c:ser>
        <c:dLbls>
          <c:showLegendKey val="0"/>
          <c:showVal val="0"/>
          <c:showCatName val="0"/>
          <c:showSerName val="0"/>
          <c:showPercent val="0"/>
          <c:showBubbleSize val="0"/>
        </c:dLbls>
        <c:gapWidth val="355"/>
        <c:overlap val="-70"/>
        <c:axId val="1723419680"/>
        <c:axId val="1723421760"/>
      </c:barChart>
      <c:catAx>
        <c:axId val="172341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3421760"/>
        <c:crosses val="autoZero"/>
        <c:auto val="1"/>
        <c:lblAlgn val="ctr"/>
        <c:lblOffset val="100"/>
        <c:noMultiLvlLbl val="0"/>
      </c:catAx>
      <c:valAx>
        <c:axId val="1723421760"/>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341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04E435E-BEFE-44D0-9420-A41F6A617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98</Pages>
  <Words>19907</Words>
  <Characters>113475</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Boa Steiner (1811470)</dc:creator>
  <cp:keywords/>
  <dc:description/>
  <cp:lastModifiedBy>Iza Boa Steiner (1811470)</cp:lastModifiedBy>
  <cp:revision>6</cp:revision>
  <dcterms:created xsi:type="dcterms:W3CDTF">2022-04-25T16:05:00Z</dcterms:created>
  <dcterms:modified xsi:type="dcterms:W3CDTF">2022-04-25T16:47:00Z</dcterms:modified>
</cp:coreProperties>
</file>