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6FBDF" w14:textId="77777777" w:rsidR="002C07E0" w:rsidRDefault="002C07E0" w:rsidP="002C07E0">
      <w:pPr>
        <w:spacing w:before="100" w:beforeAutospacing="1" w:after="100" w:afterAutospacing="1" w:line="360" w:lineRule="auto"/>
        <w:jc w:val="both"/>
        <w:outlineLvl w:val="1"/>
        <w:rPr>
          <w:rFonts w:ascii="Arial" w:eastAsia="Times New Roman" w:hAnsi="Arial" w:cs="Arial"/>
          <w:b/>
          <w:bCs/>
        </w:rPr>
      </w:pPr>
    </w:p>
    <w:p w14:paraId="7B896DB4" w14:textId="77777777" w:rsidR="002C07E0" w:rsidRDefault="002C07E0" w:rsidP="002C07E0">
      <w:pPr>
        <w:spacing w:before="100" w:beforeAutospacing="1" w:after="100" w:afterAutospacing="1" w:line="360" w:lineRule="auto"/>
        <w:jc w:val="both"/>
        <w:outlineLvl w:val="1"/>
        <w:rPr>
          <w:rFonts w:ascii="Arial" w:eastAsia="Times New Roman" w:hAnsi="Arial" w:cs="Arial"/>
          <w:b/>
          <w:bCs/>
        </w:rPr>
      </w:pPr>
    </w:p>
    <w:p w14:paraId="624299EF" w14:textId="77777777" w:rsidR="002C07E0" w:rsidRDefault="00123177" w:rsidP="00123177">
      <w:pPr>
        <w:spacing w:before="100" w:beforeAutospacing="1" w:after="100" w:afterAutospacing="1" w:line="360" w:lineRule="auto"/>
        <w:ind w:left="4320"/>
        <w:jc w:val="both"/>
        <w:outlineLvl w:val="1"/>
        <w:rPr>
          <w:rFonts w:ascii="Arial" w:eastAsia="Times New Roman" w:hAnsi="Arial" w:cs="Arial"/>
          <w:b/>
          <w:bCs/>
        </w:rPr>
      </w:pPr>
      <w:r>
        <w:rPr>
          <w:rFonts w:ascii="Arial" w:eastAsia="Times New Roman" w:hAnsi="Arial" w:cs="Arial"/>
          <w:b/>
          <w:bCs/>
          <w:noProof/>
        </w:rPr>
        <w:drawing>
          <wp:inline distT="0" distB="0" distL="0" distR="0" wp14:anchorId="1D52A677" wp14:editId="06C8F6C8">
            <wp:extent cx="2865120" cy="15849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5120" cy="1584960"/>
                    </a:xfrm>
                    <a:prstGeom prst="rect">
                      <a:avLst/>
                    </a:prstGeom>
                    <a:noFill/>
                  </pic:spPr>
                </pic:pic>
              </a:graphicData>
            </a:graphic>
          </wp:inline>
        </w:drawing>
      </w:r>
    </w:p>
    <w:tbl>
      <w:tblPr>
        <w:tblStyle w:val="TableGrid1"/>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282"/>
        <w:gridCol w:w="5825"/>
      </w:tblGrid>
      <w:tr w:rsidR="00123177" w:rsidRPr="00123177" w14:paraId="68C5F654" w14:textId="77777777" w:rsidTr="00A3581B">
        <w:trPr>
          <w:trHeight w:val="179"/>
          <w:jc w:val="center"/>
        </w:trPr>
        <w:tc>
          <w:tcPr>
            <w:tcW w:w="0" w:type="auto"/>
            <w:hideMark/>
          </w:tcPr>
          <w:p w14:paraId="3018564B" w14:textId="77777777" w:rsidR="00123177" w:rsidRPr="00123177" w:rsidRDefault="00123177" w:rsidP="00123177">
            <w:pPr>
              <w:spacing w:line="360" w:lineRule="auto"/>
              <w:jc w:val="both"/>
              <w:rPr>
                <w:rFonts w:ascii="Arial" w:eastAsia="Times New Roman" w:hAnsi="Arial" w:cs="Arial"/>
                <w:b/>
                <w:bCs/>
              </w:rPr>
            </w:pPr>
            <w:r w:rsidRPr="00123177">
              <w:rPr>
                <w:rFonts w:ascii="Arial" w:eastAsia="Times New Roman" w:hAnsi="Arial" w:cs="Arial"/>
                <w:b/>
                <w:bCs/>
              </w:rPr>
              <w:t>Student Name:</w:t>
            </w:r>
          </w:p>
        </w:tc>
        <w:tc>
          <w:tcPr>
            <w:tcW w:w="5825" w:type="dxa"/>
            <w:hideMark/>
          </w:tcPr>
          <w:p w14:paraId="30B34760" w14:textId="55F7275C" w:rsidR="00123177" w:rsidRPr="00C8425D" w:rsidRDefault="00C8425D" w:rsidP="00123177">
            <w:pPr>
              <w:spacing w:line="360" w:lineRule="auto"/>
              <w:jc w:val="both"/>
              <w:rPr>
                <w:rFonts w:ascii="Arial" w:eastAsia="Times New Roman" w:hAnsi="Arial" w:cs="Arial"/>
                <w:b/>
              </w:rPr>
            </w:pPr>
            <w:r>
              <w:rPr>
                <w:rFonts w:ascii="Arial" w:eastAsia="Times New Roman" w:hAnsi="Arial" w:cs="Arial"/>
                <w:b/>
              </w:rPr>
              <w:t>Aatekabanu daudmia</w:t>
            </w:r>
          </w:p>
        </w:tc>
      </w:tr>
      <w:tr w:rsidR="00123177" w:rsidRPr="00123177" w14:paraId="0ABEAB23" w14:textId="77777777" w:rsidTr="00A3581B">
        <w:trPr>
          <w:jc w:val="center"/>
        </w:trPr>
        <w:tc>
          <w:tcPr>
            <w:tcW w:w="0" w:type="auto"/>
            <w:hideMark/>
          </w:tcPr>
          <w:p w14:paraId="0D87E729" w14:textId="77777777" w:rsidR="00123177" w:rsidRPr="00123177" w:rsidRDefault="00123177" w:rsidP="00123177">
            <w:pPr>
              <w:spacing w:line="360" w:lineRule="auto"/>
              <w:jc w:val="both"/>
              <w:rPr>
                <w:rFonts w:ascii="Arial" w:eastAsia="Times New Roman" w:hAnsi="Arial" w:cs="Arial"/>
              </w:rPr>
            </w:pPr>
            <w:r w:rsidRPr="00123177">
              <w:rPr>
                <w:rFonts w:ascii="Arial" w:eastAsia="Times New Roman" w:hAnsi="Arial" w:cs="Arial"/>
                <w:b/>
                <w:bCs/>
              </w:rPr>
              <w:t>Student ID Number:</w:t>
            </w:r>
          </w:p>
        </w:tc>
        <w:tc>
          <w:tcPr>
            <w:tcW w:w="5825" w:type="dxa"/>
            <w:hideMark/>
          </w:tcPr>
          <w:p w14:paraId="31BBBFED" w14:textId="78ECA7AD" w:rsidR="00123177" w:rsidRPr="00C8425D" w:rsidRDefault="00C8425D" w:rsidP="00123177">
            <w:pPr>
              <w:spacing w:line="360" w:lineRule="auto"/>
              <w:jc w:val="both"/>
              <w:rPr>
                <w:rFonts w:ascii="Arial" w:eastAsia="Times New Roman" w:hAnsi="Arial" w:cs="Arial"/>
                <w:b/>
                <w:bCs/>
              </w:rPr>
            </w:pPr>
            <w:r>
              <w:rPr>
                <w:rFonts w:ascii="Arial" w:eastAsia="Times New Roman" w:hAnsi="Arial" w:cs="Arial"/>
                <w:b/>
                <w:bCs/>
              </w:rPr>
              <w:t>2028879</w:t>
            </w:r>
          </w:p>
        </w:tc>
      </w:tr>
      <w:tr w:rsidR="00123177" w:rsidRPr="00123177" w14:paraId="18B35549" w14:textId="77777777" w:rsidTr="00A3581B">
        <w:trPr>
          <w:jc w:val="center"/>
        </w:trPr>
        <w:tc>
          <w:tcPr>
            <w:tcW w:w="0" w:type="auto"/>
            <w:hideMark/>
          </w:tcPr>
          <w:p w14:paraId="4FB80E7E" w14:textId="77777777" w:rsidR="00123177" w:rsidRPr="00123177" w:rsidRDefault="00123177" w:rsidP="00123177">
            <w:pPr>
              <w:spacing w:line="360" w:lineRule="auto"/>
              <w:jc w:val="both"/>
              <w:rPr>
                <w:rFonts w:ascii="Arial" w:eastAsia="Times New Roman" w:hAnsi="Arial" w:cs="Arial"/>
              </w:rPr>
            </w:pPr>
            <w:r w:rsidRPr="00123177">
              <w:rPr>
                <w:rFonts w:ascii="Arial" w:eastAsia="Times New Roman" w:hAnsi="Arial" w:cs="Arial"/>
                <w:b/>
                <w:bCs/>
              </w:rPr>
              <w:t>Programme:</w:t>
            </w:r>
          </w:p>
        </w:tc>
        <w:tc>
          <w:tcPr>
            <w:tcW w:w="5825" w:type="dxa"/>
            <w:hideMark/>
          </w:tcPr>
          <w:p w14:paraId="6310DB20" w14:textId="77777777" w:rsidR="00123177" w:rsidRPr="00123177" w:rsidRDefault="00123177" w:rsidP="00123177">
            <w:pPr>
              <w:spacing w:line="360" w:lineRule="auto"/>
              <w:jc w:val="both"/>
              <w:rPr>
                <w:rFonts w:ascii="Arial" w:eastAsia="Times New Roman" w:hAnsi="Arial" w:cs="Arial"/>
              </w:rPr>
            </w:pPr>
            <w:r w:rsidRPr="00123177">
              <w:rPr>
                <w:rFonts w:ascii="Arial" w:hAnsi="Arial" w:cs="Arial"/>
                <w:b/>
              </w:rPr>
              <w:t>BSc (Hons) Health and Social Care</w:t>
            </w:r>
          </w:p>
        </w:tc>
      </w:tr>
      <w:tr w:rsidR="00123177" w:rsidRPr="00123177" w14:paraId="495072BC" w14:textId="77777777" w:rsidTr="00A3581B">
        <w:trPr>
          <w:jc w:val="center"/>
        </w:trPr>
        <w:tc>
          <w:tcPr>
            <w:tcW w:w="0" w:type="auto"/>
            <w:hideMark/>
          </w:tcPr>
          <w:p w14:paraId="32DB9242" w14:textId="77777777" w:rsidR="00123177" w:rsidRPr="00123177" w:rsidRDefault="00123177" w:rsidP="00123177">
            <w:pPr>
              <w:spacing w:line="360" w:lineRule="auto"/>
              <w:jc w:val="both"/>
              <w:rPr>
                <w:rFonts w:ascii="Arial" w:eastAsia="Times New Roman" w:hAnsi="Arial" w:cs="Arial"/>
              </w:rPr>
            </w:pPr>
            <w:r w:rsidRPr="00123177">
              <w:rPr>
                <w:rFonts w:ascii="Arial" w:eastAsia="Times New Roman" w:hAnsi="Arial" w:cs="Arial"/>
                <w:b/>
                <w:bCs/>
              </w:rPr>
              <w:t>Module Title:</w:t>
            </w:r>
          </w:p>
        </w:tc>
        <w:tc>
          <w:tcPr>
            <w:tcW w:w="5825" w:type="dxa"/>
            <w:hideMark/>
          </w:tcPr>
          <w:p w14:paraId="2C86C56B" w14:textId="77777777" w:rsidR="00123177" w:rsidRPr="00123177" w:rsidRDefault="00123177" w:rsidP="00123177">
            <w:pPr>
              <w:spacing w:line="360" w:lineRule="auto"/>
              <w:jc w:val="both"/>
              <w:rPr>
                <w:rFonts w:ascii="Arial" w:eastAsia="Times New Roman" w:hAnsi="Arial" w:cs="Arial"/>
              </w:rPr>
            </w:pPr>
            <w:r w:rsidRPr="00123177">
              <w:rPr>
                <w:rFonts w:ascii="Arial" w:hAnsi="Arial" w:cs="Arial"/>
                <w:b/>
                <w:bCs/>
              </w:rPr>
              <w:t>Health, Wellbeing and Sustainable Development</w:t>
            </w:r>
          </w:p>
        </w:tc>
      </w:tr>
      <w:tr w:rsidR="00123177" w:rsidRPr="00123177" w14:paraId="5B479B84" w14:textId="77777777" w:rsidTr="00A3581B">
        <w:trPr>
          <w:jc w:val="center"/>
        </w:trPr>
        <w:tc>
          <w:tcPr>
            <w:tcW w:w="0" w:type="auto"/>
            <w:hideMark/>
          </w:tcPr>
          <w:p w14:paraId="2E4E8079" w14:textId="77777777" w:rsidR="00123177" w:rsidRPr="00123177" w:rsidRDefault="00123177" w:rsidP="00123177">
            <w:pPr>
              <w:spacing w:line="360" w:lineRule="auto"/>
              <w:jc w:val="both"/>
              <w:rPr>
                <w:rFonts w:ascii="Arial" w:eastAsia="Times New Roman" w:hAnsi="Arial" w:cs="Arial"/>
              </w:rPr>
            </w:pPr>
            <w:r w:rsidRPr="00123177">
              <w:rPr>
                <w:rFonts w:ascii="Arial" w:eastAsia="Times New Roman" w:hAnsi="Arial" w:cs="Arial"/>
                <w:b/>
                <w:bCs/>
              </w:rPr>
              <w:t>Module Code:</w:t>
            </w:r>
          </w:p>
        </w:tc>
        <w:tc>
          <w:tcPr>
            <w:tcW w:w="5825" w:type="dxa"/>
            <w:hideMark/>
          </w:tcPr>
          <w:p w14:paraId="14A36432" w14:textId="77777777" w:rsidR="00123177" w:rsidRPr="00123177" w:rsidRDefault="00123177" w:rsidP="00123177">
            <w:pPr>
              <w:spacing w:line="360" w:lineRule="auto"/>
              <w:jc w:val="both"/>
              <w:rPr>
                <w:rFonts w:ascii="Arial" w:eastAsia="Times New Roman" w:hAnsi="Arial" w:cs="Arial"/>
              </w:rPr>
            </w:pPr>
            <w:r w:rsidRPr="00123177">
              <w:rPr>
                <w:rFonts w:ascii="Arial" w:hAnsi="Arial" w:cs="Arial"/>
                <w:b/>
              </w:rPr>
              <w:t>BMHP6030</w:t>
            </w:r>
          </w:p>
        </w:tc>
      </w:tr>
      <w:tr w:rsidR="00123177" w:rsidRPr="00123177" w14:paraId="18327304" w14:textId="77777777" w:rsidTr="00A3581B">
        <w:trPr>
          <w:jc w:val="center"/>
        </w:trPr>
        <w:tc>
          <w:tcPr>
            <w:tcW w:w="0" w:type="auto"/>
            <w:hideMark/>
          </w:tcPr>
          <w:p w14:paraId="6526107C" w14:textId="77777777" w:rsidR="00123177" w:rsidRPr="00123177" w:rsidRDefault="00123177" w:rsidP="00123177">
            <w:pPr>
              <w:spacing w:line="360" w:lineRule="auto"/>
              <w:jc w:val="both"/>
              <w:rPr>
                <w:rFonts w:ascii="Arial" w:eastAsia="Times New Roman" w:hAnsi="Arial" w:cs="Arial"/>
              </w:rPr>
            </w:pPr>
            <w:r w:rsidRPr="00123177">
              <w:rPr>
                <w:rFonts w:ascii="Arial" w:eastAsia="Times New Roman" w:hAnsi="Arial" w:cs="Arial"/>
                <w:b/>
                <w:bCs/>
              </w:rPr>
              <w:t>Lecturer:</w:t>
            </w:r>
          </w:p>
        </w:tc>
        <w:tc>
          <w:tcPr>
            <w:tcW w:w="5825" w:type="dxa"/>
            <w:hideMark/>
          </w:tcPr>
          <w:p w14:paraId="005356B8" w14:textId="1B6DB41D" w:rsidR="00123177" w:rsidRPr="00605276" w:rsidRDefault="00605276" w:rsidP="00123177">
            <w:pPr>
              <w:spacing w:line="360" w:lineRule="auto"/>
              <w:jc w:val="both"/>
              <w:rPr>
                <w:rFonts w:ascii="Arial" w:eastAsia="Times New Roman" w:hAnsi="Arial" w:cs="Arial"/>
                <w:b/>
                <w:bCs/>
              </w:rPr>
            </w:pPr>
            <w:r>
              <w:rPr>
                <w:rFonts w:ascii="Arial" w:eastAsia="Times New Roman" w:hAnsi="Arial" w:cs="Arial"/>
                <w:b/>
                <w:bCs/>
              </w:rPr>
              <w:t>Paresa Ahmed</w:t>
            </w:r>
          </w:p>
        </w:tc>
      </w:tr>
      <w:tr w:rsidR="00123177" w:rsidRPr="00123177" w14:paraId="366AB196" w14:textId="77777777" w:rsidTr="00A3581B">
        <w:trPr>
          <w:jc w:val="center"/>
        </w:trPr>
        <w:tc>
          <w:tcPr>
            <w:tcW w:w="0" w:type="auto"/>
            <w:hideMark/>
          </w:tcPr>
          <w:p w14:paraId="62730D56" w14:textId="77777777" w:rsidR="00123177" w:rsidRPr="00123177" w:rsidRDefault="00123177" w:rsidP="00123177">
            <w:pPr>
              <w:spacing w:line="360" w:lineRule="auto"/>
              <w:jc w:val="both"/>
              <w:rPr>
                <w:rFonts w:ascii="Arial" w:eastAsia="Times New Roman" w:hAnsi="Arial" w:cs="Arial"/>
              </w:rPr>
            </w:pPr>
            <w:r w:rsidRPr="00123177">
              <w:rPr>
                <w:rFonts w:ascii="Arial" w:eastAsia="Times New Roman" w:hAnsi="Arial" w:cs="Arial"/>
                <w:b/>
                <w:bCs/>
              </w:rPr>
              <w:t>Internal Verifier:</w:t>
            </w:r>
          </w:p>
        </w:tc>
        <w:tc>
          <w:tcPr>
            <w:tcW w:w="5825" w:type="dxa"/>
            <w:hideMark/>
          </w:tcPr>
          <w:p w14:paraId="72D37CE1" w14:textId="77777777" w:rsidR="00123177" w:rsidRPr="00123177" w:rsidRDefault="00123177" w:rsidP="00123177">
            <w:pPr>
              <w:spacing w:line="360" w:lineRule="auto"/>
              <w:jc w:val="both"/>
              <w:rPr>
                <w:rFonts w:ascii="Arial" w:eastAsia="Times New Roman" w:hAnsi="Arial" w:cs="Arial"/>
              </w:rPr>
            </w:pPr>
            <w:r w:rsidRPr="00123177">
              <w:rPr>
                <w:rFonts w:ascii="Arial" w:hAnsi="Arial" w:cs="Arial"/>
                <w:b/>
                <w:bCs/>
              </w:rPr>
              <w:t>Bianca Sanfilippo</w:t>
            </w:r>
          </w:p>
        </w:tc>
      </w:tr>
      <w:tr w:rsidR="00123177" w:rsidRPr="00123177" w14:paraId="72F195A0" w14:textId="77777777" w:rsidTr="00A3581B">
        <w:trPr>
          <w:jc w:val="center"/>
        </w:trPr>
        <w:tc>
          <w:tcPr>
            <w:tcW w:w="0" w:type="auto"/>
            <w:hideMark/>
          </w:tcPr>
          <w:p w14:paraId="362B85E9" w14:textId="77777777" w:rsidR="00123177" w:rsidRPr="00123177" w:rsidRDefault="00123177" w:rsidP="00123177">
            <w:pPr>
              <w:spacing w:line="360" w:lineRule="auto"/>
              <w:jc w:val="both"/>
              <w:rPr>
                <w:rFonts w:ascii="Arial" w:eastAsia="Times New Roman" w:hAnsi="Arial" w:cs="Arial"/>
              </w:rPr>
            </w:pPr>
            <w:r w:rsidRPr="00123177">
              <w:rPr>
                <w:rFonts w:ascii="Arial" w:eastAsia="Times New Roman" w:hAnsi="Arial" w:cs="Arial"/>
                <w:b/>
                <w:bCs/>
              </w:rPr>
              <w:t>Assignment Title:</w:t>
            </w:r>
          </w:p>
        </w:tc>
        <w:tc>
          <w:tcPr>
            <w:tcW w:w="5825" w:type="dxa"/>
            <w:hideMark/>
          </w:tcPr>
          <w:p w14:paraId="3EBCFAE2" w14:textId="77777777" w:rsidR="00123177" w:rsidRPr="00123177" w:rsidRDefault="00123177" w:rsidP="00123177">
            <w:pPr>
              <w:spacing w:line="360" w:lineRule="auto"/>
              <w:jc w:val="both"/>
              <w:rPr>
                <w:rFonts w:ascii="Arial" w:eastAsia="Times New Roman" w:hAnsi="Arial" w:cs="Arial"/>
                <w:b/>
              </w:rPr>
            </w:pPr>
            <w:r w:rsidRPr="00123177">
              <w:rPr>
                <w:rFonts w:ascii="Arial" w:hAnsi="Arial" w:cs="Arial"/>
                <w:b/>
              </w:rPr>
              <w:t>“SDG 3 and SDG 13: Evaluating Health, Wellbeing, and Sustainability Policies Globally, Nationally, and Locally”</w:t>
            </w:r>
          </w:p>
        </w:tc>
      </w:tr>
    </w:tbl>
    <w:p w14:paraId="3906200C" w14:textId="77777777" w:rsidR="002C07E0" w:rsidRDefault="002C07E0" w:rsidP="002C07E0">
      <w:pPr>
        <w:spacing w:before="100" w:beforeAutospacing="1" w:after="100" w:afterAutospacing="1" w:line="360" w:lineRule="auto"/>
        <w:jc w:val="both"/>
        <w:outlineLvl w:val="1"/>
        <w:rPr>
          <w:rFonts w:ascii="Arial" w:eastAsia="Times New Roman" w:hAnsi="Arial" w:cs="Arial"/>
          <w:b/>
          <w:bCs/>
        </w:rPr>
      </w:pPr>
    </w:p>
    <w:p w14:paraId="3B084F0A" w14:textId="77777777" w:rsidR="002C07E0" w:rsidRDefault="002C07E0" w:rsidP="002C07E0">
      <w:pPr>
        <w:spacing w:before="100" w:beforeAutospacing="1" w:after="100" w:afterAutospacing="1" w:line="360" w:lineRule="auto"/>
        <w:jc w:val="both"/>
        <w:outlineLvl w:val="1"/>
        <w:rPr>
          <w:rFonts w:ascii="Arial" w:eastAsia="Times New Roman" w:hAnsi="Arial" w:cs="Arial"/>
          <w:b/>
          <w:bCs/>
        </w:rPr>
      </w:pPr>
    </w:p>
    <w:p w14:paraId="48CD14F0" w14:textId="77777777" w:rsidR="002C07E0" w:rsidRDefault="002C07E0" w:rsidP="002C07E0">
      <w:pPr>
        <w:spacing w:before="100" w:beforeAutospacing="1" w:after="100" w:afterAutospacing="1" w:line="360" w:lineRule="auto"/>
        <w:jc w:val="both"/>
        <w:outlineLvl w:val="1"/>
        <w:rPr>
          <w:rFonts w:ascii="Arial" w:eastAsia="Times New Roman" w:hAnsi="Arial" w:cs="Arial"/>
          <w:b/>
          <w:bCs/>
        </w:rPr>
      </w:pPr>
    </w:p>
    <w:p w14:paraId="7EA92103" w14:textId="77777777" w:rsidR="002C07E0" w:rsidRDefault="002C07E0" w:rsidP="002C07E0">
      <w:pPr>
        <w:spacing w:before="100" w:beforeAutospacing="1" w:after="100" w:afterAutospacing="1" w:line="360" w:lineRule="auto"/>
        <w:jc w:val="both"/>
        <w:outlineLvl w:val="1"/>
        <w:rPr>
          <w:rFonts w:ascii="Arial" w:eastAsia="Times New Roman" w:hAnsi="Arial" w:cs="Arial"/>
          <w:b/>
          <w:bCs/>
        </w:rPr>
      </w:pPr>
    </w:p>
    <w:p w14:paraId="39646A86" w14:textId="77777777" w:rsidR="002C07E0" w:rsidRDefault="002C07E0" w:rsidP="002C07E0">
      <w:pPr>
        <w:spacing w:before="100" w:beforeAutospacing="1" w:after="100" w:afterAutospacing="1" w:line="360" w:lineRule="auto"/>
        <w:jc w:val="both"/>
        <w:outlineLvl w:val="1"/>
        <w:rPr>
          <w:rFonts w:ascii="Arial" w:eastAsia="Times New Roman" w:hAnsi="Arial" w:cs="Arial"/>
          <w:b/>
          <w:bCs/>
        </w:rPr>
      </w:pPr>
    </w:p>
    <w:p w14:paraId="5C5768E0" w14:textId="77777777" w:rsidR="002C07E0" w:rsidRDefault="002C07E0" w:rsidP="002C07E0">
      <w:pPr>
        <w:spacing w:before="100" w:beforeAutospacing="1" w:after="100" w:afterAutospacing="1" w:line="360" w:lineRule="auto"/>
        <w:jc w:val="both"/>
        <w:outlineLvl w:val="1"/>
        <w:rPr>
          <w:rFonts w:ascii="Arial" w:eastAsia="Times New Roman" w:hAnsi="Arial" w:cs="Arial"/>
          <w:b/>
          <w:bCs/>
        </w:rPr>
      </w:pPr>
    </w:p>
    <w:p w14:paraId="205F3D2F" w14:textId="77777777" w:rsidR="002C07E0" w:rsidRDefault="002C07E0" w:rsidP="002C07E0">
      <w:pPr>
        <w:spacing w:before="100" w:beforeAutospacing="1" w:after="100" w:afterAutospacing="1" w:line="360" w:lineRule="auto"/>
        <w:jc w:val="both"/>
        <w:outlineLvl w:val="1"/>
        <w:rPr>
          <w:rFonts w:ascii="Arial" w:eastAsia="Times New Roman" w:hAnsi="Arial" w:cs="Arial"/>
          <w:b/>
          <w:bCs/>
        </w:rPr>
      </w:pPr>
    </w:p>
    <w:p w14:paraId="00BAE575" w14:textId="77777777" w:rsidR="002C07E0" w:rsidRDefault="002C07E0" w:rsidP="002C07E0">
      <w:pPr>
        <w:spacing w:before="100" w:beforeAutospacing="1" w:after="100" w:afterAutospacing="1" w:line="360" w:lineRule="auto"/>
        <w:jc w:val="both"/>
        <w:outlineLvl w:val="1"/>
        <w:rPr>
          <w:rFonts w:ascii="Arial" w:eastAsia="Times New Roman" w:hAnsi="Arial" w:cs="Arial"/>
          <w:b/>
          <w:bCs/>
        </w:rPr>
      </w:pPr>
    </w:p>
    <w:p w14:paraId="1D016185" w14:textId="77777777" w:rsidR="00875365" w:rsidRPr="00875365" w:rsidRDefault="00875365" w:rsidP="00875365">
      <w:pPr>
        <w:spacing w:before="100" w:beforeAutospacing="1" w:after="100" w:afterAutospacing="1" w:line="240" w:lineRule="auto"/>
        <w:rPr>
          <w:rFonts w:ascii="Arial" w:eastAsia="Times New Roman" w:hAnsi="Arial" w:cs="Arial"/>
          <w:sz w:val="28"/>
          <w:szCs w:val="28"/>
        </w:rPr>
      </w:pPr>
      <w:r w:rsidRPr="00875365">
        <w:rPr>
          <w:rFonts w:ascii="Arial" w:eastAsia="Times New Roman" w:hAnsi="Arial" w:cs="Arial"/>
          <w:b/>
          <w:bCs/>
          <w:sz w:val="28"/>
          <w:szCs w:val="28"/>
        </w:rPr>
        <w:t>Table of Contents</w:t>
      </w:r>
    </w:p>
    <w:p w14:paraId="5906DEA4" w14:textId="77777777" w:rsidR="00875365" w:rsidRPr="00875365" w:rsidRDefault="00875365" w:rsidP="00875365">
      <w:pPr>
        <w:numPr>
          <w:ilvl w:val="0"/>
          <w:numId w:val="2"/>
        </w:numPr>
        <w:spacing w:before="100" w:beforeAutospacing="1" w:after="100" w:afterAutospacing="1" w:line="240" w:lineRule="auto"/>
        <w:rPr>
          <w:rFonts w:ascii="Arial" w:eastAsia="Times New Roman" w:hAnsi="Arial" w:cs="Arial"/>
          <w:sz w:val="28"/>
          <w:szCs w:val="28"/>
        </w:rPr>
      </w:pPr>
      <w:r w:rsidRPr="00875365">
        <w:rPr>
          <w:rFonts w:ascii="Arial" w:eastAsia="Times New Roman" w:hAnsi="Arial" w:cs="Arial"/>
          <w:b/>
          <w:bCs/>
          <w:sz w:val="28"/>
          <w:szCs w:val="28"/>
        </w:rPr>
        <w:t>Introduction</w:t>
      </w:r>
      <w:r w:rsidRPr="00875365">
        <w:rPr>
          <w:rFonts w:ascii="Arial" w:eastAsia="Times New Roman" w:hAnsi="Arial" w:cs="Arial"/>
          <w:sz w:val="28"/>
          <w:szCs w:val="28"/>
        </w:rPr>
        <w:t xml:space="preserve"> ............................................</w:t>
      </w:r>
      <w:r>
        <w:rPr>
          <w:rFonts w:ascii="Arial" w:eastAsia="Times New Roman" w:hAnsi="Arial" w:cs="Arial"/>
          <w:sz w:val="28"/>
          <w:szCs w:val="28"/>
        </w:rPr>
        <w:t>.......................................... 3</w:t>
      </w:r>
    </w:p>
    <w:p w14:paraId="77982F2D" w14:textId="77777777" w:rsidR="00875365" w:rsidRPr="00875365" w:rsidRDefault="00875365" w:rsidP="00875365">
      <w:pPr>
        <w:numPr>
          <w:ilvl w:val="0"/>
          <w:numId w:val="2"/>
        </w:numPr>
        <w:spacing w:before="100" w:beforeAutospacing="1" w:after="100" w:afterAutospacing="1" w:line="240" w:lineRule="auto"/>
        <w:rPr>
          <w:rFonts w:ascii="Arial" w:eastAsia="Times New Roman" w:hAnsi="Arial" w:cs="Arial"/>
          <w:sz w:val="28"/>
          <w:szCs w:val="28"/>
        </w:rPr>
      </w:pPr>
      <w:r w:rsidRPr="00875365">
        <w:rPr>
          <w:rFonts w:ascii="Arial" w:eastAsia="Times New Roman" w:hAnsi="Arial" w:cs="Arial"/>
          <w:b/>
          <w:bCs/>
          <w:sz w:val="28"/>
          <w:szCs w:val="28"/>
        </w:rPr>
        <w:t>SDG and Policy Context</w:t>
      </w:r>
      <w:r w:rsidRPr="00875365">
        <w:rPr>
          <w:rFonts w:ascii="Arial" w:eastAsia="Times New Roman" w:hAnsi="Arial" w:cs="Arial"/>
          <w:sz w:val="28"/>
          <w:szCs w:val="28"/>
        </w:rPr>
        <w:t xml:space="preserve"> ................................</w:t>
      </w:r>
      <w:r>
        <w:rPr>
          <w:rFonts w:ascii="Arial" w:eastAsia="Times New Roman" w:hAnsi="Arial" w:cs="Arial"/>
          <w:sz w:val="28"/>
          <w:szCs w:val="28"/>
        </w:rPr>
        <w:t>................................. 4</w:t>
      </w:r>
    </w:p>
    <w:p w14:paraId="2456C1AB" w14:textId="77777777" w:rsidR="00875365" w:rsidRPr="00875365" w:rsidRDefault="00875365" w:rsidP="00875365">
      <w:pPr>
        <w:numPr>
          <w:ilvl w:val="0"/>
          <w:numId w:val="2"/>
        </w:numPr>
        <w:spacing w:before="100" w:beforeAutospacing="1" w:after="100" w:afterAutospacing="1" w:line="240" w:lineRule="auto"/>
        <w:rPr>
          <w:rFonts w:ascii="Arial" w:eastAsia="Times New Roman" w:hAnsi="Arial" w:cs="Arial"/>
          <w:sz w:val="28"/>
          <w:szCs w:val="28"/>
        </w:rPr>
      </w:pPr>
      <w:r w:rsidRPr="00875365">
        <w:rPr>
          <w:rFonts w:ascii="Arial" w:eastAsia="Times New Roman" w:hAnsi="Arial" w:cs="Arial"/>
          <w:b/>
          <w:bCs/>
          <w:sz w:val="28"/>
          <w:szCs w:val="28"/>
        </w:rPr>
        <w:t>Global Policy Analysis</w:t>
      </w:r>
      <w:r w:rsidRPr="00875365">
        <w:rPr>
          <w:rFonts w:ascii="Arial" w:eastAsia="Times New Roman" w:hAnsi="Arial" w:cs="Arial"/>
          <w:sz w:val="28"/>
          <w:szCs w:val="28"/>
        </w:rPr>
        <w:t xml:space="preserve"> .................................</w:t>
      </w:r>
      <w:r>
        <w:rPr>
          <w:rFonts w:ascii="Arial" w:eastAsia="Times New Roman" w:hAnsi="Arial" w:cs="Arial"/>
          <w:sz w:val="28"/>
          <w:szCs w:val="28"/>
        </w:rPr>
        <w:t>................................... 5</w:t>
      </w:r>
    </w:p>
    <w:p w14:paraId="2F507B63" w14:textId="77777777" w:rsidR="00875365" w:rsidRPr="00875365" w:rsidRDefault="00875365" w:rsidP="00875365">
      <w:pPr>
        <w:numPr>
          <w:ilvl w:val="0"/>
          <w:numId w:val="2"/>
        </w:numPr>
        <w:spacing w:before="100" w:beforeAutospacing="1" w:after="100" w:afterAutospacing="1" w:line="240" w:lineRule="auto"/>
        <w:rPr>
          <w:rFonts w:ascii="Arial" w:eastAsia="Times New Roman" w:hAnsi="Arial" w:cs="Arial"/>
          <w:sz w:val="28"/>
          <w:szCs w:val="28"/>
        </w:rPr>
      </w:pPr>
      <w:r w:rsidRPr="00875365">
        <w:rPr>
          <w:rFonts w:ascii="Arial" w:eastAsia="Times New Roman" w:hAnsi="Arial" w:cs="Arial"/>
          <w:b/>
          <w:bCs/>
          <w:sz w:val="28"/>
          <w:szCs w:val="28"/>
        </w:rPr>
        <w:t>UK National Evaluation</w:t>
      </w:r>
      <w:r w:rsidRPr="00875365">
        <w:rPr>
          <w:rFonts w:ascii="Arial" w:eastAsia="Times New Roman" w:hAnsi="Arial" w:cs="Arial"/>
          <w:sz w:val="28"/>
          <w:szCs w:val="28"/>
        </w:rPr>
        <w:t xml:space="preserve"> ................................</w:t>
      </w:r>
      <w:r>
        <w:rPr>
          <w:rFonts w:ascii="Arial" w:eastAsia="Times New Roman" w:hAnsi="Arial" w:cs="Arial"/>
          <w:sz w:val="28"/>
          <w:szCs w:val="28"/>
        </w:rPr>
        <w:t>................................... 5</w:t>
      </w:r>
    </w:p>
    <w:p w14:paraId="3D9A5CA2" w14:textId="77777777" w:rsidR="00875365" w:rsidRPr="00875365" w:rsidRDefault="00875365" w:rsidP="00875365">
      <w:pPr>
        <w:numPr>
          <w:ilvl w:val="0"/>
          <w:numId w:val="2"/>
        </w:numPr>
        <w:spacing w:before="100" w:beforeAutospacing="1" w:after="100" w:afterAutospacing="1" w:line="240" w:lineRule="auto"/>
        <w:rPr>
          <w:rFonts w:ascii="Arial" w:eastAsia="Times New Roman" w:hAnsi="Arial" w:cs="Arial"/>
          <w:sz w:val="28"/>
          <w:szCs w:val="28"/>
        </w:rPr>
      </w:pPr>
      <w:r w:rsidRPr="00875365">
        <w:rPr>
          <w:rFonts w:ascii="Arial" w:eastAsia="Times New Roman" w:hAnsi="Arial" w:cs="Arial"/>
          <w:b/>
          <w:bCs/>
          <w:sz w:val="28"/>
          <w:szCs w:val="28"/>
        </w:rPr>
        <w:t>Greater Manchester ICS and Local Context</w:t>
      </w:r>
      <w:r w:rsidRPr="00875365">
        <w:rPr>
          <w:rFonts w:ascii="Arial" w:eastAsia="Times New Roman" w:hAnsi="Arial" w:cs="Arial"/>
          <w:sz w:val="28"/>
          <w:szCs w:val="28"/>
        </w:rPr>
        <w:t xml:space="preserve"> .......</w:t>
      </w:r>
      <w:r>
        <w:rPr>
          <w:rFonts w:ascii="Arial" w:eastAsia="Times New Roman" w:hAnsi="Arial" w:cs="Arial"/>
          <w:sz w:val="28"/>
          <w:szCs w:val="28"/>
        </w:rPr>
        <w:t>........................... 7</w:t>
      </w:r>
    </w:p>
    <w:p w14:paraId="65E07A42" w14:textId="77777777" w:rsidR="00875365" w:rsidRPr="00875365" w:rsidRDefault="00875365" w:rsidP="00875365">
      <w:pPr>
        <w:numPr>
          <w:ilvl w:val="0"/>
          <w:numId w:val="2"/>
        </w:numPr>
        <w:spacing w:before="100" w:beforeAutospacing="1" w:after="100" w:afterAutospacing="1" w:line="240" w:lineRule="auto"/>
        <w:rPr>
          <w:rFonts w:ascii="Arial" w:eastAsia="Times New Roman" w:hAnsi="Arial" w:cs="Arial"/>
          <w:sz w:val="28"/>
          <w:szCs w:val="28"/>
        </w:rPr>
      </w:pPr>
      <w:r w:rsidRPr="00875365">
        <w:rPr>
          <w:rFonts w:ascii="Arial" w:eastAsia="Times New Roman" w:hAnsi="Arial" w:cs="Arial"/>
          <w:b/>
          <w:bCs/>
          <w:sz w:val="28"/>
          <w:szCs w:val="28"/>
        </w:rPr>
        <w:t>Recommendations</w:t>
      </w:r>
      <w:r w:rsidRPr="00875365">
        <w:rPr>
          <w:rFonts w:ascii="Arial" w:eastAsia="Times New Roman" w:hAnsi="Arial" w:cs="Arial"/>
          <w:sz w:val="28"/>
          <w:szCs w:val="28"/>
        </w:rPr>
        <w:t xml:space="preserve"> .....................................</w:t>
      </w:r>
      <w:r>
        <w:rPr>
          <w:rFonts w:ascii="Arial" w:eastAsia="Times New Roman" w:hAnsi="Arial" w:cs="Arial"/>
          <w:sz w:val="28"/>
          <w:szCs w:val="28"/>
        </w:rPr>
        <w:t>..................................... 8</w:t>
      </w:r>
    </w:p>
    <w:p w14:paraId="6FBF13C9" w14:textId="77777777" w:rsidR="00875365" w:rsidRPr="00875365" w:rsidRDefault="00875365" w:rsidP="00875365">
      <w:pPr>
        <w:numPr>
          <w:ilvl w:val="0"/>
          <w:numId w:val="2"/>
        </w:numPr>
        <w:spacing w:before="100" w:beforeAutospacing="1" w:after="100" w:afterAutospacing="1" w:line="240" w:lineRule="auto"/>
        <w:rPr>
          <w:rFonts w:ascii="Arial" w:eastAsia="Times New Roman" w:hAnsi="Arial" w:cs="Arial"/>
          <w:sz w:val="28"/>
          <w:szCs w:val="28"/>
        </w:rPr>
      </w:pPr>
      <w:r w:rsidRPr="00875365">
        <w:rPr>
          <w:rFonts w:ascii="Arial" w:eastAsia="Times New Roman" w:hAnsi="Arial" w:cs="Arial"/>
          <w:b/>
          <w:bCs/>
          <w:sz w:val="28"/>
          <w:szCs w:val="28"/>
        </w:rPr>
        <w:t>Conclusion</w:t>
      </w:r>
      <w:r w:rsidRPr="00875365">
        <w:rPr>
          <w:rFonts w:ascii="Arial" w:eastAsia="Times New Roman" w:hAnsi="Arial" w:cs="Arial"/>
          <w:sz w:val="28"/>
          <w:szCs w:val="28"/>
        </w:rPr>
        <w:t xml:space="preserve"> ................................................</w:t>
      </w:r>
      <w:r>
        <w:rPr>
          <w:rFonts w:ascii="Arial" w:eastAsia="Times New Roman" w:hAnsi="Arial" w:cs="Arial"/>
          <w:sz w:val="28"/>
          <w:szCs w:val="28"/>
        </w:rPr>
        <w:t xml:space="preserve">........................................9 </w:t>
      </w:r>
    </w:p>
    <w:p w14:paraId="1066EFBF" w14:textId="77777777" w:rsidR="00875365" w:rsidRPr="00875365" w:rsidRDefault="00875365" w:rsidP="00875365">
      <w:pPr>
        <w:numPr>
          <w:ilvl w:val="0"/>
          <w:numId w:val="2"/>
        </w:numPr>
        <w:spacing w:before="100" w:beforeAutospacing="1" w:after="100" w:afterAutospacing="1" w:line="240" w:lineRule="auto"/>
        <w:rPr>
          <w:rFonts w:ascii="Arial" w:eastAsia="Times New Roman" w:hAnsi="Arial" w:cs="Arial"/>
          <w:sz w:val="28"/>
          <w:szCs w:val="28"/>
        </w:rPr>
      </w:pPr>
      <w:r w:rsidRPr="00875365">
        <w:rPr>
          <w:rFonts w:ascii="Arial" w:eastAsia="Times New Roman" w:hAnsi="Arial" w:cs="Arial"/>
          <w:b/>
          <w:bCs/>
          <w:sz w:val="28"/>
          <w:szCs w:val="28"/>
        </w:rPr>
        <w:t>References</w:t>
      </w:r>
      <w:r w:rsidRPr="00875365">
        <w:rPr>
          <w:rFonts w:ascii="Arial" w:eastAsia="Times New Roman" w:hAnsi="Arial" w:cs="Arial"/>
          <w:sz w:val="28"/>
          <w:szCs w:val="28"/>
        </w:rPr>
        <w:t xml:space="preserve"> ................................................</w:t>
      </w:r>
      <w:r>
        <w:rPr>
          <w:rFonts w:ascii="Arial" w:eastAsia="Times New Roman" w:hAnsi="Arial" w:cs="Arial"/>
          <w:sz w:val="28"/>
          <w:szCs w:val="28"/>
        </w:rPr>
        <w:t>..................................... 11</w:t>
      </w:r>
    </w:p>
    <w:p w14:paraId="58083140" w14:textId="77777777" w:rsidR="002C07E0" w:rsidRDefault="002C07E0" w:rsidP="002C07E0">
      <w:pPr>
        <w:spacing w:before="100" w:beforeAutospacing="1" w:after="100" w:afterAutospacing="1" w:line="360" w:lineRule="auto"/>
        <w:jc w:val="both"/>
        <w:outlineLvl w:val="1"/>
        <w:rPr>
          <w:rFonts w:ascii="Arial" w:eastAsia="Times New Roman" w:hAnsi="Arial" w:cs="Arial"/>
          <w:b/>
          <w:bCs/>
        </w:rPr>
      </w:pPr>
    </w:p>
    <w:p w14:paraId="4D564D4D" w14:textId="77777777" w:rsidR="002C07E0" w:rsidRDefault="002C07E0" w:rsidP="002C07E0">
      <w:pPr>
        <w:spacing w:before="100" w:beforeAutospacing="1" w:after="100" w:afterAutospacing="1" w:line="360" w:lineRule="auto"/>
        <w:jc w:val="both"/>
        <w:outlineLvl w:val="1"/>
        <w:rPr>
          <w:rFonts w:ascii="Arial" w:eastAsia="Times New Roman" w:hAnsi="Arial" w:cs="Arial"/>
          <w:b/>
          <w:bCs/>
        </w:rPr>
      </w:pPr>
    </w:p>
    <w:p w14:paraId="02E04FC7" w14:textId="77777777" w:rsidR="002C07E0" w:rsidRDefault="002C07E0" w:rsidP="002C07E0">
      <w:pPr>
        <w:spacing w:before="100" w:beforeAutospacing="1" w:after="100" w:afterAutospacing="1" w:line="360" w:lineRule="auto"/>
        <w:jc w:val="both"/>
        <w:outlineLvl w:val="1"/>
        <w:rPr>
          <w:rFonts w:ascii="Arial" w:eastAsia="Times New Roman" w:hAnsi="Arial" w:cs="Arial"/>
          <w:b/>
          <w:bCs/>
        </w:rPr>
      </w:pPr>
    </w:p>
    <w:p w14:paraId="72613FBC" w14:textId="77777777" w:rsidR="002C07E0" w:rsidRDefault="002C07E0" w:rsidP="002C07E0">
      <w:pPr>
        <w:spacing w:before="100" w:beforeAutospacing="1" w:after="100" w:afterAutospacing="1" w:line="360" w:lineRule="auto"/>
        <w:jc w:val="both"/>
        <w:outlineLvl w:val="1"/>
        <w:rPr>
          <w:rFonts w:ascii="Arial" w:eastAsia="Times New Roman" w:hAnsi="Arial" w:cs="Arial"/>
          <w:b/>
          <w:bCs/>
        </w:rPr>
      </w:pPr>
    </w:p>
    <w:p w14:paraId="17D70337" w14:textId="77777777" w:rsidR="002C07E0" w:rsidRDefault="002C07E0" w:rsidP="002C07E0">
      <w:pPr>
        <w:spacing w:before="100" w:beforeAutospacing="1" w:after="100" w:afterAutospacing="1" w:line="360" w:lineRule="auto"/>
        <w:jc w:val="both"/>
        <w:outlineLvl w:val="1"/>
        <w:rPr>
          <w:rFonts w:ascii="Arial" w:eastAsia="Times New Roman" w:hAnsi="Arial" w:cs="Arial"/>
          <w:b/>
          <w:bCs/>
        </w:rPr>
      </w:pPr>
    </w:p>
    <w:p w14:paraId="2EA31F63" w14:textId="77777777" w:rsidR="002C07E0" w:rsidRDefault="002C07E0" w:rsidP="002C07E0">
      <w:pPr>
        <w:spacing w:before="100" w:beforeAutospacing="1" w:after="100" w:afterAutospacing="1" w:line="360" w:lineRule="auto"/>
        <w:jc w:val="both"/>
        <w:outlineLvl w:val="1"/>
        <w:rPr>
          <w:rFonts w:ascii="Arial" w:eastAsia="Times New Roman" w:hAnsi="Arial" w:cs="Arial"/>
          <w:b/>
          <w:bCs/>
        </w:rPr>
      </w:pPr>
    </w:p>
    <w:p w14:paraId="42F7DA9A" w14:textId="77777777" w:rsidR="002C07E0" w:rsidRDefault="002C07E0" w:rsidP="002C07E0">
      <w:pPr>
        <w:spacing w:before="100" w:beforeAutospacing="1" w:after="100" w:afterAutospacing="1" w:line="360" w:lineRule="auto"/>
        <w:jc w:val="both"/>
        <w:outlineLvl w:val="1"/>
        <w:rPr>
          <w:rFonts w:ascii="Arial" w:eastAsia="Times New Roman" w:hAnsi="Arial" w:cs="Arial"/>
          <w:b/>
          <w:bCs/>
        </w:rPr>
      </w:pPr>
    </w:p>
    <w:p w14:paraId="398A2448" w14:textId="77777777" w:rsidR="002C07E0" w:rsidRDefault="002C07E0" w:rsidP="002C07E0">
      <w:pPr>
        <w:spacing w:before="100" w:beforeAutospacing="1" w:after="100" w:afterAutospacing="1" w:line="360" w:lineRule="auto"/>
        <w:jc w:val="both"/>
        <w:outlineLvl w:val="1"/>
        <w:rPr>
          <w:rFonts w:ascii="Arial" w:eastAsia="Times New Roman" w:hAnsi="Arial" w:cs="Arial"/>
          <w:b/>
          <w:bCs/>
        </w:rPr>
      </w:pPr>
    </w:p>
    <w:p w14:paraId="039EABF0" w14:textId="77777777" w:rsidR="002C07E0" w:rsidRDefault="002C07E0" w:rsidP="002C07E0">
      <w:pPr>
        <w:spacing w:before="100" w:beforeAutospacing="1" w:after="100" w:afterAutospacing="1" w:line="360" w:lineRule="auto"/>
        <w:jc w:val="both"/>
        <w:outlineLvl w:val="1"/>
        <w:rPr>
          <w:rFonts w:ascii="Arial" w:eastAsia="Times New Roman" w:hAnsi="Arial" w:cs="Arial"/>
          <w:b/>
          <w:bCs/>
        </w:rPr>
      </w:pPr>
    </w:p>
    <w:p w14:paraId="7936B820" w14:textId="77777777" w:rsidR="002C07E0" w:rsidRDefault="002C07E0" w:rsidP="002C07E0">
      <w:pPr>
        <w:spacing w:before="100" w:beforeAutospacing="1" w:after="100" w:afterAutospacing="1" w:line="360" w:lineRule="auto"/>
        <w:jc w:val="both"/>
        <w:outlineLvl w:val="1"/>
        <w:rPr>
          <w:rFonts w:ascii="Arial" w:eastAsia="Times New Roman" w:hAnsi="Arial" w:cs="Arial"/>
          <w:b/>
          <w:bCs/>
        </w:rPr>
      </w:pPr>
    </w:p>
    <w:p w14:paraId="4342AEB1" w14:textId="77777777" w:rsidR="002C07E0" w:rsidRDefault="002C07E0" w:rsidP="002C07E0">
      <w:pPr>
        <w:spacing w:before="100" w:beforeAutospacing="1" w:after="100" w:afterAutospacing="1" w:line="360" w:lineRule="auto"/>
        <w:jc w:val="both"/>
        <w:outlineLvl w:val="1"/>
        <w:rPr>
          <w:rFonts w:ascii="Arial" w:eastAsia="Times New Roman" w:hAnsi="Arial" w:cs="Arial"/>
          <w:b/>
          <w:bCs/>
        </w:rPr>
      </w:pPr>
    </w:p>
    <w:p w14:paraId="70349AEF" w14:textId="77777777" w:rsidR="002C07E0" w:rsidRDefault="002C07E0" w:rsidP="002C07E0">
      <w:pPr>
        <w:spacing w:before="100" w:beforeAutospacing="1" w:after="100" w:afterAutospacing="1" w:line="360" w:lineRule="auto"/>
        <w:jc w:val="both"/>
        <w:outlineLvl w:val="1"/>
        <w:rPr>
          <w:rFonts w:ascii="Arial" w:eastAsia="Times New Roman" w:hAnsi="Arial" w:cs="Arial"/>
          <w:b/>
          <w:bCs/>
        </w:rPr>
      </w:pPr>
    </w:p>
    <w:p w14:paraId="2D28AC79" w14:textId="77777777" w:rsidR="002C07E0" w:rsidRDefault="002C07E0" w:rsidP="002C07E0">
      <w:pPr>
        <w:spacing w:before="100" w:beforeAutospacing="1" w:after="100" w:afterAutospacing="1" w:line="360" w:lineRule="auto"/>
        <w:jc w:val="both"/>
        <w:outlineLvl w:val="1"/>
        <w:rPr>
          <w:rFonts w:ascii="Arial" w:eastAsia="Times New Roman" w:hAnsi="Arial" w:cs="Arial"/>
          <w:b/>
          <w:bCs/>
        </w:rPr>
      </w:pPr>
    </w:p>
    <w:p w14:paraId="0C6D7C25" w14:textId="77777777" w:rsidR="002C07E0" w:rsidRDefault="002C07E0" w:rsidP="002C07E0">
      <w:pPr>
        <w:spacing w:before="100" w:beforeAutospacing="1" w:after="100" w:afterAutospacing="1" w:line="360" w:lineRule="auto"/>
        <w:jc w:val="both"/>
        <w:outlineLvl w:val="1"/>
        <w:rPr>
          <w:rFonts w:ascii="Arial" w:eastAsia="Times New Roman" w:hAnsi="Arial" w:cs="Arial"/>
          <w:b/>
          <w:bCs/>
        </w:rPr>
      </w:pPr>
    </w:p>
    <w:p w14:paraId="5F405747" w14:textId="77777777" w:rsidR="002C07E0" w:rsidRPr="002C07E0" w:rsidRDefault="002C07E0" w:rsidP="002C07E0">
      <w:pPr>
        <w:spacing w:before="100" w:beforeAutospacing="1" w:after="100" w:afterAutospacing="1" w:line="360" w:lineRule="auto"/>
        <w:jc w:val="both"/>
        <w:outlineLvl w:val="1"/>
        <w:rPr>
          <w:rFonts w:ascii="Arial" w:eastAsia="Times New Roman" w:hAnsi="Arial" w:cs="Arial"/>
          <w:b/>
          <w:bCs/>
        </w:rPr>
      </w:pPr>
      <w:r w:rsidRPr="002C07E0">
        <w:rPr>
          <w:rFonts w:ascii="Arial" w:eastAsia="Times New Roman" w:hAnsi="Arial" w:cs="Arial"/>
          <w:b/>
          <w:bCs/>
        </w:rPr>
        <w:lastRenderedPageBreak/>
        <w:t>Introduction</w:t>
      </w:r>
    </w:p>
    <w:p w14:paraId="426135B4" w14:textId="77777777" w:rsidR="002C07E0" w:rsidRPr="002C07E0" w:rsidRDefault="002C07E0" w:rsidP="002C07E0">
      <w:pPr>
        <w:spacing w:before="100" w:beforeAutospacing="1" w:after="100" w:afterAutospacing="1" w:line="360" w:lineRule="auto"/>
        <w:jc w:val="both"/>
        <w:rPr>
          <w:rFonts w:ascii="Arial" w:eastAsia="Times New Roman" w:hAnsi="Arial" w:cs="Arial"/>
        </w:rPr>
      </w:pPr>
      <w:r w:rsidRPr="002C07E0">
        <w:rPr>
          <w:rFonts w:ascii="Arial" w:eastAsia="Times New Roman" w:hAnsi="Arial" w:cs="Arial"/>
        </w:rPr>
        <w:t>The United Nations Sustainable Development Goals (SDGs) provide a comprehensive global framework to address interconnected development challenges relating to health, equity and environmental sustainability. Among these goals, SDG 3 (Good Health and Wellbeing) aims to ensure healthy lives and promote wellbeing at all ages, while SDG 13 (Climate Action) seeks urgent measures to combat climate change and its impacts. These goals are intrinsically linked because climate change acts as a determinant of health; heatwaves, air pollution, vector</w:t>
      </w:r>
      <w:r w:rsidRPr="002C07E0">
        <w:rPr>
          <w:rFonts w:ascii="Arial" w:eastAsia="Times New Roman" w:hAnsi="Arial" w:cs="Arial"/>
        </w:rPr>
        <w:noBreakHyphen/>
        <w:t xml:space="preserve">borne diseases and extreme weather events exacerbate morbidity and mortality worldwide (Romanello et al., 2023; Watts et al., </w:t>
      </w:r>
      <w:r w:rsidR="00123177">
        <w:rPr>
          <w:rFonts w:ascii="Arial" w:eastAsia="Times New Roman" w:hAnsi="Arial" w:cs="Arial"/>
        </w:rPr>
        <w:t xml:space="preserve">2021). Vulnerable populations </w:t>
      </w:r>
      <w:r w:rsidRPr="002C07E0">
        <w:rPr>
          <w:rFonts w:ascii="Arial" w:eastAsia="Times New Roman" w:hAnsi="Arial" w:cs="Arial"/>
        </w:rPr>
        <w:t>especially those in econom</w:t>
      </w:r>
      <w:r w:rsidR="00123177">
        <w:rPr>
          <w:rFonts w:ascii="Arial" w:eastAsia="Times New Roman" w:hAnsi="Arial" w:cs="Arial"/>
        </w:rPr>
        <w:t>ically deprived urban settings</w:t>
      </w:r>
      <w:r w:rsidRPr="002C07E0">
        <w:rPr>
          <w:rFonts w:ascii="Arial" w:eastAsia="Times New Roman" w:hAnsi="Arial" w:cs="Arial"/>
        </w:rPr>
        <w:t xml:space="preserve"> bear a disproportionate share of climate</w:t>
      </w:r>
      <w:r w:rsidRPr="002C07E0">
        <w:rPr>
          <w:rFonts w:ascii="Arial" w:eastAsia="Times New Roman" w:hAnsi="Arial" w:cs="Arial"/>
        </w:rPr>
        <w:noBreakHyphen/>
        <w:t>related health burdens, highlighting deep inequalities in exposure and access to protective resources (GBD 2021 Risk Factors Collaborators, 2022; Marmot et al., 2020).</w:t>
      </w:r>
    </w:p>
    <w:p w14:paraId="26561E59" w14:textId="77777777" w:rsidR="002C07E0" w:rsidRDefault="002C07E0" w:rsidP="002C07E0">
      <w:pPr>
        <w:spacing w:before="100" w:beforeAutospacing="1" w:after="100" w:afterAutospacing="1" w:line="360" w:lineRule="auto"/>
        <w:jc w:val="both"/>
        <w:rPr>
          <w:rFonts w:ascii="Arial" w:eastAsia="Times New Roman" w:hAnsi="Arial" w:cs="Arial"/>
        </w:rPr>
      </w:pPr>
      <w:r w:rsidRPr="002C07E0">
        <w:rPr>
          <w:rFonts w:ascii="Arial" w:eastAsia="Times New Roman" w:hAnsi="Arial" w:cs="Arial"/>
        </w:rPr>
        <w:t>International actors, national governments and local health systems have recognised the need for integrated policy responses, yet evidence suggests that implementation remains inconsistent, under</w:t>
      </w:r>
      <w:r w:rsidRPr="002C07E0">
        <w:rPr>
          <w:rFonts w:ascii="Arial" w:eastAsia="Times New Roman" w:hAnsi="Arial" w:cs="Arial"/>
        </w:rPr>
        <w:noBreakHyphen/>
        <w:t>funded and constrained by institutional fragmentation (Alderwick et al., 2021; Checkland et al., 2021). This report critically evaluates how SDG 3 and SDG 13 influence the health and wellbeing of citizens at global, national and local levels. The analysis focuses on policy frameworks and their effectiveness, with particular emphasis on the United Kingdom context and the Greater Manchester Integrated Care System (ICS) as a local case study. The report concludes with detailed, actionable recommendations designed to strengthen policy coherence, address inequalities and maximise the co</w:t>
      </w:r>
      <w:r w:rsidRPr="002C07E0">
        <w:rPr>
          <w:rFonts w:ascii="Arial" w:eastAsia="Times New Roman" w:hAnsi="Arial" w:cs="Arial"/>
        </w:rPr>
        <w:noBreakHyphen/>
        <w:t>benefits of climate and health strategies.</w:t>
      </w:r>
    </w:p>
    <w:p w14:paraId="50D6FBA5" w14:textId="77777777" w:rsidR="002C07E0" w:rsidRDefault="002C07E0" w:rsidP="002C07E0">
      <w:pPr>
        <w:spacing w:before="100" w:beforeAutospacing="1" w:after="100" w:afterAutospacing="1" w:line="360" w:lineRule="auto"/>
        <w:jc w:val="both"/>
        <w:rPr>
          <w:rFonts w:ascii="Arial" w:eastAsia="Times New Roman" w:hAnsi="Arial" w:cs="Arial"/>
        </w:rPr>
      </w:pPr>
      <w:r w:rsidRPr="002C07E0">
        <w:rPr>
          <w:rFonts w:ascii="Arial" w:eastAsia="Times New Roman" w:hAnsi="Arial" w:cs="Arial"/>
          <w:noProof/>
        </w:rPr>
        <w:drawing>
          <wp:inline distT="0" distB="0" distL="0" distR="0" wp14:anchorId="66AFF812" wp14:editId="07CCCB32">
            <wp:extent cx="2863850" cy="1593850"/>
            <wp:effectExtent l="0" t="0" r="0" b="6350"/>
            <wp:docPr id="1" name="Picture 1" descr="SDG 3 - Good health and well-being - Sustainable Event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DG 3 - Good health and well-being - Sustainable Event Solution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3850" cy="1593850"/>
                    </a:xfrm>
                    <a:prstGeom prst="rect">
                      <a:avLst/>
                    </a:prstGeom>
                    <a:noFill/>
                    <a:ln>
                      <a:noFill/>
                    </a:ln>
                  </pic:spPr>
                </pic:pic>
              </a:graphicData>
            </a:graphic>
          </wp:inline>
        </w:drawing>
      </w:r>
      <w:r w:rsidRPr="002C07E0">
        <w:t xml:space="preserve"> </w:t>
      </w:r>
      <w:r w:rsidRPr="002C07E0">
        <w:rPr>
          <w:rFonts w:ascii="Arial" w:eastAsia="Times New Roman" w:hAnsi="Arial" w:cs="Arial"/>
          <w:noProof/>
        </w:rPr>
        <w:drawing>
          <wp:inline distT="0" distB="0" distL="0" distR="0" wp14:anchorId="569BEBEB" wp14:editId="36B67D66">
            <wp:extent cx="2978150" cy="1600200"/>
            <wp:effectExtent l="0" t="0" r="0" b="0"/>
            <wp:docPr id="2" name="Picture 2" descr="Sustainable Development Goal 13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ustainable Development Goal 13 - Wikiped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78150" cy="1600200"/>
                    </a:xfrm>
                    <a:prstGeom prst="rect">
                      <a:avLst/>
                    </a:prstGeom>
                    <a:noFill/>
                    <a:ln>
                      <a:noFill/>
                    </a:ln>
                  </pic:spPr>
                </pic:pic>
              </a:graphicData>
            </a:graphic>
          </wp:inline>
        </w:drawing>
      </w:r>
    </w:p>
    <w:p w14:paraId="6280D570" w14:textId="77777777" w:rsidR="002C07E0" w:rsidRDefault="002C07E0" w:rsidP="002C07E0">
      <w:pPr>
        <w:spacing w:before="100" w:beforeAutospacing="1" w:after="100" w:afterAutospacing="1" w:line="360" w:lineRule="auto"/>
        <w:jc w:val="both"/>
        <w:rPr>
          <w:rFonts w:ascii="Arial" w:eastAsia="Times New Roman" w:hAnsi="Arial" w:cs="Arial"/>
        </w:rPr>
      </w:pPr>
    </w:p>
    <w:p w14:paraId="03890421" w14:textId="77777777" w:rsidR="002C07E0" w:rsidRPr="002C07E0" w:rsidRDefault="002C07E0" w:rsidP="002C07E0">
      <w:pPr>
        <w:tabs>
          <w:tab w:val="left" w:pos="5280"/>
        </w:tabs>
        <w:spacing w:before="100" w:beforeAutospacing="1" w:after="100" w:afterAutospacing="1" w:line="360" w:lineRule="auto"/>
        <w:jc w:val="both"/>
        <w:rPr>
          <w:rFonts w:ascii="Arial" w:eastAsia="Times New Roman" w:hAnsi="Arial" w:cs="Arial"/>
          <w:b/>
        </w:rPr>
      </w:pPr>
      <w:r>
        <w:rPr>
          <w:rFonts w:ascii="Arial" w:eastAsia="Times New Roman" w:hAnsi="Arial" w:cs="Arial"/>
        </w:rPr>
        <w:t xml:space="preserve">                                                             </w:t>
      </w:r>
      <w:r w:rsidRPr="002C07E0">
        <w:rPr>
          <w:rFonts w:ascii="Arial" w:eastAsia="Times New Roman" w:hAnsi="Arial" w:cs="Arial"/>
          <w:b/>
        </w:rPr>
        <w:t>(UN, 2015)</w:t>
      </w:r>
      <w:r w:rsidRPr="002C07E0">
        <w:rPr>
          <w:rFonts w:ascii="Arial" w:eastAsia="Times New Roman" w:hAnsi="Arial" w:cs="Arial"/>
          <w:b/>
        </w:rPr>
        <w:tab/>
      </w:r>
    </w:p>
    <w:p w14:paraId="3A7022AE" w14:textId="77777777" w:rsidR="002C07E0" w:rsidRPr="002C07E0" w:rsidRDefault="002C07E0" w:rsidP="002C07E0">
      <w:pPr>
        <w:spacing w:before="100" w:beforeAutospacing="1" w:after="100" w:afterAutospacing="1" w:line="360" w:lineRule="auto"/>
        <w:jc w:val="both"/>
        <w:outlineLvl w:val="1"/>
        <w:rPr>
          <w:rFonts w:ascii="Arial" w:eastAsia="Times New Roman" w:hAnsi="Arial" w:cs="Arial"/>
          <w:b/>
          <w:bCs/>
        </w:rPr>
      </w:pPr>
      <w:r w:rsidRPr="002C07E0">
        <w:rPr>
          <w:rFonts w:ascii="Arial" w:eastAsia="Times New Roman" w:hAnsi="Arial" w:cs="Arial"/>
          <w:b/>
          <w:bCs/>
        </w:rPr>
        <w:t>2. SDG and Policy Context</w:t>
      </w:r>
    </w:p>
    <w:p w14:paraId="7AEF4BFE" w14:textId="77777777" w:rsidR="002C07E0" w:rsidRPr="002C07E0" w:rsidRDefault="002C07E0" w:rsidP="002C07E0">
      <w:pPr>
        <w:spacing w:before="100" w:beforeAutospacing="1" w:after="100" w:afterAutospacing="1" w:line="360" w:lineRule="auto"/>
        <w:jc w:val="both"/>
        <w:rPr>
          <w:rFonts w:ascii="Arial" w:eastAsia="Times New Roman" w:hAnsi="Arial" w:cs="Arial"/>
        </w:rPr>
      </w:pPr>
      <w:r w:rsidRPr="002C07E0">
        <w:rPr>
          <w:rFonts w:ascii="Arial" w:eastAsia="Times New Roman" w:hAnsi="Arial" w:cs="Arial"/>
        </w:rPr>
        <w:t>SDG 3 encompasses a wide range of health objectives including universal health coverage (UHC), reductions in communicable and non</w:t>
      </w:r>
      <w:r w:rsidRPr="002C07E0">
        <w:rPr>
          <w:rFonts w:ascii="Arial" w:eastAsia="Times New Roman" w:hAnsi="Arial" w:cs="Arial"/>
        </w:rPr>
        <w:noBreakHyphen/>
        <w:t>communicable diseases (NCDs), improvements in mental health services and access to essential medicines. Although some global health indicators have shown improvement, progress remains uneven and fragile. Life expectancy gains in many regions are slowing, and stark disparities persist between wealthier and low</w:t>
      </w:r>
      <w:r w:rsidRPr="002C07E0">
        <w:rPr>
          <w:rFonts w:ascii="Arial" w:eastAsia="Times New Roman" w:hAnsi="Arial" w:cs="Arial"/>
        </w:rPr>
        <w:noBreakHyphen/>
        <w:t>income countries, as well as within countries (World Health Organization, 2023; GBD 2021 Risk Factors Collaborators, 2022). The COVID</w:t>
      </w:r>
      <w:r w:rsidRPr="002C07E0">
        <w:rPr>
          <w:rFonts w:ascii="Arial" w:eastAsia="Times New Roman" w:hAnsi="Arial" w:cs="Arial"/>
        </w:rPr>
        <w:noBreakHyphen/>
        <w:t>19 pandemic further exacerbated these inequalities, disproportionately affecting marginalised groups and revealing systemic vulnerabilities in health systems worldwide (Greer et al., 2022).</w:t>
      </w:r>
    </w:p>
    <w:p w14:paraId="494346DC" w14:textId="77777777" w:rsidR="002C07E0" w:rsidRPr="002C07E0" w:rsidRDefault="002C07E0" w:rsidP="002C07E0">
      <w:pPr>
        <w:spacing w:before="100" w:beforeAutospacing="1" w:after="100" w:afterAutospacing="1" w:line="360" w:lineRule="auto"/>
        <w:jc w:val="both"/>
        <w:rPr>
          <w:rFonts w:ascii="Arial" w:eastAsia="Times New Roman" w:hAnsi="Arial" w:cs="Arial"/>
        </w:rPr>
      </w:pPr>
      <w:r w:rsidRPr="002C07E0">
        <w:rPr>
          <w:rFonts w:ascii="Arial" w:eastAsia="Times New Roman" w:hAnsi="Arial" w:cs="Arial"/>
        </w:rPr>
        <w:t>Contemporary research highlights that health outcomes are shaped not only by clinical care but also by social determinants such as housing quality, employment status, education, and environmental exposures (Marmot et al., 2020; Checkland et al., 2021). Addressing these determinants is essential for sustainable health improvements and aligns directly with SDG 3 targets. Biomedical interventions are necessary</w:t>
      </w:r>
      <w:r w:rsidR="00907547">
        <w:rPr>
          <w:rFonts w:ascii="Arial" w:eastAsia="Times New Roman" w:hAnsi="Arial" w:cs="Arial"/>
        </w:rPr>
        <w:t xml:space="preserve"> but insufficient in isolation </w:t>
      </w:r>
      <w:r w:rsidRPr="002C07E0">
        <w:rPr>
          <w:rFonts w:ascii="Arial" w:eastAsia="Times New Roman" w:hAnsi="Arial" w:cs="Arial"/>
        </w:rPr>
        <w:t>comprehensive strategies must integrate environmental, social and behavioural dimensions to achieve meaningful gains in population health and wellbeing.</w:t>
      </w:r>
    </w:p>
    <w:p w14:paraId="35023BDE" w14:textId="77777777" w:rsidR="002C07E0" w:rsidRPr="002C07E0" w:rsidRDefault="002C07E0" w:rsidP="002C07E0">
      <w:pPr>
        <w:spacing w:before="100" w:beforeAutospacing="1" w:after="100" w:afterAutospacing="1" w:line="360" w:lineRule="auto"/>
        <w:jc w:val="both"/>
        <w:rPr>
          <w:rFonts w:ascii="Arial" w:eastAsia="Times New Roman" w:hAnsi="Arial" w:cs="Arial"/>
        </w:rPr>
      </w:pPr>
      <w:r w:rsidRPr="002C07E0">
        <w:rPr>
          <w:rFonts w:ascii="Arial" w:eastAsia="Times New Roman" w:hAnsi="Arial" w:cs="Arial"/>
        </w:rPr>
        <w:t xml:space="preserve">SDG 13 focuses on urgent action to combat climate change and its impacts. Climate change significantly affects health through multiple pathways, including increased risks from heat stress, poor air quality, food insecurity, the spread of infectious diseases and disruptions to health services (Salas, Jha and Landrigan, 2021; Romanello et </w:t>
      </w:r>
      <w:r w:rsidR="00123177">
        <w:rPr>
          <w:rFonts w:ascii="Arial" w:eastAsia="Times New Roman" w:hAnsi="Arial" w:cs="Arial"/>
        </w:rPr>
        <w:t xml:space="preserve">al., 2023). Vulnerable groups </w:t>
      </w:r>
      <w:r w:rsidRPr="002C07E0">
        <w:rPr>
          <w:rFonts w:ascii="Arial" w:eastAsia="Times New Roman" w:hAnsi="Arial" w:cs="Arial"/>
        </w:rPr>
        <w:t>including the elderly, children, and those</w:t>
      </w:r>
      <w:r w:rsidR="00123177">
        <w:rPr>
          <w:rFonts w:ascii="Arial" w:eastAsia="Times New Roman" w:hAnsi="Arial" w:cs="Arial"/>
        </w:rPr>
        <w:t xml:space="preserve"> with pre</w:t>
      </w:r>
      <w:r w:rsidR="00123177">
        <w:rPr>
          <w:rFonts w:ascii="Arial" w:eastAsia="Times New Roman" w:hAnsi="Arial" w:cs="Arial"/>
        </w:rPr>
        <w:noBreakHyphen/>
        <w:t xml:space="preserve">existing conditions </w:t>
      </w:r>
      <w:r w:rsidRPr="002C07E0">
        <w:rPr>
          <w:rFonts w:ascii="Arial" w:eastAsia="Times New Roman" w:hAnsi="Arial" w:cs="Arial"/>
        </w:rPr>
        <w:t xml:space="preserve">are disproportionately affected, amplifying health inequities. Mitigation strategies such as decarbonisation of healthcare systems, sustainable urban planning, promotion of active transport and expansion of green spaces yield substantial </w:t>
      </w:r>
      <w:r w:rsidRPr="002C07E0">
        <w:rPr>
          <w:rFonts w:ascii="Arial" w:eastAsia="Times New Roman" w:hAnsi="Arial" w:cs="Arial"/>
          <w:iCs/>
        </w:rPr>
        <w:t>co</w:t>
      </w:r>
      <w:r w:rsidRPr="002C07E0">
        <w:rPr>
          <w:rFonts w:ascii="Arial" w:eastAsia="Times New Roman" w:hAnsi="Arial" w:cs="Arial"/>
          <w:iCs/>
        </w:rPr>
        <w:noBreakHyphen/>
        <w:t>benefits</w:t>
      </w:r>
      <w:r w:rsidRPr="002C07E0">
        <w:rPr>
          <w:rFonts w:ascii="Arial" w:eastAsia="Times New Roman" w:hAnsi="Arial" w:cs="Arial"/>
        </w:rPr>
        <w:t xml:space="preserve"> for public health by improving air quality, increasing physical activity, and reducing exposure to harmful emissions (Haines and Ebi, 2021; WHO, 2024).</w:t>
      </w:r>
    </w:p>
    <w:p w14:paraId="31BF743D" w14:textId="77777777" w:rsidR="002C07E0" w:rsidRPr="002C07E0" w:rsidRDefault="002C07E0" w:rsidP="002C07E0">
      <w:pPr>
        <w:spacing w:before="100" w:beforeAutospacing="1" w:after="100" w:afterAutospacing="1" w:line="360" w:lineRule="auto"/>
        <w:jc w:val="both"/>
        <w:rPr>
          <w:rFonts w:ascii="Arial" w:eastAsia="Times New Roman" w:hAnsi="Arial" w:cs="Arial"/>
        </w:rPr>
      </w:pPr>
      <w:r w:rsidRPr="002C07E0">
        <w:rPr>
          <w:rFonts w:ascii="Arial" w:eastAsia="Times New Roman" w:hAnsi="Arial" w:cs="Arial"/>
        </w:rPr>
        <w:t>The interrelationship between SDG 3 and SDG 13 underscores the need for integrated policy approaches. Climate change not only exacerbates existing health inequities but also interacts with broader determinants of wellbeing. Yet operationalising this integration is often hindered by fragmented governance, sectoral silos and limited financial mechanisms capable of aligning health and environmental objectives (WHO, 2023; Alderwick et al., 2021). A systems</w:t>
      </w:r>
      <w:r w:rsidRPr="002C07E0">
        <w:rPr>
          <w:rFonts w:ascii="Arial" w:eastAsia="Times New Roman" w:hAnsi="Arial" w:cs="Arial"/>
        </w:rPr>
        <w:noBreakHyphen/>
        <w:t>oriented governance framework that embeds health considerations into climate policies is essential for sustainable population health improvements.</w:t>
      </w:r>
    </w:p>
    <w:p w14:paraId="18DB11AB" w14:textId="77777777" w:rsidR="002C07E0" w:rsidRPr="002C07E0" w:rsidRDefault="002C07E0" w:rsidP="002C07E0">
      <w:pPr>
        <w:spacing w:before="100" w:beforeAutospacing="1" w:after="100" w:afterAutospacing="1" w:line="360" w:lineRule="auto"/>
        <w:jc w:val="both"/>
        <w:outlineLvl w:val="1"/>
        <w:rPr>
          <w:rFonts w:ascii="Arial" w:eastAsia="Times New Roman" w:hAnsi="Arial" w:cs="Arial"/>
          <w:b/>
          <w:bCs/>
        </w:rPr>
      </w:pPr>
      <w:r w:rsidRPr="002C07E0">
        <w:rPr>
          <w:rFonts w:ascii="Arial" w:eastAsia="Times New Roman" w:hAnsi="Arial" w:cs="Arial"/>
          <w:b/>
          <w:bCs/>
        </w:rPr>
        <w:t>3. Global Policy Evaluation</w:t>
      </w:r>
    </w:p>
    <w:p w14:paraId="274187DE" w14:textId="77777777" w:rsidR="002C07E0" w:rsidRPr="002C07E0" w:rsidRDefault="002C07E0" w:rsidP="002C07E0">
      <w:pPr>
        <w:spacing w:before="100" w:beforeAutospacing="1" w:after="100" w:afterAutospacing="1" w:line="360" w:lineRule="auto"/>
        <w:jc w:val="both"/>
        <w:rPr>
          <w:rFonts w:ascii="Arial" w:eastAsia="Times New Roman" w:hAnsi="Arial" w:cs="Arial"/>
        </w:rPr>
      </w:pPr>
      <w:r w:rsidRPr="002C07E0">
        <w:rPr>
          <w:rFonts w:ascii="Arial" w:eastAsia="Times New Roman" w:hAnsi="Arial" w:cs="Arial"/>
        </w:rPr>
        <w:t>Global efforts to advance SDG 3 and SDG 13 are rooted in the UN 2030 Agenda, WHO strategic frameworks, and climate commitments such as the Paris Agreement. The WHO Global Action Plan for Healthy Lives aims to accelerate health progress by strengthening primary care, fostering multisector collaboration and supporting UHC (World Health Organization, 2023; Public Health England, 2021). The Paris Agreement, adopted by 196 countries, embeds health co</w:t>
      </w:r>
      <w:r w:rsidRPr="002C07E0">
        <w:rPr>
          <w:rFonts w:ascii="Arial" w:eastAsia="Times New Roman" w:hAnsi="Arial" w:cs="Arial"/>
        </w:rPr>
        <w:noBreakHyphen/>
        <w:t>benefits within climate mitigation targets, acknowledging that limiting global warming has direct implications for reducing disease burdens related to pollution and extreme weather (Watts et al., 2021; Romanello et al., 2023).</w:t>
      </w:r>
    </w:p>
    <w:p w14:paraId="180612B6" w14:textId="77777777" w:rsidR="002C07E0" w:rsidRPr="002C07E0" w:rsidRDefault="002C07E0" w:rsidP="002C07E0">
      <w:pPr>
        <w:spacing w:before="100" w:beforeAutospacing="1" w:after="100" w:afterAutospacing="1" w:line="360" w:lineRule="auto"/>
        <w:jc w:val="both"/>
        <w:rPr>
          <w:rFonts w:ascii="Arial" w:eastAsia="Times New Roman" w:hAnsi="Arial" w:cs="Arial"/>
        </w:rPr>
      </w:pPr>
      <w:r w:rsidRPr="002C07E0">
        <w:rPr>
          <w:rFonts w:ascii="Arial" w:eastAsia="Times New Roman" w:hAnsi="Arial" w:cs="Arial"/>
        </w:rPr>
        <w:t>Despite these frameworks, the translation of high</w:t>
      </w:r>
      <w:r w:rsidRPr="002C07E0">
        <w:rPr>
          <w:rFonts w:ascii="Arial" w:eastAsia="Times New Roman" w:hAnsi="Arial" w:cs="Arial"/>
        </w:rPr>
        <w:noBreakHyphen/>
        <w:t>level commitments into measurable health outcomes remains inconsistent. Life expectancy continue</w:t>
      </w:r>
      <w:r w:rsidR="00CC5717">
        <w:rPr>
          <w:rFonts w:ascii="Arial" w:eastAsia="Times New Roman" w:hAnsi="Arial" w:cs="Arial"/>
        </w:rPr>
        <w:t>s to be constrained in many low</w:t>
      </w:r>
      <w:r w:rsidRPr="002C07E0">
        <w:rPr>
          <w:rFonts w:ascii="Arial" w:eastAsia="Times New Roman" w:hAnsi="Arial" w:cs="Arial"/>
        </w:rPr>
        <w:t xml:space="preserve"> and middle</w:t>
      </w:r>
      <w:r w:rsidRPr="002C07E0">
        <w:rPr>
          <w:rFonts w:ascii="Arial" w:eastAsia="Times New Roman" w:hAnsi="Arial" w:cs="Arial"/>
        </w:rPr>
        <w:noBreakHyphen/>
        <w:t>income countries by inadequate health infrastructure, insufficient financing and workforce shortages (GBD 2021 Risk Factors Collaborators, 2022; Greer et al., 2022). Similarly, while climate policies have proliferated, they often lack explicit health integration, resulting in missed opportunities to optimise co</w:t>
      </w:r>
      <w:r w:rsidRPr="002C07E0">
        <w:rPr>
          <w:rFonts w:ascii="Arial" w:eastAsia="Times New Roman" w:hAnsi="Arial" w:cs="Arial"/>
        </w:rPr>
        <w:noBreakHyphen/>
        <w:t>benefits (Romanello et al., 2023; Salas, Jha and Landrigan, 2021). Funding disparities between health and climate sectors further exacerbate implementation gaps, with limited resource flows for cross</w:t>
      </w:r>
      <w:r w:rsidRPr="002C07E0">
        <w:rPr>
          <w:rFonts w:ascii="Arial" w:eastAsia="Times New Roman" w:hAnsi="Arial" w:cs="Arial"/>
        </w:rPr>
        <w:noBreakHyphen/>
        <w:t>sector initiatives that align with both SDG 3 and SDG 13.</w:t>
      </w:r>
    </w:p>
    <w:p w14:paraId="3C089966" w14:textId="77777777" w:rsidR="002C07E0" w:rsidRPr="002C07E0" w:rsidRDefault="002C07E0" w:rsidP="002C07E0">
      <w:pPr>
        <w:spacing w:before="100" w:beforeAutospacing="1" w:after="100" w:afterAutospacing="1" w:line="360" w:lineRule="auto"/>
        <w:jc w:val="both"/>
        <w:rPr>
          <w:rFonts w:ascii="Arial" w:eastAsia="Times New Roman" w:hAnsi="Arial" w:cs="Arial"/>
        </w:rPr>
      </w:pPr>
      <w:r w:rsidRPr="002C07E0">
        <w:rPr>
          <w:rFonts w:ascii="Arial" w:eastAsia="Times New Roman" w:hAnsi="Arial" w:cs="Arial"/>
        </w:rPr>
        <w:t>Policy coherence remains a significant challenge. Although the “health in all policies” approach is widely promoted, institutional silos persist between health, environment and economic sectors. This fragmentation undermines coordinated action and dilutes accountability for integrated outcomes (World Health Organization, 2022; Alderwick et al., 2021). Enhancing cross</w:t>
      </w:r>
      <w:r w:rsidRPr="002C07E0">
        <w:rPr>
          <w:rFonts w:ascii="Arial" w:eastAsia="Times New Roman" w:hAnsi="Arial" w:cs="Arial"/>
        </w:rPr>
        <w:noBreakHyphen/>
        <w:t>sector governance, aligning financing mechanisms, and embedding health metrics into climate accountability frameworks are critical for advancing both SDG 3 and SDG 13. Without these structural shifts, global progress is likely to remain uneven and inequitable.</w:t>
      </w:r>
    </w:p>
    <w:p w14:paraId="30F1AA42" w14:textId="77777777" w:rsidR="002C07E0" w:rsidRPr="002C07E0" w:rsidRDefault="002C07E0" w:rsidP="002C07E0">
      <w:pPr>
        <w:spacing w:before="100" w:beforeAutospacing="1" w:after="100" w:afterAutospacing="1" w:line="360" w:lineRule="auto"/>
        <w:jc w:val="both"/>
        <w:outlineLvl w:val="1"/>
        <w:rPr>
          <w:rFonts w:ascii="Arial" w:eastAsia="Times New Roman" w:hAnsi="Arial" w:cs="Arial"/>
          <w:b/>
          <w:bCs/>
        </w:rPr>
      </w:pPr>
      <w:r w:rsidRPr="002C07E0">
        <w:rPr>
          <w:rFonts w:ascii="Arial" w:eastAsia="Times New Roman" w:hAnsi="Arial" w:cs="Arial"/>
          <w:b/>
          <w:bCs/>
        </w:rPr>
        <w:t>4. National Policy Evaluation: The United Kingdom</w:t>
      </w:r>
    </w:p>
    <w:p w14:paraId="421D7567" w14:textId="77777777" w:rsidR="002C07E0" w:rsidRPr="002C07E0" w:rsidRDefault="002C07E0" w:rsidP="002C07E0">
      <w:pPr>
        <w:spacing w:before="100" w:beforeAutospacing="1" w:after="100" w:afterAutospacing="1" w:line="360" w:lineRule="auto"/>
        <w:jc w:val="both"/>
        <w:rPr>
          <w:rFonts w:ascii="Arial" w:eastAsia="Times New Roman" w:hAnsi="Arial" w:cs="Arial"/>
        </w:rPr>
      </w:pPr>
      <w:r w:rsidRPr="002C07E0">
        <w:rPr>
          <w:rFonts w:ascii="Arial" w:eastAsia="Times New Roman" w:hAnsi="Arial" w:cs="Arial"/>
        </w:rPr>
        <w:t>The United Kingdom has developed comprehensive policy instruments that align health and climate goals, demonstrating a strategic commitment to SDG integration. The NHS Long Term Plan emphasises preventive care, reduction of health inequalities, expansion of community</w:t>
      </w:r>
      <w:r w:rsidRPr="002C07E0">
        <w:rPr>
          <w:rFonts w:ascii="Arial" w:eastAsia="Times New Roman" w:hAnsi="Arial" w:cs="Arial"/>
        </w:rPr>
        <w:noBreakHyphen/>
        <w:t>based services and enhancement of mental health provision (NHS England, 2019; Alderwick et al., 2021). Concurrently, the NHS Net Zero strategy represents a global precedent by committing the healthcare system to net</w:t>
      </w:r>
      <w:r w:rsidRPr="002C07E0">
        <w:rPr>
          <w:rFonts w:ascii="Arial" w:eastAsia="Times New Roman" w:hAnsi="Arial" w:cs="Arial"/>
        </w:rPr>
        <w:noBreakHyphen/>
        <w:t>zero carbon emissions, recognising the health co</w:t>
      </w:r>
      <w:r w:rsidRPr="002C07E0">
        <w:rPr>
          <w:rFonts w:ascii="Arial" w:eastAsia="Times New Roman" w:hAnsi="Arial" w:cs="Arial"/>
        </w:rPr>
        <w:noBreakHyphen/>
        <w:t>benefits of reduced pollution and sustainable operations (NHS England, 2022; Watts et al., 2021). The Health and Care Act 2022 institutionalised Integrated Care Systems (ICSs) to improve joint working across NHS organisations, local authorities and broader public services, enabling place</w:t>
      </w:r>
      <w:r w:rsidRPr="002C07E0">
        <w:rPr>
          <w:rFonts w:ascii="Arial" w:eastAsia="Times New Roman" w:hAnsi="Arial" w:cs="Arial"/>
        </w:rPr>
        <w:noBreakHyphen/>
        <w:t>based planning that integrates health and climate considerations (Checkland et al., 2021; NHS England, 2023).</w:t>
      </w:r>
    </w:p>
    <w:p w14:paraId="7F2DB892" w14:textId="77777777" w:rsidR="002C07E0" w:rsidRPr="002C07E0" w:rsidRDefault="002C07E0" w:rsidP="002C07E0">
      <w:pPr>
        <w:spacing w:before="100" w:beforeAutospacing="1" w:after="100" w:afterAutospacing="1" w:line="360" w:lineRule="auto"/>
        <w:jc w:val="both"/>
        <w:rPr>
          <w:rFonts w:ascii="Arial" w:eastAsia="Times New Roman" w:hAnsi="Arial" w:cs="Arial"/>
        </w:rPr>
      </w:pPr>
      <w:r w:rsidRPr="002C07E0">
        <w:rPr>
          <w:rFonts w:ascii="Arial" w:eastAsia="Times New Roman" w:hAnsi="Arial" w:cs="Arial"/>
        </w:rPr>
        <w:t>Despite these strategic frameworks, practical effectiveness varies. Preventive programmes have expanded access to primary care and screening services; however, health inequalities persist along socioeconomic and regional lines. Workforce shortages, pressures on mental health services, and significant backlogs in elective care constrain equitable health outcomes (Alderwick et al., 2021; The King’s Fund, 2023). Budgetary pressures have also constrained public health interventions that address upstream determinants of NCDs, such as obesity and mental wellbeing (The King’s Fund, 2022; Buck, Baylis and Dougall, 2022). These limitations illustrate the complexity of translating strategic policy into measurable health equity gains.</w:t>
      </w:r>
    </w:p>
    <w:p w14:paraId="180EB62C" w14:textId="77777777" w:rsidR="002C07E0" w:rsidRPr="002C07E0" w:rsidRDefault="002C07E0" w:rsidP="002C07E0">
      <w:pPr>
        <w:spacing w:before="100" w:beforeAutospacing="1" w:after="100" w:afterAutospacing="1" w:line="360" w:lineRule="auto"/>
        <w:jc w:val="both"/>
        <w:rPr>
          <w:rFonts w:ascii="Arial" w:eastAsia="Times New Roman" w:hAnsi="Arial" w:cs="Arial"/>
        </w:rPr>
      </w:pPr>
      <w:r w:rsidRPr="002C07E0">
        <w:rPr>
          <w:rFonts w:ascii="Arial" w:eastAsia="Times New Roman" w:hAnsi="Arial" w:cs="Arial"/>
        </w:rPr>
        <w:t xml:space="preserve">The NHS Net Zero strategy has yielded initial reductions in carbon emissions and improvements in sustainable procurement practices. Decarbonisation offers </w:t>
      </w:r>
      <w:r w:rsidR="00123177">
        <w:rPr>
          <w:rFonts w:ascii="Arial" w:eastAsia="Times New Roman" w:hAnsi="Arial" w:cs="Arial"/>
        </w:rPr>
        <w:t>measurable health co</w:t>
      </w:r>
      <w:r w:rsidR="00123177">
        <w:rPr>
          <w:rFonts w:ascii="Arial" w:eastAsia="Times New Roman" w:hAnsi="Arial" w:cs="Arial"/>
        </w:rPr>
        <w:noBreakHyphen/>
        <w:t xml:space="preserve">benefits </w:t>
      </w:r>
      <w:r w:rsidRPr="002C07E0">
        <w:rPr>
          <w:rFonts w:ascii="Arial" w:eastAsia="Times New Roman" w:hAnsi="Arial" w:cs="Arial"/>
        </w:rPr>
        <w:t>for instance, improvements in air quality can reduce respiratory and cardi</w:t>
      </w:r>
      <w:r w:rsidR="00416AF5">
        <w:rPr>
          <w:rFonts w:ascii="Arial" w:eastAsia="Times New Roman" w:hAnsi="Arial" w:cs="Arial"/>
        </w:rPr>
        <w:t>ovascular disease incidence. I</w:t>
      </w:r>
      <w:r w:rsidRPr="002C07E0">
        <w:rPr>
          <w:rFonts w:ascii="Arial" w:eastAsia="Times New Roman" w:hAnsi="Arial" w:cs="Arial"/>
        </w:rPr>
        <w:t>mplementation unevenness across regions and capital investment gaps challenge uniform progress. Broader determinants of emissions, including transport and housing sector influences, also lie largely outside the direct control of NHS structures, limiting the overall climate</w:t>
      </w:r>
      <w:r w:rsidRPr="002C07E0">
        <w:rPr>
          <w:rFonts w:ascii="Arial" w:eastAsia="Times New Roman" w:hAnsi="Arial" w:cs="Arial"/>
        </w:rPr>
        <w:noBreakHyphen/>
        <w:t>health impact (Romanello et al., 2023; World Health Organization, 2024).</w:t>
      </w:r>
    </w:p>
    <w:p w14:paraId="076F7680" w14:textId="77777777" w:rsidR="002C07E0" w:rsidRPr="002C07E0" w:rsidRDefault="002C07E0" w:rsidP="002C07E0">
      <w:pPr>
        <w:spacing w:before="100" w:beforeAutospacing="1" w:after="100" w:afterAutospacing="1" w:line="360" w:lineRule="auto"/>
        <w:jc w:val="both"/>
        <w:rPr>
          <w:rFonts w:ascii="Arial" w:eastAsia="Times New Roman" w:hAnsi="Arial" w:cs="Arial"/>
        </w:rPr>
      </w:pPr>
      <w:r w:rsidRPr="002C07E0">
        <w:rPr>
          <w:rFonts w:ascii="Arial" w:eastAsia="Times New Roman" w:hAnsi="Arial" w:cs="Arial"/>
        </w:rPr>
        <w:t>Fragmented implementation between national strategy and local delivery reduces policy clarity and undermines consistent outcomes. Governance complexity introduced by ICS reforms has improved collaboration but also created accountability challenges, particularly where commissioning and resourcing decisions intersect with climate priorities (Checkland et al., 2021). Addressing these structural constraints requires long</w:t>
      </w:r>
      <w:r w:rsidRPr="002C07E0">
        <w:rPr>
          <w:rFonts w:ascii="Arial" w:eastAsia="Times New Roman" w:hAnsi="Arial" w:cs="Arial"/>
        </w:rPr>
        <w:noBreakHyphen/>
        <w:t>term strategy alignment, sustained investment and strengthened cross</w:t>
      </w:r>
      <w:r w:rsidRPr="002C07E0">
        <w:rPr>
          <w:rFonts w:ascii="Arial" w:eastAsia="Times New Roman" w:hAnsi="Arial" w:cs="Arial"/>
        </w:rPr>
        <w:noBreakHyphen/>
        <w:t>sector governance that prioritises equity and preventive action.</w:t>
      </w:r>
    </w:p>
    <w:p w14:paraId="5A21CF09" w14:textId="77777777" w:rsidR="002C07E0" w:rsidRPr="002C07E0" w:rsidRDefault="002C07E0" w:rsidP="002C07E0">
      <w:pPr>
        <w:spacing w:after="0" w:line="360" w:lineRule="auto"/>
        <w:jc w:val="both"/>
        <w:rPr>
          <w:rFonts w:ascii="Arial" w:eastAsia="Times New Roman" w:hAnsi="Arial" w:cs="Arial"/>
        </w:rPr>
      </w:pPr>
    </w:p>
    <w:p w14:paraId="5E10717F" w14:textId="77777777" w:rsidR="002C07E0" w:rsidRPr="002C07E0" w:rsidRDefault="002C07E0" w:rsidP="002C07E0">
      <w:pPr>
        <w:spacing w:before="100" w:beforeAutospacing="1" w:after="100" w:afterAutospacing="1" w:line="360" w:lineRule="auto"/>
        <w:jc w:val="both"/>
        <w:outlineLvl w:val="2"/>
        <w:rPr>
          <w:rFonts w:ascii="Arial" w:eastAsia="Times New Roman" w:hAnsi="Arial" w:cs="Arial"/>
          <w:b/>
          <w:bCs/>
        </w:rPr>
      </w:pPr>
      <w:r w:rsidRPr="002C07E0">
        <w:rPr>
          <w:rFonts w:ascii="Arial" w:eastAsia="Times New Roman" w:hAnsi="Arial" w:cs="Arial"/>
          <w:b/>
          <w:bCs/>
        </w:rPr>
        <w:t>Table 1: Evaluation of Key UK Policies Supporting SDG 3 and SDG 13</w:t>
      </w:r>
    </w:p>
    <w:tbl>
      <w:tblPr>
        <w:tblStyle w:val="TableGrid"/>
        <w:tblW w:w="0" w:type="auto"/>
        <w:tblLook w:val="04A0" w:firstRow="1" w:lastRow="0" w:firstColumn="1" w:lastColumn="0" w:noHBand="0" w:noVBand="1"/>
      </w:tblPr>
      <w:tblGrid>
        <w:gridCol w:w="1819"/>
        <w:gridCol w:w="1400"/>
        <w:gridCol w:w="2345"/>
        <w:gridCol w:w="3786"/>
      </w:tblGrid>
      <w:tr w:rsidR="002C07E0" w:rsidRPr="002C07E0" w14:paraId="7D46D22B" w14:textId="77777777" w:rsidTr="002C07E0">
        <w:tc>
          <w:tcPr>
            <w:tcW w:w="0" w:type="auto"/>
            <w:hideMark/>
          </w:tcPr>
          <w:p w14:paraId="37DEFE30" w14:textId="77777777" w:rsidR="002C07E0" w:rsidRPr="002C07E0" w:rsidRDefault="002C07E0" w:rsidP="002C07E0">
            <w:pPr>
              <w:tabs>
                <w:tab w:val="left" w:pos="1090"/>
              </w:tabs>
              <w:jc w:val="both"/>
              <w:rPr>
                <w:rFonts w:ascii="Arial" w:eastAsia="Times New Roman" w:hAnsi="Arial" w:cs="Arial"/>
                <w:b/>
                <w:bCs/>
                <w:color w:val="000000" w:themeColor="text1"/>
              </w:rPr>
            </w:pPr>
            <w:r w:rsidRPr="002C07E0">
              <w:rPr>
                <w:rFonts w:ascii="Arial" w:eastAsia="Times New Roman" w:hAnsi="Arial" w:cs="Arial"/>
                <w:b/>
                <w:bCs/>
                <w:color w:val="000000" w:themeColor="text1"/>
              </w:rPr>
              <w:t>Policy</w:t>
            </w:r>
            <w:r w:rsidRPr="00123177">
              <w:rPr>
                <w:rFonts w:ascii="Arial" w:eastAsia="Times New Roman" w:hAnsi="Arial" w:cs="Arial"/>
                <w:color w:val="000000" w:themeColor="text1"/>
              </w:rPr>
              <w:tab/>
            </w:r>
          </w:p>
        </w:tc>
        <w:tc>
          <w:tcPr>
            <w:tcW w:w="0" w:type="auto"/>
            <w:hideMark/>
          </w:tcPr>
          <w:p w14:paraId="00CA443E" w14:textId="77777777" w:rsidR="002C07E0" w:rsidRPr="002C07E0" w:rsidRDefault="002C07E0" w:rsidP="002C07E0">
            <w:pPr>
              <w:jc w:val="both"/>
              <w:rPr>
                <w:rFonts w:ascii="Arial" w:eastAsia="Times New Roman" w:hAnsi="Arial" w:cs="Arial"/>
                <w:b/>
                <w:bCs/>
                <w:color w:val="000000" w:themeColor="text1"/>
              </w:rPr>
            </w:pPr>
            <w:r w:rsidRPr="002C07E0">
              <w:rPr>
                <w:rFonts w:ascii="Arial" w:eastAsia="Times New Roman" w:hAnsi="Arial" w:cs="Arial"/>
                <w:b/>
                <w:bCs/>
                <w:color w:val="000000" w:themeColor="text1"/>
              </w:rPr>
              <w:t>SDG Alignment</w:t>
            </w:r>
          </w:p>
        </w:tc>
        <w:tc>
          <w:tcPr>
            <w:tcW w:w="0" w:type="auto"/>
            <w:hideMark/>
          </w:tcPr>
          <w:p w14:paraId="6AA8B8F7" w14:textId="77777777" w:rsidR="002C07E0" w:rsidRPr="002C07E0" w:rsidRDefault="002C07E0" w:rsidP="002C07E0">
            <w:pPr>
              <w:jc w:val="both"/>
              <w:rPr>
                <w:rFonts w:ascii="Arial" w:eastAsia="Times New Roman" w:hAnsi="Arial" w:cs="Arial"/>
                <w:b/>
                <w:bCs/>
                <w:color w:val="000000" w:themeColor="text1"/>
              </w:rPr>
            </w:pPr>
            <w:r w:rsidRPr="002C07E0">
              <w:rPr>
                <w:rFonts w:ascii="Arial" w:eastAsia="Times New Roman" w:hAnsi="Arial" w:cs="Arial"/>
                <w:b/>
                <w:bCs/>
                <w:color w:val="000000" w:themeColor="text1"/>
              </w:rPr>
              <w:t>Evidence of Impact</w:t>
            </w:r>
          </w:p>
        </w:tc>
        <w:tc>
          <w:tcPr>
            <w:tcW w:w="0" w:type="auto"/>
            <w:hideMark/>
          </w:tcPr>
          <w:p w14:paraId="65CCCFA5" w14:textId="77777777" w:rsidR="002C07E0" w:rsidRPr="002C07E0" w:rsidRDefault="002C07E0" w:rsidP="002C07E0">
            <w:pPr>
              <w:jc w:val="both"/>
              <w:rPr>
                <w:rFonts w:ascii="Arial" w:eastAsia="Times New Roman" w:hAnsi="Arial" w:cs="Arial"/>
                <w:b/>
                <w:bCs/>
                <w:color w:val="000000" w:themeColor="text1"/>
              </w:rPr>
            </w:pPr>
            <w:r w:rsidRPr="002C07E0">
              <w:rPr>
                <w:rFonts w:ascii="Arial" w:eastAsia="Times New Roman" w:hAnsi="Arial" w:cs="Arial"/>
                <w:b/>
                <w:bCs/>
                <w:color w:val="000000" w:themeColor="text1"/>
              </w:rPr>
              <w:t>Key Limitations</w:t>
            </w:r>
          </w:p>
        </w:tc>
      </w:tr>
      <w:tr w:rsidR="002C07E0" w:rsidRPr="002C07E0" w14:paraId="328495F1" w14:textId="77777777" w:rsidTr="002C07E0">
        <w:tc>
          <w:tcPr>
            <w:tcW w:w="0" w:type="auto"/>
            <w:hideMark/>
          </w:tcPr>
          <w:p w14:paraId="20F9A4AC" w14:textId="77777777" w:rsidR="002C07E0" w:rsidRPr="002C07E0" w:rsidRDefault="002C07E0" w:rsidP="002C07E0">
            <w:pPr>
              <w:jc w:val="both"/>
              <w:rPr>
                <w:rFonts w:ascii="Arial" w:eastAsia="Times New Roman" w:hAnsi="Arial" w:cs="Arial"/>
                <w:b/>
              </w:rPr>
            </w:pPr>
            <w:r w:rsidRPr="002C07E0">
              <w:rPr>
                <w:rFonts w:ascii="Arial" w:eastAsia="Times New Roman" w:hAnsi="Arial" w:cs="Arial"/>
                <w:b/>
              </w:rPr>
              <w:t>NHS Long Term Plan</w:t>
            </w:r>
          </w:p>
        </w:tc>
        <w:tc>
          <w:tcPr>
            <w:tcW w:w="0" w:type="auto"/>
            <w:hideMark/>
          </w:tcPr>
          <w:p w14:paraId="242F274A" w14:textId="77777777" w:rsidR="002C07E0" w:rsidRPr="002C07E0" w:rsidRDefault="002C07E0" w:rsidP="002C07E0">
            <w:pPr>
              <w:jc w:val="both"/>
              <w:rPr>
                <w:rFonts w:ascii="Arial" w:eastAsia="Times New Roman" w:hAnsi="Arial" w:cs="Arial"/>
              </w:rPr>
            </w:pPr>
            <w:r w:rsidRPr="002C07E0">
              <w:rPr>
                <w:rFonts w:ascii="Arial" w:eastAsia="Times New Roman" w:hAnsi="Arial" w:cs="Arial"/>
              </w:rPr>
              <w:t>SDG 3</w:t>
            </w:r>
          </w:p>
        </w:tc>
        <w:tc>
          <w:tcPr>
            <w:tcW w:w="0" w:type="auto"/>
            <w:hideMark/>
          </w:tcPr>
          <w:p w14:paraId="4002FC54" w14:textId="77777777" w:rsidR="002C07E0" w:rsidRPr="002C07E0" w:rsidRDefault="002C07E0" w:rsidP="002C07E0">
            <w:pPr>
              <w:jc w:val="both"/>
              <w:rPr>
                <w:rFonts w:ascii="Arial" w:eastAsia="Times New Roman" w:hAnsi="Arial" w:cs="Arial"/>
              </w:rPr>
            </w:pPr>
            <w:r w:rsidRPr="002C07E0">
              <w:rPr>
                <w:rFonts w:ascii="Arial" w:eastAsia="Times New Roman" w:hAnsi="Arial" w:cs="Arial"/>
              </w:rPr>
              <w:t>Expanded primary care, prevention and mental health focus</w:t>
            </w:r>
          </w:p>
        </w:tc>
        <w:tc>
          <w:tcPr>
            <w:tcW w:w="0" w:type="auto"/>
            <w:hideMark/>
          </w:tcPr>
          <w:p w14:paraId="4D96F011" w14:textId="77777777" w:rsidR="002C07E0" w:rsidRPr="002C07E0" w:rsidRDefault="002C07E0" w:rsidP="002C07E0">
            <w:pPr>
              <w:jc w:val="both"/>
              <w:rPr>
                <w:rFonts w:ascii="Arial" w:eastAsia="Times New Roman" w:hAnsi="Arial" w:cs="Arial"/>
              </w:rPr>
            </w:pPr>
            <w:r w:rsidRPr="002C07E0">
              <w:rPr>
                <w:rFonts w:ascii="Arial" w:eastAsia="Times New Roman" w:hAnsi="Arial" w:cs="Arial"/>
              </w:rPr>
              <w:t>Persistent inequalities and workforce pressures limit effecti</w:t>
            </w:r>
            <w:r w:rsidR="00907547">
              <w:rPr>
                <w:rFonts w:ascii="Arial" w:eastAsia="Times New Roman" w:hAnsi="Arial" w:cs="Arial"/>
              </w:rPr>
              <w:t>veness (Alderwick et al., 2021),</w:t>
            </w:r>
            <w:r w:rsidRPr="002C07E0">
              <w:rPr>
                <w:rFonts w:ascii="Arial" w:eastAsia="Times New Roman" w:hAnsi="Arial" w:cs="Arial"/>
              </w:rPr>
              <w:t xml:space="preserve"> elective care backlogs remain significant</w:t>
            </w:r>
          </w:p>
        </w:tc>
      </w:tr>
      <w:tr w:rsidR="002C07E0" w:rsidRPr="002C07E0" w14:paraId="329A63AC" w14:textId="77777777" w:rsidTr="002C07E0">
        <w:tc>
          <w:tcPr>
            <w:tcW w:w="0" w:type="auto"/>
            <w:hideMark/>
          </w:tcPr>
          <w:p w14:paraId="23790942" w14:textId="77777777" w:rsidR="002C07E0" w:rsidRPr="002C07E0" w:rsidRDefault="002C07E0" w:rsidP="002C07E0">
            <w:pPr>
              <w:jc w:val="both"/>
              <w:rPr>
                <w:rFonts w:ascii="Arial" w:eastAsia="Times New Roman" w:hAnsi="Arial" w:cs="Arial"/>
                <w:b/>
              </w:rPr>
            </w:pPr>
            <w:r w:rsidRPr="002C07E0">
              <w:rPr>
                <w:rFonts w:ascii="Arial" w:eastAsia="Times New Roman" w:hAnsi="Arial" w:cs="Arial"/>
                <w:b/>
              </w:rPr>
              <w:t>NHS Net Zero Strategy</w:t>
            </w:r>
          </w:p>
        </w:tc>
        <w:tc>
          <w:tcPr>
            <w:tcW w:w="0" w:type="auto"/>
            <w:hideMark/>
          </w:tcPr>
          <w:p w14:paraId="7564E01F" w14:textId="77777777" w:rsidR="002C07E0" w:rsidRPr="002C07E0" w:rsidRDefault="002C07E0" w:rsidP="002C07E0">
            <w:pPr>
              <w:jc w:val="both"/>
              <w:rPr>
                <w:rFonts w:ascii="Arial" w:eastAsia="Times New Roman" w:hAnsi="Arial" w:cs="Arial"/>
              </w:rPr>
            </w:pPr>
            <w:r w:rsidRPr="002C07E0">
              <w:rPr>
                <w:rFonts w:ascii="Arial" w:eastAsia="Times New Roman" w:hAnsi="Arial" w:cs="Arial"/>
              </w:rPr>
              <w:t>SDG 13</w:t>
            </w:r>
          </w:p>
        </w:tc>
        <w:tc>
          <w:tcPr>
            <w:tcW w:w="0" w:type="auto"/>
            <w:hideMark/>
          </w:tcPr>
          <w:p w14:paraId="39F6F97A" w14:textId="77777777" w:rsidR="002C07E0" w:rsidRPr="002C07E0" w:rsidRDefault="002C07E0" w:rsidP="002C07E0">
            <w:pPr>
              <w:jc w:val="both"/>
              <w:rPr>
                <w:rFonts w:ascii="Arial" w:eastAsia="Times New Roman" w:hAnsi="Arial" w:cs="Arial"/>
              </w:rPr>
            </w:pPr>
            <w:r w:rsidRPr="002C07E0">
              <w:rPr>
                <w:rFonts w:ascii="Arial" w:eastAsia="Times New Roman" w:hAnsi="Arial" w:cs="Arial"/>
              </w:rPr>
              <w:t>Carbon emission reductions; sustainable procurement practices</w:t>
            </w:r>
          </w:p>
        </w:tc>
        <w:tc>
          <w:tcPr>
            <w:tcW w:w="0" w:type="auto"/>
            <w:hideMark/>
          </w:tcPr>
          <w:p w14:paraId="52CD8CAB" w14:textId="77777777" w:rsidR="002C07E0" w:rsidRPr="002C07E0" w:rsidRDefault="002C07E0" w:rsidP="002C07E0">
            <w:pPr>
              <w:jc w:val="both"/>
              <w:rPr>
                <w:rFonts w:ascii="Arial" w:eastAsia="Times New Roman" w:hAnsi="Arial" w:cs="Arial"/>
              </w:rPr>
            </w:pPr>
            <w:r w:rsidRPr="002C07E0">
              <w:rPr>
                <w:rFonts w:ascii="Arial" w:eastAsia="Times New Roman" w:hAnsi="Arial" w:cs="Arial"/>
              </w:rPr>
              <w:t>Uneven regional implementati</w:t>
            </w:r>
            <w:r w:rsidR="00416AF5">
              <w:rPr>
                <w:rFonts w:ascii="Arial" w:eastAsia="Times New Roman" w:hAnsi="Arial" w:cs="Arial"/>
              </w:rPr>
              <w:t>on,</w:t>
            </w:r>
            <w:r w:rsidRPr="002C07E0">
              <w:rPr>
                <w:rFonts w:ascii="Arial" w:eastAsia="Times New Roman" w:hAnsi="Arial" w:cs="Arial"/>
              </w:rPr>
              <w:t xml:space="preserve"> capital resource constraints (Watts et al., 2021; Romanello et al., 2023)</w:t>
            </w:r>
          </w:p>
        </w:tc>
      </w:tr>
      <w:tr w:rsidR="002C07E0" w:rsidRPr="002C07E0" w14:paraId="31AC05A0" w14:textId="77777777" w:rsidTr="002C07E0">
        <w:tc>
          <w:tcPr>
            <w:tcW w:w="0" w:type="auto"/>
            <w:hideMark/>
          </w:tcPr>
          <w:p w14:paraId="67EE985F" w14:textId="77777777" w:rsidR="002C07E0" w:rsidRPr="002C07E0" w:rsidRDefault="002C07E0" w:rsidP="002C07E0">
            <w:pPr>
              <w:jc w:val="both"/>
              <w:rPr>
                <w:rFonts w:ascii="Arial" w:eastAsia="Times New Roman" w:hAnsi="Arial" w:cs="Arial"/>
                <w:b/>
              </w:rPr>
            </w:pPr>
            <w:r w:rsidRPr="002C07E0">
              <w:rPr>
                <w:rFonts w:ascii="Arial" w:eastAsia="Times New Roman" w:hAnsi="Arial" w:cs="Arial"/>
                <w:b/>
              </w:rPr>
              <w:t>Health and Care Act 2022 (ICS)</w:t>
            </w:r>
          </w:p>
        </w:tc>
        <w:tc>
          <w:tcPr>
            <w:tcW w:w="0" w:type="auto"/>
            <w:hideMark/>
          </w:tcPr>
          <w:p w14:paraId="47585B03" w14:textId="77777777" w:rsidR="002C07E0" w:rsidRPr="002C07E0" w:rsidRDefault="002C07E0" w:rsidP="002C07E0">
            <w:pPr>
              <w:jc w:val="both"/>
              <w:rPr>
                <w:rFonts w:ascii="Arial" w:eastAsia="Times New Roman" w:hAnsi="Arial" w:cs="Arial"/>
              </w:rPr>
            </w:pPr>
            <w:r w:rsidRPr="002C07E0">
              <w:rPr>
                <w:rFonts w:ascii="Arial" w:eastAsia="Times New Roman" w:hAnsi="Arial" w:cs="Arial"/>
              </w:rPr>
              <w:t>SDG 3 &amp; SDG 13</w:t>
            </w:r>
          </w:p>
        </w:tc>
        <w:tc>
          <w:tcPr>
            <w:tcW w:w="0" w:type="auto"/>
            <w:hideMark/>
          </w:tcPr>
          <w:p w14:paraId="23A86E83" w14:textId="77777777" w:rsidR="002C07E0" w:rsidRPr="002C07E0" w:rsidRDefault="002C07E0" w:rsidP="002C07E0">
            <w:pPr>
              <w:jc w:val="both"/>
              <w:rPr>
                <w:rFonts w:ascii="Arial" w:eastAsia="Times New Roman" w:hAnsi="Arial" w:cs="Arial"/>
              </w:rPr>
            </w:pPr>
            <w:r w:rsidRPr="002C07E0">
              <w:rPr>
                <w:rFonts w:ascii="Arial" w:eastAsia="Times New Roman" w:hAnsi="Arial" w:cs="Arial"/>
              </w:rPr>
              <w:t>Facilitates place</w:t>
            </w:r>
            <w:r w:rsidRPr="002C07E0">
              <w:rPr>
                <w:rFonts w:ascii="Arial" w:eastAsia="Times New Roman" w:hAnsi="Arial" w:cs="Arial"/>
              </w:rPr>
              <w:noBreakHyphen/>
              <w:t>based integration</w:t>
            </w:r>
          </w:p>
        </w:tc>
        <w:tc>
          <w:tcPr>
            <w:tcW w:w="0" w:type="auto"/>
            <w:hideMark/>
          </w:tcPr>
          <w:p w14:paraId="0FA46B10" w14:textId="77777777" w:rsidR="002C07E0" w:rsidRPr="002C07E0" w:rsidRDefault="00416AF5" w:rsidP="002C07E0">
            <w:pPr>
              <w:jc w:val="both"/>
              <w:rPr>
                <w:rFonts w:ascii="Arial" w:eastAsia="Times New Roman" w:hAnsi="Arial" w:cs="Arial"/>
              </w:rPr>
            </w:pPr>
            <w:r>
              <w:rPr>
                <w:rFonts w:ascii="Arial" w:eastAsia="Times New Roman" w:hAnsi="Arial" w:cs="Arial"/>
              </w:rPr>
              <w:t>Governance complexity,</w:t>
            </w:r>
            <w:r w:rsidR="002C07E0" w:rsidRPr="002C07E0">
              <w:rPr>
                <w:rFonts w:ascii="Arial" w:eastAsia="Times New Roman" w:hAnsi="Arial" w:cs="Arial"/>
              </w:rPr>
              <w:t xml:space="preserve"> variable local capacity (Checkland et al., 2021)</w:t>
            </w:r>
          </w:p>
        </w:tc>
      </w:tr>
      <w:tr w:rsidR="002C07E0" w:rsidRPr="002C07E0" w14:paraId="074DAEDD" w14:textId="77777777" w:rsidTr="002C07E0">
        <w:tc>
          <w:tcPr>
            <w:tcW w:w="0" w:type="auto"/>
            <w:hideMark/>
          </w:tcPr>
          <w:p w14:paraId="2F60A989" w14:textId="77777777" w:rsidR="002C07E0" w:rsidRPr="002C07E0" w:rsidRDefault="002C07E0" w:rsidP="002C07E0">
            <w:pPr>
              <w:jc w:val="both"/>
              <w:rPr>
                <w:rFonts w:ascii="Arial" w:eastAsia="Times New Roman" w:hAnsi="Arial" w:cs="Arial"/>
                <w:b/>
              </w:rPr>
            </w:pPr>
            <w:r w:rsidRPr="002C07E0">
              <w:rPr>
                <w:rFonts w:ascii="Arial" w:eastAsia="Times New Roman" w:hAnsi="Arial" w:cs="Arial"/>
                <w:b/>
              </w:rPr>
              <w:t>Public Health Funding Framework</w:t>
            </w:r>
          </w:p>
        </w:tc>
        <w:tc>
          <w:tcPr>
            <w:tcW w:w="0" w:type="auto"/>
            <w:hideMark/>
          </w:tcPr>
          <w:p w14:paraId="2A54C184" w14:textId="77777777" w:rsidR="002C07E0" w:rsidRPr="002C07E0" w:rsidRDefault="002C07E0" w:rsidP="002C07E0">
            <w:pPr>
              <w:jc w:val="both"/>
              <w:rPr>
                <w:rFonts w:ascii="Arial" w:eastAsia="Times New Roman" w:hAnsi="Arial" w:cs="Arial"/>
              </w:rPr>
            </w:pPr>
            <w:r w:rsidRPr="002C07E0">
              <w:rPr>
                <w:rFonts w:ascii="Arial" w:eastAsia="Times New Roman" w:hAnsi="Arial" w:cs="Arial"/>
              </w:rPr>
              <w:t>SDG 3</w:t>
            </w:r>
          </w:p>
        </w:tc>
        <w:tc>
          <w:tcPr>
            <w:tcW w:w="0" w:type="auto"/>
            <w:hideMark/>
          </w:tcPr>
          <w:p w14:paraId="1090A924" w14:textId="77777777" w:rsidR="002C07E0" w:rsidRPr="002C07E0" w:rsidRDefault="002C07E0" w:rsidP="002C07E0">
            <w:pPr>
              <w:jc w:val="both"/>
              <w:rPr>
                <w:rFonts w:ascii="Arial" w:eastAsia="Times New Roman" w:hAnsi="Arial" w:cs="Arial"/>
              </w:rPr>
            </w:pPr>
            <w:r w:rsidRPr="002C07E0">
              <w:rPr>
                <w:rFonts w:ascii="Arial" w:eastAsia="Times New Roman" w:hAnsi="Arial" w:cs="Arial"/>
              </w:rPr>
              <w:t>Targeted preventive programmes</w:t>
            </w:r>
          </w:p>
        </w:tc>
        <w:tc>
          <w:tcPr>
            <w:tcW w:w="0" w:type="auto"/>
            <w:hideMark/>
          </w:tcPr>
          <w:p w14:paraId="18B588CC" w14:textId="77777777" w:rsidR="002C07E0" w:rsidRPr="002C07E0" w:rsidRDefault="002C07E0" w:rsidP="002C07E0">
            <w:pPr>
              <w:jc w:val="both"/>
              <w:rPr>
                <w:rFonts w:ascii="Arial" w:eastAsia="Times New Roman" w:hAnsi="Arial" w:cs="Arial"/>
              </w:rPr>
            </w:pPr>
            <w:r w:rsidRPr="002C07E0">
              <w:rPr>
                <w:rFonts w:ascii="Arial" w:eastAsia="Times New Roman" w:hAnsi="Arial" w:cs="Arial"/>
              </w:rPr>
              <w:t>Real</w:t>
            </w:r>
            <w:r w:rsidRPr="002C07E0">
              <w:rPr>
                <w:rFonts w:ascii="Arial" w:eastAsia="Times New Roman" w:hAnsi="Arial" w:cs="Arial"/>
              </w:rPr>
              <w:noBreakHyphen/>
              <w:t>terms funding constraints limit reach and scale (The King’s Fund, 2023)</w:t>
            </w:r>
          </w:p>
        </w:tc>
      </w:tr>
    </w:tbl>
    <w:p w14:paraId="4A3A02F7" w14:textId="77777777" w:rsidR="002C07E0" w:rsidRPr="002C07E0" w:rsidRDefault="002C07E0" w:rsidP="002C07E0">
      <w:pPr>
        <w:tabs>
          <w:tab w:val="left" w:pos="5240"/>
        </w:tabs>
        <w:spacing w:after="0" w:line="360" w:lineRule="auto"/>
        <w:jc w:val="both"/>
        <w:rPr>
          <w:rFonts w:ascii="Arial" w:eastAsia="Times New Roman" w:hAnsi="Arial" w:cs="Arial"/>
        </w:rPr>
      </w:pPr>
      <w:r>
        <w:rPr>
          <w:rFonts w:ascii="Arial" w:eastAsia="Times New Roman" w:hAnsi="Arial" w:cs="Arial"/>
        </w:rPr>
        <w:tab/>
      </w:r>
    </w:p>
    <w:p w14:paraId="2E909DCA" w14:textId="77777777" w:rsidR="002C07E0" w:rsidRPr="002C07E0" w:rsidRDefault="002C07E0" w:rsidP="002C07E0">
      <w:pPr>
        <w:spacing w:before="100" w:beforeAutospacing="1" w:after="100" w:afterAutospacing="1" w:line="360" w:lineRule="auto"/>
        <w:jc w:val="both"/>
        <w:outlineLvl w:val="1"/>
        <w:rPr>
          <w:rFonts w:ascii="Arial" w:eastAsia="Times New Roman" w:hAnsi="Arial" w:cs="Arial"/>
          <w:b/>
          <w:bCs/>
        </w:rPr>
      </w:pPr>
      <w:r>
        <w:rPr>
          <w:rFonts w:ascii="Arial" w:eastAsia="Times New Roman" w:hAnsi="Arial" w:cs="Arial"/>
          <w:b/>
          <w:bCs/>
        </w:rPr>
        <w:t>5. Local Context</w:t>
      </w:r>
      <w:r w:rsidRPr="002C07E0">
        <w:rPr>
          <w:rFonts w:ascii="Arial" w:eastAsia="Times New Roman" w:hAnsi="Arial" w:cs="Arial"/>
          <w:b/>
          <w:bCs/>
        </w:rPr>
        <w:t>: Greater Manchester Integrated Care System</w:t>
      </w:r>
    </w:p>
    <w:p w14:paraId="7D0222F9" w14:textId="77777777" w:rsidR="002C07E0" w:rsidRPr="002C07E0" w:rsidRDefault="002C07E0" w:rsidP="002C07E0">
      <w:pPr>
        <w:spacing w:before="100" w:beforeAutospacing="1" w:after="100" w:afterAutospacing="1" w:line="360" w:lineRule="auto"/>
        <w:jc w:val="both"/>
        <w:rPr>
          <w:rFonts w:ascii="Arial" w:eastAsia="Times New Roman" w:hAnsi="Arial" w:cs="Arial"/>
        </w:rPr>
      </w:pPr>
      <w:r w:rsidRPr="002C07E0">
        <w:rPr>
          <w:rFonts w:ascii="Arial" w:eastAsia="Times New Roman" w:hAnsi="Arial" w:cs="Arial"/>
        </w:rPr>
        <w:t>Greater Manchester ICS exemplifies the practical challenges and opportunities of integrated health and climate policy at the local level. The region experiences significant deprivation, elevated rates of cardiovascular and respiratory morbidity, and substantial mental health burdens, making it a pertinent environment for SDG assessment (Walshe et al., 2022; Local Government Association, 2022).</w:t>
      </w:r>
    </w:p>
    <w:p w14:paraId="5604AD6E" w14:textId="77777777" w:rsidR="002C07E0" w:rsidRPr="002C07E0" w:rsidRDefault="002C07E0" w:rsidP="002C07E0">
      <w:pPr>
        <w:spacing w:before="100" w:beforeAutospacing="1" w:after="100" w:afterAutospacing="1" w:line="360" w:lineRule="auto"/>
        <w:jc w:val="both"/>
        <w:rPr>
          <w:rFonts w:ascii="Arial" w:eastAsia="Times New Roman" w:hAnsi="Arial" w:cs="Arial"/>
        </w:rPr>
      </w:pPr>
      <w:r w:rsidRPr="002C07E0">
        <w:rPr>
          <w:rFonts w:ascii="Arial" w:eastAsia="Times New Roman" w:hAnsi="Arial" w:cs="Arial"/>
        </w:rPr>
        <w:t xml:space="preserve">The ICS’s population health strategy emphasises early intervention, preventive care and </w:t>
      </w:r>
      <w:r w:rsidR="00123177">
        <w:rPr>
          <w:rFonts w:ascii="Arial" w:eastAsia="Times New Roman" w:hAnsi="Arial" w:cs="Arial"/>
        </w:rPr>
        <w:t xml:space="preserve">action on social determinants </w:t>
      </w:r>
      <w:r w:rsidRPr="002C07E0">
        <w:rPr>
          <w:rFonts w:ascii="Arial" w:eastAsia="Times New Roman" w:hAnsi="Arial" w:cs="Arial"/>
        </w:rPr>
        <w:t>including hous</w:t>
      </w:r>
      <w:r w:rsidR="00123177">
        <w:rPr>
          <w:rFonts w:ascii="Arial" w:eastAsia="Times New Roman" w:hAnsi="Arial" w:cs="Arial"/>
        </w:rPr>
        <w:t xml:space="preserve">ing, education and employment </w:t>
      </w:r>
      <w:r w:rsidRPr="002C07E0">
        <w:rPr>
          <w:rFonts w:ascii="Arial" w:eastAsia="Times New Roman" w:hAnsi="Arial" w:cs="Arial"/>
        </w:rPr>
        <w:t>which are critical for reducing health inequities. Environmental initiatives such as the Greater Manchester Clean Air Plan, expansion of urban green space and embedding sustainability within health estate planning align with national Net Zero targets and local climate objectives (Checkland et al., 2021; Walshe et al., 2022). These initiatives reflect an integrated approach that recognises the interdependence of health and environmental policy.</w:t>
      </w:r>
    </w:p>
    <w:p w14:paraId="0C7E4249" w14:textId="77777777" w:rsidR="002C07E0" w:rsidRPr="002C07E0" w:rsidRDefault="002C07E0" w:rsidP="002C07E0">
      <w:pPr>
        <w:spacing w:before="100" w:beforeAutospacing="1" w:after="100" w:afterAutospacing="1" w:line="360" w:lineRule="auto"/>
        <w:jc w:val="both"/>
        <w:rPr>
          <w:rFonts w:ascii="Arial" w:eastAsia="Times New Roman" w:hAnsi="Arial" w:cs="Arial"/>
        </w:rPr>
      </w:pPr>
      <w:r w:rsidRPr="002C07E0">
        <w:rPr>
          <w:rFonts w:ascii="Arial" w:eastAsia="Times New Roman" w:hAnsi="Arial" w:cs="Arial"/>
        </w:rPr>
        <w:t>Nevertheless, measurable health improvements have been uneven across the region. Socioeconomic disparities significantly influence health outcomes, and carbon reduction progress varies by provider, reflecting differences in operational capacity and access to capital investment. Financial settlements that prioritise short</w:t>
      </w:r>
      <w:r w:rsidRPr="002C07E0">
        <w:rPr>
          <w:rFonts w:ascii="Arial" w:eastAsia="Times New Roman" w:hAnsi="Arial" w:cs="Arial"/>
        </w:rPr>
        <w:noBreakHyphen/>
        <w:t>term service pressures over long</w:t>
      </w:r>
      <w:r w:rsidRPr="002C07E0">
        <w:rPr>
          <w:rFonts w:ascii="Arial" w:eastAsia="Times New Roman" w:hAnsi="Arial" w:cs="Arial"/>
        </w:rPr>
        <w:noBreakHyphen/>
        <w:t>term prevention and sustainability reduce the capacity for systemic transformation. Workforce shortages, complex multi</w:t>
      </w:r>
      <w:r w:rsidRPr="002C07E0">
        <w:rPr>
          <w:rFonts w:ascii="Arial" w:eastAsia="Times New Roman" w:hAnsi="Arial" w:cs="Arial"/>
        </w:rPr>
        <w:noBreakHyphen/>
        <w:t>agency governance and inconsistent community engagement further complicate implementation (The King’s Fund, 2022; Local Government Association, 2022).</w:t>
      </w:r>
    </w:p>
    <w:p w14:paraId="62C19E85" w14:textId="77777777" w:rsidR="002C07E0" w:rsidRPr="002C07E0" w:rsidRDefault="002C07E0" w:rsidP="002C07E0">
      <w:pPr>
        <w:spacing w:before="100" w:beforeAutospacing="1" w:after="100" w:afterAutospacing="1" w:line="360" w:lineRule="auto"/>
        <w:jc w:val="both"/>
        <w:rPr>
          <w:rFonts w:ascii="Arial" w:eastAsia="Times New Roman" w:hAnsi="Arial" w:cs="Arial"/>
        </w:rPr>
      </w:pPr>
      <w:r w:rsidRPr="002C07E0">
        <w:rPr>
          <w:rFonts w:ascii="Arial" w:eastAsia="Times New Roman" w:hAnsi="Arial" w:cs="Arial"/>
        </w:rPr>
        <w:t>Greater Manchester’s experience demonstrates both the potential and complexity of translating integrated SDG ambitions into measurable outcomes. It underscores the need for sustained investment, clear accountability mechanisms, and mechanisms to engage communities meaningfully in co</w:t>
      </w:r>
      <w:r w:rsidRPr="002C07E0">
        <w:rPr>
          <w:rFonts w:ascii="Arial" w:eastAsia="Times New Roman" w:hAnsi="Arial" w:cs="Arial"/>
        </w:rPr>
        <w:noBreakHyphen/>
        <w:t>producing interventions that are equitable, culturally appropriate and locally relevant.</w:t>
      </w:r>
    </w:p>
    <w:p w14:paraId="38EB3067" w14:textId="77777777" w:rsidR="002C07E0" w:rsidRPr="002C07E0" w:rsidRDefault="002C07E0" w:rsidP="002C07E0">
      <w:pPr>
        <w:spacing w:before="100" w:beforeAutospacing="1" w:after="100" w:afterAutospacing="1" w:line="360" w:lineRule="auto"/>
        <w:jc w:val="both"/>
        <w:outlineLvl w:val="1"/>
        <w:rPr>
          <w:rFonts w:ascii="Arial" w:eastAsia="Times New Roman" w:hAnsi="Arial" w:cs="Arial"/>
          <w:b/>
          <w:bCs/>
        </w:rPr>
      </w:pPr>
      <w:r w:rsidRPr="002C07E0">
        <w:rPr>
          <w:rFonts w:ascii="Arial" w:eastAsia="Times New Roman" w:hAnsi="Arial" w:cs="Arial"/>
          <w:b/>
          <w:bCs/>
        </w:rPr>
        <w:t>6. Recommendations</w:t>
      </w:r>
    </w:p>
    <w:p w14:paraId="31ACC253" w14:textId="77777777" w:rsidR="002C07E0" w:rsidRPr="002C07E0" w:rsidRDefault="002C07E0" w:rsidP="002C07E0">
      <w:pPr>
        <w:spacing w:before="100" w:beforeAutospacing="1" w:after="100" w:afterAutospacing="1" w:line="360" w:lineRule="auto"/>
        <w:jc w:val="both"/>
        <w:rPr>
          <w:rFonts w:ascii="Arial" w:eastAsia="Times New Roman" w:hAnsi="Arial" w:cs="Arial"/>
        </w:rPr>
      </w:pPr>
      <w:r w:rsidRPr="002C07E0">
        <w:rPr>
          <w:rFonts w:ascii="Arial" w:eastAsia="Times New Roman" w:hAnsi="Arial" w:cs="Arial"/>
        </w:rPr>
        <w:t>To enhance the effectiveness of policies targeting SDG 3 and SDG 13, a comprehensive multi</w:t>
      </w:r>
      <w:r w:rsidRPr="002C07E0">
        <w:rPr>
          <w:rFonts w:ascii="Arial" w:eastAsia="Times New Roman" w:hAnsi="Arial" w:cs="Arial"/>
        </w:rPr>
        <w:noBreakHyphen/>
        <w:t>level strategy is required that embeds health and climate objectives across governance, financing and implementation frameworks.</w:t>
      </w:r>
    </w:p>
    <w:p w14:paraId="4BA7BB00" w14:textId="77777777" w:rsidR="002C07E0" w:rsidRPr="002C07E0" w:rsidRDefault="002C07E0" w:rsidP="002C07E0">
      <w:pPr>
        <w:spacing w:before="100" w:beforeAutospacing="1" w:after="100" w:afterAutospacing="1" w:line="360" w:lineRule="auto"/>
        <w:jc w:val="both"/>
        <w:rPr>
          <w:rFonts w:ascii="Arial" w:eastAsia="Times New Roman" w:hAnsi="Arial" w:cs="Arial"/>
        </w:rPr>
      </w:pPr>
      <w:r w:rsidRPr="002C07E0">
        <w:rPr>
          <w:rFonts w:ascii="Arial" w:eastAsia="Times New Roman" w:hAnsi="Arial" w:cs="Arial"/>
          <w:b/>
          <w:bCs/>
        </w:rPr>
        <w:t>National Strategic Integration:</w:t>
      </w:r>
      <w:r w:rsidRPr="002C07E0">
        <w:rPr>
          <w:rFonts w:ascii="Arial" w:eastAsia="Times New Roman" w:hAnsi="Arial" w:cs="Arial"/>
        </w:rPr>
        <w:t xml:space="preserve"> At the national level, legislation should mandate comprehensive </w:t>
      </w:r>
      <w:r w:rsidRPr="002C07E0">
        <w:rPr>
          <w:rFonts w:ascii="Arial" w:eastAsia="Times New Roman" w:hAnsi="Arial" w:cs="Arial"/>
          <w:bCs/>
        </w:rPr>
        <w:t>Health Impact Assessments (HIAs)</w:t>
      </w:r>
      <w:r w:rsidRPr="002C07E0">
        <w:rPr>
          <w:rFonts w:ascii="Arial" w:eastAsia="Times New Roman" w:hAnsi="Arial" w:cs="Arial"/>
        </w:rPr>
        <w:t xml:space="preserve"> for climate initiatives, urban development and major infrastructure projects to ensure that potential health consequences and co</w:t>
      </w:r>
      <w:r w:rsidRPr="002C07E0">
        <w:rPr>
          <w:rFonts w:ascii="Arial" w:eastAsia="Times New Roman" w:hAnsi="Arial" w:cs="Arial"/>
        </w:rPr>
        <w:noBreakHyphen/>
        <w:t>benefits are systematically assessed (World Health Organization, 2023; Haines and Ebi, 2021). Embedding HIAs within planning and regulatory frameworks ensures that climate policy decisions do not exacerbate health inequities and deliver measurable health gains, such as reduced air pollution and improved mental wellbeing.</w:t>
      </w:r>
    </w:p>
    <w:p w14:paraId="7CBDC876" w14:textId="77777777" w:rsidR="002C07E0" w:rsidRPr="002C07E0" w:rsidRDefault="002C07E0" w:rsidP="002C07E0">
      <w:pPr>
        <w:spacing w:before="100" w:beforeAutospacing="1" w:after="100" w:afterAutospacing="1" w:line="360" w:lineRule="auto"/>
        <w:jc w:val="both"/>
        <w:rPr>
          <w:rFonts w:ascii="Arial" w:eastAsia="Times New Roman" w:hAnsi="Arial" w:cs="Arial"/>
        </w:rPr>
      </w:pPr>
      <w:r w:rsidRPr="002C07E0">
        <w:rPr>
          <w:rFonts w:ascii="Arial" w:eastAsia="Times New Roman" w:hAnsi="Arial" w:cs="Arial"/>
          <w:b/>
          <w:bCs/>
        </w:rPr>
        <w:t>Funding and Investment:</w:t>
      </w:r>
      <w:r w:rsidRPr="002C07E0">
        <w:rPr>
          <w:rFonts w:ascii="Arial" w:eastAsia="Times New Roman" w:hAnsi="Arial" w:cs="Arial"/>
        </w:rPr>
        <w:t xml:space="preserve"> Sustainable funding mechanisms must prioritise preventive care, community health promotion and mental health services, particularly in the most deprived areas. Increasing the proportion of public health funding dedic</w:t>
      </w:r>
      <w:r w:rsidR="00123177">
        <w:rPr>
          <w:rFonts w:ascii="Arial" w:eastAsia="Times New Roman" w:hAnsi="Arial" w:cs="Arial"/>
        </w:rPr>
        <w:t xml:space="preserve">ated to upstream determinants </w:t>
      </w:r>
      <w:r w:rsidRPr="002C07E0">
        <w:rPr>
          <w:rFonts w:ascii="Arial" w:eastAsia="Times New Roman" w:hAnsi="Arial" w:cs="Arial"/>
        </w:rPr>
        <w:t>such as edu</w:t>
      </w:r>
      <w:r w:rsidR="00123177">
        <w:rPr>
          <w:rFonts w:ascii="Arial" w:eastAsia="Times New Roman" w:hAnsi="Arial" w:cs="Arial"/>
        </w:rPr>
        <w:t xml:space="preserve">cation, housing and nutrition </w:t>
      </w:r>
      <w:r w:rsidRPr="002C07E0">
        <w:rPr>
          <w:rFonts w:ascii="Arial" w:eastAsia="Times New Roman" w:hAnsi="Arial" w:cs="Arial"/>
        </w:rPr>
        <w:t>will reduce long</w:t>
      </w:r>
      <w:r w:rsidRPr="002C07E0">
        <w:rPr>
          <w:rFonts w:ascii="Arial" w:eastAsia="Times New Roman" w:hAnsi="Arial" w:cs="Arial"/>
        </w:rPr>
        <w:noBreakHyphen/>
        <w:t>term care burdens and enhance resilience to environmental stressors (The King’s Fund, 2023). Climate financing should be linked explicitly to health outcomes, supporting cross</w:t>
      </w:r>
      <w:r w:rsidRPr="002C07E0">
        <w:rPr>
          <w:rFonts w:ascii="Arial" w:eastAsia="Times New Roman" w:hAnsi="Arial" w:cs="Arial"/>
        </w:rPr>
        <w:noBreakHyphen/>
        <w:t>sector initiatives that deliver co</w:t>
      </w:r>
      <w:r w:rsidRPr="002C07E0">
        <w:rPr>
          <w:rFonts w:ascii="Arial" w:eastAsia="Times New Roman" w:hAnsi="Arial" w:cs="Arial"/>
        </w:rPr>
        <w:noBreakHyphen/>
        <w:t>benefits, for example, investments in active transport infrastructure that reduce emissions while increasing population physical activity.</w:t>
      </w:r>
    </w:p>
    <w:p w14:paraId="17C0526D" w14:textId="77777777" w:rsidR="002C07E0" w:rsidRPr="002C07E0" w:rsidRDefault="002C07E0" w:rsidP="002C07E0">
      <w:pPr>
        <w:spacing w:before="100" w:beforeAutospacing="1" w:after="100" w:afterAutospacing="1" w:line="360" w:lineRule="auto"/>
        <w:jc w:val="both"/>
        <w:rPr>
          <w:rFonts w:ascii="Arial" w:eastAsia="Times New Roman" w:hAnsi="Arial" w:cs="Arial"/>
        </w:rPr>
      </w:pPr>
      <w:r w:rsidRPr="002C07E0">
        <w:rPr>
          <w:rFonts w:ascii="Arial" w:eastAsia="Times New Roman" w:hAnsi="Arial" w:cs="Arial"/>
          <w:b/>
          <w:bCs/>
        </w:rPr>
        <w:t>Health Service Transformation:</w:t>
      </w:r>
      <w:r w:rsidRPr="002C07E0">
        <w:rPr>
          <w:rFonts w:ascii="Arial" w:eastAsia="Times New Roman" w:hAnsi="Arial" w:cs="Arial"/>
        </w:rPr>
        <w:t xml:space="preserve"> Within the NHS, existing efforts to decarbonise should be expanded systematically. This includes accelerated adoption of green energy solutions, electrification of transport fleets, sustainable procurement standards and retrofitting estates for energy efficiency (Watts et al., 2021; Salas, Jha and Landrigan, 2021). To address regional disparities in climate action, targeted funding incentives and capacity building should support under</w:t>
      </w:r>
      <w:r w:rsidRPr="002C07E0">
        <w:rPr>
          <w:rFonts w:ascii="Arial" w:eastAsia="Times New Roman" w:hAnsi="Arial" w:cs="Arial"/>
        </w:rPr>
        <w:noBreakHyphen/>
        <w:t>resourced Trusts in meeting Net Zero milestones.</w:t>
      </w:r>
    </w:p>
    <w:p w14:paraId="4826E74E" w14:textId="77777777" w:rsidR="002C07E0" w:rsidRPr="002C07E0" w:rsidRDefault="002C07E0" w:rsidP="002C07E0">
      <w:pPr>
        <w:spacing w:before="100" w:beforeAutospacing="1" w:after="100" w:afterAutospacing="1" w:line="360" w:lineRule="auto"/>
        <w:jc w:val="both"/>
        <w:rPr>
          <w:rFonts w:ascii="Arial" w:eastAsia="Times New Roman" w:hAnsi="Arial" w:cs="Arial"/>
        </w:rPr>
      </w:pPr>
      <w:r w:rsidRPr="002C07E0">
        <w:rPr>
          <w:rFonts w:ascii="Arial" w:eastAsia="Times New Roman" w:hAnsi="Arial" w:cs="Arial"/>
          <w:b/>
          <w:bCs/>
        </w:rPr>
        <w:t>Local Co</w:t>
      </w:r>
      <w:r w:rsidRPr="002C07E0">
        <w:rPr>
          <w:rFonts w:ascii="Arial" w:eastAsia="Times New Roman" w:hAnsi="Arial" w:cs="Arial"/>
          <w:b/>
          <w:bCs/>
        </w:rPr>
        <w:noBreakHyphen/>
        <w:t>ordination and Accountability:</w:t>
      </w:r>
      <w:r w:rsidRPr="002C07E0">
        <w:rPr>
          <w:rFonts w:ascii="Arial" w:eastAsia="Times New Roman" w:hAnsi="Arial" w:cs="Arial"/>
        </w:rPr>
        <w:t xml:space="preserve"> At local levels, ICSs such as Greater Manchester should adopt </w:t>
      </w:r>
      <w:r w:rsidRPr="002C07E0">
        <w:rPr>
          <w:rFonts w:ascii="Arial" w:eastAsia="Times New Roman" w:hAnsi="Arial" w:cs="Arial"/>
          <w:bCs/>
        </w:rPr>
        <w:t>multi</w:t>
      </w:r>
      <w:r w:rsidRPr="002C07E0">
        <w:rPr>
          <w:rFonts w:ascii="Arial" w:eastAsia="Times New Roman" w:hAnsi="Arial" w:cs="Arial"/>
          <w:bCs/>
        </w:rPr>
        <w:noBreakHyphen/>
        <w:t>year funding agreements</w:t>
      </w:r>
      <w:r w:rsidRPr="002C07E0">
        <w:rPr>
          <w:rFonts w:ascii="Arial" w:eastAsia="Times New Roman" w:hAnsi="Arial" w:cs="Arial"/>
        </w:rPr>
        <w:t xml:space="preserve"> connected to outcomes in both health and environmental performance. Cross</w:t>
      </w:r>
      <w:r w:rsidRPr="002C07E0">
        <w:rPr>
          <w:rFonts w:ascii="Arial" w:eastAsia="Times New Roman" w:hAnsi="Arial" w:cs="Arial"/>
        </w:rPr>
        <w:noBreakHyphen/>
        <w:t>sector governance structures must be strengthened to align strategies across health, housing, transport and environmental sectors. Formal partnership agreements with clear accountability mechanisms will minimise siloed decision</w:t>
      </w:r>
      <w:r w:rsidRPr="002C07E0">
        <w:rPr>
          <w:rFonts w:ascii="Arial" w:eastAsia="Times New Roman" w:hAnsi="Arial" w:cs="Arial"/>
        </w:rPr>
        <w:noBreakHyphen/>
        <w:t>making and enhance joint action on shared objectives (Checkland et al., 2021; Walshe et al., 2022).</w:t>
      </w:r>
    </w:p>
    <w:p w14:paraId="17846EA9" w14:textId="77777777" w:rsidR="002C07E0" w:rsidRPr="002C07E0" w:rsidRDefault="002C07E0" w:rsidP="002C07E0">
      <w:pPr>
        <w:spacing w:before="100" w:beforeAutospacing="1" w:after="100" w:afterAutospacing="1" w:line="360" w:lineRule="auto"/>
        <w:jc w:val="both"/>
        <w:rPr>
          <w:rFonts w:ascii="Arial" w:eastAsia="Times New Roman" w:hAnsi="Arial" w:cs="Arial"/>
        </w:rPr>
      </w:pPr>
      <w:r w:rsidRPr="002C07E0">
        <w:rPr>
          <w:rFonts w:ascii="Arial" w:eastAsia="Times New Roman" w:hAnsi="Arial" w:cs="Arial"/>
          <w:b/>
          <w:bCs/>
        </w:rPr>
        <w:t>Community Engagement and Equity:</w:t>
      </w:r>
      <w:r w:rsidRPr="002C07E0">
        <w:rPr>
          <w:rFonts w:ascii="Arial" w:eastAsia="Times New Roman" w:hAnsi="Arial" w:cs="Arial"/>
        </w:rPr>
        <w:t xml:space="preserve"> Effective policy implementation requires meaningful involvement of local communities in co</w:t>
      </w:r>
      <w:r w:rsidRPr="002C07E0">
        <w:rPr>
          <w:rFonts w:ascii="Arial" w:eastAsia="Times New Roman" w:hAnsi="Arial" w:cs="Arial"/>
        </w:rPr>
        <w:noBreakHyphen/>
        <w:t>producing interventions. Prioritising community voices, particularly from marginalised groups, enables more culturally appropriate and equitable solutions. For example, involving residents in air quality monitoring and heatwave response planning can enhance trust, responsiveness and uptake of interventions.</w:t>
      </w:r>
    </w:p>
    <w:p w14:paraId="4E95FC45" w14:textId="77777777" w:rsidR="002C07E0" w:rsidRPr="002C07E0" w:rsidRDefault="002C07E0" w:rsidP="002C07E0">
      <w:pPr>
        <w:spacing w:before="100" w:beforeAutospacing="1" w:after="100" w:afterAutospacing="1" w:line="360" w:lineRule="auto"/>
        <w:jc w:val="both"/>
        <w:rPr>
          <w:rFonts w:ascii="Arial" w:eastAsia="Times New Roman" w:hAnsi="Arial" w:cs="Arial"/>
        </w:rPr>
      </w:pPr>
      <w:r w:rsidRPr="002C07E0">
        <w:rPr>
          <w:rFonts w:ascii="Arial" w:eastAsia="Times New Roman" w:hAnsi="Arial" w:cs="Arial"/>
          <w:b/>
          <w:bCs/>
        </w:rPr>
        <w:t>Data and Evidence Systems:</w:t>
      </w:r>
      <w:r w:rsidRPr="002C07E0">
        <w:rPr>
          <w:rFonts w:ascii="Arial" w:eastAsia="Times New Roman" w:hAnsi="Arial" w:cs="Arial"/>
        </w:rPr>
        <w:t xml:space="preserve"> Deployment of advanced data analytics, including Geospatial Information Systems (GIS), can support targeted action by identifying high</w:t>
      </w:r>
      <w:r w:rsidRPr="002C07E0">
        <w:rPr>
          <w:rFonts w:ascii="Arial" w:eastAsia="Times New Roman" w:hAnsi="Arial" w:cs="Arial"/>
        </w:rPr>
        <w:noBreakHyphen/>
        <w:t>risk populations and environmental exposures. Linking health and environmental data across sectors will improve early warning systems, resource allocation and policy evaluation, ensuring that interventions are evidence</w:t>
      </w:r>
      <w:r w:rsidRPr="002C07E0">
        <w:rPr>
          <w:rFonts w:ascii="Arial" w:eastAsia="Times New Roman" w:hAnsi="Arial" w:cs="Arial"/>
        </w:rPr>
        <w:noBreakHyphen/>
        <w:t>driven and outcomes are measurable (Alderwick et al., 2021; Romanello et al., 2023).</w:t>
      </w:r>
    </w:p>
    <w:p w14:paraId="6AFBC9B7" w14:textId="77777777" w:rsidR="002C07E0" w:rsidRPr="002C07E0" w:rsidRDefault="002C07E0" w:rsidP="002C07E0">
      <w:pPr>
        <w:spacing w:before="100" w:beforeAutospacing="1" w:after="100" w:afterAutospacing="1" w:line="360" w:lineRule="auto"/>
        <w:jc w:val="both"/>
        <w:rPr>
          <w:rFonts w:ascii="Arial" w:eastAsia="Times New Roman" w:hAnsi="Arial" w:cs="Arial"/>
        </w:rPr>
      </w:pPr>
      <w:r w:rsidRPr="002C07E0">
        <w:rPr>
          <w:rFonts w:ascii="Arial" w:eastAsia="Times New Roman" w:hAnsi="Arial" w:cs="Arial"/>
          <w:b/>
          <w:bCs/>
        </w:rPr>
        <w:t>Workforce Capacity Building:</w:t>
      </w:r>
      <w:r w:rsidRPr="002C07E0">
        <w:rPr>
          <w:rFonts w:ascii="Arial" w:eastAsia="Times New Roman" w:hAnsi="Arial" w:cs="Arial"/>
        </w:rPr>
        <w:t xml:space="preserve"> </w:t>
      </w:r>
      <w:r w:rsidR="00D51054">
        <w:rPr>
          <w:rFonts w:ascii="Arial" w:eastAsia="Times New Roman" w:hAnsi="Arial" w:cs="Arial"/>
        </w:rPr>
        <w:t>E</w:t>
      </w:r>
      <w:r w:rsidRPr="002C07E0">
        <w:rPr>
          <w:rFonts w:ascii="Arial" w:eastAsia="Times New Roman" w:hAnsi="Arial" w:cs="Arial"/>
        </w:rPr>
        <w:t>ducation and training programmes for health and environmental professionals should incorporate SDG literacy and climate</w:t>
      </w:r>
      <w:r w:rsidRPr="002C07E0">
        <w:rPr>
          <w:rFonts w:ascii="Arial" w:eastAsia="Times New Roman" w:hAnsi="Arial" w:cs="Arial"/>
        </w:rPr>
        <w:noBreakHyphen/>
        <w:t>health competencies. Building workforce capability ensures that future planners, clinicians and policymakers are equipped to operationalise integrated strategies, fostering a culture of innovation and sustainability in health systems.</w:t>
      </w:r>
    </w:p>
    <w:p w14:paraId="58766BD6" w14:textId="77777777" w:rsidR="002C07E0" w:rsidRPr="002C07E0" w:rsidRDefault="002C07E0" w:rsidP="002C07E0">
      <w:pPr>
        <w:spacing w:before="100" w:beforeAutospacing="1" w:after="100" w:afterAutospacing="1" w:line="360" w:lineRule="auto"/>
        <w:jc w:val="both"/>
        <w:outlineLvl w:val="1"/>
        <w:rPr>
          <w:rFonts w:ascii="Arial" w:eastAsia="Times New Roman" w:hAnsi="Arial" w:cs="Arial"/>
          <w:b/>
          <w:bCs/>
        </w:rPr>
      </w:pPr>
      <w:r w:rsidRPr="002C07E0">
        <w:rPr>
          <w:rFonts w:ascii="Arial" w:eastAsia="Times New Roman" w:hAnsi="Arial" w:cs="Arial"/>
          <w:b/>
          <w:bCs/>
        </w:rPr>
        <w:t>Conclusion</w:t>
      </w:r>
    </w:p>
    <w:p w14:paraId="5213E268" w14:textId="77777777" w:rsidR="002C07E0" w:rsidRPr="002C07E0" w:rsidRDefault="002C07E0" w:rsidP="002C07E0">
      <w:pPr>
        <w:spacing w:before="100" w:beforeAutospacing="1" w:after="100" w:afterAutospacing="1" w:line="360" w:lineRule="auto"/>
        <w:jc w:val="both"/>
        <w:rPr>
          <w:rFonts w:ascii="Arial" w:eastAsia="Times New Roman" w:hAnsi="Arial" w:cs="Arial"/>
        </w:rPr>
      </w:pPr>
      <w:r w:rsidRPr="002C07E0">
        <w:rPr>
          <w:rFonts w:ascii="Arial" w:eastAsia="Times New Roman" w:hAnsi="Arial" w:cs="Arial"/>
        </w:rPr>
        <w:t>SDG 3 and SDG 13 are inseparable in their implications for population health, equity and environmental sustainability. While global frameworks provide a foundation for action, real progress depends on effective integration, financing and governance at national and local levels. The UK’s strategic vision, embodied in the NHS Long Term Plan, Net Zero strategy and ICS reforms, demonstrates ambition but is constrained by implementation challenges, funding limits and workforce pressures (Alderwick et al., 2021; Checkland et al., 2021). The Greater Manchester ICS case study illustrates both the promise and complexity of translating integrated policies into measurable outcomes. Achieving sustainable, equitable health and climate outcomes requires sustained investment, strengthened cross</w:t>
      </w:r>
      <w:r w:rsidRPr="002C07E0">
        <w:rPr>
          <w:rFonts w:ascii="Arial" w:eastAsia="Times New Roman" w:hAnsi="Arial" w:cs="Arial"/>
        </w:rPr>
        <w:noBreakHyphen/>
        <w:t>sector governance, community engagement and robust accountability mechanisms. Embedding health in all policies and aligning climate action with wellbeing objectives can maximise population health benefits and build resilient, future</w:t>
      </w:r>
      <w:r w:rsidRPr="002C07E0">
        <w:rPr>
          <w:rFonts w:ascii="Arial" w:eastAsia="Times New Roman" w:hAnsi="Arial" w:cs="Arial"/>
        </w:rPr>
        <w:noBreakHyphen/>
        <w:t>ready health systems.</w:t>
      </w:r>
    </w:p>
    <w:p w14:paraId="5FE19EAC" w14:textId="77777777" w:rsidR="000152DF" w:rsidRDefault="000152DF" w:rsidP="002C07E0">
      <w:pPr>
        <w:spacing w:line="360" w:lineRule="auto"/>
        <w:jc w:val="both"/>
        <w:rPr>
          <w:rFonts w:ascii="Arial" w:hAnsi="Arial" w:cs="Arial"/>
          <w:b/>
        </w:rPr>
      </w:pPr>
    </w:p>
    <w:p w14:paraId="6D912617" w14:textId="77777777" w:rsidR="000152DF" w:rsidRDefault="000152DF" w:rsidP="002C07E0">
      <w:pPr>
        <w:spacing w:line="360" w:lineRule="auto"/>
        <w:jc w:val="both"/>
        <w:rPr>
          <w:rFonts w:ascii="Arial" w:hAnsi="Arial" w:cs="Arial"/>
          <w:b/>
        </w:rPr>
      </w:pPr>
    </w:p>
    <w:p w14:paraId="746F38FD" w14:textId="77777777" w:rsidR="000152DF" w:rsidRDefault="000152DF" w:rsidP="002C07E0">
      <w:pPr>
        <w:spacing w:line="360" w:lineRule="auto"/>
        <w:jc w:val="both"/>
        <w:rPr>
          <w:rFonts w:ascii="Arial" w:hAnsi="Arial" w:cs="Arial"/>
          <w:b/>
        </w:rPr>
      </w:pPr>
    </w:p>
    <w:p w14:paraId="69EA2CAE" w14:textId="77777777" w:rsidR="000152DF" w:rsidRDefault="000152DF" w:rsidP="002C07E0">
      <w:pPr>
        <w:spacing w:line="360" w:lineRule="auto"/>
        <w:jc w:val="both"/>
        <w:rPr>
          <w:rFonts w:ascii="Arial" w:hAnsi="Arial" w:cs="Arial"/>
          <w:b/>
        </w:rPr>
      </w:pPr>
    </w:p>
    <w:p w14:paraId="57C10945" w14:textId="77777777" w:rsidR="000152DF" w:rsidRDefault="000152DF" w:rsidP="002C07E0">
      <w:pPr>
        <w:spacing w:line="360" w:lineRule="auto"/>
        <w:jc w:val="both"/>
        <w:rPr>
          <w:rFonts w:ascii="Arial" w:hAnsi="Arial" w:cs="Arial"/>
          <w:b/>
        </w:rPr>
      </w:pPr>
    </w:p>
    <w:p w14:paraId="238D71C9" w14:textId="77777777" w:rsidR="000152DF" w:rsidRDefault="000152DF" w:rsidP="002C07E0">
      <w:pPr>
        <w:spacing w:line="360" w:lineRule="auto"/>
        <w:jc w:val="both"/>
        <w:rPr>
          <w:rFonts w:ascii="Arial" w:hAnsi="Arial" w:cs="Arial"/>
          <w:b/>
        </w:rPr>
      </w:pPr>
    </w:p>
    <w:p w14:paraId="0452FE12" w14:textId="77777777" w:rsidR="000152DF" w:rsidRDefault="000152DF" w:rsidP="002C07E0">
      <w:pPr>
        <w:spacing w:line="360" w:lineRule="auto"/>
        <w:jc w:val="both"/>
        <w:rPr>
          <w:rFonts w:ascii="Arial" w:hAnsi="Arial" w:cs="Arial"/>
          <w:b/>
        </w:rPr>
      </w:pPr>
    </w:p>
    <w:p w14:paraId="7EE9A80A" w14:textId="77777777" w:rsidR="000152DF" w:rsidRDefault="000152DF" w:rsidP="002C07E0">
      <w:pPr>
        <w:spacing w:line="360" w:lineRule="auto"/>
        <w:jc w:val="both"/>
        <w:rPr>
          <w:rFonts w:ascii="Arial" w:hAnsi="Arial" w:cs="Arial"/>
          <w:b/>
        </w:rPr>
      </w:pPr>
    </w:p>
    <w:p w14:paraId="64E08DFA" w14:textId="77777777" w:rsidR="000152DF" w:rsidRDefault="000152DF" w:rsidP="002C07E0">
      <w:pPr>
        <w:spacing w:line="360" w:lineRule="auto"/>
        <w:jc w:val="both"/>
        <w:rPr>
          <w:rFonts w:ascii="Arial" w:hAnsi="Arial" w:cs="Arial"/>
          <w:b/>
        </w:rPr>
      </w:pPr>
    </w:p>
    <w:p w14:paraId="15B3A3E3" w14:textId="77777777" w:rsidR="000152DF" w:rsidRDefault="000152DF" w:rsidP="002C07E0">
      <w:pPr>
        <w:spacing w:line="360" w:lineRule="auto"/>
        <w:jc w:val="both"/>
        <w:rPr>
          <w:rFonts w:ascii="Arial" w:hAnsi="Arial" w:cs="Arial"/>
          <w:b/>
        </w:rPr>
      </w:pPr>
    </w:p>
    <w:p w14:paraId="27A2FCCE" w14:textId="77777777" w:rsidR="000152DF" w:rsidRDefault="000152DF" w:rsidP="002C07E0">
      <w:pPr>
        <w:spacing w:line="360" w:lineRule="auto"/>
        <w:jc w:val="both"/>
        <w:rPr>
          <w:rFonts w:ascii="Arial" w:hAnsi="Arial" w:cs="Arial"/>
          <w:b/>
        </w:rPr>
      </w:pPr>
    </w:p>
    <w:p w14:paraId="32C92D4C" w14:textId="77777777" w:rsidR="000152DF" w:rsidRDefault="000152DF" w:rsidP="002C07E0">
      <w:pPr>
        <w:spacing w:line="360" w:lineRule="auto"/>
        <w:jc w:val="both"/>
        <w:rPr>
          <w:rFonts w:ascii="Arial" w:hAnsi="Arial" w:cs="Arial"/>
          <w:b/>
        </w:rPr>
      </w:pPr>
    </w:p>
    <w:p w14:paraId="6ADB9ADE" w14:textId="77777777" w:rsidR="000152DF" w:rsidRDefault="000152DF" w:rsidP="002C07E0">
      <w:pPr>
        <w:spacing w:line="360" w:lineRule="auto"/>
        <w:jc w:val="both"/>
        <w:rPr>
          <w:rFonts w:ascii="Arial" w:hAnsi="Arial" w:cs="Arial"/>
          <w:b/>
        </w:rPr>
      </w:pPr>
    </w:p>
    <w:p w14:paraId="05D123D3" w14:textId="77777777" w:rsidR="000152DF" w:rsidRDefault="000152DF" w:rsidP="002C07E0">
      <w:pPr>
        <w:spacing w:line="360" w:lineRule="auto"/>
        <w:jc w:val="both"/>
        <w:rPr>
          <w:rFonts w:ascii="Arial" w:hAnsi="Arial" w:cs="Arial"/>
          <w:b/>
        </w:rPr>
      </w:pPr>
    </w:p>
    <w:p w14:paraId="4357FBCA" w14:textId="77777777" w:rsidR="000152DF" w:rsidRDefault="000152DF" w:rsidP="002C07E0">
      <w:pPr>
        <w:spacing w:line="360" w:lineRule="auto"/>
        <w:jc w:val="both"/>
        <w:rPr>
          <w:rFonts w:ascii="Arial" w:hAnsi="Arial" w:cs="Arial"/>
          <w:b/>
        </w:rPr>
      </w:pPr>
    </w:p>
    <w:p w14:paraId="21635FAF" w14:textId="77777777" w:rsidR="000152DF" w:rsidRDefault="000152DF" w:rsidP="002C07E0">
      <w:pPr>
        <w:spacing w:line="360" w:lineRule="auto"/>
        <w:jc w:val="both"/>
        <w:rPr>
          <w:rFonts w:ascii="Arial" w:hAnsi="Arial" w:cs="Arial"/>
          <w:b/>
        </w:rPr>
      </w:pPr>
    </w:p>
    <w:p w14:paraId="7C5A743E" w14:textId="77777777" w:rsidR="000152DF" w:rsidRDefault="000152DF" w:rsidP="002C07E0">
      <w:pPr>
        <w:spacing w:line="360" w:lineRule="auto"/>
        <w:jc w:val="both"/>
        <w:rPr>
          <w:rFonts w:ascii="Arial" w:hAnsi="Arial" w:cs="Arial"/>
          <w:b/>
        </w:rPr>
      </w:pPr>
    </w:p>
    <w:p w14:paraId="352A6D27" w14:textId="77777777" w:rsidR="000152DF" w:rsidRDefault="000152DF" w:rsidP="002C07E0">
      <w:pPr>
        <w:spacing w:line="360" w:lineRule="auto"/>
        <w:jc w:val="both"/>
        <w:rPr>
          <w:rFonts w:ascii="Arial" w:hAnsi="Arial" w:cs="Arial"/>
          <w:b/>
        </w:rPr>
      </w:pPr>
    </w:p>
    <w:p w14:paraId="37AA49F5" w14:textId="77777777" w:rsidR="000152DF" w:rsidRDefault="000152DF" w:rsidP="002C07E0">
      <w:pPr>
        <w:spacing w:line="360" w:lineRule="auto"/>
        <w:jc w:val="both"/>
        <w:rPr>
          <w:rFonts w:ascii="Arial" w:hAnsi="Arial" w:cs="Arial"/>
          <w:b/>
        </w:rPr>
      </w:pPr>
    </w:p>
    <w:p w14:paraId="1AE41F36" w14:textId="77777777" w:rsidR="002C66D2" w:rsidRDefault="002C07E0" w:rsidP="002C07E0">
      <w:pPr>
        <w:spacing w:line="360" w:lineRule="auto"/>
        <w:jc w:val="both"/>
        <w:rPr>
          <w:rFonts w:ascii="Arial" w:hAnsi="Arial" w:cs="Arial"/>
          <w:b/>
        </w:rPr>
      </w:pPr>
      <w:r w:rsidRPr="002C07E0">
        <w:rPr>
          <w:rFonts w:ascii="Arial" w:hAnsi="Arial" w:cs="Arial"/>
          <w:b/>
        </w:rPr>
        <w:t>REFERENCES</w:t>
      </w:r>
    </w:p>
    <w:p w14:paraId="3C8E20FA" w14:textId="77777777" w:rsidR="00EE0625" w:rsidRPr="00EE0625" w:rsidRDefault="00EE0625" w:rsidP="00EE0625">
      <w:pPr>
        <w:pStyle w:val="NormalWeb"/>
        <w:spacing w:line="360" w:lineRule="auto"/>
        <w:jc w:val="both"/>
        <w:rPr>
          <w:rFonts w:ascii="Arial" w:hAnsi="Arial" w:cs="Arial"/>
          <w:sz w:val="22"/>
          <w:szCs w:val="22"/>
        </w:rPr>
      </w:pPr>
      <w:r w:rsidRPr="00EE0625">
        <w:rPr>
          <w:rFonts w:ascii="Arial" w:hAnsi="Arial" w:cs="Arial"/>
          <w:sz w:val="22"/>
          <w:szCs w:val="22"/>
        </w:rPr>
        <w:t xml:space="preserve"> Alderwick, H., Hutchings, A., Briggs, A. and Mays, N. (2021) ‘The impacts of collaboration between local health care and non</w:t>
      </w:r>
      <w:r w:rsidRPr="00EE0625">
        <w:rPr>
          <w:rFonts w:ascii="Arial" w:hAnsi="Arial" w:cs="Arial"/>
          <w:sz w:val="22"/>
          <w:szCs w:val="22"/>
        </w:rPr>
        <w:noBreakHyphen/>
        <w:t xml:space="preserve">health care organisations and factors shaping how they work: a systematic review of reviews’, </w:t>
      </w:r>
      <w:r w:rsidRPr="00EE0625">
        <w:rPr>
          <w:rFonts w:ascii="Arial" w:hAnsi="Arial" w:cs="Arial"/>
          <w:i/>
          <w:iCs/>
          <w:sz w:val="22"/>
          <w:szCs w:val="22"/>
        </w:rPr>
        <w:t>BMC Public Health</w:t>
      </w:r>
      <w:r w:rsidRPr="00EE0625">
        <w:rPr>
          <w:rFonts w:ascii="Arial" w:hAnsi="Arial" w:cs="Arial"/>
          <w:sz w:val="22"/>
          <w:szCs w:val="22"/>
        </w:rPr>
        <w:t>, 21, p.753. doi:10.1186/s12889</w:t>
      </w:r>
      <w:r w:rsidRPr="00EE0625">
        <w:rPr>
          <w:rFonts w:ascii="Arial" w:hAnsi="Arial" w:cs="Arial"/>
          <w:sz w:val="22"/>
          <w:szCs w:val="22"/>
        </w:rPr>
        <w:noBreakHyphen/>
        <w:t>021</w:t>
      </w:r>
      <w:r w:rsidRPr="00EE0625">
        <w:rPr>
          <w:rFonts w:ascii="Arial" w:hAnsi="Arial" w:cs="Arial"/>
          <w:sz w:val="22"/>
          <w:szCs w:val="22"/>
        </w:rPr>
        <w:noBreakHyphen/>
        <w:t>10630</w:t>
      </w:r>
      <w:r w:rsidRPr="00EE0625">
        <w:rPr>
          <w:rFonts w:ascii="Arial" w:hAnsi="Arial" w:cs="Arial"/>
          <w:sz w:val="22"/>
          <w:szCs w:val="22"/>
        </w:rPr>
        <w:noBreakHyphen/>
        <w:t>1.</w:t>
      </w:r>
    </w:p>
    <w:p w14:paraId="3393DFCD" w14:textId="77777777" w:rsidR="00EE0625" w:rsidRPr="00EE0625" w:rsidRDefault="00EE0625" w:rsidP="00EE0625">
      <w:pPr>
        <w:spacing w:before="100" w:beforeAutospacing="1" w:after="100" w:afterAutospacing="1" w:line="360" w:lineRule="auto"/>
        <w:jc w:val="both"/>
        <w:rPr>
          <w:rFonts w:ascii="Arial" w:eastAsia="Times New Roman" w:hAnsi="Arial" w:cs="Arial"/>
        </w:rPr>
      </w:pPr>
      <w:r w:rsidRPr="00EE0625">
        <w:rPr>
          <w:rFonts w:ascii="Arial" w:eastAsia="Times New Roman" w:hAnsi="Arial" w:cs="Arial"/>
        </w:rPr>
        <w:t xml:space="preserve">Buck, D., Baylis, A. and Dougall, D. (2022) </w:t>
      </w:r>
      <w:r w:rsidRPr="00EE0625">
        <w:rPr>
          <w:rFonts w:ascii="Arial" w:eastAsia="Times New Roman" w:hAnsi="Arial" w:cs="Arial"/>
          <w:i/>
          <w:iCs/>
        </w:rPr>
        <w:t>NHS and social care workforce: priorities for the government</w:t>
      </w:r>
      <w:r w:rsidRPr="00EE0625">
        <w:rPr>
          <w:rFonts w:ascii="Arial" w:eastAsia="Times New Roman" w:hAnsi="Arial" w:cs="Arial"/>
        </w:rPr>
        <w:t>. London: The King’s Fund.</w:t>
      </w:r>
    </w:p>
    <w:p w14:paraId="4AFD922A" w14:textId="77777777" w:rsidR="00EE0625" w:rsidRPr="00EE0625" w:rsidRDefault="00EE0625" w:rsidP="00EE0625">
      <w:pPr>
        <w:spacing w:before="100" w:beforeAutospacing="1" w:after="100" w:afterAutospacing="1" w:line="360" w:lineRule="auto"/>
        <w:jc w:val="both"/>
        <w:rPr>
          <w:rFonts w:ascii="Arial" w:eastAsia="Times New Roman" w:hAnsi="Arial" w:cs="Arial"/>
        </w:rPr>
      </w:pPr>
      <w:r w:rsidRPr="00EE0625">
        <w:rPr>
          <w:rFonts w:ascii="Arial" w:eastAsia="Times New Roman" w:hAnsi="Arial" w:cs="Arial"/>
        </w:rPr>
        <w:t>Checkland, K., Hammond, J., Allen, P., Coleman, A. and Warwick</w:t>
      </w:r>
      <w:r w:rsidRPr="00EE0625">
        <w:rPr>
          <w:rFonts w:ascii="Arial" w:eastAsia="Times New Roman" w:hAnsi="Arial" w:cs="Arial"/>
        </w:rPr>
        <w:noBreakHyphen/>
        <w:t xml:space="preserve">Giles, L. (2021) ‘Integrated care systems in England: challenges and opportunities’, </w:t>
      </w:r>
      <w:r w:rsidRPr="00EE0625">
        <w:rPr>
          <w:rFonts w:ascii="Arial" w:eastAsia="Times New Roman" w:hAnsi="Arial" w:cs="Arial"/>
          <w:i/>
          <w:iCs/>
        </w:rPr>
        <w:t>Journal of Health Services Research &amp; Policy</w:t>
      </w:r>
      <w:r w:rsidRPr="00EE0625">
        <w:rPr>
          <w:rFonts w:ascii="Arial" w:eastAsia="Times New Roman" w:hAnsi="Arial" w:cs="Arial"/>
        </w:rPr>
        <w:t>, 26(2), pp.123–127. doi:10.1177/1355819620982859.</w:t>
      </w:r>
    </w:p>
    <w:p w14:paraId="7CDD352A" w14:textId="77777777" w:rsidR="00EE0625" w:rsidRPr="00EE0625" w:rsidRDefault="00EE0625" w:rsidP="00EE0625">
      <w:pPr>
        <w:spacing w:before="100" w:beforeAutospacing="1" w:after="100" w:afterAutospacing="1" w:line="360" w:lineRule="auto"/>
        <w:jc w:val="both"/>
        <w:rPr>
          <w:rFonts w:ascii="Arial" w:eastAsia="Times New Roman" w:hAnsi="Arial" w:cs="Arial"/>
        </w:rPr>
      </w:pPr>
      <w:r w:rsidRPr="00EE0625">
        <w:rPr>
          <w:rFonts w:ascii="Arial" w:eastAsia="Times New Roman" w:hAnsi="Arial" w:cs="Arial"/>
        </w:rPr>
        <w:t xml:space="preserve">GBD 2021 Risk Factors Collaborators (2022) ‘Global burden of 87 risk factors in 204 countries and territories, 1990–2021’, </w:t>
      </w:r>
      <w:r w:rsidRPr="00EE0625">
        <w:rPr>
          <w:rFonts w:ascii="Arial" w:eastAsia="Times New Roman" w:hAnsi="Arial" w:cs="Arial"/>
          <w:i/>
          <w:iCs/>
        </w:rPr>
        <w:t>The Lancet</w:t>
      </w:r>
      <w:r w:rsidRPr="00EE0625">
        <w:rPr>
          <w:rFonts w:ascii="Arial" w:eastAsia="Times New Roman" w:hAnsi="Arial" w:cs="Arial"/>
        </w:rPr>
        <w:t>, 400(10366), pp.2223–2260. doi:10.1016/S0140</w:t>
      </w:r>
      <w:r w:rsidRPr="00EE0625">
        <w:rPr>
          <w:rFonts w:ascii="Arial" w:eastAsia="Times New Roman" w:hAnsi="Arial" w:cs="Arial"/>
        </w:rPr>
        <w:noBreakHyphen/>
        <w:t>6736(22)01470</w:t>
      </w:r>
      <w:r w:rsidRPr="00EE0625">
        <w:rPr>
          <w:rFonts w:ascii="Arial" w:eastAsia="Times New Roman" w:hAnsi="Arial" w:cs="Arial"/>
        </w:rPr>
        <w:noBreakHyphen/>
        <w:t>1.</w:t>
      </w:r>
    </w:p>
    <w:p w14:paraId="4D4D7947" w14:textId="77777777" w:rsidR="00EE0625" w:rsidRPr="00EE0625" w:rsidRDefault="00EE0625" w:rsidP="00EE0625">
      <w:pPr>
        <w:spacing w:before="100" w:beforeAutospacing="1" w:after="100" w:afterAutospacing="1" w:line="360" w:lineRule="auto"/>
        <w:jc w:val="both"/>
        <w:rPr>
          <w:rFonts w:ascii="Arial" w:eastAsia="Times New Roman" w:hAnsi="Arial" w:cs="Arial"/>
        </w:rPr>
      </w:pPr>
      <w:r w:rsidRPr="00EE0625">
        <w:rPr>
          <w:rFonts w:ascii="Arial" w:eastAsia="Times New Roman" w:hAnsi="Arial" w:cs="Arial"/>
        </w:rPr>
        <w:t>Greer, S.L., King, E.J., Massard da Fonseca, E. and Peralta</w:t>
      </w:r>
      <w:r w:rsidRPr="00EE0625">
        <w:rPr>
          <w:rFonts w:ascii="Arial" w:eastAsia="Times New Roman" w:hAnsi="Arial" w:cs="Arial"/>
        </w:rPr>
        <w:noBreakHyphen/>
        <w:t xml:space="preserve">Santos, A. (2022) </w:t>
      </w:r>
      <w:r w:rsidRPr="00EE0625">
        <w:rPr>
          <w:rFonts w:ascii="Arial" w:eastAsia="Times New Roman" w:hAnsi="Arial" w:cs="Arial"/>
          <w:i/>
          <w:iCs/>
        </w:rPr>
        <w:t>Coronavirus politics: the comparative politics and policy of COVID</w:t>
      </w:r>
      <w:r w:rsidRPr="00EE0625">
        <w:rPr>
          <w:rFonts w:ascii="Arial" w:eastAsia="Times New Roman" w:hAnsi="Arial" w:cs="Arial"/>
          <w:i/>
          <w:iCs/>
        </w:rPr>
        <w:noBreakHyphen/>
        <w:t>19</w:t>
      </w:r>
      <w:r w:rsidRPr="00EE0625">
        <w:rPr>
          <w:rFonts w:ascii="Arial" w:eastAsia="Times New Roman" w:hAnsi="Arial" w:cs="Arial"/>
        </w:rPr>
        <w:t>. Ann Arbor: University of Michigan Press.</w:t>
      </w:r>
    </w:p>
    <w:p w14:paraId="30327DB9" w14:textId="77777777" w:rsidR="00EE0625" w:rsidRPr="00EE0625" w:rsidRDefault="00EE0625" w:rsidP="00EE0625">
      <w:pPr>
        <w:spacing w:before="100" w:beforeAutospacing="1" w:after="100" w:afterAutospacing="1" w:line="360" w:lineRule="auto"/>
        <w:jc w:val="both"/>
        <w:rPr>
          <w:rFonts w:ascii="Arial" w:eastAsia="Times New Roman" w:hAnsi="Arial" w:cs="Arial"/>
        </w:rPr>
      </w:pPr>
      <w:r w:rsidRPr="00EE0625">
        <w:rPr>
          <w:rFonts w:ascii="Arial" w:eastAsia="Times New Roman" w:hAnsi="Arial" w:cs="Arial"/>
        </w:rPr>
        <w:t xml:space="preserve">Haines, A. and Ebi, K. (2021) ‘The imperative for climate action to protect health’, </w:t>
      </w:r>
      <w:r w:rsidRPr="00EE0625">
        <w:rPr>
          <w:rFonts w:ascii="Arial" w:eastAsia="Times New Roman" w:hAnsi="Arial" w:cs="Arial"/>
          <w:i/>
          <w:iCs/>
        </w:rPr>
        <w:t>New England Journal of Medicine</w:t>
      </w:r>
      <w:r w:rsidRPr="00EE0625">
        <w:rPr>
          <w:rFonts w:ascii="Arial" w:eastAsia="Times New Roman" w:hAnsi="Arial" w:cs="Arial"/>
        </w:rPr>
        <w:t>, 385(12), pp.1139–1141. doi:10.1056/NEJMp2109981.</w:t>
      </w:r>
    </w:p>
    <w:p w14:paraId="1C0DEF63" w14:textId="77777777" w:rsidR="00EE0625" w:rsidRPr="00EE0625" w:rsidRDefault="00EE0625" w:rsidP="00EE0625">
      <w:pPr>
        <w:spacing w:before="100" w:beforeAutospacing="1" w:after="100" w:afterAutospacing="1" w:line="360" w:lineRule="auto"/>
        <w:jc w:val="both"/>
        <w:rPr>
          <w:rFonts w:ascii="Arial" w:eastAsia="Times New Roman" w:hAnsi="Arial" w:cs="Arial"/>
        </w:rPr>
      </w:pPr>
      <w:r w:rsidRPr="00EE0625">
        <w:rPr>
          <w:rFonts w:ascii="Arial" w:eastAsia="Times New Roman" w:hAnsi="Arial" w:cs="Arial"/>
        </w:rPr>
        <w:t xml:space="preserve">Local Government Association (2022) </w:t>
      </w:r>
      <w:r w:rsidRPr="00EE0625">
        <w:rPr>
          <w:rFonts w:ascii="Arial" w:eastAsia="Times New Roman" w:hAnsi="Arial" w:cs="Arial"/>
          <w:i/>
          <w:iCs/>
        </w:rPr>
        <w:t>Health inequalities: place</w:t>
      </w:r>
      <w:r w:rsidRPr="00EE0625">
        <w:rPr>
          <w:rFonts w:ascii="Arial" w:eastAsia="Times New Roman" w:hAnsi="Arial" w:cs="Arial"/>
          <w:i/>
          <w:iCs/>
        </w:rPr>
        <w:noBreakHyphen/>
        <w:t>based approaches</w:t>
      </w:r>
      <w:r w:rsidRPr="00EE0625">
        <w:rPr>
          <w:rFonts w:ascii="Arial" w:eastAsia="Times New Roman" w:hAnsi="Arial" w:cs="Arial"/>
        </w:rPr>
        <w:t>. London: Local Government Association.</w:t>
      </w:r>
    </w:p>
    <w:p w14:paraId="5DA55FE3" w14:textId="77777777" w:rsidR="00EE0625" w:rsidRPr="00EE0625" w:rsidRDefault="00EE0625" w:rsidP="00EE0625">
      <w:pPr>
        <w:spacing w:before="100" w:beforeAutospacing="1" w:after="100" w:afterAutospacing="1" w:line="360" w:lineRule="auto"/>
        <w:jc w:val="both"/>
        <w:rPr>
          <w:rFonts w:ascii="Arial" w:eastAsia="Times New Roman" w:hAnsi="Arial" w:cs="Arial"/>
        </w:rPr>
      </w:pPr>
      <w:r w:rsidRPr="00EE0625">
        <w:rPr>
          <w:rFonts w:ascii="Arial" w:eastAsia="Times New Roman" w:hAnsi="Arial" w:cs="Arial"/>
        </w:rPr>
        <w:t xml:space="preserve">Marmot, M., Allen, J., Boyce, T., Goldblatt, P. and Morrison, J. (2020) </w:t>
      </w:r>
      <w:r w:rsidRPr="00EE0625">
        <w:rPr>
          <w:rFonts w:ascii="Arial" w:eastAsia="Times New Roman" w:hAnsi="Arial" w:cs="Arial"/>
          <w:i/>
          <w:iCs/>
        </w:rPr>
        <w:t>Health equity in England: The Marmot Review 10 years on</w:t>
      </w:r>
      <w:r w:rsidRPr="00EE0625">
        <w:rPr>
          <w:rFonts w:ascii="Arial" w:eastAsia="Times New Roman" w:hAnsi="Arial" w:cs="Arial"/>
        </w:rPr>
        <w:t>. London: Institute of Health Equity.</w:t>
      </w:r>
    </w:p>
    <w:p w14:paraId="2C5C66C6" w14:textId="77777777" w:rsidR="00EE0625" w:rsidRPr="00EE0625" w:rsidRDefault="00EE0625" w:rsidP="00EE0625">
      <w:pPr>
        <w:spacing w:before="100" w:beforeAutospacing="1" w:after="100" w:afterAutospacing="1" w:line="360" w:lineRule="auto"/>
        <w:jc w:val="both"/>
        <w:rPr>
          <w:rFonts w:ascii="Arial" w:eastAsia="Times New Roman" w:hAnsi="Arial" w:cs="Arial"/>
        </w:rPr>
      </w:pPr>
      <w:r w:rsidRPr="00EE0625">
        <w:rPr>
          <w:rFonts w:ascii="Arial" w:eastAsia="Times New Roman" w:hAnsi="Arial" w:cs="Arial"/>
        </w:rPr>
        <w:t xml:space="preserve">NHS England (2019) </w:t>
      </w:r>
      <w:r w:rsidRPr="00EE0625">
        <w:rPr>
          <w:rFonts w:ascii="Arial" w:eastAsia="Times New Roman" w:hAnsi="Arial" w:cs="Arial"/>
          <w:i/>
          <w:iCs/>
        </w:rPr>
        <w:t>NHS Long Term Plan</w:t>
      </w:r>
      <w:r w:rsidRPr="00EE0625">
        <w:rPr>
          <w:rFonts w:ascii="Arial" w:eastAsia="Times New Roman" w:hAnsi="Arial" w:cs="Arial"/>
        </w:rPr>
        <w:t>. London: NHS England.</w:t>
      </w:r>
    </w:p>
    <w:p w14:paraId="6FDF9590" w14:textId="77777777" w:rsidR="00EE0625" w:rsidRPr="00EE0625" w:rsidRDefault="00EE0625" w:rsidP="00EE0625">
      <w:pPr>
        <w:spacing w:before="100" w:beforeAutospacing="1" w:after="100" w:afterAutospacing="1" w:line="360" w:lineRule="auto"/>
        <w:jc w:val="both"/>
        <w:rPr>
          <w:rFonts w:ascii="Arial" w:eastAsia="Times New Roman" w:hAnsi="Arial" w:cs="Arial"/>
        </w:rPr>
      </w:pPr>
      <w:r w:rsidRPr="00EE0625">
        <w:rPr>
          <w:rFonts w:ascii="Arial" w:eastAsia="Times New Roman" w:hAnsi="Arial" w:cs="Arial"/>
        </w:rPr>
        <w:t xml:space="preserve">NHS England (2022) </w:t>
      </w:r>
      <w:r w:rsidRPr="00EE0625">
        <w:rPr>
          <w:rFonts w:ascii="Arial" w:eastAsia="Times New Roman" w:hAnsi="Arial" w:cs="Arial"/>
          <w:i/>
          <w:iCs/>
        </w:rPr>
        <w:t>Delivering a Net Zero National Health Service: 2022 progress report</w:t>
      </w:r>
      <w:r w:rsidRPr="00EE0625">
        <w:rPr>
          <w:rFonts w:ascii="Arial" w:eastAsia="Times New Roman" w:hAnsi="Arial" w:cs="Arial"/>
        </w:rPr>
        <w:t>. London: NHS England.</w:t>
      </w:r>
    </w:p>
    <w:p w14:paraId="6F79BB22" w14:textId="77777777" w:rsidR="00EE0625" w:rsidRPr="00EE0625" w:rsidRDefault="00EE0625" w:rsidP="00EE0625">
      <w:pPr>
        <w:spacing w:before="100" w:beforeAutospacing="1" w:after="100" w:afterAutospacing="1" w:line="360" w:lineRule="auto"/>
        <w:jc w:val="both"/>
        <w:rPr>
          <w:rFonts w:ascii="Arial" w:eastAsia="Times New Roman" w:hAnsi="Arial" w:cs="Arial"/>
        </w:rPr>
      </w:pPr>
      <w:r w:rsidRPr="00EE0625">
        <w:rPr>
          <w:rFonts w:ascii="Arial" w:eastAsia="Times New Roman" w:hAnsi="Arial" w:cs="Arial"/>
        </w:rPr>
        <w:t xml:space="preserve">NHS England (2023) </w:t>
      </w:r>
      <w:r w:rsidRPr="00EE0625">
        <w:rPr>
          <w:rFonts w:ascii="Arial" w:eastAsia="Times New Roman" w:hAnsi="Arial" w:cs="Arial"/>
          <w:i/>
          <w:iCs/>
        </w:rPr>
        <w:t>Integrated care systems: design framework update</w:t>
      </w:r>
      <w:r w:rsidRPr="00EE0625">
        <w:rPr>
          <w:rFonts w:ascii="Arial" w:eastAsia="Times New Roman" w:hAnsi="Arial" w:cs="Arial"/>
        </w:rPr>
        <w:t>. London: NHS England.</w:t>
      </w:r>
    </w:p>
    <w:p w14:paraId="2C0CF0ED" w14:textId="77777777" w:rsidR="00EE0625" w:rsidRPr="00EE0625" w:rsidRDefault="00EE0625" w:rsidP="00EE0625">
      <w:pPr>
        <w:spacing w:before="100" w:beforeAutospacing="1" w:after="100" w:afterAutospacing="1" w:line="360" w:lineRule="auto"/>
        <w:jc w:val="both"/>
        <w:rPr>
          <w:rFonts w:ascii="Arial" w:eastAsia="Times New Roman" w:hAnsi="Arial" w:cs="Arial"/>
        </w:rPr>
      </w:pPr>
      <w:r w:rsidRPr="00EE0625">
        <w:rPr>
          <w:rFonts w:ascii="Arial" w:eastAsia="Times New Roman" w:hAnsi="Arial" w:cs="Arial"/>
        </w:rPr>
        <w:t xml:space="preserve">NHS England (2025) </w:t>
      </w:r>
      <w:r w:rsidRPr="00EE0625">
        <w:rPr>
          <w:rFonts w:ascii="Arial" w:eastAsia="Times New Roman" w:hAnsi="Arial" w:cs="Arial"/>
          <w:i/>
          <w:iCs/>
        </w:rPr>
        <w:t>NHS England climate and health update</w:t>
      </w:r>
      <w:r w:rsidRPr="00EE0625">
        <w:rPr>
          <w:rFonts w:ascii="Arial" w:eastAsia="Times New Roman" w:hAnsi="Arial" w:cs="Arial"/>
        </w:rPr>
        <w:t>. London: NHS England.</w:t>
      </w:r>
    </w:p>
    <w:p w14:paraId="07838B65" w14:textId="77777777" w:rsidR="00EE0625" w:rsidRPr="00EE0625" w:rsidRDefault="00EE0625" w:rsidP="00EE0625">
      <w:pPr>
        <w:spacing w:before="100" w:beforeAutospacing="1" w:after="100" w:afterAutospacing="1" w:line="360" w:lineRule="auto"/>
        <w:jc w:val="both"/>
        <w:rPr>
          <w:rFonts w:ascii="Arial" w:eastAsia="Times New Roman" w:hAnsi="Arial" w:cs="Arial"/>
        </w:rPr>
      </w:pPr>
      <w:r w:rsidRPr="00EE0625">
        <w:rPr>
          <w:rFonts w:ascii="Arial" w:eastAsia="Times New Roman" w:hAnsi="Arial" w:cs="Arial"/>
        </w:rPr>
        <w:t xml:space="preserve">Public Health England (2021) </w:t>
      </w:r>
      <w:r w:rsidRPr="00EE0625">
        <w:rPr>
          <w:rFonts w:ascii="Arial" w:eastAsia="Times New Roman" w:hAnsi="Arial" w:cs="Arial"/>
          <w:i/>
          <w:iCs/>
        </w:rPr>
        <w:t>Health profile for England: 2021</w:t>
      </w:r>
      <w:r w:rsidRPr="00EE0625">
        <w:rPr>
          <w:rFonts w:ascii="Arial" w:eastAsia="Times New Roman" w:hAnsi="Arial" w:cs="Arial"/>
        </w:rPr>
        <w:t>. London: Public Health England.</w:t>
      </w:r>
    </w:p>
    <w:p w14:paraId="5C874641" w14:textId="77777777" w:rsidR="00EE0625" w:rsidRPr="00EE0625" w:rsidRDefault="00EE0625" w:rsidP="00EE0625">
      <w:pPr>
        <w:spacing w:before="100" w:beforeAutospacing="1" w:after="100" w:afterAutospacing="1" w:line="360" w:lineRule="auto"/>
        <w:jc w:val="both"/>
        <w:rPr>
          <w:rFonts w:ascii="Arial" w:eastAsia="Times New Roman" w:hAnsi="Arial" w:cs="Arial"/>
        </w:rPr>
      </w:pPr>
      <w:r w:rsidRPr="00EE0625">
        <w:rPr>
          <w:rFonts w:ascii="Arial" w:eastAsia="Times New Roman" w:hAnsi="Arial" w:cs="Arial"/>
        </w:rPr>
        <w:t xml:space="preserve">Romanello, M., Di Napoli, C., Drummond, P. et al. (2023) ‘The 2023 report of the Lancet Countdown on health and climate change’, </w:t>
      </w:r>
      <w:r w:rsidRPr="00EE0625">
        <w:rPr>
          <w:rFonts w:ascii="Arial" w:eastAsia="Times New Roman" w:hAnsi="Arial" w:cs="Arial"/>
          <w:i/>
          <w:iCs/>
        </w:rPr>
        <w:t>The Lancet</w:t>
      </w:r>
      <w:r w:rsidRPr="00EE0625">
        <w:rPr>
          <w:rFonts w:ascii="Arial" w:eastAsia="Times New Roman" w:hAnsi="Arial" w:cs="Arial"/>
        </w:rPr>
        <w:t>, 402(10419), pp.2346–2394. doi:10.1016/S0140</w:t>
      </w:r>
      <w:r w:rsidRPr="00EE0625">
        <w:rPr>
          <w:rFonts w:ascii="Arial" w:eastAsia="Times New Roman" w:hAnsi="Arial" w:cs="Arial"/>
        </w:rPr>
        <w:noBreakHyphen/>
        <w:t>6736(23)01606</w:t>
      </w:r>
      <w:r w:rsidRPr="00EE0625">
        <w:rPr>
          <w:rFonts w:ascii="Arial" w:eastAsia="Times New Roman" w:hAnsi="Arial" w:cs="Arial"/>
        </w:rPr>
        <w:noBreakHyphen/>
        <w:t>5.</w:t>
      </w:r>
    </w:p>
    <w:p w14:paraId="4C9F1E07" w14:textId="77777777" w:rsidR="00EE0625" w:rsidRPr="00EE0625" w:rsidRDefault="00EE0625" w:rsidP="00EE0625">
      <w:pPr>
        <w:spacing w:before="100" w:beforeAutospacing="1" w:after="100" w:afterAutospacing="1" w:line="360" w:lineRule="auto"/>
        <w:jc w:val="both"/>
        <w:rPr>
          <w:rFonts w:ascii="Arial" w:eastAsia="Times New Roman" w:hAnsi="Arial" w:cs="Arial"/>
        </w:rPr>
      </w:pPr>
      <w:r w:rsidRPr="00EE0625">
        <w:rPr>
          <w:rFonts w:ascii="Arial" w:eastAsia="Times New Roman" w:hAnsi="Arial" w:cs="Arial"/>
        </w:rPr>
        <w:t xml:space="preserve">Salas, R.N., Jha, A.K. and Landrigan, P.J. (2021) ‘The health care sector’s role in climate change’, </w:t>
      </w:r>
      <w:r w:rsidRPr="00EE0625">
        <w:rPr>
          <w:rFonts w:ascii="Arial" w:eastAsia="Times New Roman" w:hAnsi="Arial" w:cs="Arial"/>
          <w:i/>
          <w:iCs/>
        </w:rPr>
        <w:t>New England Journal of Medicine</w:t>
      </w:r>
      <w:r w:rsidRPr="00EE0625">
        <w:rPr>
          <w:rFonts w:ascii="Arial" w:eastAsia="Times New Roman" w:hAnsi="Arial" w:cs="Arial"/>
        </w:rPr>
        <w:t>, 384(21), pp.1961–1963. doi:10.1056/NEJMp2109270.</w:t>
      </w:r>
    </w:p>
    <w:p w14:paraId="0F4FDA66" w14:textId="77777777" w:rsidR="00EE0625" w:rsidRPr="00EE0625" w:rsidRDefault="00EE0625" w:rsidP="00EE0625">
      <w:pPr>
        <w:spacing w:before="100" w:beforeAutospacing="1" w:after="100" w:afterAutospacing="1" w:line="360" w:lineRule="auto"/>
        <w:jc w:val="both"/>
        <w:rPr>
          <w:rFonts w:ascii="Arial" w:eastAsia="Times New Roman" w:hAnsi="Arial" w:cs="Arial"/>
        </w:rPr>
      </w:pPr>
      <w:r w:rsidRPr="00EE0625">
        <w:rPr>
          <w:rFonts w:ascii="Arial" w:eastAsia="Times New Roman" w:hAnsi="Arial" w:cs="Arial"/>
        </w:rPr>
        <w:t xml:space="preserve">The King’s Fund (2022) </w:t>
      </w:r>
      <w:r w:rsidRPr="00EE0625">
        <w:rPr>
          <w:rFonts w:ascii="Arial" w:eastAsia="Times New Roman" w:hAnsi="Arial" w:cs="Arial"/>
          <w:i/>
          <w:iCs/>
        </w:rPr>
        <w:t>What are integrated care systems?</w:t>
      </w:r>
      <w:r w:rsidRPr="00EE0625">
        <w:rPr>
          <w:rFonts w:ascii="Arial" w:eastAsia="Times New Roman" w:hAnsi="Arial" w:cs="Arial"/>
        </w:rPr>
        <w:t xml:space="preserve"> London: The King’s Fund.</w:t>
      </w:r>
    </w:p>
    <w:p w14:paraId="057A2518" w14:textId="77777777" w:rsidR="00EE0625" w:rsidRPr="00EE0625" w:rsidRDefault="00EE0625" w:rsidP="00EE0625">
      <w:pPr>
        <w:spacing w:before="100" w:beforeAutospacing="1" w:after="100" w:afterAutospacing="1" w:line="360" w:lineRule="auto"/>
        <w:jc w:val="both"/>
        <w:rPr>
          <w:rFonts w:ascii="Arial" w:eastAsia="Times New Roman" w:hAnsi="Arial" w:cs="Arial"/>
        </w:rPr>
      </w:pPr>
      <w:r w:rsidRPr="00EE0625">
        <w:rPr>
          <w:rFonts w:ascii="Arial" w:eastAsia="Times New Roman" w:hAnsi="Arial" w:cs="Arial"/>
        </w:rPr>
        <w:t xml:space="preserve">The King’s Fund (2023) </w:t>
      </w:r>
      <w:r w:rsidRPr="00EE0625">
        <w:rPr>
          <w:rFonts w:ascii="Arial" w:eastAsia="Times New Roman" w:hAnsi="Arial" w:cs="Arial"/>
          <w:i/>
          <w:iCs/>
        </w:rPr>
        <w:t>Public health funding in England: trends and implications</w:t>
      </w:r>
      <w:r w:rsidRPr="00EE0625">
        <w:rPr>
          <w:rFonts w:ascii="Arial" w:eastAsia="Times New Roman" w:hAnsi="Arial" w:cs="Arial"/>
        </w:rPr>
        <w:t>. London: The King’s Fund.</w:t>
      </w:r>
    </w:p>
    <w:p w14:paraId="39EDB960" w14:textId="77777777" w:rsidR="00EE0625" w:rsidRPr="00EE0625" w:rsidRDefault="00EE0625" w:rsidP="00EE0625">
      <w:pPr>
        <w:spacing w:before="100" w:beforeAutospacing="1" w:after="100" w:afterAutospacing="1" w:line="360" w:lineRule="auto"/>
        <w:jc w:val="both"/>
        <w:rPr>
          <w:rFonts w:ascii="Arial" w:eastAsia="Times New Roman" w:hAnsi="Arial" w:cs="Arial"/>
        </w:rPr>
      </w:pPr>
      <w:r w:rsidRPr="00EE0625">
        <w:rPr>
          <w:rFonts w:ascii="Arial" w:eastAsia="Times New Roman" w:hAnsi="Arial" w:cs="Arial"/>
        </w:rPr>
        <w:t xml:space="preserve">United Nations (2023) </w:t>
      </w:r>
      <w:r w:rsidRPr="00EE0625">
        <w:rPr>
          <w:rFonts w:ascii="Arial" w:eastAsia="Times New Roman" w:hAnsi="Arial" w:cs="Arial"/>
          <w:i/>
          <w:iCs/>
        </w:rPr>
        <w:t>The Sustainable Development Goals Report 2023</w:t>
      </w:r>
      <w:r w:rsidRPr="00EE0625">
        <w:rPr>
          <w:rFonts w:ascii="Arial" w:eastAsia="Times New Roman" w:hAnsi="Arial" w:cs="Arial"/>
        </w:rPr>
        <w:t>. New York: United Nations.</w:t>
      </w:r>
    </w:p>
    <w:p w14:paraId="6FED5F6E" w14:textId="77777777" w:rsidR="00EE0625" w:rsidRPr="00EE0625" w:rsidRDefault="00EE0625" w:rsidP="00EE0625">
      <w:pPr>
        <w:spacing w:before="100" w:beforeAutospacing="1" w:after="100" w:afterAutospacing="1" w:line="360" w:lineRule="auto"/>
        <w:jc w:val="both"/>
        <w:rPr>
          <w:rFonts w:ascii="Arial" w:eastAsia="Times New Roman" w:hAnsi="Arial" w:cs="Arial"/>
        </w:rPr>
      </w:pPr>
      <w:r w:rsidRPr="00EE0625">
        <w:rPr>
          <w:rFonts w:ascii="Arial" w:eastAsia="Times New Roman" w:hAnsi="Arial" w:cs="Arial"/>
        </w:rPr>
        <w:t xml:space="preserve">Walshe, K., Coleman, A., McDonald, R. and Lorne, C. (2022) ‘Health and social care devolution in Greater Manchester: lessons learned’, </w:t>
      </w:r>
      <w:r w:rsidRPr="00EE0625">
        <w:rPr>
          <w:rFonts w:ascii="Arial" w:eastAsia="Times New Roman" w:hAnsi="Arial" w:cs="Arial"/>
          <w:i/>
          <w:iCs/>
        </w:rPr>
        <w:t>BMJ</w:t>
      </w:r>
      <w:r w:rsidRPr="00EE0625">
        <w:rPr>
          <w:rFonts w:ascii="Arial" w:eastAsia="Times New Roman" w:hAnsi="Arial" w:cs="Arial"/>
        </w:rPr>
        <w:t>, 379:e070426. doi:10.1136/bmj.e070426.</w:t>
      </w:r>
    </w:p>
    <w:p w14:paraId="0072EAB6" w14:textId="77777777" w:rsidR="00EE0625" w:rsidRPr="00EE0625" w:rsidRDefault="00EE0625" w:rsidP="00EE0625">
      <w:pPr>
        <w:spacing w:before="100" w:beforeAutospacing="1" w:after="100" w:afterAutospacing="1" w:line="360" w:lineRule="auto"/>
        <w:jc w:val="both"/>
        <w:rPr>
          <w:rFonts w:ascii="Arial" w:eastAsia="Times New Roman" w:hAnsi="Arial" w:cs="Arial"/>
        </w:rPr>
      </w:pPr>
      <w:r w:rsidRPr="00EE0625">
        <w:rPr>
          <w:rFonts w:ascii="Arial" w:eastAsia="Times New Roman" w:hAnsi="Arial" w:cs="Arial"/>
        </w:rPr>
        <w:t xml:space="preserve">Watts, N., Amann, M., Arnell, N. et al. (2021) ‘The 2021 report of the Lancet Countdown on health and climate change’, </w:t>
      </w:r>
      <w:r w:rsidRPr="00EE0625">
        <w:rPr>
          <w:rFonts w:ascii="Arial" w:eastAsia="Times New Roman" w:hAnsi="Arial" w:cs="Arial"/>
          <w:i/>
          <w:iCs/>
        </w:rPr>
        <w:t>The Lancet</w:t>
      </w:r>
      <w:r w:rsidRPr="00EE0625">
        <w:rPr>
          <w:rFonts w:ascii="Arial" w:eastAsia="Times New Roman" w:hAnsi="Arial" w:cs="Arial"/>
        </w:rPr>
        <w:t>, 398(10311), pp.1619–1662. doi:10.1016/S0140</w:t>
      </w:r>
      <w:r w:rsidRPr="00EE0625">
        <w:rPr>
          <w:rFonts w:ascii="Arial" w:eastAsia="Times New Roman" w:hAnsi="Arial" w:cs="Arial"/>
        </w:rPr>
        <w:noBreakHyphen/>
        <w:t>6736(21)01787</w:t>
      </w:r>
      <w:r w:rsidRPr="00EE0625">
        <w:rPr>
          <w:rFonts w:ascii="Arial" w:eastAsia="Times New Roman" w:hAnsi="Arial" w:cs="Arial"/>
        </w:rPr>
        <w:noBreakHyphen/>
        <w:t>6.</w:t>
      </w:r>
    </w:p>
    <w:p w14:paraId="53A3033C" w14:textId="77777777" w:rsidR="00EE0625" w:rsidRPr="00EE0625" w:rsidRDefault="00EE0625" w:rsidP="00EE0625">
      <w:pPr>
        <w:spacing w:before="100" w:beforeAutospacing="1" w:after="100" w:afterAutospacing="1" w:line="360" w:lineRule="auto"/>
        <w:jc w:val="both"/>
        <w:rPr>
          <w:rFonts w:ascii="Arial" w:eastAsia="Times New Roman" w:hAnsi="Arial" w:cs="Arial"/>
        </w:rPr>
      </w:pPr>
      <w:r w:rsidRPr="00EE0625">
        <w:rPr>
          <w:rFonts w:ascii="Arial" w:eastAsia="Times New Roman" w:hAnsi="Arial" w:cs="Arial"/>
        </w:rPr>
        <w:t xml:space="preserve">World Health Organization (2022) </w:t>
      </w:r>
      <w:r w:rsidRPr="00EE0625">
        <w:rPr>
          <w:rFonts w:ascii="Arial" w:eastAsia="Times New Roman" w:hAnsi="Arial" w:cs="Arial"/>
          <w:i/>
          <w:iCs/>
        </w:rPr>
        <w:t>COP26 special report on climate change and health</w:t>
      </w:r>
      <w:r w:rsidRPr="00EE0625">
        <w:rPr>
          <w:rFonts w:ascii="Arial" w:eastAsia="Times New Roman" w:hAnsi="Arial" w:cs="Arial"/>
        </w:rPr>
        <w:t>. Geneva: World Health Organization.</w:t>
      </w:r>
    </w:p>
    <w:p w14:paraId="2FBFFAB4" w14:textId="77777777" w:rsidR="00EE0625" w:rsidRPr="00EE0625" w:rsidRDefault="00EE0625" w:rsidP="00EE0625">
      <w:pPr>
        <w:spacing w:before="100" w:beforeAutospacing="1" w:after="100" w:afterAutospacing="1" w:line="360" w:lineRule="auto"/>
        <w:jc w:val="both"/>
        <w:rPr>
          <w:rFonts w:ascii="Arial" w:eastAsia="Times New Roman" w:hAnsi="Arial" w:cs="Arial"/>
        </w:rPr>
      </w:pPr>
      <w:r w:rsidRPr="00EE0625">
        <w:rPr>
          <w:rFonts w:ascii="Arial" w:eastAsia="Times New Roman" w:hAnsi="Arial" w:cs="Arial"/>
        </w:rPr>
        <w:t xml:space="preserve">World Health Organization (2023) </w:t>
      </w:r>
      <w:r w:rsidRPr="00EE0625">
        <w:rPr>
          <w:rFonts w:ascii="Arial" w:eastAsia="Times New Roman" w:hAnsi="Arial" w:cs="Arial"/>
          <w:i/>
          <w:iCs/>
        </w:rPr>
        <w:t>World health statistics 2023: monitoring health for the SDGs</w:t>
      </w:r>
      <w:r w:rsidRPr="00EE0625">
        <w:rPr>
          <w:rFonts w:ascii="Arial" w:eastAsia="Times New Roman" w:hAnsi="Arial" w:cs="Arial"/>
        </w:rPr>
        <w:t>. Geneva: World Health Organization.</w:t>
      </w:r>
    </w:p>
    <w:p w14:paraId="73018B87" w14:textId="77777777" w:rsidR="00EE0625" w:rsidRPr="00EE0625" w:rsidRDefault="00EE0625" w:rsidP="00EE0625">
      <w:pPr>
        <w:spacing w:before="100" w:beforeAutospacing="1" w:after="100" w:afterAutospacing="1" w:line="360" w:lineRule="auto"/>
        <w:jc w:val="both"/>
        <w:rPr>
          <w:rFonts w:ascii="Arial" w:eastAsia="Times New Roman" w:hAnsi="Arial" w:cs="Arial"/>
        </w:rPr>
      </w:pPr>
      <w:r w:rsidRPr="00EE0625">
        <w:rPr>
          <w:rFonts w:ascii="Arial" w:eastAsia="Times New Roman" w:hAnsi="Arial" w:cs="Arial"/>
        </w:rPr>
        <w:t xml:space="preserve">World Health Organization (2024) </w:t>
      </w:r>
      <w:r w:rsidRPr="00EE0625">
        <w:rPr>
          <w:rFonts w:ascii="Arial" w:eastAsia="Times New Roman" w:hAnsi="Arial" w:cs="Arial"/>
          <w:i/>
          <w:iCs/>
        </w:rPr>
        <w:t>Climate change and health: key facts</w:t>
      </w:r>
      <w:r w:rsidRPr="00EE0625">
        <w:rPr>
          <w:rFonts w:ascii="Arial" w:eastAsia="Times New Roman" w:hAnsi="Arial" w:cs="Arial"/>
        </w:rPr>
        <w:t>. Geneva: World Health Organization.</w:t>
      </w:r>
    </w:p>
    <w:sectPr w:rsidR="00EE0625" w:rsidRPr="00EE0625" w:rsidSect="002C07E0">
      <w:footerReference w:type="default" r:id="rId10"/>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1F8B4" w14:textId="77777777" w:rsidR="00086118" w:rsidRDefault="00086118" w:rsidP="002C07E0">
      <w:pPr>
        <w:spacing w:after="0" w:line="240" w:lineRule="auto"/>
      </w:pPr>
      <w:r>
        <w:separator/>
      </w:r>
    </w:p>
  </w:endnote>
  <w:endnote w:type="continuationSeparator" w:id="0">
    <w:p w14:paraId="1218E2CE" w14:textId="77777777" w:rsidR="00086118" w:rsidRDefault="00086118" w:rsidP="002C0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6179767"/>
      <w:docPartObj>
        <w:docPartGallery w:val="Page Numbers (Bottom of Page)"/>
        <w:docPartUnique/>
      </w:docPartObj>
    </w:sdtPr>
    <w:sdtEndPr>
      <w:rPr>
        <w:noProof/>
      </w:rPr>
    </w:sdtEndPr>
    <w:sdtContent>
      <w:p w14:paraId="275AA3F0" w14:textId="77777777" w:rsidR="002C07E0" w:rsidRDefault="002C07E0">
        <w:pPr>
          <w:pStyle w:val="Footer"/>
          <w:jc w:val="right"/>
        </w:pPr>
        <w:r>
          <w:fldChar w:fldCharType="begin"/>
        </w:r>
        <w:r>
          <w:instrText xml:space="preserve"> PAGE   \* MERGEFORMAT </w:instrText>
        </w:r>
        <w:r>
          <w:fldChar w:fldCharType="separate"/>
        </w:r>
        <w:r w:rsidR="007D56EA">
          <w:rPr>
            <w:noProof/>
          </w:rPr>
          <w:t>12</w:t>
        </w:r>
        <w:r>
          <w:rPr>
            <w:noProof/>
          </w:rPr>
          <w:fldChar w:fldCharType="end"/>
        </w:r>
      </w:p>
    </w:sdtContent>
  </w:sdt>
  <w:p w14:paraId="5B4FFEE2" w14:textId="77777777" w:rsidR="002C07E0" w:rsidRDefault="002C07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D5208" w14:textId="77777777" w:rsidR="00086118" w:rsidRDefault="00086118" w:rsidP="002C07E0">
      <w:pPr>
        <w:spacing w:after="0" w:line="240" w:lineRule="auto"/>
      </w:pPr>
      <w:r>
        <w:separator/>
      </w:r>
    </w:p>
  </w:footnote>
  <w:footnote w:type="continuationSeparator" w:id="0">
    <w:p w14:paraId="72BFB5B9" w14:textId="77777777" w:rsidR="00086118" w:rsidRDefault="00086118" w:rsidP="002C07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BC6FCD"/>
    <w:multiLevelType w:val="multilevel"/>
    <w:tmpl w:val="C6E6D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F2F1FAD"/>
    <w:multiLevelType w:val="multilevel"/>
    <w:tmpl w:val="E6D40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61158288">
    <w:abstractNumId w:val="0"/>
  </w:num>
  <w:num w:numId="2" w16cid:durableId="14472354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07E0"/>
    <w:rsid w:val="000152DF"/>
    <w:rsid w:val="00086118"/>
    <w:rsid w:val="000B36F7"/>
    <w:rsid w:val="000D425F"/>
    <w:rsid w:val="00123177"/>
    <w:rsid w:val="001E1A21"/>
    <w:rsid w:val="00202DB0"/>
    <w:rsid w:val="002C07E0"/>
    <w:rsid w:val="002C66D2"/>
    <w:rsid w:val="00416AF5"/>
    <w:rsid w:val="00605276"/>
    <w:rsid w:val="007D56EA"/>
    <w:rsid w:val="00875365"/>
    <w:rsid w:val="00907547"/>
    <w:rsid w:val="00C8425D"/>
    <w:rsid w:val="00CC5717"/>
    <w:rsid w:val="00CF2036"/>
    <w:rsid w:val="00D27651"/>
    <w:rsid w:val="00D51054"/>
    <w:rsid w:val="00EE0625"/>
    <w:rsid w:val="00FF6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F0A65"/>
  <w15:chartTrackingRefBased/>
  <w15:docId w15:val="{52E68810-A036-4E8A-8272-9DF26E65D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C07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2C07E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C07E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C07E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C07E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C07E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eader">
    <w:name w:val="header"/>
    <w:basedOn w:val="Normal"/>
    <w:link w:val="HeaderChar"/>
    <w:uiPriority w:val="99"/>
    <w:unhideWhenUsed/>
    <w:rsid w:val="002C07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07E0"/>
  </w:style>
  <w:style w:type="paragraph" w:styleId="Footer">
    <w:name w:val="footer"/>
    <w:basedOn w:val="Normal"/>
    <w:link w:val="FooterChar"/>
    <w:uiPriority w:val="99"/>
    <w:unhideWhenUsed/>
    <w:rsid w:val="002C07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07E0"/>
  </w:style>
  <w:style w:type="table" w:customStyle="1" w:styleId="TableGrid1">
    <w:name w:val="Table Grid1"/>
    <w:basedOn w:val="TableNormal"/>
    <w:next w:val="TableGrid"/>
    <w:uiPriority w:val="39"/>
    <w:rsid w:val="001231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152D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152DF"/>
    <w:rPr>
      <w:i/>
      <w:iCs/>
    </w:rPr>
  </w:style>
  <w:style w:type="character" w:styleId="Hyperlink">
    <w:name w:val="Hyperlink"/>
    <w:basedOn w:val="DefaultParagraphFont"/>
    <w:uiPriority w:val="99"/>
    <w:unhideWhenUsed/>
    <w:rsid w:val="000152DF"/>
    <w:rPr>
      <w:color w:val="0563C1" w:themeColor="hyperlink"/>
      <w:u w:val="single"/>
    </w:rPr>
  </w:style>
  <w:style w:type="character" w:styleId="Strong">
    <w:name w:val="Strong"/>
    <w:basedOn w:val="DefaultParagraphFont"/>
    <w:uiPriority w:val="22"/>
    <w:qFormat/>
    <w:rsid w:val="008753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9121382">
      <w:bodyDiv w:val="1"/>
      <w:marLeft w:val="0"/>
      <w:marRight w:val="0"/>
      <w:marTop w:val="0"/>
      <w:marBottom w:val="0"/>
      <w:divBdr>
        <w:top w:val="none" w:sz="0" w:space="0" w:color="auto"/>
        <w:left w:val="none" w:sz="0" w:space="0" w:color="auto"/>
        <w:bottom w:val="none" w:sz="0" w:space="0" w:color="auto"/>
        <w:right w:val="none" w:sz="0" w:space="0" w:color="auto"/>
      </w:divBdr>
    </w:div>
    <w:div w:id="1033115466">
      <w:bodyDiv w:val="1"/>
      <w:marLeft w:val="0"/>
      <w:marRight w:val="0"/>
      <w:marTop w:val="0"/>
      <w:marBottom w:val="0"/>
      <w:divBdr>
        <w:top w:val="none" w:sz="0" w:space="0" w:color="auto"/>
        <w:left w:val="none" w:sz="0" w:space="0" w:color="auto"/>
        <w:bottom w:val="none" w:sz="0" w:space="0" w:color="auto"/>
        <w:right w:val="none" w:sz="0" w:space="0" w:color="auto"/>
      </w:divBdr>
    </w:div>
    <w:div w:id="1212571929">
      <w:bodyDiv w:val="1"/>
      <w:marLeft w:val="0"/>
      <w:marRight w:val="0"/>
      <w:marTop w:val="0"/>
      <w:marBottom w:val="0"/>
      <w:divBdr>
        <w:top w:val="none" w:sz="0" w:space="0" w:color="auto"/>
        <w:left w:val="none" w:sz="0" w:space="0" w:color="auto"/>
        <w:bottom w:val="none" w:sz="0" w:space="0" w:color="auto"/>
        <w:right w:val="none" w:sz="0" w:space="0" w:color="auto"/>
      </w:divBdr>
    </w:div>
    <w:div w:id="2042708755">
      <w:bodyDiv w:val="1"/>
      <w:marLeft w:val="0"/>
      <w:marRight w:val="0"/>
      <w:marTop w:val="0"/>
      <w:marBottom w:val="0"/>
      <w:divBdr>
        <w:top w:val="none" w:sz="0" w:space="0" w:color="auto"/>
        <w:left w:val="none" w:sz="0" w:space="0" w:color="auto"/>
        <w:bottom w:val="none" w:sz="0" w:space="0" w:color="auto"/>
        <w:right w:val="none" w:sz="0" w:space="0" w:color="auto"/>
      </w:divBdr>
    </w:div>
    <w:div w:id="2062710108">
      <w:bodyDiv w:val="1"/>
      <w:marLeft w:val="0"/>
      <w:marRight w:val="0"/>
      <w:marTop w:val="0"/>
      <w:marBottom w:val="0"/>
      <w:divBdr>
        <w:top w:val="none" w:sz="0" w:space="0" w:color="auto"/>
        <w:left w:val="none" w:sz="0" w:space="0" w:color="auto"/>
        <w:bottom w:val="none" w:sz="0" w:space="0" w:color="auto"/>
        <w:right w:val="none" w:sz="0" w:space="0" w:color="auto"/>
      </w:divBdr>
      <w:divsChild>
        <w:div w:id="1921519533">
          <w:marLeft w:val="0"/>
          <w:marRight w:val="0"/>
          <w:marTop w:val="0"/>
          <w:marBottom w:val="0"/>
          <w:divBdr>
            <w:top w:val="none" w:sz="0" w:space="0" w:color="auto"/>
            <w:left w:val="none" w:sz="0" w:space="0" w:color="auto"/>
            <w:bottom w:val="none" w:sz="0" w:space="0" w:color="auto"/>
            <w:right w:val="none" w:sz="0" w:space="0" w:color="auto"/>
          </w:divBdr>
          <w:divsChild>
            <w:div w:id="5806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3292</Words>
  <Characters>18765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Zuhra Asghar</dc:creator>
  <cp:keywords/>
  <dc:description/>
  <cp:lastModifiedBy>Aatekabanu Daudmia (2028879)</cp:lastModifiedBy>
  <cp:revision>2</cp:revision>
  <dcterms:created xsi:type="dcterms:W3CDTF">2026-03-05T19:41:00Z</dcterms:created>
  <dcterms:modified xsi:type="dcterms:W3CDTF">2026-03-05T19:41:00Z</dcterms:modified>
</cp:coreProperties>
</file>