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50F6" w:rsidRDefault="008150F6" w:rsidP="008150F6">
      <w:pPr>
        <w:pStyle w:val="NormalWeb"/>
        <w:spacing w:before="0" w:beforeAutospacing="0" w:after="0" w:afterAutospacing="0"/>
        <w:ind w:left="-180" w:right="-334"/>
      </w:pPr>
      <w:r>
        <w:rPr>
          <w:noProof/>
        </w:rPr>
        <w:drawing>
          <wp:inline distT="0" distB="0" distL="0" distR="0" wp14:anchorId="1F2377C1" wp14:editId="2EB5F0EB">
            <wp:extent cx="1903730" cy="641350"/>
            <wp:effectExtent l="19050" t="19050" r="20320" b="25400"/>
            <wp:docPr id="4" name="Picture 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3730" cy="641350"/>
                    </a:xfrm>
                    <a:prstGeom prst="rect">
                      <a:avLst/>
                    </a:prstGeom>
                    <a:noFill/>
                    <a:ln w="19050" cmpd="sng">
                      <a:solidFill>
                        <a:srgbClr val="000000"/>
                      </a:solidFill>
                      <a:miter lim="800000"/>
                      <a:headEnd/>
                      <a:tailEnd/>
                    </a:ln>
                    <a:effectLst/>
                  </pic:spPr>
                </pic:pic>
              </a:graphicData>
            </a:graphic>
          </wp:inline>
        </w:drawing>
      </w:r>
    </w:p>
    <w:p w:rsidR="008150F6" w:rsidRDefault="008150F6" w:rsidP="008150F6">
      <w:pPr>
        <w:pStyle w:val="NormalWeb"/>
        <w:spacing w:before="0" w:beforeAutospacing="0" w:after="0" w:afterAutospacing="0"/>
        <w:ind w:left="-180" w:right="-334"/>
      </w:pPr>
    </w:p>
    <w:p w:rsidR="008150F6" w:rsidRDefault="008150F6" w:rsidP="008150F6">
      <w:pPr>
        <w:pStyle w:val="NormalWeb"/>
        <w:spacing w:before="0" w:beforeAutospacing="0" w:after="0" w:afterAutospacing="0"/>
        <w:ind w:left="-180" w:right="-334"/>
      </w:pPr>
    </w:p>
    <w:p w:rsidR="008150F6" w:rsidRDefault="008150F6" w:rsidP="008150F6">
      <w:pPr>
        <w:pStyle w:val="NormalWeb"/>
        <w:spacing w:before="0" w:beforeAutospacing="0" w:after="0" w:afterAutospacing="0"/>
        <w:ind w:left="-180" w:right="-334"/>
        <w:jc w:val="center"/>
        <w:rPr>
          <w:rFonts w:ascii="Arial" w:hAnsi="Arial" w:cs="Arial"/>
          <w:b/>
          <w:sz w:val="28"/>
          <w:szCs w:val="28"/>
          <w:lang w:val="cy-GB"/>
        </w:rPr>
      </w:pPr>
      <w:proofErr w:type="spellStart"/>
      <w:r>
        <w:rPr>
          <w:rFonts w:ascii="Arial" w:hAnsi="Arial" w:cs="Arial"/>
          <w:b/>
          <w:sz w:val="28"/>
          <w:szCs w:val="28"/>
          <w:lang w:val="cy-GB"/>
        </w:rPr>
        <w:t>Postgraduate</w:t>
      </w:r>
      <w:proofErr w:type="spellEnd"/>
      <w:r>
        <w:rPr>
          <w:rFonts w:ascii="Arial" w:hAnsi="Arial" w:cs="Arial"/>
          <w:b/>
          <w:sz w:val="28"/>
          <w:szCs w:val="28"/>
          <w:lang w:val="cy-GB"/>
        </w:rPr>
        <w:t>/</w:t>
      </w:r>
      <w:proofErr w:type="spellStart"/>
      <w:r>
        <w:rPr>
          <w:rFonts w:ascii="Arial" w:hAnsi="Arial" w:cs="Arial"/>
          <w:b/>
          <w:sz w:val="28"/>
          <w:szCs w:val="28"/>
          <w:lang w:val="cy-GB"/>
        </w:rPr>
        <w:t>Distance</w:t>
      </w:r>
      <w:proofErr w:type="spellEnd"/>
      <w:r>
        <w:rPr>
          <w:rFonts w:ascii="Arial" w:hAnsi="Arial" w:cs="Arial"/>
          <w:b/>
          <w:sz w:val="28"/>
          <w:szCs w:val="28"/>
          <w:lang w:val="cy-GB"/>
        </w:rPr>
        <w:t xml:space="preserve"> </w:t>
      </w:r>
      <w:proofErr w:type="spellStart"/>
      <w:r>
        <w:rPr>
          <w:rFonts w:ascii="Arial" w:hAnsi="Arial" w:cs="Arial"/>
          <w:b/>
          <w:sz w:val="28"/>
          <w:szCs w:val="28"/>
          <w:lang w:val="cy-GB"/>
        </w:rPr>
        <w:t>Learning</w:t>
      </w:r>
      <w:proofErr w:type="spellEnd"/>
      <w:r>
        <w:rPr>
          <w:rFonts w:ascii="Arial" w:hAnsi="Arial" w:cs="Arial"/>
          <w:b/>
          <w:sz w:val="28"/>
          <w:szCs w:val="28"/>
          <w:lang w:val="cy-GB"/>
        </w:rPr>
        <w:t xml:space="preserve"> </w:t>
      </w:r>
    </w:p>
    <w:p w:rsidR="008150F6" w:rsidRDefault="008150F6" w:rsidP="008150F6">
      <w:pPr>
        <w:pStyle w:val="NormalWeb"/>
        <w:spacing w:before="0" w:beforeAutospacing="0" w:after="0" w:afterAutospacing="0"/>
        <w:ind w:left="-180" w:right="-334"/>
        <w:jc w:val="center"/>
        <w:rPr>
          <w:rFonts w:ascii="Arial" w:hAnsi="Arial" w:cs="Arial"/>
          <w:b/>
          <w:sz w:val="28"/>
          <w:szCs w:val="28"/>
        </w:rPr>
      </w:pPr>
      <w:proofErr w:type="spellStart"/>
      <w:r>
        <w:rPr>
          <w:rFonts w:ascii="Arial" w:hAnsi="Arial" w:cs="Arial"/>
          <w:b/>
          <w:sz w:val="28"/>
          <w:szCs w:val="28"/>
          <w:lang w:val="cy-GB"/>
        </w:rPr>
        <w:t>Assignment</w:t>
      </w:r>
      <w:proofErr w:type="spellEnd"/>
      <w:r>
        <w:rPr>
          <w:rFonts w:ascii="Arial" w:hAnsi="Arial" w:cs="Arial"/>
          <w:b/>
          <w:sz w:val="28"/>
          <w:szCs w:val="28"/>
          <w:lang w:val="cy-GB"/>
        </w:rPr>
        <w:t xml:space="preserve"> </w:t>
      </w:r>
      <w:proofErr w:type="spellStart"/>
      <w:r>
        <w:rPr>
          <w:rFonts w:ascii="Arial" w:hAnsi="Arial" w:cs="Arial"/>
          <w:b/>
          <w:sz w:val="28"/>
          <w:szCs w:val="28"/>
          <w:lang w:val="cy-GB"/>
        </w:rPr>
        <w:t>coversheet</w:t>
      </w:r>
      <w:proofErr w:type="spellEnd"/>
      <w:r>
        <w:rPr>
          <w:rFonts w:ascii="Arial" w:hAnsi="Arial" w:cs="Arial"/>
          <w:b/>
          <w:sz w:val="28"/>
          <w:szCs w:val="28"/>
          <w:lang w:val="cy-GB"/>
        </w:rPr>
        <w:t xml:space="preserve"> &amp; </w:t>
      </w:r>
      <w:proofErr w:type="spellStart"/>
      <w:r>
        <w:rPr>
          <w:rFonts w:ascii="Arial" w:hAnsi="Arial" w:cs="Arial"/>
          <w:b/>
          <w:sz w:val="28"/>
          <w:szCs w:val="28"/>
          <w:lang w:val="cy-GB"/>
        </w:rPr>
        <w:t>feedback</w:t>
      </w:r>
      <w:proofErr w:type="spellEnd"/>
      <w:r>
        <w:rPr>
          <w:rFonts w:ascii="Arial" w:hAnsi="Arial" w:cs="Arial"/>
          <w:b/>
          <w:sz w:val="28"/>
          <w:szCs w:val="28"/>
          <w:lang w:val="cy-GB"/>
        </w:rPr>
        <w:t xml:space="preserve"> </w:t>
      </w:r>
      <w:proofErr w:type="spellStart"/>
      <w:r>
        <w:rPr>
          <w:rFonts w:ascii="Arial" w:hAnsi="Arial" w:cs="Arial"/>
          <w:b/>
          <w:sz w:val="28"/>
          <w:szCs w:val="28"/>
          <w:lang w:val="cy-GB"/>
        </w:rPr>
        <w:t>form</w:t>
      </w:r>
      <w:proofErr w:type="spellEnd"/>
    </w:p>
    <w:p w:rsidR="008150F6" w:rsidRDefault="008150F6" w:rsidP="008150F6">
      <w:pPr>
        <w:rPr>
          <w:rFonts w:ascii="Arial" w:hAnsi="Arial" w:cs="Arial"/>
          <w:sz w:val="28"/>
          <w:szCs w:val="28"/>
          <w:lang w:val="cy-GB"/>
        </w:rPr>
      </w:pPr>
    </w:p>
    <w:p w:rsidR="008150F6" w:rsidRDefault="008150F6" w:rsidP="008150F6">
      <w:pPr>
        <w:pStyle w:val="Heading3"/>
        <w:jc w:val="center"/>
        <w:rPr>
          <w:rFonts w:ascii="Tahoma" w:eastAsia="SimSun" w:hAnsi="Tahoma" w:cs="Tahoma"/>
          <w:sz w:val="20"/>
          <w:szCs w:val="20"/>
          <w:lang w:val="cy-GB"/>
        </w:rPr>
      </w:pPr>
      <w:r>
        <w:rPr>
          <w:rFonts w:eastAsia="SimSun"/>
          <w:lang w:val="cy-GB"/>
        </w:rPr>
        <w:t>THIS SHEET MUST BE THE FIRST PAGE OF THE ASSIGNMENT YOU ARE SUBMITTING  (DO NOT SEND AS A SEPARATE FILE)</w:t>
      </w:r>
    </w:p>
    <w:p w:rsidR="008150F6" w:rsidRDefault="008150F6" w:rsidP="008150F6">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150F6" w:rsidTr="00C63BB7">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8150F6" w:rsidTr="00C63BB7">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p>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Gulliver Methuen-Campbell</w:t>
            </w:r>
          </w:p>
        </w:tc>
      </w:tr>
      <w:tr w:rsidR="008150F6" w:rsidTr="00C63BB7">
        <w:trPr>
          <w:trHeight w:val="849"/>
        </w:trPr>
        <w:tc>
          <w:tcPr>
            <w:tcW w:w="4788" w:type="dxa"/>
            <w:tcBorders>
              <w:top w:val="single" w:sz="4" w:space="0" w:color="000000"/>
              <w:left w:val="single" w:sz="4" w:space="0" w:color="000000"/>
              <w:bottom w:val="single" w:sz="4" w:space="0" w:color="000000"/>
              <w:right w:val="single" w:sz="4" w:space="0" w:color="000000"/>
            </w:tcBorders>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Module code:</w:t>
            </w:r>
          </w:p>
          <w:p w:rsidR="008150F6" w:rsidRDefault="008150F6" w:rsidP="00C63BB7">
            <w:pPr>
              <w:pStyle w:val="Heading1"/>
              <w:jc w:val="center"/>
            </w:pPr>
            <w:r>
              <w:t>AHHI 7016</w:t>
            </w:r>
          </w:p>
          <w:p w:rsidR="008150F6" w:rsidRDefault="008150F6" w:rsidP="00C63BB7">
            <w:pPr>
              <w:pStyle w:val="NormalWeb"/>
              <w:spacing w:before="0" w:beforeAutospacing="0" w:after="0" w:afterAutospacing="0"/>
              <w:ind w:right="34"/>
              <w:rPr>
                <w:rFonts w:ascii="Arial" w:hAnsi="Arial" w:cs="Arial"/>
                <w:sz w:val="22"/>
                <w:szCs w:val="22"/>
              </w:rPr>
            </w:pPr>
          </w:p>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rsidR="008150F6" w:rsidRDefault="008150F6" w:rsidP="00C63BB7">
            <w:pPr>
              <w:pStyle w:val="Heading1"/>
              <w:jc w:val="center"/>
            </w:pPr>
            <w:r>
              <w:t>Studying the Medieval</w:t>
            </w:r>
          </w:p>
          <w:p w:rsidR="008150F6" w:rsidRDefault="008150F6" w:rsidP="00C63BB7">
            <w:pPr>
              <w:pStyle w:val="NormalWeb"/>
              <w:spacing w:before="0" w:beforeAutospacing="0" w:after="0" w:afterAutospacing="0"/>
              <w:ind w:right="34"/>
              <w:rPr>
                <w:rFonts w:ascii="Arial" w:hAnsi="Arial" w:cs="Arial"/>
                <w:sz w:val="22"/>
                <w:szCs w:val="22"/>
              </w:rPr>
            </w:pPr>
          </w:p>
          <w:p w:rsidR="008150F6" w:rsidRDefault="008150F6" w:rsidP="00C63BB7">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rsidR="008150F6" w:rsidRDefault="008150F6" w:rsidP="00C63BB7">
            <w:pPr>
              <w:pStyle w:val="NormalWeb"/>
              <w:spacing w:before="0" w:beforeAutospacing="0" w:after="0" w:afterAutospacing="0"/>
              <w:ind w:right="34"/>
              <w:rPr>
                <w:rFonts w:ascii="Arial" w:hAnsi="Arial" w:cs="Arial"/>
                <w:sz w:val="22"/>
                <w:szCs w:val="22"/>
              </w:rPr>
            </w:pPr>
          </w:p>
          <w:p w:rsidR="008150F6" w:rsidRDefault="008150F6" w:rsidP="00C63BB7">
            <w:pPr>
              <w:pStyle w:val="NormalWeb"/>
              <w:spacing w:before="0" w:beforeAutospacing="0" w:after="0" w:afterAutospacing="0"/>
              <w:ind w:right="34"/>
              <w:rPr>
                <w:rFonts w:ascii="Arial" w:hAnsi="Arial" w:cs="Arial"/>
                <w:sz w:val="22"/>
                <w:szCs w:val="22"/>
              </w:rPr>
            </w:pPr>
            <w:r w:rsidRPr="000F20A2">
              <w:rPr>
                <w:rFonts w:ascii="Arial" w:hAnsi="Arial" w:cs="Arial"/>
                <w:sz w:val="22"/>
                <w:szCs w:val="22"/>
              </w:rPr>
              <w:t>1705164</w:t>
            </w:r>
          </w:p>
        </w:tc>
        <w:tc>
          <w:tcPr>
            <w:tcW w:w="1802" w:type="dxa"/>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0F20A2">
              <w:rPr>
                <w:rFonts w:ascii="Arial" w:hAnsi="Arial" w:cs="Arial"/>
                <w:sz w:val="22"/>
                <w:szCs w:val="22"/>
                <w:u w:val="single"/>
              </w:rPr>
              <w:t>No</w:t>
            </w:r>
          </w:p>
        </w:tc>
      </w:tr>
      <w:tr w:rsidR="008150F6" w:rsidTr="00C63BB7">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Janet Burton</w:t>
            </w:r>
          </w:p>
          <w:p w:rsidR="008150F6" w:rsidRDefault="008150F6" w:rsidP="00C63BB7">
            <w:pPr>
              <w:pStyle w:val="NormalWeb"/>
              <w:spacing w:before="0" w:beforeAutospacing="0" w:after="0" w:afterAutospacing="0"/>
              <w:ind w:right="34"/>
              <w:rPr>
                <w:rFonts w:ascii="Arial" w:hAnsi="Arial" w:cs="Arial"/>
                <w:sz w:val="22"/>
                <w:szCs w:val="22"/>
              </w:rPr>
            </w:pPr>
          </w:p>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30</w:t>
            </w:r>
            <w:r w:rsidRPr="000F20A2">
              <w:rPr>
                <w:rFonts w:ascii="Arial" w:hAnsi="Arial" w:cs="Arial"/>
                <w:sz w:val="22"/>
                <w:szCs w:val="22"/>
                <w:vertAlign w:val="superscript"/>
              </w:rPr>
              <w:t>th</w:t>
            </w:r>
            <w:r>
              <w:rPr>
                <w:rFonts w:ascii="Arial" w:hAnsi="Arial" w:cs="Arial"/>
                <w:sz w:val="22"/>
                <w:szCs w:val="22"/>
              </w:rPr>
              <w:t xml:space="preserve"> Aug 19</w:t>
            </w:r>
          </w:p>
        </w:tc>
      </w:tr>
      <w:tr w:rsidR="008150F6" w:rsidTr="00C63BB7">
        <w:trPr>
          <w:trHeight w:val="978"/>
        </w:trPr>
        <w:tc>
          <w:tcPr>
            <w:tcW w:w="8856" w:type="dxa"/>
            <w:gridSpan w:val="5"/>
            <w:tcBorders>
              <w:top w:val="single" w:sz="4" w:space="0" w:color="000000"/>
              <w:left w:val="single" w:sz="4" w:space="0" w:color="000000"/>
              <w:bottom w:val="single" w:sz="4" w:space="0" w:color="000000"/>
              <w:right w:val="single" w:sz="4" w:space="0" w:color="000000"/>
            </w:tcBorders>
          </w:tcPr>
          <w:p w:rsidR="008150F6" w:rsidRDefault="008150F6" w:rsidP="00C63BB7">
            <w:pPr>
              <w:rPr>
                <w:rFonts w:ascii="Arial" w:hAnsi="Arial" w:cs="Arial"/>
              </w:rPr>
            </w:pPr>
            <w:r>
              <w:rPr>
                <w:rFonts w:ascii="Arial" w:hAnsi="Arial" w:cs="Arial"/>
              </w:rPr>
              <w:t xml:space="preserve">If your module has multiple </w:t>
            </w:r>
            <w:proofErr w:type="gramStart"/>
            <w:r>
              <w:rPr>
                <w:rFonts w:ascii="Arial" w:hAnsi="Arial" w:cs="Arial"/>
              </w:rPr>
              <w:t>submissions</w:t>
            </w:r>
            <w:proofErr w:type="gramEnd"/>
            <w:r>
              <w:rPr>
                <w:rFonts w:ascii="Arial" w:hAnsi="Arial" w:cs="Arial"/>
              </w:rPr>
              <w:t xml:space="preserve"> please indicate which piece of work this is.</w:t>
            </w:r>
          </w:p>
          <w:p w:rsidR="008150F6" w:rsidRDefault="008150F6" w:rsidP="00C63BB7">
            <w:pPr>
              <w:rPr>
                <w:rFonts w:ascii="Arial" w:hAnsi="Arial" w:cs="Arial"/>
              </w:rPr>
            </w:pPr>
          </w:p>
          <w:p w:rsidR="008150F6" w:rsidRDefault="008150F6" w:rsidP="00C63BB7">
            <w:pPr>
              <w:rPr>
                <w:rFonts w:ascii="Arial" w:hAnsi="Arial" w:cs="Arial"/>
              </w:rPr>
            </w:pPr>
            <w:r>
              <w:rPr>
                <w:rFonts w:ascii="Arial" w:hAnsi="Arial" w:cs="Arial"/>
              </w:rPr>
              <w:t>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Check14"/>
                  <w:enabled/>
                  <w:calcOnExit w:val="0"/>
                  <w:checkBox>
                    <w:sizeAuto/>
                    <w:default w:val="1"/>
                  </w:checkBox>
                </w:ffData>
              </w:fldChar>
            </w:r>
            <w:bookmarkStart w:id="1" w:name="Check14"/>
            <w:r>
              <w:rPr>
                <w:rFonts w:ascii="Arial" w:hAnsi="Arial" w:cs="Arial"/>
              </w:rPr>
              <w:instrText xml:space="preserve"> FORMCHECKBOX </w:instrText>
            </w:r>
            <w:r>
              <w:rPr>
                <w:rFonts w:ascii="Arial" w:hAnsi="Arial" w:cs="Arial"/>
              </w:rPr>
            </w:r>
            <w:r>
              <w:rPr>
                <w:rFonts w:ascii="Arial" w:hAnsi="Arial" w:cs="Arial"/>
              </w:rPr>
              <w:fldChar w:fldCharType="end"/>
            </w:r>
            <w:bookmarkEnd w:id="1"/>
            <w:r>
              <w:rPr>
                <w:rFonts w:ascii="Arial" w:hAnsi="Arial" w:cs="Arial"/>
              </w:rPr>
              <w:t xml:space="preserve">     3</w:t>
            </w:r>
            <w:r>
              <w:rPr>
                <w:rFonts w:ascii="Arial" w:hAnsi="Arial" w:cs="Arial"/>
                <w:vertAlign w:val="superscript"/>
              </w:rPr>
              <w:t>rd</w:t>
            </w:r>
            <w:r>
              <w:rPr>
                <w:rFonts w:ascii="Arial" w:hAnsi="Arial" w:cs="Arial"/>
              </w:rPr>
              <w:t xml:space="preserve">  </w:t>
            </w:r>
            <w:bookmarkStart w:id="2" w:name="_GoBack"/>
            <w:r>
              <w:rPr>
                <w:rFonts w:ascii="Arial" w:hAnsi="Arial" w:cs="Arial"/>
              </w:rPr>
              <w:fldChar w:fldCharType="begin">
                <w:ffData>
                  <w:name w:val="Check15"/>
                  <w:enabled/>
                  <w:calcOnExit w:val="0"/>
                  <w:checkBox>
                    <w:sizeAuto/>
                    <w:default w:val="0"/>
                  </w:checkBox>
                </w:ffData>
              </w:fldChar>
            </w:r>
            <w:bookmarkStart w:id="3" w:name="Check15"/>
            <w:r>
              <w:rPr>
                <w:rFonts w:ascii="Arial" w:hAnsi="Arial" w:cs="Arial"/>
              </w:rPr>
              <w:instrText xml:space="preserve"> FORMCHECKBOX </w:instrText>
            </w:r>
            <w:r>
              <w:rPr>
                <w:rFonts w:ascii="Arial" w:hAnsi="Arial" w:cs="Arial"/>
              </w:rPr>
            </w:r>
            <w:r>
              <w:rPr>
                <w:rFonts w:ascii="Arial" w:hAnsi="Arial" w:cs="Arial"/>
              </w:rPr>
              <w:fldChar w:fldCharType="end"/>
            </w:r>
            <w:bookmarkEnd w:id="3"/>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4" w:name="Check16"/>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5" w:name="Check17"/>
            <w:r>
              <w:rPr>
                <w:rFonts w:ascii="Arial" w:hAnsi="Arial" w:cs="Arial"/>
              </w:rPr>
              <w:instrText xml:space="preserve"> FORMCHECKBOX </w:instrText>
            </w:r>
            <w:r>
              <w:rPr>
                <w:rFonts w:ascii="Times New Roman" w:hAnsi="Times New Roman" w:cs="Times New Roman"/>
                <w:sz w:val="24"/>
                <w:szCs w:val="24"/>
              </w:rPr>
              <w:fldChar w:fldCharType="end"/>
            </w:r>
            <w:bookmarkEnd w:id="5"/>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6" w:name="Check18"/>
            <w:r>
              <w:rPr>
                <w:rFonts w:ascii="Arial" w:hAnsi="Arial" w:cs="Arial"/>
              </w:rPr>
              <w:instrText xml:space="preserve"> FORMCHECKBOX </w:instrText>
            </w:r>
            <w:r>
              <w:rPr>
                <w:rFonts w:ascii="Times New Roman" w:hAnsi="Times New Roman" w:cs="Times New Roman"/>
                <w:sz w:val="24"/>
                <w:szCs w:val="24"/>
              </w:rPr>
              <w:fldChar w:fldCharType="end"/>
            </w:r>
            <w:bookmarkEnd w:id="6"/>
          </w:p>
        </w:tc>
      </w:tr>
      <w:tr w:rsidR="008150F6" w:rsidTr="00C63BB7">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rsidR="008150F6" w:rsidRDefault="008150F6" w:rsidP="00C63BB7">
            <w:pPr>
              <w:pStyle w:val="NormalWeb"/>
              <w:spacing w:before="0" w:beforeAutospacing="0" w:after="0" w:afterAutospacing="0"/>
              <w:ind w:right="34"/>
              <w:rPr>
                <w:rFonts w:ascii="Arial" w:hAnsi="Arial" w:cs="Arial"/>
                <w:sz w:val="22"/>
                <w:szCs w:val="22"/>
              </w:rPr>
            </w:pPr>
            <w:r>
              <w:rPr>
                <w:rFonts w:ascii="Arial" w:hAnsi="Arial" w:cs="Arial"/>
                <w:sz w:val="22"/>
                <w:szCs w:val="22"/>
              </w:rPr>
              <w:t>Signed ……………………GMC………………………………</w:t>
            </w:r>
          </w:p>
          <w:p w:rsidR="008150F6" w:rsidRDefault="008150F6" w:rsidP="00C63BB7">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rsidR="008150F6" w:rsidRDefault="008150F6" w:rsidP="00C63BB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150F6" w:rsidTr="00C63BB7">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8150F6" w:rsidRDefault="008150F6" w:rsidP="00C63BB7">
            <w:pPr>
              <w:rPr>
                <w:rFonts w:ascii="Arial" w:hAnsi="Arial" w:cs="Times New Roman"/>
                <w:b/>
                <w:sz w:val="24"/>
                <w:szCs w:val="24"/>
              </w:rPr>
            </w:pPr>
          </w:p>
          <w:p w:rsidR="008150F6" w:rsidRDefault="008150F6" w:rsidP="00C63BB7">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150F6" w:rsidTr="00C63BB7">
              <w:tc>
                <w:tcPr>
                  <w:tcW w:w="697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p w:rsidR="008150F6" w:rsidRDefault="008150F6" w:rsidP="00C63BB7">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tc>
            </w:tr>
            <w:tr w:rsidR="008150F6" w:rsidTr="00C63BB7">
              <w:tc>
                <w:tcPr>
                  <w:tcW w:w="697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p w:rsidR="008150F6" w:rsidRDefault="008150F6" w:rsidP="00C63BB7">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tc>
            </w:tr>
            <w:tr w:rsidR="008150F6" w:rsidTr="00C63BB7">
              <w:tc>
                <w:tcPr>
                  <w:tcW w:w="697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p w:rsidR="008150F6" w:rsidRDefault="008150F6" w:rsidP="00C63BB7">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tc>
            </w:tr>
            <w:tr w:rsidR="008150F6" w:rsidTr="00C63BB7">
              <w:tc>
                <w:tcPr>
                  <w:tcW w:w="697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p w:rsidR="008150F6" w:rsidRDefault="008150F6" w:rsidP="00C63BB7">
                  <w:pPr>
                    <w:rPr>
                      <w:rFonts w:ascii="Arial" w:hAnsi="Arial"/>
                      <w:b/>
                      <w:sz w:val="20"/>
                      <w:szCs w:val="20"/>
                    </w:rPr>
                  </w:pPr>
                  <w:r>
                    <w:rPr>
                      <w:rFonts w:ascii="Arial" w:hAnsi="Arial"/>
                      <w:b/>
                      <w:sz w:val="20"/>
                      <w:szCs w:val="20"/>
                    </w:rPr>
                    <w:t>Final Mark</w:t>
                  </w:r>
                </w:p>
                <w:p w:rsidR="008150F6" w:rsidRDefault="008150F6" w:rsidP="00C63BB7">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rsidR="008150F6" w:rsidRDefault="008150F6" w:rsidP="00C63BB7">
                  <w:pPr>
                    <w:rPr>
                      <w:rFonts w:ascii="Arial" w:hAnsi="Arial"/>
                      <w:sz w:val="20"/>
                      <w:szCs w:val="20"/>
                    </w:rPr>
                  </w:pPr>
                </w:p>
              </w:tc>
            </w:tr>
          </w:tbl>
          <w:p w:rsidR="008150F6" w:rsidRDefault="008150F6" w:rsidP="00C63BB7">
            <w:pPr>
              <w:pStyle w:val="NormalWeb"/>
              <w:spacing w:before="0" w:beforeAutospacing="0" w:after="0" w:afterAutospacing="0"/>
              <w:ind w:left="142" w:right="34"/>
              <w:rPr>
                <w:rFonts w:ascii="Arial" w:hAnsi="Arial" w:cs="Arial"/>
                <w:b/>
                <w:sz w:val="22"/>
                <w:szCs w:val="22"/>
              </w:rPr>
            </w:pPr>
          </w:p>
          <w:p w:rsidR="008150F6" w:rsidRDefault="008150F6" w:rsidP="00C63BB7">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rsidR="008150F6" w:rsidRDefault="008150F6" w:rsidP="00C63BB7">
            <w:pPr>
              <w:pStyle w:val="NormalWeb"/>
              <w:spacing w:before="0" w:beforeAutospacing="0" w:after="0" w:afterAutospacing="0"/>
              <w:rPr>
                <w:rFonts w:ascii="Arial" w:hAnsi="Arial" w:cs="Arial"/>
                <w:b/>
                <w:sz w:val="22"/>
                <w:szCs w:val="22"/>
              </w:rPr>
            </w:pPr>
          </w:p>
          <w:p w:rsidR="008150F6" w:rsidRDefault="008150F6" w:rsidP="00C63BB7">
            <w:pPr>
              <w:pStyle w:val="NormalWeb"/>
              <w:spacing w:before="0" w:beforeAutospacing="0" w:after="0" w:afterAutospacing="0"/>
              <w:rPr>
                <w:rFonts w:ascii="Arial" w:hAnsi="Arial" w:cs="Arial"/>
                <w:b/>
                <w:sz w:val="22"/>
                <w:szCs w:val="22"/>
              </w:rPr>
            </w:pPr>
          </w:p>
          <w:p w:rsidR="008150F6" w:rsidRDefault="008150F6" w:rsidP="00C63BB7">
            <w:pPr>
              <w:pStyle w:val="NormalWeb"/>
              <w:spacing w:before="0" w:beforeAutospacing="0" w:after="0" w:afterAutospacing="0"/>
              <w:rPr>
                <w:rFonts w:ascii="Arial" w:hAnsi="Arial" w:cs="Arial"/>
                <w:b/>
                <w:sz w:val="22"/>
                <w:szCs w:val="22"/>
              </w:rPr>
            </w:pPr>
          </w:p>
          <w:p w:rsidR="008150F6" w:rsidRDefault="008150F6" w:rsidP="00C63BB7">
            <w:pPr>
              <w:pStyle w:val="NormalWeb"/>
              <w:spacing w:before="0" w:beforeAutospacing="0" w:after="0" w:afterAutospacing="0"/>
              <w:rPr>
                <w:rFonts w:ascii="Arial" w:hAnsi="Arial" w:cs="Arial"/>
                <w:b/>
                <w:sz w:val="22"/>
                <w:szCs w:val="22"/>
              </w:rPr>
            </w:pPr>
          </w:p>
          <w:p w:rsidR="008150F6" w:rsidRDefault="008150F6" w:rsidP="00C63BB7">
            <w:pPr>
              <w:pStyle w:val="NormalWeb"/>
              <w:spacing w:before="0" w:beforeAutospacing="0" w:after="0" w:afterAutospacing="0"/>
              <w:rPr>
                <w:rFonts w:ascii="Arial" w:hAnsi="Arial" w:cs="Arial"/>
                <w:b/>
                <w:sz w:val="22"/>
                <w:szCs w:val="22"/>
              </w:rPr>
            </w:pPr>
          </w:p>
          <w:p w:rsidR="008150F6" w:rsidRDefault="008150F6" w:rsidP="00C63BB7">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rsidR="008150F6" w:rsidRDefault="008150F6" w:rsidP="00C63BB7">
            <w:pPr>
              <w:pStyle w:val="NormalWeb"/>
              <w:rPr>
                <w:rFonts w:ascii="Arial" w:hAnsi="Arial" w:cs="Arial"/>
                <w:sz w:val="22"/>
                <w:szCs w:val="22"/>
              </w:rPr>
            </w:pPr>
            <w:r>
              <w:rPr>
                <w:rFonts w:ascii="Arial" w:hAnsi="Arial" w:cs="Arial"/>
                <w:sz w:val="22"/>
                <w:szCs w:val="22"/>
              </w:rPr>
              <w:t>Comments:</w:t>
            </w:r>
          </w:p>
          <w:p w:rsidR="008150F6" w:rsidRDefault="008150F6" w:rsidP="00C63BB7">
            <w:pPr>
              <w:pStyle w:val="NormalWeb"/>
              <w:rPr>
                <w:rFonts w:ascii="Arial" w:hAnsi="Arial" w:cs="Arial"/>
                <w:sz w:val="22"/>
                <w:szCs w:val="22"/>
              </w:rPr>
            </w:pPr>
          </w:p>
        </w:tc>
      </w:tr>
      <w:tr w:rsidR="008150F6" w:rsidTr="00C63BB7">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8150F6" w:rsidTr="00C63BB7">
        <w:tc>
          <w:tcPr>
            <w:tcW w:w="8856" w:type="dxa"/>
            <w:gridSpan w:val="5"/>
            <w:tcBorders>
              <w:top w:val="single" w:sz="4" w:space="0" w:color="000000"/>
              <w:left w:val="single" w:sz="4" w:space="0" w:color="000000"/>
              <w:bottom w:val="single" w:sz="4" w:space="0" w:color="000000"/>
              <w:right w:val="single" w:sz="4" w:space="0" w:color="000000"/>
            </w:tcBorders>
          </w:tcPr>
          <w:p w:rsidR="008150F6" w:rsidRDefault="008150F6" w:rsidP="00C63BB7">
            <w:pPr>
              <w:pStyle w:val="NormalWeb"/>
              <w:spacing w:before="0" w:beforeAutospacing="0" w:after="0" w:afterAutospacing="0"/>
              <w:ind w:right="-334"/>
              <w:rPr>
                <w:rFonts w:ascii="Arial" w:hAnsi="Arial" w:cs="Arial"/>
                <w:bCs/>
                <w:i/>
                <w:sz w:val="22"/>
                <w:szCs w:val="22"/>
              </w:rPr>
            </w:pPr>
          </w:p>
          <w:p w:rsidR="008150F6" w:rsidRDefault="008150F6" w:rsidP="00C63BB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rsidR="008150F6" w:rsidRDefault="008150F6" w:rsidP="00C63BB7">
            <w:pPr>
              <w:pStyle w:val="NormalWeb"/>
              <w:spacing w:before="0" w:beforeAutospacing="0" w:after="0" w:afterAutospacing="0"/>
              <w:ind w:right="-334"/>
              <w:rPr>
                <w:rFonts w:ascii="Arial" w:hAnsi="Arial" w:cs="Arial"/>
                <w:b/>
                <w:bCs/>
                <w:sz w:val="22"/>
                <w:szCs w:val="22"/>
              </w:rPr>
            </w:pPr>
          </w:p>
          <w:p w:rsidR="008150F6" w:rsidRDefault="008150F6" w:rsidP="00C63BB7">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rsidR="008150F6" w:rsidRDefault="008150F6" w:rsidP="00C63BB7">
            <w:pPr>
              <w:pStyle w:val="NormalWeb"/>
              <w:spacing w:before="0" w:beforeAutospacing="0" w:after="0" w:afterAutospacing="0"/>
              <w:ind w:right="-334"/>
              <w:rPr>
                <w:rFonts w:ascii="Arial" w:hAnsi="Arial" w:cs="Arial"/>
                <w:bCs/>
                <w:sz w:val="22"/>
                <w:szCs w:val="22"/>
              </w:rPr>
            </w:pPr>
          </w:p>
          <w:p w:rsidR="008150F6" w:rsidRDefault="008150F6" w:rsidP="00C63BB7">
            <w:pPr>
              <w:pStyle w:val="NormalWeb"/>
              <w:spacing w:before="0" w:beforeAutospacing="0" w:after="0" w:afterAutospacing="0"/>
              <w:ind w:right="-334"/>
              <w:rPr>
                <w:rFonts w:ascii="Arial" w:hAnsi="Arial" w:cs="Arial"/>
                <w:bCs/>
                <w:sz w:val="22"/>
                <w:szCs w:val="22"/>
              </w:rPr>
            </w:pPr>
          </w:p>
          <w:p w:rsidR="008150F6" w:rsidRDefault="008150F6" w:rsidP="00C63BB7">
            <w:pPr>
              <w:pStyle w:val="NormalWeb"/>
              <w:spacing w:before="0" w:beforeAutospacing="0" w:after="0" w:afterAutospacing="0"/>
              <w:ind w:right="-334"/>
              <w:rPr>
                <w:rFonts w:ascii="Arial" w:hAnsi="Arial" w:cs="Arial"/>
                <w:bCs/>
                <w:sz w:val="22"/>
                <w:szCs w:val="22"/>
              </w:rPr>
            </w:pPr>
          </w:p>
        </w:tc>
      </w:tr>
      <w:tr w:rsidR="008150F6" w:rsidTr="00C63BB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8150F6" w:rsidRDefault="008150F6" w:rsidP="00C63BB7">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8150F6" w:rsidTr="00C63BB7">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8150F6" w:rsidRDefault="008150F6" w:rsidP="00C63BB7">
            <w:pPr>
              <w:rPr>
                <w:rFonts w:ascii="Arial" w:hAnsi="Arial" w:cs="Arial"/>
                <w:b/>
              </w:rPr>
            </w:pPr>
            <w:r>
              <w:rPr>
                <w:rFonts w:ascii="Arial" w:hAnsi="Arial" w:cs="Arial"/>
                <w:b/>
              </w:rPr>
              <w:t>External Examiner’s comments (if relevant)</w:t>
            </w:r>
          </w:p>
          <w:p w:rsidR="008150F6" w:rsidRDefault="008150F6" w:rsidP="00C63BB7">
            <w:pPr>
              <w:pStyle w:val="NormalWeb"/>
              <w:spacing w:before="0" w:beforeAutospacing="0" w:after="0" w:afterAutospacing="0"/>
              <w:ind w:right="-334"/>
              <w:rPr>
                <w:rFonts w:ascii="Arial" w:hAnsi="Arial" w:cs="Arial"/>
                <w:bCs/>
                <w:sz w:val="22"/>
                <w:szCs w:val="22"/>
              </w:rPr>
            </w:pPr>
          </w:p>
          <w:p w:rsidR="008150F6" w:rsidRDefault="008150F6" w:rsidP="00C63BB7">
            <w:pPr>
              <w:pStyle w:val="NormalWeb"/>
              <w:spacing w:before="0" w:beforeAutospacing="0" w:after="0" w:afterAutospacing="0"/>
              <w:ind w:right="-334"/>
              <w:rPr>
                <w:rFonts w:ascii="Arial" w:hAnsi="Arial" w:cs="Arial"/>
                <w:bCs/>
                <w:sz w:val="22"/>
                <w:szCs w:val="22"/>
              </w:rPr>
            </w:pPr>
          </w:p>
          <w:p w:rsidR="008150F6" w:rsidRDefault="008150F6" w:rsidP="00C63BB7">
            <w:pPr>
              <w:pStyle w:val="NormalWeb"/>
              <w:spacing w:before="0" w:beforeAutospacing="0" w:after="0" w:afterAutospacing="0"/>
              <w:ind w:right="-334"/>
              <w:rPr>
                <w:rFonts w:ascii="Arial" w:hAnsi="Arial" w:cs="Arial"/>
                <w:bCs/>
                <w:sz w:val="22"/>
                <w:szCs w:val="22"/>
              </w:rPr>
            </w:pPr>
          </w:p>
        </w:tc>
      </w:tr>
      <w:tr w:rsidR="008150F6" w:rsidTr="00C63BB7">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8150F6" w:rsidRDefault="008150F6" w:rsidP="00C63BB7">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8150F6" w:rsidRDefault="008150F6" w:rsidP="00C63BB7">
            <w:pPr>
              <w:rPr>
                <w:rFonts w:ascii="Arial" w:hAnsi="Arial" w:cs="Arial"/>
              </w:rPr>
            </w:pPr>
            <w:r>
              <w:rPr>
                <w:rFonts w:ascii="Arial" w:hAnsi="Arial" w:cs="Arial"/>
              </w:rPr>
              <w:t>Date:</w:t>
            </w:r>
          </w:p>
        </w:tc>
      </w:tr>
    </w:tbl>
    <w:p w:rsidR="008150F6" w:rsidRDefault="008150F6" w:rsidP="008150F6">
      <w:pPr>
        <w:pStyle w:val="NormalWeb"/>
        <w:spacing w:before="0" w:beforeAutospacing="0" w:after="0" w:afterAutospacing="0"/>
        <w:ind w:right="-334"/>
        <w:rPr>
          <w:rFonts w:ascii="Trebuchet MS" w:hAnsi="Trebuchet MS" w:cs="Tahoma"/>
          <w:bCs/>
          <w:sz w:val="24"/>
          <w:szCs w:val="24"/>
        </w:rPr>
      </w:pPr>
    </w:p>
    <w:p w:rsidR="008150F6" w:rsidRDefault="008150F6" w:rsidP="008150F6">
      <w:pPr>
        <w:rPr>
          <w:rFonts w:asciiTheme="majorHAnsi" w:eastAsiaTheme="majorEastAsia" w:hAnsiTheme="majorHAnsi" w:cstheme="majorBidi"/>
          <w:spacing w:val="-10"/>
          <w:kern w:val="28"/>
          <w:sz w:val="56"/>
          <w:szCs w:val="56"/>
        </w:rPr>
      </w:pPr>
      <w:r>
        <w:t xml:space="preserve"> </w:t>
      </w:r>
      <w:r>
        <w:br w:type="page"/>
      </w:r>
    </w:p>
    <w:p w:rsidR="008150F6" w:rsidRDefault="008150F6" w:rsidP="00236AB1">
      <w:pPr>
        <w:rPr>
          <w:b/>
          <w:lang w:val="en-US"/>
        </w:rPr>
      </w:pPr>
    </w:p>
    <w:p w:rsidR="00236AB1" w:rsidRPr="00236AB1" w:rsidRDefault="008150F6" w:rsidP="00236AB1">
      <w:pPr>
        <w:rPr>
          <w:lang w:val="en-US"/>
        </w:rPr>
      </w:pPr>
      <w:r>
        <w:rPr>
          <w:b/>
          <w:lang w:val="en-US"/>
        </w:rPr>
        <w:t>1</w:t>
      </w:r>
      <w:r w:rsidR="00236AB1" w:rsidRPr="00236AB1">
        <w:rPr>
          <w:b/>
          <w:lang w:val="en-US"/>
        </w:rPr>
        <w:t>1</w:t>
      </w:r>
      <w:r w:rsidR="00236AB1" w:rsidRPr="00236AB1">
        <w:rPr>
          <w:b/>
          <w:lang w:val="en-US"/>
        </w:rPr>
        <w:tab/>
        <w:t>Exercises in dating records (10%)</w:t>
      </w:r>
    </w:p>
    <w:p w:rsidR="00236AB1" w:rsidRPr="00236AB1" w:rsidRDefault="00236AB1" w:rsidP="00236AB1">
      <w:pPr>
        <w:rPr>
          <w:b/>
          <w:lang w:val="en-US"/>
        </w:rPr>
      </w:pPr>
      <w:r w:rsidRPr="00236AB1">
        <w:rPr>
          <w:b/>
          <w:i/>
          <w:lang w:val="en-US"/>
        </w:rPr>
        <w:t>For questions (a) – (c) give the modern equivalent for the medieval date given in these documents. You should explain your methodology (how you arrived at the answer) and give full bibliographical details of any books you used. For question (d) estimate a date of issue and explain how you have reached this conclusion.</w:t>
      </w:r>
    </w:p>
    <w:p w:rsidR="00236AB1" w:rsidRPr="00D76775" w:rsidRDefault="00236AB1" w:rsidP="00236AB1">
      <w:pPr>
        <w:numPr>
          <w:ilvl w:val="0"/>
          <w:numId w:val="1"/>
        </w:numPr>
        <w:rPr>
          <w:i/>
        </w:rPr>
      </w:pPr>
      <w:r w:rsidRPr="00D76775">
        <w:rPr>
          <w:i/>
        </w:rPr>
        <w:t>Memorandum that the Thursday after the Assumption of the Blessed Virgin Mary in the 8</w:t>
      </w:r>
      <w:r w:rsidRPr="00D76775">
        <w:rPr>
          <w:i/>
          <w:vertAlign w:val="superscript"/>
        </w:rPr>
        <w:t>th</w:t>
      </w:r>
      <w:r w:rsidRPr="00D76775">
        <w:rPr>
          <w:i/>
        </w:rPr>
        <w:t xml:space="preserve"> year of King Richard II the abbot of Byland was accused in the wapentake court held at Pickering. </w:t>
      </w:r>
    </w:p>
    <w:p w:rsidR="00AB3BD8" w:rsidRDefault="001A0C48" w:rsidP="00236AB1">
      <w:pPr>
        <w:rPr>
          <w:lang w:val="en-US"/>
        </w:rPr>
      </w:pPr>
      <w:r>
        <w:rPr>
          <w:lang w:val="en-US"/>
        </w:rPr>
        <w:t>Richard II</w:t>
      </w:r>
      <w:r w:rsidR="00AB3BD8">
        <w:rPr>
          <w:lang w:val="en-US"/>
        </w:rPr>
        <w:t xml:space="preserve"> </w:t>
      </w:r>
      <w:r w:rsidR="00DA3348">
        <w:rPr>
          <w:lang w:val="en-US"/>
        </w:rPr>
        <w:t>was crowned</w:t>
      </w:r>
      <w:r w:rsidR="00AB3BD8">
        <w:rPr>
          <w:lang w:val="en-US"/>
        </w:rPr>
        <w:t xml:space="preserve"> 22</w:t>
      </w:r>
      <w:r w:rsidR="00AB3BD8" w:rsidRPr="00AB3BD8">
        <w:rPr>
          <w:vertAlign w:val="superscript"/>
          <w:lang w:val="en-US"/>
        </w:rPr>
        <w:t>nd</w:t>
      </w:r>
      <w:r w:rsidR="00AB3BD8">
        <w:rPr>
          <w:lang w:val="en-US"/>
        </w:rPr>
        <w:t xml:space="preserve"> </w:t>
      </w:r>
      <w:r w:rsidR="00DA3348">
        <w:rPr>
          <w:lang w:val="en-US"/>
        </w:rPr>
        <w:t>J</w:t>
      </w:r>
      <w:r w:rsidR="00AB3BD8">
        <w:rPr>
          <w:lang w:val="en-US"/>
        </w:rPr>
        <w:t xml:space="preserve">une 1377 </w:t>
      </w:r>
      <w:r w:rsidR="00AB3BD8" w:rsidRPr="00F85472">
        <w:rPr>
          <w:rStyle w:val="FootnoteReference"/>
        </w:rPr>
        <w:footnoteReference w:id="1"/>
      </w:r>
      <w:r w:rsidR="00AB3BD8">
        <w:rPr>
          <w:lang w:val="en-US"/>
        </w:rPr>
        <w:t>.</w:t>
      </w:r>
      <w:r w:rsidR="00DA3348">
        <w:rPr>
          <w:lang w:val="en-US"/>
        </w:rPr>
        <w:t xml:space="preserve"> Eight years later is 1385. </w:t>
      </w:r>
      <w:r w:rsidR="00AB3BD8">
        <w:rPr>
          <w:lang w:val="en-US"/>
        </w:rPr>
        <w:t>Assumption</w:t>
      </w:r>
      <w:r w:rsidR="00DA3348">
        <w:rPr>
          <w:lang w:val="en-US"/>
        </w:rPr>
        <w:t xml:space="preserve"> is</w:t>
      </w:r>
      <w:r w:rsidR="00AB3BD8">
        <w:rPr>
          <w:lang w:val="en-US"/>
        </w:rPr>
        <w:t xml:space="preserve"> 15</w:t>
      </w:r>
      <w:r w:rsidR="00AB3BD8" w:rsidRPr="00AB3BD8">
        <w:rPr>
          <w:vertAlign w:val="superscript"/>
          <w:lang w:val="en-US"/>
        </w:rPr>
        <w:t>th</w:t>
      </w:r>
      <w:r w:rsidR="00AB3BD8">
        <w:rPr>
          <w:lang w:val="en-US"/>
        </w:rPr>
        <w:t xml:space="preserve"> August</w:t>
      </w:r>
      <w:r w:rsidR="00DA3348">
        <w:rPr>
          <w:lang w:val="en-US"/>
        </w:rPr>
        <w:t>.</w:t>
      </w:r>
      <w:r w:rsidR="00DA3348" w:rsidRPr="00F85472">
        <w:rPr>
          <w:rStyle w:val="FootnoteReference"/>
        </w:rPr>
        <w:footnoteReference w:id="2"/>
      </w:r>
    </w:p>
    <w:p w:rsidR="00AB3BD8" w:rsidRDefault="00AB3BD8" w:rsidP="00236AB1">
      <w:pPr>
        <w:rPr>
          <w:lang w:val="en-US"/>
        </w:rPr>
      </w:pPr>
      <w:r>
        <w:rPr>
          <w:lang w:val="en-US"/>
        </w:rPr>
        <w:t>The 15</w:t>
      </w:r>
      <w:r w:rsidRPr="00AB3BD8">
        <w:rPr>
          <w:vertAlign w:val="superscript"/>
          <w:lang w:val="en-US"/>
        </w:rPr>
        <w:t>th</w:t>
      </w:r>
      <w:r>
        <w:rPr>
          <w:lang w:val="en-US"/>
        </w:rPr>
        <w:t xml:space="preserve"> August 13</w:t>
      </w:r>
      <w:r w:rsidR="00DA3348">
        <w:rPr>
          <w:lang w:val="en-US"/>
        </w:rPr>
        <w:t>85</w:t>
      </w:r>
      <w:r>
        <w:rPr>
          <w:lang w:val="en-US"/>
        </w:rPr>
        <w:t xml:space="preserve"> was a </w:t>
      </w:r>
      <w:r w:rsidR="00DA3348">
        <w:rPr>
          <w:lang w:val="en-US"/>
        </w:rPr>
        <w:t>Tuesday</w:t>
      </w:r>
      <w:r>
        <w:rPr>
          <w:lang w:val="en-US"/>
        </w:rPr>
        <w:t xml:space="preserve"> and as August is outside of the disparity between Years of Grace and Medieval Years</w:t>
      </w:r>
      <w:r w:rsidR="00DA3348">
        <w:rPr>
          <w:lang w:val="en-US"/>
        </w:rPr>
        <w:t xml:space="preserve"> and takes place after the anniversary of the coronation</w:t>
      </w:r>
      <w:r>
        <w:rPr>
          <w:lang w:val="en-US"/>
        </w:rPr>
        <w:t xml:space="preserve">, there is no </w:t>
      </w:r>
      <w:r w:rsidR="00DA3348">
        <w:rPr>
          <w:lang w:val="en-US"/>
        </w:rPr>
        <w:t>ambiguity</w:t>
      </w:r>
      <w:r>
        <w:rPr>
          <w:lang w:val="en-US"/>
        </w:rPr>
        <w:t xml:space="preserve">. The following </w:t>
      </w:r>
      <w:r w:rsidRPr="00DA3348">
        <w:rPr>
          <w:lang w:val="en-US"/>
        </w:rPr>
        <w:t>Thursday was</w:t>
      </w:r>
      <w:r w:rsidRPr="00DA3348">
        <w:rPr>
          <w:b/>
          <w:lang w:val="en-US"/>
        </w:rPr>
        <w:t xml:space="preserve"> </w:t>
      </w:r>
      <w:r w:rsidRPr="00705390">
        <w:rPr>
          <w:lang w:val="en-US"/>
        </w:rPr>
        <w:t>the</w:t>
      </w:r>
      <w:r w:rsidRPr="00DA3348">
        <w:rPr>
          <w:b/>
          <w:lang w:val="en-US"/>
        </w:rPr>
        <w:t xml:space="preserve"> </w:t>
      </w:r>
      <w:r w:rsidR="00DA3348">
        <w:rPr>
          <w:b/>
          <w:lang w:val="en-US"/>
        </w:rPr>
        <w:t>17</w:t>
      </w:r>
      <w:r w:rsidRPr="00DA3348">
        <w:rPr>
          <w:b/>
          <w:vertAlign w:val="superscript"/>
          <w:lang w:val="en-US"/>
        </w:rPr>
        <w:t>th</w:t>
      </w:r>
      <w:r w:rsidRPr="00DA3348">
        <w:rPr>
          <w:b/>
          <w:lang w:val="en-US"/>
        </w:rPr>
        <w:t xml:space="preserve"> August 13</w:t>
      </w:r>
      <w:r w:rsidR="00DA3348">
        <w:rPr>
          <w:b/>
          <w:lang w:val="en-US"/>
        </w:rPr>
        <w:t>85</w:t>
      </w:r>
      <w:r>
        <w:rPr>
          <w:lang w:val="en-US"/>
        </w:rPr>
        <w:t>.</w:t>
      </w:r>
    </w:p>
    <w:p w:rsidR="00236AB1" w:rsidRPr="00D76775" w:rsidRDefault="00236AB1" w:rsidP="00236AB1">
      <w:pPr>
        <w:numPr>
          <w:ilvl w:val="0"/>
          <w:numId w:val="1"/>
        </w:numPr>
        <w:rPr>
          <w:i/>
        </w:rPr>
      </w:pPr>
      <w:r w:rsidRPr="00D76775">
        <w:rPr>
          <w:i/>
        </w:rPr>
        <w:t xml:space="preserve">Confirmation by Bishop </w:t>
      </w:r>
      <w:proofErr w:type="spellStart"/>
      <w:r w:rsidRPr="00D76775">
        <w:rPr>
          <w:i/>
        </w:rPr>
        <w:t>Anian</w:t>
      </w:r>
      <w:proofErr w:type="spellEnd"/>
      <w:r w:rsidRPr="00D76775">
        <w:rPr>
          <w:i/>
        </w:rPr>
        <w:t xml:space="preserve"> of St Asaph of the charters for Shrewsbury Abbey issued by his predecessors Bishops Reiner, Abraham, and Hugh. Given at Shrewsbury the day after St Mary Magdalene in the first year of his pontificate.</w:t>
      </w:r>
    </w:p>
    <w:p w:rsidR="00C34DF4" w:rsidRPr="009D440C" w:rsidRDefault="0045598E" w:rsidP="00236AB1">
      <w:r>
        <w:rPr>
          <w:lang w:val="en-US"/>
        </w:rPr>
        <w:t xml:space="preserve">There </w:t>
      </w:r>
      <w:r w:rsidR="00B83240">
        <w:rPr>
          <w:lang w:val="en-US"/>
        </w:rPr>
        <w:t>were two bishops of St Asaph by the name of Anio</w:t>
      </w:r>
      <w:r w:rsidR="009D440C">
        <w:rPr>
          <w:lang w:val="en-US"/>
        </w:rPr>
        <w:t>n</w:t>
      </w:r>
      <w:r w:rsidR="00B83240">
        <w:rPr>
          <w:lang w:val="en-US"/>
        </w:rPr>
        <w:t>. Ani</w:t>
      </w:r>
      <w:r w:rsidR="009D440C">
        <w:rPr>
          <w:lang w:val="en-US"/>
        </w:rPr>
        <w:t>o</w:t>
      </w:r>
      <w:r w:rsidR="00B83240">
        <w:rPr>
          <w:lang w:val="en-US"/>
        </w:rPr>
        <w:t xml:space="preserve">n </w:t>
      </w:r>
      <w:proofErr w:type="spellStart"/>
      <w:r w:rsidR="00B83240">
        <w:rPr>
          <w:lang w:val="en-US"/>
        </w:rPr>
        <w:t>I d</w:t>
      </w:r>
      <w:proofErr w:type="spellEnd"/>
      <w:r w:rsidR="00B83240">
        <w:rPr>
          <w:lang w:val="en-US"/>
        </w:rPr>
        <w:t xml:space="preserve">. </w:t>
      </w:r>
      <w:r w:rsidR="00B83240">
        <w:t xml:space="preserve">1266 </w:t>
      </w:r>
      <w:r w:rsidR="00B83240" w:rsidRPr="00F85472">
        <w:rPr>
          <w:rStyle w:val="FootnoteReference"/>
        </w:rPr>
        <w:footnoteReference w:id="3"/>
      </w:r>
      <w:r w:rsidR="00B83240">
        <w:t xml:space="preserve"> and Ani</w:t>
      </w:r>
      <w:r w:rsidR="009D440C">
        <w:t>o</w:t>
      </w:r>
      <w:r w:rsidR="00B83240">
        <w:t xml:space="preserve">n II d. 1293 </w:t>
      </w:r>
      <w:r w:rsidR="00B83240" w:rsidRPr="00F85472">
        <w:rPr>
          <w:rStyle w:val="FootnoteReference"/>
        </w:rPr>
        <w:footnoteReference w:id="4"/>
      </w:r>
      <w:r w:rsidR="00B83240">
        <w:t xml:space="preserve">. </w:t>
      </w:r>
      <w:r w:rsidR="009D440C">
        <w:t>Reiner, Abraham and Hugh were the predecessors of the former, who became bishop in 1249 with Anion II not becoming bishop until 1268 making him the less likely candidate.</w:t>
      </w:r>
      <w:r w:rsidR="009D440C" w:rsidRPr="00F85472">
        <w:rPr>
          <w:rStyle w:val="FootnoteReference"/>
        </w:rPr>
        <w:footnoteReference w:id="5"/>
      </w:r>
      <w:r w:rsidR="009D440C">
        <w:t xml:space="preserve"> </w:t>
      </w:r>
      <w:r w:rsidR="00B83240">
        <w:t>The day of St Mary Magdalene is the 22</w:t>
      </w:r>
      <w:r w:rsidR="00B83240" w:rsidRPr="00B83240">
        <w:rPr>
          <w:vertAlign w:val="superscript"/>
        </w:rPr>
        <w:t>nd</w:t>
      </w:r>
      <w:r w:rsidR="00B83240">
        <w:t xml:space="preserve"> July </w:t>
      </w:r>
      <w:r w:rsidR="00B83240" w:rsidRPr="00F85472">
        <w:rPr>
          <w:rStyle w:val="FootnoteReference"/>
        </w:rPr>
        <w:footnoteReference w:id="6"/>
      </w:r>
      <w:r w:rsidR="00ED3A46">
        <w:t xml:space="preserve">, so it would be the </w:t>
      </w:r>
      <w:r w:rsidR="00ED3A46" w:rsidRPr="00705390">
        <w:rPr>
          <w:b/>
        </w:rPr>
        <w:t>23</w:t>
      </w:r>
      <w:r w:rsidR="00ED3A46" w:rsidRPr="00705390">
        <w:rPr>
          <w:b/>
          <w:vertAlign w:val="superscript"/>
        </w:rPr>
        <w:t>rd</w:t>
      </w:r>
      <w:r w:rsidR="00ED3A46" w:rsidRPr="00705390">
        <w:rPr>
          <w:b/>
        </w:rPr>
        <w:t xml:space="preserve"> July</w:t>
      </w:r>
      <w:r w:rsidR="000E0AEA" w:rsidRPr="00705390">
        <w:rPr>
          <w:b/>
        </w:rPr>
        <w:t xml:space="preserve"> 1249</w:t>
      </w:r>
      <w:r w:rsidR="00D76775" w:rsidRPr="00705390">
        <w:rPr>
          <w:b/>
        </w:rPr>
        <w:t xml:space="preserve"> or 1250</w:t>
      </w:r>
      <w:r w:rsidR="00D76775">
        <w:t>, depending on</w:t>
      </w:r>
      <w:r w:rsidR="00705390">
        <w:t xml:space="preserve"> when in the year</w:t>
      </w:r>
      <w:r w:rsidR="00D76775">
        <w:t xml:space="preserve"> Anion I became bishop.</w:t>
      </w:r>
      <w:r w:rsidR="00F67000">
        <w:t xml:space="preserve"> </w:t>
      </w:r>
    </w:p>
    <w:p w:rsidR="00236AB1" w:rsidRPr="00F85472" w:rsidRDefault="00236AB1" w:rsidP="00236AB1">
      <w:pPr>
        <w:numPr>
          <w:ilvl w:val="0"/>
          <w:numId w:val="1"/>
        </w:numPr>
        <w:rPr>
          <w:i/>
        </w:rPr>
      </w:pPr>
      <w:r w:rsidRPr="00F85472">
        <w:rPr>
          <w:i/>
        </w:rPr>
        <w:t>Downham: court held on Thursday the day after Ash Wednesday in the fourth year of the reign of King Edward and the first year of the episcopate of John de Ketene [</w:t>
      </w:r>
      <w:proofErr w:type="spellStart"/>
      <w:r w:rsidRPr="00F85472">
        <w:rPr>
          <w:i/>
        </w:rPr>
        <w:t>Ketton</w:t>
      </w:r>
      <w:proofErr w:type="spellEnd"/>
      <w:r w:rsidRPr="00F85472">
        <w:rPr>
          <w:i/>
        </w:rPr>
        <w:t>]</w:t>
      </w:r>
    </w:p>
    <w:p w:rsidR="00994169" w:rsidRDefault="00DE2F8F" w:rsidP="00236AB1">
      <w:pPr>
        <w:rPr>
          <w:lang w:val="en-US"/>
        </w:rPr>
      </w:pPr>
      <w:r>
        <w:rPr>
          <w:lang w:val="en-US"/>
        </w:rPr>
        <w:t>John de Ketene was bishop of Ely from March 1310.</w:t>
      </w:r>
      <w:r>
        <w:rPr>
          <w:rStyle w:val="FootnoteReference"/>
          <w:lang w:val="en-US"/>
        </w:rPr>
        <w:footnoteReference w:id="7"/>
      </w:r>
      <w:r>
        <w:rPr>
          <w:lang w:val="en-US"/>
        </w:rPr>
        <w:t>King Edward II of England and Wales reigned from July 1307,</w:t>
      </w:r>
      <w:r>
        <w:rPr>
          <w:rStyle w:val="FootnoteReference"/>
          <w:lang w:val="en-US"/>
        </w:rPr>
        <w:footnoteReference w:id="8"/>
      </w:r>
      <w:r>
        <w:rPr>
          <w:lang w:val="en-US"/>
        </w:rPr>
        <w:t xml:space="preserve"> so the fourth year of his reign would be </w:t>
      </w:r>
      <w:r w:rsidR="00994169">
        <w:rPr>
          <w:lang w:val="en-US"/>
        </w:rPr>
        <w:t>end in 1311</w:t>
      </w:r>
      <w:r>
        <w:rPr>
          <w:lang w:val="en-US"/>
        </w:rPr>
        <w:t xml:space="preserve">. </w:t>
      </w:r>
      <w:r w:rsidR="00994169">
        <w:rPr>
          <w:lang w:val="en-US"/>
        </w:rPr>
        <w:t xml:space="preserve">Due to the differences between the measurement of years and the fact that </w:t>
      </w:r>
      <w:r>
        <w:rPr>
          <w:lang w:val="en-US"/>
        </w:rPr>
        <w:t>Ash Wednesday is a moveable feast, falling on the first day of Lent</w:t>
      </w:r>
      <w:r w:rsidR="00994169">
        <w:rPr>
          <w:lang w:val="en-US"/>
        </w:rPr>
        <w:t>.</w:t>
      </w:r>
    </w:p>
    <w:p w:rsidR="00DE2F8F" w:rsidRDefault="00994169" w:rsidP="00236AB1">
      <w:pPr>
        <w:rPr>
          <w:lang w:val="en-US"/>
        </w:rPr>
      </w:pPr>
      <w:r>
        <w:rPr>
          <w:lang w:val="en-US"/>
        </w:rPr>
        <w:lastRenderedPageBreak/>
        <w:t xml:space="preserve">Using an online date calculator (and then adding a day), I would place this as the </w:t>
      </w:r>
      <w:r w:rsidRPr="00994169">
        <w:rPr>
          <w:b/>
          <w:lang w:val="en-US"/>
        </w:rPr>
        <w:t>2</w:t>
      </w:r>
      <w:r>
        <w:rPr>
          <w:b/>
          <w:lang w:val="en-US"/>
        </w:rPr>
        <w:t>5</w:t>
      </w:r>
      <w:r w:rsidRPr="00994169">
        <w:rPr>
          <w:b/>
          <w:vertAlign w:val="superscript"/>
          <w:lang w:val="en-US"/>
        </w:rPr>
        <w:t>th</w:t>
      </w:r>
      <w:r w:rsidRPr="00994169">
        <w:rPr>
          <w:b/>
          <w:lang w:val="en-US"/>
        </w:rPr>
        <w:t xml:space="preserve"> February 1311 </w:t>
      </w:r>
      <w:r>
        <w:rPr>
          <w:lang w:val="en-US"/>
        </w:rPr>
        <w:t>in “modern” years, placing it inside the first year of the episcopate and the fourth year of the king.</w:t>
      </w:r>
      <w:r>
        <w:rPr>
          <w:rStyle w:val="FootnoteReference"/>
          <w:lang w:val="en-US"/>
        </w:rPr>
        <w:footnoteReference w:id="9"/>
      </w:r>
    </w:p>
    <w:p w:rsidR="00C34DF4" w:rsidRPr="00994169" w:rsidRDefault="00C34DF4" w:rsidP="00236AB1">
      <w:pPr>
        <w:numPr>
          <w:ilvl w:val="0"/>
          <w:numId w:val="1"/>
        </w:numPr>
        <w:rPr>
          <w:i/>
        </w:rPr>
      </w:pPr>
      <w:r w:rsidRPr="00994169">
        <w:rPr>
          <w:i/>
        </w:rPr>
        <w:t xml:space="preserve">Henry, king of the English, greets the bishop of Lincoln and Earl David and the earl of Leicester, and Earl </w:t>
      </w:r>
      <w:proofErr w:type="spellStart"/>
      <w:r w:rsidRPr="00994169">
        <w:rPr>
          <w:i/>
        </w:rPr>
        <w:t>Rannulf</w:t>
      </w:r>
      <w:proofErr w:type="spellEnd"/>
      <w:r w:rsidRPr="00994169">
        <w:rPr>
          <w:i/>
        </w:rPr>
        <w:t xml:space="preserve"> of Chester, and all the barons and lords of whom Geoffrey </w:t>
      </w:r>
      <w:proofErr w:type="spellStart"/>
      <w:r w:rsidRPr="00994169">
        <w:rPr>
          <w:i/>
        </w:rPr>
        <w:t>Ridel</w:t>
      </w:r>
      <w:proofErr w:type="spellEnd"/>
      <w:r w:rsidRPr="00994169">
        <w:rPr>
          <w:i/>
        </w:rPr>
        <w:t xml:space="preserve"> held lands, and all the sheriffs within whose jurisdiction he held them. Know that I have given to Richard Basset the daughter of Geoffrey </w:t>
      </w:r>
      <w:proofErr w:type="spellStart"/>
      <w:r w:rsidRPr="00994169">
        <w:rPr>
          <w:i/>
        </w:rPr>
        <w:t>Ridel</w:t>
      </w:r>
      <w:proofErr w:type="spellEnd"/>
      <w:r w:rsidRPr="00994169">
        <w:rPr>
          <w:i/>
        </w:rPr>
        <w:t xml:space="preserve"> to wife, and the custody of Geoffrey </w:t>
      </w:r>
      <w:proofErr w:type="spellStart"/>
      <w:r w:rsidRPr="00994169">
        <w:rPr>
          <w:i/>
        </w:rPr>
        <w:t>Ridel’s</w:t>
      </w:r>
      <w:proofErr w:type="spellEnd"/>
      <w:r w:rsidRPr="00994169">
        <w:rPr>
          <w:i/>
        </w:rPr>
        <w:t xml:space="preserve"> land until Robert </w:t>
      </w:r>
      <w:proofErr w:type="spellStart"/>
      <w:r w:rsidRPr="00994169">
        <w:rPr>
          <w:i/>
        </w:rPr>
        <w:t>Ridel</w:t>
      </w:r>
      <w:proofErr w:type="spellEnd"/>
      <w:r w:rsidRPr="00994169">
        <w:rPr>
          <w:i/>
        </w:rPr>
        <w:t xml:space="preserve"> can be made a knight and marry the granddaughter of Ralph Basset, namely the daughter of one of his daughters. … And this gift and compact have been made at the request and with the advice of </w:t>
      </w:r>
      <w:proofErr w:type="spellStart"/>
      <w:r w:rsidRPr="00994169">
        <w:rPr>
          <w:i/>
        </w:rPr>
        <w:t>Rannulf</w:t>
      </w:r>
      <w:proofErr w:type="spellEnd"/>
      <w:r w:rsidRPr="00994169">
        <w:rPr>
          <w:i/>
        </w:rPr>
        <w:t xml:space="preserve">, earl of Chester, and William his brother, and Nigel </w:t>
      </w:r>
      <w:proofErr w:type="spellStart"/>
      <w:r w:rsidRPr="00994169">
        <w:rPr>
          <w:i/>
        </w:rPr>
        <w:t>d’Aubigny</w:t>
      </w:r>
      <w:proofErr w:type="spellEnd"/>
      <w:r w:rsidRPr="00994169">
        <w:rPr>
          <w:i/>
        </w:rPr>
        <w:t xml:space="preserve"> and Robert </w:t>
      </w:r>
      <w:proofErr w:type="spellStart"/>
      <w:r w:rsidRPr="00994169">
        <w:rPr>
          <w:i/>
        </w:rPr>
        <w:t>Ridel’s</w:t>
      </w:r>
      <w:proofErr w:type="spellEnd"/>
      <w:r w:rsidRPr="00994169">
        <w:rPr>
          <w:i/>
        </w:rPr>
        <w:t xml:space="preserve"> other kin and </w:t>
      </w:r>
      <w:proofErr w:type="spellStart"/>
      <w:r w:rsidRPr="00994169">
        <w:rPr>
          <w:i/>
        </w:rPr>
        <w:t>Geva</w:t>
      </w:r>
      <w:proofErr w:type="spellEnd"/>
      <w:r w:rsidRPr="00994169">
        <w:rPr>
          <w:i/>
        </w:rPr>
        <w:t xml:space="preserve"> his mother, and Geoffrey the earl’s chancellor, and Simon, dean of Lincoln, and William, son of </w:t>
      </w:r>
      <w:proofErr w:type="spellStart"/>
      <w:r w:rsidRPr="00994169">
        <w:rPr>
          <w:i/>
        </w:rPr>
        <w:t>Rannulf</w:t>
      </w:r>
      <w:proofErr w:type="spellEnd"/>
      <w:r w:rsidRPr="00994169">
        <w:rPr>
          <w:i/>
        </w:rPr>
        <w:t xml:space="preserve">, and Thomas of St John and Geoffrey de Clinton, and </w:t>
      </w:r>
      <w:proofErr w:type="spellStart"/>
      <w:r w:rsidRPr="00994169">
        <w:rPr>
          <w:i/>
        </w:rPr>
        <w:t>Payn</w:t>
      </w:r>
      <w:proofErr w:type="spellEnd"/>
      <w:r w:rsidRPr="00994169">
        <w:rPr>
          <w:i/>
        </w:rPr>
        <w:t xml:space="preserve"> son of John, and William </w:t>
      </w:r>
      <w:proofErr w:type="spellStart"/>
      <w:r w:rsidRPr="00994169">
        <w:rPr>
          <w:i/>
        </w:rPr>
        <w:t>d’Aubigny</w:t>
      </w:r>
      <w:proofErr w:type="spellEnd"/>
      <w:r w:rsidRPr="00994169">
        <w:rPr>
          <w:i/>
        </w:rPr>
        <w:t xml:space="preserve"> and Humphrey de </w:t>
      </w:r>
      <w:proofErr w:type="spellStart"/>
      <w:r w:rsidRPr="00994169">
        <w:rPr>
          <w:i/>
        </w:rPr>
        <w:t>Bohun</w:t>
      </w:r>
      <w:proofErr w:type="spellEnd"/>
      <w:r w:rsidRPr="00994169">
        <w:rPr>
          <w:i/>
        </w:rPr>
        <w:t xml:space="preserve"> and Robert </w:t>
      </w:r>
      <w:proofErr w:type="spellStart"/>
      <w:r w:rsidRPr="00994169">
        <w:rPr>
          <w:i/>
        </w:rPr>
        <w:t>Musard</w:t>
      </w:r>
      <w:proofErr w:type="spellEnd"/>
      <w:r w:rsidRPr="00994169">
        <w:rPr>
          <w:i/>
        </w:rPr>
        <w:t xml:space="preserve"> and Robert Basset and Osmund Basset and </w:t>
      </w:r>
      <w:proofErr w:type="spellStart"/>
      <w:r w:rsidRPr="00994169">
        <w:rPr>
          <w:i/>
        </w:rPr>
        <w:t>Thurstan</w:t>
      </w:r>
      <w:proofErr w:type="spellEnd"/>
      <w:r w:rsidRPr="00994169">
        <w:rPr>
          <w:i/>
        </w:rPr>
        <w:t xml:space="preserve"> Basset and William, constable of Earl </w:t>
      </w:r>
      <w:proofErr w:type="spellStart"/>
      <w:r w:rsidRPr="00994169">
        <w:rPr>
          <w:i/>
        </w:rPr>
        <w:t>Rannulf</w:t>
      </w:r>
      <w:proofErr w:type="spellEnd"/>
      <w:r w:rsidRPr="00994169">
        <w:rPr>
          <w:i/>
        </w:rPr>
        <w:t xml:space="preserve"> of Chester, and Ralph, son of Norman, and Hugh </w:t>
      </w:r>
      <w:proofErr w:type="spellStart"/>
      <w:r w:rsidRPr="00994169">
        <w:rPr>
          <w:i/>
        </w:rPr>
        <w:t>Maubanc</w:t>
      </w:r>
      <w:proofErr w:type="spellEnd"/>
      <w:r w:rsidRPr="00994169">
        <w:rPr>
          <w:i/>
        </w:rPr>
        <w:t>. At Woodstock.</w:t>
      </w:r>
    </w:p>
    <w:p w:rsidR="000A617D" w:rsidRDefault="00717FDC">
      <w:r>
        <w:t xml:space="preserve">To start with, I am going to cross-reference </w:t>
      </w:r>
      <w:r w:rsidR="005E5E55">
        <w:t xml:space="preserve">first names to narrow it down. </w:t>
      </w:r>
    </w:p>
    <w:p w:rsidR="00652425" w:rsidRDefault="00652425" w:rsidP="00717FDC">
      <w:pPr>
        <w:pStyle w:val="ListParagraph"/>
        <w:numPr>
          <w:ilvl w:val="0"/>
          <w:numId w:val="2"/>
        </w:numPr>
      </w:pPr>
      <w:r>
        <w:t xml:space="preserve">There were three Earls </w:t>
      </w:r>
      <w:proofErr w:type="spellStart"/>
      <w:r>
        <w:t>Ranulf</w:t>
      </w:r>
      <w:proofErr w:type="spellEnd"/>
      <w:r>
        <w:t xml:space="preserve"> of Chester</w:t>
      </w:r>
      <w:r w:rsidR="00717FDC">
        <w:t xml:space="preserve"> -</w:t>
      </w:r>
      <w:proofErr w:type="spellStart"/>
      <w:r w:rsidR="00DF6EB9">
        <w:t>Ranulf</w:t>
      </w:r>
      <w:proofErr w:type="spellEnd"/>
      <w:r w:rsidR="00DF6EB9">
        <w:t xml:space="preserve"> I </w:t>
      </w:r>
      <w:r w:rsidR="0096408D">
        <w:t xml:space="preserve">(d. </w:t>
      </w:r>
      <w:r w:rsidR="00DF6EB9">
        <w:t>1129</w:t>
      </w:r>
      <w:r w:rsidR="0096408D">
        <w:t>)</w:t>
      </w:r>
      <w:r w:rsidR="00DF6EB9">
        <w:t xml:space="preserve">, </w:t>
      </w:r>
      <w:proofErr w:type="spellStart"/>
      <w:r w:rsidR="00DF6EB9">
        <w:t>Ranulf</w:t>
      </w:r>
      <w:proofErr w:type="spellEnd"/>
      <w:r w:rsidR="00DF6EB9">
        <w:t xml:space="preserve"> II </w:t>
      </w:r>
      <w:r w:rsidR="0096408D">
        <w:t>(</w:t>
      </w:r>
      <w:r w:rsidR="00717FDC">
        <w:t xml:space="preserve">d. </w:t>
      </w:r>
      <w:r w:rsidR="00DF6EB9">
        <w:t>1153</w:t>
      </w:r>
      <w:r w:rsidR="0096408D">
        <w:t>)</w:t>
      </w:r>
      <w:r w:rsidR="00DF6EB9">
        <w:t xml:space="preserve"> &amp; </w:t>
      </w:r>
      <w:proofErr w:type="spellStart"/>
      <w:r w:rsidR="00DF6EB9">
        <w:t>Ranulf</w:t>
      </w:r>
      <w:proofErr w:type="spellEnd"/>
      <w:r w:rsidR="00DF6EB9">
        <w:t xml:space="preserve"> III </w:t>
      </w:r>
      <w:r w:rsidR="0096408D">
        <w:t>(</w:t>
      </w:r>
      <w:r w:rsidR="00DF6EB9">
        <w:rPr>
          <w:rStyle w:val="Date1"/>
        </w:rPr>
        <w:t>1170–1232</w:t>
      </w:r>
      <w:r w:rsidR="0096408D">
        <w:rPr>
          <w:rStyle w:val="Date1"/>
        </w:rPr>
        <w:t>)</w:t>
      </w:r>
      <w:r w:rsidR="00DF6EB9">
        <w:rPr>
          <w:rStyle w:val="Date1"/>
        </w:rPr>
        <w:t>.</w:t>
      </w:r>
      <w:r w:rsidR="00DF6EB9">
        <w:rPr>
          <w:rStyle w:val="FootnoteReference"/>
        </w:rPr>
        <w:t xml:space="preserve"> </w:t>
      </w:r>
      <w:r w:rsidR="00DF6EB9">
        <w:rPr>
          <w:rStyle w:val="FootnoteReference"/>
        </w:rPr>
        <w:footnoteReference w:id="10"/>
      </w:r>
    </w:p>
    <w:p w:rsidR="00717FDC" w:rsidRDefault="00717FDC" w:rsidP="00717FDC">
      <w:pPr>
        <w:pStyle w:val="ListParagraph"/>
        <w:numPr>
          <w:ilvl w:val="0"/>
          <w:numId w:val="2"/>
        </w:numPr>
      </w:pPr>
      <w:r>
        <w:t xml:space="preserve">There were two Geoffrey </w:t>
      </w:r>
      <w:proofErr w:type="spellStart"/>
      <w:r>
        <w:t>Ridels</w:t>
      </w:r>
      <w:proofErr w:type="spellEnd"/>
      <w:r>
        <w:t xml:space="preserve"> – one of “uncertain but possibly distinguished origins” d. 1120 and one who was Bishop of Ely</w:t>
      </w:r>
      <w:r>
        <w:rPr>
          <w:rStyle w:val="Date1"/>
        </w:rPr>
        <w:t xml:space="preserve"> (d. 1189</w:t>
      </w:r>
      <w:r>
        <w:t>).</w:t>
      </w:r>
      <w:r>
        <w:rPr>
          <w:rStyle w:val="FootnoteReference"/>
        </w:rPr>
        <w:footnoteReference w:id="11"/>
      </w:r>
    </w:p>
    <w:p w:rsidR="00717FDC" w:rsidRDefault="00717FDC" w:rsidP="00717FDC">
      <w:pPr>
        <w:pStyle w:val="ListParagraph"/>
        <w:numPr>
          <w:ilvl w:val="0"/>
          <w:numId w:val="2"/>
        </w:numPr>
      </w:pPr>
      <w:r>
        <w:t>The Oxford Dictionary of National Biography only</w:t>
      </w:r>
      <w:r w:rsidR="008132E4">
        <w:t xml:space="preserve"> lists one Richard Basset (</w:t>
      </w:r>
      <w:r w:rsidR="008132E4" w:rsidRPr="008132E4">
        <w:t>d. in or before 1144)</w:t>
      </w:r>
      <w:r w:rsidR="008132E4">
        <w:rPr>
          <w:rStyle w:val="FootnoteReference"/>
        </w:rPr>
        <w:footnoteReference w:id="12"/>
      </w:r>
    </w:p>
    <w:p w:rsidR="00971B74" w:rsidRDefault="00B116CE" w:rsidP="00717FDC">
      <w:r>
        <w:t xml:space="preserve">As Richard Basset had died before the start of the reign of Henry II, it must have been </w:t>
      </w:r>
      <w:r w:rsidR="00717FDC" w:rsidRPr="00717FDC">
        <w:t xml:space="preserve">Henry </w:t>
      </w:r>
      <w:r w:rsidR="00717FDC">
        <w:t>I (r. August 1100 to December 1135)</w:t>
      </w:r>
      <w:r>
        <w:t>.</w:t>
      </w:r>
      <w:r w:rsidR="005E5E55">
        <w:t xml:space="preserve"> Basset married Mathilda, daughter of Geoffrey </w:t>
      </w:r>
      <w:proofErr w:type="spellStart"/>
      <w:r w:rsidR="005E5E55">
        <w:t>Ridel</w:t>
      </w:r>
      <w:proofErr w:type="spellEnd"/>
      <w:r w:rsidR="005E5E55">
        <w:t xml:space="preserve"> “</w:t>
      </w:r>
      <w:proofErr w:type="spellStart"/>
      <w:r w:rsidR="005E5E55">
        <w:t>some time</w:t>
      </w:r>
      <w:proofErr w:type="spellEnd"/>
      <w:r w:rsidR="005E5E55">
        <w:t xml:space="preserve"> between November 1120 and April 1123”. </w:t>
      </w:r>
      <w:r w:rsidR="005E5E55">
        <w:rPr>
          <w:rStyle w:val="FootnoteReference"/>
        </w:rPr>
        <w:footnoteReference w:id="13"/>
      </w:r>
      <w:r w:rsidR="00971B74">
        <w:t xml:space="preserve"> </w:t>
      </w:r>
    </w:p>
    <w:p w:rsidR="005E5E55" w:rsidRDefault="00971B74" w:rsidP="00717FDC">
      <w:r>
        <w:t>As this is a rather broad range of time, we must return to the text for contextual cues. T</w:t>
      </w:r>
      <w:r w:rsidR="00A54AAE">
        <w:t>he phrase “</w:t>
      </w:r>
      <w:r w:rsidR="00A54AAE" w:rsidRPr="00A54AAE">
        <w:t xml:space="preserve">Know that I have given to Richard Basset the daughter of Geoffrey </w:t>
      </w:r>
      <w:proofErr w:type="spellStart"/>
      <w:r w:rsidR="00A54AAE" w:rsidRPr="00A54AAE">
        <w:t>Ridel</w:t>
      </w:r>
      <w:proofErr w:type="spellEnd"/>
      <w:r w:rsidR="00A54AAE" w:rsidRPr="00A54AAE">
        <w:t xml:space="preserve"> to wife</w:t>
      </w:r>
      <w:r w:rsidR="00A54AAE">
        <w:t xml:space="preserve">” (above), as well as the fact that Basset “was given custody of </w:t>
      </w:r>
      <w:r w:rsidR="00A54AAE">
        <w:rPr>
          <w:rStyle w:val="name"/>
        </w:rPr>
        <w:t>Geoffrey's</w:t>
      </w:r>
      <w:r w:rsidR="00A54AAE">
        <w:t xml:space="preserve"> land and the wardship of his children”</w:t>
      </w:r>
      <w:r w:rsidR="00774A87">
        <w:t>.</w:t>
      </w:r>
      <w:r w:rsidR="00A54AAE">
        <w:rPr>
          <w:rStyle w:val="FootnoteReference"/>
        </w:rPr>
        <w:footnoteReference w:id="14"/>
      </w:r>
      <w:r w:rsidR="00A54AAE">
        <w:t xml:space="preserve"> </w:t>
      </w:r>
      <w:r w:rsidR="00A54AAE">
        <w:lastRenderedPageBreak/>
        <w:t xml:space="preserve">suggests that this is sooner after the death of </w:t>
      </w:r>
      <w:proofErr w:type="spellStart"/>
      <w:r w:rsidR="00A54AAE">
        <w:t>Ridel</w:t>
      </w:r>
      <w:proofErr w:type="spellEnd"/>
      <w:r w:rsidR="00951725">
        <w:t xml:space="preserve"> in the White Ship Disaster</w:t>
      </w:r>
      <w:r w:rsidR="00A54AAE">
        <w:t>, rather than later.</w:t>
      </w:r>
      <w:r w:rsidR="00FB0DFF">
        <w:t xml:space="preserve"> </w:t>
      </w:r>
      <w:r w:rsidR="00774A87">
        <w:t xml:space="preserve">Henry himself married </w:t>
      </w:r>
      <w:proofErr w:type="spellStart"/>
      <w:r w:rsidR="00774A87" w:rsidRPr="00774A87">
        <w:t>Adeliza</w:t>
      </w:r>
      <w:proofErr w:type="spellEnd"/>
      <w:r w:rsidR="00774A87" w:rsidRPr="00774A87">
        <w:t xml:space="preserve"> (or Alice) (c. 1103–1151) </w:t>
      </w:r>
      <w:r w:rsidR="00774A87">
        <w:t>in Windsor on the 29</w:t>
      </w:r>
      <w:r w:rsidR="00774A87" w:rsidRPr="00774A87">
        <w:rPr>
          <w:vertAlign w:val="superscript"/>
        </w:rPr>
        <w:t>th</w:t>
      </w:r>
      <w:r w:rsidR="00774A87">
        <w:t xml:space="preserve"> January 1121.</w:t>
      </w:r>
      <w:r w:rsidR="00774A87">
        <w:rPr>
          <w:rStyle w:val="FootnoteReference"/>
        </w:rPr>
        <w:footnoteReference w:id="15"/>
      </w:r>
      <w:r w:rsidR="00AC42A2">
        <w:t xml:space="preserve"> </w:t>
      </w:r>
    </w:p>
    <w:p w:rsidR="00717FDC" w:rsidRDefault="00FB0DFF">
      <w:r>
        <w:t xml:space="preserve">I would also hazard that a </w:t>
      </w:r>
      <w:r w:rsidR="00AC42A2">
        <w:t xml:space="preserve">short </w:t>
      </w:r>
      <w:r>
        <w:t>period of mourning be allowed for in estimating the date, especially given the density of high days and holidays in December</w:t>
      </w:r>
      <w:r w:rsidR="00AC42A2">
        <w:t xml:space="preserve">, and the dubious assumption that the Queen would have been present and mentioned (as </w:t>
      </w:r>
      <w:proofErr w:type="spellStart"/>
      <w:r w:rsidR="00AC42A2">
        <w:t>Geva</w:t>
      </w:r>
      <w:proofErr w:type="spellEnd"/>
      <w:r w:rsidR="00AC42A2">
        <w:t xml:space="preserve"> is, marking it not an exclusively male list)</w:t>
      </w:r>
      <w:r>
        <w:t xml:space="preserve"> and would therefore suggest that the event took place in </w:t>
      </w:r>
      <w:r>
        <w:rPr>
          <w:b/>
        </w:rPr>
        <w:t>early</w:t>
      </w:r>
      <w:r w:rsidR="00AC42A2">
        <w:rPr>
          <w:b/>
        </w:rPr>
        <w:t>-mid January</w:t>
      </w:r>
      <w:r>
        <w:rPr>
          <w:b/>
        </w:rPr>
        <w:t xml:space="preserve"> 1121</w:t>
      </w:r>
      <w:r w:rsidR="00AC42A2">
        <w:t xml:space="preserve"> or at a later date in that year.</w:t>
      </w:r>
    </w:p>
    <w:p w:rsidR="00717FDC" w:rsidRDefault="00A516E9" w:rsidP="00A516E9">
      <w:pPr>
        <w:pStyle w:val="Heading1"/>
      </w:pPr>
      <w:r>
        <w:t>References</w:t>
      </w:r>
    </w:p>
    <w:p w:rsidR="00A516E9" w:rsidRPr="00A516E9" w:rsidRDefault="00A516E9" w:rsidP="00A516E9">
      <w:pPr>
        <w:pStyle w:val="Bibliography"/>
        <w:rPr>
          <w:rFonts w:ascii="Calibri" w:hAnsi="Calibri" w:cs="Calibri"/>
        </w:rPr>
      </w:pPr>
      <w:r>
        <w:fldChar w:fldCharType="begin"/>
      </w:r>
      <w:r>
        <w:instrText xml:space="preserve"> ADDIN ZOTERO_BIBL {"uncited":[],"omitted":[],"custom":[]} CSL_BIBLIOGRAPHY </w:instrText>
      </w:r>
      <w:r>
        <w:fldChar w:fldCharType="separate"/>
      </w:r>
      <w:r w:rsidRPr="00A516E9">
        <w:rPr>
          <w:rFonts w:ascii="Calibri" w:hAnsi="Calibri" w:cs="Calibri"/>
          <w:i/>
          <w:iCs/>
        </w:rPr>
        <w:t>A Handbook of Dates : For Students of British History</w:t>
      </w:r>
      <w:r w:rsidRPr="00A516E9">
        <w:rPr>
          <w:rFonts w:ascii="Calibri" w:hAnsi="Calibri" w:cs="Calibri"/>
        </w:rPr>
        <w:t>, Guides and Handbooks ; No. 4, New ed. / revised by Michael Jones. (Cambridge: Cambridge University Press, 2000)</w:t>
      </w:r>
    </w:p>
    <w:p w:rsidR="00A516E9" w:rsidRPr="00A516E9" w:rsidRDefault="00A516E9" w:rsidP="00A516E9">
      <w:pPr>
        <w:pStyle w:val="Bibliography"/>
        <w:rPr>
          <w:rFonts w:ascii="Calibri" w:hAnsi="Calibri" w:cs="Calibri"/>
        </w:rPr>
      </w:pPr>
      <w:r w:rsidRPr="00A516E9">
        <w:rPr>
          <w:rFonts w:ascii="Calibri" w:hAnsi="Calibri" w:cs="Calibri"/>
        </w:rPr>
        <w:t xml:space="preserve">B Jones, ed., ‘Bishops of Ely’, in </w:t>
      </w:r>
      <w:r w:rsidRPr="00A516E9">
        <w:rPr>
          <w:rFonts w:ascii="Calibri" w:hAnsi="Calibri" w:cs="Calibri"/>
          <w:i/>
          <w:iCs/>
        </w:rPr>
        <w:t>Fasti Ecclesiae Anglicanae 1300-1541</w:t>
      </w:r>
      <w:r w:rsidRPr="00A516E9">
        <w:rPr>
          <w:rFonts w:ascii="Calibri" w:hAnsi="Calibri" w:cs="Calibri"/>
        </w:rPr>
        <w:t xml:space="preserve"> (London: Institute of Historical Research, 1963), </w:t>
      </w:r>
      <w:r w:rsidRPr="00A516E9">
        <w:rPr>
          <w:rFonts w:ascii="Calibri" w:hAnsi="Calibri" w:cs="Calibri"/>
          <w:smallCaps/>
        </w:rPr>
        <w:t>iv,  Fasti 4, Monastic Cathedrals (Southern Province)</w:t>
      </w:r>
      <w:r w:rsidRPr="00A516E9">
        <w:rPr>
          <w:rFonts w:ascii="Calibri" w:hAnsi="Calibri" w:cs="Calibri"/>
        </w:rPr>
        <w:t xml:space="preserve"> &lt;https://www.british-history.ac.uk/fasti-ecclesiae/1300-1541/vol4/pp13-16&gt; [accessed 18 July 2019]</w:t>
      </w:r>
    </w:p>
    <w:p w:rsidR="00A516E9" w:rsidRPr="00A516E9" w:rsidRDefault="00A516E9" w:rsidP="00A516E9">
      <w:pPr>
        <w:pStyle w:val="Bibliography"/>
        <w:rPr>
          <w:rFonts w:ascii="Calibri" w:hAnsi="Calibri" w:cs="Calibri"/>
        </w:rPr>
      </w:pPr>
      <w:r w:rsidRPr="00A516E9">
        <w:rPr>
          <w:rFonts w:ascii="Calibri" w:hAnsi="Calibri" w:cs="Calibri"/>
        </w:rPr>
        <w:t>‘Calculate the Date of Easter &amp; Other Moveable Holidays’ &lt;http://people.albion.edu/imacinnes/calendar/Ecclesiastical_dates.html&gt; [accessed 18 July 2019]</w:t>
      </w:r>
    </w:p>
    <w:p w:rsidR="00A516E9" w:rsidRPr="00A516E9" w:rsidRDefault="00A516E9" w:rsidP="00A516E9">
      <w:pPr>
        <w:pStyle w:val="Bibliography"/>
        <w:rPr>
          <w:rFonts w:ascii="Calibri" w:hAnsi="Calibri" w:cs="Calibri"/>
        </w:rPr>
      </w:pPr>
      <w:r w:rsidRPr="00A516E9">
        <w:rPr>
          <w:rFonts w:ascii="Calibri" w:hAnsi="Calibri" w:cs="Calibri"/>
        </w:rPr>
        <w:t xml:space="preserve">Duggan, A. J., ‘Ridel, Geoffrey’, in </w:t>
      </w:r>
      <w:r w:rsidRPr="00A516E9">
        <w:rPr>
          <w:rFonts w:ascii="Calibri" w:hAnsi="Calibri" w:cs="Calibri"/>
          <w:i/>
          <w:iCs/>
        </w:rPr>
        <w:t>The Oxford Dictionary of National Biography</w:t>
      </w:r>
      <w:r w:rsidRPr="00A516E9">
        <w:rPr>
          <w:rFonts w:ascii="Calibri" w:hAnsi="Calibri" w:cs="Calibri"/>
        </w:rPr>
        <w:t>, ed. by H. C. G. Matthew and B. Harrison (Oxford: Oxford University Press, 2004) &lt;https://doi.org/10.1093/ref:odnb/23618&gt;</w:t>
      </w:r>
    </w:p>
    <w:p w:rsidR="00A516E9" w:rsidRPr="00A516E9" w:rsidRDefault="00A516E9" w:rsidP="00A516E9">
      <w:pPr>
        <w:pStyle w:val="Bibliography"/>
        <w:rPr>
          <w:rFonts w:ascii="Calibri" w:hAnsi="Calibri" w:cs="Calibri"/>
        </w:rPr>
      </w:pPr>
      <w:r w:rsidRPr="00A516E9">
        <w:rPr>
          <w:rFonts w:ascii="Calibri" w:hAnsi="Calibri" w:cs="Calibri"/>
        </w:rPr>
        <w:t xml:space="preserve">Eales, Richard, ‘Ranulf (III) [Ranulf de Blundeville], Sixth Earl of Chester and First Earl of Lincoln’, in </w:t>
      </w:r>
      <w:r w:rsidRPr="00A516E9">
        <w:rPr>
          <w:rFonts w:ascii="Calibri" w:hAnsi="Calibri" w:cs="Calibri"/>
          <w:i/>
          <w:iCs/>
        </w:rPr>
        <w:t>The Oxford Dictionary of National Biography</w:t>
      </w:r>
      <w:r w:rsidRPr="00A516E9">
        <w:rPr>
          <w:rFonts w:ascii="Calibri" w:hAnsi="Calibri" w:cs="Calibri"/>
        </w:rPr>
        <w:t>, ed. by H. C. G. Matthew and B. Harrison (Oxford: Oxford University Press, 2004) &lt;https://doi.org/10.1093/ref:odnb/2716&gt;</w:t>
      </w:r>
    </w:p>
    <w:p w:rsidR="00A516E9" w:rsidRPr="00A516E9" w:rsidRDefault="00A516E9" w:rsidP="00A516E9">
      <w:pPr>
        <w:pStyle w:val="Bibliography"/>
        <w:rPr>
          <w:rFonts w:ascii="Calibri" w:hAnsi="Calibri" w:cs="Calibri"/>
        </w:rPr>
      </w:pPr>
      <w:r w:rsidRPr="00A516E9">
        <w:rPr>
          <w:rFonts w:ascii="Calibri" w:hAnsi="Calibri" w:cs="Calibri"/>
        </w:rPr>
        <w:t xml:space="preserve">Edward Hubert Burton, ‘Ancient Diocese of Saint Asaph’, </w:t>
      </w:r>
      <w:r w:rsidRPr="00A516E9">
        <w:rPr>
          <w:rFonts w:ascii="Calibri" w:hAnsi="Calibri" w:cs="Calibri"/>
          <w:i/>
          <w:iCs/>
        </w:rPr>
        <w:t>Catholic Encyclopedia</w:t>
      </w:r>
      <w:r w:rsidRPr="00A516E9">
        <w:rPr>
          <w:rFonts w:ascii="Calibri" w:hAnsi="Calibri" w:cs="Calibri"/>
        </w:rPr>
        <w:t>, Wikisource</w:t>
      </w:r>
    </w:p>
    <w:p w:rsidR="00A516E9" w:rsidRPr="00A516E9" w:rsidRDefault="00A516E9" w:rsidP="00A516E9">
      <w:pPr>
        <w:pStyle w:val="Bibliography"/>
        <w:rPr>
          <w:rFonts w:ascii="Calibri" w:hAnsi="Calibri" w:cs="Calibri"/>
        </w:rPr>
      </w:pPr>
      <w:r w:rsidRPr="00A516E9">
        <w:rPr>
          <w:rFonts w:ascii="Calibri" w:hAnsi="Calibri" w:cs="Calibri"/>
        </w:rPr>
        <w:t xml:space="preserve">Green, Judith, A., ‘Basset, Richard’, in </w:t>
      </w:r>
      <w:r w:rsidRPr="00A516E9">
        <w:rPr>
          <w:rFonts w:ascii="Calibri" w:hAnsi="Calibri" w:cs="Calibri"/>
          <w:i/>
          <w:iCs/>
        </w:rPr>
        <w:t>The Oxford Dictionary of National Biography</w:t>
      </w:r>
      <w:r w:rsidRPr="00A516E9">
        <w:rPr>
          <w:rFonts w:ascii="Calibri" w:hAnsi="Calibri" w:cs="Calibri"/>
        </w:rPr>
        <w:t>, ed. by H. C. G. Matthew and B. Harrison (Oxford: Oxford University Press, 2004) &lt;https://doi.org/10.1093/ref:odnb/1647&gt;</w:t>
      </w:r>
    </w:p>
    <w:p w:rsidR="00A516E9" w:rsidRPr="00A516E9" w:rsidRDefault="00A516E9" w:rsidP="00A516E9">
      <w:pPr>
        <w:pStyle w:val="Bibliography"/>
        <w:rPr>
          <w:rFonts w:ascii="Calibri" w:hAnsi="Calibri" w:cs="Calibri"/>
        </w:rPr>
      </w:pPr>
      <w:r w:rsidRPr="00A516E9">
        <w:rPr>
          <w:rFonts w:ascii="Calibri" w:hAnsi="Calibri" w:cs="Calibri"/>
        </w:rPr>
        <w:t xml:space="preserve">Green, Judith A., </w:t>
      </w:r>
      <w:r w:rsidRPr="00A516E9">
        <w:rPr>
          <w:rFonts w:ascii="Calibri" w:hAnsi="Calibri" w:cs="Calibri"/>
          <w:i/>
          <w:iCs/>
        </w:rPr>
        <w:t>Ridel, Geoffrey (d. 1120), Justice</w:t>
      </w:r>
      <w:r w:rsidRPr="00A516E9">
        <w:rPr>
          <w:rFonts w:ascii="Calibri" w:hAnsi="Calibri" w:cs="Calibri"/>
        </w:rPr>
        <w:t xml:space="preserve"> (Oxford University Press, 2004), </w:t>
      </w:r>
      <w:r w:rsidRPr="00A516E9">
        <w:rPr>
          <w:rFonts w:ascii="Calibri" w:hAnsi="Calibri" w:cs="Calibri"/>
          <w:smallCaps/>
        </w:rPr>
        <w:t>i</w:t>
      </w:r>
      <w:r w:rsidRPr="00A516E9">
        <w:rPr>
          <w:rFonts w:ascii="Calibri" w:hAnsi="Calibri" w:cs="Calibri"/>
        </w:rPr>
        <w:t xml:space="preserve"> &lt;https://doi.org/10.1093/ref:odnb/23617&gt;</w:t>
      </w:r>
    </w:p>
    <w:p w:rsidR="00A516E9" w:rsidRPr="00A516E9" w:rsidRDefault="00A516E9" w:rsidP="00A516E9">
      <w:pPr>
        <w:pStyle w:val="Bibliography"/>
        <w:rPr>
          <w:rFonts w:ascii="Calibri" w:hAnsi="Calibri" w:cs="Calibri"/>
        </w:rPr>
      </w:pPr>
      <w:r w:rsidRPr="00A516E9">
        <w:rPr>
          <w:rFonts w:ascii="Calibri" w:hAnsi="Calibri" w:cs="Calibri"/>
          <w:i/>
          <w:iCs/>
        </w:rPr>
        <w:t>Handbook of British Chronology.</w:t>
      </w:r>
      <w:r w:rsidRPr="00A516E9">
        <w:rPr>
          <w:rFonts w:ascii="Calibri" w:hAnsi="Calibri" w:cs="Calibri"/>
        </w:rPr>
        <w:t>, Guides and Handbooks; No.2, 3rd ed. / edited by E. B. Fryde ... [et al.]. (London: Royal Historical Society, 1986)</w:t>
      </w:r>
    </w:p>
    <w:p w:rsidR="00A516E9" w:rsidRPr="00A516E9" w:rsidRDefault="00A516E9" w:rsidP="00A516E9">
      <w:pPr>
        <w:pStyle w:val="Bibliography"/>
        <w:rPr>
          <w:rFonts w:ascii="Calibri" w:hAnsi="Calibri" w:cs="Calibri"/>
        </w:rPr>
      </w:pPr>
      <w:r w:rsidRPr="00A516E9">
        <w:rPr>
          <w:rFonts w:ascii="Calibri" w:hAnsi="Calibri" w:cs="Calibri"/>
        </w:rPr>
        <w:t>‘Henry I (1068/9–1135), King of England and Lord of Normandy | Oxford Dictionary of National Biography’ &lt;https://doi.org/10.1093/ref:odnb/12948&gt;</w:t>
      </w:r>
    </w:p>
    <w:p w:rsidR="00A516E9" w:rsidRPr="00A516E9" w:rsidRDefault="00A516E9" w:rsidP="00A516E9">
      <w:pPr>
        <w:pStyle w:val="Bibliography"/>
        <w:rPr>
          <w:rFonts w:ascii="Calibri" w:hAnsi="Calibri" w:cs="Calibri"/>
        </w:rPr>
      </w:pPr>
      <w:r w:rsidRPr="00A516E9">
        <w:rPr>
          <w:rFonts w:ascii="Calibri" w:hAnsi="Calibri" w:cs="Calibri"/>
        </w:rPr>
        <w:t>John Edward Lloyd, ‘ANIAN I (Died 1266), Bishop of S. Asaph | Dictionary of Welsh Biography’ &lt;https://biography.wales/article/s-ANIA-NI0-1266?&amp;query=anian&amp;lang[]=en&amp;sort=score&amp;order=desc&amp;rows=12&amp;page=1&gt; [accessed 15 July 2019]</w:t>
      </w:r>
    </w:p>
    <w:p w:rsidR="00A516E9" w:rsidRPr="00A516E9" w:rsidRDefault="00A516E9" w:rsidP="00A516E9">
      <w:pPr>
        <w:pStyle w:val="Bibliography"/>
        <w:rPr>
          <w:rFonts w:ascii="Calibri" w:hAnsi="Calibri" w:cs="Calibri"/>
        </w:rPr>
      </w:pPr>
      <w:r w:rsidRPr="00A516E9">
        <w:rPr>
          <w:rFonts w:ascii="Calibri" w:hAnsi="Calibri" w:cs="Calibri"/>
        </w:rPr>
        <w:lastRenderedPageBreak/>
        <w:t>———, ‘ANIAN II (Died 1293), Bishop of S. Asaph | Dictionary of Welsh Biography’ &lt;https://biography.wales/article/s-ANIA-NII-1293&gt; [accessed 15 July 2019]</w:t>
      </w:r>
    </w:p>
    <w:p w:rsidR="00A516E9" w:rsidRPr="00A516E9" w:rsidRDefault="00A516E9" w:rsidP="00A516E9">
      <w:pPr>
        <w:pStyle w:val="Bibliography"/>
        <w:rPr>
          <w:rFonts w:ascii="Calibri" w:hAnsi="Calibri" w:cs="Calibri"/>
        </w:rPr>
      </w:pPr>
      <w:r w:rsidRPr="00A516E9">
        <w:rPr>
          <w:rFonts w:ascii="Calibri" w:hAnsi="Calibri" w:cs="Calibri"/>
        </w:rPr>
        <w:t xml:space="preserve">King, Edmund, </w:t>
      </w:r>
      <w:r w:rsidRPr="00A516E9">
        <w:rPr>
          <w:rFonts w:ascii="Calibri" w:hAnsi="Calibri" w:cs="Calibri"/>
          <w:i/>
          <w:iCs/>
        </w:rPr>
        <w:t>Ranulf (I) [Ranulf Le Meschin], Third Earl of Chester (d. 1129), Magnate</w:t>
      </w:r>
      <w:r w:rsidRPr="00A516E9">
        <w:rPr>
          <w:rFonts w:ascii="Calibri" w:hAnsi="Calibri" w:cs="Calibri"/>
        </w:rPr>
        <w:t xml:space="preserve"> (Oxford University Press, 2004), </w:t>
      </w:r>
      <w:r w:rsidRPr="00A516E9">
        <w:rPr>
          <w:rFonts w:ascii="Calibri" w:hAnsi="Calibri" w:cs="Calibri"/>
          <w:smallCaps/>
        </w:rPr>
        <w:t>i</w:t>
      </w:r>
      <w:r w:rsidRPr="00A516E9">
        <w:rPr>
          <w:rFonts w:ascii="Calibri" w:hAnsi="Calibri" w:cs="Calibri"/>
        </w:rPr>
        <w:t xml:space="preserve"> &lt;https://doi.org/10.1093/ref:odnb/23127&gt;</w:t>
      </w:r>
    </w:p>
    <w:p w:rsidR="00A516E9" w:rsidRPr="00A516E9" w:rsidRDefault="00A516E9" w:rsidP="00A516E9">
      <w:pPr>
        <w:pStyle w:val="Bibliography"/>
        <w:rPr>
          <w:rFonts w:ascii="Calibri" w:hAnsi="Calibri" w:cs="Calibri"/>
        </w:rPr>
      </w:pPr>
      <w:r w:rsidRPr="00A516E9">
        <w:rPr>
          <w:rFonts w:ascii="Calibri" w:hAnsi="Calibri" w:cs="Calibri"/>
        </w:rPr>
        <w:t xml:space="preserve">Phillips, J. R. S., </w:t>
      </w:r>
      <w:r w:rsidRPr="00A516E9">
        <w:rPr>
          <w:rFonts w:ascii="Calibri" w:hAnsi="Calibri" w:cs="Calibri"/>
          <w:i/>
          <w:iCs/>
        </w:rPr>
        <w:t>Edward II [Edward of Caernarfon] (1284–1327), King of England and Lord of Ireland, and Duke of Aquitaine</w:t>
      </w:r>
      <w:r w:rsidRPr="00A516E9">
        <w:rPr>
          <w:rFonts w:ascii="Calibri" w:hAnsi="Calibri" w:cs="Calibri"/>
        </w:rPr>
        <w:t xml:space="preserve"> (Oxford University Press, 2004), </w:t>
      </w:r>
      <w:r w:rsidRPr="00A516E9">
        <w:rPr>
          <w:rFonts w:ascii="Calibri" w:hAnsi="Calibri" w:cs="Calibri"/>
          <w:smallCaps/>
        </w:rPr>
        <w:t>i</w:t>
      </w:r>
      <w:r w:rsidRPr="00A516E9">
        <w:rPr>
          <w:rFonts w:ascii="Calibri" w:hAnsi="Calibri" w:cs="Calibri"/>
        </w:rPr>
        <w:t xml:space="preserve"> &lt;https://doi.org/10.1093/ref:odnb/8518&gt;</w:t>
      </w:r>
    </w:p>
    <w:p w:rsidR="00A516E9" w:rsidRPr="00A516E9" w:rsidRDefault="00A516E9" w:rsidP="00A516E9">
      <w:pPr>
        <w:pStyle w:val="Bibliography"/>
        <w:rPr>
          <w:rFonts w:ascii="Calibri" w:hAnsi="Calibri" w:cs="Calibri"/>
        </w:rPr>
      </w:pPr>
      <w:r w:rsidRPr="00A516E9">
        <w:rPr>
          <w:rFonts w:ascii="Calibri" w:hAnsi="Calibri" w:cs="Calibri"/>
        </w:rPr>
        <w:t xml:space="preserve">White, Graeme, ‘Ranulf (II) [Ranulf de Gernon], Fourth Earl of Chester’, in </w:t>
      </w:r>
      <w:r w:rsidRPr="00A516E9">
        <w:rPr>
          <w:rFonts w:ascii="Calibri" w:hAnsi="Calibri" w:cs="Calibri"/>
          <w:i/>
          <w:iCs/>
        </w:rPr>
        <w:t>The Oxford Dictionary of National Biography</w:t>
      </w:r>
      <w:r w:rsidRPr="00A516E9">
        <w:rPr>
          <w:rFonts w:ascii="Calibri" w:hAnsi="Calibri" w:cs="Calibri"/>
        </w:rPr>
        <w:t>, ed. by H. C. G. Matthew and B. Harrison (Oxford: Oxford University Press, 2004) &lt;https://doi.org/10.1093/ref:odnb/23128&gt;</w:t>
      </w:r>
    </w:p>
    <w:p w:rsidR="00A516E9" w:rsidRPr="00A516E9" w:rsidRDefault="00A516E9" w:rsidP="00A516E9">
      <w:r>
        <w:fldChar w:fldCharType="end"/>
      </w:r>
    </w:p>
    <w:p w:rsidR="00A516E9" w:rsidRDefault="00A516E9"/>
    <w:sectPr w:rsidR="00A516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7C75" w:rsidRDefault="00497C75" w:rsidP="00236AB1">
      <w:pPr>
        <w:spacing w:after="0" w:line="240" w:lineRule="auto"/>
      </w:pPr>
      <w:r>
        <w:separator/>
      </w:r>
    </w:p>
  </w:endnote>
  <w:endnote w:type="continuationSeparator" w:id="0">
    <w:p w:rsidR="00497C75" w:rsidRDefault="00497C75" w:rsidP="00236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36AB1" w:rsidRDefault="00236AB1">
    <w:pPr>
      <w:pStyle w:val="Footer"/>
    </w:pPr>
    <w:r>
      <w:t>Gulliver Methuen-Campbell</w:t>
    </w:r>
    <w:r>
      <w:tab/>
    </w:r>
    <w:r>
      <w:tab/>
    </w:r>
    <w:r>
      <w:fldChar w:fldCharType="begin"/>
    </w:r>
    <w:r>
      <w:instrText xml:space="preserve"> PAGE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7C75" w:rsidRDefault="00497C75" w:rsidP="00236AB1">
      <w:pPr>
        <w:spacing w:after="0" w:line="240" w:lineRule="auto"/>
      </w:pPr>
      <w:r>
        <w:separator/>
      </w:r>
    </w:p>
  </w:footnote>
  <w:footnote w:type="continuationSeparator" w:id="0">
    <w:p w:rsidR="00497C75" w:rsidRDefault="00497C75" w:rsidP="00236AB1">
      <w:pPr>
        <w:spacing w:after="0" w:line="240" w:lineRule="auto"/>
      </w:pPr>
      <w:r>
        <w:continuationSeparator/>
      </w:r>
    </w:p>
  </w:footnote>
  <w:footnote w:id="1">
    <w:p w:rsidR="00AB3BD8" w:rsidRDefault="00AB3BD8">
      <w:pPr>
        <w:pStyle w:val="FootnoteText"/>
      </w:pPr>
      <w:r w:rsidRPr="00F85472">
        <w:rPr>
          <w:rStyle w:val="FootnoteReference"/>
        </w:rPr>
        <w:footnoteRef/>
      </w:r>
      <w:r>
        <w:t xml:space="preserve"> </w:t>
      </w:r>
      <w:r>
        <w:fldChar w:fldCharType="begin"/>
      </w:r>
      <w:r>
        <w:instrText xml:space="preserve"> ADDIN ZOTERO_ITEM CSL_CITATION {"citationID":"WjqIVPR6","properties":{"formattedCitation":"{\\i{}Handbook of British Chronology.}, Guides and Handbooks; No.2, 3rd ed. / edited by E. B. Fryde ... [et al.]. (London: Royal Historical Society, 1986), p. 36.","plainCitation":"Handbook of British Chronology., Guides and Handbooks; No.2, 3rd ed. / edited by E. B. Fryde ... [et al.]. (London: Royal Historical Society, 1986), p. 36.","noteIndex":1},"citationItems":[{"id":706,"uris":["http://zotero.org/users/685164/items/42563UZZ"],"uri":["http://zotero.org/users/685164/items/42563UZZ"],"itemData":{"id":706,"type":"book","title":"Handbook of British chronology.","collection-title":"Guides and handbooks; no.2","publisher":"Royal Historical Society","publisher-place":"London","edition":"3rd ed. / edited by E. B. Fryde ... [et al.].","event-place":"London","ISBN":"0-86193-106-8","language":"eng","issued":{"date-parts":[["1986"]]}},"locator":"36"}],"schema":"https://github.com/citation-style-language/schema/raw/master/csl-citation.json"} </w:instrText>
      </w:r>
      <w:r>
        <w:fldChar w:fldCharType="separate"/>
      </w:r>
      <w:r w:rsidRPr="00AB3BD8">
        <w:rPr>
          <w:rFonts w:ascii="Calibri" w:hAnsi="Calibri" w:cs="Calibri"/>
          <w:i/>
          <w:iCs/>
          <w:szCs w:val="24"/>
        </w:rPr>
        <w:t>Handbook of British Chronology.</w:t>
      </w:r>
      <w:r w:rsidRPr="00AB3BD8">
        <w:rPr>
          <w:rFonts w:ascii="Calibri" w:hAnsi="Calibri" w:cs="Calibri"/>
          <w:szCs w:val="24"/>
        </w:rPr>
        <w:t>, Guides and Handbooks; No.2, 3rd ed. / edited by E. B. Fryde ... [et al.]. (London: Royal Historical Society, 1986), p. 36.</w:t>
      </w:r>
      <w:r>
        <w:fldChar w:fldCharType="end"/>
      </w:r>
    </w:p>
  </w:footnote>
  <w:footnote w:id="2">
    <w:p w:rsidR="00DA3348" w:rsidRDefault="00DA3348">
      <w:pPr>
        <w:pStyle w:val="FootnoteText"/>
      </w:pPr>
      <w:r w:rsidRPr="00F85472">
        <w:rPr>
          <w:rStyle w:val="FootnoteReference"/>
        </w:rPr>
        <w:footnoteRef/>
      </w:r>
      <w:r>
        <w:t xml:space="preserve"> </w:t>
      </w:r>
      <w:r>
        <w:fldChar w:fldCharType="begin"/>
      </w:r>
      <w:r>
        <w:instrText xml:space="preserve"> ADDIN ZOTERO_ITEM CSL_CITATION {"citationID":"qP0aAGcx","properties":{"formattedCitation":"{\\i{}A Handbook of Dates\\uc0\\u8239{}: For Students of British History}, Guides and Handbooks\\uc0\\u8239{}; No. 4, New ed. / revised by Michael Jones. (Cambridge: Cambridge University Press, 2000), p. 55.","plainCitation":"A Handbook of Dates : For Students of British History, Guides and Handbooks ; No. 4, New ed. / revised by Michael Jones. (Cambridge: Cambridge University Press, 2000), p. 55.","noteIndex":2},"citationItems":[{"id":707,"uris":["http://zotero.org/users/685164/items/2GYYZT6J"],"uri":["http://zotero.org/users/685164/items/2GYYZT6J"],"itemData":{"id":707,"type":"book","title":"A handbook of dates : for students of British history","collection-title":"Guides and handbooks ; no. 4","publisher":"Cambridge University Press","publisher-place":"Cambridge","edition":"New ed. / revised by Michael Jones.","event-place":"Cambridge","ISBN":"0-521-77095-5","note":"LCCN: 99027383","language":"eng","issued":{"date-parts":[["2000"]]}},"locator":"55"}],"schema":"https://github.com/citation-style-language/schema/raw/master/csl-citation.json"} </w:instrText>
      </w:r>
      <w:r>
        <w:fldChar w:fldCharType="separate"/>
      </w:r>
      <w:r w:rsidRPr="00DA3348">
        <w:rPr>
          <w:rFonts w:ascii="Calibri" w:hAnsi="Calibri" w:cs="Calibri"/>
          <w:i/>
          <w:iCs/>
          <w:szCs w:val="24"/>
        </w:rPr>
        <w:t>A Handbook of Dates : For Students of British History</w:t>
      </w:r>
      <w:r w:rsidRPr="00DA3348">
        <w:rPr>
          <w:rFonts w:ascii="Calibri" w:hAnsi="Calibri" w:cs="Calibri"/>
          <w:szCs w:val="24"/>
        </w:rPr>
        <w:t>, Guides and Handbooks ; No. 4, New ed. / revised by Michael Jones. (Cambridge: Cambridge University Press, 2000), p. 55.</w:t>
      </w:r>
      <w:r>
        <w:fldChar w:fldCharType="end"/>
      </w:r>
    </w:p>
  </w:footnote>
  <w:footnote w:id="3">
    <w:p w:rsidR="00B83240" w:rsidRDefault="00B83240">
      <w:pPr>
        <w:pStyle w:val="FootnoteText"/>
      </w:pPr>
      <w:r w:rsidRPr="00F85472">
        <w:rPr>
          <w:rStyle w:val="FootnoteReference"/>
        </w:rPr>
        <w:footnoteRef/>
      </w:r>
      <w:r>
        <w:t xml:space="preserve"> </w:t>
      </w:r>
      <w:r>
        <w:fldChar w:fldCharType="begin"/>
      </w:r>
      <w:r w:rsidR="00ED3A46">
        <w:instrText xml:space="preserve"> ADDIN ZOTERO_ITEM CSL_CITATION {"citationID":"ICLqQzL7","properties":{"formattedCitation":"John Edward Lloyd, \\uc0\\u8216{}ANIAN I (Died 1266), Bishop of S. Asaph | Dictionary of Welsh Biography\\uc0\\u8217{} &lt;https://biography.wales/article/s-ANIA-NI0-1266?&amp;query=anian&amp;lang[]=en&amp;sort=score&amp;order=desc&amp;rows=12&amp;page=1&gt; [accessed 15 July 2019].","plainCitation":"John Edward Lloyd, ‘ANIAN I (Died 1266), Bishop of S. Asaph | Dictionary of Welsh Biography’ &lt;https://biography.wales/article/s-ANIA-NI0-1266?&amp;query=anian&amp;lang[]=en&amp;sort=score&amp;order=desc&amp;rows=12&amp;page=1&gt; [accessed 15 July 2019].","noteIndex":3},"citationItems":[{"id":710,"uris":["http://zotero.org/users/685164/items/ZE3XC2JE"],"uri":["http://zotero.org/users/685164/items/ZE3XC2JE"],"itemData":{"id":710,"type":"webpage","title":"ANIAN I (died 1266), bishop of S. Asaph | Dictionary of Welsh Biography","URL":"https://biography.wales/article/s-ANIA-NI0-1266?&amp;query=anian&amp;lang[]=en&amp;sort=score&amp;order=desc&amp;rows=12&amp;page=1","author":[{"literal":"John Edward Lloyd"}],"accessed":{"date-parts":[["2019",7,15]]}}}],"schema":"https://github.com/citation-style-language/schema/raw/master/csl-citation.json"} </w:instrText>
      </w:r>
      <w:r>
        <w:fldChar w:fldCharType="separate"/>
      </w:r>
      <w:r w:rsidR="00ED3A46" w:rsidRPr="00ED3A46">
        <w:rPr>
          <w:rFonts w:ascii="Calibri" w:hAnsi="Calibri" w:cs="Calibri"/>
          <w:szCs w:val="24"/>
        </w:rPr>
        <w:t>John Edward Lloyd, ‘ANIAN I (Died 1266), Bishop of S. Asaph | Dictionary of Welsh Biography’ &lt;https://biography.wales/article/s-ANIA-NI0-1266?&amp;query=anian&amp;lang[]=en&amp;sort=score&amp;order=desc&amp;rows=12&amp;page=1&gt; [accessed 15 July 2019].</w:t>
      </w:r>
      <w:r>
        <w:fldChar w:fldCharType="end"/>
      </w:r>
    </w:p>
  </w:footnote>
  <w:footnote w:id="4">
    <w:p w:rsidR="00B83240" w:rsidRDefault="00B83240">
      <w:pPr>
        <w:pStyle w:val="FootnoteText"/>
      </w:pPr>
      <w:r w:rsidRPr="00F85472">
        <w:rPr>
          <w:rStyle w:val="FootnoteReference"/>
        </w:rPr>
        <w:footnoteRef/>
      </w:r>
      <w:r>
        <w:t xml:space="preserve"> </w:t>
      </w:r>
      <w:r>
        <w:fldChar w:fldCharType="begin"/>
      </w:r>
      <w:r w:rsidR="00ED3A46">
        <w:instrText xml:space="preserve"> ADDIN ZOTERO_ITEM CSL_CITATION {"citationID":"JsI50uG4","properties":{"formattedCitation":"John Edward Lloyd, \\uc0\\u8216{}ANIAN II (Died 1293), Bishop of S. Asaph | Dictionary of Welsh Biography\\uc0\\u8217{} &lt;https://biography.wales/article/s-ANIA-NII-1293&gt; [accessed 15 July 2019].","plainCitation":"John Edward Lloyd, ‘ANIAN II (Died 1293), Bishop of S. Asaph | Dictionary of Welsh Biography’ &lt;https://biography.wales/article/s-ANIA-NII-1293&gt; [accessed 15 July 2019].","noteIndex":4},"citationItems":[{"id":712,"uris":["http://zotero.org/users/685164/items/ZI5VW837"],"uri":["http://zotero.org/users/685164/items/ZI5VW837"],"itemData":{"id":712,"type":"webpage","title":"ANIAN II (died 1293), bishop of S. Asaph | Dictionary of Welsh Biography","URL":"https://biography.wales/article/s-ANIA-NII-1293","author":[{"literal":"John Edward Lloyd"}],"accessed":{"date-parts":[["2019",7,15]]}}}],"schema":"https://github.com/citation-style-language/schema/raw/master/csl-citation.json"} </w:instrText>
      </w:r>
      <w:r>
        <w:fldChar w:fldCharType="separate"/>
      </w:r>
      <w:r w:rsidR="00ED3A46" w:rsidRPr="00ED3A46">
        <w:rPr>
          <w:rFonts w:ascii="Calibri" w:hAnsi="Calibri" w:cs="Calibri"/>
          <w:szCs w:val="24"/>
        </w:rPr>
        <w:t>John Edward Lloyd, ‘ANIAN II (Died 1293), Bishop of S. Asaph | Dictionary of Welsh Biography’ &lt;https://biography.wales/article/s-ANIA-NII-1293&gt; [accessed 15 July 2019].</w:t>
      </w:r>
      <w:r>
        <w:fldChar w:fldCharType="end"/>
      </w:r>
    </w:p>
  </w:footnote>
  <w:footnote w:id="5">
    <w:p w:rsidR="009D440C" w:rsidRDefault="009D440C">
      <w:pPr>
        <w:pStyle w:val="FootnoteText"/>
      </w:pPr>
      <w:r w:rsidRPr="00F85472">
        <w:rPr>
          <w:rStyle w:val="FootnoteReference"/>
        </w:rPr>
        <w:footnoteRef/>
      </w:r>
      <w:r>
        <w:t xml:space="preserve"> </w:t>
      </w:r>
      <w:r>
        <w:fldChar w:fldCharType="begin"/>
      </w:r>
      <w:r>
        <w:instrText xml:space="preserve"> ADDIN ZOTERO_ITEM CSL_CITATION {"citationID":"8ksiiq7X","properties":{"formattedCitation":"Edward Hubert Burton, \\uc0\\u8216{}Ancient Diocese of Saint Asaph\\uc0\\u8217{}, {\\i{}Catholic Encyclopedia}, Wikisource.","plainCitation":"Edward Hubert Burton, ‘Ancient Diocese of Saint Asaph’, Catholic Encyclopedia, Wikisource.","noteIndex":5},"citationItems":[{"id":714,"uris":["http://zotero.org/users/685164/items/Z67B2ZD5"],"uri":["http://zotero.org/users/685164/items/Z67B2ZD5"],"itemData":{"id":714,"type":"entry-encyclopedia","title":"Ancient Diocese of Saint Asaph","container-title":"Catholic Encyclopedia","volume":"Volume 13","source":"Wikisource","archive":"Wikisource","author":[{"literal":"Edward Hubert Burton"}]}}],"schema":"https://github.com/citation-style-language/schema/raw/master/csl-citation.json"} </w:instrText>
      </w:r>
      <w:r>
        <w:fldChar w:fldCharType="separate"/>
      </w:r>
      <w:r w:rsidRPr="009D440C">
        <w:rPr>
          <w:rFonts w:ascii="Calibri" w:hAnsi="Calibri" w:cs="Calibri"/>
          <w:szCs w:val="24"/>
        </w:rPr>
        <w:t xml:space="preserve">Edward Hubert Burton, ‘Ancient Diocese of Saint Asaph’, </w:t>
      </w:r>
      <w:r w:rsidRPr="009D440C">
        <w:rPr>
          <w:rFonts w:ascii="Calibri" w:hAnsi="Calibri" w:cs="Calibri"/>
          <w:i/>
          <w:iCs/>
          <w:szCs w:val="24"/>
        </w:rPr>
        <w:t>Catholic Encyclopedia</w:t>
      </w:r>
      <w:r w:rsidRPr="009D440C">
        <w:rPr>
          <w:rFonts w:ascii="Calibri" w:hAnsi="Calibri" w:cs="Calibri"/>
          <w:szCs w:val="24"/>
        </w:rPr>
        <w:t>, Wikisource.</w:t>
      </w:r>
      <w:r>
        <w:fldChar w:fldCharType="end"/>
      </w:r>
    </w:p>
  </w:footnote>
  <w:footnote w:id="6">
    <w:p w:rsidR="00B83240" w:rsidRDefault="00B83240">
      <w:pPr>
        <w:pStyle w:val="FootnoteText"/>
      </w:pPr>
      <w:r w:rsidRPr="00F85472">
        <w:rPr>
          <w:rStyle w:val="FootnoteReference"/>
        </w:rPr>
        <w:footnoteRef/>
      </w:r>
      <w:r>
        <w:t xml:space="preserve"> </w:t>
      </w:r>
      <w:r>
        <w:fldChar w:fldCharType="begin"/>
      </w:r>
      <w:r w:rsidR="00DE2F8F">
        <w:instrText xml:space="preserve"> ADDIN ZOTERO_ITEM CSL_CITATION {"citationID":"JCSIlME7","properties":{"formattedCitation":"{\\i{}A Handbook of Dates\\uc0\\u8239{}: For Students of British History}, p. 55.","plainCitation":"A Handbook of Dates : For Students of British History, p. 55.","noteIndex":6},"citationItems":[{"id":707,"uris":["http://zotero.org/users/685164/items/2GYYZT6J"],"uri":["http://zotero.org/users/685164/items/2GYYZT6J"],"itemData":{"id":707,"type":"book","title":"A handbook of dates : for students of British history","collection-title":"Guides and handbooks ; no. 4","publisher":"Cambridge University Press","publisher-place":"Cambridge","edition":"New ed. / revised by Michael Jones.","event-place":"Cambridge","ISBN":"0-521-77095-5","note":"LCCN: 99027383","language":"eng","issued":{"date-parts":[["2000"]]}},"locator":"55"}],"schema":"https://github.com/citation-style-language/schema/raw/master/csl-citation.json"} </w:instrText>
      </w:r>
      <w:r>
        <w:fldChar w:fldCharType="separate"/>
      </w:r>
      <w:r w:rsidRPr="00B83240">
        <w:rPr>
          <w:rFonts w:ascii="Calibri" w:hAnsi="Calibri" w:cs="Calibri"/>
          <w:i/>
          <w:iCs/>
          <w:szCs w:val="24"/>
        </w:rPr>
        <w:t>A Handbook of Dates : For Students of British History</w:t>
      </w:r>
      <w:r w:rsidRPr="00B83240">
        <w:rPr>
          <w:rFonts w:ascii="Calibri" w:hAnsi="Calibri" w:cs="Calibri"/>
          <w:szCs w:val="24"/>
        </w:rPr>
        <w:t>, p. 55.</w:t>
      </w:r>
      <w:r>
        <w:fldChar w:fldCharType="end"/>
      </w:r>
    </w:p>
  </w:footnote>
  <w:footnote w:id="7">
    <w:p w:rsidR="00DE2F8F" w:rsidRDefault="00DE2F8F">
      <w:pPr>
        <w:pStyle w:val="FootnoteText"/>
      </w:pPr>
      <w:r>
        <w:rPr>
          <w:rStyle w:val="FootnoteReference"/>
        </w:rPr>
        <w:footnoteRef/>
      </w:r>
      <w:r>
        <w:t xml:space="preserve"> </w:t>
      </w:r>
      <w:r>
        <w:fldChar w:fldCharType="begin"/>
      </w:r>
      <w:r>
        <w:instrText xml:space="preserve"> ADDIN ZOTERO_ITEM CSL_CITATION {"citationID":"7yKqfoTc","properties":{"formattedCitation":"\\uc0\\u8216{}Bishops of Ely\\uc0\\u8217{}, in {\\i{}Fasti Ecclesiae Anglicanae 1300-1541}, ed. by B Jones (London: Institute of Historical Research, 1963), {\\scaps iv,  Fasti 4, Monastic Cathedrals (Southern Province)} &lt;https://www.british-history.ac.uk/fasti-ecclesiae/1300-1541/vol4/pp13-16&gt; [accessed 18 July 2019].","plainCitation":"‘Bishops of Ely’, in Fasti Ecclesiae Anglicanae 1300-1541, ed. by B Jones (London: Institute of Historical Research, 1963), iv,  Fasti 4, Monastic Cathedrals (Southern Province) &lt;https://www.british-history.ac.uk/fasti-ecclesiae/1300-1541/vol4/pp13-16&gt; [accessed 18 July 2019].","noteIndex":7},"citationItems":[{"id":717,"uris":["http://zotero.org/users/685164/items/R2CEVWGA"],"uri":["http://zotero.org/users/685164/items/R2CEVWGA"],"itemData":{"id":717,"type":"chapter","title":"Bishops of Ely","container-title":"Fasti Ecclesiae Anglicanae 1300-1541","publisher":"Institute of Historical Research","publisher-place":"London","volume":"4,  Fasti 4, Monastic Cathedrals (Southern Province)","archive":"British History Online","event-place":"London","URL":"https://www.british-history.ac.uk/fasti-ecclesiae/1300-1541/vol4/pp13-16","editor":[{"literal":"B Jones"}],"issued":{"date-parts":[["1963"]]},"accessed":{"date-parts":[["2019",7,18]]}}}],"schema":"https://github.com/citation-style-language/schema/raw/master/csl-citation.json"} </w:instrText>
      </w:r>
      <w:r>
        <w:fldChar w:fldCharType="separate"/>
      </w:r>
      <w:r w:rsidRPr="00DE2F8F">
        <w:rPr>
          <w:rFonts w:ascii="Calibri" w:hAnsi="Calibri" w:cs="Calibri"/>
          <w:szCs w:val="24"/>
        </w:rPr>
        <w:t xml:space="preserve">‘Bishops of Ely’, in </w:t>
      </w:r>
      <w:r w:rsidRPr="00DE2F8F">
        <w:rPr>
          <w:rFonts w:ascii="Calibri" w:hAnsi="Calibri" w:cs="Calibri"/>
          <w:i/>
          <w:iCs/>
          <w:szCs w:val="24"/>
        </w:rPr>
        <w:t>Fasti Ecclesiae Anglicanae 1300-1541</w:t>
      </w:r>
      <w:r w:rsidRPr="00DE2F8F">
        <w:rPr>
          <w:rFonts w:ascii="Calibri" w:hAnsi="Calibri" w:cs="Calibri"/>
          <w:szCs w:val="24"/>
        </w:rPr>
        <w:t xml:space="preserve">, ed. by B Jones (London: Institute of Historical Research, 1963), </w:t>
      </w:r>
      <w:r w:rsidRPr="00DE2F8F">
        <w:rPr>
          <w:rFonts w:ascii="Calibri" w:hAnsi="Calibri" w:cs="Calibri"/>
          <w:smallCaps/>
          <w:szCs w:val="24"/>
        </w:rPr>
        <w:t>iv,  Fasti 4, Monastic Cathedrals (Southern Province)</w:t>
      </w:r>
      <w:r w:rsidRPr="00DE2F8F">
        <w:rPr>
          <w:rFonts w:ascii="Calibri" w:hAnsi="Calibri" w:cs="Calibri"/>
          <w:szCs w:val="24"/>
        </w:rPr>
        <w:t xml:space="preserve"> &lt;https://www.british-history.ac.uk/fasti-ecclesiae/1300-1541/vol4/pp13-16&gt; [accessed 18 July 2019].</w:t>
      </w:r>
      <w:r>
        <w:fldChar w:fldCharType="end"/>
      </w:r>
    </w:p>
  </w:footnote>
  <w:footnote w:id="8">
    <w:p w:rsidR="00DE2F8F" w:rsidRDefault="00DE2F8F">
      <w:pPr>
        <w:pStyle w:val="FootnoteText"/>
      </w:pPr>
      <w:r>
        <w:rPr>
          <w:rStyle w:val="FootnoteReference"/>
        </w:rPr>
        <w:footnoteRef/>
      </w:r>
      <w:r>
        <w:t xml:space="preserve"> </w:t>
      </w:r>
      <w:r>
        <w:fldChar w:fldCharType="begin"/>
      </w:r>
      <w:r>
        <w:instrText xml:space="preserve"> ADDIN ZOTERO_ITEM CSL_CITATION {"citationID":"qT84OfON","properties":{"formattedCitation":"J. R. S. Phillips, {\\i{}Edward II [Edward of Caernarfon] (1284\\uc0\\u8211{}1327), King of England and Lord of Ireland, and Duke of Aquitaine} (Oxford University Press, 2004), {\\scaps i} &lt;https://doi.org/10.1093/ref:odnb/8518&gt;.","plainCitation":"J. R. S. Phillips, Edward II [Edward of Caernarfon] (1284–1327), King of England and Lord of Ireland, and Duke of Aquitaine (Oxford University Press, 2004), i &lt;https://doi.org/10.1093/ref:odnb/8518&gt;.","noteIndex":8},"citationItems":[{"id":720,"uris":["http://zotero.org/users/685164/items/RPK2QMLJ"],"uri":["http://zotero.org/users/685164/items/RPK2QMLJ"],"itemData":{"id":720,"type":"book","title":"Edward II [Edward of Caernarfon] (1284–1327), king of England and lord of Ireland, and duke of Aquitaine","publisher":"Oxford University Press","volume":"1","source":"Crossref","URL":"http://www.oxforddnb.com/view/10.1093/ref:odnb/9780198614128.001.0001/odnb-9780198614128-e-8518","note":"DOI: 10.1093/ref:odnb/8518","language":"en","author":[{"family":"Phillips","given":"J. R. S."}],"issued":{"date-parts":[["2004",9,23]]},"accessed":{"date-parts":[["2019",7,18]]}}}],"schema":"https://github.com/citation-style-language/schema/raw/master/csl-citation.json"} </w:instrText>
      </w:r>
      <w:r>
        <w:fldChar w:fldCharType="separate"/>
      </w:r>
      <w:r w:rsidRPr="00DE2F8F">
        <w:rPr>
          <w:rFonts w:ascii="Calibri" w:hAnsi="Calibri" w:cs="Calibri"/>
          <w:szCs w:val="24"/>
        </w:rPr>
        <w:t xml:space="preserve">J. R. S. Phillips, </w:t>
      </w:r>
      <w:r w:rsidRPr="00DE2F8F">
        <w:rPr>
          <w:rFonts w:ascii="Calibri" w:hAnsi="Calibri" w:cs="Calibri"/>
          <w:i/>
          <w:iCs/>
          <w:szCs w:val="24"/>
        </w:rPr>
        <w:t>Edward II [Edward of Caernarfon] (1284–1327), King of England and Lord of Ireland, and Duke of Aquitaine</w:t>
      </w:r>
      <w:r w:rsidRPr="00DE2F8F">
        <w:rPr>
          <w:rFonts w:ascii="Calibri" w:hAnsi="Calibri" w:cs="Calibri"/>
          <w:szCs w:val="24"/>
        </w:rPr>
        <w:t xml:space="preserve"> (Oxford University Press, 2004), </w:t>
      </w:r>
      <w:r w:rsidRPr="00DE2F8F">
        <w:rPr>
          <w:rFonts w:ascii="Calibri" w:hAnsi="Calibri" w:cs="Calibri"/>
          <w:smallCaps/>
          <w:szCs w:val="24"/>
        </w:rPr>
        <w:t>i</w:t>
      </w:r>
      <w:r w:rsidRPr="00DE2F8F">
        <w:rPr>
          <w:rFonts w:ascii="Calibri" w:hAnsi="Calibri" w:cs="Calibri"/>
          <w:szCs w:val="24"/>
        </w:rPr>
        <w:t xml:space="preserve"> &lt;https://doi.org/10.1093/ref:odnb/8518&gt;.</w:t>
      </w:r>
      <w:r>
        <w:fldChar w:fldCharType="end"/>
      </w:r>
    </w:p>
  </w:footnote>
  <w:footnote w:id="9">
    <w:p w:rsidR="00994169" w:rsidRDefault="00994169">
      <w:pPr>
        <w:pStyle w:val="FootnoteText"/>
      </w:pPr>
      <w:r>
        <w:rPr>
          <w:rStyle w:val="FootnoteReference"/>
        </w:rPr>
        <w:footnoteRef/>
      </w:r>
      <w:r>
        <w:t xml:space="preserve"> </w:t>
      </w:r>
      <w:r>
        <w:fldChar w:fldCharType="begin"/>
      </w:r>
      <w:r>
        <w:instrText xml:space="preserve"> ADDIN ZOTERO_ITEM CSL_CITATION {"citationID":"2OXLM7vH","properties":{"formattedCitation":"\\uc0\\u8216{}Calculate the Date of Easter &amp; Other Moveable Holidays\\uc0\\u8217{} &lt;http://people.albion.edu/imacinnes/calendar/Ecclesiastical_dates.html&gt; [accessed 18 July 2019].","plainCitation":"‘Calculate the Date of Easter &amp; Other Moveable Holidays’ &lt;http://people.albion.edu/imacinnes/calendar/Ecclesiastical_dates.html&gt; [accessed 18 July 2019].","noteIndex":9},"citationItems":[{"id":721,"uris":["http://zotero.org/users/685164/items/ZF86LSF7"],"uri":["http://zotero.org/users/685164/items/ZF86LSF7"],"itemData":{"id":721,"type":"webpage","title":"Calculate the date of Easter &amp; other moveable holidays","URL":"http://people.albion.edu/imacinnes/calendar/Ecclesiastical_dates.html","accessed":{"date-parts":[["2019",7,18]]}}}],"schema":"https://github.com/citation-style-language/schema/raw/master/csl-citation.json"} </w:instrText>
      </w:r>
      <w:r>
        <w:fldChar w:fldCharType="separate"/>
      </w:r>
      <w:r w:rsidRPr="00994169">
        <w:rPr>
          <w:rFonts w:ascii="Calibri" w:hAnsi="Calibri" w:cs="Calibri"/>
          <w:szCs w:val="24"/>
        </w:rPr>
        <w:t>‘Calculate the Date of Easter &amp; Other Moveable Holidays’ &lt;http://people.albion.edu/imacinnes/calendar/Ecclesiastical_dates.html&gt; [accessed 18 July 2019].</w:t>
      </w:r>
      <w:r>
        <w:fldChar w:fldCharType="end"/>
      </w:r>
    </w:p>
  </w:footnote>
  <w:footnote w:id="10">
    <w:p w:rsidR="00DF6EB9" w:rsidRDefault="00DF6EB9">
      <w:pPr>
        <w:pStyle w:val="FootnoteText"/>
      </w:pPr>
      <w:r>
        <w:rPr>
          <w:rStyle w:val="FootnoteReference"/>
        </w:rPr>
        <w:footnoteRef/>
      </w:r>
      <w:r>
        <w:t xml:space="preserve"> </w:t>
      </w:r>
      <w:r>
        <w:fldChar w:fldCharType="begin"/>
      </w:r>
      <w:r>
        <w:instrText xml:space="preserve"> ADDIN ZOTERO_ITEM CSL_CITATION {"citationID":"itYorJTY","properties":{"formattedCitation":"Edmund King, {\\i{}Ranulf (I) [Ranulf Le Meschin], Third Earl of Chester (d. 1129), Magnate} (Oxford University Press, 2004), {\\scaps i} &lt;https://doi.org/10.1093/ref:odnb/23127&gt;; Graeme White, \\uc0\\u8216{}Ranulf (II) [Ranulf de Gernon], Fourth Earl of Chester\\uc0\\u8217{}, in {\\i{}The Oxford Dictionary of National Biography}, ed. by H. C. G. Matthew and B. Harrison (Oxford: Oxford University Press, 2004) &lt;https://doi.org/10.1093/ref:odnb/23128&gt;; Richard Eales, \\uc0\\u8216{}Ranulf (III) [Ranulf de Blundeville], Sixth Earl of Chester and First Earl of Lincoln\\uc0\\u8217{}, in {\\i{}The Oxford Dictionary of National Biography}, ed. by H. C. G. Matthew and B. Harrison (Oxford: Oxford University Press, 2004) &lt;https://doi.org/10.1093/ref:odnb/2716&gt;.","plainCitation":"Edmund King, Ranulf (I) [Ranulf Le Meschin], Third Earl of Chester (d. 1129), Magnate (Oxford University Press, 2004), i &lt;https://doi.org/10.1093/ref:odnb/23127&gt;; Graeme White, ‘Ranulf (II) [Ranulf de Gernon], Fourth Earl of Chester’, in The Oxford Dictionary of National Biography, ed. by H. C. G. Matthew and B. Harrison (Oxford: Oxford University Press, 2004) &lt;https://doi.org/10.1093/ref:odnb/23128&gt;; Richard Eales, ‘Ranulf (III) [Ranulf de Blundeville], Sixth Earl of Chester and First Earl of Lincoln’, in The Oxford Dictionary of National Biography, ed. by H. C. G. Matthew and B. Harrison (Oxford: Oxford University Press, 2004) &lt;https://doi.org/10.1093/ref:odnb/2716&gt;.","noteIndex":10},"citationItems":[{"id":723,"uris":["http://zotero.org/users/685164/items/NCRQ8SZU"],"uri":["http://zotero.org/users/685164/items/NCRQ8SZU"],"itemData":{"id":723,"type":"book","title":"Ranulf (I) [Ranulf le Meschin], third earl of Chester (d. 1129), magnate","publisher":"Oxford University Press","volume":"1","source":"Crossref","URL":"http://www.oxforddnb.com/view/10.1093/ref:odnb/9780198614128.001.0001/odnb-9780198614128-e-23127","note":"DOI: 10.1093/ref:odnb/23127","language":"en","author":[{"family":"King","given":"Edmund"}],"issued":{"date-parts":[["2004",9,23]]},"accessed":{"date-parts":[["2019",7,18]]}}},{"id":726,"uris":["http://zotero.org/users/685164/items/KD8W7QXZ"],"uri":["http://zotero.org/users/685164/items/KD8W7QXZ"],"itemData":{"id":726,"type":"chapter","title":"Ranulf (II) [Ranulf de Gernon], fourth earl of Chester","container-title":"The Oxford Dictionary of National Biography","publisher":"Oxford University Press","publisher-place":"Oxford","source":"Crossref","event-place":"Oxford","URL":"http://www.oxforddnb.com/view/article/23128","note":"DOI: 10.1093/ref:odnb/23128","editor":[{"family":"Matthew","given":"H. C. G."},{"family":"Harrison","given":"B."}],"author":[{"family":"White","given":"Graeme"}],"issued":{"date-parts":[["2004",9,23]]},"accessed":{"date-parts":[["2019",7,18]]}}},{"id":727,"uris":["http://zotero.org/users/685164/items/KACVU3K7"],"uri":["http://zotero.org/users/685164/items/KACVU3K7"],"itemData":{"id":727,"type":"chapter","title":"Ranulf (III) [Ranulf de Blundeville], sixth earl of Chester and first earl of Lincoln","container-title":"The Oxford Dictionary of National Biography","publisher":"Oxford University Press","publisher-place":"Oxford","source":"Crossref","event-place":"Oxford","URL":"http://www.oxforddnb.com/view/article/2716","note":"DOI: 10.1093/ref:odnb/2716","editor":[{"family":"Matthew","given":"H. C. G."},{"family":"Harrison","given":"B."}],"author":[{"family":"Eales","given":"Richard"}],"issued":{"date-parts":[["2004",9,23]]},"accessed":{"date-parts":[["2019",7,18]]}}}],"schema":"https://github.com/citation-style-language/schema/raw/master/csl-citation.json"} </w:instrText>
      </w:r>
      <w:r>
        <w:fldChar w:fldCharType="separate"/>
      </w:r>
      <w:r w:rsidRPr="00DF6EB9">
        <w:rPr>
          <w:rFonts w:ascii="Calibri" w:hAnsi="Calibri" w:cs="Calibri"/>
          <w:szCs w:val="24"/>
        </w:rPr>
        <w:t xml:space="preserve">Edmund King, </w:t>
      </w:r>
      <w:r w:rsidRPr="00DF6EB9">
        <w:rPr>
          <w:rFonts w:ascii="Calibri" w:hAnsi="Calibri" w:cs="Calibri"/>
          <w:i/>
          <w:iCs/>
          <w:szCs w:val="24"/>
        </w:rPr>
        <w:t>Ranulf (I) [Ranulf Le Meschin], Third Earl of Chester (d. 1129), Magnate</w:t>
      </w:r>
      <w:r w:rsidRPr="00DF6EB9">
        <w:rPr>
          <w:rFonts w:ascii="Calibri" w:hAnsi="Calibri" w:cs="Calibri"/>
          <w:szCs w:val="24"/>
        </w:rPr>
        <w:t xml:space="preserve"> (Oxford University Press, 2004), </w:t>
      </w:r>
      <w:r w:rsidRPr="00DF6EB9">
        <w:rPr>
          <w:rFonts w:ascii="Calibri" w:hAnsi="Calibri" w:cs="Calibri"/>
          <w:smallCaps/>
          <w:szCs w:val="24"/>
        </w:rPr>
        <w:t>i</w:t>
      </w:r>
      <w:r w:rsidRPr="00DF6EB9">
        <w:rPr>
          <w:rFonts w:ascii="Calibri" w:hAnsi="Calibri" w:cs="Calibri"/>
          <w:szCs w:val="24"/>
        </w:rPr>
        <w:t xml:space="preserve"> &lt;https://doi.org/10.1093/ref:odnb/23127&gt;; Graeme White, ‘Ranulf (II) [Ranulf de Gernon], Fourth Earl of Chester’, in </w:t>
      </w:r>
      <w:r w:rsidRPr="00DF6EB9">
        <w:rPr>
          <w:rFonts w:ascii="Calibri" w:hAnsi="Calibri" w:cs="Calibri"/>
          <w:i/>
          <w:iCs/>
          <w:szCs w:val="24"/>
        </w:rPr>
        <w:t>The Oxford Dictionary of National Biography</w:t>
      </w:r>
      <w:r w:rsidRPr="00DF6EB9">
        <w:rPr>
          <w:rFonts w:ascii="Calibri" w:hAnsi="Calibri" w:cs="Calibri"/>
          <w:szCs w:val="24"/>
        </w:rPr>
        <w:t xml:space="preserve">, ed. by H. C. G. Matthew and B. Harrison (Oxford: Oxford University Press, 2004) &lt;https://doi.org/10.1093/ref:odnb/23128&gt;; Richard Eales, ‘Ranulf (III) [Ranulf de Blundeville], Sixth Earl of Chester and First Earl of Lincoln’, in </w:t>
      </w:r>
      <w:r w:rsidRPr="00DF6EB9">
        <w:rPr>
          <w:rFonts w:ascii="Calibri" w:hAnsi="Calibri" w:cs="Calibri"/>
          <w:i/>
          <w:iCs/>
          <w:szCs w:val="24"/>
        </w:rPr>
        <w:t>The Oxford Dictionary of National Biography</w:t>
      </w:r>
      <w:r w:rsidRPr="00DF6EB9">
        <w:rPr>
          <w:rFonts w:ascii="Calibri" w:hAnsi="Calibri" w:cs="Calibri"/>
          <w:szCs w:val="24"/>
        </w:rPr>
        <w:t>, ed. by H. C. G. Matthew and B. Harrison (Oxford: Oxford University Press, 2004) &lt;https://doi.org/10.1093/ref:odnb/2716&gt;.</w:t>
      </w:r>
      <w:r>
        <w:fldChar w:fldCharType="end"/>
      </w:r>
    </w:p>
  </w:footnote>
  <w:footnote w:id="11">
    <w:p w:rsidR="00717FDC" w:rsidRDefault="00717FDC">
      <w:pPr>
        <w:pStyle w:val="FootnoteText"/>
      </w:pPr>
      <w:r>
        <w:rPr>
          <w:rStyle w:val="FootnoteReference"/>
        </w:rPr>
        <w:footnoteRef/>
      </w:r>
      <w:r>
        <w:t xml:space="preserve"> </w:t>
      </w:r>
      <w:r>
        <w:fldChar w:fldCharType="begin"/>
      </w:r>
      <w:r>
        <w:instrText xml:space="preserve"> ADDIN ZOTERO_ITEM CSL_CITATION {"citationID":"QTve2aVM","properties":{"formattedCitation":"Judith A. Green, {\\i{}Ridel, Geoffrey (d. 1120), Justice} (Oxford University Press, 2004), {\\scaps i} &lt;https://doi.org/10.1093/ref:odnb/23617&gt;; A. J. Duggan, \\uc0\\u8216{}Ridel, Geoffrey\\uc0\\u8217{}, in {\\i{}The Oxford Dictionary of National Biography}, ed. by H. C. G. Matthew and B. Harrison (Oxford: Oxford University Press, 2004) &lt;https://doi.org/10.1093/ref:odnb/23618&gt;.","plainCitation":"Judith A. Green, Ridel, Geoffrey (d. 1120), Justice (Oxford University Press, 2004), i &lt;https://doi.org/10.1093/ref:odnb/23617&gt;; A. J. Duggan, ‘Ridel, Geoffrey’, in The Oxford Dictionary of National Biography, ed. by H. C. G. Matthew and B. Harrison (Oxford: Oxford University Press, 2004) &lt;https://doi.org/10.1093/ref:odnb/23618&gt;.","noteIndex":11},"citationItems":[{"id":728,"uris":["http://zotero.org/users/685164/items/JA56C483"],"uri":["http://zotero.org/users/685164/items/JA56C483"],"itemData":{"id":728,"type":"book","title":"Ridel, Geoffrey (d. 1120), justice","publisher":"Oxford University Press","volume":"1","source":"Crossref","URL":"http://www.oxforddnb.com/view/10.1093/ref:odnb/9780198614128.001.0001/odnb-9780198614128-e-23617","note":"DOI: 10.1093/ref:odnb/23617","language":"en","author":[{"family":"Green","given":"Judith A."}],"issued":{"date-parts":[["2004",9,23]]},"accessed":{"date-parts":[["2019",7,18]]}}},{"id":729,"uris":["http://zotero.org/users/685164/items/JE2CHRFD"],"uri":["http://zotero.org/users/685164/items/JE2CHRFD"],"itemData":{"id":729,"type":"chapter","title":"Ridel, Geoffrey","container-title":"The Oxford Dictionary of National Biography","publisher":"Oxford University Press","publisher-place":"Oxford","source":"Crossref","event-place":"Oxford","URL":"http://www.oxforddnb.com/view/article/23618","note":"DOI: 10.1093/ref:odnb/23618","editor":[{"family":"Matthew","given":"H. C. G."},{"family":"Harrison","given":"B."}],"author":[{"family":"Duggan","given":"A. J."}],"issued":{"date-parts":[["2004",9,23]]},"accessed":{"date-parts":[["2019",7,18]]}}}],"schema":"https://github.com/citation-style-language/schema/raw/master/csl-citation.json"} </w:instrText>
      </w:r>
      <w:r>
        <w:fldChar w:fldCharType="separate"/>
      </w:r>
      <w:r w:rsidRPr="00717FDC">
        <w:rPr>
          <w:rFonts w:ascii="Calibri" w:hAnsi="Calibri" w:cs="Calibri"/>
          <w:szCs w:val="24"/>
        </w:rPr>
        <w:t xml:space="preserve">Judith A. Green, </w:t>
      </w:r>
      <w:r w:rsidRPr="00717FDC">
        <w:rPr>
          <w:rFonts w:ascii="Calibri" w:hAnsi="Calibri" w:cs="Calibri"/>
          <w:i/>
          <w:iCs/>
          <w:szCs w:val="24"/>
        </w:rPr>
        <w:t>Ridel, Geoffrey (d. 1120), Justice</w:t>
      </w:r>
      <w:r w:rsidRPr="00717FDC">
        <w:rPr>
          <w:rFonts w:ascii="Calibri" w:hAnsi="Calibri" w:cs="Calibri"/>
          <w:szCs w:val="24"/>
        </w:rPr>
        <w:t xml:space="preserve"> (Oxford University Press, 2004), </w:t>
      </w:r>
      <w:r w:rsidRPr="00717FDC">
        <w:rPr>
          <w:rFonts w:ascii="Calibri" w:hAnsi="Calibri" w:cs="Calibri"/>
          <w:smallCaps/>
          <w:szCs w:val="24"/>
        </w:rPr>
        <w:t>i</w:t>
      </w:r>
      <w:r w:rsidRPr="00717FDC">
        <w:rPr>
          <w:rFonts w:ascii="Calibri" w:hAnsi="Calibri" w:cs="Calibri"/>
          <w:szCs w:val="24"/>
        </w:rPr>
        <w:t xml:space="preserve"> &lt;https://doi.org/10.1093/ref:odnb/23617&gt;; A. J. Duggan, ‘Ridel, Geoffrey’, in </w:t>
      </w:r>
      <w:r w:rsidRPr="00717FDC">
        <w:rPr>
          <w:rFonts w:ascii="Calibri" w:hAnsi="Calibri" w:cs="Calibri"/>
          <w:i/>
          <w:iCs/>
          <w:szCs w:val="24"/>
        </w:rPr>
        <w:t>The Oxford Dictionary of National Biography</w:t>
      </w:r>
      <w:r w:rsidRPr="00717FDC">
        <w:rPr>
          <w:rFonts w:ascii="Calibri" w:hAnsi="Calibri" w:cs="Calibri"/>
          <w:szCs w:val="24"/>
        </w:rPr>
        <w:t>, ed. by H. C. G. Matthew and B. Harrison (Oxford: Oxford University Press, 2004) &lt;https://doi.org/10.1093/ref:odnb/23618&gt;.</w:t>
      </w:r>
      <w:r>
        <w:fldChar w:fldCharType="end"/>
      </w:r>
    </w:p>
  </w:footnote>
  <w:footnote w:id="12">
    <w:p w:rsidR="008132E4" w:rsidRDefault="008132E4">
      <w:pPr>
        <w:pStyle w:val="FootnoteText"/>
      </w:pPr>
      <w:r>
        <w:rPr>
          <w:rStyle w:val="FootnoteReference"/>
        </w:rPr>
        <w:footnoteRef/>
      </w:r>
      <w:r>
        <w:t xml:space="preserve"> </w:t>
      </w:r>
      <w:r>
        <w:fldChar w:fldCharType="begin"/>
      </w:r>
      <w:r>
        <w:instrText xml:space="preserve"> ADDIN ZOTERO_ITEM CSL_CITATION {"citationID":"DQV4wv05","properties":{"formattedCitation":"Judith Green A., \\uc0\\u8216{}Basset, Richard\\uc0\\u8217{}, in {\\i{}The Oxford Dictionary of National Biography}, ed. by H. C. G. Matthew and B. Harrison (Oxford: Oxford University Press, 2004) &lt;https://doi.org/10.1093/ref:odnb/1647&gt;.","plainCitation":"Judith Green A., ‘Basset, Richard’, in The Oxford Dictionary of National Biography, ed. by H. C. G. Matthew and B. Harrison (Oxford: Oxford University Press, 2004) &lt;https://doi.org/10.1093/ref:odnb/1647&gt;.","noteIndex":12},"citationItems":[{"id":730,"uris":["http://zotero.org/users/685164/items/23ZGR6UP"],"uri":["http://zotero.org/users/685164/items/23ZGR6UP"],"itemData":{"id":730,"type":"chapter","title":"Basset, Richard","container-title":"The Oxford Dictionary of National Biography","publisher":"Oxford University Press","publisher-place":"Oxford","source":"Crossref","event-place":"Oxford","URL":"http://www.oxforddnb.com/view/article/1647","note":"DOI: 10.1093/ref:odnb/1647","editor":[{"family":"Matthew","given":"H. C. G."},{"family":"Harrison","given":"B."}],"author":[{"family":"Green","given":"Judith","suffix":"A."}],"issued":{"date-parts":[["2004",9,23]]},"accessed":{"date-parts":[["2019",7,18]]}}}],"schema":"https://github.com/citation-style-language/schema/raw/master/csl-citation.json"} </w:instrText>
      </w:r>
      <w:r>
        <w:fldChar w:fldCharType="separate"/>
      </w:r>
      <w:r w:rsidRPr="008132E4">
        <w:rPr>
          <w:rFonts w:ascii="Calibri" w:hAnsi="Calibri" w:cs="Calibri"/>
          <w:szCs w:val="24"/>
        </w:rPr>
        <w:t xml:space="preserve">Judith Green A., ‘Basset, Richard’, in </w:t>
      </w:r>
      <w:r w:rsidRPr="008132E4">
        <w:rPr>
          <w:rFonts w:ascii="Calibri" w:hAnsi="Calibri" w:cs="Calibri"/>
          <w:i/>
          <w:iCs/>
          <w:szCs w:val="24"/>
        </w:rPr>
        <w:t>The Oxford Dictionary of National Biography</w:t>
      </w:r>
      <w:r w:rsidRPr="008132E4">
        <w:rPr>
          <w:rFonts w:ascii="Calibri" w:hAnsi="Calibri" w:cs="Calibri"/>
          <w:szCs w:val="24"/>
        </w:rPr>
        <w:t>, ed. by H. C. G. Matthew and B. Harrison (Oxford: Oxford University Press, 2004) &lt;https://doi.org/10.1093/ref:odnb/1647&gt;.</w:t>
      </w:r>
      <w:r>
        <w:fldChar w:fldCharType="end"/>
      </w:r>
    </w:p>
  </w:footnote>
  <w:footnote w:id="13">
    <w:p w:rsidR="005E5E55" w:rsidRDefault="005E5E55">
      <w:pPr>
        <w:pStyle w:val="FootnoteText"/>
      </w:pPr>
      <w:r>
        <w:rPr>
          <w:rStyle w:val="FootnoteReference"/>
        </w:rPr>
        <w:footnoteRef/>
      </w:r>
      <w:r>
        <w:t xml:space="preserve"> </w:t>
      </w:r>
      <w:r>
        <w:fldChar w:fldCharType="begin"/>
      </w:r>
      <w:r>
        <w:instrText xml:space="preserve"> ADDIN ZOTERO_ITEM CSL_CITATION {"citationID":"bDdEs0wZ","properties":{"formattedCitation":"Green.","plainCitation":"Green.","noteIndex":13},"citationItems":[{"id":730,"uris":["http://zotero.org/users/685164/items/23ZGR6UP"],"uri":["http://zotero.org/users/685164/items/23ZGR6UP"],"itemData":{"id":730,"type":"chapter","title":"Basset, Richard","container-title":"The Oxford Dictionary of National Biography","publisher":"Oxford University Press","publisher-place":"Oxford","source":"Crossref","event-place":"Oxford","URL":"http://www.oxforddnb.com/view/article/1647","note":"DOI: 10.1093/ref:odnb/1647","editor":[{"family":"Matthew","given":"H. C. G."},{"family":"Harrison","given":"B."}],"author":[{"family":"Green","given":"Judith","suffix":"A."}],"issued":{"date-parts":[["2004",9,23]]},"accessed":{"date-parts":[["2019",7,18]]}}}],"schema":"https://github.com/citation-style-language/schema/raw/master/csl-citation.json"} </w:instrText>
      </w:r>
      <w:r>
        <w:fldChar w:fldCharType="separate"/>
      </w:r>
      <w:r w:rsidRPr="005E5E55">
        <w:rPr>
          <w:rFonts w:ascii="Calibri" w:hAnsi="Calibri" w:cs="Calibri"/>
        </w:rPr>
        <w:t>Green.</w:t>
      </w:r>
      <w:r>
        <w:fldChar w:fldCharType="end"/>
      </w:r>
    </w:p>
  </w:footnote>
  <w:footnote w:id="14">
    <w:p w:rsidR="00A54AAE" w:rsidRDefault="00A54AAE">
      <w:pPr>
        <w:pStyle w:val="FootnoteText"/>
      </w:pPr>
      <w:r>
        <w:rPr>
          <w:rStyle w:val="FootnoteReference"/>
        </w:rPr>
        <w:footnoteRef/>
      </w:r>
      <w:r>
        <w:t xml:space="preserve"> </w:t>
      </w:r>
      <w:r>
        <w:fldChar w:fldCharType="begin"/>
      </w:r>
      <w:r>
        <w:instrText xml:space="preserve"> ADDIN ZOTERO_ITEM CSL_CITATION {"citationID":"36P8rjBc","properties":{"formattedCitation":"Green, {\\scaps i}.","plainCitation":"Green, i.","noteIndex":14},"citationItems":[{"id":728,"uris":["http://zotero.org/users/685164/items/JA56C483"],"uri":["http://zotero.org/users/685164/items/JA56C483"],"itemData":{"id":728,"type":"book","title":"Ridel, Geoffrey (d. 1120), justice","publisher":"Oxford University Press","volume":"1","source":"Crossref","URL":"http://www.oxforddnb.com/view/10.1093/ref:odnb/9780198614128.001.0001/odnb-9780198614128-e-23617","note":"DOI: 10.1093/ref:odnb/23617","language":"en","author":[{"family":"Green","given":"Judith A."}],"issued":{"date-parts":[["2004",9,23]]},"accessed":{"date-parts":[["2019",7,18]]}}}],"schema":"https://github.com/citation-style-language/schema/raw/master/csl-citation.json"} </w:instrText>
      </w:r>
      <w:r>
        <w:fldChar w:fldCharType="separate"/>
      </w:r>
      <w:r w:rsidRPr="00A54AAE">
        <w:rPr>
          <w:rFonts w:ascii="Calibri" w:hAnsi="Calibri" w:cs="Calibri"/>
          <w:szCs w:val="24"/>
        </w:rPr>
        <w:t xml:space="preserve">Green, </w:t>
      </w:r>
      <w:r w:rsidRPr="00A54AAE">
        <w:rPr>
          <w:rFonts w:ascii="Calibri" w:hAnsi="Calibri" w:cs="Calibri"/>
          <w:smallCaps/>
          <w:szCs w:val="24"/>
        </w:rPr>
        <w:t>i</w:t>
      </w:r>
      <w:r w:rsidRPr="00A54AAE">
        <w:rPr>
          <w:rFonts w:ascii="Calibri" w:hAnsi="Calibri" w:cs="Calibri"/>
          <w:szCs w:val="24"/>
        </w:rPr>
        <w:t>.</w:t>
      </w:r>
      <w:r>
        <w:fldChar w:fldCharType="end"/>
      </w:r>
    </w:p>
  </w:footnote>
  <w:footnote w:id="15">
    <w:p w:rsidR="00774A87" w:rsidRDefault="00774A87">
      <w:pPr>
        <w:pStyle w:val="FootnoteText"/>
      </w:pPr>
      <w:r>
        <w:rPr>
          <w:rStyle w:val="FootnoteReference"/>
        </w:rPr>
        <w:footnoteRef/>
      </w:r>
      <w:r>
        <w:t xml:space="preserve"> </w:t>
      </w:r>
      <w:r>
        <w:fldChar w:fldCharType="begin"/>
      </w:r>
      <w:r>
        <w:instrText xml:space="preserve"> ADDIN ZOTERO_ITEM CSL_CITATION {"citationID":"txKeGVul","properties":{"formattedCitation":"\\uc0\\u8216{}Henry I (1068/9\\uc0\\u8211{}1135), King of England and Lord of Normandy | Oxford Dictionary of National Biography\\uc0\\u8217{} &lt;https://doi.org/10.1093/ref:odnb/12948&gt;.","plainCitation":"‘Henry I (1068/9–1135), King of England and Lord of Normandy | Oxford Dictionary of National Biography’ &lt;https://doi.org/10.1093/ref:odnb/12948&gt;.","noteIndex":15},"citationItems":[{"id":731,"uris":["http://zotero.org/users/685164/items/RGDH5UVT"],"uri":["http://zotero.org/users/685164/items/RGDH5UVT"],"itemData":{"id":731,"type":"webpage","title":"Henry I (1068/9–1135), king of England and lord of Normandy | Oxford Dictionary of National Biography","URL":"https://www.oxforddnb.com/view/10.1093/ref:odnb/9780198614128.001.0001/odnb-9780198614128-e-12948","note":"DOI: 10.1093/ref:odnb/12948","language":"en","accessed":{"date-parts":[["2019",7,18]]}}}],"schema":"https://github.com/citation-style-language/schema/raw/master/csl-citation.json"} </w:instrText>
      </w:r>
      <w:r>
        <w:fldChar w:fldCharType="separate"/>
      </w:r>
      <w:r w:rsidRPr="00774A87">
        <w:rPr>
          <w:rFonts w:ascii="Calibri" w:hAnsi="Calibri" w:cs="Calibri"/>
          <w:szCs w:val="24"/>
        </w:rPr>
        <w:t>‘Henry I (1068/9–1135), King of England and Lord of Normandy | Oxford Dictionary of National Biography’ &lt;https://doi.org/10.1093/ref:odnb/12948&gt;.</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27242"/>
    <w:multiLevelType w:val="hybridMultilevel"/>
    <w:tmpl w:val="47F01A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15754A"/>
    <w:multiLevelType w:val="hybridMultilevel"/>
    <w:tmpl w:val="E758C300"/>
    <w:lvl w:ilvl="0" w:tplc="C36ECE0A">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6AB1"/>
    <w:rsid w:val="000A617D"/>
    <w:rsid w:val="000E0AEA"/>
    <w:rsid w:val="001A0C48"/>
    <w:rsid w:val="00236AB1"/>
    <w:rsid w:val="002906D2"/>
    <w:rsid w:val="0029454C"/>
    <w:rsid w:val="003400C0"/>
    <w:rsid w:val="0045598E"/>
    <w:rsid w:val="00497C75"/>
    <w:rsid w:val="00597B06"/>
    <w:rsid w:val="005E5E55"/>
    <w:rsid w:val="00626185"/>
    <w:rsid w:val="00652425"/>
    <w:rsid w:val="00665147"/>
    <w:rsid w:val="00705390"/>
    <w:rsid w:val="00717FDC"/>
    <w:rsid w:val="00774A87"/>
    <w:rsid w:val="008132E4"/>
    <w:rsid w:val="008150F6"/>
    <w:rsid w:val="00951725"/>
    <w:rsid w:val="0096408D"/>
    <w:rsid w:val="00971B74"/>
    <w:rsid w:val="00994169"/>
    <w:rsid w:val="009D440C"/>
    <w:rsid w:val="00A516E9"/>
    <w:rsid w:val="00A54AAE"/>
    <w:rsid w:val="00A9390A"/>
    <w:rsid w:val="00AB3BD8"/>
    <w:rsid w:val="00AC42A2"/>
    <w:rsid w:val="00B116CE"/>
    <w:rsid w:val="00B41ABB"/>
    <w:rsid w:val="00B51048"/>
    <w:rsid w:val="00B83240"/>
    <w:rsid w:val="00C34DF4"/>
    <w:rsid w:val="00D0493B"/>
    <w:rsid w:val="00D76775"/>
    <w:rsid w:val="00D93A9F"/>
    <w:rsid w:val="00DA3348"/>
    <w:rsid w:val="00DE2F8F"/>
    <w:rsid w:val="00DF6EB9"/>
    <w:rsid w:val="00ED3A46"/>
    <w:rsid w:val="00F67000"/>
    <w:rsid w:val="00F85472"/>
    <w:rsid w:val="00FB0D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E06DB"/>
  <w15:chartTrackingRefBased/>
  <w15:docId w15:val="{CFB87F0F-52BB-4208-8170-406846BE21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6E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50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6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6AB1"/>
  </w:style>
  <w:style w:type="paragraph" w:styleId="Footer">
    <w:name w:val="footer"/>
    <w:basedOn w:val="Normal"/>
    <w:link w:val="FooterChar"/>
    <w:uiPriority w:val="99"/>
    <w:unhideWhenUsed/>
    <w:rsid w:val="00236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6AB1"/>
  </w:style>
  <w:style w:type="paragraph" w:styleId="FootnoteText">
    <w:name w:val="footnote text"/>
    <w:basedOn w:val="Normal"/>
    <w:link w:val="FootnoteTextChar"/>
    <w:uiPriority w:val="99"/>
    <w:semiHidden/>
    <w:unhideWhenUsed/>
    <w:rsid w:val="00AB3B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B3BD8"/>
    <w:rPr>
      <w:sz w:val="20"/>
      <w:szCs w:val="20"/>
    </w:rPr>
  </w:style>
  <w:style w:type="character" w:styleId="FootnoteReference">
    <w:name w:val="footnote reference"/>
    <w:basedOn w:val="DefaultParagraphFont"/>
    <w:uiPriority w:val="99"/>
    <w:semiHidden/>
    <w:unhideWhenUsed/>
    <w:rsid w:val="00AB3BD8"/>
    <w:rPr>
      <w:vertAlign w:val="superscript"/>
    </w:rPr>
  </w:style>
  <w:style w:type="character" w:styleId="EndnoteReference">
    <w:name w:val="endnote reference"/>
    <w:basedOn w:val="DefaultParagraphFont"/>
    <w:uiPriority w:val="99"/>
    <w:semiHidden/>
    <w:unhideWhenUsed/>
    <w:rsid w:val="00F85472"/>
    <w:rPr>
      <w:vertAlign w:val="superscript"/>
    </w:rPr>
  </w:style>
  <w:style w:type="character" w:customStyle="1" w:styleId="Date1">
    <w:name w:val="Date1"/>
    <w:basedOn w:val="DefaultParagraphFont"/>
    <w:rsid w:val="00DF6EB9"/>
  </w:style>
  <w:style w:type="character" w:styleId="Emphasis">
    <w:name w:val="Emphasis"/>
    <w:basedOn w:val="DefaultParagraphFont"/>
    <w:uiPriority w:val="20"/>
    <w:qFormat/>
    <w:rsid w:val="00717FDC"/>
    <w:rPr>
      <w:i/>
      <w:iCs/>
    </w:rPr>
  </w:style>
  <w:style w:type="paragraph" w:styleId="ListParagraph">
    <w:name w:val="List Paragraph"/>
    <w:basedOn w:val="Normal"/>
    <w:uiPriority w:val="34"/>
    <w:qFormat/>
    <w:rsid w:val="00717FDC"/>
    <w:pPr>
      <w:ind w:left="720"/>
      <w:contextualSpacing/>
    </w:pPr>
  </w:style>
  <w:style w:type="character" w:customStyle="1" w:styleId="name">
    <w:name w:val="name"/>
    <w:basedOn w:val="DefaultParagraphFont"/>
    <w:rsid w:val="00A54AAE"/>
  </w:style>
  <w:style w:type="character" w:customStyle="1" w:styleId="Heading1Char">
    <w:name w:val="Heading 1 Char"/>
    <w:basedOn w:val="DefaultParagraphFont"/>
    <w:link w:val="Heading1"/>
    <w:uiPriority w:val="9"/>
    <w:rsid w:val="00A516E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516E9"/>
    <w:pPr>
      <w:spacing w:after="240" w:line="240" w:lineRule="auto"/>
      <w:ind w:left="720" w:hanging="720"/>
    </w:pPr>
  </w:style>
  <w:style w:type="character" w:customStyle="1" w:styleId="Heading3Char">
    <w:name w:val="Heading 3 Char"/>
    <w:basedOn w:val="DefaultParagraphFont"/>
    <w:link w:val="Heading3"/>
    <w:uiPriority w:val="9"/>
    <w:semiHidden/>
    <w:rsid w:val="008150F6"/>
    <w:rPr>
      <w:rFonts w:asciiTheme="majorHAnsi" w:eastAsiaTheme="majorEastAsia" w:hAnsiTheme="majorHAnsi" w:cstheme="majorBidi"/>
      <w:color w:val="1F3763" w:themeColor="accent1" w:themeShade="7F"/>
      <w:sz w:val="24"/>
      <w:szCs w:val="24"/>
    </w:rPr>
  </w:style>
  <w:style w:type="paragraph" w:styleId="NormalWeb">
    <w:name w:val="Normal (Web)"/>
    <w:basedOn w:val="Normal"/>
    <w:semiHidden/>
    <w:unhideWhenUsed/>
    <w:rsid w:val="008150F6"/>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BalloonText">
    <w:name w:val="Balloon Text"/>
    <w:basedOn w:val="Normal"/>
    <w:link w:val="BalloonTextChar"/>
    <w:uiPriority w:val="99"/>
    <w:semiHidden/>
    <w:unhideWhenUsed/>
    <w:rsid w:val="008150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150F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86914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1374</Words>
  <Characters>7835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Gulliver Methuen-Campbell</dc:creator>
  <cp:keywords/>
  <dc:description/>
  <cp:lastModifiedBy>Gulliver Methuen-Campbell</cp:lastModifiedBy>
  <cp:revision>20</cp:revision>
  <dcterms:created xsi:type="dcterms:W3CDTF">2019-07-06T07:20:00Z</dcterms:created>
  <dcterms:modified xsi:type="dcterms:W3CDTF">2019-08-30T16:31:00Z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zotero-version="5.0.74"&gt;&lt;session id="uCxMaZM8"/&gt;&lt;style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