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0CCF7" w14:textId="77777777" w:rsidR="00590A6D" w:rsidRDefault="00590A6D" w:rsidP="00805497">
      <w:pPr>
        <w:jc w:val="center"/>
        <w:rPr>
          <w:sz w:val="22"/>
          <w:szCs w:val="22"/>
        </w:rPr>
      </w:pPr>
    </w:p>
    <w:p w14:paraId="2AB3E8CA" w14:textId="77777777" w:rsidR="00590A6D" w:rsidRDefault="00590A6D" w:rsidP="00805497">
      <w:pPr>
        <w:jc w:val="center"/>
        <w:rPr>
          <w:sz w:val="22"/>
          <w:szCs w:val="22"/>
        </w:rPr>
      </w:pPr>
    </w:p>
    <w:p w14:paraId="52F644AE" w14:textId="77777777" w:rsidR="00590A6D" w:rsidRDefault="00590A6D" w:rsidP="00805497">
      <w:pPr>
        <w:jc w:val="center"/>
        <w:rPr>
          <w:sz w:val="22"/>
          <w:szCs w:val="22"/>
        </w:rPr>
      </w:pPr>
    </w:p>
    <w:p w14:paraId="4CB5A2FF" w14:textId="77777777" w:rsidR="00590A6D" w:rsidRDefault="00590A6D" w:rsidP="00805497">
      <w:pPr>
        <w:jc w:val="center"/>
        <w:rPr>
          <w:sz w:val="22"/>
          <w:szCs w:val="22"/>
        </w:rPr>
      </w:pPr>
    </w:p>
    <w:p w14:paraId="6F3AFE08" w14:textId="77777777" w:rsidR="00590A6D" w:rsidRDefault="00590A6D" w:rsidP="00805497">
      <w:pPr>
        <w:jc w:val="center"/>
        <w:rPr>
          <w:sz w:val="22"/>
          <w:szCs w:val="22"/>
        </w:rPr>
      </w:pPr>
    </w:p>
    <w:p w14:paraId="45305A3D" w14:textId="77777777" w:rsidR="00590A6D" w:rsidRDefault="00094411" w:rsidP="00805497">
      <w:pPr>
        <w:jc w:val="center"/>
        <w:rPr>
          <w:sz w:val="22"/>
          <w:szCs w:val="22"/>
        </w:rPr>
      </w:pPr>
      <w:r>
        <w:rPr>
          <w:noProof/>
          <w:sz w:val="22"/>
          <w:szCs w:val="22"/>
        </w:rPr>
        <w:drawing>
          <wp:inline distT="114300" distB="114300" distL="114300" distR="114300" wp14:anchorId="6A581F25" wp14:editId="51AFC55A">
            <wp:extent cx="3878100" cy="147526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11765" b="12353"/>
                    <a:stretch>
                      <a:fillRect/>
                    </a:stretch>
                  </pic:blipFill>
                  <pic:spPr>
                    <a:xfrm>
                      <a:off x="0" y="0"/>
                      <a:ext cx="3878100" cy="1475268"/>
                    </a:xfrm>
                    <a:prstGeom prst="rect">
                      <a:avLst/>
                    </a:prstGeom>
                    <a:ln/>
                  </pic:spPr>
                </pic:pic>
              </a:graphicData>
            </a:graphic>
          </wp:inline>
        </w:drawing>
      </w:r>
    </w:p>
    <w:p w14:paraId="6B02AE33" w14:textId="77777777" w:rsidR="00590A6D" w:rsidRDefault="00590A6D" w:rsidP="00805497">
      <w:pPr>
        <w:jc w:val="center"/>
        <w:rPr>
          <w:sz w:val="22"/>
          <w:szCs w:val="22"/>
        </w:rPr>
      </w:pPr>
    </w:p>
    <w:p w14:paraId="60E1C4C6" w14:textId="77777777" w:rsidR="00590A6D" w:rsidRDefault="00094411" w:rsidP="00805497">
      <w:pPr>
        <w:jc w:val="center"/>
        <w:rPr>
          <w:b/>
          <w:bCs/>
          <w:sz w:val="28"/>
          <w:szCs w:val="28"/>
        </w:rPr>
      </w:pPr>
      <w:r>
        <w:rPr>
          <w:b/>
          <w:bCs/>
          <w:sz w:val="28"/>
          <w:szCs w:val="28"/>
        </w:rPr>
        <w:t>Programme: MSc Public Health and Social Care in Practice</w:t>
      </w:r>
    </w:p>
    <w:p w14:paraId="5046CFA6" w14:textId="77777777" w:rsidR="00590A6D" w:rsidRDefault="00094411" w:rsidP="00805497">
      <w:pPr>
        <w:jc w:val="center"/>
        <w:rPr>
          <w:b/>
          <w:bCs/>
          <w:sz w:val="28"/>
          <w:szCs w:val="28"/>
        </w:rPr>
      </w:pPr>
      <w:r>
        <w:rPr>
          <w:b/>
          <w:bCs/>
          <w:sz w:val="28"/>
          <w:szCs w:val="28"/>
        </w:rPr>
        <w:t>Module: Service Integration and Partnership Working</w:t>
      </w:r>
    </w:p>
    <w:p w14:paraId="4798E67A" w14:textId="77777777" w:rsidR="00590A6D" w:rsidRDefault="00094411" w:rsidP="00805497">
      <w:pPr>
        <w:jc w:val="center"/>
        <w:rPr>
          <w:b/>
          <w:bCs/>
          <w:sz w:val="28"/>
          <w:szCs w:val="28"/>
        </w:rPr>
      </w:pPr>
      <w:r>
        <w:rPr>
          <w:b/>
          <w:bCs/>
          <w:sz w:val="28"/>
          <w:szCs w:val="28"/>
        </w:rPr>
        <w:t>Module Code: LCHS7005</w:t>
      </w:r>
    </w:p>
    <w:p w14:paraId="4FCEA19F" w14:textId="77777777" w:rsidR="00590A6D" w:rsidRDefault="00094411" w:rsidP="00805497">
      <w:pPr>
        <w:jc w:val="center"/>
        <w:rPr>
          <w:b/>
          <w:bCs/>
          <w:sz w:val="28"/>
          <w:szCs w:val="28"/>
        </w:rPr>
      </w:pPr>
      <w:r>
        <w:rPr>
          <w:b/>
          <w:bCs/>
          <w:sz w:val="28"/>
          <w:szCs w:val="28"/>
        </w:rPr>
        <w:t xml:space="preserve">Lecturer: </w:t>
      </w:r>
      <w:proofErr w:type="spellStart"/>
      <w:r>
        <w:rPr>
          <w:b/>
          <w:bCs/>
          <w:sz w:val="28"/>
          <w:szCs w:val="28"/>
        </w:rPr>
        <w:t>Diola</w:t>
      </w:r>
      <w:proofErr w:type="spellEnd"/>
      <w:r>
        <w:rPr>
          <w:b/>
          <w:bCs/>
          <w:sz w:val="28"/>
          <w:szCs w:val="28"/>
        </w:rPr>
        <w:t xml:space="preserve"> </w:t>
      </w:r>
      <w:proofErr w:type="spellStart"/>
      <w:r>
        <w:rPr>
          <w:b/>
          <w:bCs/>
          <w:sz w:val="28"/>
          <w:szCs w:val="28"/>
        </w:rPr>
        <w:t>Bijlhout</w:t>
      </w:r>
      <w:proofErr w:type="spellEnd"/>
    </w:p>
    <w:p w14:paraId="451B3FA8" w14:textId="77777777" w:rsidR="00590A6D" w:rsidRDefault="00094411" w:rsidP="00805497">
      <w:pPr>
        <w:jc w:val="center"/>
        <w:rPr>
          <w:b/>
          <w:bCs/>
          <w:sz w:val="28"/>
          <w:szCs w:val="28"/>
        </w:rPr>
      </w:pPr>
      <w:r>
        <w:rPr>
          <w:b/>
          <w:bCs/>
          <w:sz w:val="28"/>
          <w:szCs w:val="28"/>
        </w:rPr>
        <w:t>Assignment Title: Component 2 Reflective Report</w:t>
      </w:r>
    </w:p>
    <w:p w14:paraId="4165E347" w14:textId="77777777" w:rsidR="00590A6D" w:rsidRDefault="00590A6D" w:rsidP="00805497">
      <w:pPr>
        <w:jc w:val="center"/>
        <w:rPr>
          <w:b/>
          <w:bCs/>
          <w:sz w:val="28"/>
          <w:szCs w:val="28"/>
        </w:rPr>
      </w:pPr>
    </w:p>
    <w:p w14:paraId="7CCCED10" w14:textId="77777777" w:rsidR="00590A6D" w:rsidRDefault="00590A6D" w:rsidP="00805497">
      <w:pPr>
        <w:jc w:val="center"/>
        <w:rPr>
          <w:b/>
          <w:bCs/>
          <w:sz w:val="28"/>
          <w:szCs w:val="28"/>
        </w:rPr>
      </w:pPr>
    </w:p>
    <w:p w14:paraId="5CAF6995" w14:textId="77777777" w:rsidR="00590A6D" w:rsidRDefault="00590A6D" w:rsidP="00805497">
      <w:pPr>
        <w:jc w:val="center"/>
        <w:rPr>
          <w:b/>
          <w:bCs/>
          <w:sz w:val="28"/>
          <w:szCs w:val="28"/>
        </w:rPr>
      </w:pPr>
    </w:p>
    <w:p w14:paraId="50727330" w14:textId="77777777" w:rsidR="00590A6D" w:rsidRDefault="00590A6D" w:rsidP="00805497">
      <w:pPr>
        <w:jc w:val="center"/>
        <w:rPr>
          <w:b/>
          <w:bCs/>
          <w:sz w:val="28"/>
          <w:szCs w:val="28"/>
        </w:rPr>
      </w:pPr>
    </w:p>
    <w:p w14:paraId="51B9CE28" w14:textId="77777777" w:rsidR="00590A6D" w:rsidRDefault="00094411" w:rsidP="00805497">
      <w:pPr>
        <w:jc w:val="center"/>
        <w:rPr>
          <w:b/>
          <w:bCs/>
          <w:sz w:val="28"/>
          <w:szCs w:val="28"/>
        </w:rPr>
      </w:pPr>
      <w:r>
        <w:rPr>
          <w:b/>
          <w:bCs/>
          <w:sz w:val="28"/>
          <w:szCs w:val="28"/>
        </w:rPr>
        <w:t xml:space="preserve">Student Name: Harsh </w:t>
      </w:r>
      <w:proofErr w:type="spellStart"/>
      <w:r>
        <w:rPr>
          <w:b/>
          <w:bCs/>
          <w:sz w:val="28"/>
          <w:szCs w:val="28"/>
        </w:rPr>
        <w:t>Dineshbhai</w:t>
      </w:r>
      <w:proofErr w:type="spellEnd"/>
      <w:r>
        <w:rPr>
          <w:b/>
          <w:bCs/>
          <w:sz w:val="28"/>
          <w:szCs w:val="28"/>
        </w:rPr>
        <w:t xml:space="preserve"> Solanki</w:t>
      </w:r>
    </w:p>
    <w:p w14:paraId="6026A693" w14:textId="77777777" w:rsidR="00590A6D" w:rsidRDefault="00094411" w:rsidP="00805497">
      <w:pPr>
        <w:jc w:val="center"/>
        <w:rPr>
          <w:b/>
          <w:bCs/>
          <w:sz w:val="28"/>
          <w:szCs w:val="28"/>
        </w:rPr>
      </w:pPr>
      <w:r>
        <w:rPr>
          <w:b/>
          <w:bCs/>
          <w:sz w:val="28"/>
          <w:szCs w:val="28"/>
        </w:rPr>
        <w:t>Student ID: 2432128</w:t>
      </w:r>
    </w:p>
    <w:p w14:paraId="45D151A2" w14:textId="77777777" w:rsidR="00590A6D" w:rsidRDefault="00590A6D" w:rsidP="00805497">
      <w:pPr>
        <w:jc w:val="center"/>
        <w:rPr>
          <w:b/>
          <w:bCs/>
          <w:sz w:val="22"/>
          <w:szCs w:val="22"/>
        </w:rPr>
      </w:pPr>
    </w:p>
    <w:p w14:paraId="0A3593D7" w14:textId="77777777" w:rsidR="00590A6D" w:rsidRDefault="00590A6D" w:rsidP="00805497">
      <w:pPr>
        <w:rPr>
          <w:b/>
          <w:bCs/>
          <w:sz w:val="22"/>
          <w:szCs w:val="22"/>
        </w:rPr>
      </w:pPr>
    </w:p>
    <w:p w14:paraId="4475465E" w14:textId="77777777" w:rsidR="00590A6D" w:rsidRDefault="00094411" w:rsidP="00805497">
      <w:pPr>
        <w:jc w:val="center"/>
        <w:rPr>
          <w:b/>
          <w:bCs/>
          <w:sz w:val="22"/>
          <w:szCs w:val="22"/>
        </w:rPr>
      </w:pPr>
      <w:r>
        <w:br w:type="page"/>
      </w:r>
    </w:p>
    <w:p w14:paraId="17924746" w14:textId="61C4FA08" w:rsidR="00BC41F9" w:rsidRDefault="00094411" w:rsidP="00805497">
      <w:pPr>
        <w:keepNext/>
        <w:keepLines/>
        <w:pBdr>
          <w:top w:val="nil"/>
          <w:left w:val="nil"/>
          <w:bottom w:val="nil"/>
          <w:right w:val="nil"/>
          <w:between w:val="nil"/>
        </w:pBdr>
        <w:jc w:val="center"/>
        <w:rPr>
          <w:b/>
          <w:bCs/>
          <w:color w:val="000000"/>
          <w:sz w:val="22"/>
          <w:szCs w:val="22"/>
        </w:rPr>
      </w:pPr>
      <w:r>
        <w:rPr>
          <w:b/>
          <w:bCs/>
          <w:color w:val="000000"/>
          <w:sz w:val="22"/>
          <w:szCs w:val="22"/>
        </w:rPr>
        <w:lastRenderedPageBreak/>
        <w:t>Table of Contents</w:t>
      </w:r>
    </w:p>
    <w:p w14:paraId="2CBC0452" w14:textId="58DC0D12" w:rsidR="00DF2A3F" w:rsidRDefault="00BC41F9">
      <w:pPr>
        <w:pStyle w:val="TOC1"/>
        <w:tabs>
          <w:tab w:val="right" w:leader="dot" w:pos="9016"/>
        </w:tabs>
        <w:rPr>
          <w:rFonts w:asciiTheme="minorHAnsi" w:eastAsiaTheme="minorEastAsia" w:hAnsiTheme="minorHAnsi" w:cstheme="minorBidi"/>
          <w:noProof/>
          <w:kern w:val="2"/>
          <w:lang w:val="en-GB"/>
          <w14:ligatures w14:val="standardContextual"/>
        </w:rPr>
      </w:pPr>
      <w:r>
        <w:fldChar w:fldCharType="begin"/>
      </w:r>
      <w:r>
        <w:instrText xml:space="preserve"> TOC \o "1-3" \h \z \u </w:instrText>
      </w:r>
      <w:r>
        <w:fldChar w:fldCharType="separate"/>
      </w:r>
      <w:hyperlink w:anchor="_Toc227754186" w:history="1">
        <w:r w:rsidR="00DF2A3F" w:rsidRPr="002B498A">
          <w:rPr>
            <w:rStyle w:val="Hyperlink"/>
            <w:noProof/>
          </w:rPr>
          <w:t>1. Introduction</w:t>
        </w:r>
        <w:r w:rsidR="00DF2A3F">
          <w:rPr>
            <w:noProof/>
            <w:webHidden/>
          </w:rPr>
          <w:tab/>
        </w:r>
        <w:r w:rsidR="00DF2A3F">
          <w:rPr>
            <w:noProof/>
            <w:webHidden/>
          </w:rPr>
          <w:fldChar w:fldCharType="begin"/>
        </w:r>
        <w:r w:rsidR="00DF2A3F">
          <w:rPr>
            <w:noProof/>
            <w:webHidden/>
          </w:rPr>
          <w:instrText xml:space="preserve"> PAGEREF _Toc227754186 \h </w:instrText>
        </w:r>
        <w:r w:rsidR="00DF2A3F">
          <w:rPr>
            <w:noProof/>
            <w:webHidden/>
          </w:rPr>
        </w:r>
        <w:r w:rsidR="00DF2A3F">
          <w:rPr>
            <w:noProof/>
            <w:webHidden/>
          </w:rPr>
          <w:fldChar w:fldCharType="separate"/>
        </w:r>
        <w:r w:rsidR="00DF2A3F">
          <w:rPr>
            <w:noProof/>
            <w:webHidden/>
          </w:rPr>
          <w:t>3</w:t>
        </w:r>
        <w:r w:rsidR="00DF2A3F">
          <w:rPr>
            <w:noProof/>
            <w:webHidden/>
          </w:rPr>
          <w:fldChar w:fldCharType="end"/>
        </w:r>
      </w:hyperlink>
    </w:p>
    <w:p w14:paraId="43FE8485" w14:textId="2B2D9451" w:rsidR="00DF2A3F" w:rsidRDefault="00DF2A3F">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7754187" w:history="1">
        <w:r w:rsidRPr="002B498A">
          <w:rPr>
            <w:rStyle w:val="Hyperlink"/>
            <w:noProof/>
          </w:rPr>
          <w:t>2. Context: Understanding Need for Service Integration</w:t>
        </w:r>
        <w:r>
          <w:rPr>
            <w:noProof/>
            <w:webHidden/>
          </w:rPr>
          <w:tab/>
        </w:r>
        <w:r>
          <w:rPr>
            <w:noProof/>
            <w:webHidden/>
          </w:rPr>
          <w:fldChar w:fldCharType="begin"/>
        </w:r>
        <w:r>
          <w:rPr>
            <w:noProof/>
            <w:webHidden/>
          </w:rPr>
          <w:instrText xml:space="preserve"> PAGEREF _Toc227754187 \h </w:instrText>
        </w:r>
        <w:r>
          <w:rPr>
            <w:noProof/>
            <w:webHidden/>
          </w:rPr>
        </w:r>
        <w:r>
          <w:rPr>
            <w:noProof/>
            <w:webHidden/>
          </w:rPr>
          <w:fldChar w:fldCharType="separate"/>
        </w:r>
        <w:r>
          <w:rPr>
            <w:noProof/>
            <w:webHidden/>
          </w:rPr>
          <w:t>3</w:t>
        </w:r>
        <w:r>
          <w:rPr>
            <w:noProof/>
            <w:webHidden/>
          </w:rPr>
          <w:fldChar w:fldCharType="end"/>
        </w:r>
      </w:hyperlink>
    </w:p>
    <w:p w14:paraId="162ECE24" w14:textId="219B0151"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88" w:history="1">
        <w:r w:rsidRPr="002B498A">
          <w:rPr>
            <w:rStyle w:val="Hyperlink"/>
            <w:noProof/>
          </w:rPr>
          <w:t>2.1 Learning from the Tower Hamlets Case Study</w:t>
        </w:r>
        <w:r>
          <w:rPr>
            <w:noProof/>
            <w:webHidden/>
          </w:rPr>
          <w:tab/>
        </w:r>
        <w:r>
          <w:rPr>
            <w:noProof/>
            <w:webHidden/>
          </w:rPr>
          <w:fldChar w:fldCharType="begin"/>
        </w:r>
        <w:r>
          <w:rPr>
            <w:noProof/>
            <w:webHidden/>
          </w:rPr>
          <w:instrText xml:space="preserve"> PAGEREF _Toc227754188 \h </w:instrText>
        </w:r>
        <w:r>
          <w:rPr>
            <w:noProof/>
            <w:webHidden/>
          </w:rPr>
        </w:r>
        <w:r>
          <w:rPr>
            <w:noProof/>
            <w:webHidden/>
          </w:rPr>
          <w:fldChar w:fldCharType="separate"/>
        </w:r>
        <w:r>
          <w:rPr>
            <w:noProof/>
            <w:webHidden/>
          </w:rPr>
          <w:t>3</w:t>
        </w:r>
        <w:r>
          <w:rPr>
            <w:noProof/>
            <w:webHidden/>
          </w:rPr>
          <w:fldChar w:fldCharType="end"/>
        </w:r>
      </w:hyperlink>
    </w:p>
    <w:p w14:paraId="1CA6FD2B" w14:textId="37DC6EE3"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89" w:history="1">
        <w:r w:rsidRPr="002B498A">
          <w:rPr>
            <w:rStyle w:val="Hyperlink"/>
            <w:noProof/>
          </w:rPr>
          <w:t>2.2 Importance of JSNA and Evidence-Based Planning</w:t>
        </w:r>
        <w:r>
          <w:rPr>
            <w:noProof/>
            <w:webHidden/>
          </w:rPr>
          <w:tab/>
        </w:r>
        <w:r>
          <w:rPr>
            <w:noProof/>
            <w:webHidden/>
          </w:rPr>
          <w:fldChar w:fldCharType="begin"/>
        </w:r>
        <w:r>
          <w:rPr>
            <w:noProof/>
            <w:webHidden/>
          </w:rPr>
          <w:instrText xml:space="preserve"> PAGEREF _Toc227754189 \h </w:instrText>
        </w:r>
        <w:r>
          <w:rPr>
            <w:noProof/>
            <w:webHidden/>
          </w:rPr>
        </w:r>
        <w:r>
          <w:rPr>
            <w:noProof/>
            <w:webHidden/>
          </w:rPr>
          <w:fldChar w:fldCharType="separate"/>
        </w:r>
        <w:r>
          <w:rPr>
            <w:noProof/>
            <w:webHidden/>
          </w:rPr>
          <w:t>3</w:t>
        </w:r>
        <w:r>
          <w:rPr>
            <w:noProof/>
            <w:webHidden/>
          </w:rPr>
          <w:fldChar w:fldCharType="end"/>
        </w:r>
      </w:hyperlink>
    </w:p>
    <w:p w14:paraId="4D4B160A" w14:textId="1B69E55D"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0" w:history="1">
        <w:r w:rsidRPr="002B498A">
          <w:rPr>
            <w:rStyle w:val="Hyperlink"/>
            <w:noProof/>
          </w:rPr>
          <w:t>2.3 Personal Reflection on Needs Assessment</w:t>
        </w:r>
        <w:r>
          <w:rPr>
            <w:noProof/>
            <w:webHidden/>
          </w:rPr>
          <w:tab/>
        </w:r>
        <w:r>
          <w:rPr>
            <w:noProof/>
            <w:webHidden/>
          </w:rPr>
          <w:fldChar w:fldCharType="begin"/>
        </w:r>
        <w:r>
          <w:rPr>
            <w:noProof/>
            <w:webHidden/>
          </w:rPr>
          <w:instrText xml:space="preserve"> PAGEREF _Toc227754190 \h </w:instrText>
        </w:r>
        <w:r>
          <w:rPr>
            <w:noProof/>
            <w:webHidden/>
          </w:rPr>
        </w:r>
        <w:r>
          <w:rPr>
            <w:noProof/>
            <w:webHidden/>
          </w:rPr>
          <w:fldChar w:fldCharType="separate"/>
        </w:r>
        <w:r>
          <w:rPr>
            <w:noProof/>
            <w:webHidden/>
          </w:rPr>
          <w:t>4</w:t>
        </w:r>
        <w:r>
          <w:rPr>
            <w:noProof/>
            <w:webHidden/>
          </w:rPr>
          <w:fldChar w:fldCharType="end"/>
        </w:r>
      </w:hyperlink>
    </w:p>
    <w:p w14:paraId="5499590B" w14:textId="79C3E222" w:rsidR="00DF2A3F" w:rsidRDefault="00DF2A3F">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7754191" w:history="1">
        <w:r w:rsidRPr="002B498A">
          <w:rPr>
            <w:rStyle w:val="Hyperlink"/>
            <w:noProof/>
          </w:rPr>
          <w:t>3. Input: Partnership Working, Frameworks and Resources</w:t>
        </w:r>
        <w:r>
          <w:rPr>
            <w:noProof/>
            <w:webHidden/>
          </w:rPr>
          <w:tab/>
        </w:r>
        <w:r>
          <w:rPr>
            <w:noProof/>
            <w:webHidden/>
          </w:rPr>
          <w:fldChar w:fldCharType="begin"/>
        </w:r>
        <w:r>
          <w:rPr>
            <w:noProof/>
            <w:webHidden/>
          </w:rPr>
          <w:instrText xml:space="preserve"> PAGEREF _Toc227754191 \h </w:instrText>
        </w:r>
        <w:r>
          <w:rPr>
            <w:noProof/>
            <w:webHidden/>
          </w:rPr>
        </w:r>
        <w:r>
          <w:rPr>
            <w:noProof/>
            <w:webHidden/>
          </w:rPr>
          <w:fldChar w:fldCharType="separate"/>
        </w:r>
        <w:r>
          <w:rPr>
            <w:noProof/>
            <w:webHidden/>
          </w:rPr>
          <w:t>4</w:t>
        </w:r>
        <w:r>
          <w:rPr>
            <w:noProof/>
            <w:webHidden/>
          </w:rPr>
          <w:fldChar w:fldCharType="end"/>
        </w:r>
      </w:hyperlink>
    </w:p>
    <w:p w14:paraId="19F9EBEA" w14:textId="77EB17BF"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2" w:history="1">
        <w:r w:rsidRPr="002B498A">
          <w:rPr>
            <w:rStyle w:val="Hyperlink"/>
            <w:noProof/>
          </w:rPr>
          <w:t>3.1 Key Partners in Integrated Care</w:t>
        </w:r>
        <w:r>
          <w:rPr>
            <w:noProof/>
            <w:webHidden/>
          </w:rPr>
          <w:tab/>
        </w:r>
        <w:r>
          <w:rPr>
            <w:noProof/>
            <w:webHidden/>
          </w:rPr>
          <w:fldChar w:fldCharType="begin"/>
        </w:r>
        <w:r>
          <w:rPr>
            <w:noProof/>
            <w:webHidden/>
          </w:rPr>
          <w:instrText xml:space="preserve"> PAGEREF _Toc227754192 \h </w:instrText>
        </w:r>
        <w:r>
          <w:rPr>
            <w:noProof/>
            <w:webHidden/>
          </w:rPr>
        </w:r>
        <w:r>
          <w:rPr>
            <w:noProof/>
            <w:webHidden/>
          </w:rPr>
          <w:fldChar w:fldCharType="separate"/>
        </w:r>
        <w:r>
          <w:rPr>
            <w:noProof/>
            <w:webHidden/>
          </w:rPr>
          <w:t>4</w:t>
        </w:r>
        <w:r>
          <w:rPr>
            <w:noProof/>
            <w:webHidden/>
          </w:rPr>
          <w:fldChar w:fldCharType="end"/>
        </w:r>
      </w:hyperlink>
    </w:p>
    <w:p w14:paraId="23DC3F95" w14:textId="0424EA5F"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3" w:history="1">
        <w:r w:rsidRPr="002B498A">
          <w:rPr>
            <w:rStyle w:val="Hyperlink"/>
            <w:noProof/>
          </w:rPr>
          <w:t>3.2 Theoretical and Policy Understanding</w:t>
        </w:r>
        <w:r>
          <w:rPr>
            <w:noProof/>
            <w:webHidden/>
          </w:rPr>
          <w:tab/>
        </w:r>
        <w:r>
          <w:rPr>
            <w:noProof/>
            <w:webHidden/>
          </w:rPr>
          <w:fldChar w:fldCharType="begin"/>
        </w:r>
        <w:r>
          <w:rPr>
            <w:noProof/>
            <w:webHidden/>
          </w:rPr>
          <w:instrText xml:space="preserve"> PAGEREF _Toc227754193 \h </w:instrText>
        </w:r>
        <w:r>
          <w:rPr>
            <w:noProof/>
            <w:webHidden/>
          </w:rPr>
        </w:r>
        <w:r>
          <w:rPr>
            <w:noProof/>
            <w:webHidden/>
          </w:rPr>
          <w:fldChar w:fldCharType="separate"/>
        </w:r>
        <w:r>
          <w:rPr>
            <w:noProof/>
            <w:webHidden/>
          </w:rPr>
          <w:t>4</w:t>
        </w:r>
        <w:r>
          <w:rPr>
            <w:noProof/>
            <w:webHidden/>
          </w:rPr>
          <w:fldChar w:fldCharType="end"/>
        </w:r>
      </w:hyperlink>
    </w:p>
    <w:p w14:paraId="53800D38" w14:textId="088A073C"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4" w:history="1">
        <w:r w:rsidRPr="002B498A">
          <w:rPr>
            <w:rStyle w:val="Hyperlink"/>
            <w:noProof/>
          </w:rPr>
          <w:t>3.3 Barriers to Partnership Working</w:t>
        </w:r>
        <w:r>
          <w:rPr>
            <w:noProof/>
            <w:webHidden/>
          </w:rPr>
          <w:tab/>
        </w:r>
        <w:r>
          <w:rPr>
            <w:noProof/>
            <w:webHidden/>
          </w:rPr>
          <w:fldChar w:fldCharType="begin"/>
        </w:r>
        <w:r>
          <w:rPr>
            <w:noProof/>
            <w:webHidden/>
          </w:rPr>
          <w:instrText xml:space="preserve"> PAGEREF _Toc227754194 \h </w:instrText>
        </w:r>
        <w:r>
          <w:rPr>
            <w:noProof/>
            <w:webHidden/>
          </w:rPr>
        </w:r>
        <w:r>
          <w:rPr>
            <w:noProof/>
            <w:webHidden/>
          </w:rPr>
          <w:fldChar w:fldCharType="separate"/>
        </w:r>
        <w:r>
          <w:rPr>
            <w:noProof/>
            <w:webHidden/>
          </w:rPr>
          <w:t>5</w:t>
        </w:r>
        <w:r>
          <w:rPr>
            <w:noProof/>
            <w:webHidden/>
          </w:rPr>
          <w:fldChar w:fldCharType="end"/>
        </w:r>
      </w:hyperlink>
    </w:p>
    <w:p w14:paraId="7288123B" w14:textId="015B5D7D"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5" w:history="1">
        <w:r w:rsidRPr="002B498A">
          <w:rPr>
            <w:rStyle w:val="Hyperlink"/>
            <w:noProof/>
          </w:rPr>
          <w:t>3.4 Reflection on Resources and Recommendations</w:t>
        </w:r>
        <w:r>
          <w:rPr>
            <w:noProof/>
            <w:webHidden/>
          </w:rPr>
          <w:tab/>
        </w:r>
        <w:r>
          <w:rPr>
            <w:noProof/>
            <w:webHidden/>
          </w:rPr>
          <w:fldChar w:fldCharType="begin"/>
        </w:r>
        <w:r>
          <w:rPr>
            <w:noProof/>
            <w:webHidden/>
          </w:rPr>
          <w:instrText xml:space="preserve"> PAGEREF _Toc227754195 \h </w:instrText>
        </w:r>
        <w:r>
          <w:rPr>
            <w:noProof/>
            <w:webHidden/>
          </w:rPr>
        </w:r>
        <w:r>
          <w:rPr>
            <w:noProof/>
            <w:webHidden/>
          </w:rPr>
          <w:fldChar w:fldCharType="separate"/>
        </w:r>
        <w:r>
          <w:rPr>
            <w:noProof/>
            <w:webHidden/>
          </w:rPr>
          <w:t>5</w:t>
        </w:r>
        <w:r>
          <w:rPr>
            <w:noProof/>
            <w:webHidden/>
          </w:rPr>
          <w:fldChar w:fldCharType="end"/>
        </w:r>
      </w:hyperlink>
    </w:p>
    <w:p w14:paraId="6930490F" w14:textId="098ED768" w:rsidR="00DF2A3F" w:rsidRDefault="00DF2A3F">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7754196" w:history="1">
        <w:r w:rsidRPr="002B498A">
          <w:rPr>
            <w:rStyle w:val="Hyperlink"/>
            <w:noProof/>
          </w:rPr>
          <w:t>4. Process: Reflection on Group Working Experience</w:t>
        </w:r>
        <w:r>
          <w:rPr>
            <w:noProof/>
            <w:webHidden/>
          </w:rPr>
          <w:tab/>
        </w:r>
        <w:r>
          <w:rPr>
            <w:noProof/>
            <w:webHidden/>
          </w:rPr>
          <w:fldChar w:fldCharType="begin"/>
        </w:r>
        <w:r>
          <w:rPr>
            <w:noProof/>
            <w:webHidden/>
          </w:rPr>
          <w:instrText xml:space="preserve"> PAGEREF _Toc227754196 \h </w:instrText>
        </w:r>
        <w:r>
          <w:rPr>
            <w:noProof/>
            <w:webHidden/>
          </w:rPr>
        </w:r>
        <w:r>
          <w:rPr>
            <w:noProof/>
            <w:webHidden/>
          </w:rPr>
          <w:fldChar w:fldCharType="separate"/>
        </w:r>
        <w:r>
          <w:rPr>
            <w:noProof/>
            <w:webHidden/>
          </w:rPr>
          <w:t>5</w:t>
        </w:r>
        <w:r>
          <w:rPr>
            <w:noProof/>
            <w:webHidden/>
          </w:rPr>
          <w:fldChar w:fldCharType="end"/>
        </w:r>
      </w:hyperlink>
    </w:p>
    <w:p w14:paraId="7C6FA661" w14:textId="05923F89"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7" w:history="1">
        <w:r w:rsidRPr="002B498A">
          <w:rPr>
            <w:rStyle w:val="Hyperlink"/>
            <w:noProof/>
          </w:rPr>
          <w:t>4.1 My Role Within the Group</w:t>
        </w:r>
        <w:r>
          <w:rPr>
            <w:noProof/>
            <w:webHidden/>
          </w:rPr>
          <w:tab/>
        </w:r>
        <w:r>
          <w:rPr>
            <w:noProof/>
            <w:webHidden/>
          </w:rPr>
          <w:fldChar w:fldCharType="begin"/>
        </w:r>
        <w:r>
          <w:rPr>
            <w:noProof/>
            <w:webHidden/>
          </w:rPr>
          <w:instrText xml:space="preserve"> PAGEREF _Toc227754197 \h </w:instrText>
        </w:r>
        <w:r>
          <w:rPr>
            <w:noProof/>
            <w:webHidden/>
          </w:rPr>
        </w:r>
        <w:r>
          <w:rPr>
            <w:noProof/>
            <w:webHidden/>
          </w:rPr>
          <w:fldChar w:fldCharType="separate"/>
        </w:r>
        <w:r>
          <w:rPr>
            <w:noProof/>
            <w:webHidden/>
          </w:rPr>
          <w:t>5</w:t>
        </w:r>
        <w:r>
          <w:rPr>
            <w:noProof/>
            <w:webHidden/>
          </w:rPr>
          <w:fldChar w:fldCharType="end"/>
        </w:r>
      </w:hyperlink>
    </w:p>
    <w:p w14:paraId="624EC096" w14:textId="406BEF99"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8" w:history="1">
        <w:r w:rsidRPr="002B498A">
          <w:rPr>
            <w:rStyle w:val="Hyperlink"/>
            <w:noProof/>
          </w:rPr>
          <w:t>4.2 Teamwork and Collaboration</w:t>
        </w:r>
        <w:r>
          <w:rPr>
            <w:noProof/>
            <w:webHidden/>
          </w:rPr>
          <w:tab/>
        </w:r>
        <w:r>
          <w:rPr>
            <w:noProof/>
            <w:webHidden/>
          </w:rPr>
          <w:fldChar w:fldCharType="begin"/>
        </w:r>
        <w:r>
          <w:rPr>
            <w:noProof/>
            <w:webHidden/>
          </w:rPr>
          <w:instrText xml:space="preserve"> PAGEREF _Toc227754198 \h </w:instrText>
        </w:r>
        <w:r>
          <w:rPr>
            <w:noProof/>
            <w:webHidden/>
          </w:rPr>
        </w:r>
        <w:r>
          <w:rPr>
            <w:noProof/>
            <w:webHidden/>
          </w:rPr>
          <w:fldChar w:fldCharType="separate"/>
        </w:r>
        <w:r>
          <w:rPr>
            <w:noProof/>
            <w:webHidden/>
          </w:rPr>
          <w:t>6</w:t>
        </w:r>
        <w:r>
          <w:rPr>
            <w:noProof/>
            <w:webHidden/>
          </w:rPr>
          <w:fldChar w:fldCharType="end"/>
        </w:r>
      </w:hyperlink>
    </w:p>
    <w:p w14:paraId="023F2352" w14:textId="5D5081F7"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199" w:history="1">
        <w:r w:rsidRPr="002B498A">
          <w:rPr>
            <w:rStyle w:val="Hyperlink"/>
            <w:noProof/>
          </w:rPr>
          <w:t>4.3 Challenges Experienced</w:t>
        </w:r>
        <w:r>
          <w:rPr>
            <w:noProof/>
            <w:webHidden/>
          </w:rPr>
          <w:tab/>
        </w:r>
        <w:r>
          <w:rPr>
            <w:noProof/>
            <w:webHidden/>
          </w:rPr>
          <w:fldChar w:fldCharType="begin"/>
        </w:r>
        <w:r>
          <w:rPr>
            <w:noProof/>
            <w:webHidden/>
          </w:rPr>
          <w:instrText xml:space="preserve"> PAGEREF _Toc227754199 \h </w:instrText>
        </w:r>
        <w:r>
          <w:rPr>
            <w:noProof/>
            <w:webHidden/>
          </w:rPr>
        </w:r>
        <w:r>
          <w:rPr>
            <w:noProof/>
            <w:webHidden/>
          </w:rPr>
          <w:fldChar w:fldCharType="separate"/>
        </w:r>
        <w:r>
          <w:rPr>
            <w:noProof/>
            <w:webHidden/>
          </w:rPr>
          <w:t>6</w:t>
        </w:r>
        <w:r>
          <w:rPr>
            <w:noProof/>
            <w:webHidden/>
          </w:rPr>
          <w:fldChar w:fldCharType="end"/>
        </w:r>
      </w:hyperlink>
    </w:p>
    <w:p w14:paraId="4B3AB8AF" w14:textId="5504AA45"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200" w:history="1">
        <w:r w:rsidRPr="002B498A">
          <w:rPr>
            <w:rStyle w:val="Hyperlink"/>
            <w:noProof/>
          </w:rPr>
          <w:t>4.4 Personal Learning from Group Dynamics</w:t>
        </w:r>
        <w:r>
          <w:rPr>
            <w:noProof/>
            <w:webHidden/>
          </w:rPr>
          <w:tab/>
        </w:r>
        <w:r>
          <w:rPr>
            <w:noProof/>
            <w:webHidden/>
          </w:rPr>
          <w:fldChar w:fldCharType="begin"/>
        </w:r>
        <w:r>
          <w:rPr>
            <w:noProof/>
            <w:webHidden/>
          </w:rPr>
          <w:instrText xml:space="preserve"> PAGEREF _Toc227754200 \h </w:instrText>
        </w:r>
        <w:r>
          <w:rPr>
            <w:noProof/>
            <w:webHidden/>
          </w:rPr>
        </w:r>
        <w:r>
          <w:rPr>
            <w:noProof/>
            <w:webHidden/>
          </w:rPr>
          <w:fldChar w:fldCharType="separate"/>
        </w:r>
        <w:r>
          <w:rPr>
            <w:noProof/>
            <w:webHidden/>
          </w:rPr>
          <w:t>7</w:t>
        </w:r>
        <w:r>
          <w:rPr>
            <w:noProof/>
            <w:webHidden/>
          </w:rPr>
          <w:fldChar w:fldCharType="end"/>
        </w:r>
      </w:hyperlink>
    </w:p>
    <w:p w14:paraId="26CBFEC0" w14:textId="6F68579A" w:rsidR="00DF2A3F" w:rsidRDefault="00DF2A3F">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7754201" w:history="1">
        <w:r w:rsidRPr="002B498A">
          <w:rPr>
            <w:rStyle w:val="Hyperlink"/>
            <w:noProof/>
          </w:rPr>
          <w:t>5. Product: Outcomes, Skills and Future Application</w:t>
        </w:r>
        <w:r>
          <w:rPr>
            <w:noProof/>
            <w:webHidden/>
          </w:rPr>
          <w:tab/>
        </w:r>
        <w:r>
          <w:rPr>
            <w:noProof/>
            <w:webHidden/>
          </w:rPr>
          <w:fldChar w:fldCharType="begin"/>
        </w:r>
        <w:r>
          <w:rPr>
            <w:noProof/>
            <w:webHidden/>
          </w:rPr>
          <w:instrText xml:space="preserve"> PAGEREF _Toc227754201 \h </w:instrText>
        </w:r>
        <w:r>
          <w:rPr>
            <w:noProof/>
            <w:webHidden/>
          </w:rPr>
        </w:r>
        <w:r>
          <w:rPr>
            <w:noProof/>
            <w:webHidden/>
          </w:rPr>
          <w:fldChar w:fldCharType="separate"/>
        </w:r>
        <w:r>
          <w:rPr>
            <w:noProof/>
            <w:webHidden/>
          </w:rPr>
          <w:t>7</w:t>
        </w:r>
        <w:r>
          <w:rPr>
            <w:noProof/>
            <w:webHidden/>
          </w:rPr>
          <w:fldChar w:fldCharType="end"/>
        </w:r>
      </w:hyperlink>
    </w:p>
    <w:p w14:paraId="7AF8C8D0" w14:textId="3944F978"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202" w:history="1">
        <w:r w:rsidRPr="002B498A">
          <w:rPr>
            <w:rStyle w:val="Hyperlink"/>
            <w:noProof/>
          </w:rPr>
          <w:t>5.1 Success of the Group Task</w:t>
        </w:r>
        <w:r>
          <w:rPr>
            <w:noProof/>
            <w:webHidden/>
          </w:rPr>
          <w:tab/>
        </w:r>
        <w:r>
          <w:rPr>
            <w:noProof/>
            <w:webHidden/>
          </w:rPr>
          <w:fldChar w:fldCharType="begin"/>
        </w:r>
        <w:r>
          <w:rPr>
            <w:noProof/>
            <w:webHidden/>
          </w:rPr>
          <w:instrText xml:space="preserve"> PAGEREF _Toc227754202 \h </w:instrText>
        </w:r>
        <w:r>
          <w:rPr>
            <w:noProof/>
            <w:webHidden/>
          </w:rPr>
        </w:r>
        <w:r>
          <w:rPr>
            <w:noProof/>
            <w:webHidden/>
          </w:rPr>
          <w:fldChar w:fldCharType="separate"/>
        </w:r>
        <w:r>
          <w:rPr>
            <w:noProof/>
            <w:webHidden/>
          </w:rPr>
          <w:t>7</w:t>
        </w:r>
        <w:r>
          <w:rPr>
            <w:noProof/>
            <w:webHidden/>
          </w:rPr>
          <w:fldChar w:fldCharType="end"/>
        </w:r>
      </w:hyperlink>
    </w:p>
    <w:p w14:paraId="353CD530" w14:textId="33EB2A7D"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203" w:history="1">
        <w:r w:rsidRPr="002B498A">
          <w:rPr>
            <w:rStyle w:val="Hyperlink"/>
            <w:noProof/>
          </w:rPr>
          <w:t>5.2 Skills Required for Integrated Care Practice</w:t>
        </w:r>
        <w:r>
          <w:rPr>
            <w:noProof/>
            <w:webHidden/>
          </w:rPr>
          <w:tab/>
        </w:r>
        <w:r>
          <w:rPr>
            <w:noProof/>
            <w:webHidden/>
          </w:rPr>
          <w:fldChar w:fldCharType="begin"/>
        </w:r>
        <w:r>
          <w:rPr>
            <w:noProof/>
            <w:webHidden/>
          </w:rPr>
          <w:instrText xml:space="preserve"> PAGEREF _Toc227754203 \h </w:instrText>
        </w:r>
        <w:r>
          <w:rPr>
            <w:noProof/>
            <w:webHidden/>
          </w:rPr>
        </w:r>
        <w:r>
          <w:rPr>
            <w:noProof/>
            <w:webHidden/>
          </w:rPr>
          <w:fldChar w:fldCharType="separate"/>
        </w:r>
        <w:r>
          <w:rPr>
            <w:noProof/>
            <w:webHidden/>
          </w:rPr>
          <w:t>7</w:t>
        </w:r>
        <w:r>
          <w:rPr>
            <w:noProof/>
            <w:webHidden/>
          </w:rPr>
          <w:fldChar w:fldCharType="end"/>
        </w:r>
      </w:hyperlink>
    </w:p>
    <w:p w14:paraId="79CB7590" w14:textId="5A0949D0"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204" w:history="1">
        <w:r w:rsidRPr="002B498A">
          <w:rPr>
            <w:rStyle w:val="Hyperlink"/>
            <w:noProof/>
          </w:rPr>
          <w:t>5.3 My Professional Development</w:t>
        </w:r>
        <w:r>
          <w:rPr>
            <w:noProof/>
            <w:webHidden/>
          </w:rPr>
          <w:tab/>
        </w:r>
        <w:r>
          <w:rPr>
            <w:noProof/>
            <w:webHidden/>
          </w:rPr>
          <w:fldChar w:fldCharType="begin"/>
        </w:r>
        <w:r>
          <w:rPr>
            <w:noProof/>
            <w:webHidden/>
          </w:rPr>
          <w:instrText xml:space="preserve"> PAGEREF _Toc227754204 \h </w:instrText>
        </w:r>
        <w:r>
          <w:rPr>
            <w:noProof/>
            <w:webHidden/>
          </w:rPr>
        </w:r>
        <w:r>
          <w:rPr>
            <w:noProof/>
            <w:webHidden/>
          </w:rPr>
          <w:fldChar w:fldCharType="separate"/>
        </w:r>
        <w:r>
          <w:rPr>
            <w:noProof/>
            <w:webHidden/>
          </w:rPr>
          <w:t>8</w:t>
        </w:r>
        <w:r>
          <w:rPr>
            <w:noProof/>
            <w:webHidden/>
          </w:rPr>
          <w:fldChar w:fldCharType="end"/>
        </w:r>
      </w:hyperlink>
    </w:p>
    <w:p w14:paraId="0D6A216F" w14:textId="08B0A471" w:rsidR="00DF2A3F" w:rsidRDefault="00DF2A3F">
      <w:pPr>
        <w:pStyle w:val="TOC2"/>
        <w:tabs>
          <w:tab w:val="right" w:leader="dot" w:pos="9016"/>
        </w:tabs>
        <w:rPr>
          <w:rFonts w:asciiTheme="minorHAnsi" w:eastAsiaTheme="minorEastAsia" w:hAnsiTheme="minorHAnsi" w:cstheme="minorBidi"/>
          <w:noProof/>
          <w:kern w:val="2"/>
          <w:lang w:val="en-GB"/>
          <w14:ligatures w14:val="standardContextual"/>
        </w:rPr>
      </w:pPr>
      <w:hyperlink w:anchor="_Toc227754205" w:history="1">
        <w:r w:rsidRPr="002B498A">
          <w:rPr>
            <w:rStyle w:val="Hyperlink"/>
            <w:noProof/>
          </w:rPr>
          <w:t>5.4 Future Application to Real Health and Social Care Practice</w:t>
        </w:r>
        <w:r>
          <w:rPr>
            <w:noProof/>
            <w:webHidden/>
          </w:rPr>
          <w:tab/>
        </w:r>
        <w:r>
          <w:rPr>
            <w:noProof/>
            <w:webHidden/>
          </w:rPr>
          <w:fldChar w:fldCharType="begin"/>
        </w:r>
        <w:r>
          <w:rPr>
            <w:noProof/>
            <w:webHidden/>
          </w:rPr>
          <w:instrText xml:space="preserve"> PAGEREF _Toc227754205 \h </w:instrText>
        </w:r>
        <w:r>
          <w:rPr>
            <w:noProof/>
            <w:webHidden/>
          </w:rPr>
        </w:r>
        <w:r>
          <w:rPr>
            <w:noProof/>
            <w:webHidden/>
          </w:rPr>
          <w:fldChar w:fldCharType="separate"/>
        </w:r>
        <w:r>
          <w:rPr>
            <w:noProof/>
            <w:webHidden/>
          </w:rPr>
          <w:t>8</w:t>
        </w:r>
        <w:r>
          <w:rPr>
            <w:noProof/>
            <w:webHidden/>
          </w:rPr>
          <w:fldChar w:fldCharType="end"/>
        </w:r>
      </w:hyperlink>
    </w:p>
    <w:p w14:paraId="3B914636" w14:textId="75C0A7AA" w:rsidR="00DF2A3F" w:rsidRDefault="00DF2A3F">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7754206" w:history="1">
        <w:r w:rsidRPr="002B498A">
          <w:rPr>
            <w:rStyle w:val="Hyperlink"/>
            <w:noProof/>
          </w:rPr>
          <w:t>6. Conclusion</w:t>
        </w:r>
        <w:r>
          <w:rPr>
            <w:noProof/>
            <w:webHidden/>
          </w:rPr>
          <w:tab/>
        </w:r>
        <w:r>
          <w:rPr>
            <w:noProof/>
            <w:webHidden/>
          </w:rPr>
          <w:fldChar w:fldCharType="begin"/>
        </w:r>
        <w:r>
          <w:rPr>
            <w:noProof/>
            <w:webHidden/>
          </w:rPr>
          <w:instrText xml:space="preserve"> PAGEREF _Toc227754206 \h </w:instrText>
        </w:r>
        <w:r>
          <w:rPr>
            <w:noProof/>
            <w:webHidden/>
          </w:rPr>
        </w:r>
        <w:r>
          <w:rPr>
            <w:noProof/>
            <w:webHidden/>
          </w:rPr>
          <w:fldChar w:fldCharType="separate"/>
        </w:r>
        <w:r>
          <w:rPr>
            <w:noProof/>
            <w:webHidden/>
          </w:rPr>
          <w:t>8</w:t>
        </w:r>
        <w:r>
          <w:rPr>
            <w:noProof/>
            <w:webHidden/>
          </w:rPr>
          <w:fldChar w:fldCharType="end"/>
        </w:r>
      </w:hyperlink>
    </w:p>
    <w:p w14:paraId="4F3F69DF" w14:textId="75FD8B21" w:rsidR="00DF2A3F" w:rsidRDefault="00DF2A3F">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7754207" w:history="1">
        <w:r w:rsidRPr="002B498A">
          <w:rPr>
            <w:rStyle w:val="Hyperlink"/>
            <w:noProof/>
          </w:rPr>
          <w:t>Reference List</w:t>
        </w:r>
        <w:r>
          <w:rPr>
            <w:noProof/>
            <w:webHidden/>
          </w:rPr>
          <w:tab/>
        </w:r>
        <w:r>
          <w:rPr>
            <w:noProof/>
            <w:webHidden/>
          </w:rPr>
          <w:fldChar w:fldCharType="begin"/>
        </w:r>
        <w:r>
          <w:rPr>
            <w:noProof/>
            <w:webHidden/>
          </w:rPr>
          <w:instrText xml:space="preserve"> PAGEREF _Toc227754207 \h </w:instrText>
        </w:r>
        <w:r>
          <w:rPr>
            <w:noProof/>
            <w:webHidden/>
          </w:rPr>
        </w:r>
        <w:r>
          <w:rPr>
            <w:noProof/>
            <w:webHidden/>
          </w:rPr>
          <w:fldChar w:fldCharType="separate"/>
        </w:r>
        <w:r>
          <w:rPr>
            <w:noProof/>
            <w:webHidden/>
          </w:rPr>
          <w:t>9</w:t>
        </w:r>
        <w:r>
          <w:rPr>
            <w:noProof/>
            <w:webHidden/>
          </w:rPr>
          <w:fldChar w:fldCharType="end"/>
        </w:r>
      </w:hyperlink>
    </w:p>
    <w:p w14:paraId="3CB046C4" w14:textId="4ECD6B33" w:rsidR="00BC41F9" w:rsidRDefault="00BC41F9" w:rsidP="00805497">
      <w:r>
        <w:fldChar w:fldCharType="end"/>
      </w:r>
    </w:p>
    <w:p w14:paraId="3085BAA0" w14:textId="53E33416" w:rsidR="00590A6D" w:rsidRPr="00BC41F9" w:rsidRDefault="00094411" w:rsidP="00805497">
      <w:pPr>
        <w:keepNext/>
        <w:keepLines/>
        <w:pBdr>
          <w:top w:val="nil"/>
          <w:left w:val="nil"/>
          <w:bottom w:val="nil"/>
          <w:right w:val="nil"/>
          <w:between w:val="nil"/>
        </w:pBdr>
        <w:jc w:val="center"/>
        <w:rPr>
          <w:b/>
          <w:bCs/>
          <w:color w:val="000000"/>
          <w:sz w:val="22"/>
          <w:szCs w:val="22"/>
        </w:rPr>
      </w:pPr>
      <w:r>
        <w:br w:type="page"/>
      </w:r>
    </w:p>
    <w:p w14:paraId="15554C1E" w14:textId="77777777" w:rsidR="00590A6D" w:rsidRDefault="00094411" w:rsidP="00805497">
      <w:pPr>
        <w:pStyle w:val="Heading1"/>
        <w:rPr>
          <w:sz w:val="22"/>
          <w:szCs w:val="22"/>
        </w:rPr>
      </w:pPr>
      <w:bookmarkStart w:id="0" w:name="_heading=h.edww8hhdsf94" w:colFirst="0" w:colLast="0"/>
      <w:bookmarkStart w:id="1" w:name="_Toc227754186"/>
      <w:bookmarkEnd w:id="0"/>
      <w:r>
        <w:rPr>
          <w:sz w:val="22"/>
          <w:szCs w:val="22"/>
        </w:rPr>
        <w:lastRenderedPageBreak/>
        <w:t>1. Introduction</w:t>
      </w:r>
      <w:bookmarkEnd w:id="1"/>
    </w:p>
    <w:p w14:paraId="0455D306" w14:textId="77777777" w:rsidR="00590A6D" w:rsidRDefault="00094411" w:rsidP="00805497">
      <w:pPr>
        <w:rPr>
          <w:sz w:val="22"/>
          <w:szCs w:val="22"/>
        </w:rPr>
      </w:pPr>
      <w:r>
        <w:rPr>
          <w:sz w:val="22"/>
          <w:szCs w:val="22"/>
        </w:rPr>
        <w:t xml:space="preserve">The practice of public health and social care needs concerted responses to intricate demands (Gold </w:t>
      </w:r>
      <w:r>
        <w:rPr>
          <w:i/>
          <w:iCs/>
          <w:sz w:val="22"/>
          <w:szCs w:val="22"/>
        </w:rPr>
        <w:t>et al</w:t>
      </w:r>
      <w:r>
        <w:rPr>
          <w:sz w:val="22"/>
          <w:szCs w:val="22"/>
        </w:rPr>
        <w:t xml:space="preserve">., 2023). This self-reflection report assesses my learning in our last assignment. In our group presentation, we have suggested evidence-based combined measures to deal with the inequalities of obesity among children. Verma </w:t>
      </w:r>
      <w:r>
        <w:rPr>
          <w:i/>
          <w:iCs/>
          <w:sz w:val="22"/>
          <w:szCs w:val="22"/>
        </w:rPr>
        <w:t>et al</w:t>
      </w:r>
      <w:r>
        <w:rPr>
          <w:sz w:val="22"/>
          <w:szCs w:val="22"/>
        </w:rPr>
        <w:t>. (2024) addressed the health needs and enhanced positive social factors. Integration of services enhances performance through multi-agency support systems. Collaborative working enhances communication, accountability and individualised delivery of services. My selected reflect</w:t>
      </w:r>
      <w:r>
        <w:rPr>
          <w:sz w:val="22"/>
          <w:szCs w:val="22"/>
        </w:rPr>
        <w:t xml:space="preserve">ion model is the CIPP, which, as highlighted by </w:t>
      </w:r>
      <w:proofErr w:type="spellStart"/>
      <w:r>
        <w:rPr>
          <w:sz w:val="22"/>
          <w:szCs w:val="22"/>
        </w:rPr>
        <w:t>Jusar</w:t>
      </w:r>
      <w:proofErr w:type="spellEnd"/>
      <w:r>
        <w:rPr>
          <w:sz w:val="22"/>
          <w:szCs w:val="22"/>
        </w:rPr>
        <w:t xml:space="preserve"> and Aziz (2023), was proposed in 1967. </w:t>
      </w:r>
      <w:r w:rsidRPr="00806E72">
        <w:rPr>
          <w:color w:val="000000" w:themeColor="text1"/>
          <w:sz w:val="22"/>
          <w:szCs w:val="22"/>
        </w:rPr>
        <w:t>Though it was published almost 50 years ago, CIPP (Context, Input, Process and Product) can be used to evaluate complex practice (</w:t>
      </w:r>
      <w:proofErr w:type="spellStart"/>
      <w:r w:rsidRPr="00806E72">
        <w:rPr>
          <w:color w:val="000000" w:themeColor="text1"/>
          <w:sz w:val="22"/>
          <w:szCs w:val="22"/>
        </w:rPr>
        <w:t>Jusar</w:t>
      </w:r>
      <w:proofErr w:type="spellEnd"/>
      <w:r w:rsidRPr="00806E72">
        <w:rPr>
          <w:color w:val="000000" w:themeColor="text1"/>
          <w:sz w:val="22"/>
          <w:szCs w:val="22"/>
        </w:rPr>
        <w:t xml:space="preserve"> and Aziz, 2023). It proved suitable for this reflective journey, providing a systematic assessment and allowing reflection on what was needed, what was done, the team's collaboration, and the results. </w:t>
      </w:r>
      <w:r>
        <w:rPr>
          <w:sz w:val="22"/>
          <w:szCs w:val="22"/>
        </w:rPr>
        <w:t>This report looks into context, input, process, product and learning. It also dete</w:t>
      </w:r>
      <w:r>
        <w:rPr>
          <w:sz w:val="22"/>
          <w:szCs w:val="22"/>
        </w:rPr>
        <w:t>rmines future areas of improvement in professional practice.</w:t>
      </w:r>
    </w:p>
    <w:p w14:paraId="6B8D4287" w14:textId="77777777" w:rsidR="00590A6D" w:rsidRDefault="00094411" w:rsidP="00805497">
      <w:pPr>
        <w:pStyle w:val="Heading1"/>
        <w:rPr>
          <w:sz w:val="22"/>
          <w:szCs w:val="22"/>
        </w:rPr>
      </w:pPr>
      <w:bookmarkStart w:id="2" w:name="_heading=h.h6m6s5ips6o1" w:colFirst="0" w:colLast="0"/>
      <w:bookmarkStart w:id="3" w:name="_Toc227754187"/>
      <w:bookmarkEnd w:id="2"/>
      <w:r>
        <w:rPr>
          <w:sz w:val="22"/>
          <w:szCs w:val="22"/>
        </w:rPr>
        <w:t>2. Context: Understanding Need for Service Integration</w:t>
      </w:r>
      <w:bookmarkEnd w:id="3"/>
    </w:p>
    <w:p w14:paraId="253E1B79" w14:textId="77777777" w:rsidR="00590A6D" w:rsidRDefault="00094411" w:rsidP="00805497">
      <w:pPr>
        <w:pStyle w:val="Heading2"/>
        <w:rPr>
          <w:sz w:val="22"/>
          <w:szCs w:val="22"/>
        </w:rPr>
      </w:pPr>
      <w:bookmarkStart w:id="4" w:name="_heading=h.u8tze9s752zz" w:colFirst="0" w:colLast="0"/>
      <w:bookmarkStart w:id="5" w:name="_Toc227754188"/>
      <w:bookmarkEnd w:id="4"/>
      <w:r>
        <w:rPr>
          <w:sz w:val="22"/>
          <w:szCs w:val="22"/>
        </w:rPr>
        <w:t>2.1 Learning from the Tower Hamlets Case Study</w:t>
      </w:r>
      <w:bookmarkEnd w:id="5"/>
    </w:p>
    <w:p w14:paraId="5AB0B01F" w14:textId="77777777" w:rsidR="00590A6D" w:rsidRDefault="00094411" w:rsidP="00805497">
      <w:pPr>
        <w:rPr>
          <w:sz w:val="22"/>
          <w:szCs w:val="22"/>
        </w:rPr>
      </w:pPr>
      <w:r>
        <w:rPr>
          <w:sz w:val="22"/>
          <w:szCs w:val="22"/>
        </w:rPr>
        <w:t xml:space="preserve">In the case of Tower Hamlets, it was revealed that childhood obesity has many causes. The conclusions that could be made based on the insights offered by Keith </w:t>
      </w:r>
      <w:r>
        <w:rPr>
          <w:i/>
          <w:iCs/>
          <w:sz w:val="22"/>
          <w:szCs w:val="22"/>
        </w:rPr>
        <w:t>et al</w:t>
      </w:r>
      <w:r>
        <w:rPr>
          <w:sz w:val="22"/>
          <w:szCs w:val="22"/>
        </w:rPr>
        <w:t xml:space="preserve">. (2022) were that dietary influences are essential. Obesity goes beyond lifestyle to structural inequalities. It is usually accompanied by high deprivation, being a limiting factor to the ability to access nutritious and affordable foods. Poverty leads to more reliance on processed, energy-dense foods, which are inexpensive. Due to overcrowded houses, the chances of safe indoor activities are greatly minimised. The results of Eveleigh </w:t>
      </w:r>
      <w:r>
        <w:rPr>
          <w:i/>
          <w:iCs/>
          <w:sz w:val="22"/>
          <w:szCs w:val="22"/>
        </w:rPr>
        <w:t>et al</w:t>
      </w:r>
      <w:r>
        <w:rPr>
          <w:sz w:val="22"/>
          <w:szCs w:val="22"/>
        </w:rPr>
        <w:t>. (2025) were associated with the mental stress related to ove</w:t>
      </w:r>
      <w:r>
        <w:rPr>
          <w:sz w:val="22"/>
          <w:szCs w:val="22"/>
        </w:rPr>
        <w:t>rcrowding. I realised that medicine is not enough to deal with obesity.</w:t>
      </w:r>
    </w:p>
    <w:p w14:paraId="476173D2" w14:textId="77777777" w:rsidR="00590A6D" w:rsidRDefault="00094411" w:rsidP="00805497">
      <w:pPr>
        <w:pStyle w:val="Heading2"/>
        <w:rPr>
          <w:sz w:val="22"/>
          <w:szCs w:val="22"/>
        </w:rPr>
      </w:pPr>
      <w:bookmarkStart w:id="6" w:name="_heading=h.4xgz681c1d6f" w:colFirst="0" w:colLast="0"/>
      <w:bookmarkStart w:id="7" w:name="_Toc227754189"/>
      <w:bookmarkEnd w:id="6"/>
      <w:r>
        <w:rPr>
          <w:sz w:val="22"/>
          <w:szCs w:val="22"/>
        </w:rPr>
        <w:t>2.2 Importance of JSNA and Evidence-Based Planning</w:t>
      </w:r>
      <w:bookmarkEnd w:id="7"/>
    </w:p>
    <w:p w14:paraId="00A521F9" w14:textId="77777777" w:rsidR="00590A6D" w:rsidRDefault="00094411" w:rsidP="00805497">
      <w:pPr>
        <w:rPr>
          <w:sz w:val="22"/>
          <w:szCs w:val="22"/>
        </w:rPr>
      </w:pPr>
      <w:r w:rsidRPr="00806E72">
        <w:rPr>
          <w:color w:val="000000" w:themeColor="text1"/>
          <w:sz w:val="22"/>
          <w:szCs w:val="22"/>
        </w:rPr>
        <w:t>Priority community health needs were identified with the insights gathered from Tower Hamlets JSNA (Tower Hamlets Council, 2020).</w:t>
      </w:r>
      <w:r>
        <w:rPr>
          <w:sz w:val="22"/>
          <w:szCs w:val="22"/>
        </w:rPr>
        <w:t xml:space="preserve"> Barr </w:t>
      </w:r>
      <w:r>
        <w:rPr>
          <w:i/>
          <w:iCs/>
          <w:sz w:val="22"/>
          <w:szCs w:val="22"/>
        </w:rPr>
        <w:t>et al</w:t>
      </w:r>
      <w:r>
        <w:rPr>
          <w:sz w:val="22"/>
          <w:szCs w:val="22"/>
        </w:rPr>
        <w:t>. (2024) found that visual evidence was important and contributed to improved integration. It related the trends of obesity to local housing pressure. The demographics can be used to identify some of the vulnerable groups better. This kind of evidence promotes focused interventions as opposed to generic interventions. Commissioners invest in quantifiable local demands in a better way. Data also enhances responsibility toward the attained results. I have seen that planning is enhanced when assumpt</w:t>
      </w:r>
      <w:r>
        <w:rPr>
          <w:sz w:val="22"/>
          <w:szCs w:val="22"/>
        </w:rPr>
        <w:t>ions are not taken. The inequalities otherwise go unnoticed. NHS England (2024) enabled me to realise the value of shared intelligence in improving planning. This enhances the coordinated commissioning at organisational boundaries to a great extent.</w:t>
      </w:r>
    </w:p>
    <w:p w14:paraId="5A150966" w14:textId="77777777" w:rsidR="00590A6D" w:rsidRDefault="00094411" w:rsidP="00805497">
      <w:pPr>
        <w:pStyle w:val="Heading2"/>
        <w:rPr>
          <w:sz w:val="22"/>
          <w:szCs w:val="22"/>
        </w:rPr>
      </w:pPr>
      <w:bookmarkStart w:id="8" w:name="_heading=h.9dre7lyxqz73" w:colFirst="0" w:colLast="0"/>
      <w:bookmarkStart w:id="9" w:name="_Toc227754190"/>
      <w:bookmarkEnd w:id="8"/>
      <w:r>
        <w:rPr>
          <w:sz w:val="22"/>
          <w:szCs w:val="22"/>
        </w:rPr>
        <w:lastRenderedPageBreak/>
        <w:t>2.3 Personal Reflection on Needs Assessment</w:t>
      </w:r>
      <w:bookmarkEnd w:id="9"/>
    </w:p>
    <w:p w14:paraId="741673E1" w14:textId="77777777" w:rsidR="00590A6D" w:rsidRDefault="00094411" w:rsidP="00805497">
      <w:pPr>
        <w:rPr>
          <w:sz w:val="22"/>
          <w:szCs w:val="22"/>
        </w:rPr>
      </w:pPr>
      <w:r>
        <w:rPr>
          <w:sz w:val="22"/>
          <w:szCs w:val="22"/>
        </w:rPr>
        <w:t xml:space="preserve">The needs assessment showed that communities need listening in addition to numerical data. One of the studies by </w:t>
      </w:r>
      <w:proofErr w:type="spellStart"/>
      <w:r>
        <w:rPr>
          <w:sz w:val="22"/>
          <w:szCs w:val="22"/>
        </w:rPr>
        <w:t>Pellegrini</w:t>
      </w:r>
      <w:proofErr w:type="spellEnd"/>
      <w:r>
        <w:rPr>
          <w:sz w:val="22"/>
          <w:szCs w:val="22"/>
        </w:rPr>
        <w:t xml:space="preserve"> and </w:t>
      </w:r>
      <w:proofErr w:type="spellStart"/>
      <w:r>
        <w:rPr>
          <w:sz w:val="22"/>
          <w:szCs w:val="22"/>
        </w:rPr>
        <w:t>Lovati</w:t>
      </w:r>
      <w:proofErr w:type="spellEnd"/>
      <w:r>
        <w:rPr>
          <w:sz w:val="22"/>
          <w:szCs w:val="22"/>
        </w:rPr>
        <w:t xml:space="preserve"> (2025) highlighted that the involvement should be improved to achieve a complete social change. The barriers faced by families cannot be explained solely by statistics. Examples of real needs are trust, culture, transport and confidence. Good services should be aware of the realistic daily constraints encountered. The idea that intervention and prevention are the crucial components of a strategy and can render it effective was reinforced by Tollan </w:t>
      </w:r>
      <w:r>
        <w:rPr>
          <w:i/>
          <w:iCs/>
          <w:sz w:val="22"/>
          <w:szCs w:val="22"/>
        </w:rPr>
        <w:t>et al</w:t>
      </w:r>
      <w:r>
        <w:rPr>
          <w:sz w:val="22"/>
          <w:szCs w:val="22"/>
        </w:rPr>
        <w:t>. (2023). Symptoms are commonly t</w:t>
      </w:r>
      <w:r>
        <w:rPr>
          <w:sz w:val="22"/>
          <w:szCs w:val="22"/>
        </w:rPr>
        <w:t xml:space="preserve">reated, and underlying causes are ignored by separate organisations. </w:t>
      </w:r>
      <w:proofErr w:type="spellStart"/>
      <w:r>
        <w:rPr>
          <w:sz w:val="22"/>
          <w:szCs w:val="22"/>
        </w:rPr>
        <w:t>Durrance-Bagale</w:t>
      </w:r>
      <w:proofErr w:type="spellEnd"/>
      <w:r>
        <w:rPr>
          <w:sz w:val="22"/>
          <w:szCs w:val="22"/>
        </w:rPr>
        <w:t xml:space="preserve"> </w:t>
      </w:r>
      <w:r>
        <w:rPr>
          <w:i/>
          <w:iCs/>
          <w:sz w:val="22"/>
          <w:szCs w:val="22"/>
        </w:rPr>
        <w:t>et al</w:t>
      </w:r>
      <w:r>
        <w:rPr>
          <w:sz w:val="22"/>
          <w:szCs w:val="22"/>
        </w:rPr>
        <w:t>. (2022) endorsed the community partnership approaches knowledge. In this way, I could learn that the integrated responses result in person-centred, sustainable support pathways at the local level.</w:t>
      </w:r>
    </w:p>
    <w:p w14:paraId="1C6884A3" w14:textId="77777777" w:rsidR="00590A6D" w:rsidRDefault="00094411" w:rsidP="00805497">
      <w:pPr>
        <w:pStyle w:val="Heading1"/>
        <w:rPr>
          <w:sz w:val="22"/>
          <w:szCs w:val="22"/>
        </w:rPr>
      </w:pPr>
      <w:bookmarkStart w:id="10" w:name="_heading=h.9yl5wg9ayyj" w:colFirst="0" w:colLast="0"/>
      <w:bookmarkStart w:id="11" w:name="_Toc227754191"/>
      <w:bookmarkEnd w:id="10"/>
      <w:r>
        <w:rPr>
          <w:sz w:val="22"/>
          <w:szCs w:val="22"/>
        </w:rPr>
        <w:t>3. Input: Partnership Working, Frameworks and Resources</w:t>
      </w:r>
      <w:bookmarkEnd w:id="11"/>
    </w:p>
    <w:p w14:paraId="70B52B77" w14:textId="77777777" w:rsidR="00590A6D" w:rsidRDefault="00094411" w:rsidP="00805497">
      <w:pPr>
        <w:pStyle w:val="Heading2"/>
        <w:rPr>
          <w:sz w:val="22"/>
          <w:szCs w:val="22"/>
        </w:rPr>
      </w:pPr>
      <w:bookmarkStart w:id="12" w:name="_heading=h.jq6shosvlgii" w:colFirst="0" w:colLast="0"/>
      <w:bookmarkStart w:id="13" w:name="_Toc227754192"/>
      <w:bookmarkEnd w:id="12"/>
      <w:r>
        <w:rPr>
          <w:sz w:val="22"/>
          <w:szCs w:val="22"/>
        </w:rPr>
        <w:t>3.1 Key Partners in Integrated Care</w:t>
      </w:r>
      <w:bookmarkEnd w:id="13"/>
    </w:p>
    <w:p w14:paraId="715174A8" w14:textId="77777777" w:rsidR="00590A6D" w:rsidRDefault="00094411" w:rsidP="00805497">
      <w:pPr>
        <w:rPr>
          <w:sz w:val="22"/>
          <w:szCs w:val="22"/>
        </w:rPr>
      </w:pPr>
      <w:r>
        <w:rPr>
          <w:sz w:val="22"/>
          <w:szCs w:val="22"/>
        </w:rPr>
        <w:t xml:space="preserve">Integrated care requires multiple partners providing complementary skills. The needs and outcomes are analysed and monitored by the public health teams. As part of an extensive study, Barr </w:t>
      </w:r>
      <w:r>
        <w:rPr>
          <w:i/>
          <w:iCs/>
          <w:sz w:val="22"/>
          <w:szCs w:val="22"/>
        </w:rPr>
        <w:t>et al</w:t>
      </w:r>
      <w:r>
        <w:rPr>
          <w:sz w:val="22"/>
          <w:szCs w:val="22"/>
        </w:rPr>
        <w:t xml:space="preserve">. (2024) emphasised that multidisciplinary roles are very effective when coordinated. Practically, having first-hand knowledge, I discovered that NHS primary care recognises the risks with the assistance of routine contact. Schools have an impact on nutrition, attendance, activity, and well-being on a daily basis. Tur and Gonzalez-Gross (2025) pointed out that since educational organisations, such as schools, are key players in preventing any form of risk during their early stages. Shah </w:t>
      </w:r>
      <w:r>
        <w:rPr>
          <w:i/>
          <w:iCs/>
          <w:sz w:val="22"/>
          <w:szCs w:val="22"/>
        </w:rPr>
        <w:t>et al</w:t>
      </w:r>
      <w:r>
        <w:rPr>
          <w:sz w:val="22"/>
          <w:szCs w:val="22"/>
        </w:rPr>
        <w:t>. (2022) s</w:t>
      </w:r>
      <w:r>
        <w:rPr>
          <w:sz w:val="22"/>
          <w:szCs w:val="22"/>
        </w:rPr>
        <w:t xml:space="preserve">tate that healthier routines are enhanced by housing and community services. Finally, but not least, </w:t>
      </w:r>
      <w:proofErr w:type="spellStart"/>
      <w:r>
        <w:rPr>
          <w:sz w:val="22"/>
          <w:szCs w:val="22"/>
        </w:rPr>
        <w:t>Durrance-Bagale</w:t>
      </w:r>
      <w:proofErr w:type="spellEnd"/>
      <w:r>
        <w:rPr>
          <w:sz w:val="22"/>
          <w:szCs w:val="22"/>
        </w:rPr>
        <w:t xml:space="preserve"> </w:t>
      </w:r>
      <w:r>
        <w:rPr>
          <w:i/>
          <w:iCs/>
          <w:sz w:val="22"/>
          <w:szCs w:val="22"/>
        </w:rPr>
        <w:t>et al</w:t>
      </w:r>
      <w:r>
        <w:rPr>
          <w:sz w:val="22"/>
          <w:szCs w:val="22"/>
        </w:rPr>
        <w:t xml:space="preserve">. (2022) emphasised that local participation is also significant. </w:t>
      </w:r>
      <w:proofErr w:type="spellStart"/>
      <w:r>
        <w:rPr>
          <w:sz w:val="22"/>
          <w:szCs w:val="22"/>
        </w:rPr>
        <w:t>HealthWatch</w:t>
      </w:r>
      <w:proofErr w:type="spellEnd"/>
      <w:r>
        <w:rPr>
          <w:sz w:val="22"/>
          <w:szCs w:val="22"/>
        </w:rPr>
        <w:t xml:space="preserve"> and parents enhance accountability through experience. I acknowledged that shared responsibility is a guarantee of sustainable results in organisations.</w:t>
      </w:r>
    </w:p>
    <w:p w14:paraId="5CF537C2" w14:textId="77777777" w:rsidR="00590A6D" w:rsidRDefault="00094411" w:rsidP="00805497">
      <w:pPr>
        <w:pStyle w:val="Heading2"/>
        <w:rPr>
          <w:sz w:val="22"/>
          <w:szCs w:val="22"/>
        </w:rPr>
      </w:pPr>
      <w:bookmarkStart w:id="14" w:name="_heading=h.3c5bz2qpu0il" w:colFirst="0" w:colLast="0"/>
      <w:bookmarkStart w:id="15" w:name="_Toc227754193"/>
      <w:bookmarkEnd w:id="14"/>
      <w:r>
        <w:rPr>
          <w:sz w:val="22"/>
          <w:szCs w:val="22"/>
        </w:rPr>
        <w:t>3.2 Theoretical and Policy Understanding</w:t>
      </w:r>
      <w:bookmarkEnd w:id="15"/>
    </w:p>
    <w:p w14:paraId="4668E884" w14:textId="77777777" w:rsidR="00590A6D" w:rsidRDefault="00094411" w:rsidP="00805497">
      <w:pPr>
        <w:rPr>
          <w:sz w:val="22"/>
          <w:szCs w:val="22"/>
        </w:rPr>
      </w:pPr>
      <w:r>
        <w:rPr>
          <w:sz w:val="22"/>
          <w:szCs w:val="22"/>
        </w:rPr>
        <w:t xml:space="preserve">The project enhanced the knowledge on the basis of the partnership policy. Local collaboration between organisations is encouraged by Integrated Care Systems. Against this backdrop, a critical review of official publications of NHS England (2024) has demonstrated that systems have the potential to enhance population outcomes. The Health and Care Act 2022 reinforced responsibilities. </w:t>
      </w:r>
      <w:r w:rsidRPr="00D30840">
        <w:rPr>
          <w:color w:val="000000" w:themeColor="text1"/>
          <w:sz w:val="22"/>
          <w:szCs w:val="22"/>
        </w:rPr>
        <w:t>The Health and Care Act 2022 strengthened the implementation of integrated care.</w:t>
      </w:r>
      <w:r>
        <w:rPr>
          <w:sz w:val="22"/>
          <w:szCs w:val="22"/>
        </w:rPr>
        <w:t xml:space="preserve"> It compelled organisations to collaborate to boost the health of the population and eradicate inequalities (Miller </w:t>
      </w:r>
      <w:r>
        <w:rPr>
          <w:i/>
          <w:iCs/>
          <w:sz w:val="22"/>
          <w:szCs w:val="22"/>
        </w:rPr>
        <w:t>et al</w:t>
      </w:r>
      <w:r>
        <w:rPr>
          <w:sz w:val="22"/>
          <w:szCs w:val="22"/>
        </w:rPr>
        <w:t>., 2024). It institutionalised collaborative planning and responsibility schemes. The Children Act 2004 promotes interventions to reduce obesity in the whole system at an early stage in the various sectors. This was in line with the academic experience that was exchanged by Barr and colleagues (2024), who link</w:t>
      </w:r>
      <w:r>
        <w:rPr>
          <w:sz w:val="22"/>
          <w:szCs w:val="22"/>
        </w:rPr>
        <w:t xml:space="preserve">ed integration to </w:t>
      </w:r>
      <w:r>
        <w:rPr>
          <w:sz w:val="22"/>
          <w:szCs w:val="22"/>
        </w:rPr>
        <w:lastRenderedPageBreak/>
        <w:t>enhanced coordination. Policy facilitates cooperation, and yet leadership and trust are needed to ensure successful implementation.</w:t>
      </w:r>
    </w:p>
    <w:p w14:paraId="41ACDE07" w14:textId="77777777" w:rsidR="00590A6D" w:rsidRDefault="00094411" w:rsidP="00805497">
      <w:pPr>
        <w:pStyle w:val="Heading2"/>
        <w:rPr>
          <w:sz w:val="22"/>
          <w:szCs w:val="22"/>
        </w:rPr>
      </w:pPr>
      <w:bookmarkStart w:id="16" w:name="_heading=h.gkq8m4m72d4b" w:colFirst="0" w:colLast="0"/>
      <w:bookmarkStart w:id="17" w:name="_Toc227754194"/>
      <w:bookmarkEnd w:id="16"/>
      <w:r>
        <w:rPr>
          <w:sz w:val="22"/>
          <w:szCs w:val="22"/>
        </w:rPr>
        <w:t>3.3 Barriers to Partnership Working</w:t>
      </w:r>
      <w:bookmarkEnd w:id="17"/>
    </w:p>
    <w:p w14:paraId="1FCE96B9" w14:textId="77777777" w:rsidR="00590A6D" w:rsidRDefault="00094411" w:rsidP="00805497">
      <w:pPr>
        <w:rPr>
          <w:sz w:val="22"/>
          <w:szCs w:val="22"/>
        </w:rPr>
      </w:pPr>
      <w:r>
        <w:rPr>
          <w:sz w:val="22"/>
          <w:szCs w:val="22"/>
        </w:rPr>
        <w:t xml:space="preserve">Partnership working does not work where the silos and funding pressures undermine coordination. Considering this, Tebaldi and Stokes (2022) have explained the intricacies of pooled budgets. Lack of communication results in duplication and mixed messages within the family. The insights from Gold </w:t>
      </w:r>
      <w:r>
        <w:rPr>
          <w:i/>
          <w:iCs/>
          <w:sz w:val="22"/>
          <w:szCs w:val="22"/>
        </w:rPr>
        <w:t>et al</w:t>
      </w:r>
      <w:r>
        <w:rPr>
          <w:sz w:val="22"/>
          <w:szCs w:val="22"/>
        </w:rPr>
        <w:t>. (2023) helped me better understand the barriers to the referral process. Cultural obstacles lower the trust, and collaboration has to be always adapted. I got to understand that structure by itself is not sufficient to eliminate tensions. Good connections are key in times of operational stress. Integration can be easily broken if there are no values in common. The leaders should take proactive measures to address these barriers.</w:t>
      </w:r>
    </w:p>
    <w:p w14:paraId="53790B6D" w14:textId="77777777" w:rsidR="00590A6D" w:rsidRDefault="00094411" w:rsidP="00805497">
      <w:pPr>
        <w:pStyle w:val="Heading2"/>
        <w:rPr>
          <w:sz w:val="22"/>
          <w:szCs w:val="22"/>
        </w:rPr>
      </w:pPr>
      <w:bookmarkStart w:id="18" w:name="_heading=h.2v280hl1klcn" w:colFirst="0" w:colLast="0"/>
      <w:bookmarkStart w:id="19" w:name="_Toc227754195"/>
      <w:bookmarkEnd w:id="18"/>
      <w:r>
        <w:rPr>
          <w:sz w:val="22"/>
          <w:szCs w:val="22"/>
        </w:rPr>
        <w:t>3.4 Reflection on Resources and Recommendations</w:t>
      </w:r>
      <w:bookmarkEnd w:id="19"/>
    </w:p>
    <w:p w14:paraId="65B834BB" w14:textId="77777777" w:rsidR="00590A6D" w:rsidRDefault="00094411" w:rsidP="00805497">
      <w:pPr>
        <w:rPr>
          <w:sz w:val="22"/>
          <w:szCs w:val="22"/>
        </w:rPr>
      </w:pPr>
      <w:r>
        <w:rPr>
          <w:sz w:val="22"/>
          <w:szCs w:val="22"/>
        </w:rPr>
        <w:t xml:space="preserve">The presence or absence of resources defines the feasibility of integrated plans as a reality. The capacity of the workforce should be equal to known levels of community demand. The lack of staff may postpone the referral and follow-up services. Couturier </w:t>
      </w:r>
      <w:r>
        <w:rPr>
          <w:i/>
          <w:iCs/>
          <w:sz w:val="22"/>
          <w:szCs w:val="22"/>
        </w:rPr>
        <w:t>et al</w:t>
      </w:r>
      <w:r>
        <w:rPr>
          <w:sz w:val="22"/>
          <w:szCs w:val="22"/>
        </w:rPr>
        <w:t xml:space="preserve">. (2022) emphasised the significance of coordination work force. Different organisations require leadership to bring them into line. Clarity of vision aids in motivation and accountability.  Digital systems enhance communication, tracking and prompt referrals. Integrated screening pathways were supported by the scholarly knowledge disseminated by Gold </w:t>
      </w:r>
      <w:r>
        <w:rPr>
          <w:i/>
          <w:iCs/>
          <w:sz w:val="22"/>
          <w:szCs w:val="22"/>
        </w:rPr>
        <w:t>et al</w:t>
      </w:r>
      <w:r>
        <w:rPr>
          <w:sz w:val="22"/>
          <w:szCs w:val="22"/>
        </w:rPr>
        <w:t>. (2023), and it was in line with what is practised in NHS England (2024). Joint budgets can minimise interagency duplication. Tebaldi and Stokes (2</w:t>
      </w:r>
      <w:r>
        <w:rPr>
          <w:sz w:val="22"/>
          <w:szCs w:val="22"/>
        </w:rPr>
        <w:t>022) performed a comprehensive research of place-based funding designs. The community involvement enhances the outcomes of relevance and sustainability. I understood that it takes investment, training, interoperability and balanced resources to achieve successful integrated practice.</w:t>
      </w:r>
    </w:p>
    <w:p w14:paraId="66CBC57E" w14:textId="77777777" w:rsidR="00590A6D" w:rsidRDefault="00094411" w:rsidP="00805497">
      <w:pPr>
        <w:pStyle w:val="Heading1"/>
        <w:rPr>
          <w:sz w:val="22"/>
          <w:szCs w:val="22"/>
        </w:rPr>
      </w:pPr>
      <w:bookmarkStart w:id="20" w:name="_heading=h.v97w0mnswc4q" w:colFirst="0" w:colLast="0"/>
      <w:bookmarkStart w:id="21" w:name="_Toc227754196"/>
      <w:bookmarkEnd w:id="20"/>
      <w:r>
        <w:rPr>
          <w:sz w:val="22"/>
          <w:szCs w:val="22"/>
        </w:rPr>
        <w:t>4. Process: Reflection on Group Working Experience</w:t>
      </w:r>
      <w:bookmarkEnd w:id="21"/>
    </w:p>
    <w:p w14:paraId="326471A1" w14:textId="77777777" w:rsidR="00590A6D" w:rsidRDefault="00094411" w:rsidP="00805497">
      <w:pPr>
        <w:pStyle w:val="Heading2"/>
        <w:rPr>
          <w:sz w:val="22"/>
          <w:szCs w:val="22"/>
        </w:rPr>
      </w:pPr>
      <w:bookmarkStart w:id="22" w:name="_heading=h.af2qlvwbgcl9" w:colFirst="0" w:colLast="0"/>
      <w:bookmarkStart w:id="23" w:name="_Toc227754197"/>
      <w:bookmarkEnd w:id="22"/>
      <w:r>
        <w:rPr>
          <w:sz w:val="22"/>
          <w:szCs w:val="22"/>
        </w:rPr>
        <w:t>4.1 My Role Within the Group</w:t>
      </w:r>
      <w:bookmarkEnd w:id="23"/>
    </w:p>
    <w:p w14:paraId="5267F4D2" w14:textId="77777777" w:rsidR="00590A6D" w:rsidRDefault="00094411" w:rsidP="00805497">
      <w:pPr>
        <w:rPr>
          <w:sz w:val="22"/>
          <w:szCs w:val="22"/>
        </w:rPr>
      </w:pPr>
      <w:r>
        <w:rPr>
          <w:sz w:val="22"/>
          <w:szCs w:val="22"/>
        </w:rPr>
        <w:t xml:space="preserve">I was engaged in research, drafting, coordination and preparation of the presentation. I read the literature that provides evidence of the concepts of integrated care and partnerships. An example is that Barr </w:t>
      </w:r>
      <w:r>
        <w:rPr>
          <w:i/>
          <w:iCs/>
          <w:sz w:val="22"/>
          <w:szCs w:val="22"/>
        </w:rPr>
        <w:t>et al</w:t>
      </w:r>
      <w:r>
        <w:rPr>
          <w:sz w:val="22"/>
          <w:szCs w:val="22"/>
        </w:rPr>
        <w:t xml:space="preserve">. (2024) reinforced my prior knowledge of coordinated practice models. To be selected as evidence, relevance, credibility and date of publication had to be current. I also put the notes into distinct themes. This enhanced uniformity within the end submission format. Dixon </w:t>
      </w:r>
      <w:r>
        <w:rPr>
          <w:i/>
          <w:iCs/>
          <w:sz w:val="22"/>
          <w:szCs w:val="22"/>
        </w:rPr>
        <w:t>et al</w:t>
      </w:r>
      <w:r>
        <w:rPr>
          <w:sz w:val="22"/>
          <w:szCs w:val="22"/>
        </w:rPr>
        <w:t>. (2022) emphasised learning with the involvement of multiple agencies. In this way, I understood that the writing of assignments should be based on such aspects as brevity of academic language and integrity.</w:t>
      </w:r>
    </w:p>
    <w:p w14:paraId="7927F321" w14:textId="77777777" w:rsidR="00590A6D" w:rsidRDefault="00094411" w:rsidP="00805497">
      <w:pPr>
        <w:rPr>
          <w:sz w:val="22"/>
          <w:szCs w:val="22"/>
        </w:rPr>
      </w:pPr>
      <w:r>
        <w:rPr>
          <w:sz w:val="22"/>
          <w:szCs w:val="22"/>
        </w:rPr>
        <w:t xml:space="preserve">I also verified the compatibility of arguments with the results of assignments. Coordination involved the reminders to members of deadlines and progress. The timelines were shared, </w:t>
      </w:r>
      <w:r>
        <w:rPr>
          <w:sz w:val="22"/>
          <w:szCs w:val="22"/>
        </w:rPr>
        <w:lastRenderedPageBreak/>
        <w:t xml:space="preserve">and as such, the stages of preparation were not as confusing. </w:t>
      </w:r>
      <w:proofErr w:type="spellStart"/>
      <w:r>
        <w:rPr>
          <w:sz w:val="22"/>
          <w:szCs w:val="22"/>
        </w:rPr>
        <w:t>Pellegrini</w:t>
      </w:r>
      <w:proofErr w:type="spellEnd"/>
      <w:r>
        <w:rPr>
          <w:sz w:val="22"/>
          <w:szCs w:val="22"/>
        </w:rPr>
        <w:t xml:space="preserve"> and </w:t>
      </w:r>
      <w:proofErr w:type="spellStart"/>
      <w:r>
        <w:rPr>
          <w:sz w:val="22"/>
          <w:szCs w:val="22"/>
        </w:rPr>
        <w:t>Lovati</w:t>
      </w:r>
      <w:proofErr w:type="spellEnd"/>
      <w:r>
        <w:rPr>
          <w:sz w:val="22"/>
          <w:szCs w:val="22"/>
        </w:rPr>
        <w:t xml:space="preserve"> (2025) highlighted that communication is important in enhancing engagement. Preparation of presentations also entailed making complicated concepts easier to understand for the audience. Slides had to balance between the standards of evidence and readability. I realised that my contribution does not only occur when I am writing. This position brought about trust in scholastic collaborative environments. Organised contribution</w:t>
      </w:r>
      <w:r>
        <w:rPr>
          <w:sz w:val="22"/>
          <w:szCs w:val="22"/>
        </w:rPr>
        <w:t xml:space="preserve"> also alleviated pressure in the run-up to submission deadlines.</w:t>
      </w:r>
    </w:p>
    <w:p w14:paraId="0CA726D6" w14:textId="77777777" w:rsidR="00590A6D" w:rsidRDefault="00094411" w:rsidP="00805497">
      <w:pPr>
        <w:pStyle w:val="Heading2"/>
        <w:rPr>
          <w:sz w:val="22"/>
          <w:szCs w:val="22"/>
        </w:rPr>
      </w:pPr>
      <w:bookmarkStart w:id="24" w:name="_heading=h.p5ec8itnam6m" w:colFirst="0" w:colLast="0"/>
      <w:bookmarkStart w:id="25" w:name="_Toc227754198"/>
      <w:bookmarkEnd w:id="24"/>
      <w:r>
        <w:rPr>
          <w:sz w:val="22"/>
          <w:szCs w:val="22"/>
        </w:rPr>
        <w:t>4.2 Teamwork and Collaboration</w:t>
      </w:r>
      <w:bookmarkEnd w:id="25"/>
    </w:p>
    <w:p w14:paraId="03899E50" w14:textId="77777777" w:rsidR="00590A6D" w:rsidRDefault="00094411" w:rsidP="00805497">
      <w:pPr>
        <w:rPr>
          <w:rFonts w:ascii="Times New Roman" w:eastAsia="Times New Roman" w:hAnsi="Times New Roman" w:cs="Times New Roman"/>
        </w:rPr>
      </w:pPr>
      <w:r>
        <w:rPr>
          <w:sz w:val="22"/>
          <w:szCs w:val="22"/>
        </w:rPr>
        <w:t xml:space="preserve">A division of roles was used to enhance teamwork. All the members handled a subject that was connected to their expertise. This avoided duplication and enhanced the level of ownership of tasks. Barr </w:t>
      </w:r>
      <w:r>
        <w:rPr>
          <w:i/>
          <w:iCs/>
          <w:sz w:val="22"/>
          <w:szCs w:val="22"/>
        </w:rPr>
        <w:t>et al</w:t>
      </w:r>
      <w:r>
        <w:rPr>
          <w:sz w:val="22"/>
          <w:szCs w:val="22"/>
        </w:rPr>
        <w:t xml:space="preserve">. (2024) highlighted the need for better role clarity when a thorough integration was needed. The communication was done via messaging and face-to-face meetings. The frequent updates kept the pace of preparation levels. Drafts were shared, and constructive improvements were provided and feedback-enhanced content and rational arrangement.  Moreover, with an extensive study, Dixon </w:t>
      </w:r>
      <w:r>
        <w:rPr>
          <w:i/>
          <w:iCs/>
          <w:sz w:val="22"/>
          <w:szCs w:val="22"/>
        </w:rPr>
        <w:t>et al</w:t>
      </w:r>
      <w:r>
        <w:rPr>
          <w:sz w:val="22"/>
          <w:szCs w:val="22"/>
        </w:rPr>
        <w:t>. (2022) pointed out that mutual learning could be of great help to collaboration. Collaboration allowed the development</w:t>
      </w:r>
      <w:r>
        <w:rPr>
          <w:sz w:val="22"/>
          <w:szCs w:val="22"/>
        </w:rPr>
        <w:t xml:space="preserve"> of bigger visions as compared to solitary research. A variety of ideas contributed to improving the creativity of solutions. The prejudiced assumptions were also undermined in the group discussion. As an example, NHS England (2023) highlighted that it is possible to collaborate with partner institutions and communities more. Communication was respected to ensure there were good working relations. Members were usually professional in their responses to suggestions given. Teamwork helped to alleviate work st</w:t>
      </w:r>
      <w:r>
        <w:rPr>
          <w:sz w:val="22"/>
          <w:szCs w:val="22"/>
        </w:rPr>
        <w:t xml:space="preserve">rain on individuals. Collective accountability promoted a better adherence to deadlines </w:t>
      </w:r>
      <w:r>
        <w:t>(Barber et al., 2023)</w:t>
      </w:r>
      <w:r>
        <w:rPr>
          <w:sz w:val="22"/>
          <w:szCs w:val="22"/>
        </w:rPr>
        <w:t>. I got to know that collaboration can help to achieve final results significantly. Principles of integrated care practice were reflected in effective teamwork.</w:t>
      </w:r>
    </w:p>
    <w:p w14:paraId="518B09E0" w14:textId="77777777" w:rsidR="00590A6D" w:rsidRDefault="00094411" w:rsidP="00805497">
      <w:pPr>
        <w:pStyle w:val="Heading2"/>
        <w:rPr>
          <w:sz w:val="22"/>
          <w:szCs w:val="22"/>
        </w:rPr>
      </w:pPr>
      <w:bookmarkStart w:id="26" w:name="_heading=h.nz3v6ipetuk5" w:colFirst="0" w:colLast="0"/>
      <w:bookmarkStart w:id="27" w:name="_Toc227754199"/>
      <w:bookmarkEnd w:id="26"/>
      <w:r>
        <w:rPr>
          <w:sz w:val="22"/>
          <w:szCs w:val="22"/>
        </w:rPr>
        <w:t>4.3 Challenges Experienced</w:t>
      </w:r>
      <w:bookmarkEnd w:id="27"/>
    </w:p>
    <w:p w14:paraId="5E06B3A9" w14:textId="77777777" w:rsidR="00590A6D" w:rsidRDefault="00094411" w:rsidP="00805497">
      <w:pPr>
        <w:rPr>
          <w:sz w:val="22"/>
          <w:szCs w:val="22"/>
        </w:rPr>
      </w:pPr>
      <w:r>
        <w:rPr>
          <w:sz w:val="22"/>
          <w:szCs w:val="22"/>
        </w:rPr>
        <w:t xml:space="preserve">There were a number of challenges; for instance, extrinsic competing commitments also posed a challenge to time management. There were those tasks which were done late. The delays put a strain on the time to review the combined sections. Nonetheless, Dixon </w:t>
      </w:r>
      <w:r>
        <w:rPr>
          <w:i/>
          <w:iCs/>
          <w:sz w:val="22"/>
          <w:szCs w:val="22"/>
        </w:rPr>
        <w:t>et al</w:t>
      </w:r>
      <w:r>
        <w:rPr>
          <w:sz w:val="22"/>
          <w:szCs w:val="22"/>
        </w:rPr>
        <w:t xml:space="preserve">. (2022) indicated that some coordination issues can arise due to the initiation of a partnership as well. There were also varying working styles with different speeds of completing the tasks. This sometimes led to incongruity in the tone of the document. There were differences in academic writing standards among initial contributors. Extra editing was needed for coherent structure. Barr </w:t>
      </w:r>
      <w:r>
        <w:rPr>
          <w:i/>
          <w:iCs/>
          <w:sz w:val="22"/>
          <w:szCs w:val="22"/>
        </w:rPr>
        <w:t>et al</w:t>
      </w:r>
      <w:r>
        <w:rPr>
          <w:sz w:val="22"/>
          <w:szCs w:val="22"/>
        </w:rPr>
        <w:t>. (2024) pointed out that effective discipline alignment enhances collaboration. There were problems with coord</w:t>
      </w:r>
      <w:r>
        <w:rPr>
          <w:sz w:val="22"/>
          <w:szCs w:val="22"/>
        </w:rPr>
        <w:t xml:space="preserve">inating the responses, which were delayed. Final checking was also needed with references to consistency. The mistakes in Harvard style must be rectified prior to submission. </w:t>
      </w:r>
      <w:proofErr w:type="spellStart"/>
      <w:r>
        <w:rPr>
          <w:sz w:val="22"/>
          <w:szCs w:val="22"/>
        </w:rPr>
        <w:t>Pellegrini</w:t>
      </w:r>
      <w:proofErr w:type="spellEnd"/>
      <w:r>
        <w:rPr>
          <w:sz w:val="22"/>
          <w:szCs w:val="22"/>
        </w:rPr>
        <w:t xml:space="preserve"> and </w:t>
      </w:r>
      <w:proofErr w:type="spellStart"/>
      <w:r>
        <w:rPr>
          <w:sz w:val="22"/>
          <w:szCs w:val="22"/>
        </w:rPr>
        <w:t>Lovati</w:t>
      </w:r>
      <w:proofErr w:type="spellEnd"/>
      <w:r>
        <w:rPr>
          <w:sz w:val="22"/>
          <w:szCs w:val="22"/>
        </w:rPr>
        <w:t xml:space="preserve"> (2025) emphasised that quality </w:t>
      </w:r>
      <w:r>
        <w:rPr>
          <w:sz w:val="22"/>
          <w:szCs w:val="22"/>
        </w:rPr>
        <w:lastRenderedPageBreak/>
        <w:t>communication contributes to stakeholder engagement. I also got to know that conflict can be fruitful when handled. Planned deadlines would enhance the efficiency of collaboration in the future. Scholarly uniformity might be enhanced by a previous review.</w:t>
      </w:r>
    </w:p>
    <w:p w14:paraId="422739B4" w14:textId="77777777" w:rsidR="00590A6D" w:rsidRDefault="00094411" w:rsidP="00805497">
      <w:pPr>
        <w:pStyle w:val="Heading2"/>
        <w:rPr>
          <w:sz w:val="22"/>
          <w:szCs w:val="22"/>
        </w:rPr>
      </w:pPr>
      <w:bookmarkStart w:id="28" w:name="_heading=h.nxo5dq3l2v29" w:colFirst="0" w:colLast="0"/>
      <w:bookmarkStart w:id="29" w:name="_Toc227754200"/>
      <w:bookmarkEnd w:id="28"/>
      <w:r>
        <w:rPr>
          <w:sz w:val="22"/>
          <w:szCs w:val="22"/>
        </w:rPr>
        <w:t>4.4 Personal Learning from Group Dynamics</w:t>
      </w:r>
      <w:bookmarkEnd w:id="29"/>
    </w:p>
    <w:p w14:paraId="75DD8A06" w14:textId="77777777" w:rsidR="00590A6D" w:rsidRDefault="00094411" w:rsidP="00805497">
      <w:pPr>
        <w:rPr>
          <w:sz w:val="22"/>
          <w:szCs w:val="22"/>
        </w:rPr>
      </w:pPr>
      <w:r>
        <w:rPr>
          <w:sz w:val="22"/>
          <w:szCs w:val="22"/>
        </w:rPr>
        <w:t xml:space="preserve">Some of the transferable professional skills that the group process had are as follows. Leadership was about promoting progress and not taking over discussions without any need. Encouraging leadership helped in keeping morale in tight situations. Greenfield </w:t>
      </w:r>
      <w:r>
        <w:rPr>
          <w:i/>
          <w:iCs/>
          <w:sz w:val="22"/>
          <w:szCs w:val="22"/>
        </w:rPr>
        <w:t>et al</w:t>
      </w:r>
      <w:r>
        <w:rPr>
          <w:sz w:val="22"/>
          <w:szCs w:val="22"/>
        </w:rPr>
        <w:t>. (2025) associated coordination with good person-centred care systems. The negotiation skills were enhanced, whereby there was a significant divergence of opinions. There was a need to compromise on content priorities at times. Often, by listening and paying attention, arguments were resolved in a constructive and speedy way. The quality of professional communication was enhanced with the help of rather brief and polite messaging patterns. Specific requests minimised the confusion and redundancy. Ther</w:t>
      </w:r>
      <w:r>
        <w:rPr>
          <w:sz w:val="22"/>
          <w:szCs w:val="22"/>
        </w:rPr>
        <w:t xml:space="preserve">e were also high levels of confidence in submitting collective ideas in front of the crowd. It was later more objective to get feedback. </w:t>
      </w:r>
      <w:proofErr w:type="spellStart"/>
      <w:r>
        <w:rPr>
          <w:sz w:val="22"/>
          <w:szCs w:val="22"/>
        </w:rPr>
        <w:t>Pellegrini</w:t>
      </w:r>
      <w:proofErr w:type="spellEnd"/>
      <w:r>
        <w:rPr>
          <w:sz w:val="22"/>
          <w:szCs w:val="22"/>
        </w:rPr>
        <w:t xml:space="preserve"> and </w:t>
      </w:r>
      <w:proofErr w:type="spellStart"/>
      <w:r>
        <w:rPr>
          <w:sz w:val="22"/>
          <w:szCs w:val="22"/>
        </w:rPr>
        <w:t>Lovati</w:t>
      </w:r>
      <w:proofErr w:type="spellEnd"/>
      <w:r>
        <w:rPr>
          <w:sz w:val="22"/>
          <w:szCs w:val="22"/>
        </w:rPr>
        <w:t xml:space="preserve"> (2025) advocated participatory communication that enhances the involvement of stakeholders. I got to know that emotional intelligence fosters effective teamwork to a large extent. Such multidisciplinary cooperation will be needed in the future. Such experiences, consequently, are directly relevant to the workplace. Powerful group dynamics may enhance </w:t>
      </w:r>
      <w:r>
        <w:rPr>
          <w:sz w:val="22"/>
          <w:szCs w:val="22"/>
        </w:rPr>
        <w:t>service performance, as well.</w:t>
      </w:r>
    </w:p>
    <w:p w14:paraId="4F050E00" w14:textId="77777777" w:rsidR="00590A6D" w:rsidRDefault="00094411" w:rsidP="00805497">
      <w:pPr>
        <w:pStyle w:val="Heading1"/>
        <w:rPr>
          <w:sz w:val="22"/>
          <w:szCs w:val="22"/>
        </w:rPr>
      </w:pPr>
      <w:bookmarkStart w:id="30" w:name="_heading=h.qayxt28l689x" w:colFirst="0" w:colLast="0"/>
      <w:bookmarkStart w:id="31" w:name="_Toc227754201"/>
      <w:bookmarkEnd w:id="30"/>
      <w:r>
        <w:rPr>
          <w:sz w:val="22"/>
          <w:szCs w:val="22"/>
        </w:rPr>
        <w:t>5. Product: Outcomes, Skills and Future Application</w:t>
      </w:r>
      <w:bookmarkEnd w:id="31"/>
    </w:p>
    <w:p w14:paraId="0FF6FFBA" w14:textId="77777777" w:rsidR="00590A6D" w:rsidRDefault="00094411" w:rsidP="00805497">
      <w:pPr>
        <w:pStyle w:val="Heading2"/>
        <w:rPr>
          <w:sz w:val="22"/>
          <w:szCs w:val="22"/>
        </w:rPr>
      </w:pPr>
      <w:bookmarkStart w:id="32" w:name="_heading=h.g5or5iq3jd22" w:colFirst="0" w:colLast="0"/>
      <w:bookmarkStart w:id="33" w:name="_Toc227754202"/>
      <w:bookmarkEnd w:id="32"/>
      <w:r>
        <w:rPr>
          <w:sz w:val="22"/>
          <w:szCs w:val="22"/>
        </w:rPr>
        <w:t>5.1 Success of the Group Task</w:t>
      </w:r>
      <w:bookmarkEnd w:id="33"/>
    </w:p>
    <w:p w14:paraId="11BD415D" w14:textId="77777777" w:rsidR="00590A6D" w:rsidRDefault="00094411" w:rsidP="00805497">
      <w:pPr>
        <w:rPr>
          <w:sz w:val="22"/>
          <w:szCs w:val="22"/>
        </w:rPr>
      </w:pPr>
      <w:r>
        <w:rPr>
          <w:sz w:val="22"/>
          <w:szCs w:val="22"/>
        </w:rPr>
        <w:t xml:space="preserve">The group exercise was successful to a greater extent. A consistent proposal was made on how to solve childhood obesity by means of integration. The last presentation appeared to be logically sequenced and clear. Important partners, obstacles, assets and outcomes were clarified. Coordinated integrated care to enhance service delivery was supported by Barr </w:t>
      </w:r>
      <w:r>
        <w:rPr>
          <w:i/>
          <w:iCs/>
          <w:sz w:val="22"/>
          <w:szCs w:val="22"/>
        </w:rPr>
        <w:t>et al</w:t>
      </w:r>
      <w:r>
        <w:rPr>
          <w:sz w:val="22"/>
          <w:szCs w:val="22"/>
        </w:rPr>
        <w:t>. (2024). The report was well structured, credible and practical with evidence-based recommendations. Tebaldi and Stokes (2022) spoke about how resource efficiency is enhanced with pooled funding. There were still more points of comparative critique that were needed. Good preparation achieved results in meeting learning outcomes and showed partnership understanding.</w:t>
      </w:r>
    </w:p>
    <w:p w14:paraId="24814881" w14:textId="77777777" w:rsidR="00590A6D" w:rsidRDefault="00094411" w:rsidP="00805497">
      <w:pPr>
        <w:pStyle w:val="Heading2"/>
        <w:rPr>
          <w:sz w:val="22"/>
          <w:szCs w:val="22"/>
        </w:rPr>
      </w:pPr>
      <w:bookmarkStart w:id="34" w:name="_heading=h.yf4c3hgod59h" w:colFirst="0" w:colLast="0"/>
      <w:bookmarkStart w:id="35" w:name="_Toc227754203"/>
      <w:bookmarkEnd w:id="34"/>
      <w:r>
        <w:rPr>
          <w:sz w:val="22"/>
          <w:szCs w:val="22"/>
        </w:rPr>
        <w:t>5.2 Skills Required for Integrated Care Practice</w:t>
      </w:r>
      <w:bookmarkEnd w:id="35"/>
    </w:p>
    <w:p w14:paraId="0EC74DCA" w14:textId="77777777" w:rsidR="00590A6D" w:rsidRDefault="00094411" w:rsidP="00805497">
      <w:pPr>
        <w:rPr>
          <w:rFonts w:ascii="Times New Roman" w:eastAsia="Times New Roman" w:hAnsi="Times New Roman" w:cs="Times New Roman"/>
        </w:rPr>
      </w:pPr>
      <w:r>
        <w:rPr>
          <w:sz w:val="22"/>
          <w:szCs w:val="22"/>
        </w:rPr>
        <w:t xml:space="preserve">In the field of integrated care, there are a number of advanced professional skills that are advanced. To get the different stakeholders on track, leadership is required. Communication aids in referrals, trust and common goals. Greenfield </w:t>
      </w:r>
      <w:r>
        <w:rPr>
          <w:i/>
          <w:iCs/>
          <w:sz w:val="22"/>
          <w:szCs w:val="22"/>
        </w:rPr>
        <w:t>et al</w:t>
      </w:r>
      <w:r>
        <w:rPr>
          <w:sz w:val="22"/>
          <w:szCs w:val="22"/>
        </w:rPr>
        <w:t xml:space="preserve">. (2025) associated coordination with service redesign. Cultural competence enhances accessibility to various communities in a great way. Treating beliefs with respect enhances the intervention uptake and engagement </w:t>
      </w:r>
      <w:r>
        <w:t>(Oparah et al., 2025)</w:t>
      </w:r>
      <w:r>
        <w:rPr>
          <w:sz w:val="22"/>
          <w:szCs w:val="22"/>
        </w:rPr>
        <w:t xml:space="preserve">. With the assistance of systems thinking, interrelated social </w:t>
      </w:r>
      <w:r>
        <w:rPr>
          <w:sz w:val="22"/>
          <w:szCs w:val="22"/>
        </w:rPr>
        <w:lastRenderedPageBreak/>
        <w:t xml:space="preserve">determinants are easily identified. There are seldom issues that occur in a single organisation. Barr </w:t>
      </w:r>
      <w:r>
        <w:rPr>
          <w:i/>
          <w:iCs/>
          <w:sz w:val="22"/>
          <w:szCs w:val="22"/>
        </w:rPr>
        <w:t>et al</w:t>
      </w:r>
      <w:r>
        <w:rPr>
          <w:sz w:val="22"/>
          <w:szCs w:val="22"/>
        </w:rPr>
        <w:t>. (2024) accentuated combined approaches to dealing with multifaceted needs. Evidence-based planning</w:t>
      </w:r>
      <w:r>
        <w:rPr>
          <w:sz w:val="22"/>
          <w:szCs w:val="22"/>
        </w:rPr>
        <w:t xml:space="preserve"> and evaluation is assisted by critical analysis. Making decisions is frequently under constrained resources. The priorities should be balanced in terms of equity, cost and outcomes. The competencies are crucial to the sustainable integrated practice. They are also effective in enhancing responsiveness in complex environments.</w:t>
      </w:r>
    </w:p>
    <w:p w14:paraId="0EFFF875" w14:textId="77777777" w:rsidR="00590A6D" w:rsidRDefault="00094411" w:rsidP="00805497">
      <w:pPr>
        <w:pStyle w:val="Heading2"/>
        <w:rPr>
          <w:sz w:val="22"/>
          <w:szCs w:val="22"/>
        </w:rPr>
      </w:pPr>
      <w:bookmarkStart w:id="36" w:name="_heading=h.q137ppbcxh0z" w:colFirst="0" w:colLast="0"/>
      <w:bookmarkStart w:id="37" w:name="_Toc227754204"/>
      <w:bookmarkEnd w:id="36"/>
      <w:r>
        <w:rPr>
          <w:sz w:val="22"/>
          <w:szCs w:val="22"/>
        </w:rPr>
        <w:t>5.3 My Professional Development</w:t>
      </w:r>
      <w:bookmarkEnd w:id="37"/>
    </w:p>
    <w:p w14:paraId="0CEB4B37" w14:textId="77777777" w:rsidR="00590A6D" w:rsidRDefault="00094411" w:rsidP="00805497">
      <w:pPr>
        <w:rPr>
          <w:sz w:val="22"/>
          <w:szCs w:val="22"/>
        </w:rPr>
      </w:pPr>
      <w:r>
        <w:rPr>
          <w:sz w:val="22"/>
          <w:szCs w:val="22"/>
        </w:rPr>
        <w:t xml:space="preserve">This learning experience enhanced self-confidence and knowledge of multi-agency professional practice. Dixon </w:t>
      </w:r>
      <w:r>
        <w:rPr>
          <w:i/>
          <w:iCs/>
          <w:sz w:val="22"/>
          <w:szCs w:val="22"/>
        </w:rPr>
        <w:t>et al</w:t>
      </w:r>
      <w:r>
        <w:rPr>
          <w:sz w:val="22"/>
          <w:szCs w:val="22"/>
        </w:rPr>
        <w:t xml:space="preserve">. (2022) emphasised cooperation in learning between partner agencies. Literature selection was done in a structured manner, which enhanced research skills. Credibility of the sources was considered more when drafting. Repeated stages of editing also enhanced academic writing. Arguments needed to be more evident in associating evidence with claims. </w:t>
      </w:r>
      <w:proofErr w:type="spellStart"/>
      <w:r>
        <w:rPr>
          <w:sz w:val="22"/>
          <w:szCs w:val="22"/>
        </w:rPr>
        <w:t>Pellegrini</w:t>
      </w:r>
      <w:proofErr w:type="spellEnd"/>
      <w:r>
        <w:rPr>
          <w:sz w:val="22"/>
          <w:szCs w:val="22"/>
        </w:rPr>
        <w:t xml:space="preserve"> and </w:t>
      </w:r>
      <w:proofErr w:type="spellStart"/>
      <w:r>
        <w:rPr>
          <w:sz w:val="22"/>
          <w:szCs w:val="22"/>
        </w:rPr>
        <w:t>Lovati</w:t>
      </w:r>
      <w:proofErr w:type="spellEnd"/>
      <w:r>
        <w:rPr>
          <w:sz w:val="22"/>
          <w:szCs w:val="22"/>
        </w:rPr>
        <w:t xml:space="preserve"> (2025) emphasised the importance of effective communication to enhance the results of engagement. Awareness of time management also imp</w:t>
      </w:r>
      <w:r>
        <w:rPr>
          <w:sz w:val="22"/>
          <w:szCs w:val="22"/>
        </w:rPr>
        <w:t>roved tremendously. Past planning would enhance performance in the future. These innovations help in postgraduate and workplace preparedness.</w:t>
      </w:r>
    </w:p>
    <w:p w14:paraId="39B144FD" w14:textId="77777777" w:rsidR="00590A6D" w:rsidRDefault="00094411" w:rsidP="00805497">
      <w:pPr>
        <w:pStyle w:val="Heading2"/>
        <w:rPr>
          <w:sz w:val="22"/>
          <w:szCs w:val="22"/>
        </w:rPr>
      </w:pPr>
      <w:bookmarkStart w:id="38" w:name="_heading=h.yzmbxc9oycep" w:colFirst="0" w:colLast="0"/>
      <w:bookmarkStart w:id="39" w:name="_Toc227754205"/>
      <w:bookmarkEnd w:id="38"/>
      <w:r>
        <w:rPr>
          <w:sz w:val="22"/>
          <w:szCs w:val="22"/>
        </w:rPr>
        <w:t>5.4 Future Application to Real Health and Social Care Practice</w:t>
      </w:r>
      <w:bookmarkEnd w:id="39"/>
    </w:p>
    <w:p w14:paraId="60B066BD" w14:textId="77777777" w:rsidR="00590A6D" w:rsidRDefault="00094411" w:rsidP="00805497">
      <w:pPr>
        <w:rPr>
          <w:sz w:val="22"/>
          <w:szCs w:val="22"/>
        </w:rPr>
      </w:pPr>
      <w:r>
        <w:rPr>
          <w:sz w:val="22"/>
          <w:szCs w:val="22"/>
        </w:rPr>
        <w:t xml:space="preserve">This project has both direct workplace and academic implications in terms of learning. The complex needs need to be met with a coordinated response in the future. The inequalities often cannot be addressed by a single agency. Service-user-centred care should be kept as the priority. Lived experiences and preferences should be considered in the planning. Relevancy and trust can be enhanced through community voices. NHS England (2023) has focused on collaboration with communities in the planning of services. </w:t>
      </w:r>
      <w:r>
        <w:rPr>
          <w:sz w:val="22"/>
          <w:szCs w:val="22"/>
        </w:rPr>
        <w:t xml:space="preserve">It is also professionally necessary today that continuous improvement should be done. The measurable indicators (BMI trends, participation rates, and behavioural changes) can be used to carry out continuous assessment and improvement (Vlad </w:t>
      </w:r>
      <w:r>
        <w:rPr>
          <w:i/>
          <w:iCs/>
          <w:sz w:val="22"/>
          <w:szCs w:val="22"/>
        </w:rPr>
        <w:t>et al</w:t>
      </w:r>
      <w:r>
        <w:rPr>
          <w:sz w:val="22"/>
          <w:szCs w:val="22"/>
        </w:rPr>
        <w:t>., 2023). Feedback should be used to review the outcomes. Adaptation enables services to react in a better manner. Reflective practice is able to recognise weaknesses and strengths. This attitude helps to provide safer and more appropriate care. Integrated learning i</w:t>
      </w:r>
      <w:r>
        <w:rPr>
          <w:sz w:val="22"/>
          <w:szCs w:val="22"/>
        </w:rPr>
        <w:t>s thus useful even outside the world of academia.</w:t>
      </w:r>
    </w:p>
    <w:p w14:paraId="6A624FC7" w14:textId="77777777" w:rsidR="00590A6D" w:rsidRDefault="00094411" w:rsidP="00805497">
      <w:pPr>
        <w:pStyle w:val="Heading1"/>
        <w:rPr>
          <w:sz w:val="22"/>
          <w:szCs w:val="22"/>
        </w:rPr>
      </w:pPr>
      <w:bookmarkStart w:id="40" w:name="_heading=h.nld1lvv6shrh" w:colFirst="0" w:colLast="0"/>
      <w:bookmarkStart w:id="41" w:name="_Toc227754206"/>
      <w:bookmarkEnd w:id="40"/>
      <w:r>
        <w:rPr>
          <w:sz w:val="22"/>
          <w:szCs w:val="22"/>
        </w:rPr>
        <w:t>6. Conclusion</w:t>
      </w:r>
      <w:bookmarkEnd w:id="41"/>
    </w:p>
    <w:p w14:paraId="589B6D71" w14:textId="77777777" w:rsidR="00590A6D" w:rsidRDefault="00094411" w:rsidP="00805497">
      <w:pPr>
        <w:rPr>
          <w:sz w:val="22"/>
          <w:szCs w:val="22"/>
        </w:rPr>
      </w:pPr>
      <w:r>
        <w:rPr>
          <w:sz w:val="22"/>
          <w:szCs w:val="22"/>
        </w:rPr>
        <w:t>Through this reflection, I enhanced my concept of service integration, partnership working, and evidence-based planning in dealing with complex needs. Teamwork fostered communication, leadership, and team problem-solving skills. I realised that the best results are achieved when there is coordination of multiple agencies. The experiences will inform my future practice as a professional by supporting person-centred, informed and collaborative decision-making.</w:t>
      </w:r>
      <w:r>
        <w:br w:type="page"/>
      </w:r>
    </w:p>
    <w:p w14:paraId="5DC27452" w14:textId="77777777" w:rsidR="00590A6D" w:rsidRDefault="00094411" w:rsidP="00805497">
      <w:pPr>
        <w:pStyle w:val="Heading1"/>
        <w:rPr>
          <w:sz w:val="22"/>
          <w:szCs w:val="22"/>
        </w:rPr>
      </w:pPr>
      <w:bookmarkStart w:id="42" w:name="_heading=h.6jk1wmoemtds" w:colFirst="0" w:colLast="0"/>
      <w:bookmarkStart w:id="43" w:name="_Toc227754207"/>
      <w:bookmarkEnd w:id="42"/>
      <w:r>
        <w:rPr>
          <w:sz w:val="22"/>
          <w:szCs w:val="22"/>
        </w:rPr>
        <w:lastRenderedPageBreak/>
        <w:t>Reference List</w:t>
      </w:r>
      <w:bookmarkEnd w:id="43"/>
    </w:p>
    <w:p w14:paraId="417D56DE" w14:textId="77777777" w:rsidR="00805497" w:rsidRDefault="00805497" w:rsidP="00805497">
      <w:pPr>
        <w:pBdr>
          <w:top w:val="nil"/>
          <w:left w:val="nil"/>
          <w:bottom w:val="nil"/>
          <w:right w:val="nil"/>
          <w:between w:val="nil"/>
        </w:pBdr>
        <w:jc w:val="left"/>
        <w:rPr>
          <w:color w:val="000000"/>
          <w:sz w:val="22"/>
          <w:szCs w:val="22"/>
        </w:rPr>
      </w:pPr>
      <w:r>
        <w:rPr>
          <w:color w:val="000000"/>
          <w:sz w:val="22"/>
          <w:szCs w:val="22"/>
        </w:rPr>
        <w:t xml:space="preserve">Barber, L.K., Kuykendall, L.E. and </w:t>
      </w:r>
      <w:proofErr w:type="spellStart"/>
      <w:r>
        <w:rPr>
          <w:color w:val="000000"/>
          <w:sz w:val="22"/>
          <w:szCs w:val="22"/>
        </w:rPr>
        <w:t>Santuzzi</w:t>
      </w:r>
      <w:proofErr w:type="spellEnd"/>
      <w:r>
        <w:rPr>
          <w:color w:val="000000"/>
          <w:sz w:val="22"/>
          <w:szCs w:val="22"/>
        </w:rPr>
        <w:t xml:space="preserve">, A.M. (2023) ‘How managers can reduce ‘always on’ work stress in teams: An optimal work availability framework’, </w:t>
      </w:r>
      <w:r>
        <w:rPr>
          <w:i/>
          <w:iCs/>
          <w:color w:val="000000"/>
          <w:sz w:val="22"/>
          <w:szCs w:val="22"/>
        </w:rPr>
        <w:t>Organizational Dynamics</w:t>
      </w:r>
      <w:r>
        <w:rPr>
          <w:color w:val="000000"/>
          <w:sz w:val="22"/>
          <w:szCs w:val="22"/>
        </w:rPr>
        <w:t xml:space="preserve">, 52(3), p.100992. </w:t>
      </w:r>
      <w:proofErr w:type="spellStart"/>
      <w:r>
        <w:rPr>
          <w:color w:val="000000"/>
          <w:sz w:val="22"/>
          <w:szCs w:val="22"/>
        </w:rPr>
        <w:t>doi:https</w:t>
      </w:r>
      <w:proofErr w:type="spellEnd"/>
      <w:r>
        <w:rPr>
          <w:color w:val="000000"/>
          <w:sz w:val="22"/>
          <w:szCs w:val="22"/>
        </w:rPr>
        <w:t>://doi.org/10.1016/j.orgdyn.2023.100992.</w:t>
      </w:r>
    </w:p>
    <w:p w14:paraId="007A4E7B" w14:textId="77777777" w:rsidR="00805497" w:rsidRDefault="00805497" w:rsidP="00805497">
      <w:pPr>
        <w:rPr>
          <w:color w:val="1155CC"/>
          <w:sz w:val="22"/>
          <w:szCs w:val="22"/>
          <w:u w:val="single"/>
        </w:rPr>
      </w:pPr>
      <w:r>
        <w:rPr>
          <w:sz w:val="22"/>
          <w:szCs w:val="22"/>
        </w:rPr>
        <w:t xml:space="preserve">Barr, H., Anderson, E.S. and Hutchings, M. (2024) ‘Understanding integrated care’, Journal of Interprofessional Care, 38(6), pp. 974–984. Available at: </w:t>
      </w:r>
      <w:hyperlink r:id="rId9">
        <w:r>
          <w:rPr>
            <w:color w:val="1155CC"/>
            <w:sz w:val="22"/>
            <w:szCs w:val="22"/>
            <w:u w:val="single"/>
          </w:rPr>
          <w:t>https://doi.org/10.1080/13561820.2024.2405550</w:t>
        </w:r>
      </w:hyperlink>
    </w:p>
    <w:p w14:paraId="6F217143" w14:textId="77777777" w:rsidR="00805497" w:rsidRDefault="00805497" w:rsidP="00805497">
      <w:pPr>
        <w:rPr>
          <w:color w:val="1155CC"/>
          <w:sz w:val="22"/>
          <w:szCs w:val="22"/>
          <w:u w:val="single"/>
        </w:rPr>
      </w:pPr>
      <w:r>
        <w:rPr>
          <w:sz w:val="22"/>
          <w:szCs w:val="22"/>
        </w:rPr>
        <w:t xml:space="preserve">Couturier, Y., Lanoue, S., Karam, M., Guillette, M. and Hudon, C. (2022) ‘Social workers coordination in primary healthcare for patients with complex needs: A scoping review’, International Journal of Care Coordination, 26(1), pp. 5–25. Available at: </w:t>
      </w:r>
      <w:hyperlink r:id="rId10">
        <w:r>
          <w:rPr>
            <w:color w:val="1155CC"/>
            <w:sz w:val="22"/>
            <w:szCs w:val="22"/>
            <w:u w:val="single"/>
          </w:rPr>
          <w:t>https://doi.org/10.1177/20534345221122952</w:t>
        </w:r>
      </w:hyperlink>
    </w:p>
    <w:p w14:paraId="71031A76" w14:textId="77777777" w:rsidR="00805497" w:rsidRDefault="00805497" w:rsidP="00805497">
      <w:pPr>
        <w:rPr>
          <w:color w:val="1155CC"/>
          <w:sz w:val="22"/>
          <w:szCs w:val="22"/>
          <w:u w:val="single"/>
        </w:rPr>
      </w:pPr>
      <w:r>
        <w:rPr>
          <w:sz w:val="22"/>
          <w:szCs w:val="22"/>
        </w:rPr>
        <w:t xml:space="preserve">Dixon, S., Kendall, B., Driscoll, J. and Pope, C. (2022) ‘Supporting the ‘multi’ in multi-agency working: learning with and from each other could enable multi-agency safeguarding’, </w:t>
      </w:r>
      <w:r>
        <w:rPr>
          <w:i/>
          <w:iCs/>
          <w:sz w:val="22"/>
          <w:szCs w:val="22"/>
        </w:rPr>
        <w:t>The British Journal of General Practice</w:t>
      </w:r>
      <w:r>
        <w:rPr>
          <w:sz w:val="22"/>
          <w:szCs w:val="22"/>
        </w:rPr>
        <w:t xml:space="preserve">, 72(722), p. 438. Available at: </w:t>
      </w:r>
      <w:hyperlink r:id="rId11">
        <w:r>
          <w:rPr>
            <w:color w:val="1155CC"/>
            <w:sz w:val="22"/>
            <w:szCs w:val="22"/>
            <w:u w:val="single"/>
          </w:rPr>
          <w:t>https://doi.org/10.3399/bjgp22X720617</w:t>
        </w:r>
      </w:hyperlink>
    </w:p>
    <w:p w14:paraId="1F1B27AA" w14:textId="77777777" w:rsidR="00805497" w:rsidRDefault="00805497" w:rsidP="00805497">
      <w:pPr>
        <w:rPr>
          <w:color w:val="1155CC"/>
          <w:sz w:val="22"/>
          <w:szCs w:val="22"/>
          <w:u w:val="single"/>
        </w:rPr>
      </w:pPr>
      <w:proofErr w:type="spellStart"/>
      <w:r>
        <w:rPr>
          <w:sz w:val="22"/>
          <w:szCs w:val="22"/>
        </w:rPr>
        <w:t>Durrance-Bagale</w:t>
      </w:r>
      <w:proofErr w:type="spellEnd"/>
      <w:r>
        <w:rPr>
          <w:sz w:val="22"/>
          <w:szCs w:val="22"/>
        </w:rPr>
        <w:t xml:space="preserve">, A., Marzouk, M., Tung, L.S., Agarwal, S., </w:t>
      </w:r>
      <w:proofErr w:type="spellStart"/>
      <w:r>
        <w:rPr>
          <w:sz w:val="22"/>
          <w:szCs w:val="22"/>
        </w:rPr>
        <w:t>Aribou</w:t>
      </w:r>
      <w:proofErr w:type="spellEnd"/>
      <w:r>
        <w:rPr>
          <w:sz w:val="22"/>
          <w:szCs w:val="22"/>
        </w:rPr>
        <w:t xml:space="preserve">, Z.M., Ibrahim, N.B.M., </w:t>
      </w:r>
      <w:proofErr w:type="spellStart"/>
      <w:r>
        <w:rPr>
          <w:sz w:val="22"/>
          <w:szCs w:val="22"/>
        </w:rPr>
        <w:t>Mkhallalati</w:t>
      </w:r>
      <w:proofErr w:type="spellEnd"/>
      <w:r>
        <w:rPr>
          <w:sz w:val="22"/>
          <w:szCs w:val="22"/>
        </w:rPr>
        <w:t xml:space="preserve">, H., Newaz, S., Omar, M., Ung, M., Zaseela, A., Nagashima-Hayashi, M. and Howard, N. (2022) ‘Community engagement in health systems interventions and research in conflict-affected countries: A scoping review of approaches’, Global Health Action, 15(1). Available at: </w:t>
      </w:r>
      <w:hyperlink r:id="rId12">
        <w:r>
          <w:rPr>
            <w:color w:val="1155CC"/>
            <w:sz w:val="22"/>
            <w:szCs w:val="22"/>
            <w:u w:val="single"/>
          </w:rPr>
          <w:t>https://doi.org/10.1080/16549716.2022.2074131</w:t>
        </w:r>
      </w:hyperlink>
    </w:p>
    <w:p w14:paraId="6FCD75E7" w14:textId="77777777" w:rsidR="00805497" w:rsidRDefault="00805497" w:rsidP="00805497">
      <w:pPr>
        <w:rPr>
          <w:color w:val="1155CC"/>
          <w:sz w:val="22"/>
          <w:szCs w:val="22"/>
          <w:u w:val="single"/>
        </w:rPr>
      </w:pPr>
      <w:r>
        <w:rPr>
          <w:sz w:val="22"/>
          <w:szCs w:val="22"/>
        </w:rPr>
        <w:t xml:space="preserve">Eveleigh, E.R., Nixon, L., O’Donoghue, M., Singh, P., McDonald, R., Ucci, M. and Sheringham, J. (2025) ‘Interconnected factors influencing family health and wellbeing in overcrowded homes and points for intervention – A qualitative study in London’, Wellbeing, Space and Society, 8, p. 100250. Available at: </w:t>
      </w:r>
      <w:hyperlink r:id="rId13">
        <w:r>
          <w:rPr>
            <w:color w:val="1155CC"/>
            <w:sz w:val="22"/>
            <w:szCs w:val="22"/>
            <w:u w:val="single"/>
          </w:rPr>
          <w:t>https://doi.org/10.1016/j.wss.2025.100250</w:t>
        </w:r>
      </w:hyperlink>
    </w:p>
    <w:p w14:paraId="38311442" w14:textId="77777777" w:rsidR="00805497" w:rsidRDefault="00805497" w:rsidP="00805497">
      <w:pPr>
        <w:rPr>
          <w:color w:val="1155CC"/>
          <w:sz w:val="22"/>
          <w:szCs w:val="22"/>
          <w:u w:val="single"/>
        </w:rPr>
      </w:pPr>
      <w:r>
        <w:rPr>
          <w:sz w:val="22"/>
          <w:szCs w:val="22"/>
        </w:rPr>
        <w:t xml:space="preserve">Gold, R., Kaufmann, J., Cottrell, E.K., Bunce, A., </w:t>
      </w:r>
      <w:proofErr w:type="spellStart"/>
      <w:r>
        <w:rPr>
          <w:sz w:val="22"/>
          <w:szCs w:val="22"/>
        </w:rPr>
        <w:t>Sheppler</w:t>
      </w:r>
      <w:proofErr w:type="spellEnd"/>
      <w:r>
        <w:rPr>
          <w:sz w:val="22"/>
          <w:szCs w:val="22"/>
        </w:rPr>
        <w:t xml:space="preserve">, C.R., </w:t>
      </w:r>
      <w:proofErr w:type="spellStart"/>
      <w:r>
        <w:rPr>
          <w:sz w:val="22"/>
          <w:szCs w:val="22"/>
        </w:rPr>
        <w:t>Hoopes</w:t>
      </w:r>
      <w:proofErr w:type="spellEnd"/>
      <w:r>
        <w:rPr>
          <w:sz w:val="22"/>
          <w:szCs w:val="22"/>
        </w:rPr>
        <w:t xml:space="preserve">, M., </w:t>
      </w:r>
      <w:proofErr w:type="spellStart"/>
      <w:r>
        <w:rPr>
          <w:sz w:val="22"/>
          <w:szCs w:val="22"/>
        </w:rPr>
        <w:t>Krancari</w:t>
      </w:r>
      <w:proofErr w:type="spellEnd"/>
      <w:r>
        <w:rPr>
          <w:sz w:val="22"/>
          <w:szCs w:val="22"/>
        </w:rPr>
        <w:t xml:space="preserve">, M., Gottlieb, L.M., Bowen, M., Bava, J., Mossman, N., Yosuf, N. and Marino, M. (2023) ‘Implementation support for a social risk screening and referral process in community health </w:t>
      </w:r>
      <w:proofErr w:type="spellStart"/>
      <w:r>
        <w:rPr>
          <w:sz w:val="22"/>
          <w:szCs w:val="22"/>
        </w:rPr>
        <w:t>centers</w:t>
      </w:r>
      <w:proofErr w:type="spellEnd"/>
      <w:r>
        <w:rPr>
          <w:sz w:val="22"/>
          <w:szCs w:val="22"/>
        </w:rPr>
        <w:t xml:space="preserve">’, NEJM Catalyst, 4(4). Available at: </w:t>
      </w:r>
      <w:hyperlink r:id="rId14">
        <w:r>
          <w:rPr>
            <w:color w:val="1155CC"/>
            <w:sz w:val="22"/>
            <w:szCs w:val="22"/>
            <w:u w:val="single"/>
          </w:rPr>
          <w:t>https://doi.org/10.1056/cat.23.0034</w:t>
        </w:r>
      </w:hyperlink>
    </w:p>
    <w:p w14:paraId="4DE2ECD6" w14:textId="77777777" w:rsidR="00805497" w:rsidRDefault="00805497" w:rsidP="00805497">
      <w:pPr>
        <w:rPr>
          <w:color w:val="1155CC"/>
          <w:sz w:val="22"/>
          <w:szCs w:val="22"/>
          <w:u w:val="single"/>
        </w:rPr>
      </w:pPr>
      <w:r>
        <w:rPr>
          <w:sz w:val="22"/>
          <w:szCs w:val="22"/>
        </w:rPr>
        <w:t xml:space="preserve">Greenfield, D., Ellis, J., </w:t>
      </w:r>
      <w:proofErr w:type="spellStart"/>
      <w:r>
        <w:rPr>
          <w:sz w:val="22"/>
          <w:szCs w:val="22"/>
        </w:rPr>
        <w:t>Eljiz</w:t>
      </w:r>
      <w:proofErr w:type="spellEnd"/>
      <w:r>
        <w:rPr>
          <w:sz w:val="22"/>
          <w:szCs w:val="22"/>
        </w:rPr>
        <w:t xml:space="preserve">, K., Medlin, J., Derrett, A. and Loy, G. (2025) ‘Redesigning the future for person-centric care through organisational integration and coordination across the health and community sectors: Experience from Australia’, International Journal of Health Governance. Available at: </w:t>
      </w:r>
      <w:hyperlink r:id="rId15">
        <w:r>
          <w:rPr>
            <w:color w:val="1155CC"/>
            <w:sz w:val="22"/>
            <w:szCs w:val="22"/>
            <w:u w:val="single"/>
          </w:rPr>
          <w:t>https://doi.org/10.1108/ijhg-12-2024-0150</w:t>
        </w:r>
      </w:hyperlink>
    </w:p>
    <w:p w14:paraId="15A4A4D0" w14:textId="77777777" w:rsidR="00805497" w:rsidRDefault="00805497" w:rsidP="00805497">
      <w:proofErr w:type="spellStart"/>
      <w:r>
        <w:rPr>
          <w:color w:val="222222"/>
          <w:sz w:val="22"/>
          <w:szCs w:val="22"/>
          <w:highlight w:val="white"/>
        </w:rPr>
        <w:t>Jusar</w:t>
      </w:r>
      <w:proofErr w:type="spellEnd"/>
      <w:r>
        <w:rPr>
          <w:color w:val="222222"/>
          <w:sz w:val="22"/>
          <w:szCs w:val="22"/>
          <w:highlight w:val="white"/>
        </w:rPr>
        <w:t xml:space="preserve">, I.R. and Aziz, I. (2023) ‘Evaluation program approach in education’, </w:t>
      </w:r>
      <w:r>
        <w:rPr>
          <w:i/>
          <w:iCs/>
          <w:color w:val="222222"/>
          <w:sz w:val="22"/>
          <w:szCs w:val="22"/>
          <w:highlight w:val="white"/>
        </w:rPr>
        <w:t>JURNAL PAJAR (</w:t>
      </w:r>
      <w:proofErr w:type="spellStart"/>
      <w:r>
        <w:rPr>
          <w:i/>
          <w:iCs/>
          <w:color w:val="222222"/>
          <w:sz w:val="22"/>
          <w:szCs w:val="22"/>
          <w:highlight w:val="white"/>
        </w:rPr>
        <w:t>Pendidikan</w:t>
      </w:r>
      <w:proofErr w:type="spellEnd"/>
      <w:r>
        <w:rPr>
          <w:i/>
          <w:iCs/>
          <w:color w:val="222222"/>
          <w:sz w:val="22"/>
          <w:szCs w:val="22"/>
          <w:highlight w:val="white"/>
        </w:rPr>
        <w:t xml:space="preserve"> Dan </w:t>
      </w:r>
      <w:proofErr w:type="spellStart"/>
      <w:r>
        <w:rPr>
          <w:i/>
          <w:iCs/>
          <w:color w:val="222222"/>
          <w:sz w:val="22"/>
          <w:szCs w:val="22"/>
          <w:highlight w:val="white"/>
        </w:rPr>
        <w:t>Pengajaran</w:t>
      </w:r>
      <w:proofErr w:type="spellEnd"/>
      <w:r>
        <w:rPr>
          <w:i/>
          <w:iCs/>
          <w:color w:val="222222"/>
          <w:sz w:val="22"/>
          <w:szCs w:val="22"/>
          <w:highlight w:val="white"/>
        </w:rPr>
        <w:t>)</w:t>
      </w:r>
      <w:r>
        <w:rPr>
          <w:color w:val="222222"/>
          <w:sz w:val="22"/>
          <w:szCs w:val="22"/>
          <w:highlight w:val="white"/>
        </w:rPr>
        <w:t xml:space="preserve">, 7(1), pp.83-90. Available at: </w:t>
      </w:r>
      <w:hyperlink r:id="rId16">
        <w:r>
          <w:rPr>
            <w:color w:val="1155CC"/>
            <w:sz w:val="22"/>
            <w:szCs w:val="22"/>
            <w:highlight w:val="white"/>
            <w:u w:val="single"/>
          </w:rPr>
          <w:t>https://doi.org/10.33578/pjr.v7i1.9095</w:t>
        </w:r>
      </w:hyperlink>
    </w:p>
    <w:p w14:paraId="68537595" w14:textId="77777777" w:rsidR="00805497" w:rsidRDefault="00805497" w:rsidP="00805497">
      <w:pPr>
        <w:rPr>
          <w:color w:val="1155CC"/>
          <w:sz w:val="22"/>
          <w:szCs w:val="22"/>
          <w:u w:val="single"/>
        </w:rPr>
      </w:pPr>
      <w:r>
        <w:rPr>
          <w:sz w:val="22"/>
          <w:szCs w:val="22"/>
        </w:rPr>
        <w:lastRenderedPageBreak/>
        <w:t xml:space="preserve">Keith, R.S., Baker, C., Senior, L. and Adegboye, A.R.A. (2022) ‘Exploring young child feeding practices and perceptions in Tower Hamlets, with a focus on sugar’, World Nutrition, 13(1), pp. 88–107. Available at: </w:t>
      </w:r>
      <w:hyperlink r:id="rId17">
        <w:r>
          <w:rPr>
            <w:color w:val="1155CC"/>
            <w:sz w:val="22"/>
            <w:szCs w:val="22"/>
            <w:u w:val="single"/>
          </w:rPr>
          <w:t>https://doi.org/10.26596/wn.202213188-107</w:t>
        </w:r>
      </w:hyperlink>
    </w:p>
    <w:p w14:paraId="64D2D3E8" w14:textId="77777777" w:rsidR="00805497" w:rsidRDefault="00805497" w:rsidP="00805497">
      <w:pPr>
        <w:rPr>
          <w:color w:val="1155CC"/>
          <w:sz w:val="22"/>
          <w:szCs w:val="22"/>
          <w:u w:val="single"/>
        </w:rPr>
      </w:pPr>
      <w:r>
        <w:rPr>
          <w:sz w:val="22"/>
          <w:szCs w:val="22"/>
        </w:rPr>
        <w:t>Miller, A.S., Ranganathan, K. and Cahill, S. (2024) ‘</w:t>
      </w:r>
      <w:proofErr w:type="spellStart"/>
      <w:r>
        <w:rPr>
          <w:sz w:val="22"/>
          <w:szCs w:val="22"/>
        </w:rPr>
        <w:t>Nondiscrimination</w:t>
      </w:r>
      <w:proofErr w:type="spellEnd"/>
      <w:r>
        <w:rPr>
          <w:sz w:val="22"/>
          <w:szCs w:val="22"/>
        </w:rPr>
        <w:t xml:space="preserve"> protections in gender-affirming surgery: US government’s proposed update to Section 1557 of the Affordable Care Act’, Plastic and Reconstructive Surgery: Global Open, 12(1), pp. e5528–e5528. Available at: </w:t>
      </w:r>
      <w:hyperlink r:id="rId18">
        <w:r>
          <w:rPr>
            <w:color w:val="1155CC"/>
            <w:sz w:val="22"/>
            <w:szCs w:val="22"/>
            <w:u w:val="single"/>
          </w:rPr>
          <w:t>https://doi.org/10.1097/gox.0000000000005528</w:t>
        </w:r>
      </w:hyperlink>
    </w:p>
    <w:p w14:paraId="07185203" w14:textId="77777777" w:rsidR="00805497" w:rsidRDefault="00805497" w:rsidP="00805497">
      <w:pPr>
        <w:rPr>
          <w:sz w:val="22"/>
          <w:szCs w:val="22"/>
        </w:rPr>
      </w:pPr>
      <w:r>
        <w:rPr>
          <w:sz w:val="22"/>
          <w:szCs w:val="22"/>
        </w:rPr>
        <w:t xml:space="preserve">NHS England (2023) </w:t>
      </w:r>
      <w:r>
        <w:rPr>
          <w:i/>
          <w:iCs/>
          <w:sz w:val="22"/>
          <w:szCs w:val="22"/>
        </w:rPr>
        <w:t>Working in partnership with people and communities: statutory guidance</w:t>
      </w:r>
      <w:r>
        <w:rPr>
          <w:sz w:val="22"/>
          <w:szCs w:val="22"/>
        </w:rPr>
        <w:t xml:space="preserve">. Available at: </w:t>
      </w:r>
      <w:hyperlink r:id="rId19">
        <w:r>
          <w:rPr>
            <w:color w:val="1155CC"/>
            <w:sz w:val="22"/>
            <w:szCs w:val="22"/>
            <w:u w:val="single"/>
          </w:rPr>
          <w:t>https://www.england.nhs.uk/long-read/working-in-partnership-with-people-and-communities-statutory-guidance/</w:t>
        </w:r>
      </w:hyperlink>
      <w:r>
        <w:rPr>
          <w:sz w:val="22"/>
          <w:szCs w:val="22"/>
        </w:rPr>
        <w:t xml:space="preserve"> (Accessed: 16 April 2026)</w:t>
      </w:r>
    </w:p>
    <w:p w14:paraId="4B0EF1B0" w14:textId="77777777" w:rsidR="00805497" w:rsidRDefault="00805497" w:rsidP="00805497">
      <w:pPr>
        <w:rPr>
          <w:sz w:val="22"/>
          <w:szCs w:val="22"/>
        </w:rPr>
      </w:pPr>
      <w:r>
        <w:rPr>
          <w:sz w:val="22"/>
          <w:szCs w:val="22"/>
        </w:rPr>
        <w:t xml:space="preserve">NHS England (2024) </w:t>
      </w:r>
      <w:r>
        <w:rPr>
          <w:i/>
          <w:iCs/>
          <w:sz w:val="22"/>
          <w:szCs w:val="22"/>
        </w:rPr>
        <w:t>What are Integrated Care Systems?</w:t>
      </w:r>
      <w:r>
        <w:rPr>
          <w:sz w:val="22"/>
          <w:szCs w:val="22"/>
        </w:rPr>
        <w:t xml:space="preserve"> Available at: </w:t>
      </w:r>
      <w:hyperlink r:id="rId20">
        <w:r>
          <w:rPr>
            <w:color w:val="1155CC"/>
            <w:sz w:val="22"/>
            <w:szCs w:val="22"/>
            <w:u w:val="single"/>
          </w:rPr>
          <w:t>https://www.england.nhs.uk/integratedcare/what-is-integrated-care/</w:t>
        </w:r>
      </w:hyperlink>
      <w:r>
        <w:rPr>
          <w:sz w:val="22"/>
          <w:szCs w:val="22"/>
        </w:rPr>
        <w:t xml:space="preserve"> (Accessed: 16 April 2026)</w:t>
      </w:r>
    </w:p>
    <w:p w14:paraId="175ADA69" w14:textId="77777777" w:rsidR="00805497" w:rsidRDefault="00805497" w:rsidP="00805497">
      <w:pPr>
        <w:pBdr>
          <w:top w:val="nil"/>
          <w:left w:val="nil"/>
          <w:bottom w:val="nil"/>
          <w:right w:val="nil"/>
          <w:between w:val="nil"/>
        </w:pBdr>
        <w:jc w:val="left"/>
        <w:rPr>
          <w:color w:val="000000"/>
          <w:sz w:val="22"/>
          <w:szCs w:val="22"/>
        </w:rPr>
      </w:pPr>
      <w:r>
        <w:rPr>
          <w:color w:val="000000"/>
          <w:sz w:val="22"/>
          <w:szCs w:val="22"/>
        </w:rPr>
        <w:t xml:space="preserve">Oparah, S.O., Ezeh, F.E., Gado, P., Adeleke, A.S. and </w:t>
      </w:r>
      <w:proofErr w:type="spellStart"/>
      <w:r>
        <w:rPr>
          <w:color w:val="000000"/>
          <w:sz w:val="22"/>
          <w:szCs w:val="22"/>
        </w:rPr>
        <w:t>Gbaraba</w:t>
      </w:r>
      <w:proofErr w:type="spellEnd"/>
      <w:r>
        <w:rPr>
          <w:color w:val="000000"/>
          <w:sz w:val="22"/>
          <w:szCs w:val="22"/>
        </w:rPr>
        <w:t xml:space="preserve">, S.V. (2025) ‘Stigma Reduction Framework for Improving Community Uptake of Infectious Disease and HIV Diagnostic Services’, </w:t>
      </w:r>
      <w:r>
        <w:rPr>
          <w:i/>
          <w:iCs/>
          <w:color w:val="000000"/>
          <w:sz w:val="22"/>
          <w:szCs w:val="22"/>
        </w:rPr>
        <w:t>International Journal of Advanced Multidisciplinary Research and Studies</w:t>
      </w:r>
      <w:r>
        <w:rPr>
          <w:color w:val="000000"/>
          <w:sz w:val="22"/>
          <w:szCs w:val="22"/>
        </w:rPr>
        <w:t xml:space="preserve">, 5(5), pp.1349–1360. </w:t>
      </w:r>
      <w:proofErr w:type="spellStart"/>
      <w:r>
        <w:rPr>
          <w:color w:val="000000"/>
          <w:sz w:val="22"/>
          <w:szCs w:val="22"/>
        </w:rPr>
        <w:t>doi:https</w:t>
      </w:r>
      <w:proofErr w:type="spellEnd"/>
      <w:r>
        <w:rPr>
          <w:color w:val="000000"/>
          <w:sz w:val="22"/>
          <w:szCs w:val="22"/>
        </w:rPr>
        <w:t>://doi.org/10.62225/2583049x.2025.5.5.5118.</w:t>
      </w:r>
    </w:p>
    <w:p w14:paraId="1379B016" w14:textId="77777777" w:rsidR="00805497" w:rsidRDefault="00805497" w:rsidP="00805497">
      <w:pPr>
        <w:pBdr>
          <w:top w:val="nil"/>
          <w:left w:val="nil"/>
          <w:bottom w:val="nil"/>
          <w:right w:val="nil"/>
          <w:between w:val="nil"/>
        </w:pBdr>
        <w:jc w:val="left"/>
        <w:rPr>
          <w:color w:val="000000"/>
          <w:sz w:val="22"/>
          <w:szCs w:val="22"/>
        </w:rPr>
      </w:pPr>
      <w:r>
        <w:rPr>
          <w:color w:val="000000"/>
          <w:sz w:val="22"/>
          <w:szCs w:val="22"/>
        </w:rPr>
        <w:t xml:space="preserve">Pellegrini, G. and </w:t>
      </w:r>
      <w:proofErr w:type="spellStart"/>
      <w:r>
        <w:rPr>
          <w:color w:val="000000"/>
          <w:sz w:val="22"/>
          <w:szCs w:val="22"/>
        </w:rPr>
        <w:t>Lovati</w:t>
      </w:r>
      <w:proofErr w:type="spellEnd"/>
      <w:r>
        <w:rPr>
          <w:color w:val="000000"/>
          <w:sz w:val="22"/>
          <w:szCs w:val="22"/>
        </w:rPr>
        <w:t xml:space="preserve">, C. (2025) ‘Stakeholders’ engagement for improved health outcomes: a research brief to design a tool for better communication and participation’, </w:t>
      </w:r>
      <w:r>
        <w:rPr>
          <w:i/>
          <w:iCs/>
          <w:color w:val="000000"/>
          <w:sz w:val="22"/>
          <w:szCs w:val="22"/>
        </w:rPr>
        <w:t>Frontiers in Public Health</w:t>
      </w:r>
      <w:r>
        <w:rPr>
          <w:color w:val="000000"/>
          <w:sz w:val="22"/>
          <w:szCs w:val="22"/>
        </w:rPr>
        <w:t xml:space="preserve">, 13, p. 1536753. </w:t>
      </w:r>
      <w:r>
        <w:rPr>
          <w:sz w:val="22"/>
          <w:szCs w:val="22"/>
        </w:rPr>
        <w:t xml:space="preserve">Available at: </w:t>
      </w:r>
      <w:hyperlink r:id="rId21">
        <w:r>
          <w:rPr>
            <w:color w:val="1155CC"/>
            <w:sz w:val="22"/>
            <w:szCs w:val="22"/>
            <w:u w:val="single"/>
          </w:rPr>
          <w:t>https://doi.org/10.3389/fpubh.2025.1536753</w:t>
        </w:r>
      </w:hyperlink>
    </w:p>
    <w:p w14:paraId="3E64E979" w14:textId="77777777" w:rsidR="00805497" w:rsidRDefault="00805497" w:rsidP="00805497">
      <w:pPr>
        <w:rPr>
          <w:color w:val="1155CC"/>
          <w:sz w:val="22"/>
          <w:szCs w:val="22"/>
          <w:u w:val="single"/>
        </w:rPr>
      </w:pPr>
      <w:r>
        <w:rPr>
          <w:sz w:val="22"/>
          <w:szCs w:val="22"/>
        </w:rPr>
        <w:t xml:space="preserve">Shah, J.L., Jones, N., van </w:t>
      </w:r>
      <w:proofErr w:type="spellStart"/>
      <w:r>
        <w:rPr>
          <w:sz w:val="22"/>
          <w:szCs w:val="22"/>
        </w:rPr>
        <w:t>Os</w:t>
      </w:r>
      <w:proofErr w:type="spellEnd"/>
      <w:r>
        <w:rPr>
          <w:sz w:val="22"/>
          <w:szCs w:val="22"/>
        </w:rPr>
        <w:t xml:space="preserve">, J., McGorry, P.D. and </w:t>
      </w:r>
      <w:proofErr w:type="spellStart"/>
      <w:r>
        <w:rPr>
          <w:sz w:val="22"/>
          <w:szCs w:val="22"/>
        </w:rPr>
        <w:t>Gülöksüz</w:t>
      </w:r>
      <w:proofErr w:type="spellEnd"/>
      <w:r>
        <w:rPr>
          <w:sz w:val="22"/>
          <w:szCs w:val="22"/>
        </w:rPr>
        <w:t xml:space="preserve">, S. (2022) ‘Early intervention service systems for youth mental health: Integrating </w:t>
      </w:r>
      <w:proofErr w:type="spellStart"/>
      <w:r>
        <w:rPr>
          <w:sz w:val="22"/>
          <w:szCs w:val="22"/>
        </w:rPr>
        <w:t>pluripotentiality</w:t>
      </w:r>
      <w:proofErr w:type="spellEnd"/>
      <w:r>
        <w:rPr>
          <w:sz w:val="22"/>
          <w:szCs w:val="22"/>
        </w:rPr>
        <w:t xml:space="preserve">, clinical staging, and transdiagnostic lessons from early psychosis’, The Lancet Psychiatry, 9(5), pp. 413–422. Available at: </w:t>
      </w:r>
      <w:hyperlink r:id="rId22">
        <w:r>
          <w:rPr>
            <w:color w:val="1155CC"/>
            <w:sz w:val="22"/>
            <w:szCs w:val="22"/>
            <w:u w:val="single"/>
          </w:rPr>
          <w:t>https://doi.org/10.1016/s2215-0366(21)00467-3</w:t>
        </w:r>
      </w:hyperlink>
    </w:p>
    <w:p w14:paraId="405DAA9D" w14:textId="77777777" w:rsidR="00805497" w:rsidRDefault="00805497" w:rsidP="00805497">
      <w:pPr>
        <w:rPr>
          <w:color w:val="1155CC"/>
          <w:sz w:val="22"/>
          <w:szCs w:val="22"/>
          <w:u w:val="single"/>
        </w:rPr>
      </w:pPr>
      <w:r>
        <w:rPr>
          <w:sz w:val="22"/>
          <w:szCs w:val="22"/>
        </w:rPr>
        <w:t xml:space="preserve">Tebaldi, D. and Stokes, J. (2022) ‘Defining pooled place-based budgets for health and social care: A scoping review’, International Journal of Integrated Care, 22(3), p. 16. Available at: </w:t>
      </w:r>
      <w:hyperlink r:id="rId23">
        <w:r>
          <w:rPr>
            <w:color w:val="1155CC"/>
            <w:sz w:val="22"/>
            <w:szCs w:val="22"/>
            <w:u w:val="single"/>
          </w:rPr>
          <w:t>https://doi.org/10.5334/ijic.6507</w:t>
        </w:r>
      </w:hyperlink>
    </w:p>
    <w:p w14:paraId="646712D6" w14:textId="77777777" w:rsidR="00805497" w:rsidRDefault="00805497" w:rsidP="00805497">
      <w:pPr>
        <w:rPr>
          <w:color w:val="1155CC"/>
          <w:sz w:val="22"/>
          <w:szCs w:val="22"/>
          <w:u w:val="single"/>
        </w:rPr>
      </w:pPr>
      <w:r>
        <w:rPr>
          <w:sz w:val="22"/>
          <w:szCs w:val="22"/>
        </w:rPr>
        <w:t xml:space="preserve">Tollan, K., </w:t>
      </w:r>
      <w:proofErr w:type="spellStart"/>
      <w:r>
        <w:rPr>
          <w:sz w:val="22"/>
          <w:szCs w:val="22"/>
        </w:rPr>
        <w:t>Jezrawi</w:t>
      </w:r>
      <w:proofErr w:type="spellEnd"/>
      <w:r>
        <w:rPr>
          <w:sz w:val="22"/>
          <w:szCs w:val="22"/>
        </w:rPr>
        <w:t xml:space="preserve">, R., Underwood, K. and Janus, M. (2023) ‘A review on early intervention systems’, Current Developmental Disorders Reports, 10(2). Available at: </w:t>
      </w:r>
      <w:hyperlink r:id="rId24">
        <w:r>
          <w:rPr>
            <w:color w:val="1155CC"/>
            <w:sz w:val="22"/>
            <w:szCs w:val="22"/>
            <w:u w:val="single"/>
          </w:rPr>
          <w:t>https://doi.org/10.1007/s40474-023-00274-8</w:t>
        </w:r>
      </w:hyperlink>
    </w:p>
    <w:p w14:paraId="614A98B9" w14:textId="77777777" w:rsidR="00805497" w:rsidRDefault="00805497" w:rsidP="00805497">
      <w:r>
        <w:t xml:space="preserve">Tower Hamlets Council (2020). </w:t>
      </w:r>
      <w:r>
        <w:rPr>
          <w:i/>
          <w:iCs/>
        </w:rPr>
        <w:t>Borough profile</w:t>
      </w:r>
      <w:r>
        <w:t xml:space="preserve">. Available at: </w:t>
      </w:r>
      <w:hyperlink r:id="rId25">
        <w:r>
          <w:rPr>
            <w:color w:val="1155CC"/>
            <w:u w:val="single"/>
          </w:rPr>
          <w:t>https://www.towerhamlets.gov.uk/lgnl/community_and_living/borough_statistics/Borough_profile.aspx</w:t>
        </w:r>
      </w:hyperlink>
      <w:r>
        <w:t xml:space="preserve"> (Accessed 22 April 2026).</w:t>
      </w:r>
    </w:p>
    <w:p w14:paraId="05D1CA27" w14:textId="77777777" w:rsidR="00805497" w:rsidRDefault="00805497" w:rsidP="00805497">
      <w:pPr>
        <w:rPr>
          <w:color w:val="1155CC"/>
          <w:sz w:val="22"/>
          <w:szCs w:val="22"/>
          <w:u w:val="single"/>
        </w:rPr>
      </w:pPr>
      <w:r>
        <w:rPr>
          <w:sz w:val="22"/>
          <w:szCs w:val="22"/>
        </w:rPr>
        <w:lastRenderedPageBreak/>
        <w:t xml:space="preserve">Tur, J.A. and González-Gross, M. (2025) ‘School plays a crucial role in children’s healthy nutrition and lifestyle’, Nutrients, 17(13), pp. 2169–2169. Available at: </w:t>
      </w:r>
      <w:hyperlink r:id="rId26">
        <w:r>
          <w:rPr>
            <w:color w:val="1155CC"/>
            <w:sz w:val="22"/>
            <w:szCs w:val="22"/>
            <w:u w:val="single"/>
          </w:rPr>
          <w:t>https://doi.org/10.3390/nu17132169</w:t>
        </w:r>
      </w:hyperlink>
    </w:p>
    <w:p w14:paraId="5C44DE95" w14:textId="77777777" w:rsidR="00805497" w:rsidRDefault="00805497" w:rsidP="00805497">
      <w:pPr>
        <w:rPr>
          <w:color w:val="1155CC"/>
          <w:sz w:val="22"/>
          <w:szCs w:val="22"/>
          <w:u w:val="single"/>
        </w:rPr>
      </w:pPr>
      <w:r>
        <w:rPr>
          <w:sz w:val="22"/>
          <w:szCs w:val="22"/>
        </w:rPr>
        <w:t xml:space="preserve">Verma, H., Verma, A., Bettag, J., Kolli, S., Kurashima, K., </w:t>
      </w:r>
      <w:proofErr w:type="spellStart"/>
      <w:r>
        <w:rPr>
          <w:sz w:val="22"/>
          <w:szCs w:val="22"/>
        </w:rPr>
        <w:t>Manithody</w:t>
      </w:r>
      <w:proofErr w:type="spellEnd"/>
      <w:r>
        <w:rPr>
          <w:sz w:val="22"/>
          <w:szCs w:val="22"/>
        </w:rPr>
        <w:t xml:space="preserve">, C. and Jain, A. (2024) ‘Role of effective policy and screening in managing </w:t>
      </w:r>
      <w:proofErr w:type="spellStart"/>
      <w:r>
        <w:rPr>
          <w:sz w:val="22"/>
          <w:szCs w:val="22"/>
        </w:rPr>
        <w:t>pediatric</w:t>
      </w:r>
      <w:proofErr w:type="spellEnd"/>
      <w:r>
        <w:rPr>
          <w:sz w:val="22"/>
          <w:szCs w:val="22"/>
        </w:rPr>
        <w:t xml:space="preserve"> nutritional insecurity as the most important social determinant of health influencing health outcomes’, Nutrients, 16(1), p. 5. Available at: </w:t>
      </w:r>
      <w:hyperlink r:id="rId27">
        <w:r>
          <w:rPr>
            <w:color w:val="1155CC"/>
            <w:sz w:val="22"/>
            <w:szCs w:val="22"/>
            <w:u w:val="single"/>
          </w:rPr>
          <w:t>https://doi.org/10.3390/nu16010005</w:t>
        </w:r>
      </w:hyperlink>
    </w:p>
    <w:p w14:paraId="591BDE9B" w14:textId="77777777" w:rsidR="00805497" w:rsidRDefault="00805497" w:rsidP="00805497">
      <w:pPr>
        <w:rPr>
          <w:sz w:val="22"/>
          <w:szCs w:val="22"/>
        </w:rPr>
      </w:pPr>
      <w:r>
        <w:rPr>
          <w:sz w:val="22"/>
          <w:szCs w:val="22"/>
        </w:rPr>
        <w:t xml:space="preserve">Vlad, I., Oldridge-Turner, K., Klepp, K.I., Rutter, H., Mathisen, J.R., Helleve, A., </w:t>
      </w:r>
      <w:proofErr w:type="spellStart"/>
      <w:r>
        <w:rPr>
          <w:sz w:val="22"/>
          <w:szCs w:val="22"/>
        </w:rPr>
        <w:t>Fismen</w:t>
      </w:r>
      <w:proofErr w:type="spellEnd"/>
      <w:r>
        <w:rPr>
          <w:sz w:val="22"/>
          <w:szCs w:val="22"/>
        </w:rPr>
        <w:t xml:space="preserve">, A.-S., Harbron, J., Hendricks, G., Malczyk, S., Sing, F., </w:t>
      </w:r>
      <w:proofErr w:type="spellStart"/>
      <w:r>
        <w:rPr>
          <w:sz w:val="22"/>
          <w:szCs w:val="22"/>
        </w:rPr>
        <w:t>Kokkorou</w:t>
      </w:r>
      <w:proofErr w:type="spellEnd"/>
      <w:r>
        <w:rPr>
          <w:sz w:val="22"/>
          <w:szCs w:val="22"/>
        </w:rPr>
        <w:t xml:space="preserve">, M., </w:t>
      </w:r>
      <w:proofErr w:type="spellStart"/>
      <w:r>
        <w:rPr>
          <w:sz w:val="22"/>
          <w:szCs w:val="22"/>
        </w:rPr>
        <w:t>Fanian</w:t>
      </w:r>
      <w:proofErr w:type="spellEnd"/>
      <w:r>
        <w:rPr>
          <w:sz w:val="22"/>
          <w:szCs w:val="22"/>
        </w:rPr>
        <w:t xml:space="preserve">, D., O’Mara, J., Mitrou, G., Wiseman, M. and Allen, K. (2023) ‘The development of the NOURISHING and MOVING benchmarking tools to monitor and evaluate national governments’ nutrition and physical activity policies to address obesity in the European region’, Obesity Reviews, 24(S1). Available at: </w:t>
      </w:r>
      <w:hyperlink r:id="rId28">
        <w:r>
          <w:rPr>
            <w:color w:val="1155CC"/>
            <w:sz w:val="22"/>
            <w:szCs w:val="22"/>
            <w:u w:val="single"/>
          </w:rPr>
          <w:t>https://doi.org/10.1111/obr.13541</w:t>
        </w:r>
      </w:hyperlink>
    </w:p>
    <w:sectPr w:rsidR="00805497" w:rsidSect="00733E9B">
      <w:headerReference w:type="default" r:id="rId29"/>
      <w:footerReference w:type="default" r:id="rId3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ADC7D" w14:textId="77777777" w:rsidR="007B1135" w:rsidRDefault="007B1135">
      <w:pPr>
        <w:spacing w:line="240" w:lineRule="auto"/>
      </w:pPr>
      <w:r>
        <w:separator/>
      </w:r>
    </w:p>
  </w:endnote>
  <w:endnote w:type="continuationSeparator" w:id="0">
    <w:p w14:paraId="67C77ACC" w14:textId="77777777" w:rsidR="007B1135" w:rsidRDefault="007B11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77D5F8A0-1A58-4589-9986-C86382F207AA}"/>
  </w:font>
  <w:font w:name="Calibri">
    <w:panose1 w:val="020F0502020204030204"/>
    <w:charset w:val="00"/>
    <w:family w:val="swiss"/>
    <w:pitch w:val="variable"/>
    <w:sig w:usb0="E4002EFF" w:usb1="C200ACFF" w:usb2="00000009" w:usb3="00000000" w:csb0="000001FF" w:csb1="00000000"/>
    <w:embedRegular r:id="rId2" w:fontKey="{C2A00E0F-69C3-49C9-A169-116E946A59E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D00771" w14:textId="77777777" w:rsidR="00590A6D" w:rsidRDefault="00094411">
    <w:pPr>
      <w:pBdr>
        <w:top w:val="nil"/>
        <w:left w:val="nil"/>
        <w:bottom w:val="nil"/>
        <w:right w:val="nil"/>
        <w:between w:val="nil"/>
      </w:pBdr>
      <w:tabs>
        <w:tab w:val="center" w:pos="4513"/>
        <w:tab w:val="right" w:pos="9026"/>
      </w:tabs>
      <w:spacing w:line="240" w:lineRule="auto"/>
      <w:jc w:val="right"/>
      <w:rPr>
        <w:color w:val="000000"/>
        <w:sz w:val="18"/>
        <w:szCs w:val="18"/>
      </w:rPr>
    </w:pPr>
    <w:r>
      <w:rPr>
        <w:color w:val="000000"/>
        <w:sz w:val="18"/>
        <w:szCs w:val="18"/>
      </w:rPr>
      <w:fldChar w:fldCharType="begin"/>
    </w:r>
    <w:r>
      <w:rPr>
        <w:color w:val="000000"/>
        <w:sz w:val="18"/>
        <w:szCs w:val="18"/>
      </w:rPr>
      <w:instrText>PAGE</w:instrText>
    </w:r>
    <w:r>
      <w:rPr>
        <w:color w:val="000000"/>
        <w:sz w:val="18"/>
        <w:szCs w:val="18"/>
      </w:rPr>
      <w:fldChar w:fldCharType="separate"/>
    </w:r>
    <w:r w:rsidR="00BC41F9">
      <w:rPr>
        <w:noProof/>
        <w:color w:val="000000"/>
        <w:sz w:val="18"/>
        <w:szCs w:val="18"/>
      </w:rPr>
      <w:t>1</w:t>
    </w:r>
    <w:r>
      <w:rPr>
        <w:color w:val="000000"/>
        <w:sz w:val="18"/>
        <w:szCs w:val="18"/>
      </w:rPr>
      <w:fldChar w:fldCharType="end"/>
    </w:r>
  </w:p>
  <w:p w14:paraId="33BA546A" w14:textId="77777777" w:rsidR="00590A6D" w:rsidRDefault="00590A6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4CD7A" w14:textId="77777777" w:rsidR="007B1135" w:rsidRDefault="007B1135">
      <w:pPr>
        <w:spacing w:line="240" w:lineRule="auto"/>
      </w:pPr>
      <w:r>
        <w:separator/>
      </w:r>
    </w:p>
  </w:footnote>
  <w:footnote w:type="continuationSeparator" w:id="0">
    <w:p w14:paraId="4C86FC0D" w14:textId="77777777" w:rsidR="007B1135" w:rsidRDefault="007B11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03D7C" w14:textId="77777777" w:rsidR="00590A6D" w:rsidRDefault="00590A6D">
    <w:pPr>
      <w:jc w:val="left"/>
      <w:rPr>
        <w:i/>
        <w:iCs/>
        <w:color w:val="0000FF"/>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A6D"/>
    <w:rsid w:val="002A1A24"/>
    <w:rsid w:val="0042034A"/>
    <w:rsid w:val="00590A6D"/>
    <w:rsid w:val="00733E9B"/>
    <w:rsid w:val="007B1135"/>
    <w:rsid w:val="00805497"/>
    <w:rsid w:val="00806E72"/>
    <w:rsid w:val="00911463"/>
    <w:rsid w:val="00BC41F9"/>
    <w:rsid w:val="00D30840"/>
    <w:rsid w:val="00DB6FF1"/>
    <w:rsid w:val="00DF2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96B6C"/>
  <w15:docId w15:val="{D0C08B66-732F-4330-A420-BDEDF39B1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rFonts w:ascii="Times New Roman" w:eastAsia="Times New Roman" w:hAnsi="Times New Roman" w:cs="Times New Roman"/>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C41F9"/>
    <w:pPr>
      <w:tabs>
        <w:tab w:val="center" w:pos="4513"/>
        <w:tab w:val="right" w:pos="9026"/>
      </w:tabs>
      <w:spacing w:line="240" w:lineRule="auto"/>
    </w:pPr>
  </w:style>
  <w:style w:type="character" w:customStyle="1" w:styleId="HeaderChar">
    <w:name w:val="Header Char"/>
    <w:basedOn w:val="DefaultParagraphFont"/>
    <w:link w:val="Header"/>
    <w:uiPriority w:val="99"/>
    <w:rsid w:val="00BC41F9"/>
  </w:style>
  <w:style w:type="paragraph" w:styleId="Footer">
    <w:name w:val="footer"/>
    <w:basedOn w:val="Normal"/>
    <w:link w:val="FooterChar"/>
    <w:uiPriority w:val="99"/>
    <w:unhideWhenUsed/>
    <w:rsid w:val="00BC41F9"/>
    <w:pPr>
      <w:tabs>
        <w:tab w:val="center" w:pos="4513"/>
        <w:tab w:val="right" w:pos="9026"/>
      </w:tabs>
      <w:spacing w:line="240" w:lineRule="auto"/>
    </w:pPr>
  </w:style>
  <w:style w:type="character" w:customStyle="1" w:styleId="FooterChar">
    <w:name w:val="Footer Char"/>
    <w:basedOn w:val="DefaultParagraphFont"/>
    <w:link w:val="Footer"/>
    <w:uiPriority w:val="99"/>
    <w:rsid w:val="00BC41F9"/>
  </w:style>
  <w:style w:type="paragraph" w:styleId="TOC1">
    <w:name w:val="toc 1"/>
    <w:basedOn w:val="Normal"/>
    <w:next w:val="Normal"/>
    <w:autoRedefine/>
    <w:uiPriority w:val="39"/>
    <w:unhideWhenUsed/>
    <w:rsid w:val="00BC41F9"/>
    <w:pPr>
      <w:spacing w:after="100"/>
    </w:pPr>
  </w:style>
  <w:style w:type="paragraph" w:styleId="TOC2">
    <w:name w:val="toc 2"/>
    <w:basedOn w:val="Normal"/>
    <w:next w:val="Normal"/>
    <w:autoRedefine/>
    <w:uiPriority w:val="39"/>
    <w:unhideWhenUsed/>
    <w:rsid w:val="00BC41F9"/>
    <w:pPr>
      <w:spacing w:after="100"/>
      <w:ind w:left="240"/>
    </w:pPr>
  </w:style>
  <w:style w:type="character" w:styleId="Hyperlink">
    <w:name w:val="Hyperlink"/>
    <w:basedOn w:val="DefaultParagraphFont"/>
    <w:uiPriority w:val="99"/>
    <w:unhideWhenUsed/>
    <w:rsid w:val="00BC41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16/j.wss.2025.100250" TargetMode="External" /><Relationship Id="rId18" Type="http://schemas.openxmlformats.org/officeDocument/2006/relationships/hyperlink" Target="https://doi.org/10.1097/gox.0000000000005528" TargetMode="External" /><Relationship Id="rId26" Type="http://schemas.openxmlformats.org/officeDocument/2006/relationships/hyperlink" Target="https://doi.org/10.3390/nu17132169" TargetMode="External" /><Relationship Id="rId3" Type="http://schemas.openxmlformats.org/officeDocument/2006/relationships/styles" Target="styles.xml" /><Relationship Id="rId21" Type="http://schemas.openxmlformats.org/officeDocument/2006/relationships/hyperlink" Target="https://doi.org/10.3389/fpubh.2025.1536753" TargetMode="External" /><Relationship Id="rId7" Type="http://schemas.openxmlformats.org/officeDocument/2006/relationships/endnotes" Target="endnotes.xml" /><Relationship Id="rId12" Type="http://schemas.openxmlformats.org/officeDocument/2006/relationships/hyperlink" Target="https://doi.org/10.1080/16549716.2022.2074131" TargetMode="External" /><Relationship Id="rId17" Type="http://schemas.openxmlformats.org/officeDocument/2006/relationships/hyperlink" Target="https://doi.org/10.26596/wn.202213188-107" TargetMode="External" /><Relationship Id="rId25" Type="http://schemas.openxmlformats.org/officeDocument/2006/relationships/hyperlink" Target="https://www.towerhamlets.gov.uk/lgnl/community_and_living/borough_statistics/Borough_profile.aspx" TargetMode="External" /><Relationship Id="rId2" Type="http://schemas.openxmlformats.org/officeDocument/2006/relationships/customXml" Target="../customXml/item2.xml" /><Relationship Id="rId16" Type="http://schemas.openxmlformats.org/officeDocument/2006/relationships/hyperlink" Target="https://doi.org/10.33578/pjr.v7i1.9095" TargetMode="External" /><Relationship Id="rId20" Type="http://schemas.openxmlformats.org/officeDocument/2006/relationships/hyperlink" Target="https://www.england.nhs.uk/integratedcare/what-is-integrated-care/" TargetMode="External" /><Relationship Id="rId29"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399/bjgp22X720617" TargetMode="External" /><Relationship Id="rId24" Type="http://schemas.openxmlformats.org/officeDocument/2006/relationships/hyperlink" Target="https://doi.org/10.1007/s40474-023-00274-8"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108/ijhg-12-2024-0150" TargetMode="External" /><Relationship Id="rId23" Type="http://schemas.openxmlformats.org/officeDocument/2006/relationships/hyperlink" Target="https://doi.org/10.5334/ijic.6507" TargetMode="External" /><Relationship Id="rId28" Type="http://schemas.openxmlformats.org/officeDocument/2006/relationships/hyperlink" Target="https://doi.org/10.1111/obr.13541" TargetMode="External" /><Relationship Id="rId10" Type="http://schemas.openxmlformats.org/officeDocument/2006/relationships/hyperlink" Target="https://doi.org/10.1177/20534345221122952" TargetMode="External" /><Relationship Id="rId19" Type="http://schemas.openxmlformats.org/officeDocument/2006/relationships/hyperlink" Target="https://www.england.nhs.uk/long-read/working-in-partnership-with-people-and-communities-statutory-guidance/" TargetMode="External"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doi.org/10.1080/13561820.2024.2405550" TargetMode="External" /><Relationship Id="rId14" Type="http://schemas.openxmlformats.org/officeDocument/2006/relationships/hyperlink" Target="https://doi.org/10.1056/cat.23.0034" TargetMode="External" /><Relationship Id="rId22" Type="http://schemas.openxmlformats.org/officeDocument/2006/relationships/hyperlink" Target="https://doi.org/10.1016/s2215-0366(21)00467-3" TargetMode="External" /><Relationship Id="rId27" Type="http://schemas.openxmlformats.org/officeDocument/2006/relationships/hyperlink" Target="https://doi.org/10.3390/nu16010005" TargetMode="External" /><Relationship Id="rId30"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0+2jrf890TpU3c0H+ZLeWCEO7bA==">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4F0F4CF1-94CF-40C5-A621-54C5644690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4221</Words>
  <Characters>24065</Characters>
  <Application>Microsoft Office Word</Application>
  <DocSecurity>0</DocSecurity>
  <Lines>200</Lines>
  <Paragraphs>56</Paragraphs>
  <ScaleCrop>false</ScaleCrop>
  <Company/>
  <LinksUpToDate>false</LinksUpToDate>
  <CharactersWithSpaces>28230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 Solanki</cp:lastModifiedBy>
  <cp:revision>2</cp:revision>
  <dcterms:created xsi:type="dcterms:W3CDTF">2026-04-25T12:34:00Z</dcterms:created>
  <dcterms:modified xsi:type="dcterms:W3CDTF">2026-04-25T12:34:00Z</dcterms:modified>
</cp:coreProperties>
</file>