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35842" w14:textId="02F99330" w:rsidR="005E3E31" w:rsidRPr="004B1E54" w:rsidRDefault="004B1E54" w:rsidP="004B1E54">
      <w:pPr>
        <w:spacing w:line="360" w:lineRule="auto"/>
        <w:rPr>
          <w:rFonts w:ascii="Times New Roman" w:eastAsia="Times New Roman" w:hAnsi="Times New Roman" w:cs="Times New Roman"/>
          <w:b/>
          <w:i/>
          <w:iCs/>
          <w:color w:val="000000"/>
          <w:sz w:val="56"/>
          <w:szCs w:val="56"/>
          <w:lang w:val="fr-FR"/>
        </w:rPr>
      </w:pPr>
      <w:r>
        <w:rPr>
          <w:rFonts w:ascii="Times New Roman" w:eastAsia="Times New Roman" w:hAnsi="Times New Roman" w:cs="Times New Roman"/>
          <w:b/>
          <w:color w:val="000000"/>
          <w:sz w:val="44"/>
          <w:szCs w:val="24"/>
        </w:rPr>
        <w:t xml:space="preserve">                  </w:t>
      </w:r>
      <w:r w:rsidR="00512DF9" w:rsidRPr="004B1E54">
        <w:rPr>
          <w:rFonts w:ascii="Times New Roman" w:eastAsia="Times New Roman" w:hAnsi="Times New Roman" w:cs="Times New Roman"/>
          <w:b/>
          <w:i/>
          <w:iCs/>
          <w:color w:val="000000"/>
          <w:sz w:val="56"/>
          <w:szCs w:val="56"/>
          <w:lang w:val="fr-FR"/>
        </w:rPr>
        <w:t>Project Management</w:t>
      </w:r>
    </w:p>
    <w:p w14:paraId="079DC7CD" w14:textId="3033D013" w:rsidR="005E3E31" w:rsidRPr="004B1E54" w:rsidRDefault="005E3E31">
      <w:pPr>
        <w:spacing w:line="360" w:lineRule="auto"/>
        <w:jc w:val="center"/>
        <w:rPr>
          <w:rFonts w:ascii="Times New Roman" w:eastAsia="Times New Roman" w:hAnsi="Times New Roman" w:cs="Times New Roman"/>
          <w:b/>
          <w:color w:val="000000"/>
          <w:sz w:val="44"/>
          <w:szCs w:val="24"/>
          <w:lang w:val="fr-FR"/>
        </w:rPr>
      </w:pPr>
    </w:p>
    <w:p w14:paraId="4B06C58F" w14:textId="77777777" w:rsidR="005E3E31" w:rsidRPr="004B1E54" w:rsidRDefault="005E3E31">
      <w:pPr>
        <w:spacing w:line="360" w:lineRule="auto"/>
        <w:jc w:val="center"/>
        <w:rPr>
          <w:rFonts w:ascii="Times New Roman" w:eastAsia="Times New Roman" w:hAnsi="Times New Roman" w:cs="Times New Roman"/>
          <w:b/>
          <w:color w:val="000000"/>
          <w:sz w:val="44"/>
          <w:szCs w:val="24"/>
          <w:lang w:val="fr-FR"/>
        </w:rPr>
      </w:pPr>
    </w:p>
    <w:p w14:paraId="4085C753" w14:textId="5F774EFF" w:rsidR="004B1E54" w:rsidRPr="00917502" w:rsidRDefault="004B1E54" w:rsidP="004B1E54">
      <w:pPr>
        <w:rPr>
          <w:rFonts w:ascii="Times New Roman" w:eastAsia="Times New Roman" w:hAnsi="Times New Roman" w:cs="Times New Roman"/>
          <w:b/>
          <w:bCs/>
          <w:i/>
          <w:iCs/>
          <w:sz w:val="56"/>
          <w:szCs w:val="56"/>
          <w:lang w:val="fr-FR"/>
        </w:rPr>
      </w:pPr>
      <w:r w:rsidRPr="00917502">
        <w:rPr>
          <w:rFonts w:ascii="Times New Roman" w:eastAsia="Times New Roman" w:hAnsi="Times New Roman" w:cs="Times New Roman"/>
          <w:b/>
          <w:bCs/>
          <w:i/>
          <w:iCs/>
          <w:sz w:val="48"/>
          <w:szCs w:val="48"/>
          <w:lang w:val="fr-FR"/>
        </w:rPr>
        <w:t>Module code</w:t>
      </w:r>
      <w:r w:rsidRPr="00917502">
        <w:rPr>
          <w:rFonts w:ascii="Times New Roman" w:eastAsia="Times New Roman" w:hAnsi="Times New Roman" w:cs="Times New Roman"/>
          <w:b/>
          <w:bCs/>
          <w:i/>
          <w:iCs/>
          <w:sz w:val="56"/>
          <w:szCs w:val="56"/>
          <w:lang w:val="fr-FR"/>
        </w:rPr>
        <w:t xml:space="preserve">: </w:t>
      </w:r>
      <w:r w:rsidRPr="00917502">
        <w:rPr>
          <w:rFonts w:ascii="Times New Roman" w:hAnsi="Times New Roman" w:cs="Times New Roman"/>
          <w:b/>
          <w:bCs/>
          <w:i/>
          <w:iCs/>
          <w:sz w:val="52"/>
          <w:szCs w:val="52"/>
          <w:lang w:val="fr-FR"/>
        </w:rPr>
        <w:t>LCBB500</w:t>
      </w:r>
      <w:r>
        <w:rPr>
          <w:rFonts w:ascii="Times New Roman" w:hAnsi="Times New Roman" w:cs="Times New Roman"/>
          <w:b/>
          <w:bCs/>
          <w:i/>
          <w:iCs/>
          <w:sz w:val="52"/>
          <w:szCs w:val="52"/>
          <w:lang w:val="fr-FR"/>
        </w:rPr>
        <w:t>5</w:t>
      </w:r>
    </w:p>
    <w:p w14:paraId="673CA3AD" w14:textId="77777777" w:rsidR="004B1E54" w:rsidRPr="00917502" w:rsidRDefault="004B1E54" w:rsidP="004B1E54">
      <w:pPr>
        <w:jc w:val="center"/>
        <w:rPr>
          <w:rFonts w:ascii="Times New Roman" w:eastAsia="Times New Roman" w:hAnsi="Times New Roman" w:cs="Times New Roman"/>
          <w:b/>
          <w:bCs/>
          <w:i/>
          <w:iCs/>
          <w:sz w:val="56"/>
          <w:szCs w:val="56"/>
          <w:lang w:val="fr-FR"/>
        </w:rPr>
      </w:pPr>
    </w:p>
    <w:p w14:paraId="1C600C9A" w14:textId="77777777" w:rsidR="004B1E54" w:rsidRDefault="004B1E54" w:rsidP="004B1E54">
      <w:pPr>
        <w:rPr>
          <w:rFonts w:ascii="Times New Roman" w:eastAsia="Times New Roman" w:hAnsi="Times New Roman" w:cs="Times New Roman"/>
          <w:b/>
          <w:bCs/>
          <w:i/>
          <w:iCs/>
          <w:sz w:val="48"/>
          <w:szCs w:val="48"/>
          <w:lang w:val="fr-FR"/>
        </w:rPr>
      </w:pPr>
    </w:p>
    <w:p w14:paraId="2BD020E0" w14:textId="28197491" w:rsidR="004B1E54" w:rsidRPr="004B1E54" w:rsidRDefault="004B1E54" w:rsidP="004B1E54">
      <w:pPr>
        <w:rPr>
          <w:rFonts w:ascii="Times New Roman" w:eastAsia="Times New Roman" w:hAnsi="Times New Roman" w:cs="Times New Roman"/>
          <w:b/>
          <w:bCs/>
          <w:i/>
          <w:iCs/>
          <w:sz w:val="56"/>
          <w:szCs w:val="56"/>
          <w:lang w:val="en-GB"/>
        </w:rPr>
      </w:pPr>
      <w:r w:rsidRPr="004B1E54">
        <w:rPr>
          <w:rFonts w:ascii="Times New Roman" w:eastAsia="Times New Roman" w:hAnsi="Times New Roman" w:cs="Times New Roman"/>
          <w:b/>
          <w:bCs/>
          <w:i/>
          <w:iCs/>
          <w:sz w:val="48"/>
          <w:szCs w:val="48"/>
          <w:lang w:val="en-GB"/>
        </w:rPr>
        <w:t>Assessment</w:t>
      </w:r>
      <w:r w:rsidRPr="004B1E54">
        <w:rPr>
          <w:rFonts w:ascii="Times New Roman" w:eastAsia="Times New Roman" w:hAnsi="Times New Roman" w:cs="Times New Roman"/>
          <w:b/>
          <w:bCs/>
          <w:i/>
          <w:iCs/>
          <w:sz w:val="56"/>
          <w:szCs w:val="56"/>
          <w:lang w:val="en-GB"/>
        </w:rPr>
        <w:t xml:space="preserve"> 1 </w:t>
      </w:r>
    </w:p>
    <w:p w14:paraId="6A89FC4D" w14:textId="77777777" w:rsidR="004B1E54" w:rsidRPr="004B1E54" w:rsidRDefault="004B1E54" w:rsidP="004B1E54">
      <w:pPr>
        <w:rPr>
          <w:rFonts w:ascii="Times New Roman" w:eastAsia="Times New Roman" w:hAnsi="Times New Roman" w:cs="Times New Roman"/>
          <w:b/>
          <w:bCs/>
          <w:i/>
          <w:iCs/>
          <w:sz w:val="56"/>
          <w:szCs w:val="56"/>
          <w:lang w:val="en-GB"/>
        </w:rPr>
      </w:pPr>
    </w:p>
    <w:p w14:paraId="4AA10863" w14:textId="77777777" w:rsidR="004B1E54" w:rsidRDefault="004B1E54" w:rsidP="004B1E54">
      <w:pPr>
        <w:rPr>
          <w:rFonts w:ascii="Times New Roman" w:eastAsia="Times New Roman" w:hAnsi="Times New Roman" w:cs="Times New Roman"/>
          <w:b/>
          <w:bCs/>
          <w:i/>
          <w:iCs/>
          <w:sz w:val="48"/>
          <w:szCs w:val="48"/>
        </w:rPr>
      </w:pPr>
    </w:p>
    <w:p w14:paraId="1ECBA5D1" w14:textId="77777777" w:rsidR="004B1E54" w:rsidRDefault="004B1E54" w:rsidP="004B1E54">
      <w:pPr>
        <w:rPr>
          <w:rFonts w:ascii="Times New Roman" w:eastAsia="Times New Roman" w:hAnsi="Times New Roman" w:cs="Times New Roman"/>
          <w:b/>
          <w:bCs/>
          <w:i/>
          <w:iCs/>
          <w:sz w:val="48"/>
          <w:szCs w:val="48"/>
        </w:rPr>
      </w:pPr>
    </w:p>
    <w:p w14:paraId="05A51354" w14:textId="77777777" w:rsidR="004B1E54" w:rsidRDefault="004B1E54" w:rsidP="004B1E54">
      <w:pPr>
        <w:rPr>
          <w:rFonts w:ascii="Times New Roman" w:eastAsia="Times New Roman" w:hAnsi="Times New Roman" w:cs="Times New Roman"/>
          <w:b/>
          <w:bCs/>
          <w:i/>
          <w:iCs/>
          <w:sz w:val="52"/>
          <w:szCs w:val="52"/>
        </w:rPr>
      </w:pPr>
      <w:r w:rsidRPr="00917502">
        <w:rPr>
          <w:rFonts w:ascii="Times New Roman" w:eastAsia="Times New Roman" w:hAnsi="Times New Roman" w:cs="Times New Roman"/>
          <w:b/>
          <w:bCs/>
          <w:i/>
          <w:iCs/>
          <w:sz w:val="48"/>
          <w:szCs w:val="48"/>
        </w:rPr>
        <w:t>Student</w:t>
      </w:r>
      <w:r w:rsidRPr="00917502">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48"/>
          <w:szCs w:val="48"/>
        </w:rPr>
        <w:t>Name</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Svetoslav</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Hristov</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Radev</w:t>
      </w:r>
    </w:p>
    <w:p w14:paraId="28E32D2C" w14:textId="77777777" w:rsidR="004B1E54" w:rsidRDefault="004B1E54" w:rsidP="004B1E54">
      <w:pPr>
        <w:rPr>
          <w:rFonts w:ascii="Times New Roman" w:eastAsia="Times New Roman" w:hAnsi="Times New Roman" w:cs="Times New Roman"/>
          <w:b/>
          <w:bCs/>
          <w:i/>
          <w:iCs/>
          <w:sz w:val="52"/>
          <w:szCs w:val="52"/>
        </w:rPr>
      </w:pPr>
    </w:p>
    <w:p w14:paraId="2E48B88B" w14:textId="77777777" w:rsidR="004B1E54" w:rsidRDefault="004B1E54" w:rsidP="004B1E54">
      <w:pPr>
        <w:rPr>
          <w:rFonts w:ascii="Times New Roman" w:eastAsia="Times New Roman" w:hAnsi="Times New Roman" w:cs="Times New Roman"/>
          <w:b/>
          <w:bCs/>
          <w:i/>
          <w:iCs/>
          <w:sz w:val="52"/>
          <w:szCs w:val="52"/>
        </w:rPr>
      </w:pPr>
      <w:r w:rsidRPr="00917502">
        <w:rPr>
          <w:rFonts w:ascii="Times New Roman" w:eastAsia="Times New Roman" w:hAnsi="Times New Roman" w:cs="Times New Roman"/>
          <w:b/>
          <w:bCs/>
          <w:i/>
          <w:iCs/>
          <w:sz w:val="52"/>
          <w:szCs w:val="52"/>
        </w:rPr>
        <w:t>Student</w:t>
      </w:r>
      <w:r>
        <w:rPr>
          <w:rFonts w:ascii="Times New Roman" w:eastAsia="Times New Roman" w:hAnsi="Times New Roman" w:cs="Times New Roman"/>
          <w:b/>
          <w:bCs/>
          <w:i/>
          <w:iCs/>
          <w:sz w:val="52"/>
          <w:szCs w:val="52"/>
        </w:rPr>
        <w:t xml:space="preserve"> ID: 2030542</w:t>
      </w:r>
    </w:p>
    <w:p w14:paraId="3DA6BDE3" w14:textId="77777777" w:rsidR="005E3E31" w:rsidRDefault="005E3E31">
      <w:pPr>
        <w:spacing w:line="360" w:lineRule="auto"/>
        <w:jc w:val="center"/>
        <w:rPr>
          <w:rFonts w:ascii="Times New Roman" w:eastAsia="Times New Roman" w:hAnsi="Times New Roman" w:cs="Times New Roman"/>
          <w:b/>
          <w:color w:val="000000"/>
          <w:sz w:val="44"/>
          <w:szCs w:val="24"/>
        </w:rPr>
      </w:pPr>
    </w:p>
    <w:p w14:paraId="72FF9E98" w14:textId="77777777" w:rsidR="005E3E31" w:rsidRDefault="00512DF9">
      <w:pPr>
        <w:pStyle w:val="TOCHeading"/>
        <w:pageBreakBefore/>
        <w:outlineLvl w:val="9"/>
      </w:pPr>
      <w:r>
        <w:lastRenderedPageBreak/>
        <w:t>Contents</w:t>
      </w:r>
    </w:p>
    <w:p w14:paraId="53741DFC" w14:textId="77777777" w:rsidR="005E3E31" w:rsidRDefault="00512DF9">
      <w:pPr>
        <w:pStyle w:val="TOC1"/>
        <w:tabs>
          <w:tab w:val="right" w:leader="dot" w:pos="9019"/>
        </w:tabs>
      </w:pPr>
      <w:r>
        <w:rPr>
          <w:rFonts w:ascii="Calibri Light" w:eastAsia="Times New Roman" w:hAnsi="Calibri Light" w:cs="Times New Roman"/>
          <w:color w:val="2F5496"/>
          <w:sz w:val="32"/>
          <w:szCs w:val="32"/>
        </w:rPr>
        <w:fldChar w:fldCharType="begin"/>
      </w:r>
      <w:r>
        <w:instrText xml:space="preserve"> TOC \o "1-3" \u \h </w:instrText>
      </w:r>
      <w:r>
        <w:rPr>
          <w:rFonts w:ascii="Calibri Light" w:eastAsia="Times New Roman" w:hAnsi="Calibri Light" w:cs="Times New Roman"/>
          <w:color w:val="2F5496"/>
          <w:sz w:val="32"/>
          <w:szCs w:val="32"/>
        </w:rPr>
        <w:fldChar w:fldCharType="separate"/>
      </w:r>
      <w:hyperlink w:anchor="_Toc121434271" w:history="1">
        <w:r>
          <w:rPr>
            <w:rStyle w:val="Hyperlink"/>
          </w:rPr>
          <w:t>Introduction</w:t>
        </w:r>
        <w:r>
          <w:tab/>
          <w:t>2</w:t>
        </w:r>
      </w:hyperlink>
    </w:p>
    <w:p w14:paraId="28AF34A0" w14:textId="77777777" w:rsidR="005E3E31" w:rsidRDefault="004B1E54">
      <w:pPr>
        <w:pStyle w:val="TOC1"/>
        <w:tabs>
          <w:tab w:val="right" w:leader="dot" w:pos="9019"/>
        </w:tabs>
      </w:pPr>
      <w:hyperlink w:anchor="_Toc121434272" w:history="1">
        <w:r w:rsidR="00512DF9">
          <w:rPr>
            <w:rStyle w:val="Hyperlink"/>
            <w:rFonts w:eastAsia="Times New Roman"/>
          </w:rPr>
          <w:t>Main Body</w:t>
        </w:r>
        <w:r w:rsidR="00512DF9">
          <w:tab/>
          <w:t>2</w:t>
        </w:r>
      </w:hyperlink>
    </w:p>
    <w:p w14:paraId="64829D10" w14:textId="77777777" w:rsidR="005E3E31" w:rsidRDefault="004B1E54">
      <w:pPr>
        <w:pStyle w:val="TOC2"/>
        <w:tabs>
          <w:tab w:val="right" w:leader="dot" w:pos="9019"/>
        </w:tabs>
      </w:pPr>
      <w:hyperlink w:anchor="_Toc121434273" w:history="1">
        <w:r w:rsidR="00512DF9">
          <w:rPr>
            <w:rStyle w:val="Hyperlink"/>
            <w:rFonts w:eastAsia="Times New Roman"/>
          </w:rPr>
          <w:t>Project Overview</w:t>
        </w:r>
        <w:r w:rsidR="00512DF9">
          <w:tab/>
          <w:t>2</w:t>
        </w:r>
      </w:hyperlink>
    </w:p>
    <w:p w14:paraId="01D05ED6" w14:textId="77777777" w:rsidR="005E3E31" w:rsidRDefault="004B1E54">
      <w:pPr>
        <w:pStyle w:val="TOC2"/>
        <w:tabs>
          <w:tab w:val="right" w:leader="dot" w:pos="9019"/>
        </w:tabs>
      </w:pPr>
      <w:hyperlink w:anchor="_Toc121434274" w:history="1">
        <w:r w:rsidR="00512DF9">
          <w:rPr>
            <w:rStyle w:val="Hyperlink"/>
            <w:rFonts w:eastAsia="Times New Roman"/>
          </w:rPr>
          <w:t>Initial Project Plan</w:t>
        </w:r>
        <w:r w:rsidR="00512DF9">
          <w:tab/>
          <w:t>3</w:t>
        </w:r>
      </w:hyperlink>
    </w:p>
    <w:p w14:paraId="31D2DA0F" w14:textId="77777777" w:rsidR="005E3E31" w:rsidRDefault="004B1E54">
      <w:pPr>
        <w:pStyle w:val="TOC2"/>
        <w:tabs>
          <w:tab w:val="right" w:leader="dot" w:pos="9019"/>
        </w:tabs>
      </w:pPr>
      <w:hyperlink w:anchor="_Toc121434275" w:history="1">
        <w:r w:rsidR="00512DF9">
          <w:rPr>
            <w:rStyle w:val="Hyperlink"/>
            <w:rFonts w:eastAsia="Times New Roman"/>
          </w:rPr>
          <w:t>Project Budget</w:t>
        </w:r>
        <w:r w:rsidR="00512DF9">
          <w:tab/>
          <w:t>6</w:t>
        </w:r>
      </w:hyperlink>
    </w:p>
    <w:p w14:paraId="010452A3" w14:textId="77777777" w:rsidR="005E3E31" w:rsidRDefault="004B1E54">
      <w:pPr>
        <w:pStyle w:val="TOC1"/>
        <w:tabs>
          <w:tab w:val="right" w:leader="dot" w:pos="9019"/>
        </w:tabs>
      </w:pPr>
      <w:hyperlink w:anchor="_Toc121434276" w:history="1">
        <w:r w:rsidR="00512DF9">
          <w:rPr>
            <w:rStyle w:val="Hyperlink"/>
            <w:rFonts w:eastAsia="Times New Roman"/>
          </w:rPr>
          <w:t>Timeline</w:t>
        </w:r>
        <w:r w:rsidR="00512DF9">
          <w:tab/>
          <w:t>8</w:t>
        </w:r>
      </w:hyperlink>
    </w:p>
    <w:p w14:paraId="1DE2F1E3" w14:textId="77777777" w:rsidR="005E3E31" w:rsidRDefault="004B1E54">
      <w:pPr>
        <w:pStyle w:val="TOC1"/>
        <w:tabs>
          <w:tab w:val="right" w:leader="dot" w:pos="9019"/>
        </w:tabs>
      </w:pPr>
      <w:hyperlink w:anchor="_Toc121434277" w:history="1">
        <w:r w:rsidR="00512DF9">
          <w:rPr>
            <w:rStyle w:val="Hyperlink"/>
            <w:rFonts w:eastAsia="Times New Roman"/>
          </w:rPr>
          <w:t>Risk Factors</w:t>
        </w:r>
        <w:r w:rsidR="00512DF9">
          <w:tab/>
          <w:t>10</w:t>
        </w:r>
      </w:hyperlink>
    </w:p>
    <w:p w14:paraId="26664D8F" w14:textId="77777777" w:rsidR="005E3E31" w:rsidRDefault="004B1E54">
      <w:pPr>
        <w:pStyle w:val="TOC1"/>
        <w:tabs>
          <w:tab w:val="right" w:leader="dot" w:pos="9019"/>
        </w:tabs>
      </w:pPr>
      <w:hyperlink w:anchor="_Toc121434278" w:history="1">
        <w:r w:rsidR="00512DF9">
          <w:rPr>
            <w:rStyle w:val="Hyperlink"/>
            <w:rFonts w:eastAsia="Times New Roman"/>
          </w:rPr>
          <w:t>Evaluation of the project</w:t>
        </w:r>
        <w:r w:rsidR="00512DF9">
          <w:tab/>
          <w:t>11</w:t>
        </w:r>
      </w:hyperlink>
    </w:p>
    <w:p w14:paraId="3DBA3FDA" w14:textId="77777777" w:rsidR="005E3E31" w:rsidRDefault="004B1E54">
      <w:pPr>
        <w:pStyle w:val="TOC1"/>
        <w:tabs>
          <w:tab w:val="right" w:leader="dot" w:pos="9019"/>
        </w:tabs>
      </w:pPr>
      <w:hyperlink w:anchor="_Toc121434279" w:history="1">
        <w:r w:rsidR="00512DF9">
          <w:rPr>
            <w:rStyle w:val="Hyperlink"/>
            <w:rFonts w:eastAsia="Times New Roman"/>
          </w:rPr>
          <w:t>Conclusion and Recommendations</w:t>
        </w:r>
        <w:r w:rsidR="00512DF9">
          <w:tab/>
          <w:t>12</w:t>
        </w:r>
      </w:hyperlink>
    </w:p>
    <w:p w14:paraId="2D3068AC" w14:textId="77777777" w:rsidR="005E3E31" w:rsidRDefault="004B1E54">
      <w:pPr>
        <w:pStyle w:val="TOC1"/>
        <w:tabs>
          <w:tab w:val="right" w:leader="dot" w:pos="9019"/>
        </w:tabs>
      </w:pPr>
      <w:hyperlink w:anchor="_Toc121434280" w:history="1">
        <w:r w:rsidR="00512DF9">
          <w:rPr>
            <w:rStyle w:val="Hyperlink"/>
            <w:rFonts w:eastAsia="Times New Roman"/>
          </w:rPr>
          <w:t>References</w:t>
        </w:r>
        <w:r w:rsidR="00512DF9">
          <w:tab/>
          <w:t>14</w:t>
        </w:r>
      </w:hyperlink>
    </w:p>
    <w:p w14:paraId="352C61CE" w14:textId="77777777" w:rsidR="005E3E31" w:rsidRDefault="00512DF9">
      <w:r>
        <w:fldChar w:fldCharType="end"/>
      </w:r>
    </w:p>
    <w:p w14:paraId="02B0F514" w14:textId="77777777" w:rsidR="005E3E31" w:rsidRDefault="005E3E31"/>
    <w:p w14:paraId="59B6C08E" w14:textId="77777777" w:rsidR="005E3E31" w:rsidRDefault="00512DF9">
      <w:pPr>
        <w:pStyle w:val="Heading1"/>
      </w:pPr>
      <w:bookmarkStart w:id="0" w:name="_Toc121434271"/>
      <w:r>
        <w:t>Introduction</w:t>
      </w:r>
      <w:bookmarkEnd w:id="0"/>
    </w:p>
    <w:p w14:paraId="5305DB95"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The Project Management process is very much important, through which a project schedule can be successfully implemented. The process of project management has included four important aspects such as Initiation, Planning, Execution and Closing phase (</w:t>
      </w:r>
      <w:r>
        <w:rPr>
          <w:rFonts w:ascii="Times New Roman" w:eastAsia="Times New Roman" w:hAnsi="Times New Roman" w:cs="Times New Roman"/>
          <w:color w:val="000000"/>
          <w:sz w:val="24"/>
          <w:szCs w:val="24"/>
          <w:shd w:val="clear" w:color="auto" w:fill="FFFFFF"/>
        </w:rPr>
        <w:t>Simon and Murray-Webster, 2018</w:t>
      </w:r>
      <w:r>
        <w:rPr>
          <w:rFonts w:ascii="Times New Roman" w:eastAsia="Times New Roman" w:hAnsi="Times New Roman" w:cs="Times New Roman"/>
          <w:color w:val="000000"/>
          <w:sz w:val="24"/>
          <w:szCs w:val="24"/>
        </w:rPr>
        <w:t xml:space="preserve">). In this assessment, evaluation of project plan for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project or Elizabeth Line has been conducted with the analysis of project Review, initial project plan, Project budget, project timeline, stakeholder Risk analysis and evaluation of the project. This project is significant as it took almost 50 years to complete its execution. This will be helpful in identifying the project success or failure through significant understanding of the project results.</w:t>
      </w:r>
    </w:p>
    <w:p w14:paraId="22C5C55D" w14:textId="77777777" w:rsidR="005E3E31" w:rsidRDefault="00512DF9">
      <w:pPr>
        <w:pStyle w:val="Heading1"/>
      </w:pPr>
      <w:bookmarkStart w:id="1" w:name="_Toc121434272"/>
      <w:r>
        <w:t>Main Body</w:t>
      </w:r>
      <w:bookmarkEnd w:id="1"/>
    </w:p>
    <w:p w14:paraId="18313949" w14:textId="77777777" w:rsidR="005E3E31" w:rsidRDefault="00512DF9">
      <w:pPr>
        <w:pStyle w:val="Heading2"/>
      </w:pPr>
      <w:bookmarkStart w:id="2" w:name="_Toc121434273"/>
      <w:r>
        <w:t>Project Overview</w:t>
      </w:r>
      <w:bookmarkEnd w:id="2"/>
    </w:p>
    <w:p w14:paraId="336F5759"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The Elizabeth line is considered to be a travel facility across London and the South East. It is aimed to cut down journey costs for travelers. In addition, this is aimed to provide additional journey facility, capacity, and transforming accessibility for the passengers. This line is considered to be highly historic among the transport network, which is found to be highly crucial for the recovery of London from the global pandemic onset. Through this, the avoidance of car-led recovery can be conducted through the provision of new journey options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2022).  In addition, through this the supporting regeneration within capital can be ensured. </w:t>
      </w:r>
      <w:r>
        <w:rPr>
          <w:rFonts w:ascii="Times New Roman" w:eastAsia="Times New Roman" w:hAnsi="Times New Roman" w:cs="Times New Roman"/>
          <w:color w:val="000000"/>
          <w:sz w:val="24"/>
          <w:szCs w:val="24"/>
        </w:rPr>
        <w:lastRenderedPageBreak/>
        <w:t>Through this, a scope of social development can be ensured. The project is found to be a complex railway encompassing the new stations. In addition new infrastructure, new trains and new tracks are being added in the project phases to complete the project tasks in a systematic way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2022). In addition, assurance for providing safety for consumers is also considered in this project in order to provide flexibility to the consumers. In order to ensure a safe and reliable safe journey for consumers is considered to be highly important for the present project. </w:t>
      </w:r>
    </w:p>
    <w:p w14:paraId="5176C327" w14:textId="77777777" w:rsidR="005E3E31" w:rsidRDefault="00512DF9">
      <w:pPr>
        <w:pStyle w:val="Heading2"/>
      </w:pPr>
      <w:bookmarkStart w:id="3" w:name="_Toc121434274"/>
      <w:r>
        <w:t>Initial Project Plan</w:t>
      </w:r>
      <w:bookmarkEnd w:id="3"/>
    </w:p>
    <w:p w14:paraId="5429967E" w14:textId="77777777" w:rsidR="005E3E31" w:rsidRDefault="005E3E31">
      <w:pPr>
        <w:pStyle w:val="Normal1"/>
        <w:spacing w:before="240" w:after="240" w:line="360" w:lineRule="auto"/>
        <w:jc w:val="both"/>
        <w:rPr>
          <w:rFonts w:ascii="Times New Roman" w:eastAsia="Times New Roman" w:hAnsi="Times New Roman" w:cs="Times New Roman"/>
          <w:b/>
          <w:color w:val="000000"/>
          <w:sz w:val="24"/>
          <w:szCs w:val="24"/>
        </w:rPr>
      </w:pPr>
    </w:p>
    <w:tbl>
      <w:tblPr>
        <w:tblW w:w="9029" w:type="dxa"/>
        <w:jc w:val="center"/>
        <w:tblLayout w:type="fixed"/>
        <w:tblCellMar>
          <w:left w:w="10" w:type="dxa"/>
          <w:right w:w="10" w:type="dxa"/>
        </w:tblCellMar>
        <w:tblLook w:val="0000" w:firstRow="0" w:lastRow="0" w:firstColumn="0" w:lastColumn="0" w:noHBand="0" w:noVBand="0"/>
      </w:tblPr>
      <w:tblGrid>
        <w:gridCol w:w="4514"/>
        <w:gridCol w:w="4515"/>
      </w:tblGrid>
      <w:tr w:rsidR="005E3E31" w14:paraId="4454DD23"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7F4C1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Tasks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980DC3"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Months </w:t>
            </w:r>
          </w:p>
        </w:tc>
      </w:tr>
      <w:tr w:rsidR="005E3E31" w14:paraId="73D4253E"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B465C1"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Initiation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B04F0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324 months</w:t>
            </w:r>
          </w:p>
        </w:tc>
      </w:tr>
      <w:tr w:rsidR="005E3E31" w14:paraId="3CE1303A"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A59EBB"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Gathering Information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C7324A"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487C3368"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03F7C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Stakeholder Meeting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44D3C1"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4F9D2CDB"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CD01A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Passing Bills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C49BE3"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1B242CE9"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CE9BC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Legal Requirements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3B39C6"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760553E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DBA12A"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Planning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C29CC6"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48 months</w:t>
            </w:r>
          </w:p>
        </w:tc>
      </w:tr>
      <w:tr w:rsidR="005E3E31" w14:paraId="547CB8A6"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71E94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Making Project Blueprint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0EAFD8"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0C55E9A8"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C4A793"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Preparing project budget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5D8220"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2E0F2C81"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F1985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Machinery development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6D1D71"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759F9FD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2B0A09"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Selection of Labors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2CC572"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6FDCBA6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C518B7"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Track Installation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51CAC5"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1297FFA6"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E9307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Identifying Issues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F5B7C5"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5F1670EA"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37502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Execution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0BDC7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156 months</w:t>
            </w:r>
          </w:p>
        </w:tc>
      </w:tr>
      <w:tr w:rsidR="005E3E31" w14:paraId="7F5B75B8"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F6A21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Labor management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B61BF5"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17F015D9"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C00D6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Execution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CE0DB1"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39101075"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82D17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Budget management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A9AAF3"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3222062B"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542CB9"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Day to day project observation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449558"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3221967E"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53781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Tracking development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33B7DE"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6AD95AEE"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972741"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Maintaining underground part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C9CD64"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7C866F24"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8241F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Building management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2A658C"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131342F0"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62BCA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Electricity</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EB2C68"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0E43E7E7"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FBAAA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Risk Monitoring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CEEC17"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4FA36D2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244F93"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Risk Evaluation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0D9F42"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392AF28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A0857B"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Risk Strategy</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2D9E9E"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4CCCC430"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A825A6"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Closing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B9390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12 months</w:t>
            </w:r>
          </w:p>
        </w:tc>
      </w:tr>
      <w:tr w:rsidR="005E3E31" w14:paraId="21380E2C"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8F43B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Monitoring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24F0D6"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3B45195E"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846BF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Reviewing </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2E2B6F"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08360E8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EAEF0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Controlling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E0F57A" w14:textId="77777777" w:rsidR="005E3E31" w:rsidRDefault="005E3E31">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p>
        </w:tc>
      </w:tr>
      <w:tr w:rsidR="005E3E31" w14:paraId="2684CBA4"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D9312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3EAD2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540 months</w:t>
            </w:r>
          </w:p>
        </w:tc>
      </w:tr>
      <w:tr w:rsidR="005E3E31" w14:paraId="2EB05CC6"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8527B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Delay</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50BEB1"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36 months</w:t>
            </w:r>
          </w:p>
        </w:tc>
      </w:tr>
      <w:tr w:rsidR="005E3E31" w14:paraId="52D430F5"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E3F4EB"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Total Project Days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379EC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576 months</w:t>
            </w:r>
          </w:p>
        </w:tc>
      </w:tr>
    </w:tbl>
    <w:p w14:paraId="316704F7" w14:textId="77777777" w:rsidR="005E3E31" w:rsidRDefault="00512DF9">
      <w:pPr>
        <w:pStyle w:val="Normal1"/>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Table 1: Project days</w:t>
      </w:r>
    </w:p>
    <w:p w14:paraId="58364907"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The planning of the project has required 576 months to accomplish its project aims and objectives. This project has been completed through 4 phases such as Initiation, Planning, Execution and closing (</w:t>
      </w:r>
      <w:proofErr w:type="spellStart"/>
      <w:r>
        <w:rPr>
          <w:rFonts w:ascii="Times New Roman" w:eastAsia="Times New Roman" w:hAnsi="Times New Roman" w:cs="Times New Roman"/>
          <w:color w:val="000000"/>
          <w:sz w:val="24"/>
          <w:szCs w:val="24"/>
          <w:shd w:val="clear" w:color="auto" w:fill="FFFFFF"/>
        </w:rPr>
        <w:t>Hedeman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shd w:val="clear" w:color="auto" w:fill="FFFFFF"/>
        </w:rPr>
        <w:t xml:space="preserve">and </w:t>
      </w:r>
      <w:proofErr w:type="spellStart"/>
      <w:r>
        <w:rPr>
          <w:rFonts w:ascii="Times New Roman" w:eastAsia="Times New Roman" w:hAnsi="Times New Roman" w:cs="Times New Roman"/>
          <w:color w:val="000000"/>
          <w:sz w:val="24"/>
          <w:szCs w:val="24"/>
          <w:shd w:val="clear" w:color="auto" w:fill="FFFFFF"/>
        </w:rPr>
        <w:t>Seegers</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shd w:val="clear" w:color="auto" w:fill="FFFFFF"/>
        </w:rPr>
        <w:t>2009, p.193</w:t>
      </w:r>
      <w:r>
        <w:rPr>
          <w:rFonts w:ascii="Times New Roman" w:eastAsia="Times New Roman" w:hAnsi="Times New Roman" w:cs="Times New Roman"/>
          <w:color w:val="000000"/>
          <w:sz w:val="24"/>
          <w:szCs w:val="24"/>
        </w:rPr>
        <w:t xml:space="preserve">). These phases are crucial for the competition of the project as each of the steps is dependent on the previous tasks. Due to the higher dependencies of the project, it is recommended to follow necessary criteria of project management so that the completion of the project can be properly conducted for the development. In these four phases, different tasks have been incorporated. The phase of planning has required gathering essential information, conducting stakeholder meetings, passing different legal bills and completing legal requirements to complete the project on time. However, this entire phase of initiation has been required a huge time up to 324 months, which constitutes different legal barriers on the completion of the project. It has been observed that the completion of this project was highly dependent on the project initiation phase as the other next phases such as Planning, execution and closing phases are dependent on the phase of Initiation. The “planning” phase has required making the blueprint of the project, preparing </w:t>
      </w:r>
      <w:r>
        <w:rPr>
          <w:rFonts w:ascii="Times New Roman" w:eastAsia="Times New Roman" w:hAnsi="Times New Roman" w:cs="Times New Roman"/>
          <w:color w:val="000000"/>
          <w:sz w:val="24"/>
          <w:szCs w:val="24"/>
        </w:rPr>
        <w:lastRenderedPageBreak/>
        <w:t>project budget, conducting machinery improvement, technical development, selection of labors, Identifying legal requirements to reduce legal constraints from the project and track installation. Through the successful execution of the planning phase, a successful project execution has been completed (</w:t>
      </w:r>
      <w:r>
        <w:rPr>
          <w:rFonts w:ascii="Times New Roman" w:eastAsia="Times New Roman" w:hAnsi="Times New Roman" w:cs="Times New Roman"/>
          <w:color w:val="000000"/>
          <w:sz w:val="24"/>
          <w:szCs w:val="24"/>
          <w:shd w:val="clear" w:color="auto" w:fill="FFFFFF"/>
        </w:rPr>
        <w:t>Garvin, 2000</w:t>
      </w:r>
      <w:r>
        <w:rPr>
          <w:rFonts w:ascii="Times New Roman" w:eastAsia="Times New Roman" w:hAnsi="Times New Roman" w:cs="Times New Roman"/>
          <w:color w:val="000000"/>
          <w:sz w:val="24"/>
          <w:szCs w:val="24"/>
        </w:rPr>
        <w:t>). The planning phase has required the time frame of 48 months. Besides, in the execution phase the construction of the railway track has been initiated. In this phase, labor management, budget management, project observation, tracking development for the project, maintaining the underground part of the project, building management and implementation of electricity has been conducted. In addition, risk evaluation, risk planning and implementation of new risk strategy have been also initiated in order to ensure proper development of the project execution. In addition, on the next phase of closing the steps of project monitoring, closing and reviewing has been done in order to achieve continuous development of the project. These are highly necessary in order to achieve stability of the project. The completion of this phase has required 12 months (</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 The phase of execution needed 156 months. On the other hand, 36 months delta has been observed in this project, through which 576 months total project days will be required (</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xml:space="preserve">, 2022). The delay of the project is related to the electricity crisis, death of 48 labors, exceeding the budget postponement of opening and stakeholder difficulties. These highly significant risks constitute delay in the project. </w:t>
      </w:r>
    </w:p>
    <w:p w14:paraId="359C6E74" w14:textId="77777777" w:rsidR="005E3E31" w:rsidRDefault="00512DF9">
      <w:pPr>
        <w:pStyle w:val="Heading2"/>
      </w:pPr>
      <w:bookmarkStart w:id="4" w:name="_Toc121434275"/>
      <w:r>
        <w:t>Project Budget</w:t>
      </w:r>
      <w:bookmarkEnd w:id="4"/>
    </w:p>
    <w:p w14:paraId="4D463AF8"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Total project budget for Cross Rail in Elizabeth Line is </w:t>
      </w:r>
      <w:r>
        <w:rPr>
          <w:rFonts w:ascii="Times New Roman" w:eastAsia="Times New Roman" w:hAnsi="Times New Roman" w:cs="Times New Roman"/>
          <w:color w:val="000000"/>
          <w:sz w:val="24"/>
          <w:szCs w:val="24"/>
          <w:shd w:val="clear" w:color="auto" w:fill="FFFFFF"/>
        </w:rPr>
        <w:t>£14.8bn.</w:t>
      </w:r>
    </w:p>
    <w:tbl>
      <w:tblPr>
        <w:tblW w:w="9029" w:type="dxa"/>
        <w:jc w:val="center"/>
        <w:tblLayout w:type="fixed"/>
        <w:tblCellMar>
          <w:left w:w="10" w:type="dxa"/>
          <w:right w:w="10" w:type="dxa"/>
        </w:tblCellMar>
        <w:tblLook w:val="0000" w:firstRow="0" w:lastRow="0" w:firstColumn="0" w:lastColumn="0" w:noHBand="0" w:noVBand="0"/>
      </w:tblPr>
      <w:tblGrid>
        <w:gridCol w:w="4514"/>
        <w:gridCol w:w="4515"/>
      </w:tblGrid>
      <w:tr w:rsidR="005E3E31" w14:paraId="313EE5D6"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512C57"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i/>
                <w:color w:val="000000"/>
                <w:sz w:val="24"/>
                <w:szCs w:val="24"/>
                <w:shd w:val="clear" w:color="auto" w:fill="FFFFFF"/>
              </w:rPr>
            </w:pPr>
            <w:r>
              <w:rPr>
                <w:rFonts w:ascii="Times New Roman" w:eastAsia="Times New Roman" w:hAnsi="Times New Roman" w:cs="Times New Roman"/>
                <w:b/>
                <w:i/>
                <w:color w:val="000000"/>
                <w:sz w:val="24"/>
                <w:szCs w:val="24"/>
                <w:shd w:val="clear" w:color="auto" w:fill="FFFFFF"/>
              </w:rPr>
              <w:lastRenderedPageBreak/>
              <w:t>Project Requirement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1EBCD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pPr>
            <w:r>
              <w:rPr>
                <w:rFonts w:ascii="Times New Roman" w:eastAsia="Times New Roman" w:hAnsi="Times New Roman" w:cs="Times New Roman"/>
                <w:b/>
                <w:i/>
                <w:color w:val="000000"/>
                <w:sz w:val="24"/>
                <w:szCs w:val="24"/>
                <w:shd w:val="clear" w:color="auto" w:fill="FFFFFF"/>
              </w:rPr>
              <w:t>Budget (</w:t>
            </w:r>
            <w:r>
              <w:rPr>
                <w:rFonts w:ascii="Times New Roman" w:eastAsia="Times New Roman" w:hAnsi="Times New Roman" w:cs="Times New Roman"/>
                <w:color w:val="000000"/>
                <w:sz w:val="24"/>
                <w:szCs w:val="24"/>
                <w:shd w:val="clear" w:color="auto" w:fill="FFFFFF"/>
              </w:rPr>
              <w:t>£bn)</w:t>
            </w:r>
          </w:p>
        </w:tc>
      </w:tr>
      <w:tr w:rsidR="005E3E31" w14:paraId="6D6AEC4A"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040DE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Legal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95EB27"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1</w:t>
            </w:r>
          </w:p>
        </w:tc>
      </w:tr>
      <w:tr w:rsidR="005E3E31" w14:paraId="6B229D48"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F7CAC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Administrative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2AB30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2</w:t>
            </w:r>
          </w:p>
        </w:tc>
      </w:tr>
      <w:tr w:rsidR="005E3E31" w14:paraId="0DFB396A"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F8C4A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Material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79DDB8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3.5</w:t>
            </w:r>
          </w:p>
        </w:tc>
      </w:tr>
      <w:tr w:rsidR="005E3E31" w14:paraId="10CCCEE3"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D63E8B"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Labor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2A4CB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1</w:t>
            </w:r>
          </w:p>
        </w:tc>
      </w:tr>
      <w:tr w:rsidR="005E3E31" w14:paraId="08C90DD6"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2990D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Labor Accommodation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A7432F"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1</w:t>
            </w:r>
          </w:p>
        </w:tc>
      </w:tr>
      <w:tr w:rsidR="005E3E31" w14:paraId="282CC69F"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24813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Utility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7E0259"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0.5</w:t>
            </w:r>
          </w:p>
        </w:tc>
      </w:tr>
      <w:tr w:rsidR="005E3E31" w14:paraId="6B518648"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CC790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lastRenderedPageBreak/>
              <w:t>Manufacturing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4BA04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3</w:t>
            </w:r>
          </w:p>
        </w:tc>
      </w:tr>
      <w:tr w:rsidR="005E3E31" w14:paraId="6F088539"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996FF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Maintenance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6941A7"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2</w:t>
            </w:r>
          </w:p>
        </w:tc>
      </w:tr>
      <w:tr w:rsidR="005E3E31" w14:paraId="014263E6"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EBC89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Risk Monitoring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7AACC2"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0.1</w:t>
            </w:r>
          </w:p>
        </w:tc>
      </w:tr>
      <w:tr w:rsidR="005E3E31" w14:paraId="42251CC2"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FF24BA"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Risk Evaluation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30D9E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0.1</w:t>
            </w:r>
          </w:p>
        </w:tc>
      </w:tr>
      <w:tr w:rsidR="005E3E31" w14:paraId="1C45FE45"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CD192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Electricity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4A4BA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0.2</w:t>
            </w:r>
          </w:p>
        </w:tc>
      </w:tr>
      <w:tr w:rsidR="005E3E31" w14:paraId="4189D3F7"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386F6A"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Supply Cost</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1700E3"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0.3</w:t>
            </w:r>
          </w:p>
        </w:tc>
      </w:tr>
      <w:tr w:rsidR="005E3E31" w14:paraId="6EB24724"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9579DA"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Others</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70993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0.1</w:t>
            </w:r>
          </w:p>
        </w:tc>
      </w:tr>
      <w:tr w:rsidR="005E3E31" w14:paraId="6442686B" w14:textId="77777777">
        <w:trPr>
          <w:cantSplit/>
          <w:tblHeade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60157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i/>
                <w:color w:val="000000"/>
                <w:sz w:val="24"/>
                <w:szCs w:val="24"/>
                <w:shd w:val="clear" w:color="auto" w:fill="FFFFFF"/>
              </w:rPr>
            </w:pPr>
            <w:r>
              <w:rPr>
                <w:rFonts w:ascii="Times New Roman" w:eastAsia="Times New Roman" w:hAnsi="Times New Roman" w:cs="Times New Roman"/>
                <w:b/>
                <w:i/>
                <w:color w:val="000000"/>
                <w:sz w:val="24"/>
                <w:szCs w:val="24"/>
                <w:shd w:val="clear" w:color="auto" w:fill="FFFFFF"/>
              </w:rPr>
              <w:lastRenderedPageBreak/>
              <w:t>Total</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23FA3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i/>
                <w:color w:val="000000"/>
                <w:sz w:val="24"/>
                <w:szCs w:val="24"/>
                <w:shd w:val="clear" w:color="auto" w:fill="FFFFFF"/>
              </w:rPr>
            </w:pPr>
            <w:r>
              <w:rPr>
                <w:rFonts w:ascii="Times New Roman" w:eastAsia="Times New Roman" w:hAnsi="Times New Roman" w:cs="Times New Roman"/>
                <w:b/>
                <w:i/>
                <w:color w:val="000000"/>
                <w:sz w:val="24"/>
                <w:szCs w:val="24"/>
                <w:shd w:val="clear" w:color="auto" w:fill="FFFFFF"/>
              </w:rPr>
              <w:t>£14.8 bn</w:t>
            </w:r>
          </w:p>
        </w:tc>
      </w:tr>
    </w:tbl>
    <w:p w14:paraId="62ACAE4E" w14:textId="77777777" w:rsidR="005E3E31" w:rsidRDefault="00512DF9">
      <w:pPr>
        <w:pStyle w:val="Normal1"/>
        <w:spacing w:line="360" w:lineRule="auto"/>
        <w:jc w:val="center"/>
        <w:rPr>
          <w:rFonts w:ascii="Times New Roman" w:eastAsia="Times New Roman" w:hAnsi="Times New Roman" w:cs="Times New Roman"/>
          <w:b/>
          <w:i/>
          <w:color w:val="000000"/>
          <w:sz w:val="24"/>
          <w:szCs w:val="24"/>
          <w:shd w:val="clear" w:color="auto" w:fill="FFFFFF"/>
        </w:rPr>
      </w:pPr>
      <w:r>
        <w:rPr>
          <w:rFonts w:ascii="Times New Roman" w:eastAsia="Times New Roman" w:hAnsi="Times New Roman" w:cs="Times New Roman"/>
          <w:b/>
          <w:i/>
          <w:color w:val="000000"/>
          <w:sz w:val="24"/>
          <w:szCs w:val="24"/>
          <w:shd w:val="clear" w:color="auto" w:fill="FFFFFF"/>
        </w:rPr>
        <w:t>Table 2: Project Budget</w:t>
      </w:r>
    </w:p>
    <w:p w14:paraId="15A7D396"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shd w:val="clear" w:color="auto" w:fill="FFFFFF"/>
        </w:rPr>
        <w:t xml:space="preserve">The budget of the project has been set as £14.8 bn including the legal, Administrative, Material, labor, Labor Accommodation, utility cost, manufacturing cost, manufacturing cost, Maintenance cost, Risk monitoring cost, Risk evaluation cost, electricity cost, supply cost and others. The government spending initially has been set as £14.8 bn in 2010. However later it has been raised again up to £17.6 bn during 2018 as </w:t>
      </w:r>
      <w:proofErr w:type="spellStart"/>
      <w:r>
        <w:rPr>
          <w:rFonts w:ascii="Times New Roman" w:eastAsia="Times New Roman" w:hAnsi="Times New Roman" w:cs="Times New Roman"/>
          <w:color w:val="000000"/>
          <w:sz w:val="24"/>
          <w:szCs w:val="24"/>
          <w:shd w:val="clear" w:color="auto" w:fill="FFFFFF"/>
        </w:rPr>
        <w:t>TfL</w:t>
      </w:r>
      <w:proofErr w:type="spellEnd"/>
      <w:r>
        <w:rPr>
          <w:rFonts w:ascii="Times New Roman" w:eastAsia="Times New Roman" w:hAnsi="Times New Roman" w:cs="Times New Roman"/>
          <w:color w:val="000000"/>
          <w:sz w:val="24"/>
          <w:szCs w:val="24"/>
          <w:shd w:val="clear" w:color="auto" w:fill="FFFFFF"/>
        </w:rPr>
        <w:t xml:space="preserve"> bosses step in after the </w:t>
      </w:r>
      <w:proofErr w:type="spellStart"/>
      <w:r>
        <w:rPr>
          <w:rFonts w:ascii="Times New Roman" w:eastAsia="Times New Roman" w:hAnsi="Times New Roman" w:cs="Times New Roman"/>
          <w:color w:val="000000"/>
          <w:sz w:val="24"/>
          <w:szCs w:val="24"/>
          <w:shd w:val="clear" w:color="auto" w:fill="FFFFFF"/>
        </w:rPr>
        <w:t>quit</w:t>
      </w:r>
      <w:proofErr w:type="spellEnd"/>
      <w:r>
        <w:rPr>
          <w:rFonts w:ascii="Times New Roman" w:eastAsia="Times New Roman" w:hAnsi="Times New Roman" w:cs="Times New Roman"/>
          <w:color w:val="000000"/>
          <w:sz w:val="24"/>
          <w:szCs w:val="24"/>
          <w:shd w:val="clear" w:color="auto" w:fill="FFFFFF"/>
        </w:rPr>
        <w:t xml:space="preserve"> of </w:t>
      </w:r>
      <w:proofErr w:type="spellStart"/>
      <w:r>
        <w:rPr>
          <w:rFonts w:ascii="Times New Roman" w:eastAsia="Times New Roman" w:hAnsi="Times New Roman" w:cs="Times New Roman"/>
          <w:color w:val="000000"/>
          <w:sz w:val="24"/>
          <w:szCs w:val="24"/>
          <w:shd w:val="clear" w:color="auto" w:fill="FFFFFF"/>
        </w:rPr>
        <w:t>Crossrail</w:t>
      </w:r>
      <w:proofErr w:type="spellEnd"/>
      <w:r>
        <w:rPr>
          <w:rFonts w:ascii="Times New Roman" w:eastAsia="Times New Roman" w:hAnsi="Times New Roman" w:cs="Times New Roman"/>
          <w:color w:val="000000"/>
          <w:sz w:val="24"/>
          <w:szCs w:val="24"/>
          <w:shd w:val="clear" w:color="auto" w:fill="FFFFFF"/>
        </w:rPr>
        <w:t xml:space="preserve"> Executives (</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 Therefore, the project has gone through a severe monetary crisis due to the uncertain budget fluctuations. However, again in 2019 the budget has been grown by £18.25 bn with the increasing inflation, fate and delta in the project (</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 xml:space="preserve">). The cost of the budget has exceeded its limit due to the uncertain delay of the project. The project has been delayed due to the increasing electricity difficulties, killing 1 worker during the spraying of concrete in the tunnel. It caused the </w:t>
      </w:r>
      <w:proofErr w:type="spellStart"/>
      <w:r>
        <w:rPr>
          <w:rFonts w:ascii="Times New Roman" w:eastAsia="Times New Roman" w:hAnsi="Times New Roman" w:cs="Times New Roman"/>
          <w:color w:val="000000"/>
          <w:sz w:val="24"/>
          <w:szCs w:val="24"/>
          <w:shd w:val="clear" w:color="auto" w:fill="FFFFFF"/>
        </w:rPr>
        <w:t>Crossrail</w:t>
      </w:r>
      <w:proofErr w:type="spellEnd"/>
      <w:r>
        <w:rPr>
          <w:rFonts w:ascii="Times New Roman" w:eastAsia="Times New Roman" w:hAnsi="Times New Roman" w:cs="Times New Roman"/>
          <w:color w:val="000000"/>
          <w:sz w:val="24"/>
          <w:szCs w:val="24"/>
          <w:shd w:val="clear" w:color="auto" w:fill="FFFFFF"/>
        </w:rPr>
        <w:t xml:space="preserve"> to be delayed as the tunnel development remained incomplete. The explosion of electricity in the Pudding Mill Substation is considered to be a major construction issue in this project, which also causes the increasing budget for the completion of this project (</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 xml:space="preserve">). It reduces the effectiveness of the project. In addition, it increases simultaneous pressure on the project growth and completion. Through this, the project coordinators also faced a huge burden of budget exceeding. </w:t>
      </w:r>
    </w:p>
    <w:p w14:paraId="626CCE86" w14:textId="77777777" w:rsidR="005E3E31" w:rsidRDefault="00512DF9">
      <w:pPr>
        <w:pStyle w:val="Heading1"/>
      </w:pPr>
      <w:bookmarkStart w:id="5" w:name="_Toc121434276"/>
      <w:r>
        <w:lastRenderedPageBreak/>
        <w:t>Timeline</w:t>
      </w:r>
      <w:bookmarkEnd w:id="5"/>
    </w:p>
    <w:p w14:paraId="033BCAE4" w14:textId="77777777" w:rsidR="005E3E31" w:rsidRDefault="00512DF9">
      <w:pPr>
        <w:pStyle w:val="Normal1"/>
        <w:spacing w:before="240" w:after="240" w:line="360" w:lineRule="auto"/>
        <w:jc w:val="center"/>
      </w:pPr>
      <w:r>
        <w:rPr>
          <w:rFonts w:ascii="Times New Roman" w:eastAsia="Times New Roman" w:hAnsi="Times New Roman" w:cs="Times New Roman"/>
          <w:b/>
          <w:noProof/>
          <w:color w:val="000000"/>
          <w:sz w:val="24"/>
          <w:szCs w:val="24"/>
        </w:rPr>
        <w:drawing>
          <wp:inline distT="0" distB="0" distL="0" distR="0" wp14:anchorId="3A6E64E2" wp14:editId="382116BB">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7E348FF" w14:textId="77777777" w:rsidR="005E3E31" w:rsidRDefault="00512DF9">
      <w:pPr>
        <w:pStyle w:val="Normal1"/>
        <w:spacing w:before="240" w:after="240"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Figure 1: Gantt Chart</w:t>
      </w:r>
    </w:p>
    <w:p w14:paraId="55743302"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The predicted timeline of this project has been delayed considering several factors such as legal and political barriers that influence several time constraints on the project completion. The project initiation started in 1974 when the government of London first introduced the scheme of cross rail. Later in 1889 the project aimed to create a plan for east-west trains under London </w:t>
      </w:r>
      <w:r>
        <w:rPr>
          <w:rFonts w:ascii="Times New Roman" w:eastAsia="Times New Roman" w:hAnsi="Times New Roman" w:cs="Times New Roman"/>
          <w:color w:val="000000"/>
          <w:sz w:val="24"/>
          <w:szCs w:val="24"/>
          <w:shd w:val="clear" w:color="auto" w:fill="FFFFFF"/>
        </w:rPr>
        <w:t>(</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rPr>
        <w:t xml:space="preserve">. In these considerations, a private bill for building a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has been presented which Conservative government has ultimately rejected. Later in 2001, a joint body was made for developing a new line. Later between 2005 to 2008, a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bill was passed in parliament when the scheme of 15.9 bn pound was aimed to approach the project. Later in 2016, the name of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was changed to the Elizabeth line. In 2017, the establishment of the installation of the rail track was completed </w:t>
      </w:r>
      <w:r>
        <w:rPr>
          <w:rFonts w:ascii="Times New Roman" w:eastAsia="Times New Roman" w:hAnsi="Times New Roman" w:cs="Times New Roman"/>
          <w:color w:val="000000"/>
          <w:sz w:val="24"/>
          <w:szCs w:val="24"/>
          <w:shd w:val="clear" w:color="auto" w:fill="FFFFFF"/>
        </w:rPr>
        <w:t>(</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rPr>
        <w:t xml:space="preserve">. Through 2017, an electric explosion has increased an uncertain delay in the construction of this project. In between these phases, the cost of the project has also been increased on a higher rate up to 18.25bn pounds. However, in 2022 it started to run trains on the track. </w:t>
      </w:r>
    </w:p>
    <w:p w14:paraId="65D5B26F" w14:textId="77777777" w:rsidR="005E3E31" w:rsidRDefault="00512DF9">
      <w:r>
        <w:t>Quality stakeholders</w:t>
      </w:r>
    </w:p>
    <w:p w14:paraId="522B3CF1"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In this project of Elizabeth Line, internal and external stakeholders are involved to manage the internal and external project tasks. The internal stakeholders such as employees, laborers, project managers, project leaders and account managers. Besides, the external stakeholders who are involved in this project are government, investors, customers and project observers </w:t>
      </w:r>
      <w:r>
        <w:rPr>
          <w:rFonts w:ascii="Times New Roman" w:eastAsia="Times New Roman" w:hAnsi="Times New Roman" w:cs="Times New Roman"/>
          <w:color w:val="000000"/>
          <w:sz w:val="24"/>
          <w:szCs w:val="24"/>
        </w:rPr>
        <w:lastRenderedPageBreak/>
        <w:t>(</w:t>
      </w:r>
      <w:proofErr w:type="spellStart"/>
      <w:r>
        <w:rPr>
          <w:rFonts w:ascii="Times New Roman" w:eastAsia="Times New Roman" w:hAnsi="Times New Roman" w:cs="Times New Roman"/>
          <w:color w:val="000000"/>
          <w:sz w:val="24"/>
          <w:szCs w:val="24"/>
          <w:shd w:val="clear" w:color="auto" w:fill="FFFFFF"/>
        </w:rPr>
        <w:t>Kartajaya</w:t>
      </w:r>
      <w:proofErr w:type="spellEnd"/>
      <w:r>
        <w:rPr>
          <w:rFonts w:ascii="Times New Roman" w:eastAsia="Times New Roman" w:hAnsi="Times New Roman" w:cs="Times New Roman"/>
          <w:color w:val="000000"/>
          <w:sz w:val="24"/>
          <w:szCs w:val="24"/>
          <w:shd w:val="clear" w:color="auto" w:fill="FFFFFF"/>
        </w:rPr>
        <w:t xml:space="preserve"> </w:t>
      </w:r>
      <w:r>
        <w:rPr>
          <w:rFonts w:ascii="Times New Roman" w:eastAsia="Times New Roman" w:hAnsi="Times New Roman" w:cs="Times New Roman"/>
          <w:i/>
          <w:color w:val="000000"/>
          <w:sz w:val="24"/>
          <w:szCs w:val="24"/>
          <w:shd w:val="clear" w:color="auto" w:fill="FFFFFF"/>
        </w:rPr>
        <w:t xml:space="preserve">et al., </w:t>
      </w:r>
      <w:r>
        <w:rPr>
          <w:rFonts w:ascii="Times New Roman" w:eastAsia="Times New Roman" w:hAnsi="Times New Roman" w:cs="Times New Roman"/>
          <w:color w:val="000000"/>
          <w:sz w:val="24"/>
          <w:szCs w:val="24"/>
          <w:shd w:val="clear" w:color="auto" w:fill="FFFFFF"/>
        </w:rPr>
        <w:t>2019</w:t>
      </w:r>
      <w:r>
        <w:rPr>
          <w:rFonts w:ascii="Times New Roman" w:eastAsia="Times New Roman" w:hAnsi="Times New Roman" w:cs="Times New Roman"/>
          <w:color w:val="000000"/>
          <w:sz w:val="24"/>
          <w:szCs w:val="24"/>
        </w:rPr>
        <w:t>). These stakeholders are highly important in terms of managing the internal project tasks and risks. The use of internal and external stakeholders is considered to play a significant role in this project. Internal stakeholders such as employees, project managers, project leaders are highly important to monitor the project progress and measure the project risks. Through this, a successful development of the project can be accomplished (</w:t>
      </w:r>
      <w:r>
        <w:rPr>
          <w:rFonts w:ascii="Times New Roman" w:eastAsia="Times New Roman" w:hAnsi="Times New Roman" w:cs="Times New Roman"/>
          <w:color w:val="000000"/>
          <w:sz w:val="24"/>
          <w:szCs w:val="24"/>
          <w:shd w:val="clear" w:color="auto" w:fill="FFFFFF"/>
        </w:rPr>
        <w:t>Tucker, 2017</w:t>
      </w:r>
      <w:r>
        <w:rPr>
          <w:rFonts w:ascii="Times New Roman" w:eastAsia="Times New Roman" w:hAnsi="Times New Roman" w:cs="Times New Roman"/>
          <w:color w:val="000000"/>
          <w:sz w:val="24"/>
          <w:szCs w:val="24"/>
        </w:rPr>
        <w:t xml:space="preserve">). The involvement of these internal stakeholders is highly important to satisfy the external stakeholders involved in this project. In addition, a proper communication between external and internal stakeholders is necessary in order to achieve a success </w:t>
      </w:r>
    </w:p>
    <w:p w14:paraId="5FCDC39D" w14:textId="77777777" w:rsidR="005E3E31" w:rsidRDefault="00512DF9">
      <w:pPr>
        <w:pStyle w:val="Heading1"/>
      </w:pPr>
      <w:bookmarkStart w:id="6" w:name="_Toc121434277"/>
      <w:r>
        <w:lastRenderedPageBreak/>
        <w:t>Risk Factors</w:t>
      </w:r>
      <w:bookmarkEnd w:id="6"/>
    </w:p>
    <w:tbl>
      <w:tblPr>
        <w:tblW w:w="9029" w:type="dxa"/>
        <w:jc w:val="center"/>
        <w:tblLayout w:type="fixed"/>
        <w:tblCellMar>
          <w:left w:w="10" w:type="dxa"/>
          <w:right w:w="10" w:type="dxa"/>
        </w:tblCellMar>
        <w:tblLook w:val="0000" w:firstRow="0" w:lastRow="0" w:firstColumn="0" w:lastColumn="0" w:noHBand="0" w:noVBand="0"/>
      </w:tblPr>
      <w:tblGrid>
        <w:gridCol w:w="3009"/>
        <w:gridCol w:w="3010"/>
        <w:gridCol w:w="3010"/>
      </w:tblGrid>
      <w:tr w:rsidR="005E3E31" w14:paraId="33509585"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D6449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Risk</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13080F"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Likelihood</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291D2A"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Impact</w:t>
            </w:r>
          </w:p>
        </w:tc>
      </w:tr>
      <w:tr w:rsidR="005E3E31" w14:paraId="24CA8F14"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84F12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Exceeding budget</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4825075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4F98679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r>
      <w:tr w:rsidR="005E3E31" w14:paraId="1D57EC76"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DFC4D7"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Geotechnical Challenges</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688F2606"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56B29DAD"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r>
      <w:tr w:rsidR="005E3E31" w14:paraId="28D7BB15"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1732F3"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Ground Investigation</w:t>
            </w:r>
          </w:p>
        </w:tc>
        <w:tc>
          <w:tcPr>
            <w:tcW w:w="3010"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020A641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3AE17E6"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r>
      <w:tr w:rsidR="005E3E31" w14:paraId="7D8DC2B9"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30EE0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climate understanding</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B28040B"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392FE5C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r>
      <w:tr w:rsidR="005E3E31" w14:paraId="5A73219A"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743A7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Unskilled employees</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FF348BB"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333A30E9"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r>
      <w:tr w:rsidR="005E3E31" w14:paraId="39AC0AF2"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DCEB50"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Health Hazardous</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F3C11C9"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c>
          <w:tcPr>
            <w:tcW w:w="3010"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6E832EEC"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r>
      <w:tr w:rsidR="005E3E31" w14:paraId="4FBD818F"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2CBF75"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Communication barrier with stakeholders</w:t>
            </w:r>
          </w:p>
        </w:tc>
        <w:tc>
          <w:tcPr>
            <w:tcW w:w="3010"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07B9A14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Medium</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76DF0D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r>
      <w:tr w:rsidR="005E3E31" w14:paraId="4209C38C"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2024CA"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monitoring</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0302B0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c>
          <w:tcPr>
            <w:tcW w:w="30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2F09179"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r>
      <w:tr w:rsidR="005E3E31" w14:paraId="4AED87FA" w14:textId="77777777">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9F9D9E"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Delay</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056E5C04"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c>
          <w:tcPr>
            <w:tcW w:w="3010" w:type="dxa"/>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tcPr>
          <w:p w14:paraId="75CCBFF8" w14:textId="77777777" w:rsidR="005E3E31" w:rsidRDefault="00512DF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tc>
      </w:tr>
    </w:tbl>
    <w:p w14:paraId="15865777" w14:textId="77777777" w:rsidR="005E3E31" w:rsidRDefault="00512DF9">
      <w:pPr>
        <w:pStyle w:val="Normal1"/>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Table 3: Risk Register</w:t>
      </w:r>
    </w:p>
    <w:p w14:paraId="5DD63B4F"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In the Elizabeth Line Project different risks have been found such as Exceeding budget limit, inclusion of other geotechnical challenges, lack of ground investigation, lack of climate understanding, increasing unskilled employees, health hazardous, communication barriers with stakeholders, lack of project monitoring and increasing project delay. These risks are considered to be highly significant in terms of delaying the project </w:t>
      </w:r>
      <w:r>
        <w:rPr>
          <w:rFonts w:ascii="Times New Roman" w:eastAsia="Times New Roman" w:hAnsi="Times New Roman" w:cs="Times New Roman"/>
          <w:color w:val="000000"/>
          <w:sz w:val="24"/>
          <w:szCs w:val="24"/>
          <w:shd w:val="clear" w:color="auto" w:fill="FFFFFF"/>
        </w:rPr>
        <w:t>(</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rPr>
        <w:t xml:space="preserve">. For example, exceeding the budget has increased uncertain financial constraints in the project. In addition, it also created legal and regulatory implications in the project also. Through this, this has been considered one of the reasons for reducing the project effectiveness. </w:t>
      </w:r>
    </w:p>
    <w:p w14:paraId="7EAE1FAF"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Besides, geotechnical challenges are also considered as the reasons for increasing project delay because the investigation of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ground has taken longer time. It simultaneously affects the project completion in a higher manner (</w:t>
      </w:r>
      <w:r>
        <w:rPr>
          <w:rFonts w:ascii="Times New Roman" w:eastAsia="Times New Roman" w:hAnsi="Times New Roman" w:cs="Times New Roman"/>
          <w:color w:val="000000"/>
          <w:sz w:val="24"/>
          <w:szCs w:val="24"/>
          <w:shd w:val="clear" w:color="auto" w:fill="FFFFFF"/>
        </w:rPr>
        <w:t>Black, 2017</w:t>
      </w:r>
      <w:r>
        <w:rPr>
          <w:rFonts w:ascii="Times New Roman" w:eastAsia="Times New Roman" w:hAnsi="Times New Roman" w:cs="Times New Roman"/>
          <w:color w:val="000000"/>
          <w:sz w:val="24"/>
          <w:szCs w:val="24"/>
        </w:rPr>
        <w:t xml:space="preserve">). Exceeding the budget is considered to have a negative impact on the project completion. Besides, it has been observed that the risks related to the geotechnical challenges increased due to the lack of understanding of the Geological aspect involved in the project. While it has been focused on the centered tunnel section, which is located at the London basin, it has been found that the ground is made of alluvium and River Terrace gravels </w:t>
      </w:r>
      <w:r>
        <w:rPr>
          <w:rFonts w:ascii="Times New Roman" w:eastAsia="Times New Roman" w:hAnsi="Times New Roman" w:cs="Times New Roman"/>
          <w:color w:val="000000"/>
          <w:sz w:val="24"/>
          <w:szCs w:val="24"/>
          <w:shd w:val="clear" w:color="auto" w:fill="FFFFFF"/>
        </w:rPr>
        <w:t>(</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rPr>
        <w:t xml:space="preserve">. In order to reduce these geotechnical hazards the feasibility design process for this project has been highly affected. In addition, the </w:t>
      </w:r>
      <w:r>
        <w:rPr>
          <w:rFonts w:ascii="Times New Roman" w:eastAsia="Times New Roman" w:hAnsi="Times New Roman" w:cs="Times New Roman"/>
          <w:color w:val="000000"/>
          <w:sz w:val="24"/>
          <w:szCs w:val="24"/>
        </w:rPr>
        <w:lastRenderedPageBreak/>
        <w:t xml:space="preserve">associated key hazardous materials included in this project are Groundwater, hard strata, obstructions, mixed face condition, hard strata, abrasive ground and unexploded ordnance. </w:t>
      </w:r>
    </w:p>
    <w:p w14:paraId="7902828B"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Along with the geotechnical challenges, there are other challenges related to ground investigation, which have increased due to the lack of ground knowledge, expertise and skills. Availability of unskilled laborers are considered to be significant risk for the project in order to increase the project risks and skilled laborers are required to complete the tasks on proper time. Apart from this, different health hazards are also found to be highly complicated for the contemporary business process (</w:t>
      </w:r>
      <w:r>
        <w:rPr>
          <w:rFonts w:ascii="Times New Roman" w:eastAsia="Times New Roman" w:hAnsi="Times New Roman" w:cs="Times New Roman"/>
          <w:color w:val="000000"/>
          <w:sz w:val="24"/>
          <w:szCs w:val="24"/>
          <w:shd w:val="clear" w:color="auto" w:fill="FFFFFF"/>
        </w:rPr>
        <w:t>Black, 2017</w:t>
      </w:r>
      <w:r>
        <w:rPr>
          <w:rFonts w:ascii="Times New Roman" w:eastAsia="Times New Roman" w:hAnsi="Times New Roman" w:cs="Times New Roman"/>
          <w:color w:val="000000"/>
          <w:sz w:val="24"/>
          <w:szCs w:val="24"/>
        </w:rPr>
        <w:t xml:space="preserve">). In addition, improper climate understanding is also considered to be a significant challenge and risk factor in this present project because lack of climate understanding causes different problems in the project to prepare necessary strategies. Besides, the risks related to health hazards of employees are considered to be highly important which has affected the project delay as death of 1 worker has been observed in the tunnel track </w:t>
      </w:r>
      <w:r>
        <w:rPr>
          <w:rFonts w:ascii="Times New Roman" w:eastAsia="Times New Roman" w:hAnsi="Times New Roman" w:cs="Times New Roman"/>
          <w:color w:val="000000"/>
          <w:sz w:val="24"/>
          <w:szCs w:val="24"/>
          <w:shd w:val="clear" w:color="auto" w:fill="FFFFFF"/>
        </w:rPr>
        <w:t>(</w:t>
      </w:r>
      <w:proofErr w:type="spellStart"/>
      <w:r>
        <w:rPr>
          <w:rFonts w:ascii="Times New Roman" w:eastAsia="Times New Roman" w:hAnsi="Times New Roman" w:cs="Times New Roman"/>
          <w:color w:val="000000"/>
          <w:sz w:val="24"/>
          <w:szCs w:val="24"/>
        </w:rPr>
        <w:t>Topham</w:t>
      </w:r>
      <w:proofErr w:type="spellEnd"/>
      <w:r>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shd w:val="clear" w:color="auto" w:fill="FFFFFF"/>
        </w:rPr>
        <w:t>)</w:t>
      </w:r>
      <w:r>
        <w:rPr>
          <w:rFonts w:ascii="Times New Roman" w:eastAsia="Times New Roman" w:hAnsi="Times New Roman" w:cs="Times New Roman"/>
          <w:color w:val="000000"/>
          <w:sz w:val="24"/>
          <w:szCs w:val="24"/>
        </w:rPr>
        <w:t xml:space="preserve">. In addition, the barriers related to communication with internal and external stakeholders and providing them necessary updates about the project has also caused several risks of project delay that has affected the growth and execution of the project. </w:t>
      </w:r>
    </w:p>
    <w:p w14:paraId="70570601" w14:textId="77777777" w:rsidR="005E3E31" w:rsidRDefault="00512DF9">
      <w:pPr>
        <w:pStyle w:val="Heading1"/>
      </w:pPr>
      <w:bookmarkStart w:id="7" w:name="_Toc121434278"/>
      <w:r>
        <w:t>Evaluation of the project</w:t>
      </w:r>
      <w:bookmarkEnd w:id="7"/>
    </w:p>
    <w:p w14:paraId="558E49C6" w14:textId="77777777" w:rsidR="005E3E31" w:rsidRDefault="00512DF9">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consideration, the reasons for increasing overruns and delay in the project are the issues of electricity explosion, health hazard of laborers, legal complexities and government changing rules and regulations that caused uncertain delta in this project to accomplish it in proper time. From the evaluation, it has been observed that the project was delayed for 36 months due to these increasing complexities. In addition, the issues related to cost complications are also considered a major reason for increasing overrun and task delay in this project. In addition, the testing and monitoring activity has also required longer time to complete the project on proper time. The increasing inflation rate and changing government regulations and schemes has contributed to the increasing cost margin for this project.</w:t>
      </w:r>
    </w:p>
    <w:p w14:paraId="4EB1230B" w14:textId="77777777" w:rsidR="005E3E31" w:rsidRDefault="00512DF9">
      <w:pPr>
        <w:pStyle w:val="Heading1"/>
      </w:pPr>
      <w:bookmarkStart w:id="8" w:name="_Toc121434279"/>
      <w:r>
        <w:t>Conclusion and Recommendations</w:t>
      </w:r>
      <w:bookmarkEnd w:id="8"/>
    </w:p>
    <w:p w14:paraId="7C9A4F55" w14:textId="77777777" w:rsidR="005E3E31" w:rsidRDefault="00512DF9">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can be </w:t>
      </w:r>
      <w:proofErr w:type="spellStart"/>
      <w:r>
        <w:rPr>
          <w:rFonts w:ascii="Times New Roman" w:eastAsia="Times New Roman" w:hAnsi="Times New Roman" w:cs="Times New Roman"/>
          <w:color w:val="000000"/>
          <w:sz w:val="24"/>
          <w:szCs w:val="24"/>
        </w:rPr>
        <w:t>summarised</w:t>
      </w:r>
      <w:proofErr w:type="spellEnd"/>
      <w:r>
        <w:rPr>
          <w:rFonts w:ascii="Times New Roman" w:eastAsia="Times New Roman" w:hAnsi="Times New Roman" w:cs="Times New Roman"/>
          <w:color w:val="000000"/>
          <w:sz w:val="24"/>
          <w:szCs w:val="24"/>
        </w:rPr>
        <w:t xml:space="preserve"> that through this the avoidance of car-led recovery can be conducted through the provision of new journey options.  In addition, through this the supporting regeneration within capital can be ensured. Through this, a scope of social development can be ensured. The project is found to be a complex railway encompassing the new stations. The </w:t>
      </w:r>
      <w:r>
        <w:rPr>
          <w:rFonts w:ascii="Times New Roman" w:eastAsia="Times New Roman" w:hAnsi="Times New Roman" w:cs="Times New Roman"/>
          <w:color w:val="000000"/>
          <w:sz w:val="24"/>
          <w:szCs w:val="24"/>
        </w:rPr>
        <w:lastRenderedPageBreak/>
        <w:t xml:space="preserve">planning of the project has required 576 months to accomplish its project aims and objectives. This project has been completed through 4 phases such as Initiation, Planning, Execution and closing. The increasing risk factors in these projects are exceeding budget limit, inclusion of other geotechnical challenges, lack of ground investigation, lack of climate understanding, increasing unskilled employees, health hazards, and communication barriers with stakeholders, lack of project monitoring and increasing project delay. The risks related to the geotechnical challenges increased due to the lack of understanding of the Geological aspect involved in the project. In order to reduce these geotechnical hazards the feasibility design process for this project has been highly affected. </w:t>
      </w:r>
    </w:p>
    <w:p w14:paraId="46E27720"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In this context, relevant </w:t>
      </w:r>
      <w:r>
        <w:rPr>
          <w:rFonts w:ascii="Times New Roman" w:eastAsia="Times New Roman" w:hAnsi="Times New Roman" w:cs="Times New Roman"/>
          <w:b/>
          <w:i/>
          <w:color w:val="000000"/>
          <w:sz w:val="24"/>
          <w:szCs w:val="24"/>
        </w:rPr>
        <w:t xml:space="preserve">recommendations </w:t>
      </w:r>
      <w:r>
        <w:rPr>
          <w:rFonts w:ascii="Times New Roman" w:eastAsia="Times New Roman" w:hAnsi="Times New Roman" w:cs="Times New Roman"/>
          <w:color w:val="000000"/>
          <w:sz w:val="24"/>
          <w:szCs w:val="24"/>
        </w:rPr>
        <w:t>for improving the project completion on proper time can be as following:</w:t>
      </w:r>
    </w:p>
    <w:p w14:paraId="7900DB37" w14:textId="77777777" w:rsidR="005E3E31" w:rsidRDefault="00512DF9">
      <w:pPr>
        <w:pStyle w:val="Normal1"/>
        <w:numPr>
          <w:ilvl w:val="0"/>
          <w:numId w:val="1"/>
        </w:numPr>
        <w:spacing w:before="24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Time to time project completion</w:t>
      </w:r>
    </w:p>
    <w:p w14:paraId="30E6CFF5"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Time to time project accomplishment is required through which projects can be properly completed. In order to conduct time to time project competition it is very much necessary to track down the project difficulties and its progress without taking any necessary or uncertain project break (</w:t>
      </w:r>
      <w:r>
        <w:rPr>
          <w:rFonts w:ascii="Times New Roman" w:eastAsia="Times New Roman" w:hAnsi="Times New Roman" w:cs="Times New Roman"/>
          <w:color w:val="000000"/>
          <w:sz w:val="24"/>
          <w:szCs w:val="24"/>
          <w:shd w:val="clear" w:color="auto" w:fill="FFFFFF"/>
        </w:rPr>
        <w:t xml:space="preserve">Abdelkader </w:t>
      </w:r>
      <w:r>
        <w:rPr>
          <w:rFonts w:ascii="Times New Roman" w:eastAsia="Times New Roman" w:hAnsi="Times New Roman" w:cs="Times New Roman"/>
          <w:i/>
          <w:color w:val="000000"/>
          <w:sz w:val="24"/>
          <w:szCs w:val="24"/>
          <w:shd w:val="clear" w:color="auto" w:fill="FFFFFF"/>
        </w:rPr>
        <w:t xml:space="preserve">et al., </w:t>
      </w:r>
      <w:r>
        <w:rPr>
          <w:rFonts w:ascii="Times New Roman" w:eastAsia="Times New Roman" w:hAnsi="Times New Roman" w:cs="Times New Roman"/>
          <w:color w:val="000000"/>
          <w:sz w:val="24"/>
          <w:szCs w:val="24"/>
          <w:shd w:val="clear" w:color="auto" w:fill="FFFFFF"/>
        </w:rPr>
        <w:t>2021</w:t>
      </w:r>
      <w:r>
        <w:rPr>
          <w:rFonts w:ascii="Times New Roman" w:eastAsia="Times New Roman" w:hAnsi="Times New Roman" w:cs="Times New Roman"/>
          <w:color w:val="000000"/>
          <w:sz w:val="24"/>
          <w:szCs w:val="24"/>
        </w:rPr>
        <w:t>).</w:t>
      </w:r>
    </w:p>
    <w:p w14:paraId="21C4B0F7" w14:textId="77777777" w:rsidR="005E3E31" w:rsidRDefault="00512DF9">
      <w:pPr>
        <w:pStyle w:val="Normal1"/>
        <w:numPr>
          <w:ilvl w:val="0"/>
          <w:numId w:val="1"/>
        </w:numPr>
        <w:spacing w:before="24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Implementation of necessary backup plan for meeting risks</w:t>
      </w:r>
    </w:p>
    <w:p w14:paraId="11C5A7BC"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Implementation of a necessary backup plan for meeting the risks is required so that the project risks can be mitigated without any considerable delta. In addition, it has been observed that a suitable backup plan in this project can be also helpful to manage the health hazard incident that has had a negative impact on the project completion (</w:t>
      </w:r>
      <w:proofErr w:type="spellStart"/>
      <w:r>
        <w:rPr>
          <w:rFonts w:ascii="Times New Roman" w:eastAsia="Times New Roman" w:hAnsi="Times New Roman" w:cs="Times New Roman"/>
          <w:color w:val="000000"/>
          <w:sz w:val="24"/>
          <w:szCs w:val="24"/>
          <w:shd w:val="clear" w:color="auto" w:fill="FFFFFF"/>
        </w:rPr>
        <w:t>Keshk</w:t>
      </w:r>
      <w:proofErr w:type="spellEnd"/>
      <w:r>
        <w:rPr>
          <w:rFonts w:ascii="Times New Roman" w:eastAsia="Times New Roman" w:hAnsi="Times New Roman" w:cs="Times New Roman"/>
          <w:color w:val="000000"/>
          <w:sz w:val="24"/>
          <w:szCs w:val="24"/>
          <w:shd w:val="clear" w:color="auto" w:fill="FFFFFF"/>
        </w:rPr>
        <w:t xml:space="preserve"> </w:t>
      </w:r>
      <w:r>
        <w:rPr>
          <w:rFonts w:ascii="Times New Roman" w:eastAsia="Times New Roman" w:hAnsi="Times New Roman" w:cs="Times New Roman"/>
          <w:i/>
          <w:color w:val="000000"/>
          <w:sz w:val="24"/>
          <w:szCs w:val="24"/>
          <w:shd w:val="clear" w:color="auto" w:fill="FFFFFF"/>
        </w:rPr>
        <w:t xml:space="preserve">et al., </w:t>
      </w:r>
      <w:r>
        <w:rPr>
          <w:rFonts w:ascii="Times New Roman" w:eastAsia="Times New Roman" w:hAnsi="Times New Roman" w:cs="Times New Roman"/>
          <w:color w:val="000000"/>
          <w:sz w:val="24"/>
          <w:szCs w:val="24"/>
          <w:shd w:val="clear" w:color="auto" w:fill="FFFFFF"/>
        </w:rPr>
        <w:t>2018</w:t>
      </w:r>
      <w:r>
        <w:rPr>
          <w:rFonts w:ascii="Times New Roman" w:eastAsia="Times New Roman" w:hAnsi="Times New Roman" w:cs="Times New Roman"/>
          <w:color w:val="000000"/>
          <w:sz w:val="24"/>
          <w:szCs w:val="24"/>
        </w:rPr>
        <w:t xml:space="preserve">). </w:t>
      </w:r>
    </w:p>
    <w:p w14:paraId="66C08D05" w14:textId="77777777" w:rsidR="005E3E31" w:rsidRDefault="00512DF9">
      <w:pPr>
        <w:pStyle w:val="Normal1"/>
        <w:numPr>
          <w:ilvl w:val="0"/>
          <w:numId w:val="1"/>
        </w:numPr>
        <w:spacing w:before="240" w:after="240" w:line="360" w:lineRule="auto"/>
        <w:jc w:val="both"/>
      </w:pPr>
      <w:r>
        <w:rPr>
          <w:rFonts w:ascii="Times New Roman" w:eastAsia="Times New Roman" w:hAnsi="Times New Roman" w:cs="Times New Roman"/>
          <w:b/>
          <w:i/>
          <w:color w:val="000000"/>
          <w:sz w:val="24"/>
          <w:szCs w:val="24"/>
        </w:rPr>
        <w:t>Engaging technically skilled employe</w:t>
      </w:r>
      <w:r>
        <w:rPr>
          <w:rFonts w:ascii="Times New Roman" w:eastAsia="Times New Roman" w:hAnsi="Times New Roman" w:cs="Times New Roman"/>
          <w:b/>
          <w:color w:val="000000"/>
          <w:sz w:val="24"/>
          <w:szCs w:val="24"/>
        </w:rPr>
        <w:t>es</w:t>
      </w:r>
    </w:p>
    <w:p w14:paraId="03EEDBBA"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Engaging technically skilled employees and labors can be helpful for monitoring the geotechnical risks in the project. Through this, a better approach to problem solving can be considered. In addition, the technically skilled employees also can be helpful to improve the monitoring plan and risk strategies systematically. In this consideration the </w:t>
      </w:r>
      <w:proofErr w:type="spellStart"/>
      <w:r>
        <w:rPr>
          <w:rFonts w:ascii="Times New Roman" w:eastAsia="Times New Roman" w:hAnsi="Times New Roman" w:cs="Times New Roman"/>
          <w:color w:val="000000"/>
          <w:sz w:val="24"/>
          <w:szCs w:val="24"/>
        </w:rPr>
        <w:t>Utilisation</w:t>
      </w:r>
      <w:proofErr w:type="spellEnd"/>
      <w:r>
        <w:rPr>
          <w:rFonts w:ascii="Times New Roman" w:eastAsia="Times New Roman" w:hAnsi="Times New Roman" w:cs="Times New Roman"/>
          <w:color w:val="000000"/>
          <w:sz w:val="24"/>
          <w:szCs w:val="24"/>
        </w:rPr>
        <w:t xml:space="preserve"> of AI (Artificial Intelligence) and ML (Machine Learning) can also be helpful through which a successful project execution can be achieved (</w:t>
      </w:r>
      <w:proofErr w:type="spellStart"/>
      <w:r>
        <w:rPr>
          <w:rFonts w:ascii="Times New Roman" w:eastAsia="Times New Roman" w:hAnsi="Times New Roman" w:cs="Times New Roman"/>
          <w:color w:val="000000"/>
          <w:sz w:val="24"/>
          <w:szCs w:val="24"/>
          <w:shd w:val="clear" w:color="auto" w:fill="FFFFFF"/>
        </w:rPr>
        <w:t>Holbeche</w:t>
      </w:r>
      <w:proofErr w:type="spellEnd"/>
      <w:r>
        <w:rPr>
          <w:rFonts w:ascii="Times New Roman" w:eastAsia="Times New Roman" w:hAnsi="Times New Roman" w:cs="Times New Roman"/>
          <w:color w:val="000000"/>
          <w:sz w:val="24"/>
          <w:szCs w:val="24"/>
          <w:shd w:val="clear" w:color="auto" w:fill="FFFFFF"/>
        </w:rPr>
        <w:t>, 2018</w:t>
      </w:r>
      <w:r>
        <w:rPr>
          <w:rFonts w:ascii="Times New Roman" w:eastAsia="Times New Roman" w:hAnsi="Times New Roman" w:cs="Times New Roman"/>
          <w:color w:val="000000"/>
          <w:sz w:val="24"/>
          <w:szCs w:val="24"/>
        </w:rPr>
        <w:t>).</w:t>
      </w:r>
    </w:p>
    <w:p w14:paraId="7D70190D" w14:textId="77777777" w:rsidR="005E3E31" w:rsidRDefault="00512DF9">
      <w:pPr>
        <w:pStyle w:val="Normal1"/>
        <w:numPr>
          <w:ilvl w:val="0"/>
          <w:numId w:val="1"/>
        </w:numPr>
        <w:spacing w:before="24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Managing health hazardous</w:t>
      </w:r>
    </w:p>
    <w:p w14:paraId="507E078D"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lastRenderedPageBreak/>
        <w:t>Management of health hazards is also necessary in order to reduce the health difficulties of employees. Through this, any major risks related to employee health and accidents can be reduced (</w:t>
      </w:r>
      <w:r>
        <w:rPr>
          <w:rFonts w:ascii="Times New Roman" w:eastAsia="Times New Roman" w:hAnsi="Times New Roman" w:cs="Times New Roman"/>
          <w:color w:val="000000"/>
          <w:sz w:val="24"/>
          <w:szCs w:val="24"/>
          <w:shd w:val="clear" w:color="auto" w:fill="FFFFFF"/>
        </w:rPr>
        <w:t xml:space="preserve">Ajayi </w:t>
      </w:r>
      <w:r>
        <w:rPr>
          <w:rFonts w:ascii="Times New Roman" w:eastAsia="Times New Roman" w:hAnsi="Times New Roman" w:cs="Times New Roman"/>
          <w:i/>
          <w:color w:val="000000"/>
          <w:sz w:val="24"/>
          <w:szCs w:val="24"/>
          <w:shd w:val="clear" w:color="auto" w:fill="FFFFFF"/>
        </w:rPr>
        <w:t xml:space="preserve">et al., </w:t>
      </w:r>
      <w:r>
        <w:rPr>
          <w:rFonts w:ascii="Times New Roman" w:eastAsia="Times New Roman" w:hAnsi="Times New Roman" w:cs="Times New Roman"/>
          <w:color w:val="000000"/>
          <w:sz w:val="24"/>
          <w:szCs w:val="24"/>
          <w:shd w:val="clear" w:color="auto" w:fill="FFFFFF"/>
        </w:rPr>
        <w:t>2018</w:t>
      </w:r>
      <w:r>
        <w:rPr>
          <w:rFonts w:ascii="Times New Roman" w:eastAsia="Times New Roman" w:hAnsi="Times New Roman" w:cs="Times New Roman"/>
          <w:color w:val="000000"/>
          <w:sz w:val="24"/>
          <w:szCs w:val="24"/>
        </w:rPr>
        <w:t xml:space="preserve">). </w:t>
      </w:r>
    </w:p>
    <w:p w14:paraId="0DF48192" w14:textId="77777777" w:rsidR="005E3E31" w:rsidRDefault="005E3E31">
      <w:pPr>
        <w:pageBreakBefore/>
        <w:rPr>
          <w:rFonts w:ascii="Times New Roman" w:eastAsia="Times New Roman" w:hAnsi="Times New Roman" w:cs="Times New Roman"/>
          <w:color w:val="000000"/>
          <w:sz w:val="24"/>
          <w:szCs w:val="24"/>
        </w:rPr>
      </w:pPr>
    </w:p>
    <w:p w14:paraId="781B6D3E" w14:textId="77777777" w:rsidR="005E3E31" w:rsidRDefault="00512DF9">
      <w:pPr>
        <w:pStyle w:val="Heading1"/>
      </w:pPr>
      <w:bookmarkStart w:id="9" w:name="_Toc121434280"/>
      <w:r>
        <w:t>References</w:t>
      </w:r>
      <w:bookmarkEnd w:id="9"/>
    </w:p>
    <w:p w14:paraId="4F3ACDFF"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Abdelkader, Y.H., Barakat, H.M. and Taher, T.S., (2021). Evaluating the project completion time when activity networks follow beta distribution. </w:t>
      </w:r>
      <w:r>
        <w:rPr>
          <w:rFonts w:ascii="Times New Roman" w:eastAsia="Times New Roman" w:hAnsi="Times New Roman" w:cs="Times New Roman"/>
          <w:i/>
          <w:iCs/>
          <w:color w:val="000000"/>
          <w:sz w:val="24"/>
          <w:szCs w:val="24"/>
        </w:rPr>
        <w:t>Asian-European Journal of Mathematics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14</w:t>
      </w:r>
      <w:r>
        <w:rPr>
          <w:rFonts w:ascii="Times New Roman" w:eastAsia="Times New Roman" w:hAnsi="Times New Roman" w:cs="Times New Roman"/>
          <w:color w:val="000000"/>
          <w:sz w:val="24"/>
          <w:szCs w:val="24"/>
        </w:rPr>
        <w:t>(07), p.2150110.</w:t>
      </w:r>
    </w:p>
    <w:p w14:paraId="1DFD8DD3"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Ajayi, A., </w:t>
      </w:r>
      <w:proofErr w:type="spellStart"/>
      <w:r>
        <w:rPr>
          <w:rFonts w:ascii="Times New Roman" w:eastAsia="Times New Roman" w:hAnsi="Times New Roman" w:cs="Times New Roman"/>
          <w:color w:val="000000"/>
          <w:sz w:val="24"/>
          <w:szCs w:val="24"/>
        </w:rPr>
        <w:t>Oyedele</w:t>
      </w:r>
      <w:proofErr w:type="spellEnd"/>
      <w:r>
        <w:rPr>
          <w:rFonts w:ascii="Times New Roman" w:eastAsia="Times New Roman" w:hAnsi="Times New Roman" w:cs="Times New Roman"/>
          <w:color w:val="000000"/>
          <w:sz w:val="24"/>
          <w:szCs w:val="24"/>
        </w:rPr>
        <w:t xml:space="preserve">, L., Delgado, J.M.D., </w:t>
      </w:r>
      <w:proofErr w:type="spellStart"/>
      <w:r>
        <w:rPr>
          <w:rFonts w:ascii="Times New Roman" w:eastAsia="Times New Roman" w:hAnsi="Times New Roman" w:cs="Times New Roman"/>
          <w:color w:val="000000"/>
          <w:sz w:val="24"/>
          <w:szCs w:val="24"/>
        </w:rPr>
        <w:t>Akanbi</w:t>
      </w:r>
      <w:proofErr w:type="spellEnd"/>
      <w:r>
        <w:rPr>
          <w:rFonts w:ascii="Times New Roman" w:eastAsia="Times New Roman" w:hAnsi="Times New Roman" w:cs="Times New Roman"/>
          <w:color w:val="000000"/>
          <w:sz w:val="24"/>
          <w:szCs w:val="24"/>
        </w:rPr>
        <w:t xml:space="preserve">, L., Bilal, M., </w:t>
      </w:r>
      <w:proofErr w:type="spellStart"/>
      <w:r>
        <w:rPr>
          <w:rFonts w:ascii="Times New Roman" w:eastAsia="Times New Roman" w:hAnsi="Times New Roman" w:cs="Times New Roman"/>
          <w:color w:val="000000"/>
          <w:sz w:val="24"/>
          <w:szCs w:val="24"/>
        </w:rPr>
        <w:t>Akinade</w:t>
      </w:r>
      <w:proofErr w:type="spellEnd"/>
      <w:r>
        <w:rPr>
          <w:rFonts w:ascii="Times New Roman" w:eastAsia="Times New Roman" w:hAnsi="Times New Roman" w:cs="Times New Roman"/>
          <w:color w:val="000000"/>
          <w:sz w:val="24"/>
          <w:szCs w:val="24"/>
        </w:rPr>
        <w:t xml:space="preserve">, O. and Olawale, O., (2018). Big data platform for health and safety accident prediction. </w:t>
      </w:r>
      <w:r>
        <w:rPr>
          <w:rFonts w:ascii="Times New Roman" w:eastAsia="Times New Roman" w:hAnsi="Times New Roman" w:cs="Times New Roman"/>
          <w:i/>
          <w:iCs/>
          <w:color w:val="000000"/>
          <w:sz w:val="24"/>
          <w:szCs w:val="24"/>
        </w:rPr>
        <w:t>World Journal of Science, Technology and Sustainable Development</w:t>
      </w:r>
      <w:r>
        <w:rPr>
          <w:rFonts w:ascii="Times New Roman" w:eastAsia="Times New Roman" w:hAnsi="Times New Roman" w:cs="Times New Roman"/>
          <w:color w:val="000000"/>
          <w:sz w:val="24"/>
          <w:szCs w:val="24"/>
        </w:rPr>
        <w:t>.</w:t>
      </w:r>
    </w:p>
    <w:p w14:paraId="2336977E"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Black, M., (2017), May.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project: managing geotechnical risk on London’s Elizabeth line. In </w:t>
      </w:r>
      <w:r>
        <w:rPr>
          <w:rFonts w:ascii="Times New Roman" w:eastAsia="Times New Roman" w:hAnsi="Times New Roman" w:cs="Times New Roman"/>
          <w:i/>
          <w:iCs/>
          <w:color w:val="000000"/>
          <w:sz w:val="24"/>
          <w:szCs w:val="24"/>
        </w:rPr>
        <w:t>Proceedings of the Institution of Civil Engineers-Civil Engineering</w:t>
      </w:r>
      <w:r>
        <w:rPr>
          <w:rFonts w:ascii="Times New Roman" w:eastAsia="Times New Roman" w:hAnsi="Times New Roman" w:cs="Times New Roman"/>
          <w:color w:val="000000"/>
          <w:sz w:val="24"/>
          <w:szCs w:val="24"/>
        </w:rPr>
        <w:t xml:space="preserve"> (Vol. 170, No. 5, pp. 23-30). Thomas Telford Ltd.</w:t>
      </w:r>
    </w:p>
    <w:p w14:paraId="005E8D53" w14:textId="77777777" w:rsidR="005E3E31" w:rsidRDefault="00512DF9">
      <w:pPr>
        <w:pStyle w:val="Normal1"/>
        <w:spacing w:before="240" w:after="240" w:line="360" w:lineRule="auto"/>
        <w:jc w:val="both"/>
      </w:pP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i/>
          <w:iCs/>
          <w:color w:val="000000"/>
          <w:sz w:val="24"/>
          <w:szCs w:val="24"/>
        </w:rPr>
        <w:t xml:space="preserve">DELIVERING THE ELIZABETH LINE. </w:t>
      </w:r>
      <w:r>
        <w:rPr>
          <w:rFonts w:ascii="Times New Roman" w:eastAsia="Times New Roman" w:hAnsi="Times New Roman" w:cs="Times New Roman"/>
          <w:color w:val="000000"/>
          <w:sz w:val="24"/>
          <w:szCs w:val="24"/>
        </w:rPr>
        <w:t>Available at: https://www.crossrail.co.uk/project/our-plan-to-complete-the-elizabeth-line/# [Accessed on: 28 November 2022]</w:t>
      </w:r>
    </w:p>
    <w:p w14:paraId="466066BE"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Garvin, J., (2000). A guide to project management body of knowledge. </w:t>
      </w:r>
      <w:r>
        <w:rPr>
          <w:rFonts w:ascii="Times New Roman" w:eastAsia="Times New Roman" w:hAnsi="Times New Roman" w:cs="Times New Roman"/>
          <w:i/>
          <w:iCs/>
          <w:color w:val="000000"/>
          <w:sz w:val="24"/>
          <w:szCs w:val="24"/>
        </w:rPr>
        <w:t>Project Management Institute, Newton Square, PA</w:t>
      </w:r>
      <w:r>
        <w:rPr>
          <w:rFonts w:ascii="Times New Roman" w:eastAsia="Times New Roman" w:hAnsi="Times New Roman" w:cs="Times New Roman"/>
          <w:color w:val="000000"/>
          <w:sz w:val="24"/>
          <w:szCs w:val="24"/>
        </w:rPr>
        <w:t>, pp.1-36</w:t>
      </w:r>
    </w:p>
    <w:p w14:paraId="7B526CB3" w14:textId="77777777" w:rsidR="005E3E31" w:rsidRDefault="00512DF9">
      <w:pPr>
        <w:pStyle w:val="Normal1"/>
        <w:spacing w:before="240" w:after="240" w:line="360" w:lineRule="auto"/>
        <w:jc w:val="both"/>
      </w:pPr>
      <w:proofErr w:type="spellStart"/>
      <w:r>
        <w:rPr>
          <w:rFonts w:ascii="Times New Roman" w:eastAsia="Times New Roman" w:hAnsi="Times New Roman" w:cs="Times New Roman"/>
          <w:color w:val="000000"/>
          <w:sz w:val="24"/>
          <w:szCs w:val="24"/>
        </w:rPr>
        <w:t>Hedeman</w:t>
      </w:r>
      <w:proofErr w:type="spellEnd"/>
      <w:r>
        <w:rPr>
          <w:rFonts w:ascii="Times New Roman" w:eastAsia="Times New Roman" w:hAnsi="Times New Roman" w:cs="Times New Roman"/>
          <w:color w:val="000000"/>
          <w:sz w:val="24"/>
          <w:szCs w:val="24"/>
        </w:rPr>
        <w:t xml:space="preserve">, B., and </w:t>
      </w:r>
      <w:proofErr w:type="spellStart"/>
      <w:r>
        <w:rPr>
          <w:rFonts w:ascii="Times New Roman" w:eastAsia="Times New Roman" w:hAnsi="Times New Roman" w:cs="Times New Roman"/>
          <w:color w:val="000000"/>
          <w:sz w:val="24"/>
          <w:szCs w:val="24"/>
        </w:rPr>
        <w:t>Seegers</w:t>
      </w:r>
      <w:proofErr w:type="spellEnd"/>
      <w:r>
        <w:rPr>
          <w:rFonts w:ascii="Times New Roman" w:eastAsia="Times New Roman" w:hAnsi="Times New Roman" w:cs="Times New Roman"/>
          <w:color w:val="000000"/>
          <w:sz w:val="24"/>
          <w:szCs w:val="24"/>
        </w:rPr>
        <w:t xml:space="preserve">, R. (2009). . A Pocket Guide (Prince2: A Pocket Guide) by Bert </w:t>
      </w:r>
      <w:proofErr w:type="spellStart"/>
      <w:r>
        <w:rPr>
          <w:rFonts w:ascii="Times New Roman" w:eastAsia="Times New Roman" w:hAnsi="Times New Roman" w:cs="Times New Roman"/>
          <w:color w:val="000000"/>
          <w:sz w:val="24"/>
          <w:szCs w:val="24"/>
        </w:rPr>
        <w:t>Hedeman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 xml:space="preserve">Ron </w:t>
      </w:r>
      <w:proofErr w:type="spellStart"/>
      <w:r>
        <w:rPr>
          <w:rFonts w:ascii="Times New Roman" w:eastAsia="Times New Roman" w:hAnsi="Times New Roman" w:cs="Times New Roman"/>
          <w:i/>
          <w:iCs/>
          <w:color w:val="000000"/>
          <w:sz w:val="24"/>
          <w:szCs w:val="24"/>
        </w:rPr>
        <w:t>Seegers</w:t>
      </w:r>
      <w:proofErr w:type="spellEnd"/>
      <w:r>
        <w:rPr>
          <w:rFonts w:ascii="Times New Roman" w:eastAsia="Times New Roman" w:hAnsi="Times New Roman" w:cs="Times New Roman"/>
          <w:i/>
          <w:iCs/>
          <w:color w:val="000000"/>
          <w:sz w:val="24"/>
          <w:szCs w:val="24"/>
        </w:rPr>
        <w:t xml:space="preserve"> 1st (first) Edition</w:t>
      </w:r>
      <w:r>
        <w:rPr>
          <w:rFonts w:ascii="Times New Roman" w:eastAsia="Times New Roman" w:hAnsi="Times New Roman" w:cs="Times New Roman"/>
          <w:color w:val="000000"/>
          <w:sz w:val="24"/>
          <w:szCs w:val="24"/>
        </w:rPr>
        <w:t>.</w:t>
      </w:r>
    </w:p>
    <w:p w14:paraId="242109E9" w14:textId="77777777" w:rsidR="005E3E31" w:rsidRDefault="00512DF9">
      <w:pPr>
        <w:pStyle w:val="Normal1"/>
        <w:spacing w:before="240" w:after="240" w:line="360" w:lineRule="auto"/>
        <w:jc w:val="both"/>
      </w:pPr>
      <w:proofErr w:type="spellStart"/>
      <w:r>
        <w:rPr>
          <w:rFonts w:ascii="Times New Roman" w:eastAsia="Times New Roman" w:hAnsi="Times New Roman" w:cs="Times New Roman"/>
          <w:color w:val="000000"/>
          <w:sz w:val="24"/>
          <w:szCs w:val="24"/>
        </w:rPr>
        <w:t>Holbeche</w:t>
      </w:r>
      <w:proofErr w:type="spellEnd"/>
      <w:r>
        <w:rPr>
          <w:rFonts w:ascii="Times New Roman" w:eastAsia="Times New Roman" w:hAnsi="Times New Roman" w:cs="Times New Roman"/>
          <w:color w:val="000000"/>
          <w:sz w:val="24"/>
          <w:szCs w:val="24"/>
        </w:rPr>
        <w:t xml:space="preserve">, L., (2018). </w:t>
      </w:r>
      <w:r>
        <w:rPr>
          <w:rFonts w:ascii="Times New Roman" w:eastAsia="Times New Roman" w:hAnsi="Times New Roman" w:cs="Times New Roman"/>
          <w:i/>
          <w:iCs/>
          <w:color w:val="000000"/>
          <w:sz w:val="24"/>
          <w:szCs w:val="24"/>
        </w:rPr>
        <w:t>The agile organization: how to build an engaged, innovative and resilient business</w:t>
      </w:r>
      <w:r>
        <w:rPr>
          <w:rFonts w:ascii="Times New Roman" w:eastAsia="Times New Roman" w:hAnsi="Times New Roman" w:cs="Times New Roman"/>
          <w:color w:val="000000"/>
          <w:sz w:val="24"/>
          <w:szCs w:val="24"/>
        </w:rPr>
        <w:t>. London: Kogan Page Publishers.</w:t>
      </w:r>
    </w:p>
    <w:p w14:paraId="2286054A" w14:textId="77777777" w:rsidR="005E3E31" w:rsidRDefault="00512DF9">
      <w:pPr>
        <w:pStyle w:val="Normal1"/>
        <w:spacing w:before="240" w:after="240" w:line="360" w:lineRule="auto"/>
        <w:jc w:val="both"/>
      </w:pPr>
      <w:proofErr w:type="spellStart"/>
      <w:r>
        <w:rPr>
          <w:rFonts w:ascii="Times New Roman" w:eastAsia="Times New Roman" w:hAnsi="Times New Roman" w:cs="Times New Roman"/>
          <w:color w:val="000000"/>
          <w:sz w:val="24"/>
          <w:szCs w:val="24"/>
        </w:rPr>
        <w:t>Kartajaya</w:t>
      </w:r>
      <w:proofErr w:type="spellEnd"/>
      <w:r>
        <w:rPr>
          <w:rFonts w:ascii="Times New Roman" w:eastAsia="Times New Roman" w:hAnsi="Times New Roman" w:cs="Times New Roman"/>
          <w:color w:val="000000"/>
          <w:sz w:val="24"/>
          <w:szCs w:val="24"/>
        </w:rPr>
        <w:t xml:space="preserve">, H., Kotler, P. and </w:t>
      </w:r>
      <w:proofErr w:type="spellStart"/>
      <w:r>
        <w:rPr>
          <w:rFonts w:ascii="Times New Roman" w:eastAsia="Times New Roman" w:hAnsi="Times New Roman" w:cs="Times New Roman"/>
          <w:color w:val="000000"/>
          <w:sz w:val="24"/>
          <w:szCs w:val="24"/>
        </w:rPr>
        <w:t>Hooi</w:t>
      </w:r>
      <w:proofErr w:type="spellEnd"/>
      <w:r>
        <w:rPr>
          <w:rFonts w:ascii="Times New Roman" w:eastAsia="Times New Roman" w:hAnsi="Times New Roman" w:cs="Times New Roman"/>
          <w:color w:val="000000"/>
          <w:sz w:val="24"/>
          <w:szCs w:val="24"/>
        </w:rPr>
        <w:t xml:space="preserve">, D.H., (2019). Marketing 4.0: moving from traditional to digital. </w:t>
      </w:r>
      <w:r>
        <w:rPr>
          <w:rFonts w:ascii="Times New Roman" w:eastAsia="Times New Roman" w:hAnsi="Times New Roman" w:cs="Times New Roman"/>
          <w:i/>
          <w:iCs/>
          <w:color w:val="000000"/>
          <w:sz w:val="24"/>
          <w:szCs w:val="24"/>
        </w:rPr>
        <w:t>World Scientific Book Chapters</w:t>
      </w:r>
      <w:r>
        <w:rPr>
          <w:rFonts w:ascii="Times New Roman" w:eastAsia="Times New Roman" w:hAnsi="Times New Roman" w:cs="Times New Roman"/>
          <w:color w:val="000000"/>
          <w:sz w:val="24"/>
          <w:szCs w:val="24"/>
        </w:rPr>
        <w:t>, pp.99-123.</w:t>
      </w:r>
    </w:p>
    <w:p w14:paraId="0A85B2F7" w14:textId="77777777" w:rsidR="005E3E31" w:rsidRDefault="00512DF9">
      <w:pPr>
        <w:pStyle w:val="Normal1"/>
        <w:spacing w:before="240" w:after="240" w:line="360" w:lineRule="auto"/>
        <w:jc w:val="both"/>
      </w:pPr>
      <w:proofErr w:type="spellStart"/>
      <w:r>
        <w:rPr>
          <w:rFonts w:ascii="Times New Roman" w:eastAsia="Times New Roman" w:hAnsi="Times New Roman" w:cs="Times New Roman"/>
          <w:color w:val="000000"/>
          <w:sz w:val="24"/>
          <w:szCs w:val="24"/>
        </w:rPr>
        <w:t>Keshk</w:t>
      </w:r>
      <w:proofErr w:type="spellEnd"/>
      <w:r>
        <w:rPr>
          <w:rFonts w:ascii="Times New Roman" w:eastAsia="Times New Roman" w:hAnsi="Times New Roman" w:cs="Times New Roman"/>
          <w:color w:val="000000"/>
          <w:sz w:val="24"/>
          <w:szCs w:val="24"/>
        </w:rPr>
        <w:t xml:space="preserve">, A.M., </w:t>
      </w:r>
      <w:proofErr w:type="spellStart"/>
      <w:r>
        <w:rPr>
          <w:rFonts w:ascii="Times New Roman" w:eastAsia="Times New Roman" w:hAnsi="Times New Roman" w:cs="Times New Roman"/>
          <w:color w:val="000000"/>
          <w:sz w:val="24"/>
          <w:szCs w:val="24"/>
        </w:rPr>
        <w:t>Maarouf</w:t>
      </w:r>
      <w:proofErr w:type="spellEnd"/>
      <w:r>
        <w:rPr>
          <w:rFonts w:ascii="Times New Roman" w:eastAsia="Times New Roman" w:hAnsi="Times New Roman" w:cs="Times New Roman"/>
          <w:color w:val="000000"/>
          <w:sz w:val="24"/>
          <w:szCs w:val="24"/>
        </w:rPr>
        <w:t xml:space="preserve">, I. and </w:t>
      </w:r>
      <w:proofErr w:type="spellStart"/>
      <w:r>
        <w:rPr>
          <w:rFonts w:ascii="Times New Roman" w:eastAsia="Times New Roman" w:hAnsi="Times New Roman" w:cs="Times New Roman"/>
          <w:color w:val="000000"/>
          <w:sz w:val="24"/>
          <w:szCs w:val="24"/>
        </w:rPr>
        <w:t>Annany</w:t>
      </w:r>
      <w:proofErr w:type="spellEnd"/>
      <w:r>
        <w:rPr>
          <w:rFonts w:ascii="Times New Roman" w:eastAsia="Times New Roman" w:hAnsi="Times New Roman" w:cs="Times New Roman"/>
          <w:color w:val="000000"/>
          <w:sz w:val="24"/>
          <w:szCs w:val="24"/>
        </w:rPr>
        <w:t xml:space="preserve">, Y., (2018). Special studies in management of construction project risks, risk concept, plan building, risk quantitative and qualitative analysis, risk response strategies. </w:t>
      </w:r>
      <w:r>
        <w:rPr>
          <w:rFonts w:ascii="Times New Roman" w:eastAsia="Times New Roman" w:hAnsi="Times New Roman" w:cs="Times New Roman"/>
          <w:i/>
          <w:iCs/>
          <w:color w:val="000000"/>
          <w:sz w:val="24"/>
          <w:szCs w:val="24"/>
        </w:rPr>
        <w:t>Alexandria engineering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57</w:t>
      </w:r>
      <w:r>
        <w:rPr>
          <w:rFonts w:ascii="Times New Roman" w:eastAsia="Times New Roman" w:hAnsi="Times New Roman" w:cs="Times New Roman"/>
          <w:color w:val="000000"/>
          <w:sz w:val="24"/>
          <w:szCs w:val="24"/>
        </w:rPr>
        <w:t>(4), pp.3179-3187.</w:t>
      </w:r>
    </w:p>
    <w:p w14:paraId="462F615B"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Simon, P. and Murray-Webster, R., (2018). </w:t>
      </w:r>
      <w:r>
        <w:rPr>
          <w:rFonts w:ascii="Times New Roman" w:eastAsia="Times New Roman" w:hAnsi="Times New Roman" w:cs="Times New Roman"/>
          <w:i/>
          <w:iCs/>
          <w:color w:val="000000"/>
          <w:sz w:val="24"/>
          <w:szCs w:val="24"/>
        </w:rPr>
        <w:t>Starting out in project management</w:t>
      </w:r>
      <w:r>
        <w:rPr>
          <w:rFonts w:ascii="Times New Roman" w:eastAsia="Times New Roman" w:hAnsi="Times New Roman" w:cs="Times New Roman"/>
          <w:color w:val="000000"/>
          <w:sz w:val="24"/>
          <w:szCs w:val="24"/>
        </w:rPr>
        <w:t>. Association for Project Management.</w:t>
      </w:r>
    </w:p>
    <w:p w14:paraId="22B6BFAB" w14:textId="77777777" w:rsidR="005E3E31" w:rsidRDefault="00512DF9">
      <w:pPr>
        <w:pStyle w:val="Normal1"/>
        <w:spacing w:before="240" w:after="240" w:line="360" w:lineRule="auto"/>
        <w:jc w:val="both"/>
      </w:pPr>
      <w:proofErr w:type="spellStart"/>
      <w:r>
        <w:rPr>
          <w:rFonts w:ascii="Times New Roman" w:eastAsia="Times New Roman" w:hAnsi="Times New Roman" w:cs="Times New Roman"/>
          <w:color w:val="000000"/>
          <w:sz w:val="24"/>
          <w:szCs w:val="24"/>
        </w:rPr>
        <w:lastRenderedPageBreak/>
        <w:t>Topham</w:t>
      </w:r>
      <w:proofErr w:type="spellEnd"/>
      <w:r>
        <w:rPr>
          <w:rFonts w:ascii="Times New Roman" w:eastAsia="Times New Roman" w:hAnsi="Times New Roman" w:cs="Times New Roman"/>
          <w:color w:val="000000"/>
          <w:sz w:val="24"/>
          <w:szCs w:val="24"/>
        </w:rPr>
        <w:t xml:space="preserve">, G. (2022). </w:t>
      </w:r>
      <w:r>
        <w:rPr>
          <w:rFonts w:ascii="Times New Roman" w:eastAsia="Times New Roman" w:hAnsi="Times New Roman" w:cs="Times New Roman"/>
          <w:i/>
          <w:iCs/>
          <w:color w:val="000000"/>
          <w:sz w:val="24"/>
          <w:szCs w:val="24"/>
        </w:rPr>
        <w:t xml:space="preserve">Elizabeth line: almost 50 years in the planning for </w:t>
      </w:r>
      <w:proofErr w:type="spellStart"/>
      <w:r>
        <w:rPr>
          <w:rFonts w:ascii="Times New Roman" w:eastAsia="Times New Roman" w:hAnsi="Times New Roman" w:cs="Times New Roman"/>
          <w:i/>
          <w:iCs/>
          <w:color w:val="000000"/>
          <w:sz w:val="24"/>
          <w:szCs w:val="24"/>
        </w:rPr>
        <w:t>Crossrail</w:t>
      </w:r>
      <w:proofErr w:type="spellEnd"/>
      <w:r>
        <w:rPr>
          <w:rFonts w:ascii="Times New Roman" w:eastAsia="Times New Roman" w:hAnsi="Times New Roman" w:cs="Times New Roman"/>
          <w:i/>
          <w:iCs/>
          <w:color w:val="000000"/>
          <w:sz w:val="24"/>
          <w:szCs w:val="24"/>
        </w:rPr>
        <w:t xml:space="preserve"> – timeline. </w:t>
      </w:r>
      <w:r>
        <w:rPr>
          <w:rFonts w:ascii="Times New Roman" w:eastAsia="Times New Roman" w:hAnsi="Times New Roman" w:cs="Times New Roman"/>
          <w:color w:val="000000"/>
          <w:sz w:val="24"/>
          <w:szCs w:val="24"/>
        </w:rPr>
        <w:t>Available at: https://www.theguardian.com/uk-news/2022/may/20/elizabeth-line-almost-50-years-in-the-planning-for-crossrail-timeline. [Accessed on: 28 November 2022]</w:t>
      </w:r>
    </w:p>
    <w:p w14:paraId="57E3D444" w14:textId="77777777" w:rsidR="005E3E31" w:rsidRDefault="00512DF9">
      <w:pPr>
        <w:pStyle w:val="Normal1"/>
        <w:spacing w:before="240" w:after="240" w:line="360" w:lineRule="auto"/>
        <w:jc w:val="both"/>
      </w:pPr>
      <w:r>
        <w:rPr>
          <w:rFonts w:ascii="Times New Roman" w:eastAsia="Times New Roman" w:hAnsi="Times New Roman" w:cs="Times New Roman"/>
          <w:color w:val="000000"/>
          <w:sz w:val="24"/>
          <w:szCs w:val="24"/>
        </w:rPr>
        <w:t xml:space="preserve">Tucker, W., (2017), May. </w:t>
      </w:r>
      <w:proofErr w:type="spellStart"/>
      <w:r>
        <w:rPr>
          <w:rFonts w:ascii="Times New Roman" w:eastAsia="Times New Roman" w:hAnsi="Times New Roman" w:cs="Times New Roman"/>
          <w:color w:val="000000"/>
          <w:sz w:val="24"/>
          <w:szCs w:val="24"/>
        </w:rPr>
        <w:t>Crossrail</w:t>
      </w:r>
      <w:proofErr w:type="spellEnd"/>
      <w:r>
        <w:rPr>
          <w:rFonts w:ascii="Times New Roman" w:eastAsia="Times New Roman" w:hAnsi="Times New Roman" w:cs="Times New Roman"/>
          <w:color w:val="000000"/>
          <w:sz w:val="24"/>
          <w:szCs w:val="24"/>
        </w:rPr>
        <w:t xml:space="preserve"> project: the execution strategy for delivering London’s Elizabeth line. In </w:t>
      </w:r>
      <w:r>
        <w:rPr>
          <w:rFonts w:ascii="Times New Roman" w:eastAsia="Times New Roman" w:hAnsi="Times New Roman" w:cs="Times New Roman"/>
          <w:i/>
          <w:iCs/>
          <w:color w:val="000000"/>
          <w:sz w:val="24"/>
          <w:szCs w:val="24"/>
        </w:rPr>
        <w:t>Proceedings of the Institution of Civil Engineers-Civil Engineering</w:t>
      </w:r>
      <w:r>
        <w:rPr>
          <w:rFonts w:ascii="Times New Roman" w:eastAsia="Times New Roman" w:hAnsi="Times New Roman" w:cs="Times New Roman"/>
          <w:color w:val="000000"/>
          <w:sz w:val="24"/>
          <w:szCs w:val="24"/>
        </w:rPr>
        <w:t xml:space="preserve"> (Vol. 170, No. 5, pp. 3-14). Thomas Telford Ltd.</w:t>
      </w:r>
    </w:p>
    <w:p w14:paraId="5A532A0A" w14:textId="77777777" w:rsidR="005E3E31" w:rsidRDefault="005E3E31">
      <w:pPr>
        <w:pStyle w:val="Normal1"/>
        <w:spacing w:before="240" w:after="240" w:line="360" w:lineRule="auto"/>
        <w:jc w:val="both"/>
        <w:rPr>
          <w:rFonts w:ascii="Times New Roman" w:eastAsia="Times New Roman" w:hAnsi="Times New Roman" w:cs="Times New Roman"/>
          <w:color w:val="000000"/>
          <w:sz w:val="24"/>
          <w:szCs w:val="24"/>
        </w:rPr>
      </w:pPr>
    </w:p>
    <w:p w14:paraId="4380ACB5" w14:textId="77777777" w:rsidR="005E3E31" w:rsidRDefault="005E3E31"/>
    <w:sectPr w:rsidR="005E3E3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CA1A6" w14:textId="77777777" w:rsidR="001B0410" w:rsidRDefault="001B0410">
      <w:pPr>
        <w:spacing w:line="240" w:lineRule="auto"/>
      </w:pPr>
      <w:r>
        <w:separator/>
      </w:r>
    </w:p>
  </w:endnote>
  <w:endnote w:type="continuationSeparator" w:id="0">
    <w:p w14:paraId="71A6CC19" w14:textId="77777777" w:rsidR="001B0410" w:rsidRDefault="001B04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645E4" w14:textId="77777777" w:rsidR="00B20C4F" w:rsidRDefault="00512DF9">
    <w:pPr>
      <w:pStyle w:val="Footer"/>
      <w:jc w:val="right"/>
    </w:pP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p>
  <w:p w14:paraId="2B83E471" w14:textId="77777777" w:rsidR="00B20C4F" w:rsidRDefault="004B1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1DB99" w14:textId="77777777" w:rsidR="001B0410" w:rsidRDefault="001B0410">
      <w:pPr>
        <w:spacing w:line="240" w:lineRule="auto"/>
      </w:pPr>
      <w:r>
        <w:rPr>
          <w:color w:val="000000"/>
        </w:rPr>
        <w:separator/>
      </w:r>
    </w:p>
  </w:footnote>
  <w:footnote w:type="continuationSeparator" w:id="0">
    <w:p w14:paraId="3EB6DC82" w14:textId="77777777" w:rsidR="001B0410" w:rsidRDefault="001B04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60BF7"/>
    <w:multiLevelType w:val="multilevel"/>
    <w:tmpl w:val="736A158A"/>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num w:numId="1" w16cid:durableId="1686592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E31"/>
    <w:rsid w:val="001B0410"/>
    <w:rsid w:val="004B1E54"/>
    <w:rsid w:val="00512DF9"/>
    <w:rsid w:val="005E3E31"/>
    <w:rsid w:val="00AB2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886F3"/>
  <w15:docId w15:val="{7EF2BCD8-F622-464C-915A-405E2538C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76" w:lineRule="auto"/>
    </w:pPr>
    <w:rPr>
      <w:rFonts w:ascii="Arial" w:eastAsia="Arial" w:hAnsi="Arial" w:cs="Arial"/>
      <w:lang w:val="en-US"/>
    </w:rPr>
  </w:style>
  <w:style w:type="paragraph" w:styleId="Heading1">
    <w:name w:val="heading 1"/>
    <w:basedOn w:val="Normal"/>
    <w:next w:val="Normal"/>
    <w:uiPriority w:val="9"/>
    <w:qFormat/>
    <w:pPr>
      <w:keepNext/>
      <w:keepLines/>
      <w:spacing w:before="240"/>
      <w:outlineLvl w:val="0"/>
    </w:pPr>
    <w:rPr>
      <w:rFonts w:ascii="Calibri Light" w:eastAsia="Times New Roman" w:hAnsi="Calibri Light" w:cs="Times New Roman"/>
      <w:color w:val="2F5496"/>
      <w:sz w:val="32"/>
      <w:szCs w:val="32"/>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uppressAutoHyphens/>
      <w:spacing w:after="0" w:line="276" w:lineRule="auto"/>
    </w:pPr>
    <w:rPr>
      <w:rFonts w:ascii="Arial" w:eastAsia="Arial" w:hAnsi="Arial" w:cs="Arial"/>
      <w:lang w:val="en-US"/>
    </w:rPr>
  </w:style>
  <w:style w:type="paragraph" w:styleId="Footer">
    <w:name w:val="footer"/>
    <w:basedOn w:val="Normal"/>
    <w:pPr>
      <w:tabs>
        <w:tab w:val="center" w:pos="4680"/>
        <w:tab w:val="right" w:pos="9360"/>
      </w:tabs>
      <w:spacing w:line="240" w:lineRule="auto"/>
    </w:pPr>
  </w:style>
  <w:style w:type="character" w:customStyle="1" w:styleId="FooterChar">
    <w:name w:val="Footer Char"/>
    <w:basedOn w:val="DefaultParagraphFont"/>
    <w:rPr>
      <w:rFonts w:ascii="Arial" w:eastAsia="Arial" w:hAnsi="Arial" w:cs="Arial"/>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TOCHeading">
    <w:name w:val="TOC Heading"/>
    <w:basedOn w:val="Heading1"/>
    <w:next w:val="Normal"/>
    <w:pPr>
      <w:spacing w:line="256" w:lineRule="auto"/>
    </w:pPr>
  </w:style>
  <w:style w:type="character" w:customStyle="1" w:styleId="Heading2Char">
    <w:name w:val="Heading 2 Char"/>
    <w:basedOn w:val="DefaultParagraphFont"/>
    <w:rPr>
      <w:rFonts w:ascii="Calibri Light" w:eastAsia="Times New Roman" w:hAnsi="Calibri Light" w:cs="Times New Roman"/>
      <w:color w:val="2F5496"/>
      <w:sz w:val="26"/>
      <w:szCs w:val="26"/>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800" b="1" i="0" u="none" strike="noStrike" kern="1200" baseline="0">
                <a:solidFill>
                  <a:srgbClr val="000000"/>
                </a:solidFill>
                <a:latin typeface="Calibri"/>
              </a:defRPr>
            </a:pPr>
            <a:r>
              <a:rPr lang="en-GB" sz="1800" b="1" i="0" u="none" strike="noStrike" kern="1200" cap="none" spc="0" baseline="0">
                <a:solidFill>
                  <a:srgbClr val="000000"/>
                </a:solidFill>
                <a:uFillTx/>
                <a:latin typeface="Calibri"/>
              </a:rPr>
              <a:t>Gantt Chart</a:t>
            </a:r>
          </a:p>
        </c:rich>
      </c:tx>
      <c:overlay val="0"/>
      <c:spPr>
        <a:noFill/>
        <a:ln>
          <a:noFill/>
        </a:ln>
      </c:spPr>
    </c:title>
    <c:autoTitleDeleted val="0"/>
    <c:view3D>
      <c:rotX val="0"/>
      <c:rotY val="360"/>
      <c:rAngAx val="1"/>
    </c:view3D>
    <c:floor>
      <c:thickness val="0"/>
      <c:spPr>
        <a:noFill/>
        <a:ln w="6345" cap="flat">
          <a:solidFill>
            <a:srgbClr val="898989"/>
          </a:solidFill>
          <a:prstDash val="solid"/>
          <a:round/>
        </a:ln>
      </c:spPr>
    </c:floor>
    <c:sideWall>
      <c:thickness val="0"/>
      <c:spPr>
        <a:noFill/>
        <a:ln>
          <a:noFill/>
        </a:ln>
      </c:spPr>
    </c:sideWall>
    <c:backWall>
      <c:thickness val="0"/>
      <c:spPr>
        <a:noFill/>
        <a:ln>
          <a:noFill/>
        </a:ln>
      </c:spPr>
    </c:backWall>
    <c:plotArea>
      <c:layout>
        <c:manualLayout>
          <c:xMode val="edge"/>
          <c:yMode val="edge"/>
          <c:x val="3.0555555555555555E-2"/>
          <c:y val="5.0925925925925923E-2"/>
          <c:w val="0.93888888888888888"/>
          <c:h val="0.89814814814814814"/>
        </c:manualLayout>
      </c:layout>
      <c:bar3DChart>
        <c:barDir val="col"/>
        <c:grouping val="clustered"/>
        <c:varyColors val="0"/>
        <c:ser>
          <c:idx val="0"/>
          <c:order val="0"/>
          <c:tx>
            <c:v>Months</c:v>
          </c:tx>
          <c:spPr>
            <a:solidFill>
              <a:srgbClr val="A5A5A5"/>
            </a:solidFill>
            <a:ln>
              <a:noFill/>
            </a:ln>
          </c:spPr>
          <c:invertIfNegative val="0"/>
          <c:dPt>
            <c:idx val="0"/>
            <c:invertIfNegative val="0"/>
            <c:bubble3D val="0"/>
            <c:spPr>
              <a:solidFill>
                <a:srgbClr val="7B7B7B"/>
              </a:solidFill>
              <a:ln>
                <a:noFill/>
              </a:ln>
            </c:spPr>
            <c:extLst>
              <c:ext xmlns:c16="http://schemas.microsoft.com/office/drawing/2014/chart" uri="{C3380CC4-5D6E-409C-BE32-E72D297353CC}">
                <c16:uniqueId val="{00000001-113B-40D8-AF18-8C4045C0C822}"/>
              </c:ext>
            </c:extLst>
          </c:dPt>
          <c:dPt>
            <c:idx val="1"/>
            <c:invertIfNegative val="0"/>
            <c:bubble3D val="0"/>
            <c:spPr>
              <a:solidFill>
                <a:srgbClr val="929292"/>
              </a:solidFill>
              <a:ln>
                <a:noFill/>
              </a:ln>
            </c:spPr>
            <c:extLst>
              <c:ext xmlns:c16="http://schemas.microsoft.com/office/drawing/2014/chart" uri="{C3380CC4-5D6E-409C-BE32-E72D297353CC}">
                <c16:uniqueId val="{00000002-113B-40D8-AF18-8C4045C0C822}"/>
              </c:ext>
            </c:extLst>
          </c:dPt>
          <c:dPt>
            <c:idx val="2"/>
            <c:invertIfNegative val="0"/>
            <c:bubble3D val="0"/>
            <c:extLst>
              <c:ext xmlns:c16="http://schemas.microsoft.com/office/drawing/2014/chart" uri="{C3380CC4-5D6E-409C-BE32-E72D297353CC}">
                <c16:uniqueId val="{00000003-113B-40D8-AF18-8C4045C0C822}"/>
              </c:ext>
            </c:extLst>
          </c:dPt>
          <c:dPt>
            <c:idx val="3"/>
            <c:invertIfNegative val="0"/>
            <c:bubble3D val="0"/>
            <c:spPr>
              <a:solidFill>
                <a:srgbClr val="BFBFBF"/>
              </a:solidFill>
              <a:ln>
                <a:noFill/>
              </a:ln>
            </c:spPr>
            <c:extLst>
              <c:ext xmlns:c16="http://schemas.microsoft.com/office/drawing/2014/chart" uri="{C3380CC4-5D6E-409C-BE32-E72D297353CC}">
                <c16:uniqueId val="{00000004-113B-40D8-AF18-8C4045C0C822}"/>
              </c:ext>
            </c:extLst>
          </c:dPt>
          <c:dPt>
            <c:idx val="4"/>
            <c:invertIfNegative val="0"/>
            <c:bubble3D val="0"/>
            <c:spPr>
              <a:solidFill>
                <a:srgbClr val="D5D5D5"/>
              </a:solidFill>
              <a:ln>
                <a:noFill/>
              </a:ln>
            </c:spPr>
            <c:extLst>
              <c:ext xmlns:c16="http://schemas.microsoft.com/office/drawing/2014/chart" uri="{C3380CC4-5D6E-409C-BE32-E72D297353CC}">
                <c16:uniqueId val="{00000005-113B-40D8-AF18-8C4045C0C822}"/>
              </c:ext>
            </c:extLst>
          </c:dPt>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showLegendKey val="1"/>
            <c:showVal val="1"/>
            <c:showCatName val="1"/>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5"/>
              <c:pt idx="0">
                <c:v>Initiation</c:v>
              </c:pt>
              <c:pt idx="1">
                <c:v>Planning</c:v>
              </c:pt>
              <c:pt idx="2">
                <c:v>Execution</c:v>
              </c:pt>
              <c:pt idx="3">
                <c:v>Closing</c:v>
              </c:pt>
              <c:pt idx="4">
                <c:v>Delay</c:v>
              </c:pt>
            </c:strLit>
          </c:cat>
          <c:val>
            <c:numLit>
              <c:formatCode>General</c:formatCode>
              <c:ptCount val="5"/>
              <c:pt idx="0">
                <c:v>324</c:v>
              </c:pt>
              <c:pt idx="1">
                <c:v>48</c:v>
              </c:pt>
              <c:pt idx="2">
                <c:v>156</c:v>
              </c:pt>
              <c:pt idx="3">
                <c:v>12</c:v>
              </c:pt>
              <c:pt idx="4">
                <c:v>36</c:v>
              </c:pt>
            </c:numLit>
          </c:val>
          <c:extLst>
            <c:ext xmlns:c16="http://schemas.microsoft.com/office/drawing/2014/chart" uri="{C3380CC4-5D6E-409C-BE32-E72D297353CC}">
              <c16:uniqueId val="{00000000-113B-40D8-AF18-8C4045C0C822}"/>
            </c:ext>
          </c:extLst>
        </c:ser>
        <c:dLbls>
          <c:showLegendKey val="0"/>
          <c:showVal val="0"/>
          <c:showCatName val="0"/>
          <c:showSerName val="0"/>
          <c:showPercent val="0"/>
          <c:showBubbleSize val="0"/>
        </c:dLbls>
        <c:gapWidth val="150"/>
        <c:shape val="box"/>
        <c:axId val="273413840"/>
        <c:axId val="273416136"/>
        <c:axId val="0"/>
      </c:bar3DChart>
      <c:valAx>
        <c:axId val="273416136"/>
        <c:scaling>
          <c:orientation val="minMax"/>
        </c:scaling>
        <c:delete val="1"/>
        <c:axPos val="l"/>
        <c:majorGridlines>
          <c:spPr>
            <a:ln w="6345" cap="flat">
              <a:solidFill>
                <a:srgbClr val="898989"/>
              </a:solidFill>
              <a:prstDash val="solid"/>
              <a:round/>
            </a:ln>
          </c:spPr>
        </c:majorGridlines>
        <c:numFmt formatCode="General" sourceLinked="0"/>
        <c:majorTickMark val="cross"/>
        <c:minorTickMark val="cross"/>
        <c:tickLblPos val="nextTo"/>
        <c:crossAx val="273413840"/>
        <c:crosses val="autoZero"/>
        <c:crossBetween val="between"/>
      </c:valAx>
      <c:catAx>
        <c:axId val="273413840"/>
        <c:scaling>
          <c:orientation val="minMax"/>
        </c:scaling>
        <c:delete val="1"/>
        <c:axPos val="b"/>
        <c:numFmt formatCode="General" sourceLinked="0"/>
        <c:majorTickMark val="cross"/>
        <c:minorTickMark val="cross"/>
        <c:tickLblPos val="nextTo"/>
        <c:crossAx val="273416136"/>
        <c:crosses val="autoZero"/>
        <c:auto val="1"/>
        <c:lblAlgn val="ctr"/>
        <c:lblOffset val="100"/>
        <c:noMultiLvlLbl val="0"/>
      </c:catAx>
      <c:spPr>
        <a:noFill/>
        <a:ln>
          <a:noFill/>
        </a:ln>
      </c:spPr>
    </c:plotArea>
    <c:legend>
      <c:legendPos val="r"/>
      <c:overlay val="0"/>
      <c:spPr>
        <a:noFill/>
        <a:ln>
          <a:noFill/>
        </a:ln>
      </c:spPr>
      <c:txPr>
        <a:bodyPr lIns="0" tIns="0" rIns="0" bIns="0"/>
        <a:lstStyle/>
        <a:p>
          <a:pPr marL="0" marR="0" indent="0" defTabSz="914400" fontAlgn="auto" hangingPunct="1">
            <a:lnSpc>
              <a:spcPct val="100000"/>
            </a:lnSpc>
            <a:spcBef>
              <a:spcPts val="0"/>
            </a:spcBef>
            <a:spcAft>
              <a:spcPts val="0"/>
            </a:spcAft>
            <a:tabLst/>
            <a:defRPr sz="1000" b="0" i="0" u="none" strike="noStrike" kern="1200" baseline="0">
              <a:solidFill>
                <a:srgbClr val="000000"/>
              </a:solidFill>
              <a:latin typeface="Calibri"/>
            </a:defRPr>
          </a:pPr>
          <a:endParaRPr lang="en-US"/>
        </a:p>
      </c:txPr>
    </c:legend>
    <c:plotVisOnly val="1"/>
    <c:dispBlanksAs val="zero"/>
    <c:showDLblsOverMax val="0"/>
  </c:chart>
  <c:spPr>
    <a:solidFill>
      <a:srgbClr val="FFFFFF"/>
    </a:solidFill>
    <a:ln w="6345" cap="flat">
      <a:solidFill>
        <a:srgbClr val="89898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2956</Words>
  <Characters>16855</Characters>
  <Application>Microsoft Office Word</Application>
  <DocSecurity>4</DocSecurity>
  <Lines>140</Lines>
  <Paragraphs>39</Paragraphs>
  <ScaleCrop>false</ScaleCrop>
  <Company/>
  <LinksUpToDate>false</LinksUpToDate>
  <CharactersWithSpaces>19772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Tyson Miranda</dc:creator>
  <dc:description/>
  <cp:lastModifiedBy>Svetoslav Radev</cp:lastModifiedBy>
  <cp:revision>2</cp:revision>
  <dcterms:created xsi:type="dcterms:W3CDTF">2022-12-09T10:48:00Z</dcterms:created>
  <dcterms:modified xsi:type="dcterms:W3CDTF">2022-12-09T10:48:00Z</dcterms:modified>
</cp:coreProperties>
</file>