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F5272" w14:textId="72A33E47" w:rsidR="00D63858" w:rsidRDefault="00D63858" w:rsidP="00D63858">
      <w:pPr>
        <w:spacing w:after="0"/>
        <w:jc w:val="center"/>
      </w:pPr>
      <w:r>
        <w:t xml:space="preserve">Critical Appreciation of </w:t>
      </w:r>
      <w:r w:rsidRPr="009124F9">
        <w:rPr>
          <w:i/>
          <w:iCs/>
        </w:rPr>
        <w:t>The Life of St. Kentigern</w:t>
      </w:r>
      <w:r w:rsidR="00FF7867">
        <w:t xml:space="preserve"> by </w:t>
      </w:r>
      <w:bookmarkStart w:id="0" w:name="_Hlk161264453"/>
      <w:r w:rsidR="00FF7867">
        <w:t>Jo</w:t>
      </w:r>
      <w:r w:rsidR="00267ED1">
        <w:t>celyn</w:t>
      </w:r>
      <w:r w:rsidR="00FF7867">
        <w:t xml:space="preserve"> of Furness</w:t>
      </w:r>
      <w:bookmarkEnd w:id="0"/>
    </w:p>
    <w:p w14:paraId="11EA9AD6" w14:textId="77777777" w:rsidR="00D63858" w:rsidRDefault="00D63858" w:rsidP="00D63858">
      <w:pPr>
        <w:spacing w:after="0"/>
        <w:jc w:val="center"/>
      </w:pPr>
      <w:r>
        <w:t>Mark A. Pierce</w:t>
      </w:r>
    </w:p>
    <w:p w14:paraId="7042B8CA" w14:textId="625B6F4F" w:rsidR="00D63858" w:rsidRDefault="00D63858" w:rsidP="00D63858">
      <w:pPr>
        <w:spacing w:after="0"/>
        <w:jc w:val="center"/>
      </w:pPr>
      <w:r>
        <w:t>13</w:t>
      </w:r>
      <w:r w:rsidRPr="00AF7756">
        <w:rPr>
          <w:vertAlign w:val="superscript"/>
        </w:rPr>
        <w:t>th</w:t>
      </w:r>
      <w:r>
        <w:t xml:space="preserve"> </w:t>
      </w:r>
      <w:proofErr w:type="gramStart"/>
      <w:r>
        <w:t>March,</w:t>
      </w:r>
      <w:proofErr w:type="gramEnd"/>
      <w:r>
        <w:t xml:space="preserve"> 2024</w:t>
      </w:r>
    </w:p>
    <w:p w14:paraId="47CF12F2" w14:textId="77777777" w:rsidR="00BB0F71" w:rsidRDefault="00BB0F71" w:rsidP="00D63858">
      <w:pPr>
        <w:spacing w:after="0"/>
        <w:jc w:val="center"/>
      </w:pPr>
    </w:p>
    <w:p w14:paraId="42048BA3" w14:textId="3882CCC6" w:rsidR="00AF084E" w:rsidRDefault="00BB0F71" w:rsidP="00BB0F71">
      <w:pPr>
        <w:spacing w:after="0"/>
      </w:pPr>
      <w:r>
        <w:tab/>
        <w:t xml:space="preserve">The “Life of St. Kentigern” is an interesting example of a </w:t>
      </w:r>
      <w:r w:rsidRPr="001661D2">
        <w:rPr>
          <w:i/>
          <w:iCs/>
        </w:rPr>
        <w:t>Vita</w:t>
      </w:r>
      <w:r w:rsidR="00AF084E">
        <w:t xml:space="preserve"> – a hagiographical text </w:t>
      </w:r>
      <w:r>
        <w:t>describ</w:t>
      </w:r>
      <w:r w:rsidR="00AF084E">
        <w:t>ing</w:t>
      </w:r>
      <w:r>
        <w:t xml:space="preserve"> a saint in respect to normal motifs</w:t>
      </w:r>
      <w:r w:rsidR="00AF084E">
        <w:t>,</w:t>
      </w:r>
      <w:r>
        <w:t xml:space="preserve"> such as Biblical references, </w:t>
      </w:r>
      <w:r w:rsidR="00AF084E">
        <w:t xml:space="preserve">devotion and reverence by their followers, their founding of monasteries, and everything </w:t>
      </w:r>
      <w:r>
        <w:t>that one might expect from a Medieval Saint. What makes this one of particular interest is that Kentigern lived in a time that the light of modern scholarship has scarcely been able to illuminate – that of the Kingdom of Cumbria during the time of the British Dark Ages in the 6</w:t>
      </w:r>
      <w:r w:rsidRPr="00BB0F71">
        <w:rPr>
          <w:vertAlign w:val="superscript"/>
        </w:rPr>
        <w:t>th</w:t>
      </w:r>
      <w:r>
        <w:t xml:space="preserve"> century.</w:t>
      </w:r>
      <w:r w:rsidR="00C74D92">
        <w:rPr>
          <w:rStyle w:val="FootnoteReference"/>
        </w:rPr>
        <w:footnoteReference w:id="1"/>
      </w:r>
      <w:r>
        <w:t xml:space="preserve"> </w:t>
      </w:r>
      <w:r w:rsidR="00AF084E">
        <w:t xml:space="preserve"> </w:t>
      </w:r>
    </w:p>
    <w:p w14:paraId="22D781B5" w14:textId="69BA95FD" w:rsidR="0057401A" w:rsidRDefault="00BB0F71" w:rsidP="00BB0F71">
      <w:pPr>
        <w:spacing w:after="0"/>
      </w:pPr>
      <w:r>
        <w:tab/>
        <w:t>The land that would come to be known as the Kingdom of Cumbria and later as Strathclyde, began its inception with humble origins. The Roman Empire, in the second century AD, constructed both Hadrian’s Wall and the Antonine Wall, with the later being constructed later and more northern than the former</w:t>
      </w:r>
      <w:r w:rsidR="006624C1">
        <w:t xml:space="preserve">. </w:t>
      </w:r>
      <w:r>
        <w:t xml:space="preserve">The Antonine Wall was abandoned </w:t>
      </w:r>
      <w:proofErr w:type="gramStart"/>
      <w:r>
        <w:t>fairly quickly</w:t>
      </w:r>
      <w:proofErr w:type="gramEnd"/>
      <w:r w:rsidR="0057401A">
        <w:t xml:space="preserve">, and the tribes that lived between the two walls were known as the </w:t>
      </w:r>
      <w:proofErr w:type="spellStart"/>
      <w:r w:rsidR="0057401A">
        <w:t>Damnonii</w:t>
      </w:r>
      <w:proofErr w:type="spellEnd"/>
      <w:r w:rsidR="0057401A">
        <w:t>.</w:t>
      </w:r>
      <w:r w:rsidR="00C74D92">
        <w:rPr>
          <w:rStyle w:val="FootnoteReference"/>
        </w:rPr>
        <w:footnoteReference w:id="2"/>
      </w:r>
      <w:r w:rsidR="0057401A">
        <w:t xml:space="preserve"> Growing under the protection of Rome, these tribes began to consolidate at the fortress of Alt </w:t>
      </w:r>
      <w:proofErr w:type="spellStart"/>
      <w:r w:rsidR="0057401A">
        <w:t>Clut</w:t>
      </w:r>
      <w:proofErr w:type="spellEnd"/>
      <w:r w:rsidR="0057401A">
        <w:t>, the modern site of Dunbarton Castle in Clydesdale.</w:t>
      </w:r>
      <w:r w:rsidR="008C4B5C">
        <w:rPr>
          <w:rStyle w:val="FootnoteReference"/>
        </w:rPr>
        <w:footnoteReference w:id="3"/>
      </w:r>
      <w:r w:rsidR="0057401A">
        <w:t xml:space="preserve"> </w:t>
      </w:r>
    </w:p>
    <w:p w14:paraId="4364F707" w14:textId="7B333B8D" w:rsidR="00FF7867" w:rsidRDefault="0057401A" w:rsidP="0057401A">
      <w:pPr>
        <w:spacing w:after="0"/>
        <w:ind w:firstLine="720"/>
      </w:pPr>
      <w:r>
        <w:t>After the Romans withdrew, there are few sources about the kingdom in this period</w:t>
      </w:r>
      <w:r w:rsidR="00FF7867">
        <w:t>, and none of them are from the Kingdom itself.</w:t>
      </w:r>
      <w:r w:rsidR="00C74D92">
        <w:rPr>
          <w:rStyle w:val="FootnoteReference"/>
        </w:rPr>
        <w:footnoteReference w:id="4"/>
      </w:r>
      <w:r>
        <w:t xml:space="preserve">  One of these few</w:t>
      </w:r>
      <w:r w:rsidR="00C76877">
        <w:t xml:space="preserve"> sources on the subject</w:t>
      </w:r>
      <w:r>
        <w:t xml:space="preserve"> is Gilda’s </w:t>
      </w:r>
      <w:r w:rsidRPr="0057401A">
        <w:rPr>
          <w:i/>
          <w:iCs/>
        </w:rPr>
        <w:t xml:space="preserve">De </w:t>
      </w:r>
      <w:proofErr w:type="spellStart"/>
      <w:r w:rsidRPr="0057401A">
        <w:rPr>
          <w:i/>
          <w:iCs/>
        </w:rPr>
        <w:t>Excidio</w:t>
      </w:r>
      <w:proofErr w:type="spellEnd"/>
      <w:r w:rsidRPr="0057401A">
        <w:rPr>
          <w:i/>
          <w:iCs/>
        </w:rPr>
        <w:t xml:space="preserve"> et </w:t>
      </w:r>
      <w:proofErr w:type="spellStart"/>
      <w:r w:rsidRPr="0057401A">
        <w:rPr>
          <w:i/>
          <w:iCs/>
        </w:rPr>
        <w:t>Conquestu</w:t>
      </w:r>
      <w:proofErr w:type="spellEnd"/>
      <w:r w:rsidRPr="0057401A">
        <w:rPr>
          <w:i/>
          <w:iCs/>
        </w:rPr>
        <w:t xml:space="preserve"> Britanniae</w:t>
      </w:r>
      <w:r>
        <w:rPr>
          <w:i/>
          <w:iCs/>
        </w:rPr>
        <w:t>.</w:t>
      </w:r>
      <w:r w:rsidR="00C74D92" w:rsidRPr="00C74D92">
        <w:rPr>
          <w:rStyle w:val="FootnoteReference"/>
        </w:rPr>
        <w:footnoteReference w:id="5"/>
      </w:r>
      <w:r>
        <w:rPr>
          <w:b/>
          <w:bCs/>
        </w:rPr>
        <w:t xml:space="preserve"> </w:t>
      </w:r>
      <w:r>
        <w:t xml:space="preserve">During that time, the Saxons started to march across Britian, slowly conquering the lowlands of Britian, while the </w:t>
      </w:r>
      <w:r w:rsidR="00AF084E">
        <w:t>Mountainous</w:t>
      </w:r>
      <w:r>
        <w:t xml:space="preserve"> Regions, such as modern </w:t>
      </w:r>
      <w:r w:rsidR="00814609">
        <w:t>day Southern Scotland and Wales, remained firmly under the control of the Britons.</w:t>
      </w:r>
      <w:r w:rsidR="00C74D92">
        <w:rPr>
          <w:rStyle w:val="FootnoteReference"/>
        </w:rPr>
        <w:footnoteReference w:id="6"/>
      </w:r>
      <w:r w:rsidR="00814609">
        <w:t xml:space="preserve"> </w:t>
      </w:r>
      <w:r w:rsidR="00C76877">
        <w:t>After the conquest of the Kingdom of Gododdin by the Anglo-Saxons and the</w:t>
      </w:r>
      <w:r w:rsidR="006624C1">
        <w:t xml:space="preserve"> pressure of the</w:t>
      </w:r>
      <w:r w:rsidR="00C76877">
        <w:t xml:space="preserve"> Irish Kingdom of </w:t>
      </w:r>
      <w:proofErr w:type="spellStart"/>
      <w:r w:rsidR="00C76877" w:rsidRPr="00C76877">
        <w:t>Dál</w:t>
      </w:r>
      <w:proofErr w:type="spellEnd"/>
      <w:r w:rsidR="00C76877" w:rsidRPr="00C76877">
        <w:t xml:space="preserve"> Riata</w:t>
      </w:r>
      <w:r w:rsidR="00C76877">
        <w:t xml:space="preserve"> in the North, the Cumbrian Kingdom was under constant pressure.</w:t>
      </w:r>
      <w:r w:rsidR="00C74D92">
        <w:rPr>
          <w:rStyle w:val="FootnoteReference"/>
        </w:rPr>
        <w:footnoteReference w:id="7"/>
      </w:r>
      <w:r w:rsidR="00C76877">
        <w:t xml:space="preserve"> This is the world that Kentigern lived, a kingdom under </w:t>
      </w:r>
      <w:proofErr w:type="spellStart"/>
      <w:r w:rsidR="00C76877">
        <w:t>seige</w:t>
      </w:r>
      <w:proofErr w:type="spellEnd"/>
      <w:r w:rsidR="00C76877">
        <w:t xml:space="preserve">. </w:t>
      </w:r>
      <w:r w:rsidR="009329E9">
        <w:t xml:space="preserve">The culture was </w:t>
      </w:r>
      <w:proofErr w:type="gramStart"/>
      <w:r w:rsidR="009329E9">
        <w:t>similar to</w:t>
      </w:r>
      <w:proofErr w:type="gramEnd"/>
      <w:r w:rsidR="009329E9">
        <w:t xml:space="preserve"> Wales, that of Brittonic Heroism, like those written with Welsh poetry such as the triads.</w:t>
      </w:r>
      <w:r w:rsidR="006624C1">
        <w:rPr>
          <w:rStyle w:val="FootnoteReference"/>
        </w:rPr>
        <w:footnoteReference w:id="8"/>
      </w:r>
      <w:r w:rsidR="009329E9">
        <w:t xml:space="preserve"> </w:t>
      </w:r>
    </w:p>
    <w:p w14:paraId="55182B6A" w14:textId="3BF91C55" w:rsidR="00480485" w:rsidRDefault="00814609" w:rsidP="0057401A">
      <w:pPr>
        <w:spacing w:after="0"/>
        <w:ind w:firstLine="720"/>
        <w:rPr>
          <w:b/>
          <w:bCs/>
        </w:rPr>
      </w:pPr>
      <w:r>
        <w:t xml:space="preserve">However, this work was written around </w:t>
      </w:r>
      <w:r w:rsidR="00FF7867">
        <w:t>five hundred</w:t>
      </w:r>
      <w:r w:rsidR="00480485">
        <w:rPr>
          <w:b/>
          <w:bCs/>
        </w:rPr>
        <w:t xml:space="preserve"> </w:t>
      </w:r>
      <w:r>
        <w:t xml:space="preserve">years after Kentigern’s death, </w:t>
      </w:r>
      <w:r w:rsidR="00FF7867">
        <w:t>and, from the text, it can be inferred that the “The Life of St. Kentigern” had more to do with the ecclesiastical politics of the 12</w:t>
      </w:r>
      <w:r w:rsidR="00FF7867" w:rsidRPr="00FF7867">
        <w:rPr>
          <w:vertAlign w:val="superscript"/>
        </w:rPr>
        <w:t>th</w:t>
      </w:r>
      <w:r w:rsidR="00FF7867">
        <w:t xml:space="preserve"> Century than with that of the period Kentigern lived.</w:t>
      </w:r>
      <w:r w:rsidR="00C74D92">
        <w:rPr>
          <w:rStyle w:val="FootnoteReference"/>
        </w:rPr>
        <w:footnoteReference w:id="9"/>
      </w:r>
    </w:p>
    <w:p w14:paraId="0159409A" w14:textId="77777777" w:rsidR="00480485" w:rsidRDefault="00480485" w:rsidP="00480485">
      <w:pPr>
        <w:spacing w:after="0"/>
        <w:ind w:left="720"/>
      </w:pPr>
      <w:r>
        <w:t>The 12</w:t>
      </w:r>
      <w:r w:rsidRPr="00480485">
        <w:rPr>
          <w:vertAlign w:val="superscript"/>
        </w:rPr>
        <w:t>th</w:t>
      </w:r>
      <w:r>
        <w:t xml:space="preserve"> century was a tumultuous time to be in great Britian. There were frequent </w:t>
      </w:r>
      <w:proofErr w:type="gramStart"/>
      <w:r>
        <w:t>border</w:t>
      </w:r>
      <w:proofErr w:type="gramEnd"/>
    </w:p>
    <w:p w14:paraId="3A60A8B1" w14:textId="612E3663" w:rsidR="004D6E18" w:rsidRPr="004D6E18" w:rsidRDefault="00480485" w:rsidP="00480485">
      <w:pPr>
        <w:spacing w:after="0"/>
        <w:rPr>
          <w:b/>
          <w:bCs/>
        </w:rPr>
      </w:pPr>
      <w:r>
        <w:t>Clashes between the English and Scottish over what used to be part of the Kingdom of Strathclyde. It was a time of religious reform, and under the patronage of the kings of Scotland, the</w:t>
      </w:r>
      <w:r w:rsidR="004D6E18">
        <w:t xml:space="preserve"> Cistercians grew in both power and authority.</w:t>
      </w:r>
      <w:r w:rsidR="007D47B9">
        <w:rPr>
          <w:rStyle w:val="FootnoteReference"/>
        </w:rPr>
        <w:footnoteReference w:id="10"/>
      </w:r>
      <w:r w:rsidR="004D6E18">
        <w:t xml:space="preserve"> </w:t>
      </w:r>
    </w:p>
    <w:p w14:paraId="204CC617" w14:textId="43AD1241" w:rsidR="005E1219" w:rsidRDefault="004D6E18" w:rsidP="00480485">
      <w:pPr>
        <w:spacing w:after="0"/>
      </w:pPr>
      <w:r>
        <w:tab/>
        <w:t xml:space="preserve">During the same time, there was a debate over which see, that of </w:t>
      </w:r>
      <w:r w:rsidR="00C74D92">
        <w:t>Canterbury</w:t>
      </w:r>
      <w:r>
        <w:t xml:space="preserve"> or York, was supreme over all of Britian. With the crowning of William I, the See of Glasgow began to grow in power </w:t>
      </w:r>
      <w:r>
        <w:lastRenderedPageBreak/>
        <w:t>and in influence. Glasgow refused subservience to both Canterbury and York.</w:t>
      </w:r>
      <w:r w:rsidR="007D47B9">
        <w:rPr>
          <w:rStyle w:val="FootnoteReference"/>
        </w:rPr>
        <w:footnoteReference w:id="11"/>
      </w:r>
      <w:r>
        <w:rPr>
          <w:b/>
          <w:bCs/>
        </w:rPr>
        <w:t xml:space="preserve"> </w:t>
      </w:r>
      <w:r>
        <w:t xml:space="preserve">During the time that </w:t>
      </w:r>
      <w:r w:rsidR="00C91FA0">
        <w:rPr>
          <w:i/>
          <w:iCs/>
        </w:rPr>
        <w:t>The Life of St Kentigern</w:t>
      </w:r>
      <w:r w:rsidR="00C91FA0">
        <w:t xml:space="preserve"> was written</w:t>
      </w:r>
      <w:r>
        <w:t xml:space="preserve">, Scotland was petitioning the Papacy for the right to have their own archbishopric. This is most likely why there is such great emphasis of St. Kentigern being given the right by Pope Gregory the Great to </w:t>
      </w:r>
      <w:proofErr w:type="gramStart"/>
      <w:r>
        <w:t>found</w:t>
      </w:r>
      <w:proofErr w:type="gramEnd"/>
      <w:r>
        <w:t xml:space="preserve"> an Archbishopric at Glasgow.</w:t>
      </w:r>
      <w:r w:rsidR="00F9553C">
        <w:rPr>
          <w:rStyle w:val="FootnoteReference"/>
        </w:rPr>
        <w:footnoteReference w:id="12"/>
      </w:r>
      <w:r>
        <w:rPr>
          <w:b/>
          <w:bCs/>
        </w:rPr>
        <w:t xml:space="preserve"> </w:t>
      </w:r>
      <w:r>
        <w:t xml:space="preserve"> That way the Scots would not be religiously under the thumb of the English, and the Cistercians would be free to get even more patronage from a friendlier king. </w:t>
      </w:r>
    </w:p>
    <w:p w14:paraId="7068DDF7" w14:textId="1F6D1A2D" w:rsidR="00480485" w:rsidRPr="004D6E18" w:rsidRDefault="005E1219" w:rsidP="005E1219">
      <w:pPr>
        <w:spacing w:after="0"/>
        <w:ind w:firstLine="720"/>
      </w:pPr>
      <w:r>
        <w:t>Jocelyn was a Cistercian monk, and these monks were the main reformers in Scotland at the time</w:t>
      </w:r>
      <w:r w:rsidR="00C91FA0">
        <w:t xml:space="preserve">. </w:t>
      </w:r>
      <w:r>
        <w:t xml:space="preserve">It was in their best interest for both them and their patrons to keep Scotland independent from the English Church. </w:t>
      </w:r>
      <w:r w:rsidR="004D6E18">
        <w:t>This is most likely one of the main purpose</w:t>
      </w:r>
      <w:r w:rsidR="00C91FA0">
        <w:t>s</w:t>
      </w:r>
      <w:r w:rsidR="004D6E18">
        <w:t xml:space="preserve"> for this text other than moral instruction</w:t>
      </w:r>
      <w:r>
        <w:t xml:space="preserve">.  </w:t>
      </w:r>
    </w:p>
    <w:p w14:paraId="02895767" w14:textId="6457E073" w:rsidR="00984EFA" w:rsidRDefault="00C91FA0" w:rsidP="0057401A">
      <w:pPr>
        <w:spacing w:after="0"/>
        <w:ind w:firstLine="720"/>
      </w:pPr>
      <w:r>
        <w:t xml:space="preserve">On the other hand, Jocelyn did not seem to like the other hagiographical stories that were around at the time. </w:t>
      </w:r>
      <w:r w:rsidR="00FF7867">
        <w:t xml:space="preserve">One other hagiographical text about St. Kentigern survives. It was commissioned by Herbert of Glasgow; for that </w:t>
      </w:r>
      <w:proofErr w:type="gramStart"/>
      <w:r w:rsidR="00FF7867">
        <w:t>reason</w:t>
      </w:r>
      <w:proofErr w:type="gramEnd"/>
      <w:r w:rsidR="00FF7867">
        <w:t xml:space="preserve"> it is known as the “</w:t>
      </w:r>
      <w:proofErr w:type="spellStart"/>
      <w:r w:rsidR="00FF7867">
        <w:t>Herbertian</w:t>
      </w:r>
      <w:proofErr w:type="spellEnd"/>
      <w:r w:rsidR="00FF7867">
        <w:t xml:space="preserve"> Life”</w:t>
      </w:r>
      <w:r w:rsidR="00C74D92">
        <w:rPr>
          <w:rStyle w:val="FootnoteReference"/>
        </w:rPr>
        <w:footnoteReference w:id="13"/>
      </w:r>
      <w:r w:rsidR="00FF7867">
        <w:rPr>
          <w:b/>
          <w:bCs/>
        </w:rPr>
        <w:t xml:space="preserve"> </w:t>
      </w:r>
      <w:r w:rsidR="00FF7867">
        <w:t xml:space="preserve">From the actual text of “The Life of Kentigern” </w:t>
      </w:r>
      <w:bookmarkStart w:id="1" w:name="_Hlk161239258"/>
      <w:r w:rsidR="00FF7867">
        <w:t xml:space="preserve">by </w:t>
      </w:r>
      <w:r w:rsidR="00267ED1">
        <w:t>Jocelyn</w:t>
      </w:r>
      <w:r w:rsidR="00FF7867">
        <w:t xml:space="preserve"> of Furness</w:t>
      </w:r>
      <w:bookmarkEnd w:id="1"/>
      <w:r w:rsidR="00984EFA">
        <w:t xml:space="preserve">, you can see his dislike of the original text which could contribute to his motivation for writing the text. </w:t>
      </w:r>
    </w:p>
    <w:p w14:paraId="6A12C7D2" w14:textId="77777777" w:rsidR="00984EFA" w:rsidRDefault="00984EFA" w:rsidP="00984EFA">
      <w:pPr>
        <w:spacing w:after="0"/>
        <w:ind w:left="720"/>
      </w:pPr>
    </w:p>
    <w:p w14:paraId="2F56E17C" w14:textId="2AFDC251" w:rsidR="00BB0F71" w:rsidRDefault="00984EFA" w:rsidP="00984EFA">
      <w:pPr>
        <w:spacing w:after="0"/>
        <w:ind w:left="720"/>
        <w:rPr>
          <w:b/>
          <w:bCs/>
        </w:rPr>
      </w:pPr>
      <w:r w:rsidRPr="00984EFA">
        <w:t>Seeing therefore the life of so esteemed a bishop, who was glorious with signs and portents and most famous in virtue and doctrine, perversely recited and turned away from the pure faith, or very much obscured by a barbarian speech, I confess I suffered greatly. On that account, I therefore accepted to mend this life by restoring the material collected from the heart of both small books and by binding my method to your command</w:t>
      </w:r>
      <w:r>
        <w:t>.</w:t>
      </w:r>
      <w:r w:rsidR="00F66F8A">
        <w:t xml:space="preserve"> . . so that the </w:t>
      </w:r>
      <w:r w:rsidR="00F66F8A" w:rsidRPr="00F66F8A">
        <w:t>abundance of wonders collected might not weary feeble readers</w:t>
      </w:r>
      <w:r w:rsidR="007D47B9">
        <w:t>.</w:t>
      </w:r>
      <w:r w:rsidR="007D47B9">
        <w:rPr>
          <w:rStyle w:val="FootnoteReference"/>
        </w:rPr>
        <w:footnoteReference w:id="14"/>
      </w:r>
    </w:p>
    <w:p w14:paraId="6DE75BD7" w14:textId="77777777" w:rsidR="00AF084E" w:rsidRDefault="00AF084E" w:rsidP="00AF084E">
      <w:pPr>
        <w:spacing w:after="0"/>
        <w:rPr>
          <w:b/>
          <w:bCs/>
        </w:rPr>
      </w:pPr>
    </w:p>
    <w:p w14:paraId="030ED69C" w14:textId="408C4795" w:rsidR="00AF084E" w:rsidRDefault="00AF084E" w:rsidP="00AF084E">
      <w:pPr>
        <w:spacing w:after="0"/>
      </w:pPr>
      <w:r>
        <w:rPr>
          <w:b/>
          <w:bCs/>
        </w:rPr>
        <w:tab/>
      </w:r>
      <w:r w:rsidR="00F66F8A">
        <w:t>However later comments in the text call into question its historicity. He calls other sources of</w:t>
      </w:r>
      <w:r w:rsidR="00C91FA0">
        <w:t xml:space="preserve"> St</w:t>
      </w:r>
      <w:r w:rsidR="00F66F8A">
        <w:t xml:space="preserve"> Kentigern</w:t>
      </w:r>
      <w:r w:rsidR="00C91FA0">
        <w:t>’s life</w:t>
      </w:r>
      <w:r w:rsidR="00F66F8A">
        <w:t xml:space="preserve"> “…</w:t>
      </w:r>
      <w:r w:rsidR="00F66F8A" w:rsidRPr="00F66F8A">
        <w:t xml:space="preserve"> tainted throughout as it is discolored by an uneducated language and obscured by a poorly written style; and before all of these faults certainly a wise man would more shrink back because in the beginning of the narrative itself are stories obviously contrary to certain doctrine and catholic faith.</w:t>
      </w:r>
      <w:r w:rsidR="00F66F8A">
        <w:t>”</w:t>
      </w:r>
      <w:r w:rsidR="007D47B9">
        <w:rPr>
          <w:rStyle w:val="FootnoteReference"/>
        </w:rPr>
        <w:footnoteReference w:id="15"/>
      </w:r>
      <w:r w:rsidR="00F66F8A">
        <w:rPr>
          <w:b/>
          <w:bCs/>
        </w:rPr>
        <w:t xml:space="preserve"> </w:t>
      </w:r>
      <w:r w:rsidR="00F66F8A">
        <w:t>This means that he may have altered and sanitized the story of Kentigern to better suit his purposes which would not be uncommon with hagiographical sources.</w:t>
      </w:r>
      <w:r w:rsidR="00C74D92">
        <w:rPr>
          <w:rStyle w:val="FootnoteReference"/>
        </w:rPr>
        <w:footnoteReference w:id="16"/>
      </w:r>
      <w:r w:rsidR="00F66F8A">
        <w:t xml:space="preserve"> </w:t>
      </w:r>
      <w:r w:rsidR="00D60B4E">
        <w:rPr>
          <w:b/>
          <w:bCs/>
        </w:rPr>
        <w:tab/>
      </w:r>
      <w:r w:rsidR="00D60B4E">
        <w:t xml:space="preserve"> </w:t>
      </w:r>
      <w:r>
        <w:tab/>
      </w:r>
    </w:p>
    <w:p w14:paraId="7592631E" w14:textId="77777777" w:rsidR="00C91FA0" w:rsidRDefault="00AF084E" w:rsidP="00F66F8A">
      <w:pPr>
        <w:spacing w:after="0"/>
      </w:pPr>
      <w:r>
        <w:tab/>
      </w:r>
      <w:r w:rsidR="00480485">
        <w:t>Jocelyn</w:t>
      </w:r>
      <w:r w:rsidR="00F66F8A">
        <w:t xml:space="preserve"> seem</w:t>
      </w:r>
      <w:r w:rsidR="00480485">
        <w:t>s</w:t>
      </w:r>
      <w:r w:rsidR="00F66F8A">
        <w:t xml:space="preserve"> skeptical of claims that St. Kentigern was born of a virgin.  He openly denies these claims </w:t>
      </w:r>
      <w:r w:rsidR="00C91FA0">
        <w:t>stating,</w:t>
      </w:r>
      <w:r w:rsidR="00F66F8A">
        <w:t xml:space="preserve"> “</w:t>
      </w:r>
      <w:r w:rsidR="00F66F8A" w:rsidRPr="00F66F8A">
        <w:t>that which was born in her</w:t>
      </w:r>
      <w:r w:rsidR="00F66F8A">
        <w:t xml:space="preserve"> [Kentigern’s mother]</w:t>
      </w:r>
      <w:r w:rsidR="00F66F8A" w:rsidRPr="00F66F8A">
        <w:t xml:space="preserve"> womb she received from a human embrace</w:t>
      </w:r>
      <w:r w:rsidR="00F66F8A">
        <w:t>.”</w:t>
      </w:r>
      <w:r w:rsidR="007D47B9">
        <w:rPr>
          <w:rStyle w:val="FootnoteReference"/>
        </w:rPr>
        <w:footnoteReference w:id="17"/>
      </w:r>
      <w:r w:rsidR="00F66F8A">
        <w:rPr>
          <w:b/>
          <w:bCs/>
        </w:rPr>
        <w:t xml:space="preserve"> </w:t>
      </w:r>
      <w:r w:rsidR="00267ED1">
        <w:t xml:space="preserve">Jocelyn </w:t>
      </w:r>
      <w:r w:rsidR="00F66F8A">
        <w:t>does, however, plainly state that some “foolish and unwise people” do, in fact, believe it.</w:t>
      </w:r>
      <w:r w:rsidR="007D47B9">
        <w:rPr>
          <w:rStyle w:val="FootnoteReference"/>
        </w:rPr>
        <w:footnoteReference w:id="18"/>
      </w:r>
      <w:r w:rsidR="00F66F8A">
        <w:rPr>
          <w:b/>
          <w:bCs/>
        </w:rPr>
        <w:t xml:space="preserve"> </w:t>
      </w:r>
      <w:r w:rsidR="00F66F8A">
        <w:t xml:space="preserve">Perhaps this was within the other books </w:t>
      </w:r>
      <w:r w:rsidR="00E363D2">
        <w:t xml:space="preserve">that </w:t>
      </w:r>
      <w:r w:rsidR="00267ED1" w:rsidRPr="00267ED1">
        <w:t>Jocelyn</w:t>
      </w:r>
      <w:r w:rsidR="00E363D2">
        <w:t xml:space="preserve"> decried.</w:t>
      </w:r>
      <w:r w:rsidR="00757B5B">
        <w:t xml:space="preserve"> </w:t>
      </w:r>
      <w:r w:rsidR="00267ED1">
        <w:t xml:space="preserve">Jocelyn </w:t>
      </w:r>
      <w:r w:rsidR="00757B5B">
        <w:t xml:space="preserve">does say that she stated under oath that she did not know who the father </w:t>
      </w:r>
      <w:r w:rsidR="00C91FA0">
        <w:t>was and</w:t>
      </w:r>
      <w:r w:rsidR="00757B5B">
        <w:t xml:space="preserve"> seems to suggest that she may have been drugged and raped. </w:t>
      </w:r>
    </w:p>
    <w:p w14:paraId="5058AE12" w14:textId="659DE621" w:rsidR="00757B5B" w:rsidRDefault="00757B5B" w:rsidP="00F66F8A">
      <w:pPr>
        <w:spacing w:after="0"/>
      </w:pPr>
      <w:r>
        <w:tab/>
      </w:r>
    </w:p>
    <w:p w14:paraId="022721AB" w14:textId="1FF89187" w:rsidR="00757B5B" w:rsidRPr="00757B5B" w:rsidRDefault="00757B5B" w:rsidP="00757B5B">
      <w:pPr>
        <w:spacing w:after="0"/>
        <w:ind w:left="720"/>
        <w:rPr>
          <w:b/>
          <w:bCs/>
        </w:rPr>
      </w:pPr>
      <w:r>
        <w:lastRenderedPageBreak/>
        <w:t>…</w:t>
      </w:r>
      <w:r w:rsidRPr="00757B5B">
        <w:t>we read from the approved sacred books, in the book of Genesis, that the daughters of Lot not only secretly took by stealth for themselves their father’s embraces, but also the same daughters both conceived when he was drunk and entirely ignorant of the matter</w:t>
      </w:r>
      <w:r>
        <w:t xml:space="preserve">. … </w:t>
      </w:r>
      <w:r w:rsidRPr="00757B5B">
        <w:t>It is possible that something of this kind took place with this girl by the secret judgment of God that she might not feel the mingling of the sexes, so that now she perceived herself to be unblemished although impregnated.</w:t>
      </w:r>
      <w:r w:rsidR="007D47B9">
        <w:rPr>
          <w:rStyle w:val="FootnoteReference"/>
        </w:rPr>
        <w:footnoteReference w:id="19"/>
      </w:r>
      <w:r>
        <w:t xml:space="preserve"> </w:t>
      </w:r>
    </w:p>
    <w:p w14:paraId="3750BF1F" w14:textId="13485483" w:rsidR="00757B5B" w:rsidRDefault="00757B5B" w:rsidP="00757B5B">
      <w:pPr>
        <w:spacing w:after="0"/>
      </w:pPr>
      <w:r>
        <w:tab/>
      </w:r>
    </w:p>
    <w:p w14:paraId="7A0EBDC4" w14:textId="4C02BCCE" w:rsidR="00757B5B" w:rsidRDefault="00757B5B" w:rsidP="00757B5B">
      <w:pPr>
        <w:spacing w:after="0"/>
      </w:pPr>
      <w:r>
        <w:t>However, the author seems to backpedal on this idea, with his mother asking God for forgiveness for her foolishness.</w:t>
      </w:r>
      <w:r w:rsidR="007D47B9">
        <w:rPr>
          <w:rStyle w:val="FootnoteReference"/>
        </w:rPr>
        <w:footnoteReference w:id="20"/>
      </w:r>
      <w:r>
        <w:t xml:space="preserve">  </w:t>
      </w:r>
    </w:p>
    <w:p w14:paraId="5F485D2C" w14:textId="6FABB47A" w:rsidR="00E363D2" w:rsidRDefault="00E363D2" w:rsidP="00F66F8A">
      <w:pPr>
        <w:spacing w:after="0"/>
        <w:rPr>
          <w:b/>
          <w:bCs/>
        </w:rPr>
      </w:pPr>
      <w:r>
        <w:tab/>
        <w:t xml:space="preserve">To pivot to whose life is the main subject of the </w:t>
      </w:r>
      <w:r>
        <w:rPr>
          <w:i/>
          <w:iCs/>
        </w:rPr>
        <w:t xml:space="preserve">Vita </w:t>
      </w:r>
      <w:r>
        <w:t>in question, Kentigern, also known as Mungo. He was of Royal descent and traveled around Britain spreading the Gospel of Jesus Christ eventually settling down in the Kingdom of Strathclyde to become the First Bishop of Glasgow.</w:t>
      </w:r>
      <w:r w:rsidR="00C74D92">
        <w:rPr>
          <w:rStyle w:val="FootnoteReference"/>
        </w:rPr>
        <w:footnoteReference w:id="21"/>
      </w:r>
      <w:r w:rsidR="00C91FA0">
        <w:t xml:space="preserve"> Little actual historical information is known about him such as a brief mention in the </w:t>
      </w:r>
      <w:r w:rsidR="00C91FA0" w:rsidRPr="00C91FA0">
        <w:rPr>
          <w:i/>
          <w:iCs/>
        </w:rPr>
        <w:t xml:space="preserve">Annales </w:t>
      </w:r>
      <w:proofErr w:type="spellStart"/>
      <w:r w:rsidR="00C91FA0" w:rsidRPr="00C91FA0">
        <w:rPr>
          <w:i/>
          <w:iCs/>
        </w:rPr>
        <w:t>Cambriae</w:t>
      </w:r>
      <w:proofErr w:type="spellEnd"/>
      <w:r w:rsidR="00C91FA0">
        <w:rPr>
          <w:i/>
          <w:iCs/>
        </w:rPr>
        <w:t>.</w:t>
      </w:r>
      <w:r w:rsidR="00C91FA0">
        <w:rPr>
          <w:rStyle w:val="FootnoteReference"/>
          <w:i/>
          <w:iCs/>
        </w:rPr>
        <w:footnoteReference w:id="22"/>
      </w:r>
    </w:p>
    <w:p w14:paraId="44B88F95" w14:textId="7F525C30" w:rsidR="00757B5B" w:rsidRDefault="00E363D2" w:rsidP="00F66F8A">
      <w:pPr>
        <w:spacing w:after="0"/>
      </w:pPr>
      <w:r>
        <w:rPr>
          <w:b/>
          <w:bCs/>
        </w:rPr>
        <w:tab/>
      </w:r>
      <w:r>
        <w:t xml:space="preserve">Throughout the text there is </w:t>
      </w:r>
      <w:proofErr w:type="gramStart"/>
      <w:r>
        <w:t>a number of</w:t>
      </w:r>
      <w:proofErr w:type="gramEnd"/>
      <w:r>
        <w:t xml:space="preserve"> lessons that the author emphasizes to the reader</w:t>
      </w:r>
      <w:r w:rsidR="00190B23">
        <w:t>, that most likely dealt with the problems that faced 12</w:t>
      </w:r>
      <w:r w:rsidR="00190B23" w:rsidRPr="00190B23">
        <w:rPr>
          <w:vertAlign w:val="superscript"/>
        </w:rPr>
        <w:t>th</w:t>
      </w:r>
      <w:r w:rsidR="00190B23">
        <w:t xml:space="preserve"> century Cumbria.</w:t>
      </w:r>
      <w:r>
        <w:t xml:space="preserve">  He narrows in on certain aspects of Kentigern’s life that he wishes the reader to learn from and emulate. </w:t>
      </w:r>
      <w:r w:rsidR="00290DFF">
        <w:t xml:space="preserve">The first of which is against promiscuity. </w:t>
      </w:r>
      <w:r w:rsidR="00757B5B">
        <w:t xml:space="preserve">Within the beginning of the text </w:t>
      </w:r>
      <w:r w:rsidR="00267ED1" w:rsidRPr="00267ED1">
        <w:t>Jocelyn</w:t>
      </w:r>
      <w:r w:rsidR="00757B5B">
        <w:t xml:space="preserve"> focuses on the character of his mother. Kentigern’s mother was going to be executed for fornication when she, repenting of her sin, called upon God to save her.  </w:t>
      </w:r>
      <w:r w:rsidR="00267ED1" w:rsidRPr="00267ED1">
        <w:t>Jocelyn</w:t>
      </w:r>
      <w:r w:rsidR="00757B5B">
        <w:t>, then launches into a long discussion that is summed up with the following quotation: “</w:t>
      </w:r>
      <w:r w:rsidR="00757B5B" w:rsidRPr="00757B5B">
        <w:t>The zeal of this pagan man, who did not spare his own daughter but handed her over to receive punishment because of the simple fault of fornication, ought to inflict great shame on the worshippers of Christ to plant and propagate chastity.</w:t>
      </w:r>
      <w:r w:rsidR="00757B5B">
        <w:t>”</w:t>
      </w:r>
      <w:r w:rsidR="007D47B9">
        <w:rPr>
          <w:rStyle w:val="FootnoteReference"/>
        </w:rPr>
        <w:footnoteReference w:id="23"/>
      </w:r>
      <w:r w:rsidR="00757B5B">
        <w:rPr>
          <w:b/>
          <w:bCs/>
        </w:rPr>
        <w:t xml:space="preserve"> </w:t>
      </w:r>
      <w:r w:rsidR="00757B5B">
        <w:t xml:space="preserve">This suggests that there may have been </w:t>
      </w:r>
      <w:r w:rsidR="00190B23">
        <w:t>perceived promiscuity within the region of medieval Cumbria.</w:t>
      </w:r>
      <w:r w:rsidR="00267ED1">
        <w:t xml:space="preserve"> </w:t>
      </w:r>
    </w:p>
    <w:p w14:paraId="3403FB58" w14:textId="32CC003E" w:rsidR="00190B23" w:rsidRDefault="00190B23" w:rsidP="00F66F8A">
      <w:pPr>
        <w:spacing w:after="0"/>
      </w:pPr>
      <w:r>
        <w:tab/>
        <w:t xml:space="preserve">Interestingly, within this same section is the following quote: </w:t>
      </w:r>
    </w:p>
    <w:p w14:paraId="35CD01F2" w14:textId="14D07882" w:rsidR="00190B23" w:rsidRDefault="00190B23" w:rsidP="00F66F8A">
      <w:pPr>
        <w:spacing w:after="0"/>
      </w:pPr>
      <w:r>
        <w:tab/>
      </w:r>
    </w:p>
    <w:p w14:paraId="06E402B1" w14:textId="75A4DE1C" w:rsidR="00190B23" w:rsidRDefault="00190B23" w:rsidP="00190B23">
      <w:pPr>
        <w:spacing w:after="0"/>
        <w:ind w:left="720"/>
        <w:rPr>
          <w:b/>
          <w:bCs/>
        </w:rPr>
      </w:pPr>
      <w:r w:rsidRPr="00190B23">
        <w:t xml:space="preserve">Those who are decorated with an imagined holiness in their outward appearance, but in truth denying virtue by their works and placing their faith in this age, are known by their impure life to tell lies to God through their sacred dress and tonsure. They should be fearful of that which the Lord rebukes through his prophet, saying, "He who celebrates wicked acts on the earth will not see the glory of God." Even now, what should be lamented with all the rivers of tears? Because of that shameful crime of shameful crimes that is committed with impunity and which nothing more detestable can be devised, a flame of </w:t>
      </w:r>
      <w:proofErr w:type="spellStart"/>
      <w:r w:rsidRPr="00190B23">
        <w:t>sulphur</w:t>
      </w:r>
      <w:proofErr w:type="spellEnd"/>
      <w:r w:rsidRPr="00190B23">
        <w:t xml:space="preserve"> – a heavenly judgment – destroyed the shameless ones in Pentapolis.</w:t>
      </w:r>
      <w:r w:rsidR="007D47B9">
        <w:rPr>
          <w:rStyle w:val="FootnoteReference"/>
        </w:rPr>
        <w:footnoteReference w:id="24"/>
      </w:r>
    </w:p>
    <w:p w14:paraId="0A060E90" w14:textId="6A6FBD8B" w:rsidR="00190B23" w:rsidRDefault="00190B23" w:rsidP="00190B23">
      <w:pPr>
        <w:spacing w:after="0"/>
        <w:rPr>
          <w:b/>
          <w:bCs/>
        </w:rPr>
      </w:pPr>
    </w:p>
    <w:p w14:paraId="0A5CE52F" w14:textId="5AD54796" w:rsidR="00190B23" w:rsidRDefault="00190B23" w:rsidP="00190B23">
      <w:pPr>
        <w:spacing w:after="0"/>
      </w:pPr>
      <w:r>
        <w:rPr>
          <w:b/>
          <w:bCs/>
        </w:rPr>
        <w:tab/>
      </w:r>
      <w:r>
        <w:t>The Pentapolis is a clear reference to the Biblical text</w:t>
      </w:r>
      <w:r w:rsidR="008923BD">
        <w:t xml:space="preserve"> of Genesis which</w:t>
      </w:r>
      <w:r>
        <w:t xml:space="preserve"> describ</w:t>
      </w:r>
      <w:r w:rsidR="008923BD">
        <w:t>es</w:t>
      </w:r>
      <w:r>
        <w:t xml:space="preserve"> the destruction of Sodom and Gomorrah</w:t>
      </w:r>
      <w:r w:rsidR="008923BD">
        <w:t xml:space="preserve"> for their sexual immorality. This is where the word “sodomy” is derived. Later within the text, the same “Pentapolis” is brought up again. </w:t>
      </w:r>
      <w:r w:rsidR="00F05D1F">
        <w:t xml:space="preserve">This time, it is more clearly presented as a </w:t>
      </w:r>
      <w:r w:rsidR="00F05D1F">
        <w:lastRenderedPageBreak/>
        <w:t xml:space="preserve">priest caught in homosexual behavior.  This takes place later in the narrative when Kentigern is older and within the court of Pope Gregory the Great. </w:t>
      </w:r>
    </w:p>
    <w:p w14:paraId="7865ED98" w14:textId="77777777" w:rsidR="00F05D1F" w:rsidRDefault="00F05D1F" w:rsidP="00190B23">
      <w:pPr>
        <w:spacing w:after="0"/>
      </w:pPr>
    </w:p>
    <w:p w14:paraId="1D423975" w14:textId="4B9A91DC" w:rsidR="00F05D1F" w:rsidRPr="00F05D1F" w:rsidRDefault="00F05D1F" w:rsidP="00F05D1F">
      <w:pPr>
        <w:spacing w:after="0"/>
        <w:ind w:left="720"/>
        <w:rPr>
          <w:b/>
          <w:bCs/>
        </w:rPr>
      </w:pPr>
      <w:r>
        <w:t>“When the saint saw this man, he summoned the archdeacon and commanded him to be removed immediately and to be separated from the clergy. … he perceived what vice labored in his body. For as was then made clear to the man of God alone but afterwards to all the others, the cleric was accustomed to that most detestable shameful crime for which divine vengeance overthrew the sons of unbelief in Pentapolis and destroyed them by fire and brimstone. And the saint said to those surrounding him, "If the sacred canons forbid women because of the weakness of their sex, which is in no way in default, to be advanced to priestly order, by how much more ought those men be shut out from so sacred an order and duty who are perverters of their own sex and abusers of nature, who in contempt of the creator, with insult to themselves and in injury to all creatures, despoil that with which they are created and born, and cloth themselves as female.”</w:t>
      </w:r>
      <w:r w:rsidR="007D47B9">
        <w:rPr>
          <w:rStyle w:val="FootnoteReference"/>
        </w:rPr>
        <w:footnoteReference w:id="25"/>
      </w:r>
      <w:r>
        <w:rPr>
          <w:b/>
          <w:bCs/>
        </w:rPr>
        <w:t xml:space="preserve"> </w:t>
      </w:r>
    </w:p>
    <w:p w14:paraId="58FBEF11" w14:textId="77777777" w:rsidR="00F05D1F" w:rsidRDefault="00F05D1F" w:rsidP="00F05D1F">
      <w:pPr>
        <w:spacing w:after="0"/>
      </w:pPr>
    </w:p>
    <w:p w14:paraId="234CD431" w14:textId="087BB2C5" w:rsidR="004A2E6E" w:rsidRDefault="00F05D1F" w:rsidP="00267ED1">
      <w:pPr>
        <w:spacing w:after="0"/>
        <w:ind w:firstLine="720"/>
        <w:rPr>
          <w:b/>
          <w:bCs/>
        </w:rPr>
      </w:pPr>
      <w:proofErr w:type="gramStart"/>
      <w:r>
        <w:t>Taking into account</w:t>
      </w:r>
      <w:proofErr w:type="gramEnd"/>
      <w:r>
        <w:t xml:space="preserve"> both sections of the hagiography, one can deduce that the author perceived that </w:t>
      </w:r>
      <w:r w:rsidR="00267ED1" w:rsidRPr="00267ED1">
        <w:t>Jocelyn</w:t>
      </w:r>
      <w:r>
        <w:t xml:space="preserve"> was worried about homosexuals within the clergy.  If we go back to the first story, </w:t>
      </w:r>
      <w:r w:rsidR="00267ED1" w:rsidRPr="00267ED1">
        <w:t>Jocelyn</w:t>
      </w:r>
      <w:r>
        <w:t xml:space="preserve"> mentions that “</w:t>
      </w:r>
      <w:r w:rsidRPr="00F05D1F">
        <w:t>Nor is one to be found who boldly reproves the perpetrators.</w:t>
      </w:r>
      <w:r>
        <w:t>”</w:t>
      </w:r>
      <w:r w:rsidR="007D47B9">
        <w:rPr>
          <w:rStyle w:val="FootnoteReference"/>
        </w:rPr>
        <w:footnoteReference w:id="26"/>
      </w:r>
      <w:r>
        <w:rPr>
          <w:b/>
          <w:bCs/>
        </w:rPr>
        <w:t xml:space="preserve"> </w:t>
      </w:r>
      <w:r>
        <w:t>This could suggest that they were or were being protected by people in power</w:t>
      </w:r>
      <w:r w:rsidR="00A33301">
        <w:t xml:space="preserve">. </w:t>
      </w:r>
      <w:r w:rsidR="00DA6A48">
        <w:t>Nevertheless, i</w:t>
      </w:r>
      <w:r w:rsidR="00F97B4E">
        <w:t xml:space="preserve">t </w:t>
      </w:r>
      <w:r w:rsidR="00DA6A48">
        <w:t xml:space="preserve">does </w:t>
      </w:r>
      <w:r w:rsidR="00F97B4E">
        <w:t>beg the question as to how prevalent were homosexuals within the clergy</w:t>
      </w:r>
      <w:r w:rsidR="00DA6A48">
        <w:t xml:space="preserve"> with the area</w:t>
      </w:r>
      <w:r w:rsidR="00F97B4E">
        <w:t xml:space="preserve">? </w:t>
      </w:r>
      <w:r w:rsidR="00DA6A48">
        <w:t>On this, the text is silent, but he does put forth Kentigern’s repeated standing in storms by standing waist high</w:t>
      </w:r>
      <w:r w:rsidR="004A2E6E">
        <w:t xml:space="preserve"> naked</w:t>
      </w:r>
      <w:r w:rsidR="00DA6A48">
        <w:t xml:space="preserve"> in </w:t>
      </w:r>
      <w:r w:rsidR="004A2E6E">
        <w:t>a</w:t>
      </w:r>
      <w:r w:rsidR="00DA6A48">
        <w:t xml:space="preserve"> river</w:t>
      </w:r>
      <w:r w:rsidR="004A2E6E">
        <w:t xml:space="preserve"> as Kentigern’s solution</w:t>
      </w:r>
      <w:r w:rsidR="00DA6A48">
        <w:t xml:space="preserve"> to quell desire.</w:t>
      </w:r>
      <w:r w:rsidR="007D47B9">
        <w:rPr>
          <w:rStyle w:val="FootnoteReference"/>
        </w:rPr>
        <w:footnoteReference w:id="27"/>
      </w:r>
      <w:r w:rsidR="00DA6A48">
        <w:rPr>
          <w:b/>
          <w:bCs/>
        </w:rPr>
        <w:t xml:space="preserve"> </w:t>
      </w:r>
    </w:p>
    <w:p w14:paraId="2707D49E" w14:textId="3A0B9F8C" w:rsidR="00107042" w:rsidRPr="00267ED1" w:rsidRDefault="004A2E6E" w:rsidP="004A2E6E">
      <w:pPr>
        <w:spacing w:after="0"/>
        <w:rPr>
          <w:b/>
          <w:bCs/>
        </w:rPr>
      </w:pPr>
      <w:r>
        <w:rPr>
          <w:b/>
          <w:bCs/>
        </w:rPr>
        <w:tab/>
      </w:r>
      <w:r>
        <w:t>In addition to the previous points, the text delves into specific behaviors or actions considered objectionable by the church during that historical period in Cumbria. Many of those have to do with the behavior of the clergy. He uses the behavior of the saint as an exemplar of clerical behavior</w:t>
      </w:r>
      <w:r w:rsidR="00926FC4">
        <w:t>, possibly in opposition to what he saw in his own diocese</w:t>
      </w:r>
      <w:r>
        <w:t>.</w:t>
      </w:r>
      <w:r w:rsidR="00267ED1">
        <w:t xml:space="preserve"> This is further supported by the fact that </w:t>
      </w:r>
      <w:r w:rsidR="00267ED1" w:rsidRPr="00267ED1">
        <w:t>Jocelyn</w:t>
      </w:r>
      <w:r w:rsidR="00267ED1">
        <w:t xml:space="preserve"> presumed his audience to be highly literate.</w:t>
      </w:r>
      <w:r w:rsidR="00F9553C">
        <w:rPr>
          <w:rStyle w:val="FootnoteReference"/>
        </w:rPr>
        <w:footnoteReference w:id="28"/>
      </w:r>
    </w:p>
    <w:p w14:paraId="68D70B6E" w14:textId="25D5DEBA" w:rsidR="00F05D1F" w:rsidRDefault="00107042" w:rsidP="004A2E6E">
      <w:pPr>
        <w:spacing w:after="0"/>
        <w:rPr>
          <w:b/>
          <w:bCs/>
        </w:rPr>
      </w:pPr>
      <w:r>
        <w:tab/>
        <w:t xml:space="preserve">Forgiveness seems to be a repeated theme of the text, but with repentance. For he healed men who were punished, and helped those who should have been punished. A great example of the latter would be when the wife of King </w:t>
      </w:r>
      <w:proofErr w:type="spellStart"/>
      <w:r>
        <w:t>R</w:t>
      </w:r>
      <w:r w:rsidRPr="00107042">
        <w:t>hydderch</w:t>
      </w:r>
      <w:r>
        <w:t>’s</w:t>
      </w:r>
      <w:proofErr w:type="spellEnd"/>
      <w:r>
        <w:t xml:space="preserve"> (</w:t>
      </w:r>
      <w:proofErr w:type="spellStart"/>
      <w:r>
        <w:t>Rederech</w:t>
      </w:r>
      <w:proofErr w:type="spellEnd"/>
      <w:r>
        <w:t xml:space="preserve"> within the text) wife was caught in adultery.  She repented before Kentigern, and he saved her from judgement.</w:t>
      </w:r>
      <w:r w:rsidR="007D47B9">
        <w:rPr>
          <w:rStyle w:val="FootnoteReference"/>
        </w:rPr>
        <w:footnoteReference w:id="29"/>
      </w:r>
      <w:r>
        <w:rPr>
          <w:b/>
          <w:bCs/>
        </w:rPr>
        <w:t xml:space="preserve"> </w:t>
      </w:r>
      <w:r w:rsidR="00767BAD">
        <w:t xml:space="preserve">Another example of mercy/forgiveness within the text is the story of </w:t>
      </w:r>
      <w:proofErr w:type="spellStart"/>
      <w:r w:rsidR="00767BAD" w:rsidRPr="00767BAD">
        <w:t>Melconde</w:t>
      </w:r>
      <w:proofErr w:type="spellEnd"/>
      <w:r w:rsidR="00767BAD">
        <w:t xml:space="preserve"> who was blinded by God for insulting the </w:t>
      </w:r>
      <w:proofErr w:type="gramStart"/>
      <w:r w:rsidR="00767BAD">
        <w:t>saint, but</w:t>
      </w:r>
      <w:proofErr w:type="gramEnd"/>
      <w:r w:rsidR="00767BAD">
        <w:t xml:space="preserve"> was healed and made a follower of Kentigern.</w:t>
      </w:r>
      <w:r w:rsidR="007D47B9">
        <w:rPr>
          <w:rStyle w:val="FootnoteReference"/>
        </w:rPr>
        <w:footnoteReference w:id="30"/>
      </w:r>
    </w:p>
    <w:p w14:paraId="438F8CD7" w14:textId="4FCEE9B7" w:rsidR="00767BAD" w:rsidRDefault="00767BAD" w:rsidP="00E50A5A">
      <w:pPr>
        <w:spacing w:after="0"/>
        <w:rPr>
          <w:b/>
          <w:bCs/>
        </w:rPr>
      </w:pPr>
      <w:r>
        <w:rPr>
          <w:b/>
          <w:bCs/>
        </w:rPr>
        <w:tab/>
      </w:r>
      <w:r>
        <w:t xml:space="preserve">Another quality that </w:t>
      </w:r>
      <w:r w:rsidR="00267ED1" w:rsidRPr="00267ED1">
        <w:t xml:space="preserve">Jocelyn </w:t>
      </w:r>
      <w:r>
        <w:t xml:space="preserve">wanted to plainly exhibit is that of </w:t>
      </w:r>
      <w:r w:rsidR="00E50A5A">
        <w:t>genuineness. He talks much about hypocrisy. Coming from the bishop, this could imply that the church in the 12</w:t>
      </w:r>
      <w:r w:rsidR="00E50A5A" w:rsidRPr="00E50A5A">
        <w:rPr>
          <w:vertAlign w:val="superscript"/>
        </w:rPr>
        <w:t>th</w:t>
      </w:r>
      <w:r w:rsidR="00E50A5A">
        <w:t xml:space="preserve"> century was struggling with it.  Through the words of the saint he is quoting from he says, </w:t>
      </w:r>
      <w:r w:rsidR="00C74D92">
        <w:t>“</w:t>
      </w:r>
      <w:r w:rsidR="00E50A5A">
        <w:t>…</w:t>
      </w:r>
      <w:r w:rsidR="00E50A5A" w:rsidRPr="00E50A5A">
        <w:t xml:space="preserve"> the vice of hypocrisy, which is in a way the repudiation of the faith, </w:t>
      </w:r>
      <w:r w:rsidR="00E50A5A">
        <w:t>…</w:t>
      </w:r>
      <w:r w:rsidR="00E50A5A" w:rsidRPr="00E50A5A">
        <w:t xml:space="preserve"> is the incitement of all evils as the Lord taught when he </w:t>
      </w:r>
      <w:r w:rsidR="00E50A5A" w:rsidRPr="00E50A5A">
        <w:lastRenderedPageBreak/>
        <w:t>said that hypocrisy is the leaven of the Pharisees.</w:t>
      </w:r>
      <w:r w:rsidR="007D47B9">
        <w:t>”</w:t>
      </w:r>
      <w:r w:rsidR="00C74D92">
        <w:rPr>
          <w:rStyle w:val="FootnoteReference"/>
        </w:rPr>
        <w:footnoteReference w:id="31"/>
      </w:r>
      <w:r w:rsidR="00926FC4">
        <w:rPr>
          <w:b/>
          <w:bCs/>
        </w:rPr>
        <w:t xml:space="preserve">  </w:t>
      </w:r>
      <w:r w:rsidR="00926FC4">
        <w:t xml:space="preserve">This ties into with what </w:t>
      </w:r>
      <w:r w:rsidR="00267ED1">
        <w:t>Jocelyn</w:t>
      </w:r>
      <w:r w:rsidR="00926FC4">
        <w:t xml:space="preserve"> mentions about justice. </w:t>
      </w:r>
      <w:r w:rsidR="00267ED1" w:rsidRPr="00267ED1">
        <w:t>Jocelyn</w:t>
      </w:r>
      <w:r w:rsidR="00926FC4">
        <w:t xml:space="preserve"> said about Kentigern “…</w:t>
      </w:r>
      <w:r w:rsidR="00926FC4" w:rsidRPr="00926FC4">
        <w:t>he did not have before him weights and burdens, nor did he take into account the character of the person, but he considered the cause, and in accordance with the name of the sin, he extended with the greatest discretion according to the time and place the measure of ecclesiastical discipline</w:t>
      </w:r>
      <w:r w:rsidR="00926FC4">
        <w:t>.”</w:t>
      </w:r>
      <w:r w:rsidR="00C74D92">
        <w:rPr>
          <w:rStyle w:val="FootnoteReference"/>
        </w:rPr>
        <w:footnoteReference w:id="32"/>
      </w:r>
      <w:r w:rsidR="00926FC4">
        <w:t xml:space="preserve"> Hypocrisy, to treat people differently is directly stated here to be something not present within the clergy.</w:t>
      </w:r>
      <w:r w:rsidR="00926FC4">
        <w:rPr>
          <w:b/>
          <w:bCs/>
        </w:rPr>
        <w:br/>
      </w:r>
      <w:r w:rsidR="00926FC4">
        <w:rPr>
          <w:b/>
          <w:bCs/>
        </w:rPr>
        <w:tab/>
      </w:r>
      <w:r w:rsidR="00267ED1" w:rsidRPr="00267ED1">
        <w:t>Jocelyn</w:t>
      </w:r>
      <w:r w:rsidR="00926FC4">
        <w:t xml:space="preserve"> is much more straightforward in regards with his hatred of simony, the sale of priestly offices within the church. “</w:t>
      </w:r>
      <w:r w:rsidR="00926FC4" w:rsidRPr="00926FC4">
        <w:t xml:space="preserve">Truly as I relate these things, sorrow fills my heart, as I see the priesthood now defiled in so many ways. For although I am silent for the moment concerning those who with simony approach to sacrifice or sell the body of the Lord with Judas, since </w:t>
      </w:r>
      <w:proofErr w:type="gramStart"/>
      <w:r w:rsidR="00926FC4" w:rsidRPr="00926FC4">
        <w:t>evidently</w:t>
      </w:r>
      <w:proofErr w:type="gramEnd"/>
      <w:r w:rsidR="00926FC4" w:rsidRPr="00926FC4">
        <w:t xml:space="preserve"> they will not offer it except for money</w:t>
      </w:r>
      <w:r w:rsidR="00926FC4">
        <w:t>.”</w:t>
      </w:r>
      <w:r w:rsidR="00C74D92">
        <w:rPr>
          <w:rStyle w:val="FootnoteReference"/>
        </w:rPr>
        <w:footnoteReference w:id="33"/>
      </w:r>
    </w:p>
    <w:p w14:paraId="01196A17" w14:textId="0F933235" w:rsidR="005E775D" w:rsidRDefault="00267ED1" w:rsidP="00E50A5A">
      <w:pPr>
        <w:spacing w:after="0"/>
      </w:pPr>
      <w:r>
        <w:rPr>
          <w:b/>
          <w:bCs/>
        </w:rPr>
        <w:tab/>
      </w:r>
      <w:r>
        <w:t>A further conclusion is that the portrayal of Kentigern within the text is not just that of a saint, but of a Celtic one. It is well known that St. Cuthbert, one of the last of the great Celtic saints, used to bathe in the cold rivers as did Kenti</w:t>
      </w:r>
      <w:r w:rsidR="009B7348">
        <w:t>g</w:t>
      </w:r>
      <w:r>
        <w:t>er</w:t>
      </w:r>
      <w:r w:rsidR="009B7348">
        <w:t>n</w:t>
      </w:r>
      <w:r w:rsidR="00A1212E">
        <w:t xml:space="preserve">. </w:t>
      </w:r>
      <w:r>
        <w:t>The story of the fish and the ring within the text is symbolic of a larger Celtic Motif as well.</w:t>
      </w:r>
      <w:r w:rsidR="00A1212E" w:rsidRPr="00A1212E">
        <w:t xml:space="preserve"> </w:t>
      </w:r>
      <w:r w:rsidR="00A1212E">
        <w:t>“</w:t>
      </w:r>
      <w:r w:rsidR="00A1212E" w:rsidRPr="00A1212E">
        <w:t xml:space="preserve">A similar story involving a ring, a salmon, and the question a woman's virginity can be found in the Irish tale entitled </w:t>
      </w:r>
      <w:r w:rsidR="00A1212E">
        <w:t>‘</w:t>
      </w:r>
      <w:r w:rsidR="00A1212E" w:rsidRPr="00A1212E">
        <w:t xml:space="preserve">The Cattle Raid of </w:t>
      </w:r>
      <w:proofErr w:type="spellStart"/>
      <w:r w:rsidR="00A1212E" w:rsidRPr="00A1212E">
        <w:t>Fróech</w:t>
      </w:r>
      <w:proofErr w:type="spellEnd"/>
      <w:r w:rsidR="00A1212E">
        <w:t>’</w:t>
      </w:r>
      <w:r w:rsidR="00A1212E" w:rsidRPr="00A1212E">
        <w:t>(</w:t>
      </w:r>
      <w:proofErr w:type="spellStart"/>
      <w:r w:rsidR="00A1212E" w:rsidRPr="00A1212E">
        <w:t>Táin</w:t>
      </w:r>
      <w:proofErr w:type="spellEnd"/>
      <w:r w:rsidR="00A1212E" w:rsidRPr="00A1212E">
        <w:t xml:space="preserve"> </w:t>
      </w:r>
      <w:proofErr w:type="spellStart"/>
      <w:r w:rsidR="00A1212E" w:rsidRPr="00A1212E">
        <w:t>Bó</w:t>
      </w:r>
      <w:proofErr w:type="spellEnd"/>
      <w:r w:rsidR="00A1212E" w:rsidRPr="00A1212E">
        <w:t xml:space="preserve"> </w:t>
      </w:r>
      <w:proofErr w:type="spellStart"/>
      <w:r w:rsidR="00A1212E" w:rsidRPr="00A1212E">
        <w:t>Fráich</w:t>
      </w:r>
      <w:proofErr w:type="spellEnd"/>
      <w:r w:rsidR="00A1212E" w:rsidRPr="00A1212E">
        <w:t>)</w:t>
      </w:r>
      <w:r w:rsidR="00F9553C">
        <w:rPr>
          <w:rStyle w:val="FootnoteReference"/>
        </w:rPr>
        <w:footnoteReference w:id="34"/>
      </w:r>
      <w:r>
        <w:rPr>
          <w:b/>
          <w:bCs/>
        </w:rPr>
        <w:t xml:space="preserve">  </w:t>
      </w:r>
      <w:r>
        <w:t xml:space="preserve">He additionally ties him to other famous saints of the </w:t>
      </w:r>
      <w:r w:rsidR="009B7348">
        <w:t>6</w:t>
      </w:r>
      <w:r w:rsidRPr="00267ED1">
        <w:rPr>
          <w:vertAlign w:val="superscript"/>
        </w:rPr>
        <w:t>th</w:t>
      </w:r>
      <w:r>
        <w:t xml:space="preserve"> Century such as the aforementioned Gregory the Great, Columba of Iona, and David of Wales.</w:t>
      </w:r>
      <w:r w:rsidR="00C74D92">
        <w:rPr>
          <w:rStyle w:val="FootnoteReference"/>
        </w:rPr>
        <w:footnoteReference w:id="35"/>
      </w:r>
      <w:r w:rsidR="00C74D92">
        <w:rPr>
          <w:b/>
          <w:bCs/>
        </w:rPr>
        <w:t xml:space="preserve"> </w:t>
      </w:r>
      <w:r w:rsidR="003068C0">
        <w:t xml:space="preserve">There is a repeated call of returning to the desert as something that Kentigern frequently indulged in. This harkens back to St. Anthony and the Celtic </w:t>
      </w:r>
      <w:proofErr w:type="gramStart"/>
      <w:r w:rsidR="003068C0">
        <w:t>saints</w:t>
      </w:r>
      <w:proofErr w:type="gramEnd"/>
      <w:r w:rsidR="003068C0">
        <w:t xml:space="preserve"> emulation of him. </w:t>
      </w:r>
      <w:r w:rsidR="005E775D">
        <w:t xml:space="preserve">Even more intriguing is the prophecy of </w:t>
      </w:r>
      <w:r w:rsidR="005E775D" w:rsidRPr="005E775D">
        <w:t>Lailoken</w:t>
      </w:r>
      <w:r w:rsidR="005E775D">
        <w:t xml:space="preserve">, who is identified as </w:t>
      </w:r>
      <w:r w:rsidR="005E775D" w:rsidRPr="005E775D">
        <w:t xml:space="preserve">Myrddin </w:t>
      </w:r>
      <w:r w:rsidR="005E775D">
        <w:t>with the scope of Welsh literature.</w:t>
      </w:r>
    </w:p>
    <w:p w14:paraId="6A3A1A57" w14:textId="0D99998F" w:rsidR="00267ED1" w:rsidRPr="005E775D" w:rsidRDefault="00267ED1" w:rsidP="005E775D">
      <w:pPr>
        <w:spacing w:after="0"/>
        <w:ind w:firstLine="720"/>
      </w:pPr>
      <w:r>
        <w:t xml:space="preserve">However, </w:t>
      </w:r>
      <w:r w:rsidR="005E775D">
        <w:t xml:space="preserve">one must be cautious to take this leap. Lailoken is openly mocked by the author even though his prophecy is true. In </w:t>
      </w:r>
      <w:proofErr w:type="gramStart"/>
      <w:r w:rsidR="005E775D">
        <w:t>fact</w:t>
      </w:r>
      <w:proofErr w:type="gramEnd"/>
      <w:r w:rsidR="005E775D">
        <w:t xml:space="preserve"> he openly derides the Celtic religious regarding the consecration of bishops saying “</w:t>
      </w:r>
      <w:r w:rsidR="005E775D" w:rsidRPr="005E775D">
        <w:t>This rite these foolish people said they had received by the instruction of divine law and by the tradition of the Apostles</w:t>
      </w:r>
      <w:r w:rsidR="005E775D">
        <w:t>.”  The author then goes into depth regarding the differences between the two traditions. Adding further credence to this point of view is Jocelyn’s statement, “…</w:t>
      </w:r>
      <w:r w:rsidR="005E775D" w:rsidRPr="005E775D">
        <w:t xml:space="preserve"> the consecration to which the Britons were accustomed seems less than harmonious with the sacred canons</w:t>
      </w:r>
      <w:r w:rsidR="005E775D">
        <w:t>…”</w:t>
      </w:r>
      <w:r w:rsidR="00C74D92">
        <w:rPr>
          <w:rStyle w:val="FootnoteReference"/>
        </w:rPr>
        <w:footnoteReference w:id="36"/>
      </w:r>
      <w:r w:rsidR="005E775D">
        <w:rPr>
          <w:b/>
          <w:bCs/>
        </w:rPr>
        <w:t xml:space="preserve"> </w:t>
      </w:r>
      <w:r w:rsidR="005E775D">
        <w:t xml:space="preserve">He is quick to point out that this did not negatively affect the saint, but it does show that it is more probable that his disdain of the Celtic Christians ordinations </w:t>
      </w:r>
      <w:r w:rsidR="003068C0">
        <w:t xml:space="preserve">implies that he did not conjure up these ideas to put into the </w:t>
      </w:r>
      <w:r w:rsidR="003068C0" w:rsidRPr="001661D2">
        <w:rPr>
          <w:i/>
          <w:iCs/>
        </w:rPr>
        <w:t>Vita</w:t>
      </w:r>
      <w:r w:rsidR="003068C0">
        <w:t>.  This gives further credibility to these statements within the text.</w:t>
      </w:r>
    </w:p>
    <w:p w14:paraId="61ACF6E4" w14:textId="7E27BA9D" w:rsidR="00926FC4" w:rsidRPr="00926FC4" w:rsidRDefault="00926FC4" w:rsidP="00E50A5A">
      <w:pPr>
        <w:spacing w:after="0"/>
      </w:pPr>
      <w:r>
        <w:rPr>
          <w:b/>
          <w:bCs/>
        </w:rPr>
        <w:tab/>
      </w:r>
      <w:r>
        <w:t xml:space="preserve"> </w:t>
      </w:r>
      <w:r w:rsidR="00C76877" w:rsidRPr="00C76877">
        <w:t xml:space="preserve">In conclusion, "The Life of St. Kentigern" offers a fascinating glimpse into the hagiographical traditions of medieval Scotland, shedding light on the ecclesiastical and social dynamics of the time. Through exploring Kentigern's life, the text delves into themes of virtue, repentance, and forgiveness while also addressing contemporary issues such as clerical misconduct, hypocrisy, and simony. Despite potential biases and alterations by the author, the </w:t>
      </w:r>
      <w:r w:rsidR="00C76877" w:rsidRPr="001661D2">
        <w:rPr>
          <w:i/>
          <w:iCs/>
        </w:rPr>
        <w:t>Vita</w:t>
      </w:r>
      <w:r w:rsidR="00C76877" w:rsidRPr="00C76877">
        <w:t xml:space="preserve"> provides valuable insights into the religious and cultural landscape of 12th-century Cumbria, offering a complex portrait of both the saint and the society in which he lived.</w:t>
      </w:r>
    </w:p>
    <w:p w14:paraId="0E7B1585" w14:textId="22F558AC" w:rsidR="00926FC4" w:rsidRPr="00926FC4" w:rsidRDefault="00926FC4" w:rsidP="00E50A5A">
      <w:pPr>
        <w:spacing w:after="0"/>
        <w:rPr>
          <w:b/>
          <w:bCs/>
        </w:rPr>
      </w:pPr>
      <w:r>
        <w:rPr>
          <w:b/>
          <w:bCs/>
        </w:rPr>
        <w:tab/>
      </w:r>
    </w:p>
    <w:p w14:paraId="63980AA9" w14:textId="77777777" w:rsidR="008C4B5C" w:rsidRDefault="008C4B5C" w:rsidP="00F66F8A">
      <w:pPr>
        <w:spacing w:after="0"/>
        <w:rPr>
          <w:b/>
          <w:bCs/>
        </w:rPr>
      </w:pPr>
    </w:p>
    <w:p w14:paraId="428B4F29" w14:textId="637A3D8C" w:rsidR="0015050A" w:rsidRDefault="0015050A" w:rsidP="00F66F8A">
      <w:pPr>
        <w:spacing w:after="0"/>
      </w:pPr>
      <w:r>
        <w:t>Bibliography</w:t>
      </w:r>
    </w:p>
    <w:p w14:paraId="40C3B95D" w14:textId="77777777" w:rsidR="0015050A" w:rsidRDefault="0015050A" w:rsidP="00F66F8A">
      <w:pPr>
        <w:spacing w:after="0"/>
      </w:pPr>
    </w:p>
    <w:p w14:paraId="4FC01D3C" w14:textId="7FAEFA88" w:rsidR="0015050A" w:rsidRDefault="0015050A" w:rsidP="0015050A">
      <w:pPr>
        <w:spacing w:after="0"/>
      </w:pPr>
      <w:r w:rsidRPr="0015050A">
        <w:t xml:space="preserve">Jocelyn of Furness. </w:t>
      </w:r>
      <w:r w:rsidRPr="0015050A">
        <w:rPr>
          <w:i/>
          <w:iCs/>
        </w:rPr>
        <w:t>The Life of Kentigern</w:t>
      </w:r>
      <w:r w:rsidRPr="0015050A">
        <w:t>. Trans</w:t>
      </w:r>
      <w:r>
        <w:t>.</w:t>
      </w:r>
      <w:r w:rsidRPr="0015050A">
        <w:t xml:space="preserve"> Cynthia W</w:t>
      </w:r>
      <w:r w:rsidR="007D47B9">
        <w:t>.</w:t>
      </w:r>
      <w:r w:rsidRPr="0015050A">
        <w:t xml:space="preserve"> Green. </w:t>
      </w:r>
      <w:r>
        <w:t>(</w:t>
      </w:r>
      <w:r w:rsidRPr="0015050A">
        <w:t>Fordham University, 1998</w:t>
      </w:r>
      <w:r w:rsidR="007D47B9">
        <w:t xml:space="preserve">) </w:t>
      </w:r>
      <w:r w:rsidRPr="0015050A">
        <w:t xml:space="preserve">Accessed March 13, 2024. URL: </w:t>
      </w:r>
      <w:hyperlink r:id="rId7" w:history="1">
        <w:r w:rsidR="007D47B9" w:rsidRPr="00E93470">
          <w:rPr>
            <w:rStyle w:val="Hyperlink"/>
          </w:rPr>
          <w:t>https://sourcebooks.web.fordham.edu/basis/Jocelyn-LifeofKentigern.asp</w:t>
        </w:r>
      </w:hyperlink>
    </w:p>
    <w:p w14:paraId="0C1BC88C" w14:textId="77777777" w:rsidR="007D47B9" w:rsidRDefault="007D47B9" w:rsidP="0015050A">
      <w:pPr>
        <w:spacing w:after="0"/>
      </w:pPr>
    </w:p>
    <w:p w14:paraId="09CB55A5" w14:textId="357F2232" w:rsidR="007D47B9" w:rsidRDefault="007D47B9" w:rsidP="0015050A">
      <w:pPr>
        <w:spacing w:after="0"/>
      </w:pPr>
      <w:r>
        <w:t xml:space="preserve">Clarkson, Timothy. </w:t>
      </w:r>
      <w:r>
        <w:rPr>
          <w:i/>
          <w:iCs/>
        </w:rPr>
        <w:t>Strathclyde and the Anglo-Saxons in the Viking Age.</w:t>
      </w:r>
      <w:r>
        <w:t xml:space="preserve"> (Edinburgh, </w:t>
      </w:r>
      <w:proofErr w:type="spellStart"/>
      <w:r>
        <w:t>Birlinn</w:t>
      </w:r>
      <w:proofErr w:type="spellEnd"/>
      <w:r>
        <w:t xml:space="preserve"> Ltd.: 2014)</w:t>
      </w:r>
    </w:p>
    <w:p w14:paraId="2FD75445" w14:textId="77777777" w:rsidR="007D47B9" w:rsidRDefault="007D47B9" w:rsidP="0015050A">
      <w:pPr>
        <w:spacing w:after="0"/>
      </w:pPr>
    </w:p>
    <w:p w14:paraId="19975108" w14:textId="3437A93C" w:rsidR="007D47B9" w:rsidRPr="007D47B9" w:rsidRDefault="007D47B9" w:rsidP="0015050A">
      <w:pPr>
        <w:spacing w:after="0"/>
      </w:pPr>
      <w:r>
        <w:t xml:space="preserve">Green, Cynthia W. </w:t>
      </w:r>
      <w:bookmarkStart w:id="2" w:name="_Hlk161264931"/>
      <w:r>
        <w:t>“</w:t>
      </w:r>
      <w:r w:rsidRPr="007D47B9">
        <w:t xml:space="preserve">Saint Kentigern, Apostle to Strathclyde: A </w:t>
      </w:r>
      <w:r>
        <w:t>C</w:t>
      </w:r>
      <w:r w:rsidRPr="007D47B9">
        <w:t xml:space="preserve">ritical </w:t>
      </w:r>
      <w:r>
        <w:t>A</w:t>
      </w:r>
      <w:r w:rsidRPr="007D47B9">
        <w:t xml:space="preserve">nalysis of a </w:t>
      </w:r>
      <w:r>
        <w:t>N</w:t>
      </w:r>
      <w:r w:rsidRPr="007D47B9">
        <w:t xml:space="preserve">orthern </w:t>
      </w:r>
      <w:r>
        <w:t>S</w:t>
      </w:r>
      <w:r w:rsidRPr="007D47B9">
        <w:t>aint</w:t>
      </w:r>
      <w:r>
        <w:t xml:space="preserve">.” </w:t>
      </w:r>
      <w:bookmarkEnd w:id="2"/>
      <w:r w:rsidRPr="007D47B9">
        <w:t>(Fordham University, 1998) Accessed March 13, 2024. URL</w:t>
      </w:r>
      <w:r>
        <w:t xml:space="preserve">: </w:t>
      </w:r>
      <w:r w:rsidRPr="007D47B9">
        <w:t>https://sourcebooks.fordham.edu/basis/cynthiawhiddengreen-saintkentigern1998.asp#The%20Historical%20Context%20of%20Kentigern,%20Apostle%20to</w:t>
      </w:r>
    </w:p>
    <w:sectPr w:rsidR="007D47B9" w:rsidRPr="007D47B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3C892" w14:textId="77777777" w:rsidR="00E252F1" w:rsidRDefault="00E252F1" w:rsidP="007D47B9">
      <w:pPr>
        <w:spacing w:after="0" w:line="240" w:lineRule="auto"/>
      </w:pPr>
      <w:r>
        <w:separator/>
      </w:r>
    </w:p>
  </w:endnote>
  <w:endnote w:type="continuationSeparator" w:id="0">
    <w:p w14:paraId="7873E51B" w14:textId="77777777" w:rsidR="00E252F1" w:rsidRDefault="00E252F1" w:rsidP="007D4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0A86B" w14:textId="77777777" w:rsidR="00E252F1" w:rsidRDefault="00E252F1" w:rsidP="007D47B9">
      <w:pPr>
        <w:spacing w:after="0" w:line="240" w:lineRule="auto"/>
      </w:pPr>
      <w:r>
        <w:separator/>
      </w:r>
    </w:p>
  </w:footnote>
  <w:footnote w:type="continuationSeparator" w:id="0">
    <w:p w14:paraId="6CBBC0B3" w14:textId="77777777" w:rsidR="00E252F1" w:rsidRDefault="00E252F1" w:rsidP="007D47B9">
      <w:pPr>
        <w:spacing w:after="0" w:line="240" w:lineRule="auto"/>
      </w:pPr>
      <w:r>
        <w:continuationSeparator/>
      </w:r>
    </w:p>
  </w:footnote>
  <w:footnote w:id="1">
    <w:p w14:paraId="35217858" w14:textId="087E74DD" w:rsidR="00C74D92" w:rsidRPr="00C74D92" w:rsidRDefault="00C74D92">
      <w:pPr>
        <w:pStyle w:val="FootnoteText"/>
        <w:rPr>
          <w:i/>
          <w:iCs/>
        </w:rPr>
      </w:pPr>
      <w:r>
        <w:rPr>
          <w:rStyle w:val="FootnoteReference"/>
        </w:rPr>
        <w:footnoteRef/>
      </w:r>
      <w:r>
        <w:t xml:space="preserve"> </w:t>
      </w:r>
      <w:r w:rsidRPr="00C74D92">
        <w:t xml:space="preserve">Clarkson, Timothy. </w:t>
      </w:r>
      <w:r w:rsidRPr="00C74D92">
        <w:rPr>
          <w:i/>
          <w:iCs/>
        </w:rPr>
        <w:t>Strathclyde and the Anglo-Saxons in the Viking Age</w:t>
      </w:r>
      <w:r w:rsidRPr="00C74D92">
        <w:t xml:space="preserve">. (Edinburgh, </w:t>
      </w:r>
      <w:proofErr w:type="spellStart"/>
      <w:r w:rsidRPr="00C74D92">
        <w:t>Birlinn</w:t>
      </w:r>
      <w:proofErr w:type="spellEnd"/>
      <w:r w:rsidRPr="00C74D92">
        <w:t xml:space="preserve"> Ltd.: 2014)</w:t>
      </w:r>
      <w:r>
        <w:t>, p15-16.</w:t>
      </w:r>
    </w:p>
  </w:footnote>
  <w:footnote w:id="2">
    <w:p w14:paraId="050E25B2" w14:textId="33AA8FA8" w:rsidR="00C74D92" w:rsidRDefault="00C74D92">
      <w:pPr>
        <w:pStyle w:val="FootnoteText"/>
      </w:pPr>
      <w:r>
        <w:rPr>
          <w:rStyle w:val="FootnoteReference"/>
        </w:rPr>
        <w:footnoteRef/>
      </w:r>
      <w:r>
        <w:t xml:space="preserve"> </w:t>
      </w:r>
      <w:r w:rsidRPr="00C74D92">
        <w:t>Clarkson</w:t>
      </w:r>
      <w:r w:rsidR="00F9553C">
        <w:t>,</w:t>
      </w:r>
      <w:r w:rsidRPr="00C74D92">
        <w:t xml:space="preserve"> p</w:t>
      </w:r>
      <w:r w:rsidR="00F9553C">
        <w:t xml:space="preserve">. </w:t>
      </w:r>
      <w:r>
        <w:t>20-21.</w:t>
      </w:r>
    </w:p>
  </w:footnote>
  <w:footnote w:id="3">
    <w:p w14:paraId="0A50B04B" w14:textId="75C1D06F" w:rsidR="008C4B5C" w:rsidRDefault="008C4B5C">
      <w:pPr>
        <w:pStyle w:val="FootnoteText"/>
      </w:pPr>
      <w:r>
        <w:rPr>
          <w:rStyle w:val="FootnoteReference"/>
        </w:rPr>
        <w:footnoteRef/>
      </w:r>
      <w:r>
        <w:t xml:space="preserve"> Clarkson, p. 21-22.</w:t>
      </w:r>
    </w:p>
  </w:footnote>
  <w:footnote w:id="4">
    <w:p w14:paraId="1B7F6A9B" w14:textId="51DD5A43" w:rsidR="00C74D92" w:rsidRDefault="00C74D92">
      <w:pPr>
        <w:pStyle w:val="FootnoteText"/>
      </w:pPr>
      <w:r>
        <w:rPr>
          <w:rStyle w:val="FootnoteReference"/>
        </w:rPr>
        <w:footnoteRef/>
      </w:r>
      <w:r>
        <w:t xml:space="preserve"> </w:t>
      </w:r>
      <w:r w:rsidRPr="00C74D92">
        <w:t>Clarkson, p</w:t>
      </w:r>
      <w:r w:rsidR="00F9553C">
        <w:t xml:space="preserve">. </w:t>
      </w:r>
      <w:r>
        <w:t>13.</w:t>
      </w:r>
    </w:p>
  </w:footnote>
  <w:footnote w:id="5">
    <w:p w14:paraId="76A601A0" w14:textId="6145ED8C" w:rsidR="00C74D92" w:rsidRDefault="00C74D92">
      <w:pPr>
        <w:pStyle w:val="FootnoteText"/>
      </w:pPr>
      <w:r>
        <w:rPr>
          <w:rStyle w:val="FootnoteReference"/>
        </w:rPr>
        <w:footnoteRef/>
      </w:r>
      <w:r>
        <w:t xml:space="preserve"> </w:t>
      </w:r>
      <w:r w:rsidRPr="00C74D92">
        <w:t>Clarkson, p</w:t>
      </w:r>
      <w:r w:rsidR="00F9553C">
        <w:t xml:space="preserve">. </w:t>
      </w:r>
      <w:r w:rsidRPr="00C74D92">
        <w:t>15</w:t>
      </w:r>
      <w:r>
        <w:t>.</w:t>
      </w:r>
    </w:p>
  </w:footnote>
  <w:footnote w:id="6">
    <w:p w14:paraId="2C9837EC" w14:textId="3F06590C" w:rsidR="00C74D92" w:rsidRDefault="00C74D92">
      <w:pPr>
        <w:pStyle w:val="FootnoteText"/>
      </w:pPr>
      <w:r>
        <w:rPr>
          <w:rStyle w:val="FootnoteReference"/>
        </w:rPr>
        <w:footnoteRef/>
      </w:r>
      <w:r>
        <w:t xml:space="preserve"> </w:t>
      </w:r>
      <w:r w:rsidRPr="00C74D92">
        <w:t xml:space="preserve">Clarkson, </w:t>
      </w:r>
      <w:r>
        <w:t>p</w:t>
      </w:r>
      <w:r w:rsidR="00F9553C">
        <w:t xml:space="preserve">. </w:t>
      </w:r>
      <w:r>
        <w:t>24-26.</w:t>
      </w:r>
    </w:p>
  </w:footnote>
  <w:footnote w:id="7">
    <w:p w14:paraId="74DC8B84" w14:textId="03095005" w:rsidR="00C74D92" w:rsidRDefault="00C74D92">
      <w:pPr>
        <w:pStyle w:val="FootnoteText"/>
      </w:pPr>
      <w:r>
        <w:rPr>
          <w:rStyle w:val="FootnoteReference"/>
        </w:rPr>
        <w:footnoteRef/>
      </w:r>
      <w:r>
        <w:t xml:space="preserve"> </w:t>
      </w:r>
      <w:r w:rsidRPr="00C74D92">
        <w:t>Green, Cynthia W. “Saint Kentigern, Apostle to Strathclyde: A Critical Analysis of a Northern Saint.” (Fordham University, 1998)</w:t>
      </w:r>
      <w:r>
        <w:t xml:space="preserve"> </w:t>
      </w:r>
      <w:r w:rsidR="00C91FA0">
        <w:t>Part Two</w:t>
      </w:r>
      <w:r>
        <w:t>.</w:t>
      </w:r>
    </w:p>
  </w:footnote>
  <w:footnote w:id="8">
    <w:p w14:paraId="77808D46" w14:textId="6C4B4BD6" w:rsidR="006624C1" w:rsidRDefault="006624C1">
      <w:pPr>
        <w:pStyle w:val="FootnoteText"/>
      </w:pPr>
      <w:r>
        <w:rPr>
          <w:rStyle w:val="FootnoteReference"/>
        </w:rPr>
        <w:footnoteRef/>
      </w:r>
      <w:r>
        <w:t xml:space="preserve"> </w:t>
      </w:r>
      <w:r w:rsidR="00C91FA0">
        <w:t>Green, Part Two.</w:t>
      </w:r>
    </w:p>
  </w:footnote>
  <w:footnote w:id="9">
    <w:p w14:paraId="22315FF9" w14:textId="33D21631" w:rsidR="00C74D92" w:rsidRDefault="00C74D92">
      <w:pPr>
        <w:pStyle w:val="FootnoteText"/>
      </w:pPr>
      <w:r>
        <w:rPr>
          <w:rStyle w:val="FootnoteReference"/>
        </w:rPr>
        <w:footnoteRef/>
      </w:r>
      <w:r>
        <w:t xml:space="preserve"> </w:t>
      </w:r>
      <w:r w:rsidRPr="00C74D92">
        <w:t>Clarkson</w:t>
      </w:r>
      <w:r>
        <w:t>, p15-16.</w:t>
      </w:r>
    </w:p>
  </w:footnote>
  <w:footnote w:id="10">
    <w:p w14:paraId="1F79AA65" w14:textId="2C04169D" w:rsidR="007D47B9" w:rsidRPr="007D47B9" w:rsidRDefault="007D47B9">
      <w:pPr>
        <w:pStyle w:val="FootnoteText"/>
      </w:pPr>
      <w:r>
        <w:rPr>
          <w:rStyle w:val="FootnoteReference"/>
        </w:rPr>
        <w:footnoteRef/>
      </w:r>
      <w:r>
        <w:t xml:space="preserve"> </w:t>
      </w:r>
      <w:r w:rsidRPr="007D47B9">
        <w:t>Jocelyn of Furness</w:t>
      </w:r>
      <w:r>
        <w:t xml:space="preserve">, </w:t>
      </w:r>
      <w:r>
        <w:rPr>
          <w:i/>
          <w:iCs/>
        </w:rPr>
        <w:t xml:space="preserve">The Life of St. Kentigern </w:t>
      </w:r>
      <w:r w:rsidRPr="007D47B9">
        <w:rPr>
          <w:i/>
          <w:iCs/>
        </w:rPr>
        <w:t>, trans. Trans. Cynthia W. Green. (Fordham University, 1998)</w:t>
      </w:r>
      <w:r>
        <w:rPr>
          <w:i/>
          <w:iCs/>
        </w:rPr>
        <w:t>.</w:t>
      </w:r>
    </w:p>
  </w:footnote>
  <w:footnote w:id="11">
    <w:p w14:paraId="5E5F09CD" w14:textId="70B73F11" w:rsidR="007D47B9" w:rsidRDefault="007D47B9">
      <w:pPr>
        <w:pStyle w:val="FootnoteText"/>
      </w:pPr>
      <w:r>
        <w:rPr>
          <w:rStyle w:val="FootnoteReference"/>
        </w:rPr>
        <w:footnoteRef/>
      </w:r>
      <w:r>
        <w:t xml:space="preserve"> Jocelyn of Furness.</w:t>
      </w:r>
    </w:p>
  </w:footnote>
  <w:footnote w:id="12">
    <w:p w14:paraId="7054640E" w14:textId="67C4876A" w:rsidR="00F9553C" w:rsidRDefault="00F9553C">
      <w:pPr>
        <w:pStyle w:val="FootnoteText"/>
      </w:pPr>
      <w:r>
        <w:rPr>
          <w:rStyle w:val="FootnoteReference"/>
        </w:rPr>
        <w:footnoteRef/>
      </w:r>
      <w:r>
        <w:t xml:space="preserve"> </w:t>
      </w:r>
      <w:r w:rsidRPr="00F9553C">
        <w:t>Green,</w:t>
      </w:r>
      <w:r>
        <w:t xml:space="preserve"> Preface.</w:t>
      </w:r>
    </w:p>
  </w:footnote>
  <w:footnote w:id="13">
    <w:p w14:paraId="2FB35623" w14:textId="798BD5CE" w:rsidR="00C74D92" w:rsidRDefault="00C74D92">
      <w:pPr>
        <w:pStyle w:val="FootnoteText"/>
      </w:pPr>
      <w:r>
        <w:rPr>
          <w:rStyle w:val="FootnoteReference"/>
        </w:rPr>
        <w:footnoteRef/>
      </w:r>
      <w:r>
        <w:t xml:space="preserve"> </w:t>
      </w:r>
      <w:r w:rsidRPr="00C74D92">
        <w:t>Clarkson, p</w:t>
      </w:r>
      <w:r>
        <w:t>16.</w:t>
      </w:r>
    </w:p>
  </w:footnote>
  <w:footnote w:id="14">
    <w:p w14:paraId="22826475" w14:textId="5AE7E3D2" w:rsidR="007D47B9" w:rsidRDefault="007D47B9">
      <w:pPr>
        <w:pStyle w:val="FootnoteText"/>
      </w:pPr>
      <w:r>
        <w:rPr>
          <w:rStyle w:val="FootnoteReference"/>
        </w:rPr>
        <w:footnoteRef/>
      </w:r>
      <w:r>
        <w:t xml:space="preserve"> Jocelyn of Furness.</w:t>
      </w:r>
    </w:p>
  </w:footnote>
  <w:footnote w:id="15">
    <w:p w14:paraId="7DF1573D" w14:textId="4DE0A749" w:rsidR="007D47B9" w:rsidRDefault="007D47B9">
      <w:pPr>
        <w:pStyle w:val="FootnoteText"/>
      </w:pPr>
      <w:r>
        <w:rPr>
          <w:rStyle w:val="FootnoteReference"/>
        </w:rPr>
        <w:footnoteRef/>
      </w:r>
      <w:r>
        <w:t xml:space="preserve"> Jocelyn of Furness.</w:t>
      </w:r>
    </w:p>
  </w:footnote>
  <w:footnote w:id="16">
    <w:p w14:paraId="5EBE3D6A" w14:textId="608BFF57" w:rsidR="00C74D92" w:rsidRDefault="00C74D92">
      <w:pPr>
        <w:pStyle w:val="FootnoteText"/>
      </w:pPr>
      <w:r>
        <w:rPr>
          <w:rStyle w:val="FootnoteReference"/>
        </w:rPr>
        <w:footnoteRef/>
      </w:r>
      <w:r>
        <w:t xml:space="preserve"> </w:t>
      </w:r>
      <w:r w:rsidRPr="00C74D92">
        <w:t>Clarkson</w:t>
      </w:r>
      <w:r w:rsidR="00F9553C">
        <w:t xml:space="preserve">, </w:t>
      </w:r>
      <w:r w:rsidRPr="00C74D92">
        <w:t>p15</w:t>
      </w:r>
      <w:r>
        <w:t>-16.</w:t>
      </w:r>
    </w:p>
  </w:footnote>
  <w:footnote w:id="17">
    <w:p w14:paraId="6135F1F3" w14:textId="53086215" w:rsidR="007D47B9" w:rsidRDefault="007D47B9">
      <w:pPr>
        <w:pStyle w:val="FootnoteText"/>
      </w:pPr>
      <w:r>
        <w:rPr>
          <w:rStyle w:val="FootnoteReference"/>
        </w:rPr>
        <w:footnoteRef/>
      </w:r>
      <w:r>
        <w:t xml:space="preserve"> </w:t>
      </w:r>
      <w:r w:rsidRPr="007D47B9">
        <w:t>Jocelyn of Furness.</w:t>
      </w:r>
    </w:p>
  </w:footnote>
  <w:footnote w:id="18">
    <w:p w14:paraId="3C79F433" w14:textId="3FF4DC0E" w:rsidR="007D47B9" w:rsidRDefault="007D47B9">
      <w:pPr>
        <w:pStyle w:val="FootnoteText"/>
      </w:pPr>
      <w:r>
        <w:rPr>
          <w:rStyle w:val="FootnoteReference"/>
        </w:rPr>
        <w:footnoteRef/>
      </w:r>
      <w:r>
        <w:t xml:space="preserve"> Jocelyn of Furness.</w:t>
      </w:r>
    </w:p>
  </w:footnote>
  <w:footnote w:id="19">
    <w:p w14:paraId="01EE1810" w14:textId="101858F8" w:rsidR="007D47B9" w:rsidRDefault="007D47B9">
      <w:pPr>
        <w:pStyle w:val="FootnoteText"/>
      </w:pPr>
      <w:r>
        <w:rPr>
          <w:rStyle w:val="FootnoteReference"/>
        </w:rPr>
        <w:footnoteRef/>
      </w:r>
      <w:r>
        <w:t xml:space="preserve"> Jocelyn of Furness.</w:t>
      </w:r>
    </w:p>
  </w:footnote>
  <w:footnote w:id="20">
    <w:p w14:paraId="26A4C35A" w14:textId="580F9E6D" w:rsidR="007D47B9" w:rsidRDefault="007D47B9">
      <w:pPr>
        <w:pStyle w:val="FootnoteText"/>
      </w:pPr>
      <w:r>
        <w:rPr>
          <w:rStyle w:val="FootnoteReference"/>
        </w:rPr>
        <w:footnoteRef/>
      </w:r>
      <w:r>
        <w:t xml:space="preserve"> </w:t>
      </w:r>
      <w:r w:rsidRPr="007D47B9">
        <w:t>Jocelyn of Furness.</w:t>
      </w:r>
    </w:p>
  </w:footnote>
  <w:footnote w:id="21">
    <w:p w14:paraId="65810ACF" w14:textId="53173CCE" w:rsidR="00C74D92" w:rsidRDefault="00C74D92">
      <w:pPr>
        <w:pStyle w:val="FootnoteText"/>
      </w:pPr>
      <w:r>
        <w:rPr>
          <w:rStyle w:val="FootnoteReference"/>
        </w:rPr>
        <w:footnoteRef/>
      </w:r>
      <w:r>
        <w:t xml:space="preserve"> </w:t>
      </w:r>
      <w:r w:rsidRPr="00C74D92">
        <w:t>Jocelyn of Furness.</w:t>
      </w:r>
    </w:p>
  </w:footnote>
  <w:footnote w:id="22">
    <w:p w14:paraId="29379AC4" w14:textId="60AD821A" w:rsidR="00C91FA0" w:rsidRDefault="00C91FA0">
      <w:pPr>
        <w:pStyle w:val="FootnoteText"/>
      </w:pPr>
      <w:r>
        <w:rPr>
          <w:rStyle w:val="FootnoteReference"/>
        </w:rPr>
        <w:footnoteRef/>
      </w:r>
      <w:r>
        <w:t xml:space="preserve"> Green, Part Three.</w:t>
      </w:r>
    </w:p>
  </w:footnote>
  <w:footnote w:id="23">
    <w:p w14:paraId="6EEB2B46" w14:textId="6F4516CA" w:rsidR="007D47B9" w:rsidRDefault="007D47B9">
      <w:pPr>
        <w:pStyle w:val="FootnoteText"/>
      </w:pPr>
      <w:r>
        <w:rPr>
          <w:rStyle w:val="FootnoteReference"/>
        </w:rPr>
        <w:footnoteRef/>
      </w:r>
      <w:r>
        <w:t xml:space="preserve"> </w:t>
      </w:r>
      <w:r w:rsidRPr="007D47B9">
        <w:t>Jocelyn of Furness.</w:t>
      </w:r>
    </w:p>
  </w:footnote>
  <w:footnote w:id="24">
    <w:p w14:paraId="5A18312B" w14:textId="7DE2D127" w:rsidR="007D47B9" w:rsidRDefault="007D47B9">
      <w:pPr>
        <w:pStyle w:val="FootnoteText"/>
      </w:pPr>
      <w:r>
        <w:rPr>
          <w:rStyle w:val="FootnoteReference"/>
        </w:rPr>
        <w:footnoteRef/>
      </w:r>
      <w:r>
        <w:t xml:space="preserve"> </w:t>
      </w:r>
      <w:r w:rsidRPr="007D47B9">
        <w:t>Jocelyn of Furness.</w:t>
      </w:r>
    </w:p>
  </w:footnote>
  <w:footnote w:id="25">
    <w:p w14:paraId="348C3EBA" w14:textId="197A894F" w:rsidR="007D47B9" w:rsidRDefault="007D47B9">
      <w:pPr>
        <w:pStyle w:val="FootnoteText"/>
      </w:pPr>
      <w:r>
        <w:rPr>
          <w:rStyle w:val="FootnoteReference"/>
        </w:rPr>
        <w:footnoteRef/>
      </w:r>
      <w:r>
        <w:t xml:space="preserve"> </w:t>
      </w:r>
      <w:r w:rsidRPr="007D47B9">
        <w:t>Jocelyn of Furness.</w:t>
      </w:r>
    </w:p>
  </w:footnote>
  <w:footnote w:id="26">
    <w:p w14:paraId="68C7BF30" w14:textId="0FA39351" w:rsidR="007D47B9" w:rsidRDefault="007D47B9">
      <w:pPr>
        <w:pStyle w:val="FootnoteText"/>
      </w:pPr>
      <w:r>
        <w:rPr>
          <w:rStyle w:val="FootnoteReference"/>
        </w:rPr>
        <w:footnoteRef/>
      </w:r>
      <w:r>
        <w:t xml:space="preserve"> Jocelyn of Furness.</w:t>
      </w:r>
    </w:p>
  </w:footnote>
  <w:footnote w:id="27">
    <w:p w14:paraId="71F87C98" w14:textId="2D5AAF98" w:rsidR="007D47B9" w:rsidRDefault="007D47B9">
      <w:pPr>
        <w:pStyle w:val="FootnoteText"/>
      </w:pPr>
      <w:r>
        <w:rPr>
          <w:rStyle w:val="FootnoteReference"/>
        </w:rPr>
        <w:footnoteRef/>
      </w:r>
      <w:r>
        <w:t xml:space="preserve"> Jocelyn of Furness.</w:t>
      </w:r>
    </w:p>
  </w:footnote>
  <w:footnote w:id="28">
    <w:p w14:paraId="467630B4" w14:textId="0B1826B2" w:rsidR="00F9553C" w:rsidRDefault="00F9553C">
      <w:pPr>
        <w:pStyle w:val="FootnoteText"/>
      </w:pPr>
      <w:r>
        <w:rPr>
          <w:rStyle w:val="FootnoteReference"/>
        </w:rPr>
        <w:footnoteRef/>
      </w:r>
      <w:r>
        <w:t xml:space="preserve"> </w:t>
      </w:r>
      <w:r w:rsidRPr="00F9553C">
        <w:t xml:space="preserve">Green, </w:t>
      </w:r>
      <w:r>
        <w:t>“</w:t>
      </w:r>
      <w:r w:rsidRPr="00F9553C">
        <w:t>A Critical Analysis of a Northern Saint</w:t>
      </w:r>
      <w:r>
        <w:t>,</w:t>
      </w:r>
      <w:r w:rsidRPr="00F9553C">
        <w:t xml:space="preserve">” </w:t>
      </w:r>
      <w:r>
        <w:t>Part Four.</w:t>
      </w:r>
    </w:p>
  </w:footnote>
  <w:footnote w:id="29">
    <w:p w14:paraId="181FF920" w14:textId="73730543" w:rsidR="007D47B9" w:rsidRDefault="007D47B9">
      <w:pPr>
        <w:pStyle w:val="FootnoteText"/>
      </w:pPr>
      <w:r>
        <w:rPr>
          <w:rStyle w:val="FootnoteReference"/>
        </w:rPr>
        <w:footnoteRef/>
      </w:r>
      <w:r>
        <w:t xml:space="preserve"> </w:t>
      </w:r>
      <w:r w:rsidRPr="007D47B9">
        <w:t>Jocelyn of Furness.</w:t>
      </w:r>
    </w:p>
  </w:footnote>
  <w:footnote w:id="30">
    <w:p w14:paraId="4F1DF3B2" w14:textId="25584B28" w:rsidR="007D47B9" w:rsidRDefault="007D47B9">
      <w:pPr>
        <w:pStyle w:val="FootnoteText"/>
      </w:pPr>
      <w:r>
        <w:rPr>
          <w:rStyle w:val="FootnoteReference"/>
        </w:rPr>
        <w:footnoteRef/>
      </w:r>
      <w:r>
        <w:t xml:space="preserve"> </w:t>
      </w:r>
      <w:r w:rsidRPr="007D47B9">
        <w:t>Jocelyn of Furness.</w:t>
      </w:r>
    </w:p>
  </w:footnote>
  <w:footnote w:id="31">
    <w:p w14:paraId="5ADD8BF7" w14:textId="6B75BCB2" w:rsidR="00C74D92" w:rsidRDefault="00C74D92">
      <w:pPr>
        <w:pStyle w:val="FootnoteText"/>
      </w:pPr>
      <w:r>
        <w:rPr>
          <w:rStyle w:val="FootnoteReference"/>
        </w:rPr>
        <w:footnoteRef/>
      </w:r>
      <w:r>
        <w:t xml:space="preserve"> </w:t>
      </w:r>
      <w:r w:rsidRPr="00C74D92">
        <w:t>Jocelyn of Furness.</w:t>
      </w:r>
    </w:p>
  </w:footnote>
  <w:footnote w:id="32">
    <w:p w14:paraId="6A25BC5C" w14:textId="0E86424B" w:rsidR="00C74D92" w:rsidRDefault="00C74D92">
      <w:pPr>
        <w:pStyle w:val="FootnoteText"/>
      </w:pPr>
      <w:r>
        <w:rPr>
          <w:rStyle w:val="FootnoteReference"/>
        </w:rPr>
        <w:footnoteRef/>
      </w:r>
      <w:r>
        <w:t xml:space="preserve"> Jocelyn of Furness.</w:t>
      </w:r>
    </w:p>
  </w:footnote>
  <w:footnote w:id="33">
    <w:p w14:paraId="037CA582" w14:textId="24B0384A" w:rsidR="00C74D92" w:rsidRDefault="00C74D92">
      <w:pPr>
        <w:pStyle w:val="FootnoteText"/>
      </w:pPr>
      <w:r>
        <w:rPr>
          <w:rStyle w:val="FootnoteReference"/>
        </w:rPr>
        <w:footnoteRef/>
      </w:r>
      <w:r>
        <w:t xml:space="preserve"> </w:t>
      </w:r>
      <w:r w:rsidRPr="00C74D92">
        <w:t>Jocelyn of Furness.</w:t>
      </w:r>
    </w:p>
  </w:footnote>
  <w:footnote w:id="34">
    <w:p w14:paraId="41A39FC6" w14:textId="4CF8C188" w:rsidR="00F9553C" w:rsidRDefault="00F9553C">
      <w:pPr>
        <w:pStyle w:val="FootnoteText"/>
      </w:pPr>
      <w:r>
        <w:rPr>
          <w:rStyle w:val="FootnoteReference"/>
        </w:rPr>
        <w:footnoteRef/>
      </w:r>
      <w:r>
        <w:t xml:space="preserve"> Green, Part F</w:t>
      </w:r>
      <w:r w:rsidR="00A1212E">
        <w:t>ive</w:t>
      </w:r>
      <w:r>
        <w:t>.</w:t>
      </w:r>
    </w:p>
  </w:footnote>
  <w:footnote w:id="35">
    <w:p w14:paraId="35CF1801" w14:textId="555A66A7" w:rsidR="00C74D92" w:rsidRDefault="00C74D92">
      <w:pPr>
        <w:pStyle w:val="FootnoteText"/>
      </w:pPr>
      <w:r>
        <w:rPr>
          <w:rStyle w:val="FootnoteReference"/>
        </w:rPr>
        <w:footnoteRef/>
      </w:r>
      <w:r>
        <w:t xml:space="preserve"> Jocelyn of Furness.</w:t>
      </w:r>
    </w:p>
  </w:footnote>
  <w:footnote w:id="36">
    <w:p w14:paraId="6625FE48" w14:textId="553A0C93" w:rsidR="00C74D92" w:rsidRDefault="00C74D92">
      <w:pPr>
        <w:pStyle w:val="FootnoteText"/>
      </w:pPr>
      <w:r>
        <w:rPr>
          <w:rStyle w:val="FootnoteReference"/>
        </w:rPr>
        <w:footnoteRef/>
      </w:r>
      <w:r>
        <w:t xml:space="preserve"> Jocelyn of Furness.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858"/>
    <w:rsid w:val="00107042"/>
    <w:rsid w:val="0015050A"/>
    <w:rsid w:val="001661D2"/>
    <w:rsid w:val="00190B23"/>
    <w:rsid w:val="002551A6"/>
    <w:rsid w:val="00267ED1"/>
    <w:rsid w:val="00290DFF"/>
    <w:rsid w:val="00290FD7"/>
    <w:rsid w:val="003068C0"/>
    <w:rsid w:val="00480485"/>
    <w:rsid w:val="004A2E6E"/>
    <w:rsid w:val="004D6E18"/>
    <w:rsid w:val="0057401A"/>
    <w:rsid w:val="005E1219"/>
    <w:rsid w:val="005E775D"/>
    <w:rsid w:val="006624C1"/>
    <w:rsid w:val="00757B5B"/>
    <w:rsid w:val="00767BAD"/>
    <w:rsid w:val="007D47B9"/>
    <w:rsid w:val="00814609"/>
    <w:rsid w:val="00832425"/>
    <w:rsid w:val="008923BD"/>
    <w:rsid w:val="008C4B5C"/>
    <w:rsid w:val="009124F9"/>
    <w:rsid w:val="00926FC4"/>
    <w:rsid w:val="009323D8"/>
    <w:rsid w:val="009329E9"/>
    <w:rsid w:val="00984EFA"/>
    <w:rsid w:val="009B7348"/>
    <w:rsid w:val="00A1212E"/>
    <w:rsid w:val="00A33301"/>
    <w:rsid w:val="00AF084E"/>
    <w:rsid w:val="00B97638"/>
    <w:rsid w:val="00BB0F71"/>
    <w:rsid w:val="00C74D92"/>
    <w:rsid w:val="00C76877"/>
    <w:rsid w:val="00C91FA0"/>
    <w:rsid w:val="00D60B4E"/>
    <w:rsid w:val="00D63858"/>
    <w:rsid w:val="00DA6A48"/>
    <w:rsid w:val="00E252F1"/>
    <w:rsid w:val="00E363D2"/>
    <w:rsid w:val="00E50A5A"/>
    <w:rsid w:val="00E51E7C"/>
    <w:rsid w:val="00EC2DB0"/>
    <w:rsid w:val="00F05D1F"/>
    <w:rsid w:val="00F66F8A"/>
    <w:rsid w:val="00F9553C"/>
    <w:rsid w:val="00F97B4E"/>
    <w:rsid w:val="00FF7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4875E"/>
  <w15:chartTrackingRefBased/>
  <w15:docId w15:val="{77CCCCB9-FB31-4EB4-876E-588244EC3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858"/>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47B9"/>
    <w:rPr>
      <w:color w:val="0563C1" w:themeColor="hyperlink"/>
      <w:u w:val="single"/>
    </w:rPr>
  </w:style>
  <w:style w:type="character" w:styleId="UnresolvedMention">
    <w:name w:val="Unresolved Mention"/>
    <w:basedOn w:val="DefaultParagraphFont"/>
    <w:uiPriority w:val="99"/>
    <w:semiHidden/>
    <w:unhideWhenUsed/>
    <w:rsid w:val="007D47B9"/>
    <w:rPr>
      <w:color w:val="605E5C"/>
      <w:shd w:val="clear" w:color="auto" w:fill="E1DFDD"/>
    </w:rPr>
  </w:style>
  <w:style w:type="paragraph" w:styleId="FootnoteText">
    <w:name w:val="footnote text"/>
    <w:basedOn w:val="Normal"/>
    <w:link w:val="FootnoteTextChar"/>
    <w:uiPriority w:val="99"/>
    <w:semiHidden/>
    <w:unhideWhenUsed/>
    <w:rsid w:val="007D47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47B9"/>
    <w:rPr>
      <w:kern w:val="0"/>
      <w:sz w:val="20"/>
      <w:szCs w:val="20"/>
      <w14:ligatures w14:val="none"/>
    </w:rPr>
  </w:style>
  <w:style w:type="character" w:styleId="FootnoteReference">
    <w:name w:val="footnote reference"/>
    <w:basedOn w:val="DefaultParagraphFont"/>
    <w:uiPriority w:val="99"/>
    <w:semiHidden/>
    <w:unhideWhenUsed/>
    <w:rsid w:val="007D47B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ourcebooks.web.fordham.edu/basis/Jocelyn-LifeofKentigern.asp"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C461FC-A589-489B-ADF5-70F277365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TotalTime>
  <Pages>6</Pages>
  <Words>2404</Words>
  <Characters>13706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Pierce</dc:creator>
  <cp:keywords/>
  <dc:description/>
  <cp:lastModifiedBy>Mark Pierce</cp:lastModifiedBy>
  <cp:revision>21</cp:revision>
  <dcterms:created xsi:type="dcterms:W3CDTF">2024-03-13T19:14:00Z</dcterms:created>
  <dcterms:modified xsi:type="dcterms:W3CDTF">2024-03-14T03:57:00Z</dcterms:modified>
</cp:coreProperties>
</file>