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B79" w:rsidRPr="00513FD6" w:rsidRDefault="00E81B79" w:rsidP="00E81B79">
      <w:pPr>
        <w:jc w:val="center"/>
        <w:rPr>
          <w:i/>
          <w:sz w:val="20"/>
        </w:rPr>
      </w:pPr>
      <w:r w:rsidRPr="00513FD6">
        <w:rPr>
          <w:i/>
          <w:sz w:val="20"/>
        </w:rPr>
        <w:t xml:space="preserve">‘Identify the most appropriate types of commemorative marker for </w:t>
      </w:r>
      <w:proofErr w:type="spellStart"/>
      <w:r w:rsidRPr="00513FD6">
        <w:rPr>
          <w:i/>
          <w:sz w:val="20"/>
        </w:rPr>
        <w:t>Thrakonike</w:t>
      </w:r>
      <w:proofErr w:type="spellEnd"/>
      <w:r w:rsidRPr="00513FD6">
        <w:rPr>
          <w:i/>
          <w:sz w:val="20"/>
        </w:rPr>
        <w:t xml:space="preserve"> and consider its social and </w:t>
      </w:r>
      <w:proofErr w:type="spellStart"/>
      <w:r w:rsidRPr="00513FD6">
        <w:rPr>
          <w:i/>
          <w:sz w:val="20"/>
        </w:rPr>
        <w:t>economical</w:t>
      </w:r>
      <w:proofErr w:type="spellEnd"/>
      <w:r w:rsidRPr="00513FD6">
        <w:rPr>
          <w:i/>
          <w:sz w:val="20"/>
        </w:rPr>
        <w:t xml:space="preserve"> significance.’</w:t>
      </w:r>
    </w:p>
    <w:p w:rsidR="00E81B79" w:rsidRPr="00513FD6" w:rsidRDefault="00E81B79" w:rsidP="00E81B79">
      <w:pPr>
        <w:jc w:val="center"/>
        <w:rPr>
          <w:i/>
          <w:sz w:val="20"/>
        </w:rPr>
      </w:pPr>
    </w:p>
    <w:p w:rsidR="00E81B79" w:rsidRPr="00513FD6" w:rsidRDefault="00E81B79" w:rsidP="00E81B79">
      <w:pPr>
        <w:rPr>
          <w:sz w:val="20"/>
        </w:rPr>
      </w:pPr>
      <w:r w:rsidRPr="00513FD6">
        <w:rPr>
          <w:sz w:val="20"/>
        </w:rPr>
        <w:t>For a member of the lower middle class in Classical Athens, there would have been very little options on what type of grave monument would be erected. This essay argue</w:t>
      </w:r>
      <w:r w:rsidR="00B77649" w:rsidRPr="00513FD6">
        <w:rPr>
          <w:sz w:val="20"/>
        </w:rPr>
        <w:t>s</w:t>
      </w:r>
      <w:r w:rsidRPr="00513FD6">
        <w:rPr>
          <w:sz w:val="20"/>
        </w:rPr>
        <w:t xml:space="preserve"> on the </w:t>
      </w:r>
      <w:r w:rsidR="00237CD9" w:rsidRPr="00513FD6">
        <w:rPr>
          <w:sz w:val="20"/>
        </w:rPr>
        <w:t>economic</w:t>
      </w:r>
      <w:r w:rsidRPr="00513FD6">
        <w:rPr>
          <w:sz w:val="20"/>
        </w:rPr>
        <w:t xml:space="preserve"> and social implications that erecting the monument that this family can afford would have.</w:t>
      </w:r>
    </w:p>
    <w:p w:rsidR="00E81B79" w:rsidRPr="00513FD6" w:rsidRDefault="008D3F11" w:rsidP="00E81B79">
      <w:pPr>
        <w:rPr>
          <w:sz w:val="20"/>
        </w:rPr>
      </w:pPr>
      <w:r w:rsidRPr="00513FD6">
        <w:rPr>
          <w:sz w:val="20"/>
        </w:rPr>
        <w:t xml:space="preserve">The </w:t>
      </w:r>
      <w:proofErr w:type="spellStart"/>
      <w:r w:rsidRPr="00513FD6">
        <w:rPr>
          <w:sz w:val="20"/>
        </w:rPr>
        <w:t>Kerameikos</w:t>
      </w:r>
      <w:proofErr w:type="spellEnd"/>
      <w:r w:rsidRPr="00513FD6">
        <w:rPr>
          <w:sz w:val="20"/>
        </w:rPr>
        <w:t xml:space="preserve"> is a public graveyard that was used during the classical period to bury the dead</w:t>
      </w:r>
      <w:r w:rsidRPr="00513FD6">
        <w:rPr>
          <w:rStyle w:val="FootnoteReference"/>
          <w:sz w:val="20"/>
        </w:rPr>
        <w:footnoteReference w:id="1"/>
      </w:r>
      <w:r w:rsidRPr="00513FD6">
        <w:rPr>
          <w:sz w:val="20"/>
        </w:rPr>
        <w:t>.</w:t>
      </w:r>
      <w:r w:rsidR="00237CD9" w:rsidRPr="00513FD6">
        <w:rPr>
          <w:sz w:val="20"/>
        </w:rPr>
        <w:t xml:space="preserve"> The graveyard was for private burials</w:t>
      </w:r>
      <w:r w:rsidR="00237CD9" w:rsidRPr="00513FD6">
        <w:rPr>
          <w:rStyle w:val="FootnoteReference"/>
          <w:sz w:val="20"/>
        </w:rPr>
        <w:footnoteReference w:id="2"/>
      </w:r>
      <w:r w:rsidR="00237CD9" w:rsidRPr="00513FD6">
        <w:rPr>
          <w:sz w:val="20"/>
        </w:rPr>
        <w:t xml:space="preserve"> yet was exhibited to the public, much like a modern graveyard is, through a series of roads </w:t>
      </w:r>
      <w:r w:rsidR="00F37FC2" w:rsidRPr="00513FD6">
        <w:rPr>
          <w:sz w:val="20"/>
        </w:rPr>
        <w:t xml:space="preserve">that </w:t>
      </w:r>
      <w:r w:rsidR="00237CD9" w:rsidRPr="00513FD6">
        <w:rPr>
          <w:sz w:val="20"/>
        </w:rPr>
        <w:t>cross</w:t>
      </w:r>
      <w:r w:rsidR="00F37FC2" w:rsidRPr="00513FD6">
        <w:rPr>
          <w:sz w:val="20"/>
        </w:rPr>
        <w:t>ed</w:t>
      </w:r>
      <w:r w:rsidR="00237CD9" w:rsidRPr="00513FD6">
        <w:rPr>
          <w:sz w:val="20"/>
        </w:rPr>
        <w:t xml:space="preserve"> through</w:t>
      </w:r>
      <w:r w:rsidR="00237CD9" w:rsidRPr="00513FD6">
        <w:rPr>
          <w:rStyle w:val="FootnoteReference"/>
          <w:sz w:val="20"/>
        </w:rPr>
        <w:footnoteReference w:id="3"/>
      </w:r>
      <w:r w:rsidR="00237CD9" w:rsidRPr="00513FD6">
        <w:rPr>
          <w:sz w:val="20"/>
        </w:rPr>
        <w:t>. The wealth and status tended to play a part in the way that family members were buried, but were not necessarily the deciding factors</w:t>
      </w:r>
      <w:r w:rsidR="00237CD9" w:rsidRPr="00513FD6">
        <w:rPr>
          <w:rStyle w:val="FootnoteReference"/>
          <w:sz w:val="20"/>
        </w:rPr>
        <w:footnoteReference w:id="4"/>
      </w:r>
      <w:r w:rsidR="00237CD9" w:rsidRPr="00513FD6">
        <w:rPr>
          <w:sz w:val="20"/>
        </w:rPr>
        <w:t>. Even if they could afford grandiose structures, wealthy families could opt to have simple grave markers</w:t>
      </w:r>
      <w:r w:rsidR="00FC732D" w:rsidRPr="00513FD6">
        <w:rPr>
          <w:sz w:val="20"/>
        </w:rPr>
        <w:t xml:space="preserve"> such as </w:t>
      </w:r>
      <w:r w:rsidR="00FC732D" w:rsidRPr="00513FD6">
        <w:rPr>
          <w:i/>
          <w:sz w:val="20"/>
        </w:rPr>
        <w:t>cippi</w:t>
      </w:r>
      <w:r w:rsidR="00FC732D" w:rsidRPr="00513FD6">
        <w:rPr>
          <w:rStyle w:val="FootnoteReference"/>
          <w:i/>
          <w:sz w:val="20"/>
        </w:rPr>
        <w:footnoteReference w:id="5"/>
      </w:r>
      <w:r w:rsidR="00237CD9" w:rsidRPr="00513FD6">
        <w:rPr>
          <w:sz w:val="20"/>
        </w:rPr>
        <w:t xml:space="preserve"> </w:t>
      </w:r>
      <w:r w:rsidR="00FC732D" w:rsidRPr="00513FD6">
        <w:rPr>
          <w:sz w:val="20"/>
        </w:rPr>
        <w:t xml:space="preserve">or </w:t>
      </w:r>
      <w:proofErr w:type="spellStart"/>
      <w:r w:rsidR="00FC732D" w:rsidRPr="00513FD6">
        <w:rPr>
          <w:i/>
          <w:sz w:val="20"/>
        </w:rPr>
        <w:t>kioniskos</w:t>
      </w:r>
      <w:proofErr w:type="spellEnd"/>
      <w:r w:rsidR="00FC732D" w:rsidRPr="00513FD6">
        <w:rPr>
          <w:rStyle w:val="FootnoteReference"/>
          <w:i/>
          <w:sz w:val="20"/>
        </w:rPr>
        <w:footnoteReference w:id="6"/>
      </w:r>
      <w:r w:rsidR="00FC732D" w:rsidRPr="00513FD6">
        <w:rPr>
          <w:sz w:val="20"/>
        </w:rPr>
        <w:t xml:space="preserve"> when even poorer families could erect such</w:t>
      </w:r>
      <w:r w:rsidR="00FC732D" w:rsidRPr="00513FD6">
        <w:rPr>
          <w:rStyle w:val="FootnoteReference"/>
          <w:sz w:val="20"/>
        </w:rPr>
        <w:footnoteReference w:id="7"/>
      </w:r>
      <w:r w:rsidR="00FC732D" w:rsidRPr="00513FD6">
        <w:rPr>
          <w:sz w:val="20"/>
        </w:rPr>
        <w:t xml:space="preserve">. The main difference that could distinguish the status groups was whether there was a </w:t>
      </w:r>
      <w:proofErr w:type="spellStart"/>
      <w:r w:rsidR="00FC732D" w:rsidRPr="00513FD6">
        <w:rPr>
          <w:i/>
          <w:sz w:val="20"/>
        </w:rPr>
        <w:t>peribolos</w:t>
      </w:r>
      <w:proofErr w:type="spellEnd"/>
      <w:r w:rsidR="00FC732D" w:rsidRPr="00513FD6">
        <w:rPr>
          <w:rStyle w:val="FootnoteReference"/>
          <w:i/>
          <w:sz w:val="20"/>
        </w:rPr>
        <w:footnoteReference w:id="8"/>
      </w:r>
      <w:r w:rsidR="00FC732D" w:rsidRPr="00513FD6">
        <w:rPr>
          <w:i/>
          <w:sz w:val="20"/>
        </w:rPr>
        <w:t xml:space="preserve"> </w:t>
      </w:r>
      <w:r w:rsidR="00FC732D" w:rsidRPr="00513FD6">
        <w:rPr>
          <w:sz w:val="20"/>
        </w:rPr>
        <w:t>which is a plot of land</w:t>
      </w:r>
      <w:r w:rsidR="00F37FC2" w:rsidRPr="00513FD6">
        <w:rPr>
          <w:sz w:val="20"/>
        </w:rPr>
        <w:t xml:space="preserve"> or tomb</w:t>
      </w:r>
      <w:r w:rsidR="00FC732D" w:rsidRPr="00513FD6">
        <w:rPr>
          <w:sz w:val="20"/>
        </w:rPr>
        <w:t xml:space="preserve"> for a family to be buried over time</w:t>
      </w:r>
      <w:r w:rsidR="00FC732D" w:rsidRPr="00513FD6">
        <w:rPr>
          <w:rStyle w:val="FootnoteReference"/>
          <w:sz w:val="20"/>
        </w:rPr>
        <w:footnoteReference w:id="9"/>
      </w:r>
      <w:r w:rsidR="00FC732D" w:rsidRPr="00513FD6">
        <w:rPr>
          <w:sz w:val="20"/>
        </w:rPr>
        <w:t xml:space="preserve">. The </w:t>
      </w:r>
      <w:proofErr w:type="spellStart"/>
      <w:r w:rsidR="00FC732D" w:rsidRPr="00513FD6">
        <w:rPr>
          <w:i/>
          <w:sz w:val="20"/>
        </w:rPr>
        <w:t>peribolos</w:t>
      </w:r>
      <w:proofErr w:type="spellEnd"/>
      <w:r w:rsidR="00FC732D" w:rsidRPr="00513FD6">
        <w:rPr>
          <w:sz w:val="20"/>
        </w:rPr>
        <w:t xml:space="preserve"> was expensive</w:t>
      </w:r>
      <w:r w:rsidR="00F822F1" w:rsidRPr="00513FD6">
        <w:rPr>
          <w:sz w:val="20"/>
        </w:rPr>
        <w:t xml:space="preserve"> and so it was only common to be used in wealthy families with high status</w:t>
      </w:r>
      <w:r w:rsidR="00F822F1" w:rsidRPr="00513FD6">
        <w:rPr>
          <w:rStyle w:val="FootnoteReference"/>
          <w:sz w:val="20"/>
        </w:rPr>
        <w:footnoteReference w:id="10"/>
      </w:r>
      <w:r w:rsidR="00F822F1" w:rsidRPr="00513FD6">
        <w:rPr>
          <w:sz w:val="20"/>
        </w:rPr>
        <w:t>. When exemplifying the status and wealth of a person post</w:t>
      </w:r>
      <w:r w:rsidR="0099227B" w:rsidRPr="00513FD6">
        <w:rPr>
          <w:sz w:val="20"/>
        </w:rPr>
        <w:t>-</w:t>
      </w:r>
      <w:r w:rsidR="00F822F1" w:rsidRPr="00513FD6">
        <w:rPr>
          <w:sz w:val="20"/>
        </w:rPr>
        <w:t>mortem, it was likely that a family would erect a grave stel</w:t>
      </w:r>
      <w:r w:rsidR="00513FD6" w:rsidRPr="00513FD6">
        <w:rPr>
          <w:sz w:val="20"/>
        </w:rPr>
        <w:t>e</w:t>
      </w:r>
      <w:r w:rsidR="00F822F1" w:rsidRPr="00513FD6">
        <w:rPr>
          <w:sz w:val="20"/>
        </w:rPr>
        <w:t xml:space="preserve"> such as the grave monument of </w:t>
      </w:r>
      <w:proofErr w:type="spellStart"/>
      <w:r w:rsidR="00F822F1" w:rsidRPr="00513FD6">
        <w:rPr>
          <w:sz w:val="20"/>
        </w:rPr>
        <w:t>Eupheros</w:t>
      </w:r>
      <w:proofErr w:type="spellEnd"/>
      <w:r w:rsidR="00F822F1" w:rsidRPr="00513FD6">
        <w:rPr>
          <w:rStyle w:val="FootnoteReference"/>
          <w:sz w:val="20"/>
        </w:rPr>
        <w:footnoteReference w:id="11"/>
      </w:r>
      <w:r w:rsidR="00F822F1" w:rsidRPr="00513FD6">
        <w:rPr>
          <w:sz w:val="20"/>
        </w:rPr>
        <w:t xml:space="preserve"> which depicts the dead in their prime doing something which embodied who they were</w:t>
      </w:r>
      <w:r w:rsidR="00F822F1" w:rsidRPr="00513FD6">
        <w:rPr>
          <w:rStyle w:val="FootnoteReference"/>
          <w:sz w:val="20"/>
        </w:rPr>
        <w:footnoteReference w:id="12"/>
      </w:r>
      <w:r w:rsidR="00F822F1" w:rsidRPr="00513FD6">
        <w:rPr>
          <w:sz w:val="20"/>
        </w:rPr>
        <w:t xml:space="preserve">. During the Classical period, Athens made the shift to allow for women, children, and the elderly to be included on </w:t>
      </w:r>
      <w:r w:rsidR="00513FD6" w:rsidRPr="00513FD6">
        <w:rPr>
          <w:sz w:val="20"/>
        </w:rPr>
        <w:t>these steles</w:t>
      </w:r>
      <w:r w:rsidR="00F822F1" w:rsidRPr="00513FD6">
        <w:rPr>
          <w:sz w:val="20"/>
        </w:rPr>
        <w:t xml:space="preserve"> and by the High Classical, a group may be shown to further depict the </w:t>
      </w:r>
      <w:r w:rsidR="00F822F1" w:rsidRPr="00513FD6">
        <w:rPr>
          <w:i/>
          <w:sz w:val="20"/>
        </w:rPr>
        <w:t>oikos</w:t>
      </w:r>
      <w:r w:rsidR="00F822F1" w:rsidRPr="00513FD6">
        <w:rPr>
          <w:rStyle w:val="FootnoteReference"/>
          <w:i/>
          <w:sz w:val="20"/>
        </w:rPr>
        <w:footnoteReference w:id="13"/>
      </w:r>
      <w:r w:rsidR="00F822F1" w:rsidRPr="00513FD6">
        <w:rPr>
          <w:i/>
          <w:sz w:val="20"/>
        </w:rPr>
        <w:t xml:space="preserve">. </w:t>
      </w:r>
      <w:r w:rsidR="00F822F1" w:rsidRPr="00513FD6">
        <w:rPr>
          <w:sz w:val="20"/>
        </w:rPr>
        <w:t xml:space="preserve">The </w:t>
      </w:r>
      <w:proofErr w:type="spellStart"/>
      <w:r w:rsidR="00F822F1" w:rsidRPr="00513FD6">
        <w:rPr>
          <w:i/>
          <w:sz w:val="20"/>
        </w:rPr>
        <w:t>peribolos</w:t>
      </w:r>
      <w:proofErr w:type="spellEnd"/>
      <w:r w:rsidR="00F822F1" w:rsidRPr="00513FD6">
        <w:rPr>
          <w:sz w:val="20"/>
        </w:rPr>
        <w:t xml:space="preserve"> stressed the theme of </w:t>
      </w:r>
      <w:r w:rsidR="00F822F1" w:rsidRPr="00513FD6">
        <w:rPr>
          <w:i/>
          <w:sz w:val="20"/>
        </w:rPr>
        <w:t>oikos</w:t>
      </w:r>
      <w:r w:rsidR="00F822F1" w:rsidRPr="00513FD6">
        <w:rPr>
          <w:sz w:val="20"/>
        </w:rPr>
        <w:t xml:space="preserve">, showing that they </w:t>
      </w:r>
      <w:r w:rsidR="001B5C27" w:rsidRPr="00513FD6">
        <w:rPr>
          <w:sz w:val="20"/>
        </w:rPr>
        <w:t>had a close relationship</w:t>
      </w:r>
      <w:r w:rsidR="001B5C27" w:rsidRPr="00513FD6">
        <w:rPr>
          <w:rStyle w:val="FootnoteReference"/>
          <w:sz w:val="20"/>
        </w:rPr>
        <w:footnoteReference w:id="14"/>
      </w:r>
      <w:r w:rsidR="001B5C27" w:rsidRPr="00513FD6">
        <w:rPr>
          <w:sz w:val="20"/>
        </w:rPr>
        <w:t>. These would cost an incredible amount of money due to the amount of work that had to be put into moving and crafting the marble used</w:t>
      </w:r>
      <w:r w:rsidR="001B5C27" w:rsidRPr="00513FD6">
        <w:rPr>
          <w:rStyle w:val="FootnoteReference"/>
          <w:sz w:val="20"/>
        </w:rPr>
        <w:footnoteReference w:id="15"/>
      </w:r>
      <w:r w:rsidR="001B5C27" w:rsidRPr="00513FD6">
        <w:rPr>
          <w:sz w:val="20"/>
        </w:rPr>
        <w:t>. To put it in perspective</w:t>
      </w:r>
      <w:r w:rsidR="0099227B" w:rsidRPr="00513FD6">
        <w:rPr>
          <w:sz w:val="20"/>
        </w:rPr>
        <w:t xml:space="preserve">, a simple inscribed </w:t>
      </w:r>
      <w:r w:rsidR="0099227B" w:rsidRPr="00513FD6">
        <w:rPr>
          <w:i/>
          <w:sz w:val="20"/>
        </w:rPr>
        <w:t xml:space="preserve">cippi </w:t>
      </w:r>
      <w:r w:rsidR="0099227B" w:rsidRPr="00513FD6">
        <w:rPr>
          <w:sz w:val="20"/>
        </w:rPr>
        <w:t xml:space="preserve">or </w:t>
      </w:r>
      <w:proofErr w:type="spellStart"/>
      <w:r w:rsidR="0099227B" w:rsidRPr="00513FD6">
        <w:rPr>
          <w:i/>
          <w:sz w:val="20"/>
        </w:rPr>
        <w:t>kioniskos</w:t>
      </w:r>
      <w:proofErr w:type="spellEnd"/>
      <w:r w:rsidR="0099227B" w:rsidRPr="00513FD6">
        <w:rPr>
          <w:sz w:val="20"/>
        </w:rPr>
        <w:t xml:space="preserve"> would be 20-30 drachmae, longer inscriptions up to 50 drachmae during the classical period</w:t>
      </w:r>
      <w:r w:rsidR="0099227B" w:rsidRPr="00513FD6">
        <w:rPr>
          <w:rStyle w:val="FootnoteReference"/>
          <w:sz w:val="20"/>
        </w:rPr>
        <w:footnoteReference w:id="16"/>
      </w:r>
      <w:r w:rsidR="0099227B" w:rsidRPr="00513FD6">
        <w:rPr>
          <w:sz w:val="20"/>
        </w:rPr>
        <w:t>. As such, whilst it was affordable for the poor to obtain a grave marker, the family would not have been together and they may not have even had an inscription further than the name on them</w:t>
      </w:r>
      <w:r w:rsidR="0099227B" w:rsidRPr="00513FD6">
        <w:rPr>
          <w:rStyle w:val="FootnoteReference"/>
          <w:sz w:val="20"/>
        </w:rPr>
        <w:footnoteReference w:id="17"/>
      </w:r>
      <w:r w:rsidR="0099227B" w:rsidRPr="00513FD6">
        <w:rPr>
          <w:sz w:val="20"/>
        </w:rPr>
        <w:t>.</w:t>
      </w:r>
    </w:p>
    <w:p w:rsidR="00513FD6" w:rsidRDefault="0099227B" w:rsidP="00E81B79">
      <w:pPr>
        <w:rPr>
          <w:sz w:val="14"/>
        </w:rPr>
      </w:pPr>
      <w:r w:rsidRPr="00513FD6">
        <w:rPr>
          <w:sz w:val="20"/>
        </w:rPr>
        <w:t xml:space="preserve">Due to these factors, the lower middle-class family which </w:t>
      </w:r>
      <w:proofErr w:type="spellStart"/>
      <w:r w:rsidRPr="00513FD6">
        <w:rPr>
          <w:sz w:val="20"/>
        </w:rPr>
        <w:t>Thakonike</w:t>
      </w:r>
      <w:proofErr w:type="spellEnd"/>
      <w:r w:rsidRPr="00513FD6">
        <w:rPr>
          <w:sz w:val="20"/>
        </w:rPr>
        <w:t xml:space="preserve"> belongs to would have likely only been able to afford a simply inscribe </w:t>
      </w:r>
      <w:r w:rsidRPr="00513FD6">
        <w:rPr>
          <w:i/>
          <w:sz w:val="20"/>
        </w:rPr>
        <w:t>cippi</w:t>
      </w:r>
      <w:r w:rsidRPr="00513FD6">
        <w:rPr>
          <w:sz w:val="20"/>
        </w:rPr>
        <w:t xml:space="preserve"> for her. This would not have been near any family members, due to the lack of </w:t>
      </w:r>
      <w:proofErr w:type="spellStart"/>
      <w:r w:rsidRPr="00513FD6">
        <w:rPr>
          <w:i/>
          <w:sz w:val="20"/>
        </w:rPr>
        <w:t>peribolos</w:t>
      </w:r>
      <w:proofErr w:type="spellEnd"/>
      <w:r w:rsidRPr="00513FD6">
        <w:rPr>
          <w:sz w:val="20"/>
        </w:rPr>
        <w:t xml:space="preserve"> which the family could not afford. The inscription would have been kept reasonably short, costing the head of the household about 30 drachmae.</w:t>
      </w:r>
      <w:r w:rsidRPr="00513FD6">
        <w:rPr>
          <w:sz w:val="20"/>
        </w:rPr>
        <w:br/>
      </w:r>
    </w:p>
    <w:p w:rsidR="0099227B" w:rsidRPr="00513FD6" w:rsidRDefault="0099227B" w:rsidP="00E81B79">
      <w:pPr>
        <w:rPr>
          <w:sz w:val="14"/>
        </w:rPr>
      </w:pPr>
      <w:r w:rsidRPr="00513FD6">
        <w:rPr>
          <w:sz w:val="14"/>
        </w:rPr>
        <w:t>Word Count – 5</w:t>
      </w:r>
      <w:r w:rsidR="00513FD6">
        <w:rPr>
          <w:sz w:val="14"/>
        </w:rPr>
        <w:t>22</w:t>
      </w:r>
    </w:p>
    <w:p w:rsidR="00513FD6" w:rsidRDefault="00513FD6" w:rsidP="00E81B79">
      <w:pPr>
        <w:rPr>
          <w:sz w:val="20"/>
          <w:u w:val="single"/>
        </w:rPr>
      </w:pPr>
    </w:p>
    <w:p w:rsidR="0099227B" w:rsidRPr="00513FD6" w:rsidRDefault="0099227B" w:rsidP="00E81B79">
      <w:pPr>
        <w:rPr>
          <w:sz w:val="20"/>
          <w:u w:val="single"/>
        </w:rPr>
      </w:pPr>
      <w:bookmarkStart w:id="0" w:name="_GoBack"/>
      <w:bookmarkEnd w:id="0"/>
      <w:r w:rsidRPr="00513FD6">
        <w:rPr>
          <w:sz w:val="20"/>
          <w:u w:val="single"/>
        </w:rPr>
        <w:lastRenderedPageBreak/>
        <w:t>Bibliography</w:t>
      </w:r>
    </w:p>
    <w:p w:rsidR="00A679C9" w:rsidRPr="00513FD6" w:rsidRDefault="00A679C9" w:rsidP="00A679C9">
      <w:pPr>
        <w:rPr>
          <w:rFonts w:cs="Helvetica"/>
          <w:color w:val="333333"/>
          <w:sz w:val="20"/>
          <w:shd w:val="clear" w:color="auto" w:fill="F5F5F5"/>
        </w:rPr>
      </w:pPr>
      <w:r w:rsidRPr="00513FD6">
        <w:rPr>
          <w:rFonts w:cs="Helvetica"/>
          <w:color w:val="333333"/>
          <w:sz w:val="20"/>
          <w:shd w:val="clear" w:color="auto" w:fill="F5F5F5"/>
        </w:rPr>
        <w:t>Burton, D. (2003) ‘Public memorials, private virtues: women on classical Athenian grave monuments’, </w:t>
      </w:r>
      <w:r w:rsidRPr="00513FD6">
        <w:rPr>
          <w:rFonts w:cs="Helvetica"/>
          <w:i/>
          <w:iCs/>
          <w:color w:val="333333"/>
          <w:sz w:val="20"/>
          <w:bdr w:val="none" w:sz="0" w:space="0" w:color="auto" w:frame="1"/>
          <w:shd w:val="clear" w:color="auto" w:fill="F5F5F5"/>
        </w:rPr>
        <w:t>Mortality</w:t>
      </w:r>
      <w:r w:rsidRPr="00513FD6">
        <w:rPr>
          <w:rFonts w:cs="Helvetica"/>
          <w:color w:val="333333"/>
          <w:sz w:val="20"/>
          <w:shd w:val="clear" w:color="auto" w:fill="F5F5F5"/>
        </w:rPr>
        <w:t xml:space="preserve">, 8(1), pp. 20–35. </w:t>
      </w:r>
      <w:proofErr w:type="spellStart"/>
      <w:r w:rsidRPr="00513FD6">
        <w:rPr>
          <w:rFonts w:cs="Helvetica"/>
          <w:color w:val="333333"/>
          <w:sz w:val="20"/>
          <w:shd w:val="clear" w:color="auto" w:fill="F5F5F5"/>
        </w:rPr>
        <w:t>doi</w:t>
      </w:r>
      <w:proofErr w:type="spellEnd"/>
      <w:r w:rsidRPr="00513FD6">
        <w:rPr>
          <w:rFonts w:cs="Helvetica"/>
          <w:color w:val="333333"/>
          <w:sz w:val="20"/>
          <w:shd w:val="clear" w:color="auto" w:fill="F5F5F5"/>
        </w:rPr>
        <w:t>: 10.1080/1357627021000063106.</w:t>
      </w:r>
    </w:p>
    <w:p w:rsidR="00A679C9" w:rsidRPr="00513FD6" w:rsidRDefault="00A679C9" w:rsidP="00A679C9">
      <w:pPr>
        <w:rPr>
          <w:rFonts w:cs="Arial"/>
          <w:color w:val="333333"/>
          <w:sz w:val="20"/>
          <w:shd w:val="clear" w:color="auto" w:fill="FFFFFF"/>
        </w:rPr>
      </w:pPr>
      <w:proofErr w:type="spellStart"/>
      <w:r w:rsidRPr="00513FD6">
        <w:rPr>
          <w:rFonts w:cs="Arial"/>
          <w:color w:val="333333"/>
          <w:sz w:val="20"/>
          <w:shd w:val="clear" w:color="auto" w:fill="FFFFFF"/>
        </w:rPr>
        <w:t>Closterman</w:t>
      </w:r>
      <w:proofErr w:type="spellEnd"/>
      <w:r w:rsidRPr="00513FD6">
        <w:rPr>
          <w:rFonts w:cs="Arial"/>
          <w:color w:val="333333"/>
          <w:sz w:val="20"/>
          <w:shd w:val="clear" w:color="auto" w:fill="FFFFFF"/>
        </w:rPr>
        <w:t xml:space="preserve">, W. (2007). Family Ideology and Family History: The Function of Funerary Markers in Classical Attic </w:t>
      </w:r>
      <w:proofErr w:type="spellStart"/>
      <w:r w:rsidRPr="00513FD6">
        <w:rPr>
          <w:rFonts w:cs="Arial"/>
          <w:color w:val="333333"/>
          <w:sz w:val="20"/>
          <w:shd w:val="clear" w:color="auto" w:fill="FFFFFF"/>
        </w:rPr>
        <w:t>Peribolos</w:t>
      </w:r>
      <w:proofErr w:type="spellEnd"/>
      <w:r w:rsidRPr="00513FD6">
        <w:rPr>
          <w:rFonts w:cs="Arial"/>
          <w:color w:val="333333"/>
          <w:sz w:val="20"/>
          <w:shd w:val="clear" w:color="auto" w:fill="FFFFFF"/>
        </w:rPr>
        <w:t xml:space="preserve"> Tombs. </w:t>
      </w:r>
      <w:r w:rsidRPr="00513FD6">
        <w:rPr>
          <w:rFonts w:cs="Arial"/>
          <w:i/>
          <w:iCs/>
          <w:color w:val="333333"/>
          <w:sz w:val="20"/>
          <w:shd w:val="clear" w:color="auto" w:fill="FFFFFF"/>
        </w:rPr>
        <w:t>American Journal of Archaeology,</w:t>
      </w:r>
      <w:r w:rsidRPr="00513FD6">
        <w:rPr>
          <w:rFonts w:cs="Arial"/>
          <w:color w:val="333333"/>
          <w:sz w:val="20"/>
          <w:shd w:val="clear" w:color="auto" w:fill="FFFFFF"/>
        </w:rPr>
        <w:t> </w:t>
      </w:r>
      <w:r w:rsidRPr="00513FD6">
        <w:rPr>
          <w:rFonts w:cs="Arial"/>
          <w:i/>
          <w:iCs/>
          <w:color w:val="333333"/>
          <w:sz w:val="20"/>
          <w:shd w:val="clear" w:color="auto" w:fill="FFFFFF"/>
        </w:rPr>
        <w:t>111</w:t>
      </w:r>
      <w:r w:rsidRPr="00513FD6">
        <w:rPr>
          <w:rFonts w:cs="Arial"/>
          <w:color w:val="333333"/>
          <w:sz w:val="20"/>
          <w:shd w:val="clear" w:color="auto" w:fill="FFFFFF"/>
        </w:rPr>
        <w:t xml:space="preserve">(4), 633-652. Retrieved from </w:t>
      </w:r>
      <w:hyperlink r:id="rId7" w:history="1">
        <w:r w:rsidRPr="00513FD6">
          <w:rPr>
            <w:rStyle w:val="Hyperlink"/>
            <w:rFonts w:cs="Arial"/>
            <w:sz w:val="20"/>
            <w:shd w:val="clear" w:color="auto" w:fill="FFFFFF"/>
          </w:rPr>
          <w:t>http://www.jstor.org.ezproxy.uwtsd.ac.uk/stable/40025266</w:t>
        </w:r>
      </w:hyperlink>
    </w:p>
    <w:p w:rsidR="00A679C9" w:rsidRPr="00513FD6" w:rsidRDefault="00A679C9" w:rsidP="00A679C9">
      <w:pPr>
        <w:rPr>
          <w:sz w:val="20"/>
        </w:rPr>
      </w:pPr>
      <w:proofErr w:type="spellStart"/>
      <w:r w:rsidRPr="00513FD6">
        <w:rPr>
          <w:sz w:val="20"/>
        </w:rPr>
        <w:t>Näf</w:t>
      </w:r>
      <w:proofErr w:type="spellEnd"/>
      <w:r w:rsidRPr="00513FD6">
        <w:rPr>
          <w:sz w:val="20"/>
        </w:rPr>
        <w:t>, Beat (Zürich RWG), Kuhn-Chen, Barbara (</w:t>
      </w:r>
      <w:proofErr w:type="spellStart"/>
      <w:r w:rsidRPr="00513FD6">
        <w:rPr>
          <w:sz w:val="20"/>
        </w:rPr>
        <w:t>Gießen</w:t>
      </w:r>
      <w:proofErr w:type="spellEnd"/>
      <w:r w:rsidRPr="00513FD6">
        <w:rPr>
          <w:sz w:val="20"/>
        </w:rPr>
        <w:t xml:space="preserve"> RWG), </w:t>
      </w:r>
      <w:proofErr w:type="spellStart"/>
      <w:r w:rsidRPr="00513FD6">
        <w:rPr>
          <w:sz w:val="20"/>
        </w:rPr>
        <w:t>Höcker</w:t>
      </w:r>
      <w:proofErr w:type="spellEnd"/>
      <w:r w:rsidRPr="00513FD6">
        <w:rPr>
          <w:sz w:val="20"/>
        </w:rPr>
        <w:t xml:space="preserve">, Christoph (Kissing), </w:t>
      </w:r>
      <w:proofErr w:type="spellStart"/>
      <w:r w:rsidRPr="00513FD6">
        <w:rPr>
          <w:sz w:val="20"/>
        </w:rPr>
        <w:t>Stroszeck</w:t>
      </w:r>
      <w:proofErr w:type="spellEnd"/>
      <w:r w:rsidRPr="00513FD6">
        <w:rPr>
          <w:sz w:val="20"/>
        </w:rPr>
        <w:t xml:space="preserve">, Jutta (Athens) and </w:t>
      </w:r>
      <w:proofErr w:type="spellStart"/>
      <w:r w:rsidRPr="00513FD6">
        <w:rPr>
          <w:sz w:val="20"/>
        </w:rPr>
        <w:t>Zervoudaki</w:t>
      </w:r>
      <w:proofErr w:type="spellEnd"/>
      <w:r w:rsidRPr="00513FD6">
        <w:rPr>
          <w:sz w:val="20"/>
        </w:rPr>
        <w:t xml:space="preserve">, Eos (Athens), “Athens”, in: Brill’s New Pauly. Consulted online on 07 October 2018 </w:t>
      </w:r>
      <w:hyperlink r:id="rId8" w:history="1">
        <w:r w:rsidRPr="00513FD6">
          <w:rPr>
            <w:rStyle w:val="Hyperlink"/>
            <w:sz w:val="20"/>
          </w:rPr>
          <w:t>http://dx.doi.org.ezproxy.uwtsd.ac.uk/10.1163/1574-9347_bnp_e</w:t>
        </w:r>
        <w:r w:rsidRPr="00513FD6">
          <w:rPr>
            <w:rStyle w:val="Hyperlink"/>
            <w:sz w:val="20"/>
          </w:rPr>
          <w:t>1</w:t>
        </w:r>
        <w:r w:rsidRPr="00513FD6">
          <w:rPr>
            <w:rStyle w:val="Hyperlink"/>
            <w:sz w:val="20"/>
          </w:rPr>
          <w:t>303340</w:t>
        </w:r>
      </w:hyperlink>
      <w:r w:rsidRPr="00513FD6">
        <w:rPr>
          <w:sz w:val="20"/>
        </w:rPr>
        <w:br/>
        <w:t>First published online: 2006</w:t>
      </w:r>
      <w:r w:rsidRPr="00513FD6">
        <w:rPr>
          <w:sz w:val="20"/>
        </w:rPr>
        <w:br/>
        <w:t>First print edition: 9789004122598, 20110510</w:t>
      </w:r>
    </w:p>
    <w:p w:rsidR="00BB12E2" w:rsidRPr="00513FD6" w:rsidRDefault="00A679C9" w:rsidP="00E81B79">
      <w:pPr>
        <w:rPr>
          <w:sz w:val="20"/>
        </w:rPr>
      </w:pPr>
      <w:r w:rsidRPr="00513FD6">
        <w:rPr>
          <w:sz w:val="20"/>
        </w:rPr>
        <w:t xml:space="preserve">Oliver, G.J. </w:t>
      </w:r>
      <w:r w:rsidRPr="00513FD6">
        <w:rPr>
          <w:sz w:val="20"/>
        </w:rPr>
        <w:t>2000.</w:t>
      </w:r>
      <w:r w:rsidRPr="00513FD6">
        <w:rPr>
          <w:sz w:val="20"/>
        </w:rPr>
        <w:t xml:space="preserve"> </w:t>
      </w:r>
      <w:r w:rsidRPr="00513FD6">
        <w:rPr>
          <w:i/>
          <w:sz w:val="20"/>
        </w:rPr>
        <w:t>The Epigraphy of Death – Studies in the History and Society of Greece and Rome</w:t>
      </w:r>
      <w:r w:rsidRPr="00513FD6">
        <w:rPr>
          <w:sz w:val="20"/>
        </w:rPr>
        <w:t xml:space="preserve">. Liverpool University Press. </w:t>
      </w:r>
    </w:p>
    <w:sectPr w:rsidR="00BB12E2" w:rsidRPr="00513FD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E21" w:rsidRDefault="00FD4E21" w:rsidP="008D3F11">
      <w:pPr>
        <w:spacing w:after="0" w:line="240" w:lineRule="auto"/>
      </w:pPr>
      <w:r>
        <w:separator/>
      </w:r>
    </w:p>
  </w:endnote>
  <w:endnote w:type="continuationSeparator" w:id="0">
    <w:p w:rsidR="00FD4E21" w:rsidRDefault="00FD4E21" w:rsidP="008D3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E21" w:rsidRDefault="00FD4E21" w:rsidP="008D3F11">
      <w:pPr>
        <w:spacing w:after="0" w:line="240" w:lineRule="auto"/>
      </w:pPr>
      <w:r>
        <w:separator/>
      </w:r>
    </w:p>
  </w:footnote>
  <w:footnote w:type="continuationSeparator" w:id="0">
    <w:p w:rsidR="00FD4E21" w:rsidRDefault="00FD4E21" w:rsidP="008D3F11">
      <w:pPr>
        <w:spacing w:after="0" w:line="240" w:lineRule="auto"/>
      </w:pPr>
      <w:r>
        <w:continuationSeparator/>
      </w:r>
    </w:p>
  </w:footnote>
  <w:footnote w:id="1">
    <w:p w:rsidR="008D3F11" w:rsidRDefault="008D3F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</w:t>
      </w:r>
      <w:r>
        <w:rPr>
          <w:rFonts w:cstheme="minorHAnsi"/>
        </w:rPr>
        <w:t>ö</w:t>
      </w:r>
      <w:r>
        <w:t>cker</w:t>
      </w:r>
      <w:proofErr w:type="spellEnd"/>
      <w:r>
        <w:t>, C. 2006</w:t>
      </w:r>
      <w:r w:rsidR="00237CD9">
        <w:t xml:space="preserve">. IV </w:t>
      </w:r>
      <w:proofErr w:type="spellStart"/>
      <w:r w:rsidR="00237CD9">
        <w:t>Kerameikos</w:t>
      </w:r>
      <w:proofErr w:type="spellEnd"/>
    </w:p>
  </w:footnote>
  <w:footnote w:id="2">
    <w:p w:rsidR="00237CD9" w:rsidRDefault="00237C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</w:t>
      </w:r>
      <w:r>
        <w:rPr>
          <w:rFonts w:cstheme="minorHAnsi"/>
        </w:rPr>
        <w:t>ö</w:t>
      </w:r>
      <w:r>
        <w:t>cker</w:t>
      </w:r>
      <w:proofErr w:type="spellEnd"/>
      <w:r>
        <w:t xml:space="preserve">, C. 2006. IV </w:t>
      </w:r>
      <w:proofErr w:type="spellStart"/>
      <w:r>
        <w:t>Kerameikos</w:t>
      </w:r>
      <w:proofErr w:type="spellEnd"/>
    </w:p>
  </w:footnote>
  <w:footnote w:id="3">
    <w:p w:rsidR="00237CD9" w:rsidRDefault="00237CD9">
      <w:pPr>
        <w:pStyle w:val="FootnoteText"/>
      </w:pPr>
      <w:r>
        <w:rPr>
          <w:rStyle w:val="FootnoteReference"/>
        </w:rPr>
        <w:footnoteRef/>
      </w:r>
      <w:r>
        <w:t xml:space="preserve"> Burton, D. 2003. 21</w:t>
      </w:r>
    </w:p>
  </w:footnote>
  <w:footnote w:id="4">
    <w:p w:rsidR="00237CD9" w:rsidRDefault="00237CD9">
      <w:pPr>
        <w:pStyle w:val="FootnoteText"/>
      </w:pPr>
      <w:r>
        <w:rPr>
          <w:rStyle w:val="FootnoteReference"/>
        </w:rPr>
        <w:footnoteRef/>
      </w:r>
      <w:r>
        <w:t xml:space="preserve"> Oliver, G.J. 2000. 66, 68. </w:t>
      </w:r>
    </w:p>
  </w:footnote>
  <w:footnote w:id="5">
    <w:p w:rsidR="00FC732D" w:rsidRDefault="00FC732D">
      <w:pPr>
        <w:pStyle w:val="FootnoteText"/>
      </w:pPr>
      <w:r>
        <w:rPr>
          <w:rStyle w:val="FootnoteReference"/>
        </w:rPr>
        <w:footnoteRef/>
      </w:r>
      <w:r>
        <w:t xml:space="preserve"> Oliver, G.J. 2000. 69</w:t>
      </w:r>
      <w:r w:rsidR="00BB12E2">
        <w:t xml:space="preserve"> fig3.1</w:t>
      </w:r>
    </w:p>
  </w:footnote>
  <w:footnote w:id="6">
    <w:p w:rsidR="00FC732D" w:rsidRDefault="00FC73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Oliver, G.J. 2000. </w:t>
      </w:r>
      <w:r>
        <w:t>70</w:t>
      </w:r>
      <w:r w:rsidR="00BB12E2">
        <w:t xml:space="preserve"> fig3.2</w:t>
      </w:r>
    </w:p>
  </w:footnote>
  <w:footnote w:id="7">
    <w:p w:rsidR="00FC732D" w:rsidRDefault="00FC73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Oliver, G.J. 2000. </w:t>
      </w:r>
      <w:r>
        <w:t>71</w:t>
      </w:r>
    </w:p>
  </w:footnote>
  <w:footnote w:id="8">
    <w:p w:rsidR="00FC732D" w:rsidRDefault="00FC73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Closterman</w:t>
      </w:r>
      <w:proofErr w:type="spellEnd"/>
      <w:r>
        <w:t>, W. 2007. 633</w:t>
      </w:r>
    </w:p>
  </w:footnote>
  <w:footnote w:id="9">
    <w:p w:rsidR="00FC732D" w:rsidRDefault="00FC73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Closterman</w:t>
      </w:r>
      <w:proofErr w:type="spellEnd"/>
      <w:r>
        <w:t>, W. 2007. 633</w:t>
      </w:r>
    </w:p>
  </w:footnote>
  <w:footnote w:id="10">
    <w:p w:rsidR="00F822F1" w:rsidRDefault="00F822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Oliver, G.J. 2000. </w:t>
      </w:r>
      <w:r>
        <w:t>67</w:t>
      </w:r>
    </w:p>
  </w:footnote>
  <w:footnote w:id="11">
    <w:p w:rsidR="00F822F1" w:rsidRDefault="00F822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Oliver, G.J. 2000. </w:t>
      </w:r>
      <w:r>
        <w:t>36</w:t>
      </w:r>
      <w:r w:rsidR="00BB12E2">
        <w:t xml:space="preserve"> fig2.5</w:t>
      </w:r>
    </w:p>
  </w:footnote>
  <w:footnote w:id="12">
    <w:p w:rsidR="00F822F1" w:rsidRDefault="00F822F1">
      <w:pPr>
        <w:pStyle w:val="FootnoteText"/>
      </w:pPr>
      <w:r>
        <w:rPr>
          <w:rStyle w:val="FootnoteReference"/>
        </w:rPr>
        <w:footnoteRef/>
      </w:r>
      <w:r>
        <w:t xml:space="preserve"> Burton, D. 2003. 22</w:t>
      </w:r>
    </w:p>
  </w:footnote>
  <w:footnote w:id="13">
    <w:p w:rsidR="00F822F1" w:rsidRDefault="00F822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1B5C27">
        <w:t>Closterman</w:t>
      </w:r>
      <w:proofErr w:type="spellEnd"/>
      <w:r w:rsidR="001B5C27">
        <w:t>, W. 2007. 635</w:t>
      </w:r>
    </w:p>
  </w:footnote>
  <w:footnote w:id="14">
    <w:p w:rsidR="001B5C27" w:rsidRDefault="001B5C2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Closterman</w:t>
      </w:r>
      <w:proofErr w:type="spellEnd"/>
      <w:r>
        <w:t>, W. 2007. 634</w:t>
      </w:r>
    </w:p>
  </w:footnote>
  <w:footnote w:id="15">
    <w:p w:rsidR="001B5C27" w:rsidRDefault="001B5C27">
      <w:pPr>
        <w:pStyle w:val="FootnoteText"/>
      </w:pPr>
      <w:r>
        <w:rPr>
          <w:rStyle w:val="FootnoteReference"/>
        </w:rPr>
        <w:footnoteRef/>
      </w:r>
      <w:r>
        <w:t xml:space="preserve"> Burton, D. 2003. 22</w:t>
      </w:r>
    </w:p>
  </w:footnote>
  <w:footnote w:id="16">
    <w:p w:rsidR="0099227B" w:rsidRDefault="0099227B">
      <w:pPr>
        <w:pStyle w:val="FootnoteText"/>
      </w:pPr>
      <w:r>
        <w:rPr>
          <w:rStyle w:val="FootnoteReference"/>
        </w:rPr>
        <w:footnoteRef/>
      </w:r>
      <w:r>
        <w:t xml:space="preserve"> Oliver, G.J. 2000. 74</w:t>
      </w:r>
    </w:p>
  </w:footnote>
  <w:footnote w:id="17">
    <w:p w:rsidR="0099227B" w:rsidRDefault="009922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Oliver, G.J. 2000. 7</w:t>
      </w:r>
      <w:r>
        <w:t>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ADD" w:rsidRDefault="001C5ADD">
    <w:pPr>
      <w:pStyle w:val="Header"/>
    </w:pPr>
    <w:r>
      <w:t xml:space="preserve">Hazel Dawn Carter – Assignment 6 – Due </w:t>
    </w:r>
    <w:r w:rsidR="00BB12E2">
      <w:t>07/10/2018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B79"/>
    <w:rsid w:val="001B5C27"/>
    <w:rsid w:val="001C5ADD"/>
    <w:rsid w:val="00237CD9"/>
    <w:rsid w:val="00513FD6"/>
    <w:rsid w:val="008D3F11"/>
    <w:rsid w:val="0099227B"/>
    <w:rsid w:val="00A679C9"/>
    <w:rsid w:val="00B77649"/>
    <w:rsid w:val="00BB12E2"/>
    <w:rsid w:val="00E81B79"/>
    <w:rsid w:val="00F37FC2"/>
    <w:rsid w:val="00F822F1"/>
    <w:rsid w:val="00FC732D"/>
    <w:rsid w:val="00FD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50349"/>
  <w15:chartTrackingRefBased/>
  <w15:docId w15:val="{01DDC0F6-D36A-4747-AF06-3E9B4509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D3F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3F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3F1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5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ADD"/>
  </w:style>
  <w:style w:type="paragraph" w:styleId="Footer">
    <w:name w:val="footer"/>
    <w:basedOn w:val="Normal"/>
    <w:link w:val="FooterChar"/>
    <w:uiPriority w:val="99"/>
    <w:unhideWhenUsed/>
    <w:rsid w:val="001C5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ADD"/>
  </w:style>
  <w:style w:type="character" w:styleId="Hyperlink">
    <w:name w:val="Hyperlink"/>
    <w:basedOn w:val="DefaultParagraphFont"/>
    <w:uiPriority w:val="99"/>
    <w:unhideWhenUsed/>
    <w:rsid w:val="00A679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79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.ezproxy.uwtsd.ac.uk/10.1163/1574-9347_bnp_e130334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stor.org.ezproxy.uwtsd.ac.uk/stable/4002526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B38386A-025E-4677-AB60-2A17051D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Dawn Carter</dc:creator>
  <cp:keywords/>
  <dc:description/>
  <cp:lastModifiedBy>Hazel Dawn Carter</cp:lastModifiedBy>
  <cp:revision>4</cp:revision>
  <dcterms:created xsi:type="dcterms:W3CDTF">2018-10-07T16:14:00Z</dcterms:created>
  <dcterms:modified xsi:type="dcterms:W3CDTF">2018-10-07T18:55:00Z</dcterms:modified>
</cp:coreProperties>
</file>