
<file path=[Content_Types].xml><?xml version="1.0" encoding="utf-8"?>
<Types xmlns="http://schemas.openxmlformats.org/package/2006/content-types">
  <Default Extension="xml" ContentType="application/xml"/>
  <Default Extension="rels" ContentType="application/vnd.openxmlformats-package.relationships+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endnotes.xml" ContentType="application/vnd.openxmlformats-officedocument.wordprocessingml.endnotes+xml"/>
  <Override PartName="/customXml/itemProps1.xml" ContentType="application/vnd.openxmlformats-officedocument.customXmlProperties+xml"/>
  <Override PartName="/word/styles.xml" ContentType="application/vnd.openxmlformats-officedocument.wordprocessingml.styles+xml"/>
  <Override PartName="/word/header2.xml" ContentType="application/vnd.openxmlformats-officedocument.wordprocessingml.header+xml"/>
  <Override PartName="/word/footnotes.xml" ContentType="application/vnd.openxmlformats-officedocument.wordprocessingml.foot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glossary/document.xml" ContentType="application/vnd.openxmlformats-officedocument.wordprocessingml.document.glossary+xml"/>
  <Override PartName="/word/footer3.xml" ContentType="application/vnd.openxmlformats-officedocument.wordprocessingml.footer+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ody>
    <w:p w14:paraId="00000005">
      <w:pPr>
        <w:spacing w:line="360" w:lineRule="auto"/>
        <w:rPr>
          <w:rFonts w:ascii="Arial" w:cs="Arial" w:hAnsi="Arial"/>
          <w:sz w:val="22"/>
          <w:szCs w:val="22"/>
        </w:rPr>
      </w:pPr>
    </w:p>
    <w:p w14:paraId="00000006">
      <w:pPr>
        <w:spacing w:line="360" w:lineRule="auto"/>
        <w:rPr>
          <w:rFonts w:ascii="Arial" w:cs="Arial" w:hAnsi="Arial"/>
          <w:sz w:val="22"/>
          <w:szCs w:val="22"/>
        </w:rPr>
      </w:pPr>
    </w:p>
    <w:p w14:paraId="00000007">
      <w:pPr>
        <w:spacing w:line="360" w:lineRule="auto"/>
        <w:rPr>
          <w:rFonts w:ascii="Arial" w:cs="Arial" w:hAnsi="Arial"/>
          <w:sz w:val="22"/>
          <w:szCs w:val="22"/>
        </w:rPr>
      </w:pPr>
    </w:p>
    <w:p w14:paraId="00000008">
      <w:pPr>
        <w:rPr>
          <w:rFonts w:ascii="Arial Nova" w:cs="Arial Nova" w:eastAsia="Arial Nova" w:hAnsi="Arial Nova"/>
          <w:b/>
          <w:bCs/>
          <w:sz w:val="40"/>
          <w:szCs w:val="40"/>
        </w:rPr>
      </w:pPr>
      <w:r>
        <w:rPr>
          <w:b/>
          <w:bCs/>
          <w:sz w:val="40"/>
          <w:szCs w:val="40"/>
        </w:rPr>
        <w:t xml:space="preserve">                  STUDENT NAME:CHERRY SPENCER.</w:t>
      </w:r>
    </w:p>
    <w:p w14:paraId="00000009">
      <w:pPr>
        <w:jc w:val="center"/>
        <w:rPr>
          <w:rFonts w:ascii="Arial Nova" w:cs="Arial Nova" w:eastAsia="Arial Nova" w:hAnsi="Arial Nova"/>
          <w:b/>
          <w:bCs/>
          <w:sz w:val="40"/>
          <w:szCs w:val="40"/>
        </w:rPr>
      </w:pPr>
      <w:r>
        <w:rPr>
          <w:rFonts w:ascii="Arial Nova" w:cs="Arial Nova" w:eastAsia="Arial Nova" w:hAnsi="Arial Nova"/>
          <w:b/>
          <w:bCs/>
          <w:sz w:val="40"/>
          <w:szCs w:val="40"/>
        </w:rPr>
        <w:t>STUDENT NUMBER:2315880.</w:t>
      </w:r>
    </w:p>
    <w:p w14:paraId="0000000A">
      <w:pPr>
        <w:jc w:val="center"/>
        <w:rPr>
          <w:rFonts w:ascii="Arial Nova" w:cs="Arial Nova" w:eastAsia="Arial Nova" w:hAnsi="Arial Nova"/>
          <w:b/>
          <w:bCs/>
          <w:sz w:val="40"/>
          <w:szCs w:val="40"/>
        </w:rPr>
      </w:pPr>
      <w:r>
        <w:rPr>
          <w:rFonts w:ascii="Arial Nova" w:cs="Arial Nova" w:eastAsia="Arial Nova" w:hAnsi="Arial Nova"/>
          <w:b/>
          <w:bCs/>
          <w:sz w:val="40"/>
          <w:szCs w:val="40"/>
        </w:rPr>
        <w:t>MODULE TITLE:PROTECTING AND SUPPORTING FAMILIES IN HEALTH AND CARE.</w:t>
      </w:r>
    </w:p>
    <w:p w14:paraId="0000000B">
      <w:pPr>
        <w:jc w:val="center"/>
        <w:rPr>
          <w:rFonts w:ascii="Arial Nova" w:cs="Arial Nova" w:eastAsia="Arial Nova" w:hAnsi="Arial Nova"/>
          <w:b/>
          <w:bCs/>
          <w:sz w:val="40"/>
          <w:szCs w:val="40"/>
        </w:rPr>
      </w:pPr>
      <w:r>
        <w:rPr>
          <w:rFonts w:ascii="Arial Nova" w:cs="Arial Nova" w:eastAsia="Arial Nova" w:hAnsi="Arial Nova"/>
          <w:b/>
          <w:bCs/>
          <w:sz w:val="40"/>
          <w:szCs w:val="40"/>
        </w:rPr>
        <w:t>ASSIGNMENT TITLE:WRITTEN REPORT.</w:t>
      </w:r>
    </w:p>
    <w:p w14:paraId="0000000C">
      <w:pPr>
        <w:jc w:val="center"/>
        <w:rPr>
          <w:rFonts w:ascii="Arial Nova" w:cs="Arial Nova" w:eastAsia="Arial Nova" w:hAnsi="Arial Nova"/>
          <w:b/>
          <w:bCs/>
          <w:sz w:val="40"/>
          <w:szCs w:val="40"/>
        </w:rPr>
      </w:pPr>
      <w:r>
        <w:rPr>
          <w:rFonts w:ascii="Arial Nova" w:cs="Arial Nova" w:eastAsia="Arial Nova" w:hAnsi="Arial Nova"/>
          <w:b/>
          <w:bCs/>
          <w:sz w:val="40"/>
          <w:szCs w:val="40"/>
        </w:rPr>
        <w:t>MODULE CODE:BMHP5021.</w:t>
      </w:r>
    </w:p>
    <w:p w14:paraId="0000000D">
      <w:pPr>
        <w:jc w:val="center"/>
        <w:rPr>
          <w:rFonts w:ascii="Arial Nova" w:cs="Arial Nova" w:eastAsia="Arial Nova" w:hAnsi="Arial Nova"/>
          <w:b/>
          <w:bCs/>
          <w:sz w:val="40"/>
          <w:szCs w:val="40"/>
        </w:rPr>
      </w:pPr>
      <w:r>
        <w:rPr>
          <w:rFonts w:ascii="Arial Nova" w:cs="Arial Nova" w:eastAsia="Arial Nova" w:hAnsi="Arial Nova"/>
          <w:b/>
          <w:bCs/>
          <w:sz w:val="40"/>
          <w:szCs w:val="40"/>
        </w:rPr>
        <w:t xml:space="preserve">LECTURER’S NAME:ROBERT NARTOWSKI </w:t>
      </w:r>
    </w:p>
    <w:p w14:paraId="0000000E">
      <w:pPr>
        <w:spacing w:line="360" w:lineRule="auto"/>
        <w:rPr>
          <w:rFonts w:ascii="Arial" w:cs="Arial" w:hAnsi="Arial"/>
          <w:sz w:val="22"/>
          <w:szCs w:val="22"/>
        </w:rPr>
      </w:pPr>
    </w:p>
    <w:p w14:paraId="0000000F">
      <w:pPr>
        <w:spacing w:line="360" w:lineRule="auto"/>
        <w:rPr>
          <w:rFonts w:ascii="Arial" w:cs="Arial" w:hAnsi="Arial"/>
          <w:sz w:val="22"/>
          <w:szCs w:val="22"/>
        </w:rPr>
      </w:pPr>
    </w:p>
    <w:p w14:paraId="00000010">
      <w:pPr>
        <w:spacing w:line="360" w:lineRule="auto"/>
        <w:rPr>
          <w:rFonts w:ascii="Arial" w:cs="Arial" w:hAnsi="Arial"/>
          <w:sz w:val="22"/>
          <w:szCs w:val="22"/>
        </w:rPr>
      </w:pPr>
    </w:p>
    <w:p w14:paraId="00000011">
      <w:pPr>
        <w:spacing w:line="360" w:lineRule="auto"/>
        <w:rPr>
          <w:rFonts w:ascii="Arial" w:cs="Arial" w:hAnsi="Arial"/>
          <w:sz w:val="22"/>
          <w:szCs w:val="22"/>
        </w:rPr>
      </w:pPr>
    </w:p>
    <w:p w14:paraId="00000012">
      <w:pPr>
        <w:spacing w:line="360" w:lineRule="auto"/>
        <w:rPr>
          <w:rFonts w:ascii="Arial" w:cs="Arial" w:hAnsi="Arial"/>
          <w:sz w:val="22"/>
          <w:szCs w:val="22"/>
        </w:rPr>
      </w:pPr>
    </w:p>
    <w:p w14:paraId="00000013">
      <w:pPr>
        <w:spacing w:line="360" w:lineRule="auto"/>
        <w:rPr>
          <w:rFonts w:ascii="Arial" w:cs="Arial" w:hAnsi="Arial"/>
          <w:sz w:val="22"/>
          <w:szCs w:val="22"/>
        </w:rPr>
      </w:pPr>
    </w:p>
    <w:p w14:paraId="00000014">
      <w:pPr>
        <w:spacing w:line="360" w:lineRule="auto"/>
        <w:rPr>
          <w:rFonts w:ascii="Arial" w:cs="Arial" w:hAnsi="Arial"/>
          <w:sz w:val="22"/>
          <w:szCs w:val="22"/>
        </w:rPr>
      </w:pPr>
    </w:p>
    <w:p w14:paraId="00000015">
      <w:pPr>
        <w:spacing w:line="360" w:lineRule="auto"/>
        <w:rPr>
          <w:rFonts w:ascii="Arial" w:cs="Arial" w:hAnsi="Arial"/>
          <w:sz w:val="22"/>
          <w:szCs w:val="22"/>
        </w:rPr>
      </w:pPr>
    </w:p>
    <w:p w14:paraId="00000016">
      <w:pPr>
        <w:spacing w:line="360" w:lineRule="auto"/>
        <w:rPr>
          <w:rFonts w:ascii="Arial" w:cs="Arial" w:hAnsi="Arial"/>
          <w:sz w:val="22"/>
          <w:szCs w:val="22"/>
        </w:rPr>
      </w:pPr>
    </w:p>
    <w:p w14:paraId="00000017">
      <w:pPr>
        <w:spacing w:line="360" w:lineRule="auto"/>
        <w:rPr>
          <w:rFonts w:ascii="Arial" w:cs="Arial" w:hAnsi="Arial"/>
          <w:sz w:val="22"/>
          <w:szCs w:val="22"/>
        </w:rPr>
      </w:pPr>
    </w:p>
    <w:p w14:paraId="00000018">
      <w:pPr>
        <w:spacing w:line="360" w:lineRule="auto"/>
        <w:rPr>
          <w:rFonts w:ascii="Arial" w:cs="Arial" w:hAnsi="Arial"/>
          <w:sz w:val="22"/>
          <w:szCs w:val="22"/>
        </w:rPr>
      </w:pPr>
    </w:p>
    <w:p w14:paraId="00000019">
      <w:pPr>
        <w:spacing w:line="360" w:lineRule="auto"/>
        <w:rPr>
          <w:rFonts w:ascii="Arial" w:cs="Arial" w:hAnsi="Arial"/>
          <w:sz w:val="22"/>
          <w:szCs w:val="22"/>
        </w:rPr>
      </w:pPr>
    </w:p>
    <w:p w14:paraId="0000001A">
      <w:pPr>
        <w:spacing w:line="360" w:lineRule="auto"/>
        <w:rPr>
          <w:rFonts w:ascii="Arial" w:cs="Arial" w:hAnsi="Arial"/>
          <w:sz w:val="22"/>
          <w:szCs w:val="22"/>
        </w:rPr>
      </w:pPr>
    </w:p>
    <w:p w14:paraId="0000001B">
      <w:pPr>
        <w:spacing w:line="360" w:lineRule="auto"/>
        <w:rPr>
          <w:rFonts w:ascii="Arial" w:cs="Arial" w:hAnsi="Arial"/>
          <w:sz w:val="22"/>
          <w:szCs w:val="22"/>
        </w:rPr>
      </w:pPr>
    </w:p>
    <w:p w14:paraId="0000001C">
      <w:pPr>
        <w:spacing w:line="360" w:lineRule="auto"/>
        <w:rPr>
          <w:rFonts w:ascii="Arial" w:cs="Arial" w:hAnsi="Arial"/>
          <w:sz w:val="22"/>
          <w:szCs w:val="22"/>
        </w:rPr>
      </w:pPr>
    </w:p>
    <w:p w14:paraId="0000001D">
      <w:pPr>
        <w:spacing w:line="360" w:lineRule="auto"/>
        <w:jc w:val="center"/>
        <w:rPr>
          <w:rFonts w:ascii="Arial" w:cs="Arial" w:hAnsi="Arial"/>
          <w:b/>
          <w:bCs/>
          <w:sz w:val="22"/>
          <w:szCs w:val="22"/>
        </w:rPr>
      </w:pPr>
      <w:r>
        <w:rPr>
          <w:rFonts w:ascii="Arial" w:cs="Arial" w:hAnsi="Arial"/>
          <w:b/>
          <w:bCs/>
          <w:sz w:val="22"/>
          <w:szCs w:val="22"/>
        </w:rPr>
        <w:t>An Examination and Analysis of How the Early Help System is Signposted to UK Families by Local Authority Websites.</w:t>
      </w:r>
    </w:p>
    <w:p w14:paraId="0000001E">
      <w:pPr>
        <w:spacing w:line="360" w:lineRule="auto"/>
        <w:rPr>
          <w:rFonts w:ascii="Arial" w:cs="Arial" w:hAnsi="Arial"/>
          <w:b/>
          <w:bCs/>
          <w:sz w:val="22"/>
          <w:szCs w:val="22"/>
        </w:rPr>
      </w:pPr>
      <w:r>
        <w:rPr>
          <w:rFonts w:ascii="Arial" w:cs="Arial" w:hAnsi="Arial"/>
          <w:b/>
          <w:bCs/>
          <w:sz w:val="22"/>
          <w:szCs w:val="22"/>
        </w:rPr>
        <w:t>Introduction</w:t>
      </w:r>
    </w:p>
    <w:p w14:paraId="0000001F">
      <w:pPr>
        <w:spacing w:line="360" w:lineRule="auto"/>
        <w:rPr>
          <w:rFonts w:ascii="Arial" w:cs="Arial" w:hAnsi="Arial"/>
          <w:sz w:val="22"/>
          <w:szCs w:val="22"/>
        </w:rPr>
      </w:pPr>
      <w:r>
        <w:rPr>
          <w:rFonts w:ascii="Arial" w:cs="Arial" w:hAnsi="Arial"/>
          <w:sz w:val="22"/>
          <w:szCs w:val="22"/>
        </w:rPr>
        <w:t xml:space="preserve">Early intervention is a central element of the UK safeguarding system, aiming to identify emerging needs and offer support before challenges escalate into crises. </w:t>
      </w:r>
      <w:r>
        <w:rPr>
          <w:rFonts w:ascii="Arial" w:cs="Arial" w:hAnsi="Arial"/>
          <w:color w:val="000000"/>
          <w:sz w:val="22"/>
          <w:szCs w:val="22"/>
        </w:rPr>
        <w:t>(gov.uk/</w:t>
      </w:r>
      <w:r>
        <w:rPr>
          <w:rFonts w:ascii="Arial" w:cs="Arial" w:hAnsi="Arial"/>
          <w:color w:val="000000"/>
          <w:sz w:val="22"/>
          <w:szCs w:val="22"/>
        </w:rPr>
        <w:t>dluhc</w:t>
      </w:r>
      <w:r>
        <w:rPr>
          <w:rFonts w:ascii="Arial" w:cs="Arial" w:hAnsi="Arial"/>
          <w:color w:val="000000"/>
          <w:sz w:val="22"/>
          <w:szCs w:val="22"/>
        </w:rPr>
        <w:t>, 2022)</w:t>
      </w:r>
      <w:r>
        <w:rPr>
          <w:rFonts w:ascii="Arial" w:cs="Arial" w:hAnsi="Arial"/>
          <w:sz w:val="22"/>
          <w:szCs w:val="22"/>
        </w:rPr>
        <w:t>emphasises</w:t>
      </w:r>
      <w:r>
        <w:rPr>
          <w:rFonts w:ascii="Arial" w:cs="Arial" w:hAnsi="Arial"/>
          <w:sz w:val="22"/>
          <w:szCs w:val="22"/>
        </w:rPr>
        <w:t xml:space="preserve"> that accessible information for families is a vital feature of effective Early Help delivery. Local authority websites therefore play an essential role in communicating available services, referral routes, and partnership arrangements. </w:t>
      </w:r>
    </w:p>
    <w:p w14:paraId="00000020">
      <w:pPr>
        <w:spacing w:line="360" w:lineRule="auto"/>
        <w:rPr>
          <w:rFonts w:ascii="Arial" w:cs="Arial" w:hAnsi="Arial"/>
          <w:sz w:val="22"/>
          <w:szCs w:val="22"/>
        </w:rPr>
      </w:pPr>
      <w:r>
        <w:rPr>
          <w:rFonts w:ascii="Arial" w:cs="Arial" w:hAnsi="Arial"/>
          <w:sz w:val="22"/>
          <w:szCs w:val="22"/>
        </w:rPr>
        <w:t xml:space="preserve">This report evaluates how Early Help information is presented across three local authorities: </w:t>
      </w:r>
      <w:r>
        <w:rPr>
          <w:rFonts w:ascii="Arial" w:cs="Arial" w:hAnsi="Arial"/>
          <w:b/>
          <w:bCs/>
          <w:sz w:val="22"/>
          <w:szCs w:val="22"/>
        </w:rPr>
        <w:t>Norfolk County Council</w:t>
      </w:r>
      <w:r>
        <w:rPr>
          <w:rFonts w:ascii="Arial" w:cs="Arial" w:hAnsi="Arial"/>
          <w:sz w:val="22"/>
          <w:szCs w:val="22"/>
        </w:rPr>
        <w:t xml:space="preserve">, </w:t>
      </w:r>
      <w:r>
        <w:rPr>
          <w:rFonts w:ascii="Arial" w:cs="Arial" w:hAnsi="Arial"/>
          <w:b/>
          <w:bCs/>
          <w:sz w:val="22"/>
          <w:szCs w:val="22"/>
        </w:rPr>
        <w:t>Leeds City Council</w:t>
      </w:r>
      <w:r>
        <w:rPr>
          <w:rFonts w:ascii="Arial" w:cs="Arial" w:hAnsi="Arial"/>
          <w:sz w:val="22"/>
          <w:szCs w:val="22"/>
        </w:rPr>
        <w:t xml:space="preserve">, and </w:t>
      </w:r>
      <w:r>
        <w:rPr>
          <w:rFonts w:ascii="Arial" w:cs="Arial" w:hAnsi="Arial"/>
          <w:b/>
          <w:bCs/>
          <w:sz w:val="22"/>
          <w:szCs w:val="22"/>
        </w:rPr>
        <w:t>Southwark Council</w:t>
      </w:r>
      <w:r>
        <w:rPr>
          <w:rFonts w:ascii="Arial" w:cs="Arial" w:hAnsi="Arial"/>
          <w:sz w:val="22"/>
          <w:szCs w:val="22"/>
        </w:rPr>
        <w:t>. These authorities were chosen because they represent different geographical contexts and demonstrate varied approaches to presenting Early Help services online. The report will consider the clarity of Early Help explanations, accessibility, referral processes, multi-agency working, and the family-</w:t>
      </w:r>
      <w:r>
        <w:rPr>
          <w:rFonts w:ascii="Arial" w:cs="Arial" w:hAnsi="Arial"/>
          <w:sz w:val="22"/>
          <w:szCs w:val="22"/>
        </w:rPr>
        <w:t>centred</w:t>
      </w:r>
      <w:r>
        <w:rPr>
          <w:rFonts w:ascii="Arial" w:cs="Arial" w:hAnsi="Arial"/>
          <w:sz w:val="22"/>
          <w:szCs w:val="22"/>
        </w:rPr>
        <w:t xml:space="preserve"> nature of communication. A comparative analysis will follow, before concluding with recommendations to improve digital presentation and accessibility of Early Help information</w:t>
      </w:r>
      <w:r>
        <w:rPr>
          <w:rFonts w:ascii="Arial" w:cs="Arial" w:hAnsi="Arial"/>
          <w:color w:val="000000"/>
          <w:sz w:val="22"/>
          <w:szCs w:val="22"/>
        </w:rPr>
        <w:t>(Local Government UK, 2019)</w:t>
      </w:r>
      <w:r>
        <w:rPr>
          <w:rFonts w:ascii="Arial" w:cs="Arial" w:hAnsi="Arial"/>
          <w:sz w:val="22"/>
          <w:szCs w:val="22"/>
        </w:rPr>
        <w:t>.</w:t>
      </w:r>
    </w:p>
    <w:p w14:paraId="00000021">
      <w:pPr>
        <w:spacing w:line="360" w:lineRule="auto"/>
        <w:rPr>
          <w:rFonts w:ascii="Arial" w:cs="Arial" w:hAnsi="Arial"/>
          <w:b/>
          <w:bCs/>
          <w:sz w:val="22"/>
          <w:szCs w:val="22"/>
        </w:rPr>
      </w:pPr>
      <w:r>
        <w:rPr>
          <w:rFonts w:ascii="Arial" w:cs="Arial" w:hAnsi="Arial"/>
          <w:b/>
          <w:bCs/>
          <w:sz w:val="22"/>
          <w:szCs w:val="22"/>
        </w:rPr>
        <w:t>Explanation of the Early Help System</w:t>
      </w:r>
    </w:p>
    <w:p w14:paraId="00000022">
      <w:pPr>
        <w:spacing w:line="360" w:lineRule="auto"/>
        <w:rPr>
          <w:rFonts w:ascii="Arial" w:cs="Arial" w:hAnsi="Arial"/>
          <w:sz w:val="22"/>
          <w:szCs w:val="22"/>
        </w:rPr>
      </w:pPr>
      <w:r>
        <w:rPr>
          <w:rFonts w:ascii="Arial" w:cs="Arial" w:hAnsi="Arial"/>
          <w:sz w:val="22"/>
          <w:szCs w:val="22"/>
        </w:rPr>
        <w:t xml:space="preserve">The Early Help system refers to the support offered to children, young people, and families at the earliest point of emerging need. According to the </w:t>
      </w:r>
      <w:r>
        <w:rPr>
          <w:rFonts w:ascii="Arial" w:cs="Arial" w:hAnsi="Arial"/>
          <w:color w:val="000000"/>
          <w:sz w:val="22"/>
          <w:szCs w:val="22"/>
        </w:rPr>
        <w:t>(HM Government, 2023)</w:t>
      </w:r>
      <w:r>
        <w:rPr>
          <w:rFonts w:ascii="Arial" w:cs="Arial" w:hAnsi="Arial"/>
          <w:sz w:val="22"/>
          <w:szCs w:val="22"/>
        </w:rPr>
        <w:t xml:space="preserve">, Early Help aims to prevent problems from worsening by providing timely, coordinated multi-agency support. This may include parenting </w:t>
      </w:r>
      <w:r>
        <w:rPr>
          <w:rFonts w:ascii="Arial" w:cs="Arial" w:hAnsi="Arial"/>
          <w:sz w:val="22"/>
          <w:szCs w:val="22"/>
        </w:rPr>
        <w:t>programmes</w:t>
      </w:r>
      <w:r>
        <w:rPr>
          <w:rFonts w:ascii="Arial" w:cs="Arial" w:hAnsi="Arial"/>
          <w:sz w:val="22"/>
          <w:szCs w:val="22"/>
        </w:rPr>
        <w:t>, emotional wellbeing services, support for school attendance, domestic abuse services, youth support, and financial advice</w:t>
      </w:r>
      <w:r>
        <w:rPr>
          <w:rFonts w:ascii="Arial" w:cs="Arial" w:hAnsi="Arial"/>
          <w:color w:val="000000"/>
          <w:sz w:val="22"/>
          <w:szCs w:val="22"/>
        </w:rPr>
        <w:t>(Ainsworth, 2014)</w:t>
      </w:r>
      <w:r>
        <w:rPr>
          <w:rFonts w:ascii="Arial" w:cs="Arial" w:hAnsi="Arial"/>
          <w:sz w:val="22"/>
          <w:szCs w:val="22"/>
        </w:rPr>
        <w:t>.</w:t>
      </w:r>
    </w:p>
    <w:p w14:paraId="00000023">
      <w:pPr>
        <w:spacing w:line="360" w:lineRule="auto"/>
        <w:rPr>
          <w:rFonts w:ascii="Arial" w:cs="Arial" w:hAnsi="Arial"/>
          <w:sz w:val="22"/>
          <w:szCs w:val="22"/>
        </w:rPr>
      </w:pPr>
      <w:r>
        <w:rPr>
          <w:rFonts w:ascii="Arial" w:cs="Arial" w:hAnsi="Arial"/>
          <w:sz w:val="22"/>
          <w:szCs w:val="22"/>
        </w:rPr>
        <w:t>Effective Early Help requires:</w:t>
      </w:r>
    </w:p>
    <w:p w14:paraId="00000024">
      <w:pPr>
        <w:numPr>
          <w:ilvl w:val="0"/>
          <w:numId w:val="1"/>
        </w:numPr>
        <w:spacing w:line="360" w:lineRule="auto"/>
        <w:rPr>
          <w:rFonts w:ascii="Arial" w:cs="Arial" w:hAnsi="Arial"/>
          <w:sz w:val="22"/>
          <w:szCs w:val="22"/>
        </w:rPr>
      </w:pPr>
      <w:r>
        <w:rPr>
          <w:rFonts w:ascii="Arial" w:cs="Arial" w:hAnsi="Arial"/>
          <w:b/>
          <w:bCs/>
          <w:sz w:val="22"/>
          <w:szCs w:val="22"/>
        </w:rPr>
        <w:t>Accessible information</w:t>
      </w:r>
      <w:r>
        <w:rPr>
          <w:rFonts w:ascii="Arial" w:cs="Arial" w:hAnsi="Arial"/>
          <w:sz w:val="22"/>
          <w:szCs w:val="22"/>
        </w:rPr>
        <w:t xml:space="preserve"> so families know how to seek support</w:t>
      </w:r>
    </w:p>
    <w:p w14:paraId="00000025">
      <w:pPr>
        <w:numPr>
          <w:ilvl w:val="0"/>
          <w:numId w:val="1"/>
        </w:numPr>
        <w:spacing w:line="360" w:lineRule="auto"/>
        <w:rPr>
          <w:rFonts w:ascii="Arial" w:cs="Arial" w:hAnsi="Arial"/>
          <w:sz w:val="22"/>
          <w:szCs w:val="22"/>
        </w:rPr>
      </w:pPr>
      <w:r>
        <w:rPr>
          <w:rFonts w:ascii="Arial" w:cs="Arial" w:hAnsi="Arial"/>
          <w:b/>
          <w:bCs/>
          <w:sz w:val="22"/>
          <w:szCs w:val="22"/>
        </w:rPr>
        <w:t>Clear referral pathways</w:t>
      </w:r>
      <w:r>
        <w:rPr>
          <w:rFonts w:ascii="Arial" w:cs="Arial" w:hAnsi="Arial"/>
          <w:sz w:val="22"/>
          <w:szCs w:val="22"/>
        </w:rPr>
        <w:t xml:space="preserve"> for self-referrals and professional referrals</w:t>
      </w:r>
    </w:p>
    <w:p w14:paraId="00000026">
      <w:pPr>
        <w:numPr>
          <w:ilvl w:val="0"/>
          <w:numId w:val="1"/>
        </w:numPr>
        <w:spacing w:line="360" w:lineRule="auto"/>
        <w:rPr>
          <w:rFonts w:ascii="Arial" w:cs="Arial" w:hAnsi="Arial"/>
          <w:sz w:val="22"/>
          <w:szCs w:val="22"/>
        </w:rPr>
      </w:pPr>
      <w:r>
        <w:rPr>
          <w:rFonts w:ascii="Arial" w:cs="Arial" w:hAnsi="Arial"/>
          <w:b/>
          <w:bCs/>
          <w:sz w:val="22"/>
          <w:szCs w:val="22"/>
        </w:rPr>
        <w:t>Multi-agency collaboration</w:t>
      </w:r>
      <w:r>
        <w:rPr>
          <w:rFonts w:ascii="Arial" w:cs="Arial" w:hAnsi="Arial"/>
          <w:sz w:val="22"/>
          <w:szCs w:val="22"/>
        </w:rPr>
        <w:t xml:space="preserve"> led by local partnerships</w:t>
      </w:r>
    </w:p>
    <w:p w14:paraId="00000027">
      <w:pPr>
        <w:numPr>
          <w:ilvl w:val="0"/>
          <w:numId w:val="1"/>
        </w:numPr>
        <w:spacing w:line="360" w:lineRule="auto"/>
        <w:rPr>
          <w:rFonts w:ascii="Arial" w:cs="Arial" w:hAnsi="Arial"/>
          <w:sz w:val="22"/>
          <w:szCs w:val="22"/>
        </w:rPr>
      </w:pPr>
      <w:r>
        <w:rPr>
          <w:rFonts w:ascii="Arial" w:cs="Arial" w:hAnsi="Arial"/>
          <w:b/>
          <w:bCs/>
          <w:sz w:val="22"/>
          <w:szCs w:val="22"/>
        </w:rPr>
        <w:t>Early identification tools</w:t>
      </w:r>
      <w:r>
        <w:rPr>
          <w:rFonts w:ascii="Arial" w:cs="Arial" w:hAnsi="Arial"/>
          <w:sz w:val="22"/>
          <w:szCs w:val="22"/>
        </w:rPr>
        <w:t>, such as Early Help Assessments</w:t>
      </w:r>
    </w:p>
    <w:p w14:paraId="00000028">
      <w:pPr>
        <w:numPr>
          <w:ilvl w:val="0"/>
          <w:numId w:val="1"/>
        </w:numPr>
        <w:spacing w:line="360" w:lineRule="auto"/>
        <w:rPr>
          <w:rFonts w:ascii="Arial" w:cs="Arial" w:hAnsi="Arial"/>
          <w:sz w:val="22"/>
          <w:szCs w:val="22"/>
        </w:rPr>
      </w:pPr>
      <w:r>
        <w:rPr>
          <w:rFonts w:ascii="Arial" w:cs="Arial" w:hAnsi="Arial"/>
          <w:b/>
          <w:bCs/>
          <w:sz w:val="22"/>
          <w:szCs w:val="22"/>
        </w:rPr>
        <w:t>Integrated locality-based teams</w:t>
      </w:r>
    </w:p>
    <w:p w14:paraId="00000029">
      <w:pPr>
        <w:spacing w:line="360" w:lineRule="auto"/>
        <w:rPr>
          <w:rFonts w:ascii="Arial" w:cs="Arial" w:hAnsi="Arial"/>
          <w:sz w:val="22"/>
          <w:szCs w:val="22"/>
        </w:rPr>
      </w:pPr>
      <w:r>
        <w:rPr>
          <w:rFonts w:ascii="Arial" w:cs="Arial" w:hAnsi="Arial"/>
          <w:sz w:val="22"/>
          <w:szCs w:val="22"/>
        </w:rPr>
        <w:t xml:space="preserve">The </w:t>
      </w:r>
      <w:r>
        <w:rPr>
          <w:rFonts w:ascii="Arial" w:cs="Arial" w:hAnsi="Arial"/>
          <w:i/>
          <w:iCs/>
          <w:sz w:val="22"/>
          <w:szCs w:val="22"/>
        </w:rPr>
        <w:t>Early Help System Guide</w:t>
      </w:r>
      <w:r>
        <w:rPr>
          <w:rFonts w:ascii="Arial" w:cs="Arial" w:hAnsi="Arial"/>
          <w:sz w:val="22"/>
          <w:szCs w:val="22"/>
        </w:rPr>
        <w:t xml:space="preserve"> (202</w:t>
      </w:r>
      <w:r>
        <w:rPr>
          <w:rFonts w:ascii="Arial" w:cs="Arial" w:hAnsi="Arial"/>
          <w:sz w:val="22"/>
          <w:szCs w:val="22"/>
        </w:rPr>
        <w:t>2</w:t>
      </w:r>
      <w:r>
        <w:rPr>
          <w:rFonts w:ascii="Arial" w:cs="Arial" w:hAnsi="Arial"/>
          <w:sz w:val="22"/>
          <w:szCs w:val="22"/>
        </w:rPr>
        <w:t>) outlines that local authorities must ensure families understand:</w:t>
      </w:r>
    </w:p>
    <w:p w14:paraId="0000002A">
      <w:pPr>
        <w:numPr>
          <w:ilvl w:val="0"/>
          <w:numId w:val="2"/>
        </w:numPr>
        <w:spacing w:line="360" w:lineRule="auto"/>
        <w:rPr>
          <w:rFonts w:ascii="Arial" w:cs="Arial" w:hAnsi="Arial"/>
          <w:sz w:val="22"/>
          <w:szCs w:val="22"/>
        </w:rPr>
      </w:pPr>
      <w:r>
        <w:rPr>
          <w:rFonts w:ascii="Arial" w:cs="Arial" w:hAnsi="Arial"/>
          <w:sz w:val="22"/>
          <w:szCs w:val="22"/>
        </w:rPr>
        <w:t>What Early Help is</w:t>
      </w:r>
    </w:p>
    <w:p w14:paraId="0000002B">
      <w:pPr>
        <w:numPr>
          <w:ilvl w:val="0"/>
          <w:numId w:val="2"/>
        </w:numPr>
        <w:spacing w:line="360" w:lineRule="auto"/>
        <w:rPr>
          <w:rFonts w:ascii="Arial" w:cs="Arial" w:hAnsi="Arial"/>
          <w:sz w:val="22"/>
          <w:szCs w:val="22"/>
        </w:rPr>
      </w:pPr>
      <w:r>
        <w:rPr>
          <w:rFonts w:ascii="Arial" w:cs="Arial" w:hAnsi="Arial"/>
          <w:sz w:val="22"/>
          <w:szCs w:val="22"/>
        </w:rPr>
        <w:t>Who can access it</w:t>
      </w:r>
    </w:p>
    <w:p w14:paraId="0000002C">
      <w:pPr>
        <w:numPr>
          <w:ilvl w:val="0"/>
          <w:numId w:val="2"/>
        </w:numPr>
        <w:spacing w:line="360" w:lineRule="auto"/>
        <w:rPr>
          <w:rFonts w:ascii="Arial" w:cs="Arial" w:hAnsi="Arial"/>
          <w:sz w:val="22"/>
          <w:szCs w:val="22"/>
        </w:rPr>
      </w:pPr>
      <w:r>
        <w:rPr>
          <w:rFonts w:ascii="Arial" w:cs="Arial" w:hAnsi="Arial"/>
          <w:sz w:val="22"/>
          <w:szCs w:val="22"/>
        </w:rPr>
        <w:t>How to request support</w:t>
      </w:r>
    </w:p>
    <w:p w14:paraId="0000002D">
      <w:pPr>
        <w:numPr>
          <w:ilvl w:val="0"/>
          <w:numId w:val="2"/>
        </w:numPr>
        <w:spacing w:line="360" w:lineRule="auto"/>
        <w:rPr>
          <w:rFonts w:ascii="Arial" w:cs="Arial" w:hAnsi="Arial"/>
          <w:sz w:val="22"/>
          <w:szCs w:val="22"/>
        </w:rPr>
      </w:pPr>
      <w:r>
        <w:rPr>
          <w:rFonts w:ascii="Arial" w:cs="Arial" w:hAnsi="Arial"/>
          <w:sz w:val="22"/>
          <w:szCs w:val="22"/>
        </w:rPr>
        <w:t>What services are available</w:t>
      </w:r>
    </w:p>
    <w:p w14:paraId="0000002E">
      <w:pPr>
        <w:numPr>
          <w:ilvl w:val="0"/>
          <w:numId w:val="2"/>
        </w:numPr>
        <w:spacing w:line="360" w:lineRule="auto"/>
        <w:rPr>
          <w:rFonts w:ascii="Arial" w:cs="Arial" w:hAnsi="Arial"/>
          <w:sz w:val="22"/>
          <w:szCs w:val="22"/>
        </w:rPr>
      </w:pPr>
      <w:r>
        <w:rPr>
          <w:rFonts w:ascii="Arial" w:cs="Arial" w:hAnsi="Arial"/>
          <w:sz w:val="22"/>
          <w:szCs w:val="22"/>
        </w:rPr>
        <w:t>Contact information for Early Help teams</w:t>
      </w:r>
    </w:p>
    <w:p w14:paraId="0000002F">
      <w:pPr>
        <w:spacing w:line="360" w:lineRule="auto"/>
        <w:rPr>
          <w:rFonts w:ascii="Arial" w:cs="Arial" w:hAnsi="Arial"/>
          <w:sz w:val="22"/>
          <w:szCs w:val="22"/>
        </w:rPr>
      </w:pPr>
      <w:r>
        <w:rPr>
          <w:rFonts w:ascii="Arial" w:cs="Arial" w:hAnsi="Arial"/>
          <w:sz w:val="22"/>
          <w:szCs w:val="22"/>
        </w:rPr>
        <w:t>Therefore, the effectiveness of an Early Help system is significantly influenced by the quality of information presented on the local authority’s website</w:t>
      </w:r>
      <w:r>
        <w:rPr>
          <w:rFonts w:ascii="Arial" w:cs="Arial" w:hAnsi="Arial"/>
          <w:color w:val="000000"/>
          <w:sz w:val="22"/>
          <w:szCs w:val="22"/>
        </w:rPr>
        <w:t>(in Practice, 2022)</w:t>
      </w:r>
      <w:r>
        <w:rPr>
          <w:rFonts w:ascii="Arial" w:cs="Arial" w:hAnsi="Arial"/>
          <w:sz w:val="22"/>
          <w:szCs w:val="22"/>
        </w:rPr>
        <w:t>.</w:t>
      </w:r>
    </w:p>
    <w:p w14:paraId="00000030">
      <w:pPr>
        <w:spacing w:line="360" w:lineRule="auto"/>
        <w:rPr>
          <w:rFonts w:ascii="Arial" w:cs="Arial" w:hAnsi="Arial"/>
          <w:b/>
          <w:bCs/>
          <w:sz w:val="22"/>
          <w:szCs w:val="22"/>
        </w:rPr>
      </w:pPr>
      <w:r>
        <w:rPr>
          <w:rFonts w:ascii="Arial" w:cs="Arial" w:hAnsi="Arial"/>
          <w:b/>
          <w:bCs/>
          <w:sz w:val="22"/>
          <w:szCs w:val="22"/>
        </w:rPr>
        <w:t>Explanation of Multi-Agency Working</w:t>
      </w:r>
    </w:p>
    <w:p w14:paraId="00000031">
      <w:pPr>
        <w:spacing w:line="360" w:lineRule="auto"/>
        <w:rPr>
          <w:rFonts w:ascii="Arial" w:cs="Arial" w:hAnsi="Arial"/>
          <w:sz w:val="22"/>
          <w:szCs w:val="22"/>
        </w:rPr>
      </w:pPr>
      <w:r>
        <w:rPr>
          <w:rFonts w:ascii="Arial" w:cs="Arial" w:hAnsi="Arial"/>
          <w:sz w:val="22"/>
          <w:szCs w:val="22"/>
        </w:rPr>
        <w:t xml:space="preserve">Multi-agency working is a defining characteristic of Early Help. It involves coordinated action between education, health, social care, police, voluntary </w:t>
      </w:r>
      <w:r>
        <w:rPr>
          <w:rFonts w:ascii="Arial" w:cs="Arial" w:hAnsi="Arial"/>
          <w:sz w:val="22"/>
          <w:szCs w:val="22"/>
        </w:rPr>
        <w:t>organisations</w:t>
      </w:r>
      <w:r>
        <w:rPr>
          <w:rFonts w:ascii="Arial" w:cs="Arial" w:hAnsi="Arial"/>
          <w:sz w:val="22"/>
          <w:szCs w:val="22"/>
        </w:rPr>
        <w:t xml:space="preserve">, and community groups to support families holistically. </w:t>
      </w:r>
      <w:r>
        <w:rPr>
          <w:rFonts w:ascii="Arial" w:cs="Arial" w:hAnsi="Arial"/>
          <w:i/>
          <w:iCs/>
          <w:sz w:val="22"/>
          <w:szCs w:val="22"/>
        </w:rPr>
        <w:t>Working Together to Safeguard Children</w:t>
      </w:r>
      <w:r>
        <w:rPr>
          <w:rFonts w:ascii="Arial" w:cs="Arial" w:hAnsi="Arial"/>
          <w:sz w:val="22"/>
          <w:szCs w:val="22"/>
        </w:rPr>
        <w:t xml:space="preserve"> (HM Government, 2023) states that multi-agency partnerships must collaborate to assess needs, share information appropriately, and plan interventions</w:t>
      </w:r>
      <w:r>
        <w:rPr>
          <w:rFonts w:ascii="Arial" w:cs="Arial" w:hAnsi="Arial"/>
          <w:color w:val="000000"/>
          <w:sz w:val="22"/>
          <w:szCs w:val="22"/>
        </w:rPr>
        <w:t>(Thatcher et al., n.d.)</w:t>
      </w:r>
      <w:r>
        <w:rPr>
          <w:rFonts w:ascii="Arial" w:cs="Arial" w:hAnsi="Arial"/>
          <w:sz w:val="22"/>
          <w:szCs w:val="22"/>
        </w:rPr>
        <w:t>.</w:t>
      </w:r>
    </w:p>
    <w:p w14:paraId="00000032">
      <w:pPr>
        <w:spacing w:line="360" w:lineRule="auto"/>
        <w:rPr>
          <w:rFonts w:ascii="Arial" w:cs="Arial" w:hAnsi="Arial"/>
          <w:sz w:val="22"/>
          <w:szCs w:val="22"/>
        </w:rPr>
      </w:pPr>
      <w:r>
        <w:rPr>
          <w:rFonts w:ascii="Arial" w:cs="Arial" w:hAnsi="Arial"/>
          <w:sz w:val="22"/>
          <w:szCs w:val="22"/>
        </w:rPr>
        <w:t>Key features include:</w:t>
      </w:r>
    </w:p>
    <w:p w14:paraId="00000033">
      <w:pPr>
        <w:numPr>
          <w:ilvl w:val="0"/>
          <w:numId w:val="3"/>
        </w:numPr>
        <w:spacing w:line="360" w:lineRule="auto"/>
        <w:rPr>
          <w:rFonts w:ascii="Arial" w:cs="Arial" w:hAnsi="Arial"/>
          <w:sz w:val="22"/>
          <w:szCs w:val="22"/>
        </w:rPr>
      </w:pPr>
      <w:r>
        <w:rPr>
          <w:rFonts w:ascii="Arial" w:cs="Arial" w:hAnsi="Arial"/>
          <w:b/>
          <w:bCs/>
          <w:sz w:val="22"/>
          <w:szCs w:val="22"/>
        </w:rPr>
        <w:t>Shared Early Help Assessment processes</w:t>
      </w:r>
    </w:p>
    <w:p w14:paraId="00000034">
      <w:pPr>
        <w:numPr>
          <w:ilvl w:val="0"/>
          <w:numId w:val="3"/>
        </w:numPr>
        <w:spacing w:line="360" w:lineRule="auto"/>
        <w:rPr>
          <w:rFonts w:ascii="Arial" w:cs="Arial" w:hAnsi="Arial"/>
          <w:sz w:val="22"/>
          <w:szCs w:val="22"/>
        </w:rPr>
      </w:pPr>
      <w:r>
        <w:rPr>
          <w:rFonts w:ascii="Arial" w:cs="Arial" w:hAnsi="Arial"/>
          <w:b/>
          <w:bCs/>
          <w:sz w:val="22"/>
          <w:szCs w:val="22"/>
        </w:rPr>
        <w:t>Coordinated Team Around the Family (TAF) meetings</w:t>
      </w:r>
    </w:p>
    <w:p w14:paraId="00000035">
      <w:pPr>
        <w:numPr>
          <w:ilvl w:val="0"/>
          <w:numId w:val="3"/>
        </w:numPr>
        <w:spacing w:line="360" w:lineRule="auto"/>
        <w:rPr>
          <w:rFonts w:ascii="Arial" w:cs="Arial" w:hAnsi="Arial"/>
          <w:sz w:val="22"/>
          <w:szCs w:val="22"/>
        </w:rPr>
      </w:pPr>
      <w:r>
        <w:rPr>
          <w:rFonts w:ascii="Arial" w:cs="Arial" w:hAnsi="Arial"/>
          <w:b/>
          <w:bCs/>
          <w:sz w:val="22"/>
          <w:szCs w:val="22"/>
        </w:rPr>
        <w:t>Joint service delivery</w:t>
      </w:r>
      <w:r>
        <w:rPr>
          <w:rFonts w:ascii="Arial" w:cs="Arial" w:hAnsi="Arial"/>
          <w:sz w:val="22"/>
          <w:szCs w:val="22"/>
        </w:rPr>
        <w:t xml:space="preserve"> (e.g., schools working with children’s </w:t>
      </w:r>
      <w:r>
        <w:rPr>
          <w:rFonts w:ascii="Arial" w:cs="Arial" w:hAnsi="Arial"/>
          <w:sz w:val="22"/>
          <w:szCs w:val="22"/>
        </w:rPr>
        <w:t>centres</w:t>
      </w:r>
      <w:r>
        <w:rPr>
          <w:rFonts w:ascii="Arial" w:cs="Arial" w:hAnsi="Arial"/>
          <w:sz w:val="22"/>
          <w:szCs w:val="22"/>
        </w:rPr>
        <w:t>)</w:t>
      </w:r>
    </w:p>
    <w:p w14:paraId="00000036">
      <w:pPr>
        <w:numPr>
          <w:ilvl w:val="0"/>
          <w:numId w:val="3"/>
        </w:numPr>
        <w:spacing w:line="360" w:lineRule="auto"/>
        <w:rPr>
          <w:rFonts w:ascii="Arial" w:cs="Arial" w:hAnsi="Arial"/>
          <w:sz w:val="22"/>
          <w:szCs w:val="22"/>
        </w:rPr>
      </w:pPr>
      <w:r>
        <w:rPr>
          <w:rFonts w:ascii="Arial" w:cs="Arial" w:hAnsi="Arial"/>
          <w:b/>
          <w:bCs/>
          <w:sz w:val="22"/>
          <w:szCs w:val="22"/>
        </w:rPr>
        <w:t>Clear communication channels</w:t>
      </w:r>
      <w:r>
        <w:rPr>
          <w:rFonts w:ascii="Arial" w:cs="Arial" w:hAnsi="Arial"/>
          <w:sz w:val="22"/>
          <w:szCs w:val="22"/>
        </w:rPr>
        <w:t xml:space="preserve"> between professionals</w:t>
      </w:r>
    </w:p>
    <w:p w14:paraId="00000037">
      <w:pPr>
        <w:numPr>
          <w:ilvl w:val="0"/>
          <w:numId w:val="3"/>
        </w:numPr>
        <w:spacing w:line="360" w:lineRule="auto"/>
        <w:rPr>
          <w:rFonts w:ascii="Arial" w:cs="Arial" w:hAnsi="Arial"/>
          <w:sz w:val="22"/>
          <w:szCs w:val="22"/>
        </w:rPr>
      </w:pPr>
      <w:r>
        <w:rPr>
          <w:rFonts w:ascii="Arial" w:cs="Arial" w:hAnsi="Arial"/>
          <w:b/>
          <w:bCs/>
          <w:sz w:val="22"/>
          <w:szCs w:val="22"/>
        </w:rPr>
        <w:t>Shared responsibility for outcomes</w:t>
      </w:r>
    </w:p>
    <w:p w14:paraId="00000038">
      <w:pPr>
        <w:spacing w:line="360" w:lineRule="auto"/>
        <w:rPr>
          <w:rFonts w:ascii="Arial" w:cs="Arial" w:hAnsi="Arial"/>
          <w:sz w:val="22"/>
          <w:szCs w:val="22"/>
        </w:rPr>
      </w:pPr>
      <w:r>
        <w:rPr>
          <w:rFonts w:ascii="Arial" w:cs="Arial" w:hAnsi="Arial"/>
          <w:sz w:val="22"/>
          <w:szCs w:val="22"/>
        </w:rPr>
        <w:t>Local authorities are required to articulate how partners work together, including referral routes, consent processes, service thresholds, and roles of practitioners. Effective website communication therefore supports not only families but also professionals engaging in multi-agency work</w:t>
      </w:r>
      <w:r>
        <w:rPr>
          <w:rFonts w:ascii="Arial" w:cs="Arial" w:hAnsi="Arial"/>
          <w:color w:val="000000"/>
          <w:sz w:val="22"/>
          <w:szCs w:val="22"/>
        </w:rPr>
        <w:t>(Government Association, n.d.)</w:t>
      </w:r>
      <w:r>
        <w:rPr>
          <w:rFonts w:ascii="Arial" w:cs="Arial" w:hAnsi="Arial"/>
          <w:sz w:val="22"/>
          <w:szCs w:val="22"/>
        </w:rPr>
        <w:t>.</w:t>
      </w:r>
    </w:p>
    <w:p w14:paraId="00000039">
      <w:pPr>
        <w:spacing w:line="360" w:lineRule="auto"/>
        <w:rPr>
          <w:rFonts w:ascii="Arial" w:cs="Arial" w:hAnsi="Arial"/>
          <w:b/>
          <w:bCs/>
          <w:sz w:val="22"/>
          <w:szCs w:val="22"/>
        </w:rPr>
      </w:pPr>
      <w:r>
        <w:rPr>
          <w:rFonts w:ascii="Arial" w:cs="Arial" w:hAnsi="Arial"/>
          <w:b/>
          <w:bCs/>
          <w:sz w:val="22"/>
          <w:szCs w:val="22"/>
        </w:rPr>
        <w:t>Evaluation of the Three Local Authority Websites</w:t>
      </w:r>
    </w:p>
    <w:p w14:paraId="0000003A">
      <w:pPr>
        <w:spacing w:line="360" w:lineRule="auto"/>
        <w:rPr>
          <w:rFonts w:ascii="Arial" w:cs="Arial" w:hAnsi="Arial"/>
          <w:sz w:val="22"/>
          <w:szCs w:val="22"/>
        </w:rPr>
      </w:pPr>
    </w:p>
    <w:p w14:paraId="0000003B">
      <w:pPr>
        <w:numPr>
          <w:ilvl w:val="0"/>
          <w:numId w:val="16"/>
        </w:numPr>
        <w:spacing w:line="360" w:lineRule="auto"/>
        <w:rPr>
          <w:rFonts w:ascii="Arial" w:cs="Arial" w:hAnsi="Arial"/>
          <w:b/>
          <w:bCs/>
          <w:sz w:val="22"/>
          <w:szCs w:val="22"/>
        </w:rPr>
      </w:pPr>
      <w:r>
        <w:rPr>
          <w:rFonts w:ascii="Arial" w:cs="Arial" w:hAnsi="Arial"/>
          <w:b/>
          <w:bCs/>
          <w:sz w:val="22"/>
          <w:szCs w:val="22"/>
        </w:rPr>
        <w:t xml:space="preserve">Norfolk County Council </w:t>
      </w:r>
    </w:p>
    <w:p w14:paraId="0000003C">
      <w:pPr>
        <w:spacing w:line="360" w:lineRule="auto"/>
        <w:rPr>
          <w:rFonts w:ascii="Arial" w:cs="Arial" w:hAnsi="Arial"/>
          <w:b/>
          <w:bCs/>
          <w:sz w:val="22"/>
          <w:szCs w:val="22"/>
        </w:rPr>
      </w:pPr>
      <w:r>
        <w:rPr>
          <w:rFonts w:ascii="Arial" w:cs="Arial" w:hAnsi="Arial"/>
          <w:sz w:val="22"/>
          <w:szCs w:val="22"/>
        </w:rPr>
        <w:t>Norfolk County Council presents Early Help information under the "Family Support" and "Early Help and Prevention" sections of their website. The website clearly explains that Early Help supports families "to overcome emerging issues before they escalate," demonstrating alignment with the principles outlined in Working Together to Safeguard Children 2023. Norfolk provides a detailed outline of the Early Help Assessment (EHA) process and explains how the Family Support Process is coordinated through multi-agency working arrangements.</w:t>
      </w:r>
      <w:r>
        <w:rPr>
          <w:rFonts w:ascii="Arial" w:cs="Arial" w:hAnsi="Arial"/>
          <w:b/>
          <w:bCs/>
          <w:sz w:val="22"/>
          <w:szCs w:val="22"/>
        </w:rPr>
        <w:t xml:space="preserve">Strengths </w:t>
      </w:r>
    </w:p>
    <w:p w14:paraId="0000003D">
      <w:pPr>
        <w:spacing w:line="360" w:lineRule="auto"/>
        <w:rPr>
          <w:rFonts w:ascii="Arial" w:cs="Arial" w:hAnsi="Arial"/>
          <w:sz w:val="22"/>
          <w:szCs w:val="22"/>
        </w:rPr>
      </w:pPr>
      <w:r>
        <w:rPr>
          <w:rFonts w:ascii="Arial" w:cs="Arial" w:hAnsi="Arial"/>
          <w:sz w:val="22"/>
          <w:szCs w:val="22"/>
        </w:rPr>
        <w:t>Norfolk's website demonstrates several significant strengths in communicating Early Help services to families</w:t>
      </w:r>
      <w:r>
        <w:rPr>
          <w:rFonts w:ascii="Arial" w:cs="Arial" w:hAnsi="Arial"/>
          <w:color w:val="000000"/>
          <w:sz w:val="22"/>
          <w:szCs w:val="22"/>
        </w:rPr>
        <w:t>(Norfolk County Council, 2025b)</w:t>
      </w:r>
      <w:r>
        <w:rPr>
          <w:rFonts w:ascii="Arial" w:cs="Arial" w:hAnsi="Arial"/>
          <w:sz w:val="22"/>
          <w:szCs w:val="22"/>
        </w:rPr>
        <w:t>. The website offers a clear, step-by-step explanation of the Early Help pathway, which helps families understand what to expect when they engage with services. This systematic approach reflects the importance of transparency in safeguarding partnerships, as emphasized in the Early Help System Guide. The provision of downloadable leaflets and professional guidance supports both families and practitioners in understanding their roles within the Early Help framework, fostering the multi-agency collaboration that is central to effective safeguarding work.</w:t>
      </w:r>
    </w:p>
    <w:p w14:paraId="0000003E">
      <w:pPr>
        <w:spacing w:line="360" w:lineRule="auto"/>
        <w:rPr>
          <w:rFonts w:ascii="Arial" w:cs="Arial" w:hAnsi="Arial"/>
          <w:sz w:val="22"/>
          <w:szCs w:val="22"/>
        </w:rPr>
      </w:pPr>
      <w:r>
        <w:rPr>
          <w:rFonts w:ascii="Arial" w:cs="Arial" w:hAnsi="Arial"/>
          <w:sz w:val="22"/>
          <w:szCs w:val="22"/>
        </w:rPr>
        <w:t>A particularly notable strength is Norfolk's dedicated online portal for professional referrals, which streamlines the referral process and supports timely intervention. The website clearly signposts self-referral options, empowering families to access support proactively without feeling they must wait for professional involvement. This aligns with the strengths-based approach advocated in contemporary safeguarding practice. Furthermore, the easy-to-navigate layout with separate pages for professionals and families demonstrates thoughtful consideration of different user needs, ensuring that information is targeted and relevant to each audience.</w:t>
      </w:r>
    </w:p>
    <w:p w14:paraId="0000003F">
      <w:pPr>
        <w:spacing w:line="360" w:lineRule="auto"/>
        <w:rPr>
          <w:rFonts w:ascii="Arial" w:cs="Arial" w:hAnsi="Arial"/>
          <w:b/>
          <w:bCs/>
          <w:sz w:val="22"/>
          <w:szCs w:val="22"/>
        </w:rPr>
      </w:pPr>
      <w:r>
        <w:rPr>
          <w:rFonts w:ascii="Arial" w:cs="Arial" w:hAnsi="Arial"/>
          <w:b/>
          <w:bCs/>
          <w:sz w:val="22"/>
          <w:szCs w:val="22"/>
        </w:rPr>
        <w:t xml:space="preserve">Weaknesses </w:t>
      </w:r>
    </w:p>
    <w:p w14:paraId="00000040">
      <w:pPr>
        <w:spacing w:line="360" w:lineRule="auto"/>
        <w:rPr>
          <w:rFonts w:ascii="Arial" w:cs="Arial" w:hAnsi="Arial"/>
          <w:sz w:val="22"/>
          <w:szCs w:val="22"/>
        </w:rPr>
      </w:pPr>
      <w:r>
        <w:rPr>
          <w:rFonts w:ascii="Arial" w:cs="Arial" w:hAnsi="Arial"/>
          <w:sz w:val="22"/>
          <w:szCs w:val="22"/>
        </w:rPr>
        <w:t>Despite these strengths, Norfolk's website has several areas requiring improvement. Some information sections are text-heavy, which may create barriers for families with lower literacy levels or those for whom English is an additional language. This potentially excludes vulnerable families who might benefit most from Early Help services. The limited use of visual aids, infographics, or videos to support accessibility represents a missed opportunity to engage diverse family groups more effectively. Additionally, the Early Help offer is spread across multiple pages, requiring users to navigate through several clicks to gather complete information. This fragmentation may frustrate families seeking quick answers during times of stress or crisis</w:t>
      </w:r>
      <w:r>
        <w:rPr>
          <w:rFonts w:ascii="Arial" w:cs="Arial" w:hAnsi="Arial"/>
          <w:color w:val="000000"/>
          <w:sz w:val="22"/>
          <w:szCs w:val="22"/>
        </w:rPr>
        <w:t>(Norfolk County Council, 2025a)</w:t>
      </w:r>
      <w:r>
        <w:rPr>
          <w:rFonts w:ascii="Arial" w:cs="Arial" w:hAnsi="Arial"/>
          <w:sz w:val="22"/>
          <w:szCs w:val="22"/>
        </w:rPr>
        <w:t>.</w:t>
      </w:r>
    </w:p>
    <w:p w14:paraId="00000041">
      <w:pPr>
        <w:spacing w:line="360" w:lineRule="auto"/>
        <w:rPr>
          <w:rFonts w:ascii="Arial" w:cs="Arial" w:hAnsi="Arial"/>
          <w:sz w:val="22"/>
          <w:szCs w:val="22"/>
        </w:rPr>
      </w:pPr>
      <w:r>
        <w:rPr>
          <w:rFonts w:ascii="Arial" w:cs="Arial" w:hAnsi="Arial"/>
          <w:sz w:val="22"/>
          <w:szCs w:val="22"/>
        </w:rPr>
        <w:t>Norfolk's approach is undeniably comprehensive and demonstrates strong consideration for professional users, but it could be significantly enhanced by improving user-friendliness for families themselves, who are the primary beneficiaries of these services.</w:t>
      </w:r>
    </w:p>
    <w:p w14:paraId="00000042">
      <w:pPr>
        <w:numPr>
          <w:ilvl w:val="0"/>
          <w:numId w:val="17"/>
        </w:numPr>
        <w:spacing w:line="360" w:lineRule="auto"/>
        <w:rPr>
          <w:rFonts w:ascii="Arial" w:cs="Arial" w:hAnsi="Arial"/>
          <w:b/>
          <w:bCs/>
          <w:sz w:val="22"/>
          <w:szCs w:val="22"/>
        </w:rPr>
      </w:pPr>
      <w:r>
        <w:rPr>
          <w:rFonts w:ascii="Arial" w:cs="Arial" w:hAnsi="Arial"/>
          <w:b/>
          <w:bCs/>
          <w:sz w:val="22"/>
          <w:szCs w:val="22"/>
        </w:rPr>
        <w:t>Leeds City Council</w:t>
      </w:r>
    </w:p>
    <w:p w14:paraId="00000043">
      <w:pPr>
        <w:spacing w:line="360" w:lineRule="auto"/>
        <w:rPr>
          <w:rFonts w:ascii="Arial" w:cs="Arial" w:hAnsi="Arial"/>
          <w:sz w:val="22"/>
          <w:szCs w:val="22"/>
        </w:rPr>
      </w:pPr>
      <w:r>
        <w:rPr>
          <w:rFonts w:ascii="Arial" w:cs="Arial" w:hAnsi="Arial"/>
          <w:sz w:val="22"/>
          <w:szCs w:val="22"/>
        </w:rPr>
        <w:t>Leeds City Council presents its Early Help offer within the "Family Help and Support" section, clearly aligning with the city's "Leeds Early Help Strategy." The website adopts a notably family-friendly tone and prominently promotes its network of Early Help Hubs, which serve as accessible community entry points for support services.</w:t>
      </w:r>
    </w:p>
    <w:p w14:paraId="00000044">
      <w:pPr>
        <w:spacing w:line="360" w:lineRule="auto"/>
        <w:rPr>
          <w:rFonts w:ascii="Arial" w:cs="Arial" w:hAnsi="Arial"/>
          <w:b/>
          <w:bCs/>
          <w:sz w:val="22"/>
          <w:szCs w:val="22"/>
        </w:rPr>
      </w:pPr>
      <w:r>
        <w:rPr>
          <w:rFonts w:ascii="Arial" w:cs="Arial" w:hAnsi="Arial"/>
          <w:b/>
          <w:bCs/>
          <w:sz w:val="22"/>
          <w:szCs w:val="22"/>
        </w:rPr>
        <w:t xml:space="preserve">Strengths </w:t>
      </w:r>
    </w:p>
    <w:p w14:paraId="00000045">
      <w:pPr>
        <w:spacing w:line="360" w:lineRule="auto"/>
        <w:rPr>
          <w:rFonts w:ascii="Arial" w:cs="Arial" w:hAnsi="Arial"/>
          <w:sz w:val="22"/>
          <w:szCs w:val="22"/>
        </w:rPr>
      </w:pPr>
      <w:r>
        <w:rPr>
          <w:rFonts w:ascii="Arial" w:cs="Arial" w:hAnsi="Arial"/>
          <w:sz w:val="22"/>
          <w:szCs w:val="22"/>
        </w:rPr>
        <w:t>Leeds demonstrates exceptional clarity in communicating Early Help services to families</w:t>
      </w:r>
      <w:r>
        <w:rPr>
          <w:rFonts w:ascii="Arial" w:cs="Arial" w:hAnsi="Arial"/>
          <w:color w:val="000000"/>
          <w:sz w:val="22"/>
          <w:szCs w:val="22"/>
        </w:rPr>
        <w:t>(Leeds County Council, 2025)</w:t>
      </w:r>
      <w:r>
        <w:rPr>
          <w:rFonts w:ascii="Arial" w:cs="Arial" w:hAnsi="Arial"/>
          <w:sz w:val="22"/>
          <w:szCs w:val="22"/>
        </w:rPr>
        <w:t>. The website uses extremely clear explanations written in simple, accessible language that avoids professional jargon, making information understandable to families from diverse backgrounds. This approach reflects best practice in public communication and demonstrates genuine commitment to accessibility. A particularly impressive feature is the provision of a one-page visual diagram showing how Early Help works in Leeds, which enables families to quickly grasp the support pathway without wading through lengthy text.</w:t>
      </w:r>
    </w:p>
    <w:p w14:paraId="00000046">
      <w:pPr>
        <w:spacing w:line="360" w:lineRule="auto"/>
        <w:rPr>
          <w:rFonts w:ascii="Arial" w:cs="Arial" w:hAnsi="Arial"/>
          <w:sz w:val="22"/>
          <w:szCs w:val="22"/>
        </w:rPr>
      </w:pPr>
      <w:r>
        <w:rPr>
          <w:rFonts w:ascii="Arial" w:cs="Arial" w:hAnsi="Arial"/>
          <w:sz w:val="22"/>
          <w:szCs w:val="22"/>
        </w:rPr>
        <w:t>The website includes comprehensive contact details for Early Help Hubs in different localities across Leeds, ensuring families can easily identify their nearest support point</w:t>
      </w:r>
      <w:r>
        <w:rPr>
          <w:rFonts w:ascii="Arial" w:cs="Arial" w:hAnsi="Arial"/>
          <w:color w:val="000000"/>
          <w:sz w:val="22"/>
          <w:szCs w:val="22"/>
        </w:rPr>
        <w:t>(Leeds County Council, 2025)</w:t>
      </w:r>
      <w:r>
        <w:rPr>
          <w:rFonts w:ascii="Arial" w:cs="Arial" w:hAnsi="Arial"/>
          <w:sz w:val="22"/>
          <w:szCs w:val="22"/>
        </w:rPr>
        <w:t xml:space="preserve">. This locality-based approach supports the development of community connections and reduces barriers to access. There is strong emphasis on partnership working, with clear information about how children's </w:t>
      </w:r>
      <w:r>
        <w:rPr>
          <w:rFonts w:ascii="Arial" w:cs="Arial" w:hAnsi="Arial"/>
          <w:sz w:val="22"/>
          <w:szCs w:val="22"/>
        </w:rPr>
        <w:t>centres</w:t>
      </w:r>
      <w:r>
        <w:rPr>
          <w:rFonts w:ascii="Arial" w:cs="Arial" w:hAnsi="Arial"/>
          <w:sz w:val="22"/>
          <w:szCs w:val="22"/>
        </w:rPr>
        <w:t>, schools, and other agencies collaborate within the Early Help system. This transparent approach to multi-agency working helps families understand that they will receive coordinated support rather than fragmented services.</w:t>
      </w:r>
    </w:p>
    <w:p w14:paraId="00000047">
      <w:pPr>
        <w:spacing w:line="360" w:lineRule="auto"/>
        <w:rPr>
          <w:rFonts w:ascii="Arial" w:cs="Arial" w:hAnsi="Arial"/>
          <w:sz w:val="22"/>
          <w:szCs w:val="22"/>
        </w:rPr>
      </w:pPr>
      <w:r>
        <w:rPr>
          <w:rFonts w:ascii="Arial" w:cs="Arial" w:hAnsi="Arial"/>
          <w:sz w:val="22"/>
          <w:szCs w:val="22"/>
        </w:rPr>
        <w:t>Leeds'</w:t>
      </w:r>
      <w:r>
        <w:rPr>
          <w:rFonts w:ascii="Arial" w:cs="Arial" w:hAnsi="Arial"/>
          <w:sz w:val="22"/>
          <w:szCs w:val="22"/>
        </w:rPr>
        <w:t xml:space="preserve"> family-focused, strengths-based approach is entirely consistent with the "Family Valued" model that underpins the city's children's services. The website clearly communicates that Early Help is about building on family strengths rather than focusing solely on problems or deficits. This positive framing encourages engagement and reduces the stigma that families sometimes associate with seeking support.</w:t>
      </w:r>
    </w:p>
    <w:p w14:paraId="00000048">
      <w:pPr>
        <w:spacing w:line="360" w:lineRule="auto"/>
        <w:rPr>
          <w:rFonts w:ascii="Arial" w:cs="Arial" w:hAnsi="Arial"/>
          <w:b/>
          <w:bCs/>
          <w:sz w:val="22"/>
          <w:szCs w:val="22"/>
        </w:rPr>
      </w:pPr>
      <w:r>
        <w:rPr>
          <w:rFonts w:ascii="Arial" w:cs="Arial" w:hAnsi="Arial"/>
          <w:b/>
          <w:bCs/>
          <w:sz w:val="22"/>
          <w:szCs w:val="22"/>
        </w:rPr>
        <w:t xml:space="preserve">Weaknesses </w:t>
      </w:r>
    </w:p>
    <w:p w14:paraId="00000049">
      <w:pPr>
        <w:spacing w:line="360" w:lineRule="auto"/>
        <w:rPr>
          <w:rFonts w:ascii="Arial" w:cs="Arial" w:hAnsi="Arial"/>
          <w:sz w:val="22"/>
          <w:szCs w:val="22"/>
        </w:rPr>
      </w:pPr>
      <w:r>
        <w:rPr>
          <w:rFonts w:ascii="Arial" w:cs="Arial" w:hAnsi="Arial"/>
          <w:sz w:val="22"/>
          <w:szCs w:val="22"/>
        </w:rPr>
        <w:t xml:space="preserve">However, </w:t>
      </w:r>
      <w:r>
        <w:rPr>
          <w:rFonts w:ascii="Arial" w:cs="Arial" w:hAnsi="Arial"/>
          <w:sz w:val="22"/>
          <w:szCs w:val="22"/>
        </w:rPr>
        <w:t>Leeds'</w:t>
      </w:r>
      <w:r>
        <w:rPr>
          <w:rFonts w:ascii="Arial" w:cs="Arial" w:hAnsi="Arial"/>
          <w:sz w:val="22"/>
          <w:szCs w:val="22"/>
        </w:rPr>
        <w:t xml:space="preserve"> website is not without limitations. Some webpages link to older PDF documents, which may appear outdated and could contain information that no longer reflects current service provision. This creates potential confusion and undermines confidence in the information provided. Additionally, some service areas lack the detailed descriptions found on Norfolk's website, meaning families or professionals seeking specific information about particular interventions may need to make telephone enquiries rather than finding answers online.</w:t>
      </w:r>
    </w:p>
    <w:p w14:paraId="0000004A">
      <w:pPr>
        <w:spacing w:line="360" w:lineRule="auto"/>
        <w:rPr>
          <w:rFonts w:ascii="Arial" w:cs="Arial" w:hAnsi="Arial"/>
          <w:sz w:val="22"/>
          <w:szCs w:val="22"/>
        </w:rPr>
      </w:pPr>
      <w:r>
        <w:rPr>
          <w:rFonts w:ascii="Arial" w:cs="Arial" w:hAnsi="Arial"/>
          <w:sz w:val="22"/>
          <w:szCs w:val="22"/>
        </w:rPr>
        <w:t xml:space="preserve">The navigation structure can occasionally feel broad because Early Help information is embedded within wider family support content, potentially requiring users to search through multiple sections to locate specific </w:t>
      </w:r>
      <w:r>
        <w:rPr>
          <w:rFonts w:ascii="Arial" w:cs="Arial" w:hAnsi="Arial"/>
          <w:sz w:val="22"/>
          <w:szCs w:val="22"/>
        </w:rPr>
        <w:t>Early Help resources. Nevertheless, Leeds demonstrates a highly accessible, family-friendly Early Help system that successfully balances comprehensiveness with usability.</w:t>
      </w:r>
    </w:p>
    <w:p w14:paraId="0000004B">
      <w:pPr>
        <w:spacing w:line="360" w:lineRule="auto"/>
        <w:rPr>
          <w:rFonts w:ascii="Arial" w:cs="Arial" w:hAnsi="Arial"/>
          <w:sz w:val="22"/>
          <w:szCs w:val="22"/>
        </w:rPr>
      </w:pPr>
    </w:p>
    <w:p w14:paraId="0000004C">
      <w:pPr>
        <w:numPr>
          <w:ilvl w:val="0"/>
          <w:numId w:val="18"/>
        </w:numPr>
        <w:spacing w:line="360" w:lineRule="auto"/>
        <w:rPr>
          <w:rFonts w:ascii="Arial" w:cs="Arial" w:hAnsi="Arial"/>
          <w:sz w:val="22"/>
          <w:szCs w:val="22"/>
        </w:rPr>
      </w:pPr>
      <w:r>
        <w:rPr>
          <w:rFonts w:ascii="Arial" w:cs="Arial" w:hAnsi="Arial"/>
          <w:sz w:val="22"/>
          <w:szCs w:val="22"/>
        </w:rPr>
        <w:t xml:space="preserve">Southwark Council </w:t>
      </w:r>
    </w:p>
    <w:p w14:paraId="0000004D">
      <w:pPr>
        <w:spacing w:line="360" w:lineRule="auto"/>
        <w:rPr>
          <w:rFonts w:ascii="Arial" w:cs="Arial" w:hAnsi="Arial"/>
          <w:sz w:val="22"/>
          <w:szCs w:val="22"/>
        </w:rPr>
      </w:pPr>
      <w:r>
        <w:rPr>
          <w:rFonts w:ascii="Arial" w:cs="Arial" w:hAnsi="Arial"/>
          <w:sz w:val="22"/>
          <w:szCs w:val="22"/>
        </w:rPr>
        <w:t xml:space="preserve">Southwark Council presents Early Help information within its "Local Offer" and "Family Early Help" pages. The website demonstrates close integration between Early Help and universal services including children's </w:t>
      </w:r>
      <w:r>
        <w:rPr>
          <w:rFonts w:ascii="Arial" w:cs="Arial" w:hAnsi="Arial"/>
          <w:sz w:val="22"/>
          <w:szCs w:val="22"/>
        </w:rPr>
        <w:t>centres</w:t>
      </w:r>
      <w:r>
        <w:rPr>
          <w:rFonts w:ascii="Arial" w:cs="Arial" w:hAnsi="Arial"/>
          <w:sz w:val="22"/>
          <w:szCs w:val="22"/>
        </w:rPr>
        <w:t>, youth services, and the Southwark "Family Early Help Service," reflecting the coordinated approach advocated in the Early Help System Guide.</w:t>
      </w:r>
    </w:p>
    <w:p w14:paraId="0000004E">
      <w:pPr>
        <w:spacing w:line="360" w:lineRule="auto"/>
        <w:rPr>
          <w:rFonts w:ascii="Arial" w:cs="Arial" w:hAnsi="Arial"/>
          <w:b/>
          <w:bCs/>
          <w:sz w:val="22"/>
          <w:szCs w:val="22"/>
        </w:rPr>
      </w:pPr>
      <w:r>
        <w:rPr>
          <w:rFonts w:ascii="Arial" w:cs="Arial" w:hAnsi="Arial"/>
          <w:b/>
          <w:bCs/>
          <w:sz w:val="22"/>
          <w:szCs w:val="22"/>
        </w:rPr>
        <w:t>Strengths</w:t>
      </w:r>
    </w:p>
    <w:p w14:paraId="0000004F">
      <w:pPr>
        <w:spacing w:line="360" w:lineRule="auto"/>
        <w:rPr>
          <w:rFonts w:ascii="Arial" w:cs="Arial" w:hAnsi="Arial"/>
          <w:sz w:val="22"/>
          <w:szCs w:val="22"/>
        </w:rPr>
      </w:pPr>
      <w:r>
        <w:rPr>
          <w:rFonts w:ascii="Arial" w:cs="Arial" w:hAnsi="Arial"/>
          <w:sz w:val="22"/>
          <w:szCs w:val="22"/>
        </w:rPr>
        <w:t xml:space="preserve">Southwark provides a clear description of what Early Help is and explicitly outlines who can access these services, removing ambiguity about eligibility. This transparency supports early engagement by reassuring families that they can seek help without meeting high thresholds. The website demonstrates strong emphasis on community-based services, including children's </w:t>
      </w:r>
      <w:r>
        <w:rPr>
          <w:rFonts w:ascii="Arial" w:cs="Arial" w:hAnsi="Arial"/>
          <w:sz w:val="22"/>
          <w:szCs w:val="22"/>
        </w:rPr>
        <w:t>centres</w:t>
      </w:r>
      <w:r>
        <w:rPr>
          <w:rFonts w:ascii="Arial" w:cs="Arial" w:hAnsi="Arial"/>
          <w:sz w:val="22"/>
          <w:szCs w:val="22"/>
        </w:rPr>
        <w:t xml:space="preserve"> and youth </w:t>
      </w:r>
      <w:r>
        <w:rPr>
          <w:rFonts w:ascii="Arial" w:cs="Arial" w:hAnsi="Arial"/>
          <w:sz w:val="22"/>
          <w:szCs w:val="22"/>
        </w:rPr>
        <w:t>programmes</w:t>
      </w:r>
      <w:r>
        <w:rPr>
          <w:rFonts w:ascii="Arial" w:cs="Arial" w:hAnsi="Arial"/>
          <w:sz w:val="22"/>
          <w:szCs w:val="22"/>
        </w:rPr>
        <w:t>, which positions Early Help as an integrated part of community life rather than as a separate, stigmatized service.</w:t>
      </w:r>
    </w:p>
    <w:p w14:paraId="00000050">
      <w:pPr>
        <w:spacing w:line="360" w:lineRule="auto"/>
        <w:rPr>
          <w:rFonts w:ascii="Arial" w:cs="Arial" w:hAnsi="Arial"/>
          <w:sz w:val="22"/>
          <w:szCs w:val="22"/>
        </w:rPr>
      </w:pPr>
      <w:r>
        <w:rPr>
          <w:rFonts w:ascii="Arial" w:cs="Arial" w:hAnsi="Arial"/>
          <w:sz w:val="22"/>
          <w:szCs w:val="22"/>
        </w:rPr>
        <w:t>Contact details for Early Help Duty Lines are prominently displayed, enabling families to make immediate contact when they need support. The availability of self-referral forms directly online represents good practice by reducing barriers and empowering families to take the first step in seeking help</w:t>
      </w:r>
      <w:r>
        <w:rPr>
          <w:rFonts w:ascii="Arial" w:cs="Arial" w:hAnsi="Arial"/>
          <w:color w:val="000000"/>
          <w:sz w:val="22"/>
          <w:szCs w:val="22"/>
        </w:rPr>
        <w:t>(Southwark County Council, 2025b)</w:t>
      </w:r>
      <w:r>
        <w:rPr>
          <w:rFonts w:ascii="Arial" w:cs="Arial" w:hAnsi="Arial"/>
          <w:sz w:val="22"/>
          <w:szCs w:val="22"/>
        </w:rPr>
        <w:t>. Southwark demonstrates particularly good focus on families with additional needs and reflects the diversity of communities within the borough, with information acknowledging different family circumstances and cultural backgrounds.</w:t>
      </w:r>
    </w:p>
    <w:p w14:paraId="00000051">
      <w:pPr>
        <w:spacing w:line="360" w:lineRule="auto"/>
        <w:rPr>
          <w:rFonts w:ascii="Arial" w:cs="Arial" w:hAnsi="Arial"/>
          <w:b/>
          <w:bCs/>
          <w:sz w:val="22"/>
          <w:szCs w:val="22"/>
        </w:rPr>
      </w:pPr>
      <w:r>
        <w:rPr>
          <w:rFonts w:ascii="Arial" w:cs="Arial" w:hAnsi="Arial"/>
          <w:b/>
          <w:bCs/>
          <w:sz w:val="22"/>
          <w:szCs w:val="22"/>
        </w:rPr>
        <w:t>Weaknesses</w:t>
      </w:r>
      <w:r>
        <w:rPr>
          <w:rFonts w:ascii="Arial" w:cs="Arial" w:hAnsi="Arial"/>
          <w:b/>
          <w:bCs/>
          <w:sz w:val="22"/>
          <w:szCs w:val="22"/>
        </w:rPr>
        <w:t xml:space="preserve"> </w:t>
      </w:r>
    </w:p>
    <w:p w14:paraId="00000052">
      <w:pPr>
        <w:spacing w:line="360" w:lineRule="auto"/>
        <w:rPr>
          <w:rFonts w:ascii="Arial" w:cs="Arial" w:hAnsi="Arial"/>
          <w:sz w:val="22"/>
          <w:szCs w:val="22"/>
        </w:rPr>
      </w:pPr>
      <w:r>
        <w:rPr>
          <w:rFonts w:ascii="Arial" w:cs="Arial" w:hAnsi="Arial"/>
          <w:sz w:val="22"/>
          <w:szCs w:val="22"/>
        </w:rPr>
        <w:t>Southwark's website has notable weaknesses. The structure of Early Help information can feel fragmented across different sections of the website, requiring families to piece together information from multiple pages. This lack of cohesion may be confusing, particularly for families under stress who need quick, clear guidance. Professional guidance is not as clearly presented as on Norfolk's website, potentially leaving practitioners uncertain about referral processes or assessment frameworks</w:t>
      </w:r>
      <w:r>
        <w:rPr>
          <w:rFonts w:ascii="Arial" w:cs="Arial" w:hAnsi="Arial"/>
          <w:color w:val="000000"/>
          <w:sz w:val="22"/>
          <w:szCs w:val="22"/>
        </w:rPr>
        <w:t>(Southwark County Council, 2025a)</w:t>
      </w:r>
      <w:r>
        <w:rPr>
          <w:rFonts w:ascii="Arial" w:cs="Arial" w:hAnsi="Arial"/>
          <w:sz w:val="22"/>
          <w:szCs w:val="22"/>
        </w:rPr>
        <w:t>.</w:t>
      </w:r>
    </w:p>
    <w:p w14:paraId="00000053">
      <w:pPr>
        <w:spacing w:line="360" w:lineRule="auto"/>
        <w:rPr>
          <w:rFonts w:ascii="Arial" w:cs="Arial" w:hAnsi="Arial"/>
          <w:sz w:val="22"/>
          <w:szCs w:val="22"/>
        </w:rPr>
      </w:pPr>
      <w:r>
        <w:rPr>
          <w:rFonts w:ascii="Arial" w:cs="Arial" w:hAnsi="Arial"/>
          <w:sz w:val="22"/>
          <w:szCs w:val="22"/>
        </w:rPr>
        <w:t>Furthermore, there are limited visual resources or step-by-step process explanations, meaning the website relies heavily on text-based information. For families with lower literacy levels or visual learners, this represents a significant barrier to understanding. Southwark demonstrates a balanced approach that values community integration and diversity, but the website structure requires simplification and consolidation to improve navigation and accessibility for all users.</w:t>
      </w:r>
    </w:p>
    <w:p w14:paraId="00000054">
      <w:pPr>
        <w:spacing w:line="360" w:lineRule="auto"/>
        <w:rPr>
          <w:rFonts w:ascii="Arial" w:cs="Arial" w:hAnsi="Arial"/>
          <w:sz w:val="22"/>
          <w:szCs w:val="22"/>
        </w:rPr>
      </w:pPr>
    </w:p>
    <w:p w14:paraId="00000055">
      <w:pPr>
        <w:spacing w:line="360" w:lineRule="auto"/>
        <w:rPr>
          <w:rFonts w:ascii="Arial" w:cs="Arial" w:hAnsi="Arial"/>
          <w:b/>
          <w:bCs/>
          <w:sz w:val="22"/>
          <w:szCs w:val="22"/>
        </w:rPr>
      </w:pPr>
      <w:r>
        <w:rPr>
          <w:rFonts w:ascii="Arial" w:cs="Arial" w:hAnsi="Arial"/>
          <w:b/>
          <w:bCs/>
          <w:sz w:val="22"/>
          <w:szCs w:val="22"/>
        </w:rPr>
        <w:t>Comparative Analysis of the Strengths and Weaknesses</w:t>
      </w:r>
    </w:p>
    <w:p w14:paraId="00000056">
      <w:pPr>
        <w:spacing w:line="360" w:lineRule="auto"/>
        <w:rPr>
          <w:rFonts w:ascii="Arial" w:cs="Arial" w:hAnsi="Arial"/>
          <w:b/>
          <w:bCs/>
          <w:sz w:val="22"/>
          <w:szCs w:val="22"/>
        </w:rPr>
      </w:pPr>
      <w:r>
        <w:rPr>
          <w:rFonts w:ascii="Arial" w:cs="Arial" w:hAnsi="Arial"/>
          <w:b/>
          <w:bCs/>
          <w:sz w:val="22"/>
          <w:szCs w:val="22"/>
        </w:rPr>
        <w:t>Accessibility and Ease of Navigation</w:t>
      </w:r>
    </w:p>
    <w:p w14:paraId="00000057">
      <w:pPr>
        <w:numPr>
          <w:ilvl w:val="0"/>
          <w:numId w:val="10"/>
        </w:numPr>
        <w:spacing w:line="360" w:lineRule="auto"/>
        <w:rPr>
          <w:rFonts w:ascii="Arial" w:cs="Arial" w:hAnsi="Arial"/>
          <w:sz w:val="22"/>
          <w:szCs w:val="22"/>
        </w:rPr>
      </w:pPr>
      <w:r>
        <w:rPr>
          <w:rFonts w:ascii="Arial" w:cs="Arial" w:hAnsi="Arial"/>
          <w:b/>
          <w:bCs/>
          <w:sz w:val="22"/>
          <w:szCs w:val="22"/>
        </w:rPr>
        <w:t>Leeds</w:t>
      </w:r>
      <w:r>
        <w:rPr>
          <w:rFonts w:ascii="Arial" w:cs="Arial" w:hAnsi="Arial"/>
          <w:sz w:val="22"/>
          <w:szCs w:val="22"/>
        </w:rPr>
        <w:t xml:space="preserve"> demonstrates the strongest accessibility: simple language, visual aids, and locality-based contact details make the information easy to understand.</w:t>
      </w:r>
    </w:p>
    <w:p w14:paraId="00000058">
      <w:pPr>
        <w:numPr>
          <w:ilvl w:val="0"/>
          <w:numId w:val="10"/>
        </w:numPr>
        <w:spacing w:line="360" w:lineRule="auto"/>
        <w:rPr>
          <w:rFonts w:ascii="Arial" w:cs="Arial" w:hAnsi="Arial"/>
          <w:sz w:val="22"/>
          <w:szCs w:val="22"/>
        </w:rPr>
      </w:pPr>
      <w:r>
        <w:rPr>
          <w:rFonts w:ascii="Arial" w:cs="Arial" w:hAnsi="Arial"/>
          <w:b/>
          <w:bCs/>
          <w:sz w:val="22"/>
          <w:szCs w:val="22"/>
        </w:rPr>
        <w:t>Norfolk</w:t>
      </w:r>
      <w:r>
        <w:rPr>
          <w:rFonts w:ascii="Arial" w:cs="Arial" w:hAnsi="Arial"/>
          <w:sz w:val="22"/>
          <w:szCs w:val="22"/>
        </w:rPr>
        <w:t xml:space="preserve"> provides the most detailed professional guidance but is less user-friendly due to text-heavy pages and multiple navigation layers.</w:t>
      </w:r>
    </w:p>
    <w:p w14:paraId="00000059">
      <w:pPr>
        <w:numPr>
          <w:ilvl w:val="0"/>
          <w:numId w:val="10"/>
        </w:numPr>
        <w:spacing w:line="360" w:lineRule="auto"/>
        <w:rPr>
          <w:rFonts w:ascii="Arial" w:cs="Arial" w:hAnsi="Arial"/>
          <w:sz w:val="22"/>
          <w:szCs w:val="22"/>
        </w:rPr>
      </w:pPr>
      <w:r>
        <w:rPr>
          <w:rFonts w:ascii="Arial" w:cs="Arial" w:hAnsi="Arial"/>
          <w:b/>
          <w:bCs/>
          <w:sz w:val="22"/>
          <w:szCs w:val="22"/>
        </w:rPr>
        <w:t>Southwark</w:t>
      </w:r>
      <w:r>
        <w:rPr>
          <w:rFonts w:ascii="Arial" w:cs="Arial" w:hAnsi="Arial"/>
          <w:sz w:val="22"/>
          <w:szCs w:val="22"/>
        </w:rPr>
        <w:t xml:space="preserve"> sits between the two: information is clear but scattered across different website areas.</w:t>
      </w:r>
    </w:p>
    <w:p w14:paraId="0000005A">
      <w:pPr>
        <w:spacing w:line="360" w:lineRule="auto"/>
        <w:rPr>
          <w:rFonts w:ascii="Arial" w:cs="Arial" w:hAnsi="Arial"/>
          <w:b/>
          <w:bCs/>
          <w:sz w:val="22"/>
          <w:szCs w:val="22"/>
        </w:rPr>
      </w:pPr>
      <w:r>
        <w:rPr>
          <w:rFonts w:ascii="Arial" w:cs="Arial" w:hAnsi="Arial"/>
          <w:b/>
          <w:bCs/>
          <w:sz w:val="22"/>
          <w:szCs w:val="22"/>
        </w:rPr>
        <w:t>Clarity of Early Help Explanation</w:t>
      </w:r>
    </w:p>
    <w:p w14:paraId="0000005B">
      <w:pPr>
        <w:numPr>
          <w:ilvl w:val="0"/>
          <w:numId w:val="11"/>
        </w:numPr>
        <w:spacing w:line="360" w:lineRule="auto"/>
        <w:rPr>
          <w:rFonts w:ascii="Arial" w:cs="Arial" w:hAnsi="Arial"/>
          <w:sz w:val="22"/>
          <w:szCs w:val="22"/>
        </w:rPr>
      </w:pPr>
      <w:r>
        <w:rPr>
          <w:rFonts w:ascii="Arial" w:cs="Arial" w:hAnsi="Arial"/>
          <w:b/>
          <w:bCs/>
          <w:sz w:val="22"/>
          <w:szCs w:val="22"/>
        </w:rPr>
        <w:t>Leeds</w:t>
      </w:r>
      <w:r>
        <w:rPr>
          <w:rFonts w:ascii="Arial" w:cs="Arial" w:hAnsi="Arial"/>
          <w:sz w:val="22"/>
          <w:szCs w:val="22"/>
        </w:rPr>
        <w:t xml:space="preserve"> uses straightforward, family-</w:t>
      </w:r>
      <w:r>
        <w:rPr>
          <w:rFonts w:ascii="Arial" w:cs="Arial" w:hAnsi="Arial"/>
          <w:sz w:val="22"/>
          <w:szCs w:val="22"/>
        </w:rPr>
        <w:t>centred</w:t>
      </w:r>
      <w:r>
        <w:rPr>
          <w:rFonts w:ascii="Arial" w:cs="Arial" w:hAnsi="Arial"/>
          <w:sz w:val="22"/>
          <w:szCs w:val="22"/>
        </w:rPr>
        <w:t xml:space="preserve"> explanations consistent with best practice recommended by the Early Help System Guide (DfE, 2021).</w:t>
      </w:r>
    </w:p>
    <w:p w14:paraId="0000005C">
      <w:pPr>
        <w:numPr>
          <w:ilvl w:val="0"/>
          <w:numId w:val="11"/>
        </w:numPr>
        <w:spacing w:line="360" w:lineRule="auto"/>
        <w:rPr>
          <w:rFonts w:ascii="Arial" w:cs="Arial" w:hAnsi="Arial"/>
          <w:sz w:val="22"/>
          <w:szCs w:val="22"/>
        </w:rPr>
      </w:pPr>
      <w:r>
        <w:rPr>
          <w:rFonts w:ascii="Arial" w:cs="Arial" w:hAnsi="Arial"/>
          <w:b/>
          <w:bCs/>
          <w:sz w:val="22"/>
          <w:szCs w:val="22"/>
        </w:rPr>
        <w:t>Southwark</w:t>
      </w:r>
      <w:r>
        <w:rPr>
          <w:rFonts w:ascii="Arial" w:cs="Arial" w:hAnsi="Arial"/>
          <w:sz w:val="22"/>
          <w:szCs w:val="22"/>
        </w:rPr>
        <w:t xml:space="preserve"> offers a clear definition but lacks a single consolidated Early Help page.</w:t>
      </w:r>
    </w:p>
    <w:p w14:paraId="0000005D">
      <w:pPr>
        <w:numPr>
          <w:ilvl w:val="0"/>
          <w:numId w:val="11"/>
        </w:numPr>
        <w:spacing w:line="360" w:lineRule="auto"/>
        <w:rPr>
          <w:rFonts w:ascii="Arial" w:cs="Arial" w:hAnsi="Arial"/>
          <w:sz w:val="22"/>
          <w:szCs w:val="22"/>
        </w:rPr>
      </w:pPr>
      <w:r>
        <w:rPr>
          <w:rFonts w:ascii="Arial" w:cs="Arial" w:hAnsi="Arial"/>
          <w:b/>
          <w:bCs/>
          <w:sz w:val="22"/>
          <w:szCs w:val="22"/>
        </w:rPr>
        <w:t>Norfolk</w:t>
      </w:r>
      <w:r>
        <w:rPr>
          <w:rFonts w:ascii="Arial" w:cs="Arial" w:hAnsi="Arial"/>
          <w:sz w:val="22"/>
          <w:szCs w:val="22"/>
        </w:rPr>
        <w:t xml:space="preserve"> is comprehensive but more technical, which may suit professionals rather than families.</w:t>
      </w:r>
    </w:p>
    <w:p w14:paraId="0000005E">
      <w:pPr>
        <w:spacing w:line="360" w:lineRule="auto"/>
        <w:rPr>
          <w:rFonts w:ascii="Arial" w:cs="Arial" w:hAnsi="Arial"/>
          <w:b/>
          <w:bCs/>
          <w:sz w:val="22"/>
          <w:szCs w:val="22"/>
        </w:rPr>
      </w:pPr>
      <w:r>
        <w:rPr>
          <w:rFonts w:ascii="Arial" w:cs="Arial" w:hAnsi="Arial"/>
          <w:b/>
          <w:bCs/>
          <w:sz w:val="22"/>
          <w:szCs w:val="22"/>
        </w:rPr>
        <w:t>Referral Processes</w:t>
      </w:r>
    </w:p>
    <w:p w14:paraId="0000005F">
      <w:pPr>
        <w:numPr>
          <w:ilvl w:val="0"/>
          <w:numId w:val="12"/>
        </w:numPr>
        <w:spacing w:line="360" w:lineRule="auto"/>
        <w:rPr>
          <w:rFonts w:ascii="Arial" w:cs="Arial" w:hAnsi="Arial"/>
          <w:sz w:val="22"/>
          <w:szCs w:val="22"/>
        </w:rPr>
      </w:pPr>
      <w:r>
        <w:rPr>
          <w:rFonts w:ascii="Arial" w:cs="Arial" w:hAnsi="Arial"/>
          <w:b/>
          <w:bCs/>
          <w:sz w:val="22"/>
          <w:szCs w:val="22"/>
        </w:rPr>
        <w:t>Norfolk</w:t>
      </w:r>
      <w:r>
        <w:rPr>
          <w:rFonts w:ascii="Arial" w:cs="Arial" w:hAnsi="Arial"/>
          <w:sz w:val="22"/>
          <w:szCs w:val="22"/>
        </w:rPr>
        <w:t>: Strongest referral system with clear professional portals and step-by-step guidance.</w:t>
      </w:r>
    </w:p>
    <w:p w14:paraId="00000060">
      <w:pPr>
        <w:numPr>
          <w:ilvl w:val="0"/>
          <w:numId w:val="12"/>
        </w:numPr>
        <w:spacing w:line="360" w:lineRule="auto"/>
        <w:rPr>
          <w:rFonts w:ascii="Arial" w:cs="Arial" w:hAnsi="Arial"/>
          <w:sz w:val="22"/>
          <w:szCs w:val="22"/>
        </w:rPr>
      </w:pPr>
      <w:r>
        <w:rPr>
          <w:rFonts w:ascii="Arial" w:cs="Arial" w:hAnsi="Arial"/>
          <w:b/>
          <w:bCs/>
          <w:sz w:val="22"/>
          <w:szCs w:val="22"/>
        </w:rPr>
        <w:t>Southwark</w:t>
      </w:r>
      <w:r>
        <w:rPr>
          <w:rFonts w:ascii="Arial" w:cs="Arial" w:hAnsi="Arial"/>
          <w:sz w:val="22"/>
          <w:szCs w:val="22"/>
        </w:rPr>
        <w:t>: Good self-referral forms and duty line contact details.</w:t>
      </w:r>
    </w:p>
    <w:p w14:paraId="00000061">
      <w:pPr>
        <w:numPr>
          <w:ilvl w:val="0"/>
          <w:numId w:val="12"/>
        </w:numPr>
        <w:spacing w:line="360" w:lineRule="auto"/>
        <w:rPr>
          <w:rFonts w:ascii="Arial" w:cs="Arial" w:hAnsi="Arial"/>
          <w:sz w:val="22"/>
          <w:szCs w:val="22"/>
        </w:rPr>
      </w:pPr>
      <w:r>
        <w:rPr>
          <w:rFonts w:ascii="Arial" w:cs="Arial" w:hAnsi="Arial"/>
          <w:b/>
          <w:bCs/>
          <w:sz w:val="22"/>
          <w:szCs w:val="22"/>
        </w:rPr>
        <w:t>Leeds</w:t>
      </w:r>
      <w:r>
        <w:rPr>
          <w:rFonts w:ascii="Arial" w:cs="Arial" w:hAnsi="Arial"/>
          <w:sz w:val="22"/>
          <w:szCs w:val="22"/>
        </w:rPr>
        <w:t>: Offers locality hub contacts but could improve referral pathway clarity.</w:t>
      </w:r>
    </w:p>
    <w:p w14:paraId="00000062">
      <w:pPr>
        <w:spacing w:line="360" w:lineRule="auto"/>
        <w:rPr>
          <w:rFonts w:ascii="Arial" w:cs="Arial" w:hAnsi="Arial"/>
          <w:b/>
          <w:bCs/>
          <w:sz w:val="22"/>
          <w:szCs w:val="22"/>
        </w:rPr>
      </w:pPr>
      <w:r>
        <w:rPr>
          <w:rFonts w:ascii="Arial" w:cs="Arial" w:hAnsi="Arial"/>
          <w:b/>
          <w:bCs/>
          <w:sz w:val="22"/>
          <w:szCs w:val="22"/>
        </w:rPr>
        <w:t>Multi-Agency Working Information</w:t>
      </w:r>
    </w:p>
    <w:p w14:paraId="00000063">
      <w:pPr>
        <w:numPr>
          <w:ilvl w:val="0"/>
          <w:numId w:val="13"/>
        </w:numPr>
        <w:spacing w:line="360" w:lineRule="auto"/>
        <w:rPr>
          <w:rFonts w:ascii="Arial" w:cs="Arial" w:hAnsi="Arial"/>
          <w:sz w:val="22"/>
          <w:szCs w:val="22"/>
        </w:rPr>
      </w:pPr>
      <w:r>
        <w:rPr>
          <w:rFonts w:ascii="Arial" w:cs="Arial" w:hAnsi="Arial"/>
          <w:b/>
          <w:bCs/>
          <w:sz w:val="22"/>
          <w:szCs w:val="22"/>
        </w:rPr>
        <w:t>Leeds</w:t>
      </w:r>
      <w:r>
        <w:rPr>
          <w:rFonts w:ascii="Arial" w:cs="Arial" w:hAnsi="Arial"/>
          <w:sz w:val="22"/>
          <w:szCs w:val="22"/>
        </w:rPr>
        <w:t xml:space="preserve"> explicitly highlights strong partnerships across education, health, and community sectors.</w:t>
      </w:r>
    </w:p>
    <w:p w14:paraId="00000064">
      <w:pPr>
        <w:numPr>
          <w:ilvl w:val="0"/>
          <w:numId w:val="13"/>
        </w:numPr>
        <w:spacing w:line="360" w:lineRule="auto"/>
        <w:rPr>
          <w:rFonts w:ascii="Arial" w:cs="Arial" w:hAnsi="Arial"/>
          <w:sz w:val="22"/>
          <w:szCs w:val="22"/>
        </w:rPr>
      </w:pPr>
      <w:r>
        <w:rPr>
          <w:rFonts w:ascii="Arial" w:cs="Arial" w:hAnsi="Arial"/>
          <w:b/>
          <w:bCs/>
          <w:sz w:val="22"/>
          <w:szCs w:val="22"/>
        </w:rPr>
        <w:t>Norfolk</w:t>
      </w:r>
      <w:r>
        <w:rPr>
          <w:rFonts w:ascii="Arial" w:cs="Arial" w:hAnsi="Arial"/>
          <w:sz w:val="22"/>
          <w:szCs w:val="22"/>
        </w:rPr>
        <w:t xml:space="preserve"> provides professional documentation outlining multi-agency processes.</w:t>
      </w:r>
    </w:p>
    <w:p w14:paraId="00000065">
      <w:pPr>
        <w:numPr>
          <w:ilvl w:val="0"/>
          <w:numId w:val="13"/>
        </w:numPr>
        <w:spacing w:line="360" w:lineRule="auto"/>
        <w:rPr>
          <w:rFonts w:ascii="Arial" w:cs="Arial" w:hAnsi="Arial"/>
          <w:sz w:val="22"/>
          <w:szCs w:val="22"/>
        </w:rPr>
      </w:pPr>
      <w:r>
        <w:rPr>
          <w:rFonts w:ascii="Arial" w:cs="Arial" w:hAnsi="Arial"/>
          <w:b/>
          <w:bCs/>
          <w:sz w:val="22"/>
          <w:szCs w:val="22"/>
        </w:rPr>
        <w:t>Southwark</w:t>
      </w:r>
      <w:r>
        <w:rPr>
          <w:rFonts w:ascii="Arial" w:cs="Arial" w:hAnsi="Arial"/>
          <w:sz w:val="22"/>
          <w:szCs w:val="22"/>
        </w:rPr>
        <w:t xml:space="preserve"> links Early Help with a broader Local Offer, but professional guidance could be clearer.</w:t>
      </w:r>
    </w:p>
    <w:p w14:paraId="00000066">
      <w:pPr>
        <w:spacing w:line="360" w:lineRule="auto"/>
        <w:rPr>
          <w:rFonts w:ascii="Arial" w:cs="Arial" w:hAnsi="Arial"/>
          <w:b/>
          <w:bCs/>
          <w:sz w:val="22"/>
          <w:szCs w:val="22"/>
        </w:rPr>
      </w:pPr>
      <w:r>
        <w:rPr>
          <w:rFonts w:ascii="Arial" w:cs="Arial" w:hAnsi="Arial"/>
          <w:b/>
          <w:bCs/>
          <w:sz w:val="22"/>
          <w:szCs w:val="22"/>
        </w:rPr>
        <w:t>Family-</w:t>
      </w:r>
      <w:r>
        <w:rPr>
          <w:rFonts w:ascii="Arial" w:cs="Arial" w:hAnsi="Arial"/>
          <w:b/>
          <w:bCs/>
          <w:sz w:val="22"/>
          <w:szCs w:val="22"/>
        </w:rPr>
        <w:t>Centred</w:t>
      </w:r>
      <w:r>
        <w:rPr>
          <w:rFonts w:ascii="Arial" w:cs="Arial" w:hAnsi="Arial"/>
          <w:b/>
          <w:bCs/>
          <w:sz w:val="22"/>
          <w:szCs w:val="22"/>
        </w:rPr>
        <w:t xml:space="preserve"> Presentation</w:t>
      </w:r>
    </w:p>
    <w:p w14:paraId="00000067">
      <w:pPr>
        <w:numPr>
          <w:ilvl w:val="0"/>
          <w:numId w:val="14"/>
        </w:numPr>
        <w:spacing w:line="360" w:lineRule="auto"/>
        <w:rPr>
          <w:rFonts w:ascii="Arial" w:cs="Arial" w:hAnsi="Arial"/>
          <w:sz w:val="22"/>
          <w:szCs w:val="22"/>
        </w:rPr>
      </w:pPr>
      <w:r>
        <w:rPr>
          <w:rFonts w:ascii="Arial" w:cs="Arial" w:hAnsi="Arial"/>
          <w:b/>
          <w:bCs/>
          <w:sz w:val="22"/>
          <w:szCs w:val="22"/>
        </w:rPr>
        <w:t>Leeds</w:t>
      </w:r>
      <w:r>
        <w:rPr>
          <w:rFonts w:ascii="Arial" w:cs="Arial" w:hAnsi="Arial"/>
          <w:sz w:val="22"/>
          <w:szCs w:val="22"/>
        </w:rPr>
        <w:t xml:space="preserve"> is the most family-friendly, aligning with the </w:t>
      </w:r>
      <w:r>
        <w:rPr>
          <w:rFonts w:ascii="Arial" w:cs="Arial" w:hAnsi="Arial"/>
          <w:i/>
          <w:iCs/>
          <w:sz w:val="22"/>
          <w:szCs w:val="22"/>
        </w:rPr>
        <w:t>Family Valued</w:t>
      </w:r>
      <w:r>
        <w:rPr>
          <w:rFonts w:ascii="Arial" w:cs="Arial" w:hAnsi="Arial"/>
          <w:sz w:val="22"/>
          <w:szCs w:val="22"/>
        </w:rPr>
        <w:t xml:space="preserve"> model, placing families at the </w:t>
      </w:r>
      <w:r>
        <w:rPr>
          <w:rFonts w:ascii="Arial" w:cs="Arial" w:hAnsi="Arial"/>
          <w:sz w:val="22"/>
          <w:szCs w:val="22"/>
        </w:rPr>
        <w:t>centre</w:t>
      </w:r>
      <w:r>
        <w:rPr>
          <w:rFonts w:ascii="Arial" w:cs="Arial" w:hAnsi="Arial"/>
          <w:sz w:val="22"/>
          <w:szCs w:val="22"/>
        </w:rPr>
        <w:t xml:space="preserve"> of decision-making.</w:t>
      </w:r>
    </w:p>
    <w:p w14:paraId="00000068">
      <w:pPr>
        <w:numPr>
          <w:ilvl w:val="0"/>
          <w:numId w:val="14"/>
        </w:numPr>
        <w:spacing w:line="360" w:lineRule="auto"/>
        <w:rPr>
          <w:rFonts w:ascii="Arial" w:cs="Arial" w:hAnsi="Arial"/>
          <w:sz w:val="22"/>
          <w:szCs w:val="22"/>
        </w:rPr>
      </w:pPr>
      <w:r>
        <w:rPr>
          <w:rFonts w:ascii="Arial" w:cs="Arial" w:hAnsi="Arial"/>
          <w:b/>
          <w:bCs/>
          <w:sz w:val="22"/>
          <w:szCs w:val="22"/>
        </w:rPr>
        <w:t>Southwark</w:t>
      </w:r>
      <w:r>
        <w:rPr>
          <w:rFonts w:ascii="Arial" w:cs="Arial" w:hAnsi="Arial"/>
          <w:sz w:val="22"/>
          <w:szCs w:val="22"/>
        </w:rPr>
        <w:t xml:space="preserve"> shows a strong community emphasis.</w:t>
      </w:r>
    </w:p>
    <w:p w14:paraId="00000069">
      <w:pPr>
        <w:numPr>
          <w:ilvl w:val="0"/>
          <w:numId w:val="14"/>
        </w:numPr>
        <w:spacing w:line="360" w:lineRule="auto"/>
        <w:rPr>
          <w:rFonts w:ascii="Arial" w:cs="Arial" w:hAnsi="Arial"/>
          <w:sz w:val="22"/>
          <w:szCs w:val="22"/>
        </w:rPr>
      </w:pPr>
      <w:r>
        <w:rPr>
          <w:rFonts w:ascii="Arial" w:cs="Arial" w:hAnsi="Arial"/>
          <w:b/>
          <w:bCs/>
          <w:sz w:val="22"/>
          <w:szCs w:val="22"/>
        </w:rPr>
        <w:t>Norfolk</w:t>
      </w:r>
      <w:r>
        <w:rPr>
          <w:rFonts w:ascii="Arial" w:cs="Arial" w:hAnsi="Arial"/>
          <w:sz w:val="22"/>
          <w:szCs w:val="22"/>
        </w:rPr>
        <w:t xml:space="preserve"> appears more procedural, focusing on professionals.</w:t>
      </w:r>
    </w:p>
    <w:p w14:paraId="0000006A">
      <w:pPr>
        <w:spacing w:line="360" w:lineRule="auto"/>
        <w:rPr>
          <w:rFonts w:ascii="Arial" w:cs="Arial" w:hAnsi="Arial"/>
          <w:sz w:val="22"/>
          <w:szCs w:val="22"/>
        </w:rPr>
      </w:pPr>
    </w:p>
    <w:p w14:paraId="0000006B">
      <w:pPr>
        <w:spacing w:line="360" w:lineRule="auto"/>
        <w:rPr>
          <w:rFonts w:ascii="Arial" w:cs="Arial" w:hAnsi="Arial"/>
          <w:b/>
          <w:bCs/>
          <w:sz w:val="22"/>
          <w:szCs w:val="22"/>
        </w:rPr>
      </w:pPr>
      <w:r>
        <w:rPr>
          <w:rFonts w:ascii="Arial" w:cs="Arial" w:hAnsi="Arial"/>
          <w:b/>
          <w:bCs/>
          <w:sz w:val="22"/>
          <w:szCs w:val="22"/>
        </w:rPr>
        <w:t>Conclusion and Recommendations</w:t>
      </w:r>
    </w:p>
    <w:p w14:paraId="0000006C">
      <w:pPr>
        <w:spacing w:line="360" w:lineRule="auto"/>
        <w:rPr>
          <w:rFonts w:ascii="Arial" w:cs="Arial" w:hAnsi="Arial"/>
          <w:sz w:val="22"/>
          <w:szCs w:val="22"/>
        </w:rPr>
      </w:pPr>
      <w:r>
        <w:rPr>
          <w:rFonts w:ascii="Arial" w:cs="Arial" w:hAnsi="Arial"/>
          <w:sz w:val="22"/>
          <w:szCs w:val="22"/>
        </w:rPr>
        <w:t xml:space="preserve">Based on the analysis, </w:t>
      </w:r>
      <w:r>
        <w:rPr>
          <w:rFonts w:ascii="Arial" w:cs="Arial" w:hAnsi="Arial"/>
          <w:b/>
          <w:bCs/>
          <w:sz w:val="22"/>
          <w:szCs w:val="22"/>
        </w:rPr>
        <w:t>Leeds City Council</w:t>
      </w:r>
      <w:r>
        <w:rPr>
          <w:rFonts w:ascii="Arial" w:cs="Arial" w:hAnsi="Arial"/>
          <w:sz w:val="22"/>
          <w:szCs w:val="22"/>
        </w:rPr>
        <w:t xml:space="preserve"> appears to have the most effective and accessible Early Help communication. Its use of clear language, visual aids, local hub contacts, and emphasis on strengths-based practice aligns strongly with national Early Help expectations (DfE, 2021; HM Government, 2023).</w:t>
      </w:r>
    </w:p>
    <w:p w14:paraId="0000006D">
      <w:pPr>
        <w:spacing w:line="360" w:lineRule="auto"/>
        <w:rPr>
          <w:rFonts w:ascii="Arial" w:cs="Arial" w:hAnsi="Arial"/>
          <w:sz w:val="22"/>
          <w:szCs w:val="22"/>
        </w:rPr>
      </w:pPr>
      <w:r>
        <w:rPr>
          <w:rFonts w:ascii="Arial" w:cs="Arial" w:hAnsi="Arial"/>
          <w:b/>
          <w:bCs/>
          <w:sz w:val="22"/>
          <w:szCs w:val="22"/>
        </w:rPr>
        <w:t>Norfolk County Council</w:t>
      </w:r>
      <w:r>
        <w:rPr>
          <w:rFonts w:ascii="Arial" w:cs="Arial" w:hAnsi="Arial"/>
          <w:sz w:val="22"/>
          <w:szCs w:val="22"/>
        </w:rPr>
        <w:t xml:space="preserve"> provides the most detailed and structured Early Help guidance, particularly for professionals, but could improve accessibility for families through simplified language and visual summaries.</w:t>
      </w:r>
    </w:p>
    <w:p w14:paraId="0000006E">
      <w:pPr>
        <w:spacing w:line="360" w:lineRule="auto"/>
        <w:rPr>
          <w:rFonts w:ascii="Arial" w:cs="Arial" w:hAnsi="Arial"/>
          <w:sz w:val="22"/>
          <w:szCs w:val="22"/>
        </w:rPr>
      </w:pPr>
      <w:r>
        <w:rPr>
          <w:rFonts w:ascii="Arial" w:cs="Arial" w:hAnsi="Arial"/>
          <w:b/>
          <w:bCs/>
          <w:sz w:val="22"/>
          <w:szCs w:val="22"/>
        </w:rPr>
        <w:t>Southwark Council</w:t>
      </w:r>
      <w:r>
        <w:rPr>
          <w:rFonts w:ascii="Arial" w:cs="Arial" w:hAnsi="Arial"/>
          <w:sz w:val="22"/>
          <w:szCs w:val="22"/>
        </w:rPr>
        <w:t xml:space="preserve"> offers a strong community-oriented Early Help offer but needs to consolidate information into fewer, more navigable pages.</w:t>
      </w:r>
    </w:p>
    <w:p w14:paraId="0000006F">
      <w:pPr>
        <w:spacing w:line="360" w:lineRule="auto"/>
        <w:rPr>
          <w:rFonts w:ascii="Arial" w:cs="Arial" w:hAnsi="Arial"/>
          <w:b/>
          <w:bCs/>
          <w:sz w:val="22"/>
          <w:szCs w:val="22"/>
        </w:rPr>
      </w:pPr>
      <w:r>
        <w:rPr>
          <w:rFonts w:ascii="Arial" w:cs="Arial" w:hAnsi="Arial"/>
          <w:b/>
          <w:bCs/>
          <w:sz w:val="22"/>
          <w:szCs w:val="22"/>
        </w:rPr>
        <w:t>Recommendations</w:t>
      </w:r>
    </w:p>
    <w:p w14:paraId="00000070">
      <w:pPr>
        <w:numPr>
          <w:ilvl w:val="0"/>
          <w:numId w:val="15"/>
        </w:numPr>
        <w:spacing w:line="360" w:lineRule="auto"/>
        <w:rPr>
          <w:rFonts w:ascii="Arial" w:cs="Arial" w:hAnsi="Arial"/>
          <w:sz w:val="22"/>
          <w:szCs w:val="22"/>
        </w:rPr>
      </w:pPr>
      <w:r>
        <w:rPr>
          <w:rFonts w:ascii="Arial" w:cs="Arial" w:hAnsi="Arial"/>
          <w:b/>
          <w:bCs/>
          <w:sz w:val="22"/>
          <w:szCs w:val="22"/>
        </w:rPr>
        <w:t>Introduce visual guides or flow charts</w:t>
      </w:r>
      <w:r>
        <w:rPr>
          <w:rFonts w:ascii="Arial" w:cs="Arial" w:hAnsi="Arial"/>
          <w:sz w:val="22"/>
          <w:szCs w:val="22"/>
        </w:rPr>
        <w:t xml:space="preserve"> (Norfolk, Southwark): Visuals can improve understanding for parents with lower literacy levels.</w:t>
      </w:r>
    </w:p>
    <w:p w14:paraId="00000071">
      <w:pPr>
        <w:numPr>
          <w:ilvl w:val="0"/>
          <w:numId w:val="15"/>
        </w:numPr>
        <w:spacing w:line="360" w:lineRule="auto"/>
        <w:rPr>
          <w:rFonts w:ascii="Arial" w:cs="Arial" w:hAnsi="Arial"/>
          <w:sz w:val="22"/>
          <w:szCs w:val="22"/>
        </w:rPr>
      </w:pPr>
      <w:r>
        <w:rPr>
          <w:rFonts w:ascii="Arial" w:cs="Arial" w:hAnsi="Arial"/>
          <w:b/>
          <w:bCs/>
          <w:sz w:val="22"/>
          <w:szCs w:val="22"/>
        </w:rPr>
        <w:t>Consolidate information onto a single Early Help landing page</w:t>
      </w:r>
      <w:r>
        <w:rPr>
          <w:rFonts w:ascii="Arial" w:cs="Arial" w:hAnsi="Arial"/>
          <w:sz w:val="22"/>
          <w:szCs w:val="22"/>
        </w:rPr>
        <w:t xml:space="preserve"> (Southwark): This would improve navigation and clarity.</w:t>
      </w:r>
    </w:p>
    <w:p w14:paraId="00000072">
      <w:pPr>
        <w:numPr>
          <w:ilvl w:val="0"/>
          <w:numId w:val="15"/>
        </w:numPr>
        <w:spacing w:line="360" w:lineRule="auto"/>
        <w:rPr>
          <w:rFonts w:ascii="Arial" w:cs="Arial" w:hAnsi="Arial"/>
          <w:sz w:val="22"/>
          <w:szCs w:val="22"/>
        </w:rPr>
      </w:pPr>
      <w:r>
        <w:rPr>
          <w:rFonts w:ascii="Arial" w:cs="Arial" w:hAnsi="Arial"/>
          <w:b/>
          <w:bCs/>
          <w:sz w:val="22"/>
          <w:szCs w:val="22"/>
        </w:rPr>
        <w:t>Strengthen family-friendly language and simplify terminology</w:t>
      </w:r>
      <w:r>
        <w:rPr>
          <w:rFonts w:ascii="Arial" w:cs="Arial" w:hAnsi="Arial"/>
          <w:sz w:val="22"/>
          <w:szCs w:val="22"/>
        </w:rPr>
        <w:t xml:space="preserve"> (Norfolk).</w:t>
      </w:r>
    </w:p>
    <w:p w14:paraId="00000073">
      <w:pPr>
        <w:numPr>
          <w:ilvl w:val="0"/>
          <w:numId w:val="15"/>
        </w:numPr>
        <w:spacing w:line="360" w:lineRule="auto"/>
        <w:rPr>
          <w:rFonts w:ascii="Arial" w:cs="Arial" w:hAnsi="Arial"/>
          <w:sz w:val="22"/>
          <w:szCs w:val="22"/>
        </w:rPr>
      </w:pPr>
      <w:r>
        <w:rPr>
          <w:rFonts w:ascii="Arial" w:cs="Arial" w:hAnsi="Arial"/>
          <w:b/>
          <w:bCs/>
          <w:sz w:val="22"/>
          <w:szCs w:val="22"/>
        </w:rPr>
        <w:t>Update external documents and ensure consistency across pages</w:t>
      </w:r>
      <w:r>
        <w:rPr>
          <w:rFonts w:ascii="Arial" w:cs="Arial" w:hAnsi="Arial"/>
          <w:sz w:val="22"/>
          <w:szCs w:val="22"/>
        </w:rPr>
        <w:t xml:space="preserve"> (Leeds).</w:t>
      </w:r>
    </w:p>
    <w:p w14:paraId="00000074">
      <w:pPr>
        <w:numPr>
          <w:ilvl w:val="0"/>
          <w:numId w:val="15"/>
        </w:numPr>
        <w:spacing w:line="360" w:lineRule="auto"/>
        <w:rPr>
          <w:rFonts w:ascii="Arial" w:cs="Arial" w:hAnsi="Arial"/>
          <w:sz w:val="22"/>
          <w:szCs w:val="22"/>
        </w:rPr>
      </w:pPr>
      <w:r>
        <w:rPr>
          <w:rFonts w:ascii="Arial" w:cs="Arial" w:hAnsi="Arial"/>
          <w:b/>
          <w:bCs/>
          <w:sz w:val="22"/>
          <w:szCs w:val="22"/>
        </w:rPr>
        <w:t>Increase accessibility features</w:t>
      </w:r>
      <w:r>
        <w:rPr>
          <w:rFonts w:ascii="Arial" w:cs="Arial" w:hAnsi="Arial"/>
          <w:sz w:val="22"/>
          <w:szCs w:val="22"/>
        </w:rPr>
        <w:t>, such as translation options and video explanations, across all three websites.</w:t>
      </w:r>
    </w:p>
    <w:p w14:paraId="00000075">
      <w:pPr>
        <w:numPr>
          <w:ilvl w:val="0"/>
          <w:numId w:val="15"/>
        </w:numPr>
        <w:spacing w:line="360" w:lineRule="auto"/>
        <w:rPr>
          <w:rFonts w:ascii="Arial" w:cs="Arial" w:hAnsi="Arial"/>
          <w:sz w:val="22"/>
          <w:szCs w:val="22"/>
        </w:rPr>
      </w:pPr>
      <w:r>
        <w:rPr>
          <w:rFonts w:ascii="Arial" w:cs="Arial" w:hAnsi="Arial"/>
          <w:b/>
          <w:bCs/>
          <w:sz w:val="22"/>
          <w:szCs w:val="22"/>
        </w:rPr>
        <w:t>Provide clearer referral pathways</w:t>
      </w:r>
      <w:r>
        <w:rPr>
          <w:rFonts w:ascii="Arial" w:cs="Arial" w:hAnsi="Arial"/>
          <w:sz w:val="22"/>
          <w:szCs w:val="22"/>
        </w:rPr>
        <w:t xml:space="preserve"> on Leeds and Southwark websites, including dedicated professional guidance pages.</w:t>
      </w:r>
    </w:p>
    <w:p w14:paraId="00000076">
      <w:pPr>
        <w:numPr>
          <w:ilvl w:val="0"/>
          <w:numId w:val="15"/>
        </w:numPr>
        <w:spacing w:line="360" w:lineRule="auto"/>
        <w:rPr>
          <w:rFonts w:ascii="Arial" w:cs="Arial" w:hAnsi="Arial"/>
          <w:sz w:val="22"/>
          <w:szCs w:val="22"/>
        </w:rPr>
      </w:pPr>
      <w:r>
        <w:rPr>
          <w:rFonts w:ascii="Arial" w:cs="Arial" w:hAnsi="Arial"/>
          <w:b/>
          <w:bCs/>
          <w:sz w:val="22"/>
          <w:szCs w:val="22"/>
        </w:rPr>
        <w:t>Improve visibility of multi-agency processes</w:t>
      </w:r>
      <w:r>
        <w:rPr>
          <w:rFonts w:ascii="Arial" w:cs="Arial" w:hAnsi="Arial"/>
          <w:sz w:val="22"/>
          <w:szCs w:val="22"/>
        </w:rPr>
        <w:t xml:space="preserve"> across all three authorities to support professionals and families.</w:t>
      </w:r>
    </w:p>
    <w:p w14:paraId="00000077">
      <w:pPr>
        <w:spacing w:line="360" w:lineRule="auto"/>
        <w:rPr>
          <w:rFonts w:ascii="Arial" w:cs="Arial" w:hAnsi="Arial"/>
          <w:sz w:val="22"/>
          <w:szCs w:val="22"/>
        </w:rPr>
      </w:pPr>
      <w:r>
        <w:rPr>
          <w:rFonts w:ascii="Arial" w:cs="Arial" w:hAnsi="Arial"/>
          <w:sz w:val="22"/>
          <w:szCs w:val="22"/>
        </w:rPr>
        <w:t>Overall, while each authority provides valuable Early Help information, Leeds demonstrates the most comprehensive and accessible approach for families seeking support. Further improvements, particularly around simplification and visual communication, would enhance the effectiveness of Early Help signposting across all three councils.</w:t>
      </w:r>
    </w:p>
    <w:p w14:paraId="00000078">
      <w:pPr>
        <w:spacing w:line="360" w:lineRule="auto"/>
        <w:rPr>
          <w:rFonts w:ascii="Arial" w:cs="Arial" w:hAnsi="Arial"/>
          <w:sz w:val="22"/>
          <w:szCs w:val="22"/>
        </w:rPr>
      </w:pPr>
    </w:p>
    <w:p w14:paraId="00000079">
      <w:pPr>
        <w:spacing w:line="360" w:lineRule="auto"/>
        <w:rPr>
          <w:rFonts w:ascii="Arial" w:cs="Arial" w:hAnsi="Arial"/>
          <w:sz w:val="22"/>
          <w:szCs w:val="22"/>
        </w:rPr>
      </w:pPr>
    </w:p>
    <w:p w14:paraId="0000007A">
      <w:pPr>
        <w:spacing w:line="360" w:lineRule="auto"/>
        <w:rPr>
          <w:rFonts w:ascii="Arial" w:cs="Arial" w:hAnsi="Arial"/>
          <w:b/>
          <w:bCs/>
          <w:sz w:val="22"/>
          <w:szCs w:val="22"/>
          <w:u w:val="single"/>
        </w:rPr>
      </w:pPr>
      <w:r>
        <w:rPr>
          <w:rFonts w:ascii="Arial" w:cs="Arial" w:hAnsi="Arial"/>
          <w:b/>
          <w:bCs/>
          <w:sz w:val="22"/>
          <w:szCs w:val="22"/>
          <w:u w:val="single"/>
        </w:rPr>
        <w:t>REFERENCES</w:t>
      </w:r>
    </w:p>
    <w:p w14:paraId="0000007B">
      <w:pPr>
        <w:ind w:hanging="480"/>
        <w:rPr>
          <w:rFonts w:eastAsia="Times New Roman"/>
          <w:color w:val="000000"/>
        </w:rPr>
      </w:pPr>
      <w:r>
        <w:rPr>
          <w:rFonts w:eastAsia="Times New Roman"/>
          <w:color w:val="000000"/>
        </w:rPr>
        <w:t xml:space="preserve">Ainsworth, F. (2014a). Re-imagining child protection. Towards humane social work with </w:t>
      </w:r>
      <w:r>
        <w:rPr>
          <w:rFonts w:eastAsia="Times New Roman"/>
          <w:color w:val="000000"/>
        </w:rPr>
        <w:t>familiesB</w:t>
      </w:r>
      <w:r>
        <w:rPr>
          <w:rFonts w:eastAsia="Times New Roman"/>
          <w:color w:val="000000"/>
        </w:rPr>
        <w:t xml:space="preserve">. Featherstone, S. White and K. Morris (2014). Bristol: Policy Press. Hardback, ISBN 978 1 44730 802 7, £60.00, Aus$110.74. Paperback, ISBN 978 44730 802 0. £17.59, Aus$32.36. pp. 184. </w:t>
      </w:r>
      <w:r>
        <w:rPr>
          <w:rFonts w:eastAsia="Times New Roman"/>
          <w:i/>
          <w:iCs/>
          <w:color w:val="000000"/>
        </w:rPr>
        <w:t>Children Australia</w:t>
      </w:r>
      <w:r>
        <w:rPr>
          <w:rFonts w:eastAsia="Times New Roman"/>
          <w:color w:val="000000"/>
        </w:rPr>
        <w:t xml:space="preserve">, </w:t>
      </w:r>
      <w:r>
        <w:rPr>
          <w:rFonts w:eastAsia="Times New Roman"/>
          <w:i/>
          <w:iCs/>
          <w:color w:val="000000"/>
        </w:rPr>
        <w:t>39</w:t>
      </w:r>
      <w:r>
        <w:rPr>
          <w:rFonts w:eastAsia="Times New Roman"/>
          <w:color w:val="000000"/>
        </w:rPr>
        <w:t>(4), 253–255. https://doi.org/10.1017/cha.2014.31</w:t>
      </w:r>
    </w:p>
    <w:p w14:paraId="0000007C">
      <w:pPr>
        <w:ind w:hanging="480"/>
        <w:rPr>
          <w:rFonts w:eastAsia="Times New Roman"/>
          <w:color w:val="000000"/>
        </w:rPr>
      </w:pPr>
      <w:r>
        <w:rPr>
          <w:rFonts w:eastAsia="Times New Roman"/>
          <w:color w:val="000000"/>
        </w:rPr>
        <w:t xml:space="preserve">Ainsworth, F. (2014b). Re-imagining child protection. Towards humane social work with </w:t>
      </w:r>
      <w:r>
        <w:rPr>
          <w:rFonts w:eastAsia="Times New Roman"/>
          <w:color w:val="000000"/>
        </w:rPr>
        <w:t>familiesB</w:t>
      </w:r>
      <w:r>
        <w:rPr>
          <w:rFonts w:eastAsia="Times New Roman"/>
          <w:color w:val="000000"/>
        </w:rPr>
        <w:t xml:space="preserve">. Featherstone, S. White and K. Morris (2014). Bristol: Policy Press. Hardback, ISBN 978 1 44730 802 7, £60.00, Aus$110.74. Paperback, ISBN 978 44730 802 0. £17.59, Aus$32.36. pp. 184. </w:t>
      </w:r>
      <w:r>
        <w:rPr>
          <w:rFonts w:eastAsia="Times New Roman"/>
          <w:i/>
          <w:iCs/>
          <w:color w:val="000000"/>
        </w:rPr>
        <w:t>Children Australia</w:t>
      </w:r>
      <w:r>
        <w:rPr>
          <w:rFonts w:eastAsia="Times New Roman"/>
          <w:color w:val="000000"/>
        </w:rPr>
        <w:t xml:space="preserve">, </w:t>
      </w:r>
      <w:r>
        <w:rPr>
          <w:rFonts w:eastAsia="Times New Roman"/>
          <w:i/>
          <w:iCs/>
          <w:color w:val="000000"/>
        </w:rPr>
        <w:t>39</w:t>
      </w:r>
      <w:r>
        <w:rPr>
          <w:rFonts w:eastAsia="Times New Roman"/>
          <w:color w:val="000000"/>
        </w:rPr>
        <w:t>(4), 253–255. https://doi.org/10.1017/cha.2014.31</w:t>
      </w:r>
    </w:p>
    <w:p w14:paraId="0000007D">
      <w:pPr>
        <w:ind w:hanging="480"/>
        <w:rPr>
          <w:rFonts w:eastAsia="Times New Roman"/>
          <w:color w:val="000000"/>
        </w:rPr>
      </w:pPr>
      <w:r>
        <w:rPr>
          <w:rFonts w:eastAsia="Times New Roman"/>
          <w:i/>
          <w:iCs/>
          <w:color w:val="000000"/>
        </w:rPr>
        <w:t>Care, support and health - Norfolk County Council</w:t>
      </w:r>
      <w:r>
        <w:rPr>
          <w:rFonts w:eastAsia="Times New Roman"/>
          <w:color w:val="000000"/>
        </w:rPr>
        <w:t>. (n.d.). Retrieved November 21, 2025, from https://www.norfolk.gov.uk/article/41736/Care-support-and-health</w:t>
      </w:r>
    </w:p>
    <w:p w14:paraId="0000007E">
      <w:pPr>
        <w:ind w:hanging="480"/>
        <w:rPr>
          <w:rFonts w:eastAsia="Times New Roman"/>
          <w:color w:val="000000"/>
        </w:rPr>
      </w:pPr>
      <w:r>
        <w:rPr>
          <w:rFonts w:eastAsia="Times New Roman"/>
          <w:i/>
          <w:iCs/>
          <w:color w:val="000000"/>
        </w:rPr>
        <w:t>Children, young people and families | Southwark Council</w:t>
      </w:r>
      <w:r>
        <w:rPr>
          <w:rFonts w:eastAsia="Times New Roman"/>
          <w:color w:val="000000"/>
        </w:rPr>
        <w:t>. (n.d.). Retrieved November 21, 2025, from https://www.southwark.gov.uk/children-young-people-and-families</w:t>
      </w:r>
    </w:p>
    <w:p w14:paraId="0000007F">
      <w:pPr>
        <w:ind w:hanging="480"/>
        <w:rPr>
          <w:rFonts w:eastAsia="Times New Roman"/>
          <w:color w:val="000000"/>
        </w:rPr>
      </w:pPr>
      <w:r>
        <w:rPr>
          <w:rFonts w:eastAsia="Times New Roman"/>
          <w:i/>
          <w:iCs/>
          <w:color w:val="000000"/>
        </w:rPr>
        <w:t>Early help for children and families - Norfolk County Council</w:t>
      </w:r>
      <w:r>
        <w:rPr>
          <w:rFonts w:eastAsia="Times New Roman"/>
          <w:color w:val="000000"/>
        </w:rPr>
        <w:t>. (n.d.). Retrieved November 21, 2025, from https://www.norfolk.gov.uk/helpforfamilies</w:t>
      </w:r>
    </w:p>
    <w:p w14:paraId="00000080">
      <w:pPr>
        <w:ind w:hanging="480"/>
        <w:rPr>
          <w:rFonts w:eastAsia="Times New Roman"/>
          <w:color w:val="000000"/>
        </w:rPr>
      </w:pPr>
      <w:r>
        <w:rPr>
          <w:rFonts w:eastAsia="Times New Roman"/>
          <w:color w:val="000000"/>
        </w:rPr>
        <w:t xml:space="preserve">Government Association, L. (n.d.). </w:t>
      </w:r>
      <w:r>
        <w:rPr>
          <w:rFonts w:eastAsia="Times New Roman"/>
          <w:i/>
          <w:iCs/>
          <w:color w:val="000000"/>
        </w:rPr>
        <w:t xml:space="preserve">The local government </w:t>
      </w:r>
      <w:r>
        <w:rPr>
          <w:rFonts w:eastAsia="Times New Roman"/>
          <w:i/>
          <w:iCs/>
          <w:color w:val="000000"/>
        </w:rPr>
        <w:t>digitalisation</w:t>
      </w:r>
      <w:r>
        <w:rPr>
          <w:rFonts w:eastAsia="Times New Roman"/>
          <w:i/>
          <w:iCs/>
          <w:color w:val="000000"/>
        </w:rPr>
        <w:t xml:space="preserve"> almanac A simple guide for local councils 2 The Local Government </w:t>
      </w:r>
      <w:r>
        <w:rPr>
          <w:rFonts w:eastAsia="Times New Roman"/>
          <w:i/>
          <w:iCs/>
          <w:color w:val="000000"/>
        </w:rPr>
        <w:t>Digitalisation</w:t>
      </w:r>
      <w:r>
        <w:rPr>
          <w:rFonts w:eastAsia="Times New Roman"/>
          <w:i/>
          <w:iCs/>
          <w:color w:val="000000"/>
        </w:rPr>
        <w:t xml:space="preserve"> Almanac</w:t>
      </w:r>
      <w:r>
        <w:rPr>
          <w:rFonts w:eastAsia="Times New Roman"/>
          <w:color w:val="000000"/>
        </w:rPr>
        <w:t>. www.local.gov.uk/cyberdigital/almanac.</w:t>
      </w:r>
    </w:p>
    <w:p w14:paraId="00000081">
      <w:pPr>
        <w:ind w:hanging="480"/>
        <w:rPr>
          <w:rFonts w:eastAsia="Times New Roman"/>
          <w:color w:val="000000"/>
        </w:rPr>
      </w:pPr>
      <w:r>
        <w:rPr>
          <w:rFonts w:eastAsia="Times New Roman"/>
          <w:color w:val="000000"/>
        </w:rPr>
        <w:t>gov.uk/</w:t>
      </w:r>
      <w:r>
        <w:rPr>
          <w:rFonts w:eastAsia="Times New Roman"/>
          <w:color w:val="000000"/>
        </w:rPr>
        <w:t>dluhc</w:t>
      </w:r>
      <w:r>
        <w:rPr>
          <w:rFonts w:eastAsia="Times New Roman"/>
          <w:color w:val="000000"/>
        </w:rPr>
        <w:t xml:space="preserve">. (2022). </w:t>
      </w:r>
      <w:r>
        <w:rPr>
          <w:rFonts w:eastAsia="Times New Roman"/>
          <w:i/>
          <w:iCs/>
          <w:color w:val="000000"/>
        </w:rPr>
        <w:t>Early Help System Guide A toolkit to assist local strategic partnerships responsible for their Early Help System March 2022 Department for Levelling Up, Housing and Communities Department for Education 2</w:t>
      </w:r>
      <w:r>
        <w:rPr>
          <w:rFonts w:eastAsia="Times New Roman"/>
          <w:color w:val="000000"/>
        </w:rPr>
        <w:t>. www.gov.uk/dluhc</w:t>
      </w:r>
    </w:p>
    <w:p w14:paraId="00000082">
      <w:pPr>
        <w:ind w:hanging="480"/>
        <w:rPr>
          <w:rFonts w:eastAsia="Times New Roman"/>
          <w:color w:val="000000"/>
        </w:rPr>
      </w:pPr>
      <w:r>
        <w:rPr>
          <w:rFonts w:eastAsia="Times New Roman"/>
          <w:i/>
          <w:iCs/>
          <w:color w:val="000000"/>
        </w:rPr>
        <w:t>Hello, welcome to Southwark | Southwark Council</w:t>
      </w:r>
      <w:r>
        <w:rPr>
          <w:rFonts w:eastAsia="Times New Roman"/>
          <w:color w:val="000000"/>
        </w:rPr>
        <w:t>. (n.d.). Retrieved November 21, 2025, from https://www.southwark.gov.uk/</w:t>
      </w:r>
    </w:p>
    <w:p w14:paraId="00000083">
      <w:pPr>
        <w:ind w:hanging="480"/>
        <w:rPr>
          <w:rFonts w:eastAsia="Times New Roman"/>
          <w:color w:val="000000"/>
        </w:rPr>
      </w:pPr>
      <w:r>
        <w:rPr>
          <w:rFonts w:eastAsia="Times New Roman"/>
          <w:color w:val="000000"/>
        </w:rPr>
        <w:t xml:space="preserve">HM Government. (2023). </w:t>
      </w:r>
      <w:r>
        <w:rPr>
          <w:rFonts w:eastAsia="Times New Roman"/>
          <w:i/>
          <w:iCs/>
          <w:color w:val="000000"/>
        </w:rPr>
        <w:t>Working Together to Safeguard Children 2023 A guide to multi-agency working to help, protect and promote the welfare of children</w:t>
      </w:r>
      <w:r>
        <w:rPr>
          <w:rFonts w:eastAsia="Times New Roman"/>
          <w:color w:val="000000"/>
        </w:rPr>
        <w:t>.</w:t>
      </w:r>
    </w:p>
    <w:p w14:paraId="00000084">
      <w:pPr>
        <w:ind w:hanging="480"/>
        <w:rPr>
          <w:rFonts w:eastAsia="Times New Roman"/>
          <w:color w:val="000000"/>
        </w:rPr>
      </w:pPr>
      <w:r>
        <w:rPr>
          <w:rFonts w:eastAsia="Times New Roman"/>
          <w:color w:val="000000"/>
        </w:rPr>
        <w:t xml:space="preserve">in Practice, R. (2022). </w:t>
      </w:r>
      <w:r>
        <w:rPr>
          <w:rFonts w:eastAsia="Times New Roman"/>
          <w:i/>
          <w:iCs/>
          <w:color w:val="000000"/>
        </w:rPr>
        <w:t>What is early help? Concepts, policy directions and multi-agency perspectives</w:t>
      </w:r>
      <w:r>
        <w:rPr>
          <w:rFonts w:eastAsia="Times New Roman"/>
          <w:color w:val="000000"/>
        </w:rPr>
        <w:t>.</w:t>
      </w:r>
    </w:p>
    <w:p w14:paraId="00000085">
      <w:pPr>
        <w:ind w:hanging="480"/>
        <w:rPr>
          <w:rFonts w:eastAsia="Times New Roman"/>
          <w:color w:val="000000"/>
        </w:rPr>
      </w:pPr>
      <w:r>
        <w:rPr>
          <w:rFonts w:eastAsia="Times New Roman"/>
          <w:color w:val="000000"/>
        </w:rPr>
        <w:t xml:space="preserve">Local Government UK. (2019). </w:t>
      </w:r>
      <w:r>
        <w:rPr>
          <w:rFonts w:eastAsia="Times New Roman"/>
          <w:i/>
          <w:iCs/>
          <w:color w:val="000000"/>
        </w:rPr>
        <w:t>Early help resource pack</w:t>
      </w:r>
      <w:r>
        <w:rPr>
          <w:rFonts w:eastAsia="Times New Roman"/>
          <w:color w:val="000000"/>
        </w:rPr>
        <w:t>. www.local.gov.uk/bright-futures</w:t>
      </w:r>
    </w:p>
    <w:p w14:paraId="00000086">
      <w:pPr>
        <w:ind w:hanging="480"/>
        <w:rPr>
          <w:rFonts w:eastAsia="Times New Roman"/>
          <w:color w:val="000000"/>
        </w:rPr>
      </w:pPr>
      <w:r>
        <w:rPr>
          <w:rFonts w:eastAsia="Times New Roman"/>
          <w:color w:val="000000"/>
        </w:rPr>
        <w:t xml:space="preserve">Thatcher, M., Mack, J., Lansley, S., &amp; Halsey, A. H. (n.d.). </w:t>
      </w:r>
      <w:r>
        <w:rPr>
          <w:rFonts w:eastAsia="Times New Roman"/>
          <w:i/>
          <w:iCs/>
          <w:color w:val="000000"/>
        </w:rPr>
        <w:t>“</w:t>
      </w:r>
      <w:r>
        <w:rPr>
          <w:rFonts w:eastAsia="Times New Roman"/>
          <w:i/>
          <w:iCs/>
          <w:color w:val="000000"/>
        </w:rPr>
        <w:t>people</w:t>
      </w:r>
      <w:r>
        <w:rPr>
          <w:rFonts w:eastAsia="Times New Roman"/>
          <w:i/>
          <w:iCs/>
          <w:color w:val="000000"/>
        </w:rPr>
        <w:t xml:space="preserve"> who are living in need are fully and properly provided for.” POOR BRITAIN</w:t>
      </w:r>
      <w:r>
        <w:rPr>
          <w:rFonts w:eastAsia="Times New Roman"/>
          <w:color w:val="000000"/>
        </w:rPr>
        <w:t>.</w:t>
      </w:r>
    </w:p>
    <w:p w14:paraId="00000087">
      <w:pPr>
        <w:ind w:hanging="480"/>
        <w:rPr>
          <w:rFonts w:ascii="Arial" w:cs="Arial" w:hAnsi="Arial"/>
          <w:sz w:val="22"/>
          <w:szCs w:val="22"/>
        </w:rPr>
      </w:pPr>
      <w:r>
        <w:rPr>
          <w:rFonts w:eastAsia="Times New Roman"/>
          <w:i/>
          <w:iCs/>
          <w:color w:val="000000"/>
        </w:rPr>
        <w:t>The Prevention or Relief of Poverty for the Public Benefit</w:t>
      </w:r>
      <w:r>
        <w:rPr>
          <w:rFonts w:eastAsia="Times New Roman"/>
          <w:color w:val="000000"/>
        </w:rPr>
        <w:t>. (n.d.).</w:t>
      </w:r>
    </w:p>
    <w:sectPr>
      <w:headerReference w:type="default" r:id="rId29"/>
      <w:headerReference w:type="first" r:id="rId30"/>
      <w:headerReference w:type="even" r:id="rId31"/>
      <w:footerReference w:type="default" r:id="rId32"/>
      <w:footerReference w:type="first" r:id="rId33"/>
      <w:footerReference w:type="even" r:id="rId34"/>
      <w:pgSz w:w="12240" w:h="15840"/>
      <w:pgMar w:top="851" w:right="851" w:bottom="851" w:left="851"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endnote w:type="separator" w:id="0">
    <w:p w14:paraId="00000003">
      <w:pPr>
        <w:spacing w:after="0" w:line="240" w:lineRule="auto"/>
        <w:rPr/>
      </w:pPr>
      <w:r>
        <w:rPr/>
        <w:separator/>
      </w:r>
    </w:p>
  </w:endnote>
  <w:endnote w:type="continuationSeparator" w:id="1">
    <w:p w14:paraId="00000004">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00000000" w:csb1="00000000"/>
  </w:font>
  <w:font w:name="Times New Roman">
    <w:panose1 w:val="02020603050405020304"/>
    <w:charset w:val="00"/>
    <w:family w:val="roman"/>
    <w:pitch w:val="variable"/>
    <w:sig w:usb0="00000000" w:usb1="00000000" w:usb2="00000009" w:usb3="00000000" w:csb0="000001ff" w:csb1="00000000"/>
  </w:font>
  <w:font w:name="Courier New">
    <w:panose1 w:val="02070309020205020404"/>
    <w:charset w:val="00"/>
    <w:family w:val="modern"/>
    <w:pitch w:val="fixed"/>
    <w:sig w:usb0="00000000" w:usb1="00000000" w:usb2="00000009" w:usb3="00000000" w:csb0="000001ff" w:csb1="00000000"/>
  </w:font>
  <w:font w:name="Wingdings">
    <w:panose1 w:val="05000000000000000000"/>
    <w:charset w:val="02"/>
    <w:family w:val="auto"/>
    <w:pitch w:val="variable"/>
    <w:sig w:usb0="00000000" w:usb1="10000000" w:usb2="00000000" w:usb3="00000000" w:csb0="0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00000000" w:usb1="00000000" w:usb2="00000009" w:usb3="00000000" w:csb0="000001ff" w:csb1="00000000"/>
  </w:font>
  <w:font w:name="Calibri">
    <w:panose1 w:val="020f0502020204030204"/>
    <w:charset w:val="00"/>
    <w:family w:val="swiss"/>
    <w:pitch w:val="variable"/>
    <w:sig w:usb0="00000000" w:usb1="4000207b" w:usb2="00000000" w:usb3="00000000" w:csb0="0000009f" w:csb1="00000000"/>
  </w:font>
  <w:font w:name="Cambria">
    <w:panose1 w:val="02040503050406030204"/>
    <w:charset w:val="00"/>
    <w:family w:val="roman"/>
    <w:pitch w:val="variable"/>
    <w:sig w:usb0="00000000" w:usb1="4000004b" w:usb2="00000000" w:usb3="00000000" w:csb0="0000009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Helvetica Neue">
    <w:charset w:val="00"/>
    <w:family w:val="swiss"/>
    <w:pitch w:val="variable"/>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08B">
    <w:pPr>
      <w:pStyle w:val="Footer"/>
      <w:jc w:val="center"/>
      <w:rPr/>
    </w:pPr>
    <w:r>
      <w:fldChar w:fldCharType="begin"/>
    </w:r>
    <w:r>
      <w:instrText xml:space="preserve"> PAGE   \* MERGEFORMAT </w:instrText>
    </w:r>
    <w:r>
      <w:fldChar w:fldCharType="separate"/>
    </w:r>
    <w:r>
      <w:t>2</w:t>
    </w:r>
    <w:r>
      <w:fldChar w:fldCharType="end"/>
    </w:r>
  </w:p>
  <w:p w14:paraId="0000008C">
    <w:pPr>
      <w:pStyle w:val="Footer"/>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08D">
    <w:pPr>
      <w:pStyle w:val="Footer"/>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08E">
    <w:pPr>
      <w:pStyle w:val="Foot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footnote w:type="separator" w:id="0">
    <w:p w14:paraId="00000001">
      <w:pPr>
        <w:spacing w:after="0" w:line="240" w:lineRule="auto"/>
        <w:rPr/>
      </w:pPr>
      <w:r>
        <w:rPr/>
        <w:separator/>
      </w:r>
    </w:p>
  </w:footnote>
  <w:footnote w:type="continuationSeparator" w:id="1">
    <w:p w14:paraId="00000002">
      <w:pPr>
        <w:spacing w:after="0" w:line="240" w:lineRule="auto"/>
        <w:rPr/>
      </w:pPr>
      <w:r>
        <w:rP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088">
    <w:pPr>
      <w:pStyle w:val="Header"/>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089">
    <w:pPr>
      <w:pStyle w:val="Header"/>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08A">
    <w:pPr>
      <w:pStyle w:val="Header"/>
      <w:rPr/>
    </w:pP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multiLevelType w:val="multilevel"/>
    <w:lvl w:ilvl="0" w:tentative="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multiLevelType w:val="multilevel"/>
    <w:lvl w:ilvl="0" w:tentative="0">
      <w:start w:val="3"/>
      <w:numFmt w:val="decimal"/>
      <w:lvlText w:val="%1."/>
      <w:lvlJc w:val="left"/>
      <w:pPr>
        <w:tabs>
          <w:tab w:val="num" w:pos="785"/>
        </w:tabs>
        <w:ind w:left="785" w:hanging="360"/>
      </w:pPr>
    </w:lvl>
    <w:lvl w:ilvl="1" w:tentative="1">
      <w:start w:val="1"/>
      <w:numFmt w:val="decimal"/>
      <w:lvlText w:val="%2."/>
      <w:lvlJc w:val="left"/>
      <w:pPr>
        <w:tabs>
          <w:tab w:val="num" w:pos="1505"/>
        </w:tabs>
        <w:ind w:left="1505" w:hanging="360"/>
      </w:pPr>
    </w:lvl>
    <w:lvl w:ilvl="2" w:tentative="1">
      <w:start w:val="1"/>
      <w:numFmt w:val="decimal"/>
      <w:lvlText w:val="%3."/>
      <w:lvlJc w:val="left"/>
      <w:pPr>
        <w:tabs>
          <w:tab w:val="num" w:pos="2225"/>
        </w:tabs>
        <w:ind w:left="2225" w:hanging="360"/>
      </w:pPr>
    </w:lvl>
    <w:lvl w:ilvl="3" w:tentative="1">
      <w:start w:val="1"/>
      <w:numFmt w:val="decimal"/>
      <w:lvlText w:val="%4."/>
      <w:lvlJc w:val="left"/>
      <w:pPr>
        <w:tabs>
          <w:tab w:val="num" w:pos="2945"/>
        </w:tabs>
        <w:ind w:left="2945" w:hanging="360"/>
      </w:pPr>
    </w:lvl>
    <w:lvl w:ilvl="4" w:tentative="1">
      <w:start w:val="1"/>
      <w:numFmt w:val="decimal"/>
      <w:lvlText w:val="%5."/>
      <w:lvlJc w:val="left"/>
      <w:pPr>
        <w:tabs>
          <w:tab w:val="num" w:pos="3665"/>
        </w:tabs>
        <w:ind w:left="3665" w:hanging="360"/>
      </w:pPr>
    </w:lvl>
    <w:lvl w:ilvl="5" w:tentative="1">
      <w:start w:val="1"/>
      <w:numFmt w:val="decimal"/>
      <w:lvlText w:val="%6."/>
      <w:lvlJc w:val="left"/>
      <w:pPr>
        <w:tabs>
          <w:tab w:val="num" w:pos="4385"/>
        </w:tabs>
        <w:ind w:left="4385" w:hanging="360"/>
      </w:pPr>
    </w:lvl>
    <w:lvl w:ilvl="6" w:tentative="1">
      <w:start w:val="1"/>
      <w:numFmt w:val="decimal"/>
      <w:lvlText w:val="%7."/>
      <w:lvlJc w:val="left"/>
      <w:pPr>
        <w:tabs>
          <w:tab w:val="num" w:pos="5105"/>
        </w:tabs>
        <w:ind w:left="5105" w:hanging="360"/>
      </w:pPr>
    </w:lvl>
    <w:lvl w:ilvl="7" w:tentative="1">
      <w:start w:val="1"/>
      <w:numFmt w:val="decimal"/>
      <w:lvlText w:val="%8."/>
      <w:lvlJc w:val="left"/>
      <w:pPr>
        <w:tabs>
          <w:tab w:val="num" w:pos="5825"/>
        </w:tabs>
        <w:ind w:left="5825" w:hanging="360"/>
      </w:pPr>
    </w:lvl>
    <w:lvl w:ilvl="8" w:tentative="1">
      <w:start w:val="1"/>
      <w:numFmt w:val="decimal"/>
      <w:lvlText w:val="%9."/>
      <w:lvlJc w:val="left"/>
      <w:pPr>
        <w:tabs>
          <w:tab w:val="num" w:pos="6545"/>
        </w:tabs>
        <w:ind w:left="6545" w:hanging="360"/>
      </w:pPr>
    </w:lvl>
  </w:abstractNum>
  <w:abstractNum w:abstractNumId="12">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multiLevelType w:val="multilevel"/>
    <w:lvl w:ilvl="0" w:tentative="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multiLevelType w:val="multilevel"/>
    <w:lvl w:ilvl="0" w:tentative="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multiLevelType w:val="multilevel"/>
    <w:lvl w:ilvl="0" w:tentative="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4"/>
  </w:num>
  <w:num w:numId="3">
    <w:abstractNumId w:val="8"/>
  </w:num>
  <w:num w:numId="4">
    <w:abstractNumId w:val="1"/>
  </w:num>
  <w:num w:numId="5">
    <w:abstractNumId w:val="7"/>
  </w:num>
  <w:num w:numId="6">
    <w:abstractNumId w:val="12"/>
  </w:num>
  <w:num w:numId="7">
    <w:abstractNumId w:val="17"/>
  </w:num>
  <w:num w:numId="8">
    <w:abstractNumId w:val="4"/>
  </w:num>
  <w:num w:numId="9">
    <w:abstractNumId w:val="16"/>
  </w:num>
  <w:num w:numId="10">
    <w:abstractNumId w:val="2"/>
  </w:num>
  <w:num w:numId="11">
    <w:abstractNumId w:val="3"/>
  </w:num>
  <w:num w:numId="12">
    <w:abstractNumId w:val="10"/>
  </w:num>
  <w:num w:numId="13">
    <w:abstractNumId w:val="6"/>
  </w:num>
  <w:num w:numId="14">
    <w:abstractNumId w:val="5"/>
  </w:num>
  <w:num w:numId="15">
    <w:abstractNumId w:val="9"/>
  </w:num>
  <w:num w:numId="16">
    <w:abstractNumId w:val="13"/>
  </w:num>
  <w:num w:numId="17">
    <w:abstractNumId w:val="15"/>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396"/>
    <w:rsid w:val="0001539B"/>
    <w:rsid w:val="00022C76"/>
    <w:rsid w:val="00076D2F"/>
    <w:rsid w:val="00086193"/>
    <w:rsid w:val="000C43B5"/>
    <w:rsid w:val="000C4B18"/>
    <w:rsid w:val="00176CFB"/>
    <w:rsid w:val="001C20F7"/>
    <w:rsid w:val="001F6BB3"/>
    <w:rsid w:val="00203F57"/>
    <w:rsid w:val="00214F64"/>
    <w:rsid w:val="0021610F"/>
    <w:rsid w:val="002745FF"/>
    <w:rsid w:val="002B509D"/>
    <w:rsid w:val="003A3D1F"/>
    <w:rsid w:val="003D3D33"/>
    <w:rsid w:val="003E1A5D"/>
    <w:rsid w:val="004C0865"/>
    <w:rsid w:val="00501900"/>
    <w:rsid w:val="005417D7"/>
    <w:rsid w:val="005967AD"/>
    <w:rsid w:val="005F1723"/>
    <w:rsid w:val="006B2A47"/>
    <w:rsid w:val="00743D2A"/>
    <w:rsid w:val="007C244C"/>
    <w:rsid w:val="007F0089"/>
    <w:rsid w:val="00874819"/>
    <w:rsid w:val="009A27BC"/>
    <w:rsid w:val="009A398F"/>
    <w:rsid w:val="009C358D"/>
    <w:rsid w:val="009F2D7D"/>
    <w:rsid w:val="00AD44EA"/>
    <w:rsid w:val="00BD5270"/>
    <w:rsid w:val="00BE4BEE"/>
    <w:rsid w:val="00CE6D87"/>
    <w:rsid w:val="00D118FC"/>
    <w:rsid w:val="00D536A3"/>
    <w:rsid w:val="00D5667D"/>
    <w:rsid w:val="00DA02DF"/>
    <w:rsid w:val="00EB1396"/>
    <w:rsid w:val="00EF1857"/>
    <w:rsid w:val="00F052B5"/>
    <w:rsid w:val="00FA27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45325"/>
  <w15:chartTrackingRefBased/>
  <w15:docId w15:val="{E15F0292-15E4-4011-8927-9A8F646C0F17}"/>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4"/>
        <w:szCs w:val="24"/>
        <w:lang w:val="en-US" w:bidi="ar-SA" w:eastAsia="en-US"/>
        <w14:ligatures w14:val="standardContextual"/>
      </w:rPr>
    </w:rPrDefault>
    <w:pPrDefault>
      <w:pPr>
        <w:spacing w:after="160" w:line="278" w:lineRule="auto"/>
      </w:pPr>
    </w:pPrDefault>
  </w:docDefaults>
  <w:style w:type="paragraph" w:styleId="NoSpacing">
    <w:name w:val="No Spacing"/>
    <w:uiPriority w:val="1"/>
    <w:qFormat w:val="on"/>
    <w:pPr>
      <w:spacing w:after="0" w:line="240" w:lineRule="auto"/>
    </w:p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Strong">
    <w:name w:val="Strong"/>
    <w:basedOn w:val="DefaultParagraphFont"/>
    <w:uiPriority w:val="22"/>
    <w:qFormat w:val="on"/>
    <w:rPr>
      <w:b/>
      <w:bCs/>
    </w:rPr>
  </w:style>
  <w:style w:type="character" w:styleId="SubtleReference">
    <w:name w:val="Subtle Reference"/>
    <w:basedOn w:val="DefaultParagraphFont"/>
    <w:uiPriority w:val="31"/>
    <w:qFormat w:val="on"/>
    <w:rPr>
      <w:smallCaps/>
      <w:color w:val="e97132" w:themeColor="accent2"/>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467886" w:themeColor="hyperlink"/>
      <w:u w:val="single"/>
    </w:rPr>
  </w:style>
  <w:style w:type="character" w:styleId="FollowedHyperlink">
    <w:name w:val="FollowedHyperlink"/>
    <w:basedOn w:val="DefaultParagraphFont"/>
    <w:uiPriority w:val="99"/>
    <w:semiHidden w:val="on"/>
    <w:unhideWhenUsed w:val="on"/>
    <w:rPr>
      <w:color w:val="96607d" w:themeColor="followed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after="200" w:line="240" w:lineRule="auto"/>
    </w:pPr>
    <w:rPr>
      <w:i/>
      <w:iCs/>
      <w:color w:val="0e2841" w:themeColor="text2"/>
      <w:sz w:val="18"/>
      <w:szCs w:val="18"/>
    </w:rPr>
  </w:style>
  <w:style w:type="paragraph" w:default="1" w:styleId="Normal">
    <w:name w:val="Normal"/>
    <w:uiPriority w:val="99"/>
    <w:qFormat w:val="on"/>
  </w:style>
  <w:style w:type="paragraph" w:styleId="Heading1">
    <w:name w:val="Heading 1"/>
    <w:basedOn w:val="Normal"/>
    <w:next w:val="Normal"/>
    <w:link w:val="Heading1Char"/>
    <w:uiPriority w:val="9"/>
    <w:qFormat w:val="on"/>
    <w:pPr>
      <w:keepNext w:val="on"/>
      <w:keepLines w:val="on"/>
      <w:spacing w:before="360" w:after="80"/>
    </w:pPr>
    <w:rPr>
      <w:rFonts w:asciiTheme="majorHAnsi" w:cstheme="majorBidi" w:eastAsiaTheme="majorEastAsia" w:hAnsiTheme="majorHAnsi"/>
      <w:color w:val="104760" w:themeColor="accent1" w:themeShade="bf"/>
      <w:sz w:val="40"/>
      <w:szCs w:val="40"/>
    </w:rPr>
  </w:style>
  <w:style w:type="paragraph" w:styleId="Heading2">
    <w:name w:val="Heading 2"/>
    <w:basedOn w:val="Normal"/>
    <w:next w:val="Normal"/>
    <w:link w:val="Heading2Char"/>
    <w:uiPriority w:val="9"/>
    <w:semiHidden w:val="on"/>
    <w:unhideWhenUsed w:val="on"/>
    <w:qFormat w:val="on"/>
    <w:pPr>
      <w:keepNext w:val="on"/>
      <w:keepLines w:val="on"/>
      <w:spacing w:before="160" w:after="80"/>
    </w:pPr>
    <w:rPr>
      <w:rFonts w:asciiTheme="majorHAnsi" w:cstheme="majorBidi" w:eastAsiaTheme="majorEastAsia" w:hAnsiTheme="majorHAnsi"/>
      <w:color w:val="104760" w:themeColor="accent1" w:themeShade="bf"/>
      <w:sz w:val="32"/>
      <w:szCs w:val="32"/>
    </w:rPr>
  </w:style>
  <w:style w:type="paragraph" w:styleId="Heading3">
    <w:name w:val="Heading 3"/>
    <w:basedOn w:val="Normal"/>
    <w:next w:val="Normal"/>
    <w:link w:val="Heading3Char"/>
    <w:uiPriority w:val="9"/>
    <w:semiHidden w:val="on"/>
    <w:unhideWhenUsed w:val="on"/>
    <w:qFormat w:val="on"/>
    <w:pPr>
      <w:keepNext w:val="on"/>
      <w:keepLines w:val="on"/>
      <w:spacing w:before="160" w:after="80"/>
    </w:pPr>
    <w:rPr>
      <w:rFonts w:cstheme="majorBidi" w:eastAsiaTheme="majorEastAsia"/>
      <w:color w:val="104760" w:themeColor="accent1" w:themeShade="bf"/>
      <w:sz w:val="28"/>
      <w:szCs w:val="28"/>
    </w:rPr>
  </w:style>
  <w:style w:type="paragraph" w:styleId="Heading4">
    <w:name w:val="Heading 4"/>
    <w:basedOn w:val="Normal"/>
    <w:next w:val="Normal"/>
    <w:link w:val="Heading4Char"/>
    <w:uiPriority w:val="9"/>
    <w:semiHidden w:val="on"/>
    <w:unhideWhenUsed w:val="on"/>
    <w:qFormat w:val="on"/>
    <w:pPr>
      <w:keepNext w:val="on"/>
      <w:keepLines w:val="on"/>
      <w:spacing w:before="80" w:after="40"/>
    </w:pPr>
    <w:rPr>
      <w:rFonts w:cstheme="majorBidi" w:eastAsiaTheme="majorEastAsia"/>
      <w:i/>
      <w:iCs/>
      <w:color w:val="104760" w:themeColor="accent1" w:themeShade="bf"/>
    </w:rPr>
  </w:style>
  <w:style w:type="paragraph" w:styleId="Heading5">
    <w:name w:val="Heading 5"/>
    <w:basedOn w:val="Normal"/>
    <w:next w:val="Normal"/>
    <w:link w:val="Heading5Char"/>
    <w:uiPriority w:val="9"/>
    <w:semiHidden w:val="on"/>
    <w:unhideWhenUsed w:val="on"/>
    <w:qFormat w:val="on"/>
    <w:pPr>
      <w:keepNext w:val="on"/>
      <w:keepLines w:val="on"/>
      <w:spacing w:before="80" w:after="40"/>
    </w:pPr>
    <w:rPr>
      <w:rFonts w:cstheme="majorBidi" w:eastAsiaTheme="majorEastAsia"/>
      <w:color w:val="104760" w:themeColor="accent1" w:themeShade="bf"/>
    </w:rPr>
  </w:style>
  <w:style w:type="paragraph" w:styleId="Heading6">
    <w:name w:val="Heading 6"/>
    <w:basedOn w:val="Normal"/>
    <w:next w:val="Normal"/>
    <w:link w:val="Heading6Char"/>
    <w:uiPriority w:val="9"/>
    <w:semiHidden w:val="on"/>
    <w:unhideWhenUsed w:val="on"/>
    <w:qFormat w:val="on"/>
    <w:pPr>
      <w:keepNext w:val="on"/>
      <w:keepLines w:val="on"/>
      <w:spacing w:before="40" w:after="0"/>
    </w:pPr>
    <w:rPr>
      <w:rFonts w:cstheme="majorBidi" w:eastAsiaTheme="majorEastAsia"/>
      <w:i/>
      <w:iCs/>
      <w:color w:val="595959" w:themeColor="text1" w:themeTint="a6"/>
    </w:rPr>
  </w:style>
  <w:style w:type="paragraph" w:styleId="Heading7">
    <w:name w:val="Heading 7"/>
    <w:basedOn w:val="Normal"/>
    <w:next w:val="Normal"/>
    <w:link w:val="Heading7Char"/>
    <w:uiPriority w:val="9"/>
    <w:semiHidden w:val="on"/>
    <w:unhideWhenUsed w:val="on"/>
    <w:qFormat w:val="on"/>
    <w:pPr>
      <w:keepNext w:val="on"/>
      <w:keepLines w:val="on"/>
      <w:spacing w:before="40" w:after="0"/>
    </w:pPr>
    <w:rPr>
      <w:rFonts w:cstheme="majorBidi" w:eastAsiaTheme="majorEastAsia"/>
      <w:color w:val="595959" w:themeColor="text1" w:themeTint="a6"/>
    </w:rPr>
  </w:style>
  <w:style w:type="paragraph" w:styleId="Heading8">
    <w:name w:val="Heading 8"/>
    <w:basedOn w:val="Normal"/>
    <w:next w:val="Normal"/>
    <w:link w:val="Heading8Char"/>
    <w:uiPriority w:val="9"/>
    <w:semiHidden w:val="on"/>
    <w:unhideWhenUsed w:val="on"/>
    <w:qFormat w:val="on"/>
    <w:pPr>
      <w:keepNext w:val="on"/>
      <w:keepLines w:val="on"/>
      <w:spacing w:after="0"/>
    </w:pPr>
    <w:rPr>
      <w:rFonts w:cstheme="majorBidi" w:eastAsiaTheme="majorEastAsia"/>
      <w:i/>
      <w:iCs/>
      <w:color w:val="272727" w:themeColor="text1" w:themeTint="d8"/>
    </w:rPr>
  </w:style>
  <w:style w:type="paragraph" w:styleId="Heading9">
    <w:name w:val="Heading 9"/>
    <w:basedOn w:val="Normal"/>
    <w:next w:val="Normal"/>
    <w:link w:val="Heading9Char"/>
    <w:uiPriority w:val="9"/>
    <w:semiHidden w:val="on"/>
    <w:unhideWhenUsed w:val="on"/>
    <w:qFormat w:val="on"/>
    <w:pPr>
      <w:keepNext w:val="on"/>
      <w:keepLines w:val="on"/>
      <w:spacing w:after="0"/>
    </w:pPr>
    <w:rPr>
      <w:rFonts w:cstheme="majorBidi" w:eastAsiaTheme="majorEastAsia"/>
      <w:color w:val="272727" w:themeColor="text1" w:themeTint="d8"/>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1Char">
    <w:name w:val="Heading 1 Char"/>
    <w:basedOn w:val="DefaultParagraphFont"/>
    <w:link w:val="Heading1"/>
    <w:uiPriority w:val="9"/>
    <w:rPr>
      <w:rFonts w:asciiTheme="majorHAnsi" w:cstheme="majorBidi" w:eastAsiaTheme="majorEastAsia" w:hAnsiTheme="majorHAnsi"/>
      <w:color w:val="104760" w:themeColor="accent1" w:themeShade="bf"/>
      <w:sz w:val="40"/>
      <w:szCs w:val="40"/>
    </w:rPr>
  </w:style>
  <w:style w:type="character" w:customStyle="1" w:styleId="Heading2Char">
    <w:name w:val="Heading 2 Char"/>
    <w:basedOn w:val="DefaultParagraphFont"/>
    <w:link w:val="Heading2"/>
    <w:uiPriority w:val="9"/>
    <w:semiHidden w:val="on"/>
    <w:rPr>
      <w:rFonts w:asciiTheme="majorHAnsi" w:cstheme="majorBidi" w:eastAsiaTheme="majorEastAsia" w:hAnsiTheme="majorHAnsi"/>
      <w:color w:val="104760" w:themeColor="accent1" w:themeShade="bf"/>
      <w:sz w:val="32"/>
      <w:szCs w:val="32"/>
    </w:rPr>
  </w:style>
  <w:style w:type="character" w:customStyle="1" w:styleId="Heading3Char">
    <w:name w:val="Heading 3 Char"/>
    <w:basedOn w:val="DefaultParagraphFont"/>
    <w:link w:val="Heading3"/>
    <w:uiPriority w:val="9"/>
    <w:semiHidden w:val="on"/>
    <w:rPr>
      <w:rFonts w:cstheme="majorBidi" w:eastAsiaTheme="majorEastAsia"/>
      <w:color w:val="104760" w:themeColor="accent1" w:themeShade="bf"/>
      <w:sz w:val="28"/>
      <w:szCs w:val="28"/>
    </w:rPr>
  </w:style>
  <w:style w:type="character" w:customStyle="1" w:styleId="Heading4Char">
    <w:name w:val="Heading 4 Char"/>
    <w:basedOn w:val="DefaultParagraphFont"/>
    <w:link w:val="Heading4"/>
    <w:uiPriority w:val="9"/>
    <w:semiHidden w:val="on"/>
    <w:rPr>
      <w:rFonts w:cstheme="majorBidi" w:eastAsiaTheme="majorEastAsia"/>
      <w:i/>
      <w:iCs/>
      <w:color w:val="104760" w:themeColor="accent1" w:themeShade="bf"/>
    </w:rPr>
  </w:style>
  <w:style w:type="character" w:customStyle="1" w:styleId="Heading5Char">
    <w:name w:val="Heading 5 Char"/>
    <w:basedOn w:val="DefaultParagraphFont"/>
    <w:link w:val="Heading5"/>
    <w:uiPriority w:val="9"/>
    <w:semiHidden w:val="on"/>
    <w:rPr>
      <w:rFonts w:cstheme="majorBidi" w:eastAsiaTheme="majorEastAsia"/>
      <w:color w:val="104760" w:themeColor="accent1" w:themeShade="bf"/>
    </w:rPr>
  </w:style>
  <w:style w:type="character" w:customStyle="1" w:styleId="Heading6Char">
    <w:name w:val="Heading 6 Char"/>
    <w:basedOn w:val="DefaultParagraphFont"/>
    <w:link w:val="Heading6"/>
    <w:uiPriority w:val="9"/>
    <w:semiHidden w:val="on"/>
    <w:rPr>
      <w:rFonts w:cstheme="majorBidi" w:eastAsiaTheme="majorEastAsia"/>
      <w:i/>
      <w:iCs/>
      <w:color w:val="595959" w:themeColor="text1" w:themeTint="a6"/>
    </w:rPr>
  </w:style>
  <w:style w:type="character" w:customStyle="1" w:styleId="Heading7Char">
    <w:name w:val="Heading 7 Char"/>
    <w:basedOn w:val="DefaultParagraphFont"/>
    <w:link w:val="Heading7"/>
    <w:uiPriority w:val="9"/>
    <w:semiHidden w:val="on"/>
    <w:rPr>
      <w:rFonts w:cstheme="majorBidi" w:eastAsiaTheme="majorEastAsia"/>
      <w:color w:val="595959" w:themeColor="text1" w:themeTint="a6"/>
    </w:rPr>
  </w:style>
  <w:style w:type="character" w:customStyle="1" w:styleId="Heading8Char">
    <w:name w:val="Heading 8 Char"/>
    <w:basedOn w:val="DefaultParagraphFont"/>
    <w:link w:val="Heading8"/>
    <w:uiPriority w:val="9"/>
    <w:semiHidden w:val="on"/>
    <w:rPr>
      <w:rFonts w:cstheme="majorBidi" w:eastAsiaTheme="majorEastAsia"/>
      <w:i/>
      <w:iCs/>
      <w:color w:val="272727" w:themeColor="text1" w:themeTint="d8"/>
    </w:rPr>
  </w:style>
  <w:style w:type="character" w:customStyle="1" w:styleId="Heading9Char">
    <w:name w:val="Heading 9 Char"/>
    <w:basedOn w:val="DefaultParagraphFont"/>
    <w:link w:val="Heading9"/>
    <w:uiPriority w:val="9"/>
    <w:semiHidden w:val="on"/>
    <w:rPr>
      <w:rFonts w:cstheme="majorBidi" w:eastAsiaTheme="majorEastAsia"/>
      <w:color w:val="272727" w:themeColor="text1" w:themeTint="d8"/>
    </w:rPr>
  </w:style>
  <w:style w:type="paragraph" w:styleId="Title">
    <w:name w:val="Title"/>
    <w:basedOn w:val="Normal"/>
    <w:next w:val="Normal"/>
    <w:link w:val="TitleChar"/>
    <w:uiPriority w:val="10"/>
    <w:qFormat w:val="on"/>
    <w:pPr>
      <w:spacing w:after="80" w:line="240" w:lineRule="auto"/>
      <w:contextualSpacing w:val="on"/>
    </w:pPr>
    <w:rPr>
      <w:rFonts w:asciiTheme="majorHAnsi" w:cstheme="majorBidi" w:eastAsiaTheme="majorEastAsia" w:hAnsiTheme="majorHAnsi"/>
      <w:spacing w:val="-10"/>
      <w:sz w:val="56"/>
      <w:szCs w:val="56"/>
    </w:rPr>
  </w:style>
  <w:style w:type="character" w:customStyle="1" w:styleId="TitleChar">
    <w:name w:val="Title Char"/>
    <w:basedOn w:val="DefaultParagraphFont"/>
    <w:link w:val="Title"/>
    <w:uiPriority w:val="10"/>
    <w:rPr>
      <w:rFonts w:asciiTheme="majorHAnsi" w:cstheme="majorBidi" w:eastAsiaTheme="majorEastAsia" w:hAnsiTheme="majorHAnsi"/>
      <w:spacing w:val="-10"/>
      <w:sz w:val="56"/>
      <w:szCs w:val="56"/>
    </w:rPr>
  </w:style>
  <w:style w:type="paragraph" w:styleId="Subtitle">
    <w:name w:val="Subtitle"/>
    <w:basedOn w:val="Normal"/>
    <w:next w:val="Normal"/>
    <w:link w:val="SubtitleChar"/>
    <w:uiPriority w:val="11"/>
    <w:qFormat w:val="on"/>
    <w:pPr/>
    <w:rPr>
      <w:rFonts w:cstheme="majorBidi" w:eastAsiaTheme="majorEastAsia"/>
      <w:color w:val="595959" w:themeColor="text1" w:themeTint="a6"/>
      <w:spacing w:val="15"/>
      <w:sz w:val="28"/>
      <w:szCs w:val="28"/>
    </w:rPr>
  </w:style>
  <w:style w:type="character" w:customStyle="1" w:styleId="SubtitleChar">
    <w:name w:val="Subtitle Char"/>
    <w:basedOn w:val="DefaultParagraphFont"/>
    <w:link w:val="Subtitle"/>
    <w:uiPriority w:val="11"/>
    <w:rPr>
      <w:rFonts w:cstheme="majorBidi" w:eastAsiaTheme="majorEastAsia"/>
      <w:color w:val="595959" w:themeColor="text1" w:themeTint="a6"/>
      <w:spacing w:val="15"/>
      <w:sz w:val="28"/>
      <w:szCs w:val="28"/>
    </w:rPr>
  </w:style>
  <w:style w:type="paragraph" w:styleId="Quote">
    <w:name w:val="Quote"/>
    <w:basedOn w:val="Normal"/>
    <w:next w:val="Normal"/>
    <w:link w:val="QuoteChar"/>
    <w:uiPriority w:val="29"/>
    <w:qFormat w:val="on"/>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Paragraph">
    <w:name w:val="List Paragraph"/>
    <w:basedOn w:val="Normal"/>
    <w:uiPriority w:val="34"/>
    <w:qFormat w:val="on"/>
    <w:pPr>
      <w:ind w:left="720"/>
      <w:contextualSpacing w:val="on"/>
    </w:pPr>
  </w:style>
  <w:style w:type="character" w:styleId="IntenseEmphasis">
    <w:name w:val="Intense Emphasis"/>
    <w:basedOn w:val="DefaultParagraphFont"/>
    <w:uiPriority w:val="21"/>
    <w:qFormat w:val="on"/>
    <w:rPr>
      <w:i/>
      <w:iCs/>
      <w:color w:val="104760" w:themeColor="accent1" w:themeShade="bf"/>
    </w:rPr>
  </w:style>
  <w:style w:type="paragraph" w:styleId="IntenseQuote">
    <w:name w:val="Intense Quote"/>
    <w:basedOn w:val="Normal"/>
    <w:next w:val="Normal"/>
    <w:link w:val="IntenseQuoteChar"/>
    <w:uiPriority w:val="30"/>
    <w:qFormat w:val="on"/>
    <w:pPr>
      <w:pBdr>
        <w:top w:val="single" w:color="104760" w:themeColor="accent1" w:themeShade="bf" w:sz="4" w:space="10"/>
        <w:bottom w:val="single" w:color="104760" w:themeColor="accent1" w:themeShade="bf" w:sz="4" w:space="10"/>
      </w:pBdr>
      <w:spacing w:before="360" w:after="360"/>
      <w:ind w:left="864" w:right="864"/>
      <w:jc w:val="center"/>
    </w:pPr>
    <w:rPr>
      <w:i/>
      <w:iCs/>
      <w:color w:val="104760" w:themeColor="accent1" w:themeShade="bf"/>
    </w:rPr>
  </w:style>
  <w:style w:type="character" w:customStyle="1" w:styleId="IntenseQuoteChar">
    <w:name w:val="Intense Quote Char"/>
    <w:basedOn w:val="DefaultParagraphFont"/>
    <w:link w:val="IntenseQuote"/>
    <w:uiPriority w:val="30"/>
    <w:rPr>
      <w:i/>
      <w:iCs/>
      <w:color w:val="104760" w:themeColor="accent1" w:themeShade="bf"/>
    </w:rPr>
  </w:style>
  <w:style w:type="character" w:styleId="IntenseReference">
    <w:name w:val="Intense Reference"/>
    <w:basedOn w:val="DefaultParagraphFont"/>
    <w:uiPriority w:val="32"/>
    <w:qFormat w:val="on"/>
    <w:rPr>
      <w:b/>
      <w:bCs/>
      <w:smallCaps/>
      <w:color w:val="104760" w:themeColor="accent1" w:themeShade="bf"/>
      <w:spacing w:val="5"/>
    </w:rPr>
  </w:style>
  <w:style w:type="character" w:styleId="PlaceholderText">
    <w:name w:val="Placeholder Text"/>
    <w:basedOn w:val="DefaultParagraphFont"/>
    <w:uiPriority w:val="99"/>
    <w:semiHidden w:val="on"/>
    <w:rPr>
      <w:color w:val="666666"/>
    </w:rPr>
  </w:style>
  <w:style w:type="paragraph" w:styleId="Header">
    <w:name w:val="Header"/>
    <w:basedOn w:val="Normal"/>
    <w:link w:val="HeaderChar"/>
    <w:uiPriority w:val="99"/>
    <w:unhideWhenUsed w:val="on"/>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tabs>
        <w:tab w:val="center" w:pos="4680"/>
        <w:tab w:val="right" w:pos="9360"/>
      </w:tabs>
      <w:spacing w:after="0" w:line="240" w:lineRule="auto"/>
    </w:pPr>
  </w:style>
  <w:style w:type="character" w:customStyle="1" w:styleId="FooterChar">
    <w:name w:val="Footer Char"/>
    <w:basedOn w:val="DefaultParagraphFont"/>
    <w:link w:val="Footer"/>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6893048">
      <w:marLeft w:val="480"/>
      <w:marRight w:val="0"/>
      <w:marTop w:val="0"/>
      <w:marBottom w:val="0"/>
      <w:divBdr>
        <w:top w:val="none" w:sz="0" w:space="0" w:color="auto"/>
        <w:left w:val="none" w:sz="0" w:space="0" w:color="auto"/>
        <w:bottom w:val="none" w:sz="0" w:space="0" w:color="auto"/>
        <w:right w:val="none" w:sz="0" w:space="0" w:color="auto"/>
      </w:divBdr>
    </w:div>
    <w:div w:id="640423457">
      <w:marLeft w:val="480"/>
      <w:marRight w:val="0"/>
      <w:marTop w:val="0"/>
      <w:marBottom w:val="0"/>
      <w:divBdr>
        <w:top w:val="none" w:sz="0" w:space="0" w:color="auto"/>
        <w:left w:val="none" w:sz="0" w:space="0" w:color="auto"/>
        <w:bottom w:val="none" w:sz="0" w:space="0" w:color="auto"/>
        <w:right w:val="none" w:sz="0" w:space="0" w:color="auto"/>
      </w:divBdr>
    </w:div>
    <w:div w:id="933978547">
      <w:marLeft w:val="480"/>
      <w:marRight w:val="0"/>
      <w:marTop w:val="0"/>
      <w:marBottom w:val="0"/>
      <w:divBdr>
        <w:top w:val="none" w:sz="0" w:space="0" w:color="auto"/>
        <w:left w:val="none" w:sz="0" w:space="0" w:color="auto"/>
        <w:bottom w:val="none" w:sz="0" w:space="0" w:color="auto"/>
        <w:right w:val="none" w:sz="0" w:space="0" w:color="auto"/>
      </w:divBdr>
    </w:div>
    <w:div w:id="978149358">
      <w:marLeft w:val="480"/>
      <w:marRight w:val="0"/>
      <w:marTop w:val="0"/>
      <w:marBottom w:val="0"/>
      <w:divBdr>
        <w:top w:val="none" w:sz="0" w:space="0" w:color="auto"/>
        <w:left w:val="none" w:sz="0" w:space="0" w:color="auto"/>
        <w:bottom w:val="none" w:sz="0" w:space="0" w:color="auto"/>
        <w:right w:val="none" w:sz="0" w:space="0" w:color="auto"/>
      </w:divBdr>
    </w:div>
    <w:div w:id="1048992770">
      <w:marLeft w:val="480"/>
      <w:marRight w:val="0"/>
      <w:marTop w:val="0"/>
      <w:marBottom w:val="0"/>
      <w:divBdr>
        <w:top w:val="none" w:sz="0" w:space="0" w:color="auto"/>
        <w:left w:val="none" w:sz="0" w:space="0" w:color="auto"/>
        <w:bottom w:val="none" w:sz="0" w:space="0" w:color="auto"/>
        <w:right w:val="none" w:sz="0" w:space="0" w:color="auto"/>
      </w:divBdr>
    </w:div>
    <w:div w:id="1055423754">
      <w:marLeft w:val="480"/>
      <w:marRight w:val="0"/>
      <w:marTop w:val="0"/>
      <w:marBottom w:val="0"/>
      <w:divBdr>
        <w:top w:val="none" w:sz="0" w:space="0" w:color="auto"/>
        <w:left w:val="none" w:sz="0" w:space="0" w:color="auto"/>
        <w:bottom w:val="none" w:sz="0" w:space="0" w:color="auto"/>
        <w:right w:val="none" w:sz="0" w:space="0" w:color="auto"/>
      </w:divBdr>
    </w:div>
    <w:div w:id="1078088396">
      <w:marLeft w:val="480"/>
      <w:marRight w:val="0"/>
      <w:marTop w:val="0"/>
      <w:marBottom w:val="0"/>
      <w:divBdr>
        <w:top w:val="none" w:sz="0" w:space="0" w:color="auto"/>
        <w:left w:val="none" w:sz="0" w:space="0" w:color="auto"/>
        <w:bottom w:val="none" w:sz="0" w:space="0" w:color="auto"/>
        <w:right w:val="none" w:sz="0" w:space="0" w:color="auto"/>
      </w:divBdr>
    </w:div>
    <w:div w:id="1158422458">
      <w:marLeft w:val="480"/>
      <w:marRight w:val="0"/>
      <w:marTop w:val="0"/>
      <w:marBottom w:val="0"/>
      <w:divBdr>
        <w:top w:val="none" w:sz="0" w:space="0" w:color="auto"/>
        <w:left w:val="none" w:sz="0" w:space="0" w:color="auto"/>
        <w:bottom w:val="none" w:sz="0" w:space="0" w:color="auto"/>
        <w:right w:val="none" w:sz="0" w:space="0" w:color="auto"/>
      </w:divBdr>
    </w:div>
    <w:div w:id="1191068573">
      <w:marLeft w:val="480"/>
      <w:marRight w:val="0"/>
      <w:marTop w:val="0"/>
      <w:marBottom w:val="0"/>
      <w:divBdr>
        <w:top w:val="none" w:sz="0" w:space="0" w:color="auto"/>
        <w:left w:val="none" w:sz="0" w:space="0" w:color="auto"/>
        <w:bottom w:val="none" w:sz="0" w:space="0" w:color="auto"/>
        <w:right w:val="none" w:sz="0" w:space="0" w:color="auto"/>
      </w:divBdr>
    </w:div>
    <w:div w:id="1542325559">
      <w:marLeft w:val="480"/>
      <w:marRight w:val="0"/>
      <w:marTop w:val="0"/>
      <w:marBottom w:val="0"/>
      <w:divBdr>
        <w:top w:val="none" w:sz="0" w:space="0" w:color="auto"/>
        <w:left w:val="none" w:sz="0" w:space="0" w:color="auto"/>
        <w:bottom w:val="none" w:sz="0" w:space="0" w:color="auto"/>
        <w:right w:val="none" w:sz="0" w:space="0" w:color="auto"/>
      </w:divBdr>
    </w:div>
    <w:div w:id="1628268895">
      <w:marLeft w:val="480"/>
      <w:marRight w:val="0"/>
      <w:marTop w:val="0"/>
      <w:marBottom w:val="0"/>
      <w:divBdr>
        <w:top w:val="none" w:sz="0" w:space="0" w:color="auto"/>
        <w:left w:val="none" w:sz="0" w:space="0" w:color="auto"/>
        <w:bottom w:val="none" w:sz="0" w:space="0" w:color="auto"/>
        <w:right w:val="none" w:sz="0" w:space="0" w:color="auto"/>
      </w:divBdr>
    </w:div>
    <w:div w:id="1946426964">
      <w:marLeft w:val="480"/>
      <w:marRight w:val="0"/>
      <w:marTop w:val="0"/>
      <w:marBottom w:val="0"/>
      <w:divBdr>
        <w:top w:val="none" w:sz="0" w:space="0" w:color="auto"/>
        <w:left w:val="none" w:sz="0" w:space="0" w:color="auto"/>
        <w:bottom w:val="none" w:sz="0" w:space="0" w:color="auto"/>
        <w:right w:val="none" w:sz="0" w:space="0" w:color="auto"/>
      </w:divBdr>
    </w:div>
    <w:div w:id="2078697529">
      <w:marLeft w:val="48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4" Type="http://schemas.openxmlformats.org/officeDocument/2006/relationships/fontTable" Target="fontTable.xml"/><Relationship Id="rId16" Type="http://schemas.openxmlformats.org/officeDocument/2006/relationships/theme" Target="theme/theme1.xml"/><Relationship Id="rId2" Type="http://schemas.openxmlformats.org/officeDocument/2006/relationships/numbering" Target="numbering.xml"/><Relationship Id="rId29" Type="http://schemas.openxmlformats.org/officeDocument/2006/relationships/header" Target="header1.xml"/><Relationship Id="rId3" Type="http://schemas.openxmlformats.org/officeDocument/2006/relationships/styles" Target="styles.xml"/><Relationship Id="rId30" Type="http://schemas.openxmlformats.org/officeDocument/2006/relationships/header" Target="header2.xml"/><Relationship Id="rId31" Type="http://schemas.openxmlformats.org/officeDocument/2006/relationships/header" Target="header3.xml"/><Relationship Id="rId32" Type="http://schemas.openxmlformats.org/officeDocument/2006/relationships/footer" Target="footer1.xml"/><Relationship Id="rId33" Type="http://schemas.openxmlformats.org/officeDocument/2006/relationships/footer" Target="footer2.xml"/><Relationship Id="rId34" Type="http://schemas.openxmlformats.org/officeDocument/2006/relationships/footer" Target="footer3.xml"/><Relationship Id="rId4" Type="http://schemas.openxmlformats.org/officeDocument/2006/relationships/settings" Target="settings.xml"/><Relationship Id="rId6" Type="http://schemas.openxmlformats.org/officeDocument/2006/relationships/footnotes" Target="footnotes.xml"/><Relationship Id="rId7" Type="http://schemas.openxmlformats.org/officeDocument/2006/relationships/endnotes" Target="endnotes.xml"/><Relationship Id="rId1" Type="http://schemas.openxmlformats.org/officeDocument/2006/relationships/customXml" Target="../customXml/item1.xml"/><Relationship Id="rId5" Type="http://schemas.openxmlformats.org/officeDocument/2006/relationships/webSettings" Target="webSettings.xml"/><Relationship Id="rId15" Type="http://schemas.openxmlformats.org/officeDocument/2006/relationships/glossaryDocument" Target="glossary/document.xm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er2.xml.rels><?xml version="1.0" encoding="UTF-8" standalone="yes"?>
<Relationships xmlns="http://schemas.openxmlformats.org/package/2006/relationships"></Relationships>
</file>

<file path=word/_rels/footer3.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header1.xml.rels><?xml version="1.0" encoding="UTF-8" standalone="yes"?>
<Relationships xmlns="http://schemas.openxmlformats.org/package/2006/relationships"></Relationships>
</file>

<file path=word/_rels/header2.xml.rels><?xml version="1.0" encoding="UTF-8" standalone="yes"?>
<Relationships xmlns="http://schemas.openxmlformats.org/package/2006/relationships"></Relationships>
</file>

<file path=word/_rels/header3.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776DADC3-A184-4ECE-82CD-F0EE2EC06C82}"/>
      </w:docPartPr>
      <w:docPartBody>
        <w:p w:rsidR="00AC7ED6" w:rsidRDefault="003972E9">
          <w:r w:rsidRPr="00B41B95">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2E9"/>
    <w:rsid w:val="003972E9"/>
    <w:rsid w:val="00874819"/>
    <w:rsid w:val="00923275"/>
    <w:rsid w:val="00943160"/>
    <w:rsid w:val="009F2D7D"/>
    <w:rsid w:val="00AC7ED6"/>
    <w:rsid w:val="00BD52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972E9"/>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Aptos" panose="0211000402020202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5E25845-09FF-484B-B85C-B9FDD94652A7}">
  <we:reference id="wa104382081" version="1.55.1.0" store="en-US" storeType="OMEX"/>
  <we:alternateReferences>
    <we:reference id="WA104382081" version="1.55.1.0" store="" storeType="OMEX"/>
  </we:alternateReferences>
  <we:properties>
    <we:property name="MENDELEY_BIBLIOGRAPHY_IS_DIRTY" value="true"/>
    <we:property name="MENDELEY_BIBLIOGRAPHY_LAST_MODIFIED" value="1763600945273"/>
    <we:property name="MENDELEY_CITATIONS" value="[{&quot;citationID&quot;:&quot;MENDELEY_CITATION_606d82c3-9f6c-4d8c-9505-64436154d22a&quot;,&quot;properties&quot;:{&quot;noteIndex&quot;:0},&quot;isEdited&quot;:false,&quot;manualOverride&quot;:{&quot;isManuallyOverridden&quot;:false,&quot;citeprocText&quot;:&quot;(gov.uk/dluhc, 2022)&quot;,&quot;manualOverrideText&quot;:&quot;&quot;},&quot;citationTag&quot;:&quot;MENDELEY_CITATION_v3_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&quot;,&quot;citationItems&quot;:[{&quot;id&quot;:&quot;7319cb6e-db4f-3357-ac30-386b1544da7b&quot;,&quot;itemData&quot;:{&quot;type&quot;:&quot;report&quot;,&quot;id&quot;:&quot;7319cb6e-db4f-3357-ac30-386b1544da7b&quot;,&quot;title&quot;:&quot;Early Help System Guide A toolkit to assist local strategic partnerships responsible for their Early Help System March 2022 Department for Levelling Up, Housing and Communities Department for Education 2&quot;,&quot;author&quot;:[{&quot;family&quot;:&quot;gov.uk/dluhc&quot;,&quot;given&quot;:&quot;&quot;,&quot;parse-names&quot;:false,&quot;dropping-particle&quot;:&quot;&quot;,&quot;non-dropping-particle&quot;:&quot;&quot;}],&quot;URL&quot;:&quot;www.gov.uk/dluhc&quot;,&quot;issued&quot;:{&quot;date-parts&quot;:[[2022]]},&quot;container-title-short&quot;:&quot;&quot;},&quot;isTemporary&quot;:false}]},{&quot;citationID&quot;:&quot;MENDELEY_CITATION_251b61ef-b619-406f-89a9-842ae4ac1ae1&quot;,&quot;properties&quot;:{&quot;noteIndex&quot;:0},&quot;isEdited&quot;:false,&quot;manualOverride&quot;:{&quot;isManuallyOverridden&quot;:false,&quot;citeprocText&quot;:&quot;(Local Government UK, 2019)&quot;,&quot;manualOverrideText&quot;:&quot;&quot;},&quot;citationTag&quot;:&quot;MENDELEY_CITATION_v3_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&quot;,&quot;citationItems&quot;:[{&quot;id&quot;:&quot;c32bfcd2-dd16-3469-b58a-b2cbf2a8e8c2&quot;,&quot;itemData&quot;:{&quot;type&quot;:&quot;report&quot;,&quot;id&quot;:&quot;c32bfcd2-dd16-3469-b58a-b2cbf2a8e8c2&quot;,&quot;title&quot;:&quot;Early help resource pack&quot;,&quot;author&quot;:[{&quot;family&quot;:&quot;Local Government UK&quot;,&quot;given&quot;:&quot;&quot;,&quot;parse-names&quot;:false,&quot;dropping-particle&quot;:&quot;&quot;,&quot;non-dropping-particle&quot;:&quot;&quot;}],&quot;URL&quot;:&quot;www.local.gov.uk/bright-futures&quot;,&quot;issued&quot;:{&quot;date-parts&quot;:[[2019]]},&quot;container-title-short&quot;:&quot;&quot;},&quot;isTemporary&quot;:false}]},{&quot;citationID&quot;:&quot;MENDELEY_CITATION_a197a2a2-591e-48de-b5c8-8e962ca978c1&quot;,&quot;properties&quot;:{&quot;noteIndex&quot;:0},&quot;isEdited&quot;:false,&quot;manualOverride&quot;:{&quot;isManuallyOverridden&quot;:false,&quot;citeprocText&quot;:&quot;(HM Government, 2023)&quot;,&quot;manualOverrideText&quot;:&quot;&quot;},&quot;citationTag&quot;:&quot;MENDELEY_CITATION_v3_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&quot;,&quot;citationItems&quot;:[{&quot;id&quot;:&quot;32a9fbe9-58cb-322c-9d29-8337d4ebf02e&quot;,&quot;itemData&quot;:{&quot;type&quot;:&quot;report&quot;,&quot;id&quot;:&quot;32a9fbe9-58cb-322c-9d29-8337d4ebf02e&quot;,&quot;title&quot;:&quot;Working Together to Safeguard Children 2023 A guide to multi-agency working to help, protect and promote the welfare of children&quot;,&quot;author&quot;:[{&quot;family&quot;:&quot;HM Government&quot;,&quot;given&quot;:&quot;&quot;,&quot;parse-names&quot;:false,&quot;dropping-particle&quot;:&quot;&quot;,&quot;non-dropping-particle&quot;:&quot;&quot;}],&quot;issued&quot;:{&quot;date-parts&quot;:[[2023]]},&quot;container-title-short&quot;:&quot;&quot;},&quot;isTemporary&quot;:false}]},{&quot;citationID&quot;:&quot;MENDELEY_CITATION_690310c2-48ae-48a9-8598-1e9bf89b7982&quot;,&quot;properties&quot;:{&quot;noteIndex&quot;:0},&quot;isEdited&quot;:false,&quot;manualOverride&quot;:{&quot;isManuallyOverridden&quot;:false,&quot;citeprocText&quot;:&quot;(Ainsworth, 2014)&quot;,&quot;manualOverrideText&quot;:&quot;&quot;},&quot;citationTag&quot;:&quot;MENDELEY_CITATION_v3_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&quot;,&quot;citationItems&quot;:[{&quot;id&quot;:&quot;af867db9-afb2-396e-8ccc-280a36c095b2&quot;,&quot;itemData&quot;:{&quot;type&quot;:&quot;article-journal&quot;,&quot;id&quot;:&quot;af867db9-afb2-396e-8ccc-280a36c095b2&quot;,&quot;title&quot;:&quot;Re-imagining child protection. Towards humane social work with familiesB. Featherstone, S. White and K. Morris (2014). Bristol: Policy Press. Hardback, ISBN 978 1 44730 802 7, £60.00, Aus$110.74. Paperback, ISBN 978 44730 802 0. £17.59, Aus$32.36. pp. 184&quot;,&quot;author&quot;:[{&quot;family&quot;:&quot;Ainsworth&quot;,&quot;given&quot;:&quot;Frank&quot;,&quot;parse-names&quot;:false,&quot;dropping-particle&quot;:&quot;&quot;,&quot;non-dropping-particle&quot;:&quot;&quot;}],&quot;container-title&quot;:&quot;Children Australia&quot;,&quot;DOI&quot;:&quot;10.1017/cha.2014.31&quot;,&quot;ISSN&quot;:&quot;1035-0772&quot;,&quot;issued&quot;:{&quot;date-parts&quot;:[[2014,12]]},&quot;page&quot;:&quot;253-255&quot;,&quot;abstract&quot;:&quot;//static.cambridge.org/content/id/urn%3Acambridge.org%3Aid%3Aarticle%3AS1035077214000315/resource/name/firstPage-S1035077214000315a.jpg&quot;,&quot;publisher&quot;:&quot;The Centre for Excellence in Child and Family Welfare&quot;,&quot;issue&quot;:&quot;4&quot;,&quot;volume&quot;:&quot;39&quot;,&quot;container-title-short&quot;:&quot;&quot;},&quot;isTemporary&quot;:false}]},{&quot;citationID&quot;:&quot;MENDELEY_CITATION_1d241b91-b548-4c75-85ab-6c674aa0867a&quot;,&quot;properties&quot;:{&quot;noteIndex&quot;:0},&quot;isEdited&quot;:false,&quot;manualOverride&quot;:{&quot;isManuallyOverridden&quot;:false,&quot;citeprocText&quot;:&quot;(in Practice, 2022)&quot;,&quot;manualOverrideText&quot;:&quot;&quot;},&quot;citationTag&quot;:&quot;MENDELEY_CITATION_v3_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&quot;,&quot;citationItems&quot;:[{&quot;id&quot;:&quot;ec7332ef-bb86-3a8b-b932-650c6d763287&quot;,&quot;itemData&quot;:{&quot;type&quot;:&quot;report&quot;,&quot;id&quot;:&quot;ec7332ef-bb86-3a8b-b932-650c6d763287&quot;,&quot;title&quot;:&quot;What is early help? Concepts, policy directions and multi-agency perspectives&quot;,&quot;author&quot;:[{&quot;family&quot;:&quot;in Practice&quot;,&quot;given&quot;:&quot;Research&quot;,&quot;parse-names&quot;:false,&quot;dropping-particle&quot;:&quot;&quot;,&quot;non-dropping-particle&quot;:&quot;&quot;}],&quot;issued&quot;:{&quot;date-parts&quot;:[[2022]]},&quot;container-title-short&quot;:&quot;&quot;},&quot;isTemporary&quot;:false}]},{&quot;citationID&quot;:&quot;MENDELEY_CITATION_8157fc2e-94f8-4ac4-9d83-ad35690b0e09&quot;,&quot;properties&quot;:{&quot;noteIndex&quot;:0},&quot;isEdited&quot;:false,&quot;manualOverride&quot;:{&quot;isManuallyOverridden&quot;:false,&quot;citeprocText&quot;:&quot;(Thatcher et al., n.d.)&quot;,&quot;manualOverrideText&quot;:&quot;&quot;},&quot;citationTag&quot;:&quot;MENDELEY_CITATION_v3_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&quot;,&quot;citationItems&quot;:[{&quot;id&quot;:&quot;025be473-c608-3cac-a742-4aba5c4b4b83&quot;,&quot;itemData&quot;:{&quot;type&quot;:&quot;report&quot;,&quot;id&quot;:&quot;025be473-c608-3cac-a742-4aba5c4b4b83&quot;,&quot;title&quot;:&quot;'people who are living in need are fully and properly provided for.' POOR BRITAIN&quot;,&quot;author&quot;:[{&quot;family&quot;:&quot;Thatcher&quot;,&quot;given&quot;:&quot;Margaret&quot;,&quot;parse-names&quot;:false,&quot;dropping-particle&quot;:&quot;&quot;,&quot;non-dropping-particle&quot;:&quot;&quot;},{&quot;family&quot;:&quot;Mack&quot;,&quot;given&quot;:&quot;Joanna&quot;,&quot;parse-names&quot;:false,&quot;dropping-particle&quot;:&quot;&quot;,&quot;non-dropping-particle&quot;:&quot;&quot;},{&quot;family&quot;:&quot;Lansley&quot;,&quot;given&quot;:&quot;Stewart&quot;,&quot;parse-names&quot;:false,&quot;dropping-particle&quot;:&quot;&quot;,&quot;non-dropping-particle&quot;:&quot;&quot;},{&quot;family&quot;:&quot;Halsey&quot;,&quot;given&quot;:&quot;A H&quot;,&quot;parse-names&quot;:false,&quot;dropping-particle&quot;:&quot;&quot;,&quot;non-dropping-particle&quot;:&quot;&quot;}],&quot;container-title-short&quot;:&quot;&quot;},&quot;isTemporary&quot;:false}]},{&quot;citationID&quot;:&quot;MENDELEY_CITATION_07735cc3-ec95-4870-909a-2930cbd05c78&quot;,&quot;properties&quot;:{&quot;noteIndex&quot;:0},&quot;isEdited&quot;:false,&quot;manualOverride&quot;:{&quot;isManuallyOverridden&quot;:false,&quot;citeprocText&quot;:&quot;(Government Association, n.d.)&quot;,&quot;manualOverrideText&quot;:&quot;&quot;},&quot;citationTag&quot;:&quot;MENDELEY_CITATION_v3_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&quot;,&quot;citationItems&quot;:[{&quot;id&quot;:&quot;1561f889-0e49-354a-9da9-b0a2fdc26d2e&quot;,&quot;itemData&quot;:{&quot;type&quot;:&quot;report&quot;,&quot;id&quot;:&quot;1561f889-0e49-354a-9da9-b0a2fdc26d2e&quot;,&quot;title&quot;:&quot;The local government digitalisation almanac A simple guide for local councils 2 The Local Government Digitalisation Almanac&quot;,&quot;author&quot;:[{&quot;family&quot;:&quot;Government Association&quot;,&quot;given&quot;:&quot;Local&quot;,&quot;parse-names&quot;:false,&quot;dropping-particle&quot;:&quot;&quot;,&quot;non-dropping-particle&quot;:&quot;&quot;}],&quot;URL&quot;:&quot;www.local.gov.uk/cyberdigital/almanac.&quot;,&quot;container-title-short&quot;:&quot;&quot;},&quot;isTemporary&quot;:false}]},{&quot;citationID&quot;:&quot;MENDELEY_CITATION_c74daf15-1188-41dc-83fc-88af1a82ecbe&quot;,&quot;properties&quot;:{&quot;noteIndex&quot;:0},&quot;isEdited&quot;:false,&quot;manualOverride&quot;:{&quot;isManuallyOverridden&quot;:false,&quot;citeprocText&quot;:&quot;(Norfolk County Council, 2025b)&quot;,&quot;manualOverrideText&quot;:&quot;&quot;},&quot;citationTag&quot;:&quot;MENDELEY_CITATION_v3_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&quot;,&quot;citationItems&quot;:[{&quot;id&quot;:&quot;326b491a-23ca-35ee-83b0-fb26e28f5869&quot;,&quot;itemData&quot;:{&quot;type&quot;:&quot;webpage&quot;,&quot;id&quot;:&quot;326b491a-23ca-35ee-83b0-fb26e28f5869&quot;,&quot;title&quot;:&quot;Early help for children and families - Norfolk County Council&quot;,&quot;author&quot;:[{&quot;family&quot;:&quot;Norfolk County Council&quot;,&quot;given&quot;:&quot;&quot;,&quot;parse-names&quot;:false,&quot;dropping-particle&quot;:&quot;&quot;,&quot;non-dropping-particle&quot;:&quot;&quot;}],&quot;accessed&quot;:{&quot;date-parts&quot;:[[2025,11,21]]},&quot;URL&quot;:&quot;https://www.norfolk.gov.uk/helpforfamilies&quot;,&quot;issued&quot;:{&quot;date-parts&quot;:[[2025]]},&quot;container-title-short&quot;:&quot;&quot;},&quot;isTemporary&quot;:false}]},{&quot;citationID&quot;:&quot;MENDELEY_CITATION_056b9bdf-9efb-401f-b3a5-3fc5d97275d1&quot;,&quot;properties&quot;:{&quot;noteIndex&quot;:0},&quot;isEdited&quot;:false,&quot;manualOverride&quot;:{&quot;isManuallyOverridden&quot;:false,&quot;citeprocText&quot;:&quot;(Norfolk County Council, 2025a)&quot;,&quot;manualOverrideText&quot;:&quot;&quot;},&quot;citationTag&quot;:&quot;MENDELEY_CITATION_v3_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&quot;,&quot;citationItems&quot;:[{&quot;id&quot;:&quot;93737a45-d93a-37b9-ac68-e916927b8d69&quot;,&quot;itemData&quot;:{&quot;type&quot;:&quot;webpage&quot;,&quot;id&quot;:&quot;93737a45-d93a-37b9-ac68-e916927b8d69&quot;,&quot;title&quot;:&quot;Care, support and health - Norfolk County Council&quot;,&quot;author&quot;:[{&quot;family&quot;:&quot;Norfolk County Council&quot;,&quot;given&quot;:&quot;&quot;,&quot;parse-names&quot;:false,&quot;dropping-particle&quot;:&quot;&quot;,&quot;non-dropping-particle&quot;:&quot;&quot;}],&quot;accessed&quot;:{&quot;date-parts&quot;:[[2025,11,21]]},&quot;URL&quot;:&quot;https://www.norfolk.gov.uk/article/41736/Care-support-and-health&quot;,&quot;issued&quot;:{&quot;date-parts&quot;:[[2025]]},&quot;container-title-short&quot;:&quot;&quot;},&quot;isTemporary&quot;:false}]},{&quot;citationID&quot;:&quot;MENDELEY_CITATION_6dee4436-8ed9-45fe-9255-cf55bac4a09d&quot;,&quot;properties&quot;:{&quot;noteIndex&quot;:0},&quot;isEdited&quot;:false,&quot;manualOverride&quot;:{&quot;isManuallyOverridden&quot;:false,&quot;citeprocText&quot;:&quot;(Leeds County Council, 2025)&quot;,&quot;manualOverrideText&quot;:&quot;&quot;},&quot;citationTag&quot;:&quot;MENDELEY_CITATION_v3_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&quot;,&quot;citationItems&quot;:[{&quot;id&quot;:&quot;be1340b7-bcf5-3139-9320-9c0624ffc6d4&quot;,&quot;itemData&quot;:{&quot;type&quot;:&quot;webpage&quot;,&quot;id&quot;:&quot;be1340b7-bcf5-3139-9320-9c0624ffc6d4&quot;,&quot;title&quot;:&quot;Leeds.gov.uk&quot;,&quot;author&quot;:[{&quot;family&quot;:&quot;Leeds County Council&quot;,&quot;given&quot;:&quot;&quot;,&quot;parse-names&quot;:false,&quot;dropping-particle&quot;:&quot;&quot;,&quot;non-dropping-particle&quot;:&quot;&quot;}],&quot;accessed&quot;:{&quot;date-parts&quot;:[[2025,11,21]]},&quot;URL&quot;:&quot;https://www.leeds.gov.uk/&quot;,&quot;issued&quot;:{&quot;date-parts&quot;:[[2025]]},&quot;container-title-short&quot;:&quot;&quot;},&quot;isTemporary&quot;:false}]},{&quot;citationID&quot;:&quot;MENDELEY_CITATION_81bff148-5544-42c4-95c9-5a888453f755&quot;,&quot;properties&quot;:{&quot;noteIndex&quot;:0},&quot;isEdited&quot;:false,&quot;manualOverride&quot;:{&quot;isManuallyOverridden&quot;:false,&quot;citeprocText&quot;:&quot;(Leeds County Council, 2025)&quot;,&quot;manualOverrideText&quot;:&quot;&quot;},&quot;citationTag&quot;:&quot;MENDELEY_CITATION_v3_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&quot;,&quot;citationItems&quot;:[{&quot;id&quot;:&quot;be1340b7-bcf5-3139-9320-9c0624ffc6d4&quot;,&quot;itemData&quot;:{&quot;type&quot;:&quot;webpage&quot;,&quot;id&quot;:&quot;be1340b7-bcf5-3139-9320-9c0624ffc6d4&quot;,&quot;title&quot;:&quot;Leeds.gov.uk&quot;,&quot;author&quot;:[{&quot;family&quot;:&quot;Leeds County Council&quot;,&quot;given&quot;:&quot;&quot;,&quot;parse-names&quot;:false,&quot;dropping-particle&quot;:&quot;&quot;,&quot;non-dropping-particle&quot;:&quot;&quot;}],&quot;accessed&quot;:{&quot;date-parts&quot;:[[2025,11,21]]},&quot;URL&quot;:&quot;https://www.leeds.gov.uk/&quot;,&quot;issued&quot;:{&quot;date-parts&quot;:[[2025]]},&quot;container-title-short&quot;:&quot;&quot;},&quot;isTemporary&quot;:false}]},{&quot;citationID&quot;:&quot;MENDELEY_CITATION_27ed0f3f-0285-49d5-9078-cb980b571c8d&quot;,&quot;properties&quot;:{&quot;noteIndex&quot;:0},&quot;isEdited&quot;:false,&quot;manualOverride&quot;:{&quot;isManuallyOverridden&quot;:false,&quot;citeprocText&quot;:&quot;(Southwark County Council, 2025b)&quot;,&quot;manualOverrideText&quot;:&quot;&quot;},&quot;citationTag&quot;:&quot;MENDELEY_CITATION_v3_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&quot;,&quot;citationItems&quot;:[{&quot;id&quot;:&quot;ee188764-4764-3c75-aa2d-4a818eed6de5&quot;,&quot;itemData&quot;:{&quot;type&quot;:&quot;webpage&quot;,&quot;id&quot;:&quot;ee188764-4764-3c75-aa2d-4a818eed6de5&quot;,&quot;title&quot;:&quot;Hello, welcome to Southwark | Southwark Council&quot;,&quot;author&quot;:[{&quot;family&quot;:&quot;Southwark County Council&quot;,&quot;given&quot;:&quot;&quot;,&quot;parse-names&quot;:false,&quot;dropping-particle&quot;:&quot;&quot;,&quot;non-dropping-particle&quot;:&quot;&quot;}],&quot;accessed&quot;:{&quot;date-parts&quot;:[[2025,11,21]]},&quot;URL&quot;:&quot;https://www.southwark.gov.uk/&quot;,&quot;issued&quot;:{&quot;date-parts&quot;:[[2025]]},&quot;container-title-short&quot;:&quot;&quot;},&quot;isTemporary&quot;:false}]},{&quot;citationID&quot;:&quot;MENDELEY_CITATION_17d994fc-cdcd-47d2-9d2f-3b1d60e627d9&quot;,&quot;properties&quot;:{&quot;noteIndex&quot;:0},&quot;isEdited&quot;:false,&quot;manualOverride&quot;:{&quot;isManuallyOverridden&quot;:false,&quot;citeprocText&quot;:&quot;(Southwark County Council, 2025a)&quot;,&quot;manualOverrideText&quot;:&quot;&quot;},&quot;citationTag&quot;:&quot;MENDELEY_CITATION_v3_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&quot;,&quot;citationItems&quot;:[{&quot;id&quot;:&quot;7d243477-6471-3346-abaa-1efd63933cbb&quot;,&quot;itemData&quot;:{&quot;type&quot;:&quot;webpage&quot;,&quot;id&quot;:&quot;7d243477-6471-3346-abaa-1efd63933cbb&quot;,&quot;title&quot;:&quot;Children, young people and families | Southwark Council&quot;,&quot;author&quot;:[{&quot;family&quot;:&quot;Southwark County Council&quot;,&quot;given&quot;:&quot;&quot;,&quot;parse-names&quot;:false,&quot;dropping-particle&quot;:&quot;&quot;,&quot;non-dropping-particle&quot;:&quot;&quot;}],&quot;accessed&quot;:{&quot;date-parts&quot;:[[2025,11,21]]},&quot;URL&quot;:&quot;https://www.southwark.gov.uk/children-young-people-and-families&quot;,&quot;issued&quot;:{&quot;date-parts&quot;:[[2025]]},&quot;container-title-short&quot;:&quot;&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A41FEC-1F8A-48BB-904C-0DF787EFA4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2662</Words>
  <Characters>15178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Cherry Spencer</dc:creator>
  <cp:lastModifiedBy>cherry Spencer</cp:lastModifiedBy>
</cp:coreProperties>
</file>