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54748369"/>
        <w:docPartObj>
          <w:docPartGallery w:val="Cover Pages"/>
          <w:docPartUnique/>
        </w:docPartObj>
      </w:sdtPr>
      <w:sdtEndPr>
        <w:rPr>
          <w:rFonts w:ascii="Times New Roman" w:hAnsi="Times New Roman" w:cs="Times New Roman"/>
          <w:b/>
          <w:bCs/>
        </w:rPr>
      </w:sdtEndPr>
      <w:sdtContent>
        <w:p w14:paraId="1095AAF5" w14:textId="6DD7FD41" w:rsidR="00E72958" w:rsidRDefault="00E72958">
          <w:r>
            <w:rPr>
              <w:noProof/>
            </w:rPr>
            <mc:AlternateContent>
              <mc:Choice Requires="wps">
                <w:drawing>
                  <wp:anchor distT="0" distB="0" distL="114300" distR="114300" simplePos="0" relativeHeight="251659264" behindDoc="0" locked="0" layoutInCell="1" allowOverlap="1" wp14:anchorId="3E490D90" wp14:editId="0174AA6A">
                    <wp:simplePos x="0" y="0"/>
                    <wp:positionH relativeFrom="margin">
                      <wp:posOffset>-434051</wp:posOffset>
                    </wp:positionH>
                    <wp:positionV relativeFrom="page">
                      <wp:posOffset>243068</wp:posOffset>
                    </wp:positionV>
                    <wp:extent cx="6759616" cy="237281"/>
                    <wp:effectExtent l="0" t="0" r="3175"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759616" cy="237281"/>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7ACD5F" w14:textId="52D5F882" w:rsidR="00E72958" w:rsidRDefault="00E72958">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E490D90" id="Rectangle 132" o:spid="_x0000_s1026" style="position:absolute;margin-left:-34.2pt;margin-top:19.15pt;width:532.25pt;height:18.7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Ka8hAIAAGAFAAAOAAAAZHJzL2Uyb0RvYy54bWysVMFu2zAMvQ/YPwi6r06yNe2MOkWQosOA&#10;oA3aDj0rshQbk0VNUmJnXz9Kst2sK3YY5oMgiuQj+Uzy6rprFDkI62rQBZ2eTSgRmkNZ611Bvz3d&#10;frikxHmmS6ZAi4IehaPXi/fvrlqTixlUoEphCYJol7emoJX3Js8yxyvRMHcGRmhUSrAN8yjaXVZa&#10;1iJ6o7LZZDLPWrClscCFc/h6k5R0EfGlFNzfS+mEJ6qgmJuPp43nNpzZ4orlO8tMVfM+DfYPWTSs&#10;1hh0hLphnpG9rf+AampuwYH0ZxyaDKSsuYg1YDXTyatqHitmRKwFyXFmpMn9P1h+d3g0GxtSd2YN&#10;/LsjGlYV0zuxdAbpw58aSMpa4/LROAiud+ukbYI71kK6SOxxJFZ0nnB8nF+cf55P55Rw1M0+Xswu&#10;EyjLB29jnf8ioCHhUlCLkSOf7LB2PsRn+WASgikdTg23tVJJG15ikimvmKE/KpGsH4QkdYmZzCJq&#10;bC+xUpYcGDYG41xoP02qipUiPZ9P8IvFIzmhIYNHTEVpBAzIEuOP2D3AYPk7dsqytw+uInbn6Dz5&#10;W2LJefSIkUH70bmpNdi3ABRW1UdO9gNJiZrAku+2HZqE6xbK48YSC2lMnOG3Nf6ONXN+wyzOBU4Q&#10;zrq/x0MqaAsK/Y2SCuzPt96DPbYrailpcc4K6n7smRWUqK8aG/nT+cUsDOapYE+F7amg980K8I9N&#10;casYHq/obL0artJC84wrYRmiooppjrELuh2uK5+mH1cKF8tlNMJRNMyv9aPhATrQG5rtqXtm1vQd&#10;6bGX72CYSJa/asxkGzw1LPceZB279oXVnngc49hB/coJe+JUjlYvi3HxCwAA//8DAFBLAwQUAAYA&#10;CAAAACEAUDctSeEAAAAJAQAADwAAAGRycy9kb3ducmV2LnhtbEyPQUvDQBCF74L/YRnBi7SbNjZN&#10;YyZFJPUkqG0peJtmxySY3Q3ZbRv/vetJj8P7eO+bfD3qTpx5cK01CLNpBIJNZVVraoT9bjNJQThP&#10;RlFnDSN8s4N1cX2VU6bsxbzzeetrEUqMywih8b7PpHRVw5rc1PZsQvZpB00+nEMt1UCXUK47OY+i&#10;RGpqTVhoqOenhquv7Ukj0Obt7tDPy9IyvbyWz3Kxj5sPxNub8fEBhOfR/8Hwqx/UoQhOR3syyokO&#10;YZKk9wFFiNMYRABWq2QG4oiwXCxBFrn8/0HxAwAA//8DAFBLAQItABQABgAIAAAAIQC2gziS/gAA&#10;AOEBAAATAAAAAAAAAAAAAAAAAAAAAABbQ29udGVudF9UeXBlc10ueG1sUEsBAi0AFAAGAAgAAAAh&#10;ADj9If/WAAAAlAEAAAsAAAAAAAAAAAAAAAAALwEAAF9yZWxzLy5yZWxzUEsBAi0AFAAGAAgAAAAh&#10;AHBApryEAgAAYAUAAA4AAAAAAAAAAAAAAAAALgIAAGRycy9lMm9Eb2MueG1sUEsBAi0AFAAGAAgA&#10;AAAhAFA3LUnhAAAACQEAAA8AAAAAAAAAAAAAAAAA3gQAAGRycy9kb3ducmV2LnhtbFBLBQYAAAAA&#10;BAAEAPMAAADsBQAAAAA=&#10;" fillcolor="#156082 [3204]" stroked="f" strokeweight="1.5pt">
                    <o:lock v:ext="edit" aspectratio="t"/>
                    <v:textbox inset="3.6pt,,3.6pt">
                      <w:txbxContent>
                        <w:p w14:paraId="197ACD5F" w14:textId="52D5F882" w:rsidR="00E72958" w:rsidRDefault="00E72958">
                          <w:pPr>
                            <w:pStyle w:val="NoSpacing"/>
                            <w:jc w:val="right"/>
                            <w:rPr>
                              <w:color w:val="FFFFFF" w:themeColor="background1"/>
                              <w:sz w:val="24"/>
                              <w:szCs w:val="24"/>
                            </w:rPr>
                          </w:pPr>
                        </w:p>
                      </w:txbxContent>
                    </v:textbox>
                    <w10:wrap anchorx="margin" anchory="page"/>
                  </v:rect>
                </w:pict>
              </mc:Fallback>
            </mc:AlternateContent>
          </w:r>
        </w:p>
        <w:p w14:paraId="20C1808B" w14:textId="77777777" w:rsidR="00E72958" w:rsidRDefault="00E72958" w:rsidP="00E72958">
          <w:pPr>
            <w:jc w:val="center"/>
            <w:rPr>
              <w:rFonts w:ascii="Times New Roman" w:hAnsi="Times New Roman" w:cs="Times New Roman"/>
              <w:b/>
              <w:bCs/>
              <w:sz w:val="56"/>
              <w:szCs w:val="56"/>
              <w:u w:val="double"/>
            </w:rPr>
          </w:pPr>
        </w:p>
        <w:p w14:paraId="070248AA" w14:textId="77777777" w:rsidR="00E72958" w:rsidRDefault="00E72958" w:rsidP="00E72958">
          <w:pPr>
            <w:jc w:val="center"/>
            <w:rPr>
              <w:rFonts w:ascii="Times New Roman" w:hAnsi="Times New Roman" w:cs="Times New Roman"/>
              <w:b/>
              <w:bCs/>
              <w:sz w:val="56"/>
              <w:szCs w:val="56"/>
              <w:u w:val="double"/>
            </w:rPr>
          </w:pPr>
        </w:p>
        <w:p w14:paraId="19CF739F" w14:textId="3A6D1D1A" w:rsidR="00E72958" w:rsidRPr="00E72958" w:rsidRDefault="00E72958" w:rsidP="00E72958">
          <w:pPr>
            <w:jc w:val="center"/>
            <w:rPr>
              <w:rFonts w:ascii="Times New Roman" w:hAnsi="Times New Roman" w:cs="Times New Roman"/>
              <w:b/>
              <w:bCs/>
              <w:sz w:val="56"/>
              <w:szCs w:val="56"/>
              <w:u w:val="double"/>
            </w:rPr>
          </w:pPr>
          <w:r w:rsidRPr="00E72958">
            <w:rPr>
              <w:rFonts w:ascii="Times New Roman" w:hAnsi="Times New Roman" w:cs="Times New Roman"/>
              <w:b/>
              <w:bCs/>
              <w:sz w:val="56"/>
              <w:szCs w:val="56"/>
              <w:u w:val="double"/>
            </w:rPr>
            <w:t>Student name:</w:t>
          </w:r>
          <w:r w:rsidRPr="00E72958">
            <w:rPr>
              <w:rFonts w:ascii="Times New Roman" w:hAnsi="Times New Roman" w:cs="Times New Roman"/>
              <w:b/>
              <w:bCs/>
              <w:sz w:val="56"/>
              <w:szCs w:val="56"/>
              <w:u w:val="double"/>
            </w:rPr>
            <w:t xml:space="preserve"> Amar Razvan Ursei</w:t>
          </w:r>
        </w:p>
        <w:p w14:paraId="469350C9" w14:textId="37765152" w:rsidR="00E72958" w:rsidRPr="00E72958" w:rsidRDefault="00E72958" w:rsidP="00E72958">
          <w:pPr>
            <w:jc w:val="center"/>
            <w:rPr>
              <w:rFonts w:ascii="Times New Roman" w:hAnsi="Times New Roman" w:cs="Times New Roman"/>
              <w:b/>
              <w:bCs/>
              <w:sz w:val="56"/>
              <w:szCs w:val="56"/>
              <w:u w:val="double"/>
            </w:rPr>
          </w:pPr>
          <w:r w:rsidRPr="00E72958">
            <w:rPr>
              <w:rFonts w:ascii="Times New Roman" w:hAnsi="Times New Roman" w:cs="Times New Roman"/>
              <w:b/>
              <w:bCs/>
              <w:sz w:val="56"/>
              <w:szCs w:val="56"/>
              <w:u w:val="double"/>
            </w:rPr>
            <w:t>Programme:</w:t>
          </w:r>
          <w:r w:rsidRPr="00E72958">
            <w:rPr>
              <w:rFonts w:ascii="Times New Roman" w:hAnsi="Times New Roman" w:cs="Times New Roman"/>
              <w:b/>
              <w:bCs/>
              <w:sz w:val="56"/>
              <w:szCs w:val="56"/>
              <w:u w:val="double"/>
            </w:rPr>
            <w:t xml:space="preserve"> </w:t>
          </w:r>
          <w:r w:rsidRPr="00E72958">
            <w:rPr>
              <w:rFonts w:ascii="Times New Roman" w:hAnsi="Times New Roman" w:cs="Times New Roman"/>
              <w:b/>
              <w:bCs/>
              <w:sz w:val="56"/>
              <w:szCs w:val="56"/>
              <w:u w:val="double"/>
            </w:rPr>
            <w:t>BA Business and Management</w:t>
          </w:r>
        </w:p>
        <w:p w14:paraId="1C8F0770" w14:textId="34F3325A" w:rsidR="00E72958" w:rsidRPr="00E72958" w:rsidRDefault="00E72958" w:rsidP="00E72958">
          <w:pPr>
            <w:jc w:val="center"/>
            <w:rPr>
              <w:rFonts w:ascii="Times New Roman" w:hAnsi="Times New Roman" w:cs="Times New Roman"/>
              <w:b/>
              <w:bCs/>
              <w:sz w:val="56"/>
              <w:szCs w:val="56"/>
              <w:u w:val="double"/>
            </w:rPr>
          </w:pPr>
          <w:r w:rsidRPr="00E72958">
            <w:rPr>
              <w:rFonts w:ascii="Times New Roman" w:hAnsi="Times New Roman" w:cs="Times New Roman"/>
              <w:b/>
              <w:bCs/>
              <w:sz w:val="56"/>
              <w:szCs w:val="56"/>
              <w:u w:val="double"/>
            </w:rPr>
            <w:t>Module:</w:t>
          </w:r>
          <w:r w:rsidRPr="00E72958">
            <w:rPr>
              <w:rFonts w:ascii="Times New Roman" w:hAnsi="Times New Roman" w:cs="Times New Roman"/>
              <w:b/>
              <w:bCs/>
              <w:sz w:val="56"/>
              <w:szCs w:val="56"/>
              <w:u w:val="double"/>
            </w:rPr>
            <w:t xml:space="preserve"> </w:t>
          </w:r>
          <w:r w:rsidRPr="00E72958">
            <w:rPr>
              <w:rFonts w:ascii="Times New Roman" w:hAnsi="Times New Roman" w:cs="Times New Roman"/>
              <w:b/>
              <w:bCs/>
              <w:sz w:val="56"/>
              <w:szCs w:val="56"/>
              <w:u w:val="double"/>
            </w:rPr>
            <w:t>Distinctiveness and Regeneration</w:t>
          </w:r>
        </w:p>
        <w:p w14:paraId="361D140D" w14:textId="031CE2D0" w:rsidR="00E72958" w:rsidRPr="00E72958" w:rsidRDefault="00E72958" w:rsidP="00E72958">
          <w:pPr>
            <w:jc w:val="center"/>
            <w:rPr>
              <w:rFonts w:ascii="Times New Roman" w:hAnsi="Times New Roman" w:cs="Times New Roman"/>
              <w:b/>
              <w:bCs/>
              <w:sz w:val="56"/>
              <w:szCs w:val="56"/>
              <w:u w:val="double"/>
            </w:rPr>
          </w:pPr>
          <w:r w:rsidRPr="00E72958">
            <w:rPr>
              <w:rFonts w:ascii="Times New Roman" w:hAnsi="Times New Roman" w:cs="Times New Roman"/>
              <w:b/>
              <w:bCs/>
              <w:sz w:val="56"/>
              <w:szCs w:val="56"/>
              <w:u w:val="double"/>
            </w:rPr>
            <w:t>Module code:</w:t>
          </w:r>
          <w:r w:rsidRPr="00E72958">
            <w:rPr>
              <w:rFonts w:ascii="Times New Roman" w:hAnsi="Times New Roman" w:cs="Times New Roman"/>
              <w:b/>
              <w:bCs/>
              <w:sz w:val="56"/>
              <w:szCs w:val="56"/>
              <w:u w:val="double"/>
            </w:rPr>
            <w:t xml:space="preserve"> </w:t>
          </w:r>
          <w:r w:rsidRPr="00E72958">
            <w:rPr>
              <w:rFonts w:ascii="Times New Roman" w:hAnsi="Times New Roman" w:cs="Times New Roman"/>
              <w:b/>
              <w:bCs/>
              <w:sz w:val="56"/>
              <w:szCs w:val="56"/>
              <w:u w:val="double"/>
            </w:rPr>
            <w:t>BMSP4016D</w:t>
          </w:r>
        </w:p>
        <w:p w14:paraId="149711B0" w14:textId="0C5D39B6" w:rsidR="00E72958" w:rsidRPr="00E72958" w:rsidRDefault="00E72958" w:rsidP="00E72958">
          <w:pPr>
            <w:jc w:val="center"/>
            <w:rPr>
              <w:rFonts w:ascii="Times New Roman" w:hAnsi="Times New Roman" w:cs="Times New Roman"/>
              <w:b/>
              <w:bCs/>
              <w:sz w:val="56"/>
              <w:szCs w:val="56"/>
              <w:u w:val="double"/>
            </w:rPr>
          </w:pPr>
          <w:r w:rsidRPr="00E72958">
            <w:rPr>
              <w:rFonts w:ascii="Times New Roman" w:hAnsi="Times New Roman" w:cs="Times New Roman"/>
              <w:b/>
              <w:bCs/>
              <w:sz w:val="56"/>
              <w:szCs w:val="56"/>
              <w:u w:val="double"/>
            </w:rPr>
            <w:t>Lecturer:</w:t>
          </w:r>
          <w:r w:rsidRPr="00E72958">
            <w:rPr>
              <w:rFonts w:ascii="Times New Roman" w:hAnsi="Times New Roman" w:cs="Times New Roman"/>
              <w:b/>
              <w:bCs/>
              <w:sz w:val="56"/>
              <w:szCs w:val="56"/>
              <w:u w:val="double"/>
            </w:rPr>
            <w:t xml:space="preserve"> </w:t>
          </w:r>
          <w:r w:rsidRPr="00E72958">
            <w:rPr>
              <w:rFonts w:ascii="Times New Roman" w:hAnsi="Times New Roman" w:cs="Times New Roman"/>
              <w:b/>
              <w:bCs/>
              <w:sz w:val="56"/>
              <w:szCs w:val="56"/>
              <w:u w:val="double"/>
            </w:rPr>
            <w:t>Jessica Shore</w:t>
          </w:r>
        </w:p>
        <w:p w14:paraId="028E540C" w14:textId="505C32D9" w:rsidR="00E72958" w:rsidRPr="00E72958" w:rsidRDefault="00E72958" w:rsidP="00E72958">
          <w:pPr>
            <w:jc w:val="center"/>
            <w:rPr>
              <w:rFonts w:ascii="Times New Roman" w:hAnsi="Times New Roman" w:cs="Times New Roman"/>
              <w:b/>
              <w:bCs/>
              <w:sz w:val="56"/>
              <w:szCs w:val="56"/>
              <w:u w:val="double"/>
            </w:rPr>
          </w:pPr>
          <w:r w:rsidRPr="00E72958">
            <w:rPr>
              <w:rFonts w:ascii="Times New Roman" w:hAnsi="Times New Roman" w:cs="Times New Roman"/>
              <w:b/>
              <w:bCs/>
              <w:sz w:val="56"/>
              <w:szCs w:val="56"/>
              <w:u w:val="double"/>
            </w:rPr>
            <w:t>Assignment Title:</w:t>
          </w:r>
          <w:r w:rsidRPr="00E72958">
            <w:rPr>
              <w:rFonts w:ascii="Times New Roman" w:hAnsi="Times New Roman" w:cs="Times New Roman"/>
              <w:b/>
              <w:bCs/>
              <w:sz w:val="56"/>
              <w:szCs w:val="56"/>
              <w:u w:val="double"/>
            </w:rPr>
            <w:t xml:space="preserve"> </w:t>
          </w:r>
          <w:r w:rsidRPr="00E72958">
            <w:rPr>
              <w:rFonts w:ascii="Times New Roman" w:hAnsi="Times New Roman" w:cs="Times New Roman"/>
              <w:b/>
              <w:bCs/>
              <w:sz w:val="56"/>
              <w:szCs w:val="56"/>
              <w:u w:val="double"/>
            </w:rPr>
            <w:t>Report</w:t>
          </w:r>
        </w:p>
        <w:p w14:paraId="4BE345CC" w14:textId="2D8CC40A" w:rsidR="00E72958" w:rsidRDefault="00E72958" w:rsidP="00E72958">
          <w:pPr>
            <w:jc w:val="center"/>
            <w:rPr>
              <w:rFonts w:ascii="Times New Roman" w:hAnsi="Times New Roman" w:cs="Times New Roman"/>
              <w:b/>
              <w:bCs/>
            </w:rPr>
          </w:pPr>
          <w:r w:rsidRPr="00E72958">
            <w:rPr>
              <w:rFonts w:ascii="Times New Roman" w:hAnsi="Times New Roman" w:cs="Times New Roman"/>
              <w:b/>
              <w:bCs/>
              <w:sz w:val="56"/>
              <w:szCs w:val="56"/>
              <w:u w:val="double"/>
            </w:rPr>
            <w:t>Submission deadline:</w:t>
          </w:r>
          <w:r w:rsidRPr="00E72958">
            <w:rPr>
              <w:rFonts w:ascii="Times New Roman" w:hAnsi="Times New Roman" w:cs="Times New Roman"/>
              <w:b/>
              <w:bCs/>
              <w:sz w:val="56"/>
              <w:szCs w:val="56"/>
              <w:u w:val="double"/>
            </w:rPr>
            <w:t xml:space="preserve"> </w:t>
          </w:r>
          <w:r w:rsidRPr="00E72958">
            <w:rPr>
              <w:rFonts w:ascii="Times New Roman" w:hAnsi="Times New Roman" w:cs="Times New Roman"/>
              <w:b/>
              <w:bCs/>
              <w:sz w:val="56"/>
              <w:szCs w:val="56"/>
              <w:u w:val="double"/>
            </w:rPr>
            <w:t>25th April</w:t>
          </w:r>
          <w:r>
            <w:rPr>
              <w:rFonts w:ascii="Times New Roman" w:hAnsi="Times New Roman" w:cs="Times New Roman"/>
              <w:b/>
              <w:bCs/>
            </w:rPr>
            <w:br w:type="page"/>
          </w:r>
        </w:p>
      </w:sdtContent>
    </w:sdt>
    <w:p w14:paraId="0FF59332" w14:textId="2DE52C5A" w:rsidR="008506C9" w:rsidRPr="008506C9" w:rsidRDefault="008506C9" w:rsidP="008506C9">
      <w:pPr>
        <w:spacing w:line="480" w:lineRule="auto"/>
        <w:rPr>
          <w:rFonts w:ascii="Times New Roman" w:hAnsi="Times New Roman" w:cs="Times New Roman"/>
          <w:b/>
          <w:bCs/>
        </w:rPr>
      </w:pPr>
      <w:r w:rsidRPr="008506C9">
        <w:rPr>
          <w:rFonts w:ascii="Times New Roman" w:hAnsi="Times New Roman" w:cs="Times New Roman"/>
          <w:b/>
          <w:bCs/>
        </w:rPr>
        <w:lastRenderedPageBreak/>
        <w:t xml:space="preserve">Introduction </w:t>
      </w:r>
    </w:p>
    <w:p w14:paraId="767CB631" w14:textId="77777777"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The purpose of this report is to evaluate the regeneration process in the city centre of Swansea and the Swansea Waterfront area in relation to the Future Swansea Placemaking Plan, a current plan to transform Swansea into a "vibrant, green and liveable city by the beach", which will improve connectivity between different modes of transport, provide a range of different types of accommodation and create high-quality public space (Swansea Council 2025b), as well as identify the importance of Swansea to the South West Wales regional economy and to the national economy, through the towns' ongoing regeneration, both for the residents of Swansea and the continued growth in tourism.</w:t>
      </w:r>
    </w:p>
    <w:p w14:paraId="582EF41D" w14:textId="202AB3B5"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 xml:space="preserve">The report will begin by providing an analysis of Swansea's changing fortunes in terms of the changing nature of Swansea's economy, the existing assets and infrastructure of the city, and the key stakeholders involved in the regeneration process. This analysis will be followed by an assessment of the policy framework for </w:t>
      </w:r>
      <w:r w:rsidR="00E72958">
        <w:rPr>
          <w:rFonts w:ascii="Times New Roman" w:hAnsi="Times New Roman" w:cs="Times New Roman"/>
        </w:rPr>
        <w:t>Swansea's regeneration, before concluding by identifying three sustainable regeneration opportunities grounded in</w:t>
      </w:r>
      <w:r w:rsidRPr="008506C9">
        <w:rPr>
          <w:rFonts w:ascii="Times New Roman" w:hAnsi="Times New Roman" w:cs="Times New Roman"/>
        </w:rPr>
        <w:t xml:space="preserve"> theory and practice.</w:t>
      </w:r>
    </w:p>
    <w:p w14:paraId="1C57D9E6" w14:textId="77777777" w:rsidR="008506C9" w:rsidRPr="008506C9" w:rsidRDefault="008506C9" w:rsidP="008506C9">
      <w:pPr>
        <w:spacing w:line="480" w:lineRule="auto"/>
        <w:rPr>
          <w:rFonts w:ascii="Times New Roman" w:hAnsi="Times New Roman" w:cs="Times New Roman"/>
        </w:rPr>
      </w:pPr>
    </w:p>
    <w:p w14:paraId="7B1D5BA8" w14:textId="77777777" w:rsidR="008506C9" w:rsidRDefault="008506C9" w:rsidP="008506C9">
      <w:pPr>
        <w:spacing w:line="480" w:lineRule="auto"/>
        <w:rPr>
          <w:rFonts w:ascii="Times New Roman" w:hAnsi="Times New Roman" w:cs="Times New Roman"/>
        </w:rPr>
      </w:pPr>
    </w:p>
    <w:p w14:paraId="5D3F8295" w14:textId="77777777" w:rsidR="008506C9" w:rsidRDefault="008506C9" w:rsidP="008506C9">
      <w:pPr>
        <w:spacing w:line="480" w:lineRule="auto"/>
        <w:rPr>
          <w:rFonts w:ascii="Times New Roman" w:hAnsi="Times New Roman" w:cs="Times New Roman"/>
        </w:rPr>
      </w:pPr>
    </w:p>
    <w:p w14:paraId="46E60D9F" w14:textId="77777777" w:rsidR="008506C9" w:rsidRDefault="008506C9" w:rsidP="008506C9">
      <w:pPr>
        <w:spacing w:line="480" w:lineRule="auto"/>
        <w:rPr>
          <w:rFonts w:ascii="Times New Roman" w:hAnsi="Times New Roman" w:cs="Times New Roman"/>
        </w:rPr>
      </w:pPr>
    </w:p>
    <w:p w14:paraId="1C8968B3" w14:textId="77777777" w:rsidR="008506C9" w:rsidRDefault="008506C9" w:rsidP="008506C9">
      <w:pPr>
        <w:spacing w:line="480" w:lineRule="auto"/>
        <w:rPr>
          <w:rFonts w:ascii="Times New Roman" w:hAnsi="Times New Roman" w:cs="Times New Roman"/>
        </w:rPr>
      </w:pPr>
    </w:p>
    <w:p w14:paraId="4AE7928F" w14:textId="77777777" w:rsidR="008506C9" w:rsidRDefault="008506C9" w:rsidP="008506C9">
      <w:pPr>
        <w:spacing w:line="480" w:lineRule="auto"/>
        <w:rPr>
          <w:rFonts w:ascii="Times New Roman" w:hAnsi="Times New Roman" w:cs="Times New Roman"/>
        </w:rPr>
      </w:pPr>
    </w:p>
    <w:p w14:paraId="43D56C42" w14:textId="77777777" w:rsidR="008506C9" w:rsidRDefault="008506C9" w:rsidP="008506C9">
      <w:pPr>
        <w:spacing w:line="480" w:lineRule="auto"/>
        <w:rPr>
          <w:rFonts w:ascii="Times New Roman" w:hAnsi="Times New Roman" w:cs="Times New Roman"/>
        </w:rPr>
      </w:pPr>
    </w:p>
    <w:p w14:paraId="3B1249DB" w14:textId="77777777" w:rsidR="008506C9" w:rsidRDefault="008506C9" w:rsidP="008506C9">
      <w:pPr>
        <w:spacing w:line="480" w:lineRule="auto"/>
        <w:rPr>
          <w:rFonts w:ascii="Times New Roman" w:hAnsi="Times New Roman" w:cs="Times New Roman"/>
        </w:rPr>
      </w:pPr>
    </w:p>
    <w:p w14:paraId="714F0C77" w14:textId="677A06F2" w:rsidR="008506C9" w:rsidRPr="008506C9" w:rsidRDefault="008506C9" w:rsidP="008506C9">
      <w:pPr>
        <w:spacing w:line="480" w:lineRule="auto"/>
        <w:rPr>
          <w:rFonts w:ascii="Times New Roman" w:hAnsi="Times New Roman" w:cs="Times New Roman"/>
          <w:b/>
          <w:bCs/>
        </w:rPr>
      </w:pPr>
      <w:r w:rsidRPr="008506C9">
        <w:rPr>
          <w:rFonts w:ascii="Times New Roman" w:hAnsi="Times New Roman" w:cs="Times New Roman"/>
          <w:b/>
          <w:bCs/>
        </w:rPr>
        <w:lastRenderedPageBreak/>
        <w:t>PART A:</w:t>
      </w:r>
      <w:r>
        <w:rPr>
          <w:rFonts w:ascii="Times New Roman" w:hAnsi="Times New Roman" w:cs="Times New Roman"/>
          <w:b/>
          <w:bCs/>
        </w:rPr>
        <w:t xml:space="preserve"> Appraisal</w:t>
      </w:r>
    </w:p>
    <w:p w14:paraId="009E2F1D" w14:textId="116FED2D" w:rsidR="008506C9" w:rsidRPr="008506C9" w:rsidRDefault="008506C9" w:rsidP="008506C9">
      <w:pPr>
        <w:pStyle w:val="ListParagraph"/>
        <w:numPr>
          <w:ilvl w:val="0"/>
          <w:numId w:val="1"/>
        </w:numPr>
        <w:spacing w:line="480" w:lineRule="auto"/>
        <w:rPr>
          <w:rFonts w:ascii="Times New Roman" w:hAnsi="Times New Roman" w:cs="Times New Roman"/>
          <w:b/>
          <w:bCs/>
        </w:rPr>
      </w:pPr>
      <w:r w:rsidRPr="008506C9">
        <w:rPr>
          <w:rFonts w:ascii="Times New Roman" w:hAnsi="Times New Roman" w:cs="Times New Roman"/>
          <w:b/>
          <w:bCs/>
        </w:rPr>
        <w:t>Changing fortunes</w:t>
      </w:r>
    </w:p>
    <w:p w14:paraId="4ED27D6B" w14:textId="4F695079"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Swansea's urban development has been very much shaped by its industrial heritage. In the late 1700s and early 1800s</w:t>
      </w:r>
      <w:r>
        <w:rPr>
          <w:rFonts w:ascii="Times New Roman" w:hAnsi="Times New Roman" w:cs="Times New Roman"/>
        </w:rPr>
        <w:t>,</w:t>
      </w:r>
      <w:r w:rsidRPr="008506C9">
        <w:rPr>
          <w:rFonts w:ascii="Times New Roman" w:hAnsi="Times New Roman" w:cs="Times New Roman"/>
        </w:rPr>
        <w:t xml:space="preserve"> Swansea was a world leader in the production and exportation of copper, earning it the title of "Copperopolis" (Newell 1990). The River Tawe, as well as the surrounding dockland areas, were vital to the economic workings of Swansea during this period as they facilitated international trade and dictated the way the city was laid out (Evans and Saunders 2015). The industrial landscape of Swansea extended to the Lower Swansea Valley, which was once abundant with mines and smelting plants (Hughes 2008).</w:t>
      </w:r>
    </w:p>
    <w:p w14:paraId="6B1DA09F" w14:textId="45309FF8" w:rsidR="008506C9" w:rsidRDefault="008506C9" w:rsidP="008506C9">
      <w:pPr>
        <w:spacing w:line="480" w:lineRule="auto"/>
        <w:rPr>
          <w:rFonts w:ascii="Times New Roman" w:hAnsi="Times New Roman" w:cs="Times New Roman"/>
        </w:rPr>
      </w:pPr>
      <w:r w:rsidRPr="008506C9">
        <w:rPr>
          <w:rFonts w:ascii="Times New Roman" w:hAnsi="Times New Roman" w:cs="Times New Roman"/>
        </w:rPr>
        <w:t xml:space="preserve">The decline of heavy industry during the 20th </w:t>
      </w:r>
      <w:r>
        <w:rPr>
          <w:rFonts w:ascii="Times New Roman" w:hAnsi="Times New Roman" w:cs="Times New Roman"/>
        </w:rPr>
        <w:t>c</w:t>
      </w:r>
      <w:r w:rsidRPr="008506C9">
        <w:rPr>
          <w:rFonts w:ascii="Times New Roman" w:hAnsi="Times New Roman" w:cs="Times New Roman"/>
        </w:rPr>
        <w:t>entury led to severe economic restructuring throughout Swansea. As a result of deindustrialisation, a significant number of jobs were lost</w:t>
      </w:r>
      <w:r>
        <w:rPr>
          <w:rFonts w:ascii="Times New Roman" w:hAnsi="Times New Roman" w:cs="Times New Roman"/>
        </w:rPr>
        <w:t>,</w:t>
      </w:r>
      <w:r w:rsidRPr="008506C9">
        <w:rPr>
          <w:rFonts w:ascii="Times New Roman" w:hAnsi="Times New Roman" w:cs="Times New Roman"/>
        </w:rPr>
        <w:t xml:space="preserve"> and the area has been left with widespread environmental damage and a large amount of derelict space, especially in the riverside area of Swansea. The result of these changes has been a loss of Swansea's economic base and long-term social </w:t>
      </w:r>
      <w:r w:rsidRPr="008506C9">
        <w:rPr>
          <w:rFonts w:ascii="Times New Roman" w:hAnsi="Times New Roman" w:cs="Times New Roman"/>
        </w:rPr>
        <w:t>issues. Land</w:t>
      </w:r>
      <w:r w:rsidRPr="008506C9">
        <w:rPr>
          <w:rFonts w:ascii="Times New Roman" w:hAnsi="Times New Roman" w:cs="Times New Roman"/>
        </w:rPr>
        <w:t xml:space="preserve"> use patterns and contamination issues created during this period continue to shape regeneration today (</w:t>
      </w:r>
      <w:r w:rsidRPr="008506C9">
        <w:rPr>
          <w:rFonts w:ascii="Times New Roman" w:hAnsi="Times New Roman" w:cs="Times New Roman"/>
        </w:rPr>
        <w:t>May</w:t>
      </w:r>
      <w:r w:rsidRPr="008506C9">
        <w:rPr>
          <w:rFonts w:ascii="Times New Roman" w:hAnsi="Times New Roman" w:cs="Times New Roman"/>
        </w:rPr>
        <w:t xml:space="preserve"> 2023).</w:t>
      </w:r>
    </w:p>
    <w:p w14:paraId="77369630" w14:textId="7FF40C27"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 xml:space="preserve">In the last few decades, Swansea's economy has moved to a predominantly service and </w:t>
      </w:r>
      <w:r>
        <w:rPr>
          <w:rFonts w:ascii="Times New Roman" w:hAnsi="Times New Roman" w:cs="Times New Roman"/>
        </w:rPr>
        <w:t>post-industrial-based</w:t>
      </w:r>
      <w:r w:rsidRPr="008506C9">
        <w:rPr>
          <w:rFonts w:ascii="Times New Roman" w:hAnsi="Times New Roman" w:cs="Times New Roman"/>
        </w:rPr>
        <w:t xml:space="preserve"> economy with retail, leisure, and tourism, education, and public services</w:t>
      </w:r>
      <w:r>
        <w:rPr>
          <w:rFonts w:ascii="Times New Roman" w:hAnsi="Times New Roman" w:cs="Times New Roman"/>
        </w:rPr>
        <w:t>,</w:t>
      </w:r>
      <w:r w:rsidRPr="008506C9">
        <w:rPr>
          <w:rFonts w:ascii="Times New Roman" w:hAnsi="Times New Roman" w:cs="Times New Roman"/>
        </w:rPr>
        <w:t xml:space="preserve"> all being the dominant economic parts of the city centre. Large regeneration projects, such as </w:t>
      </w:r>
      <w:proofErr w:type="spellStart"/>
      <w:r w:rsidRPr="008506C9">
        <w:rPr>
          <w:rFonts w:ascii="Times New Roman" w:hAnsi="Times New Roman" w:cs="Times New Roman"/>
        </w:rPr>
        <w:t>Copr</w:t>
      </w:r>
      <w:proofErr w:type="spellEnd"/>
      <w:r w:rsidRPr="008506C9">
        <w:rPr>
          <w:rFonts w:ascii="Times New Roman" w:hAnsi="Times New Roman" w:cs="Times New Roman"/>
        </w:rPr>
        <w:t xml:space="preserve"> Bay, the Arena, and Kingsway developments</w:t>
      </w:r>
      <w:r>
        <w:rPr>
          <w:rFonts w:ascii="Times New Roman" w:hAnsi="Times New Roman" w:cs="Times New Roman"/>
        </w:rPr>
        <w:t>,</w:t>
      </w:r>
      <w:r w:rsidRPr="008506C9">
        <w:rPr>
          <w:rFonts w:ascii="Times New Roman" w:hAnsi="Times New Roman" w:cs="Times New Roman"/>
        </w:rPr>
        <w:t xml:space="preserve"> were carried out to promote Swansea as a modern town in the regional area (Swansea Council, 2025b).</w:t>
      </w:r>
    </w:p>
    <w:p w14:paraId="40FEFC77" w14:textId="6F574D6B"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 xml:space="preserve">However, the transition from traditional retailing is challenging. Much like other cities across the UK, the growth of online retail and out-of-town retailing has led to the decline of traditional retailing in </w:t>
      </w:r>
      <w:r w:rsidRPr="008506C9">
        <w:rPr>
          <w:rFonts w:ascii="Times New Roman" w:hAnsi="Times New Roman" w:cs="Times New Roman"/>
        </w:rPr>
        <w:t>Swansea,</w:t>
      </w:r>
      <w:r w:rsidRPr="008506C9">
        <w:rPr>
          <w:rFonts w:ascii="Times New Roman" w:hAnsi="Times New Roman" w:cs="Times New Roman"/>
        </w:rPr>
        <w:t xml:space="preserve"> and many vacant units can now be seen throughout key </w:t>
      </w:r>
      <w:r w:rsidRPr="008506C9">
        <w:rPr>
          <w:rFonts w:ascii="Times New Roman" w:hAnsi="Times New Roman" w:cs="Times New Roman"/>
        </w:rPr>
        <w:lastRenderedPageBreak/>
        <w:t>urban areas such as Oxford Street. Bahar (2025) describes that retail regeneration in a digital age will take a new approach</w:t>
      </w:r>
      <w:r>
        <w:rPr>
          <w:rFonts w:ascii="Times New Roman" w:hAnsi="Times New Roman" w:cs="Times New Roman"/>
        </w:rPr>
        <w:t>,</w:t>
      </w:r>
      <w:r w:rsidRPr="008506C9">
        <w:rPr>
          <w:rFonts w:ascii="Times New Roman" w:hAnsi="Times New Roman" w:cs="Times New Roman"/>
        </w:rPr>
        <w:t xml:space="preserve"> focusing on experiential and flexible environments rather than traditional retailing.</w:t>
      </w:r>
    </w:p>
    <w:p w14:paraId="4D2D2D34" w14:textId="77777777"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Overall, Swansea is a product of the overall transition from industrial production to consumption, culture, and experiences. Therefore, the challenge for regeneration is to create new benefits derived from new economic opportunities, whilst also producing solutions to the structural and social issues left behind by industrial decline.</w:t>
      </w:r>
    </w:p>
    <w:p w14:paraId="0B077A33" w14:textId="0178873D" w:rsidR="008506C9" w:rsidRPr="008506C9" w:rsidRDefault="008506C9" w:rsidP="008506C9">
      <w:pPr>
        <w:pStyle w:val="ListParagraph"/>
        <w:numPr>
          <w:ilvl w:val="0"/>
          <w:numId w:val="1"/>
        </w:numPr>
        <w:spacing w:line="480" w:lineRule="auto"/>
        <w:rPr>
          <w:rFonts w:ascii="Times New Roman" w:hAnsi="Times New Roman" w:cs="Times New Roman"/>
          <w:b/>
          <w:bCs/>
        </w:rPr>
      </w:pPr>
      <w:r w:rsidRPr="008506C9">
        <w:rPr>
          <w:rFonts w:ascii="Times New Roman" w:hAnsi="Times New Roman" w:cs="Times New Roman"/>
          <w:b/>
          <w:bCs/>
        </w:rPr>
        <w:t>Current assets, structure, and economic character.</w:t>
      </w:r>
    </w:p>
    <w:p w14:paraId="2AED547A" w14:textId="76E71FF7"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Swansea has many significant assets that form a strong base for regeneration. However, Swansea's most important asset is its relationship to the coast. Its proximity to Swansea Bay, the Marina, and the Gower Peninsula presents a unique opportunity for Swansea's identity as a "city on the beach." (Swansea Council, 2025b).</w:t>
      </w:r>
      <w:r>
        <w:rPr>
          <w:rFonts w:ascii="Times New Roman" w:hAnsi="Times New Roman" w:cs="Times New Roman"/>
        </w:rPr>
        <w:t xml:space="preserve"> </w:t>
      </w:r>
      <w:r w:rsidRPr="008506C9">
        <w:rPr>
          <w:rFonts w:ascii="Times New Roman" w:hAnsi="Times New Roman" w:cs="Times New Roman"/>
        </w:rPr>
        <w:t>Touris</w:t>
      </w:r>
      <w:r>
        <w:rPr>
          <w:rFonts w:ascii="Times New Roman" w:hAnsi="Times New Roman" w:cs="Times New Roman"/>
        </w:rPr>
        <w:t>m</w:t>
      </w:r>
      <w:r w:rsidRPr="008506C9">
        <w:rPr>
          <w:rFonts w:ascii="Times New Roman" w:hAnsi="Times New Roman" w:cs="Times New Roman"/>
        </w:rPr>
        <w:t>, recreation, and events are supported by the natural environment, which makes it an important generator of economic activity.</w:t>
      </w:r>
    </w:p>
    <w:p w14:paraId="2828CE57" w14:textId="1BC2473C"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 xml:space="preserve">The River Tawe is one of the more important elements of the Swansea economy, although it is often underused. Historically, it formed an integral part of Swansea's industrial activity; however, road improvements and the construction of developments that are heavily reliant on car transport have created a physical and visual separation between the river and the centre of Swansea. Despite this, there is </w:t>
      </w:r>
      <w:r>
        <w:rPr>
          <w:rFonts w:ascii="Times New Roman" w:hAnsi="Times New Roman" w:cs="Times New Roman"/>
        </w:rPr>
        <w:t xml:space="preserve">a </w:t>
      </w:r>
      <w:r w:rsidRPr="008506C9">
        <w:rPr>
          <w:rFonts w:ascii="Times New Roman" w:hAnsi="Times New Roman" w:cs="Times New Roman"/>
        </w:rPr>
        <w:t>significant opportunity for regeneration of the river through increased accessibility, the improvement of public spaces, and the development of a mix of uses adjacent to the river.</w:t>
      </w:r>
    </w:p>
    <w:p w14:paraId="238B30C8" w14:textId="15AD4CDA"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 xml:space="preserve">Swansea is home to an array of cultural and heritage elements. Assets such as Swansea Market, Wind Street, historic shopping arcades, Swansea Castle, and the Maritime Quarter all contribute to the identity of Swansea. Cultural and heritage assets can play an important part </w:t>
      </w:r>
      <w:r w:rsidRPr="008506C9">
        <w:rPr>
          <w:rFonts w:ascii="Times New Roman" w:hAnsi="Times New Roman" w:cs="Times New Roman"/>
        </w:rPr>
        <w:lastRenderedPageBreak/>
        <w:t>in regeneration by providing a sense of place and a sense of continuity (Jones &amp; Evans, 2012). However, the heritage elements of the city must be used sensitively to avoid oversimplifying or sanitising Swansea's industrial past (</w:t>
      </w:r>
      <w:r w:rsidRPr="008506C9">
        <w:rPr>
          <w:rFonts w:ascii="Times New Roman" w:hAnsi="Times New Roman" w:cs="Times New Roman"/>
        </w:rPr>
        <w:t>May</w:t>
      </w:r>
      <w:r w:rsidRPr="008506C9">
        <w:rPr>
          <w:rFonts w:ascii="Times New Roman" w:hAnsi="Times New Roman" w:cs="Times New Roman"/>
        </w:rPr>
        <w:t xml:space="preserve"> 2023).</w:t>
      </w:r>
    </w:p>
    <w:p w14:paraId="4AD5CA62" w14:textId="77777777"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The economic mix of the Swansea city centre is increasingly diversified, with retail uses, leisure and hospitality venues, cultural venues, residential developments, and office buildings being represented in the community. Independent businesses, markets and smaller local businesses are all key elements to supporting economic diversity as emphasised in the Future Swansea document (Swansea Council, 2025b).</w:t>
      </w:r>
    </w:p>
    <w:p w14:paraId="5A498A83" w14:textId="1A1AB48C" w:rsidR="008506C9" w:rsidRPr="008506C9" w:rsidRDefault="008506C9" w:rsidP="008506C9">
      <w:pPr>
        <w:spacing w:line="480" w:lineRule="auto"/>
        <w:rPr>
          <w:rFonts w:ascii="Times New Roman" w:hAnsi="Times New Roman" w:cs="Times New Roman"/>
        </w:rPr>
      </w:pPr>
      <w:r>
        <w:rPr>
          <w:rFonts w:ascii="Times New Roman" w:hAnsi="Times New Roman" w:cs="Times New Roman"/>
        </w:rPr>
        <w:t>Several challenges need</w:t>
      </w:r>
      <w:r w:rsidRPr="008506C9">
        <w:rPr>
          <w:rFonts w:ascii="Times New Roman" w:hAnsi="Times New Roman" w:cs="Times New Roman"/>
        </w:rPr>
        <w:t xml:space="preserve"> to be addressed. Some of these are unemployment, health inequities, homelessness and the loss of skilled labour to larger metropolitan areas (Swansea Council, 2025b). This shows that regeneration must address not only economic growth, but also social issues. As Phillipson (2025) states in his research, the needs of all age groups and groups that may be at risk of being </w:t>
      </w:r>
      <w:r>
        <w:rPr>
          <w:rFonts w:ascii="Times New Roman" w:hAnsi="Times New Roman" w:cs="Times New Roman"/>
        </w:rPr>
        <w:t>excluded. Swansea</w:t>
      </w:r>
      <w:r w:rsidRPr="008506C9">
        <w:rPr>
          <w:rFonts w:ascii="Times New Roman" w:hAnsi="Times New Roman" w:cs="Times New Roman"/>
        </w:rPr>
        <w:t xml:space="preserve"> has many different stakeholders and interest groups involved with regeneration. One key stakeholder is the Swansea Council, who are responsible for producing the relevant plans regarding where things will be built, owning the land upon which development can take place, and delivering projects on behalf of the local authority. The Council has significant powers in relation to the delivery of renewal due to both their having control of key sites within Swansea and their leading role in developing the area's placemaking strategy.</w:t>
      </w:r>
    </w:p>
    <w:p w14:paraId="6EED7E0F" w14:textId="053F4AB1"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The Welsh Government is also a significant stakeholder</w:t>
      </w:r>
      <w:r w:rsidR="000C41B7">
        <w:rPr>
          <w:rFonts w:ascii="Times New Roman" w:hAnsi="Times New Roman" w:cs="Times New Roman"/>
        </w:rPr>
        <w:t>,</w:t>
      </w:r>
      <w:r w:rsidRPr="008506C9">
        <w:rPr>
          <w:rFonts w:ascii="Times New Roman" w:hAnsi="Times New Roman" w:cs="Times New Roman"/>
        </w:rPr>
        <w:t xml:space="preserve"> as they provide the Planning Policy Framework by which the regeneration of Swansea will take place and </w:t>
      </w:r>
      <w:r w:rsidR="000C41B7">
        <w:rPr>
          <w:rFonts w:ascii="Times New Roman" w:hAnsi="Times New Roman" w:cs="Times New Roman"/>
        </w:rPr>
        <w:t>provides</w:t>
      </w:r>
      <w:r w:rsidRPr="008506C9">
        <w:rPr>
          <w:rFonts w:ascii="Times New Roman" w:hAnsi="Times New Roman" w:cs="Times New Roman"/>
        </w:rPr>
        <w:t xml:space="preserve"> funding (through programmes such as Transforming Towns) for regeneration initiatives. Legislation created at the national level also guides and informs the local regeneration agenda</w:t>
      </w:r>
      <w:r w:rsidR="000C41B7">
        <w:rPr>
          <w:rFonts w:ascii="Times New Roman" w:hAnsi="Times New Roman" w:cs="Times New Roman"/>
        </w:rPr>
        <w:t xml:space="preserve">; </w:t>
      </w:r>
      <w:r w:rsidRPr="008506C9">
        <w:rPr>
          <w:rFonts w:ascii="Times New Roman" w:hAnsi="Times New Roman" w:cs="Times New Roman"/>
        </w:rPr>
        <w:t xml:space="preserve">examples </w:t>
      </w:r>
      <w:r w:rsidRPr="008506C9">
        <w:rPr>
          <w:rFonts w:ascii="Times New Roman" w:hAnsi="Times New Roman" w:cs="Times New Roman"/>
        </w:rPr>
        <w:lastRenderedPageBreak/>
        <w:t>are Planning Policy Wales and the Well-being of Future Generations (Swansea Council, 2025).</w:t>
      </w:r>
    </w:p>
    <w:p w14:paraId="211AC55A" w14:textId="77777777"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Local communities and residents are important stakeholders in the process by which places are created; the local authority has undertaken extensive consultation with over 1,200 residents to establish their priorities for the new placemaking strategy, including the creation of safer streets, a better public realm, more green space, and better access to the waterfront (Swansea Council, 2025). This demonstrates that there is a growing trend towards participatory forms of regeneration whereby local communities and residents contribute their knowledge and experience to decision-making (Park et al., 2025).</w:t>
      </w:r>
    </w:p>
    <w:p w14:paraId="15518DF5" w14:textId="2775C658"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Businesses and investors also have an important role in the delivery of regeneration in Swansea. The independent shops, food/drink/alcohol businesses, and cultural entities within the city centre all contribute to creating a vibrant city centre</w:t>
      </w:r>
      <w:r w:rsidR="000C41B7">
        <w:rPr>
          <w:rFonts w:ascii="Times New Roman" w:hAnsi="Times New Roman" w:cs="Times New Roman"/>
        </w:rPr>
        <w:t>,</w:t>
      </w:r>
      <w:r w:rsidRPr="008506C9">
        <w:rPr>
          <w:rFonts w:ascii="Times New Roman" w:hAnsi="Times New Roman" w:cs="Times New Roman"/>
        </w:rPr>
        <w:t xml:space="preserve"> whereas larger developers typically invest the funds to facilitate large-scale projects. Therefore, it is necessary to find a way to address the needs of both the investor and the local community so as not to displace current residents or create inequitable communities (Earley, 2025).</w:t>
      </w:r>
    </w:p>
    <w:p w14:paraId="79A4382F" w14:textId="749F0DE1"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Swansea's renaissance is underpinned by a coherent and robust policy framework. The Future Swansea Placemaking Plan, Local Development Plan 2 (LDP2), Planning Policy Wales, Future Wales, and the Well-being of Future Generations Act (Swansea Council, 2025a) collectively describe the principles that will shape Swansea's future as a regenerative society</w:t>
      </w:r>
      <w:r w:rsidR="000C41B7">
        <w:rPr>
          <w:rFonts w:ascii="Times New Roman" w:hAnsi="Times New Roman" w:cs="Times New Roman"/>
        </w:rPr>
        <w:t>, which</w:t>
      </w:r>
      <w:r w:rsidRPr="008506C9">
        <w:rPr>
          <w:rFonts w:ascii="Times New Roman" w:hAnsi="Times New Roman" w:cs="Times New Roman"/>
        </w:rPr>
        <w:t xml:space="preserve"> will be characterised by sustainable development, active travel, economic resilience and community </w:t>
      </w:r>
      <w:r w:rsidR="000C41B7" w:rsidRPr="008506C9">
        <w:rPr>
          <w:rFonts w:ascii="Times New Roman" w:hAnsi="Times New Roman" w:cs="Times New Roman"/>
        </w:rPr>
        <w:t>wellbeing. The</w:t>
      </w:r>
      <w:r w:rsidRPr="008506C9">
        <w:rPr>
          <w:rFonts w:ascii="Times New Roman" w:hAnsi="Times New Roman" w:cs="Times New Roman"/>
        </w:rPr>
        <w:t xml:space="preserve"> regeneration of Swansea has been planned around six primary ideas which are defined by people &amp; community, location, the way we move, </w:t>
      </w:r>
      <w:r w:rsidR="000C41B7">
        <w:rPr>
          <w:rFonts w:ascii="Times New Roman" w:hAnsi="Times New Roman" w:cs="Times New Roman"/>
        </w:rPr>
        <w:t>publicly</w:t>
      </w:r>
      <w:r w:rsidRPr="008506C9">
        <w:rPr>
          <w:rFonts w:ascii="Times New Roman" w:hAnsi="Times New Roman" w:cs="Times New Roman"/>
        </w:rPr>
        <w:t xml:space="preserve"> accessible open spaces, a mix of different types of businesses and a sense of place (Swansea </w:t>
      </w:r>
      <w:r w:rsidRPr="008506C9">
        <w:rPr>
          <w:rFonts w:ascii="Times New Roman" w:hAnsi="Times New Roman" w:cs="Times New Roman"/>
        </w:rPr>
        <w:lastRenderedPageBreak/>
        <w:t xml:space="preserve">Council, 2025b). By using these principles, regeneration will take place holistically and in connection to </w:t>
      </w:r>
      <w:r w:rsidR="000C41B7">
        <w:rPr>
          <w:rFonts w:ascii="Times New Roman" w:hAnsi="Times New Roman" w:cs="Times New Roman"/>
        </w:rPr>
        <w:t xml:space="preserve">the </w:t>
      </w:r>
      <w:r w:rsidRPr="008506C9">
        <w:rPr>
          <w:rFonts w:ascii="Times New Roman" w:hAnsi="Times New Roman" w:cs="Times New Roman"/>
        </w:rPr>
        <w:t>place rather than being disjointed.</w:t>
      </w:r>
    </w:p>
    <w:p w14:paraId="72DEE5D0" w14:textId="77777777"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Priority interventions that have been identified include improvements to Swansea Indoor Market, Oxford Street, High Street, the River Tawe and 'Routes to the Sea'. These interventions will work together to improve connectivity, public realm experience and increased economic activity throughout the city centre (Swansea Council, 2025b).</w:t>
      </w:r>
    </w:p>
    <w:p w14:paraId="21465893" w14:textId="682C6B49"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 xml:space="preserve">This methodology is currently in line with </w:t>
      </w:r>
      <w:r w:rsidR="000C41B7">
        <w:rPr>
          <w:rFonts w:ascii="Times New Roman" w:hAnsi="Times New Roman" w:cs="Times New Roman"/>
        </w:rPr>
        <w:t>several</w:t>
      </w:r>
      <w:r w:rsidRPr="008506C9">
        <w:rPr>
          <w:rFonts w:ascii="Times New Roman" w:hAnsi="Times New Roman" w:cs="Times New Roman"/>
        </w:rPr>
        <w:t xml:space="preserve"> contemporary regeneration theories that centre on connectivity and resilience in the built environment. </w:t>
      </w:r>
      <w:proofErr w:type="spellStart"/>
      <w:r w:rsidRPr="008506C9">
        <w:rPr>
          <w:rFonts w:ascii="Times New Roman" w:hAnsi="Times New Roman" w:cs="Times New Roman"/>
        </w:rPr>
        <w:t>Cysek</w:t>
      </w:r>
      <w:proofErr w:type="spellEnd"/>
      <w:r w:rsidRPr="008506C9">
        <w:rPr>
          <w:rFonts w:ascii="Times New Roman" w:hAnsi="Times New Roman" w:cs="Times New Roman"/>
        </w:rPr>
        <w:t xml:space="preserve">-Pawlak et al. (2022) identify the importance of integrating movement, public spaces and land use </w:t>
      </w:r>
      <w:r w:rsidR="000C41B7" w:rsidRPr="008506C9">
        <w:rPr>
          <w:rFonts w:ascii="Times New Roman" w:hAnsi="Times New Roman" w:cs="Times New Roman"/>
        </w:rPr>
        <w:t>to</w:t>
      </w:r>
      <w:r w:rsidRPr="008506C9">
        <w:rPr>
          <w:rFonts w:ascii="Times New Roman" w:hAnsi="Times New Roman" w:cs="Times New Roman"/>
        </w:rPr>
        <w:t xml:space="preserve"> facilitate the construction of resilient cities. Said &amp; Dindar (2024) also support the theory that a successful regeneration project must </w:t>
      </w:r>
      <w:r w:rsidR="000C41B7" w:rsidRPr="008506C9">
        <w:rPr>
          <w:rFonts w:ascii="Times New Roman" w:hAnsi="Times New Roman" w:cs="Times New Roman"/>
        </w:rPr>
        <w:t>consider</w:t>
      </w:r>
      <w:r w:rsidRPr="008506C9">
        <w:rPr>
          <w:rFonts w:ascii="Times New Roman" w:hAnsi="Times New Roman" w:cs="Times New Roman"/>
        </w:rPr>
        <w:t xml:space="preserve"> a balance of environmental, social &amp; economic factors.</w:t>
      </w:r>
    </w:p>
    <w:p w14:paraId="22C0BBDF" w14:textId="77777777" w:rsidR="008506C9" w:rsidRPr="008506C9" w:rsidRDefault="008506C9" w:rsidP="008506C9">
      <w:pPr>
        <w:spacing w:line="480" w:lineRule="auto"/>
        <w:rPr>
          <w:rFonts w:ascii="Times New Roman" w:hAnsi="Times New Roman" w:cs="Times New Roman"/>
        </w:rPr>
      </w:pPr>
    </w:p>
    <w:p w14:paraId="56F423E4" w14:textId="77777777" w:rsidR="008506C9" w:rsidRPr="000C41B7" w:rsidRDefault="008506C9" w:rsidP="008506C9">
      <w:pPr>
        <w:spacing w:line="480" w:lineRule="auto"/>
        <w:rPr>
          <w:rFonts w:ascii="Times New Roman" w:hAnsi="Times New Roman" w:cs="Times New Roman"/>
          <w:b/>
          <w:bCs/>
        </w:rPr>
      </w:pPr>
      <w:r w:rsidRPr="000C41B7">
        <w:rPr>
          <w:rFonts w:ascii="Times New Roman" w:hAnsi="Times New Roman" w:cs="Times New Roman"/>
          <w:b/>
          <w:bCs/>
        </w:rPr>
        <w:t>Part B – Future Regeneration Opportunities</w:t>
      </w:r>
    </w:p>
    <w:p w14:paraId="6F11BF69" w14:textId="57C74138" w:rsidR="008506C9" w:rsidRPr="000C41B7" w:rsidRDefault="008506C9" w:rsidP="000C41B7">
      <w:pPr>
        <w:pStyle w:val="ListParagraph"/>
        <w:numPr>
          <w:ilvl w:val="0"/>
          <w:numId w:val="2"/>
        </w:numPr>
        <w:spacing w:line="480" w:lineRule="auto"/>
        <w:rPr>
          <w:rFonts w:ascii="Times New Roman" w:hAnsi="Times New Roman" w:cs="Times New Roman"/>
          <w:b/>
          <w:bCs/>
        </w:rPr>
      </w:pPr>
      <w:r w:rsidRPr="000C41B7">
        <w:rPr>
          <w:rFonts w:ascii="Times New Roman" w:hAnsi="Times New Roman" w:cs="Times New Roman"/>
          <w:b/>
          <w:bCs/>
        </w:rPr>
        <w:t xml:space="preserve">Improved connections between the city centre and </w:t>
      </w:r>
      <w:r w:rsidR="000C41B7" w:rsidRPr="000C41B7">
        <w:rPr>
          <w:rFonts w:ascii="Times New Roman" w:hAnsi="Times New Roman" w:cs="Times New Roman"/>
          <w:b/>
          <w:bCs/>
        </w:rPr>
        <w:t xml:space="preserve">the </w:t>
      </w:r>
      <w:r w:rsidRPr="000C41B7">
        <w:rPr>
          <w:rFonts w:ascii="Times New Roman" w:hAnsi="Times New Roman" w:cs="Times New Roman"/>
          <w:b/>
          <w:bCs/>
        </w:rPr>
        <w:t>waterfront.</w:t>
      </w:r>
    </w:p>
    <w:p w14:paraId="07A3D3AC" w14:textId="0EB07BE3"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 xml:space="preserve">A key area for Swansea is to improve </w:t>
      </w:r>
      <w:r w:rsidR="000C41B7">
        <w:rPr>
          <w:rFonts w:ascii="Times New Roman" w:hAnsi="Times New Roman" w:cs="Times New Roman"/>
        </w:rPr>
        <w:t xml:space="preserve">the </w:t>
      </w:r>
      <w:r w:rsidRPr="008506C9">
        <w:rPr>
          <w:rFonts w:ascii="Times New Roman" w:hAnsi="Times New Roman" w:cs="Times New Roman"/>
        </w:rPr>
        <w:t xml:space="preserve">north-south connection from </w:t>
      </w:r>
      <w:r w:rsidR="000C41B7">
        <w:rPr>
          <w:rFonts w:ascii="Times New Roman" w:hAnsi="Times New Roman" w:cs="Times New Roman"/>
        </w:rPr>
        <w:t xml:space="preserve">the </w:t>
      </w:r>
      <w:r w:rsidRPr="008506C9">
        <w:rPr>
          <w:rFonts w:ascii="Times New Roman" w:hAnsi="Times New Roman" w:cs="Times New Roman"/>
        </w:rPr>
        <w:t>city centre to the waterfront, as the overall experience of the city is hampered by roads acting as barriers, which significantly limit pedestrian access and limit the overall experience.</w:t>
      </w:r>
    </w:p>
    <w:p w14:paraId="0E9A62C2" w14:textId="4217F3DF"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Improving walking and cycling routes, improving crossing points and creating attractive public places would improve these connections. This aligns with the previous conclusions of Future Swansea regarding 'Routes to the Sea' (Swansea Council, 2025b).</w:t>
      </w:r>
      <w:r w:rsidR="000C41B7">
        <w:rPr>
          <w:rFonts w:ascii="Times New Roman" w:hAnsi="Times New Roman" w:cs="Times New Roman"/>
        </w:rPr>
        <w:t xml:space="preserve"> </w:t>
      </w:r>
      <w:r w:rsidRPr="008506C9">
        <w:rPr>
          <w:rFonts w:ascii="Times New Roman" w:hAnsi="Times New Roman" w:cs="Times New Roman"/>
        </w:rPr>
        <w:t>Studie</w:t>
      </w:r>
      <w:r w:rsidR="000C41B7">
        <w:rPr>
          <w:rFonts w:ascii="Times New Roman" w:hAnsi="Times New Roman" w:cs="Times New Roman"/>
        </w:rPr>
        <w:t>s</w:t>
      </w:r>
      <w:r w:rsidRPr="008506C9">
        <w:rPr>
          <w:rFonts w:ascii="Times New Roman" w:hAnsi="Times New Roman" w:cs="Times New Roman"/>
        </w:rPr>
        <w:t xml:space="preserve"> evidence the significance of </w:t>
      </w:r>
      <w:r w:rsidR="000C41B7">
        <w:rPr>
          <w:rFonts w:ascii="Times New Roman" w:hAnsi="Times New Roman" w:cs="Times New Roman"/>
        </w:rPr>
        <w:t>pedestrian-friendly</w:t>
      </w:r>
      <w:r w:rsidRPr="008506C9">
        <w:rPr>
          <w:rFonts w:ascii="Times New Roman" w:hAnsi="Times New Roman" w:cs="Times New Roman"/>
        </w:rPr>
        <w:t xml:space="preserve"> environments in enhancing footfall and the associated economic activity in city centres (Ge et al 2023). Improving connectivity would further </w:t>
      </w:r>
      <w:r w:rsidRPr="008506C9">
        <w:rPr>
          <w:rFonts w:ascii="Times New Roman" w:hAnsi="Times New Roman" w:cs="Times New Roman"/>
        </w:rPr>
        <w:lastRenderedPageBreak/>
        <w:t>support the idea of sustainable mobility</w:t>
      </w:r>
      <w:r w:rsidR="000C41B7">
        <w:rPr>
          <w:rFonts w:ascii="Times New Roman" w:hAnsi="Times New Roman" w:cs="Times New Roman"/>
        </w:rPr>
        <w:t>,</w:t>
      </w:r>
      <w:r w:rsidRPr="008506C9">
        <w:rPr>
          <w:rFonts w:ascii="Times New Roman" w:hAnsi="Times New Roman" w:cs="Times New Roman"/>
        </w:rPr>
        <w:t xml:space="preserve"> with people choosing to walk and cycle rather than use cars (</w:t>
      </w:r>
      <w:proofErr w:type="spellStart"/>
      <w:r w:rsidRPr="008506C9">
        <w:rPr>
          <w:rFonts w:ascii="Times New Roman" w:hAnsi="Times New Roman" w:cs="Times New Roman"/>
        </w:rPr>
        <w:t>Ravagnan</w:t>
      </w:r>
      <w:proofErr w:type="spellEnd"/>
      <w:r w:rsidRPr="008506C9">
        <w:rPr>
          <w:rFonts w:ascii="Times New Roman" w:hAnsi="Times New Roman" w:cs="Times New Roman"/>
        </w:rPr>
        <w:t xml:space="preserve"> et al 2022).</w:t>
      </w:r>
    </w:p>
    <w:p w14:paraId="3AEDD3AB" w14:textId="1344F712"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 xml:space="preserve">Furthermore, enhanced connectivity would support Swansea's identified identity as a coastal city and </w:t>
      </w:r>
      <w:r w:rsidR="000C41B7">
        <w:rPr>
          <w:rFonts w:ascii="Times New Roman" w:hAnsi="Times New Roman" w:cs="Times New Roman"/>
        </w:rPr>
        <w:t>improve</w:t>
      </w:r>
      <w:r w:rsidRPr="008506C9">
        <w:rPr>
          <w:rFonts w:ascii="Times New Roman" w:hAnsi="Times New Roman" w:cs="Times New Roman"/>
        </w:rPr>
        <w:t xml:space="preserve"> access to opportunities for recreation. The example of the </w:t>
      </w:r>
      <w:proofErr w:type="spellStart"/>
      <w:r w:rsidRPr="008506C9">
        <w:rPr>
          <w:rFonts w:ascii="Times New Roman" w:hAnsi="Times New Roman" w:cs="Times New Roman"/>
        </w:rPr>
        <w:t>Connswater</w:t>
      </w:r>
      <w:proofErr w:type="spellEnd"/>
      <w:r w:rsidRPr="008506C9">
        <w:rPr>
          <w:rFonts w:ascii="Times New Roman" w:hAnsi="Times New Roman" w:cs="Times New Roman"/>
        </w:rPr>
        <w:t xml:space="preserve"> Community Greenway </w:t>
      </w:r>
      <w:r w:rsidR="000C41B7" w:rsidRPr="008506C9">
        <w:rPr>
          <w:rFonts w:ascii="Times New Roman" w:hAnsi="Times New Roman" w:cs="Times New Roman"/>
        </w:rPr>
        <w:t>evidence</w:t>
      </w:r>
      <w:r w:rsidRPr="008506C9">
        <w:rPr>
          <w:rFonts w:ascii="Times New Roman" w:hAnsi="Times New Roman" w:cs="Times New Roman"/>
        </w:rPr>
        <w:t xml:space="preserve"> that investment in green and active travel infrastructure can yield substantial social and health benefits (Tate et al 2023).</w:t>
      </w:r>
    </w:p>
    <w:p w14:paraId="7421F4DB" w14:textId="2AB5DB6F" w:rsidR="008506C9" w:rsidRPr="000C41B7" w:rsidRDefault="008506C9" w:rsidP="000C41B7">
      <w:pPr>
        <w:pStyle w:val="ListParagraph"/>
        <w:numPr>
          <w:ilvl w:val="0"/>
          <w:numId w:val="2"/>
        </w:numPr>
        <w:spacing w:line="480" w:lineRule="auto"/>
        <w:rPr>
          <w:rFonts w:ascii="Times New Roman" w:hAnsi="Times New Roman" w:cs="Times New Roman"/>
          <w:b/>
          <w:bCs/>
        </w:rPr>
      </w:pPr>
      <w:r w:rsidRPr="000C41B7">
        <w:rPr>
          <w:rFonts w:ascii="Times New Roman" w:hAnsi="Times New Roman" w:cs="Times New Roman"/>
          <w:b/>
          <w:bCs/>
        </w:rPr>
        <w:t>Regeneration of the River Tawe corridor</w:t>
      </w:r>
    </w:p>
    <w:p w14:paraId="129BF749" w14:textId="77777777"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The River Tawe corridor represents an excellent opportunity for regeneration; it is currently under-utilised and has no links to the city centre; however, it has been a historically significant location.</w:t>
      </w:r>
    </w:p>
    <w:p w14:paraId="7E6F5DF4" w14:textId="004E914A"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Regenerating this area could support the development of riverside walkways, develop green infrastructure, develop leisure areas and create links between the surrounding communities (St Thomas</w:t>
      </w:r>
      <w:r w:rsidR="000C41B7">
        <w:rPr>
          <w:rFonts w:ascii="Times New Roman" w:hAnsi="Times New Roman" w:cs="Times New Roman"/>
        </w:rPr>
        <w:t>,</w:t>
      </w:r>
      <w:r w:rsidRPr="008506C9">
        <w:rPr>
          <w:rFonts w:ascii="Times New Roman" w:hAnsi="Times New Roman" w:cs="Times New Roman"/>
        </w:rPr>
        <w:t xml:space="preserve"> for example). All of this will change the river from a currently irrelevant space into a key public space and economic asset.</w:t>
      </w:r>
    </w:p>
    <w:p w14:paraId="3793660C" w14:textId="1CF43224"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Connectivity is the key to this proposal; the importance of strong spatial connectivity as a requirement for building resilient urban systems</w:t>
      </w:r>
      <w:r w:rsidR="000C41B7">
        <w:rPr>
          <w:rFonts w:ascii="Times New Roman" w:hAnsi="Times New Roman" w:cs="Times New Roman"/>
        </w:rPr>
        <w:t xml:space="preserve"> (</w:t>
      </w:r>
      <w:proofErr w:type="spellStart"/>
      <w:r w:rsidR="000C41B7" w:rsidRPr="000C41B7">
        <w:rPr>
          <w:rFonts w:ascii="Times New Roman" w:hAnsi="Times New Roman" w:cs="Times New Roman"/>
        </w:rPr>
        <w:t>Cysek</w:t>
      </w:r>
      <w:proofErr w:type="spellEnd"/>
      <w:r w:rsidR="000C41B7" w:rsidRPr="000C41B7">
        <w:rPr>
          <w:rFonts w:ascii="Times New Roman" w:hAnsi="Times New Roman" w:cs="Times New Roman"/>
        </w:rPr>
        <w:t>-Pawlak et al</w:t>
      </w:r>
      <w:r w:rsidR="000C41B7">
        <w:rPr>
          <w:rFonts w:ascii="Times New Roman" w:hAnsi="Times New Roman" w:cs="Times New Roman"/>
        </w:rPr>
        <w:t xml:space="preserve">, </w:t>
      </w:r>
      <w:r w:rsidR="000C41B7" w:rsidRPr="000C41B7">
        <w:rPr>
          <w:rFonts w:ascii="Times New Roman" w:hAnsi="Times New Roman" w:cs="Times New Roman"/>
        </w:rPr>
        <w:t>2022)</w:t>
      </w:r>
      <w:r w:rsidR="000C41B7">
        <w:rPr>
          <w:rFonts w:ascii="Times New Roman" w:hAnsi="Times New Roman" w:cs="Times New Roman"/>
        </w:rPr>
        <w:t xml:space="preserve">. </w:t>
      </w:r>
      <w:r w:rsidRPr="008506C9">
        <w:rPr>
          <w:rFonts w:ascii="Times New Roman" w:hAnsi="Times New Roman" w:cs="Times New Roman"/>
        </w:rPr>
        <w:t>By improving east-west links across the river, the integration of neighbouring communities will be enhanced, as well as supporting economic activity.</w:t>
      </w:r>
    </w:p>
    <w:p w14:paraId="65AFF319" w14:textId="77777777" w:rsidR="000C41B7" w:rsidRDefault="008506C9" w:rsidP="008506C9">
      <w:pPr>
        <w:spacing w:line="480" w:lineRule="auto"/>
        <w:rPr>
          <w:rFonts w:ascii="Times New Roman" w:hAnsi="Times New Roman" w:cs="Times New Roman"/>
        </w:rPr>
      </w:pPr>
      <w:r w:rsidRPr="008506C9">
        <w:rPr>
          <w:rFonts w:ascii="Times New Roman" w:hAnsi="Times New Roman" w:cs="Times New Roman"/>
        </w:rPr>
        <w:t xml:space="preserve">It is also important that any regeneration makes significant use of heritage and identity. The River Tawe was significant in Swansea’s industrial history, </w:t>
      </w:r>
      <w:r w:rsidR="000C41B7">
        <w:rPr>
          <w:rFonts w:ascii="Times New Roman" w:hAnsi="Times New Roman" w:cs="Times New Roman"/>
        </w:rPr>
        <w:t>which</w:t>
      </w:r>
      <w:r w:rsidRPr="008506C9">
        <w:rPr>
          <w:rFonts w:ascii="Times New Roman" w:hAnsi="Times New Roman" w:cs="Times New Roman"/>
        </w:rPr>
        <w:t xml:space="preserve"> should be considered and integrated into the design and interpretation of this </w:t>
      </w:r>
      <w:r w:rsidR="000C41B7" w:rsidRPr="008506C9">
        <w:rPr>
          <w:rFonts w:ascii="Times New Roman" w:hAnsi="Times New Roman" w:cs="Times New Roman"/>
        </w:rPr>
        <w:t>area. May</w:t>
      </w:r>
      <w:r w:rsidRPr="008506C9">
        <w:rPr>
          <w:rFonts w:ascii="Times New Roman" w:hAnsi="Times New Roman" w:cs="Times New Roman"/>
        </w:rPr>
        <w:t xml:space="preserve"> (2023) indicates there is a need for a more honest approach to telling the story of the regeneration of </w:t>
      </w:r>
      <w:r w:rsidR="000C41B7" w:rsidRPr="008506C9">
        <w:rPr>
          <w:rFonts w:ascii="Times New Roman" w:hAnsi="Times New Roman" w:cs="Times New Roman"/>
        </w:rPr>
        <w:t>Swansea and</w:t>
      </w:r>
      <w:r w:rsidRPr="008506C9">
        <w:rPr>
          <w:rFonts w:ascii="Times New Roman" w:hAnsi="Times New Roman" w:cs="Times New Roman"/>
        </w:rPr>
        <w:t xml:space="preserve"> warns against attempting to sanitise the city's industrial heritage through the regeneration process.</w:t>
      </w:r>
    </w:p>
    <w:p w14:paraId="6611EDA0" w14:textId="11E03C74" w:rsidR="008506C9" w:rsidRPr="008506C9" w:rsidRDefault="000C41B7" w:rsidP="008506C9">
      <w:pPr>
        <w:spacing w:line="480" w:lineRule="auto"/>
        <w:rPr>
          <w:rFonts w:ascii="Times New Roman" w:hAnsi="Times New Roman" w:cs="Times New Roman"/>
        </w:rPr>
      </w:pPr>
      <w:r>
        <w:rPr>
          <w:rFonts w:ascii="Times New Roman" w:hAnsi="Times New Roman" w:cs="Times New Roman"/>
        </w:rPr>
        <w:lastRenderedPageBreak/>
        <w:t>S</w:t>
      </w:r>
      <w:r w:rsidR="008506C9" w:rsidRPr="008506C9">
        <w:rPr>
          <w:rFonts w:ascii="Times New Roman" w:hAnsi="Times New Roman" w:cs="Times New Roman"/>
        </w:rPr>
        <w:t>ustainable regeneration must bring together both locally derived identities and broader global urban trends. In relation to Swansea, this means merging new or modern developments with an awareness of the city's cultural and industrial past</w:t>
      </w:r>
      <w:r>
        <w:rPr>
          <w:rFonts w:ascii="Times New Roman" w:hAnsi="Times New Roman" w:cs="Times New Roman"/>
        </w:rPr>
        <w:t xml:space="preserve"> (</w:t>
      </w:r>
      <w:proofErr w:type="spellStart"/>
      <w:r w:rsidRPr="000C41B7">
        <w:rPr>
          <w:rFonts w:ascii="Times New Roman" w:hAnsi="Times New Roman" w:cs="Times New Roman"/>
        </w:rPr>
        <w:t>Cheshmehzangi</w:t>
      </w:r>
      <w:proofErr w:type="spellEnd"/>
      <w:r w:rsidRPr="000C41B7">
        <w:rPr>
          <w:rFonts w:ascii="Times New Roman" w:hAnsi="Times New Roman" w:cs="Times New Roman"/>
        </w:rPr>
        <w:t xml:space="preserve"> &amp; Munday</w:t>
      </w:r>
      <w:r>
        <w:rPr>
          <w:rFonts w:ascii="Times New Roman" w:hAnsi="Times New Roman" w:cs="Times New Roman"/>
        </w:rPr>
        <w:t xml:space="preserve">, </w:t>
      </w:r>
      <w:r w:rsidRPr="000C41B7">
        <w:rPr>
          <w:rFonts w:ascii="Times New Roman" w:hAnsi="Times New Roman" w:cs="Times New Roman"/>
        </w:rPr>
        <w:t>2022)</w:t>
      </w:r>
      <w:r>
        <w:rPr>
          <w:rFonts w:ascii="Times New Roman" w:hAnsi="Times New Roman" w:cs="Times New Roman"/>
        </w:rPr>
        <w:t>.</w:t>
      </w:r>
      <w:r w:rsidRPr="000C41B7">
        <w:rPr>
          <w:rFonts w:ascii="Times New Roman" w:hAnsi="Times New Roman" w:cs="Times New Roman"/>
        </w:rPr>
        <w:t xml:space="preserve"> </w:t>
      </w:r>
    </w:p>
    <w:p w14:paraId="26C779AA" w14:textId="5A1B2E5B" w:rsidR="008506C9" w:rsidRPr="000C41B7" w:rsidRDefault="008506C9" w:rsidP="000C41B7">
      <w:pPr>
        <w:pStyle w:val="ListParagraph"/>
        <w:numPr>
          <w:ilvl w:val="0"/>
          <w:numId w:val="2"/>
        </w:numPr>
        <w:spacing w:line="480" w:lineRule="auto"/>
        <w:rPr>
          <w:rFonts w:ascii="Times New Roman" w:hAnsi="Times New Roman" w:cs="Times New Roman"/>
          <w:b/>
          <w:bCs/>
        </w:rPr>
      </w:pPr>
      <w:r w:rsidRPr="000C41B7">
        <w:rPr>
          <w:rFonts w:ascii="Times New Roman" w:hAnsi="Times New Roman" w:cs="Times New Roman"/>
          <w:b/>
          <w:bCs/>
        </w:rPr>
        <w:t>Active Support for Independent Businesses and Reuse of Empty Buildings</w:t>
      </w:r>
    </w:p>
    <w:p w14:paraId="248BDBD2" w14:textId="37785180"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 xml:space="preserve">Active support for independent businesses and the reuse of empty buildings </w:t>
      </w:r>
      <w:r w:rsidR="000C41B7">
        <w:rPr>
          <w:rFonts w:ascii="Times New Roman" w:hAnsi="Times New Roman" w:cs="Times New Roman"/>
        </w:rPr>
        <w:t>represents</w:t>
      </w:r>
      <w:r w:rsidRPr="008506C9">
        <w:rPr>
          <w:rFonts w:ascii="Times New Roman" w:hAnsi="Times New Roman" w:cs="Times New Roman"/>
        </w:rPr>
        <w:t xml:space="preserve"> a third opportunity for Swansea to respond to changing retail patterns by promoting flexible and diverse uses within the city centre.</w:t>
      </w:r>
    </w:p>
    <w:p w14:paraId="607A5E59" w14:textId="4CDD86E9"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Examples of new uses could include experiential developments like pop-up shops and creative businesses</w:t>
      </w:r>
      <w:r w:rsidR="000C41B7">
        <w:rPr>
          <w:rFonts w:ascii="Times New Roman" w:hAnsi="Times New Roman" w:cs="Times New Roman"/>
        </w:rPr>
        <w:t>,</w:t>
      </w:r>
      <w:r w:rsidRPr="008506C9">
        <w:rPr>
          <w:rFonts w:ascii="Times New Roman" w:hAnsi="Times New Roman" w:cs="Times New Roman"/>
        </w:rPr>
        <w:t xml:space="preserve"> as well as food markets, community spaces and residential units above retail outlets. Bahar (2025) describes the importance of experiential retail created </w:t>
      </w:r>
      <w:r w:rsidR="000C41B7">
        <w:rPr>
          <w:rFonts w:ascii="Times New Roman" w:hAnsi="Times New Roman" w:cs="Times New Roman"/>
        </w:rPr>
        <w:t>by</w:t>
      </w:r>
      <w:r w:rsidRPr="008506C9">
        <w:rPr>
          <w:rFonts w:ascii="Times New Roman" w:hAnsi="Times New Roman" w:cs="Times New Roman"/>
        </w:rPr>
        <w:t xml:space="preserve"> bringing together social and cultural experiences</w:t>
      </w:r>
      <w:r w:rsidR="000C41B7">
        <w:rPr>
          <w:rFonts w:ascii="Times New Roman" w:hAnsi="Times New Roman" w:cs="Times New Roman"/>
        </w:rPr>
        <w:t>,</w:t>
      </w:r>
      <w:r w:rsidRPr="008506C9">
        <w:rPr>
          <w:rFonts w:ascii="Times New Roman" w:hAnsi="Times New Roman" w:cs="Times New Roman"/>
        </w:rPr>
        <w:t xml:space="preserve"> which will encourage visitors to the retail environment</w:t>
      </w:r>
      <w:r w:rsidR="000C41B7">
        <w:rPr>
          <w:rFonts w:ascii="Times New Roman" w:hAnsi="Times New Roman" w:cs="Times New Roman"/>
        </w:rPr>
        <w:t>,</w:t>
      </w:r>
      <w:r w:rsidRPr="008506C9">
        <w:rPr>
          <w:rFonts w:ascii="Times New Roman" w:hAnsi="Times New Roman" w:cs="Times New Roman"/>
        </w:rPr>
        <w:t xml:space="preserve"> along with traditional shopping.</w:t>
      </w:r>
    </w:p>
    <w:p w14:paraId="1180F887" w14:textId="4342EA4E"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t xml:space="preserve">Promoting independent businesses can also aid in promoting inclusive regeneration: according to Earley (2025), community enterprises will assist </w:t>
      </w:r>
      <w:r w:rsidR="000C41B7">
        <w:rPr>
          <w:rFonts w:ascii="Times New Roman" w:hAnsi="Times New Roman" w:cs="Times New Roman"/>
        </w:rPr>
        <w:t>in ensuring</w:t>
      </w:r>
      <w:r w:rsidRPr="008506C9">
        <w:rPr>
          <w:rFonts w:ascii="Times New Roman" w:hAnsi="Times New Roman" w:cs="Times New Roman"/>
        </w:rPr>
        <w:t xml:space="preserve"> that residents reap the benefits of regeneration rather than being displaced. This is particularly pertinent for Swansea because the introduction of regeneration will elevate the value of property and thereby potentially create pressure on affordability.</w:t>
      </w:r>
    </w:p>
    <w:p w14:paraId="1338F835" w14:textId="77777777" w:rsidR="00E72958" w:rsidRDefault="008506C9" w:rsidP="008506C9">
      <w:pPr>
        <w:spacing w:line="480" w:lineRule="auto"/>
        <w:rPr>
          <w:rFonts w:ascii="Times New Roman" w:hAnsi="Times New Roman" w:cs="Times New Roman"/>
        </w:rPr>
      </w:pPr>
      <w:r w:rsidRPr="008506C9">
        <w:rPr>
          <w:rFonts w:ascii="Times New Roman" w:hAnsi="Times New Roman" w:cs="Times New Roman"/>
        </w:rPr>
        <w:t>The creation of the night-time economy within Swansea also offers an opportunity</w:t>
      </w:r>
      <w:r w:rsidR="00E72958">
        <w:rPr>
          <w:rFonts w:ascii="Times New Roman" w:hAnsi="Times New Roman" w:cs="Times New Roman"/>
        </w:rPr>
        <w:t>;</w:t>
      </w:r>
      <w:r w:rsidRPr="008506C9">
        <w:rPr>
          <w:rFonts w:ascii="Times New Roman" w:hAnsi="Times New Roman" w:cs="Times New Roman"/>
        </w:rPr>
        <w:t xml:space="preserve"> however, there must be a coherent and </w:t>
      </w:r>
      <w:r w:rsidR="00E72958">
        <w:rPr>
          <w:rFonts w:ascii="Times New Roman" w:hAnsi="Times New Roman" w:cs="Times New Roman"/>
        </w:rPr>
        <w:t>carefully developed</w:t>
      </w:r>
      <w:r w:rsidRPr="008506C9">
        <w:rPr>
          <w:rFonts w:ascii="Times New Roman" w:hAnsi="Times New Roman" w:cs="Times New Roman"/>
        </w:rPr>
        <w:t xml:space="preserve"> strategy for managing night-time operations to ensure the safety and inclusion of all visitors (Roberts, 2024). The regeneration of Swansea is to create a city centre that provides a balanced and active centre for all users, both day and night.</w:t>
      </w:r>
    </w:p>
    <w:p w14:paraId="5EF29FCA" w14:textId="2F4C1C87" w:rsidR="008506C9" w:rsidRPr="008506C9" w:rsidRDefault="008506C9" w:rsidP="008506C9">
      <w:pPr>
        <w:spacing w:line="480" w:lineRule="auto"/>
        <w:rPr>
          <w:rFonts w:ascii="Times New Roman" w:hAnsi="Times New Roman" w:cs="Times New Roman"/>
        </w:rPr>
      </w:pPr>
      <w:r w:rsidRPr="008506C9">
        <w:rPr>
          <w:rFonts w:ascii="Times New Roman" w:hAnsi="Times New Roman" w:cs="Times New Roman"/>
        </w:rPr>
        <w:lastRenderedPageBreak/>
        <w:t xml:space="preserve">While economic performance is certainly an important measure of successful regeneration, Said and Dindar (2024) argue </w:t>
      </w:r>
      <w:r w:rsidR="00E72958">
        <w:rPr>
          <w:rFonts w:ascii="Times New Roman" w:hAnsi="Times New Roman" w:cs="Times New Roman"/>
        </w:rPr>
        <w:t xml:space="preserve">that </w:t>
      </w:r>
      <w:r w:rsidRPr="008506C9">
        <w:rPr>
          <w:rFonts w:ascii="Times New Roman" w:hAnsi="Times New Roman" w:cs="Times New Roman"/>
        </w:rPr>
        <w:t>sustainable regeneration requires measuring broader indicators</w:t>
      </w:r>
      <w:r w:rsidR="00E72958">
        <w:rPr>
          <w:rFonts w:ascii="Times New Roman" w:hAnsi="Times New Roman" w:cs="Times New Roman"/>
        </w:rPr>
        <w:t>,</w:t>
      </w:r>
      <w:r w:rsidRPr="008506C9">
        <w:rPr>
          <w:rFonts w:ascii="Times New Roman" w:hAnsi="Times New Roman" w:cs="Times New Roman"/>
        </w:rPr>
        <w:t xml:space="preserve"> including social and environmental outcomes along with economic performance.</w:t>
      </w:r>
    </w:p>
    <w:p w14:paraId="15791C72" w14:textId="0839C2B3" w:rsidR="008506C9" w:rsidRPr="00E72958" w:rsidRDefault="00E72958" w:rsidP="008506C9">
      <w:pPr>
        <w:spacing w:line="480" w:lineRule="auto"/>
        <w:rPr>
          <w:rFonts w:ascii="Times New Roman" w:hAnsi="Times New Roman" w:cs="Times New Roman"/>
          <w:b/>
          <w:bCs/>
        </w:rPr>
      </w:pPr>
      <w:r w:rsidRPr="00E72958">
        <w:rPr>
          <w:rFonts w:ascii="Times New Roman" w:hAnsi="Times New Roman" w:cs="Times New Roman"/>
          <w:b/>
          <w:bCs/>
        </w:rPr>
        <w:t xml:space="preserve">Conclusion </w:t>
      </w:r>
    </w:p>
    <w:p w14:paraId="48BA8037" w14:textId="6244FBC8" w:rsidR="008506C9" w:rsidRDefault="008506C9" w:rsidP="008506C9">
      <w:pPr>
        <w:spacing w:line="480" w:lineRule="auto"/>
        <w:rPr>
          <w:rFonts w:ascii="Times New Roman" w:hAnsi="Times New Roman" w:cs="Times New Roman"/>
        </w:rPr>
      </w:pPr>
      <w:r w:rsidRPr="008506C9">
        <w:rPr>
          <w:rFonts w:ascii="Times New Roman" w:hAnsi="Times New Roman" w:cs="Times New Roman"/>
        </w:rPr>
        <w:t>Regeneration efforts favourably impact the City Centre and Waterfront area of Swansea due to the city's coastal location, historical heritage, and recent development activities; however, there will still be challenges such as decline of retail, disconnection from surrounding areas, and social inequity. Sustainable regeneration in Swansea should include reconnecting the city centre to the waterfront, revitalising the River Tawe, and providing opportunities for independent businesses and local communities. By focusing on connectivity, inclusivity, and environmentally sustainable practices during the process, Swansea can achieve its vision of becoming 'a vibrant and resilient city on the beach' (Swansea Council, 2025b).</w:t>
      </w:r>
    </w:p>
    <w:p w14:paraId="2F37F7EC" w14:textId="77777777" w:rsidR="00E72958" w:rsidRDefault="00E72958" w:rsidP="008506C9">
      <w:pPr>
        <w:spacing w:line="480" w:lineRule="auto"/>
        <w:rPr>
          <w:rFonts w:ascii="Times New Roman" w:hAnsi="Times New Roman" w:cs="Times New Roman"/>
        </w:rPr>
      </w:pPr>
    </w:p>
    <w:p w14:paraId="503F6D08" w14:textId="77777777" w:rsidR="00E72958" w:rsidRDefault="00E72958" w:rsidP="008506C9">
      <w:pPr>
        <w:spacing w:line="480" w:lineRule="auto"/>
        <w:rPr>
          <w:rFonts w:ascii="Times New Roman" w:hAnsi="Times New Roman" w:cs="Times New Roman"/>
        </w:rPr>
      </w:pPr>
    </w:p>
    <w:p w14:paraId="2ECFB0DC" w14:textId="77777777" w:rsidR="00E72958" w:rsidRDefault="00E72958" w:rsidP="008506C9">
      <w:pPr>
        <w:spacing w:line="480" w:lineRule="auto"/>
        <w:rPr>
          <w:rFonts w:ascii="Times New Roman" w:hAnsi="Times New Roman" w:cs="Times New Roman"/>
        </w:rPr>
      </w:pPr>
    </w:p>
    <w:p w14:paraId="2C1E5B4D" w14:textId="77777777" w:rsidR="00E72958" w:rsidRDefault="00E72958" w:rsidP="008506C9">
      <w:pPr>
        <w:spacing w:line="480" w:lineRule="auto"/>
        <w:rPr>
          <w:rFonts w:ascii="Times New Roman" w:hAnsi="Times New Roman" w:cs="Times New Roman"/>
        </w:rPr>
      </w:pPr>
    </w:p>
    <w:p w14:paraId="00714D43" w14:textId="77777777" w:rsidR="00E72958" w:rsidRDefault="00E72958" w:rsidP="008506C9">
      <w:pPr>
        <w:spacing w:line="480" w:lineRule="auto"/>
        <w:rPr>
          <w:rFonts w:ascii="Times New Roman" w:hAnsi="Times New Roman" w:cs="Times New Roman"/>
        </w:rPr>
      </w:pPr>
    </w:p>
    <w:p w14:paraId="41D2DE0D" w14:textId="77777777" w:rsidR="00E72958" w:rsidRDefault="00E72958" w:rsidP="008506C9">
      <w:pPr>
        <w:spacing w:line="480" w:lineRule="auto"/>
        <w:rPr>
          <w:rFonts w:ascii="Times New Roman" w:hAnsi="Times New Roman" w:cs="Times New Roman"/>
        </w:rPr>
      </w:pPr>
    </w:p>
    <w:p w14:paraId="1FCC6543" w14:textId="77777777" w:rsidR="00E72958" w:rsidRDefault="00E72958" w:rsidP="008506C9">
      <w:pPr>
        <w:spacing w:line="480" w:lineRule="auto"/>
        <w:rPr>
          <w:rFonts w:ascii="Times New Roman" w:hAnsi="Times New Roman" w:cs="Times New Roman"/>
        </w:rPr>
      </w:pPr>
    </w:p>
    <w:p w14:paraId="0E017D26" w14:textId="77777777" w:rsidR="00E72958" w:rsidRDefault="00E72958" w:rsidP="008506C9">
      <w:pPr>
        <w:spacing w:line="480" w:lineRule="auto"/>
        <w:rPr>
          <w:rFonts w:ascii="Times New Roman" w:hAnsi="Times New Roman" w:cs="Times New Roman"/>
        </w:rPr>
      </w:pPr>
    </w:p>
    <w:p w14:paraId="09495A09" w14:textId="77777777" w:rsidR="00E72958" w:rsidRDefault="00E72958" w:rsidP="008506C9">
      <w:pPr>
        <w:spacing w:line="480" w:lineRule="auto"/>
        <w:rPr>
          <w:rFonts w:ascii="Times New Roman" w:hAnsi="Times New Roman" w:cs="Times New Roman"/>
        </w:rPr>
      </w:pPr>
    </w:p>
    <w:p w14:paraId="64655AE7" w14:textId="77777777" w:rsidR="00E72958" w:rsidRDefault="00E72958" w:rsidP="008506C9">
      <w:pPr>
        <w:spacing w:line="480" w:lineRule="auto"/>
        <w:rPr>
          <w:rFonts w:ascii="Times New Roman" w:hAnsi="Times New Roman" w:cs="Times New Roman"/>
        </w:rPr>
      </w:pPr>
    </w:p>
    <w:p w14:paraId="572B65B6" w14:textId="57AA764A" w:rsidR="00E72958" w:rsidRPr="00E72958" w:rsidRDefault="00E72958" w:rsidP="008506C9">
      <w:pPr>
        <w:spacing w:line="480" w:lineRule="auto"/>
        <w:rPr>
          <w:rFonts w:ascii="Times New Roman" w:hAnsi="Times New Roman" w:cs="Times New Roman"/>
          <w:b/>
          <w:bCs/>
        </w:rPr>
      </w:pPr>
      <w:r w:rsidRPr="00E72958">
        <w:rPr>
          <w:rFonts w:ascii="Times New Roman" w:hAnsi="Times New Roman" w:cs="Times New Roman"/>
          <w:b/>
          <w:bCs/>
        </w:rPr>
        <w:lastRenderedPageBreak/>
        <w:t xml:space="preserve">References </w:t>
      </w:r>
    </w:p>
    <w:p w14:paraId="5A0CB254" w14:textId="77777777" w:rsidR="00E72958" w:rsidRPr="00E72958" w:rsidRDefault="00E72958" w:rsidP="00E72958">
      <w:pPr>
        <w:spacing w:line="480" w:lineRule="auto"/>
        <w:rPr>
          <w:rFonts w:ascii="Times New Roman" w:hAnsi="Times New Roman" w:cs="Times New Roman"/>
        </w:rPr>
      </w:pPr>
      <w:r w:rsidRPr="00E72958">
        <w:rPr>
          <w:rFonts w:ascii="Times New Roman" w:hAnsi="Times New Roman" w:cs="Times New Roman"/>
        </w:rPr>
        <w:t xml:space="preserve">Bahar, U. (2025). Transforming urban retail environments: A strategic framework for digital-age regeneration. </w:t>
      </w:r>
      <w:r w:rsidRPr="00E72958">
        <w:rPr>
          <w:rFonts w:ascii="Times New Roman" w:hAnsi="Times New Roman" w:cs="Times New Roman"/>
          <w:i/>
          <w:iCs/>
        </w:rPr>
        <w:t>Journal of Urban Regeneration &amp; Renewal, 18</w:t>
      </w:r>
      <w:r w:rsidRPr="00E72958">
        <w:rPr>
          <w:rFonts w:ascii="Times New Roman" w:hAnsi="Times New Roman" w:cs="Times New Roman"/>
        </w:rPr>
        <w:t>(3), 239–251.</w:t>
      </w:r>
    </w:p>
    <w:p w14:paraId="1C3753C7" w14:textId="77777777" w:rsidR="00E72958" w:rsidRPr="00E72958" w:rsidRDefault="00E72958" w:rsidP="00E72958">
      <w:pPr>
        <w:spacing w:line="480" w:lineRule="auto"/>
        <w:rPr>
          <w:rFonts w:ascii="Times New Roman" w:hAnsi="Times New Roman" w:cs="Times New Roman"/>
        </w:rPr>
      </w:pPr>
      <w:proofErr w:type="spellStart"/>
      <w:r w:rsidRPr="00E72958">
        <w:rPr>
          <w:rFonts w:ascii="Times New Roman" w:hAnsi="Times New Roman" w:cs="Times New Roman"/>
        </w:rPr>
        <w:t>Cheshmehzangi</w:t>
      </w:r>
      <w:proofErr w:type="spellEnd"/>
      <w:r w:rsidRPr="00E72958">
        <w:rPr>
          <w:rFonts w:ascii="Times New Roman" w:hAnsi="Times New Roman" w:cs="Times New Roman"/>
        </w:rPr>
        <w:t>, A., &amp; Munday, R. (2022). From global to local: The case of migration and urban identity for regenerative city transformations.</w:t>
      </w:r>
      <w:r w:rsidRPr="00E72958">
        <w:rPr>
          <w:rFonts w:ascii="Times New Roman" w:hAnsi="Times New Roman" w:cs="Times New Roman"/>
          <w:i/>
          <w:iCs/>
        </w:rPr>
        <w:t xml:space="preserve"> Journal of Urban Regeneration &amp; Renewal, 15</w:t>
      </w:r>
      <w:r w:rsidRPr="00E72958">
        <w:rPr>
          <w:rFonts w:ascii="Times New Roman" w:hAnsi="Times New Roman" w:cs="Times New Roman"/>
        </w:rPr>
        <w:t>(3), 308–324.</w:t>
      </w:r>
    </w:p>
    <w:p w14:paraId="38D4F36D" w14:textId="77777777" w:rsidR="00E72958" w:rsidRPr="00E72958" w:rsidRDefault="00E72958" w:rsidP="00E72958">
      <w:pPr>
        <w:spacing w:line="480" w:lineRule="auto"/>
        <w:rPr>
          <w:rFonts w:ascii="Times New Roman" w:hAnsi="Times New Roman" w:cs="Times New Roman"/>
        </w:rPr>
      </w:pPr>
      <w:proofErr w:type="spellStart"/>
      <w:r w:rsidRPr="00E72958">
        <w:rPr>
          <w:rFonts w:ascii="Times New Roman" w:hAnsi="Times New Roman" w:cs="Times New Roman"/>
        </w:rPr>
        <w:t>Cysek</w:t>
      </w:r>
      <w:proofErr w:type="spellEnd"/>
      <w:r w:rsidRPr="00E72958">
        <w:rPr>
          <w:rFonts w:ascii="Times New Roman" w:hAnsi="Times New Roman" w:cs="Times New Roman"/>
        </w:rPr>
        <w:t xml:space="preserve">-Pawlak, M., </w:t>
      </w:r>
      <w:proofErr w:type="spellStart"/>
      <w:r w:rsidRPr="00E72958">
        <w:rPr>
          <w:rFonts w:ascii="Times New Roman" w:hAnsi="Times New Roman" w:cs="Times New Roman"/>
        </w:rPr>
        <w:t>Krzysztofik</w:t>
      </w:r>
      <w:proofErr w:type="spellEnd"/>
      <w:r w:rsidRPr="00E72958">
        <w:rPr>
          <w:rFonts w:ascii="Times New Roman" w:hAnsi="Times New Roman" w:cs="Times New Roman"/>
        </w:rPr>
        <w:t xml:space="preserve">, S., &amp; Makowski, A. (2022). Urban regeneration and urban resilience planning through connectivity. </w:t>
      </w:r>
      <w:r w:rsidRPr="00E72958">
        <w:rPr>
          <w:rFonts w:ascii="Times New Roman" w:hAnsi="Times New Roman" w:cs="Times New Roman"/>
          <w:i/>
          <w:iCs/>
        </w:rPr>
        <w:t>European Spatial Research and Policy, 29</w:t>
      </w:r>
      <w:r w:rsidRPr="00E72958">
        <w:rPr>
          <w:rFonts w:ascii="Times New Roman" w:hAnsi="Times New Roman" w:cs="Times New Roman"/>
        </w:rPr>
        <w:t>(1), 111–133.</w:t>
      </w:r>
    </w:p>
    <w:p w14:paraId="6AC79553" w14:textId="77777777" w:rsidR="00E72958" w:rsidRPr="00E72958" w:rsidRDefault="00E72958" w:rsidP="00E72958">
      <w:pPr>
        <w:spacing w:line="480" w:lineRule="auto"/>
        <w:rPr>
          <w:rFonts w:ascii="Times New Roman" w:hAnsi="Times New Roman" w:cs="Times New Roman"/>
        </w:rPr>
      </w:pPr>
      <w:r w:rsidRPr="00E72958">
        <w:rPr>
          <w:rFonts w:ascii="Times New Roman" w:hAnsi="Times New Roman" w:cs="Times New Roman"/>
        </w:rPr>
        <w:t xml:space="preserve">Earley, A. (2025). Achieving urban regeneration without gentrification? </w:t>
      </w:r>
      <w:r w:rsidRPr="00E72958">
        <w:rPr>
          <w:rFonts w:ascii="Times New Roman" w:hAnsi="Times New Roman" w:cs="Times New Roman"/>
          <w:i/>
          <w:iCs/>
        </w:rPr>
        <w:t>Journal of Urban Affairs, 47</w:t>
      </w:r>
      <w:r w:rsidRPr="00E72958">
        <w:rPr>
          <w:rFonts w:ascii="Times New Roman" w:hAnsi="Times New Roman" w:cs="Times New Roman"/>
        </w:rPr>
        <w:t>(4), 1125–1148.</w:t>
      </w:r>
    </w:p>
    <w:p w14:paraId="14F7DE72" w14:textId="77777777" w:rsidR="00E72958" w:rsidRPr="00E72958" w:rsidRDefault="00E72958" w:rsidP="00E72958">
      <w:pPr>
        <w:spacing w:line="480" w:lineRule="auto"/>
        <w:rPr>
          <w:rFonts w:ascii="Times New Roman" w:hAnsi="Times New Roman" w:cs="Times New Roman"/>
        </w:rPr>
      </w:pPr>
      <w:r w:rsidRPr="00E72958">
        <w:rPr>
          <w:rFonts w:ascii="Times New Roman" w:hAnsi="Times New Roman" w:cs="Times New Roman"/>
        </w:rPr>
        <w:t xml:space="preserve">Evans, C., &amp; Saunders, O. (2015). A world of copper. </w:t>
      </w:r>
      <w:r w:rsidRPr="00E72958">
        <w:rPr>
          <w:rFonts w:ascii="Times New Roman" w:hAnsi="Times New Roman" w:cs="Times New Roman"/>
          <w:i/>
          <w:iCs/>
        </w:rPr>
        <w:t>Journal of Global History, 10</w:t>
      </w:r>
      <w:r w:rsidRPr="00E72958">
        <w:rPr>
          <w:rFonts w:ascii="Times New Roman" w:hAnsi="Times New Roman" w:cs="Times New Roman"/>
        </w:rPr>
        <w:t>(1), 3–26.</w:t>
      </w:r>
    </w:p>
    <w:p w14:paraId="7A5EB989" w14:textId="6915702B" w:rsidR="00E72958" w:rsidRPr="00E72958" w:rsidRDefault="00E72958" w:rsidP="00E72958">
      <w:pPr>
        <w:spacing w:line="480" w:lineRule="auto"/>
        <w:rPr>
          <w:rFonts w:ascii="Times New Roman" w:hAnsi="Times New Roman" w:cs="Times New Roman"/>
        </w:rPr>
      </w:pPr>
      <w:r w:rsidRPr="00E72958">
        <w:rPr>
          <w:rFonts w:ascii="Times New Roman" w:hAnsi="Times New Roman" w:cs="Times New Roman"/>
        </w:rPr>
        <w:t xml:space="preserve">Ge, T., Hou, W., &amp; Xiao, Y. (2023). Study on </w:t>
      </w:r>
      <w:r>
        <w:rPr>
          <w:rFonts w:ascii="Times New Roman" w:hAnsi="Times New Roman" w:cs="Times New Roman"/>
        </w:rPr>
        <w:t xml:space="preserve">the </w:t>
      </w:r>
      <w:r w:rsidRPr="00E72958">
        <w:rPr>
          <w:rFonts w:ascii="Times New Roman" w:hAnsi="Times New Roman" w:cs="Times New Roman"/>
        </w:rPr>
        <w:t xml:space="preserve">regeneration of </w:t>
      </w:r>
      <w:r>
        <w:rPr>
          <w:rFonts w:ascii="Times New Roman" w:hAnsi="Times New Roman" w:cs="Times New Roman"/>
        </w:rPr>
        <w:t xml:space="preserve">the </w:t>
      </w:r>
      <w:r w:rsidRPr="00E72958">
        <w:rPr>
          <w:rFonts w:ascii="Times New Roman" w:hAnsi="Times New Roman" w:cs="Times New Roman"/>
        </w:rPr>
        <w:t xml:space="preserve">city centre spatial structure </w:t>
      </w:r>
      <w:r>
        <w:rPr>
          <w:rFonts w:ascii="Times New Roman" w:hAnsi="Times New Roman" w:cs="Times New Roman"/>
        </w:rPr>
        <w:t xml:space="preserve">through </w:t>
      </w:r>
      <w:r w:rsidRPr="00E72958">
        <w:rPr>
          <w:rFonts w:ascii="Times New Roman" w:hAnsi="Times New Roman" w:cs="Times New Roman"/>
        </w:rPr>
        <w:t xml:space="preserve">pedestrianisation. </w:t>
      </w:r>
      <w:r w:rsidRPr="00E72958">
        <w:rPr>
          <w:rFonts w:ascii="Times New Roman" w:hAnsi="Times New Roman" w:cs="Times New Roman"/>
          <w:i/>
          <w:iCs/>
        </w:rPr>
        <w:t>Land, 12</w:t>
      </w:r>
      <w:r w:rsidRPr="00E72958">
        <w:rPr>
          <w:rFonts w:ascii="Times New Roman" w:hAnsi="Times New Roman" w:cs="Times New Roman"/>
        </w:rPr>
        <w:t>(6), 1183.</w:t>
      </w:r>
    </w:p>
    <w:p w14:paraId="7BD6FD55" w14:textId="77777777" w:rsidR="00E72958" w:rsidRPr="00E72958" w:rsidRDefault="00E72958" w:rsidP="00E72958">
      <w:pPr>
        <w:spacing w:line="480" w:lineRule="auto"/>
        <w:rPr>
          <w:rFonts w:ascii="Times New Roman" w:hAnsi="Times New Roman" w:cs="Times New Roman"/>
        </w:rPr>
      </w:pPr>
      <w:r w:rsidRPr="00E72958">
        <w:rPr>
          <w:rFonts w:ascii="Times New Roman" w:hAnsi="Times New Roman" w:cs="Times New Roman"/>
        </w:rPr>
        <w:t xml:space="preserve">Hughes, S. (2008). The characteristics of extractive and smelting landscapes at Swansea. </w:t>
      </w:r>
      <w:r w:rsidRPr="00E72958">
        <w:rPr>
          <w:rFonts w:ascii="Times New Roman" w:hAnsi="Times New Roman" w:cs="Times New Roman"/>
          <w:i/>
          <w:iCs/>
        </w:rPr>
        <w:t>Landscape History, 30</w:t>
      </w:r>
      <w:r w:rsidRPr="00E72958">
        <w:rPr>
          <w:rFonts w:ascii="Times New Roman" w:hAnsi="Times New Roman" w:cs="Times New Roman"/>
        </w:rPr>
        <w:t>(1), 21–47.</w:t>
      </w:r>
    </w:p>
    <w:p w14:paraId="7EA852F4" w14:textId="77777777" w:rsidR="00E72958" w:rsidRPr="00E72958" w:rsidRDefault="00E72958" w:rsidP="00E72958">
      <w:pPr>
        <w:spacing w:line="480" w:lineRule="auto"/>
        <w:rPr>
          <w:rFonts w:ascii="Times New Roman" w:hAnsi="Times New Roman" w:cs="Times New Roman"/>
        </w:rPr>
      </w:pPr>
      <w:r w:rsidRPr="00E72958">
        <w:rPr>
          <w:rFonts w:ascii="Times New Roman" w:hAnsi="Times New Roman" w:cs="Times New Roman"/>
        </w:rPr>
        <w:t xml:space="preserve">Jones, P., &amp; Evans, J. (2012). Rescue geography: Place making, affect and regeneration. </w:t>
      </w:r>
      <w:r w:rsidRPr="00E72958">
        <w:rPr>
          <w:rFonts w:ascii="Times New Roman" w:hAnsi="Times New Roman" w:cs="Times New Roman"/>
          <w:i/>
          <w:iCs/>
        </w:rPr>
        <w:t>Urban Studies, 49</w:t>
      </w:r>
      <w:r w:rsidRPr="00E72958">
        <w:rPr>
          <w:rFonts w:ascii="Times New Roman" w:hAnsi="Times New Roman" w:cs="Times New Roman"/>
        </w:rPr>
        <w:t>(11), 2315–2330.</w:t>
      </w:r>
    </w:p>
    <w:p w14:paraId="3C3299DE" w14:textId="77777777" w:rsidR="00E72958" w:rsidRPr="00E72958" w:rsidRDefault="00E72958" w:rsidP="00E72958">
      <w:pPr>
        <w:spacing w:line="480" w:lineRule="auto"/>
        <w:rPr>
          <w:rFonts w:ascii="Times New Roman" w:hAnsi="Times New Roman" w:cs="Times New Roman"/>
        </w:rPr>
      </w:pPr>
      <w:r w:rsidRPr="00E72958">
        <w:rPr>
          <w:rFonts w:ascii="Times New Roman" w:hAnsi="Times New Roman" w:cs="Times New Roman"/>
        </w:rPr>
        <w:t xml:space="preserve">May, S. (2023). Heritage-led regeneration and the sanitisation of memory. In </w:t>
      </w:r>
      <w:r w:rsidRPr="00E72958">
        <w:rPr>
          <w:rFonts w:ascii="Times New Roman" w:hAnsi="Times New Roman" w:cs="Times New Roman"/>
          <w:i/>
          <w:iCs/>
        </w:rPr>
        <w:t>Toxic Heritage</w:t>
      </w:r>
      <w:r w:rsidRPr="00E72958">
        <w:rPr>
          <w:rFonts w:ascii="Times New Roman" w:hAnsi="Times New Roman" w:cs="Times New Roman"/>
        </w:rPr>
        <w:t xml:space="preserve"> (pp. 77–88). Routledge.</w:t>
      </w:r>
    </w:p>
    <w:p w14:paraId="7F015DA2" w14:textId="77777777" w:rsidR="00E72958" w:rsidRDefault="00E72958" w:rsidP="00E72958">
      <w:pPr>
        <w:spacing w:line="480" w:lineRule="auto"/>
        <w:rPr>
          <w:rFonts w:ascii="Times New Roman" w:hAnsi="Times New Roman" w:cs="Times New Roman"/>
        </w:rPr>
      </w:pPr>
      <w:r w:rsidRPr="00E72958">
        <w:rPr>
          <w:rFonts w:ascii="Times New Roman" w:hAnsi="Times New Roman" w:cs="Times New Roman"/>
        </w:rPr>
        <w:t xml:space="preserve">Newell, E. (1990). “Copperopolis”: The rise and fall of the copper industry. </w:t>
      </w:r>
      <w:r w:rsidRPr="00E72958">
        <w:rPr>
          <w:rFonts w:ascii="Times New Roman" w:hAnsi="Times New Roman" w:cs="Times New Roman"/>
          <w:i/>
          <w:iCs/>
        </w:rPr>
        <w:t>Business History, 32</w:t>
      </w:r>
      <w:r w:rsidRPr="00E72958">
        <w:rPr>
          <w:rFonts w:ascii="Times New Roman" w:hAnsi="Times New Roman" w:cs="Times New Roman"/>
        </w:rPr>
        <w:t>(3), 75–97.</w:t>
      </w:r>
    </w:p>
    <w:p w14:paraId="06045DF7" w14:textId="5C27D41E" w:rsidR="00E72958" w:rsidRPr="00E72958" w:rsidRDefault="00E72958" w:rsidP="00E72958">
      <w:pPr>
        <w:spacing w:line="480" w:lineRule="auto"/>
        <w:rPr>
          <w:rFonts w:ascii="Times New Roman" w:hAnsi="Times New Roman" w:cs="Times New Roman"/>
        </w:rPr>
      </w:pPr>
      <w:r w:rsidRPr="00E72958">
        <w:rPr>
          <w:rFonts w:ascii="Times New Roman" w:hAnsi="Times New Roman" w:cs="Times New Roman"/>
        </w:rPr>
        <w:lastRenderedPageBreak/>
        <w:t xml:space="preserve">Park, E. J., Kang, E., &amp; Shin, Y. J. (2025). </w:t>
      </w:r>
      <w:r w:rsidRPr="00E72958">
        <w:rPr>
          <w:rFonts w:ascii="Times New Roman" w:hAnsi="Times New Roman" w:cs="Times New Roman"/>
          <w:i/>
          <w:iCs/>
        </w:rPr>
        <w:t>Urban regeneration and community participation</w:t>
      </w:r>
      <w:r w:rsidRPr="00E72958">
        <w:rPr>
          <w:rFonts w:ascii="Times New Roman" w:hAnsi="Times New Roman" w:cs="Times New Roman"/>
        </w:rPr>
        <w:t>. Open House International.</w:t>
      </w:r>
    </w:p>
    <w:p w14:paraId="34BA2807" w14:textId="77777777" w:rsidR="00E72958" w:rsidRPr="00E72958" w:rsidRDefault="00E72958" w:rsidP="00E72958">
      <w:pPr>
        <w:spacing w:line="480" w:lineRule="auto"/>
        <w:rPr>
          <w:rFonts w:ascii="Times New Roman" w:hAnsi="Times New Roman" w:cs="Times New Roman"/>
        </w:rPr>
      </w:pPr>
      <w:r w:rsidRPr="00E72958">
        <w:rPr>
          <w:rFonts w:ascii="Times New Roman" w:hAnsi="Times New Roman" w:cs="Times New Roman"/>
        </w:rPr>
        <w:t xml:space="preserve">Phillipson, C. (2025). </w:t>
      </w:r>
      <w:r w:rsidRPr="00E72958">
        <w:rPr>
          <w:rFonts w:ascii="Times New Roman" w:hAnsi="Times New Roman" w:cs="Times New Roman"/>
          <w:i/>
          <w:iCs/>
        </w:rPr>
        <w:t>Neighbourhood regeneration and social exclusion. Quality in Ageing and Older Adults</w:t>
      </w:r>
      <w:r w:rsidRPr="00E72958">
        <w:rPr>
          <w:rFonts w:ascii="Times New Roman" w:hAnsi="Times New Roman" w:cs="Times New Roman"/>
        </w:rPr>
        <w:t>, 1–11.</w:t>
      </w:r>
    </w:p>
    <w:p w14:paraId="2AF80E8E" w14:textId="77777777" w:rsidR="00E72958" w:rsidRPr="00E72958" w:rsidRDefault="00E72958" w:rsidP="00E72958">
      <w:pPr>
        <w:spacing w:line="480" w:lineRule="auto"/>
        <w:rPr>
          <w:rFonts w:ascii="Times New Roman" w:hAnsi="Times New Roman" w:cs="Times New Roman"/>
        </w:rPr>
      </w:pPr>
      <w:proofErr w:type="spellStart"/>
      <w:r w:rsidRPr="00E72958">
        <w:rPr>
          <w:rFonts w:ascii="Times New Roman" w:hAnsi="Times New Roman" w:cs="Times New Roman"/>
        </w:rPr>
        <w:t>Ravagnan</w:t>
      </w:r>
      <w:proofErr w:type="spellEnd"/>
      <w:r w:rsidRPr="00E72958">
        <w:rPr>
          <w:rFonts w:ascii="Times New Roman" w:hAnsi="Times New Roman" w:cs="Times New Roman"/>
        </w:rPr>
        <w:t xml:space="preserve">, C., Rossi, F., &amp; </w:t>
      </w:r>
      <w:proofErr w:type="spellStart"/>
      <w:r w:rsidRPr="00E72958">
        <w:rPr>
          <w:rFonts w:ascii="Times New Roman" w:hAnsi="Times New Roman" w:cs="Times New Roman"/>
        </w:rPr>
        <w:t>Amiriaref</w:t>
      </w:r>
      <w:proofErr w:type="spellEnd"/>
      <w:r w:rsidRPr="00E72958">
        <w:rPr>
          <w:rFonts w:ascii="Times New Roman" w:hAnsi="Times New Roman" w:cs="Times New Roman"/>
        </w:rPr>
        <w:t xml:space="preserve">, M. (2022). Sustainable mobility and resilient urban spaces. </w:t>
      </w:r>
      <w:r w:rsidRPr="00E72958">
        <w:rPr>
          <w:rFonts w:ascii="Times New Roman" w:hAnsi="Times New Roman" w:cs="Times New Roman"/>
          <w:i/>
          <w:iCs/>
        </w:rPr>
        <w:t>Transportation Research Procedia</w:t>
      </w:r>
      <w:r w:rsidRPr="00E72958">
        <w:rPr>
          <w:rFonts w:ascii="Times New Roman" w:hAnsi="Times New Roman" w:cs="Times New Roman"/>
        </w:rPr>
        <w:t>, 60, 164–171.</w:t>
      </w:r>
    </w:p>
    <w:p w14:paraId="549F8F04" w14:textId="77777777" w:rsidR="00E72958" w:rsidRPr="00E72958" w:rsidRDefault="00E72958" w:rsidP="00E72958">
      <w:pPr>
        <w:spacing w:line="480" w:lineRule="auto"/>
        <w:rPr>
          <w:rFonts w:ascii="Times New Roman" w:hAnsi="Times New Roman" w:cs="Times New Roman"/>
        </w:rPr>
      </w:pPr>
      <w:r w:rsidRPr="00E72958">
        <w:rPr>
          <w:rFonts w:ascii="Times New Roman" w:hAnsi="Times New Roman" w:cs="Times New Roman"/>
        </w:rPr>
        <w:t xml:space="preserve">Roberts, M. (2024). Night-time and strategies for regeneration. </w:t>
      </w:r>
      <w:r w:rsidRPr="00E72958">
        <w:rPr>
          <w:rFonts w:ascii="Times New Roman" w:hAnsi="Times New Roman" w:cs="Times New Roman"/>
          <w:i/>
          <w:iCs/>
        </w:rPr>
        <w:t>Journal of Urban Design, 29</w:t>
      </w:r>
      <w:r w:rsidRPr="00E72958">
        <w:rPr>
          <w:rFonts w:ascii="Times New Roman" w:hAnsi="Times New Roman" w:cs="Times New Roman"/>
        </w:rPr>
        <w:t>(5), 517–535.</w:t>
      </w:r>
    </w:p>
    <w:p w14:paraId="5DCD1292" w14:textId="77777777" w:rsidR="00E72958" w:rsidRPr="00E72958" w:rsidRDefault="00E72958" w:rsidP="00E72958">
      <w:pPr>
        <w:spacing w:line="480" w:lineRule="auto"/>
        <w:rPr>
          <w:rFonts w:ascii="Times New Roman" w:hAnsi="Times New Roman" w:cs="Times New Roman"/>
        </w:rPr>
      </w:pPr>
      <w:r w:rsidRPr="00E72958">
        <w:rPr>
          <w:rFonts w:ascii="Times New Roman" w:hAnsi="Times New Roman" w:cs="Times New Roman"/>
        </w:rPr>
        <w:t xml:space="preserve">Said, Z. M., &amp; Dindar, S. (2024). Sustainable urban regeneration evaluation. </w:t>
      </w:r>
      <w:r w:rsidRPr="00E72958">
        <w:rPr>
          <w:rFonts w:ascii="Times New Roman" w:hAnsi="Times New Roman" w:cs="Times New Roman"/>
          <w:i/>
          <w:iCs/>
        </w:rPr>
        <w:t>Sustainability, 16</w:t>
      </w:r>
      <w:r w:rsidRPr="00E72958">
        <w:rPr>
          <w:rFonts w:ascii="Times New Roman" w:hAnsi="Times New Roman" w:cs="Times New Roman"/>
        </w:rPr>
        <w:t>(22), 9903.</w:t>
      </w:r>
    </w:p>
    <w:p w14:paraId="1AF9E34A" w14:textId="3F3473E0" w:rsidR="00E72958" w:rsidRPr="00E72958" w:rsidRDefault="00E72958" w:rsidP="00E72958">
      <w:pPr>
        <w:spacing w:line="480" w:lineRule="auto"/>
        <w:rPr>
          <w:rFonts w:ascii="Times New Roman" w:hAnsi="Times New Roman" w:cs="Times New Roman"/>
        </w:rPr>
      </w:pPr>
      <w:r w:rsidRPr="00E72958">
        <w:rPr>
          <w:rFonts w:ascii="Times New Roman" w:hAnsi="Times New Roman" w:cs="Times New Roman"/>
        </w:rPr>
        <w:t xml:space="preserve">Swansea Council. (2025a). Local Development Plan 2 Preferred Strategy. </w:t>
      </w:r>
      <w:hyperlink r:id="rId7" w:history="1">
        <w:r w:rsidRPr="00895168">
          <w:rPr>
            <w:rStyle w:val="Hyperlink"/>
            <w:rFonts w:ascii="Times New Roman" w:hAnsi="Times New Roman" w:cs="Times New Roman"/>
          </w:rPr>
          <w:t>https://www.swansea.gov.uk/article/30549/LDP2-Pre-Deposit-Plan-Preferred-strategy</w:t>
        </w:r>
      </w:hyperlink>
      <w:r>
        <w:rPr>
          <w:rFonts w:ascii="Times New Roman" w:hAnsi="Times New Roman" w:cs="Times New Roman"/>
        </w:rPr>
        <w:t xml:space="preserve"> </w:t>
      </w:r>
    </w:p>
    <w:p w14:paraId="042EA4F5" w14:textId="269FF2E9" w:rsidR="00E72958" w:rsidRPr="00E72958" w:rsidRDefault="00E72958" w:rsidP="00E72958">
      <w:pPr>
        <w:spacing w:line="480" w:lineRule="auto"/>
        <w:rPr>
          <w:rFonts w:ascii="Times New Roman" w:hAnsi="Times New Roman" w:cs="Times New Roman"/>
        </w:rPr>
      </w:pPr>
      <w:r w:rsidRPr="00E72958">
        <w:rPr>
          <w:rFonts w:ascii="Times New Roman" w:hAnsi="Times New Roman" w:cs="Times New Roman"/>
        </w:rPr>
        <w:t xml:space="preserve">Swansea Council. (2025b). Future Swansea placemaking plan materials. </w:t>
      </w:r>
      <w:hyperlink r:id="rId8" w:history="1">
        <w:r w:rsidRPr="00895168">
          <w:rPr>
            <w:rStyle w:val="Hyperlink"/>
            <w:rFonts w:ascii="Times New Roman" w:hAnsi="Times New Roman" w:cs="Times New Roman"/>
          </w:rPr>
          <w:t>https://democracy.swansea.gov.uk/documents/s113304/Pacemaking%20Plan.pdf</w:t>
        </w:r>
      </w:hyperlink>
      <w:r>
        <w:rPr>
          <w:rFonts w:ascii="Times New Roman" w:hAnsi="Times New Roman" w:cs="Times New Roman"/>
        </w:rPr>
        <w:t xml:space="preserve"> </w:t>
      </w:r>
    </w:p>
    <w:p w14:paraId="37BD28E6" w14:textId="660B8025" w:rsidR="00E72958" w:rsidRPr="008506C9" w:rsidRDefault="00E72958" w:rsidP="00E72958">
      <w:pPr>
        <w:spacing w:line="480" w:lineRule="auto"/>
        <w:rPr>
          <w:rFonts w:ascii="Times New Roman" w:hAnsi="Times New Roman" w:cs="Times New Roman"/>
        </w:rPr>
      </w:pPr>
      <w:r w:rsidRPr="00E72958">
        <w:rPr>
          <w:rFonts w:ascii="Times New Roman" w:hAnsi="Times New Roman" w:cs="Times New Roman"/>
        </w:rPr>
        <w:t xml:space="preserve">Tate, C., O’Neill, C., Tran, N., Heron, L., Kee, F., Tully, M. A., &amp; Hunter, R. F. (2023). Social return on investment of urban regeneration. </w:t>
      </w:r>
      <w:r w:rsidRPr="00E72958">
        <w:rPr>
          <w:rFonts w:ascii="Times New Roman" w:hAnsi="Times New Roman" w:cs="Times New Roman"/>
          <w:i/>
          <w:iCs/>
        </w:rPr>
        <w:t>Cities &amp; Health, 7</w:t>
      </w:r>
      <w:r w:rsidRPr="00E72958">
        <w:rPr>
          <w:rFonts w:ascii="Times New Roman" w:hAnsi="Times New Roman" w:cs="Times New Roman"/>
        </w:rPr>
        <w:t>(5), 699–718.</w:t>
      </w:r>
    </w:p>
    <w:sectPr w:rsidR="00E72958" w:rsidRPr="008506C9" w:rsidSect="00E7295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136EBC" w14:textId="77777777" w:rsidR="00A60056" w:rsidRDefault="00A60056" w:rsidP="00E72958">
      <w:pPr>
        <w:spacing w:after="0" w:line="240" w:lineRule="auto"/>
      </w:pPr>
      <w:r>
        <w:separator/>
      </w:r>
    </w:p>
  </w:endnote>
  <w:endnote w:type="continuationSeparator" w:id="0">
    <w:p w14:paraId="12ABDD92" w14:textId="77777777" w:rsidR="00A60056" w:rsidRDefault="00A60056" w:rsidP="00E729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474579"/>
      <w:docPartObj>
        <w:docPartGallery w:val="Page Numbers (Bottom of Page)"/>
        <w:docPartUnique/>
      </w:docPartObj>
    </w:sdtPr>
    <w:sdtEndPr>
      <w:rPr>
        <w:color w:val="7F7F7F" w:themeColor="background1" w:themeShade="7F"/>
        <w:spacing w:val="60"/>
      </w:rPr>
    </w:sdtEndPr>
    <w:sdtContent>
      <w:p w14:paraId="422840E9" w14:textId="353E151C" w:rsidR="00E72958" w:rsidRDefault="00E7295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2C8D1C1" w14:textId="77777777" w:rsidR="00E72958" w:rsidRDefault="00E729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ED4BF5" w14:textId="77777777" w:rsidR="00A60056" w:rsidRDefault="00A60056" w:rsidP="00E72958">
      <w:pPr>
        <w:spacing w:after="0" w:line="240" w:lineRule="auto"/>
      </w:pPr>
      <w:r>
        <w:separator/>
      </w:r>
    </w:p>
  </w:footnote>
  <w:footnote w:type="continuationSeparator" w:id="0">
    <w:p w14:paraId="52C89BDF" w14:textId="77777777" w:rsidR="00A60056" w:rsidRDefault="00A60056" w:rsidP="00E729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A78DE"/>
    <w:multiLevelType w:val="hybridMultilevel"/>
    <w:tmpl w:val="6ECACF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F030C4"/>
    <w:multiLevelType w:val="hybridMultilevel"/>
    <w:tmpl w:val="83109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4515065">
    <w:abstractNumId w:val="0"/>
  </w:num>
  <w:num w:numId="2" w16cid:durableId="13533847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6C9"/>
    <w:rsid w:val="000C41B7"/>
    <w:rsid w:val="008506C9"/>
    <w:rsid w:val="00A60056"/>
    <w:rsid w:val="00E72958"/>
    <w:rsid w:val="00F20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E003C"/>
  <w15:chartTrackingRefBased/>
  <w15:docId w15:val="{54AE3445-1F6A-4A78-BEF8-6C7989B52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6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06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06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06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06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06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06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06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06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6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06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06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06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06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06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06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06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06C9"/>
    <w:rPr>
      <w:rFonts w:eastAsiaTheme="majorEastAsia" w:cstheme="majorBidi"/>
      <w:color w:val="272727" w:themeColor="text1" w:themeTint="D8"/>
    </w:rPr>
  </w:style>
  <w:style w:type="paragraph" w:styleId="Title">
    <w:name w:val="Title"/>
    <w:basedOn w:val="Normal"/>
    <w:next w:val="Normal"/>
    <w:link w:val="TitleChar"/>
    <w:uiPriority w:val="10"/>
    <w:qFormat/>
    <w:rsid w:val="008506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6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06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06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06C9"/>
    <w:pPr>
      <w:spacing w:before="160"/>
      <w:jc w:val="center"/>
    </w:pPr>
    <w:rPr>
      <w:i/>
      <w:iCs/>
      <w:color w:val="404040" w:themeColor="text1" w:themeTint="BF"/>
    </w:rPr>
  </w:style>
  <w:style w:type="character" w:customStyle="1" w:styleId="QuoteChar">
    <w:name w:val="Quote Char"/>
    <w:basedOn w:val="DefaultParagraphFont"/>
    <w:link w:val="Quote"/>
    <w:uiPriority w:val="29"/>
    <w:rsid w:val="008506C9"/>
    <w:rPr>
      <w:i/>
      <w:iCs/>
      <w:color w:val="404040" w:themeColor="text1" w:themeTint="BF"/>
    </w:rPr>
  </w:style>
  <w:style w:type="paragraph" w:styleId="ListParagraph">
    <w:name w:val="List Paragraph"/>
    <w:basedOn w:val="Normal"/>
    <w:uiPriority w:val="34"/>
    <w:qFormat/>
    <w:rsid w:val="008506C9"/>
    <w:pPr>
      <w:ind w:left="720"/>
      <w:contextualSpacing/>
    </w:pPr>
  </w:style>
  <w:style w:type="character" w:styleId="IntenseEmphasis">
    <w:name w:val="Intense Emphasis"/>
    <w:basedOn w:val="DefaultParagraphFont"/>
    <w:uiPriority w:val="21"/>
    <w:qFormat/>
    <w:rsid w:val="008506C9"/>
    <w:rPr>
      <w:i/>
      <w:iCs/>
      <w:color w:val="0F4761" w:themeColor="accent1" w:themeShade="BF"/>
    </w:rPr>
  </w:style>
  <w:style w:type="paragraph" w:styleId="IntenseQuote">
    <w:name w:val="Intense Quote"/>
    <w:basedOn w:val="Normal"/>
    <w:next w:val="Normal"/>
    <w:link w:val="IntenseQuoteChar"/>
    <w:uiPriority w:val="30"/>
    <w:qFormat/>
    <w:rsid w:val="008506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06C9"/>
    <w:rPr>
      <w:i/>
      <w:iCs/>
      <w:color w:val="0F4761" w:themeColor="accent1" w:themeShade="BF"/>
    </w:rPr>
  </w:style>
  <w:style w:type="character" w:styleId="IntenseReference">
    <w:name w:val="Intense Reference"/>
    <w:basedOn w:val="DefaultParagraphFont"/>
    <w:uiPriority w:val="32"/>
    <w:qFormat/>
    <w:rsid w:val="008506C9"/>
    <w:rPr>
      <w:b/>
      <w:bCs/>
      <w:smallCaps/>
      <w:color w:val="0F4761" w:themeColor="accent1" w:themeShade="BF"/>
      <w:spacing w:val="5"/>
    </w:rPr>
  </w:style>
  <w:style w:type="character" w:styleId="Hyperlink">
    <w:name w:val="Hyperlink"/>
    <w:basedOn w:val="DefaultParagraphFont"/>
    <w:uiPriority w:val="99"/>
    <w:unhideWhenUsed/>
    <w:rsid w:val="00E72958"/>
    <w:rPr>
      <w:color w:val="467886" w:themeColor="hyperlink"/>
      <w:u w:val="single"/>
    </w:rPr>
  </w:style>
  <w:style w:type="character" w:styleId="UnresolvedMention">
    <w:name w:val="Unresolved Mention"/>
    <w:basedOn w:val="DefaultParagraphFont"/>
    <w:uiPriority w:val="99"/>
    <w:semiHidden/>
    <w:unhideWhenUsed/>
    <w:rsid w:val="00E72958"/>
    <w:rPr>
      <w:color w:val="605E5C"/>
      <w:shd w:val="clear" w:color="auto" w:fill="E1DFDD"/>
    </w:rPr>
  </w:style>
  <w:style w:type="paragraph" w:styleId="NoSpacing">
    <w:name w:val="No Spacing"/>
    <w:link w:val="NoSpacingChar"/>
    <w:uiPriority w:val="1"/>
    <w:qFormat/>
    <w:rsid w:val="00E7295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72958"/>
    <w:rPr>
      <w:rFonts w:eastAsiaTheme="minorEastAsia"/>
      <w:kern w:val="0"/>
      <w:sz w:val="22"/>
      <w:szCs w:val="22"/>
      <w:lang w:val="en-US"/>
      <w14:ligatures w14:val="none"/>
    </w:rPr>
  </w:style>
  <w:style w:type="paragraph" w:styleId="Header">
    <w:name w:val="header"/>
    <w:basedOn w:val="Normal"/>
    <w:link w:val="HeaderChar"/>
    <w:uiPriority w:val="99"/>
    <w:unhideWhenUsed/>
    <w:rsid w:val="00E729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958"/>
  </w:style>
  <w:style w:type="paragraph" w:styleId="Footer">
    <w:name w:val="footer"/>
    <w:basedOn w:val="Normal"/>
    <w:link w:val="FooterChar"/>
    <w:uiPriority w:val="99"/>
    <w:unhideWhenUsed/>
    <w:rsid w:val="00E729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9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mocracy.swansea.gov.uk/documents/s113304/Pacemaking%20Plan.pdf" TargetMode="External"/><Relationship Id="rId3" Type="http://schemas.openxmlformats.org/officeDocument/2006/relationships/settings" Target="settings.xml"/><Relationship Id="rId7" Type="http://schemas.openxmlformats.org/officeDocument/2006/relationships/hyperlink" Target="https://www.swansea.gov.uk/article/30549/LDP2-Pre-Deposit-Plan-Preferred-strateg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TotalTime>
  <Pages>12</Pages>
  <Words>2700</Words>
  <Characters>15392</Characters>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2026-04-25T17:18:00Z</dcterms:created>
  <dcterms:modified xsi:type="dcterms:W3CDTF">2026-04-25T17:49:00Z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27abde81-86f2-47df-b6b5-3c6e0e0ab4ca</vt:lpwstr>
  </property>
</Properties>
</file>