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53607024"/>
        <w:docPartObj>
          <w:docPartGallery w:val="Cover Pages"/>
          <w:docPartUnique/>
        </w:docPartObj>
      </w:sdtPr>
      <w:sdtEndPr>
        <w:rPr>
          <w:rStyle w:val="normaltextrun"/>
          <w:rFonts w:ascii="Arial" w:eastAsiaTheme="majorEastAsia" w:hAnsi="Arial" w:cs="Arial"/>
          <w:color w:val="000000"/>
        </w:rPr>
      </w:sdtEndPr>
      <w:sdtContent>
        <w:p w14:paraId="15C41A8C" w14:textId="0ECBFD98" w:rsidR="00C30358" w:rsidRDefault="00C30358">
          <w:r>
            <w:rPr>
              <w:noProof/>
            </w:rPr>
            <mc:AlternateContent>
              <mc:Choice Requires="wpg">
                <w:drawing>
                  <wp:anchor distT="0" distB="0" distL="114300" distR="114300" simplePos="0" relativeHeight="251659264" behindDoc="1" locked="0" layoutInCell="1" allowOverlap="1" wp14:anchorId="1F3B3D1C" wp14:editId="3EA42341">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7F58F73" w14:textId="7DFA6C2C" w:rsidR="00C30358" w:rsidRDefault="00663E98">
                                      <w:pPr>
                                        <w:pStyle w:val="NoSpacing"/>
                                        <w:spacing w:before="120"/>
                                        <w:jc w:val="center"/>
                                        <w:rPr>
                                          <w:color w:val="FFFFFF" w:themeColor="background1"/>
                                        </w:rPr>
                                      </w:pPr>
                                      <w:r w:rsidRPr="00663E98">
                                        <w:rPr>
                                          <w:rFonts w:ascii="Arial" w:hAnsi="Arial" w:cs="Arial"/>
                                          <w:b/>
                                        </w:rPr>
                                        <w:t>BMLW4006</w:t>
                                      </w:r>
                                    </w:p>
                                  </w:sdtContent>
                                </w:sdt>
                                <w:p w14:paraId="528D0A6A" w14:textId="2FDCABCE" w:rsidR="00C30358"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E4243E">
                                        <w:rPr>
                                          <w:caps/>
                                          <w:color w:val="FFFFFF" w:themeColor="background1"/>
                                        </w:rPr>
                                        <w:t>Ffion jones</w:t>
                                      </w:r>
                                    </w:sdtContent>
                                  </w:sdt>
                                  <w:r w:rsidR="00C3035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663E98">
                                        <w:rPr>
                                          <w:color w:val="FFFFFF" w:themeColor="background1"/>
                                        </w:rPr>
                                        <w:t>2305695</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068E44F" w14:textId="205FF7D8" w:rsidR="00C30358" w:rsidRPr="007D60CF" w:rsidRDefault="007D60CF">
                                      <w:pPr>
                                        <w:pStyle w:val="NoSpacing"/>
                                        <w:jc w:val="center"/>
                                        <w:rPr>
                                          <w:rFonts w:asciiTheme="majorHAnsi" w:eastAsiaTheme="majorEastAsia" w:hAnsiTheme="majorHAnsi" w:cstheme="majorBidi"/>
                                          <w:caps/>
                                          <w:color w:val="156082" w:themeColor="accent1"/>
                                          <w:sz w:val="72"/>
                                          <w:szCs w:val="72"/>
                                        </w:rPr>
                                      </w:pPr>
                                      <w:r w:rsidRPr="007D60CF">
                                        <w:rPr>
                                          <w:rFonts w:ascii="Arial" w:hAnsi="Arial" w:cs="Arial"/>
                                          <w:b/>
                                          <w:sz w:val="72"/>
                                          <w:szCs w:val="72"/>
                                        </w:rPr>
                                        <w:t>Holding the UK Government to account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F3B3D1C"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rFonts w:ascii="Arial" w:hAnsi="Arial" w:cs="Arial"/>
                                <w: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7F58F73" w14:textId="7DFA6C2C" w:rsidR="00C30358" w:rsidRDefault="00663E98">
                                <w:pPr>
                                  <w:pStyle w:val="NoSpacing"/>
                                  <w:spacing w:before="120"/>
                                  <w:jc w:val="center"/>
                                  <w:rPr>
                                    <w:color w:val="FFFFFF" w:themeColor="background1"/>
                                  </w:rPr>
                                </w:pPr>
                                <w:r w:rsidRPr="00663E98">
                                  <w:rPr>
                                    <w:rFonts w:ascii="Arial" w:hAnsi="Arial" w:cs="Arial"/>
                                    <w:b/>
                                  </w:rPr>
                                  <w:t>BMLW4006</w:t>
                                </w:r>
                              </w:p>
                            </w:sdtContent>
                          </w:sdt>
                          <w:p w14:paraId="528D0A6A" w14:textId="2FDCABCE" w:rsidR="00C30358"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E4243E">
                                  <w:rPr>
                                    <w:caps/>
                                    <w:color w:val="FFFFFF" w:themeColor="background1"/>
                                  </w:rPr>
                                  <w:t>Ffion jones</w:t>
                                </w:r>
                              </w:sdtContent>
                            </w:sdt>
                            <w:r w:rsidR="00C3035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663E98">
                                  <w:rPr>
                                    <w:color w:val="FFFFFF" w:themeColor="background1"/>
                                  </w:rPr>
                                  <w:t>2305695</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068E44F" w14:textId="205FF7D8" w:rsidR="00C30358" w:rsidRPr="007D60CF" w:rsidRDefault="007D60CF">
                                <w:pPr>
                                  <w:pStyle w:val="NoSpacing"/>
                                  <w:jc w:val="center"/>
                                  <w:rPr>
                                    <w:rFonts w:asciiTheme="majorHAnsi" w:eastAsiaTheme="majorEastAsia" w:hAnsiTheme="majorHAnsi" w:cstheme="majorBidi"/>
                                    <w:caps/>
                                    <w:color w:val="156082" w:themeColor="accent1"/>
                                    <w:sz w:val="72"/>
                                    <w:szCs w:val="72"/>
                                  </w:rPr>
                                </w:pPr>
                                <w:r w:rsidRPr="007D60CF">
                                  <w:rPr>
                                    <w:rFonts w:ascii="Arial" w:hAnsi="Arial" w:cs="Arial"/>
                                    <w:b/>
                                    <w:sz w:val="72"/>
                                    <w:szCs w:val="72"/>
                                  </w:rPr>
                                  <w:t>Holding the UK Government to account</w:t>
                                </w:r>
                              </w:p>
                            </w:sdtContent>
                          </w:sdt>
                        </w:txbxContent>
                      </v:textbox>
                    </v:shape>
                    <w10:wrap anchorx="page" anchory="page"/>
                  </v:group>
                </w:pict>
              </mc:Fallback>
            </mc:AlternateContent>
          </w:r>
        </w:p>
        <w:p w14:paraId="1583A528" w14:textId="39E9446A" w:rsidR="00C30358" w:rsidRDefault="00C30358">
          <w:pPr>
            <w:rPr>
              <w:rStyle w:val="normaltextrun"/>
              <w:rFonts w:ascii="Arial" w:eastAsiaTheme="majorEastAsia" w:hAnsi="Arial" w:cs="Arial"/>
              <w:color w:val="000000"/>
              <w:kern w:val="0"/>
              <w:sz w:val="24"/>
              <w:szCs w:val="24"/>
              <w:lang w:eastAsia="en-GB"/>
              <w14:ligatures w14:val="none"/>
            </w:rPr>
          </w:pPr>
          <w:r>
            <w:rPr>
              <w:rStyle w:val="normaltextrun"/>
              <w:rFonts w:ascii="Arial" w:eastAsiaTheme="majorEastAsia" w:hAnsi="Arial" w:cs="Arial"/>
              <w:color w:val="000000"/>
            </w:rPr>
            <w:br w:type="page"/>
          </w:r>
        </w:p>
      </w:sdtContent>
    </w:sdt>
    <w:p w14:paraId="6537BBA5" w14:textId="2CE98442" w:rsidR="00C30358" w:rsidRDefault="00C30358" w:rsidP="0037089B">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color w:val="000000"/>
        </w:rPr>
        <w:lastRenderedPageBreak/>
        <w:t>According to Allbon et al (2020), the executive in the United Kingdom (UK) is more commonly recognised or known as the ‘government’, is the branch of the constitution that is responsible for forming policy, implementation of policy, and proposing legislation to Parliament. The executive itself is not directly elected and is formed from elected members of Parliament. </w:t>
      </w:r>
      <w:r>
        <w:rPr>
          <w:rStyle w:val="eop"/>
          <w:rFonts w:ascii="Arial" w:eastAsiaTheme="majorEastAsia" w:hAnsi="Arial" w:cs="Arial"/>
          <w:color w:val="000000"/>
        </w:rPr>
        <w:t> </w:t>
      </w:r>
    </w:p>
    <w:p w14:paraId="2626A699"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000000"/>
        </w:rPr>
        <w:t> </w:t>
      </w:r>
    </w:p>
    <w:p w14:paraId="33D20683"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The executive denotes our government and is responsible for forming policy, putting proposals for law to the legislature, and putting laws into effect, The judiciary determines whether laws are being followed and if they have been drawn up accurately. In the UK the legislature is Parliament, which is mainly the House of Commons and the House of Lords (which is made up of peers) both the “houses” of parliament will debate proposals for laws, look at what changes should be made, and pass or reject laws (The British Institute of Human Rights, 2024). </w:t>
      </w:r>
      <w:r>
        <w:rPr>
          <w:rStyle w:val="eop"/>
          <w:rFonts w:ascii="Arial" w:eastAsiaTheme="majorEastAsia" w:hAnsi="Arial" w:cs="Arial"/>
        </w:rPr>
        <w:t> </w:t>
      </w:r>
    </w:p>
    <w:p w14:paraId="1B509BA5"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000000"/>
        </w:rPr>
        <w:t> </w:t>
      </w:r>
    </w:p>
    <w:p w14:paraId="7E6FCA6D"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color w:val="000000"/>
        </w:rPr>
        <w:t xml:space="preserve">Senior members of the government make up the cabinet, these members are secretaries of state from all departments and some other ministers. The body consists of 1 Prime Minister, 23 cabinet ministers, and 101 other minister which makes up 125 ministers in total.  The ministers are selected through the Prime Minister from the elected body, the House of Commons, and the non-elected (but nominated) House of Lords. The </w:t>
      </w:r>
      <w:r>
        <w:rPr>
          <w:rStyle w:val="normaltextrun"/>
          <w:rFonts w:ascii="Arial" w:eastAsiaTheme="majorEastAsia" w:hAnsi="Arial" w:cs="Arial"/>
        </w:rPr>
        <w:t>Prime Minister is the Party leader (of the elected political party with a majority in the House of Commons) and is constitutionally elected by the privy council and appointed by the monarch.</w:t>
      </w:r>
      <w:r>
        <w:rPr>
          <w:rStyle w:val="normaltextrun"/>
          <w:rFonts w:ascii="Arial" w:eastAsiaTheme="majorEastAsia" w:hAnsi="Arial" w:cs="Arial"/>
          <w:color w:val="000000"/>
        </w:rPr>
        <w:t xml:space="preserve"> In relation to the cabinet, members are selected by the Prime Minister, however, are </w:t>
      </w:r>
      <w:r>
        <w:rPr>
          <w:rStyle w:val="normaltextrun"/>
          <w:rFonts w:ascii="Arial" w:eastAsiaTheme="majorEastAsia" w:hAnsi="Arial" w:cs="Arial"/>
        </w:rPr>
        <w:t>constitutionally selected by King. Essentially, it is via the mechanism of the cabinet that the executive run the country and are held to account. </w:t>
      </w:r>
      <w:r>
        <w:rPr>
          <w:rStyle w:val="eop"/>
          <w:rFonts w:ascii="Arial" w:eastAsiaTheme="majorEastAsia" w:hAnsi="Arial" w:cs="Arial"/>
        </w:rPr>
        <w:t> </w:t>
      </w:r>
    </w:p>
    <w:p w14:paraId="21B5AE5C"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000000"/>
        </w:rPr>
        <w:lastRenderedPageBreak/>
        <w:t> </w:t>
      </w:r>
    </w:p>
    <w:p w14:paraId="51EED584"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color w:val="000000"/>
        </w:rPr>
        <w:t xml:space="preserve">Every week during Parliament these members meet to debate and discuss the most significant issues for the government of the time. These members have responsibilities such as managing public affairs and ensuring the implementation of the law. The </w:t>
      </w:r>
      <w:r>
        <w:rPr>
          <w:rStyle w:val="normaltextrun"/>
          <w:rFonts w:ascii="Arial" w:eastAsiaTheme="majorEastAsia" w:hAnsi="Arial" w:cs="Arial"/>
        </w:rPr>
        <w:t>power of government derives from parliament, who are recognised as the supreme law-making body, or the executive. </w:t>
      </w:r>
      <w:r>
        <w:rPr>
          <w:rStyle w:val="eop"/>
          <w:rFonts w:ascii="Arial" w:eastAsiaTheme="majorEastAsia" w:hAnsi="Arial" w:cs="Arial"/>
        </w:rPr>
        <w:t> </w:t>
      </w:r>
    </w:p>
    <w:p w14:paraId="5281F77A"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5EFFEAF2" w14:textId="0141FBB4"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color w:val="000000"/>
        </w:rPr>
        <w:t xml:space="preserve">The principle of "Good Scrutiny makes for good government" (White, 2015) highlights how </w:t>
      </w:r>
      <w:r w:rsidR="008918F2">
        <w:rPr>
          <w:rStyle w:val="normaltextrun"/>
          <w:rFonts w:ascii="Arial" w:eastAsiaTheme="majorEastAsia" w:hAnsi="Arial" w:cs="Arial"/>
          <w:color w:val="000000"/>
        </w:rPr>
        <w:t>essential</w:t>
      </w:r>
      <w:r>
        <w:rPr>
          <w:rStyle w:val="normaltextrun"/>
          <w:rFonts w:ascii="Arial" w:eastAsiaTheme="majorEastAsia" w:hAnsi="Arial" w:cs="Arial"/>
          <w:color w:val="000000"/>
        </w:rPr>
        <w:t xml:space="preserve"> it is for the government to be held accountable for any decision that it makes. In the UK, this is ensured by the division of powers of the government between </w:t>
      </w:r>
      <w:r w:rsidR="008918F2">
        <w:rPr>
          <w:rStyle w:val="normaltextrun"/>
          <w:rFonts w:ascii="Arial" w:eastAsiaTheme="majorEastAsia" w:hAnsi="Arial" w:cs="Arial"/>
          <w:color w:val="000000"/>
        </w:rPr>
        <w:t>various</w:t>
      </w:r>
      <w:r>
        <w:rPr>
          <w:rStyle w:val="normaltextrun"/>
          <w:rFonts w:ascii="Arial" w:eastAsiaTheme="majorEastAsia" w:hAnsi="Arial" w:cs="Arial"/>
          <w:color w:val="000000"/>
        </w:rPr>
        <w:t xml:space="preserve"> departments and this is what would be </w:t>
      </w:r>
      <w:r w:rsidR="008918F2">
        <w:rPr>
          <w:rStyle w:val="normaltextrun"/>
          <w:rFonts w:ascii="Arial" w:eastAsiaTheme="majorEastAsia" w:hAnsi="Arial" w:cs="Arial"/>
          <w:color w:val="000000"/>
        </w:rPr>
        <w:t>established</w:t>
      </w:r>
      <w:r>
        <w:rPr>
          <w:rStyle w:val="normaltextrun"/>
          <w:rFonts w:ascii="Arial" w:eastAsiaTheme="majorEastAsia" w:hAnsi="Arial" w:cs="Arial"/>
          <w:color w:val="000000"/>
        </w:rPr>
        <w:t xml:space="preserve"> as the separation of powers theory. During the eighteenth century, a French philosopher (by the name of Montesquieu) established that all state </w:t>
      </w:r>
      <w:r w:rsidR="008918F2">
        <w:rPr>
          <w:rStyle w:val="normaltextrun"/>
          <w:rFonts w:ascii="Arial" w:eastAsiaTheme="majorEastAsia" w:hAnsi="Arial" w:cs="Arial"/>
          <w:color w:val="000000"/>
        </w:rPr>
        <w:t>control</w:t>
      </w:r>
      <w:r>
        <w:rPr>
          <w:rStyle w:val="normaltextrun"/>
          <w:rFonts w:ascii="Arial" w:eastAsiaTheme="majorEastAsia" w:hAnsi="Arial" w:cs="Arial"/>
          <w:color w:val="000000"/>
        </w:rPr>
        <w:t xml:space="preserve"> could be separated into three </w:t>
      </w:r>
      <w:r w:rsidR="008918F2">
        <w:rPr>
          <w:rStyle w:val="normaltextrun"/>
          <w:rFonts w:ascii="Arial" w:eastAsiaTheme="majorEastAsia" w:hAnsi="Arial" w:cs="Arial"/>
          <w:color w:val="000000"/>
        </w:rPr>
        <w:t>sorts</w:t>
      </w:r>
      <w:r>
        <w:rPr>
          <w:rStyle w:val="normaltextrun"/>
          <w:rFonts w:ascii="Arial" w:eastAsiaTheme="majorEastAsia" w:hAnsi="Arial" w:cs="Arial"/>
          <w:color w:val="000000"/>
        </w:rPr>
        <w:t xml:space="preserve"> and classified this as the separation of powers. The separation of powers would be one of the </w:t>
      </w:r>
      <w:r w:rsidR="00405610">
        <w:rPr>
          <w:rStyle w:val="normaltextrun"/>
          <w:rFonts w:ascii="Arial" w:eastAsiaTheme="majorEastAsia" w:hAnsi="Arial" w:cs="Arial"/>
          <w:color w:val="000000"/>
        </w:rPr>
        <w:t>primary</w:t>
      </w:r>
      <w:r>
        <w:rPr>
          <w:rStyle w:val="normaltextrun"/>
          <w:rFonts w:ascii="Arial" w:eastAsiaTheme="majorEastAsia" w:hAnsi="Arial" w:cs="Arial"/>
          <w:color w:val="000000"/>
        </w:rPr>
        <w:t xml:space="preserve"> principles </w:t>
      </w:r>
      <w:r w:rsidR="005601EE">
        <w:rPr>
          <w:rStyle w:val="normaltextrun"/>
          <w:rFonts w:ascii="Arial" w:eastAsiaTheme="majorEastAsia" w:hAnsi="Arial" w:cs="Arial"/>
          <w:color w:val="000000"/>
        </w:rPr>
        <w:t xml:space="preserve">anchoring </w:t>
      </w:r>
      <w:r>
        <w:rPr>
          <w:rStyle w:val="normaltextrun"/>
          <w:rFonts w:ascii="Arial" w:eastAsiaTheme="majorEastAsia" w:hAnsi="Arial" w:cs="Arial"/>
          <w:color w:val="000000"/>
        </w:rPr>
        <w:t xml:space="preserve">the constitution. The three separate powers would be </w:t>
      </w:r>
      <w:r w:rsidR="00A0034E">
        <w:rPr>
          <w:rStyle w:val="normaltextrun"/>
          <w:rFonts w:ascii="Arial" w:eastAsiaTheme="majorEastAsia" w:hAnsi="Arial" w:cs="Arial"/>
          <w:color w:val="000000"/>
        </w:rPr>
        <w:t>categorised</w:t>
      </w:r>
      <w:r>
        <w:rPr>
          <w:rStyle w:val="normaltextrun"/>
          <w:rFonts w:ascii="Arial" w:eastAsiaTheme="majorEastAsia" w:hAnsi="Arial" w:cs="Arial"/>
          <w:color w:val="000000"/>
        </w:rPr>
        <w:t xml:space="preserve"> as the executive, legislative, and judicial (Cohler et al, 1989). </w:t>
      </w:r>
      <w:r>
        <w:rPr>
          <w:rStyle w:val="eop"/>
          <w:rFonts w:ascii="Arial" w:eastAsiaTheme="majorEastAsia" w:hAnsi="Arial" w:cs="Arial"/>
          <w:color w:val="000000"/>
        </w:rPr>
        <w:t> </w:t>
      </w:r>
    </w:p>
    <w:p w14:paraId="1AE527C6"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000000"/>
        </w:rPr>
        <w:t> </w:t>
      </w:r>
    </w:p>
    <w:p w14:paraId="643392F2" w14:textId="780E042B"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As </w:t>
      </w:r>
      <w:r w:rsidR="008B5F65">
        <w:rPr>
          <w:rStyle w:val="normaltextrun"/>
          <w:rFonts w:ascii="Arial" w:eastAsiaTheme="majorEastAsia" w:hAnsi="Arial" w:cs="Arial"/>
        </w:rPr>
        <w:t>e</w:t>
      </w:r>
      <w:r w:rsidR="00F03859">
        <w:rPr>
          <w:rStyle w:val="normaltextrun"/>
          <w:rFonts w:ascii="Arial" w:eastAsiaTheme="majorEastAsia" w:hAnsi="Arial" w:cs="Arial"/>
        </w:rPr>
        <w:t>xpressed</w:t>
      </w:r>
      <w:r>
        <w:rPr>
          <w:rStyle w:val="normaltextrun"/>
          <w:rFonts w:ascii="Arial" w:eastAsiaTheme="majorEastAsia" w:hAnsi="Arial" w:cs="Arial"/>
        </w:rPr>
        <w:t xml:space="preserve"> by Montesquieu (1956, p.151-2), ‘when the legislative and executive powers are united in the same person, or in the same body of magistrates, there can be no liberty; because apprehensions may arise, lest the same monarch or senate should enact tyrannical laws, to execute them in a tyrannical manner’. The principle of this is the </w:t>
      </w:r>
      <w:r w:rsidR="00237163">
        <w:rPr>
          <w:rStyle w:val="normaltextrun"/>
          <w:rFonts w:ascii="Arial" w:eastAsiaTheme="majorEastAsia" w:hAnsi="Arial" w:cs="Arial"/>
        </w:rPr>
        <w:t>significance</w:t>
      </w:r>
      <w:r>
        <w:rPr>
          <w:rStyle w:val="normaltextrun"/>
          <w:rFonts w:ascii="Arial" w:eastAsiaTheme="majorEastAsia" w:hAnsi="Arial" w:cs="Arial"/>
        </w:rPr>
        <w:t xml:space="preserve"> of </w:t>
      </w:r>
      <w:r w:rsidR="004E1D84">
        <w:rPr>
          <w:rStyle w:val="normaltextrun"/>
          <w:rFonts w:ascii="Arial" w:eastAsiaTheme="majorEastAsia" w:hAnsi="Arial" w:cs="Arial"/>
        </w:rPr>
        <w:t>splitting</w:t>
      </w:r>
      <w:r>
        <w:rPr>
          <w:rStyle w:val="normaltextrun"/>
          <w:rFonts w:ascii="Arial" w:eastAsiaTheme="majorEastAsia" w:hAnsi="Arial" w:cs="Arial"/>
        </w:rPr>
        <w:t xml:space="preserve"> governmental powers among </w:t>
      </w:r>
      <w:r w:rsidR="00237163">
        <w:rPr>
          <w:rStyle w:val="normaltextrun"/>
          <w:rFonts w:ascii="Arial" w:eastAsiaTheme="majorEastAsia" w:hAnsi="Arial" w:cs="Arial"/>
        </w:rPr>
        <w:t xml:space="preserve">alternative </w:t>
      </w:r>
      <w:r>
        <w:rPr>
          <w:rStyle w:val="normaltextrun"/>
          <w:rFonts w:ascii="Arial" w:eastAsiaTheme="majorEastAsia" w:hAnsi="Arial" w:cs="Arial"/>
        </w:rPr>
        <w:t xml:space="preserve">branches, the legislative, executive, and judicial to prevent the concentration of powers in a way that </w:t>
      </w:r>
      <w:r w:rsidR="003D5623">
        <w:rPr>
          <w:rStyle w:val="normaltextrun"/>
          <w:rFonts w:ascii="Arial" w:eastAsiaTheme="majorEastAsia" w:hAnsi="Arial" w:cs="Arial"/>
        </w:rPr>
        <w:t>would have the potential to</w:t>
      </w:r>
      <w:r>
        <w:rPr>
          <w:rStyle w:val="normaltextrun"/>
          <w:rFonts w:ascii="Arial" w:eastAsiaTheme="majorEastAsia" w:hAnsi="Arial" w:cs="Arial"/>
        </w:rPr>
        <w:t xml:space="preserve"> harm and pose a threat to individual </w:t>
      </w:r>
      <w:r>
        <w:rPr>
          <w:rStyle w:val="normaltextrun"/>
          <w:rFonts w:ascii="Arial" w:eastAsiaTheme="majorEastAsia" w:hAnsi="Arial" w:cs="Arial"/>
        </w:rPr>
        <w:lastRenderedPageBreak/>
        <w:t xml:space="preserve">liberties. This idea is foundational to the concept of constitutional checks and balances, and its main purpose being to ensure that no </w:t>
      </w:r>
      <w:r w:rsidR="003B3794">
        <w:rPr>
          <w:rStyle w:val="normaltextrun"/>
          <w:rFonts w:ascii="Arial" w:eastAsiaTheme="majorEastAsia" w:hAnsi="Arial" w:cs="Arial"/>
        </w:rPr>
        <w:t xml:space="preserve">one </w:t>
      </w:r>
      <w:r>
        <w:rPr>
          <w:rStyle w:val="normaltextrun"/>
          <w:rFonts w:ascii="Arial" w:eastAsiaTheme="majorEastAsia" w:hAnsi="Arial" w:cs="Arial"/>
        </w:rPr>
        <w:t xml:space="preserve">authority becomes too </w:t>
      </w:r>
      <w:r w:rsidR="003B3794">
        <w:rPr>
          <w:rStyle w:val="normaltextrun"/>
          <w:rFonts w:ascii="Arial" w:eastAsiaTheme="majorEastAsia" w:hAnsi="Arial" w:cs="Arial"/>
        </w:rPr>
        <w:t>controlling</w:t>
      </w:r>
      <w:r>
        <w:rPr>
          <w:rStyle w:val="normaltextrun"/>
          <w:rFonts w:ascii="Arial" w:eastAsiaTheme="majorEastAsia" w:hAnsi="Arial" w:cs="Arial"/>
        </w:rPr>
        <w:t xml:space="preserve"> and that there are safeguards against potential abuses of power. </w:t>
      </w:r>
      <w:r>
        <w:rPr>
          <w:rStyle w:val="eop"/>
          <w:rFonts w:ascii="Arial" w:eastAsiaTheme="majorEastAsia" w:hAnsi="Arial" w:cs="Arial"/>
        </w:rPr>
        <w:t> </w:t>
      </w:r>
    </w:p>
    <w:p w14:paraId="29993AB6"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766E2810" w14:textId="47720C8D"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Government scrutiny </w:t>
      </w:r>
      <w:r w:rsidR="003B3794">
        <w:rPr>
          <w:rStyle w:val="normaltextrun"/>
          <w:rFonts w:ascii="Arial" w:eastAsiaTheme="majorEastAsia" w:hAnsi="Arial" w:cs="Arial"/>
        </w:rPr>
        <w:t>incorporates</w:t>
      </w:r>
      <w:r>
        <w:rPr>
          <w:rStyle w:val="normaltextrun"/>
          <w:rFonts w:ascii="Arial" w:eastAsiaTheme="majorEastAsia" w:hAnsi="Arial" w:cs="Arial"/>
        </w:rPr>
        <w:t xml:space="preserve"> any effort to scrutinize, challenge, and evaluate the government's expenditures, administration, and </w:t>
      </w:r>
      <w:r w:rsidR="001256FF">
        <w:rPr>
          <w:rStyle w:val="normaltextrun"/>
          <w:rFonts w:ascii="Arial" w:eastAsiaTheme="majorEastAsia" w:hAnsi="Arial" w:cs="Arial"/>
        </w:rPr>
        <w:t>policies (</w:t>
      </w:r>
      <w:r w:rsidR="00955460">
        <w:rPr>
          <w:rStyle w:val="normaltextrun"/>
          <w:rFonts w:ascii="Arial" w:eastAsiaTheme="majorEastAsia" w:hAnsi="Arial" w:cs="Arial"/>
        </w:rPr>
        <w:t>UK Parliament, 2024a)</w:t>
      </w:r>
      <w:r>
        <w:rPr>
          <w:rStyle w:val="normaltextrun"/>
          <w:rFonts w:ascii="Arial" w:eastAsiaTheme="majorEastAsia" w:hAnsi="Arial" w:cs="Arial"/>
        </w:rPr>
        <w:t xml:space="preserve">. This process extends beyond the immediate government actions to explore the broader context in which it operates, identifying potential opportunities and risks that may not currently fall under government consideration. Such scrutiny can occur at various stages, including looking </w:t>
      </w:r>
      <w:r w:rsidR="00E75F55">
        <w:rPr>
          <w:rStyle w:val="normaltextrun"/>
          <w:rFonts w:ascii="Arial" w:eastAsiaTheme="majorEastAsia" w:hAnsi="Arial" w:cs="Arial"/>
        </w:rPr>
        <w:t>forward</w:t>
      </w:r>
      <w:r>
        <w:rPr>
          <w:rStyle w:val="normaltextrun"/>
          <w:rFonts w:ascii="Arial" w:eastAsiaTheme="majorEastAsia" w:hAnsi="Arial" w:cs="Arial"/>
        </w:rPr>
        <w:t xml:space="preserve">, reviewing </w:t>
      </w:r>
      <w:r w:rsidR="00E75F55">
        <w:rPr>
          <w:rStyle w:val="normaltextrun"/>
          <w:rFonts w:ascii="Arial" w:eastAsiaTheme="majorEastAsia" w:hAnsi="Arial" w:cs="Arial"/>
        </w:rPr>
        <w:t>previous</w:t>
      </w:r>
      <w:r>
        <w:rPr>
          <w:rStyle w:val="normaltextrun"/>
          <w:rFonts w:ascii="Arial" w:eastAsiaTheme="majorEastAsia" w:hAnsi="Arial" w:cs="Arial"/>
        </w:rPr>
        <w:t xml:space="preserve"> actions, or assessing </w:t>
      </w:r>
      <w:r w:rsidR="00E75F55">
        <w:rPr>
          <w:rStyle w:val="normaltextrun"/>
          <w:rFonts w:ascii="Arial" w:eastAsiaTheme="majorEastAsia" w:hAnsi="Arial" w:cs="Arial"/>
        </w:rPr>
        <w:t>current</w:t>
      </w:r>
      <w:r>
        <w:rPr>
          <w:rStyle w:val="normaltextrun"/>
          <w:rFonts w:ascii="Arial" w:eastAsiaTheme="majorEastAsia" w:hAnsi="Arial" w:cs="Arial"/>
        </w:rPr>
        <w:t xml:space="preserve"> activities (UK Parliament, 202</w:t>
      </w:r>
      <w:r w:rsidR="00756922">
        <w:rPr>
          <w:rStyle w:val="normaltextrun"/>
          <w:rFonts w:ascii="Arial" w:eastAsiaTheme="majorEastAsia" w:hAnsi="Arial" w:cs="Arial"/>
        </w:rPr>
        <w:t>4</w:t>
      </w:r>
      <w:r w:rsidR="001F3E65">
        <w:rPr>
          <w:rStyle w:val="normaltextrun"/>
          <w:rFonts w:ascii="Arial" w:eastAsiaTheme="majorEastAsia" w:hAnsi="Arial" w:cs="Arial"/>
        </w:rPr>
        <w:t>b</w:t>
      </w:r>
      <w:r>
        <w:rPr>
          <w:rStyle w:val="normaltextrun"/>
          <w:rFonts w:ascii="Arial" w:eastAsiaTheme="majorEastAsia" w:hAnsi="Arial" w:cs="Arial"/>
        </w:rPr>
        <w:t xml:space="preserve">). Examining and questioning the government's </w:t>
      </w:r>
      <w:r w:rsidR="00E952D3">
        <w:rPr>
          <w:rStyle w:val="normaltextrun"/>
          <w:rFonts w:ascii="Arial" w:eastAsiaTheme="majorEastAsia" w:hAnsi="Arial" w:cs="Arial"/>
        </w:rPr>
        <w:t>actions</w:t>
      </w:r>
      <w:r>
        <w:rPr>
          <w:rStyle w:val="normaltextrun"/>
          <w:rFonts w:ascii="Arial" w:eastAsiaTheme="majorEastAsia" w:hAnsi="Arial" w:cs="Arial"/>
        </w:rPr>
        <w:t xml:space="preserve"> is commonly recognised as one of Parliament's three main </w:t>
      </w:r>
      <w:r w:rsidR="00E952D3">
        <w:rPr>
          <w:rStyle w:val="normaltextrun"/>
          <w:rFonts w:ascii="Arial" w:eastAsiaTheme="majorEastAsia" w:hAnsi="Arial" w:cs="Arial"/>
        </w:rPr>
        <w:t>duties</w:t>
      </w:r>
      <w:r>
        <w:rPr>
          <w:rStyle w:val="normaltextrun"/>
          <w:rFonts w:ascii="Arial" w:eastAsiaTheme="majorEastAsia" w:hAnsi="Arial" w:cs="Arial"/>
        </w:rPr>
        <w:t>. The other two are enacting laws and facilitating the government's ability to secure financial resources, essentially approving government spending (Russell and James, 2023). </w:t>
      </w:r>
      <w:r>
        <w:rPr>
          <w:rStyle w:val="eop"/>
          <w:rFonts w:ascii="Arial" w:eastAsiaTheme="majorEastAsia" w:hAnsi="Arial" w:cs="Arial"/>
        </w:rPr>
        <w:t> </w:t>
      </w:r>
    </w:p>
    <w:p w14:paraId="7B03E6BE"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color w:val="ECECEC"/>
        </w:rPr>
        <w:t> </w:t>
      </w:r>
      <w:r>
        <w:rPr>
          <w:rStyle w:val="eop"/>
          <w:rFonts w:ascii="Arial" w:eastAsiaTheme="majorEastAsia" w:hAnsi="Arial" w:cs="Arial"/>
          <w:color w:val="ECECEC"/>
        </w:rPr>
        <w:t> </w:t>
      </w:r>
    </w:p>
    <w:p w14:paraId="5FB80DD1" w14:textId="39A27E3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According to White (2015), with the exception from Parliament, the judiciary is another </w:t>
      </w:r>
      <w:r w:rsidR="00E75F55">
        <w:rPr>
          <w:rStyle w:val="normaltextrun"/>
          <w:rFonts w:ascii="Arial" w:eastAsiaTheme="majorEastAsia" w:hAnsi="Arial" w:cs="Arial"/>
        </w:rPr>
        <w:t>central</w:t>
      </w:r>
      <w:r>
        <w:rPr>
          <w:rStyle w:val="normaltextrun"/>
          <w:rFonts w:ascii="Arial" w:eastAsiaTheme="majorEastAsia" w:hAnsi="Arial" w:cs="Arial"/>
        </w:rPr>
        <w:t xml:space="preserve"> </w:t>
      </w:r>
      <w:r w:rsidR="0066035C">
        <w:rPr>
          <w:rStyle w:val="normaltextrun"/>
          <w:rFonts w:ascii="Arial" w:eastAsiaTheme="majorEastAsia" w:hAnsi="Arial" w:cs="Arial"/>
        </w:rPr>
        <w:t>statutory</w:t>
      </w:r>
      <w:r>
        <w:rPr>
          <w:rStyle w:val="normaltextrun"/>
          <w:rFonts w:ascii="Arial" w:eastAsiaTheme="majorEastAsia" w:hAnsi="Arial" w:cs="Arial"/>
        </w:rPr>
        <w:t xml:space="preserve"> body with the authority to examine the actions of the central government. In England and Wales, the high courts (comprising the High Court, Court of Appeal, and Supreme Court) can conduct judicial reviews, </w:t>
      </w:r>
      <w:r w:rsidR="0066035C">
        <w:rPr>
          <w:rStyle w:val="normaltextrun"/>
          <w:rFonts w:ascii="Arial" w:eastAsiaTheme="majorEastAsia" w:hAnsi="Arial" w:cs="Arial"/>
        </w:rPr>
        <w:t>evaluating</w:t>
      </w:r>
      <w:r>
        <w:rPr>
          <w:rStyle w:val="normaltextrun"/>
          <w:rFonts w:ascii="Arial" w:eastAsiaTheme="majorEastAsia" w:hAnsi="Arial" w:cs="Arial"/>
        </w:rPr>
        <w:t xml:space="preserve"> whether a government authority has exercised its powers in accordance with the law. </w:t>
      </w:r>
      <w:r>
        <w:rPr>
          <w:rStyle w:val="eop"/>
          <w:rFonts w:ascii="Arial" w:eastAsiaTheme="majorEastAsia" w:hAnsi="Arial" w:cs="Arial"/>
        </w:rPr>
        <w:t> </w:t>
      </w:r>
    </w:p>
    <w:p w14:paraId="32F70270"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492551A9"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Parliament can be held to account through parliamentary debates and through the establishment of select and standing committees, and parliamentary questions.</w:t>
      </w:r>
      <w:r>
        <w:rPr>
          <w:rStyle w:val="eop"/>
          <w:rFonts w:ascii="Arial" w:eastAsiaTheme="majorEastAsia" w:hAnsi="Arial" w:cs="Arial"/>
        </w:rPr>
        <w:t> </w:t>
      </w:r>
    </w:p>
    <w:p w14:paraId="37BAAB78"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lastRenderedPageBreak/>
        <w:t>The remit for debates within this institution suggest that debates can be on any issue (on the premise that they are encompassed within the King’s speech to open parliament). </w:t>
      </w:r>
      <w:r>
        <w:rPr>
          <w:rStyle w:val="eop"/>
          <w:rFonts w:ascii="Arial" w:eastAsiaTheme="majorEastAsia" w:hAnsi="Arial" w:cs="Arial"/>
        </w:rPr>
        <w:t> </w:t>
      </w:r>
    </w:p>
    <w:p w14:paraId="0F50E3BA"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2D3D14D6"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There is also a mechanism for parliamentary questions (which includes the weekly event of Prime Minister’s Questions (PMQs) which offer parliamentarians the opportunity to directly address and scrutinise the Prime Minister (and government’s) current agenda. The establishment of select committees are also an effective mechanism for scrutiny as they need to include members from all parties (up to a maximum of 15 people) and each government department will have their own select committees. In light of the recent Post Office scandal, the Business and Trade Select Committee’s scrutiny of the legislation and roles played within this case (of huge public interest) demonstrated the efficiency and openness of this government institution as the public were given an insight into the mechanisms of such scrutiny Quinn (2024) in an article for </w:t>
      </w:r>
      <w:r>
        <w:rPr>
          <w:rStyle w:val="normaltextrun"/>
          <w:rFonts w:ascii="Arial" w:eastAsiaTheme="majorEastAsia" w:hAnsi="Arial" w:cs="Arial"/>
          <w:i/>
          <w:iCs/>
        </w:rPr>
        <w:t>The Guardian</w:t>
      </w:r>
      <w:r>
        <w:rPr>
          <w:rStyle w:val="normaltextrun"/>
          <w:rFonts w:ascii="Arial" w:eastAsiaTheme="majorEastAsia" w:hAnsi="Arial" w:cs="Arial"/>
        </w:rPr>
        <w:t xml:space="preserve"> newspaper illustrated how the select committee was able to introduce ‘legislation to overturn Horizon-related convictions en masse which was expected to be introduced as soon as next month’ again underlining how scrutiny can yield immediate results. </w:t>
      </w:r>
      <w:r>
        <w:rPr>
          <w:rStyle w:val="eop"/>
          <w:rFonts w:ascii="Arial" w:eastAsiaTheme="majorEastAsia" w:hAnsi="Arial" w:cs="Arial"/>
        </w:rPr>
        <w:t> </w:t>
      </w:r>
    </w:p>
    <w:p w14:paraId="402D7BA1" w14:textId="26D0AC23"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2BECB4A5" w14:textId="767EDA01" w:rsidR="00C30358" w:rsidRDefault="00C30358" w:rsidP="00C30358">
      <w:pPr>
        <w:pStyle w:val="paragraph"/>
        <w:shd w:val="clear" w:color="auto" w:fill="FFFFFF"/>
        <w:spacing w:before="0" w:beforeAutospacing="0" w:after="0" w:afterAutospacing="0" w:line="480" w:lineRule="auto"/>
        <w:textAlignment w:val="baseline"/>
        <w:rPr>
          <w:rStyle w:val="eop"/>
          <w:rFonts w:ascii="Arial" w:eastAsiaTheme="majorEastAsia" w:hAnsi="Arial" w:cs="Arial"/>
        </w:rPr>
      </w:pPr>
      <w:r>
        <w:rPr>
          <w:rStyle w:val="normaltextrun"/>
          <w:rFonts w:ascii="Arial" w:eastAsiaTheme="majorEastAsia" w:hAnsi="Arial" w:cs="Arial"/>
        </w:rPr>
        <w:t xml:space="preserve">In terms of reforms to the executive, it is </w:t>
      </w:r>
      <w:r w:rsidR="00FE778F">
        <w:rPr>
          <w:rStyle w:val="normaltextrun"/>
          <w:rFonts w:ascii="Arial" w:eastAsiaTheme="majorEastAsia" w:hAnsi="Arial" w:cs="Arial"/>
        </w:rPr>
        <w:t>vital</w:t>
      </w:r>
      <w:r>
        <w:rPr>
          <w:rStyle w:val="normaltextrun"/>
          <w:rFonts w:ascii="Arial" w:eastAsiaTheme="majorEastAsia" w:hAnsi="Arial" w:cs="Arial"/>
        </w:rPr>
        <w:t xml:space="preserve"> to consider what changes have already been actioned. The Constitutional Reform Act (2005) removed the judicial functions of the Lord Chancellor and his </w:t>
      </w:r>
      <w:r w:rsidR="00E75F55">
        <w:rPr>
          <w:rStyle w:val="normaltextrun"/>
          <w:rFonts w:ascii="Arial" w:eastAsiaTheme="majorEastAsia" w:hAnsi="Arial" w:cs="Arial"/>
        </w:rPr>
        <w:t>prior</w:t>
      </w:r>
      <w:r>
        <w:rPr>
          <w:rStyle w:val="normaltextrun"/>
          <w:rFonts w:ascii="Arial" w:eastAsiaTheme="majorEastAsia" w:hAnsi="Arial" w:cs="Arial"/>
        </w:rPr>
        <w:t xml:space="preserve"> role as head of the judiciary is now filled by the Lord Chief Justice. The Lord Chancellor no longer sits as Speaker of the House of Lords, which now elects its own Speaker. This was intended to create a more formal separation of powers (discussed previously within this assignment). However, others </w:t>
      </w:r>
      <w:r>
        <w:rPr>
          <w:rStyle w:val="normaltextrun"/>
          <w:rFonts w:ascii="Arial" w:eastAsiaTheme="majorEastAsia" w:hAnsi="Arial" w:cs="Arial"/>
        </w:rPr>
        <w:lastRenderedPageBreak/>
        <w:t>saw the Lord Chancellor as a</w:t>
      </w:r>
      <w:r w:rsidR="00E75F55">
        <w:rPr>
          <w:rStyle w:val="normaltextrun"/>
          <w:rFonts w:ascii="Arial" w:eastAsiaTheme="majorEastAsia" w:hAnsi="Arial" w:cs="Arial"/>
        </w:rPr>
        <w:t xml:space="preserve"> representative</w:t>
      </w:r>
      <w:r>
        <w:rPr>
          <w:rStyle w:val="normaltextrun"/>
          <w:rFonts w:ascii="Arial" w:eastAsiaTheme="majorEastAsia" w:hAnsi="Arial" w:cs="Arial"/>
        </w:rPr>
        <w:t xml:space="preserve"> for the judiciary in Parliament and argued that the Lord Chancellor could </w:t>
      </w:r>
      <w:r w:rsidR="005E512F">
        <w:rPr>
          <w:rStyle w:val="normaltextrun"/>
          <w:rFonts w:ascii="Arial" w:eastAsiaTheme="majorEastAsia" w:hAnsi="Arial" w:cs="Arial"/>
        </w:rPr>
        <w:t>r</w:t>
      </w:r>
      <w:r w:rsidR="00AA0121">
        <w:rPr>
          <w:rStyle w:val="normaltextrun"/>
          <w:rFonts w:ascii="Arial" w:eastAsiaTheme="majorEastAsia" w:hAnsi="Arial" w:cs="Arial"/>
        </w:rPr>
        <w:t>eli</w:t>
      </w:r>
      <w:r w:rsidR="00DD6587">
        <w:rPr>
          <w:rStyle w:val="normaltextrun"/>
          <w:rFonts w:ascii="Arial" w:eastAsiaTheme="majorEastAsia" w:hAnsi="Arial" w:cs="Arial"/>
        </w:rPr>
        <w:t>e</w:t>
      </w:r>
      <w:r w:rsidR="00AA0121">
        <w:rPr>
          <w:rStyle w:val="normaltextrun"/>
          <w:rFonts w:ascii="Arial" w:eastAsiaTheme="majorEastAsia" w:hAnsi="Arial" w:cs="Arial"/>
        </w:rPr>
        <w:t>ve</w:t>
      </w:r>
      <w:r w:rsidR="005E512F">
        <w:rPr>
          <w:rStyle w:val="normaltextrun"/>
          <w:rFonts w:ascii="Arial" w:eastAsiaTheme="majorEastAsia" w:hAnsi="Arial" w:cs="Arial"/>
        </w:rPr>
        <w:t xml:space="preserve"> </w:t>
      </w:r>
      <w:r>
        <w:rPr>
          <w:rStyle w:val="normaltextrun"/>
          <w:rFonts w:ascii="Arial" w:eastAsiaTheme="majorEastAsia" w:hAnsi="Arial" w:cs="Arial"/>
        </w:rPr>
        <w:t>tensions between the branches of state, perhaps illustrating that not all amendments are perceived favourably. </w:t>
      </w:r>
      <w:r>
        <w:rPr>
          <w:rStyle w:val="eop"/>
          <w:rFonts w:ascii="Arial" w:eastAsiaTheme="majorEastAsia" w:hAnsi="Arial" w:cs="Arial"/>
        </w:rPr>
        <w:t> </w:t>
      </w:r>
    </w:p>
    <w:p w14:paraId="32DAD9A9" w14:textId="1EC71AD3" w:rsidR="00C30358" w:rsidRDefault="00C30358" w:rsidP="00C30358">
      <w:pPr>
        <w:pStyle w:val="paragraph"/>
        <w:shd w:val="clear" w:color="auto" w:fill="FFFFFF"/>
        <w:spacing w:before="0" w:after="0" w:line="480" w:lineRule="auto"/>
        <w:textAlignment w:val="baseline"/>
        <w:rPr>
          <w:rFonts w:ascii="Segoe UI" w:hAnsi="Segoe UI" w:cs="Segoe UI"/>
          <w:sz w:val="18"/>
          <w:szCs w:val="18"/>
        </w:rPr>
      </w:pPr>
      <w:r>
        <w:rPr>
          <w:rStyle w:val="normaltextrun"/>
          <w:rFonts w:ascii="Arial" w:eastAsiaTheme="majorEastAsia" w:hAnsi="Arial" w:cs="Arial"/>
        </w:rPr>
        <w:t>Within the Institute of Government’s report, Power with Purpose (2024) some suggested further reforms were brought to light, for instance the need for the Pri</w:t>
      </w:r>
      <w:r w:rsidR="00E33807">
        <w:rPr>
          <w:rStyle w:val="normaltextrun"/>
          <w:rFonts w:ascii="Arial" w:eastAsiaTheme="majorEastAsia" w:hAnsi="Arial" w:cs="Arial"/>
        </w:rPr>
        <w:t>me</w:t>
      </w:r>
      <w:r>
        <w:rPr>
          <w:rStyle w:val="normaltextrun"/>
          <w:rFonts w:ascii="Arial" w:eastAsiaTheme="majorEastAsia" w:hAnsi="Arial" w:cs="Arial"/>
        </w:rPr>
        <w:t xml:space="preserve"> Minister to ‘benefit from a smaller, core group of ministers with whom to discuss the strategic issues facing government’ (p70). Such a group could ensure a more streamlined and effective management of the executive. The same report also cited the need for a more inclusive approach to the running of government, with ministers urged to ‘seek external input more often and invite more academics, businesspeople and members of civil society to contribute to discussions – crucially, before they reach the decision-making stage’ (p73). Such inclusion would help combat what the report describes as ‘Whitehall parochialism’ (p73) and ensure greater </w:t>
      </w:r>
      <w:r w:rsidR="005E512F">
        <w:rPr>
          <w:rStyle w:val="normaltextrun"/>
          <w:rFonts w:ascii="Arial" w:eastAsiaTheme="majorEastAsia" w:hAnsi="Arial" w:cs="Arial"/>
        </w:rPr>
        <w:t>analysis</w:t>
      </w:r>
      <w:r>
        <w:rPr>
          <w:rStyle w:val="normaltextrun"/>
          <w:rFonts w:ascii="Arial" w:eastAsiaTheme="majorEastAsia" w:hAnsi="Arial" w:cs="Arial"/>
        </w:rPr>
        <w:t xml:space="preserve"> of executive, judicial and executive powers. </w:t>
      </w:r>
      <w:r>
        <w:rPr>
          <w:rStyle w:val="eop"/>
          <w:rFonts w:ascii="Arial" w:eastAsiaTheme="majorEastAsia" w:hAnsi="Arial" w:cs="Arial"/>
        </w:rPr>
        <w:t> </w:t>
      </w:r>
    </w:p>
    <w:p w14:paraId="10DCF952" w14:textId="7A8687A0" w:rsidR="00C30358" w:rsidRDefault="00C30358" w:rsidP="00C30358">
      <w:pPr>
        <w:pStyle w:val="paragraph"/>
        <w:shd w:val="clear" w:color="auto" w:fill="FFFFFF"/>
        <w:spacing w:before="0" w:after="0" w:line="480" w:lineRule="auto"/>
        <w:textAlignment w:val="baseline"/>
        <w:rPr>
          <w:rFonts w:ascii="Segoe UI" w:hAnsi="Segoe UI" w:cs="Segoe UI"/>
          <w:sz w:val="18"/>
          <w:szCs w:val="18"/>
        </w:rPr>
      </w:pPr>
      <w:r>
        <w:rPr>
          <w:rStyle w:val="normaltextrun"/>
          <w:rFonts w:ascii="Arial" w:eastAsiaTheme="majorEastAsia" w:hAnsi="Arial" w:cs="Arial"/>
        </w:rPr>
        <w:t xml:space="preserve">In conclusion the report calls form reform in terms of scrutiny, stating how a ‘more </w:t>
      </w:r>
      <w:r w:rsidR="0093355C">
        <w:rPr>
          <w:rStyle w:val="normaltextrun"/>
          <w:rFonts w:ascii="Arial" w:eastAsiaTheme="majorEastAsia" w:hAnsi="Arial" w:cs="Arial"/>
        </w:rPr>
        <w:t>clear</w:t>
      </w:r>
      <w:r>
        <w:rPr>
          <w:rStyle w:val="normaltextrun"/>
          <w:rFonts w:ascii="Arial" w:eastAsiaTheme="majorEastAsia" w:hAnsi="Arial" w:cs="Arial"/>
        </w:rPr>
        <w:t xml:space="preserve">, focused, and open centre would also improve parliamentary and other forms of scrutiny. With the right set of oversight </w:t>
      </w:r>
      <w:r w:rsidR="0093355C">
        <w:rPr>
          <w:rStyle w:val="normaltextrun"/>
          <w:rFonts w:ascii="Arial" w:eastAsiaTheme="majorEastAsia" w:hAnsi="Arial" w:cs="Arial"/>
        </w:rPr>
        <w:t>procedures</w:t>
      </w:r>
      <w:r>
        <w:rPr>
          <w:rStyle w:val="normaltextrun"/>
          <w:rFonts w:ascii="Arial" w:eastAsiaTheme="majorEastAsia" w:hAnsi="Arial" w:cs="Arial"/>
        </w:rPr>
        <w:t>, ministers and civil servants would be better held to account, reinforcing better decision making at the heart of government (p115), and this perhaps encapsulates the importance of effective scrutiny. </w:t>
      </w:r>
      <w:r>
        <w:rPr>
          <w:rStyle w:val="eop"/>
          <w:rFonts w:ascii="Arial" w:eastAsiaTheme="majorEastAsia" w:hAnsi="Arial" w:cs="Arial"/>
        </w:rPr>
        <w:t> </w:t>
      </w:r>
    </w:p>
    <w:p w14:paraId="085578DD" w14:textId="3343E89D" w:rsidR="00C30358" w:rsidRDefault="00C30358" w:rsidP="00C30358">
      <w:pPr>
        <w:pStyle w:val="paragraph"/>
        <w:shd w:val="clear" w:color="auto" w:fill="FFFFFF"/>
        <w:spacing w:before="0" w:after="0" w:line="480" w:lineRule="auto"/>
        <w:textAlignment w:val="baseline"/>
        <w:rPr>
          <w:rFonts w:ascii="Segoe UI" w:hAnsi="Segoe UI" w:cs="Segoe UI"/>
          <w:sz w:val="18"/>
          <w:szCs w:val="18"/>
        </w:rPr>
      </w:pPr>
      <w:r>
        <w:rPr>
          <w:rStyle w:val="normaltextrun"/>
          <w:rFonts w:ascii="Arial" w:eastAsiaTheme="majorEastAsia" w:hAnsi="Arial" w:cs="Arial"/>
          <w:color w:val="242424"/>
        </w:rPr>
        <w:t xml:space="preserve">As United States of America President Eisenhower (1963) once stated, an ‘organisation cannot make a genius out of an incompetent’. This reveals the importance of </w:t>
      </w:r>
      <w:r w:rsidR="00B71790">
        <w:rPr>
          <w:rStyle w:val="normaltextrun"/>
          <w:rFonts w:ascii="Arial" w:eastAsiaTheme="majorEastAsia" w:hAnsi="Arial" w:cs="Arial"/>
          <w:color w:val="242424"/>
        </w:rPr>
        <w:t>potential and capability</w:t>
      </w:r>
      <w:r>
        <w:rPr>
          <w:rStyle w:val="normaltextrun"/>
          <w:rFonts w:ascii="Arial" w:eastAsiaTheme="majorEastAsia" w:hAnsi="Arial" w:cs="Arial"/>
          <w:color w:val="242424"/>
        </w:rPr>
        <w:t xml:space="preserve"> in </w:t>
      </w:r>
      <w:r w:rsidR="00A668F3">
        <w:rPr>
          <w:rStyle w:val="normaltextrun"/>
          <w:rFonts w:ascii="Arial" w:eastAsiaTheme="majorEastAsia" w:hAnsi="Arial" w:cs="Arial"/>
          <w:color w:val="242424"/>
        </w:rPr>
        <w:t>bodies</w:t>
      </w:r>
      <w:r>
        <w:rPr>
          <w:rStyle w:val="normaltextrun"/>
          <w:rFonts w:ascii="Arial" w:eastAsiaTheme="majorEastAsia" w:hAnsi="Arial" w:cs="Arial"/>
          <w:color w:val="242424"/>
        </w:rPr>
        <w:t xml:space="preserve"> such as the executive, and denotes </w:t>
      </w:r>
      <w:r>
        <w:rPr>
          <w:rStyle w:val="normaltextrun"/>
          <w:rFonts w:ascii="Arial" w:eastAsiaTheme="majorEastAsia" w:hAnsi="Arial" w:cs="Arial"/>
          <w:color w:val="242424"/>
        </w:rPr>
        <w:lastRenderedPageBreak/>
        <w:t xml:space="preserve">that the quality of ministers, advisers and civil servants is also of paramount importance in ensuring </w:t>
      </w:r>
      <w:r w:rsidR="00147E1C">
        <w:rPr>
          <w:rStyle w:val="normaltextrun"/>
          <w:rFonts w:ascii="Arial" w:eastAsiaTheme="majorEastAsia" w:hAnsi="Arial" w:cs="Arial"/>
          <w:color w:val="242424"/>
        </w:rPr>
        <w:t>efficient</w:t>
      </w:r>
      <w:r>
        <w:rPr>
          <w:rStyle w:val="normaltextrun"/>
          <w:rFonts w:ascii="Arial" w:eastAsiaTheme="majorEastAsia" w:hAnsi="Arial" w:cs="Arial"/>
          <w:color w:val="242424"/>
        </w:rPr>
        <w:t xml:space="preserve"> scrutiny.</w:t>
      </w:r>
      <w:r>
        <w:rPr>
          <w:rStyle w:val="eop"/>
          <w:rFonts w:ascii="Arial" w:eastAsiaTheme="majorEastAsia" w:hAnsi="Arial" w:cs="Arial"/>
          <w:color w:val="242424"/>
        </w:rPr>
        <w:t> </w:t>
      </w:r>
    </w:p>
    <w:p w14:paraId="7337DEA4" w14:textId="62837F34"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We </w:t>
      </w:r>
      <w:r w:rsidR="00147E1C">
        <w:rPr>
          <w:rStyle w:val="normaltextrun"/>
          <w:rFonts w:ascii="Arial" w:eastAsiaTheme="majorEastAsia" w:hAnsi="Arial" w:cs="Arial"/>
        </w:rPr>
        <w:t xml:space="preserve">have a duty to also </w:t>
      </w:r>
      <w:r>
        <w:rPr>
          <w:rStyle w:val="normaltextrun"/>
          <w:rFonts w:ascii="Arial" w:eastAsiaTheme="majorEastAsia" w:hAnsi="Arial" w:cs="Arial"/>
        </w:rPr>
        <w:t xml:space="preserve">acknowledge that scrutiny has costs in terms of money, </w:t>
      </w:r>
      <w:r w:rsidR="00E4243E">
        <w:rPr>
          <w:rStyle w:val="normaltextrun"/>
          <w:rFonts w:ascii="Arial" w:eastAsiaTheme="majorEastAsia" w:hAnsi="Arial" w:cs="Arial"/>
        </w:rPr>
        <w:t>time,</w:t>
      </w:r>
      <w:r>
        <w:rPr>
          <w:rStyle w:val="normaltextrun"/>
          <w:rFonts w:ascii="Arial" w:eastAsiaTheme="majorEastAsia" w:hAnsi="Arial" w:cs="Arial"/>
        </w:rPr>
        <w:t xml:space="preserve"> and human resources, and it is vital that in a time of reform that the executive and the public can indeed be </w:t>
      </w:r>
      <w:r w:rsidR="00147E1C">
        <w:rPr>
          <w:rStyle w:val="normaltextrun"/>
          <w:rFonts w:ascii="Arial" w:eastAsiaTheme="majorEastAsia" w:hAnsi="Arial" w:cs="Arial"/>
        </w:rPr>
        <w:t>self-assured</w:t>
      </w:r>
      <w:r>
        <w:rPr>
          <w:rStyle w:val="normaltextrun"/>
          <w:rFonts w:ascii="Arial" w:eastAsiaTheme="majorEastAsia" w:hAnsi="Arial" w:cs="Arial"/>
        </w:rPr>
        <w:t xml:space="preserve"> that these costs are being expended appropriately in</w:t>
      </w:r>
      <w:r>
        <w:rPr>
          <w:rStyle w:val="eop"/>
          <w:rFonts w:ascii="Arial" w:eastAsiaTheme="majorEastAsia" w:hAnsi="Arial" w:cs="Arial"/>
        </w:rPr>
        <w:t> </w:t>
      </w:r>
      <w:r>
        <w:rPr>
          <w:rStyle w:val="normaltextrun"/>
          <w:rFonts w:ascii="Arial" w:eastAsiaTheme="majorEastAsia" w:hAnsi="Arial" w:cs="Arial"/>
        </w:rPr>
        <w:t xml:space="preserve">order to </w:t>
      </w:r>
      <w:r w:rsidR="00147E1C">
        <w:rPr>
          <w:rStyle w:val="normaltextrun"/>
          <w:rFonts w:ascii="Arial" w:eastAsiaTheme="majorEastAsia" w:hAnsi="Arial" w:cs="Arial"/>
        </w:rPr>
        <w:t>attain</w:t>
      </w:r>
      <w:r>
        <w:rPr>
          <w:rStyle w:val="normaltextrun"/>
          <w:rFonts w:ascii="Arial" w:eastAsiaTheme="majorEastAsia" w:hAnsi="Arial" w:cs="Arial"/>
        </w:rPr>
        <w:t xml:space="preserve"> the maximum </w:t>
      </w:r>
      <w:r w:rsidR="00147E1C">
        <w:rPr>
          <w:rStyle w:val="normaltextrun"/>
          <w:rFonts w:ascii="Arial" w:eastAsiaTheme="majorEastAsia" w:hAnsi="Arial" w:cs="Arial"/>
        </w:rPr>
        <w:t>valuable</w:t>
      </w:r>
      <w:r>
        <w:rPr>
          <w:rStyle w:val="normaltextrun"/>
          <w:rFonts w:ascii="Arial" w:eastAsiaTheme="majorEastAsia" w:hAnsi="Arial" w:cs="Arial"/>
        </w:rPr>
        <w:t xml:space="preserve"> </w:t>
      </w:r>
      <w:r w:rsidR="00147E1C">
        <w:rPr>
          <w:rStyle w:val="normaltextrun"/>
          <w:rFonts w:ascii="Arial" w:eastAsiaTheme="majorEastAsia" w:hAnsi="Arial" w:cs="Arial"/>
        </w:rPr>
        <w:t>effect</w:t>
      </w:r>
      <w:r>
        <w:rPr>
          <w:rStyle w:val="normaltextrun"/>
          <w:rFonts w:ascii="Arial" w:eastAsiaTheme="majorEastAsia" w:hAnsi="Arial" w:cs="Arial"/>
        </w:rPr>
        <w:t>. In order for ‘good government’ (White, 2015) to be implemented, it is vital that good scrutiny exists to hold such government to account. </w:t>
      </w:r>
      <w:r>
        <w:rPr>
          <w:rStyle w:val="eop"/>
          <w:rFonts w:ascii="Arial" w:eastAsiaTheme="majorEastAsia" w:hAnsi="Arial" w:cs="Arial"/>
        </w:rPr>
        <w:t> </w:t>
      </w:r>
      <w:r w:rsidR="00E33807">
        <w:rPr>
          <w:rStyle w:val="eop"/>
          <w:rFonts w:ascii="Arial" w:eastAsiaTheme="majorEastAsia" w:hAnsi="Arial" w:cs="Arial"/>
        </w:rPr>
        <w:t xml:space="preserve">  </w:t>
      </w:r>
    </w:p>
    <w:p w14:paraId="416528C6"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60D9FCAF"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25BFADBA"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45787E7A"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3A98FA38"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19C3FF67"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0F29C9B8"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512C4D44" w14:textId="77777777" w:rsidR="00C30358" w:rsidRDefault="00C30358" w:rsidP="00C30358">
      <w:pPr>
        <w:pStyle w:val="paragraph"/>
        <w:shd w:val="clear" w:color="auto" w:fill="FFFFFF"/>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color w:val="242424"/>
        </w:rPr>
        <w:t> </w:t>
      </w:r>
    </w:p>
    <w:p w14:paraId="2B9D171A"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57A200C7"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39FB671D"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7A06E898"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44F90F66"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59C2C77C"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5FC14B65"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750194A0"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68173A6B" w14:textId="77777777" w:rsidR="001520A2" w:rsidRDefault="001520A2" w:rsidP="00C30358">
      <w:pPr>
        <w:pStyle w:val="paragraph"/>
        <w:spacing w:before="0" w:beforeAutospacing="0" w:after="0" w:afterAutospacing="0" w:line="480" w:lineRule="auto"/>
        <w:textAlignment w:val="baseline"/>
        <w:rPr>
          <w:rStyle w:val="normaltextrun"/>
          <w:rFonts w:ascii="Arial" w:eastAsiaTheme="majorEastAsia" w:hAnsi="Arial" w:cs="Arial"/>
          <w:b/>
          <w:bCs/>
        </w:rPr>
      </w:pPr>
    </w:p>
    <w:p w14:paraId="448BFB6A" w14:textId="58AFB748"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b/>
          <w:bCs/>
        </w:rPr>
        <w:lastRenderedPageBreak/>
        <w:t>References</w:t>
      </w:r>
      <w:r>
        <w:rPr>
          <w:rStyle w:val="eop"/>
          <w:rFonts w:ascii="Arial" w:eastAsiaTheme="majorEastAsia" w:hAnsi="Arial" w:cs="Arial"/>
        </w:rPr>
        <w:t> </w:t>
      </w:r>
    </w:p>
    <w:p w14:paraId="4938E979"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2761AA3D"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Albon E et al Sanmeet Kaur Dua (2020 p,5) </w:t>
      </w:r>
      <w:r>
        <w:rPr>
          <w:rStyle w:val="normaltextrun"/>
          <w:rFonts w:ascii="Arial" w:eastAsiaTheme="majorEastAsia" w:hAnsi="Arial" w:cs="Arial"/>
          <w:i/>
          <w:iCs/>
        </w:rPr>
        <w:t xml:space="preserve">‘ELLIOTT &amp; QUINN’S ENGLISH LEGAL SYSTEM’. </w:t>
      </w:r>
      <w:r>
        <w:rPr>
          <w:rStyle w:val="normaltextrun"/>
          <w:rFonts w:ascii="Arial" w:eastAsiaTheme="majorEastAsia" w:hAnsi="Arial" w:cs="Arial"/>
        </w:rPr>
        <w:t>Published: United Kingdom. Publisher:</w:t>
      </w:r>
      <w:r>
        <w:rPr>
          <w:rStyle w:val="normaltextrun"/>
          <w:rFonts w:ascii="Arial" w:eastAsiaTheme="majorEastAsia" w:hAnsi="Arial" w:cs="Arial"/>
          <w:color w:val="070726"/>
          <w:shd w:val="clear" w:color="auto" w:fill="FFFFFF"/>
        </w:rPr>
        <w:t xml:space="preserve"> Pearson Education</w:t>
      </w:r>
      <w:r>
        <w:rPr>
          <w:rStyle w:val="normaltextrun"/>
          <w:rFonts w:ascii="Arial" w:eastAsiaTheme="majorEastAsia" w:hAnsi="Arial" w:cs="Arial"/>
          <w:color w:val="070726"/>
        </w:rPr>
        <w:t> </w:t>
      </w:r>
      <w:r>
        <w:rPr>
          <w:rStyle w:val="eop"/>
          <w:rFonts w:ascii="Arial" w:eastAsiaTheme="majorEastAsia" w:hAnsi="Arial" w:cs="Arial"/>
          <w:color w:val="070726"/>
        </w:rPr>
        <w:t> </w:t>
      </w:r>
    </w:p>
    <w:p w14:paraId="68CCB37C" w14:textId="623793D5" w:rsidR="00C30358" w:rsidRDefault="00C30358" w:rsidP="00C30358">
      <w:pPr>
        <w:pStyle w:val="paragraph"/>
        <w:spacing w:before="0" w:after="0" w:line="480" w:lineRule="auto"/>
        <w:textAlignment w:val="baseline"/>
        <w:rPr>
          <w:rFonts w:ascii="Segoe UI" w:hAnsi="Segoe UI" w:cs="Segoe UI"/>
          <w:sz w:val="18"/>
          <w:szCs w:val="18"/>
        </w:rPr>
      </w:pPr>
      <w:r>
        <w:rPr>
          <w:rStyle w:val="normaltextrun"/>
          <w:rFonts w:ascii="Arial" w:eastAsiaTheme="majorEastAsia" w:hAnsi="Arial" w:cs="Arial"/>
        </w:rPr>
        <w:t>Benwell, R and Gay, O (2017</w:t>
      </w:r>
      <w:r w:rsidRPr="00700014">
        <w:rPr>
          <w:rStyle w:val="normaltextrun"/>
          <w:rFonts w:ascii="Arial" w:eastAsiaTheme="majorEastAsia" w:hAnsi="Arial" w:cs="Arial"/>
          <w:i/>
          <w:iCs/>
        </w:rPr>
        <w:t xml:space="preserve">) </w:t>
      </w:r>
      <w:r w:rsidR="00700014">
        <w:rPr>
          <w:rStyle w:val="normaltextrun"/>
          <w:rFonts w:ascii="Arial" w:eastAsiaTheme="majorEastAsia" w:hAnsi="Arial" w:cs="Arial"/>
          <w:i/>
          <w:iCs/>
        </w:rPr>
        <w:t>‘</w:t>
      </w:r>
      <w:r w:rsidRPr="00700014">
        <w:rPr>
          <w:rStyle w:val="normaltextrun"/>
          <w:rFonts w:ascii="Arial" w:eastAsiaTheme="majorEastAsia" w:hAnsi="Arial" w:cs="Arial"/>
          <w:i/>
          <w:iCs/>
        </w:rPr>
        <w:t>The Separation of Powers (Parliament and Constitution Centre)</w:t>
      </w:r>
      <w:r w:rsidR="00700014">
        <w:rPr>
          <w:rStyle w:val="normaltextrun"/>
          <w:rFonts w:ascii="Arial" w:eastAsiaTheme="majorEastAsia" w:hAnsi="Arial" w:cs="Arial"/>
          <w:i/>
          <w:iCs/>
        </w:rPr>
        <w:t>’.</w:t>
      </w:r>
      <w:r>
        <w:rPr>
          <w:rStyle w:val="normaltextrun"/>
          <w:rFonts w:ascii="Arial" w:eastAsiaTheme="majorEastAsia" w:hAnsi="Arial" w:cs="Arial"/>
        </w:rPr>
        <w:t xml:space="preserve"> Available at:</w:t>
      </w:r>
      <w:r w:rsidRPr="00B30865">
        <w:rPr>
          <w:rStyle w:val="normaltextrun"/>
          <w:rFonts w:ascii="Arial" w:eastAsiaTheme="majorEastAsia" w:hAnsi="Arial" w:cs="Arial"/>
        </w:rPr>
        <w:t xml:space="preserve"> </w:t>
      </w:r>
      <w:hyperlink r:id="rId6" w:history="1">
        <w:r w:rsidR="00B30865" w:rsidRPr="00B30865">
          <w:rPr>
            <w:rStyle w:val="Hyperlink"/>
            <w:rFonts w:ascii="Arial" w:eastAsiaTheme="majorEastAsia" w:hAnsi="Arial" w:cs="Arial"/>
          </w:rPr>
          <w:t>SN06053.pdf (parliament.uk)</w:t>
        </w:r>
      </w:hyperlink>
      <w:r w:rsidR="00B30865">
        <w:rPr>
          <w:rStyle w:val="normaltextrun"/>
          <w:rFonts w:ascii="Arial" w:eastAsiaTheme="majorEastAsia" w:hAnsi="Arial" w:cs="Arial"/>
        </w:rPr>
        <w:t xml:space="preserve"> </w:t>
      </w:r>
      <w:r w:rsidR="00C120B7">
        <w:rPr>
          <w:rStyle w:val="normaltextrun"/>
          <w:rFonts w:ascii="Arial" w:eastAsiaTheme="majorEastAsia" w:hAnsi="Arial" w:cs="Arial"/>
        </w:rPr>
        <w:t>(</w:t>
      </w:r>
      <w:r>
        <w:rPr>
          <w:rStyle w:val="normaltextrun"/>
          <w:rFonts w:ascii="Arial" w:eastAsiaTheme="majorEastAsia" w:hAnsi="Arial" w:cs="Arial"/>
        </w:rPr>
        <w:t>Accessed</w:t>
      </w:r>
      <w:r w:rsidR="00C120B7">
        <w:rPr>
          <w:rStyle w:val="normaltextrun"/>
          <w:rFonts w:ascii="Arial" w:eastAsiaTheme="majorEastAsia" w:hAnsi="Arial" w:cs="Arial"/>
        </w:rPr>
        <w:t>:</w:t>
      </w:r>
      <w:r>
        <w:rPr>
          <w:rStyle w:val="normaltextrun"/>
          <w:rFonts w:ascii="Arial" w:eastAsiaTheme="majorEastAsia" w:hAnsi="Arial" w:cs="Arial"/>
        </w:rPr>
        <w:t xml:space="preserve"> 19 March 2024</w:t>
      </w:r>
      <w:r w:rsidR="00C120B7">
        <w:rPr>
          <w:rStyle w:val="normaltextrun"/>
          <w:rFonts w:ascii="Arial" w:eastAsiaTheme="majorEastAsia" w:hAnsi="Arial" w:cs="Arial"/>
        </w:rPr>
        <w:t>)</w:t>
      </w:r>
      <w:r>
        <w:rPr>
          <w:rStyle w:val="eop"/>
          <w:rFonts w:ascii="Arial" w:eastAsiaTheme="majorEastAsia" w:hAnsi="Arial" w:cs="Arial"/>
        </w:rPr>
        <w:t> </w:t>
      </w:r>
    </w:p>
    <w:p w14:paraId="100E8746" w14:textId="77299B74" w:rsidR="00C30358" w:rsidRDefault="00C30358" w:rsidP="00C30358">
      <w:pPr>
        <w:pStyle w:val="paragraph"/>
        <w:spacing w:before="0" w:after="0" w:line="480" w:lineRule="auto"/>
        <w:textAlignment w:val="baseline"/>
        <w:rPr>
          <w:rFonts w:ascii="Segoe UI" w:hAnsi="Segoe UI" w:cs="Segoe UI"/>
          <w:sz w:val="18"/>
          <w:szCs w:val="18"/>
        </w:rPr>
      </w:pPr>
      <w:r>
        <w:rPr>
          <w:rStyle w:val="normaltextrun"/>
          <w:rFonts w:ascii="Arial" w:eastAsiaTheme="majorEastAsia" w:hAnsi="Arial" w:cs="Arial"/>
        </w:rPr>
        <w:t>Eisenhower D</w:t>
      </w:r>
      <w:r w:rsidR="00700014">
        <w:rPr>
          <w:rStyle w:val="normaltextrun"/>
          <w:rFonts w:ascii="Arial" w:eastAsiaTheme="majorEastAsia" w:hAnsi="Arial" w:cs="Arial"/>
        </w:rPr>
        <w:t xml:space="preserve"> </w:t>
      </w:r>
      <w:r w:rsidR="00B30865">
        <w:rPr>
          <w:rStyle w:val="normaltextrun"/>
          <w:rFonts w:ascii="Arial" w:eastAsiaTheme="majorEastAsia" w:hAnsi="Arial" w:cs="Arial"/>
        </w:rPr>
        <w:t>(19</w:t>
      </w:r>
      <w:r w:rsidR="00700014">
        <w:rPr>
          <w:rStyle w:val="normaltextrun"/>
          <w:rFonts w:ascii="Arial" w:eastAsiaTheme="majorEastAsia" w:hAnsi="Arial" w:cs="Arial"/>
        </w:rPr>
        <w:t>63)</w:t>
      </w:r>
      <w:r>
        <w:rPr>
          <w:rStyle w:val="normaltextrun"/>
          <w:rFonts w:ascii="Arial" w:eastAsiaTheme="majorEastAsia" w:hAnsi="Arial" w:cs="Arial"/>
        </w:rPr>
        <w:t xml:space="preserve">, </w:t>
      </w:r>
      <w:r>
        <w:rPr>
          <w:rStyle w:val="normaltextrun"/>
          <w:rFonts w:ascii="Arial" w:eastAsiaTheme="majorEastAsia" w:hAnsi="Arial" w:cs="Arial"/>
          <w:i/>
          <w:iCs/>
        </w:rPr>
        <w:t>Mandate for Change, 1953–1956; The White House Years</w:t>
      </w:r>
      <w:r>
        <w:rPr>
          <w:rStyle w:val="normaltextrun"/>
          <w:rFonts w:ascii="Arial" w:eastAsiaTheme="majorEastAsia" w:hAnsi="Arial" w:cs="Arial"/>
        </w:rPr>
        <w:t>, Doubleday and Company</w:t>
      </w:r>
      <w:r w:rsidR="00700014">
        <w:rPr>
          <w:rStyle w:val="normaltextrun"/>
          <w:rFonts w:ascii="Arial" w:eastAsiaTheme="majorEastAsia" w:hAnsi="Arial" w:cs="Arial"/>
        </w:rPr>
        <w:t>.</w:t>
      </w:r>
      <w:r>
        <w:rPr>
          <w:rStyle w:val="eop"/>
          <w:rFonts w:ascii="Arial" w:eastAsiaTheme="majorEastAsia" w:hAnsi="Arial" w:cs="Arial"/>
        </w:rPr>
        <w:t> </w:t>
      </w:r>
    </w:p>
    <w:p w14:paraId="18683923" w14:textId="0B8798FD" w:rsidR="00C30358" w:rsidRDefault="00C30358" w:rsidP="00C30358">
      <w:pPr>
        <w:pStyle w:val="paragraph"/>
        <w:spacing w:before="0" w:after="0" w:line="480" w:lineRule="auto"/>
        <w:textAlignment w:val="baseline"/>
        <w:rPr>
          <w:rFonts w:ascii="Segoe UI" w:hAnsi="Segoe UI" w:cs="Segoe UI"/>
          <w:sz w:val="18"/>
          <w:szCs w:val="18"/>
        </w:rPr>
      </w:pPr>
      <w:r>
        <w:rPr>
          <w:rStyle w:val="normaltextrun"/>
          <w:rFonts w:ascii="Arial" w:eastAsiaTheme="majorEastAsia" w:hAnsi="Arial" w:cs="Arial"/>
        </w:rPr>
        <w:t xml:space="preserve">Institute for Government (2024) </w:t>
      </w:r>
      <w:r w:rsidR="00B30865">
        <w:rPr>
          <w:rStyle w:val="normaltextrun"/>
          <w:rFonts w:ascii="Arial" w:eastAsiaTheme="majorEastAsia" w:hAnsi="Arial" w:cs="Arial"/>
        </w:rPr>
        <w:t>‘</w:t>
      </w:r>
      <w:r w:rsidRPr="00B30865">
        <w:rPr>
          <w:rStyle w:val="normaltextrun"/>
          <w:rFonts w:ascii="Arial" w:eastAsiaTheme="majorEastAsia" w:hAnsi="Arial" w:cs="Arial"/>
          <w:i/>
          <w:iCs/>
        </w:rPr>
        <w:t>Power with Purpose: Final report of the Commission on the Centre of Government</w:t>
      </w:r>
      <w:r w:rsidR="00B30865">
        <w:rPr>
          <w:rStyle w:val="normaltextrun"/>
          <w:rFonts w:ascii="Arial" w:eastAsiaTheme="majorEastAsia" w:hAnsi="Arial" w:cs="Arial"/>
          <w:i/>
          <w:iCs/>
        </w:rPr>
        <w:t>’</w:t>
      </w:r>
      <w:r w:rsidR="00B30865">
        <w:rPr>
          <w:rStyle w:val="normaltextrun"/>
          <w:rFonts w:ascii="Arial" w:eastAsiaTheme="majorEastAsia" w:hAnsi="Arial" w:cs="Arial"/>
        </w:rPr>
        <w:t>.</w:t>
      </w:r>
      <w:r>
        <w:rPr>
          <w:rStyle w:val="normaltextrun"/>
          <w:rFonts w:ascii="Arial" w:eastAsiaTheme="majorEastAsia" w:hAnsi="Arial" w:cs="Arial"/>
        </w:rPr>
        <w:t xml:space="preserve"> Available at: </w:t>
      </w:r>
      <w:hyperlink r:id="rId7" w:anchor=":~:text=The%20final%20report%20of%20the,in%20the%202020s%20and%20beyond." w:history="1">
        <w:r w:rsidR="007D2EF2" w:rsidRPr="007D2EF2">
          <w:rPr>
            <w:rStyle w:val="Hyperlink"/>
            <w:rFonts w:ascii="Arial" w:eastAsiaTheme="majorEastAsia" w:hAnsi="Arial" w:cs="Arial"/>
          </w:rPr>
          <w:t>Power with purpose: Final report of the Commission on the Centre of Government | Institute for Governmen</w:t>
        </w:r>
        <w:r w:rsidR="007D2EF2">
          <w:rPr>
            <w:rStyle w:val="Hyperlink"/>
            <w:rFonts w:eastAsiaTheme="majorEastAsia"/>
          </w:rPr>
          <w:t>t</w:t>
        </w:r>
      </w:hyperlink>
      <w:r w:rsidR="007D2EF2">
        <w:rPr>
          <w:rStyle w:val="normaltextrun"/>
          <w:rFonts w:ascii="Arial" w:eastAsiaTheme="majorEastAsia" w:hAnsi="Arial" w:cs="Arial"/>
        </w:rPr>
        <w:t xml:space="preserve"> </w:t>
      </w:r>
      <w:r w:rsidR="00C120B7">
        <w:rPr>
          <w:rStyle w:val="normaltextrun"/>
          <w:rFonts w:ascii="Arial" w:eastAsiaTheme="majorEastAsia" w:hAnsi="Arial" w:cs="Arial"/>
        </w:rPr>
        <w:t>(</w:t>
      </w:r>
      <w:r>
        <w:rPr>
          <w:rStyle w:val="normaltextrun"/>
          <w:rFonts w:ascii="Arial" w:eastAsiaTheme="majorEastAsia" w:hAnsi="Arial" w:cs="Arial"/>
        </w:rPr>
        <w:t>Accessed: 19 March 2024</w:t>
      </w:r>
      <w:r w:rsidR="00C120B7">
        <w:rPr>
          <w:rStyle w:val="normaltextrun"/>
          <w:rFonts w:ascii="Arial" w:eastAsiaTheme="majorEastAsia" w:hAnsi="Arial" w:cs="Arial"/>
        </w:rPr>
        <w:t>)</w:t>
      </w:r>
      <w:r>
        <w:rPr>
          <w:rStyle w:val="normaltextrun"/>
          <w:rFonts w:ascii="Arial" w:eastAsiaTheme="majorEastAsia" w:hAnsi="Arial" w:cs="Arial"/>
        </w:rPr>
        <w:t> </w:t>
      </w:r>
      <w:r>
        <w:rPr>
          <w:rStyle w:val="eop"/>
          <w:rFonts w:ascii="Arial" w:eastAsiaTheme="majorEastAsia" w:hAnsi="Arial" w:cs="Arial"/>
        </w:rPr>
        <w:t> </w:t>
      </w:r>
    </w:p>
    <w:p w14:paraId="47B5B148" w14:textId="10334C14"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sidRPr="00C120B7">
        <w:rPr>
          <w:rStyle w:val="normaltextrun"/>
          <w:rFonts w:ascii="Arial" w:eastAsiaTheme="majorEastAsia" w:hAnsi="Arial" w:cs="Arial"/>
        </w:rPr>
        <w:t> </w:t>
      </w:r>
      <w:r>
        <w:rPr>
          <w:rStyle w:val="eop"/>
          <w:rFonts w:ascii="Arial" w:eastAsiaTheme="majorEastAsia" w:hAnsi="Arial" w:cs="Arial"/>
        </w:rPr>
        <w:t> </w:t>
      </w:r>
      <w:r>
        <w:rPr>
          <w:rStyle w:val="normaltextrun"/>
          <w:rFonts w:ascii="Arial" w:eastAsiaTheme="majorEastAsia" w:hAnsi="Arial" w:cs="Arial"/>
        </w:rPr>
        <w:t xml:space="preserve">Montesquieu B, (1956) </w:t>
      </w:r>
      <w:r w:rsidR="00700014">
        <w:rPr>
          <w:rStyle w:val="normaltextrun"/>
          <w:rFonts w:ascii="Arial" w:eastAsiaTheme="majorEastAsia" w:hAnsi="Arial" w:cs="Arial"/>
        </w:rPr>
        <w:t>‘</w:t>
      </w:r>
      <w:r w:rsidRPr="00700014">
        <w:rPr>
          <w:rStyle w:val="normaltextrun"/>
          <w:rFonts w:ascii="Arial" w:eastAsiaTheme="majorEastAsia" w:hAnsi="Arial" w:cs="Arial"/>
          <w:i/>
          <w:iCs/>
        </w:rPr>
        <w:t>The Spirt of Laws</w:t>
      </w:r>
      <w:r w:rsidR="00700014">
        <w:rPr>
          <w:rStyle w:val="normaltextrun"/>
          <w:rFonts w:ascii="Arial" w:eastAsiaTheme="majorEastAsia" w:hAnsi="Arial" w:cs="Arial"/>
          <w:i/>
          <w:iCs/>
        </w:rPr>
        <w:t>’</w:t>
      </w:r>
      <w:r>
        <w:rPr>
          <w:rStyle w:val="normaltextrun"/>
          <w:rFonts w:ascii="Arial" w:eastAsiaTheme="majorEastAsia" w:hAnsi="Arial" w:cs="Arial"/>
        </w:rPr>
        <w:t>. Published: New York. Publisher: Colonial Press </w:t>
      </w:r>
      <w:r>
        <w:rPr>
          <w:rStyle w:val="eop"/>
          <w:rFonts w:ascii="Arial" w:eastAsiaTheme="majorEastAsia" w:hAnsi="Arial" w:cs="Arial"/>
        </w:rPr>
        <w:t> </w:t>
      </w:r>
    </w:p>
    <w:p w14:paraId="205EFAE3"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76CBA73C" w14:textId="2E725DF1"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Quinn, B </w:t>
      </w:r>
      <w:r w:rsidR="00700014">
        <w:rPr>
          <w:rStyle w:val="normaltextrun"/>
          <w:rFonts w:ascii="Arial" w:eastAsiaTheme="majorEastAsia" w:hAnsi="Arial" w:cs="Arial"/>
        </w:rPr>
        <w:t>(</w:t>
      </w:r>
      <w:r w:rsidR="000B1E24">
        <w:rPr>
          <w:rStyle w:val="normaltextrun"/>
          <w:rFonts w:ascii="Arial" w:eastAsiaTheme="majorEastAsia" w:hAnsi="Arial" w:cs="Arial"/>
        </w:rPr>
        <w:t>2014)</w:t>
      </w:r>
      <w:r w:rsidR="00700014">
        <w:rPr>
          <w:rStyle w:val="normaltextrun"/>
          <w:rFonts w:ascii="Arial" w:eastAsiaTheme="majorEastAsia" w:hAnsi="Arial" w:cs="Arial"/>
        </w:rPr>
        <w:t xml:space="preserve"> </w:t>
      </w:r>
      <w:r w:rsidRPr="000B1E24">
        <w:rPr>
          <w:rStyle w:val="normaltextrun"/>
          <w:rFonts w:ascii="Arial" w:eastAsiaTheme="majorEastAsia" w:hAnsi="Arial" w:cs="Arial"/>
          <w:i/>
          <w:iCs/>
        </w:rPr>
        <w:t>‘Toxic culture of disbelief’ persists at top of Post Office</w:t>
      </w:r>
      <w:r w:rsidR="00D81377">
        <w:rPr>
          <w:rStyle w:val="normaltextrun"/>
          <w:rFonts w:ascii="Arial" w:eastAsiaTheme="majorEastAsia" w:hAnsi="Arial" w:cs="Arial"/>
          <w:i/>
          <w:iCs/>
        </w:rPr>
        <w:t>’.</w:t>
      </w:r>
      <w:r>
        <w:rPr>
          <w:rStyle w:val="normaltextrun"/>
          <w:rFonts w:ascii="Arial" w:eastAsiaTheme="majorEastAsia" w:hAnsi="Arial" w:cs="Arial"/>
        </w:rPr>
        <w:t xml:space="preserve"> Available at:</w:t>
      </w:r>
      <w:r w:rsidRPr="00613D78">
        <w:rPr>
          <w:rStyle w:val="normaltextrun"/>
          <w:rFonts w:ascii="Arial" w:eastAsiaTheme="majorEastAsia" w:hAnsi="Arial" w:cs="Arial"/>
        </w:rPr>
        <w:t xml:space="preserve"> </w:t>
      </w:r>
      <w:hyperlink r:id="rId8" w:history="1">
        <w:r w:rsidR="00613D78" w:rsidRPr="00613D78">
          <w:rPr>
            <w:rStyle w:val="Hyperlink"/>
            <w:rFonts w:ascii="Arial" w:eastAsiaTheme="majorEastAsia" w:hAnsi="Arial" w:cs="Arial"/>
          </w:rPr>
          <w:t>‘Toxic culture of disbelief’ persists at top of Post Office, MPs told | Post Office Horizon scandal | The Guardian</w:t>
        </w:r>
      </w:hyperlink>
      <w:r w:rsidR="00613D78">
        <w:rPr>
          <w:rStyle w:val="normaltextrun"/>
          <w:rFonts w:ascii="Arial" w:eastAsiaTheme="majorEastAsia" w:hAnsi="Arial" w:cs="Arial"/>
        </w:rPr>
        <w:t xml:space="preserve"> </w:t>
      </w:r>
      <w:r w:rsidR="00C120B7">
        <w:rPr>
          <w:rStyle w:val="normaltextrun"/>
          <w:rFonts w:ascii="Arial" w:eastAsiaTheme="majorEastAsia" w:hAnsi="Arial" w:cs="Arial"/>
        </w:rPr>
        <w:t>(</w:t>
      </w:r>
      <w:r>
        <w:rPr>
          <w:rStyle w:val="normaltextrun"/>
          <w:rFonts w:ascii="Arial" w:eastAsiaTheme="majorEastAsia" w:hAnsi="Arial" w:cs="Arial"/>
        </w:rPr>
        <w:t>Accessed: 19 March 2024</w:t>
      </w:r>
      <w:r w:rsidR="00C120B7">
        <w:rPr>
          <w:rStyle w:val="normaltextrun"/>
          <w:rFonts w:ascii="Arial" w:eastAsiaTheme="majorEastAsia" w:hAnsi="Arial" w:cs="Arial"/>
        </w:rPr>
        <w:t>)</w:t>
      </w:r>
      <w:r>
        <w:rPr>
          <w:rStyle w:val="eop"/>
          <w:rFonts w:ascii="Arial" w:eastAsiaTheme="majorEastAsia" w:hAnsi="Arial" w:cs="Arial"/>
        </w:rPr>
        <w:t> </w:t>
      </w:r>
    </w:p>
    <w:p w14:paraId="7DDBA1A7"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6DD5836B" w14:textId="70B23989"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Russell, M and James, L (2023). </w:t>
      </w:r>
      <w:r>
        <w:rPr>
          <w:rStyle w:val="normaltextrun"/>
          <w:rFonts w:ascii="Arial" w:eastAsiaTheme="majorEastAsia" w:hAnsi="Arial" w:cs="Arial"/>
          <w:i/>
          <w:iCs/>
        </w:rPr>
        <w:t xml:space="preserve">‘Parliamentary Scrutiny: What is it and Why does it matter?’. </w:t>
      </w:r>
      <w:r>
        <w:rPr>
          <w:rStyle w:val="normaltextrun"/>
          <w:rFonts w:ascii="Arial" w:eastAsiaTheme="majorEastAsia" w:hAnsi="Arial" w:cs="Arial"/>
        </w:rPr>
        <w:t xml:space="preserve">Available at: </w:t>
      </w:r>
      <w:hyperlink r:id="rId9" w:tgtFrame="_blank" w:history="1">
        <w:r>
          <w:rPr>
            <w:rStyle w:val="normaltextrun"/>
            <w:rFonts w:ascii="Arial" w:eastAsiaTheme="majorEastAsia" w:hAnsi="Arial" w:cs="Arial"/>
            <w:color w:val="0000FF"/>
            <w:u w:val="single"/>
          </w:rPr>
          <w:t>parliamentary_scrutiny_briefing_final_clean_1_1.pdf (ucl.ac.uk)</w:t>
        </w:r>
      </w:hyperlink>
      <w:r>
        <w:rPr>
          <w:rStyle w:val="normaltextrun"/>
          <w:rFonts w:ascii="Arial" w:eastAsiaTheme="majorEastAsia" w:hAnsi="Arial" w:cs="Arial"/>
        </w:rPr>
        <w:t xml:space="preserve">.  </w:t>
      </w:r>
      <w:r w:rsidR="00C120B7">
        <w:rPr>
          <w:rStyle w:val="normaltextrun"/>
          <w:rFonts w:ascii="Arial" w:eastAsiaTheme="majorEastAsia" w:hAnsi="Arial" w:cs="Arial"/>
        </w:rPr>
        <w:t>(</w:t>
      </w:r>
      <w:r>
        <w:rPr>
          <w:rStyle w:val="normaltextrun"/>
          <w:rFonts w:ascii="Arial" w:eastAsiaTheme="majorEastAsia" w:hAnsi="Arial" w:cs="Arial"/>
        </w:rPr>
        <w:t>Accesse</w:t>
      </w:r>
      <w:r w:rsidR="00C120B7">
        <w:rPr>
          <w:rStyle w:val="normaltextrun"/>
          <w:rFonts w:ascii="Arial" w:eastAsiaTheme="majorEastAsia" w:hAnsi="Arial" w:cs="Arial"/>
        </w:rPr>
        <w:t xml:space="preserve">d: 4 </w:t>
      </w:r>
      <w:r>
        <w:rPr>
          <w:rStyle w:val="normaltextrun"/>
          <w:rFonts w:ascii="Arial" w:eastAsiaTheme="majorEastAsia" w:hAnsi="Arial" w:cs="Arial"/>
        </w:rPr>
        <w:t>March 2024</w:t>
      </w:r>
      <w:r w:rsidR="00C120B7">
        <w:rPr>
          <w:rStyle w:val="normaltextrun"/>
          <w:rFonts w:ascii="Arial" w:eastAsiaTheme="majorEastAsia" w:hAnsi="Arial" w:cs="Arial"/>
        </w:rPr>
        <w:t>)</w:t>
      </w:r>
      <w:r>
        <w:rPr>
          <w:rStyle w:val="normaltextrun"/>
          <w:rFonts w:ascii="Arial" w:eastAsiaTheme="majorEastAsia" w:hAnsi="Arial" w:cs="Arial"/>
        </w:rPr>
        <w:t> </w:t>
      </w:r>
      <w:r>
        <w:rPr>
          <w:rStyle w:val="eop"/>
          <w:rFonts w:ascii="Arial" w:eastAsiaTheme="majorEastAsia" w:hAnsi="Arial" w:cs="Arial"/>
        </w:rPr>
        <w:t> </w:t>
      </w:r>
    </w:p>
    <w:p w14:paraId="331F9489"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lastRenderedPageBreak/>
        <w:t> </w:t>
      </w:r>
    </w:p>
    <w:p w14:paraId="5D921E90" w14:textId="546E9B42"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Rutter J, </w:t>
      </w:r>
      <w:r w:rsidR="009F6A5F">
        <w:rPr>
          <w:rStyle w:val="normaltextrun"/>
          <w:rFonts w:ascii="Arial" w:eastAsiaTheme="majorEastAsia" w:hAnsi="Arial" w:cs="Arial"/>
        </w:rPr>
        <w:t xml:space="preserve">(2011) </w:t>
      </w:r>
      <w:r>
        <w:rPr>
          <w:rStyle w:val="normaltextrun"/>
          <w:rFonts w:ascii="Arial" w:eastAsiaTheme="majorEastAsia" w:hAnsi="Arial" w:cs="Arial"/>
        </w:rPr>
        <w:t>‘</w:t>
      </w:r>
      <w:r w:rsidRPr="00201811">
        <w:rPr>
          <w:rStyle w:val="normaltextrun"/>
          <w:rFonts w:ascii="Arial" w:eastAsiaTheme="majorEastAsia" w:hAnsi="Arial" w:cs="Arial"/>
          <w:i/>
          <w:iCs/>
        </w:rPr>
        <w:t>Was Gordon Brown’s “Economic War Council” a new model for driving the PM’s agenda?</w:t>
      </w:r>
      <w:r>
        <w:rPr>
          <w:rStyle w:val="normaltextrun"/>
          <w:rFonts w:ascii="Arial" w:eastAsiaTheme="majorEastAsia" w:hAnsi="Arial" w:cs="Arial"/>
        </w:rPr>
        <w:t>’</w:t>
      </w:r>
      <w:r w:rsidR="00201811">
        <w:rPr>
          <w:rStyle w:val="normaltextrun"/>
          <w:rFonts w:ascii="Arial" w:eastAsiaTheme="majorEastAsia" w:hAnsi="Arial" w:cs="Arial"/>
        </w:rPr>
        <w:t xml:space="preserve">. </w:t>
      </w:r>
      <w:r w:rsidR="00343218">
        <w:rPr>
          <w:rStyle w:val="normaltextrun"/>
          <w:rFonts w:ascii="Arial" w:eastAsiaTheme="majorEastAsia" w:hAnsi="Arial" w:cs="Arial"/>
        </w:rPr>
        <w:t xml:space="preserve">Available at: </w:t>
      </w:r>
      <w:hyperlink r:id="rId10" w:history="1">
        <w:r w:rsidR="00201811" w:rsidRPr="00201811">
          <w:rPr>
            <w:rStyle w:val="Hyperlink"/>
            <w:rFonts w:ascii="Arial" w:eastAsiaTheme="majorEastAsia" w:hAnsi="Arial" w:cs="Arial"/>
          </w:rPr>
          <w:t>Was Gordon Brown's 'Economic War Council' a new model for driving the PM's agenda? | Institute for Government</w:t>
        </w:r>
      </w:hyperlink>
      <w:r w:rsidR="00201811">
        <w:rPr>
          <w:rStyle w:val="normaltextrun"/>
          <w:rFonts w:ascii="Arial" w:eastAsiaTheme="majorEastAsia" w:hAnsi="Arial" w:cs="Arial"/>
        </w:rPr>
        <w:t xml:space="preserve"> </w:t>
      </w:r>
      <w:r w:rsidR="00343218">
        <w:rPr>
          <w:rStyle w:val="normaltextrun"/>
          <w:rFonts w:ascii="Arial" w:eastAsiaTheme="majorEastAsia" w:hAnsi="Arial" w:cs="Arial"/>
        </w:rPr>
        <w:t>(Accessed: 4 of March 2024)</w:t>
      </w:r>
      <w:r>
        <w:rPr>
          <w:rStyle w:val="normaltextrun"/>
          <w:rFonts w:ascii="Arial" w:eastAsiaTheme="majorEastAsia" w:hAnsi="Arial" w:cs="Arial"/>
        </w:rPr>
        <w:t> </w:t>
      </w:r>
      <w:r>
        <w:rPr>
          <w:rStyle w:val="eop"/>
          <w:rFonts w:ascii="Arial" w:eastAsiaTheme="majorEastAsia" w:hAnsi="Arial" w:cs="Arial"/>
        </w:rPr>
        <w:t> </w:t>
      </w:r>
    </w:p>
    <w:p w14:paraId="49AB6F80"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50E15EA3" w14:textId="6AE6466F" w:rsidR="00C30358" w:rsidRDefault="00C30358" w:rsidP="00C30358">
      <w:pPr>
        <w:pStyle w:val="paragraph"/>
        <w:spacing w:before="0" w:beforeAutospacing="0" w:after="0" w:afterAutospacing="0" w:line="480" w:lineRule="auto"/>
        <w:textAlignment w:val="baseline"/>
        <w:rPr>
          <w:rStyle w:val="eop"/>
          <w:rFonts w:ascii="Arial" w:eastAsiaTheme="majorEastAsia" w:hAnsi="Arial" w:cs="Arial"/>
        </w:rPr>
      </w:pPr>
      <w:r>
        <w:rPr>
          <w:rStyle w:val="normaltextrun"/>
          <w:rFonts w:ascii="Arial" w:eastAsiaTheme="majorEastAsia" w:hAnsi="Arial" w:cs="Arial"/>
        </w:rPr>
        <w:t xml:space="preserve">The British Institute of Human Rights (2024) </w:t>
      </w:r>
      <w:r w:rsidRPr="00D81377">
        <w:rPr>
          <w:rStyle w:val="normaltextrun"/>
          <w:rFonts w:ascii="Arial" w:eastAsiaTheme="majorEastAsia" w:hAnsi="Arial" w:cs="Arial"/>
          <w:i/>
          <w:iCs/>
        </w:rPr>
        <w:t>‘Separation of Powers, Parliamentary Sovereignty &amp; the Rule of Law</w:t>
      </w:r>
      <w:r>
        <w:rPr>
          <w:rStyle w:val="normaltextrun"/>
          <w:rFonts w:ascii="Arial" w:eastAsiaTheme="majorEastAsia" w:hAnsi="Arial" w:cs="Arial"/>
        </w:rPr>
        <w:t xml:space="preserve">’. Available at: </w:t>
      </w:r>
      <w:hyperlink r:id="rId11" w:tgtFrame="_blank" w:history="1">
        <w:r>
          <w:rPr>
            <w:rStyle w:val="normaltextrun"/>
            <w:rFonts w:ascii="Arial" w:eastAsiaTheme="majorEastAsia" w:hAnsi="Arial" w:cs="Arial"/>
            <w:color w:val="0000FF"/>
            <w:u w:val="single"/>
          </w:rPr>
          <w:t>Separation of Powers, Parliamentary Sovereignty &amp; the Rule of Law | BIHR</w:t>
        </w:r>
      </w:hyperlink>
      <w:r>
        <w:rPr>
          <w:rStyle w:val="normaltextrun"/>
          <w:rFonts w:ascii="Arial" w:eastAsiaTheme="majorEastAsia" w:hAnsi="Arial" w:cs="Arial"/>
        </w:rPr>
        <w:t xml:space="preserve">. </w:t>
      </w:r>
      <w:r w:rsidR="00201811">
        <w:rPr>
          <w:rStyle w:val="normaltextrun"/>
          <w:rFonts w:ascii="Arial" w:eastAsiaTheme="majorEastAsia" w:hAnsi="Arial" w:cs="Arial"/>
        </w:rPr>
        <w:t>(</w:t>
      </w:r>
      <w:r>
        <w:rPr>
          <w:rStyle w:val="normaltextrun"/>
          <w:rFonts w:ascii="Arial" w:eastAsiaTheme="majorEastAsia" w:hAnsi="Arial" w:cs="Arial"/>
        </w:rPr>
        <w:t>Accessed</w:t>
      </w:r>
      <w:r w:rsidR="00AE1FFB">
        <w:rPr>
          <w:rStyle w:val="normaltextrun"/>
          <w:rFonts w:ascii="Arial" w:eastAsiaTheme="majorEastAsia" w:hAnsi="Arial" w:cs="Arial"/>
        </w:rPr>
        <w:t>: 1</w:t>
      </w:r>
      <w:r>
        <w:rPr>
          <w:rStyle w:val="normaltextrun"/>
          <w:rFonts w:ascii="Arial" w:eastAsiaTheme="majorEastAsia" w:hAnsi="Arial" w:cs="Arial"/>
        </w:rPr>
        <w:t xml:space="preserve"> March 2024</w:t>
      </w:r>
      <w:r w:rsidR="00AE1FFB">
        <w:rPr>
          <w:rStyle w:val="normaltextrun"/>
          <w:rFonts w:ascii="Arial" w:eastAsiaTheme="majorEastAsia" w:hAnsi="Arial" w:cs="Arial"/>
        </w:rPr>
        <w:t>)</w:t>
      </w:r>
      <w:r>
        <w:rPr>
          <w:rStyle w:val="eop"/>
          <w:rFonts w:ascii="Arial" w:eastAsiaTheme="majorEastAsia" w:hAnsi="Arial" w:cs="Arial"/>
        </w:rPr>
        <w:t> </w:t>
      </w:r>
    </w:p>
    <w:p w14:paraId="0991690E" w14:textId="77777777" w:rsidR="00BF55B6" w:rsidRDefault="00BF55B6" w:rsidP="00C30358">
      <w:pPr>
        <w:pStyle w:val="paragraph"/>
        <w:spacing w:before="0" w:beforeAutospacing="0" w:after="0" w:afterAutospacing="0" w:line="480" w:lineRule="auto"/>
        <w:textAlignment w:val="baseline"/>
        <w:rPr>
          <w:rStyle w:val="eop"/>
          <w:rFonts w:ascii="Arial" w:eastAsiaTheme="majorEastAsia" w:hAnsi="Arial" w:cs="Arial"/>
        </w:rPr>
      </w:pPr>
    </w:p>
    <w:p w14:paraId="2C927DAE" w14:textId="77777777" w:rsidR="00BF55B6" w:rsidRPr="003432BC" w:rsidRDefault="00BF55B6" w:rsidP="00BF55B6">
      <w:pPr>
        <w:pStyle w:val="paragraph"/>
        <w:spacing w:before="0" w:beforeAutospacing="0" w:after="0" w:afterAutospacing="0" w:line="480" w:lineRule="auto"/>
        <w:textAlignment w:val="baseline"/>
        <w:rPr>
          <w:rStyle w:val="eop"/>
          <w:rFonts w:ascii="Arial" w:eastAsiaTheme="majorEastAsia" w:hAnsi="Arial" w:cs="Arial"/>
        </w:rPr>
      </w:pPr>
      <w:r w:rsidRPr="003432BC">
        <w:rPr>
          <w:rStyle w:val="eop"/>
          <w:rFonts w:ascii="Arial" w:eastAsiaTheme="majorEastAsia" w:hAnsi="Arial" w:cs="Arial"/>
        </w:rPr>
        <w:t xml:space="preserve">UK Government (2024) </w:t>
      </w:r>
      <w:r w:rsidRPr="00B30865">
        <w:rPr>
          <w:rStyle w:val="eop"/>
          <w:rFonts w:ascii="Arial" w:eastAsiaTheme="majorEastAsia" w:hAnsi="Arial" w:cs="Arial"/>
          <w:i/>
          <w:iCs/>
        </w:rPr>
        <w:t>‘How the Government work’</w:t>
      </w:r>
      <w:r w:rsidRPr="003432BC">
        <w:rPr>
          <w:rStyle w:val="eop"/>
          <w:rFonts w:ascii="Arial" w:eastAsiaTheme="majorEastAsia" w:hAnsi="Arial" w:cs="Arial"/>
        </w:rPr>
        <w:t xml:space="preserve">. Available at: </w:t>
      </w:r>
      <w:hyperlink r:id="rId12" w:history="1">
        <w:r w:rsidRPr="003432BC">
          <w:rPr>
            <w:rStyle w:val="Hyperlink"/>
            <w:rFonts w:ascii="Arial" w:eastAsiaTheme="majorEastAsia" w:hAnsi="Arial" w:cs="Arial"/>
          </w:rPr>
          <w:t>How government works - GOV.UK (www.gov.uk)</w:t>
        </w:r>
      </w:hyperlink>
      <w:r w:rsidRPr="003432BC">
        <w:rPr>
          <w:rStyle w:val="eop"/>
          <w:rFonts w:ascii="Arial" w:eastAsiaTheme="majorEastAsia" w:hAnsi="Arial" w:cs="Arial"/>
        </w:rPr>
        <w:t xml:space="preserve"> (Accessed: 4 March 2024)</w:t>
      </w:r>
    </w:p>
    <w:p w14:paraId="0AEC493E" w14:textId="77777777" w:rsidR="00BF55B6" w:rsidRDefault="00BF55B6" w:rsidP="00BF55B6">
      <w:pPr>
        <w:pStyle w:val="paragraph"/>
        <w:spacing w:before="0" w:beforeAutospacing="0" w:after="0" w:afterAutospacing="0" w:line="480" w:lineRule="auto"/>
        <w:textAlignment w:val="baseline"/>
        <w:rPr>
          <w:rFonts w:ascii="Segoe UI" w:hAnsi="Segoe UI" w:cs="Segoe UI"/>
          <w:sz w:val="18"/>
          <w:szCs w:val="18"/>
        </w:rPr>
      </w:pPr>
    </w:p>
    <w:p w14:paraId="25C27883" w14:textId="77777777" w:rsidR="00BF55B6" w:rsidRDefault="00BF55B6" w:rsidP="00BF55B6">
      <w:pPr>
        <w:pStyle w:val="paragraph"/>
        <w:spacing w:before="0" w:beforeAutospacing="0" w:after="0" w:afterAutospacing="0" w:line="480" w:lineRule="auto"/>
        <w:textAlignment w:val="baseline"/>
        <w:rPr>
          <w:rFonts w:ascii="Arial" w:hAnsi="Arial" w:cs="Arial"/>
        </w:rPr>
      </w:pPr>
      <w:r w:rsidRPr="003432BC">
        <w:rPr>
          <w:rFonts w:ascii="Arial" w:hAnsi="Arial" w:cs="Arial"/>
        </w:rPr>
        <w:t>UK Parliament (2024</w:t>
      </w:r>
      <w:r>
        <w:rPr>
          <w:rFonts w:ascii="Arial" w:hAnsi="Arial" w:cs="Arial"/>
        </w:rPr>
        <w:t>a</w:t>
      </w:r>
      <w:r w:rsidRPr="003432BC">
        <w:rPr>
          <w:rFonts w:ascii="Arial" w:hAnsi="Arial" w:cs="Arial"/>
        </w:rPr>
        <w:t xml:space="preserve">) </w:t>
      </w:r>
      <w:r w:rsidRPr="00B30865">
        <w:rPr>
          <w:rFonts w:ascii="Arial" w:hAnsi="Arial" w:cs="Arial"/>
          <w:i/>
          <w:iCs/>
        </w:rPr>
        <w:t>‘Government</w:t>
      </w:r>
      <w:r w:rsidRPr="003432BC">
        <w:rPr>
          <w:rFonts w:ascii="Arial" w:hAnsi="Arial" w:cs="Arial"/>
        </w:rPr>
        <w:t xml:space="preserve">’. Available at: </w:t>
      </w:r>
      <w:hyperlink r:id="rId13" w:history="1">
        <w:r w:rsidRPr="003432BC">
          <w:rPr>
            <w:rStyle w:val="Hyperlink"/>
            <w:rFonts w:ascii="Arial" w:eastAsiaTheme="majorEastAsia" w:hAnsi="Arial" w:cs="Arial"/>
          </w:rPr>
          <w:t>Government - UK Parliament</w:t>
        </w:r>
      </w:hyperlink>
      <w:r w:rsidRPr="003432BC">
        <w:rPr>
          <w:rFonts w:ascii="Arial" w:hAnsi="Arial" w:cs="Arial"/>
        </w:rPr>
        <w:t xml:space="preserve"> Government - UK Parliament. (Accessed: 1</w:t>
      </w:r>
      <w:r>
        <w:rPr>
          <w:rFonts w:ascii="Arial" w:hAnsi="Arial" w:cs="Arial"/>
          <w:vertAlign w:val="superscript"/>
        </w:rPr>
        <w:t xml:space="preserve"> </w:t>
      </w:r>
      <w:r w:rsidRPr="003432BC">
        <w:rPr>
          <w:rFonts w:ascii="Arial" w:hAnsi="Arial" w:cs="Arial"/>
        </w:rPr>
        <w:t>March 2024) </w:t>
      </w:r>
    </w:p>
    <w:p w14:paraId="3095FAC7" w14:textId="77777777" w:rsidR="00BF55B6" w:rsidRDefault="00BF55B6" w:rsidP="00BF55B6">
      <w:pPr>
        <w:pStyle w:val="paragraph"/>
        <w:spacing w:before="0" w:beforeAutospacing="0" w:after="0" w:afterAutospacing="0" w:line="480" w:lineRule="auto"/>
        <w:textAlignment w:val="baseline"/>
        <w:rPr>
          <w:rFonts w:ascii="Arial" w:hAnsi="Arial" w:cs="Arial"/>
        </w:rPr>
      </w:pPr>
    </w:p>
    <w:p w14:paraId="04C27F2F" w14:textId="77777777" w:rsidR="00BF55B6" w:rsidRDefault="00BF55B6" w:rsidP="00BF55B6">
      <w:pPr>
        <w:pStyle w:val="paragraph"/>
        <w:spacing w:before="0" w:beforeAutospacing="0" w:after="0" w:afterAutospacing="0" w:line="480" w:lineRule="auto"/>
        <w:textAlignment w:val="baseline"/>
        <w:rPr>
          <w:rFonts w:ascii="Arial" w:hAnsi="Arial" w:cs="Arial"/>
        </w:rPr>
      </w:pPr>
      <w:r w:rsidRPr="009E6C28">
        <w:rPr>
          <w:rFonts w:ascii="Arial" w:hAnsi="Arial" w:cs="Arial"/>
        </w:rPr>
        <w:t xml:space="preserve">UK Parliament 2 (2024b) </w:t>
      </w:r>
      <w:r w:rsidRPr="00B30865">
        <w:rPr>
          <w:rFonts w:ascii="Arial" w:hAnsi="Arial" w:cs="Arial"/>
          <w:i/>
          <w:iCs/>
        </w:rPr>
        <w:t>‘Parliament and the Government’</w:t>
      </w:r>
      <w:r w:rsidRPr="009E6C28">
        <w:rPr>
          <w:rFonts w:ascii="Arial" w:hAnsi="Arial" w:cs="Arial"/>
        </w:rPr>
        <w:t>. Available at:</w:t>
      </w:r>
      <w:r w:rsidRPr="008A2A8F">
        <w:t xml:space="preserve"> </w:t>
      </w:r>
      <w:hyperlink r:id="rId14" w:history="1">
        <w:r w:rsidRPr="008A2A8F">
          <w:rPr>
            <w:rStyle w:val="Hyperlink"/>
            <w:rFonts w:ascii="Arial" w:eastAsiaTheme="majorEastAsia" w:hAnsi="Arial" w:cs="Arial"/>
          </w:rPr>
          <w:t>Parliament and the Government - UK Parliament</w:t>
        </w:r>
      </w:hyperlink>
      <w:r w:rsidRPr="008A2A8F">
        <w:rPr>
          <w:rFonts w:ascii="Arial" w:hAnsi="Arial" w:cs="Arial"/>
        </w:rPr>
        <w:t>.</w:t>
      </w:r>
      <w:r w:rsidRPr="009E6C28">
        <w:rPr>
          <w:rFonts w:ascii="Arial" w:hAnsi="Arial" w:cs="Arial"/>
        </w:rPr>
        <w:t xml:space="preserve"> </w:t>
      </w:r>
      <w:r>
        <w:rPr>
          <w:rFonts w:ascii="Arial" w:hAnsi="Arial" w:cs="Arial"/>
        </w:rPr>
        <w:t>(</w:t>
      </w:r>
      <w:r w:rsidRPr="009E6C28">
        <w:rPr>
          <w:rFonts w:ascii="Arial" w:hAnsi="Arial" w:cs="Arial"/>
        </w:rPr>
        <w:t>Accessed</w:t>
      </w:r>
      <w:r>
        <w:rPr>
          <w:rFonts w:ascii="Arial" w:hAnsi="Arial" w:cs="Arial"/>
        </w:rPr>
        <w:t>: 2</w:t>
      </w:r>
      <w:r w:rsidRPr="009E6C28">
        <w:rPr>
          <w:rFonts w:ascii="Arial" w:hAnsi="Arial" w:cs="Arial"/>
        </w:rPr>
        <w:t xml:space="preserve"> March 2024</w:t>
      </w:r>
      <w:r>
        <w:rPr>
          <w:rFonts w:ascii="Arial" w:hAnsi="Arial" w:cs="Arial"/>
        </w:rPr>
        <w:t>)</w:t>
      </w:r>
      <w:r w:rsidRPr="009E6C28">
        <w:rPr>
          <w:rFonts w:ascii="Arial" w:hAnsi="Arial" w:cs="Arial"/>
        </w:rPr>
        <w:t> </w:t>
      </w:r>
    </w:p>
    <w:p w14:paraId="54250DE2" w14:textId="77777777" w:rsidR="00BF55B6" w:rsidRDefault="00BF55B6" w:rsidP="00C30358">
      <w:pPr>
        <w:pStyle w:val="paragraph"/>
        <w:spacing w:before="0" w:beforeAutospacing="0" w:after="0" w:afterAutospacing="0" w:line="480" w:lineRule="auto"/>
        <w:textAlignment w:val="baseline"/>
        <w:rPr>
          <w:rFonts w:ascii="Segoe UI" w:hAnsi="Segoe UI" w:cs="Segoe UI"/>
          <w:sz w:val="18"/>
          <w:szCs w:val="18"/>
        </w:rPr>
      </w:pPr>
    </w:p>
    <w:p w14:paraId="70F86496" w14:textId="77777777"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0437B260" w14:textId="4599A974" w:rsidR="00C30358" w:rsidRDefault="00C30358" w:rsidP="00C30358">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White, H (2015) </w:t>
      </w:r>
      <w:r>
        <w:rPr>
          <w:rStyle w:val="normaltextrun"/>
          <w:rFonts w:ascii="Arial" w:eastAsiaTheme="majorEastAsia" w:hAnsi="Arial" w:cs="Arial"/>
          <w:i/>
          <w:iCs/>
        </w:rPr>
        <w:t>‘Parliamentary Scrutiny of Government’</w:t>
      </w:r>
      <w:r>
        <w:rPr>
          <w:rStyle w:val="normaltextrun"/>
          <w:rFonts w:ascii="Arial" w:eastAsiaTheme="majorEastAsia" w:hAnsi="Arial" w:cs="Arial"/>
        </w:rPr>
        <w:t xml:space="preserve">. Available at: </w:t>
      </w:r>
      <w:hyperlink r:id="rId15" w:tgtFrame="_blank" w:history="1">
        <w:r>
          <w:rPr>
            <w:rStyle w:val="normaltextrun"/>
            <w:rFonts w:ascii="Arial" w:eastAsiaTheme="majorEastAsia" w:hAnsi="Arial" w:cs="Arial"/>
            <w:color w:val="0000FF"/>
            <w:u w:val="single"/>
          </w:rPr>
          <w:t>Parliamentary scrutiny briefing note final.pdf (instituteforgovernment.org.uk)</w:t>
        </w:r>
      </w:hyperlink>
      <w:r>
        <w:rPr>
          <w:rStyle w:val="normaltextrun"/>
          <w:rFonts w:ascii="Arial" w:eastAsiaTheme="majorEastAsia" w:hAnsi="Arial" w:cs="Arial"/>
        </w:rPr>
        <w:t xml:space="preserve">. </w:t>
      </w:r>
      <w:r w:rsidR="00865E6E">
        <w:rPr>
          <w:rStyle w:val="normaltextrun"/>
          <w:rFonts w:ascii="Arial" w:eastAsiaTheme="majorEastAsia" w:hAnsi="Arial" w:cs="Arial"/>
        </w:rPr>
        <w:t>(</w:t>
      </w:r>
      <w:r>
        <w:rPr>
          <w:rStyle w:val="normaltextrun"/>
          <w:rFonts w:ascii="Arial" w:eastAsiaTheme="majorEastAsia" w:hAnsi="Arial" w:cs="Arial"/>
        </w:rPr>
        <w:t>Accessed: 4 March 2024</w:t>
      </w:r>
      <w:r w:rsidR="00865E6E">
        <w:rPr>
          <w:rStyle w:val="normaltextrun"/>
          <w:rFonts w:ascii="Arial" w:eastAsiaTheme="majorEastAsia" w:hAnsi="Arial" w:cs="Arial"/>
        </w:rPr>
        <w:t>)</w:t>
      </w:r>
      <w:r>
        <w:rPr>
          <w:rStyle w:val="normaltextrun"/>
          <w:rFonts w:ascii="Arial" w:eastAsiaTheme="majorEastAsia" w:hAnsi="Arial" w:cs="Arial"/>
        </w:rPr>
        <w:t> </w:t>
      </w:r>
      <w:r>
        <w:rPr>
          <w:rStyle w:val="eop"/>
          <w:rFonts w:ascii="Arial" w:eastAsiaTheme="majorEastAsia" w:hAnsi="Arial" w:cs="Arial"/>
        </w:rPr>
        <w:t> </w:t>
      </w:r>
    </w:p>
    <w:p w14:paraId="18759727" w14:textId="2CFEA480" w:rsidR="008A351B" w:rsidRPr="00C11708" w:rsidRDefault="008A351B" w:rsidP="00C30358">
      <w:pPr>
        <w:spacing w:line="480" w:lineRule="auto"/>
        <w:rPr>
          <w:rFonts w:ascii="Arial" w:hAnsi="Arial" w:cs="Arial"/>
          <w:sz w:val="24"/>
          <w:szCs w:val="24"/>
        </w:rPr>
      </w:pPr>
    </w:p>
    <w:p w14:paraId="642A08DC" w14:textId="77777777" w:rsidR="00472D45" w:rsidRDefault="00472D45">
      <w:pPr>
        <w:rPr>
          <w:rFonts w:ascii="Arial" w:hAnsi="Arial" w:cs="Arial"/>
          <w:sz w:val="28"/>
          <w:szCs w:val="28"/>
        </w:rPr>
      </w:pPr>
    </w:p>
    <w:p w14:paraId="0D3AD0D9" w14:textId="77777777" w:rsidR="00142742" w:rsidRDefault="00142742"/>
    <w:p w14:paraId="2DE9E383" w14:textId="77777777" w:rsidR="00142742" w:rsidRDefault="00142742"/>
    <w:p w14:paraId="5DBF7F22" w14:textId="77777777" w:rsidR="00142742" w:rsidRDefault="00142742"/>
    <w:p w14:paraId="58E4C773" w14:textId="77777777" w:rsidR="00142742" w:rsidRDefault="00142742"/>
    <w:p w14:paraId="1C084D8A" w14:textId="77777777" w:rsidR="00142742" w:rsidRDefault="00142742"/>
    <w:p w14:paraId="05E48C59" w14:textId="77777777" w:rsidR="00142742" w:rsidRDefault="00142742"/>
    <w:p w14:paraId="237F8872" w14:textId="77777777" w:rsidR="00142742" w:rsidRDefault="00142742"/>
    <w:p w14:paraId="645091EA" w14:textId="77777777" w:rsidR="00142742" w:rsidRDefault="00142742"/>
    <w:p w14:paraId="07831BC8" w14:textId="77777777" w:rsidR="00142742" w:rsidRDefault="00142742"/>
    <w:p w14:paraId="24A373E6" w14:textId="77777777" w:rsidR="00142742" w:rsidRDefault="00142742"/>
    <w:p w14:paraId="3C1EE86D" w14:textId="77777777" w:rsidR="00142742" w:rsidRDefault="00142742"/>
    <w:p w14:paraId="68F5A192" w14:textId="77777777" w:rsidR="00142742" w:rsidRDefault="00142742"/>
    <w:p w14:paraId="014DFFD1" w14:textId="77777777" w:rsidR="00142742" w:rsidRDefault="00142742"/>
    <w:p w14:paraId="5CF9C461" w14:textId="77777777" w:rsidR="00142742" w:rsidRDefault="00142742"/>
    <w:p w14:paraId="26401EF1" w14:textId="77777777" w:rsidR="00142742" w:rsidRDefault="00142742"/>
    <w:p w14:paraId="7DBA3D47" w14:textId="77777777" w:rsidR="00142742" w:rsidRDefault="00142742"/>
    <w:p w14:paraId="2D01F29C" w14:textId="77777777" w:rsidR="00142742" w:rsidRDefault="00142742"/>
    <w:p w14:paraId="2C05480A" w14:textId="77777777" w:rsidR="00142742" w:rsidRDefault="00142742"/>
    <w:p w14:paraId="3CBC68F1" w14:textId="77777777" w:rsidR="00142742" w:rsidRDefault="00142742"/>
    <w:p w14:paraId="225364D8" w14:textId="77777777" w:rsidR="00142742" w:rsidRDefault="00142742"/>
    <w:p w14:paraId="33B6CE78" w14:textId="77777777" w:rsidR="00142742" w:rsidRDefault="00142742"/>
    <w:p w14:paraId="3F2AD86A" w14:textId="77777777" w:rsidR="00EF5649" w:rsidRDefault="00EF5649">
      <w:pPr>
        <w:rPr>
          <w:sz w:val="28"/>
          <w:szCs w:val="28"/>
          <w:u w:val="single"/>
        </w:rPr>
      </w:pPr>
    </w:p>
    <w:p w14:paraId="18FB9E1D" w14:textId="77777777" w:rsidR="00EF5649" w:rsidRDefault="00EF5649">
      <w:pPr>
        <w:rPr>
          <w:sz w:val="28"/>
          <w:szCs w:val="28"/>
          <w:u w:val="single"/>
        </w:rPr>
      </w:pPr>
    </w:p>
    <w:p w14:paraId="521D3448" w14:textId="77777777" w:rsidR="00B13F9C" w:rsidRDefault="00B13F9C">
      <w:pPr>
        <w:rPr>
          <w:sz w:val="28"/>
          <w:szCs w:val="28"/>
          <w:u w:val="single"/>
        </w:rPr>
      </w:pPr>
    </w:p>
    <w:p w14:paraId="4CD3AAB3" w14:textId="77777777" w:rsidR="00B13F9C" w:rsidRDefault="00B13F9C">
      <w:pPr>
        <w:rPr>
          <w:sz w:val="28"/>
          <w:szCs w:val="28"/>
          <w:u w:val="single"/>
        </w:rPr>
      </w:pPr>
    </w:p>
    <w:p w14:paraId="4A4D7B40" w14:textId="77777777" w:rsidR="00B13F9C" w:rsidRDefault="00B13F9C">
      <w:pPr>
        <w:rPr>
          <w:sz w:val="28"/>
          <w:szCs w:val="28"/>
          <w:u w:val="single"/>
        </w:rPr>
      </w:pPr>
    </w:p>
    <w:p w14:paraId="158DF072" w14:textId="77777777" w:rsidR="00B13F9C" w:rsidRDefault="00B13F9C">
      <w:pPr>
        <w:rPr>
          <w:sz w:val="28"/>
          <w:szCs w:val="28"/>
          <w:u w:val="single"/>
        </w:rPr>
      </w:pPr>
    </w:p>
    <w:p w14:paraId="290CC096" w14:textId="77777777" w:rsidR="00B13F9C" w:rsidRDefault="00B13F9C">
      <w:pPr>
        <w:rPr>
          <w:sz w:val="28"/>
          <w:szCs w:val="28"/>
          <w:u w:val="single"/>
        </w:rPr>
      </w:pPr>
    </w:p>
    <w:p w14:paraId="16F982C9" w14:textId="77777777" w:rsidR="00B13F9C" w:rsidRDefault="00B13F9C">
      <w:pPr>
        <w:rPr>
          <w:sz w:val="28"/>
          <w:szCs w:val="28"/>
          <w:u w:val="single"/>
        </w:rPr>
      </w:pPr>
    </w:p>
    <w:p w14:paraId="4F3F76CF" w14:textId="77777777" w:rsidR="00FE10C5" w:rsidRDefault="00FE10C5"/>
    <w:sectPr w:rsidR="00FE10C5" w:rsidSect="00F8728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4AC"/>
    <w:rsid w:val="00000AFD"/>
    <w:rsid w:val="00031F52"/>
    <w:rsid w:val="0003311D"/>
    <w:rsid w:val="000578A3"/>
    <w:rsid w:val="00092D54"/>
    <w:rsid w:val="000966F2"/>
    <w:rsid w:val="000A6166"/>
    <w:rsid w:val="000A66FA"/>
    <w:rsid w:val="000B1E24"/>
    <w:rsid w:val="000C5FDC"/>
    <w:rsid w:val="000C7C7D"/>
    <w:rsid w:val="000E26D8"/>
    <w:rsid w:val="000E5B76"/>
    <w:rsid w:val="00112E0E"/>
    <w:rsid w:val="00124AF7"/>
    <w:rsid w:val="001256FF"/>
    <w:rsid w:val="00135B8F"/>
    <w:rsid w:val="00142742"/>
    <w:rsid w:val="00147E1C"/>
    <w:rsid w:val="001514AC"/>
    <w:rsid w:val="001520A2"/>
    <w:rsid w:val="00171FBA"/>
    <w:rsid w:val="00174AD1"/>
    <w:rsid w:val="001834A2"/>
    <w:rsid w:val="001B6DC1"/>
    <w:rsid w:val="001C1A42"/>
    <w:rsid w:val="001D2C8F"/>
    <w:rsid w:val="001F3E65"/>
    <w:rsid w:val="00201811"/>
    <w:rsid w:val="00232FDF"/>
    <w:rsid w:val="00237163"/>
    <w:rsid w:val="00271884"/>
    <w:rsid w:val="002761B2"/>
    <w:rsid w:val="002A3F9E"/>
    <w:rsid w:val="002B39A8"/>
    <w:rsid w:val="002F0E26"/>
    <w:rsid w:val="00305737"/>
    <w:rsid w:val="003165EB"/>
    <w:rsid w:val="00343218"/>
    <w:rsid w:val="003432BC"/>
    <w:rsid w:val="00364E58"/>
    <w:rsid w:val="0037089B"/>
    <w:rsid w:val="00397D78"/>
    <w:rsid w:val="003B00A4"/>
    <w:rsid w:val="003B3794"/>
    <w:rsid w:val="003C73F0"/>
    <w:rsid w:val="003C7E6E"/>
    <w:rsid w:val="003D4E00"/>
    <w:rsid w:val="003D5623"/>
    <w:rsid w:val="00405610"/>
    <w:rsid w:val="0042464D"/>
    <w:rsid w:val="00472D45"/>
    <w:rsid w:val="004A247E"/>
    <w:rsid w:val="004C1E2C"/>
    <w:rsid w:val="004E0108"/>
    <w:rsid w:val="004E1D84"/>
    <w:rsid w:val="004E3446"/>
    <w:rsid w:val="00513276"/>
    <w:rsid w:val="00517A18"/>
    <w:rsid w:val="00521995"/>
    <w:rsid w:val="00540FD0"/>
    <w:rsid w:val="00553929"/>
    <w:rsid w:val="005547E8"/>
    <w:rsid w:val="005601EE"/>
    <w:rsid w:val="00576DA9"/>
    <w:rsid w:val="00581F96"/>
    <w:rsid w:val="005C1962"/>
    <w:rsid w:val="005E512F"/>
    <w:rsid w:val="005E5FB2"/>
    <w:rsid w:val="00610811"/>
    <w:rsid w:val="00613AB9"/>
    <w:rsid w:val="00613D78"/>
    <w:rsid w:val="00634E93"/>
    <w:rsid w:val="00640C73"/>
    <w:rsid w:val="00641AA6"/>
    <w:rsid w:val="0066035C"/>
    <w:rsid w:val="00663E98"/>
    <w:rsid w:val="0069307A"/>
    <w:rsid w:val="00694DE5"/>
    <w:rsid w:val="006A028C"/>
    <w:rsid w:val="006B0B32"/>
    <w:rsid w:val="006B15D8"/>
    <w:rsid w:val="006F24E4"/>
    <w:rsid w:val="00700014"/>
    <w:rsid w:val="00756922"/>
    <w:rsid w:val="007C3FEE"/>
    <w:rsid w:val="007C5808"/>
    <w:rsid w:val="007D2EF2"/>
    <w:rsid w:val="007D60CF"/>
    <w:rsid w:val="00817479"/>
    <w:rsid w:val="00845337"/>
    <w:rsid w:val="008550EA"/>
    <w:rsid w:val="00865E6E"/>
    <w:rsid w:val="00866B92"/>
    <w:rsid w:val="008918F2"/>
    <w:rsid w:val="008922F0"/>
    <w:rsid w:val="008A2A8F"/>
    <w:rsid w:val="008A351B"/>
    <w:rsid w:val="008B5F65"/>
    <w:rsid w:val="008E1A72"/>
    <w:rsid w:val="008E2229"/>
    <w:rsid w:val="00907059"/>
    <w:rsid w:val="00931F23"/>
    <w:rsid w:val="0093355C"/>
    <w:rsid w:val="00955460"/>
    <w:rsid w:val="00971EE8"/>
    <w:rsid w:val="00982916"/>
    <w:rsid w:val="00993371"/>
    <w:rsid w:val="009C68FB"/>
    <w:rsid w:val="009E6C28"/>
    <w:rsid w:val="009F6A5F"/>
    <w:rsid w:val="00A0034E"/>
    <w:rsid w:val="00A634B8"/>
    <w:rsid w:val="00A668F3"/>
    <w:rsid w:val="00AA0121"/>
    <w:rsid w:val="00AB0FE0"/>
    <w:rsid w:val="00AC1317"/>
    <w:rsid w:val="00AD621F"/>
    <w:rsid w:val="00AE1FFB"/>
    <w:rsid w:val="00AF19D0"/>
    <w:rsid w:val="00B12C1F"/>
    <w:rsid w:val="00B13F9C"/>
    <w:rsid w:val="00B212B8"/>
    <w:rsid w:val="00B30865"/>
    <w:rsid w:val="00B45DDC"/>
    <w:rsid w:val="00B56A52"/>
    <w:rsid w:val="00B61F79"/>
    <w:rsid w:val="00B71790"/>
    <w:rsid w:val="00BC4B53"/>
    <w:rsid w:val="00BE7291"/>
    <w:rsid w:val="00BF55B6"/>
    <w:rsid w:val="00C068EE"/>
    <w:rsid w:val="00C06C85"/>
    <w:rsid w:val="00C11708"/>
    <w:rsid w:val="00C120B7"/>
    <w:rsid w:val="00C230C6"/>
    <w:rsid w:val="00C30358"/>
    <w:rsid w:val="00C33CF5"/>
    <w:rsid w:val="00C44B1D"/>
    <w:rsid w:val="00C4661E"/>
    <w:rsid w:val="00C5185D"/>
    <w:rsid w:val="00C541A7"/>
    <w:rsid w:val="00CA19E4"/>
    <w:rsid w:val="00CB31D4"/>
    <w:rsid w:val="00D15E57"/>
    <w:rsid w:val="00D24041"/>
    <w:rsid w:val="00D27154"/>
    <w:rsid w:val="00D77473"/>
    <w:rsid w:val="00D81377"/>
    <w:rsid w:val="00D91FBA"/>
    <w:rsid w:val="00D951EB"/>
    <w:rsid w:val="00DA0162"/>
    <w:rsid w:val="00DA1E1B"/>
    <w:rsid w:val="00DA270B"/>
    <w:rsid w:val="00DD6587"/>
    <w:rsid w:val="00DF1EB5"/>
    <w:rsid w:val="00DF1F26"/>
    <w:rsid w:val="00E33807"/>
    <w:rsid w:val="00E33A0D"/>
    <w:rsid w:val="00E40E3D"/>
    <w:rsid w:val="00E4243E"/>
    <w:rsid w:val="00E73761"/>
    <w:rsid w:val="00E75F55"/>
    <w:rsid w:val="00E80459"/>
    <w:rsid w:val="00E952D3"/>
    <w:rsid w:val="00EF5649"/>
    <w:rsid w:val="00F03859"/>
    <w:rsid w:val="00F30102"/>
    <w:rsid w:val="00F72376"/>
    <w:rsid w:val="00F81328"/>
    <w:rsid w:val="00F87282"/>
    <w:rsid w:val="00F95124"/>
    <w:rsid w:val="00FE10C5"/>
    <w:rsid w:val="00FE3975"/>
    <w:rsid w:val="00FE7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5C256"/>
  <w15:chartTrackingRefBased/>
  <w15:docId w15:val="{3485BC0C-741E-4456-981A-455E83822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102"/>
  </w:style>
  <w:style w:type="paragraph" w:styleId="Heading1">
    <w:name w:val="heading 1"/>
    <w:basedOn w:val="Normal"/>
    <w:next w:val="Normal"/>
    <w:link w:val="Heading1Char"/>
    <w:uiPriority w:val="9"/>
    <w:qFormat/>
    <w:rsid w:val="001514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14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14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14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14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14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4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4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4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4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14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14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14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14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14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4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4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4AC"/>
    <w:rPr>
      <w:rFonts w:eastAsiaTheme="majorEastAsia" w:cstheme="majorBidi"/>
      <w:color w:val="272727" w:themeColor="text1" w:themeTint="D8"/>
    </w:rPr>
  </w:style>
  <w:style w:type="paragraph" w:styleId="Title">
    <w:name w:val="Title"/>
    <w:basedOn w:val="Normal"/>
    <w:next w:val="Normal"/>
    <w:link w:val="TitleChar"/>
    <w:uiPriority w:val="10"/>
    <w:qFormat/>
    <w:rsid w:val="001514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4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4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4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4AC"/>
    <w:pPr>
      <w:spacing w:before="160"/>
      <w:jc w:val="center"/>
    </w:pPr>
    <w:rPr>
      <w:i/>
      <w:iCs/>
      <w:color w:val="404040" w:themeColor="text1" w:themeTint="BF"/>
    </w:rPr>
  </w:style>
  <w:style w:type="character" w:customStyle="1" w:styleId="QuoteChar">
    <w:name w:val="Quote Char"/>
    <w:basedOn w:val="DefaultParagraphFont"/>
    <w:link w:val="Quote"/>
    <w:uiPriority w:val="29"/>
    <w:rsid w:val="001514AC"/>
    <w:rPr>
      <w:i/>
      <w:iCs/>
      <w:color w:val="404040" w:themeColor="text1" w:themeTint="BF"/>
    </w:rPr>
  </w:style>
  <w:style w:type="paragraph" w:styleId="ListParagraph">
    <w:name w:val="List Paragraph"/>
    <w:basedOn w:val="Normal"/>
    <w:uiPriority w:val="34"/>
    <w:qFormat/>
    <w:rsid w:val="001514AC"/>
    <w:pPr>
      <w:ind w:left="720"/>
      <w:contextualSpacing/>
    </w:pPr>
  </w:style>
  <w:style w:type="character" w:styleId="IntenseEmphasis">
    <w:name w:val="Intense Emphasis"/>
    <w:basedOn w:val="DefaultParagraphFont"/>
    <w:uiPriority w:val="21"/>
    <w:qFormat/>
    <w:rsid w:val="001514AC"/>
    <w:rPr>
      <w:i/>
      <w:iCs/>
      <w:color w:val="0F4761" w:themeColor="accent1" w:themeShade="BF"/>
    </w:rPr>
  </w:style>
  <w:style w:type="paragraph" w:styleId="IntenseQuote">
    <w:name w:val="Intense Quote"/>
    <w:basedOn w:val="Normal"/>
    <w:next w:val="Normal"/>
    <w:link w:val="IntenseQuoteChar"/>
    <w:uiPriority w:val="30"/>
    <w:qFormat/>
    <w:rsid w:val="001514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14AC"/>
    <w:rPr>
      <w:i/>
      <w:iCs/>
      <w:color w:val="0F4761" w:themeColor="accent1" w:themeShade="BF"/>
    </w:rPr>
  </w:style>
  <w:style w:type="character" w:styleId="IntenseReference">
    <w:name w:val="Intense Reference"/>
    <w:basedOn w:val="DefaultParagraphFont"/>
    <w:uiPriority w:val="32"/>
    <w:qFormat/>
    <w:rsid w:val="001514AC"/>
    <w:rPr>
      <w:b/>
      <w:bCs/>
      <w:smallCaps/>
      <w:color w:val="0F4761" w:themeColor="accent1" w:themeShade="BF"/>
      <w:spacing w:val="5"/>
    </w:rPr>
  </w:style>
  <w:style w:type="character" w:styleId="Hyperlink">
    <w:name w:val="Hyperlink"/>
    <w:basedOn w:val="DefaultParagraphFont"/>
    <w:uiPriority w:val="99"/>
    <w:unhideWhenUsed/>
    <w:rsid w:val="00610811"/>
    <w:rPr>
      <w:color w:val="0000FF"/>
      <w:u w:val="single"/>
    </w:rPr>
  </w:style>
  <w:style w:type="character" w:styleId="FollowedHyperlink">
    <w:name w:val="FollowedHyperlink"/>
    <w:basedOn w:val="DefaultParagraphFont"/>
    <w:uiPriority w:val="99"/>
    <w:semiHidden/>
    <w:unhideWhenUsed/>
    <w:rsid w:val="00576DA9"/>
    <w:rPr>
      <w:color w:val="96607D" w:themeColor="followedHyperlink"/>
      <w:u w:val="single"/>
    </w:rPr>
  </w:style>
  <w:style w:type="paragraph" w:customStyle="1" w:styleId="paragraph">
    <w:name w:val="paragraph"/>
    <w:basedOn w:val="Normal"/>
    <w:rsid w:val="00C3035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C30358"/>
  </w:style>
  <w:style w:type="character" w:customStyle="1" w:styleId="eop">
    <w:name w:val="eop"/>
    <w:basedOn w:val="DefaultParagraphFont"/>
    <w:rsid w:val="00C30358"/>
  </w:style>
  <w:style w:type="paragraph" w:styleId="NoSpacing">
    <w:name w:val="No Spacing"/>
    <w:link w:val="NoSpacingChar"/>
    <w:uiPriority w:val="1"/>
    <w:qFormat/>
    <w:rsid w:val="00C30358"/>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30358"/>
    <w:rPr>
      <w:rFonts w:eastAsiaTheme="minorEastAsia"/>
      <w:kern w:val="0"/>
      <w:lang w:eastAsia="en-GB"/>
      <w14:ligatures w14:val="none"/>
    </w:rPr>
  </w:style>
  <w:style w:type="character" w:styleId="UnresolvedMention">
    <w:name w:val="Unresolved Mention"/>
    <w:basedOn w:val="DefaultParagraphFont"/>
    <w:uiPriority w:val="99"/>
    <w:semiHidden/>
    <w:unhideWhenUsed/>
    <w:rsid w:val="00343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560444">
      <w:bodyDiv w:val="1"/>
      <w:marLeft w:val="0"/>
      <w:marRight w:val="0"/>
      <w:marTop w:val="0"/>
      <w:marBottom w:val="0"/>
      <w:divBdr>
        <w:top w:val="none" w:sz="0" w:space="0" w:color="auto"/>
        <w:left w:val="none" w:sz="0" w:space="0" w:color="auto"/>
        <w:bottom w:val="none" w:sz="0" w:space="0" w:color="auto"/>
        <w:right w:val="none" w:sz="0" w:space="0" w:color="auto"/>
      </w:divBdr>
      <w:divsChild>
        <w:div w:id="229772927">
          <w:marLeft w:val="0"/>
          <w:marRight w:val="0"/>
          <w:marTop w:val="0"/>
          <w:marBottom w:val="0"/>
          <w:divBdr>
            <w:top w:val="none" w:sz="0" w:space="0" w:color="auto"/>
            <w:left w:val="none" w:sz="0" w:space="0" w:color="auto"/>
            <w:bottom w:val="none" w:sz="0" w:space="0" w:color="auto"/>
            <w:right w:val="none" w:sz="0" w:space="0" w:color="auto"/>
          </w:divBdr>
        </w:div>
        <w:div w:id="883249456">
          <w:marLeft w:val="0"/>
          <w:marRight w:val="0"/>
          <w:marTop w:val="0"/>
          <w:marBottom w:val="0"/>
          <w:divBdr>
            <w:top w:val="none" w:sz="0" w:space="0" w:color="auto"/>
            <w:left w:val="none" w:sz="0" w:space="0" w:color="auto"/>
            <w:bottom w:val="none" w:sz="0" w:space="0" w:color="auto"/>
            <w:right w:val="none" w:sz="0" w:space="0" w:color="auto"/>
          </w:divBdr>
        </w:div>
        <w:div w:id="1033261384">
          <w:marLeft w:val="0"/>
          <w:marRight w:val="0"/>
          <w:marTop w:val="0"/>
          <w:marBottom w:val="0"/>
          <w:divBdr>
            <w:top w:val="none" w:sz="0" w:space="0" w:color="auto"/>
            <w:left w:val="none" w:sz="0" w:space="0" w:color="auto"/>
            <w:bottom w:val="none" w:sz="0" w:space="0" w:color="auto"/>
            <w:right w:val="none" w:sz="0" w:space="0" w:color="auto"/>
          </w:divBdr>
        </w:div>
        <w:div w:id="1508327304">
          <w:marLeft w:val="0"/>
          <w:marRight w:val="0"/>
          <w:marTop w:val="0"/>
          <w:marBottom w:val="0"/>
          <w:divBdr>
            <w:top w:val="none" w:sz="0" w:space="0" w:color="auto"/>
            <w:left w:val="none" w:sz="0" w:space="0" w:color="auto"/>
            <w:bottom w:val="none" w:sz="0" w:space="0" w:color="auto"/>
            <w:right w:val="none" w:sz="0" w:space="0" w:color="auto"/>
          </w:divBdr>
        </w:div>
        <w:div w:id="1551385501">
          <w:marLeft w:val="0"/>
          <w:marRight w:val="0"/>
          <w:marTop w:val="0"/>
          <w:marBottom w:val="0"/>
          <w:divBdr>
            <w:top w:val="none" w:sz="0" w:space="0" w:color="auto"/>
            <w:left w:val="none" w:sz="0" w:space="0" w:color="auto"/>
            <w:bottom w:val="none" w:sz="0" w:space="0" w:color="auto"/>
            <w:right w:val="none" w:sz="0" w:space="0" w:color="auto"/>
          </w:divBdr>
        </w:div>
        <w:div w:id="1758751195">
          <w:marLeft w:val="0"/>
          <w:marRight w:val="0"/>
          <w:marTop w:val="0"/>
          <w:marBottom w:val="0"/>
          <w:divBdr>
            <w:top w:val="none" w:sz="0" w:space="0" w:color="auto"/>
            <w:left w:val="none" w:sz="0" w:space="0" w:color="auto"/>
            <w:bottom w:val="none" w:sz="0" w:space="0" w:color="auto"/>
            <w:right w:val="none" w:sz="0" w:space="0" w:color="auto"/>
          </w:divBdr>
        </w:div>
        <w:div w:id="614286896">
          <w:marLeft w:val="0"/>
          <w:marRight w:val="0"/>
          <w:marTop w:val="0"/>
          <w:marBottom w:val="0"/>
          <w:divBdr>
            <w:top w:val="none" w:sz="0" w:space="0" w:color="auto"/>
            <w:left w:val="none" w:sz="0" w:space="0" w:color="auto"/>
            <w:bottom w:val="none" w:sz="0" w:space="0" w:color="auto"/>
            <w:right w:val="none" w:sz="0" w:space="0" w:color="auto"/>
          </w:divBdr>
        </w:div>
        <w:div w:id="930548424">
          <w:marLeft w:val="0"/>
          <w:marRight w:val="0"/>
          <w:marTop w:val="0"/>
          <w:marBottom w:val="0"/>
          <w:divBdr>
            <w:top w:val="none" w:sz="0" w:space="0" w:color="auto"/>
            <w:left w:val="none" w:sz="0" w:space="0" w:color="auto"/>
            <w:bottom w:val="none" w:sz="0" w:space="0" w:color="auto"/>
            <w:right w:val="none" w:sz="0" w:space="0" w:color="auto"/>
          </w:divBdr>
        </w:div>
        <w:div w:id="814834724">
          <w:marLeft w:val="0"/>
          <w:marRight w:val="0"/>
          <w:marTop w:val="0"/>
          <w:marBottom w:val="0"/>
          <w:divBdr>
            <w:top w:val="none" w:sz="0" w:space="0" w:color="auto"/>
            <w:left w:val="none" w:sz="0" w:space="0" w:color="auto"/>
            <w:bottom w:val="none" w:sz="0" w:space="0" w:color="auto"/>
            <w:right w:val="none" w:sz="0" w:space="0" w:color="auto"/>
          </w:divBdr>
        </w:div>
        <w:div w:id="1510750941">
          <w:marLeft w:val="0"/>
          <w:marRight w:val="0"/>
          <w:marTop w:val="0"/>
          <w:marBottom w:val="0"/>
          <w:divBdr>
            <w:top w:val="none" w:sz="0" w:space="0" w:color="auto"/>
            <w:left w:val="none" w:sz="0" w:space="0" w:color="auto"/>
            <w:bottom w:val="none" w:sz="0" w:space="0" w:color="auto"/>
            <w:right w:val="none" w:sz="0" w:space="0" w:color="auto"/>
          </w:divBdr>
        </w:div>
        <w:div w:id="925963026">
          <w:marLeft w:val="0"/>
          <w:marRight w:val="0"/>
          <w:marTop w:val="0"/>
          <w:marBottom w:val="0"/>
          <w:divBdr>
            <w:top w:val="none" w:sz="0" w:space="0" w:color="auto"/>
            <w:left w:val="none" w:sz="0" w:space="0" w:color="auto"/>
            <w:bottom w:val="none" w:sz="0" w:space="0" w:color="auto"/>
            <w:right w:val="none" w:sz="0" w:space="0" w:color="auto"/>
          </w:divBdr>
        </w:div>
        <w:div w:id="815493337">
          <w:marLeft w:val="0"/>
          <w:marRight w:val="0"/>
          <w:marTop w:val="0"/>
          <w:marBottom w:val="0"/>
          <w:divBdr>
            <w:top w:val="none" w:sz="0" w:space="0" w:color="auto"/>
            <w:left w:val="none" w:sz="0" w:space="0" w:color="auto"/>
            <w:bottom w:val="none" w:sz="0" w:space="0" w:color="auto"/>
            <w:right w:val="none" w:sz="0" w:space="0" w:color="auto"/>
          </w:divBdr>
        </w:div>
        <w:div w:id="1289697728">
          <w:marLeft w:val="0"/>
          <w:marRight w:val="0"/>
          <w:marTop w:val="0"/>
          <w:marBottom w:val="0"/>
          <w:divBdr>
            <w:top w:val="none" w:sz="0" w:space="0" w:color="auto"/>
            <w:left w:val="none" w:sz="0" w:space="0" w:color="auto"/>
            <w:bottom w:val="none" w:sz="0" w:space="0" w:color="auto"/>
            <w:right w:val="none" w:sz="0" w:space="0" w:color="auto"/>
          </w:divBdr>
        </w:div>
        <w:div w:id="230505325">
          <w:marLeft w:val="0"/>
          <w:marRight w:val="0"/>
          <w:marTop w:val="0"/>
          <w:marBottom w:val="0"/>
          <w:divBdr>
            <w:top w:val="none" w:sz="0" w:space="0" w:color="auto"/>
            <w:left w:val="none" w:sz="0" w:space="0" w:color="auto"/>
            <w:bottom w:val="none" w:sz="0" w:space="0" w:color="auto"/>
            <w:right w:val="none" w:sz="0" w:space="0" w:color="auto"/>
          </w:divBdr>
        </w:div>
        <w:div w:id="1450390635">
          <w:marLeft w:val="0"/>
          <w:marRight w:val="0"/>
          <w:marTop w:val="0"/>
          <w:marBottom w:val="0"/>
          <w:divBdr>
            <w:top w:val="none" w:sz="0" w:space="0" w:color="auto"/>
            <w:left w:val="none" w:sz="0" w:space="0" w:color="auto"/>
            <w:bottom w:val="none" w:sz="0" w:space="0" w:color="auto"/>
            <w:right w:val="none" w:sz="0" w:space="0" w:color="auto"/>
          </w:divBdr>
        </w:div>
        <w:div w:id="316688755">
          <w:marLeft w:val="0"/>
          <w:marRight w:val="0"/>
          <w:marTop w:val="0"/>
          <w:marBottom w:val="0"/>
          <w:divBdr>
            <w:top w:val="none" w:sz="0" w:space="0" w:color="auto"/>
            <w:left w:val="none" w:sz="0" w:space="0" w:color="auto"/>
            <w:bottom w:val="none" w:sz="0" w:space="0" w:color="auto"/>
            <w:right w:val="none" w:sz="0" w:space="0" w:color="auto"/>
          </w:divBdr>
        </w:div>
        <w:div w:id="1663579260">
          <w:marLeft w:val="0"/>
          <w:marRight w:val="0"/>
          <w:marTop w:val="0"/>
          <w:marBottom w:val="0"/>
          <w:divBdr>
            <w:top w:val="none" w:sz="0" w:space="0" w:color="auto"/>
            <w:left w:val="none" w:sz="0" w:space="0" w:color="auto"/>
            <w:bottom w:val="none" w:sz="0" w:space="0" w:color="auto"/>
            <w:right w:val="none" w:sz="0" w:space="0" w:color="auto"/>
          </w:divBdr>
        </w:div>
        <w:div w:id="276327557">
          <w:marLeft w:val="0"/>
          <w:marRight w:val="0"/>
          <w:marTop w:val="0"/>
          <w:marBottom w:val="0"/>
          <w:divBdr>
            <w:top w:val="none" w:sz="0" w:space="0" w:color="auto"/>
            <w:left w:val="none" w:sz="0" w:space="0" w:color="auto"/>
            <w:bottom w:val="none" w:sz="0" w:space="0" w:color="auto"/>
            <w:right w:val="none" w:sz="0" w:space="0" w:color="auto"/>
          </w:divBdr>
        </w:div>
        <w:div w:id="1436091867">
          <w:marLeft w:val="0"/>
          <w:marRight w:val="0"/>
          <w:marTop w:val="0"/>
          <w:marBottom w:val="0"/>
          <w:divBdr>
            <w:top w:val="none" w:sz="0" w:space="0" w:color="auto"/>
            <w:left w:val="none" w:sz="0" w:space="0" w:color="auto"/>
            <w:bottom w:val="none" w:sz="0" w:space="0" w:color="auto"/>
            <w:right w:val="none" w:sz="0" w:space="0" w:color="auto"/>
          </w:divBdr>
        </w:div>
        <w:div w:id="523641429">
          <w:marLeft w:val="0"/>
          <w:marRight w:val="0"/>
          <w:marTop w:val="0"/>
          <w:marBottom w:val="0"/>
          <w:divBdr>
            <w:top w:val="none" w:sz="0" w:space="0" w:color="auto"/>
            <w:left w:val="none" w:sz="0" w:space="0" w:color="auto"/>
            <w:bottom w:val="none" w:sz="0" w:space="0" w:color="auto"/>
            <w:right w:val="none" w:sz="0" w:space="0" w:color="auto"/>
          </w:divBdr>
        </w:div>
        <w:div w:id="466973987">
          <w:marLeft w:val="0"/>
          <w:marRight w:val="0"/>
          <w:marTop w:val="0"/>
          <w:marBottom w:val="0"/>
          <w:divBdr>
            <w:top w:val="none" w:sz="0" w:space="0" w:color="auto"/>
            <w:left w:val="none" w:sz="0" w:space="0" w:color="auto"/>
            <w:bottom w:val="none" w:sz="0" w:space="0" w:color="auto"/>
            <w:right w:val="none" w:sz="0" w:space="0" w:color="auto"/>
          </w:divBdr>
        </w:div>
        <w:div w:id="1533542471">
          <w:marLeft w:val="0"/>
          <w:marRight w:val="0"/>
          <w:marTop w:val="0"/>
          <w:marBottom w:val="0"/>
          <w:divBdr>
            <w:top w:val="none" w:sz="0" w:space="0" w:color="auto"/>
            <w:left w:val="none" w:sz="0" w:space="0" w:color="auto"/>
            <w:bottom w:val="none" w:sz="0" w:space="0" w:color="auto"/>
            <w:right w:val="none" w:sz="0" w:space="0" w:color="auto"/>
          </w:divBdr>
        </w:div>
        <w:div w:id="588274196">
          <w:marLeft w:val="0"/>
          <w:marRight w:val="0"/>
          <w:marTop w:val="0"/>
          <w:marBottom w:val="0"/>
          <w:divBdr>
            <w:top w:val="none" w:sz="0" w:space="0" w:color="auto"/>
            <w:left w:val="none" w:sz="0" w:space="0" w:color="auto"/>
            <w:bottom w:val="none" w:sz="0" w:space="0" w:color="auto"/>
            <w:right w:val="none" w:sz="0" w:space="0" w:color="auto"/>
          </w:divBdr>
        </w:div>
        <w:div w:id="1587419328">
          <w:marLeft w:val="0"/>
          <w:marRight w:val="0"/>
          <w:marTop w:val="0"/>
          <w:marBottom w:val="0"/>
          <w:divBdr>
            <w:top w:val="none" w:sz="0" w:space="0" w:color="auto"/>
            <w:left w:val="none" w:sz="0" w:space="0" w:color="auto"/>
            <w:bottom w:val="none" w:sz="0" w:space="0" w:color="auto"/>
            <w:right w:val="none" w:sz="0" w:space="0" w:color="auto"/>
          </w:divBdr>
        </w:div>
        <w:div w:id="2110923673">
          <w:marLeft w:val="0"/>
          <w:marRight w:val="0"/>
          <w:marTop w:val="0"/>
          <w:marBottom w:val="0"/>
          <w:divBdr>
            <w:top w:val="none" w:sz="0" w:space="0" w:color="auto"/>
            <w:left w:val="none" w:sz="0" w:space="0" w:color="auto"/>
            <w:bottom w:val="none" w:sz="0" w:space="0" w:color="auto"/>
            <w:right w:val="none" w:sz="0" w:space="0" w:color="auto"/>
          </w:divBdr>
        </w:div>
        <w:div w:id="1016887174">
          <w:marLeft w:val="0"/>
          <w:marRight w:val="0"/>
          <w:marTop w:val="0"/>
          <w:marBottom w:val="0"/>
          <w:divBdr>
            <w:top w:val="none" w:sz="0" w:space="0" w:color="auto"/>
            <w:left w:val="none" w:sz="0" w:space="0" w:color="auto"/>
            <w:bottom w:val="none" w:sz="0" w:space="0" w:color="auto"/>
            <w:right w:val="none" w:sz="0" w:space="0" w:color="auto"/>
          </w:divBdr>
        </w:div>
        <w:div w:id="50272948">
          <w:marLeft w:val="0"/>
          <w:marRight w:val="0"/>
          <w:marTop w:val="0"/>
          <w:marBottom w:val="0"/>
          <w:divBdr>
            <w:top w:val="none" w:sz="0" w:space="0" w:color="auto"/>
            <w:left w:val="none" w:sz="0" w:space="0" w:color="auto"/>
            <w:bottom w:val="none" w:sz="0" w:space="0" w:color="auto"/>
            <w:right w:val="none" w:sz="0" w:space="0" w:color="auto"/>
          </w:divBdr>
        </w:div>
        <w:div w:id="143277159">
          <w:marLeft w:val="0"/>
          <w:marRight w:val="0"/>
          <w:marTop w:val="0"/>
          <w:marBottom w:val="0"/>
          <w:divBdr>
            <w:top w:val="none" w:sz="0" w:space="0" w:color="auto"/>
            <w:left w:val="none" w:sz="0" w:space="0" w:color="auto"/>
            <w:bottom w:val="none" w:sz="0" w:space="0" w:color="auto"/>
            <w:right w:val="none" w:sz="0" w:space="0" w:color="auto"/>
          </w:divBdr>
        </w:div>
        <w:div w:id="1748921365">
          <w:marLeft w:val="0"/>
          <w:marRight w:val="0"/>
          <w:marTop w:val="0"/>
          <w:marBottom w:val="0"/>
          <w:divBdr>
            <w:top w:val="none" w:sz="0" w:space="0" w:color="auto"/>
            <w:left w:val="none" w:sz="0" w:space="0" w:color="auto"/>
            <w:bottom w:val="none" w:sz="0" w:space="0" w:color="auto"/>
            <w:right w:val="none" w:sz="0" w:space="0" w:color="auto"/>
          </w:divBdr>
        </w:div>
        <w:div w:id="280116365">
          <w:marLeft w:val="0"/>
          <w:marRight w:val="0"/>
          <w:marTop w:val="0"/>
          <w:marBottom w:val="0"/>
          <w:divBdr>
            <w:top w:val="none" w:sz="0" w:space="0" w:color="auto"/>
            <w:left w:val="none" w:sz="0" w:space="0" w:color="auto"/>
            <w:bottom w:val="none" w:sz="0" w:space="0" w:color="auto"/>
            <w:right w:val="none" w:sz="0" w:space="0" w:color="auto"/>
          </w:divBdr>
        </w:div>
        <w:div w:id="2096971859">
          <w:marLeft w:val="0"/>
          <w:marRight w:val="0"/>
          <w:marTop w:val="0"/>
          <w:marBottom w:val="0"/>
          <w:divBdr>
            <w:top w:val="none" w:sz="0" w:space="0" w:color="auto"/>
            <w:left w:val="none" w:sz="0" w:space="0" w:color="auto"/>
            <w:bottom w:val="none" w:sz="0" w:space="0" w:color="auto"/>
            <w:right w:val="none" w:sz="0" w:space="0" w:color="auto"/>
          </w:divBdr>
        </w:div>
        <w:div w:id="1105542296">
          <w:marLeft w:val="0"/>
          <w:marRight w:val="0"/>
          <w:marTop w:val="0"/>
          <w:marBottom w:val="0"/>
          <w:divBdr>
            <w:top w:val="none" w:sz="0" w:space="0" w:color="auto"/>
            <w:left w:val="none" w:sz="0" w:space="0" w:color="auto"/>
            <w:bottom w:val="none" w:sz="0" w:space="0" w:color="auto"/>
            <w:right w:val="none" w:sz="0" w:space="0" w:color="auto"/>
          </w:divBdr>
        </w:div>
        <w:div w:id="679282498">
          <w:marLeft w:val="0"/>
          <w:marRight w:val="0"/>
          <w:marTop w:val="0"/>
          <w:marBottom w:val="0"/>
          <w:divBdr>
            <w:top w:val="none" w:sz="0" w:space="0" w:color="auto"/>
            <w:left w:val="none" w:sz="0" w:space="0" w:color="auto"/>
            <w:bottom w:val="none" w:sz="0" w:space="0" w:color="auto"/>
            <w:right w:val="none" w:sz="0" w:space="0" w:color="auto"/>
          </w:divBdr>
        </w:div>
        <w:div w:id="1994211278">
          <w:marLeft w:val="0"/>
          <w:marRight w:val="0"/>
          <w:marTop w:val="0"/>
          <w:marBottom w:val="0"/>
          <w:divBdr>
            <w:top w:val="none" w:sz="0" w:space="0" w:color="auto"/>
            <w:left w:val="none" w:sz="0" w:space="0" w:color="auto"/>
            <w:bottom w:val="none" w:sz="0" w:space="0" w:color="auto"/>
            <w:right w:val="none" w:sz="0" w:space="0" w:color="auto"/>
          </w:divBdr>
        </w:div>
        <w:div w:id="1252810795">
          <w:marLeft w:val="0"/>
          <w:marRight w:val="0"/>
          <w:marTop w:val="0"/>
          <w:marBottom w:val="0"/>
          <w:divBdr>
            <w:top w:val="none" w:sz="0" w:space="0" w:color="auto"/>
            <w:left w:val="none" w:sz="0" w:space="0" w:color="auto"/>
            <w:bottom w:val="none" w:sz="0" w:space="0" w:color="auto"/>
            <w:right w:val="none" w:sz="0" w:space="0" w:color="auto"/>
          </w:divBdr>
        </w:div>
        <w:div w:id="1913805825">
          <w:marLeft w:val="0"/>
          <w:marRight w:val="0"/>
          <w:marTop w:val="0"/>
          <w:marBottom w:val="0"/>
          <w:divBdr>
            <w:top w:val="none" w:sz="0" w:space="0" w:color="auto"/>
            <w:left w:val="none" w:sz="0" w:space="0" w:color="auto"/>
            <w:bottom w:val="none" w:sz="0" w:space="0" w:color="auto"/>
            <w:right w:val="none" w:sz="0" w:space="0" w:color="auto"/>
          </w:divBdr>
        </w:div>
        <w:div w:id="696930817">
          <w:marLeft w:val="0"/>
          <w:marRight w:val="0"/>
          <w:marTop w:val="0"/>
          <w:marBottom w:val="0"/>
          <w:divBdr>
            <w:top w:val="none" w:sz="0" w:space="0" w:color="auto"/>
            <w:left w:val="none" w:sz="0" w:space="0" w:color="auto"/>
            <w:bottom w:val="none" w:sz="0" w:space="0" w:color="auto"/>
            <w:right w:val="none" w:sz="0" w:space="0" w:color="auto"/>
          </w:divBdr>
        </w:div>
        <w:div w:id="312875492">
          <w:marLeft w:val="0"/>
          <w:marRight w:val="0"/>
          <w:marTop w:val="0"/>
          <w:marBottom w:val="0"/>
          <w:divBdr>
            <w:top w:val="none" w:sz="0" w:space="0" w:color="auto"/>
            <w:left w:val="none" w:sz="0" w:space="0" w:color="auto"/>
            <w:bottom w:val="none" w:sz="0" w:space="0" w:color="auto"/>
            <w:right w:val="none" w:sz="0" w:space="0" w:color="auto"/>
          </w:divBdr>
        </w:div>
        <w:div w:id="1457455578">
          <w:marLeft w:val="0"/>
          <w:marRight w:val="0"/>
          <w:marTop w:val="0"/>
          <w:marBottom w:val="0"/>
          <w:divBdr>
            <w:top w:val="none" w:sz="0" w:space="0" w:color="auto"/>
            <w:left w:val="none" w:sz="0" w:space="0" w:color="auto"/>
            <w:bottom w:val="none" w:sz="0" w:space="0" w:color="auto"/>
            <w:right w:val="none" w:sz="0" w:space="0" w:color="auto"/>
          </w:divBdr>
        </w:div>
        <w:div w:id="79179282">
          <w:marLeft w:val="0"/>
          <w:marRight w:val="0"/>
          <w:marTop w:val="0"/>
          <w:marBottom w:val="0"/>
          <w:divBdr>
            <w:top w:val="none" w:sz="0" w:space="0" w:color="auto"/>
            <w:left w:val="none" w:sz="0" w:space="0" w:color="auto"/>
            <w:bottom w:val="none" w:sz="0" w:space="0" w:color="auto"/>
            <w:right w:val="none" w:sz="0" w:space="0" w:color="auto"/>
          </w:divBdr>
        </w:div>
        <w:div w:id="39942482">
          <w:marLeft w:val="0"/>
          <w:marRight w:val="0"/>
          <w:marTop w:val="0"/>
          <w:marBottom w:val="0"/>
          <w:divBdr>
            <w:top w:val="none" w:sz="0" w:space="0" w:color="auto"/>
            <w:left w:val="none" w:sz="0" w:space="0" w:color="auto"/>
            <w:bottom w:val="none" w:sz="0" w:space="0" w:color="auto"/>
            <w:right w:val="none" w:sz="0" w:space="0" w:color="auto"/>
          </w:divBdr>
        </w:div>
        <w:div w:id="1971127372">
          <w:marLeft w:val="0"/>
          <w:marRight w:val="0"/>
          <w:marTop w:val="0"/>
          <w:marBottom w:val="0"/>
          <w:divBdr>
            <w:top w:val="none" w:sz="0" w:space="0" w:color="auto"/>
            <w:left w:val="none" w:sz="0" w:space="0" w:color="auto"/>
            <w:bottom w:val="none" w:sz="0" w:space="0" w:color="auto"/>
            <w:right w:val="none" w:sz="0" w:space="0" w:color="auto"/>
          </w:divBdr>
        </w:div>
        <w:div w:id="1700545775">
          <w:marLeft w:val="0"/>
          <w:marRight w:val="0"/>
          <w:marTop w:val="0"/>
          <w:marBottom w:val="0"/>
          <w:divBdr>
            <w:top w:val="none" w:sz="0" w:space="0" w:color="auto"/>
            <w:left w:val="none" w:sz="0" w:space="0" w:color="auto"/>
            <w:bottom w:val="none" w:sz="0" w:space="0" w:color="auto"/>
            <w:right w:val="none" w:sz="0" w:space="0" w:color="auto"/>
          </w:divBdr>
        </w:div>
        <w:div w:id="529343016">
          <w:marLeft w:val="0"/>
          <w:marRight w:val="0"/>
          <w:marTop w:val="0"/>
          <w:marBottom w:val="0"/>
          <w:divBdr>
            <w:top w:val="none" w:sz="0" w:space="0" w:color="auto"/>
            <w:left w:val="none" w:sz="0" w:space="0" w:color="auto"/>
            <w:bottom w:val="none" w:sz="0" w:space="0" w:color="auto"/>
            <w:right w:val="none" w:sz="0" w:space="0" w:color="auto"/>
          </w:divBdr>
        </w:div>
        <w:div w:id="1650207132">
          <w:marLeft w:val="0"/>
          <w:marRight w:val="0"/>
          <w:marTop w:val="0"/>
          <w:marBottom w:val="0"/>
          <w:divBdr>
            <w:top w:val="none" w:sz="0" w:space="0" w:color="auto"/>
            <w:left w:val="none" w:sz="0" w:space="0" w:color="auto"/>
            <w:bottom w:val="none" w:sz="0" w:space="0" w:color="auto"/>
            <w:right w:val="none" w:sz="0" w:space="0" w:color="auto"/>
          </w:divBdr>
        </w:div>
        <w:div w:id="1355956616">
          <w:marLeft w:val="0"/>
          <w:marRight w:val="0"/>
          <w:marTop w:val="0"/>
          <w:marBottom w:val="0"/>
          <w:divBdr>
            <w:top w:val="none" w:sz="0" w:space="0" w:color="auto"/>
            <w:left w:val="none" w:sz="0" w:space="0" w:color="auto"/>
            <w:bottom w:val="none" w:sz="0" w:space="0" w:color="auto"/>
            <w:right w:val="none" w:sz="0" w:space="0" w:color="auto"/>
          </w:divBdr>
        </w:div>
        <w:div w:id="125587787">
          <w:marLeft w:val="0"/>
          <w:marRight w:val="0"/>
          <w:marTop w:val="0"/>
          <w:marBottom w:val="0"/>
          <w:divBdr>
            <w:top w:val="none" w:sz="0" w:space="0" w:color="auto"/>
            <w:left w:val="none" w:sz="0" w:space="0" w:color="auto"/>
            <w:bottom w:val="none" w:sz="0" w:space="0" w:color="auto"/>
            <w:right w:val="none" w:sz="0" w:space="0" w:color="auto"/>
          </w:divBdr>
        </w:div>
        <w:div w:id="1432044036">
          <w:marLeft w:val="0"/>
          <w:marRight w:val="0"/>
          <w:marTop w:val="0"/>
          <w:marBottom w:val="0"/>
          <w:divBdr>
            <w:top w:val="none" w:sz="0" w:space="0" w:color="auto"/>
            <w:left w:val="none" w:sz="0" w:space="0" w:color="auto"/>
            <w:bottom w:val="none" w:sz="0" w:space="0" w:color="auto"/>
            <w:right w:val="none" w:sz="0" w:space="0" w:color="auto"/>
          </w:divBdr>
        </w:div>
        <w:div w:id="603652392">
          <w:marLeft w:val="0"/>
          <w:marRight w:val="0"/>
          <w:marTop w:val="0"/>
          <w:marBottom w:val="0"/>
          <w:divBdr>
            <w:top w:val="none" w:sz="0" w:space="0" w:color="auto"/>
            <w:left w:val="none" w:sz="0" w:space="0" w:color="auto"/>
            <w:bottom w:val="none" w:sz="0" w:space="0" w:color="auto"/>
            <w:right w:val="none" w:sz="0" w:space="0" w:color="auto"/>
          </w:divBdr>
        </w:div>
        <w:div w:id="1756434322">
          <w:marLeft w:val="0"/>
          <w:marRight w:val="0"/>
          <w:marTop w:val="0"/>
          <w:marBottom w:val="0"/>
          <w:divBdr>
            <w:top w:val="none" w:sz="0" w:space="0" w:color="auto"/>
            <w:left w:val="none" w:sz="0" w:space="0" w:color="auto"/>
            <w:bottom w:val="none" w:sz="0" w:space="0" w:color="auto"/>
            <w:right w:val="none" w:sz="0" w:space="0" w:color="auto"/>
          </w:divBdr>
        </w:div>
        <w:div w:id="1402172644">
          <w:marLeft w:val="0"/>
          <w:marRight w:val="0"/>
          <w:marTop w:val="0"/>
          <w:marBottom w:val="0"/>
          <w:divBdr>
            <w:top w:val="none" w:sz="0" w:space="0" w:color="auto"/>
            <w:left w:val="none" w:sz="0" w:space="0" w:color="auto"/>
            <w:bottom w:val="none" w:sz="0" w:space="0" w:color="auto"/>
            <w:right w:val="none" w:sz="0" w:space="0" w:color="auto"/>
          </w:divBdr>
        </w:div>
        <w:div w:id="1740666766">
          <w:marLeft w:val="0"/>
          <w:marRight w:val="0"/>
          <w:marTop w:val="0"/>
          <w:marBottom w:val="0"/>
          <w:divBdr>
            <w:top w:val="none" w:sz="0" w:space="0" w:color="auto"/>
            <w:left w:val="none" w:sz="0" w:space="0" w:color="auto"/>
            <w:bottom w:val="none" w:sz="0" w:space="0" w:color="auto"/>
            <w:right w:val="none" w:sz="0" w:space="0" w:color="auto"/>
          </w:divBdr>
        </w:div>
        <w:div w:id="778646263">
          <w:marLeft w:val="0"/>
          <w:marRight w:val="0"/>
          <w:marTop w:val="0"/>
          <w:marBottom w:val="0"/>
          <w:divBdr>
            <w:top w:val="none" w:sz="0" w:space="0" w:color="auto"/>
            <w:left w:val="none" w:sz="0" w:space="0" w:color="auto"/>
            <w:bottom w:val="none" w:sz="0" w:space="0" w:color="auto"/>
            <w:right w:val="none" w:sz="0" w:space="0" w:color="auto"/>
          </w:divBdr>
        </w:div>
        <w:div w:id="1295214877">
          <w:marLeft w:val="0"/>
          <w:marRight w:val="0"/>
          <w:marTop w:val="0"/>
          <w:marBottom w:val="0"/>
          <w:divBdr>
            <w:top w:val="none" w:sz="0" w:space="0" w:color="auto"/>
            <w:left w:val="none" w:sz="0" w:space="0" w:color="auto"/>
            <w:bottom w:val="none" w:sz="0" w:space="0" w:color="auto"/>
            <w:right w:val="none" w:sz="0" w:space="0" w:color="auto"/>
          </w:divBdr>
        </w:div>
        <w:div w:id="704328655">
          <w:marLeft w:val="0"/>
          <w:marRight w:val="0"/>
          <w:marTop w:val="0"/>
          <w:marBottom w:val="0"/>
          <w:divBdr>
            <w:top w:val="none" w:sz="0" w:space="0" w:color="auto"/>
            <w:left w:val="none" w:sz="0" w:space="0" w:color="auto"/>
            <w:bottom w:val="none" w:sz="0" w:space="0" w:color="auto"/>
            <w:right w:val="none" w:sz="0" w:space="0" w:color="auto"/>
          </w:divBdr>
        </w:div>
        <w:div w:id="410780897">
          <w:marLeft w:val="0"/>
          <w:marRight w:val="0"/>
          <w:marTop w:val="0"/>
          <w:marBottom w:val="0"/>
          <w:divBdr>
            <w:top w:val="none" w:sz="0" w:space="0" w:color="auto"/>
            <w:left w:val="none" w:sz="0" w:space="0" w:color="auto"/>
            <w:bottom w:val="none" w:sz="0" w:space="0" w:color="auto"/>
            <w:right w:val="none" w:sz="0" w:space="0" w:color="auto"/>
          </w:divBdr>
        </w:div>
        <w:div w:id="676227695">
          <w:marLeft w:val="0"/>
          <w:marRight w:val="0"/>
          <w:marTop w:val="0"/>
          <w:marBottom w:val="0"/>
          <w:divBdr>
            <w:top w:val="none" w:sz="0" w:space="0" w:color="auto"/>
            <w:left w:val="none" w:sz="0" w:space="0" w:color="auto"/>
            <w:bottom w:val="none" w:sz="0" w:space="0" w:color="auto"/>
            <w:right w:val="none" w:sz="0" w:space="0" w:color="auto"/>
          </w:divBdr>
        </w:div>
        <w:div w:id="1461151897">
          <w:marLeft w:val="0"/>
          <w:marRight w:val="0"/>
          <w:marTop w:val="0"/>
          <w:marBottom w:val="0"/>
          <w:divBdr>
            <w:top w:val="none" w:sz="0" w:space="0" w:color="auto"/>
            <w:left w:val="none" w:sz="0" w:space="0" w:color="auto"/>
            <w:bottom w:val="none" w:sz="0" w:space="0" w:color="auto"/>
            <w:right w:val="none" w:sz="0" w:space="0" w:color="auto"/>
          </w:divBdr>
        </w:div>
        <w:div w:id="1566600604">
          <w:marLeft w:val="0"/>
          <w:marRight w:val="0"/>
          <w:marTop w:val="0"/>
          <w:marBottom w:val="0"/>
          <w:divBdr>
            <w:top w:val="none" w:sz="0" w:space="0" w:color="auto"/>
            <w:left w:val="none" w:sz="0" w:space="0" w:color="auto"/>
            <w:bottom w:val="none" w:sz="0" w:space="0" w:color="auto"/>
            <w:right w:val="none" w:sz="0" w:space="0" w:color="auto"/>
          </w:divBdr>
        </w:div>
        <w:div w:id="702024167">
          <w:marLeft w:val="0"/>
          <w:marRight w:val="0"/>
          <w:marTop w:val="0"/>
          <w:marBottom w:val="0"/>
          <w:divBdr>
            <w:top w:val="none" w:sz="0" w:space="0" w:color="auto"/>
            <w:left w:val="none" w:sz="0" w:space="0" w:color="auto"/>
            <w:bottom w:val="none" w:sz="0" w:space="0" w:color="auto"/>
            <w:right w:val="none" w:sz="0" w:space="0" w:color="auto"/>
          </w:divBdr>
        </w:div>
        <w:div w:id="2003926716">
          <w:marLeft w:val="0"/>
          <w:marRight w:val="0"/>
          <w:marTop w:val="0"/>
          <w:marBottom w:val="0"/>
          <w:divBdr>
            <w:top w:val="none" w:sz="0" w:space="0" w:color="auto"/>
            <w:left w:val="none" w:sz="0" w:space="0" w:color="auto"/>
            <w:bottom w:val="none" w:sz="0" w:space="0" w:color="auto"/>
            <w:right w:val="none" w:sz="0" w:space="0" w:color="auto"/>
          </w:divBdr>
        </w:div>
        <w:div w:id="406078932">
          <w:marLeft w:val="0"/>
          <w:marRight w:val="0"/>
          <w:marTop w:val="0"/>
          <w:marBottom w:val="0"/>
          <w:divBdr>
            <w:top w:val="none" w:sz="0" w:space="0" w:color="auto"/>
            <w:left w:val="none" w:sz="0" w:space="0" w:color="auto"/>
            <w:bottom w:val="none" w:sz="0" w:space="0" w:color="auto"/>
            <w:right w:val="none" w:sz="0" w:space="0" w:color="auto"/>
          </w:divBdr>
        </w:div>
        <w:div w:id="1914661541">
          <w:marLeft w:val="0"/>
          <w:marRight w:val="0"/>
          <w:marTop w:val="0"/>
          <w:marBottom w:val="0"/>
          <w:divBdr>
            <w:top w:val="none" w:sz="0" w:space="0" w:color="auto"/>
            <w:left w:val="none" w:sz="0" w:space="0" w:color="auto"/>
            <w:bottom w:val="none" w:sz="0" w:space="0" w:color="auto"/>
            <w:right w:val="none" w:sz="0" w:space="0" w:color="auto"/>
          </w:divBdr>
        </w:div>
        <w:div w:id="1829321606">
          <w:marLeft w:val="0"/>
          <w:marRight w:val="0"/>
          <w:marTop w:val="0"/>
          <w:marBottom w:val="0"/>
          <w:divBdr>
            <w:top w:val="none" w:sz="0" w:space="0" w:color="auto"/>
            <w:left w:val="none" w:sz="0" w:space="0" w:color="auto"/>
            <w:bottom w:val="none" w:sz="0" w:space="0" w:color="auto"/>
            <w:right w:val="none" w:sz="0" w:space="0" w:color="auto"/>
          </w:divBdr>
        </w:div>
        <w:div w:id="671614414">
          <w:marLeft w:val="0"/>
          <w:marRight w:val="0"/>
          <w:marTop w:val="0"/>
          <w:marBottom w:val="0"/>
          <w:divBdr>
            <w:top w:val="none" w:sz="0" w:space="0" w:color="auto"/>
            <w:left w:val="none" w:sz="0" w:space="0" w:color="auto"/>
            <w:bottom w:val="none" w:sz="0" w:space="0" w:color="auto"/>
            <w:right w:val="none" w:sz="0" w:space="0" w:color="auto"/>
          </w:divBdr>
        </w:div>
        <w:div w:id="1169710030">
          <w:marLeft w:val="0"/>
          <w:marRight w:val="0"/>
          <w:marTop w:val="0"/>
          <w:marBottom w:val="0"/>
          <w:divBdr>
            <w:top w:val="none" w:sz="0" w:space="0" w:color="auto"/>
            <w:left w:val="none" w:sz="0" w:space="0" w:color="auto"/>
            <w:bottom w:val="none" w:sz="0" w:space="0" w:color="auto"/>
            <w:right w:val="none" w:sz="0" w:space="0" w:color="auto"/>
          </w:divBdr>
        </w:div>
      </w:divsChild>
    </w:div>
    <w:div w:id="1135221578">
      <w:bodyDiv w:val="1"/>
      <w:marLeft w:val="0"/>
      <w:marRight w:val="0"/>
      <w:marTop w:val="0"/>
      <w:marBottom w:val="0"/>
      <w:divBdr>
        <w:top w:val="none" w:sz="0" w:space="0" w:color="auto"/>
        <w:left w:val="none" w:sz="0" w:space="0" w:color="auto"/>
        <w:bottom w:val="none" w:sz="0" w:space="0" w:color="auto"/>
        <w:right w:val="none" w:sz="0" w:space="0" w:color="auto"/>
      </w:divBdr>
    </w:div>
    <w:div w:id="208576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24/feb/26/toxic-culture-of-disbelief-persists-at-top-of-post-office-mps-told-horizon" TargetMode="External"/><Relationship Id="rId13" Type="http://schemas.openxmlformats.org/officeDocument/2006/relationships/hyperlink" Target="https://www.parliament.uk/site-information/glossary/government/" TargetMode="External"/><Relationship Id="rId3" Type="http://schemas.openxmlformats.org/officeDocument/2006/relationships/styles" Target="styles.xml"/><Relationship Id="rId7" Type="http://schemas.openxmlformats.org/officeDocument/2006/relationships/hyperlink" Target="https://www.instituteforgovernment.org.uk/publication/power-with-purpose-centre-commission" TargetMode="External"/><Relationship Id="rId12" Type="http://schemas.openxmlformats.org/officeDocument/2006/relationships/hyperlink" Target="https://www.gov.uk/government/how-government-work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researchbriefings.files.parliament.uk/documents/SN06053/SN06053.pdf" TargetMode="External"/><Relationship Id="rId11" Type="http://schemas.openxmlformats.org/officeDocument/2006/relationships/hyperlink" Target="https://www.bihr.org.uk/get-informed/legislation-explainers/separation-of-powers-parliamentary-sovereignty-the-rule-of-law" TargetMode="External"/><Relationship Id="rId5" Type="http://schemas.openxmlformats.org/officeDocument/2006/relationships/webSettings" Target="webSettings.xml"/><Relationship Id="rId15" Type="http://schemas.openxmlformats.org/officeDocument/2006/relationships/hyperlink" Target="https://www.instituteforgovernment.org.uk/sites/default/files/publications/Parliamentary%20scrutiny%20briefing%20note%20final.pdf" TargetMode="External"/><Relationship Id="rId10" Type="http://schemas.openxmlformats.org/officeDocument/2006/relationships/hyperlink" Target="https://www.instituteforgovernment.org.uk/article/comment/was-gordon-browns-economic-war-council-new-model-driving-pms-agenda" TargetMode="External"/><Relationship Id="rId4" Type="http://schemas.openxmlformats.org/officeDocument/2006/relationships/settings" Target="settings.xml"/><Relationship Id="rId9" Type="http://schemas.openxmlformats.org/officeDocument/2006/relationships/hyperlink" Target="https://www.ucl.ac.uk/constitution-unit/sites/constitution_unit/files/parliamentary_scrutiny_briefing_final_clean_1_1.pdf" TargetMode="External"/><Relationship Id="rId14" Type="http://schemas.openxmlformats.org/officeDocument/2006/relationships/hyperlink" Target="https://www.parliament.uk/about/how/role/relations-with-other-institutions/parliament-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2305695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8993E9-5407-4049-AA40-2895661E6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1654</TotalTime>
  <Pages>10</Pages>
  <Words>1921</Words>
  <Characters>10955</Characters>
  <Application>Microsoft Office Word</Application>
  <DocSecurity>0</DocSecurity>
  <Lines>91</Lines>
  <Paragraphs>25</Paragraphs>
  <ScaleCrop>false</ScaleCrop>
  <Company>Ffion jones</Company>
  <LinksUpToDate>false</LinksUpToDate>
  <CharactersWithSpaces>12851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Holding the UK Government to account</dc:title>
  <dc:subject/>
  <dc:creator>BMLW4006</dc:creator>
  <cp:keywords/>
  <dc:description/>
  <cp:lastModifiedBy>Ffion Jones</cp:lastModifiedBy>
  <cp:revision>120</cp:revision>
  <dcterms:created xsi:type="dcterms:W3CDTF">2024-03-11T12:02:00Z</dcterms:created>
  <dcterms:modified xsi:type="dcterms:W3CDTF">2024-03-21T16:18:00Z</dcterms:modified>
</cp:coreProperties>
</file>