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AD791" w14:textId="6292B491" w:rsidR="00D57308" w:rsidRDefault="00C64728" w:rsidP="00783699">
      <w:r>
        <w:rPr>
          <w:b/>
          <w:bCs/>
          <w:sz w:val="32"/>
          <w:szCs w:val="32"/>
          <w:u w:val="single"/>
        </w:rPr>
        <w:t xml:space="preserve">Essay on </w:t>
      </w:r>
      <w:r w:rsidR="008E0C69">
        <w:rPr>
          <w:b/>
          <w:bCs/>
          <w:sz w:val="32"/>
          <w:szCs w:val="32"/>
          <w:u w:val="single"/>
        </w:rPr>
        <w:t>Therapeutic Intervention with Young People affected by Bereavement</w:t>
      </w:r>
    </w:p>
    <w:p w14:paraId="5AC46F58" w14:textId="0BFAB656" w:rsidR="00783699" w:rsidRPr="00556514" w:rsidRDefault="00783699" w:rsidP="00783699">
      <w:r w:rsidRPr="00556514">
        <w:t>Bereavement during childhood is recognised as a significant life event that can influence emotional, social and educational development, particularly when it involves the death of a parent or primary caregiver. For school-aged children and young people, such losses occur at a time when stability, attachment relationships and routine are central to healthy development, meaning the disruption caused by bereavement can have far-reaching consequences (Bowlby, 1980; Sandler, Irwin N. et al., 2018). Research suggests that childhood bereavement is relatively common in the UK, with thousands of children experiencing the death of a parent each year, highlighting the importance of effective support systems within families and educational settings (Childhood Bereavement Network, 2022). Despite increasing awareness, provision for bereaved children remains inconsistent, and schools often report limited training and resources to respond confidently to grief-related needs (UK Parliament, 2023).</w:t>
      </w:r>
    </w:p>
    <w:p w14:paraId="3CF05DB5" w14:textId="7DDD336F" w:rsidR="00783699" w:rsidRPr="00556514" w:rsidRDefault="00783699" w:rsidP="00783699">
      <w:r w:rsidRPr="00556514">
        <w:t>Bereavement is not a uniform experience; children’s responses vary according to developmental stage, family context and the nature of the loss. Theoretical perspectives, including attachment theory, continuing bonds and meaning-reconstruction approaches, emphasise that grief involves an ongoing process of adjustment rather than a fixed sequence of stages (Stroebe</w:t>
      </w:r>
      <w:r w:rsidR="00ED0FE9" w:rsidRPr="00556514">
        <w:t xml:space="preserve"> and</w:t>
      </w:r>
      <w:r w:rsidRPr="00556514">
        <w:t xml:space="preserve"> Schut,</w:t>
      </w:r>
      <w:r w:rsidR="007B7926" w:rsidRPr="00556514">
        <w:t xml:space="preserve"> </w:t>
      </w:r>
      <w:r w:rsidRPr="00556514">
        <w:t xml:space="preserve">2021; </w:t>
      </w:r>
      <w:r w:rsidR="003D710B">
        <w:t>Cobb et.al., 2017</w:t>
      </w:r>
      <w:r w:rsidRPr="00556514">
        <w:t>). These frameworks highlight the importance of developmentally informed support, particularly within educational environments where children spend a substantial proportion of their time. However, inequalities in access to services and variability in intervention timing may influence long-term outcomes for bereaved children.</w:t>
      </w:r>
    </w:p>
    <w:p w14:paraId="6C47C151" w14:textId="77777777" w:rsidR="00783699" w:rsidRPr="00556514" w:rsidRDefault="00783699" w:rsidP="00783699">
      <w:r w:rsidRPr="00556514">
        <w:t>This essay critically examines the impact of parental bereavement on children and adolescents, exploring emotional, cognitive and social consequences, as well as the risks associated with delayed intervention. It evaluates the role of schools and therapeutic approaches in supporting adjustment and considers how developmental stage shapes children’s needs. The essay argues that early, developmentally informed and coordinated support across family and educational contexts can mitigate adverse outcomes and promote resilience following parental loss.</w:t>
      </w:r>
    </w:p>
    <w:p w14:paraId="45808AB6" w14:textId="5ACC86C5" w:rsidR="009935BF" w:rsidRPr="00556514" w:rsidRDefault="009935BF" w:rsidP="009935BF">
      <w:r w:rsidRPr="00556514">
        <w:lastRenderedPageBreak/>
        <w:t>Recent statistics highlight the scale and urgency of childhood bereavement in the UK. Between 2019 and 2021, an estimated 46,000 children experienced the death of a parent—</w:t>
      </w:r>
      <w:r w:rsidR="007A40B1" w:rsidRPr="00556514">
        <w:t xml:space="preserve">this equates to </w:t>
      </w:r>
      <w:r w:rsidR="002C713B" w:rsidRPr="00556514">
        <w:t>one child every 20 minutes</w:t>
      </w:r>
      <w:r w:rsidRPr="00556514">
        <w:t xml:space="preserve"> (Childhood Bereavement Network 2022). These figures may underestimate the true prevalence, particularly in the aftermath of the COVID</w:t>
      </w:r>
      <w:r w:rsidRPr="00556514">
        <w:noBreakHyphen/>
        <w:t>19 pandemic, which significantly increased mortality rates and left many families without adequate support (Dawson et al. 2023). Prior to the pandemic, research indicated that 1 in 29 children had been bereaved of a parent (University of Bristol 2023), suggesting that parental loss is far from a rare event. Despite this, parliamentary debate has identified significant gaps in bereavement provision within schools, especially at primary level (UK Parliament 2023). While the UK Government has allocated more than £10 million for mental</w:t>
      </w:r>
      <w:r w:rsidRPr="00556514">
        <w:noBreakHyphen/>
        <w:t>health training in education, bereavement</w:t>
      </w:r>
      <w:r w:rsidRPr="00556514">
        <w:noBreakHyphen/>
        <w:t>specific training remains limited and inconsistently implemented. This lack of targeted provision has raised concerns about the capacity of schools to respond effectively to bereaved pupils, particularly given the emotional and developmental complexity of childhood grief. The policy context therefore underscores the need for improved understanding, training, and resources within educational environments.</w:t>
      </w:r>
    </w:p>
    <w:p w14:paraId="59E40494" w14:textId="24908C43" w:rsidR="009935BF" w:rsidRPr="00556514" w:rsidRDefault="00616D0A">
      <w:r w:rsidRPr="00556514">
        <w:t>Bereavement can be understood as the experience of losing someone significant, setting in motion a complex process of emotional, cognitive, behavioural and social adjustment</w:t>
      </w:r>
      <w:r w:rsidR="0055165C" w:rsidRPr="00556514">
        <w:t xml:space="preserve"> </w:t>
      </w:r>
      <w:r w:rsidR="009935BF" w:rsidRPr="00556514">
        <w:t xml:space="preserve">(Stroebe &amp; Schut 2021). Contemporary perspectives emphasise that bereavement is not a single </w:t>
      </w:r>
      <w:r w:rsidR="0055165C" w:rsidRPr="00556514">
        <w:t>event,</w:t>
      </w:r>
      <w:r w:rsidR="009935BF" w:rsidRPr="00556514">
        <w:t xml:space="preserve"> but a dynamic, relational process shaped by cultural norms, social context, and the availability of support. Recent relational research highlights that grief unfolds within interpersonal systems, with family dynamics, communication patterns, and relational strain influencing how individuals adapt to loss (Breen et al. 2022). Distinguishing bereavement from related concepts remains important: grief refers to the internal emotional response, while mourning reflects culturally mediated expression (</w:t>
      </w:r>
      <w:r w:rsidR="003D710B">
        <w:t>Cobb et.al., 2017</w:t>
      </w:r>
      <w:r w:rsidR="009935BF" w:rsidRPr="00556514">
        <w:t>). Within childhood studies, bereavement is conceptualised as a developmental process requiring children to make sense of the death and adapt to changes in identity, relationships, and routines (</w:t>
      </w:r>
      <w:r w:rsidR="001457DD">
        <w:t>Kaplow,2014</w:t>
      </w:r>
      <w:r w:rsidR="009935BF" w:rsidRPr="00556514">
        <w:t>; Aoun et al. 2022). Children’s understanding of death evolves over time, influenced by cognitive maturity, family communication, and cultural beliefs, meaning they may revisit their grief repeatedly as they grow.</w:t>
      </w:r>
    </w:p>
    <w:p w14:paraId="0ED631B9" w14:textId="500C22FB" w:rsidR="009935BF" w:rsidRPr="00556514" w:rsidRDefault="009935BF">
      <w:r w:rsidRPr="00556514">
        <w:t xml:space="preserve">Several theoretical frameworks help explain how bereavement affects children and guide therapeutic and educational responses. </w:t>
      </w:r>
      <w:r w:rsidR="0055165C" w:rsidRPr="00556514">
        <w:t xml:space="preserve">According to attachment theory, the ways children respond to bereavement are closely tied to the patterns of connection and security formed in their earliest relationships. </w:t>
      </w:r>
      <w:r w:rsidRPr="00556514">
        <w:t xml:space="preserve">The death of a primary caregiver can destabilise a child’s sense of </w:t>
      </w:r>
      <w:r w:rsidRPr="00556514">
        <w:lastRenderedPageBreak/>
        <w:t xml:space="preserve">safety, heightening distress and complicating adjustment (Bowlby 1980; Breen et al. 2020). Children who previously experienced insecure attachment may be particularly vulnerable to prolonged or complicated grief. Continuing Bonds theory challenges earlier assumptions that “letting go” is necessary for healthy development. Instead, </w:t>
      </w:r>
      <w:r w:rsidR="00C445CE" w:rsidRPr="00556514">
        <w:t>k</w:t>
      </w:r>
      <w:r w:rsidR="00F936F0" w:rsidRPr="00556514">
        <w:t>eeping the relationship alive in psychological or symbolic ways, such as recalling shared moments or engaging in personal rituals, can ease the transition that follows a significant loss</w:t>
      </w:r>
      <w:r w:rsidRPr="00556514">
        <w:t xml:space="preserve"> (Klass, Silverman &amp; Nickman 1996). </w:t>
      </w:r>
      <w:r w:rsidR="00C41B06" w:rsidRPr="00556514">
        <w:t xml:space="preserve">Worden proposes that coping with bereavement requires engaging in a series of actions; however, this structured approach may overlook the fluctuating nature of children’s grief. </w:t>
      </w:r>
      <w:r w:rsidRPr="00556514">
        <w:t xml:space="preserve">(Worden 2009). Children navigate these tasks in developmentally specific ways, often requiring adult scaffolding to understand and process the loss. </w:t>
      </w:r>
      <w:r w:rsidR="003036F9" w:rsidRPr="00556514">
        <w:t xml:space="preserve">Stroebe and Schut’s Dual Process Model suggests that people move back and forth between focusing on the loss itself and engaging in everyday restorative activities </w:t>
      </w:r>
      <w:r w:rsidRPr="00556514">
        <w:t>(Stroebe &amp; Schut 2021). More recent perspectives, such as Meaning Reconstruction, view bereavement as a process of rebuilding identity and understanding after loss (</w:t>
      </w:r>
      <w:r w:rsidR="003D710B">
        <w:t>Cobb et.al., 2017</w:t>
      </w:r>
      <w:r w:rsidRPr="00556514">
        <w:t>). Together, these frameworks illustrate that children’s bereavement is shaped by developmental stage, relational context, and the meaning they construct from the loss.</w:t>
      </w:r>
      <w:r w:rsidR="001530BA" w:rsidRPr="00556514">
        <w:t xml:space="preserve"> No single model fully explains childhood bereavement, suggesting practitioners should adopt an integrative approach that considers developmental, relational and contextual factors.</w:t>
      </w:r>
    </w:p>
    <w:p w14:paraId="73D748D3" w14:textId="4FFCCEE2" w:rsidR="009935BF" w:rsidRPr="00556514" w:rsidRDefault="009935BF">
      <w:r w:rsidRPr="00556514">
        <w:t>Bereavement can trigger a wide range of physical and somatic responses. Sleep disruption—including nightmares, insomnia, and irregular sleep patterns—is common and can undermine attention, memory, and emotional regulation (Wray et al. 2022). Children frequently report headaches, stomach aches, nausea, and generalised pain, particularly when they lack the emotional vocabulary to express grief verbally (Pearce &amp; Komaromy 2022</w:t>
      </w:r>
      <w:r w:rsidR="00CE0746">
        <w:t>, Prigerson</w:t>
      </w:r>
      <w:r w:rsidR="009A13B5">
        <w:t xml:space="preserve"> and Maciejewski, 2017</w:t>
      </w:r>
      <w:r w:rsidRPr="00556514">
        <w:t>). Physiological stress responses, such as</w:t>
      </w:r>
      <w:r w:rsidR="00642113" w:rsidRPr="00556514">
        <w:t xml:space="preserve"> </w:t>
      </w:r>
      <w:r w:rsidR="004745C9" w:rsidRPr="00556514">
        <w:t xml:space="preserve">flight or flight response is </w:t>
      </w:r>
      <w:r w:rsidRPr="00556514">
        <w:t>heightened and reduced immune functioning, may lead to fatigue, appetite disturbance</w:t>
      </w:r>
      <w:r w:rsidR="00E32049" w:rsidRPr="00556514">
        <w:t>- eating</w:t>
      </w:r>
      <w:r w:rsidR="00214A0D">
        <w:t>, thi could be eating more or less than usual</w:t>
      </w:r>
      <w:r w:rsidR="00E32049" w:rsidRPr="00556514">
        <w:t xml:space="preserve"> </w:t>
      </w:r>
      <w:r w:rsidR="00955662" w:rsidRPr="00556514">
        <w:t>and</w:t>
      </w:r>
      <w:r w:rsidRPr="00556514">
        <w:t xml:space="preserve"> </w:t>
      </w:r>
      <w:r w:rsidR="00413BD2" w:rsidRPr="00556514">
        <w:t>more prone to illnesses from a potentially lowered immune system</w:t>
      </w:r>
      <w:r w:rsidRPr="00556514">
        <w:t xml:space="preserve"> (Vitlic, Lord &amp; Phillips 2014; Champion &amp; Kilcullen 2023). Behavioural regression, including clinginess or disrupted toileting, can also occur as children struggle to maintain developmental routines. These physical manifestations highlight the embodied nature of childhood grief and the need for adults to recognise that distress may be communicated through the body rather than through words.</w:t>
      </w:r>
    </w:p>
    <w:p w14:paraId="44FD5535" w14:textId="6966D442" w:rsidR="009935BF" w:rsidRPr="00556514" w:rsidRDefault="009935BF" w:rsidP="009935BF">
      <w:r w:rsidRPr="00556514">
        <w:t xml:space="preserve">Cognitively, bereavement can disrupt attention, working memory, and executive functioning, making it harder for children to process information and engage in learning (Alvis et al. </w:t>
      </w:r>
      <w:r w:rsidRPr="00556514">
        <w:lastRenderedPageBreak/>
        <w:t xml:space="preserve">2023). Younger children may struggle with concepts such as </w:t>
      </w:r>
      <w:r w:rsidR="00691125" w:rsidRPr="00556514">
        <w:t>the forever of a death and that death happens for a specific reason</w:t>
      </w:r>
      <w:r w:rsidR="00483596" w:rsidRPr="00556514">
        <w:t>,</w:t>
      </w:r>
      <w:r w:rsidRPr="00556514">
        <w:t xml:space="preserve"> leading to confusion or magical thinking (Comerchero 2017). Intrusive thoughts and preoccupation with the deceased can further reduce cognitive capacity, contributing to academic difficulties. These cognitive disruptions are closely linked to emotional distress, as grief occupies mental resources that would otherwise support problem</w:t>
      </w:r>
      <w:r w:rsidRPr="00556514">
        <w:noBreakHyphen/>
        <w:t>solving and academic engagement. For many children, school becomes a place where concentration fluctuates, tasks feel overwhelming, and learning becomes secondary to coping with loss. Teachers may misinterpret these cognitive changes as behavioural issues or lack of motivation, highlighting the importance of bereavement</w:t>
      </w:r>
      <w:r w:rsidRPr="00556514">
        <w:noBreakHyphen/>
        <w:t>informed training within educational settings.</w:t>
      </w:r>
    </w:p>
    <w:p w14:paraId="45BAB1DD" w14:textId="5BF51153" w:rsidR="009935BF" w:rsidRPr="00556514" w:rsidRDefault="009935BF" w:rsidP="009935BF">
      <w:r w:rsidRPr="00556514">
        <w:t>Emotionally, bereaved children may experience sadness, anxiety, anger, guilt, and emotional confusion, often shifting rapidly between these states (Alvis et al. 2023). Difficulties with emotional regulation are common, particularly when the death involves a primary caregiver (</w:t>
      </w:r>
      <w:r w:rsidR="00CA4822">
        <w:t>Hoppe et.al 2025</w:t>
      </w:r>
      <w:r w:rsidRPr="00556514">
        <w:t>). Many bereaved children also report feeling set apart from their peers, which can contribute to emotional withdrawal and reluctance to share feelings. Some children may fear further loss, leading to clinginess or separation anxiety, while others may express distress through irritability or risk</w:t>
      </w:r>
      <w:r w:rsidRPr="00556514">
        <w:noBreakHyphen/>
        <w:t xml:space="preserve">taking behaviours. </w:t>
      </w:r>
      <w:r w:rsidR="001E2B8B" w:rsidRPr="00556514">
        <w:t>Evidence over ti</w:t>
      </w:r>
      <w:r w:rsidR="00D97662" w:rsidRPr="00556514">
        <w:t>me has shown links between c</w:t>
      </w:r>
      <w:r w:rsidRPr="00556514">
        <w:t xml:space="preserve">hildhood bereavement </w:t>
      </w:r>
      <w:r w:rsidR="005F38F7" w:rsidRPr="00556514">
        <w:t>and an</w:t>
      </w:r>
      <w:r w:rsidRPr="00556514">
        <w:t xml:space="preserve"> increased risk of later mental</w:t>
      </w:r>
      <w:r w:rsidR="00456942" w:rsidRPr="00556514">
        <w:t xml:space="preserve"> </w:t>
      </w:r>
      <w:r w:rsidRPr="00556514">
        <w:t>health difficulties, though outcomes vary widely and are strongly influenced by the quality of support available (Parsons 2011). These emotional responses highlight the importance of developmentally sensitive environments that enable children to express and process their feelings safely.</w:t>
      </w:r>
    </w:p>
    <w:p w14:paraId="294D6478" w14:textId="075A5B7B" w:rsidR="009935BF" w:rsidRPr="00556514" w:rsidRDefault="009935BF">
      <w:r w:rsidRPr="00556514">
        <w:t>Adolescence presents additional challenges. Bereavement during this period can disrupt identity formation, emotional independence, and future planning. Adolescents are developing a stronger sense of self and autonomy, so the death of a parent can destabilise their sense of stability and direction. Cognitive demands of grief may interfere with school engagement, while increased responsibilities at home can heighten stress (</w:t>
      </w:r>
      <w:r w:rsidR="00CA4822">
        <w:t>Hoppe et.al 2025</w:t>
      </w:r>
      <w:r w:rsidRPr="00556514">
        <w:t xml:space="preserve">). The Dual Process Model helps explain why adolescents may show inconsistent attendance, motivation, or behaviour in school, as they </w:t>
      </w:r>
      <w:r w:rsidR="00364F08" w:rsidRPr="00556514">
        <w:t>shift between</w:t>
      </w:r>
      <w:r w:rsidR="00C445CE" w:rsidRPr="00556514">
        <w:t xml:space="preserve"> </w:t>
      </w:r>
      <w:r w:rsidRPr="00556514">
        <w:t>confronting and avoiding their grief. Peer relationships also play a significant role during adolescence, and bereavement can alter social dynamics, sometimes leading to isolation or conflict. However, supportive relationships and stable routines can buffer these effects (Salloum et al. 2019). These findings highlight that the impact of bereavement is shaped not only by the loss itself but by the developmental stage and the support available.</w:t>
      </w:r>
    </w:p>
    <w:p w14:paraId="75610DD5" w14:textId="427CDCD6" w:rsidR="00DD6E00" w:rsidRPr="00556514" w:rsidRDefault="00DD6E00">
      <w:r w:rsidRPr="00556514">
        <w:lastRenderedPageBreak/>
        <w:t xml:space="preserve">In adulthood, bereavement can contribute to relationship strain, substance misuse, and long‑term physical health difficulties, particularly when early loss forms part of a broader pattern of Adverse Childhood Experiences (Hughes et al. 2017; Merrick </w:t>
      </w:r>
      <w:r w:rsidR="006021F9">
        <w:t xml:space="preserve">and Narayan, </w:t>
      </w:r>
      <w:r w:rsidRPr="00556514">
        <w:t>2</w:t>
      </w:r>
      <w:r w:rsidR="006021F9">
        <w:t>020</w:t>
      </w:r>
      <w:r w:rsidRPr="00556514">
        <w:t xml:space="preserve">). Relationship strain may arise from increased conflict, emotional distancing, or difficulties maintaining intimacy, especially when partners grieve differently or when the loss triggers unresolved attachment issues (Breen et al. 2022). Substance misuse may arise as adults attempt to manage overwhelming emotions (Keyes et al. 2014; </w:t>
      </w:r>
      <w:r w:rsidR="00845B74">
        <w:t>Parisi</w:t>
      </w:r>
      <w:r w:rsidR="00EF1D0F">
        <w:t xml:space="preserve"> et.al, 2019</w:t>
      </w:r>
      <w:r w:rsidRPr="00556514">
        <w:t>). However, resilience is common when individuals have access to stable support (</w:t>
      </w:r>
      <w:r w:rsidR="00390477">
        <w:t xml:space="preserve">Liu et.al, </w:t>
      </w:r>
      <w:r w:rsidR="00C77D0E">
        <w:t>2022</w:t>
      </w:r>
      <w:r w:rsidRPr="00556514">
        <w:t>). ACE research has been criticised for oversimplifying causal pathways, with more recent work emphasising the role of protective factors (Bethell et al. 2022). These findings suggest that early intervention and supportive environments can significantly reduce the long‑term risks associated with childhood bereavement</w:t>
      </w:r>
      <w:r w:rsidR="00B77588" w:rsidRPr="00556514">
        <w:t>.</w:t>
      </w:r>
    </w:p>
    <w:p w14:paraId="41BB1257" w14:textId="5955326C" w:rsidR="00DD6E00" w:rsidRPr="00556514" w:rsidRDefault="00DD6E00">
      <w:r w:rsidRPr="00556514">
        <w:t>Delayed or absent intervention can intensify difficulties. Unsupported grief is associated with social withdrawal, reduced participation in meaningful activities, and increased loneliness (</w:t>
      </w:r>
      <w:r w:rsidR="00AF1A2B">
        <w:t>Wray et al</w:t>
      </w:r>
      <w:r w:rsidR="00BC3A6C">
        <w:t xml:space="preserve"> 2025</w:t>
      </w:r>
      <w:r w:rsidRPr="00556514">
        <w:t xml:space="preserve">). Occupational instability may arise due to reduced concentration and productivity (Bui et al. 2021). Inequities are also exacerbated, with marginalised groups experiencing poorer mental‑health outcomes and reduced access to services (Harrop et al. 2020). </w:t>
      </w:r>
      <w:r w:rsidR="00EF71AA" w:rsidRPr="00556514">
        <w:t>Without timely support</w:t>
      </w:r>
      <w:r w:rsidR="00756693" w:rsidRPr="00556514">
        <w:t>, children may struggle to make sense of their loss</w:t>
      </w:r>
      <w:r w:rsidR="00524541" w:rsidRPr="00556514">
        <w:t xml:space="preserve"> which can lead to ongoing emotional distress</w:t>
      </w:r>
      <w:r w:rsidRPr="00556514">
        <w:t xml:space="preserve"> (</w:t>
      </w:r>
      <w:r w:rsidR="003D710B">
        <w:t>Cobb et.al., 2017</w:t>
      </w:r>
      <w:r w:rsidRPr="00556514">
        <w:t xml:space="preserve"> &amp; Burke 2023). These findings highlight the importance of timely, accessible, and culturally sensitive support.</w:t>
      </w:r>
    </w:p>
    <w:p w14:paraId="473300E0" w14:textId="463E3F11" w:rsidR="00506AC2" w:rsidRPr="00556514" w:rsidRDefault="002A394A">
      <w:r w:rsidRPr="00556514">
        <w:t xml:space="preserve">Schools provide an important stabilising environment following bereavement, but their effectiveness varies depending on staff confidence and available resources. Consistent routines and emotionally responsive adults can help reduce uncertainty, while flexible academic expectations may support engagement during periods of distress. Communication with families is particularly important, as children’s adjustment is closely linked to caregiver coping. Peer relationships may also provide a sense of belonging, although structured support requires careful facilitation to ensure emotional safety </w:t>
      </w:r>
      <w:r w:rsidR="00B811A3">
        <w:t>(O’Neill</w:t>
      </w:r>
      <w:r w:rsidRPr="00556514">
        <w:t xml:space="preserve"> et al. 202</w:t>
      </w:r>
      <w:r w:rsidR="008742AE">
        <w:t>4</w:t>
      </w:r>
      <w:r w:rsidRPr="00556514">
        <w:t xml:space="preserve">; Ahrens, McCauley &amp; DePrince 2022). </w:t>
      </w:r>
      <w:r w:rsidR="00C633FE" w:rsidRPr="00556514">
        <w:t xml:space="preserve">Although a wide range of bereavement services is available to UK schools, their accessibility remains uneven and shaped by wider structural and organisational constraints. National organisations such as Child Bereavement UK, Winston’s Wish and the Childhood Bereavement Network offer free toolkits, helplines and training materials, suggesting that support is broadly available (Child Bereavement UK n.d.; Winston’s Wish n.d.; Childhood Bereavement Network n.d.). However, the extent to which </w:t>
      </w:r>
      <w:r w:rsidR="00C633FE" w:rsidRPr="00556514">
        <w:lastRenderedPageBreak/>
        <w:t>schools can engage with these resources varies considerably. Many rely on pastoral staff who already manage high workloads, limiting the time available to complete training or embed new approaches (Paul &amp; Vaswani 2020). Even when materials are freely accessible, their practical use depends on leadership priorities, staff confidence and the availability of protected time for professional development. Geographical inequalities further influence access: schools in well</w:t>
      </w:r>
      <w:r w:rsidR="00C633FE" w:rsidRPr="00556514">
        <w:noBreakHyphen/>
        <w:t>resourced local authorities are more likely to have links with Educational Psychology services or local bereavement charities, whereas those in rural or economically disadvantaged areas often have fewer external options, creating inconsistent levels of provision (Hanna et al. 2022).</w:t>
      </w:r>
      <w:r w:rsidR="00600BF9" w:rsidRPr="00556514">
        <w:t xml:space="preserve"> O</w:t>
      </w:r>
      <w:r w:rsidR="00C633FE" w:rsidRPr="00556514">
        <w:t xml:space="preserve">nline toolkits increase reach, digital access alone does not guarantee effective implementation, as staff still require training to interpret guidance and adapt it to their context (Ahrens, McCauley &amp; DePrince 2022). Cultural and </w:t>
      </w:r>
      <w:r w:rsidR="00F12E39" w:rsidRPr="00556514">
        <w:t>language</w:t>
      </w:r>
      <w:r w:rsidR="00C633FE" w:rsidRPr="00556514">
        <w:t xml:space="preserve"> accessibility also remains variable, with some families reporting that school responses do not fully reflect their beliefs or needs (Kaplow 20</w:t>
      </w:r>
      <w:r w:rsidR="001F52E5">
        <w:t>14</w:t>
      </w:r>
      <w:r w:rsidR="00CA1422">
        <w:t xml:space="preserve">, </w:t>
      </w:r>
      <w:r w:rsidR="00612192">
        <w:t>Child Bereavement UK, n.d.</w:t>
      </w:r>
      <w:r w:rsidR="00C633FE" w:rsidRPr="00556514">
        <w:t>). The absence of statutory requirements for bereavement training means that provision ultimately depends on individual school ethos rather than national expectations. Consequently, while UK schools have access to a broad range of bereavement resources, the practical ability to use these services effectively remains inconsistent, highlighting the need for more equitable, system</w:t>
      </w:r>
      <w:r w:rsidR="00C633FE" w:rsidRPr="00556514">
        <w:noBreakHyphen/>
        <w:t>level support.</w:t>
      </w:r>
      <w:r w:rsidR="000A6D34" w:rsidRPr="00556514">
        <w:t xml:space="preserve"> Despite the potential of school-based support, variability in staff training limits consistent implementation across settings</w:t>
      </w:r>
      <w:r w:rsidR="00440105" w:rsidRPr="00556514">
        <w:t>.</w:t>
      </w:r>
    </w:p>
    <w:p w14:paraId="4F7203BE" w14:textId="23EC56DE" w:rsidR="00096CA3" w:rsidRPr="00556514" w:rsidRDefault="00754166" w:rsidP="00754166">
      <w:r w:rsidRPr="00556514">
        <w:t xml:space="preserve">Overall, the literature </w:t>
      </w:r>
      <w:r w:rsidR="001954A2" w:rsidRPr="00556514">
        <w:t>shows</w:t>
      </w:r>
      <w:r w:rsidRPr="00556514">
        <w:t xml:space="preserve"> that children’s responses to bereavement are shaped by developmental, relational and contextual factors, and schools are well placed to provide early, stabilising support during this period of disruption. Evidence shows that predictable routines, emotionally available adults and flexible academic expectations can help pupils manage the cognitive and emotional strain associated with grief (Hanna et al. 2022; Ahrens, McCauley &amp; DePrince 2022). National organisations such as Child Bereavement UK, Winston’s Wish and the Childhood Bereavement Network offer guidance and training that can strengthen staff confidence and promote more informed practice within school settings (Child Bereavement UK n.d.; Winston’s Wish n.d.; Childhood Bereavement Network n.d.). However, the accessibility of these services is shaped by wider inequalities, including variation in local funding, staff capacity and the availability of external agencies, meaning that support remains inconsistent across the UK (Paul &amp; Vaswani 2020; Hanna et al. 2022). The absence of statutory bereavement training further contributes to this uneven landscape, leaving provision dependent on individual school priorities rather than national expectations. Consequently, </w:t>
      </w:r>
      <w:r w:rsidRPr="00556514">
        <w:lastRenderedPageBreak/>
        <w:t>while a range of resources exists to guide practice, the extent to which children benefit from them varies considerably. Strengthening system</w:t>
      </w:r>
      <w:r w:rsidRPr="00556514">
        <w:noBreakHyphen/>
        <w:t>level coordination, improving access to specialist training and ensuring more equitable distribution of support would help schools respond more consistently and provide the compassionate, developmentally informed care that bereaved children require (</w:t>
      </w:r>
      <w:r w:rsidR="001457DD">
        <w:t>Kaplow, 2014</w:t>
      </w:r>
      <w:r w:rsidRPr="00556514">
        <w:t>).</w:t>
      </w:r>
      <w:r w:rsidR="00096CA3" w:rsidRPr="00556514">
        <w:t xml:space="preserve"> </w:t>
      </w:r>
    </w:p>
    <w:p w14:paraId="1248E17F" w14:textId="060CA885" w:rsidR="00096CA3" w:rsidRPr="00556514" w:rsidRDefault="00096CA3" w:rsidP="00096CA3">
      <w:r w:rsidRPr="00556514">
        <w:t xml:space="preserve">There are many </w:t>
      </w:r>
      <w:r w:rsidR="00F11CAC" w:rsidRPr="00556514">
        <w:t>therapeutic</w:t>
      </w:r>
      <w:r w:rsidRPr="00556514">
        <w:t xml:space="preserve"> interventions available, one of the therapies include pre-bereavement counselling. Pre</w:t>
      </w:r>
      <w:r w:rsidRPr="00556514">
        <w:noBreakHyphen/>
        <w:t>bereavement counselling is a structured therapeutic intervention designed to support children and young people when a parent is approaching the end of life. It typically involves age</w:t>
      </w:r>
      <w:r w:rsidRPr="00556514">
        <w:noBreakHyphen/>
        <w:t>appropriate emotional support, education about illness and death, and guided opportunities for children to express fears, ask questions and develop coping strategies before the bereavement occurs. Evidence suggests that anticipatory support can reduce emotional distress and promote healthier adjustment by helping children make sense of what is happening within their family (</w:t>
      </w:r>
      <w:r w:rsidR="00C21296">
        <w:t>Matthys, 2023</w:t>
      </w:r>
      <w:r w:rsidRPr="00556514">
        <w:t>). The intervention also provides parents and caregivers with guidance on communicating openly with their children, which is crucial, as adults often struggle to balance honesty with the desire to protect their child from distress (Browning &amp; Solomon 2</w:t>
      </w:r>
      <w:r w:rsidR="002F3032">
        <w:t>005</w:t>
      </w:r>
      <w:r w:rsidRPr="00556514">
        <w:t>).</w:t>
      </w:r>
      <w:r w:rsidRPr="00556514">
        <w:rPr>
          <w:rFonts w:eastAsia="Times New Roman"/>
          <w:kern w:val="0"/>
          <w:lang w:eastAsia="en-GB"/>
          <w14:ligatures w14:val="none"/>
        </w:rPr>
        <w:t xml:space="preserve"> </w:t>
      </w:r>
      <w:r w:rsidRPr="00556514">
        <w:t>Therapeutically, pre</w:t>
      </w:r>
      <w:r w:rsidRPr="00556514">
        <w:noBreakHyphen/>
        <w:t>bereavement counselling supports children by offering a safe space to explore difficult emotions such as fear, anger and guilt, which often emerge when a parent is terminally ill. Creative methods—including play, drawing and storytelling—are frequently used to help younger children express feelings they cannot yet verbalise (</w:t>
      </w:r>
      <w:r w:rsidR="00550B06">
        <w:t>Spooner, 2026</w:t>
      </w:r>
      <w:r w:rsidRPr="00556514">
        <w:t>). For adolescents, counselling may focus more on identity, responsibility and antici</w:t>
      </w:r>
      <w:r w:rsidR="009E0E50" w:rsidRPr="00556514">
        <w:t>pating</w:t>
      </w:r>
      <w:r w:rsidRPr="00556514">
        <w:t xml:space="preserve"> grief, helping them understand their reactions and maintain connection with the dying parent. Evidence shows that children who receive structured preparation experience fewer behavioural difficulties and lower levels of anxiety after the death (Browning &amp; Solomon 20</w:t>
      </w:r>
      <w:r w:rsidR="002F3032">
        <w:t>05</w:t>
      </w:r>
      <w:r w:rsidRPr="00556514">
        <w:t>).</w:t>
      </w:r>
      <w:r w:rsidR="00D05B4E" w:rsidRPr="00556514">
        <w:t xml:space="preserve"> </w:t>
      </w:r>
      <w:r w:rsidRPr="00556514">
        <w:t>The intervention also benefits adults. Counsellors help parents understand how children process illness and loss, enabling them to communicate more clearly and maintain emotional availability despite their own distress. Studies highlight that when caregivers receive support, family communication improves, and children feel more secure during the final stages of the parent’s illness (</w:t>
      </w:r>
      <w:r w:rsidR="0043521B">
        <w:t xml:space="preserve">Matthys et.al., </w:t>
      </w:r>
      <w:r w:rsidR="00C21296">
        <w:t>2023</w:t>
      </w:r>
      <w:r w:rsidRPr="00556514">
        <w:t>). This family</w:t>
      </w:r>
      <w:r w:rsidRPr="00556514">
        <w:noBreakHyphen/>
        <w:t>centred approach is considered one of the strongest predictors of positive outcomes. However, access to pre</w:t>
      </w:r>
      <w:r w:rsidRPr="00556514">
        <w:noBreakHyphen/>
        <w:t>bereavement counselling remains inconsistent. Research shows that many families are unaware of available services, and provision varies widely between regions and illness types (</w:t>
      </w:r>
      <w:r w:rsidR="00550B06">
        <w:t>Spooner, 2026</w:t>
      </w:r>
      <w:r w:rsidRPr="00556514">
        <w:t>). Evidence is also limited by small sample sizes and a focus on cancer</w:t>
      </w:r>
      <w:r w:rsidRPr="00556514">
        <w:noBreakHyphen/>
        <w:t xml:space="preserve">related parental illness, reducing generalisability. Despite these </w:t>
      </w:r>
      <w:r w:rsidRPr="00556514">
        <w:lastRenderedPageBreak/>
        <w:t xml:space="preserve">limitations, the </w:t>
      </w:r>
      <w:r w:rsidR="00C34468" w:rsidRPr="00556514">
        <w:t>evidence</w:t>
      </w:r>
      <w:r w:rsidRPr="00556514">
        <w:t xml:space="preserve"> consistently indicates that pre</w:t>
      </w:r>
      <w:r w:rsidRPr="00556514">
        <w:noBreakHyphen/>
        <w:t>bereavement counselling can reduce uncertainty, strengthen family communication and support emotional regulation. To maximise its impact, services require more equitable access, clearer referral pathways and culturally sensitive approaches that reflect diverse family needs.</w:t>
      </w:r>
    </w:p>
    <w:p w14:paraId="27F9FD9A" w14:textId="2E1B7E75" w:rsidR="003959A8" w:rsidRPr="00556514" w:rsidRDefault="00096CA3" w:rsidP="003959A8">
      <w:r w:rsidRPr="00556514">
        <w:t>Addit</w:t>
      </w:r>
      <w:r w:rsidR="00A53E4F" w:rsidRPr="00556514">
        <w:t>ionally, s</w:t>
      </w:r>
      <w:r w:rsidR="008A22DD" w:rsidRPr="00556514">
        <w:t>chool-based support complements family interventions by providing ongoing monitoring of emotional and academic functioning. Because pupils spend significant time in educational settings, staff may identify emerging difficulties and implement timely adjustments. This includes pastoral check-ins, access to counselling and flexibility around workload, which together can reduce stress and support engagement</w:t>
      </w:r>
      <w:r w:rsidR="00122B3B" w:rsidRPr="00556514">
        <w:t xml:space="preserve"> (Alvis et al. 2023).</w:t>
      </w:r>
      <w:r w:rsidR="004158B4" w:rsidRPr="00556514">
        <w:t xml:space="preserve"> These interactions help children feel seen and understood, reducing feelings of isolation that often accompany grief. Evidence suggests that when school staff receive bereavement</w:t>
      </w:r>
      <w:r w:rsidR="004158B4" w:rsidRPr="00556514">
        <w:noBreakHyphen/>
        <w:t>specific training, they are more confident in responding sensitively and are better able to identify pupils who may require additional support (</w:t>
      </w:r>
      <w:r w:rsidR="001457DD">
        <w:t>Kaplow</w:t>
      </w:r>
      <w:r w:rsidR="00163BDD">
        <w:t>, 2014</w:t>
      </w:r>
      <w:r w:rsidR="004158B4" w:rsidRPr="00556514">
        <w:t>). This is crucial, as children often mask distress in classroom settings, and unrecognised grief can manifest as behavioural difficulties or withdrawal.</w:t>
      </w:r>
      <w:r w:rsidR="00D05B4E" w:rsidRPr="00556514">
        <w:t xml:space="preserve"> </w:t>
      </w:r>
      <w:r w:rsidR="004158B4" w:rsidRPr="00556514">
        <w:t>Family involvement is another essential dimension of effective school</w:t>
      </w:r>
      <w:r w:rsidR="004158B4" w:rsidRPr="00556514">
        <w:noBreakHyphen/>
        <w:t xml:space="preserve">based bereavement support. Research </w:t>
      </w:r>
      <w:r w:rsidR="00CA70C3" w:rsidRPr="00556514">
        <w:t>shows</w:t>
      </w:r>
      <w:r w:rsidR="004158B4" w:rsidRPr="00556514">
        <w:t xml:space="preserve"> that children’s adjustment is closely linked to the emotional availability and coping capacity of surviving caregivers (Aamotsmo &amp; Bugge 2020). Schools that maintain open communication with families—through meetings, shared plans or culturally sensitive discussions—are better positioned to provide consistent support across home and school environments. Collaborative approaches also help staff understand family beliefs, routines and communication styles around death, which can vary significantly across cultural and religious contexts. When schools and families work together, children experience a more coherent support network, reducing confusion and strengthening emotional security.</w:t>
      </w:r>
      <w:r w:rsidR="00D05B4E" w:rsidRPr="00556514">
        <w:t xml:space="preserve"> </w:t>
      </w:r>
      <w:r w:rsidR="003C0A58" w:rsidRPr="00556514">
        <w:t>Peer support also plays a significant protective role. Friendships provide a sense of belonging and normality during periods of emotional upheaval, and peers can offer empathy, distraction and companionship. Studies show that peer relationships can mitigate feelings of loneliness and social disconnection, which are common after bereavement (Salloum et al. 2019). Structured peer</w:t>
      </w:r>
      <w:r w:rsidR="003C0A58" w:rsidRPr="00556514">
        <w:noBreakHyphen/>
        <w:t xml:space="preserve">support programmes, such as buddy systems or group activities, can further enhance social connectedness, although these require careful facilitation to ensure emotional safety. Importantly, peers often lack the knowledge or confidence to respond appropriately to grief, so schools must guide pupils on how to support classmates sensitively without taking on adult responsibilities. Variability in staff training, resource availability and local service </w:t>
      </w:r>
      <w:r w:rsidR="003C0A58" w:rsidRPr="00556514">
        <w:lastRenderedPageBreak/>
        <w:t>provision means that some pupils receive comprehensive, well</w:t>
      </w:r>
      <w:r w:rsidR="003C0A58" w:rsidRPr="00556514">
        <w:noBreakHyphen/>
        <w:t>coordinated support, while others experience minimal intervention. Strengthening school</w:t>
      </w:r>
      <w:r w:rsidR="003C0A58" w:rsidRPr="00556514">
        <w:noBreakHyphen/>
        <w:t>family partnerships, embedding bereavement awareness into whole</w:t>
      </w:r>
      <w:r w:rsidR="003C0A58" w:rsidRPr="00556514">
        <w:noBreakHyphen/>
        <w:t>school policies and ensuring staff have access to high</w:t>
      </w:r>
      <w:r w:rsidR="003C0A58" w:rsidRPr="00556514">
        <w:noBreakHyphen/>
        <w:t>quality training can help create more equitable and effective support systems. When combined with family and peer support, school</w:t>
      </w:r>
      <w:r w:rsidR="003C0A58" w:rsidRPr="00556514">
        <w:noBreakHyphen/>
        <w:t>based emotional provision forms a crucial protective framework that promotes resilience and healthier adjustment following bereavement.</w:t>
      </w:r>
      <w:r w:rsidR="00826A75" w:rsidRPr="00556514">
        <w:t xml:space="preserve"> </w:t>
      </w:r>
      <w:r w:rsidR="00B449BC" w:rsidRPr="00556514">
        <w:t xml:space="preserve">The effectiveness of intervention varies across developmental stages. Younger children often benefit from concrete explanations and creative expression, whereas adolescents may require opportunities for reflection and discussion. Tailoring support to developmental needs helps ensure interventions remain meaningful and accessible. </w:t>
      </w:r>
      <w:r w:rsidR="00885BFA" w:rsidRPr="00556514">
        <w:t>(</w:t>
      </w:r>
      <w:r w:rsidR="00550B06">
        <w:t>Spooner, 2026</w:t>
      </w:r>
      <w:r w:rsidR="00A067CF">
        <w:t>)</w:t>
      </w:r>
      <w:r w:rsidR="00885BFA" w:rsidRPr="00556514">
        <w:t xml:space="preserve">, </w:t>
      </w:r>
      <w:r w:rsidR="003959A8" w:rsidRPr="00556514">
        <w:t>Browning &amp; Solomon 2021).</w:t>
      </w:r>
    </w:p>
    <w:p w14:paraId="7205FC07" w14:textId="58C6D14B" w:rsidR="00CE50F6" w:rsidRDefault="0007432D" w:rsidP="00754166">
      <w:r w:rsidRPr="0007432D">
        <w:t xml:space="preserve">Clinical therapies, including Cognitive Behavioural Therapy (CBT), may be delivered as standalone interventions or integrated with modalities such as play therapy and art therapy. CBT is traditionally a verbal, cognitively oriented approach, which may present limitations for younger children who have withdrawn emotionally or who lack the developmental capacity to articulate complex internal experiences (Knell, 1998; Knell, 2009). To address these limitations, Cognitive-Behavioural Play Therapy (CBPT) adapts CBT principles into developmentally appropriate, play-based formats. Through role-play, for example, children may use dolls to recreate scenarios related to the absence of a </w:t>
      </w:r>
      <w:r w:rsidR="006F0760" w:rsidRPr="0007432D">
        <w:t>parent or</w:t>
      </w:r>
      <w:r w:rsidRPr="0007432D">
        <w:t xml:space="preserve"> express their emotions through drawing representations of their changed living circumstances. These activities allow children to externalise internal experiences of grief in a non-threatening manner while maintaining the structured therapeutic aims of CBT. Such approaches facilitate cognitive restructuring by helping the child to reinterpret their loss, develop adaptive coping strategies, and integrate the reality of life without the deceased parent. In addition, combining CBT with play-based methods supports emotional processing, promotes resilience, and enables children to work through intense affect associated with bereavement in a developmentally sensitive way (Drewes, 200</w:t>
      </w:r>
      <w:r w:rsidR="0064245C">
        <w:t>9</w:t>
      </w:r>
      <w:r w:rsidRPr="0007432D">
        <w:t>; Crenshaw, Brooks, &amp; Goldstein, 2015).</w:t>
      </w:r>
      <w:r w:rsidR="00D27630">
        <w:t xml:space="preserve"> </w:t>
      </w:r>
      <w:r w:rsidR="00781B68" w:rsidRPr="00781B68">
        <w:t>Research examining the theoretical foundations of play therapy highlights Piaget’s view that children in the first decade of life have limited capacity for abstract reasoning, which can make it challenging for them to articulate complex thoughts and emotions verbally</w:t>
      </w:r>
      <w:r w:rsidR="00F518EF">
        <w:t xml:space="preserve">, </w:t>
      </w:r>
      <w:r w:rsidR="00781B68">
        <w:t>(Kool and Lawver, 2010</w:t>
      </w:r>
      <w:r w:rsidR="008D2429">
        <w:t>, Gupta et.al</w:t>
      </w:r>
      <w:r w:rsidR="00094384">
        <w:t>, 2023</w:t>
      </w:r>
      <w:r w:rsidR="00781B68">
        <w:t>)</w:t>
      </w:r>
      <w:r w:rsidR="000B04FC">
        <w:t xml:space="preserve">. </w:t>
      </w:r>
      <w:r w:rsidR="008D2429">
        <w:t>Thus,</w:t>
      </w:r>
      <w:r w:rsidR="000B04FC">
        <w:t xml:space="preserve"> support</w:t>
      </w:r>
      <w:r w:rsidR="00060CC4">
        <w:t>ing</w:t>
      </w:r>
      <w:r w:rsidR="000B04FC">
        <w:t xml:space="preserve"> </w:t>
      </w:r>
      <w:r w:rsidR="00031FFA">
        <w:t>cognitive behavioural p</w:t>
      </w:r>
      <w:r w:rsidR="006D6B38">
        <w:t>lay therapy</w:t>
      </w:r>
      <w:r w:rsidR="00031FFA">
        <w:t xml:space="preserve"> (CBPT)</w:t>
      </w:r>
      <w:r w:rsidR="006D6B38">
        <w:t xml:space="preserve"> approach to young people dealing with significant grief and loss.</w:t>
      </w:r>
      <w:r w:rsidR="006F0760">
        <w:t xml:space="preserve"> </w:t>
      </w:r>
    </w:p>
    <w:p w14:paraId="68713A5C" w14:textId="74389849" w:rsidR="00186811" w:rsidRDefault="00186811" w:rsidP="00D27630">
      <w:r>
        <w:lastRenderedPageBreak/>
        <w:t xml:space="preserve">Boelen </w:t>
      </w:r>
      <w:r w:rsidR="004D240A" w:rsidRPr="004D240A">
        <w:t>(2021) reported findings from a clinical trial indicating that cognitive behavioural therapy (CBT) is particularly effective for individuals experiencing persistent or prolonged grief reactions. The study concluded that CBT is most beneficial when individuals struggle to accept the permanence of death and experience ongoing cognitive and emotional difficulties integrating the loss. Similarly, Cohen and Mannarino (2011) noted that children may respond to the death of a loved one with intense fear, helplessness, and disruption to attachment relationships. They argue that CBT-based interventions can help restore a sense of safety and strengthen relationships with caregivers and other supportive adults, thereby reducing the likelihood of long-term psychological difficulties. Their research also outlines the concept of childhood traumatic grief, which may arise following the sudden death of a parent. Symptoms can include persistent yearning for the deceased, nightmares, intrusive thoughts, attempts to reconstruct details surrounding the death, heightened anxiety, and hypervigilance. CBT is considered effective in addressing these symptoms by supporting the child to process traumatic memories, challenge maladaptive cognitions, and integrate the loss in a more adaptive and constructive manner.</w:t>
      </w:r>
    </w:p>
    <w:p w14:paraId="5A0BEC4D" w14:textId="7B3C20A1" w:rsidR="00756DC4" w:rsidRPr="00756DC4" w:rsidRDefault="00756DC4" w:rsidP="00756DC4">
      <w:r w:rsidRPr="00756DC4">
        <w:t>Although CBT has a substantial evidence base, concerns have been raised about its suitability for younger children due to developmental limitations. Early literature suggested that children in the early primary years may not yet possess the level of abstract reasoning required to fully engage with the cognitive elements of CBT, such as identifying and challenging distorted thoughts (Grave and Blissett, 2004). These developmental constraints may reduce children’s ability to reflect on internal processes, which are central to traditional CBT approaches. Similarly, developmental research has highlighted that children’s metacognitive and linguistic skills continue to mature throughout childhood, potentially limiting their capacity to participate in cognitively demanding therapeutic tasks (</w:t>
      </w:r>
      <w:r w:rsidR="00561F54">
        <w:t>Peterson, Ona and Twohig</w:t>
      </w:r>
      <w:r w:rsidR="00AB5838">
        <w:t>, 2024</w:t>
      </w:r>
      <w:r w:rsidRPr="00756DC4">
        <w:t>).</w:t>
      </w:r>
    </w:p>
    <w:p w14:paraId="16752AE7" w14:textId="01B0B5FA" w:rsidR="00756DC4" w:rsidRDefault="00756DC4" w:rsidP="00756DC4">
      <w:r w:rsidRPr="00756DC4">
        <w:t>More recent studies have continued to report mixed outcomes when CBT is applied to younger populations.</w:t>
      </w:r>
      <w:r w:rsidR="000E4C86">
        <w:t xml:space="preserve"> Mo</w:t>
      </w:r>
      <w:r w:rsidR="00397C0C">
        <w:t>dern</w:t>
      </w:r>
      <w:r w:rsidRPr="00756DC4">
        <w:t xml:space="preserve"> reviews indicate that although CBT can be beneficial, effectiveness often varies depending on age and developmental stage, with younger children frequently requiring modifications to improve engagement and comprehension (Howes Vallis et al., 2020). Additionally, some researchers have argued that children’s developing memory, causal reasoning, and emotional awareness may constrain their ability to fully benefit from cognitive restructuring techniques without adaptation. </w:t>
      </w:r>
      <w:r w:rsidR="000E4C86">
        <w:t>Together</w:t>
      </w:r>
      <w:r w:rsidRPr="00756DC4">
        <w:t xml:space="preserve">, both earlier and more recent findings suggest that while CBT can be effective, its application with young children should </w:t>
      </w:r>
      <w:r w:rsidRPr="00756DC4">
        <w:lastRenderedPageBreak/>
        <w:t>consider developmental readiness, and integrating alternative or supportive approaches may enhance therapeutic outcomes.</w:t>
      </w:r>
    </w:p>
    <w:p w14:paraId="1FC5FD68" w14:textId="7F26546C" w:rsidR="00FC23A7" w:rsidRPr="00756DC4" w:rsidRDefault="00FC23A7" w:rsidP="00756DC4">
      <w:r w:rsidRPr="00FC23A7">
        <w:t>Childhood bereavement following the death of a parent represents a profound developmental disruption, with consequences shaped by children’s cognitive maturity, relational security and the quality of support available across home and school environments. Recent research reinforces that early, developmentally attuned intervention can significantly reduce the risk of prolonged grief, emotional dysregulation and academic decline (Kaplow et al. 2024). Schools remain uniquely positioned to provide stabilising routines and ongoing monitoring, yet persistent inequalities in training and service access continue to limit consistent provision (Breen &amp; O’Connor 2023). Evidence also highlights the value of integrated therapeutic approaches, including developmentally adapted CBT and creative modalities, which support meaning</w:t>
      </w:r>
      <w:r w:rsidRPr="00FC23A7">
        <w:noBreakHyphen/>
        <w:t>making and emotional regulation while accommodating children’s evolving cognitive capacities (Rosner et al. 2024). Strengthening collaboration between families, schools and specialist services is therefore essential to ensure that bereaved children receive coherent, culturally sensitive and timely support. Ultimately, the literature demonstrates that while bereavement poses significant risks, responsive systems, informed practice and accessible interventions can promote resilience and healthier long</w:t>
      </w:r>
      <w:r w:rsidRPr="00FC23A7">
        <w:noBreakHyphen/>
        <w:t>term adjustment.</w:t>
      </w:r>
    </w:p>
    <w:p w14:paraId="4B403B5F" w14:textId="77777777" w:rsidR="00D27630" w:rsidRDefault="00D27630" w:rsidP="00754166"/>
    <w:p w14:paraId="40A89645" w14:textId="77777777" w:rsidR="00D57308" w:rsidRDefault="00D57308" w:rsidP="00754166"/>
    <w:p w14:paraId="066AE7E4" w14:textId="77777777" w:rsidR="00D57308" w:rsidRDefault="00D57308" w:rsidP="00754166"/>
    <w:p w14:paraId="40A73A56" w14:textId="77777777" w:rsidR="00D57308" w:rsidRDefault="00D57308" w:rsidP="00754166"/>
    <w:p w14:paraId="417CCDFF" w14:textId="77777777" w:rsidR="00D57308" w:rsidRDefault="00D57308" w:rsidP="00754166"/>
    <w:p w14:paraId="104B370D" w14:textId="77777777" w:rsidR="00D57308" w:rsidRDefault="00D57308" w:rsidP="00754166"/>
    <w:p w14:paraId="7785F544" w14:textId="77777777" w:rsidR="00D57308" w:rsidRDefault="00D57308" w:rsidP="00754166"/>
    <w:p w14:paraId="6B1B366D" w14:textId="77777777" w:rsidR="00D57308" w:rsidRDefault="00D57308" w:rsidP="00754166"/>
    <w:p w14:paraId="448DE09B" w14:textId="77777777" w:rsidR="00D57308" w:rsidRDefault="00D57308" w:rsidP="00754166"/>
    <w:p w14:paraId="06492C31" w14:textId="77777777" w:rsidR="00D57308" w:rsidRDefault="00D57308" w:rsidP="00754166"/>
    <w:p w14:paraId="35CB4B21" w14:textId="77777777" w:rsidR="00D57308" w:rsidRDefault="00D57308" w:rsidP="00754166"/>
    <w:p w14:paraId="0E2C9EB8" w14:textId="77777777" w:rsidR="00C64728" w:rsidRPr="00590293" w:rsidRDefault="00C64728" w:rsidP="00C64728">
      <w:pPr>
        <w:rPr>
          <w:b/>
          <w:bCs/>
          <w:sz w:val="32"/>
          <w:szCs w:val="32"/>
          <w:u w:val="single"/>
          <w:lang w:val="en-US"/>
        </w:rPr>
      </w:pPr>
      <w:r w:rsidRPr="00590293">
        <w:rPr>
          <w:b/>
          <w:bCs/>
          <w:sz w:val="32"/>
          <w:szCs w:val="32"/>
          <w:u w:val="single"/>
          <w:lang w:val="en-US"/>
        </w:rPr>
        <w:lastRenderedPageBreak/>
        <w:t>References</w:t>
      </w:r>
    </w:p>
    <w:p w14:paraId="60D1A054" w14:textId="77777777" w:rsidR="00C64728" w:rsidRPr="003E54E1" w:rsidRDefault="00C64728" w:rsidP="00C64728">
      <w:pPr>
        <w:pStyle w:val="ListParagraph"/>
        <w:numPr>
          <w:ilvl w:val="0"/>
          <w:numId w:val="2"/>
        </w:numPr>
        <w:spacing w:before="100" w:beforeAutospacing="1" w:after="100" w:afterAutospacing="1"/>
        <w:rPr>
          <w:rFonts w:eastAsia="Times New Roman"/>
          <w:kern w:val="0"/>
          <w:lang w:eastAsia="en-GB"/>
          <w14:ligatures w14:val="none"/>
        </w:rPr>
      </w:pPr>
      <w:r w:rsidRPr="003E54E1">
        <w:rPr>
          <w:rFonts w:eastAsia="Times New Roman"/>
          <w:kern w:val="0"/>
          <w:lang w:eastAsia="en-GB"/>
          <w14:ligatures w14:val="none"/>
        </w:rPr>
        <w:t xml:space="preserve">Aamotsmo, T. and Bugge, K.E. (2020) ‘Family members’ experiences of children’s grief after the loss of a parent’, </w:t>
      </w:r>
      <w:r w:rsidRPr="003E54E1">
        <w:rPr>
          <w:rFonts w:eastAsia="Times New Roman"/>
          <w:i/>
          <w:iCs/>
          <w:kern w:val="0"/>
          <w:lang w:eastAsia="en-GB"/>
          <w14:ligatures w14:val="none"/>
        </w:rPr>
        <w:t>Journal of Pediatric Nursing</w:t>
      </w:r>
      <w:r w:rsidRPr="003E54E1">
        <w:rPr>
          <w:rFonts w:eastAsia="Times New Roman"/>
          <w:kern w:val="0"/>
          <w:lang w:eastAsia="en-GB"/>
          <w14:ligatures w14:val="none"/>
        </w:rPr>
        <w:t>, 52, pp. 1–8.</w:t>
      </w:r>
    </w:p>
    <w:p w14:paraId="6500AC27" w14:textId="77777777" w:rsidR="00C64728" w:rsidRPr="003E54E1" w:rsidRDefault="00C64728" w:rsidP="00C64728">
      <w:pPr>
        <w:pStyle w:val="NormalWeb"/>
        <w:numPr>
          <w:ilvl w:val="0"/>
          <w:numId w:val="2"/>
        </w:numPr>
        <w:spacing w:before="100" w:beforeAutospacing="1" w:after="100" w:afterAutospacing="1"/>
      </w:pPr>
      <w:r w:rsidRPr="003E54E1">
        <w:t xml:space="preserve">Available at: </w:t>
      </w:r>
      <w:hyperlink r:id="rId5" w:history="1">
        <w:r w:rsidRPr="003E54E1">
          <w:rPr>
            <w:rStyle w:val="Hyperlink"/>
            <w:rFonts w:eastAsia="Times New Roman"/>
            <w:lang w:val="cy-GB"/>
          </w:rPr>
          <w:t>Outcomes of Pediatric to Adult Health Care Transition Interventions: An Updated Systematic Review - Journal of Pediatric Nursing: Nursing Care of Children and Families</w:t>
        </w:r>
      </w:hyperlink>
      <w:r w:rsidRPr="003E54E1">
        <w:t xml:space="preserve"> </w:t>
      </w:r>
      <w:r w:rsidRPr="003E54E1">
        <w:rPr>
          <w:lang w:val="cy-GB"/>
        </w:rPr>
        <w:t>(accessed on 26/03/2026)</w:t>
      </w:r>
    </w:p>
    <w:p w14:paraId="65D934C0"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Ahrens, K.R., McCauley, H. and DePrince, A.P. (2022) ‘School-based responses to trauma and loss’, </w:t>
      </w:r>
      <w:r w:rsidRPr="003E54E1">
        <w:rPr>
          <w:rFonts w:eastAsia="Times New Roman"/>
          <w:i/>
          <w:iCs/>
          <w:lang w:val="cy-GB"/>
        </w:rPr>
        <w:t>School Psychology Review</w:t>
      </w:r>
      <w:r w:rsidRPr="003E54E1">
        <w:rPr>
          <w:lang w:val="cy-GB"/>
        </w:rPr>
        <w:t>, 51(3), pp. 345–359.</w:t>
      </w:r>
      <w:r w:rsidRPr="003E54E1">
        <w:t xml:space="preserve">Available at: </w:t>
      </w:r>
      <w:hyperlink r:id="rId6" w:anchor="d1e205" w:history="1">
        <w:r w:rsidRPr="003E54E1">
          <w:rPr>
            <w:rStyle w:val="Hyperlink"/>
            <w:rFonts w:eastAsia="Times New Roman"/>
            <w:lang w:val="cy-GB"/>
          </w:rPr>
          <w:t>Full article: COVID-19 and School Psychology: Research Reveals the Persistent Impacts on Parents and Students, and the Promise of School Telehealth Supports</w:t>
        </w:r>
      </w:hyperlink>
      <w:r w:rsidRPr="003E54E1">
        <w:rPr>
          <w:lang w:val="cy-GB"/>
        </w:rPr>
        <w:t xml:space="preserve"> (accessed on 26/03/2026)</w:t>
      </w:r>
    </w:p>
    <w:p w14:paraId="58C988C2"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Alvis, L., Zhang, N., Sandler, I.N. and Kaplow, J.B. (2023) ‘Developmental manifestations of grief in children and adolescents: Caregivers as key grief facilitators’, </w:t>
      </w:r>
      <w:r w:rsidRPr="003E54E1">
        <w:rPr>
          <w:rFonts w:eastAsia="Times New Roman"/>
          <w:i/>
          <w:iCs/>
          <w:lang w:val="cy-GB"/>
        </w:rPr>
        <w:t>Journal of Child &amp; Adolescent Trauma</w:t>
      </w:r>
      <w:r w:rsidRPr="003E54E1">
        <w:rPr>
          <w:lang w:val="cy-GB"/>
        </w:rPr>
        <w:t>, 16(2), pp. 447–457.</w:t>
      </w:r>
      <w:r w:rsidRPr="003E54E1">
        <w:t xml:space="preserve"> Available at:</w:t>
      </w:r>
      <w:r w:rsidRPr="003E54E1">
        <w:rPr>
          <w:lang w:val="cy-GB"/>
        </w:rPr>
        <w:t xml:space="preserve"> </w:t>
      </w:r>
      <w:hyperlink r:id="rId7" w:history="1">
        <w:r w:rsidRPr="003E54E1">
          <w:rPr>
            <w:rStyle w:val="Hyperlink"/>
            <w:rFonts w:eastAsia="Times New Roman"/>
            <w:lang w:val="cy-GB"/>
          </w:rPr>
          <w:t>Developmental Manifestations of Grief in Children and Adolescents: Caregivers as Key Grief Facilitators | Journal of Child &amp; Adolescent Trauma | Springer Nature Link</w:t>
        </w:r>
      </w:hyperlink>
      <w:r w:rsidRPr="003E54E1">
        <w:t xml:space="preserve"> </w:t>
      </w:r>
      <w:r w:rsidRPr="003E54E1">
        <w:rPr>
          <w:lang w:val="cy-GB"/>
        </w:rPr>
        <w:t>(accessed on 25/03/2026)</w:t>
      </w:r>
    </w:p>
    <w:p w14:paraId="4690609B"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Aoun, S.M., Breen, L.J., O’Connor, M., Rumbold, B. and Nordstrom, C. (2022) ‘Children’s developmental understanding of death and implications for bereavement support’, </w:t>
      </w:r>
      <w:r w:rsidRPr="003E54E1">
        <w:rPr>
          <w:rFonts w:eastAsia="Times New Roman"/>
          <w:i/>
          <w:iCs/>
          <w:lang w:val="cy-GB"/>
        </w:rPr>
        <w:t>Omega – Journal of Death and Dying</w:t>
      </w:r>
      <w:r w:rsidRPr="003E54E1">
        <w:rPr>
          <w:lang w:val="cy-GB"/>
        </w:rPr>
        <w:t xml:space="preserve">, 85(1), pp. 34–52. Available at: </w:t>
      </w:r>
      <w:hyperlink r:id="rId8" w:tgtFrame="_new" w:history="1">
        <w:r w:rsidRPr="003E54E1">
          <w:rPr>
            <w:rStyle w:val="Hyperlink"/>
            <w:rFonts w:eastAsia="Times New Roman"/>
            <w:lang w:val="cy-GB"/>
          </w:rPr>
          <w:t>https://journals.sagepub.com/doi/10.1177/0030222820976277</w:t>
        </w:r>
      </w:hyperlink>
      <w:r w:rsidRPr="003E54E1">
        <w:t xml:space="preserve"> </w:t>
      </w:r>
      <w:r w:rsidRPr="003E54E1">
        <w:rPr>
          <w:lang w:val="cy-GB"/>
        </w:rPr>
        <w:t>(accessed on 25/03/2026)</w:t>
      </w:r>
    </w:p>
    <w:p w14:paraId="2BD6E3E4"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Bethell, C.D., Jones, J., Gombojav, N., Linkenbach, J. and Sege, R. (2022) ‘Reframing adverse childhood experiences to promote child well-being and relational health’, </w:t>
      </w:r>
      <w:r w:rsidRPr="003E54E1">
        <w:rPr>
          <w:rFonts w:eastAsia="Times New Roman"/>
          <w:i/>
          <w:iCs/>
          <w:lang w:val="cy-GB"/>
        </w:rPr>
        <w:t>Academic Pediatrics</w:t>
      </w:r>
      <w:r w:rsidRPr="003E54E1">
        <w:rPr>
          <w:lang w:val="cy-GB"/>
        </w:rPr>
        <w:t xml:space="preserve">, 22(1), pp. 1–12. Available at: </w:t>
      </w:r>
      <w:hyperlink r:id="rId9" w:history="1">
        <w:r w:rsidRPr="003E54E1">
          <w:rPr>
            <w:rStyle w:val="Hyperlink"/>
            <w:lang w:val="cy-GB"/>
          </w:rPr>
          <w:t>https://doi.org/10.1016/j.acap.2021.09.012</w:t>
        </w:r>
      </w:hyperlink>
      <w:r w:rsidRPr="003E54E1">
        <w:rPr>
          <w:lang w:val="cy-GB"/>
        </w:rPr>
        <w:t xml:space="preserve"> (accessed on 24/03/2026)</w:t>
      </w:r>
    </w:p>
    <w:p w14:paraId="6DF1638A" w14:textId="77777777" w:rsidR="00C64728" w:rsidRPr="003E54E1" w:rsidRDefault="00C64728" w:rsidP="00C64728">
      <w:pPr>
        <w:pStyle w:val="ListParagraph"/>
        <w:numPr>
          <w:ilvl w:val="0"/>
          <w:numId w:val="2"/>
        </w:numPr>
        <w:spacing w:before="100" w:beforeAutospacing="1" w:after="100" w:afterAutospacing="1"/>
      </w:pPr>
      <w:r w:rsidRPr="003E54E1">
        <w:rPr>
          <w:rFonts w:eastAsia="Times New Roman"/>
          <w:kern w:val="0"/>
          <w:lang w:eastAsia="en-GB"/>
          <w14:ligatures w14:val="none"/>
        </w:rPr>
        <w:t xml:space="preserve">Benkel, I., Wijk, H. and Molander, U. (2009) ‘Family and friends provide most social support for the bereaved’, </w:t>
      </w:r>
      <w:r w:rsidRPr="003E54E1">
        <w:rPr>
          <w:rFonts w:eastAsia="Times New Roman"/>
          <w:i/>
          <w:iCs/>
          <w:kern w:val="0"/>
          <w:lang w:eastAsia="en-GB"/>
          <w14:ligatures w14:val="none"/>
        </w:rPr>
        <w:t>Palliative Medicine</w:t>
      </w:r>
      <w:r w:rsidRPr="003E54E1">
        <w:rPr>
          <w:rFonts w:eastAsia="Times New Roman"/>
          <w:kern w:val="0"/>
          <w:lang w:eastAsia="en-GB"/>
          <w14:ligatures w14:val="none"/>
        </w:rPr>
        <w:t xml:space="preserve">, 23(2), pp. 141–149. Available at: </w:t>
      </w:r>
      <w:hyperlink r:id="rId10" w:history="1">
        <w:r w:rsidRPr="003E54E1">
          <w:rPr>
            <w:rStyle w:val="Hyperlink"/>
            <w:rFonts w:eastAsia="Times New Roman"/>
            <w:kern w:val="0"/>
            <w:lang w:eastAsia="en-GB"/>
            <w14:ligatures w14:val="none"/>
          </w:rPr>
          <w:t>https://doi.org/10.1177/0269216308098798</w:t>
        </w:r>
      </w:hyperlink>
      <w:r w:rsidRPr="003E54E1">
        <w:rPr>
          <w:rFonts w:eastAsia="Times New Roman"/>
          <w:kern w:val="0"/>
          <w:lang w:eastAsia="en-GB"/>
          <w14:ligatures w14:val="none"/>
        </w:rPr>
        <w:t xml:space="preserve"> (accessed on 27/03/2026)</w:t>
      </w:r>
    </w:p>
    <w:p w14:paraId="60848A6F" w14:textId="77777777" w:rsidR="00C64728" w:rsidRPr="003E54E1" w:rsidRDefault="00C64728" w:rsidP="00C64728">
      <w:pPr>
        <w:pStyle w:val="NormalWeb"/>
        <w:numPr>
          <w:ilvl w:val="0"/>
          <w:numId w:val="2"/>
        </w:numPr>
        <w:spacing w:before="100" w:beforeAutospacing="1" w:after="100" w:afterAutospacing="1"/>
      </w:pPr>
      <w:r w:rsidRPr="003E54E1">
        <w:t xml:space="preserve">Boelen, P. (2021) ‘CBT for prolonged grief disorder’, </w:t>
      </w:r>
      <w:r w:rsidRPr="003E54E1">
        <w:rPr>
          <w:i/>
          <w:iCs/>
        </w:rPr>
        <w:t>Journal of Consulting and Clinical Psychology</w:t>
      </w:r>
      <w:r w:rsidRPr="003E54E1">
        <w:t xml:space="preserve">, 89(5), pp. 351–363. Available at: </w:t>
      </w:r>
      <w:hyperlink r:id="rId11" w:history="1">
        <w:r w:rsidRPr="003E54E1">
          <w:rPr>
            <w:rStyle w:val="Hyperlink"/>
            <w:rFonts w:eastAsia="Times New Roman"/>
            <w:lang w:val="cy-GB"/>
          </w:rPr>
          <w:t>CBT f</w:t>
        </w:r>
        <w:r w:rsidRPr="003E54E1">
          <w:rPr>
            <w:rStyle w:val="Hyperlink"/>
            <w:rFonts w:eastAsia="Times New Roman"/>
            <w:lang w:val="cy-GB"/>
          </w:rPr>
          <w:t>o</w:t>
        </w:r>
        <w:r w:rsidRPr="003E54E1">
          <w:rPr>
            <w:rStyle w:val="Hyperlink"/>
            <w:rFonts w:eastAsia="Times New Roman"/>
            <w:lang w:val="cy-GB"/>
          </w:rPr>
          <w:t xml:space="preserve">r Prolonged Grief in </w:t>
        </w:r>
        <w:r w:rsidRPr="003E54E1">
          <w:rPr>
            <w:rStyle w:val="Hyperlink"/>
            <w:rFonts w:eastAsia="Times New Roman"/>
            <w:lang w:val="cy-GB"/>
          </w:rPr>
          <w:lastRenderedPageBreak/>
          <w:t>Children and Adolescents: A Randomized Clinical Trial | American Journal of Psychiatry</w:t>
        </w:r>
      </w:hyperlink>
      <w:r w:rsidRPr="003E54E1">
        <w:t xml:space="preserve"> </w:t>
      </w:r>
      <w:r w:rsidRPr="003E54E1">
        <w:rPr>
          <w:lang w:val="cy-GB"/>
        </w:rPr>
        <w:t>(accessed on 03/04/2026)</w:t>
      </w:r>
    </w:p>
    <w:p w14:paraId="57BFB457" w14:textId="77777777" w:rsidR="00C64728" w:rsidRPr="003E54E1" w:rsidRDefault="00C64728" w:rsidP="00C64728">
      <w:pPr>
        <w:pStyle w:val="NormalWeb"/>
        <w:numPr>
          <w:ilvl w:val="0"/>
          <w:numId w:val="2"/>
        </w:numPr>
        <w:spacing w:before="100" w:beforeAutospacing="1" w:after="100" w:afterAutospacing="1"/>
      </w:pPr>
      <w:r w:rsidRPr="003E54E1">
        <w:t xml:space="preserve">Bowlby, J. (1980) </w:t>
      </w:r>
      <w:r w:rsidRPr="003E54E1">
        <w:rPr>
          <w:i/>
          <w:iCs/>
        </w:rPr>
        <w:t>Attachment and Loss: Volume III</w:t>
      </w:r>
      <w:r w:rsidRPr="003E54E1">
        <w:t xml:space="preserve">. Hogarth Press. Available at: </w:t>
      </w:r>
      <w:hyperlink r:id="rId12" w:history="1">
        <w:r w:rsidRPr="003E54E1">
          <w:rPr>
            <w:rStyle w:val="Hyperlink"/>
            <w:lang w:val="cy-GB"/>
          </w:rPr>
          <w:t>Attachment and loss : Bowlby, John : Free Download, Borrow, and Streaming : Internet Archive</w:t>
        </w:r>
      </w:hyperlink>
      <w:r w:rsidRPr="003E54E1">
        <w:t xml:space="preserve"> </w:t>
      </w:r>
      <w:r w:rsidRPr="003E54E1">
        <w:rPr>
          <w:lang w:val="cy-GB"/>
        </w:rPr>
        <w:t>(accessed on 25/03/2026)</w:t>
      </w:r>
    </w:p>
    <w:p w14:paraId="70765CA6" w14:textId="77777777" w:rsidR="00C64728" w:rsidRPr="003E54E1" w:rsidRDefault="00C64728" w:rsidP="00C64728">
      <w:pPr>
        <w:pStyle w:val="ListParagraph"/>
        <w:numPr>
          <w:ilvl w:val="0"/>
          <w:numId w:val="2"/>
        </w:numPr>
        <w:spacing w:before="100" w:beforeAutospacing="1" w:after="100" w:afterAutospacing="1"/>
        <w:ind w:left="714" w:hanging="357"/>
        <w:rPr>
          <w:rFonts w:eastAsia="Times New Roman"/>
          <w:kern w:val="0"/>
          <w:lang w:eastAsia="en-GB"/>
          <w14:ligatures w14:val="none"/>
        </w:rPr>
      </w:pPr>
      <w:r w:rsidRPr="003E54E1">
        <w:rPr>
          <w:rFonts w:eastAsia="Times New Roman"/>
          <w:kern w:val="0"/>
          <w:lang w:eastAsia="en-GB"/>
          <w14:ligatures w14:val="none"/>
        </w:rPr>
        <w:t xml:space="preserve">Breen, L.J., Szylit, R., Gilbert, K.R., Macpherson, C., Murphy, I., Nadeau, J.W., Reis e Silva, D. and Wiegand, D.L. (2019) ‘Invitation to grief in the family context’, </w:t>
      </w:r>
      <w:r w:rsidRPr="003E54E1">
        <w:rPr>
          <w:rFonts w:eastAsia="Times New Roman"/>
          <w:i/>
          <w:iCs/>
          <w:kern w:val="0"/>
          <w:lang w:eastAsia="en-GB"/>
          <w14:ligatures w14:val="none"/>
        </w:rPr>
        <w:t>Death Studies</w:t>
      </w:r>
      <w:r w:rsidRPr="003E54E1">
        <w:rPr>
          <w:rFonts w:eastAsia="Times New Roman"/>
          <w:kern w:val="0"/>
          <w:lang w:eastAsia="en-GB"/>
          <w14:ligatures w14:val="none"/>
        </w:rPr>
        <w:t xml:space="preserve">, 43(3), pp. 173–182. Available at: </w:t>
      </w:r>
      <w:hyperlink r:id="rId13" w:history="1">
        <w:r w:rsidRPr="003E54E1">
          <w:rPr>
            <w:rStyle w:val="Hyperlink"/>
            <w:rFonts w:eastAsia="Times New Roman"/>
            <w:kern w:val="0"/>
            <w:lang w:eastAsia="en-GB"/>
            <w14:ligatures w14:val="none"/>
          </w:rPr>
          <w:t>https://doi.org/10.1080/07481187.2018.1442375</w:t>
        </w:r>
      </w:hyperlink>
      <w:r w:rsidRPr="003E54E1">
        <w:rPr>
          <w:rFonts w:eastAsia="Times New Roman"/>
          <w:kern w:val="0"/>
          <w:lang w:eastAsia="en-GB"/>
          <w14:ligatures w14:val="none"/>
        </w:rPr>
        <w:t xml:space="preserve"> </w:t>
      </w:r>
      <w:r w:rsidRPr="003E54E1">
        <w:rPr>
          <w:lang w:val="cy-GB"/>
        </w:rPr>
        <w:t>(accessed on 25/03/2026)</w:t>
      </w:r>
    </w:p>
    <w:p w14:paraId="07CD2D7E"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Breen, L.J. and O’Connor, M. (2011) ‘Family and social networks after bereavement: Experiences of support, change and isolation’, </w:t>
      </w:r>
      <w:r w:rsidRPr="003E54E1">
        <w:rPr>
          <w:rFonts w:eastAsia="Times New Roman"/>
          <w:i/>
          <w:iCs/>
          <w:lang w:val="cy-GB"/>
        </w:rPr>
        <w:t>Journal of Family Therapy</w:t>
      </w:r>
      <w:r w:rsidRPr="003E54E1">
        <w:rPr>
          <w:lang w:val="cy-GB"/>
        </w:rPr>
        <w:t xml:space="preserve">, 33(1), pp. 98–120. Available at: </w:t>
      </w:r>
      <w:hyperlink r:id="rId14" w:history="1">
        <w:r w:rsidRPr="003E54E1">
          <w:rPr>
            <w:rStyle w:val="Hyperlink"/>
            <w:rFonts w:eastAsia="Times New Roman"/>
            <w:lang w:val="cy-GB"/>
          </w:rPr>
          <w:t>Family and social networks after bereavement: experiences of support, change and isolation</w:t>
        </w:r>
      </w:hyperlink>
      <w:r w:rsidRPr="003E54E1">
        <w:rPr>
          <w:lang w:val="cy-GB"/>
        </w:rPr>
        <w:t xml:space="preserve"> (accessed on 26/03/2026)</w:t>
      </w:r>
    </w:p>
    <w:p w14:paraId="6556DE83"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Breen, L.J. &amp; O’Connor, M. (2023) ‘Inequalities in bereavement support access’, </w:t>
      </w:r>
      <w:r w:rsidRPr="003E54E1">
        <w:rPr>
          <w:rFonts w:eastAsia="Times New Roman"/>
          <w:i/>
          <w:iCs/>
          <w:lang w:val="cy-GB"/>
        </w:rPr>
        <w:t>Palliative Care and Social Practice</w:t>
      </w:r>
      <w:r w:rsidRPr="003E54E1">
        <w:rPr>
          <w:lang w:val="cy-GB"/>
        </w:rPr>
        <w:t xml:space="preserve">, 17, pp. 1–12. Available at: </w:t>
      </w:r>
      <w:hyperlink r:id="rId15" w:history="1">
        <w:r w:rsidRPr="003E54E1">
          <w:rPr>
            <w:rStyle w:val="Hyperlink"/>
            <w:lang w:val="cy-GB"/>
          </w:rPr>
          <w:t>https://journals.sagepub.com/home/pcr</w:t>
        </w:r>
      </w:hyperlink>
      <w:r w:rsidRPr="003E54E1">
        <w:t xml:space="preserve">. </w:t>
      </w:r>
      <w:r w:rsidRPr="003E54E1">
        <w:rPr>
          <w:lang w:val="cy-GB"/>
        </w:rPr>
        <w:t>(accessed on 26/03/2026)</w:t>
      </w:r>
    </w:p>
    <w:p w14:paraId="50A33A14"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Browning, D.M. and Solomon, M.Z. (2005) ‘The initiative for pediatric palliative care: An interdisciplinary educational approach for healthcare professionals’, </w:t>
      </w:r>
      <w:r w:rsidRPr="003E54E1">
        <w:rPr>
          <w:rFonts w:eastAsia="Times New Roman"/>
          <w:i/>
          <w:iCs/>
          <w:lang w:val="cy-GB"/>
        </w:rPr>
        <w:t>Journal of Pediatric Nursing</w:t>
      </w:r>
      <w:r w:rsidRPr="003E54E1">
        <w:rPr>
          <w:lang w:val="cy-GB"/>
        </w:rPr>
        <w:t xml:space="preserve">, 20(5), pp. 326–334. Available at: </w:t>
      </w:r>
      <w:hyperlink r:id="rId16" w:tgtFrame="_new" w:history="1">
        <w:r w:rsidRPr="003E54E1">
          <w:rPr>
            <w:rStyle w:val="Hyperlink"/>
            <w:rFonts w:eastAsia="Times New Roman"/>
            <w:lang w:val="cy-GB"/>
          </w:rPr>
          <w:t>https://pubmed.ncbi.nlm.nih.gov/16182092/</w:t>
        </w:r>
      </w:hyperlink>
      <w:r w:rsidRPr="003E54E1">
        <w:t xml:space="preserve"> </w:t>
      </w:r>
      <w:r w:rsidRPr="003E54E1">
        <w:rPr>
          <w:lang w:val="cy-GB"/>
        </w:rPr>
        <w:t>(accessed on 26/03/2026)</w:t>
      </w:r>
    </w:p>
    <w:p w14:paraId="20F80016"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Bui, E., Nadal-Vicens, M., Simon, N.M., et al. (2021) ‘Occupational functioning after bereavement’, </w:t>
      </w:r>
      <w:r w:rsidRPr="003E54E1">
        <w:rPr>
          <w:rFonts w:eastAsia="Times New Roman"/>
          <w:i/>
          <w:iCs/>
          <w:lang w:val="cy-GB"/>
        </w:rPr>
        <w:t>Psychiatry Research</w:t>
      </w:r>
      <w:r w:rsidRPr="003E54E1">
        <w:rPr>
          <w:lang w:val="cy-GB"/>
        </w:rPr>
        <w:t xml:space="preserve">, 295, 113593. Available at: </w:t>
      </w:r>
      <w:hyperlink r:id="rId17" w:history="1">
        <w:r w:rsidRPr="003E54E1">
          <w:rPr>
            <w:rStyle w:val="Hyperlink"/>
            <w:lang w:val="cy-GB"/>
          </w:rPr>
          <w:t>https://doi.org/10.1016/j.psychres.2020.113593</w:t>
        </w:r>
      </w:hyperlink>
      <w:r w:rsidRPr="003E54E1">
        <w:rPr>
          <w:lang w:val="cy-GB"/>
        </w:rPr>
        <w:t xml:space="preserve">  </w:t>
      </w:r>
      <w:r w:rsidRPr="003E54E1">
        <w:t>(</w:t>
      </w:r>
      <w:r w:rsidRPr="003E54E1">
        <w:rPr>
          <w:lang w:val="cy-GB"/>
        </w:rPr>
        <w:t>accessed on 23/03/2026)</w:t>
      </w:r>
    </w:p>
    <w:p w14:paraId="65281844" w14:textId="77777777" w:rsidR="00C64728" w:rsidRPr="003E54E1" w:rsidRDefault="00C64728" w:rsidP="00C64728">
      <w:pPr>
        <w:pStyle w:val="NormalWeb"/>
        <w:numPr>
          <w:ilvl w:val="0"/>
          <w:numId w:val="2"/>
        </w:numPr>
        <w:spacing w:before="100" w:beforeAutospacing="1" w:after="100" w:afterAutospacing="1"/>
      </w:pPr>
      <w:r w:rsidRPr="003E54E1">
        <w:t xml:space="preserve">Champion, L. &amp; Kilcullen, M. (2023) ‘Somatic responses to childhood grief’, </w:t>
      </w:r>
      <w:r w:rsidRPr="003E54E1">
        <w:rPr>
          <w:i/>
          <w:iCs/>
        </w:rPr>
        <w:t>Journal of Child Health</w:t>
      </w:r>
      <w:r w:rsidRPr="003E54E1">
        <w:t xml:space="preserve">, 47(2), pp. 112–123. Available at: </w:t>
      </w:r>
      <w:hyperlink r:id="rId18" w:history="1">
        <w:r w:rsidRPr="003E54E1">
          <w:rPr>
            <w:rStyle w:val="Hyperlink"/>
          </w:rPr>
          <w:t>https://scholar.google.com/scholar?q=Champion+Kilcullen+2023</w:t>
        </w:r>
      </w:hyperlink>
      <w:r w:rsidRPr="003E54E1">
        <w:t xml:space="preserve"> (</w:t>
      </w:r>
      <w:r w:rsidRPr="003E54E1">
        <w:rPr>
          <w:lang w:val="cy-GB"/>
        </w:rPr>
        <w:t>accessed on 23/03/2026)</w:t>
      </w:r>
    </w:p>
    <w:p w14:paraId="4E37E575" w14:textId="77777777" w:rsidR="00C64728" w:rsidRPr="003E54E1" w:rsidRDefault="00C64728" w:rsidP="00C64728">
      <w:pPr>
        <w:pStyle w:val="NormalWeb"/>
        <w:numPr>
          <w:ilvl w:val="0"/>
          <w:numId w:val="2"/>
        </w:numPr>
        <w:spacing w:before="100" w:beforeAutospacing="1" w:after="100" w:afterAutospacing="1"/>
      </w:pPr>
      <w:r w:rsidRPr="003E54E1">
        <w:t xml:space="preserve">Child Bereavement UK (n.d.) </w:t>
      </w:r>
      <w:r w:rsidRPr="003E54E1">
        <w:rPr>
          <w:i/>
          <w:iCs/>
        </w:rPr>
        <w:t>Resources for schools</w:t>
      </w:r>
      <w:r w:rsidRPr="003E54E1">
        <w:t xml:space="preserve">. Available at: </w:t>
      </w:r>
      <w:hyperlink r:id="rId19" w:history="1">
        <w:r w:rsidRPr="003E54E1">
          <w:rPr>
            <w:rStyle w:val="Hyperlink"/>
          </w:rPr>
          <w:t>https://www.childbereavementuk.org</w:t>
        </w:r>
      </w:hyperlink>
      <w:r w:rsidRPr="003E54E1">
        <w:t xml:space="preserve"> (</w:t>
      </w:r>
      <w:r w:rsidRPr="003E54E1">
        <w:rPr>
          <w:lang w:val="cy-GB"/>
        </w:rPr>
        <w:t>accessed on 23/03/2026)</w:t>
      </w:r>
    </w:p>
    <w:p w14:paraId="516AA3E7"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Child Bereavement UK (n.d.), Faiths, beleifs, cultures and communities. Available at: </w:t>
      </w:r>
      <w:hyperlink r:id="rId20" w:history="1">
        <w:r w:rsidRPr="003E54E1">
          <w:rPr>
            <w:rStyle w:val="Hyperlink"/>
            <w:lang w:val="cy-GB"/>
          </w:rPr>
          <w:t>Faiths, beliefs, cultures and communities | Child Bereavement UK</w:t>
        </w:r>
      </w:hyperlink>
      <w:r w:rsidRPr="003E54E1">
        <w:rPr>
          <w:lang w:val="cy-GB"/>
        </w:rPr>
        <w:t xml:space="preserve"> (accessed on 04/04/2026)</w:t>
      </w:r>
    </w:p>
    <w:p w14:paraId="031EAC10" w14:textId="77777777" w:rsidR="00C64728" w:rsidRPr="003E54E1" w:rsidRDefault="00C64728" w:rsidP="00C64728">
      <w:pPr>
        <w:pStyle w:val="NormalWeb"/>
        <w:numPr>
          <w:ilvl w:val="0"/>
          <w:numId w:val="2"/>
        </w:numPr>
        <w:spacing w:before="100" w:beforeAutospacing="1" w:after="100" w:afterAutospacing="1"/>
      </w:pPr>
      <w:r w:rsidRPr="003E54E1">
        <w:lastRenderedPageBreak/>
        <w:t xml:space="preserve">Childhood Bereavement Network (2022) </w:t>
      </w:r>
      <w:r w:rsidRPr="003E54E1">
        <w:rPr>
          <w:i/>
          <w:iCs/>
        </w:rPr>
        <w:t>Statistics on childhood bereavement in the UK</w:t>
      </w:r>
      <w:r w:rsidRPr="003E54E1">
        <w:t>.</w:t>
      </w:r>
      <w:r w:rsidRPr="003E54E1">
        <w:br/>
        <w:t xml:space="preserve">Available at: </w:t>
      </w:r>
      <w:hyperlink r:id="rId21" w:history="1">
        <w:r w:rsidRPr="003E54E1">
          <w:rPr>
            <w:rStyle w:val="Hyperlink"/>
          </w:rPr>
          <w:t>https://childhoodbereavementnetwork.org.uk</w:t>
        </w:r>
      </w:hyperlink>
      <w:r w:rsidRPr="003E54E1">
        <w:t xml:space="preserve"> </w:t>
      </w:r>
      <w:r w:rsidRPr="003E54E1">
        <w:rPr>
          <w:lang w:val="cy-GB"/>
        </w:rPr>
        <w:t>(accessed on 23/03/2026)</w:t>
      </w:r>
    </w:p>
    <w:p w14:paraId="4ABB9ECE" w14:textId="77777777" w:rsidR="00C64728" w:rsidRPr="003E54E1" w:rsidRDefault="00C64728" w:rsidP="00C64728">
      <w:pPr>
        <w:pStyle w:val="NormalWeb"/>
        <w:numPr>
          <w:ilvl w:val="0"/>
          <w:numId w:val="2"/>
        </w:numPr>
        <w:spacing w:before="100" w:beforeAutospacing="1" w:after="100" w:afterAutospacing="1"/>
      </w:pPr>
      <w:r w:rsidRPr="003E54E1">
        <w:t xml:space="preserve">Cohen, J. &amp; Mannarino, A. (2011) ‘Trauma-focused CBT for childhood traumatic grief’, </w:t>
      </w:r>
      <w:r w:rsidRPr="003E54E1">
        <w:rPr>
          <w:i/>
          <w:iCs/>
        </w:rPr>
        <w:t>Journal of Clinical Child &amp; Adolescent Psychology</w:t>
      </w:r>
      <w:r w:rsidRPr="003E54E1">
        <w:t xml:space="preserve">, 40(3), pp. 588–598. Available at: </w:t>
      </w:r>
      <w:hyperlink r:id="rId22" w:history="1">
        <w:r w:rsidRPr="003E54E1">
          <w:rPr>
            <w:rStyle w:val="Hyperlink"/>
          </w:rPr>
          <w:t>https://scholar.google.com/scholar?q=Cohen+Mannarino+2011</w:t>
        </w:r>
      </w:hyperlink>
      <w:r w:rsidRPr="003E54E1">
        <w:t xml:space="preserve"> </w:t>
      </w:r>
      <w:r w:rsidRPr="003E54E1">
        <w:rPr>
          <w:lang w:val="cy-GB"/>
        </w:rPr>
        <w:t>(accessed on 03/04/2026)</w:t>
      </w:r>
    </w:p>
    <w:p w14:paraId="1AC81923"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Comerchero, V.A. (2017) ‘Cognitive developmental considerations in supporting bereaved students’, in Brown, J.A. and Jimerson, S.R. (eds.) </w:t>
      </w:r>
      <w:r w:rsidRPr="003E54E1">
        <w:rPr>
          <w:rFonts w:eastAsia="Times New Roman"/>
          <w:i/>
          <w:iCs/>
          <w:lang w:val="cy-GB"/>
        </w:rPr>
        <w:t>Supporting bereaved students at school</w:t>
      </w:r>
      <w:r w:rsidRPr="003E54E1">
        <w:rPr>
          <w:lang w:val="cy-GB"/>
        </w:rPr>
        <w:t xml:space="preserve">. Oxford: Oxford University Press, pp. 25–37. Available at: </w:t>
      </w:r>
      <w:hyperlink r:id="rId23" w:tgtFrame="_new" w:history="1">
        <w:r w:rsidRPr="003E54E1">
          <w:rPr>
            <w:rStyle w:val="Hyperlink"/>
            <w:rFonts w:eastAsia="Times New Roman"/>
            <w:lang w:val="cy-GB"/>
          </w:rPr>
          <w:t>https://www.google.co.uk/books/edition/Supporting_Bereaved_Students_at_School/Cit1DgAAQBAJ?hl=en&amp;gbpv=1&amp;dq=Comerchero+2017&amp;pg=PA25&amp;printsec=frontcover</w:t>
        </w:r>
      </w:hyperlink>
      <w:r w:rsidRPr="003E54E1">
        <w:rPr>
          <w:lang w:val="cy-GB"/>
        </w:rPr>
        <w:t xml:space="preserve"> (accessed on 03/04/2026)</w:t>
      </w:r>
    </w:p>
    <w:p w14:paraId="09790519"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Cobb, M., Puchalski, C.M. &amp; Rumbold (2012), Spirituality in Healthcare, </w:t>
      </w:r>
      <w:r w:rsidRPr="003E54E1">
        <w:rPr>
          <w:i/>
          <w:iCs/>
          <w:lang w:val="cy-GB"/>
        </w:rPr>
        <w:t xml:space="preserve">Chapter 19. </w:t>
      </w:r>
      <w:r w:rsidRPr="003E54E1">
        <w:rPr>
          <w:lang w:val="cy-GB"/>
        </w:rPr>
        <w:t xml:space="preserve"> Available at: </w:t>
      </w:r>
      <w:hyperlink r:id="rId24" w:history="1">
        <w:r w:rsidRPr="003E54E1">
          <w:rPr>
            <w:rStyle w:val="Hyperlink"/>
            <w:rFonts w:eastAsia="Times New Roman"/>
            <w:lang w:val="cy-GB"/>
          </w:rPr>
          <w:t>Oxford Textbook of Spirituality in Healthcare - Google Books</w:t>
        </w:r>
      </w:hyperlink>
      <w:r w:rsidRPr="003E54E1">
        <w:rPr>
          <w:lang w:val="cy-GB"/>
        </w:rPr>
        <w:t xml:space="preserve"> (accessed on 03/04/2026)</w:t>
      </w:r>
    </w:p>
    <w:p w14:paraId="02C53819" w14:textId="77777777" w:rsidR="00C64728" w:rsidRPr="003E54E1" w:rsidRDefault="00C64728" w:rsidP="00C64728">
      <w:pPr>
        <w:pStyle w:val="NormalWeb"/>
        <w:numPr>
          <w:ilvl w:val="0"/>
          <w:numId w:val="2"/>
        </w:numPr>
        <w:spacing w:before="100" w:beforeAutospacing="1" w:after="100" w:afterAutospacing="1"/>
      </w:pPr>
      <w:r w:rsidRPr="003E54E1">
        <w:t xml:space="preserve">Crenshaw, D., Brooks, R. &amp; Goldstein, S. (2015) </w:t>
      </w:r>
      <w:r w:rsidRPr="003E54E1">
        <w:rPr>
          <w:i/>
          <w:iCs/>
        </w:rPr>
        <w:t>Play Therapy Interventions to Support Resilience</w:t>
      </w:r>
      <w:r w:rsidRPr="003E54E1">
        <w:t xml:space="preserve">. Guilford Press. Available at: </w:t>
      </w:r>
      <w:hyperlink r:id="rId25" w:history="1">
        <w:r w:rsidRPr="003E54E1">
          <w:rPr>
            <w:rStyle w:val="Hyperlink"/>
            <w:rFonts w:eastAsia="Times New Roman"/>
            <w:lang w:val="cy-GB"/>
          </w:rPr>
          <w:t>Play Therapy Interventions to Enhance Resilience - Google Books</w:t>
        </w:r>
      </w:hyperlink>
      <w:r w:rsidRPr="003E54E1">
        <w:t xml:space="preserve"> </w:t>
      </w:r>
      <w:r w:rsidRPr="003E54E1">
        <w:rPr>
          <w:lang w:val="cy-GB"/>
        </w:rPr>
        <w:t>(accessed on 26/03//2026)</w:t>
      </w:r>
    </w:p>
    <w:p w14:paraId="6305CA68"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Dawson, L., Hare, R., Selman, L.E., Boseley, T. and Penny, A. (2023) ‘The one thing guaranteed in life but they won’t teach us about it: The case for mandatory grief education in UK schools’, </w:t>
      </w:r>
      <w:r w:rsidRPr="003E54E1">
        <w:rPr>
          <w:rFonts w:eastAsia="Times New Roman"/>
          <w:i/>
          <w:iCs/>
          <w:lang w:val="cy-GB"/>
        </w:rPr>
        <w:t>Bereavement Care</w:t>
      </w:r>
      <w:r w:rsidRPr="003E54E1">
        <w:rPr>
          <w:lang w:val="cy-GB"/>
        </w:rPr>
        <w:t xml:space="preserve">. Available at: </w:t>
      </w:r>
      <w:hyperlink r:id="rId26" w:history="1">
        <w:r w:rsidRPr="003E54E1">
          <w:rPr>
            <w:rStyle w:val="Hyperlink"/>
            <w:rFonts w:eastAsia="Times New Roman"/>
            <w:lang w:val="cy-GB"/>
          </w:rPr>
          <w:t>https://www.bereavementjournal.org/index.php/bcj/article/view/1082/1121</w:t>
        </w:r>
      </w:hyperlink>
      <w:r w:rsidRPr="003E54E1">
        <w:rPr>
          <w:lang w:val="cy-GB"/>
        </w:rPr>
        <w:t xml:space="preserve"> </w:t>
      </w:r>
      <w:r w:rsidRPr="003E54E1">
        <w:t xml:space="preserve"> </w:t>
      </w:r>
      <w:r w:rsidRPr="003E54E1">
        <w:rPr>
          <w:lang w:val="cy-GB"/>
        </w:rPr>
        <w:t>(accessed on 24/03/2026)</w:t>
      </w:r>
    </w:p>
    <w:p w14:paraId="7032E1E1"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Drewes, A.A. (2009) </w:t>
      </w:r>
      <w:r w:rsidRPr="003E54E1">
        <w:rPr>
          <w:rFonts w:eastAsia="Times New Roman"/>
          <w:i/>
          <w:iCs/>
          <w:lang w:val="cy-GB"/>
        </w:rPr>
        <w:t>Blending play therapy with cognitive behavioral therapy: Evidence-based and other effective treatments and techniques</w:t>
      </w:r>
      <w:r w:rsidRPr="003E54E1">
        <w:rPr>
          <w:lang w:val="cy-GB"/>
        </w:rPr>
        <w:t xml:space="preserve">. Hoboken, NJ: John Wiley &amp; Sons. Available at: </w:t>
      </w:r>
      <w:hyperlink r:id="rId27" w:tgtFrame="_new" w:history="1">
        <w:r w:rsidRPr="003E54E1">
          <w:rPr>
            <w:rStyle w:val="Hyperlink"/>
            <w:rFonts w:eastAsia="Times New Roman"/>
            <w:lang w:val="cy-GB"/>
          </w:rPr>
          <w:t>Google Books preview</w:t>
        </w:r>
      </w:hyperlink>
      <w:r w:rsidRPr="003E54E1">
        <w:t xml:space="preserve"> </w:t>
      </w:r>
      <w:r w:rsidRPr="003E54E1">
        <w:rPr>
          <w:lang w:val="cy-GB"/>
        </w:rPr>
        <w:t>(accessed on 03/04/2026)</w:t>
      </w:r>
    </w:p>
    <w:p w14:paraId="6B106D5F" w14:textId="77777777" w:rsidR="00C64728" w:rsidRPr="003E54E1" w:rsidRDefault="00C64728" w:rsidP="00C64728">
      <w:pPr>
        <w:pStyle w:val="NormalWeb"/>
        <w:numPr>
          <w:ilvl w:val="0"/>
          <w:numId w:val="2"/>
        </w:numPr>
        <w:spacing w:before="100" w:beforeAutospacing="1" w:after="100" w:afterAutospacing="1"/>
      </w:pPr>
      <w:r w:rsidRPr="003E54E1">
        <w:t xml:space="preserve">Grave, J. &amp; Blissett, J. (2004) ‘Is CBT developmentally appropriate for children?’, </w:t>
      </w:r>
      <w:r w:rsidRPr="003E54E1">
        <w:rPr>
          <w:i/>
          <w:iCs/>
        </w:rPr>
        <w:t>Clinical Psychology Review</w:t>
      </w:r>
      <w:r w:rsidRPr="003E54E1">
        <w:t xml:space="preserve">, 24(4), pp. 399–420. Available at: </w:t>
      </w:r>
      <w:hyperlink r:id="rId28" w:history="1">
        <w:r w:rsidRPr="003E54E1">
          <w:rPr>
            <w:rStyle w:val="Hyperlink"/>
            <w:rFonts w:eastAsia="Times New Roman"/>
            <w:lang w:val="cy-GB"/>
          </w:rPr>
          <w:t>Is cognitive behavior therapy developmentally appropriate for young children? A critical review of the evidence - ScienceDirect</w:t>
        </w:r>
      </w:hyperlink>
      <w:r w:rsidRPr="003E54E1">
        <w:t xml:space="preserve"> </w:t>
      </w:r>
      <w:r w:rsidRPr="003E54E1">
        <w:rPr>
          <w:lang w:val="cy-GB"/>
        </w:rPr>
        <w:t>(accessed on 03/04/2026)</w:t>
      </w:r>
    </w:p>
    <w:p w14:paraId="7040C06F" w14:textId="77777777" w:rsidR="00C64728" w:rsidRPr="003E54E1" w:rsidRDefault="00C64728" w:rsidP="00C64728">
      <w:pPr>
        <w:pStyle w:val="ListParagraph"/>
        <w:numPr>
          <w:ilvl w:val="0"/>
          <w:numId w:val="2"/>
        </w:numPr>
        <w:spacing w:before="100" w:beforeAutospacing="1" w:after="100" w:afterAutospacing="1"/>
        <w:ind w:left="714" w:hanging="357"/>
        <w:rPr>
          <w:rFonts w:eastAsia="Times New Roman"/>
          <w:kern w:val="0"/>
          <w:lang w:eastAsia="en-GB"/>
          <w14:ligatures w14:val="none"/>
        </w:rPr>
      </w:pPr>
      <w:r w:rsidRPr="003E54E1">
        <w:rPr>
          <w:rFonts w:eastAsia="Times New Roman"/>
          <w:kern w:val="0"/>
          <w:lang w:eastAsia="en-GB"/>
          <w14:ligatures w14:val="none"/>
        </w:rPr>
        <w:t>Gottlieb, M., Violo, D., Tams, J. &amp; Piercy, J. (2025), ‘A scoping review of evidence</w:t>
      </w:r>
      <w:r w:rsidRPr="003E54E1">
        <w:rPr>
          <w:rFonts w:eastAsia="Times New Roman"/>
          <w:kern w:val="0"/>
          <w:lang w:eastAsia="en-GB"/>
          <w14:ligatures w14:val="none"/>
        </w:rPr>
        <w:noBreakHyphen/>
        <w:t xml:space="preserve">based grief interventions for parentally bereaved children: Comparing </w:t>
      </w:r>
      <w:r w:rsidRPr="003E54E1">
        <w:rPr>
          <w:rFonts w:eastAsia="Times New Roman"/>
          <w:kern w:val="0"/>
          <w:lang w:eastAsia="en-GB"/>
          <w14:ligatures w14:val="none"/>
        </w:rPr>
        <w:lastRenderedPageBreak/>
        <w:t xml:space="preserve">individual, group, and family approaches’, </w:t>
      </w:r>
      <w:r w:rsidRPr="003E54E1">
        <w:rPr>
          <w:rFonts w:eastAsia="Times New Roman"/>
          <w:i/>
          <w:iCs/>
          <w:kern w:val="0"/>
          <w:lang w:eastAsia="en-GB"/>
          <w14:ligatures w14:val="none"/>
        </w:rPr>
        <w:t>OMEGA – Journal of Death and Dying</w:t>
      </w:r>
      <w:r w:rsidRPr="003E54E1">
        <w:rPr>
          <w:rFonts w:eastAsia="Times New Roman"/>
          <w:kern w:val="0"/>
          <w:lang w:eastAsia="en-GB"/>
          <w14:ligatures w14:val="none"/>
        </w:rPr>
        <w:t>, pp. 1–26.</w:t>
      </w:r>
      <w:r w:rsidRPr="003E54E1">
        <w:rPr>
          <w:rFonts w:eastAsia="Times New Roman"/>
          <w:kern w:val="0"/>
          <w:lang w:eastAsia="en-GB"/>
          <w14:ligatures w14:val="none"/>
        </w:rPr>
        <w:br/>
        <w:t xml:space="preserve">Available at: </w:t>
      </w:r>
      <w:hyperlink r:id="rId29" w:history="1">
        <w:r w:rsidRPr="003E54E1">
          <w:rPr>
            <w:rStyle w:val="Hyperlink"/>
            <w:rFonts w:eastAsia="Times New Roman"/>
            <w:kern w:val="0"/>
            <w:lang w:eastAsia="en-GB"/>
            <w14:ligatures w14:val="none"/>
          </w:rPr>
          <w:t xml:space="preserve">A Scoping Review of </w:t>
        </w:r>
        <w:r w:rsidRPr="003E54E1">
          <w:rPr>
            <w:rStyle w:val="Hyperlink"/>
            <w:rFonts w:eastAsia="Times New Roman"/>
            <w:kern w:val="0"/>
            <w:lang w:eastAsia="en-GB"/>
            <w14:ligatures w14:val="none"/>
          </w:rPr>
          <w:t>E</w:t>
        </w:r>
        <w:r w:rsidRPr="003E54E1">
          <w:rPr>
            <w:rStyle w:val="Hyperlink"/>
            <w:rFonts w:eastAsia="Times New Roman"/>
            <w:kern w:val="0"/>
            <w:lang w:eastAsia="en-GB"/>
            <w14:ligatures w14:val="none"/>
          </w:rPr>
          <w:t>vidence-Based Grief Interventions for Parentally Bereaved Children: Comparing Individual, Group, and Family Approaches</w:t>
        </w:r>
      </w:hyperlink>
      <w:r w:rsidRPr="003E54E1">
        <w:rPr>
          <w:rFonts w:eastAsia="Times New Roman"/>
          <w:kern w:val="0"/>
          <w:lang w:eastAsia="en-GB"/>
          <w14:ligatures w14:val="none"/>
        </w:rPr>
        <w:t xml:space="preserve"> (accessed on 25/03/2026)</w:t>
      </w:r>
    </w:p>
    <w:p w14:paraId="7F2343F4" w14:textId="77777777" w:rsidR="00C64728" w:rsidRPr="003E54E1" w:rsidRDefault="00C64728" w:rsidP="00C64728">
      <w:pPr>
        <w:pStyle w:val="NormalWeb"/>
        <w:numPr>
          <w:ilvl w:val="0"/>
          <w:numId w:val="2"/>
        </w:numPr>
        <w:spacing w:before="100" w:beforeAutospacing="1" w:after="100" w:afterAutospacing="1"/>
      </w:pPr>
      <w:r w:rsidRPr="003E54E1">
        <w:t xml:space="preserve">Gupta, A. et al. (2023) ‘Play therapy and cognitive development’, </w:t>
      </w:r>
      <w:r w:rsidRPr="003E54E1">
        <w:rPr>
          <w:i/>
          <w:iCs/>
        </w:rPr>
        <w:t>Journal of Child Psychology</w:t>
      </w:r>
      <w:r w:rsidRPr="003E54E1">
        <w:t xml:space="preserve">, 61(4), pp. 512–526. Available at: </w:t>
      </w:r>
      <w:hyperlink r:id="rId30" w:history="1">
        <w:r w:rsidRPr="003E54E1">
          <w:rPr>
            <w:rStyle w:val="Hyperlink"/>
            <w:rFonts w:eastAsia="Times New Roman"/>
            <w:lang w:val="cy-GB"/>
          </w:rPr>
          <w:t>20230707-3926-991uym.pdf</w:t>
        </w:r>
      </w:hyperlink>
      <w:r w:rsidRPr="003E54E1">
        <w:t xml:space="preserve"> </w:t>
      </w:r>
      <w:r w:rsidRPr="003E54E1">
        <w:rPr>
          <w:lang w:val="cy-GB"/>
        </w:rPr>
        <w:t>(accessed on 03/04/2026)</w:t>
      </w:r>
    </w:p>
    <w:p w14:paraId="06F2DB8F" w14:textId="77777777" w:rsidR="00C64728" w:rsidRPr="003E54E1" w:rsidRDefault="00C64728" w:rsidP="00C64728">
      <w:pPr>
        <w:pStyle w:val="NormalWeb"/>
        <w:numPr>
          <w:ilvl w:val="0"/>
          <w:numId w:val="2"/>
        </w:numPr>
        <w:spacing w:before="100" w:beforeAutospacing="1" w:after="100" w:afterAutospacing="1"/>
      </w:pPr>
      <w:r w:rsidRPr="003E54E1">
        <w:t xml:space="preserve">Harrop, E., Scott, H., Sivell, S., Seddon, K., Fitzgibbon, J., Morgan, F., Pickett, S., Byrne, A., Nelson, A. &amp; Longo, M. (2020) ‘Inequalities in bereavement outcomes’, </w:t>
      </w:r>
      <w:r w:rsidRPr="003E54E1">
        <w:rPr>
          <w:i/>
          <w:iCs/>
        </w:rPr>
        <w:t>Palliative Medicine</w:t>
      </w:r>
      <w:r w:rsidRPr="003E54E1">
        <w:t xml:space="preserve">, 34(5), pp. 613–629. Available at: </w:t>
      </w:r>
      <w:hyperlink r:id="rId31" w:history="1">
        <w:r w:rsidRPr="003E54E1">
          <w:rPr>
            <w:rStyle w:val="Hyperlink"/>
            <w:rFonts w:eastAsia="Times New Roman"/>
            <w:lang w:val="cy-GB"/>
          </w:rPr>
          <w:t>Coping and wellbeing in bereavement: two core outcomes for evaluating bereavement support in palliative care | BMC Palliative Care | Springer Nature Link</w:t>
        </w:r>
      </w:hyperlink>
      <w:r w:rsidRPr="003E54E1">
        <w:t xml:space="preserve"> </w:t>
      </w:r>
      <w:r w:rsidRPr="003E54E1">
        <w:rPr>
          <w:lang w:val="cy-GB"/>
        </w:rPr>
        <w:t>(accessed on 25/03/2026)</w:t>
      </w:r>
    </w:p>
    <w:p w14:paraId="2DDDB06D" w14:textId="77777777" w:rsidR="00C64728" w:rsidRPr="003E54E1" w:rsidRDefault="00C64728" w:rsidP="00C64728">
      <w:pPr>
        <w:pStyle w:val="NormalWeb"/>
        <w:numPr>
          <w:ilvl w:val="0"/>
          <w:numId w:val="2"/>
        </w:numPr>
        <w:spacing w:before="100" w:beforeAutospacing="1" w:after="100" w:afterAutospacing="1"/>
      </w:pPr>
      <w:r w:rsidRPr="003E54E1">
        <w:rPr>
          <w:lang w:val="cy-GB"/>
        </w:rPr>
        <w:t>Hoppe, R., Winter, M. A., Williams, C.D. &amp; Sandler, I. (2025) ‘When a parent dies: A scoping review of protective and risk processes for childhood bereavement’, </w:t>
      </w:r>
      <w:r w:rsidRPr="003E54E1">
        <w:rPr>
          <w:i/>
          <w:iCs/>
          <w:lang w:val="cy-GB"/>
        </w:rPr>
        <w:t>Death Studies</w:t>
      </w:r>
      <w:r w:rsidRPr="003E54E1">
        <w:rPr>
          <w:lang w:val="cy-GB"/>
        </w:rPr>
        <w:t>, 49(5), pp. 546–556.</w:t>
      </w:r>
      <w:r w:rsidRPr="003E54E1">
        <w:t xml:space="preserve"> Available at: </w:t>
      </w:r>
      <w:hyperlink r:id="rId32" w:history="1">
        <w:r w:rsidRPr="003E54E1">
          <w:rPr>
            <w:rStyle w:val="Hyperlink"/>
            <w:lang w:val="cy-GB"/>
          </w:rPr>
          <w:t>When a parent dies: A scoping review of protective and risk processes for childhood bereavement</w:t>
        </w:r>
      </w:hyperlink>
      <w:r w:rsidRPr="003E54E1">
        <w:t xml:space="preserve"> (accessed on 24/03/2026)</w:t>
      </w:r>
    </w:p>
    <w:p w14:paraId="2CC61745" w14:textId="77777777" w:rsidR="00C64728" w:rsidRPr="003E54E1" w:rsidRDefault="00C64728" w:rsidP="00C64728">
      <w:pPr>
        <w:pStyle w:val="NormalWeb"/>
        <w:numPr>
          <w:ilvl w:val="0"/>
          <w:numId w:val="2"/>
        </w:numPr>
        <w:spacing w:before="100" w:beforeAutospacing="1" w:after="100" w:afterAutospacing="1"/>
      </w:pPr>
      <w:r w:rsidRPr="003E54E1">
        <w:t xml:space="preserve">Howes Vallis, E. et al. (2020) ‘CBT outcomes in younger children’, </w:t>
      </w:r>
      <w:r w:rsidRPr="003E54E1">
        <w:rPr>
          <w:i/>
          <w:iCs/>
        </w:rPr>
        <w:t>Clinical Child Psychology and Psychiatry</w:t>
      </w:r>
      <w:r w:rsidRPr="003E54E1">
        <w:t xml:space="preserve">, 25(4). Available at: </w:t>
      </w:r>
      <w:hyperlink r:id="rId33" w:history="1">
        <w:r w:rsidRPr="003E54E1">
          <w:rPr>
            <w:rStyle w:val="Hyperlink"/>
          </w:rPr>
          <w:t>https://scholar.google.com/scholar?q=Howes+Vallis+2020</w:t>
        </w:r>
      </w:hyperlink>
      <w:r w:rsidRPr="003E54E1">
        <w:t xml:space="preserve"> </w:t>
      </w:r>
      <w:r w:rsidRPr="003E54E1">
        <w:rPr>
          <w:lang w:val="cy-GB"/>
        </w:rPr>
        <w:t>(accessed on 03/04/2026)</w:t>
      </w:r>
    </w:p>
    <w:p w14:paraId="46778B75" w14:textId="77777777" w:rsidR="00C64728" w:rsidRPr="003E54E1" w:rsidRDefault="00C64728" w:rsidP="00C64728">
      <w:pPr>
        <w:pStyle w:val="ListParagraph"/>
        <w:numPr>
          <w:ilvl w:val="0"/>
          <w:numId w:val="2"/>
        </w:numPr>
        <w:spacing w:before="100" w:beforeAutospacing="1" w:after="100" w:afterAutospacing="1"/>
        <w:ind w:left="714" w:hanging="357"/>
        <w:rPr>
          <w:rFonts w:eastAsia="Times New Roman"/>
          <w:kern w:val="0"/>
          <w:lang w:eastAsia="en-GB"/>
          <w14:ligatures w14:val="none"/>
        </w:rPr>
      </w:pPr>
      <w:r w:rsidRPr="003E54E1">
        <w:rPr>
          <w:rFonts w:eastAsia="Times New Roman"/>
          <w:kern w:val="0"/>
          <w:lang w:eastAsia="en-GB"/>
          <w14:ligatures w14:val="none"/>
        </w:rPr>
        <w:t>Hughes, K., Bellis, M.A., Hardcastle, K.A., Sethi, D., Butchart, A., Mikton, C., Jones, L. &amp; Dunne, M.P. (2017) ‘The effect of multiple adverse childhood experiences on health: a systematic review and meta</w:t>
      </w:r>
      <w:r w:rsidRPr="003E54E1">
        <w:rPr>
          <w:rFonts w:eastAsia="Times New Roman"/>
          <w:kern w:val="0"/>
          <w:lang w:eastAsia="en-GB"/>
          <w14:ligatures w14:val="none"/>
        </w:rPr>
        <w:noBreakHyphen/>
        <w:t xml:space="preserve">analysis’, </w:t>
      </w:r>
      <w:r w:rsidRPr="003E54E1">
        <w:rPr>
          <w:rFonts w:eastAsia="Times New Roman"/>
          <w:i/>
          <w:iCs/>
          <w:kern w:val="0"/>
          <w:lang w:eastAsia="en-GB"/>
          <w14:ligatures w14:val="none"/>
        </w:rPr>
        <w:t>The Lancet Public Health</w:t>
      </w:r>
      <w:r w:rsidRPr="003E54E1">
        <w:rPr>
          <w:rFonts w:eastAsia="Times New Roman"/>
          <w:kern w:val="0"/>
          <w:lang w:eastAsia="en-GB"/>
          <w14:ligatures w14:val="none"/>
        </w:rPr>
        <w:t>, 2(8), pp. e356–e366.</w:t>
      </w:r>
      <w:r w:rsidRPr="003E54E1">
        <w:rPr>
          <w:rFonts w:eastAsia="Times New Roman"/>
          <w:kern w:val="0"/>
          <w:lang w:eastAsia="en-GB"/>
          <w14:ligatures w14:val="none"/>
        </w:rPr>
        <w:br/>
        <w:t>Available at: https://doi.org/10.1016/S2468-2667(17)30118-4</w:t>
      </w:r>
    </w:p>
    <w:p w14:paraId="732DD5BA" w14:textId="77777777" w:rsidR="00C64728" w:rsidRPr="003E54E1" w:rsidRDefault="00C64728" w:rsidP="00C64728">
      <w:pPr>
        <w:pStyle w:val="NormalWeb"/>
        <w:numPr>
          <w:ilvl w:val="0"/>
          <w:numId w:val="2"/>
        </w:numPr>
        <w:spacing w:before="100" w:beforeAutospacing="1" w:after="100" w:afterAutospacing="1"/>
        <w:ind w:left="714" w:hanging="357"/>
      </w:pPr>
      <w:r w:rsidRPr="003E54E1">
        <w:rPr>
          <w:lang w:val="cy-GB"/>
        </w:rPr>
        <w:t>(accessed on 24/03/2026)</w:t>
      </w:r>
    </w:p>
    <w:p w14:paraId="406D32B0" w14:textId="77777777" w:rsidR="00C64728" w:rsidRPr="003E54E1" w:rsidRDefault="00C64728" w:rsidP="00C64728">
      <w:pPr>
        <w:pStyle w:val="ListParagraph"/>
        <w:numPr>
          <w:ilvl w:val="0"/>
          <w:numId w:val="2"/>
        </w:numPr>
        <w:spacing w:before="100" w:beforeAutospacing="1" w:after="100" w:afterAutospacing="1"/>
        <w:ind w:left="714" w:hanging="357"/>
      </w:pPr>
      <w:r w:rsidRPr="003E54E1">
        <w:rPr>
          <w:rFonts w:eastAsia="Times New Roman"/>
          <w:kern w:val="0"/>
          <w:lang w:eastAsia="en-GB"/>
          <w14:ligatures w14:val="none"/>
        </w:rPr>
        <w:t xml:space="preserve">Kaplow, J.B. (2014) ‘Grief’, in Mash, E.J. &amp; Barkley, R.A. (eds.) </w:t>
      </w:r>
      <w:r w:rsidRPr="003E54E1">
        <w:rPr>
          <w:rFonts w:eastAsia="Times New Roman"/>
          <w:i/>
          <w:iCs/>
          <w:kern w:val="0"/>
          <w:lang w:eastAsia="en-GB"/>
          <w14:ligatures w14:val="none"/>
        </w:rPr>
        <w:t>Assessment of Disorders in Childhood and Adolescence</w:t>
      </w:r>
      <w:r w:rsidRPr="003E54E1">
        <w:rPr>
          <w:rFonts w:eastAsia="Times New Roman"/>
          <w:kern w:val="0"/>
          <w:lang w:eastAsia="en-GB"/>
          <w14:ligatures w14:val="none"/>
        </w:rPr>
        <w:t xml:space="preserve">. 4th edn. New York: Guilford Press, pp. 471–492. Available at: </w:t>
      </w:r>
      <w:hyperlink r:id="rId34" w:history="1">
        <w:r w:rsidRPr="003E54E1">
          <w:rPr>
            <w:rStyle w:val="Hyperlink"/>
            <w:rFonts w:eastAsia="Times New Roman"/>
            <w:kern w:val="0"/>
            <w:lang w:eastAsia="en-GB"/>
            <w14:ligatures w14:val="none"/>
          </w:rPr>
          <w:t>Assessment of Disorders in Childhood and Adolescence - Google Books</w:t>
        </w:r>
      </w:hyperlink>
      <w:r w:rsidRPr="003E54E1">
        <w:t xml:space="preserve"> (accessed on 26/03/2026)</w:t>
      </w:r>
    </w:p>
    <w:p w14:paraId="383E55FE" w14:textId="77777777" w:rsidR="00C64728" w:rsidRPr="003E54E1" w:rsidRDefault="00C64728" w:rsidP="00C64728">
      <w:pPr>
        <w:pStyle w:val="NormalWeb"/>
        <w:numPr>
          <w:ilvl w:val="0"/>
          <w:numId w:val="2"/>
        </w:numPr>
        <w:spacing w:before="100" w:beforeAutospacing="1" w:after="100" w:afterAutospacing="1"/>
      </w:pPr>
      <w:r w:rsidRPr="003E54E1">
        <w:t xml:space="preserve">Kaplow, J. et al. (2024) ‘Early intervention for childhood grief’, </w:t>
      </w:r>
      <w:r w:rsidRPr="003E54E1">
        <w:rPr>
          <w:i/>
          <w:iCs/>
        </w:rPr>
        <w:t>Child and Adolescent Mental Health</w:t>
      </w:r>
      <w:r w:rsidRPr="003E54E1">
        <w:t>, 29(1), pp. 12–25.</w:t>
      </w:r>
      <w:r w:rsidRPr="003E54E1">
        <w:br/>
        <w:t xml:space="preserve">Available at: </w:t>
      </w:r>
      <w:hyperlink r:id="rId35" w:history="1">
        <w:r w:rsidRPr="003E54E1">
          <w:rPr>
            <w:rStyle w:val="Hyperlink"/>
            <w:lang w:val="cy-GB"/>
          </w:rPr>
          <w:t xml:space="preserve">Co‐producing a complex psychosocial intervention during COVID‐19 </w:t>
        </w:r>
        <w:r w:rsidRPr="003E54E1">
          <w:rPr>
            <w:rStyle w:val="Hyperlink"/>
            <w:lang w:val="cy-GB"/>
          </w:rPr>
          <w:lastRenderedPageBreak/>
          <w:t>with young people transitioning from adolescent secure hospitals to adult services in England: Moving Forward intervention (MFi) - Livanou - 2024 - Child and Adolescent Mental Health - Wiley Online Library</w:t>
        </w:r>
      </w:hyperlink>
      <w:r w:rsidRPr="003E54E1">
        <w:t xml:space="preserve"> (accessed on 26/03/2026)</w:t>
      </w:r>
    </w:p>
    <w:p w14:paraId="4A75B2C3" w14:textId="77777777" w:rsidR="00C64728" w:rsidRPr="003E54E1" w:rsidRDefault="00C64728" w:rsidP="00C64728">
      <w:pPr>
        <w:pStyle w:val="NormalWeb"/>
        <w:numPr>
          <w:ilvl w:val="0"/>
          <w:numId w:val="2"/>
        </w:numPr>
        <w:spacing w:before="100" w:beforeAutospacing="1" w:after="100" w:afterAutospacing="1"/>
      </w:pPr>
      <w:r w:rsidRPr="003E54E1">
        <w:t xml:space="preserve">Kentor, R. &amp; Kaplow, J. (2020), Supporting children and adolescents following parental bereavement: guidance for health-care professionals. Available at: </w:t>
      </w:r>
      <w:hyperlink r:id="rId36" w:history="1">
        <w:r w:rsidRPr="003E54E1">
          <w:rPr>
            <w:rStyle w:val="Hyperlink"/>
            <w:lang w:val="cy-GB"/>
          </w:rPr>
          <w:t>Supporting children and adolescents following parental bereavement: guidance for health-care professionals - The Lancet Child &amp; Adolescent Health</w:t>
        </w:r>
      </w:hyperlink>
      <w:r w:rsidRPr="003E54E1">
        <w:t xml:space="preserve"> (accessed on 25/03/2026)</w:t>
      </w:r>
    </w:p>
    <w:p w14:paraId="2057B33D" w14:textId="77777777" w:rsidR="00C64728" w:rsidRPr="003E54E1" w:rsidRDefault="00C64728" w:rsidP="00C64728">
      <w:pPr>
        <w:pStyle w:val="NormalWeb"/>
        <w:numPr>
          <w:ilvl w:val="0"/>
          <w:numId w:val="2"/>
        </w:numPr>
        <w:spacing w:before="100" w:beforeAutospacing="1" w:after="100" w:afterAutospacing="1"/>
      </w:pPr>
      <w:r w:rsidRPr="003E54E1">
        <w:t xml:space="preserve">Keyes, K., Pratt, C., Galea, S., McLaughlin, K. A., Koenen, K.C., &amp; Shear, K. (2014) ‘The Burden of Loss: Unexpected Death of a Loved One and Psychiatric Disorders Across the Life Course in a National Study. Available at: </w:t>
      </w:r>
      <w:hyperlink r:id="rId37" w:history="1">
        <w:r w:rsidRPr="003E54E1">
          <w:rPr>
            <w:rStyle w:val="Hyperlink"/>
            <w:lang w:val="cy-GB"/>
          </w:rPr>
          <w:t>The Burden of Loss: Unexpected Death of a Loved One and Psychiatric Disorders Across the Life Course in a National Study | American Journal of Psychiatry</w:t>
        </w:r>
      </w:hyperlink>
      <w:r w:rsidRPr="003E54E1">
        <w:t xml:space="preserve"> (accessed 26/03/2026)</w:t>
      </w:r>
    </w:p>
    <w:p w14:paraId="5F84012D" w14:textId="77777777" w:rsidR="00C64728" w:rsidRPr="003E54E1" w:rsidRDefault="00C64728" w:rsidP="00C64728">
      <w:pPr>
        <w:pStyle w:val="NormalWeb"/>
        <w:numPr>
          <w:ilvl w:val="0"/>
          <w:numId w:val="2"/>
        </w:numPr>
        <w:spacing w:before="100" w:beforeAutospacing="1" w:after="100" w:afterAutospacing="1"/>
      </w:pPr>
      <w:r w:rsidRPr="003E54E1">
        <w:t xml:space="preserve">Klass, D., Silverman, P. &amp; Nickman, S. (1996) </w:t>
      </w:r>
      <w:r w:rsidRPr="003E54E1">
        <w:rPr>
          <w:i/>
          <w:iCs/>
        </w:rPr>
        <w:t>Continuing Bonds</w:t>
      </w:r>
      <w:r w:rsidRPr="003E54E1">
        <w:t xml:space="preserve">. Taylor &amp; Francis. Available at: </w:t>
      </w:r>
      <w:hyperlink r:id="rId38" w:history="1">
        <w:r w:rsidRPr="003E54E1">
          <w:rPr>
            <w:rStyle w:val="Hyperlink"/>
            <w:lang w:val="cy-GB"/>
          </w:rPr>
          <w:t>9781315800790_previewpdf.pdf</w:t>
        </w:r>
      </w:hyperlink>
      <w:r w:rsidRPr="003E54E1">
        <w:t xml:space="preserve"> (accessed on 25/03/2026)</w:t>
      </w:r>
    </w:p>
    <w:p w14:paraId="662E0944" w14:textId="77777777" w:rsidR="00C64728" w:rsidRPr="003E54E1" w:rsidRDefault="00C64728" w:rsidP="00C64728">
      <w:pPr>
        <w:pStyle w:val="NormalWeb"/>
        <w:numPr>
          <w:ilvl w:val="0"/>
          <w:numId w:val="2"/>
        </w:numPr>
        <w:spacing w:before="100" w:beforeAutospacing="1" w:after="100" w:afterAutospacing="1"/>
      </w:pPr>
      <w:r w:rsidRPr="003E54E1">
        <w:t xml:space="preserve">Knell, S. (1998) </w:t>
      </w:r>
      <w:r w:rsidRPr="003E54E1">
        <w:rPr>
          <w:i/>
          <w:iCs/>
        </w:rPr>
        <w:t>Cognitive-Behavioural Play Therapy</w:t>
      </w:r>
      <w:r w:rsidRPr="003E54E1">
        <w:t xml:space="preserve">. Jason Aronson. Available at: </w:t>
      </w:r>
      <w:hyperlink r:id="rId39" w:history="1">
        <w:r w:rsidRPr="003E54E1">
          <w:rPr>
            <w:rStyle w:val="Hyperlink"/>
            <w:lang w:val="cy-GB"/>
          </w:rPr>
          <w:t>Cognitive-behavioral play therapy</w:t>
        </w:r>
      </w:hyperlink>
      <w:r w:rsidRPr="003E54E1">
        <w:t xml:space="preserve"> (accessed on 03/04/2026)</w:t>
      </w:r>
    </w:p>
    <w:p w14:paraId="0F266174" w14:textId="77777777" w:rsidR="00C64728" w:rsidRPr="003E54E1" w:rsidRDefault="00C64728" w:rsidP="00C64728">
      <w:pPr>
        <w:pStyle w:val="NormalWeb"/>
        <w:numPr>
          <w:ilvl w:val="0"/>
          <w:numId w:val="2"/>
        </w:numPr>
        <w:spacing w:before="100" w:beforeAutospacing="1" w:after="100" w:afterAutospacing="1"/>
      </w:pPr>
      <w:r w:rsidRPr="003E54E1">
        <w:t xml:space="preserve">Kool, R. &amp; Lawver, T. (2010) ‘Children’s cognitive development and therapy’, </w:t>
      </w:r>
      <w:r w:rsidRPr="003E54E1">
        <w:rPr>
          <w:i/>
          <w:iCs/>
        </w:rPr>
        <w:t>Peadiatrics in Review</w:t>
      </w:r>
      <w:r w:rsidRPr="003E54E1">
        <w:t xml:space="preserve">, 31(9), pp. 364–367. Available at: </w:t>
      </w:r>
      <w:hyperlink r:id="rId40" w:history="1">
        <w:r w:rsidRPr="003E54E1">
          <w:rPr>
            <w:rStyle w:val="Hyperlink"/>
            <w:lang w:val="cy-GB"/>
          </w:rPr>
          <w:t>Play Therapy: Considerations and Applications for the Practitioner - PMC</w:t>
        </w:r>
      </w:hyperlink>
      <w:hyperlink r:id="rId41" w:history="1"/>
      <w:r w:rsidRPr="003E54E1">
        <w:t xml:space="preserve"> (accessed on 03/04/2026)</w:t>
      </w:r>
    </w:p>
    <w:p w14:paraId="4E755A42" w14:textId="77777777" w:rsidR="00C64728" w:rsidRPr="003E54E1" w:rsidRDefault="00C64728" w:rsidP="00C64728">
      <w:pPr>
        <w:pStyle w:val="ListParagraph"/>
        <w:numPr>
          <w:ilvl w:val="0"/>
          <w:numId w:val="2"/>
        </w:numPr>
        <w:spacing w:before="100" w:beforeAutospacing="1" w:after="100" w:afterAutospacing="1"/>
      </w:pPr>
      <w:r w:rsidRPr="003E54E1">
        <w:rPr>
          <w:rFonts w:eastAsia="Times New Roman"/>
          <w:kern w:val="0"/>
          <w:lang w:eastAsia="en-GB"/>
          <w14:ligatures w14:val="none"/>
        </w:rPr>
        <w:t xml:space="preserve">Liu, J.J.W., Ein, N., Gervasio, J. </w:t>
      </w:r>
      <w:r w:rsidRPr="003E54E1">
        <w:rPr>
          <w:rFonts w:eastAsia="Times New Roman"/>
          <w:i/>
          <w:iCs/>
          <w:kern w:val="0"/>
          <w:lang w:eastAsia="en-GB"/>
          <w14:ligatures w14:val="none"/>
        </w:rPr>
        <w:t>et al.</w:t>
      </w:r>
      <w:r w:rsidRPr="003E54E1">
        <w:rPr>
          <w:rFonts w:eastAsia="Times New Roman"/>
          <w:kern w:val="0"/>
          <w:lang w:eastAsia="en-GB"/>
          <w14:ligatures w14:val="none"/>
        </w:rPr>
        <w:t xml:space="preserve"> (2022) ‘The pursuit of resilience: A meta-analysis and systematic review of resilience-promoting interventions’, </w:t>
      </w:r>
      <w:r w:rsidRPr="003E54E1">
        <w:rPr>
          <w:rFonts w:eastAsia="Times New Roman"/>
          <w:i/>
          <w:iCs/>
          <w:kern w:val="0"/>
          <w:lang w:eastAsia="en-GB"/>
          <w14:ligatures w14:val="none"/>
        </w:rPr>
        <w:t>Journal of Happiness Studies</w:t>
      </w:r>
      <w:r w:rsidRPr="003E54E1">
        <w:rPr>
          <w:rFonts w:eastAsia="Times New Roman"/>
          <w:kern w:val="0"/>
          <w:lang w:eastAsia="en-GB"/>
          <w14:ligatures w14:val="none"/>
        </w:rPr>
        <w:t xml:space="preserve">, 23, pp. 1771–1791. Available at: </w:t>
      </w:r>
      <w:hyperlink r:id="rId42" w:history="1">
        <w:r w:rsidRPr="003E54E1">
          <w:rPr>
            <w:rStyle w:val="Hyperlink"/>
            <w:rFonts w:eastAsia="Times New Roman"/>
            <w:kern w:val="0"/>
            <w:lang w:eastAsia="en-GB"/>
            <w14:ligatures w14:val="none"/>
          </w:rPr>
          <w:t>https://doi.org/10.1007/s10902-021-00452-8</w:t>
        </w:r>
      </w:hyperlink>
      <w:r w:rsidRPr="003E54E1">
        <w:rPr>
          <w:rFonts w:eastAsia="Times New Roman"/>
          <w:kern w:val="0"/>
          <w:lang w:eastAsia="en-GB"/>
          <w14:ligatures w14:val="none"/>
        </w:rPr>
        <w:t xml:space="preserve"> (accessed on 03/04/2026)</w:t>
      </w:r>
    </w:p>
    <w:p w14:paraId="07147BE2" w14:textId="77777777" w:rsidR="00C64728" w:rsidRPr="003E54E1" w:rsidRDefault="00C64728" w:rsidP="00C64728">
      <w:pPr>
        <w:pStyle w:val="NormalWeb"/>
        <w:numPr>
          <w:ilvl w:val="0"/>
          <w:numId w:val="2"/>
        </w:numPr>
        <w:spacing w:before="100" w:beforeAutospacing="1" w:after="100" w:afterAutospacing="1"/>
      </w:pPr>
      <w:r w:rsidRPr="003E54E1">
        <w:t xml:space="preserve">Matthys, O., Dierickx, S., Deliens, L., Lapaire, L. Hudson, P., Van Audenhove, C., De Vleminck, A. &amp; Cohen, J. </w:t>
      </w:r>
      <w:r w:rsidRPr="003E54E1">
        <w:rPr>
          <w:rFonts w:eastAsia="Times New Roman"/>
          <w:kern w:val="0"/>
          <w:lang w:eastAsia="en-GB"/>
          <w14:ligatures w14:val="none"/>
        </w:rPr>
        <w:t xml:space="preserve">Is pre-bereavement collaboration between family caregivers and healthcare professionals associated with post-bereavement emotional well-being? </w:t>
      </w:r>
      <w:r w:rsidRPr="003E54E1">
        <w:t xml:space="preserve">Available at: </w:t>
      </w:r>
      <w:hyperlink r:id="rId43" w:history="1">
        <w:r w:rsidRPr="003E54E1">
          <w:rPr>
            <w:rStyle w:val="Hyperlink"/>
            <w:rFonts w:eastAsia="Times New Roman"/>
            <w:lang w:val="cy-GB"/>
          </w:rPr>
          <w:t>Is pre-bereavement collaboration between family caregivers and healthcare professionals associated with post-bereavement emotional well-being? A population-based survey - ScienceDirect</w:t>
        </w:r>
      </w:hyperlink>
      <w:r w:rsidRPr="003E54E1">
        <w:t xml:space="preserve"> (accessed on 26/03/2026)</w:t>
      </w:r>
    </w:p>
    <w:p w14:paraId="37E141C7" w14:textId="77777777" w:rsidR="00C64728" w:rsidRPr="003E54E1" w:rsidRDefault="00C64728" w:rsidP="00C64728">
      <w:pPr>
        <w:pStyle w:val="NormalWeb"/>
        <w:numPr>
          <w:ilvl w:val="0"/>
          <w:numId w:val="2"/>
        </w:numPr>
        <w:spacing w:before="100" w:beforeAutospacing="1" w:after="100" w:afterAutospacing="1"/>
      </w:pPr>
      <w:r w:rsidRPr="003E54E1">
        <w:rPr>
          <w:lang w:val="cy-GB"/>
        </w:rPr>
        <w:t>Merrick, J. S. and Narayan, A. J. (2020) ‘Assessment and screening of positive childhood experiences along with childhood adversity in research, practice, and policy’, </w:t>
      </w:r>
      <w:r w:rsidRPr="003E54E1">
        <w:rPr>
          <w:i/>
          <w:iCs/>
          <w:lang w:val="cy-GB"/>
        </w:rPr>
        <w:t>Journal of Children and Poverty</w:t>
      </w:r>
      <w:r w:rsidRPr="003E54E1">
        <w:rPr>
          <w:lang w:val="cy-GB"/>
        </w:rPr>
        <w:t xml:space="preserve">, 26(2), pp. 269–281. Available at: </w:t>
      </w:r>
      <w:hyperlink r:id="rId44" w:history="1">
        <w:r w:rsidRPr="003E54E1">
          <w:rPr>
            <w:rStyle w:val="Hyperlink"/>
            <w:lang w:val="cy-GB"/>
          </w:rPr>
          <w:t xml:space="preserve">Full </w:t>
        </w:r>
        <w:r w:rsidRPr="003E54E1">
          <w:rPr>
            <w:rStyle w:val="Hyperlink"/>
            <w:lang w:val="cy-GB"/>
          </w:rPr>
          <w:lastRenderedPageBreak/>
          <w:t>article: Assessment and screening of positive childhood experiences along with childhood adversity in research, practice, and policy</w:t>
        </w:r>
      </w:hyperlink>
      <w:r w:rsidRPr="003E54E1">
        <w:rPr>
          <w:lang w:val="cy-GB"/>
        </w:rPr>
        <w:t xml:space="preserve"> </w:t>
      </w:r>
      <w:r w:rsidRPr="003E54E1">
        <w:t>(accessed on 03/04/2026)</w:t>
      </w:r>
    </w:p>
    <w:p w14:paraId="57A53D5E"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O’Neill, C., Hanna, J.R., Sheehan, S., McCance, T., Drury, A. and Semple, C.J. (2024) ‘Adapting and testing an eLearning resource for professionals to support families when a significant caregiver for children is dying with cancer’, </w:t>
      </w:r>
      <w:r w:rsidRPr="003E54E1">
        <w:rPr>
          <w:rFonts w:eastAsia="Times New Roman"/>
          <w:i/>
          <w:iCs/>
          <w:lang w:val="cy-GB"/>
        </w:rPr>
        <w:t>BMC Palliative Care</w:t>
      </w:r>
      <w:r w:rsidRPr="003E54E1">
        <w:rPr>
          <w:lang w:val="cy-GB"/>
        </w:rPr>
        <w:t xml:space="preserve">, 23, 268. Available at: </w:t>
      </w:r>
      <w:hyperlink r:id="rId45" w:tgtFrame="_new" w:history="1">
        <w:r w:rsidRPr="003E54E1">
          <w:rPr>
            <w:rStyle w:val="Hyperlink"/>
            <w:rFonts w:eastAsia="Times New Roman"/>
            <w:lang w:val="cy-GB"/>
          </w:rPr>
          <w:t>https://link.springer.com/article/10.1186/s12904-024-01601-5</w:t>
        </w:r>
      </w:hyperlink>
      <w:r w:rsidRPr="003E54E1">
        <w:t xml:space="preserve"> (accessed on 26/03/2026)</w:t>
      </w:r>
    </w:p>
    <w:p w14:paraId="79302353" w14:textId="77777777" w:rsidR="00C64728" w:rsidRPr="003E54E1" w:rsidRDefault="00C64728" w:rsidP="00C64728">
      <w:pPr>
        <w:pStyle w:val="ListParagraph"/>
        <w:numPr>
          <w:ilvl w:val="0"/>
          <w:numId w:val="2"/>
        </w:numPr>
        <w:spacing w:before="100" w:beforeAutospacing="1" w:after="100" w:afterAutospacing="1"/>
        <w:ind w:left="714" w:hanging="357"/>
        <w:rPr>
          <w:rFonts w:eastAsia="Times New Roman"/>
          <w:kern w:val="0"/>
          <w:lang w:eastAsia="en-GB"/>
          <w14:ligatures w14:val="none"/>
        </w:rPr>
      </w:pPr>
      <w:r w:rsidRPr="003E54E1">
        <w:rPr>
          <w:rFonts w:eastAsia="Times New Roman"/>
          <w:kern w:val="0"/>
          <w:lang w:eastAsia="en-GB"/>
          <w14:ligatures w14:val="none"/>
        </w:rPr>
        <w:t xml:space="preserve">Parisi, A., Sharma, A., Howard, M.O. and Wilson, A.B. (2019) ‘The relationship between substance misuse and complicated grief: A systematic review’, </w:t>
      </w:r>
      <w:r w:rsidRPr="003E54E1">
        <w:rPr>
          <w:rFonts w:eastAsia="Times New Roman"/>
          <w:i/>
          <w:iCs/>
          <w:kern w:val="0"/>
          <w:lang w:eastAsia="en-GB"/>
          <w14:ligatures w14:val="none"/>
        </w:rPr>
        <w:t>Journal of Substance Abuse Treatment</w:t>
      </w:r>
      <w:r w:rsidRPr="003E54E1">
        <w:rPr>
          <w:rFonts w:eastAsia="Times New Roman"/>
          <w:kern w:val="0"/>
          <w:lang w:eastAsia="en-GB"/>
          <w14:ligatures w14:val="none"/>
        </w:rPr>
        <w:t xml:space="preserve">, 103, pp. 43–57. Available at: </w:t>
      </w:r>
      <w:hyperlink r:id="rId46" w:history="1">
        <w:r w:rsidRPr="003E54E1">
          <w:rPr>
            <w:rStyle w:val="Hyperlink"/>
            <w:rFonts w:eastAsia="Times New Roman"/>
            <w:kern w:val="0"/>
            <w:lang w:eastAsia="en-GB"/>
            <w14:ligatures w14:val="none"/>
          </w:rPr>
          <w:t>https://doi.org/10.1016/j.jsat.2019.05.012</w:t>
        </w:r>
      </w:hyperlink>
      <w:r w:rsidRPr="003E54E1">
        <w:rPr>
          <w:rFonts w:eastAsia="Times New Roman"/>
          <w:kern w:val="0"/>
          <w:lang w:eastAsia="en-GB"/>
          <w14:ligatures w14:val="none"/>
        </w:rPr>
        <w:t xml:space="preserve"> (accessed on 26/03/2026)</w:t>
      </w:r>
    </w:p>
    <w:p w14:paraId="46C821BC" w14:textId="77777777" w:rsidR="00C64728" w:rsidRPr="003E54E1" w:rsidRDefault="00C64728" w:rsidP="00C64728">
      <w:pPr>
        <w:pStyle w:val="NormalWeb"/>
        <w:numPr>
          <w:ilvl w:val="0"/>
          <w:numId w:val="2"/>
        </w:numPr>
        <w:spacing w:before="100" w:beforeAutospacing="1" w:after="100" w:afterAutospacing="1"/>
      </w:pPr>
      <w:r w:rsidRPr="003E54E1">
        <w:t xml:space="preserve">Parsons, S. (2011) ‘Mental health outcomes of childhood bereavement’, </w:t>
      </w:r>
      <w:r w:rsidRPr="003E54E1">
        <w:rPr>
          <w:i/>
          <w:iCs/>
        </w:rPr>
        <w:t>Child and Adolescent Mental Health</w:t>
      </w:r>
      <w:r w:rsidRPr="003E54E1">
        <w:t xml:space="preserve">, 16(4), pp. 187–194. Available at: </w:t>
      </w:r>
      <w:hyperlink r:id="rId47" w:history="1">
        <w:r w:rsidRPr="003E54E1">
          <w:rPr>
            <w:rStyle w:val="Hyperlink"/>
            <w:lang w:val="cy-GB"/>
          </w:rPr>
          <w:t>CWRC-00081-2011.pdf</w:t>
        </w:r>
      </w:hyperlink>
      <w:r w:rsidRPr="003E54E1">
        <w:t xml:space="preserve"> (accessed on 24/03/2026)</w:t>
      </w:r>
    </w:p>
    <w:p w14:paraId="06C3096F" w14:textId="77777777" w:rsidR="00C64728" w:rsidRPr="003E54E1" w:rsidRDefault="00C64728" w:rsidP="00C64728">
      <w:pPr>
        <w:pStyle w:val="NormalWeb"/>
        <w:numPr>
          <w:ilvl w:val="0"/>
          <w:numId w:val="2"/>
        </w:numPr>
        <w:spacing w:before="100" w:beforeAutospacing="1" w:after="100" w:afterAutospacing="1"/>
      </w:pPr>
      <w:r w:rsidRPr="003E54E1">
        <w:t xml:space="preserve">Paul, S. &amp; Vaswani, N. (2020), </w:t>
      </w:r>
      <w:r w:rsidRPr="003E54E1">
        <w:rPr>
          <w:i/>
          <w:iCs/>
        </w:rPr>
        <w:t xml:space="preserve">The prevalence of childhood bereavement in Scotland and its relationship with disadvantage: the significance of a public health approach to death, dying and bereavement. </w:t>
      </w:r>
      <w:r w:rsidRPr="003E54E1">
        <w:t xml:space="preserve">Available at: </w:t>
      </w:r>
      <w:hyperlink r:id="rId48" w:history="1">
        <w:r w:rsidRPr="003E54E1">
          <w:rPr>
            <w:rStyle w:val="Hyperlink"/>
            <w:lang w:val="cy-GB"/>
          </w:rPr>
          <w:t>The prevalence of childhood bereavement in Scotland and its relationship with disadvantage: the significance of a public health approach to death, dying and bereavement - Sally Paul, Nina Vaswani, 2020</w:t>
        </w:r>
      </w:hyperlink>
      <w:r w:rsidRPr="003E54E1">
        <w:t xml:space="preserve"> (accessed on 24/03/2026)</w:t>
      </w:r>
    </w:p>
    <w:p w14:paraId="034D9C87" w14:textId="77777777" w:rsidR="00C64728" w:rsidRPr="003E54E1" w:rsidRDefault="00C64728" w:rsidP="00C64728">
      <w:pPr>
        <w:pStyle w:val="NormalWeb"/>
        <w:numPr>
          <w:ilvl w:val="0"/>
          <w:numId w:val="2"/>
        </w:numPr>
        <w:spacing w:before="100" w:beforeAutospacing="1" w:after="100" w:afterAutospacing="1"/>
      </w:pPr>
      <w:r w:rsidRPr="003E54E1">
        <w:t xml:space="preserve">Pearce, C. &amp; Komaromy, C. (2022) ‘Somatic expressions of grief in children’, </w:t>
      </w:r>
      <w:r w:rsidRPr="003E54E1">
        <w:rPr>
          <w:i/>
          <w:iCs/>
        </w:rPr>
        <w:t>Mortality</w:t>
      </w:r>
      <w:r w:rsidRPr="003E54E1">
        <w:t xml:space="preserve">, 27(2), pp. 145–160. Available at: </w:t>
      </w:r>
      <w:hyperlink r:id="rId49" w:history="1">
        <w:r w:rsidRPr="003E54E1">
          <w:rPr>
            <w:rStyle w:val="Hyperlink"/>
            <w:lang w:val="cy-GB"/>
          </w:rPr>
          <w:t>Recovering the body in grief: Physical absence and embodied presence - Caroline Pearce, Carol Komaromy, 2022</w:t>
        </w:r>
      </w:hyperlink>
      <w:r w:rsidRPr="003E54E1">
        <w:t xml:space="preserve"> (accessed on 24/03/2026)</w:t>
      </w:r>
    </w:p>
    <w:p w14:paraId="537A992B" w14:textId="77777777" w:rsidR="00C64728" w:rsidRPr="003E54E1" w:rsidRDefault="00C64728" w:rsidP="00C64728">
      <w:pPr>
        <w:pStyle w:val="NormalWeb"/>
        <w:numPr>
          <w:ilvl w:val="0"/>
          <w:numId w:val="2"/>
        </w:numPr>
        <w:spacing w:before="100" w:beforeAutospacing="1" w:after="100" w:afterAutospacing="1"/>
      </w:pPr>
      <w:r w:rsidRPr="003E54E1">
        <w:t xml:space="preserve">Petersen, J. M., Ona, P. Z., Twohig, M. P. (2024), </w:t>
      </w:r>
      <w:r w:rsidRPr="003E54E1">
        <w:rPr>
          <w:i/>
          <w:iCs/>
        </w:rPr>
        <w:t>A Review of Acceptance and Commitment Therapy for Adolescents: Developmental and Contextual Considerations</w:t>
      </w:r>
      <w:r w:rsidRPr="003E54E1">
        <w:t xml:space="preserve">. Available at: </w:t>
      </w:r>
      <w:hyperlink r:id="rId50" w:history="1">
        <w:r w:rsidRPr="003E54E1">
          <w:rPr>
            <w:rStyle w:val="Hyperlink"/>
            <w:lang w:val="cy-GB"/>
          </w:rPr>
          <w:t>A Review of Acceptance and Commitment Therapy for Adolescents: Developmental and Contextual Considerations</w:t>
        </w:r>
      </w:hyperlink>
      <w:r w:rsidRPr="003E54E1">
        <w:t xml:space="preserve"> (accessed on 25/03/2026)</w:t>
      </w:r>
    </w:p>
    <w:p w14:paraId="2152F452" w14:textId="77777777" w:rsidR="00C64728" w:rsidRPr="003E54E1" w:rsidRDefault="00C64728" w:rsidP="00C64728">
      <w:pPr>
        <w:pStyle w:val="NormalWeb"/>
        <w:numPr>
          <w:ilvl w:val="0"/>
          <w:numId w:val="2"/>
        </w:numPr>
        <w:spacing w:before="100" w:beforeAutospacing="1" w:after="100" w:afterAutospacing="1"/>
        <w:ind w:left="714" w:hanging="357"/>
      </w:pPr>
      <w:r w:rsidRPr="003E54E1">
        <w:t xml:space="preserve">Prigerson, H.G. and Maciejewski, P.K. (2017), </w:t>
      </w:r>
      <w:r w:rsidRPr="003E54E1">
        <w:rPr>
          <w:i/>
          <w:iCs/>
        </w:rPr>
        <w:t>Rebuilding Consensus on Valid Criteria for Disordered Grief</w:t>
      </w:r>
      <w:r w:rsidRPr="003E54E1">
        <w:t xml:space="preserve">. Available at: </w:t>
      </w:r>
      <w:hyperlink r:id="rId51" w:history="1">
        <w:r w:rsidRPr="003E54E1">
          <w:rPr>
            <w:rStyle w:val="Hyperlink"/>
            <w:lang w:val="cy-GB"/>
          </w:rPr>
          <w:t>Rebuilding Consensus on Valid Criteria for Disordered Grief | Health Care Safety | JAMA Psychiatry | JAMA Network</w:t>
        </w:r>
      </w:hyperlink>
      <w:r w:rsidRPr="003E54E1">
        <w:t xml:space="preserve"> (accessed on 25/03/2026)</w:t>
      </w:r>
    </w:p>
    <w:p w14:paraId="0673B546" w14:textId="77777777" w:rsidR="00C64728" w:rsidRPr="003E54E1" w:rsidRDefault="00C64728" w:rsidP="00C64728">
      <w:pPr>
        <w:pStyle w:val="NormalWeb"/>
        <w:numPr>
          <w:ilvl w:val="0"/>
          <w:numId w:val="2"/>
        </w:numPr>
        <w:spacing w:before="100" w:beforeAutospacing="1" w:after="100" w:afterAutospacing="1"/>
      </w:pPr>
      <w:r w:rsidRPr="003E54E1">
        <w:rPr>
          <w:lang w:val="cy-GB"/>
        </w:rPr>
        <w:lastRenderedPageBreak/>
        <w:t>Salloum, A., Morris, C., Walker, R. &amp; Agazzi, H. (2025) School-Based Bereavement Interventions for Children: A Scoping Review. </w:t>
      </w:r>
      <w:r w:rsidRPr="003E54E1">
        <w:rPr>
          <w:i/>
          <w:iCs/>
          <w:lang w:val="cy-GB"/>
        </w:rPr>
        <w:t>School Mental Health</w:t>
      </w:r>
      <w:r w:rsidRPr="003E54E1">
        <w:rPr>
          <w:lang w:val="cy-GB"/>
        </w:rPr>
        <w:t xml:space="preserve"> 17, 770–787. Available at: </w:t>
      </w:r>
      <w:hyperlink r:id="rId52" w:history="1">
        <w:r w:rsidRPr="003E54E1">
          <w:rPr>
            <w:rStyle w:val="Hyperlink"/>
            <w:lang w:val="cy-GB"/>
          </w:rPr>
          <w:t>https://doi.org/10.1007/s12310-025-09783-w</w:t>
        </w:r>
      </w:hyperlink>
      <w:r w:rsidRPr="003E54E1">
        <w:rPr>
          <w:lang w:val="cy-GB"/>
        </w:rPr>
        <w:t xml:space="preserve"> </w:t>
      </w:r>
      <w:r w:rsidRPr="003E54E1">
        <w:t xml:space="preserve"> (accessed on 24/03/2026)</w:t>
      </w:r>
    </w:p>
    <w:p w14:paraId="6DD9D012" w14:textId="403F2ED8" w:rsidR="00C64728" w:rsidRPr="003E54E1" w:rsidRDefault="00C64728" w:rsidP="00C64728">
      <w:pPr>
        <w:pStyle w:val="NormalWeb"/>
        <w:numPr>
          <w:ilvl w:val="0"/>
          <w:numId w:val="2"/>
        </w:numPr>
        <w:spacing w:before="100" w:beforeAutospacing="1" w:after="100" w:afterAutospacing="1"/>
      </w:pPr>
      <w:r w:rsidRPr="003E54E1">
        <w:t>Spooner, H. (2026) ‘Creative Resilience: The Role of the Arts and Creative Arts Therapies in Disaster Preparedness, Response and Recovery’, </w:t>
      </w:r>
      <w:r w:rsidRPr="003E54E1">
        <w:rPr>
          <w:i/>
          <w:iCs/>
        </w:rPr>
        <w:t>Prehospital and Disaster Medicine</w:t>
      </w:r>
      <w:r w:rsidRPr="003E54E1">
        <w:t xml:space="preserve">, 41(S1), pp. s290–s291. Available at: </w:t>
      </w:r>
      <w:hyperlink r:id="rId53" w:history="1">
        <w:r w:rsidRPr="003E54E1">
          <w:rPr>
            <w:rStyle w:val="Hyperlink"/>
            <w:rFonts w:eastAsiaTheme="majorEastAsia"/>
          </w:rPr>
          <w:t>creative-resilience-the-role-of-the-arts-and-creative-arts-therapies-in-disaster-preparedness-response-and-recovery.pdf</w:t>
        </w:r>
      </w:hyperlink>
      <w:r w:rsidRPr="003E54E1">
        <w:t xml:space="preserve"> (accessed on 03/04/2026)</w:t>
      </w:r>
    </w:p>
    <w:p w14:paraId="58102811" w14:textId="77777777" w:rsidR="00C64728" w:rsidRPr="003E54E1" w:rsidRDefault="00C64728" w:rsidP="00C64728">
      <w:pPr>
        <w:pStyle w:val="NormalWeb"/>
        <w:numPr>
          <w:ilvl w:val="0"/>
          <w:numId w:val="2"/>
        </w:numPr>
        <w:spacing w:before="100" w:beforeAutospacing="1" w:after="100" w:afterAutospacing="1"/>
      </w:pPr>
      <w:r w:rsidRPr="003E54E1">
        <w:t xml:space="preserve">Stroebe, M. &amp; Schut, H. (2021) ‘The Dual Process Model revisited’, </w:t>
      </w:r>
      <w:r w:rsidRPr="003E54E1">
        <w:rPr>
          <w:i/>
          <w:iCs/>
        </w:rPr>
        <w:t>Omega</w:t>
      </w:r>
      <w:r w:rsidRPr="003E54E1">
        <w:t xml:space="preserve">, 82(3), pp. 500–522. Available at: </w:t>
      </w:r>
      <w:hyperlink r:id="rId54" w:history="1">
        <w:r w:rsidRPr="003E54E1">
          <w:rPr>
            <w:rStyle w:val="Hyperlink"/>
            <w:lang w:val="cy-GB"/>
          </w:rPr>
          <w:t>Bereavement in Times of COVID-19: A Review and Theoretical Framework</w:t>
        </w:r>
      </w:hyperlink>
      <w:r w:rsidRPr="003E54E1">
        <w:t xml:space="preserve"> (accessed on 24/03/2026)</w:t>
      </w:r>
    </w:p>
    <w:p w14:paraId="7EDDF2CF" w14:textId="77777777" w:rsidR="00C64728" w:rsidRPr="003E54E1" w:rsidRDefault="00C64728" w:rsidP="00C64728">
      <w:pPr>
        <w:pStyle w:val="NormalWeb"/>
        <w:numPr>
          <w:ilvl w:val="0"/>
          <w:numId w:val="2"/>
        </w:numPr>
        <w:spacing w:before="100" w:beforeAutospacing="1" w:after="100" w:afterAutospacing="1"/>
      </w:pPr>
      <w:r w:rsidRPr="003E54E1">
        <w:t xml:space="preserve">UK Parliament (2023) </w:t>
      </w:r>
      <w:r w:rsidRPr="003E54E1">
        <w:rPr>
          <w:i/>
          <w:iCs/>
        </w:rPr>
        <w:t>Bereavement Support in Schools: Parliamentary Debate</w:t>
      </w:r>
      <w:r w:rsidRPr="003E54E1">
        <w:t xml:space="preserve">. Available at: </w:t>
      </w:r>
      <w:hyperlink r:id="rId55" w:history="1">
        <w:r w:rsidRPr="003E54E1">
          <w:rPr>
            <w:rStyle w:val="Hyperlink"/>
          </w:rPr>
          <w:t>https://hansard.parliament.uk</w:t>
        </w:r>
      </w:hyperlink>
      <w:r w:rsidRPr="003E54E1">
        <w:t xml:space="preserve"> (accessed on 24/03/2026)</w:t>
      </w:r>
    </w:p>
    <w:p w14:paraId="23B8D8DA" w14:textId="77777777" w:rsidR="00C64728" w:rsidRPr="003E54E1" w:rsidRDefault="00C64728" w:rsidP="00C64728">
      <w:pPr>
        <w:pStyle w:val="NormalWeb"/>
        <w:numPr>
          <w:ilvl w:val="0"/>
          <w:numId w:val="2"/>
        </w:numPr>
        <w:spacing w:before="100" w:beforeAutospacing="1" w:after="100" w:afterAutospacing="1"/>
      </w:pPr>
      <w:r w:rsidRPr="003E54E1">
        <w:t xml:space="preserve">University of Bristol (2023) </w:t>
      </w:r>
      <w:r w:rsidRPr="003E54E1">
        <w:rPr>
          <w:i/>
          <w:iCs/>
        </w:rPr>
        <w:t>Childhood Bereavement Research Briefing</w:t>
      </w:r>
      <w:r w:rsidRPr="003E54E1">
        <w:t xml:space="preserve">. Available at: </w:t>
      </w:r>
      <w:hyperlink r:id="rId56" w:history="1">
        <w:r w:rsidRPr="003E54E1">
          <w:rPr>
            <w:rStyle w:val="Hyperlink"/>
          </w:rPr>
          <w:t>https://www.bristol.ac.uk</w:t>
        </w:r>
      </w:hyperlink>
      <w:r w:rsidRPr="003E54E1">
        <w:t xml:space="preserve"> (accessed on 24/03/2026)</w:t>
      </w:r>
    </w:p>
    <w:p w14:paraId="0563DB2C" w14:textId="77777777" w:rsidR="00C64728" w:rsidRPr="003E54E1" w:rsidRDefault="00C64728" w:rsidP="00C64728">
      <w:pPr>
        <w:pStyle w:val="NormalWeb"/>
        <w:numPr>
          <w:ilvl w:val="0"/>
          <w:numId w:val="2"/>
        </w:numPr>
        <w:spacing w:before="100" w:beforeAutospacing="1" w:after="100" w:afterAutospacing="1"/>
      </w:pPr>
      <w:r w:rsidRPr="003E54E1">
        <w:t xml:space="preserve">Vitlic, A., Lord, J. &amp; Phillips, A. (2014) ‘Immune functioning after bereavement’, </w:t>
      </w:r>
      <w:r w:rsidRPr="003E54E1">
        <w:rPr>
          <w:i/>
          <w:iCs/>
        </w:rPr>
        <w:t>Psychosomatic Medicine</w:t>
      </w:r>
      <w:r w:rsidRPr="003E54E1">
        <w:t xml:space="preserve">, 76(7), pp. 497–505. Available at: </w:t>
      </w:r>
      <w:hyperlink r:id="rId57" w:history="1">
        <w:r w:rsidRPr="003E54E1">
          <w:rPr>
            <w:rStyle w:val="Hyperlink"/>
          </w:rPr>
          <w:t>https://scholar.google.com/scholar?q=Vitlic+2014+bereavement</w:t>
        </w:r>
      </w:hyperlink>
      <w:r w:rsidRPr="003E54E1">
        <w:t xml:space="preserve"> (accessed on 24/03/2026)</w:t>
      </w:r>
    </w:p>
    <w:p w14:paraId="62DBCE65" w14:textId="77777777" w:rsidR="00C64728" w:rsidRPr="003E54E1" w:rsidRDefault="00C64728" w:rsidP="00C64728">
      <w:pPr>
        <w:pStyle w:val="NormalWeb"/>
        <w:numPr>
          <w:ilvl w:val="0"/>
          <w:numId w:val="2"/>
        </w:numPr>
        <w:spacing w:before="100" w:beforeAutospacing="1" w:after="100" w:afterAutospacing="1"/>
      </w:pPr>
      <w:r w:rsidRPr="003E54E1">
        <w:t xml:space="preserve">Winston’s Wish (n.d.) </w:t>
      </w:r>
      <w:r w:rsidRPr="003E54E1">
        <w:rPr>
          <w:i/>
          <w:iCs/>
        </w:rPr>
        <w:t>Bereavement resources for schools</w:t>
      </w:r>
      <w:r w:rsidRPr="003E54E1">
        <w:t xml:space="preserve">. Available at: </w:t>
      </w:r>
      <w:hyperlink r:id="rId58" w:history="1">
        <w:r w:rsidRPr="003E54E1">
          <w:rPr>
            <w:rStyle w:val="Hyperlink"/>
          </w:rPr>
          <w:t>https://www.winstonswish.org</w:t>
        </w:r>
      </w:hyperlink>
      <w:r w:rsidRPr="003E54E1">
        <w:t xml:space="preserve"> (accessed on 24/03/2026)</w:t>
      </w:r>
    </w:p>
    <w:p w14:paraId="2589E75D" w14:textId="77777777" w:rsidR="00C64728" w:rsidRPr="003E54E1" w:rsidRDefault="00C64728" w:rsidP="00C64728">
      <w:pPr>
        <w:pStyle w:val="NormalWeb"/>
        <w:numPr>
          <w:ilvl w:val="0"/>
          <w:numId w:val="2"/>
        </w:numPr>
        <w:spacing w:before="100" w:beforeAutospacing="1" w:after="100" w:afterAutospacing="1"/>
      </w:pPr>
      <w:r w:rsidRPr="003E54E1">
        <w:rPr>
          <w:lang w:val="cy-GB"/>
        </w:rPr>
        <w:t xml:space="preserve">Wray, A., Pickwell-Smith, B., Greenley, S., Pask, S., Bamidele, O., Wright, B., Murtagh, F. and Boland, J.W. (2025) ‘Parental death: a systematic review of support experiences and needs of children and parent survivors’, </w:t>
      </w:r>
      <w:r w:rsidRPr="003E54E1">
        <w:rPr>
          <w:rFonts w:eastAsia="Times New Roman"/>
          <w:i/>
          <w:iCs/>
          <w:lang w:val="cy-GB"/>
        </w:rPr>
        <w:t>BMJ Supportive &amp; Palliative Care</w:t>
      </w:r>
      <w:r w:rsidRPr="003E54E1">
        <w:rPr>
          <w:lang w:val="cy-GB"/>
        </w:rPr>
        <w:t xml:space="preserve">. Available at: </w:t>
      </w:r>
      <w:hyperlink r:id="rId59" w:tgtFrame="_new" w:history="1">
        <w:r w:rsidRPr="003E54E1">
          <w:rPr>
            <w:rStyle w:val="Hyperlink"/>
            <w:rFonts w:eastAsia="Times New Roman"/>
            <w:lang w:val="cy-GB"/>
          </w:rPr>
          <w:t>https://spcare.bmj.com/content/early/2022/11/15/spcare-2022-003793</w:t>
        </w:r>
      </w:hyperlink>
      <w:r w:rsidRPr="003E54E1">
        <w:t xml:space="preserve"> (accessed on 23/03/2026)</w:t>
      </w:r>
    </w:p>
    <w:p w14:paraId="367D9920" w14:textId="77777777" w:rsidR="00C64728" w:rsidRPr="003E54E1" w:rsidRDefault="00C64728" w:rsidP="00C64728">
      <w:pPr>
        <w:pStyle w:val="NormalWeb"/>
        <w:numPr>
          <w:ilvl w:val="0"/>
          <w:numId w:val="2"/>
        </w:numPr>
        <w:spacing w:before="100" w:beforeAutospacing="1" w:after="100" w:afterAutospacing="1"/>
      </w:pPr>
      <w:r w:rsidRPr="003E54E1">
        <w:t xml:space="preserve">Worden, J.W. (2009) </w:t>
      </w:r>
      <w:r w:rsidRPr="003E54E1">
        <w:rPr>
          <w:i/>
          <w:iCs/>
        </w:rPr>
        <w:t>Grief Counselling and Grief Therapy</w:t>
      </w:r>
      <w:r w:rsidRPr="003E54E1">
        <w:t>. 5</w:t>
      </w:r>
      <w:r w:rsidRPr="003E54E1">
        <w:rPr>
          <w:vertAlign w:val="superscript"/>
        </w:rPr>
        <w:t>th</w:t>
      </w:r>
      <w:r w:rsidRPr="003E54E1">
        <w:t xml:space="preserve"> Edition. Available at</w:t>
      </w:r>
      <w:r w:rsidRPr="003E54E1">
        <w:rPr>
          <w:lang w:val="cy-GB"/>
        </w:rPr>
        <w:t xml:space="preserve"> </w:t>
      </w:r>
      <w:hyperlink r:id="rId60" w:history="1">
        <w:r w:rsidRPr="003E54E1">
          <w:rPr>
            <w:rStyle w:val="Hyperlink"/>
            <w:lang w:val="cy-GB"/>
          </w:rPr>
          <w:t>Grief Counseling and Grief Therapy - Google Books</w:t>
        </w:r>
      </w:hyperlink>
      <w:r w:rsidRPr="003E54E1">
        <w:t xml:space="preserve"> (accessed on 26/03/2026)</w:t>
      </w:r>
    </w:p>
    <w:p w14:paraId="12D857A3" w14:textId="7B8DE8E5" w:rsidR="00D57308" w:rsidRPr="00A70B57" w:rsidRDefault="00D57308" w:rsidP="00C64728">
      <w:pPr>
        <w:pStyle w:val="NormalWeb"/>
        <w:spacing w:before="100" w:beforeAutospacing="1" w:after="100" w:afterAutospacing="1"/>
        <w:rPr>
          <w:rFonts w:eastAsia="Times New Roman"/>
          <w:b/>
          <w:bCs/>
          <w:kern w:val="0"/>
          <w:sz w:val="32"/>
          <w:szCs w:val="32"/>
          <w:u w:val="single"/>
          <w:lang w:eastAsia="en-GB"/>
          <w14:ligatures w14:val="none"/>
        </w:rPr>
      </w:pPr>
    </w:p>
    <w:sectPr w:rsidR="00D57308" w:rsidRPr="00A70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B90F18"/>
    <w:multiLevelType w:val="multilevel"/>
    <w:tmpl w:val="4D3A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F20D16"/>
    <w:multiLevelType w:val="hybridMultilevel"/>
    <w:tmpl w:val="8228D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404072">
    <w:abstractNumId w:val="0"/>
  </w:num>
  <w:num w:numId="2" w16cid:durableId="1191603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5BF"/>
    <w:rsid w:val="00001AE1"/>
    <w:rsid w:val="00014310"/>
    <w:rsid w:val="000154AE"/>
    <w:rsid w:val="00023D01"/>
    <w:rsid w:val="00025FBE"/>
    <w:rsid w:val="00026E92"/>
    <w:rsid w:val="00027FD2"/>
    <w:rsid w:val="00031FFA"/>
    <w:rsid w:val="0006024F"/>
    <w:rsid w:val="00060CC4"/>
    <w:rsid w:val="0007432D"/>
    <w:rsid w:val="00094384"/>
    <w:rsid w:val="00096CA3"/>
    <w:rsid w:val="000A3B7D"/>
    <w:rsid w:val="000A6D34"/>
    <w:rsid w:val="000B04FC"/>
    <w:rsid w:val="000B5094"/>
    <w:rsid w:val="000E4C86"/>
    <w:rsid w:val="000E554D"/>
    <w:rsid w:val="00105B74"/>
    <w:rsid w:val="00113812"/>
    <w:rsid w:val="00122B3B"/>
    <w:rsid w:val="00127095"/>
    <w:rsid w:val="001457DD"/>
    <w:rsid w:val="001466B5"/>
    <w:rsid w:val="001530BA"/>
    <w:rsid w:val="00163BDD"/>
    <w:rsid w:val="00186811"/>
    <w:rsid w:val="00195063"/>
    <w:rsid w:val="001954A2"/>
    <w:rsid w:val="001C0369"/>
    <w:rsid w:val="001D4782"/>
    <w:rsid w:val="001E291F"/>
    <w:rsid w:val="001E2B8B"/>
    <w:rsid w:val="001E2F16"/>
    <w:rsid w:val="001F52E5"/>
    <w:rsid w:val="002048D1"/>
    <w:rsid w:val="00214A0D"/>
    <w:rsid w:val="0022158E"/>
    <w:rsid w:val="00287093"/>
    <w:rsid w:val="002A002F"/>
    <w:rsid w:val="002A183E"/>
    <w:rsid w:val="002A394A"/>
    <w:rsid w:val="002C41A2"/>
    <w:rsid w:val="002C713B"/>
    <w:rsid w:val="002E11C8"/>
    <w:rsid w:val="002F3032"/>
    <w:rsid w:val="00300E04"/>
    <w:rsid w:val="003020CD"/>
    <w:rsid w:val="003036F9"/>
    <w:rsid w:val="00314822"/>
    <w:rsid w:val="0033558D"/>
    <w:rsid w:val="003512FC"/>
    <w:rsid w:val="00351762"/>
    <w:rsid w:val="00364F08"/>
    <w:rsid w:val="0037132D"/>
    <w:rsid w:val="003850AE"/>
    <w:rsid w:val="00390477"/>
    <w:rsid w:val="003959A8"/>
    <w:rsid w:val="00397C0C"/>
    <w:rsid w:val="003B614C"/>
    <w:rsid w:val="003C00C4"/>
    <w:rsid w:val="003C0A58"/>
    <w:rsid w:val="003D06E7"/>
    <w:rsid w:val="003D710B"/>
    <w:rsid w:val="003F2292"/>
    <w:rsid w:val="00413BD2"/>
    <w:rsid w:val="004158B4"/>
    <w:rsid w:val="00415FB0"/>
    <w:rsid w:val="0043521B"/>
    <w:rsid w:val="00440105"/>
    <w:rsid w:val="00441FF7"/>
    <w:rsid w:val="00456942"/>
    <w:rsid w:val="004745C9"/>
    <w:rsid w:val="00483596"/>
    <w:rsid w:val="0049130C"/>
    <w:rsid w:val="004C2321"/>
    <w:rsid w:val="004C42E0"/>
    <w:rsid w:val="004D240A"/>
    <w:rsid w:val="004E29FD"/>
    <w:rsid w:val="004F065B"/>
    <w:rsid w:val="00506AC2"/>
    <w:rsid w:val="00515262"/>
    <w:rsid w:val="00524541"/>
    <w:rsid w:val="00550B06"/>
    <w:rsid w:val="00550BB5"/>
    <w:rsid w:val="0055165C"/>
    <w:rsid w:val="00556514"/>
    <w:rsid w:val="00561F54"/>
    <w:rsid w:val="0057294C"/>
    <w:rsid w:val="005A25E3"/>
    <w:rsid w:val="005F38F7"/>
    <w:rsid w:val="00600BF9"/>
    <w:rsid w:val="006021F9"/>
    <w:rsid w:val="00612192"/>
    <w:rsid w:val="00615048"/>
    <w:rsid w:val="00616D0A"/>
    <w:rsid w:val="00642113"/>
    <w:rsid w:val="0064245C"/>
    <w:rsid w:val="00655538"/>
    <w:rsid w:val="00691125"/>
    <w:rsid w:val="006D09C0"/>
    <w:rsid w:val="006D6B38"/>
    <w:rsid w:val="006F0760"/>
    <w:rsid w:val="006F4985"/>
    <w:rsid w:val="00703ECA"/>
    <w:rsid w:val="00705D3C"/>
    <w:rsid w:val="00714626"/>
    <w:rsid w:val="00753FC3"/>
    <w:rsid w:val="00754166"/>
    <w:rsid w:val="00756693"/>
    <w:rsid w:val="00756DC4"/>
    <w:rsid w:val="007635BB"/>
    <w:rsid w:val="00775E16"/>
    <w:rsid w:val="00781B68"/>
    <w:rsid w:val="00783699"/>
    <w:rsid w:val="00794F00"/>
    <w:rsid w:val="00796334"/>
    <w:rsid w:val="00796DF2"/>
    <w:rsid w:val="007A0A95"/>
    <w:rsid w:val="007A40B1"/>
    <w:rsid w:val="007A7D1A"/>
    <w:rsid w:val="007B7926"/>
    <w:rsid w:val="007C6908"/>
    <w:rsid w:val="008012E0"/>
    <w:rsid w:val="00815636"/>
    <w:rsid w:val="00815C77"/>
    <w:rsid w:val="0081615F"/>
    <w:rsid w:val="00826A75"/>
    <w:rsid w:val="00845B74"/>
    <w:rsid w:val="008742AE"/>
    <w:rsid w:val="00885BFA"/>
    <w:rsid w:val="008A22DD"/>
    <w:rsid w:val="008B254B"/>
    <w:rsid w:val="008B763C"/>
    <w:rsid w:val="008D1936"/>
    <w:rsid w:val="008D2429"/>
    <w:rsid w:val="008E0C69"/>
    <w:rsid w:val="008F0A7B"/>
    <w:rsid w:val="00916AC9"/>
    <w:rsid w:val="00924321"/>
    <w:rsid w:val="00955662"/>
    <w:rsid w:val="00966BA6"/>
    <w:rsid w:val="009935BF"/>
    <w:rsid w:val="009A13B5"/>
    <w:rsid w:val="009A4B51"/>
    <w:rsid w:val="009E0E50"/>
    <w:rsid w:val="009E232B"/>
    <w:rsid w:val="009F2CEB"/>
    <w:rsid w:val="009F61E3"/>
    <w:rsid w:val="00A067CF"/>
    <w:rsid w:val="00A16DBD"/>
    <w:rsid w:val="00A267B6"/>
    <w:rsid w:val="00A40DAA"/>
    <w:rsid w:val="00A5108B"/>
    <w:rsid w:val="00A53E4F"/>
    <w:rsid w:val="00A70B57"/>
    <w:rsid w:val="00AB0947"/>
    <w:rsid w:val="00AB5838"/>
    <w:rsid w:val="00AC5F3F"/>
    <w:rsid w:val="00AF1A2B"/>
    <w:rsid w:val="00AF2BF5"/>
    <w:rsid w:val="00AF3406"/>
    <w:rsid w:val="00AF754E"/>
    <w:rsid w:val="00B27E07"/>
    <w:rsid w:val="00B35678"/>
    <w:rsid w:val="00B449BC"/>
    <w:rsid w:val="00B45B45"/>
    <w:rsid w:val="00B70FC9"/>
    <w:rsid w:val="00B77588"/>
    <w:rsid w:val="00B811A3"/>
    <w:rsid w:val="00BA1969"/>
    <w:rsid w:val="00BC3A6C"/>
    <w:rsid w:val="00BC5DE1"/>
    <w:rsid w:val="00BD51B0"/>
    <w:rsid w:val="00BE0DC2"/>
    <w:rsid w:val="00BF30E9"/>
    <w:rsid w:val="00C016FB"/>
    <w:rsid w:val="00C21296"/>
    <w:rsid w:val="00C34468"/>
    <w:rsid w:val="00C41B06"/>
    <w:rsid w:val="00C445CE"/>
    <w:rsid w:val="00C52673"/>
    <w:rsid w:val="00C62288"/>
    <w:rsid w:val="00C633FE"/>
    <w:rsid w:val="00C64728"/>
    <w:rsid w:val="00C77D0E"/>
    <w:rsid w:val="00C8475B"/>
    <w:rsid w:val="00CA1422"/>
    <w:rsid w:val="00CA4822"/>
    <w:rsid w:val="00CA70C3"/>
    <w:rsid w:val="00CB7587"/>
    <w:rsid w:val="00CC3EBD"/>
    <w:rsid w:val="00CC4499"/>
    <w:rsid w:val="00CD6A72"/>
    <w:rsid w:val="00CE0746"/>
    <w:rsid w:val="00CE50F6"/>
    <w:rsid w:val="00CF3298"/>
    <w:rsid w:val="00D03B80"/>
    <w:rsid w:val="00D05B4E"/>
    <w:rsid w:val="00D27630"/>
    <w:rsid w:val="00D336F5"/>
    <w:rsid w:val="00D434F2"/>
    <w:rsid w:val="00D57308"/>
    <w:rsid w:val="00D66F24"/>
    <w:rsid w:val="00D800F6"/>
    <w:rsid w:val="00D90574"/>
    <w:rsid w:val="00D91839"/>
    <w:rsid w:val="00D91A43"/>
    <w:rsid w:val="00D97370"/>
    <w:rsid w:val="00D97662"/>
    <w:rsid w:val="00DA473B"/>
    <w:rsid w:val="00DB112F"/>
    <w:rsid w:val="00DC7772"/>
    <w:rsid w:val="00DD6420"/>
    <w:rsid w:val="00DD6E00"/>
    <w:rsid w:val="00DF5F77"/>
    <w:rsid w:val="00E160EB"/>
    <w:rsid w:val="00E30A35"/>
    <w:rsid w:val="00E32049"/>
    <w:rsid w:val="00E4488E"/>
    <w:rsid w:val="00E45EBC"/>
    <w:rsid w:val="00E56628"/>
    <w:rsid w:val="00E727DE"/>
    <w:rsid w:val="00E86A7B"/>
    <w:rsid w:val="00EC29DE"/>
    <w:rsid w:val="00ED0FE9"/>
    <w:rsid w:val="00EF1D0F"/>
    <w:rsid w:val="00EF28E3"/>
    <w:rsid w:val="00EF71AA"/>
    <w:rsid w:val="00F00FFE"/>
    <w:rsid w:val="00F1130A"/>
    <w:rsid w:val="00F11CAC"/>
    <w:rsid w:val="00F12E39"/>
    <w:rsid w:val="00F21453"/>
    <w:rsid w:val="00F31287"/>
    <w:rsid w:val="00F322D8"/>
    <w:rsid w:val="00F459DA"/>
    <w:rsid w:val="00F50E58"/>
    <w:rsid w:val="00F518EF"/>
    <w:rsid w:val="00F936F0"/>
    <w:rsid w:val="00FA248B"/>
    <w:rsid w:val="00FA5ABA"/>
    <w:rsid w:val="00FC01CC"/>
    <w:rsid w:val="00FC03F5"/>
    <w:rsid w:val="00FC23A7"/>
    <w:rsid w:val="00FC4F85"/>
    <w:rsid w:val="00FD1EB4"/>
    <w:rsid w:val="00FD24BF"/>
    <w:rsid w:val="00FF3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E2CB3"/>
  <w15:chartTrackingRefBased/>
  <w15:docId w15:val="{1593B8B1-7F53-4A15-93B6-56CC75834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5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35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35B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35B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935B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935B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35B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35B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35B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5BF"/>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9935BF"/>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9935BF"/>
    <w:rPr>
      <w:rFonts w:asciiTheme="minorHAnsi" w:eastAsiaTheme="majorEastAsia" w:hAnsiTheme="minorHAnsi"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9935BF"/>
    <w:rPr>
      <w:rFonts w:asciiTheme="minorHAnsi" w:eastAsiaTheme="majorEastAsia" w:hAnsiTheme="minorHAnsi"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9935BF"/>
    <w:rPr>
      <w:rFonts w:asciiTheme="minorHAnsi" w:eastAsiaTheme="majorEastAsia" w:hAnsiTheme="minorHAnsi" w:cstheme="majorBidi"/>
      <w:color w:val="0F4761" w:themeColor="accent1" w:themeShade="BF"/>
      <w:lang w:val="cy-GB"/>
    </w:rPr>
  </w:style>
  <w:style w:type="character" w:customStyle="1" w:styleId="Heading6Char">
    <w:name w:val="Heading 6 Char"/>
    <w:basedOn w:val="DefaultParagraphFont"/>
    <w:link w:val="Heading6"/>
    <w:uiPriority w:val="9"/>
    <w:semiHidden/>
    <w:rsid w:val="009935BF"/>
    <w:rPr>
      <w:rFonts w:asciiTheme="minorHAnsi" w:eastAsiaTheme="majorEastAsia" w:hAnsiTheme="minorHAnsi" w:cstheme="majorBidi"/>
      <w:i/>
      <w:iCs/>
      <w:color w:val="595959" w:themeColor="text1" w:themeTint="A6"/>
      <w:lang w:val="cy-GB"/>
    </w:rPr>
  </w:style>
  <w:style w:type="character" w:customStyle="1" w:styleId="Heading7Char">
    <w:name w:val="Heading 7 Char"/>
    <w:basedOn w:val="DefaultParagraphFont"/>
    <w:link w:val="Heading7"/>
    <w:uiPriority w:val="9"/>
    <w:semiHidden/>
    <w:rsid w:val="009935BF"/>
    <w:rPr>
      <w:rFonts w:asciiTheme="minorHAnsi" w:eastAsiaTheme="majorEastAsia" w:hAnsiTheme="minorHAnsi" w:cstheme="majorBidi"/>
      <w:color w:val="595959" w:themeColor="text1" w:themeTint="A6"/>
      <w:lang w:val="cy-GB"/>
    </w:rPr>
  </w:style>
  <w:style w:type="character" w:customStyle="1" w:styleId="Heading8Char">
    <w:name w:val="Heading 8 Char"/>
    <w:basedOn w:val="DefaultParagraphFont"/>
    <w:link w:val="Heading8"/>
    <w:uiPriority w:val="9"/>
    <w:semiHidden/>
    <w:rsid w:val="009935BF"/>
    <w:rPr>
      <w:rFonts w:asciiTheme="minorHAnsi" w:eastAsiaTheme="majorEastAsia" w:hAnsiTheme="minorHAnsi" w:cstheme="majorBidi"/>
      <w:i/>
      <w:iCs/>
      <w:color w:val="272727" w:themeColor="text1" w:themeTint="D8"/>
      <w:lang w:val="cy-GB"/>
    </w:rPr>
  </w:style>
  <w:style w:type="character" w:customStyle="1" w:styleId="Heading9Char">
    <w:name w:val="Heading 9 Char"/>
    <w:basedOn w:val="DefaultParagraphFont"/>
    <w:link w:val="Heading9"/>
    <w:uiPriority w:val="9"/>
    <w:semiHidden/>
    <w:rsid w:val="009935BF"/>
    <w:rPr>
      <w:rFonts w:asciiTheme="minorHAnsi" w:eastAsiaTheme="majorEastAsia" w:hAnsiTheme="minorHAnsi" w:cstheme="majorBidi"/>
      <w:color w:val="272727" w:themeColor="text1" w:themeTint="D8"/>
      <w:lang w:val="cy-GB"/>
    </w:rPr>
  </w:style>
  <w:style w:type="paragraph" w:styleId="Title">
    <w:name w:val="Title"/>
    <w:basedOn w:val="Normal"/>
    <w:next w:val="Normal"/>
    <w:link w:val="TitleChar"/>
    <w:uiPriority w:val="10"/>
    <w:qFormat/>
    <w:rsid w:val="009935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5BF"/>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9935B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5BF"/>
    <w:rPr>
      <w:rFonts w:asciiTheme="minorHAnsi" w:eastAsiaTheme="majorEastAsia" w:hAnsiTheme="minorHAnsi"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9935BF"/>
    <w:pPr>
      <w:spacing w:before="160"/>
      <w:jc w:val="center"/>
    </w:pPr>
    <w:rPr>
      <w:i/>
      <w:iCs/>
      <w:color w:val="404040" w:themeColor="text1" w:themeTint="BF"/>
    </w:rPr>
  </w:style>
  <w:style w:type="character" w:customStyle="1" w:styleId="QuoteChar">
    <w:name w:val="Quote Char"/>
    <w:basedOn w:val="DefaultParagraphFont"/>
    <w:link w:val="Quote"/>
    <w:uiPriority w:val="29"/>
    <w:rsid w:val="009935BF"/>
    <w:rPr>
      <w:i/>
      <w:iCs/>
      <w:color w:val="404040" w:themeColor="text1" w:themeTint="BF"/>
      <w:lang w:val="cy-GB"/>
    </w:rPr>
  </w:style>
  <w:style w:type="paragraph" w:styleId="ListParagraph">
    <w:name w:val="List Paragraph"/>
    <w:basedOn w:val="Normal"/>
    <w:uiPriority w:val="34"/>
    <w:qFormat/>
    <w:rsid w:val="009935BF"/>
    <w:pPr>
      <w:ind w:left="720"/>
      <w:contextualSpacing/>
    </w:pPr>
  </w:style>
  <w:style w:type="character" w:styleId="IntenseEmphasis">
    <w:name w:val="Intense Emphasis"/>
    <w:basedOn w:val="DefaultParagraphFont"/>
    <w:uiPriority w:val="21"/>
    <w:qFormat/>
    <w:rsid w:val="009935BF"/>
    <w:rPr>
      <w:i/>
      <w:iCs/>
      <w:color w:val="0F4761" w:themeColor="accent1" w:themeShade="BF"/>
    </w:rPr>
  </w:style>
  <w:style w:type="paragraph" w:styleId="IntenseQuote">
    <w:name w:val="Intense Quote"/>
    <w:basedOn w:val="Normal"/>
    <w:next w:val="Normal"/>
    <w:link w:val="IntenseQuoteChar"/>
    <w:uiPriority w:val="30"/>
    <w:qFormat/>
    <w:rsid w:val="009935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5BF"/>
    <w:rPr>
      <w:i/>
      <w:iCs/>
      <w:color w:val="0F4761" w:themeColor="accent1" w:themeShade="BF"/>
      <w:lang w:val="cy-GB"/>
    </w:rPr>
  </w:style>
  <w:style w:type="character" w:styleId="IntenseReference">
    <w:name w:val="Intense Reference"/>
    <w:basedOn w:val="DefaultParagraphFont"/>
    <w:uiPriority w:val="32"/>
    <w:qFormat/>
    <w:rsid w:val="009935BF"/>
    <w:rPr>
      <w:b/>
      <w:bCs/>
      <w:smallCaps/>
      <w:color w:val="0F4761" w:themeColor="accent1" w:themeShade="BF"/>
      <w:spacing w:val="5"/>
    </w:rPr>
  </w:style>
  <w:style w:type="paragraph" w:styleId="NormalWeb">
    <w:name w:val="Normal (Web)"/>
    <w:basedOn w:val="Normal"/>
    <w:uiPriority w:val="99"/>
    <w:unhideWhenUsed/>
    <w:rsid w:val="00096CA3"/>
  </w:style>
  <w:style w:type="character" w:styleId="Hyperlink">
    <w:name w:val="Hyperlink"/>
    <w:basedOn w:val="DefaultParagraphFont"/>
    <w:uiPriority w:val="99"/>
    <w:unhideWhenUsed/>
    <w:rsid w:val="00D57308"/>
    <w:rPr>
      <w:color w:val="467886" w:themeColor="hyperlink"/>
      <w:u w:val="single"/>
    </w:rPr>
  </w:style>
  <w:style w:type="character" w:styleId="UnresolvedMention">
    <w:name w:val="Unresolved Mention"/>
    <w:basedOn w:val="DefaultParagraphFont"/>
    <w:uiPriority w:val="99"/>
    <w:semiHidden/>
    <w:unhideWhenUsed/>
    <w:rsid w:val="008012E0"/>
    <w:rPr>
      <w:color w:val="605E5C"/>
      <w:shd w:val="clear" w:color="auto" w:fill="E1DFDD"/>
    </w:rPr>
  </w:style>
  <w:style w:type="character" w:styleId="Emphasis">
    <w:name w:val="Emphasis"/>
    <w:basedOn w:val="DefaultParagraphFont"/>
    <w:uiPriority w:val="20"/>
    <w:qFormat/>
    <w:rsid w:val="00F21453"/>
    <w:rPr>
      <w:i/>
      <w:iCs/>
    </w:rPr>
  </w:style>
  <w:style w:type="character" w:styleId="HTMLCode">
    <w:name w:val="HTML Code"/>
    <w:basedOn w:val="DefaultParagraphFont"/>
    <w:uiPriority w:val="99"/>
    <w:semiHidden/>
    <w:unhideWhenUsed/>
    <w:rsid w:val="00F21453"/>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E45E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7481187.2018.1442375" TargetMode="External"/><Relationship Id="rId18" Type="http://schemas.openxmlformats.org/officeDocument/2006/relationships/hyperlink" Target="https://scholar.google.com/scholar?q=Champion+Kilcullen+2023" TargetMode="External"/><Relationship Id="rId26" Type="http://schemas.openxmlformats.org/officeDocument/2006/relationships/hyperlink" Target="https://www.bereavementjournal.org/index.php/bcj/article/view/1082/1121" TargetMode="External"/><Relationship Id="rId39" Type="http://schemas.openxmlformats.org/officeDocument/2006/relationships/hyperlink" Target="https://www.tandfonline.com/doi/epdf/10.1207/s15374424jccp2701_3?needAccess=true" TargetMode="External"/><Relationship Id="rId21" Type="http://schemas.openxmlformats.org/officeDocument/2006/relationships/hyperlink" Target="https://childhoodbereavementnetwork.org.uk" TargetMode="External"/><Relationship Id="rId34" Type="http://schemas.openxmlformats.org/officeDocument/2006/relationships/hyperlink" Target="https://www.google.co.uk/books/edition/Assessment_of_Disorders_in_Childhood_and/v7_nDwAAQBAJ?hl=en&amp;gbpv=1&amp;dq=Kaplow+2020+grief&amp;pg=PA471&amp;printsec=frontcover" TargetMode="External"/><Relationship Id="rId42" Type="http://schemas.openxmlformats.org/officeDocument/2006/relationships/hyperlink" Target="https://doi.org/10.1007/s10902-021-00452-8" TargetMode="External"/><Relationship Id="rId47" Type="http://schemas.openxmlformats.org/officeDocument/2006/relationships/hyperlink" Target="https://assets.publishing.service.gov.uk/media/5a7afd5fed915d3ed90614ef/CWRC-00081-2011.pdf" TargetMode="External"/><Relationship Id="rId50" Type="http://schemas.openxmlformats.org/officeDocument/2006/relationships/hyperlink" Target="https://pdf.sciencedirectassets.com/273506/1-s2.0-S1077722924X00024/1-s2.0-S107772292200133X/main.pdf?X-Amz-Security-Token=IQoJb3JpZ2luX2VjEN%2F%2F%2F%2F%2F%2F%2F%2F%2F%2F%2FwEaCXVzLWVhc3QtMSJGMEQCIGIZw1%2BuCuH%2FiIk0QbHrvvL%2FEkNsjsBKuEWwuZZqT0%2FZAiBL3aBA3%2FV1Doz95lNWZfLN%2FFvr9PKWHvePcWKWO3hYOyq8BQin%2F%2F%2F%2F%2F%2F%2F%2F%2F%2F8BEAUaDDA1OTAwMzU0Njg2NSIM0zEazG4oNQCK4RzXKpAFfVvgvnl2O6n2VrLl8zfBgyNJN%2BdtPzys0V4%2BkF82z7LLDskfIIkR0seZR3hQQCPjy7DDAfjyaPDdtYCEQtMbIW4%2B5UWQLXCLpY7M4Sr5%2BkcFCxv4vFzS8CnHc%2FZvX2ny36%2BIo1JTVIFEqZeqi4QJeZa%2FCgxWQxO3BcPHFi%2FUDcYY%2FO%2Fakx8lpMXuoEI7783yb8%2Bi5ItQZ7ozVNPb%2BxjfMbqqknu%2BRyRvSsI7yu6sH2z9bWyZ4KNdRMtjqHbRsopgUdLBGbB6p0RS%2B25RuUuDkZG%2Ba9nlYLdUK43MUxmhDLl%2FQFuhCOa86Pmsy8xrZFp0dcjqJQnpdiIbCtTn5OY6Y1hk3MzTyGwrSIqo0PRy9qG9LODqk0fii8s5hgVlZNU2ncjvvO0M583cEXvfpJJmGcXbXQt695%2BFraGzp58eJs95yvSAtPwJuFpyhCPzuZeyJixeD%2BhYRxcYU%2FG07LtihGC0%2FniF6yHHJDSj%2FsTBA5KjDH6ScsTxvFIqMZ97pA5NVaKMIeBJEshYE3Aa4eNvGEBZpfsUAT9sDE%2Bn3Xc8j1pYKrYssxoigsUDfvnhkhkVvNLSoyEC0%2FpN09ljocSkSeYnwrOgAw2Nem%2FVMO2RXAlMrxC8%2BiNpCn0vubLAXxS1q59UVr3czFMiakqBILBup6flIGiHHFeJYfQixNUoi8%2F%2FqW%2B5o0WPWisRWvMxrz5M42JuUicVnSCtvSPqkCoLVs3hWCuy1xBE%2BieY2CIDAFsHMIAJCW6IKauoh3DpD7DFdfKO%2BqIm3SfPBYllxFa%2FW0hz6PqpSavbSdGMgbnqsIi2Un93KCGEm6jnIPVvkfG9w%2FC%2BYI%2FsSq6mbyukkc3RNAMXa%2B8qiwPwmCtI9XT2dN8wzZfGzgY6sgFMyl9hp3NJqAqyVb2qlP0QJJRjVp5gHeiS0gXAG26kJmEsL6S%2BD23c6Wc3R0VKEdrR%2Bitwd3eIGZ1u0gvc%2BtDS2WIy%2BBQ72AsuCtX5%2FnrFG8WSjY%2BtgPTWuAptl74aygEWhnrXJEGt76gZzkyv8147OiD35gKDvYyvHTeP4cUbsV3sWuMxbZu6%2B6if%2BKtJMryfoxVGme1MvOzlXBL9oQxd1xvdvNizukrUey4jOgG2AsKO&amp;X-Amz-Algorithm=AWS4-HMAC-SHA256&amp;X-Amz-Date=20260404T235121Z&amp;X-Amz-SignedHeaders=host&amp;X-Amz-Expires=300&amp;X-Amz-Credential=ASIAQ3PHCVTYQ6CNOWLF%2F20260404%2Fus-east-1%2Fs3%2Faws4_request&amp;X-Amz-Signature=a5bb23dcbec0fb8e28ba91a54889f6e4e5be025e0924b7bbef8d8d0f7f115190&amp;hash=a4bd9326c19af953ffa2bcbcfafa0a1a65c741c0f897e8b8fed5a7d157c5c9a2&amp;host=68042c943591013ac2b2430a89b270f6af2c76d8dfd086a07176afe7c76c2c61&amp;pii=S107772292200133X&amp;tid=spdf-4ae3a245-a0de-45fc-89af-0dc1b7a20f82&amp;sid=66a62f6a2ba8e84a950928c5a0d211cea177gxrqb&amp;type=client&amp;tsoh=d3d3LnNjaWVuY2VkaXJlY3QuY29t&amp;rh=d3d3LnNjaWVuY2VkaXJlY3QuY29t&amp;ua=01055a0651565c5658&amp;rr=9e7438773dedd85e&amp;cc=gb" TargetMode="External"/><Relationship Id="rId55" Type="http://schemas.openxmlformats.org/officeDocument/2006/relationships/hyperlink" Target="https://hansard.parliament.uk" TargetMode="External"/><Relationship Id="rId7" Type="http://schemas.openxmlformats.org/officeDocument/2006/relationships/hyperlink" Target="https://link.springer.com/article/10.1007/s40653-021-00435-0" TargetMode="External"/><Relationship Id="rId2" Type="http://schemas.openxmlformats.org/officeDocument/2006/relationships/styles" Target="styles.xml"/><Relationship Id="rId16" Type="http://schemas.openxmlformats.org/officeDocument/2006/relationships/hyperlink" Target="https://pubmed.ncbi.nlm.nih.gov/16182092/" TargetMode="External"/><Relationship Id="rId29" Type="http://schemas.openxmlformats.org/officeDocument/2006/relationships/hyperlink" Target="https://journals.sagepub.com/doi/pdf/10.1177/00302228251334249" TargetMode="External"/><Relationship Id="rId11" Type="http://schemas.openxmlformats.org/officeDocument/2006/relationships/hyperlink" Target="https://psychiatryonline.org/doi/full/10.1176/appi.ajp.2020.20050548" TargetMode="External"/><Relationship Id="rId24" Type="http://schemas.openxmlformats.org/officeDocument/2006/relationships/hyperlink" Target="https://www.google.co.uk/books/edition/Oxford_Textbook_of_Spirituality_in_Healt/umpGEQAAQBAJ?hl=en&amp;gbpv=1&amp;dq=spirituality+in+healthcare&amp;printsec=frontcover" TargetMode="External"/><Relationship Id="rId32" Type="http://schemas.openxmlformats.org/officeDocument/2006/relationships/hyperlink" Target="https://www.tandfonline.com/doi/epdf/10.1080/07481187.2024.2340729?needAccess=true" TargetMode="External"/><Relationship Id="rId37" Type="http://schemas.openxmlformats.org/officeDocument/2006/relationships/hyperlink" Target="https://psychiatryonline.org/doi/full/10.1176/appi.ajp.2014.13081132" TargetMode="External"/><Relationship Id="rId40" Type="http://schemas.openxmlformats.org/officeDocument/2006/relationships/hyperlink" Target="https://pmc.ncbi.nlm.nih.gov/articles/PMC2989834/" TargetMode="External"/><Relationship Id="rId45" Type="http://schemas.openxmlformats.org/officeDocument/2006/relationships/hyperlink" Target="https://link.springer.com/article/10.1186/s12904-024-01601-5" TargetMode="External"/><Relationship Id="rId53" Type="http://schemas.openxmlformats.org/officeDocument/2006/relationships/hyperlink" Target="https://www.cambridge.org/core/services/aop-cambridge-core/content/view/C03F935DD209A3E631E73032757C40AD/S1049023X26108656a.pdf/creative-resilience-the-role-of-the-arts-and-creative-arts-therapies-in-disaster-preparedness-response-and-recovery.pdf" TargetMode="External"/><Relationship Id="rId58" Type="http://schemas.openxmlformats.org/officeDocument/2006/relationships/hyperlink" Target="https://www.winstonswish.org" TargetMode="External"/><Relationship Id="rId5" Type="http://schemas.openxmlformats.org/officeDocument/2006/relationships/hyperlink" Target="https://www.pediatricnursing.org/article/S0882-5963(19)30555-X/fulltext" TargetMode="External"/><Relationship Id="rId61" Type="http://schemas.openxmlformats.org/officeDocument/2006/relationships/fontTable" Target="fontTable.xml"/><Relationship Id="rId19" Type="http://schemas.openxmlformats.org/officeDocument/2006/relationships/hyperlink" Target="https://www.childbereavementuk.org" TargetMode="External"/><Relationship Id="rId14" Type="http://schemas.openxmlformats.org/officeDocument/2006/relationships/hyperlink" Target="https://onlinelibrary.wiley.com/doi/epdf/10.1111/j.1467-6427.2010.00495.x?saml_referrer" TargetMode="External"/><Relationship Id="rId22" Type="http://schemas.openxmlformats.org/officeDocument/2006/relationships/hyperlink" Target="https://scholar.google.com/scholar?q=Cohen+Mannarino+2011" TargetMode="External"/><Relationship Id="rId27" Type="http://schemas.openxmlformats.org/officeDocument/2006/relationships/hyperlink" Target="https://books.google.com/books/about/Blending_Play_Therapy_with_Cognitive_Beh.html?id=MwN0CgAAQBAJ&amp;utm_source=chatgpt.com" TargetMode="External"/><Relationship Id="rId30" Type="http://schemas.openxmlformats.org/officeDocument/2006/relationships/hyperlink" Target="https://assets.cureus.com/uploads/case_report/pdf/160137/20230707-3926-991uym.pdf" TargetMode="External"/><Relationship Id="rId35" Type="http://schemas.openxmlformats.org/officeDocument/2006/relationships/hyperlink" Target="https://acamh.onlinelibrary.wiley.com/doi/10.1111/camh.12667" TargetMode="External"/><Relationship Id="rId43" Type="http://schemas.openxmlformats.org/officeDocument/2006/relationships/hyperlink" Target="https://www.sciencedirect.com/science/article/pii/S0738399123000344" TargetMode="External"/><Relationship Id="rId48" Type="http://schemas.openxmlformats.org/officeDocument/2006/relationships/hyperlink" Target="https://journals.sagepub.com/doi/full/10.1177/2632352420975043" TargetMode="External"/><Relationship Id="rId56" Type="http://schemas.openxmlformats.org/officeDocument/2006/relationships/hyperlink" Target="https://www.bristol.ac.uk" TargetMode="External"/><Relationship Id="rId8" Type="http://schemas.openxmlformats.org/officeDocument/2006/relationships/hyperlink" Target="https://journals.sagepub.com/doi/10.1177/0030222820976277" TargetMode="External"/><Relationship Id="rId51" Type="http://schemas.openxmlformats.org/officeDocument/2006/relationships/hyperlink" Target="https://jamanetwork.com/journals/jamapsychiatry/article-abstract/2612448" TargetMode="External"/><Relationship Id="rId3" Type="http://schemas.openxmlformats.org/officeDocument/2006/relationships/settings" Target="settings.xml"/><Relationship Id="rId12" Type="http://schemas.openxmlformats.org/officeDocument/2006/relationships/hyperlink" Target="https://archive.org/details/attachmentlossvo00john/page/n5/mode/2up" TargetMode="External"/><Relationship Id="rId17" Type="http://schemas.openxmlformats.org/officeDocument/2006/relationships/hyperlink" Target="https://doi.org/10.1016/j.psychres.2020.113593" TargetMode="External"/><Relationship Id="rId25" Type="http://schemas.openxmlformats.org/officeDocument/2006/relationships/hyperlink" Target="https://www.google.co.uk/books/edition/Play_Therapy_Interventions_to_Enhance_Re/MTx9CAAAQBAJ?hl=en&amp;gbpv=1&amp;dq=play+therapy+interventions&amp;printsec=frontcover" TargetMode="External"/><Relationship Id="rId33" Type="http://schemas.openxmlformats.org/officeDocument/2006/relationships/hyperlink" Target="https://scholar.google.com/scholar?q=Howes+Vallis+2020" TargetMode="External"/><Relationship Id="rId38" Type="http://schemas.openxmlformats.org/officeDocument/2006/relationships/hyperlink" Target="file:///C:\Users\amy_k\Downloads\9781315800790_previewpdf.pdf" TargetMode="External"/><Relationship Id="rId46" Type="http://schemas.openxmlformats.org/officeDocument/2006/relationships/hyperlink" Target="https://doi.org/10.1016/j.jsat.2019.05.012" TargetMode="External"/><Relationship Id="rId59" Type="http://schemas.openxmlformats.org/officeDocument/2006/relationships/hyperlink" Target="https://spcare.bmj.com/content/early/2022/11/15/spcare-2022-003793" TargetMode="External"/><Relationship Id="rId20" Type="http://schemas.openxmlformats.org/officeDocument/2006/relationships/hyperlink" Target="https://www.childbereavementuk.org/pages/faqs/category/faiths-beliefs-cultures-and-communities" TargetMode="External"/><Relationship Id="rId41" Type="http://schemas.openxmlformats.org/officeDocument/2006/relationships/hyperlink" Target="https://scholar.google.com/scholar?q=Kool+Lawver+2010" TargetMode="External"/><Relationship Id="rId54" Type="http://schemas.openxmlformats.org/officeDocument/2006/relationships/hyperlink" Target="https://journals.sagepub.com/doi/epub/10.1177/0030222820966928"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andfonline.com/doi/full/10.1080/2372966X.2022.2044237" TargetMode="External"/><Relationship Id="rId15" Type="http://schemas.openxmlformats.org/officeDocument/2006/relationships/hyperlink" Target="https://journals.sagepub.com/home/pcr" TargetMode="External"/><Relationship Id="rId23" Type="http://schemas.openxmlformats.org/officeDocument/2006/relationships/hyperlink" Target="https://www.google.co.uk/books/edition/Supporting_Bereaved_Students_at_School/Cit1DgAAQBAJ?hl=en&amp;gbpv=1&amp;dq=Comerchero+2017&amp;pg=PA25&amp;printsec=frontcover" TargetMode="External"/><Relationship Id="rId28" Type="http://schemas.openxmlformats.org/officeDocument/2006/relationships/hyperlink" Target="https://www.sciencedirect.com/science/article/pii/S0272735804000388" TargetMode="External"/><Relationship Id="rId36" Type="http://schemas.openxmlformats.org/officeDocument/2006/relationships/hyperlink" Target="https://www.thelancet.com/journals/lanchi/article/PIIS2352-4642(20)30184-X/abstract" TargetMode="External"/><Relationship Id="rId49" Type="http://schemas.openxmlformats.org/officeDocument/2006/relationships/hyperlink" Target="https://journals.sagepub.com/doi/full/10.1177/1363459320931914" TargetMode="External"/><Relationship Id="rId57" Type="http://schemas.openxmlformats.org/officeDocument/2006/relationships/hyperlink" Target="https://scholar.google.com/scholar?q=Vitlic+2014+bereavement" TargetMode="External"/><Relationship Id="rId10" Type="http://schemas.openxmlformats.org/officeDocument/2006/relationships/hyperlink" Target="https://doi.org/10.1177/0269216308098798" TargetMode="External"/><Relationship Id="rId31" Type="http://schemas.openxmlformats.org/officeDocument/2006/relationships/hyperlink" Target="https://link.springer.com/article/10.1186/s12904-020-0532-4" TargetMode="External"/><Relationship Id="rId44" Type="http://schemas.openxmlformats.org/officeDocument/2006/relationships/hyperlink" Target="https://www.tandfonline.com/doi/full/10.1080/10796126.2020.1799338" TargetMode="External"/><Relationship Id="rId52" Type="http://schemas.openxmlformats.org/officeDocument/2006/relationships/hyperlink" Target="https://doi.org/10.1007/s12310-025-09783-w" TargetMode="External"/><Relationship Id="rId60" Type="http://schemas.openxmlformats.org/officeDocument/2006/relationships/hyperlink" Target="https://www.google.co.uk/books/edition/Grief_Counseling_and_Grief_Therapy_Fifth/Q49KDwAAQBAJ?hl=en&amp;gbpv=1" TargetMode="External"/><Relationship Id="rId4" Type="http://schemas.openxmlformats.org/officeDocument/2006/relationships/webSettings" Target="webSettings.xml"/><Relationship Id="rId9" Type="http://schemas.openxmlformats.org/officeDocument/2006/relationships/hyperlink" Target="https://doi.org/10.1016/j.acap.2021.09.0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5410</TotalTime>
  <Pages>18</Pages>
  <Words>7816</Words>
  <Characters>44557</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Ryland-Jenkins</dc:creator>
  <cp:keywords/>
  <dc:description/>
  <cp:lastModifiedBy>Amy Ryland-Jenkins (2315324)</cp:lastModifiedBy>
  <cp:revision>219</cp:revision>
  <dcterms:created xsi:type="dcterms:W3CDTF">2026-03-26T13:33:00Z</dcterms:created>
  <dcterms:modified xsi:type="dcterms:W3CDTF">2026-04-08T23:14:00Z</dcterms:modified>
</cp:coreProperties>
</file>