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7B544" w14:textId="77777777" w:rsidR="00E1626A" w:rsidRPr="002D03D0" w:rsidRDefault="00E1626A" w:rsidP="002D03D0">
      <w:pPr>
        <w:spacing w:after="300" w:line="360" w:lineRule="auto"/>
        <w:jc w:val="center"/>
        <w:rPr>
          <w:rFonts w:ascii="Arial" w:hAnsi="Arial" w:cs="Arial"/>
          <w:b/>
          <w:bCs/>
        </w:rPr>
      </w:pPr>
      <w:r w:rsidRPr="002D03D0">
        <w:rPr>
          <w:rFonts w:ascii="Arial" w:hAnsi="Arial" w:cs="Arial"/>
          <w:b/>
          <w:bCs/>
          <w:noProof/>
        </w:rPr>
        <w:drawing>
          <wp:inline distT="0" distB="0" distL="0" distR="0" wp14:anchorId="60105C59" wp14:editId="6EB3B558">
            <wp:extent cx="1809750" cy="723900"/>
            <wp:effectExtent l="0" t="0" r="0" b="0"/>
            <wp:docPr id="1" name="logo" descr="University 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809750" cy="723900"/>
                    </a:xfrm>
                    <a:prstGeom prst="rect">
                      <a:avLst/>
                    </a:prstGeom>
                  </pic:spPr>
                </pic:pic>
              </a:graphicData>
            </a:graphic>
          </wp:inline>
        </w:drawing>
      </w:r>
    </w:p>
    <w:p w14:paraId="16C1D0B7" w14:textId="77777777"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Master of Business Administration</w:t>
      </w:r>
    </w:p>
    <w:p w14:paraId="13F28678" w14:textId="77777777"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Innovating New Working Practices and Breeding an Environment Where Talent May Grow: A Strategic Human Capital Consultancy Report for NexSpace Health Systems (NHSX)</w:t>
      </w:r>
    </w:p>
    <w:p w14:paraId="2A0899A8" w14:textId="77777777"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LCMB7023 – Human Capital Management</w:t>
      </w:r>
    </w:p>
    <w:p w14:paraId="38087CF6" w14:textId="77777777"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Assessment Component 1: Individual Report</w:t>
      </w:r>
    </w:p>
    <w:p w14:paraId="49B39DA8" w14:textId="77777777" w:rsidR="00E1626A" w:rsidRPr="002D03D0" w:rsidRDefault="00E1626A" w:rsidP="002D03D0">
      <w:pPr>
        <w:spacing w:after="200" w:line="360" w:lineRule="auto"/>
        <w:jc w:val="center"/>
        <w:rPr>
          <w:rFonts w:ascii="Arial" w:eastAsia="Arial" w:hAnsi="Arial" w:cs="Arial"/>
          <w:b/>
          <w:bCs/>
        </w:rPr>
      </w:pPr>
    </w:p>
    <w:p w14:paraId="6749813B" w14:textId="1376A564"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Student Name: Gurpreet Kaur</w:t>
      </w:r>
    </w:p>
    <w:p w14:paraId="09EFA37B" w14:textId="642DAFB8"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Student ID:</w:t>
      </w:r>
      <w:r w:rsidR="00813F5A">
        <w:rPr>
          <w:rFonts w:ascii="Arial" w:eastAsia="Arial" w:hAnsi="Arial" w:cs="Arial"/>
          <w:b/>
          <w:bCs/>
        </w:rPr>
        <w:t>2309090</w:t>
      </w:r>
    </w:p>
    <w:p w14:paraId="73110419" w14:textId="298E80ED"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 xml:space="preserve">Lecturer: </w:t>
      </w:r>
      <w:r w:rsidR="00813F5A">
        <w:rPr>
          <w:rFonts w:ascii="Arial" w:eastAsia="Arial" w:hAnsi="Arial" w:cs="Arial"/>
          <w:b/>
          <w:bCs/>
        </w:rPr>
        <w:t>Eno Maycock</w:t>
      </w:r>
    </w:p>
    <w:p w14:paraId="6B05FEE4" w14:textId="4F3A64E2" w:rsidR="00E1626A" w:rsidRPr="002D03D0" w:rsidRDefault="00E1626A" w:rsidP="002D03D0">
      <w:pPr>
        <w:spacing w:after="200" w:line="360" w:lineRule="auto"/>
        <w:jc w:val="center"/>
        <w:rPr>
          <w:rFonts w:ascii="Arial" w:hAnsi="Arial" w:cs="Arial"/>
          <w:b/>
          <w:bCs/>
        </w:rPr>
      </w:pPr>
      <w:r w:rsidRPr="002D03D0">
        <w:rPr>
          <w:rFonts w:ascii="Arial" w:eastAsia="Arial" w:hAnsi="Arial" w:cs="Arial"/>
          <w:b/>
          <w:bCs/>
        </w:rPr>
        <w:t xml:space="preserve">Submission Date: </w:t>
      </w:r>
      <w:r w:rsidR="00813F5A">
        <w:rPr>
          <w:rFonts w:ascii="Arial" w:eastAsia="Arial" w:hAnsi="Arial" w:cs="Arial"/>
          <w:b/>
          <w:bCs/>
        </w:rPr>
        <w:t>22</w:t>
      </w:r>
      <w:r w:rsidRPr="002D03D0">
        <w:rPr>
          <w:rFonts w:ascii="Arial" w:eastAsia="Arial" w:hAnsi="Arial" w:cs="Arial"/>
          <w:b/>
          <w:bCs/>
        </w:rPr>
        <w:t xml:space="preserve"> October 2026</w:t>
      </w:r>
    </w:p>
    <w:p w14:paraId="0785E98B" w14:textId="48451D48" w:rsidR="00E1626A" w:rsidRPr="002D03D0" w:rsidRDefault="00E1626A" w:rsidP="002D03D0">
      <w:pPr>
        <w:spacing w:line="360" w:lineRule="auto"/>
        <w:jc w:val="center"/>
        <w:rPr>
          <w:rFonts w:ascii="Arial" w:hAnsi="Arial" w:cs="Arial"/>
          <w:b/>
          <w:bCs/>
        </w:rPr>
      </w:pPr>
      <w:r w:rsidRPr="002D03D0">
        <w:rPr>
          <w:rFonts w:ascii="Arial" w:hAnsi="Arial" w:cs="Arial"/>
          <w:b/>
          <w:bCs/>
        </w:rPr>
        <w:br w:type="page"/>
      </w:r>
    </w:p>
    <w:p w14:paraId="1E8134F1" w14:textId="77777777" w:rsidR="00E1626A" w:rsidRPr="002D03D0" w:rsidRDefault="00E1626A" w:rsidP="002D03D0">
      <w:pPr>
        <w:spacing w:line="360" w:lineRule="auto"/>
        <w:jc w:val="both"/>
        <w:rPr>
          <w:rFonts w:ascii="Arial" w:hAnsi="Arial" w:cs="Arial"/>
        </w:rPr>
      </w:pPr>
    </w:p>
    <w:sdt>
      <w:sdtPr>
        <w:rPr>
          <w:rFonts w:ascii="Arial" w:eastAsiaTheme="minorHAnsi" w:hAnsi="Arial" w:cs="Arial"/>
          <w:color w:val="auto"/>
          <w:sz w:val="22"/>
          <w:szCs w:val="22"/>
          <w:lang w:val="en-GB"/>
        </w:rPr>
        <w:id w:val="1519203617"/>
        <w:docPartObj>
          <w:docPartGallery w:val="Table of Contents"/>
          <w:docPartUnique/>
        </w:docPartObj>
      </w:sdtPr>
      <w:sdtEndPr>
        <w:rPr>
          <w:b/>
          <w:bCs/>
          <w:noProof/>
        </w:rPr>
      </w:sdtEndPr>
      <w:sdtContent>
        <w:p w14:paraId="35709F24" w14:textId="349E0588" w:rsidR="00E1626A" w:rsidRPr="002D03D0" w:rsidRDefault="00E1626A" w:rsidP="002D03D0">
          <w:pPr>
            <w:pStyle w:val="TOCHeading"/>
            <w:spacing w:line="360" w:lineRule="auto"/>
            <w:jc w:val="both"/>
            <w:rPr>
              <w:rFonts w:ascii="Arial" w:hAnsi="Arial" w:cs="Arial"/>
              <w:color w:val="auto"/>
              <w:sz w:val="22"/>
              <w:szCs w:val="22"/>
            </w:rPr>
          </w:pPr>
          <w:r w:rsidRPr="002D03D0">
            <w:rPr>
              <w:rFonts w:ascii="Arial" w:hAnsi="Arial" w:cs="Arial"/>
              <w:color w:val="auto"/>
              <w:sz w:val="22"/>
              <w:szCs w:val="22"/>
            </w:rPr>
            <w:t>Table of Contents</w:t>
          </w:r>
        </w:p>
        <w:p w14:paraId="3E34DD76" w14:textId="2094CE80" w:rsidR="002D03D0" w:rsidRDefault="00E1626A" w:rsidP="002D03D0">
          <w:pPr>
            <w:pStyle w:val="TOC1"/>
            <w:tabs>
              <w:tab w:val="right" w:leader="dot" w:pos="9016"/>
            </w:tabs>
            <w:spacing w:line="360" w:lineRule="auto"/>
            <w:rPr>
              <w:rFonts w:eastAsiaTheme="minorEastAsia"/>
              <w:noProof/>
              <w:lang/>
            </w:rPr>
          </w:pPr>
          <w:r w:rsidRPr="002D03D0">
            <w:rPr>
              <w:rFonts w:ascii="Arial" w:hAnsi="Arial" w:cs="Arial"/>
            </w:rPr>
            <w:fldChar w:fldCharType="begin"/>
          </w:r>
          <w:r w:rsidRPr="002D03D0">
            <w:rPr>
              <w:rFonts w:ascii="Arial" w:hAnsi="Arial" w:cs="Arial"/>
            </w:rPr>
            <w:instrText xml:space="preserve"> TOC \o "1-3" \h \z \u </w:instrText>
          </w:r>
          <w:r w:rsidRPr="002D03D0">
            <w:rPr>
              <w:rFonts w:ascii="Arial" w:hAnsi="Arial" w:cs="Arial"/>
            </w:rPr>
            <w:fldChar w:fldCharType="separate"/>
          </w:r>
          <w:hyperlink w:anchor="_Toc242656343" w:history="1">
            <w:r w:rsidR="002D03D0" w:rsidRPr="00583C81">
              <w:rPr>
                <w:rStyle w:val="Hyperlink"/>
                <w:rFonts w:ascii="Arial" w:hAnsi="Arial" w:cs="Arial"/>
                <w:b/>
                <w:bCs/>
                <w:noProof/>
              </w:rPr>
              <w:t>Task A: Designing Innovative Working Practices</w:t>
            </w:r>
            <w:r w:rsidR="002D03D0">
              <w:rPr>
                <w:noProof/>
                <w:webHidden/>
              </w:rPr>
              <w:tab/>
            </w:r>
            <w:r w:rsidR="002D03D0">
              <w:rPr>
                <w:noProof/>
                <w:webHidden/>
              </w:rPr>
              <w:fldChar w:fldCharType="begin"/>
            </w:r>
            <w:r w:rsidR="002D03D0">
              <w:rPr>
                <w:noProof/>
                <w:webHidden/>
              </w:rPr>
              <w:instrText xml:space="preserve"> PAGEREF _Toc242656343 \h </w:instrText>
            </w:r>
            <w:r w:rsidR="002D03D0">
              <w:rPr>
                <w:noProof/>
                <w:webHidden/>
              </w:rPr>
            </w:r>
            <w:r w:rsidR="002D03D0">
              <w:rPr>
                <w:noProof/>
                <w:webHidden/>
              </w:rPr>
              <w:fldChar w:fldCharType="separate"/>
            </w:r>
            <w:r w:rsidR="002D03D0">
              <w:rPr>
                <w:noProof/>
                <w:webHidden/>
              </w:rPr>
              <w:t>3</w:t>
            </w:r>
            <w:r w:rsidR="002D03D0">
              <w:rPr>
                <w:noProof/>
                <w:webHidden/>
              </w:rPr>
              <w:fldChar w:fldCharType="end"/>
            </w:r>
          </w:hyperlink>
        </w:p>
        <w:p w14:paraId="0D20D2FC" w14:textId="5FFA49A4" w:rsidR="002D03D0" w:rsidRDefault="002D03D0" w:rsidP="002D03D0">
          <w:pPr>
            <w:pStyle w:val="TOC1"/>
            <w:tabs>
              <w:tab w:val="right" w:leader="dot" w:pos="9016"/>
            </w:tabs>
            <w:spacing w:line="360" w:lineRule="auto"/>
            <w:rPr>
              <w:rFonts w:eastAsiaTheme="minorEastAsia"/>
              <w:noProof/>
              <w:lang/>
            </w:rPr>
          </w:pPr>
          <w:hyperlink w:anchor="_Toc242656344" w:history="1">
            <w:r w:rsidRPr="00583C81">
              <w:rPr>
                <w:rStyle w:val="Hyperlink"/>
                <w:rFonts w:ascii="Arial" w:hAnsi="Arial" w:cs="Arial"/>
                <w:b/>
                <w:bCs/>
                <w:noProof/>
              </w:rPr>
              <w:t>Evaluating traditional and contemporary work design</w:t>
            </w:r>
            <w:r>
              <w:rPr>
                <w:noProof/>
                <w:webHidden/>
              </w:rPr>
              <w:tab/>
            </w:r>
            <w:r>
              <w:rPr>
                <w:noProof/>
                <w:webHidden/>
              </w:rPr>
              <w:fldChar w:fldCharType="begin"/>
            </w:r>
            <w:r>
              <w:rPr>
                <w:noProof/>
                <w:webHidden/>
              </w:rPr>
              <w:instrText xml:space="preserve"> PAGEREF _Toc242656344 \h </w:instrText>
            </w:r>
            <w:r>
              <w:rPr>
                <w:noProof/>
                <w:webHidden/>
              </w:rPr>
            </w:r>
            <w:r>
              <w:rPr>
                <w:noProof/>
                <w:webHidden/>
              </w:rPr>
              <w:fldChar w:fldCharType="separate"/>
            </w:r>
            <w:r>
              <w:rPr>
                <w:noProof/>
                <w:webHidden/>
              </w:rPr>
              <w:t>3</w:t>
            </w:r>
            <w:r>
              <w:rPr>
                <w:noProof/>
                <w:webHidden/>
              </w:rPr>
              <w:fldChar w:fldCharType="end"/>
            </w:r>
          </w:hyperlink>
        </w:p>
        <w:p w14:paraId="3F4ABC3A" w14:textId="4BA50CF6" w:rsidR="002D03D0" w:rsidRDefault="002D03D0" w:rsidP="002D03D0">
          <w:pPr>
            <w:pStyle w:val="TOC1"/>
            <w:tabs>
              <w:tab w:val="right" w:leader="dot" w:pos="9016"/>
            </w:tabs>
            <w:spacing w:line="360" w:lineRule="auto"/>
            <w:rPr>
              <w:rFonts w:eastAsiaTheme="minorEastAsia"/>
              <w:noProof/>
              <w:lang/>
            </w:rPr>
          </w:pPr>
          <w:hyperlink w:anchor="_Toc242656345" w:history="1">
            <w:r w:rsidRPr="00583C81">
              <w:rPr>
                <w:rStyle w:val="Hyperlink"/>
                <w:rFonts w:ascii="Arial" w:hAnsi="Arial" w:cs="Arial"/>
                <w:b/>
                <w:bCs/>
                <w:noProof/>
              </w:rPr>
              <w:t>Recommended framework: the NHSX Distributed Innovation Model</w:t>
            </w:r>
            <w:r>
              <w:rPr>
                <w:noProof/>
                <w:webHidden/>
              </w:rPr>
              <w:tab/>
            </w:r>
            <w:r>
              <w:rPr>
                <w:noProof/>
                <w:webHidden/>
              </w:rPr>
              <w:fldChar w:fldCharType="begin"/>
            </w:r>
            <w:r>
              <w:rPr>
                <w:noProof/>
                <w:webHidden/>
              </w:rPr>
              <w:instrText xml:space="preserve"> PAGEREF _Toc242656345 \h </w:instrText>
            </w:r>
            <w:r>
              <w:rPr>
                <w:noProof/>
                <w:webHidden/>
              </w:rPr>
            </w:r>
            <w:r>
              <w:rPr>
                <w:noProof/>
                <w:webHidden/>
              </w:rPr>
              <w:fldChar w:fldCharType="separate"/>
            </w:r>
            <w:r>
              <w:rPr>
                <w:noProof/>
                <w:webHidden/>
              </w:rPr>
              <w:t>4</w:t>
            </w:r>
            <w:r>
              <w:rPr>
                <w:noProof/>
                <w:webHidden/>
              </w:rPr>
              <w:fldChar w:fldCharType="end"/>
            </w:r>
          </w:hyperlink>
        </w:p>
        <w:p w14:paraId="3123DD21" w14:textId="77735F6D" w:rsidR="002D03D0" w:rsidRDefault="002D03D0" w:rsidP="002D03D0">
          <w:pPr>
            <w:pStyle w:val="TOC1"/>
            <w:tabs>
              <w:tab w:val="right" w:leader="dot" w:pos="9016"/>
            </w:tabs>
            <w:spacing w:line="360" w:lineRule="auto"/>
            <w:rPr>
              <w:rFonts w:eastAsiaTheme="minorEastAsia"/>
              <w:noProof/>
              <w:lang/>
            </w:rPr>
          </w:pPr>
          <w:hyperlink w:anchor="_Toc242656346" w:history="1">
            <w:r w:rsidRPr="00583C81">
              <w:rPr>
                <w:rStyle w:val="Hyperlink"/>
                <w:rFonts w:ascii="Arial" w:hAnsi="Arial" w:cs="Arial"/>
                <w:b/>
                <w:bCs/>
                <w:noProof/>
              </w:rPr>
              <w:t>Task B: Creating a Culture of Talent Development</w:t>
            </w:r>
            <w:r>
              <w:rPr>
                <w:noProof/>
                <w:webHidden/>
              </w:rPr>
              <w:tab/>
            </w:r>
            <w:r>
              <w:rPr>
                <w:noProof/>
                <w:webHidden/>
              </w:rPr>
              <w:fldChar w:fldCharType="begin"/>
            </w:r>
            <w:r>
              <w:rPr>
                <w:noProof/>
                <w:webHidden/>
              </w:rPr>
              <w:instrText xml:space="preserve"> PAGEREF _Toc242656346 \h </w:instrText>
            </w:r>
            <w:r>
              <w:rPr>
                <w:noProof/>
                <w:webHidden/>
              </w:rPr>
            </w:r>
            <w:r>
              <w:rPr>
                <w:noProof/>
                <w:webHidden/>
              </w:rPr>
              <w:fldChar w:fldCharType="separate"/>
            </w:r>
            <w:r>
              <w:rPr>
                <w:noProof/>
                <w:webHidden/>
              </w:rPr>
              <w:t>6</w:t>
            </w:r>
            <w:r>
              <w:rPr>
                <w:noProof/>
                <w:webHidden/>
              </w:rPr>
              <w:fldChar w:fldCharType="end"/>
            </w:r>
          </w:hyperlink>
        </w:p>
        <w:p w14:paraId="47E70F95" w14:textId="13D9D586" w:rsidR="002D03D0" w:rsidRDefault="002D03D0" w:rsidP="002D03D0">
          <w:pPr>
            <w:pStyle w:val="TOC1"/>
            <w:tabs>
              <w:tab w:val="right" w:leader="dot" w:pos="9016"/>
            </w:tabs>
            <w:spacing w:line="360" w:lineRule="auto"/>
            <w:rPr>
              <w:rFonts w:eastAsiaTheme="minorEastAsia"/>
              <w:noProof/>
              <w:lang/>
            </w:rPr>
          </w:pPr>
          <w:hyperlink w:anchor="_Toc242656347" w:history="1">
            <w:r w:rsidRPr="00583C81">
              <w:rPr>
                <w:rStyle w:val="Hyperlink"/>
                <w:rFonts w:ascii="Arial" w:hAnsi="Arial" w:cs="Arial"/>
                <w:b/>
                <w:bCs/>
                <w:noProof/>
              </w:rPr>
              <w:t>Assessing talent growth</w:t>
            </w:r>
            <w:r>
              <w:rPr>
                <w:noProof/>
                <w:webHidden/>
              </w:rPr>
              <w:tab/>
            </w:r>
            <w:r>
              <w:rPr>
                <w:noProof/>
                <w:webHidden/>
              </w:rPr>
              <w:fldChar w:fldCharType="begin"/>
            </w:r>
            <w:r>
              <w:rPr>
                <w:noProof/>
                <w:webHidden/>
              </w:rPr>
              <w:instrText xml:space="preserve"> PAGEREF _Toc242656347 \h </w:instrText>
            </w:r>
            <w:r>
              <w:rPr>
                <w:noProof/>
                <w:webHidden/>
              </w:rPr>
            </w:r>
            <w:r>
              <w:rPr>
                <w:noProof/>
                <w:webHidden/>
              </w:rPr>
              <w:fldChar w:fldCharType="separate"/>
            </w:r>
            <w:r>
              <w:rPr>
                <w:noProof/>
                <w:webHidden/>
              </w:rPr>
              <w:t>6</w:t>
            </w:r>
            <w:r>
              <w:rPr>
                <w:noProof/>
                <w:webHidden/>
              </w:rPr>
              <w:fldChar w:fldCharType="end"/>
            </w:r>
          </w:hyperlink>
        </w:p>
        <w:p w14:paraId="064DA3BE" w14:textId="18AF0594" w:rsidR="002D03D0" w:rsidRDefault="002D03D0" w:rsidP="002D03D0">
          <w:pPr>
            <w:pStyle w:val="TOC1"/>
            <w:tabs>
              <w:tab w:val="right" w:leader="dot" w:pos="9016"/>
            </w:tabs>
            <w:spacing w:line="360" w:lineRule="auto"/>
            <w:rPr>
              <w:rFonts w:eastAsiaTheme="minorEastAsia"/>
              <w:noProof/>
              <w:lang/>
            </w:rPr>
          </w:pPr>
          <w:hyperlink w:anchor="_Toc242656348" w:history="1">
            <w:r w:rsidRPr="00583C81">
              <w:rPr>
                <w:rStyle w:val="Hyperlink"/>
                <w:rFonts w:ascii="Arial" w:hAnsi="Arial" w:cs="Arial"/>
                <w:b/>
                <w:bCs/>
                <w:noProof/>
              </w:rPr>
              <w:t>Recommended strategy: the NHSX Talent Growth Ecosystem</w:t>
            </w:r>
            <w:r>
              <w:rPr>
                <w:noProof/>
                <w:webHidden/>
              </w:rPr>
              <w:tab/>
            </w:r>
            <w:r>
              <w:rPr>
                <w:noProof/>
                <w:webHidden/>
              </w:rPr>
              <w:fldChar w:fldCharType="begin"/>
            </w:r>
            <w:r>
              <w:rPr>
                <w:noProof/>
                <w:webHidden/>
              </w:rPr>
              <w:instrText xml:space="preserve"> PAGEREF _Toc242656348 \h </w:instrText>
            </w:r>
            <w:r>
              <w:rPr>
                <w:noProof/>
                <w:webHidden/>
              </w:rPr>
            </w:r>
            <w:r>
              <w:rPr>
                <w:noProof/>
                <w:webHidden/>
              </w:rPr>
              <w:fldChar w:fldCharType="separate"/>
            </w:r>
            <w:r>
              <w:rPr>
                <w:noProof/>
                <w:webHidden/>
              </w:rPr>
              <w:t>7</w:t>
            </w:r>
            <w:r>
              <w:rPr>
                <w:noProof/>
                <w:webHidden/>
              </w:rPr>
              <w:fldChar w:fldCharType="end"/>
            </w:r>
          </w:hyperlink>
        </w:p>
        <w:p w14:paraId="6B8F76FA" w14:textId="5B5B99ED" w:rsidR="002D03D0" w:rsidRDefault="002D03D0" w:rsidP="002D03D0">
          <w:pPr>
            <w:pStyle w:val="TOC1"/>
            <w:tabs>
              <w:tab w:val="right" w:leader="dot" w:pos="9016"/>
            </w:tabs>
            <w:spacing w:line="360" w:lineRule="auto"/>
            <w:rPr>
              <w:rFonts w:eastAsiaTheme="minorEastAsia"/>
              <w:noProof/>
              <w:lang/>
            </w:rPr>
          </w:pPr>
          <w:hyperlink w:anchor="_Toc242656349" w:history="1">
            <w:r w:rsidRPr="00583C81">
              <w:rPr>
                <w:rStyle w:val="Hyperlink"/>
                <w:rFonts w:ascii="Arial" w:hAnsi="Arial" w:cs="Arial"/>
                <w:b/>
                <w:bCs/>
                <w:noProof/>
              </w:rPr>
              <w:t>Task C: Reflective Report</w:t>
            </w:r>
            <w:r>
              <w:rPr>
                <w:noProof/>
                <w:webHidden/>
              </w:rPr>
              <w:tab/>
            </w:r>
            <w:r>
              <w:rPr>
                <w:noProof/>
                <w:webHidden/>
              </w:rPr>
              <w:fldChar w:fldCharType="begin"/>
            </w:r>
            <w:r>
              <w:rPr>
                <w:noProof/>
                <w:webHidden/>
              </w:rPr>
              <w:instrText xml:space="preserve"> PAGEREF _Toc242656349 \h </w:instrText>
            </w:r>
            <w:r>
              <w:rPr>
                <w:noProof/>
                <w:webHidden/>
              </w:rPr>
            </w:r>
            <w:r>
              <w:rPr>
                <w:noProof/>
                <w:webHidden/>
              </w:rPr>
              <w:fldChar w:fldCharType="separate"/>
            </w:r>
            <w:r>
              <w:rPr>
                <w:noProof/>
                <w:webHidden/>
              </w:rPr>
              <w:t>8</w:t>
            </w:r>
            <w:r>
              <w:rPr>
                <w:noProof/>
                <w:webHidden/>
              </w:rPr>
              <w:fldChar w:fldCharType="end"/>
            </w:r>
          </w:hyperlink>
        </w:p>
        <w:p w14:paraId="79D4558B" w14:textId="3435C036" w:rsidR="002D03D0" w:rsidRDefault="002D03D0" w:rsidP="002D03D0">
          <w:pPr>
            <w:pStyle w:val="TOC1"/>
            <w:tabs>
              <w:tab w:val="right" w:leader="dot" w:pos="9016"/>
            </w:tabs>
            <w:spacing w:line="360" w:lineRule="auto"/>
            <w:rPr>
              <w:rFonts w:eastAsiaTheme="minorEastAsia"/>
              <w:noProof/>
              <w:lang/>
            </w:rPr>
          </w:pPr>
          <w:hyperlink w:anchor="_Toc242656350" w:history="1">
            <w:r w:rsidRPr="00583C81">
              <w:rPr>
                <w:rStyle w:val="Hyperlink"/>
                <w:rFonts w:ascii="Arial" w:hAnsi="Arial" w:cs="Arial"/>
                <w:b/>
                <w:bCs/>
                <w:noProof/>
              </w:rPr>
              <w:t>Using AI as a tool to make strategic decisions</w:t>
            </w:r>
            <w:r>
              <w:rPr>
                <w:noProof/>
                <w:webHidden/>
              </w:rPr>
              <w:tab/>
            </w:r>
            <w:r>
              <w:rPr>
                <w:noProof/>
                <w:webHidden/>
              </w:rPr>
              <w:fldChar w:fldCharType="begin"/>
            </w:r>
            <w:r>
              <w:rPr>
                <w:noProof/>
                <w:webHidden/>
              </w:rPr>
              <w:instrText xml:space="preserve"> PAGEREF _Toc242656350 \h </w:instrText>
            </w:r>
            <w:r>
              <w:rPr>
                <w:noProof/>
                <w:webHidden/>
              </w:rPr>
            </w:r>
            <w:r>
              <w:rPr>
                <w:noProof/>
                <w:webHidden/>
              </w:rPr>
              <w:fldChar w:fldCharType="separate"/>
            </w:r>
            <w:r>
              <w:rPr>
                <w:noProof/>
                <w:webHidden/>
              </w:rPr>
              <w:t>8</w:t>
            </w:r>
            <w:r>
              <w:rPr>
                <w:noProof/>
                <w:webHidden/>
              </w:rPr>
              <w:fldChar w:fldCharType="end"/>
            </w:r>
          </w:hyperlink>
        </w:p>
        <w:p w14:paraId="61E2B818" w14:textId="117457C8" w:rsidR="002D03D0" w:rsidRDefault="002D03D0" w:rsidP="002D03D0">
          <w:pPr>
            <w:pStyle w:val="TOC1"/>
            <w:tabs>
              <w:tab w:val="right" w:leader="dot" w:pos="9016"/>
            </w:tabs>
            <w:spacing w:line="360" w:lineRule="auto"/>
            <w:rPr>
              <w:rFonts w:eastAsiaTheme="minorEastAsia"/>
              <w:noProof/>
              <w:lang/>
            </w:rPr>
          </w:pPr>
          <w:hyperlink w:anchor="_Toc242656351" w:history="1">
            <w:r w:rsidRPr="00583C81">
              <w:rPr>
                <w:rStyle w:val="Hyperlink"/>
                <w:rFonts w:ascii="Arial" w:hAnsi="Arial" w:cs="Arial"/>
                <w:b/>
                <w:bCs/>
                <w:noProof/>
              </w:rPr>
              <w:t>Reflective analysis</w:t>
            </w:r>
            <w:r>
              <w:rPr>
                <w:noProof/>
                <w:webHidden/>
              </w:rPr>
              <w:tab/>
            </w:r>
            <w:r>
              <w:rPr>
                <w:noProof/>
                <w:webHidden/>
              </w:rPr>
              <w:fldChar w:fldCharType="begin"/>
            </w:r>
            <w:r>
              <w:rPr>
                <w:noProof/>
                <w:webHidden/>
              </w:rPr>
              <w:instrText xml:space="preserve"> PAGEREF _Toc242656351 \h </w:instrText>
            </w:r>
            <w:r>
              <w:rPr>
                <w:noProof/>
                <w:webHidden/>
              </w:rPr>
            </w:r>
            <w:r>
              <w:rPr>
                <w:noProof/>
                <w:webHidden/>
              </w:rPr>
              <w:fldChar w:fldCharType="separate"/>
            </w:r>
            <w:r>
              <w:rPr>
                <w:noProof/>
                <w:webHidden/>
              </w:rPr>
              <w:t>9</w:t>
            </w:r>
            <w:r>
              <w:rPr>
                <w:noProof/>
                <w:webHidden/>
              </w:rPr>
              <w:fldChar w:fldCharType="end"/>
            </w:r>
          </w:hyperlink>
        </w:p>
        <w:p w14:paraId="51BD61A3" w14:textId="3E7F13F0" w:rsidR="002D03D0" w:rsidRDefault="002D03D0" w:rsidP="002D03D0">
          <w:pPr>
            <w:pStyle w:val="TOC1"/>
            <w:tabs>
              <w:tab w:val="right" w:leader="dot" w:pos="9016"/>
            </w:tabs>
            <w:spacing w:line="360" w:lineRule="auto"/>
            <w:rPr>
              <w:rFonts w:eastAsiaTheme="minorEastAsia"/>
              <w:noProof/>
              <w:lang/>
            </w:rPr>
          </w:pPr>
          <w:hyperlink w:anchor="_Toc242656352" w:history="1">
            <w:r w:rsidRPr="00583C81">
              <w:rPr>
                <w:rStyle w:val="Hyperlink"/>
                <w:rFonts w:ascii="Arial" w:hAnsi="Arial" w:cs="Arial"/>
                <w:b/>
                <w:bCs/>
                <w:noProof/>
              </w:rPr>
              <w:t>Personal action plan</w:t>
            </w:r>
            <w:r>
              <w:rPr>
                <w:noProof/>
                <w:webHidden/>
              </w:rPr>
              <w:tab/>
            </w:r>
            <w:r>
              <w:rPr>
                <w:noProof/>
                <w:webHidden/>
              </w:rPr>
              <w:fldChar w:fldCharType="begin"/>
            </w:r>
            <w:r>
              <w:rPr>
                <w:noProof/>
                <w:webHidden/>
              </w:rPr>
              <w:instrText xml:space="preserve"> PAGEREF _Toc242656352 \h </w:instrText>
            </w:r>
            <w:r>
              <w:rPr>
                <w:noProof/>
                <w:webHidden/>
              </w:rPr>
            </w:r>
            <w:r>
              <w:rPr>
                <w:noProof/>
                <w:webHidden/>
              </w:rPr>
              <w:fldChar w:fldCharType="separate"/>
            </w:r>
            <w:r>
              <w:rPr>
                <w:noProof/>
                <w:webHidden/>
              </w:rPr>
              <w:t>9</w:t>
            </w:r>
            <w:r>
              <w:rPr>
                <w:noProof/>
                <w:webHidden/>
              </w:rPr>
              <w:fldChar w:fldCharType="end"/>
            </w:r>
          </w:hyperlink>
        </w:p>
        <w:p w14:paraId="695779C9" w14:textId="228B65E3" w:rsidR="002D03D0" w:rsidRDefault="002D03D0" w:rsidP="002D03D0">
          <w:pPr>
            <w:pStyle w:val="TOC1"/>
            <w:tabs>
              <w:tab w:val="right" w:leader="dot" w:pos="9016"/>
            </w:tabs>
            <w:spacing w:line="360" w:lineRule="auto"/>
            <w:rPr>
              <w:rFonts w:eastAsiaTheme="minorEastAsia"/>
              <w:noProof/>
              <w:lang/>
            </w:rPr>
          </w:pPr>
          <w:hyperlink w:anchor="_Toc242656353" w:history="1">
            <w:r w:rsidRPr="00583C81">
              <w:rPr>
                <w:rStyle w:val="Hyperlink"/>
                <w:rFonts w:ascii="Arial" w:eastAsia="Arial" w:hAnsi="Arial" w:cs="Arial"/>
                <w:b/>
                <w:bCs/>
                <w:noProof/>
              </w:rPr>
              <w:t>Reference List</w:t>
            </w:r>
            <w:r>
              <w:rPr>
                <w:noProof/>
                <w:webHidden/>
              </w:rPr>
              <w:tab/>
            </w:r>
            <w:r>
              <w:rPr>
                <w:noProof/>
                <w:webHidden/>
              </w:rPr>
              <w:fldChar w:fldCharType="begin"/>
            </w:r>
            <w:r>
              <w:rPr>
                <w:noProof/>
                <w:webHidden/>
              </w:rPr>
              <w:instrText xml:space="preserve"> PAGEREF _Toc242656353 \h </w:instrText>
            </w:r>
            <w:r>
              <w:rPr>
                <w:noProof/>
                <w:webHidden/>
              </w:rPr>
            </w:r>
            <w:r>
              <w:rPr>
                <w:noProof/>
                <w:webHidden/>
              </w:rPr>
              <w:fldChar w:fldCharType="separate"/>
            </w:r>
            <w:r>
              <w:rPr>
                <w:noProof/>
                <w:webHidden/>
              </w:rPr>
              <w:t>11</w:t>
            </w:r>
            <w:r>
              <w:rPr>
                <w:noProof/>
                <w:webHidden/>
              </w:rPr>
              <w:fldChar w:fldCharType="end"/>
            </w:r>
          </w:hyperlink>
        </w:p>
        <w:p w14:paraId="3C9603A4" w14:textId="5BE81079" w:rsidR="00E1626A" w:rsidRPr="002D03D0" w:rsidRDefault="00E1626A" w:rsidP="002D03D0">
          <w:pPr>
            <w:spacing w:line="360" w:lineRule="auto"/>
            <w:jc w:val="both"/>
            <w:rPr>
              <w:rFonts w:ascii="Arial" w:hAnsi="Arial" w:cs="Arial"/>
            </w:rPr>
          </w:pPr>
          <w:r w:rsidRPr="002D03D0">
            <w:rPr>
              <w:rFonts w:ascii="Arial" w:hAnsi="Arial" w:cs="Arial"/>
              <w:b/>
              <w:bCs/>
              <w:noProof/>
            </w:rPr>
            <w:fldChar w:fldCharType="end"/>
          </w:r>
        </w:p>
      </w:sdtContent>
    </w:sdt>
    <w:p w14:paraId="0AC732D3" w14:textId="77777777" w:rsidR="00E1626A" w:rsidRPr="002D03D0" w:rsidRDefault="00E1626A" w:rsidP="002D03D0">
      <w:pPr>
        <w:spacing w:line="360" w:lineRule="auto"/>
        <w:jc w:val="both"/>
        <w:rPr>
          <w:rFonts w:ascii="Arial" w:hAnsi="Arial" w:cs="Arial"/>
        </w:rPr>
      </w:pPr>
    </w:p>
    <w:p w14:paraId="63AA8405" w14:textId="0AB415F1" w:rsidR="00E1626A" w:rsidRPr="002D03D0" w:rsidRDefault="00E1626A" w:rsidP="002D03D0">
      <w:pPr>
        <w:spacing w:line="360" w:lineRule="auto"/>
        <w:jc w:val="both"/>
        <w:rPr>
          <w:rFonts w:ascii="Arial" w:hAnsi="Arial" w:cs="Arial"/>
        </w:rPr>
      </w:pPr>
    </w:p>
    <w:p w14:paraId="39BA8535" w14:textId="77777777" w:rsidR="00E1626A" w:rsidRPr="002D03D0" w:rsidRDefault="00E1626A" w:rsidP="002D03D0">
      <w:pPr>
        <w:spacing w:line="360" w:lineRule="auto"/>
        <w:jc w:val="both"/>
        <w:rPr>
          <w:rFonts w:ascii="Arial" w:hAnsi="Arial" w:cs="Arial"/>
        </w:rPr>
      </w:pPr>
    </w:p>
    <w:p w14:paraId="15F9A27F" w14:textId="77777777" w:rsidR="00E1626A" w:rsidRPr="002D03D0" w:rsidRDefault="00E1626A" w:rsidP="002D03D0">
      <w:pPr>
        <w:spacing w:line="360" w:lineRule="auto"/>
        <w:jc w:val="both"/>
        <w:rPr>
          <w:rFonts w:ascii="Arial" w:hAnsi="Arial" w:cs="Arial"/>
        </w:rPr>
      </w:pPr>
    </w:p>
    <w:p w14:paraId="46DDD0FF" w14:textId="77777777" w:rsidR="00E1626A" w:rsidRPr="002D03D0" w:rsidRDefault="00E1626A" w:rsidP="002D03D0">
      <w:pPr>
        <w:spacing w:line="360" w:lineRule="auto"/>
        <w:jc w:val="both"/>
        <w:rPr>
          <w:rFonts w:ascii="Arial" w:eastAsiaTheme="majorEastAsia" w:hAnsi="Arial" w:cs="Arial"/>
          <w:b/>
          <w:bCs/>
        </w:rPr>
      </w:pPr>
      <w:r w:rsidRPr="002D03D0">
        <w:rPr>
          <w:rFonts w:ascii="Arial" w:hAnsi="Arial" w:cs="Arial"/>
          <w:b/>
          <w:bCs/>
        </w:rPr>
        <w:br w:type="page"/>
      </w:r>
    </w:p>
    <w:p w14:paraId="370FB8D9" w14:textId="41A08A13" w:rsidR="00BA6090" w:rsidRPr="002D03D0" w:rsidRDefault="00BA6090" w:rsidP="002D03D0">
      <w:pPr>
        <w:pStyle w:val="Heading1"/>
        <w:spacing w:line="360" w:lineRule="auto"/>
        <w:jc w:val="both"/>
        <w:rPr>
          <w:rFonts w:ascii="Arial" w:hAnsi="Arial" w:cs="Arial"/>
          <w:b/>
          <w:bCs/>
          <w:color w:val="auto"/>
          <w:sz w:val="22"/>
          <w:szCs w:val="22"/>
        </w:rPr>
      </w:pPr>
      <w:bookmarkStart w:id="0" w:name="_Toc242656343"/>
      <w:r w:rsidRPr="002D03D0">
        <w:rPr>
          <w:rFonts w:ascii="Arial" w:hAnsi="Arial" w:cs="Arial"/>
          <w:b/>
          <w:bCs/>
          <w:color w:val="auto"/>
          <w:sz w:val="22"/>
          <w:szCs w:val="22"/>
        </w:rPr>
        <w:lastRenderedPageBreak/>
        <w:t>Task A: Designing Innovative Working Practices</w:t>
      </w:r>
      <w:bookmarkEnd w:id="0"/>
    </w:p>
    <w:p w14:paraId="71332E93" w14:textId="77777777" w:rsidR="00BA6090" w:rsidRPr="002D03D0" w:rsidRDefault="00BA6090" w:rsidP="002D03D0">
      <w:pPr>
        <w:pStyle w:val="Heading1"/>
        <w:spacing w:line="360" w:lineRule="auto"/>
        <w:jc w:val="both"/>
        <w:rPr>
          <w:rFonts w:ascii="Arial" w:hAnsi="Arial" w:cs="Arial"/>
          <w:b/>
          <w:bCs/>
          <w:color w:val="auto"/>
          <w:sz w:val="22"/>
          <w:szCs w:val="22"/>
        </w:rPr>
      </w:pPr>
      <w:bookmarkStart w:id="1" w:name="_Toc242656344"/>
      <w:r w:rsidRPr="002D03D0">
        <w:rPr>
          <w:rFonts w:ascii="Arial" w:hAnsi="Arial" w:cs="Arial"/>
          <w:b/>
          <w:bCs/>
          <w:color w:val="auto"/>
          <w:sz w:val="22"/>
          <w:szCs w:val="22"/>
        </w:rPr>
        <w:t>Evaluating traditional and contemporary work design</w:t>
      </w:r>
      <w:bookmarkEnd w:id="1"/>
    </w:p>
    <w:p w14:paraId="538EC41F" w14:textId="5B0B47DB" w:rsidR="00BA6090" w:rsidRPr="002D03D0" w:rsidRDefault="00BA6090" w:rsidP="002D03D0">
      <w:pPr>
        <w:spacing w:line="360" w:lineRule="auto"/>
        <w:jc w:val="both"/>
        <w:rPr>
          <w:rFonts w:ascii="Arial" w:hAnsi="Arial" w:cs="Arial"/>
        </w:rPr>
      </w:pPr>
      <w:r w:rsidRPr="002D03D0">
        <w:rPr>
          <w:rFonts w:ascii="Arial" w:hAnsi="Arial" w:cs="Arial"/>
        </w:rPr>
        <w:t>Traditional work design focuses on centralisation at the top of the organisation, fragmentation of roles</w:t>
      </w:r>
      <w:r w:rsidR="000D7EBA" w:rsidRPr="002D03D0">
        <w:rPr>
          <w:rFonts w:ascii="Arial" w:hAnsi="Arial" w:cs="Arial"/>
        </w:rPr>
        <w:t>,</w:t>
      </w:r>
      <w:r w:rsidRPr="002D03D0">
        <w:rPr>
          <w:rFonts w:ascii="Arial" w:hAnsi="Arial" w:cs="Arial"/>
        </w:rPr>
        <w:t xml:space="preserve"> and a multi-layered process of </w:t>
      </w:r>
      <w:r w:rsidR="000D7EBA" w:rsidRPr="002D03D0">
        <w:rPr>
          <w:rFonts w:ascii="Arial" w:hAnsi="Arial" w:cs="Arial"/>
        </w:rPr>
        <w:t>decision-making</w:t>
      </w:r>
      <w:r w:rsidRPr="002D03D0">
        <w:rPr>
          <w:rFonts w:ascii="Arial" w:hAnsi="Arial" w:cs="Arial"/>
        </w:rPr>
        <w:t>. This provides clarity and auditability, which is important in regulated healthcare technology, but does not fit the challenge NexSpace Health Systems (NHSX) faces—slow decisions, with little opportunity to experiment. However, Rigby, Sutherland and Noble (2018) claim that slow bureaucracy is a problem when it encroaches on agile teams, meaning the problem is likely not with the people, but with the hierarchy in NHSX.</w:t>
      </w:r>
    </w:p>
    <w:p w14:paraId="2706C9E1" w14:textId="46C0AC2F" w:rsidR="00BA6090" w:rsidRPr="002D03D0" w:rsidRDefault="00BA6090" w:rsidP="002D03D0">
      <w:pPr>
        <w:spacing w:line="360" w:lineRule="auto"/>
        <w:jc w:val="both"/>
        <w:rPr>
          <w:rFonts w:ascii="Arial" w:hAnsi="Arial" w:cs="Arial"/>
        </w:rPr>
      </w:pPr>
      <w:r w:rsidRPr="002D03D0">
        <w:rPr>
          <w:rFonts w:ascii="Arial" w:hAnsi="Arial" w:cs="Arial"/>
        </w:rPr>
        <w:t>High-performance and high-involvement work systems are the main contemporary alternative, combining HR practices such as selective hiring, training, information sharing</w:t>
      </w:r>
      <w:r w:rsidR="000D7EBA" w:rsidRPr="002D03D0">
        <w:rPr>
          <w:rFonts w:ascii="Arial" w:hAnsi="Arial" w:cs="Arial"/>
        </w:rPr>
        <w:t>,</w:t>
      </w:r>
      <w:r w:rsidRPr="002D03D0">
        <w:rPr>
          <w:rFonts w:ascii="Arial" w:hAnsi="Arial" w:cs="Arial"/>
        </w:rPr>
        <w:t xml:space="preserve"> and employee voice so that they reinforce one another. Their appeal is based on the presumed synergies, but according to the study of Boon, Den Hartog and Lepak (2019), which is based on 495 empirical studies, many studies do not test for synergies of combined practices and construct boundaries are blurred. These systems should rather be seen as design principles that are to be implemented and evaluated on a pilot basis, rather than as a formula. The sociotechnical approach further states that technology and work organisation need to be designed together: Makarius et al. (2020) state that many organisations implement AI without considering the people who will have to work with them, thereby missing out on the benefits of AI. This is important because NHSX has been looking at AI, but </w:t>
      </w:r>
      <w:r w:rsidR="000D7EBA" w:rsidRPr="002D03D0">
        <w:rPr>
          <w:rFonts w:ascii="Arial" w:hAnsi="Arial" w:cs="Arial"/>
        </w:rPr>
        <w:t>has</w:t>
      </w:r>
      <w:r w:rsidRPr="002D03D0">
        <w:rPr>
          <w:rFonts w:ascii="Arial" w:hAnsi="Arial" w:cs="Arial"/>
        </w:rPr>
        <w:t xml:space="preserve"> stuck with hierarchical working processes.</w:t>
      </w:r>
    </w:p>
    <w:p w14:paraId="4A7B96CD" w14:textId="4E855302" w:rsidR="00BA6090" w:rsidRPr="002D03D0" w:rsidRDefault="00BA6090" w:rsidP="002D03D0">
      <w:pPr>
        <w:spacing w:line="360" w:lineRule="auto"/>
        <w:jc w:val="both"/>
        <w:rPr>
          <w:rFonts w:ascii="Arial" w:hAnsi="Arial" w:cs="Arial"/>
        </w:rPr>
      </w:pPr>
      <w:r w:rsidRPr="002D03D0">
        <w:rPr>
          <w:rFonts w:ascii="Arial" w:hAnsi="Arial" w:cs="Arial"/>
        </w:rPr>
        <w:t>The evidence relating to hybrid and flexible working is positive but specific. Bloom, Han and Liang (2024) conducted a randomized trial of 1612 Trip.com employees and concluded that giving two home days per week reduced attrition by approximately 30% without impacting performance evaluations or promotions. In contrast, Yang et al. (2022) looked at the collaboration networks of 61,182 Microsoft workers who were required to work remotely across the company and concluded that networks were more fragmented and less likely to connect various teams within the company. Combining the studies, structured hybrid work shows positive retention effects, and fully remote work shows negative cross-boundary knowledge flow effects. However, neither of these included a healthcare technology company working across the UK, India and the UAE, making it hard to tell whether the model would be transferable.</w:t>
      </w:r>
    </w:p>
    <w:p w14:paraId="02551D0E" w14:textId="4F0619B7" w:rsidR="00BA6090" w:rsidRPr="002D03D0" w:rsidRDefault="00BA6090" w:rsidP="002D03D0">
      <w:pPr>
        <w:spacing w:line="360" w:lineRule="auto"/>
        <w:jc w:val="both"/>
        <w:rPr>
          <w:rFonts w:ascii="Arial" w:hAnsi="Arial" w:cs="Arial"/>
        </w:rPr>
      </w:pPr>
      <w:r w:rsidRPr="002D03D0">
        <w:rPr>
          <w:rFonts w:ascii="Arial" w:hAnsi="Arial" w:cs="Arial"/>
        </w:rPr>
        <w:t xml:space="preserve">Practice data add cautions. According to CIPD (2025), 74% of employers say they are using hybrid working, up from 84% in 2023, with employers most likely to identify it as a benefit for attracting and holding staff, and managers' leadership of teams as the most affected area. The </w:t>
      </w:r>
      <w:r w:rsidRPr="002D03D0">
        <w:rPr>
          <w:rFonts w:ascii="Arial" w:hAnsi="Arial" w:cs="Arial"/>
        </w:rPr>
        <w:lastRenderedPageBreak/>
        <w:t xml:space="preserve">Employment Relations (Flexible Working) Act 2023, which comes into effect from April 2024, imposes a cap of two requests per year, necessitates consultation prior to refusal and extends the decision-making period to two months, creating a statutory floor for NHSX's UK staff. Agile working is the model most relevant to innovation: Rigby, Sutherland and Noble (2018) describe small, multidisciplinary teams close to customers that, when well set up, tend to improve productivity, morale, speed and quality, but they caution that agile does not suit every activity and that surrounding processes must adapt. This means </w:t>
      </w:r>
      <w:r w:rsidR="00E1626A" w:rsidRPr="002D03D0">
        <w:rPr>
          <w:rFonts w:ascii="Arial" w:hAnsi="Arial" w:cs="Arial"/>
        </w:rPr>
        <w:t xml:space="preserve">that </w:t>
      </w:r>
      <w:r w:rsidRPr="002D03D0">
        <w:rPr>
          <w:rFonts w:ascii="Arial" w:hAnsi="Arial" w:cs="Arial"/>
        </w:rPr>
        <w:t>where the adoption is selective, Clinical-Safety governance is maintained in a clinically regulated environment.</w:t>
      </w:r>
    </w:p>
    <w:p w14:paraId="164848C0" w14:textId="66633E00" w:rsidR="00BA6090" w:rsidRPr="002D03D0" w:rsidRDefault="00BA6090" w:rsidP="002D03D0">
      <w:pPr>
        <w:spacing w:line="360" w:lineRule="auto"/>
        <w:jc w:val="both"/>
        <w:rPr>
          <w:rFonts w:ascii="Arial" w:hAnsi="Arial" w:cs="Arial"/>
        </w:rPr>
      </w:pPr>
      <w:r w:rsidRPr="002D03D0">
        <w:rPr>
          <w:rFonts w:ascii="Arial" w:hAnsi="Arial" w:cs="Arial"/>
        </w:rPr>
        <w:t xml:space="preserve">The short also highlights the challenge faced by managers of balancing wellbeing with performance. Shi et al. (2024) administered four waves of this survey to 420 employees across 16 UK organisations, and found that perceived high performance work systems predicted later performance, in part through job satisfaction, but that the argument that health </w:t>
      </w:r>
      <w:r w:rsidR="00E1626A" w:rsidRPr="002D03D0">
        <w:rPr>
          <w:rFonts w:ascii="Arial" w:hAnsi="Arial" w:cs="Arial"/>
        </w:rPr>
        <w:t xml:space="preserve">and </w:t>
      </w:r>
      <w:r w:rsidRPr="002D03D0">
        <w:rPr>
          <w:rFonts w:ascii="Arial" w:hAnsi="Arial" w:cs="Arial"/>
        </w:rPr>
        <w:t xml:space="preserve">well-being </w:t>
      </w:r>
      <w:r w:rsidR="00E1626A" w:rsidRPr="002D03D0">
        <w:rPr>
          <w:rFonts w:ascii="Arial" w:hAnsi="Arial" w:cs="Arial"/>
        </w:rPr>
        <w:t>work</w:t>
      </w:r>
      <w:r w:rsidRPr="002D03D0">
        <w:rPr>
          <w:rFonts w:ascii="Arial" w:hAnsi="Arial" w:cs="Arial"/>
        </w:rPr>
        <w:t xml:space="preserve"> differently was only partially supported. The assumption is that increased expectations do not necessarily have a negative impact on wellbeing; NHSX should look at workload and health as well as output.</w:t>
      </w:r>
    </w:p>
    <w:p w14:paraId="6E1BBD19" w14:textId="77777777" w:rsidR="00BA6090" w:rsidRPr="002D03D0" w:rsidRDefault="00BA6090" w:rsidP="002D03D0">
      <w:pPr>
        <w:spacing w:line="360" w:lineRule="auto"/>
        <w:jc w:val="both"/>
        <w:rPr>
          <w:rFonts w:ascii="Arial" w:hAnsi="Arial" w:cs="Arial"/>
        </w:rPr>
      </w:pPr>
      <w:r w:rsidRPr="002D03D0">
        <w:rPr>
          <w:rFonts w:ascii="Arial" w:hAnsi="Arial" w:cs="Arial"/>
        </w:rPr>
        <w:t>The models are complementary, rather than competitive. Hierarchy provides accountability, pods provide fast, hybrid arrangements provide retention and reach, and high involvement practices provide motivation. The main weakness of the literature is that most of the evidence comes from large technology or service companies, but not regulated health care organisations – and the strength of each of these effects at NHSX is an empirical question. The recommendation below is therefore a selective synthesis and also incorporates elements in the design which are measurable.</w:t>
      </w:r>
    </w:p>
    <w:p w14:paraId="393266A3" w14:textId="77777777" w:rsidR="00BA6090" w:rsidRPr="002D03D0" w:rsidRDefault="00BA6090" w:rsidP="002D03D0">
      <w:pPr>
        <w:pStyle w:val="Heading1"/>
        <w:spacing w:line="360" w:lineRule="auto"/>
        <w:jc w:val="both"/>
        <w:rPr>
          <w:rFonts w:ascii="Arial" w:hAnsi="Arial" w:cs="Arial"/>
          <w:b/>
          <w:bCs/>
          <w:color w:val="auto"/>
          <w:sz w:val="22"/>
          <w:szCs w:val="22"/>
        </w:rPr>
      </w:pPr>
      <w:bookmarkStart w:id="2" w:name="_Toc242656345"/>
      <w:r w:rsidRPr="002D03D0">
        <w:rPr>
          <w:rFonts w:ascii="Arial" w:hAnsi="Arial" w:cs="Arial"/>
          <w:b/>
          <w:bCs/>
          <w:color w:val="auto"/>
          <w:sz w:val="22"/>
          <w:szCs w:val="22"/>
        </w:rPr>
        <w:t>Recommended framework: the NHSX Distributed Innovation Model</w:t>
      </w:r>
      <w:bookmarkEnd w:id="2"/>
    </w:p>
    <w:p w14:paraId="02F198A1" w14:textId="6B38E4B3" w:rsidR="00666549" w:rsidRPr="002D03D0" w:rsidRDefault="00BA6090" w:rsidP="002D03D0">
      <w:pPr>
        <w:spacing w:line="360" w:lineRule="auto"/>
        <w:jc w:val="both"/>
        <w:rPr>
          <w:rFonts w:ascii="Arial" w:hAnsi="Arial" w:cs="Arial"/>
        </w:rPr>
      </w:pPr>
      <w:r w:rsidRPr="002D03D0">
        <w:rPr>
          <w:rFonts w:ascii="Arial" w:hAnsi="Arial" w:cs="Arial"/>
        </w:rPr>
        <w:t>Considering the difficulties in the brief, I would propose an integrated model, where each element reinforces the other (Table 1).</w:t>
      </w:r>
    </w:p>
    <w:p w14:paraId="28F90C91" w14:textId="77777777" w:rsidR="00300002" w:rsidRPr="002D03D0" w:rsidRDefault="00300002" w:rsidP="002D03D0">
      <w:pPr>
        <w:keepNext/>
        <w:spacing w:before="120" w:after="80" w:line="360" w:lineRule="auto"/>
        <w:jc w:val="both"/>
        <w:rPr>
          <w:rFonts w:ascii="Arial" w:hAnsi="Arial" w:cs="Arial"/>
        </w:rPr>
      </w:pPr>
      <w:r w:rsidRPr="002D03D0">
        <w:rPr>
          <w:rFonts w:ascii="Arial" w:eastAsia="Arial" w:hAnsi="Arial" w:cs="Arial"/>
          <w:b/>
          <w:bCs/>
        </w:rPr>
        <w:t>Table 1: The NHSX Distributed Innovation Model (author’s synthesis of the sources cited)</w:t>
      </w:r>
    </w:p>
    <w:tbl>
      <w:tblPr>
        <w:tblStyle w:val="TableGrid"/>
        <w:tblW w:w="9026" w:type="dxa"/>
        <w:tblLook w:val="04A0" w:firstRow="1" w:lastRow="0" w:firstColumn="1" w:lastColumn="0" w:noHBand="0" w:noVBand="1"/>
      </w:tblPr>
      <w:tblGrid>
        <w:gridCol w:w="2100"/>
        <w:gridCol w:w="4926"/>
        <w:gridCol w:w="2000"/>
      </w:tblGrid>
      <w:tr w:rsidR="002D03D0" w:rsidRPr="002D03D0" w14:paraId="4AF5CCCF" w14:textId="77777777" w:rsidTr="002D03D0">
        <w:tc>
          <w:tcPr>
            <w:tcW w:w="2100" w:type="dxa"/>
          </w:tcPr>
          <w:p w14:paraId="7563F0BD" w14:textId="77777777" w:rsidR="00300002" w:rsidRPr="002D03D0" w:rsidRDefault="00300002" w:rsidP="002D03D0">
            <w:pPr>
              <w:spacing w:line="360" w:lineRule="auto"/>
              <w:jc w:val="both"/>
              <w:rPr>
                <w:rFonts w:ascii="Arial" w:hAnsi="Arial" w:cs="Arial"/>
              </w:rPr>
            </w:pPr>
            <w:r w:rsidRPr="002D03D0">
              <w:rPr>
                <w:rFonts w:ascii="Arial" w:eastAsia="Arial" w:hAnsi="Arial" w:cs="Arial"/>
                <w:b/>
                <w:bCs/>
              </w:rPr>
              <w:t>Element</w:t>
            </w:r>
          </w:p>
        </w:tc>
        <w:tc>
          <w:tcPr>
            <w:tcW w:w="4926" w:type="dxa"/>
          </w:tcPr>
          <w:p w14:paraId="161774BE" w14:textId="77777777" w:rsidR="00300002" w:rsidRPr="002D03D0" w:rsidRDefault="00300002" w:rsidP="002D03D0">
            <w:pPr>
              <w:spacing w:line="360" w:lineRule="auto"/>
              <w:jc w:val="both"/>
              <w:rPr>
                <w:rFonts w:ascii="Arial" w:hAnsi="Arial" w:cs="Arial"/>
              </w:rPr>
            </w:pPr>
            <w:r w:rsidRPr="002D03D0">
              <w:rPr>
                <w:rFonts w:ascii="Arial" w:eastAsia="Arial" w:hAnsi="Arial" w:cs="Arial"/>
                <w:b/>
                <w:bCs/>
              </w:rPr>
              <w:t>Design and evidence</w:t>
            </w:r>
          </w:p>
        </w:tc>
        <w:tc>
          <w:tcPr>
            <w:tcW w:w="2000" w:type="dxa"/>
          </w:tcPr>
          <w:p w14:paraId="1CE65273" w14:textId="77777777" w:rsidR="00300002" w:rsidRPr="002D03D0" w:rsidRDefault="00300002" w:rsidP="002D03D0">
            <w:pPr>
              <w:spacing w:line="360" w:lineRule="auto"/>
              <w:jc w:val="both"/>
              <w:rPr>
                <w:rFonts w:ascii="Arial" w:hAnsi="Arial" w:cs="Arial"/>
              </w:rPr>
            </w:pPr>
            <w:r w:rsidRPr="002D03D0">
              <w:rPr>
                <w:rFonts w:ascii="Arial" w:eastAsia="Arial" w:hAnsi="Arial" w:cs="Arial"/>
                <w:b/>
                <w:bCs/>
              </w:rPr>
              <w:t>Performance measure</w:t>
            </w:r>
          </w:p>
        </w:tc>
      </w:tr>
      <w:tr w:rsidR="002D03D0" w:rsidRPr="002D03D0" w14:paraId="53154712" w14:textId="77777777" w:rsidTr="002D03D0">
        <w:tc>
          <w:tcPr>
            <w:tcW w:w="2100" w:type="dxa"/>
          </w:tcPr>
          <w:p w14:paraId="52BF0288"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Cross-functional innovation pods</w:t>
            </w:r>
          </w:p>
        </w:tc>
        <w:tc>
          <w:tcPr>
            <w:tcW w:w="4926" w:type="dxa"/>
          </w:tcPr>
          <w:p w14:paraId="04D0F360"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Clinical, engineering and data science staff in small teams owning product outcomes, with decision rights below a defined clinical-risk threshold, reducing approval layers (Rigby, Sutherland and Noble, 2018).</w:t>
            </w:r>
          </w:p>
        </w:tc>
        <w:tc>
          <w:tcPr>
            <w:tcW w:w="2000" w:type="dxa"/>
          </w:tcPr>
          <w:p w14:paraId="5F1566CA"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Decision cycle time; experiments per quarter</w:t>
            </w:r>
          </w:p>
        </w:tc>
      </w:tr>
      <w:tr w:rsidR="002D03D0" w:rsidRPr="002D03D0" w14:paraId="04382748" w14:textId="77777777" w:rsidTr="002D03D0">
        <w:tc>
          <w:tcPr>
            <w:tcW w:w="2100" w:type="dxa"/>
          </w:tcPr>
          <w:p w14:paraId="725468C2"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lastRenderedPageBreak/>
              <w:t>Structured hybrid working</w:t>
            </w:r>
          </w:p>
        </w:tc>
        <w:tc>
          <w:tcPr>
            <w:tcW w:w="4926" w:type="dxa"/>
          </w:tcPr>
          <w:p w14:paraId="2B43D7E8"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Anchor days for complex problem-solving, asynchronous norms across time zones, and a UK flexibility baseline set by the 2023 Act, mitigating siloing (Bloom, Han and Liang, 2024; Yang et al., 2022).</w:t>
            </w:r>
          </w:p>
        </w:tc>
        <w:tc>
          <w:tcPr>
            <w:tcW w:w="2000" w:type="dxa"/>
          </w:tcPr>
          <w:p w14:paraId="64BEBBD1"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Cross-site collaboration ties; attrition</w:t>
            </w:r>
          </w:p>
        </w:tc>
      </w:tr>
      <w:tr w:rsidR="002D03D0" w:rsidRPr="002D03D0" w14:paraId="12538357" w14:textId="77777777" w:rsidTr="002D03D0">
        <w:tc>
          <w:tcPr>
            <w:tcW w:w="2100" w:type="dxa"/>
          </w:tcPr>
          <w:p w14:paraId="7947AD46"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Outcome-based autonomy</w:t>
            </w:r>
          </w:p>
        </w:tc>
        <w:tc>
          <w:tcPr>
            <w:tcW w:w="4926" w:type="dxa"/>
          </w:tcPr>
          <w:p w14:paraId="4DCF5881"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Objectives and reviews based on outcomes, managers as coaches and explicit workload boundaries, testing rather than assuming HPWS synergies (Boon, Den Hartog and Lepak, 2019; Shi et al., 2024).</w:t>
            </w:r>
          </w:p>
        </w:tc>
        <w:tc>
          <w:tcPr>
            <w:tcW w:w="2000" w:type="dxa"/>
          </w:tcPr>
          <w:p w14:paraId="2683334B"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Manager-reported workload; wellbeing pulse</w:t>
            </w:r>
          </w:p>
        </w:tc>
      </w:tr>
      <w:tr w:rsidR="002D03D0" w:rsidRPr="002D03D0" w14:paraId="5AA6E1ED" w14:textId="77777777" w:rsidTr="002D03D0">
        <w:tc>
          <w:tcPr>
            <w:tcW w:w="2100" w:type="dxa"/>
          </w:tcPr>
          <w:p w14:paraId="28E251D6"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Sociotechnical digital layer</w:t>
            </w:r>
          </w:p>
        </w:tc>
        <w:tc>
          <w:tcPr>
            <w:tcW w:w="4926" w:type="dxa"/>
          </w:tcPr>
          <w:p w14:paraId="0D6A3F2F"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Shared decision logs and an AI-assisted knowledge base co-designed with users so technology supports the new practices (Makarius et al., 2020).</w:t>
            </w:r>
          </w:p>
        </w:tc>
        <w:tc>
          <w:tcPr>
            <w:tcW w:w="2000" w:type="dxa"/>
          </w:tcPr>
          <w:p w14:paraId="4006A9A4" w14:textId="77777777" w:rsidR="00300002" w:rsidRPr="002D03D0" w:rsidRDefault="00300002" w:rsidP="002D03D0">
            <w:pPr>
              <w:spacing w:line="360" w:lineRule="auto"/>
              <w:jc w:val="both"/>
              <w:rPr>
                <w:rFonts w:ascii="Arial" w:hAnsi="Arial" w:cs="Arial"/>
              </w:rPr>
            </w:pPr>
            <w:r w:rsidRPr="002D03D0">
              <w:rPr>
                <w:rFonts w:ascii="Arial" w:eastAsia="Arial" w:hAnsi="Arial" w:cs="Arial"/>
              </w:rPr>
              <w:t>Knowledge-base use; time to locate decisions</w:t>
            </w:r>
          </w:p>
        </w:tc>
      </w:tr>
    </w:tbl>
    <w:p w14:paraId="00AA8691" w14:textId="62C8059F" w:rsidR="00300002" w:rsidRPr="002D03D0" w:rsidRDefault="00300002" w:rsidP="002D03D0">
      <w:pPr>
        <w:spacing w:line="360" w:lineRule="auto"/>
        <w:jc w:val="both"/>
        <w:rPr>
          <w:rFonts w:ascii="Arial" w:hAnsi="Arial" w:cs="Arial"/>
        </w:rPr>
      </w:pPr>
    </w:p>
    <w:p w14:paraId="2D7B31C6" w14:textId="77777777" w:rsidR="001F0678" w:rsidRPr="002D03D0" w:rsidRDefault="001F0678" w:rsidP="002D03D0">
      <w:pPr>
        <w:spacing w:line="360" w:lineRule="auto"/>
        <w:jc w:val="both"/>
        <w:rPr>
          <w:rFonts w:ascii="Arial" w:hAnsi="Arial" w:cs="Arial"/>
        </w:rPr>
      </w:pPr>
      <w:r w:rsidRPr="002D03D0">
        <w:rPr>
          <w:rFonts w:ascii="Arial" w:hAnsi="Arial" w:cs="Arial"/>
        </w:rPr>
        <w:t>These recommendations improve organisational performance through three mechanisms: faster decisions (pods), lower loss of experienced staff (hybrid) and stronger knowledge flow (digital layer and anchor days). NHSX should experiment with the model in 1 product line of AI, establish Table 1 measures at baseline, and review at 6 months and 12 months prior to scaling. This staging also provides managers with a helping hand, as CIPD (2025) has found team leadership is the most damaged by hybrid working. Common decision logs and shared eligibility criteria provide for limited duplicated work across pods and unequal access between sites.</w:t>
      </w:r>
    </w:p>
    <w:p w14:paraId="6A313518" w14:textId="1E71954F" w:rsidR="001F0678" w:rsidRPr="002D03D0" w:rsidRDefault="001F0678" w:rsidP="002D03D0">
      <w:pPr>
        <w:pStyle w:val="Heading1"/>
        <w:spacing w:line="360" w:lineRule="auto"/>
        <w:jc w:val="both"/>
        <w:rPr>
          <w:rFonts w:ascii="Arial" w:hAnsi="Arial" w:cs="Arial"/>
          <w:b/>
          <w:bCs/>
          <w:color w:val="auto"/>
          <w:sz w:val="22"/>
          <w:szCs w:val="22"/>
        </w:rPr>
      </w:pPr>
      <w:bookmarkStart w:id="3" w:name="_Toc242656346"/>
      <w:r w:rsidRPr="002D03D0">
        <w:rPr>
          <w:rFonts w:ascii="Arial" w:hAnsi="Arial" w:cs="Arial"/>
          <w:b/>
          <w:bCs/>
          <w:color w:val="auto"/>
          <w:sz w:val="22"/>
          <w:szCs w:val="22"/>
        </w:rPr>
        <w:t>Task B: Creating a Culture of Talent Development</w:t>
      </w:r>
      <w:bookmarkEnd w:id="3"/>
    </w:p>
    <w:p w14:paraId="7CCED473" w14:textId="77777777" w:rsidR="001F0678" w:rsidRPr="002D03D0" w:rsidRDefault="001F0678" w:rsidP="002D03D0">
      <w:pPr>
        <w:pStyle w:val="Heading1"/>
        <w:spacing w:line="360" w:lineRule="auto"/>
        <w:jc w:val="both"/>
        <w:rPr>
          <w:rFonts w:ascii="Arial" w:hAnsi="Arial" w:cs="Arial"/>
          <w:b/>
          <w:bCs/>
          <w:color w:val="auto"/>
          <w:sz w:val="22"/>
          <w:szCs w:val="22"/>
        </w:rPr>
      </w:pPr>
      <w:bookmarkStart w:id="4" w:name="_Toc242656347"/>
      <w:r w:rsidRPr="002D03D0">
        <w:rPr>
          <w:rFonts w:ascii="Arial" w:hAnsi="Arial" w:cs="Arial"/>
          <w:b/>
          <w:bCs/>
          <w:color w:val="auto"/>
          <w:sz w:val="22"/>
          <w:szCs w:val="22"/>
        </w:rPr>
        <w:t>Assessing talent growth</w:t>
      </w:r>
      <w:bookmarkEnd w:id="4"/>
    </w:p>
    <w:p w14:paraId="25B92DD9" w14:textId="77777777" w:rsidR="001F0678" w:rsidRPr="002D03D0" w:rsidRDefault="001F0678" w:rsidP="002D03D0">
      <w:pPr>
        <w:spacing w:line="360" w:lineRule="auto"/>
        <w:jc w:val="both"/>
        <w:rPr>
          <w:rFonts w:ascii="Arial" w:hAnsi="Arial" w:cs="Arial"/>
        </w:rPr>
      </w:pPr>
      <w:r w:rsidRPr="002D03D0">
        <w:rPr>
          <w:rFonts w:ascii="Arial" w:hAnsi="Arial" w:cs="Arial"/>
        </w:rPr>
        <w:t>The learning organisation, associated with Senge (2006), describes organisations in which people continually learn together and expand their capacity to achieve the results they want. Garvin, Edmondson and Gino (2008) make it practical by highlighting three building blocks: a supportive learning environment (psychological safety, appreciation of differences, openness to new ideas and time for reflection), concrete learning processes (experiments, structured knowledge sharing), and leadership that reinforces learning. This directly challenges the limited experimentation in NHSX, but it's not a tested causal model.</w:t>
      </w:r>
    </w:p>
    <w:p w14:paraId="4C20B13A" w14:textId="3FF834AC" w:rsidR="001F0678" w:rsidRPr="002D03D0" w:rsidRDefault="001F0678" w:rsidP="002D03D0">
      <w:pPr>
        <w:spacing w:line="360" w:lineRule="auto"/>
        <w:jc w:val="both"/>
        <w:rPr>
          <w:rFonts w:ascii="Arial" w:hAnsi="Arial" w:cs="Arial"/>
        </w:rPr>
      </w:pPr>
      <w:r w:rsidRPr="002D03D0">
        <w:rPr>
          <w:rFonts w:ascii="Arial" w:hAnsi="Arial" w:cs="Arial"/>
        </w:rPr>
        <w:t xml:space="preserve">Psychological safety, a culture where individuals feel comfortable to speak up and take interpersonal risks, is the most consistently supported prerequisite for learning. Edmondson </w:t>
      </w:r>
      <w:r w:rsidRPr="002D03D0">
        <w:rPr>
          <w:rFonts w:ascii="Arial" w:hAnsi="Arial" w:cs="Arial"/>
        </w:rPr>
        <w:lastRenderedPageBreak/>
        <w:t>and Bransby (2023) arrange literature in terms of task accomplishment, learning behaviours, quality of work experience and leadership, and conclude that it aids organisations in learning and performing in a volatile environment. O'Donovan &amp; McAuliffe (2020) reviewed 36 studies in the healthcare sector that reveal five enabling clusters: a shared safety focus, a learning mindset, peer and leader support, familiarity among team members, and the role of status and hierarchy in inclusion. The final is directly relevant to NHSX, and where hierarchy seems to crush experimentation, evidence from a healthcare team might not be readily transferable to a tech company.</w:t>
      </w:r>
    </w:p>
    <w:p w14:paraId="1D3BDE48" w14:textId="77777777" w:rsidR="001F0678" w:rsidRPr="002D03D0" w:rsidRDefault="001F0678" w:rsidP="002D03D0">
      <w:pPr>
        <w:spacing w:line="360" w:lineRule="auto"/>
        <w:jc w:val="both"/>
        <w:rPr>
          <w:rFonts w:ascii="Arial" w:hAnsi="Arial" w:cs="Arial"/>
        </w:rPr>
      </w:pPr>
      <w:r w:rsidRPr="002D03D0">
        <w:rPr>
          <w:rFonts w:ascii="Arial" w:hAnsi="Arial" w:cs="Arial"/>
        </w:rPr>
        <w:t>Growth-mindset thinking becomes Growth-Mindset Beliefs in organisations. Canning et al. (2020), across three studies including over 500 employees at seven large companies, found that employees who perceived their employer as holding fixed views of talent reported less collaboration, innovation and integrity, and lower trust and commitment. Whilst the mindset at company level is useful, the evidence from the employee survey is correlational and suggests that growth talk is not enough without other company-enabling structures like development pathways and fair feedback.</w:t>
      </w:r>
    </w:p>
    <w:p w14:paraId="1CCB2C53" w14:textId="69B85563" w:rsidR="001F0678" w:rsidRPr="002D03D0" w:rsidRDefault="001F0678" w:rsidP="002D03D0">
      <w:pPr>
        <w:spacing w:line="360" w:lineRule="auto"/>
        <w:jc w:val="both"/>
        <w:rPr>
          <w:rFonts w:ascii="Arial" w:hAnsi="Arial" w:cs="Arial"/>
        </w:rPr>
      </w:pPr>
      <w:r w:rsidRPr="002D03D0">
        <w:rPr>
          <w:rFonts w:ascii="Arial" w:hAnsi="Arial" w:cs="Arial"/>
        </w:rPr>
        <w:t xml:space="preserve">Self-determination theory provides an explanation for why. Ryan and Deci (2020) state that motivation and wellbeing </w:t>
      </w:r>
      <w:r w:rsidR="00E1626A" w:rsidRPr="002D03D0">
        <w:rPr>
          <w:rFonts w:ascii="Arial" w:hAnsi="Arial" w:cs="Arial"/>
        </w:rPr>
        <w:t>rely</w:t>
      </w:r>
      <w:r w:rsidRPr="002D03D0">
        <w:rPr>
          <w:rFonts w:ascii="Arial" w:hAnsi="Arial" w:cs="Arial"/>
        </w:rPr>
        <w:t xml:space="preserve"> on and </w:t>
      </w:r>
      <w:r w:rsidR="00E1626A" w:rsidRPr="002D03D0">
        <w:rPr>
          <w:rFonts w:ascii="Arial" w:hAnsi="Arial" w:cs="Arial"/>
        </w:rPr>
        <w:t>improve</w:t>
      </w:r>
      <w:r w:rsidRPr="002D03D0">
        <w:rPr>
          <w:rFonts w:ascii="Arial" w:hAnsi="Arial" w:cs="Arial"/>
        </w:rPr>
        <w:t xml:space="preserve"> with autonomy, competence</w:t>
      </w:r>
      <w:r w:rsidR="00E1626A" w:rsidRPr="002D03D0">
        <w:rPr>
          <w:rFonts w:ascii="Arial" w:hAnsi="Arial" w:cs="Arial"/>
        </w:rPr>
        <w:t>,</w:t>
      </w:r>
      <w:r w:rsidRPr="002D03D0">
        <w:rPr>
          <w:rFonts w:ascii="Arial" w:hAnsi="Arial" w:cs="Arial"/>
        </w:rPr>
        <w:t xml:space="preserve"> and relatedness, but </w:t>
      </w:r>
      <w:r w:rsidR="00E1626A" w:rsidRPr="002D03D0">
        <w:rPr>
          <w:rFonts w:ascii="Arial" w:hAnsi="Arial" w:cs="Arial"/>
        </w:rPr>
        <w:t>degrade</w:t>
      </w:r>
      <w:r w:rsidRPr="002D03D0">
        <w:rPr>
          <w:rFonts w:ascii="Arial" w:hAnsi="Arial" w:cs="Arial"/>
        </w:rPr>
        <w:t xml:space="preserve"> when these are blocked, which aligns with the reduced creativity and career advancement seen at NHSX. Job crafting offers employees a route to satisfy these needs. Böhnlein and Baum's (2022) meta-analysis of 60 samples revealed that promotion-oriented crafting was related to greater wellbeing and performance, while prevention-oriented crafting had no significant performance relationship</w:t>
      </w:r>
      <w:r w:rsidR="00E1626A" w:rsidRPr="002D03D0">
        <w:rPr>
          <w:rFonts w:ascii="Arial" w:hAnsi="Arial" w:cs="Arial"/>
        </w:rPr>
        <w:t>,</w:t>
      </w:r>
      <w:r w:rsidRPr="002D03D0">
        <w:rPr>
          <w:rFonts w:ascii="Arial" w:hAnsi="Arial" w:cs="Arial"/>
        </w:rPr>
        <w:t xml:space="preserve"> and effects were partially mediated by cultural practices. NHSX should therefore not make assumptions about how the same effects would occur in the UK, India and UAE.</w:t>
      </w:r>
    </w:p>
    <w:p w14:paraId="39704086" w14:textId="15CA194D" w:rsidR="001F0678" w:rsidRPr="002D03D0" w:rsidRDefault="001F0678" w:rsidP="002D03D0">
      <w:pPr>
        <w:spacing w:line="360" w:lineRule="auto"/>
        <w:jc w:val="both"/>
        <w:rPr>
          <w:rFonts w:ascii="Arial" w:hAnsi="Arial" w:cs="Arial"/>
        </w:rPr>
      </w:pPr>
      <w:r w:rsidRPr="002D03D0">
        <w:rPr>
          <w:rFonts w:ascii="Arial" w:hAnsi="Arial" w:cs="Arial"/>
        </w:rPr>
        <w:t>Talent management systems pose the question of whom to develop. Gallardo-Gallardo et al (2020) suggest that organisational context has been underplayed, influencing the understanding, application and effectiveness of talent management, and NHSX should not assume a template but rather identify talent for their context. By synthesising the findings of 97 articles, Andrés Reina, Díaz-Muñoz and Rodríguez-Fernández (2024) found five dimensions of employee experience: health and safety, wellbeing, engagement, human resource management, and organisational culture. It is a mapping review, rather than a test of what works. Across the health sector NHSX serves, retention is recognised as being linked to factors of culture, leadership and wellbeing</w:t>
      </w:r>
      <w:r w:rsidR="00E1626A" w:rsidRPr="002D03D0">
        <w:rPr>
          <w:rFonts w:ascii="Arial" w:hAnsi="Arial" w:cs="Arial"/>
        </w:rPr>
        <w:t>,</w:t>
      </w:r>
      <w:r w:rsidRPr="002D03D0">
        <w:rPr>
          <w:rFonts w:ascii="Arial" w:hAnsi="Arial" w:cs="Arial"/>
        </w:rPr>
        <w:t xml:space="preserve"> as stated in NHS Long Term Workforce Plan (NHS England, 2023). Theories generally agree that the basis is psychological conditions, but </w:t>
      </w:r>
      <w:r w:rsidRPr="002D03D0">
        <w:rPr>
          <w:rFonts w:ascii="Arial" w:hAnsi="Arial" w:cs="Arial"/>
        </w:rPr>
        <w:lastRenderedPageBreak/>
        <w:t>most are self-reported or cross sectional, and NHSX needs to develop its strategy to learn from its own data.</w:t>
      </w:r>
    </w:p>
    <w:p w14:paraId="22681C63" w14:textId="28DFA7F8" w:rsidR="001F0678" w:rsidRPr="002D03D0" w:rsidRDefault="001F0678" w:rsidP="002D03D0">
      <w:pPr>
        <w:spacing w:line="360" w:lineRule="auto"/>
        <w:jc w:val="both"/>
        <w:rPr>
          <w:rFonts w:ascii="Arial" w:hAnsi="Arial" w:cs="Arial"/>
        </w:rPr>
      </w:pPr>
      <w:r w:rsidRPr="002D03D0">
        <w:rPr>
          <w:rFonts w:ascii="Arial" w:hAnsi="Arial" w:cs="Arial"/>
        </w:rPr>
        <w:t>These strands interact. Psychological safety makes it safe for employees to express their feelings of autonomy and their needs to grow, which are identified in self-determination theory; job crafting translates those needs into real-world adjustments of tasks and relationships; and talent architecture decides if that growth is noticed and fairly rewarded. With one missing strand, the others are weaker. This favours an integrated strategy, although research tends to examine the mechanisms separately</w:t>
      </w:r>
      <w:r w:rsidR="00E1626A" w:rsidRPr="002D03D0">
        <w:rPr>
          <w:rFonts w:ascii="Arial" w:hAnsi="Arial" w:cs="Arial"/>
        </w:rPr>
        <w:t>,</w:t>
      </w:r>
      <w:r w:rsidRPr="002D03D0">
        <w:rPr>
          <w:rFonts w:ascii="Arial" w:hAnsi="Arial" w:cs="Arial"/>
        </w:rPr>
        <w:t xml:space="preserve"> and their combined effect is untested.</w:t>
      </w:r>
    </w:p>
    <w:p w14:paraId="0F15D54A" w14:textId="77777777" w:rsidR="001F0678" w:rsidRPr="002D03D0" w:rsidRDefault="001F0678" w:rsidP="002D03D0">
      <w:pPr>
        <w:spacing w:line="360" w:lineRule="auto"/>
        <w:jc w:val="both"/>
        <w:rPr>
          <w:rFonts w:ascii="Arial" w:hAnsi="Arial" w:cs="Arial"/>
        </w:rPr>
      </w:pPr>
      <w:r w:rsidRPr="002D03D0">
        <w:rPr>
          <w:rFonts w:ascii="Arial" w:hAnsi="Arial" w:cs="Arial"/>
        </w:rPr>
        <w:t>The practical implications for NHSX is that talent growth can't be managed through one HR programme. Line managers influence everyday experience and their ability to coach and fairly distribute opportunities should come first.</w:t>
      </w:r>
    </w:p>
    <w:p w14:paraId="53A42AC2" w14:textId="77777777" w:rsidR="001F0678" w:rsidRPr="002D03D0" w:rsidRDefault="001F0678" w:rsidP="002D03D0">
      <w:pPr>
        <w:pStyle w:val="Heading1"/>
        <w:spacing w:line="360" w:lineRule="auto"/>
        <w:jc w:val="both"/>
        <w:rPr>
          <w:rFonts w:ascii="Arial" w:hAnsi="Arial" w:cs="Arial"/>
          <w:b/>
          <w:bCs/>
          <w:color w:val="auto"/>
          <w:sz w:val="22"/>
          <w:szCs w:val="22"/>
        </w:rPr>
      </w:pPr>
      <w:bookmarkStart w:id="5" w:name="_Toc242656348"/>
      <w:r w:rsidRPr="002D03D0">
        <w:rPr>
          <w:rFonts w:ascii="Arial" w:hAnsi="Arial" w:cs="Arial"/>
          <w:b/>
          <w:bCs/>
          <w:color w:val="auto"/>
          <w:sz w:val="22"/>
          <w:szCs w:val="22"/>
        </w:rPr>
        <w:t>Recommended strategy: the NHSX Talent Growth Ecosystem</w:t>
      </w:r>
      <w:bookmarkEnd w:id="5"/>
    </w:p>
    <w:p w14:paraId="2E8C856C" w14:textId="68509397" w:rsidR="001F0678" w:rsidRPr="002D03D0" w:rsidRDefault="001F0678" w:rsidP="002D03D0">
      <w:pPr>
        <w:spacing w:line="360" w:lineRule="auto"/>
        <w:jc w:val="both"/>
        <w:rPr>
          <w:rFonts w:ascii="Arial" w:hAnsi="Arial" w:cs="Arial"/>
        </w:rPr>
      </w:pPr>
      <w:r w:rsidRPr="002D03D0">
        <w:rPr>
          <w:rFonts w:ascii="Arial" w:hAnsi="Arial" w:cs="Arial"/>
        </w:rPr>
        <w:t>The strategy is based on four pillars and the sequence is safety first, then stretch (Table 2).</w:t>
      </w:r>
    </w:p>
    <w:p w14:paraId="4ED11A3A" w14:textId="77777777" w:rsidR="001F0678" w:rsidRPr="002D03D0" w:rsidRDefault="001F0678" w:rsidP="002D03D0">
      <w:pPr>
        <w:keepNext/>
        <w:spacing w:before="120" w:after="80" w:line="360" w:lineRule="auto"/>
        <w:jc w:val="both"/>
        <w:rPr>
          <w:rFonts w:ascii="Arial" w:hAnsi="Arial" w:cs="Arial"/>
        </w:rPr>
      </w:pPr>
      <w:r w:rsidRPr="002D03D0">
        <w:rPr>
          <w:rFonts w:ascii="Arial" w:eastAsia="Arial" w:hAnsi="Arial" w:cs="Arial"/>
          <w:b/>
          <w:bCs/>
        </w:rPr>
        <w:t>Table 2: The NHSX Talent Growth Ecosystem (author’s synthesis of the sources cited)</w:t>
      </w:r>
    </w:p>
    <w:tbl>
      <w:tblPr>
        <w:tblStyle w:val="TableGrid"/>
        <w:tblW w:w="9026" w:type="dxa"/>
        <w:tblLook w:val="04A0" w:firstRow="1" w:lastRow="0" w:firstColumn="1" w:lastColumn="0" w:noHBand="0" w:noVBand="1"/>
      </w:tblPr>
      <w:tblGrid>
        <w:gridCol w:w="2100"/>
        <w:gridCol w:w="4926"/>
        <w:gridCol w:w="2000"/>
      </w:tblGrid>
      <w:tr w:rsidR="002D03D0" w:rsidRPr="002D03D0" w14:paraId="15752740" w14:textId="77777777" w:rsidTr="002D03D0">
        <w:tc>
          <w:tcPr>
            <w:tcW w:w="2100" w:type="dxa"/>
          </w:tcPr>
          <w:p w14:paraId="46E80FCB" w14:textId="77777777" w:rsidR="001F0678" w:rsidRPr="002D03D0" w:rsidRDefault="001F0678" w:rsidP="002D03D0">
            <w:pPr>
              <w:spacing w:line="360" w:lineRule="auto"/>
              <w:jc w:val="both"/>
              <w:rPr>
                <w:rFonts w:ascii="Arial" w:hAnsi="Arial" w:cs="Arial"/>
              </w:rPr>
            </w:pPr>
            <w:r w:rsidRPr="002D03D0">
              <w:rPr>
                <w:rFonts w:ascii="Arial" w:eastAsia="Arial" w:hAnsi="Arial" w:cs="Arial"/>
                <w:b/>
                <w:bCs/>
              </w:rPr>
              <w:t>Pillar</w:t>
            </w:r>
          </w:p>
        </w:tc>
        <w:tc>
          <w:tcPr>
            <w:tcW w:w="4926" w:type="dxa"/>
          </w:tcPr>
          <w:p w14:paraId="4FB2A7BA" w14:textId="77777777" w:rsidR="001F0678" w:rsidRPr="002D03D0" w:rsidRDefault="001F0678" w:rsidP="002D03D0">
            <w:pPr>
              <w:spacing w:line="360" w:lineRule="auto"/>
              <w:jc w:val="both"/>
              <w:rPr>
                <w:rFonts w:ascii="Arial" w:hAnsi="Arial" w:cs="Arial"/>
              </w:rPr>
            </w:pPr>
            <w:r w:rsidRPr="002D03D0">
              <w:rPr>
                <w:rFonts w:ascii="Arial" w:eastAsia="Arial" w:hAnsi="Arial" w:cs="Arial"/>
                <w:b/>
                <w:bCs/>
              </w:rPr>
              <w:t>Design and evidence</w:t>
            </w:r>
          </w:p>
        </w:tc>
        <w:tc>
          <w:tcPr>
            <w:tcW w:w="2000" w:type="dxa"/>
          </w:tcPr>
          <w:p w14:paraId="13D96144" w14:textId="77777777" w:rsidR="001F0678" w:rsidRPr="002D03D0" w:rsidRDefault="001F0678" w:rsidP="002D03D0">
            <w:pPr>
              <w:spacing w:line="360" w:lineRule="auto"/>
              <w:jc w:val="both"/>
              <w:rPr>
                <w:rFonts w:ascii="Arial" w:hAnsi="Arial" w:cs="Arial"/>
              </w:rPr>
            </w:pPr>
            <w:r w:rsidRPr="002D03D0">
              <w:rPr>
                <w:rFonts w:ascii="Arial" w:eastAsia="Arial" w:hAnsi="Arial" w:cs="Arial"/>
                <w:b/>
                <w:bCs/>
              </w:rPr>
              <w:t>Measure</w:t>
            </w:r>
          </w:p>
        </w:tc>
      </w:tr>
      <w:tr w:rsidR="002D03D0" w:rsidRPr="002D03D0" w14:paraId="6AF20C24" w14:textId="77777777" w:rsidTr="002D03D0">
        <w:tc>
          <w:tcPr>
            <w:tcW w:w="2100" w:type="dxa"/>
          </w:tcPr>
          <w:p w14:paraId="4A6F88E8"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Safe-to-learn teams</w:t>
            </w:r>
          </w:p>
        </w:tc>
        <w:tc>
          <w:tcPr>
            <w:tcW w:w="4926" w:type="dxa"/>
          </w:tcPr>
          <w:p w14:paraId="33E41123"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Inclusive-leadership training for managers, blameless retrospectives and learning reviews of clinical-safety near-misses, and a quarterly psychological-safety pulse (Garvin, Edmondson and Gino, 2008; Edmondson and Bransby, 2023; O’Donovan and McAuliffe, 2020).</w:t>
            </w:r>
          </w:p>
        </w:tc>
        <w:tc>
          <w:tcPr>
            <w:tcW w:w="2000" w:type="dxa"/>
          </w:tcPr>
          <w:p w14:paraId="4F7231EC"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Pulse score; ideas raised per team</w:t>
            </w:r>
          </w:p>
        </w:tc>
      </w:tr>
      <w:tr w:rsidR="002D03D0" w:rsidRPr="002D03D0" w14:paraId="7F5C91DD" w14:textId="77777777" w:rsidTr="002D03D0">
        <w:tc>
          <w:tcPr>
            <w:tcW w:w="2100" w:type="dxa"/>
          </w:tcPr>
          <w:p w14:paraId="62C8A003"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Autonomy-supportive development</w:t>
            </w:r>
          </w:p>
        </w:tc>
        <w:tc>
          <w:tcPr>
            <w:tcW w:w="4926" w:type="dxa"/>
          </w:tcPr>
          <w:p w14:paraId="45AF7253"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Co-owned development plans, protected learning time and visible internal moves, building autonomy and competence (Ryan and Deci, 2020; Canning et al., 2020).</w:t>
            </w:r>
          </w:p>
        </w:tc>
        <w:tc>
          <w:tcPr>
            <w:tcW w:w="2000" w:type="dxa"/>
          </w:tcPr>
          <w:p w14:paraId="76C1AED1"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Internal mobility; high-performer attrition</w:t>
            </w:r>
          </w:p>
        </w:tc>
      </w:tr>
      <w:tr w:rsidR="002D03D0" w:rsidRPr="002D03D0" w14:paraId="5184D0B4" w14:textId="77777777" w:rsidTr="002D03D0">
        <w:tc>
          <w:tcPr>
            <w:tcW w:w="2100" w:type="dxa"/>
          </w:tcPr>
          <w:p w14:paraId="1D54DAED"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Crafting-enabled roles</w:t>
            </w:r>
          </w:p>
        </w:tc>
        <w:tc>
          <w:tcPr>
            <w:tcW w:w="4926" w:type="dxa"/>
          </w:tcPr>
          <w:p w14:paraId="5B5F7184"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Quarterly conversations to adapt tasks and relationships within safety guardrails, calibrated to local culture (Böhnlein and Baum, 2022).</w:t>
            </w:r>
          </w:p>
        </w:tc>
        <w:tc>
          <w:tcPr>
            <w:tcW w:w="2000" w:type="dxa"/>
          </w:tcPr>
          <w:p w14:paraId="7792B05D"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Engagement; role-fit ratings by site</w:t>
            </w:r>
          </w:p>
        </w:tc>
      </w:tr>
      <w:tr w:rsidR="002D03D0" w:rsidRPr="002D03D0" w14:paraId="153467EC" w14:textId="77777777" w:rsidTr="002D03D0">
        <w:tc>
          <w:tcPr>
            <w:tcW w:w="2100" w:type="dxa"/>
          </w:tcPr>
          <w:p w14:paraId="6F475909"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Inclusive talent architecture</w:t>
            </w:r>
          </w:p>
        </w:tc>
        <w:tc>
          <w:tcPr>
            <w:tcW w:w="4926" w:type="dxa"/>
          </w:tcPr>
          <w:p w14:paraId="1F2FB1B2"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Transparent criteria for pivotal roles, cross-site mentoring and secondments, and experience mapping across the five dimensions (Gallardo-Gallardo, Thunnissen and Scullion, 2020; Andrés Reina, Díaz-Muñoz and Rodríguez-Fernández, 2024).</w:t>
            </w:r>
          </w:p>
        </w:tc>
        <w:tc>
          <w:tcPr>
            <w:tcW w:w="2000" w:type="dxa"/>
          </w:tcPr>
          <w:p w14:paraId="03C0C439" w14:textId="77777777" w:rsidR="001F0678" w:rsidRPr="002D03D0" w:rsidRDefault="001F0678" w:rsidP="002D03D0">
            <w:pPr>
              <w:spacing w:line="360" w:lineRule="auto"/>
              <w:jc w:val="both"/>
              <w:rPr>
                <w:rFonts w:ascii="Arial" w:hAnsi="Arial" w:cs="Arial"/>
              </w:rPr>
            </w:pPr>
            <w:r w:rsidRPr="002D03D0">
              <w:rPr>
                <w:rFonts w:ascii="Arial" w:eastAsia="Arial" w:hAnsi="Arial" w:cs="Arial"/>
              </w:rPr>
              <w:t>Promotion rates by site; experience scores</w:t>
            </w:r>
          </w:p>
        </w:tc>
      </w:tr>
    </w:tbl>
    <w:p w14:paraId="7866C1B8" w14:textId="77777777" w:rsidR="000D7EBA" w:rsidRPr="002D03D0" w:rsidRDefault="000D7EBA" w:rsidP="002D03D0">
      <w:pPr>
        <w:spacing w:line="360" w:lineRule="auto"/>
        <w:jc w:val="both"/>
        <w:rPr>
          <w:rFonts w:ascii="Arial" w:hAnsi="Arial" w:cs="Arial"/>
        </w:rPr>
      </w:pPr>
    </w:p>
    <w:p w14:paraId="32EE2294" w14:textId="644882B0" w:rsidR="000D7EBA" w:rsidRPr="002D03D0" w:rsidRDefault="000D7EBA" w:rsidP="002D03D0">
      <w:pPr>
        <w:spacing w:line="360" w:lineRule="auto"/>
        <w:jc w:val="both"/>
        <w:rPr>
          <w:rFonts w:ascii="Arial" w:hAnsi="Arial" w:cs="Arial"/>
        </w:rPr>
      </w:pPr>
      <w:r w:rsidRPr="002D03D0">
        <w:rPr>
          <w:rFonts w:ascii="Arial" w:hAnsi="Arial" w:cs="Arial"/>
        </w:rPr>
        <w:t xml:space="preserve">Implementation should start at pillar one within the pods set forth in Task A, as pods will provide the focus on autonomy needed for crafting and development, and as managers will be a central component of the delivery. The cost of losing high performers can be justified by investments, which can be monitored by attrition and promotion statistics. </w:t>
      </w:r>
      <w:r w:rsidR="00E1626A" w:rsidRPr="002D03D0">
        <w:rPr>
          <w:rFonts w:ascii="Arial" w:hAnsi="Arial" w:cs="Arial"/>
        </w:rPr>
        <w:t>Survey</w:t>
      </w:r>
      <w:r w:rsidRPr="002D03D0">
        <w:rPr>
          <w:rFonts w:ascii="Arial" w:hAnsi="Arial" w:cs="Arial"/>
        </w:rPr>
        <w:t xml:space="preserve"> fatigue, perceived two-tier development when pivotal roles are not well explained, and unequal cultural fit are the key risks addressed by short pulses, transparent criteria and local calibration, respectively. There should be a comparison between the pilot team and non-pilot team to reveal which pillars of the NHSX are driving retention and performance.</w:t>
      </w:r>
    </w:p>
    <w:p w14:paraId="74B15AA2" w14:textId="77777777" w:rsidR="000D7EBA" w:rsidRPr="002D03D0" w:rsidRDefault="000D7EBA" w:rsidP="002D03D0">
      <w:pPr>
        <w:pStyle w:val="Heading1"/>
        <w:spacing w:line="360" w:lineRule="auto"/>
        <w:jc w:val="both"/>
        <w:rPr>
          <w:rFonts w:ascii="Arial" w:hAnsi="Arial" w:cs="Arial"/>
          <w:b/>
          <w:bCs/>
          <w:color w:val="auto"/>
          <w:sz w:val="22"/>
          <w:szCs w:val="22"/>
        </w:rPr>
      </w:pPr>
      <w:bookmarkStart w:id="6" w:name="_Toc242656349"/>
      <w:r w:rsidRPr="002D03D0">
        <w:rPr>
          <w:rFonts w:ascii="Arial" w:hAnsi="Arial" w:cs="Arial"/>
          <w:b/>
          <w:bCs/>
          <w:color w:val="auto"/>
          <w:sz w:val="22"/>
          <w:szCs w:val="22"/>
        </w:rPr>
        <w:t>Task C: Reflective Report</w:t>
      </w:r>
      <w:bookmarkEnd w:id="6"/>
    </w:p>
    <w:p w14:paraId="52EEF502" w14:textId="1922AE40" w:rsidR="000D7EBA" w:rsidRPr="002D03D0" w:rsidRDefault="000D7EBA" w:rsidP="002D03D0">
      <w:pPr>
        <w:pStyle w:val="Heading1"/>
        <w:spacing w:line="360" w:lineRule="auto"/>
        <w:jc w:val="both"/>
        <w:rPr>
          <w:rFonts w:ascii="Arial" w:hAnsi="Arial" w:cs="Arial"/>
          <w:b/>
          <w:bCs/>
          <w:color w:val="auto"/>
          <w:sz w:val="22"/>
          <w:szCs w:val="22"/>
        </w:rPr>
      </w:pPr>
      <w:bookmarkStart w:id="7" w:name="_Toc242656350"/>
      <w:r w:rsidRPr="002D03D0">
        <w:rPr>
          <w:rFonts w:ascii="Arial" w:hAnsi="Arial" w:cs="Arial"/>
          <w:b/>
          <w:bCs/>
          <w:color w:val="auto"/>
          <w:sz w:val="22"/>
          <w:szCs w:val="22"/>
        </w:rPr>
        <w:t>Using AI as a tool to make strategic decisions</w:t>
      </w:r>
      <w:bookmarkEnd w:id="7"/>
    </w:p>
    <w:p w14:paraId="343A26D1" w14:textId="02AE9EF6" w:rsidR="000D7EBA" w:rsidRPr="002D03D0" w:rsidRDefault="000D7EBA" w:rsidP="002D03D0">
      <w:pPr>
        <w:spacing w:line="360" w:lineRule="auto"/>
        <w:jc w:val="both"/>
        <w:rPr>
          <w:rFonts w:ascii="Arial" w:hAnsi="Arial" w:cs="Arial"/>
        </w:rPr>
      </w:pPr>
      <w:r w:rsidRPr="002D03D0">
        <w:rPr>
          <w:rFonts w:ascii="Arial" w:hAnsi="Arial" w:cs="Arial"/>
        </w:rPr>
        <w:t>AI can enhance HR decision-making by sifting through HR data at scale, such as spotting attrition risks or skill deficits. Bankins et al. (2024) summarize empirical studies at individual, group</w:t>
      </w:r>
      <w:r w:rsidR="00E1626A" w:rsidRPr="002D03D0">
        <w:rPr>
          <w:rFonts w:ascii="Arial" w:hAnsi="Arial" w:cs="Arial"/>
        </w:rPr>
        <w:t>,</w:t>
      </w:r>
      <w:r w:rsidRPr="002D03D0">
        <w:rPr>
          <w:rFonts w:ascii="Arial" w:hAnsi="Arial" w:cs="Arial"/>
        </w:rPr>
        <w:t xml:space="preserve"> and organisational levels to conclude that the impact of AI on employees is still a contested subject</w:t>
      </w:r>
      <w:r w:rsidR="00E1626A" w:rsidRPr="002D03D0">
        <w:rPr>
          <w:rFonts w:ascii="Arial" w:hAnsi="Arial" w:cs="Arial"/>
        </w:rPr>
        <w:t>,</w:t>
      </w:r>
      <w:r w:rsidRPr="002D03D0">
        <w:rPr>
          <w:rFonts w:ascii="Arial" w:hAnsi="Arial" w:cs="Arial"/>
        </w:rPr>
        <w:t xml:space="preserve"> and that adoption should be guided to promote wellbeing. Makarius et al. (2020) further state that value is linked to readiness to engage with AI. The Department for Science, Innovation and Technology (2024) recommends assurance testing, periodic bias audits, identifying when AI is employed, educating employees to look critically at outputs, and establishing human review procedures – principles applicable to recruitment that extend to other HR applications. I therefore use AI as a decision support system, not a decision making entity: AI can bring up patterns, but it remains the responsibility of a professional to take accountability, show empathy in career and wellbeing discussions, and decide.</w:t>
      </w:r>
    </w:p>
    <w:p w14:paraId="35EFF8A4" w14:textId="77777777" w:rsidR="000D7EBA" w:rsidRPr="002D03D0" w:rsidRDefault="000D7EBA" w:rsidP="002D03D0">
      <w:pPr>
        <w:pStyle w:val="Heading1"/>
        <w:spacing w:line="360" w:lineRule="auto"/>
        <w:jc w:val="both"/>
        <w:rPr>
          <w:rFonts w:ascii="Arial" w:hAnsi="Arial" w:cs="Arial"/>
          <w:b/>
          <w:bCs/>
          <w:color w:val="auto"/>
          <w:sz w:val="22"/>
          <w:szCs w:val="22"/>
        </w:rPr>
      </w:pPr>
      <w:bookmarkStart w:id="8" w:name="_Toc242656351"/>
      <w:r w:rsidRPr="002D03D0">
        <w:rPr>
          <w:rFonts w:ascii="Arial" w:hAnsi="Arial" w:cs="Arial"/>
          <w:b/>
          <w:bCs/>
          <w:color w:val="auto"/>
          <w:sz w:val="22"/>
          <w:szCs w:val="22"/>
        </w:rPr>
        <w:t>Reflective analysis</w:t>
      </w:r>
      <w:bookmarkEnd w:id="8"/>
    </w:p>
    <w:p w14:paraId="522287D0" w14:textId="587D8CFA" w:rsidR="000D7EBA" w:rsidRPr="002D03D0" w:rsidRDefault="000D7EBA" w:rsidP="002D03D0">
      <w:pPr>
        <w:spacing w:line="360" w:lineRule="auto"/>
        <w:jc w:val="both"/>
        <w:rPr>
          <w:rFonts w:ascii="Arial" w:hAnsi="Arial" w:cs="Arial"/>
        </w:rPr>
      </w:pPr>
      <w:r w:rsidRPr="002D03D0">
        <w:rPr>
          <w:rFonts w:ascii="Arial" w:hAnsi="Arial" w:cs="Arial"/>
        </w:rPr>
        <w:t xml:space="preserve">I searched for and summarized the latest sources using AI. It saved time, but when I checked each one against its original record, there was some incorrect information: authors, a </w:t>
      </w:r>
      <w:r w:rsidR="00E1626A" w:rsidRPr="002D03D0">
        <w:rPr>
          <w:rFonts w:ascii="Arial" w:hAnsi="Arial" w:cs="Arial"/>
        </w:rPr>
        <w:t>misassigned</w:t>
      </w:r>
      <w:r w:rsidRPr="002D03D0">
        <w:rPr>
          <w:rFonts w:ascii="Arial" w:hAnsi="Arial" w:cs="Arial"/>
        </w:rPr>
        <w:t xml:space="preserve"> meta-analysis</w:t>
      </w:r>
      <w:r w:rsidR="00E1626A" w:rsidRPr="002D03D0">
        <w:rPr>
          <w:rFonts w:ascii="Arial" w:hAnsi="Arial" w:cs="Arial"/>
        </w:rPr>
        <w:t>,</w:t>
      </w:r>
      <w:r w:rsidRPr="002D03D0">
        <w:rPr>
          <w:rFonts w:ascii="Arial" w:hAnsi="Arial" w:cs="Arial"/>
        </w:rPr>
        <w:t xml:space="preserve"> and page ranges. Lee et al. (2025) discovered that among 319 knowledge workers, higher trust in generative AI was correlated with lower critical thinking, while higher self-confidence was correlated with higher critical thinking (verification was what I did to protect my own judgement; it worked to enhance my research skills).</w:t>
      </w:r>
    </w:p>
    <w:p w14:paraId="11C12768" w14:textId="5C426B71" w:rsidR="000D7EBA" w:rsidRPr="002D03D0" w:rsidRDefault="000D7EBA" w:rsidP="002D03D0">
      <w:pPr>
        <w:spacing w:line="360" w:lineRule="auto"/>
        <w:jc w:val="both"/>
        <w:rPr>
          <w:rFonts w:ascii="Arial" w:hAnsi="Arial" w:cs="Arial"/>
        </w:rPr>
      </w:pPr>
      <w:r w:rsidRPr="002D03D0">
        <w:rPr>
          <w:rFonts w:ascii="Arial" w:hAnsi="Arial" w:cs="Arial"/>
        </w:rPr>
        <w:t xml:space="preserve">Second, I used AI to analyse the assessment brief and marking criteria and to plan each task’s structure. This has deepened my knowledge of the link between evidence and criteria, but Dell'Acqua et al. (2023) noted that AI is not equally effective on every task; so, when assessing the quality of the recommendations made by NHSX, I needed to reason </w:t>
      </w:r>
      <w:r w:rsidR="00E1626A" w:rsidRPr="002D03D0">
        <w:rPr>
          <w:rFonts w:ascii="Arial" w:hAnsi="Arial" w:cs="Arial"/>
        </w:rPr>
        <w:t xml:space="preserve">for </w:t>
      </w:r>
      <w:r w:rsidRPr="002D03D0">
        <w:rPr>
          <w:rFonts w:ascii="Arial" w:hAnsi="Arial" w:cs="Arial"/>
        </w:rPr>
        <w:t>myself.</w:t>
      </w:r>
    </w:p>
    <w:p w14:paraId="3A118963" w14:textId="77777777" w:rsidR="000D7EBA" w:rsidRPr="002D03D0" w:rsidRDefault="000D7EBA" w:rsidP="002D03D0">
      <w:pPr>
        <w:spacing w:line="360" w:lineRule="auto"/>
        <w:jc w:val="both"/>
        <w:rPr>
          <w:rFonts w:ascii="Arial" w:hAnsi="Arial" w:cs="Arial"/>
        </w:rPr>
      </w:pPr>
      <w:r w:rsidRPr="002D03D0">
        <w:rPr>
          <w:rFonts w:ascii="Arial" w:hAnsi="Arial" w:cs="Arial"/>
        </w:rPr>
        <w:lastRenderedPageBreak/>
        <w:t>Third, I generated first drafts with AI, and then I cross-checked with the sources. Although this accelerated writing, Bastani et al. (2025) found that students who had unrestricted access to AI did worse when AI access was revoked, and that students who relied on AI to write had reduced capability when not using AI, cautioning that providing students with support to draft their work might negatively impact their ability to think.</w:t>
      </w:r>
    </w:p>
    <w:p w14:paraId="4DD0752E" w14:textId="77777777" w:rsidR="000D7EBA" w:rsidRPr="002D03D0" w:rsidRDefault="000D7EBA" w:rsidP="002D03D0">
      <w:pPr>
        <w:spacing w:line="360" w:lineRule="auto"/>
        <w:jc w:val="both"/>
        <w:rPr>
          <w:rFonts w:ascii="Arial" w:hAnsi="Arial" w:cs="Arial"/>
        </w:rPr>
      </w:pPr>
      <w:r w:rsidRPr="002D03D0">
        <w:rPr>
          <w:rFonts w:ascii="Arial" w:hAnsi="Arial" w:cs="Arial"/>
        </w:rPr>
        <w:t>All these examples demonstrate that AI is best used as a scoping and checking tool and least useful when replacing evidence and judgment. The same lesson applies to NHSX: Bankins et al. (2024) and the Department for Science, Innovation and Technology (2024) both point towards human oversight, transparency and verification, which is how I will use AI in my own professional practice and in any people-analytics role.</w:t>
      </w:r>
    </w:p>
    <w:p w14:paraId="512C33DC" w14:textId="77777777" w:rsidR="000D7EBA" w:rsidRPr="002D03D0" w:rsidRDefault="000D7EBA" w:rsidP="002D03D0">
      <w:pPr>
        <w:pStyle w:val="Heading1"/>
        <w:spacing w:line="360" w:lineRule="auto"/>
        <w:jc w:val="both"/>
        <w:rPr>
          <w:rFonts w:ascii="Arial" w:hAnsi="Arial" w:cs="Arial"/>
          <w:b/>
          <w:bCs/>
          <w:color w:val="auto"/>
          <w:sz w:val="22"/>
          <w:szCs w:val="22"/>
        </w:rPr>
      </w:pPr>
      <w:bookmarkStart w:id="9" w:name="_Toc242656352"/>
      <w:r w:rsidRPr="002D03D0">
        <w:rPr>
          <w:rFonts w:ascii="Arial" w:hAnsi="Arial" w:cs="Arial"/>
          <w:b/>
          <w:bCs/>
          <w:color w:val="auto"/>
          <w:sz w:val="22"/>
          <w:szCs w:val="22"/>
        </w:rPr>
        <w:t>Personal action plan</w:t>
      </w:r>
      <w:bookmarkEnd w:id="9"/>
    </w:p>
    <w:p w14:paraId="4E382194" w14:textId="41825073" w:rsidR="000D7EBA" w:rsidRPr="002D03D0" w:rsidRDefault="000D7EBA" w:rsidP="002D03D0">
      <w:pPr>
        <w:spacing w:line="360" w:lineRule="auto"/>
        <w:jc w:val="both"/>
        <w:rPr>
          <w:rFonts w:ascii="Arial" w:hAnsi="Arial" w:cs="Arial"/>
        </w:rPr>
      </w:pPr>
      <w:r w:rsidRPr="002D03D0">
        <w:rPr>
          <w:rFonts w:ascii="Arial" w:hAnsi="Arial" w:cs="Arial"/>
        </w:rPr>
        <w:t xml:space="preserve">In 1 year, I will: </w:t>
      </w:r>
    </w:p>
    <w:p w14:paraId="41556336" w14:textId="77777777" w:rsidR="000D7EBA" w:rsidRPr="002D03D0" w:rsidRDefault="000D7EBA" w:rsidP="002D03D0">
      <w:pPr>
        <w:pStyle w:val="ListParagraph"/>
        <w:numPr>
          <w:ilvl w:val="0"/>
          <w:numId w:val="1"/>
        </w:numPr>
        <w:spacing w:line="360" w:lineRule="auto"/>
        <w:jc w:val="both"/>
        <w:rPr>
          <w:rFonts w:ascii="Arial" w:hAnsi="Arial" w:cs="Arial"/>
        </w:rPr>
      </w:pPr>
      <w:r w:rsidRPr="002D03D0">
        <w:rPr>
          <w:rFonts w:ascii="Arial" w:hAnsi="Arial" w:cs="Arial"/>
        </w:rPr>
        <w:t>Adopt verification routine within 3 months, opening every AI-suggested source and providing evidence of cited content from the page level by responding to the risks of Bastani et al. (2025) and Lee et al. (2025)</w:t>
      </w:r>
    </w:p>
    <w:p w14:paraId="19F4E0F5" w14:textId="7997B184" w:rsidR="000D7EBA" w:rsidRPr="002D03D0" w:rsidRDefault="000D7EBA" w:rsidP="002D03D0">
      <w:pPr>
        <w:pStyle w:val="ListParagraph"/>
        <w:numPr>
          <w:ilvl w:val="0"/>
          <w:numId w:val="1"/>
        </w:numPr>
        <w:spacing w:line="360" w:lineRule="auto"/>
        <w:jc w:val="both"/>
        <w:rPr>
          <w:rFonts w:ascii="Arial" w:hAnsi="Arial" w:cs="Arial"/>
        </w:rPr>
      </w:pPr>
      <w:r w:rsidRPr="002D03D0">
        <w:rPr>
          <w:rFonts w:ascii="Arial" w:hAnsi="Arial" w:cs="Arial"/>
        </w:rPr>
        <w:t xml:space="preserve">Do weekly AI-free writing </w:t>
      </w:r>
      <w:r w:rsidR="00E1626A" w:rsidRPr="002D03D0">
        <w:rPr>
          <w:rFonts w:ascii="Arial" w:hAnsi="Arial" w:cs="Arial"/>
        </w:rPr>
        <w:t>exercises</w:t>
      </w:r>
      <w:r w:rsidRPr="002D03D0">
        <w:rPr>
          <w:rFonts w:ascii="Arial" w:hAnsi="Arial" w:cs="Arial"/>
        </w:rPr>
        <w:t xml:space="preserve"> and compare with AI-assisted versions within 6 months to monitor own capability.</w:t>
      </w:r>
    </w:p>
    <w:p w14:paraId="65E21E40" w14:textId="77777777" w:rsidR="000D7EBA" w:rsidRPr="002D03D0" w:rsidRDefault="000D7EBA" w:rsidP="002D03D0">
      <w:pPr>
        <w:pStyle w:val="ListParagraph"/>
        <w:numPr>
          <w:ilvl w:val="0"/>
          <w:numId w:val="1"/>
        </w:numPr>
        <w:spacing w:line="360" w:lineRule="auto"/>
        <w:jc w:val="both"/>
        <w:rPr>
          <w:rFonts w:ascii="Arial" w:hAnsi="Arial" w:cs="Arial"/>
        </w:rPr>
      </w:pPr>
      <w:r w:rsidRPr="002D03D0">
        <w:rPr>
          <w:rFonts w:ascii="Arial" w:hAnsi="Arial" w:cs="Arial"/>
        </w:rPr>
        <w:t>Complete structured learning of people analytics and AI governance within 9 months and apply the principles suggested by the Department for Science, Innovation and Technology (2024) on a case study in the workforce project.</w:t>
      </w:r>
    </w:p>
    <w:p w14:paraId="763AF4E0" w14:textId="5888EFF8" w:rsidR="001F0678" w:rsidRPr="002D03D0" w:rsidRDefault="000D7EBA" w:rsidP="002D03D0">
      <w:pPr>
        <w:pStyle w:val="ListParagraph"/>
        <w:numPr>
          <w:ilvl w:val="0"/>
          <w:numId w:val="1"/>
        </w:numPr>
        <w:spacing w:line="360" w:lineRule="auto"/>
        <w:jc w:val="both"/>
        <w:rPr>
          <w:rFonts w:ascii="Arial" w:hAnsi="Arial" w:cs="Arial"/>
        </w:rPr>
      </w:pPr>
      <w:r w:rsidRPr="002D03D0">
        <w:rPr>
          <w:rFonts w:ascii="Arial" w:hAnsi="Arial" w:cs="Arial"/>
        </w:rPr>
        <w:t>Seek feedback termly from a lecturer or mentor to complement AI feedback. The progress will be evaluated against these milestones at the end of every term and the resulting portfolio will demonstrate my HR analytics and talent employability in the healthcare technology sector.</w:t>
      </w:r>
    </w:p>
    <w:p w14:paraId="435E3A0C" w14:textId="77777777" w:rsidR="000D7EBA" w:rsidRPr="002D03D0" w:rsidRDefault="000D7EBA" w:rsidP="002D03D0">
      <w:pPr>
        <w:spacing w:line="360" w:lineRule="auto"/>
        <w:jc w:val="both"/>
        <w:rPr>
          <w:rFonts w:ascii="Arial" w:eastAsia="Arial" w:hAnsi="Arial" w:cs="Arial"/>
          <w:b/>
          <w:bCs/>
        </w:rPr>
      </w:pPr>
      <w:bookmarkStart w:id="10" w:name="_Toc242639068"/>
      <w:r w:rsidRPr="002D03D0">
        <w:rPr>
          <w:rFonts w:ascii="Arial" w:eastAsia="Arial" w:hAnsi="Arial" w:cs="Arial"/>
          <w:b/>
          <w:bCs/>
        </w:rPr>
        <w:br w:type="page"/>
      </w:r>
    </w:p>
    <w:p w14:paraId="49C612FC" w14:textId="2893A644" w:rsidR="000D7EBA" w:rsidRPr="002D03D0" w:rsidRDefault="000D7EBA" w:rsidP="002D03D0">
      <w:pPr>
        <w:pStyle w:val="Heading1"/>
        <w:spacing w:after="120" w:line="360" w:lineRule="auto"/>
        <w:jc w:val="both"/>
        <w:rPr>
          <w:rFonts w:ascii="Arial" w:hAnsi="Arial" w:cs="Arial"/>
          <w:color w:val="auto"/>
          <w:sz w:val="22"/>
          <w:szCs w:val="22"/>
        </w:rPr>
      </w:pPr>
      <w:bookmarkStart w:id="11" w:name="_Toc242656353"/>
      <w:r w:rsidRPr="002D03D0">
        <w:rPr>
          <w:rFonts w:ascii="Arial" w:eastAsia="Arial" w:hAnsi="Arial" w:cs="Arial"/>
          <w:b/>
          <w:bCs/>
          <w:color w:val="auto"/>
          <w:sz w:val="22"/>
          <w:szCs w:val="22"/>
        </w:rPr>
        <w:lastRenderedPageBreak/>
        <w:t>Reference List</w:t>
      </w:r>
      <w:bookmarkEnd w:id="10"/>
      <w:bookmarkEnd w:id="11"/>
    </w:p>
    <w:p w14:paraId="6F8B8744" w14:textId="3373CF9C"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Andrés Reina, M.P., Díaz-Muñoz, R. and Rodríguez-Fernández, M. (2024) ‘Employee experience: a systematic review’, </w:t>
      </w:r>
      <w:r w:rsidRPr="002D03D0">
        <w:rPr>
          <w:rFonts w:ascii="Arial" w:eastAsia="Arial" w:hAnsi="Arial" w:cs="Arial"/>
          <w:i/>
          <w:iCs/>
        </w:rPr>
        <w:t>European Public &amp; Social Innovation Review</w:t>
      </w:r>
      <w:r w:rsidRPr="002D03D0">
        <w:rPr>
          <w:rFonts w:ascii="Arial" w:eastAsia="Arial" w:hAnsi="Arial" w:cs="Arial"/>
        </w:rPr>
        <w:t xml:space="preserve">, 9, pp. 1–20. </w:t>
      </w:r>
      <w:hyperlink r:id="rId9" w:history="1">
        <w:r w:rsidRPr="002D03D0">
          <w:rPr>
            <w:rStyle w:val="Hyperlink"/>
            <w:rFonts w:ascii="Arial" w:eastAsia="Arial" w:hAnsi="Arial" w:cs="Arial"/>
            <w:color w:val="auto"/>
          </w:rPr>
          <w:t>https://doi.org/10.31637/epsir-2024-398</w:t>
        </w:r>
      </w:hyperlink>
    </w:p>
    <w:p w14:paraId="6ABCC462" w14:textId="3728CE01"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Bankins, S., Ocampo, A.C., Marrone, M., Restubog, S.L.D. and Woo, S.E. (2024) ‘A multilevel review of artificial intelligence in organizations: implications for organizational behavior research and practice’, </w:t>
      </w:r>
      <w:r w:rsidRPr="002D03D0">
        <w:rPr>
          <w:rFonts w:ascii="Arial" w:eastAsia="Arial" w:hAnsi="Arial" w:cs="Arial"/>
          <w:i/>
          <w:iCs/>
        </w:rPr>
        <w:t>Journal of Organizational Behavior</w:t>
      </w:r>
      <w:r w:rsidRPr="002D03D0">
        <w:rPr>
          <w:rFonts w:ascii="Arial" w:eastAsia="Arial" w:hAnsi="Arial" w:cs="Arial"/>
        </w:rPr>
        <w:t xml:space="preserve">, 45(2), pp. 159–182. </w:t>
      </w:r>
      <w:hyperlink r:id="rId10" w:history="1">
        <w:r w:rsidRPr="002D03D0">
          <w:rPr>
            <w:rStyle w:val="Hyperlink"/>
            <w:rFonts w:ascii="Arial" w:eastAsia="Arial" w:hAnsi="Arial" w:cs="Arial"/>
            <w:color w:val="auto"/>
          </w:rPr>
          <w:t>https://doi.org/10.1002/job.2735</w:t>
        </w:r>
      </w:hyperlink>
    </w:p>
    <w:p w14:paraId="13E3EF42"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Bastani, H., Bastani, O., Sungu, A., Ge, H., Kabakcı, Ö. and Mariman, R. (2025) ‘Generative AI without guardrails can harm learning: evidence from high school mathematics’, </w:t>
      </w:r>
      <w:r w:rsidRPr="002D03D0">
        <w:rPr>
          <w:rFonts w:ascii="Arial" w:eastAsia="Arial" w:hAnsi="Arial" w:cs="Arial"/>
          <w:i/>
          <w:iCs/>
        </w:rPr>
        <w:t>Proceedings of the National Academy of Sciences</w:t>
      </w:r>
      <w:r w:rsidRPr="002D03D0">
        <w:rPr>
          <w:rFonts w:ascii="Arial" w:eastAsia="Arial" w:hAnsi="Arial" w:cs="Arial"/>
        </w:rPr>
        <w:t xml:space="preserve">, 122(26), article e2422633122. </w:t>
      </w:r>
      <w:hyperlink r:id="rId11" w:history="1">
        <w:r w:rsidRPr="002D03D0">
          <w:rPr>
            <w:rStyle w:val="Hyperlink"/>
            <w:rFonts w:ascii="Arial" w:eastAsia="Arial" w:hAnsi="Arial" w:cs="Arial"/>
            <w:color w:val="auto"/>
          </w:rPr>
          <w:t>https://doi.org/10.1073/pnas.2422633122</w:t>
        </w:r>
      </w:hyperlink>
    </w:p>
    <w:p w14:paraId="2F7E65BC" w14:textId="7EB9C0DD"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Bloom, N., Han, R. and Liang, J. (2024) ‘Hybrid working from home improves retention without damaging performance’, </w:t>
      </w:r>
      <w:r w:rsidRPr="002D03D0">
        <w:rPr>
          <w:rFonts w:ascii="Arial" w:eastAsia="Arial" w:hAnsi="Arial" w:cs="Arial"/>
          <w:i/>
          <w:iCs/>
        </w:rPr>
        <w:t>Nature</w:t>
      </w:r>
      <w:r w:rsidRPr="002D03D0">
        <w:rPr>
          <w:rFonts w:ascii="Arial" w:eastAsia="Arial" w:hAnsi="Arial" w:cs="Arial"/>
        </w:rPr>
        <w:t xml:space="preserve">, 630(8018), pp. 920–925. </w:t>
      </w:r>
      <w:hyperlink r:id="rId12" w:history="1">
        <w:r w:rsidRPr="002D03D0">
          <w:rPr>
            <w:rStyle w:val="Hyperlink"/>
            <w:rFonts w:ascii="Arial" w:eastAsia="Arial" w:hAnsi="Arial" w:cs="Arial"/>
            <w:color w:val="auto"/>
          </w:rPr>
          <w:t>https://doi.org/10.1038/s41586-024-07500-2</w:t>
        </w:r>
      </w:hyperlink>
    </w:p>
    <w:p w14:paraId="3A8F6DF2" w14:textId="3AE1AD15"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Böhnlein, P. and Baum, M. (2022) ‘Does job crafting always lead to employee well-being and performance? Meta-analytical evidence on the moderating role of societal culture’, </w:t>
      </w:r>
      <w:r w:rsidRPr="002D03D0">
        <w:rPr>
          <w:rFonts w:ascii="Arial" w:eastAsia="Arial" w:hAnsi="Arial" w:cs="Arial"/>
          <w:i/>
          <w:iCs/>
        </w:rPr>
        <w:t>The International Journal of Human Resource Management</w:t>
      </w:r>
      <w:r w:rsidRPr="002D03D0">
        <w:rPr>
          <w:rFonts w:ascii="Arial" w:eastAsia="Arial" w:hAnsi="Arial" w:cs="Arial"/>
        </w:rPr>
        <w:t xml:space="preserve">, 33(4), pp. 647–685. </w:t>
      </w:r>
      <w:hyperlink r:id="rId13" w:history="1">
        <w:r w:rsidRPr="002D03D0">
          <w:rPr>
            <w:rStyle w:val="Hyperlink"/>
            <w:rFonts w:ascii="Arial" w:eastAsia="Arial" w:hAnsi="Arial" w:cs="Arial"/>
            <w:color w:val="auto"/>
          </w:rPr>
          <w:t>https://doi.org/10.1080/09585192.2020.1737177</w:t>
        </w:r>
      </w:hyperlink>
    </w:p>
    <w:p w14:paraId="69F29B60" w14:textId="28C8D009"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Boon, C., Den Hartog, D.N. and Lepak, D.P. (2019) ‘A systematic review of human resource management systems and their measurement’, </w:t>
      </w:r>
      <w:r w:rsidRPr="002D03D0">
        <w:rPr>
          <w:rFonts w:ascii="Arial" w:eastAsia="Arial" w:hAnsi="Arial" w:cs="Arial"/>
          <w:i/>
          <w:iCs/>
        </w:rPr>
        <w:t>Journal of Management</w:t>
      </w:r>
      <w:r w:rsidRPr="002D03D0">
        <w:rPr>
          <w:rFonts w:ascii="Arial" w:eastAsia="Arial" w:hAnsi="Arial" w:cs="Arial"/>
        </w:rPr>
        <w:t xml:space="preserve">, 45(6), pp. 2498–2537. </w:t>
      </w:r>
      <w:hyperlink r:id="rId14" w:history="1">
        <w:r w:rsidRPr="002D03D0">
          <w:rPr>
            <w:rStyle w:val="Hyperlink"/>
            <w:rFonts w:ascii="Arial" w:eastAsia="Arial" w:hAnsi="Arial" w:cs="Arial"/>
            <w:color w:val="auto"/>
          </w:rPr>
          <w:t>https://doi.org/10.1177/0149206318818718</w:t>
        </w:r>
      </w:hyperlink>
    </w:p>
    <w:p w14:paraId="6A680BC9" w14:textId="33D03B25"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Canning, E.A., Murphy, M.C., Emerson, K.T.U., Chatman, J.A., Dweck, C.S. and Kray, L.J. (2020) ‘Cultures of genius at work: organizational mindsets predict cultural norms, trust, and commitment’, </w:t>
      </w:r>
      <w:r w:rsidRPr="002D03D0">
        <w:rPr>
          <w:rFonts w:ascii="Arial" w:eastAsia="Arial" w:hAnsi="Arial" w:cs="Arial"/>
          <w:i/>
          <w:iCs/>
        </w:rPr>
        <w:t>Personality and Social Psychology Bulletin</w:t>
      </w:r>
      <w:r w:rsidRPr="002D03D0">
        <w:rPr>
          <w:rFonts w:ascii="Arial" w:eastAsia="Arial" w:hAnsi="Arial" w:cs="Arial"/>
        </w:rPr>
        <w:t xml:space="preserve">, 46(4), pp. 626–642. </w:t>
      </w:r>
      <w:hyperlink r:id="rId15" w:history="1">
        <w:r w:rsidRPr="002D03D0">
          <w:rPr>
            <w:rStyle w:val="Hyperlink"/>
            <w:rFonts w:ascii="Arial" w:eastAsia="Arial" w:hAnsi="Arial" w:cs="Arial"/>
            <w:color w:val="auto"/>
          </w:rPr>
          <w:t>https://doi.org/10.1177/0146167219872473</w:t>
        </w:r>
      </w:hyperlink>
    </w:p>
    <w:p w14:paraId="5D38464D"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CIPD (2025) </w:t>
      </w:r>
      <w:r w:rsidRPr="002D03D0">
        <w:rPr>
          <w:rFonts w:ascii="Arial" w:eastAsia="Arial" w:hAnsi="Arial" w:cs="Arial"/>
          <w:i/>
          <w:iCs/>
        </w:rPr>
        <w:t>Flexible and hybrid working practices in 2025</w:t>
      </w:r>
      <w:r w:rsidRPr="002D03D0">
        <w:rPr>
          <w:rFonts w:ascii="Arial" w:eastAsia="Arial" w:hAnsi="Arial" w:cs="Arial"/>
        </w:rPr>
        <w:t xml:space="preserve">. Available at: </w:t>
      </w:r>
      <w:hyperlink r:id="rId16" w:history="1">
        <w:r w:rsidRPr="002D03D0">
          <w:rPr>
            <w:rStyle w:val="Hyperlink"/>
            <w:rFonts w:ascii="Arial" w:eastAsia="Arial" w:hAnsi="Arial" w:cs="Arial"/>
            <w:color w:val="auto"/>
          </w:rPr>
          <w:t>https://www.cipd.org/uk/knowledge/reports/flexible-hybrid-working/</w:t>
        </w:r>
      </w:hyperlink>
    </w:p>
    <w:p w14:paraId="06C49CEC" w14:textId="2283C2AD"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Dell’Acqua, F., McFowland III, E., Mollick, E., Lifshitz-Assaf, H., Kellogg, K.C., Rajendran, S., Krayer, L., Candelon, F. and Lakhani, K.R. (2023) ‘Navigating the jagged technological frontier’. SSRN working paper 4573321. </w:t>
      </w:r>
      <w:hyperlink r:id="rId17" w:history="1">
        <w:r w:rsidRPr="002D03D0">
          <w:rPr>
            <w:rStyle w:val="Hyperlink"/>
            <w:rFonts w:ascii="Arial" w:eastAsia="Arial" w:hAnsi="Arial" w:cs="Arial"/>
            <w:color w:val="auto"/>
          </w:rPr>
          <w:t>https://papers.ssrn.com/sol3/papers.cfm?abstract_id=4573321</w:t>
        </w:r>
      </w:hyperlink>
    </w:p>
    <w:p w14:paraId="3F4C10DF" w14:textId="7D75928A"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lastRenderedPageBreak/>
        <w:t xml:space="preserve">Department for Science, Innovation and Technology (2024) </w:t>
      </w:r>
      <w:r w:rsidRPr="002D03D0">
        <w:rPr>
          <w:rFonts w:ascii="Arial" w:eastAsia="Arial" w:hAnsi="Arial" w:cs="Arial"/>
          <w:i/>
          <w:iCs/>
        </w:rPr>
        <w:t>Responsible AI in recruitment</w:t>
      </w:r>
      <w:r w:rsidRPr="002D03D0">
        <w:rPr>
          <w:rFonts w:ascii="Arial" w:eastAsia="Arial" w:hAnsi="Arial" w:cs="Arial"/>
        </w:rPr>
        <w:t xml:space="preserve">. </w:t>
      </w:r>
      <w:hyperlink r:id="rId18" w:history="1">
        <w:r w:rsidRPr="002D03D0">
          <w:rPr>
            <w:rStyle w:val="Hyperlink"/>
            <w:rFonts w:ascii="Arial" w:eastAsia="Arial" w:hAnsi="Arial" w:cs="Arial"/>
            <w:color w:val="auto"/>
          </w:rPr>
          <w:t>https://gov.uk/government/publications/responsible-ai-in-recruitment-guide/responsible-ai-in-recruitment</w:t>
        </w:r>
      </w:hyperlink>
    </w:p>
    <w:p w14:paraId="0B88BB55" w14:textId="35579ED8"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Edmondson, A.C. and Bransby, D.P. (2023) ‘Psychological safety comes of age: observed themes in an established literature’, </w:t>
      </w:r>
      <w:r w:rsidRPr="002D03D0">
        <w:rPr>
          <w:rFonts w:ascii="Arial" w:eastAsia="Arial" w:hAnsi="Arial" w:cs="Arial"/>
          <w:i/>
          <w:iCs/>
        </w:rPr>
        <w:t>Annual Review of Organizational Psychology and Organizational Behavior</w:t>
      </w:r>
      <w:r w:rsidRPr="002D03D0">
        <w:rPr>
          <w:rFonts w:ascii="Arial" w:eastAsia="Arial" w:hAnsi="Arial" w:cs="Arial"/>
        </w:rPr>
        <w:t xml:space="preserve">, 10, pp. 55–78. </w:t>
      </w:r>
      <w:hyperlink r:id="rId19" w:history="1">
        <w:r w:rsidRPr="002D03D0">
          <w:rPr>
            <w:rStyle w:val="Hyperlink"/>
            <w:rFonts w:ascii="Arial" w:eastAsia="Arial" w:hAnsi="Arial" w:cs="Arial"/>
            <w:color w:val="auto"/>
          </w:rPr>
          <w:t>https://doi.org/10.1146/annurev-orgpsych-120920-055217</w:t>
        </w:r>
      </w:hyperlink>
    </w:p>
    <w:p w14:paraId="2813F95B"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Employment Relations (Flexible Working) Act 2023, c. 33. </w:t>
      </w:r>
      <w:hyperlink r:id="rId20" w:history="1">
        <w:r w:rsidRPr="002D03D0">
          <w:rPr>
            <w:rStyle w:val="Hyperlink"/>
            <w:rFonts w:ascii="Arial" w:eastAsia="Arial" w:hAnsi="Arial" w:cs="Arial"/>
            <w:color w:val="auto"/>
          </w:rPr>
          <w:t>https://www.legislation.gov.uk/ukpga/2023/33/section/1</w:t>
        </w:r>
      </w:hyperlink>
    </w:p>
    <w:p w14:paraId="392C9396"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Gallardo-Gallardo, E., Thunnissen, M. and Scullion, H. (2020) ‘Talent management: context matters’, </w:t>
      </w:r>
      <w:r w:rsidRPr="002D03D0">
        <w:rPr>
          <w:rFonts w:ascii="Arial" w:eastAsia="Arial" w:hAnsi="Arial" w:cs="Arial"/>
          <w:i/>
          <w:iCs/>
        </w:rPr>
        <w:t>The International Journal of Human Resource Management</w:t>
      </w:r>
      <w:r w:rsidRPr="002D03D0">
        <w:rPr>
          <w:rFonts w:ascii="Arial" w:eastAsia="Arial" w:hAnsi="Arial" w:cs="Arial"/>
        </w:rPr>
        <w:t xml:space="preserve">, 31(4), pp. 457–473. </w:t>
      </w:r>
      <w:hyperlink r:id="rId21" w:history="1">
        <w:r w:rsidRPr="002D03D0">
          <w:rPr>
            <w:rStyle w:val="Hyperlink"/>
            <w:rFonts w:ascii="Arial" w:eastAsia="Arial" w:hAnsi="Arial" w:cs="Arial"/>
            <w:color w:val="auto"/>
          </w:rPr>
          <w:t>https://doi.org/10.1080/09585192.2019.1642645</w:t>
        </w:r>
      </w:hyperlink>
    </w:p>
    <w:p w14:paraId="4A3D0D6D"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Garvin, D.A., Edmondson, A.C. and Gino, F. (2008) ‘Is yours a learning organization?’, </w:t>
      </w:r>
      <w:r w:rsidRPr="002D03D0">
        <w:rPr>
          <w:rFonts w:ascii="Arial" w:eastAsia="Arial" w:hAnsi="Arial" w:cs="Arial"/>
          <w:i/>
          <w:iCs/>
        </w:rPr>
        <w:t>Harvard Business Review</w:t>
      </w:r>
      <w:r w:rsidRPr="002D03D0">
        <w:rPr>
          <w:rFonts w:ascii="Arial" w:eastAsia="Arial" w:hAnsi="Arial" w:cs="Arial"/>
        </w:rPr>
        <w:t xml:space="preserve">, 86(3), pp. 109–116. </w:t>
      </w:r>
      <w:hyperlink r:id="rId22" w:history="1">
        <w:r w:rsidRPr="002D03D0">
          <w:rPr>
            <w:rStyle w:val="Hyperlink"/>
            <w:rFonts w:ascii="Arial" w:eastAsia="Arial" w:hAnsi="Arial" w:cs="Arial"/>
            <w:color w:val="auto"/>
          </w:rPr>
          <w:t>https://bloodwater.org/content/uploads/2023/10/Is-Yours-a-Learning-Organization_HBR.pdf</w:t>
        </w:r>
      </w:hyperlink>
    </w:p>
    <w:p w14:paraId="27794BCA"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Lee, H.-P., Sarkar, A., Tankelevitch, L., Drosos, I., Rintel, S., Banks, R. and Wilson, N. (2025) ‘The impact of generative AI on critical thinking: self-reported reductions in cognitive effort and confidence effects from a survey of knowledge workers’, in </w:t>
      </w:r>
      <w:r w:rsidRPr="002D03D0">
        <w:rPr>
          <w:rFonts w:ascii="Arial" w:eastAsia="Arial" w:hAnsi="Arial" w:cs="Arial"/>
          <w:i/>
          <w:iCs/>
        </w:rPr>
        <w:t>Proceedings of the 2025 CHI Conference on Human Factors in Computing Systems (CHI ’25)</w:t>
      </w:r>
      <w:r w:rsidRPr="002D03D0">
        <w:rPr>
          <w:rFonts w:ascii="Arial" w:eastAsia="Arial" w:hAnsi="Arial" w:cs="Arial"/>
        </w:rPr>
        <w:t xml:space="preserve">. New York: ACM, article 1121, pp. 1–22. </w:t>
      </w:r>
      <w:hyperlink r:id="rId23" w:history="1">
        <w:r w:rsidRPr="002D03D0">
          <w:rPr>
            <w:rStyle w:val="Hyperlink"/>
            <w:rFonts w:ascii="Arial" w:eastAsia="Arial" w:hAnsi="Arial" w:cs="Arial"/>
            <w:color w:val="auto"/>
          </w:rPr>
          <w:t>https://doi.org/10.1145/3706598.3713778</w:t>
        </w:r>
      </w:hyperlink>
    </w:p>
    <w:p w14:paraId="64F44E6A"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Makarius, E.E., Mukherjee, D., Fox, J.D. and Fox, A.K. (2020) ‘Rising with the machines: a sociotechnical framework for bringing artificial intelligence into the organization’, </w:t>
      </w:r>
      <w:r w:rsidRPr="002D03D0">
        <w:rPr>
          <w:rFonts w:ascii="Arial" w:eastAsia="Arial" w:hAnsi="Arial" w:cs="Arial"/>
          <w:i/>
          <w:iCs/>
        </w:rPr>
        <w:t>Journal of Business Research</w:t>
      </w:r>
      <w:r w:rsidRPr="002D03D0">
        <w:rPr>
          <w:rFonts w:ascii="Arial" w:eastAsia="Arial" w:hAnsi="Arial" w:cs="Arial"/>
        </w:rPr>
        <w:t xml:space="preserve">, 120, pp. 262–273. </w:t>
      </w:r>
      <w:hyperlink r:id="rId24" w:history="1">
        <w:r w:rsidRPr="002D03D0">
          <w:rPr>
            <w:rStyle w:val="Hyperlink"/>
            <w:rFonts w:ascii="Arial" w:eastAsia="Arial" w:hAnsi="Arial" w:cs="Arial"/>
            <w:color w:val="auto"/>
          </w:rPr>
          <w:t>https://doi.org/10.1016/j.jbusres.2020.07.045</w:t>
        </w:r>
      </w:hyperlink>
    </w:p>
    <w:p w14:paraId="5A2BAAA8"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NHS England (2023) </w:t>
      </w:r>
      <w:r w:rsidRPr="002D03D0">
        <w:rPr>
          <w:rFonts w:ascii="Arial" w:eastAsia="Arial" w:hAnsi="Arial" w:cs="Arial"/>
          <w:i/>
          <w:iCs/>
        </w:rPr>
        <w:t>NHS long term workforce plan</w:t>
      </w:r>
      <w:r w:rsidRPr="002D03D0">
        <w:rPr>
          <w:rFonts w:ascii="Arial" w:eastAsia="Arial" w:hAnsi="Arial" w:cs="Arial"/>
        </w:rPr>
        <w:t xml:space="preserve">. </w:t>
      </w:r>
      <w:hyperlink r:id="rId25" w:history="1">
        <w:r w:rsidRPr="002D03D0">
          <w:rPr>
            <w:rStyle w:val="Hyperlink"/>
            <w:rFonts w:ascii="Arial" w:eastAsia="Arial" w:hAnsi="Arial" w:cs="Arial"/>
            <w:color w:val="auto"/>
          </w:rPr>
          <w:t>https://www.england.nhs.uk/long-read/nhs-long-term-workforce-plan-2/</w:t>
        </w:r>
      </w:hyperlink>
    </w:p>
    <w:p w14:paraId="26E76099"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O’Donovan, R. and McAuliffe, E. (2020) ‘A systematic review of factors that enable psychological safety in healthcare teams’, </w:t>
      </w:r>
      <w:r w:rsidRPr="002D03D0">
        <w:rPr>
          <w:rFonts w:ascii="Arial" w:eastAsia="Arial" w:hAnsi="Arial" w:cs="Arial"/>
          <w:i/>
          <w:iCs/>
        </w:rPr>
        <w:t>International Journal for Quality in Health Care</w:t>
      </w:r>
      <w:r w:rsidRPr="002D03D0">
        <w:rPr>
          <w:rFonts w:ascii="Arial" w:eastAsia="Arial" w:hAnsi="Arial" w:cs="Arial"/>
        </w:rPr>
        <w:t xml:space="preserve">, 32(4), pp. 240–250. </w:t>
      </w:r>
      <w:hyperlink r:id="rId26" w:history="1">
        <w:r w:rsidRPr="002D03D0">
          <w:rPr>
            <w:rStyle w:val="Hyperlink"/>
            <w:rFonts w:ascii="Arial" w:eastAsia="Arial" w:hAnsi="Arial" w:cs="Arial"/>
            <w:color w:val="auto"/>
          </w:rPr>
          <w:t>https://doi.org/10.1093/intqhc/mzaa025</w:t>
        </w:r>
      </w:hyperlink>
    </w:p>
    <w:p w14:paraId="129CBC82"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Rigby, D.K., Sutherland, J. and Noble, A. (2018) ‘Agile at scale’, </w:t>
      </w:r>
      <w:r w:rsidRPr="002D03D0">
        <w:rPr>
          <w:rFonts w:ascii="Arial" w:eastAsia="Arial" w:hAnsi="Arial" w:cs="Arial"/>
          <w:i/>
          <w:iCs/>
        </w:rPr>
        <w:t>Harvard Business Review</w:t>
      </w:r>
      <w:r w:rsidRPr="002D03D0">
        <w:rPr>
          <w:rFonts w:ascii="Arial" w:eastAsia="Arial" w:hAnsi="Arial" w:cs="Arial"/>
        </w:rPr>
        <w:t xml:space="preserve">, 96(3), pp. 88–96. </w:t>
      </w:r>
      <w:hyperlink r:id="rId27" w:history="1">
        <w:r w:rsidRPr="002D03D0">
          <w:rPr>
            <w:rStyle w:val="Hyperlink"/>
            <w:rFonts w:ascii="Arial" w:eastAsia="Arial" w:hAnsi="Arial" w:cs="Arial"/>
            <w:color w:val="auto"/>
          </w:rPr>
          <w:t>https://www.bain.com/de/insights/agile-at-scale-hbr/</w:t>
        </w:r>
      </w:hyperlink>
    </w:p>
    <w:p w14:paraId="050EEAD5" w14:textId="16A43A2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lastRenderedPageBreak/>
        <w:t xml:space="preserve">Ryan, R.M. and Deci, E.L. (2020) ‘Intrinsic and extrinsic motivation from a self-determination theory perspective: definitions, theory, practices, and future directions’, </w:t>
      </w:r>
      <w:r w:rsidRPr="002D03D0">
        <w:rPr>
          <w:rFonts w:ascii="Arial" w:eastAsia="Arial" w:hAnsi="Arial" w:cs="Arial"/>
          <w:i/>
          <w:iCs/>
        </w:rPr>
        <w:t>Contemporary Educational Psychology</w:t>
      </w:r>
      <w:r w:rsidRPr="002D03D0">
        <w:rPr>
          <w:rFonts w:ascii="Arial" w:eastAsia="Arial" w:hAnsi="Arial" w:cs="Arial"/>
        </w:rPr>
        <w:t xml:space="preserve">, 61, article 101860. </w:t>
      </w:r>
      <w:hyperlink r:id="rId28" w:history="1">
        <w:r w:rsidRPr="002D03D0">
          <w:rPr>
            <w:rStyle w:val="Hyperlink"/>
            <w:rFonts w:ascii="Arial" w:eastAsia="Arial" w:hAnsi="Arial" w:cs="Arial"/>
            <w:color w:val="auto"/>
          </w:rPr>
          <w:t>https://doi.org/10.1016/j.cedpsych.2020.101860</w:t>
        </w:r>
      </w:hyperlink>
    </w:p>
    <w:p w14:paraId="46A3393C" w14:textId="61BC04BE"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Senge, P.M. (2006) </w:t>
      </w:r>
      <w:r w:rsidRPr="002D03D0">
        <w:rPr>
          <w:rFonts w:ascii="Arial" w:eastAsia="Arial" w:hAnsi="Arial" w:cs="Arial"/>
          <w:i/>
          <w:iCs/>
        </w:rPr>
        <w:t>The fifth discipline: the art and practice of the learning organization</w:t>
      </w:r>
      <w:r w:rsidRPr="002D03D0">
        <w:rPr>
          <w:rFonts w:ascii="Arial" w:eastAsia="Arial" w:hAnsi="Arial" w:cs="Arial"/>
        </w:rPr>
        <w:t>. Rev. and updated edn. London: Random House Business Books.</w:t>
      </w:r>
    </w:p>
    <w:p w14:paraId="39980E33" w14:textId="77777777"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Shi, L., Van Veldhoven, M., Kooij, D., Van De Voorde, K. and Karanika-Murray, M. (2024) ‘High-performance work systems and individual performance: a longitudinal study of the differential roles of happiness and health well-being’, </w:t>
      </w:r>
      <w:r w:rsidRPr="002D03D0">
        <w:rPr>
          <w:rFonts w:ascii="Arial" w:eastAsia="Arial" w:hAnsi="Arial" w:cs="Arial"/>
          <w:i/>
          <w:iCs/>
        </w:rPr>
        <w:t>Frontiers in Psychology</w:t>
      </w:r>
      <w:r w:rsidRPr="002D03D0">
        <w:rPr>
          <w:rFonts w:ascii="Arial" w:eastAsia="Arial" w:hAnsi="Arial" w:cs="Arial"/>
        </w:rPr>
        <w:t xml:space="preserve">, 14, article 1261564. </w:t>
      </w:r>
      <w:hyperlink r:id="rId29" w:history="1">
        <w:r w:rsidRPr="002D03D0">
          <w:rPr>
            <w:rStyle w:val="Hyperlink"/>
            <w:rFonts w:ascii="Arial" w:eastAsia="Arial" w:hAnsi="Arial" w:cs="Arial"/>
            <w:color w:val="auto"/>
          </w:rPr>
          <w:t>https://doi.org/10.3389/fpsyg.2023.1261564</w:t>
        </w:r>
      </w:hyperlink>
    </w:p>
    <w:p w14:paraId="2F2C9006" w14:textId="63ED034B" w:rsidR="000D7EBA" w:rsidRPr="002D03D0" w:rsidRDefault="000D7EBA" w:rsidP="002D03D0">
      <w:pPr>
        <w:spacing w:after="120" w:line="360" w:lineRule="auto"/>
        <w:ind w:left="720" w:hanging="720"/>
        <w:jc w:val="both"/>
        <w:rPr>
          <w:rFonts w:ascii="Arial" w:eastAsia="Arial" w:hAnsi="Arial" w:cs="Arial"/>
        </w:rPr>
      </w:pPr>
      <w:r w:rsidRPr="002D03D0">
        <w:rPr>
          <w:rFonts w:ascii="Arial" w:eastAsia="Arial" w:hAnsi="Arial" w:cs="Arial"/>
        </w:rPr>
        <w:t xml:space="preserve">Yang, L., Holtz, D., Jaffe, S., Suri, S., Sinha, S., Weston, J., Joyce, C., Shah, N.P., Sherman, K., Hecht, B. and Teevan, J. (2022) ‘The effects of remote work on collaboration among information workers’, </w:t>
      </w:r>
      <w:r w:rsidRPr="002D03D0">
        <w:rPr>
          <w:rFonts w:ascii="Arial" w:eastAsia="Arial" w:hAnsi="Arial" w:cs="Arial"/>
          <w:i/>
          <w:iCs/>
        </w:rPr>
        <w:t>Nature Human Behaviour</w:t>
      </w:r>
      <w:r w:rsidRPr="002D03D0">
        <w:rPr>
          <w:rFonts w:ascii="Arial" w:eastAsia="Arial" w:hAnsi="Arial" w:cs="Arial"/>
        </w:rPr>
        <w:t xml:space="preserve">, 6(1), pp. 43–54. </w:t>
      </w:r>
      <w:hyperlink r:id="rId30" w:history="1">
        <w:r w:rsidRPr="002D03D0">
          <w:rPr>
            <w:rStyle w:val="Hyperlink"/>
            <w:rFonts w:ascii="Arial" w:eastAsia="Arial" w:hAnsi="Arial" w:cs="Arial"/>
            <w:color w:val="auto"/>
          </w:rPr>
          <w:t>https://doi.org/10.1038/s41562-021-01196-4</w:t>
        </w:r>
      </w:hyperlink>
    </w:p>
    <w:p w14:paraId="3761C9ED" w14:textId="77777777" w:rsidR="000D7EBA" w:rsidRPr="002D03D0" w:rsidRDefault="000D7EBA" w:rsidP="002D03D0">
      <w:pPr>
        <w:spacing w:after="120" w:line="360" w:lineRule="auto"/>
        <w:ind w:left="720" w:hanging="720"/>
        <w:jc w:val="both"/>
        <w:rPr>
          <w:rFonts w:ascii="Arial" w:eastAsia="Arial" w:hAnsi="Arial" w:cs="Arial"/>
        </w:rPr>
      </w:pPr>
    </w:p>
    <w:p w14:paraId="186AD5BD" w14:textId="77777777" w:rsidR="000D7EBA" w:rsidRPr="002D03D0" w:rsidRDefault="000D7EBA" w:rsidP="002D03D0">
      <w:pPr>
        <w:spacing w:line="360" w:lineRule="auto"/>
        <w:jc w:val="both"/>
        <w:rPr>
          <w:rFonts w:ascii="Arial" w:hAnsi="Arial" w:cs="Arial"/>
        </w:rPr>
      </w:pPr>
    </w:p>
    <w:sectPr w:rsidR="000D7EBA" w:rsidRPr="002D03D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9B600" w14:textId="77777777" w:rsidR="00D57E06" w:rsidRDefault="00D57E06" w:rsidP="000D7EBA">
      <w:pPr>
        <w:spacing w:after="0" w:line="240" w:lineRule="auto"/>
      </w:pPr>
      <w:r>
        <w:separator/>
      </w:r>
    </w:p>
  </w:endnote>
  <w:endnote w:type="continuationSeparator" w:id="0">
    <w:p w14:paraId="57EE53C7" w14:textId="77777777" w:rsidR="00D57E06" w:rsidRDefault="00D57E06" w:rsidP="000D7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768913"/>
      <w:docPartObj>
        <w:docPartGallery w:val="Page Numbers (Bottom of Page)"/>
        <w:docPartUnique/>
      </w:docPartObj>
    </w:sdtPr>
    <w:sdtContent>
      <w:sdt>
        <w:sdtPr>
          <w:id w:val="-1705238520"/>
          <w:docPartObj>
            <w:docPartGallery w:val="Page Numbers (Top of Page)"/>
            <w:docPartUnique/>
          </w:docPartObj>
        </w:sdtPr>
        <w:sdtContent>
          <w:p w14:paraId="4228A953" w14:textId="26811839" w:rsidR="000D7EBA" w:rsidRDefault="000D7EB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31C667A" w14:textId="77777777" w:rsidR="000D7EBA" w:rsidRDefault="000D7E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2152F" w14:textId="77777777" w:rsidR="00D57E06" w:rsidRDefault="00D57E06" w:rsidP="000D7EBA">
      <w:pPr>
        <w:spacing w:after="0" w:line="240" w:lineRule="auto"/>
      </w:pPr>
      <w:r>
        <w:separator/>
      </w:r>
    </w:p>
  </w:footnote>
  <w:footnote w:type="continuationSeparator" w:id="0">
    <w:p w14:paraId="67A47D22" w14:textId="77777777" w:rsidR="00D57E06" w:rsidRDefault="00D57E06" w:rsidP="000D7E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95D80"/>
    <w:multiLevelType w:val="hybridMultilevel"/>
    <w:tmpl w:val="96A47F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17036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090"/>
    <w:rsid w:val="000D7EBA"/>
    <w:rsid w:val="001F0678"/>
    <w:rsid w:val="002C33E1"/>
    <w:rsid w:val="002D03D0"/>
    <w:rsid w:val="00300002"/>
    <w:rsid w:val="00666549"/>
    <w:rsid w:val="00813F5A"/>
    <w:rsid w:val="00A836BE"/>
    <w:rsid w:val="00BA6090"/>
    <w:rsid w:val="00D57E06"/>
    <w:rsid w:val="00E1626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87F67"/>
  <w15:chartTrackingRefBased/>
  <w15:docId w15:val="{8B5A6FFB-95BE-4D3A-A5D4-57939A34D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000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002"/>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0D7EBA"/>
    <w:pPr>
      <w:ind w:left="720"/>
      <w:contextualSpacing/>
    </w:pPr>
  </w:style>
  <w:style w:type="character" w:styleId="Hyperlink">
    <w:name w:val="Hyperlink"/>
    <w:basedOn w:val="DefaultParagraphFont"/>
    <w:uiPriority w:val="99"/>
    <w:unhideWhenUsed/>
    <w:rsid w:val="000D7EBA"/>
    <w:rPr>
      <w:color w:val="0563C1" w:themeColor="hyperlink"/>
      <w:u w:val="single"/>
    </w:rPr>
  </w:style>
  <w:style w:type="character" w:styleId="UnresolvedMention">
    <w:name w:val="Unresolved Mention"/>
    <w:basedOn w:val="DefaultParagraphFont"/>
    <w:uiPriority w:val="99"/>
    <w:semiHidden/>
    <w:unhideWhenUsed/>
    <w:rsid w:val="000D7EBA"/>
    <w:rPr>
      <w:color w:val="605E5C"/>
      <w:shd w:val="clear" w:color="auto" w:fill="E1DFDD"/>
    </w:rPr>
  </w:style>
  <w:style w:type="paragraph" w:styleId="Header">
    <w:name w:val="header"/>
    <w:basedOn w:val="Normal"/>
    <w:link w:val="HeaderChar"/>
    <w:uiPriority w:val="99"/>
    <w:unhideWhenUsed/>
    <w:rsid w:val="000D7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EBA"/>
    <w:rPr>
      <w:lang w:val="en-GB"/>
    </w:rPr>
  </w:style>
  <w:style w:type="paragraph" w:styleId="Footer">
    <w:name w:val="footer"/>
    <w:basedOn w:val="Normal"/>
    <w:link w:val="FooterChar"/>
    <w:uiPriority w:val="99"/>
    <w:unhideWhenUsed/>
    <w:rsid w:val="000D7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EBA"/>
    <w:rPr>
      <w:lang w:val="en-GB"/>
    </w:rPr>
  </w:style>
  <w:style w:type="paragraph" w:styleId="TOCHeading">
    <w:name w:val="TOC Heading"/>
    <w:basedOn w:val="Heading1"/>
    <w:next w:val="Normal"/>
    <w:uiPriority w:val="39"/>
    <w:unhideWhenUsed/>
    <w:qFormat/>
    <w:rsid w:val="00E1626A"/>
    <w:pPr>
      <w:outlineLvl w:val="9"/>
    </w:pPr>
    <w:rPr>
      <w:lang w:val="en-US"/>
    </w:rPr>
  </w:style>
  <w:style w:type="paragraph" w:styleId="TOC1">
    <w:name w:val="toc 1"/>
    <w:basedOn w:val="Normal"/>
    <w:next w:val="Normal"/>
    <w:autoRedefine/>
    <w:uiPriority w:val="39"/>
    <w:unhideWhenUsed/>
    <w:rsid w:val="00E1626A"/>
    <w:pPr>
      <w:spacing w:after="100"/>
    </w:pPr>
  </w:style>
  <w:style w:type="table" w:styleId="TableGrid">
    <w:name w:val="Table Grid"/>
    <w:basedOn w:val="TableNormal"/>
    <w:uiPriority w:val="39"/>
    <w:rsid w:val="002D0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585192.2020.1737177" TargetMode="External"/><Relationship Id="rId18" Type="http://schemas.openxmlformats.org/officeDocument/2006/relationships/hyperlink" Target="https://gov.uk/government/publications/responsible-ai-in-recruitment-guide/responsible-ai-in-recruitment" TargetMode="External"/><Relationship Id="rId26" Type="http://schemas.openxmlformats.org/officeDocument/2006/relationships/hyperlink" Target="https://doi.org/10.1093/intqhc/mzaa025" TargetMode="External"/><Relationship Id="rId3" Type="http://schemas.openxmlformats.org/officeDocument/2006/relationships/styles" Target="styles.xml"/><Relationship Id="rId21" Type="http://schemas.openxmlformats.org/officeDocument/2006/relationships/hyperlink" Target="https://doi.org/10.1080/09585192.2019.1642645" TargetMode="External"/><Relationship Id="rId7" Type="http://schemas.openxmlformats.org/officeDocument/2006/relationships/endnotes" Target="endnotes.xml"/><Relationship Id="rId12" Type="http://schemas.openxmlformats.org/officeDocument/2006/relationships/hyperlink" Target="https://doi.org/10.1038/s41586-024-07500-2" TargetMode="External"/><Relationship Id="rId17" Type="http://schemas.openxmlformats.org/officeDocument/2006/relationships/hyperlink" Target="https://papers.ssrn.com/sol3/papers.cfm?abstract_id=4573321" TargetMode="External"/><Relationship Id="rId25" Type="http://schemas.openxmlformats.org/officeDocument/2006/relationships/hyperlink" Target="https://www.england.nhs.uk/long-read/nhs-long-term-workforce-plan-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uk/knowledge/reports/flexible-hybrid-working/" TargetMode="External"/><Relationship Id="rId20" Type="http://schemas.openxmlformats.org/officeDocument/2006/relationships/hyperlink" Target="https://www.legislation.gov.uk/ukpga/2023/33/section/1" TargetMode="External"/><Relationship Id="rId29" Type="http://schemas.openxmlformats.org/officeDocument/2006/relationships/hyperlink" Target="https://doi.org/10.3389/fpsyg.2023.12615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73/pnas.2422633122" TargetMode="External"/><Relationship Id="rId24" Type="http://schemas.openxmlformats.org/officeDocument/2006/relationships/hyperlink" Target="https://doi.org/10.1016/j.jbusres.2020.07.04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0146167219872473" TargetMode="External"/><Relationship Id="rId23" Type="http://schemas.openxmlformats.org/officeDocument/2006/relationships/hyperlink" Target="https://doi.org/10.1145/3706598.3713778" TargetMode="External"/><Relationship Id="rId28" Type="http://schemas.openxmlformats.org/officeDocument/2006/relationships/hyperlink" Target="https://doi.org/10.1016/j.cedpsych.2020.101860" TargetMode="External"/><Relationship Id="rId10" Type="http://schemas.openxmlformats.org/officeDocument/2006/relationships/hyperlink" Target="https://doi.org/10.1002/job.2735" TargetMode="External"/><Relationship Id="rId19" Type="http://schemas.openxmlformats.org/officeDocument/2006/relationships/hyperlink" Target="https://doi.org/10.1146/annurev-orgpsych-120920-05521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1637/epsir-2024-398" TargetMode="External"/><Relationship Id="rId14" Type="http://schemas.openxmlformats.org/officeDocument/2006/relationships/hyperlink" Target="https://doi.org/10.1177/0149206318818718" TargetMode="External"/><Relationship Id="rId22" Type="http://schemas.openxmlformats.org/officeDocument/2006/relationships/hyperlink" Target="https://bloodwater.org/content/uploads/2023/10/Is-Yours-a-Learning-Organization_HBR.pdf" TargetMode="External"/><Relationship Id="rId27" Type="http://schemas.openxmlformats.org/officeDocument/2006/relationships/hyperlink" Target="https://www.bain.com/de/insights/agile-at-scale-hbr/" TargetMode="External"/><Relationship Id="rId30" Type="http://schemas.openxmlformats.org/officeDocument/2006/relationships/hyperlink" Target="https://doi.org/10.1038/s41562-021-01196-4"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2D657-69A3-492A-9BE5-565520238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Gurpreet Kaur (2309090)</cp:lastModifiedBy>
  <cp:revision>3</cp:revision>
  <dcterms:created xsi:type="dcterms:W3CDTF">2026-10-11T16:53:00Z</dcterms:created>
  <dcterms:modified xsi:type="dcterms:W3CDTF">2026-10-21T21:42:00Z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ae4be09a-b105-4c8d-889f-3971ad960f52</vt:lpwstr>
  </property>
</Properties>
</file>