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AC4054" wp14:paraId="73B49CC5" wp14:textId="56EFEF5F">
      <w:pPr>
        <w:pStyle w:val="Normal"/>
        <w:spacing w:after="160" w:line="259" w:lineRule="auto"/>
        <w:rPr>
          <w:rFonts w:ascii="Calibri" w:hAnsi="Calibri" w:eastAsia="Calibri" w:cs="Calibri"/>
          <w:b w:val="0"/>
          <w:bCs w:val="0"/>
          <w:i w:val="0"/>
          <w:iCs w:val="0"/>
          <w:caps w:val="0"/>
          <w:smallCaps w:val="0"/>
          <w:noProof w:val="0"/>
          <w:color w:val="E8E6E3"/>
          <w:sz w:val="52"/>
          <w:szCs w:val="52"/>
          <w:lang w:val="en-US"/>
        </w:rPr>
      </w:pPr>
      <w:r w:rsidRPr="1DAC4054" w:rsidR="61FACE52">
        <w:rPr>
          <w:rFonts w:ascii="Calibri" w:hAnsi="Calibri" w:eastAsia="Calibri" w:cs="Calibri"/>
          <w:b w:val="0"/>
          <w:bCs w:val="0"/>
          <w:i w:val="0"/>
          <w:iCs w:val="0"/>
          <w:caps w:val="0"/>
          <w:smallCaps w:val="0"/>
          <w:noProof w:val="0"/>
          <w:color w:val="E8E6E3"/>
          <w:sz w:val="52"/>
          <w:szCs w:val="52"/>
          <w:lang w:val="en-US"/>
        </w:rPr>
        <w:t xml:space="preserve">Financial Performance Management </w:t>
      </w:r>
    </w:p>
    <w:p xmlns:wp14="http://schemas.microsoft.com/office/word/2010/wordml" w:rsidP="1DAC4054" wp14:paraId="6620B9EB" wp14:textId="11994E3F">
      <w:pPr>
        <w:spacing w:after="160" w:line="259" w:lineRule="auto"/>
        <w:rPr>
          <w:rFonts w:ascii="Calibri" w:hAnsi="Calibri" w:eastAsia="Calibri" w:cs="Calibri"/>
          <w:b w:val="0"/>
          <w:bCs w:val="0"/>
          <w:i w:val="0"/>
          <w:iCs w:val="0"/>
          <w:caps w:val="0"/>
          <w:smallCaps w:val="0"/>
          <w:noProof w:val="0"/>
          <w:color w:val="E8E6E3"/>
          <w:sz w:val="52"/>
          <w:szCs w:val="52"/>
          <w:lang w:val="en-US"/>
        </w:rPr>
      </w:pPr>
    </w:p>
    <w:p xmlns:wp14="http://schemas.microsoft.com/office/word/2010/wordml" w:rsidP="1DAC4054" wp14:paraId="0E93F051" wp14:textId="68CA1F75">
      <w:pPr>
        <w:spacing w:after="160" w:line="259" w:lineRule="auto"/>
        <w:rPr>
          <w:rFonts w:ascii="Calibri" w:hAnsi="Calibri" w:eastAsia="Calibri" w:cs="Calibri"/>
          <w:b w:val="0"/>
          <w:bCs w:val="0"/>
          <w:i w:val="0"/>
          <w:iCs w:val="0"/>
          <w:caps w:val="0"/>
          <w:smallCaps w:val="0"/>
          <w:noProof w:val="0"/>
          <w:color w:val="E8E6E3"/>
          <w:sz w:val="52"/>
          <w:szCs w:val="52"/>
          <w:lang w:val="en-US"/>
        </w:rPr>
      </w:pPr>
    </w:p>
    <w:p xmlns:wp14="http://schemas.microsoft.com/office/word/2010/wordml" w:rsidP="1DAC4054" wp14:paraId="412758D8" wp14:textId="27E8E8CF">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1DAC4054" w:rsidR="61FACE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Name: Ali Yasin</w:t>
      </w:r>
    </w:p>
    <w:p xmlns:wp14="http://schemas.microsoft.com/office/word/2010/wordml" w:rsidP="1DAC4054" wp14:paraId="72A0E3BD" wp14:textId="28FD0965">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1DAC4054" wp14:paraId="3847F2A6" wp14:textId="1EC32BCC">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1DAC4054" wp14:paraId="2B56F359" wp14:textId="1E18C824">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r w:rsidRPr="1DAC4054" w:rsidR="61FACE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52"/>
          <w:szCs w:val="52"/>
          <w:u w:val="single"/>
          <w:lang w:val="en-US"/>
        </w:rPr>
        <w:t>Student ID: 2114939</w:t>
      </w:r>
    </w:p>
    <w:p xmlns:wp14="http://schemas.microsoft.com/office/word/2010/wordml" w:rsidP="1DAC4054" wp14:paraId="6F5C8570" wp14:textId="3E4DD0F0">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52"/>
          <w:szCs w:val="52"/>
          <w:lang w:val="en-US"/>
        </w:rPr>
      </w:pPr>
    </w:p>
    <w:p xmlns:wp14="http://schemas.microsoft.com/office/word/2010/wordml" w:rsidP="1DAC4054" wp14:paraId="32A87564" wp14:textId="35E8D056">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303194F7" wp14:textId="7590DB61">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52B55FEC" wp14:textId="22CCB771">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1B243A40" wp14:textId="252C5F29">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2EB8E409" wp14:textId="336CD3CB">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DAC4054" wp14:paraId="4A14CC92" wp14:textId="49F0DC05">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 University of Wales</w:t>
      </w:r>
    </w:p>
    <w:p xmlns:wp14="http://schemas.microsoft.com/office/word/2010/wordml" w:rsidP="1DAC4054" wp14:paraId="5ACEBEE1" wp14:textId="4A118723">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Trinity Saint David     </w:t>
      </w:r>
    </w:p>
    <w:p xmlns:wp14="http://schemas.microsoft.com/office/word/2010/wordml" w:rsidP="1DAC4054" wp14:paraId="1A0378E8" wp14:textId="7AA3F5EF">
      <w:pPr>
        <w:spacing w:after="160" w:line="259" w:lineRule="auto"/>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DAC4054" wp14:paraId="0D8B7F4A" wp14:textId="2EF030DA">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5A36A65C" wp14:textId="2444B830">
      <w:pPr>
        <w:spacing w:after="160" w:line="259" w:lineRule="auto"/>
        <w:rPr>
          <w:rFonts w:ascii="Calibri" w:hAnsi="Calibri" w:eastAsia="Calibri" w:cs="Calibri"/>
          <w:b w:val="0"/>
          <w:bCs w:val="0"/>
          <w:i w:val="0"/>
          <w:iCs w:val="0"/>
          <w:caps w:val="0"/>
          <w:smallCaps w:val="0"/>
          <w:noProof w:val="0"/>
          <w:color w:val="E8E6E3"/>
          <w:sz w:val="48"/>
          <w:szCs w:val="48"/>
          <w:lang w:val="en-US"/>
        </w:rPr>
      </w:pPr>
    </w:p>
    <w:p xmlns:wp14="http://schemas.microsoft.com/office/word/2010/wordml" w:rsidP="1DAC4054" wp14:paraId="23B27E45" wp14:textId="672DE6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7DBE97D0" wp14:textId="187DA73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528ACAD1" wp14:textId="39382A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7947B40D" wp14:textId="6D9E128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DAC4054" wp14:paraId="063C57A9" wp14:textId="3B0D4DC7">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40"/>
          <w:szCs w:val="40"/>
          <w:lang w:val="en-US"/>
        </w:rPr>
      </w:pPr>
      <w:r w:rsidR="61FACE52">
        <w:rPr/>
        <w:t xml:space="preserve">                                   Table of Contacts </w:t>
      </w:r>
    </w:p>
    <w:p xmlns:wp14="http://schemas.microsoft.com/office/word/2010/wordml" w:rsidP="1DAC4054" wp14:paraId="18536774" wp14:textId="77C621B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60F7E08F" wp14:textId="5058B22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19A22B70" wp14:textId="08215EF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1.0      Introduction …............................................................................. 1 </w:t>
      </w:r>
    </w:p>
    <w:p xmlns:wp14="http://schemas.microsoft.com/office/word/2010/wordml" w:rsidP="1DAC4054" wp14:paraId="6AB0FC7A" wp14:textId="7078212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DAC4054" wp14:paraId="11C03BA6" wp14:textId="05DA6D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2.0      Main findings …........................................................................... 2</w:t>
      </w:r>
    </w:p>
    <w:p xmlns:wp14="http://schemas.microsoft.com/office/word/2010/wordml" w:rsidP="1DAC4054" wp14:paraId="71FE5F9F" wp14:textId="09FF752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p>
    <w:p xmlns:wp14="http://schemas.microsoft.com/office/word/2010/wordml" w:rsidP="1DAC4054" wp14:paraId="49551874" wp14:textId="612435A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2.1</w:t>
      </w:r>
      <w:r w:rsidRPr="1DAC4054" w:rsidR="16327D2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Critically evaluate the rationale for developing the Beyond Budgeting </w:t>
      </w:r>
      <w:r w:rsidRPr="1DAC4054" w:rsidR="2A970FED">
        <w:rPr>
          <w:rFonts w:ascii="Calibri" w:hAnsi="Calibri" w:eastAsia="Calibri" w:cs="Calibri"/>
          <w:b w:val="0"/>
          <w:bCs w:val="0"/>
          <w:i w:val="0"/>
          <w:iCs w:val="0"/>
          <w:caps w:val="0"/>
          <w:smallCaps w:val="0"/>
          <w:noProof w:val="0"/>
          <w:color w:val="000000" w:themeColor="text1" w:themeTint="FF" w:themeShade="FF"/>
          <w:sz w:val="32"/>
          <w:szCs w:val="32"/>
          <w:lang w:val="en-GB"/>
        </w:rPr>
        <w:t>Mode ...</w:t>
      </w:r>
      <w:r w:rsidRPr="1DAC4054" w:rsidR="7407DE5F">
        <w:rPr>
          <w:rFonts w:ascii="Calibri" w:hAnsi="Calibri" w:eastAsia="Calibri" w:cs="Calibri"/>
          <w:b w:val="0"/>
          <w:bCs w:val="0"/>
          <w:i w:val="0"/>
          <w:iCs w:val="0"/>
          <w:caps w:val="0"/>
          <w:smallCaps w:val="0"/>
          <w:noProof w:val="0"/>
          <w:color w:val="000000" w:themeColor="text1" w:themeTint="FF" w:themeShade="FF"/>
          <w:sz w:val="32"/>
          <w:szCs w:val="32"/>
          <w:lang w:val="en-GB"/>
        </w:rPr>
        <w:t>.</w:t>
      </w: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w:t>
      </w:r>
      <w:r w:rsidRPr="1DAC4054" w:rsidR="23603D0D">
        <w:rPr>
          <w:rFonts w:ascii="Calibri" w:hAnsi="Calibri" w:eastAsia="Calibri" w:cs="Calibri"/>
          <w:b w:val="0"/>
          <w:bCs w:val="0"/>
          <w:i w:val="0"/>
          <w:iCs w:val="0"/>
          <w:caps w:val="0"/>
          <w:smallCaps w:val="0"/>
          <w:noProof w:val="0"/>
          <w:color w:val="000000" w:themeColor="text1" w:themeTint="FF" w:themeShade="FF"/>
          <w:sz w:val="32"/>
          <w:szCs w:val="32"/>
          <w:lang w:val="en-GB"/>
        </w:rPr>
        <w:t>..................................................................</w:t>
      </w: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1DAC4054" wp14:paraId="6797C592" wp14:textId="30421184">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2.2 </w:t>
      </w:r>
      <w:r w:rsidRPr="1DAC4054" w:rsidR="578D97FA">
        <w:rPr>
          <w:rFonts w:ascii="Calibri" w:hAnsi="Calibri" w:eastAsia="Calibri" w:cs="Calibri"/>
          <w:b w:val="0"/>
          <w:bCs w:val="0"/>
          <w:i w:val="0"/>
          <w:iCs w:val="0"/>
          <w:caps w:val="0"/>
          <w:smallCaps w:val="0"/>
          <w:noProof w:val="0"/>
          <w:color w:val="000000" w:themeColor="text1" w:themeTint="FF" w:themeShade="FF"/>
          <w:sz w:val="32"/>
          <w:szCs w:val="32"/>
          <w:lang w:val="en-GB"/>
        </w:rPr>
        <w:t>Discuss its success since its introduction ….....................</w:t>
      </w: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1DAC4054" wp14:paraId="7AE6FBAB" wp14:textId="5EAAED5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2.3 </w:t>
      </w:r>
      <w:r w:rsidRPr="1DAC4054" w:rsidR="783B2561">
        <w:rPr>
          <w:rFonts w:ascii="Calibri" w:hAnsi="Calibri" w:eastAsia="Calibri" w:cs="Calibri"/>
          <w:b w:val="0"/>
          <w:bCs w:val="0"/>
          <w:i w:val="0"/>
          <w:iCs w:val="0"/>
          <w:caps w:val="0"/>
          <w:smallCaps w:val="0"/>
          <w:noProof w:val="0"/>
          <w:color w:val="000000" w:themeColor="text1" w:themeTint="FF" w:themeShade="FF"/>
          <w:sz w:val="32"/>
          <w:szCs w:val="32"/>
          <w:lang w:val="en-GB"/>
        </w:rPr>
        <w:t xml:space="preserve">Evaluate the potential barriers to implementing the Beyond Budgeting </w:t>
      </w:r>
      <w:r w:rsidRPr="1DAC4054" w:rsidR="42753113">
        <w:rPr>
          <w:rFonts w:ascii="Calibri" w:hAnsi="Calibri" w:eastAsia="Calibri" w:cs="Calibri"/>
          <w:b w:val="0"/>
          <w:bCs w:val="0"/>
          <w:i w:val="0"/>
          <w:iCs w:val="0"/>
          <w:caps w:val="0"/>
          <w:smallCaps w:val="0"/>
          <w:noProof w:val="0"/>
          <w:color w:val="000000" w:themeColor="text1" w:themeTint="FF" w:themeShade="FF"/>
          <w:sz w:val="32"/>
          <w:szCs w:val="32"/>
          <w:lang w:val="en-GB"/>
        </w:rPr>
        <w:t>Mode …</w:t>
      </w:r>
      <w:r w:rsidRPr="1DAC4054" w:rsidR="783B2561">
        <w:rPr>
          <w:rFonts w:ascii="Calibri" w:hAnsi="Calibri" w:eastAsia="Calibri" w:cs="Calibri"/>
          <w:b w:val="0"/>
          <w:bCs w:val="0"/>
          <w:i w:val="0"/>
          <w:iCs w:val="0"/>
          <w:caps w:val="0"/>
          <w:smallCaps w:val="0"/>
          <w:noProof w:val="0"/>
          <w:color w:val="000000" w:themeColor="text1" w:themeTint="FF" w:themeShade="FF"/>
          <w:sz w:val="32"/>
          <w:szCs w:val="32"/>
          <w:lang w:val="en-GB"/>
        </w:rPr>
        <w:t>.................................................................</w:t>
      </w: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2</w:t>
      </w:r>
    </w:p>
    <w:p xmlns:wp14="http://schemas.microsoft.com/office/word/2010/wordml" w:rsidP="1DAC4054" wp14:paraId="33706E41" wp14:textId="79564D9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1DAC4054" wp14:paraId="4ACB0E92" wp14:textId="7388BD3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3.0      Conclusions ….............................................................................. 3</w:t>
      </w:r>
    </w:p>
    <w:p xmlns:wp14="http://schemas.microsoft.com/office/word/2010/wordml" w:rsidP="1DAC4054" wp14:paraId="4D4725CC" wp14:textId="3CC8EB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DAC4054" wp14:paraId="79E75376" wp14:textId="4E3B031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US"/>
        </w:rPr>
      </w:pPr>
      <w:r w:rsidRPr="1DAC4054" w:rsidR="61FACE52">
        <w:rPr>
          <w:rFonts w:ascii="Calibri" w:hAnsi="Calibri" w:eastAsia="Calibri" w:cs="Calibri"/>
          <w:b w:val="0"/>
          <w:bCs w:val="0"/>
          <w:i w:val="0"/>
          <w:iCs w:val="0"/>
          <w:caps w:val="0"/>
          <w:smallCaps w:val="0"/>
          <w:noProof w:val="0"/>
          <w:color w:val="000000" w:themeColor="text1" w:themeTint="FF" w:themeShade="FF"/>
          <w:sz w:val="32"/>
          <w:szCs w:val="32"/>
          <w:lang w:val="en-GB"/>
        </w:rPr>
        <w:t>4.0      Reference list …........................................................................... 4</w:t>
      </w:r>
    </w:p>
    <w:p xmlns:wp14="http://schemas.microsoft.com/office/word/2010/wordml" w:rsidP="1DAC4054" wp14:paraId="2C078E63" wp14:textId="6B69A556">
      <w:pPr>
        <w:pStyle w:val="Normal"/>
      </w:pPr>
    </w:p>
    <w:p w:rsidR="1DAC4054" w:rsidP="1DAC4054" w:rsidRDefault="1DAC4054" w14:paraId="15A89BEE" w14:textId="45FAE8D5">
      <w:pPr>
        <w:pStyle w:val="Normal"/>
      </w:pPr>
    </w:p>
    <w:p w:rsidR="1DAC4054" w:rsidP="1DAC4054" w:rsidRDefault="1DAC4054" w14:paraId="45DB948A" w14:textId="22713AD1">
      <w:pPr>
        <w:pStyle w:val="Normal"/>
      </w:pPr>
    </w:p>
    <w:p w:rsidR="1DAC4054" w:rsidP="1DAC4054" w:rsidRDefault="1DAC4054" w14:paraId="3236302A" w14:textId="76BB0A66">
      <w:pPr>
        <w:pStyle w:val="Normal"/>
      </w:pPr>
    </w:p>
    <w:p w:rsidR="1DAC4054" w:rsidP="1DAC4054" w:rsidRDefault="1DAC4054" w14:paraId="14DD4A49" w14:textId="16980869">
      <w:pPr>
        <w:pStyle w:val="Normal"/>
      </w:pPr>
    </w:p>
    <w:p w:rsidR="60AA63FB" w:rsidP="1DAC4054" w:rsidRDefault="60AA63FB" w14:paraId="46F3E86A" w14:textId="20C4AD68">
      <w:pPr>
        <w:pStyle w:val="Normal"/>
        <w:spacing w:after="160" w:line="259" w:lineRule="auto"/>
        <w:ind w:left="0"/>
        <w:rPr>
          <w:rFonts w:ascii="Calibri" w:hAnsi="Calibri" w:eastAsia="Calibri" w:cs="Calibri"/>
          <w:noProof w:val="0"/>
          <w:sz w:val="22"/>
          <w:szCs w:val="22"/>
          <w:lang w:val="en-US"/>
        </w:rPr>
      </w:pPr>
      <w:r w:rsidRPr="1DAC4054" w:rsidR="60AA63FB">
        <w:rPr>
          <w:rFonts w:ascii="Calibri" w:hAnsi="Calibri" w:eastAsia="Calibri" w:cs="Calibri"/>
          <w:b w:val="0"/>
          <w:bCs w:val="0"/>
          <w:i w:val="0"/>
          <w:iCs w:val="0"/>
          <w:caps w:val="0"/>
          <w:smallCaps w:val="0"/>
          <w:noProof w:val="0"/>
          <w:color w:val="4472C4" w:themeColor="accent1" w:themeTint="FF" w:themeShade="FF"/>
          <w:sz w:val="48"/>
          <w:szCs w:val="48"/>
          <w:lang w:val="en-GB"/>
        </w:rPr>
        <w:t xml:space="preserve">1.0 </w:t>
      </w:r>
      <w:r w:rsidRPr="1DAC4054" w:rsidR="4657D071">
        <w:rPr>
          <w:rFonts w:ascii="Calibri" w:hAnsi="Calibri" w:eastAsia="Calibri" w:cs="Calibri"/>
          <w:b w:val="0"/>
          <w:bCs w:val="0"/>
          <w:i w:val="0"/>
          <w:iCs w:val="0"/>
          <w:caps w:val="0"/>
          <w:smallCaps w:val="0"/>
          <w:noProof w:val="0"/>
          <w:color w:val="4472C4" w:themeColor="accent1" w:themeTint="FF" w:themeShade="FF"/>
          <w:sz w:val="48"/>
          <w:szCs w:val="48"/>
          <w:lang w:val="en-GB"/>
        </w:rPr>
        <w:t xml:space="preserve">Introduction: </w:t>
      </w:r>
      <w:r w:rsidRPr="1DAC4054" w:rsidR="4657D071">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w:t>
      </w:r>
    </w:p>
    <w:p w:rsidR="2FA0F45F" w:rsidP="1DAC4054" w:rsidRDefault="2FA0F45F" w14:paraId="341776ED" w14:textId="1F123B61">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In the dynamic landscape of modern business, the conventional annual budgeting model has come under increasing scrutiny, with a growing recognition that traditional approaches may not be well-suited to address the challenges posed by a rapidly changing environment. This shift in perspective is </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evident</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 the emerging trend towards improved budgeting methodologies, reflecting a departure from the limitations of incremental budgeting techniques. Recent academic studies have underscored the inherent weaknesses within the annual budget model, highlighting its potential role as a hindrance to the effective implementation of alternative models essential for navigating strategic change.</w:t>
      </w:r>
    </w:p>
    <w:p w:rsidR="2FA0F45F" w:rsidP="1DAC4054" w:rsidRDefault="2FA0F45F" w14:paraId="7BEB1CCF" w14:textId="3FB3C0EA">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Traditional budgeting methods, rooted in an incremental mindset, often struggle to adapt to the swift and unpredictable shifts in the business environment. The rigid structure of annual budgets, typically set for a fixed period, may hinder organizations in responding agilely to </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emerging</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opportunities or threats. Moreover, the focus on historical data and linear projections inherent in traditional budgeting may </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fail to</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capture the complexities of contemporary business dynamics, where disruptive technologies, evolving consumer </w:t>
      </w:r>
      <w:r w:rsidRPr="1DAC4054" w:rsidR="50A2134E">
        <w:rPr>
          <w:rFonts w:ascii="Calibri" w:hAnsi="Calibri" w:eastAsia="Calibri" w:cs="Calibri"/>
          <w:b w:val="0"/>
          <w:bCs w:val="0"/>
          <w:i w:val="0"/>
          <w:iCs w:val="0"/>
          <w:caps w:val="0"/>
          <w:smallCaps w:val="0"/>
          <w:noProof w:val="0"/>
          <w:color w:val="000000" w:themeColor="text1" w:themeTint="FF" w:themeShade="FF"/>
          <w:sz w:val="32"/>
          <w:szCs w:val="32"/>
          <w:lang w:val="en-GB"/>
        </w:rPr>
        <w:t>behaviours</w:t>
      </w: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and global economic fluctuations can swiftly alter the competitive landscape.</w:t>
      </w:r>
    </w:p>
    <w:p w:rsidR="2FA0F45F" w:rsidP="1DAC4054" w:rsidRDefault="2FA0F45F" w14:paraId="0914244A" w14:textId="35309D57">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Furthermore, the annual budget model's limitations extend to its impact on strategic change initiatives. As organizations strive for agility and responsiveness in the face of change, the inflexibility of traditional budgeting may impede the implementation of alternative, more adaptive models designed to align financial planning with strategic goals. The inherent resistance to change embedded in traditional budgeting practices can act as a barrier, preventing companies from embracing innovative budgeting approaches that better suit the demands of a fast-paced business environment.</w:t>
      </w:r>
    </w:p>
    <w:p w:rsidR="2FA0F45F" w:rsidP="1DAC4054" w:rsidRDefault="2FA0F45F" w14:paraId="159D7D84" w14:textId="794816C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2FA0F45F" w:rsidP="1DAC4054" w:rsidRDefault="2FA0F45F" w14:paraId="679943B7" w14:textId="1D69CD8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This assignment critically explores the role of budgeting in contemporary business, shedding light on the applicability of traditional approaches amidst rapid change. By delving into the</w:t>
      </w:r>
    </w:p>
    <w:p w:rsidR="2FA0F45F" w:rsidP="1DAC4054" w:rsidRDefault="2FA0F45F" w14:paraId="11C674A0" w14:textId="7CE7123F">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Critically evaluate the rationale for developing the Beyond Budgeting Model</w:t>
      </w:r>
    </w:p>
    <w:p w:rsidR="2FA0F45F" w:rsidP="1DAC4054" w:rsidRDefault="2FA0F45F" w14:paraId="4C359D55" w14:textId="27E11403">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Discuss its success since its introduction. </w:t>
      </w:r>
    </w:p>
    <w:p w:rsidR="2FA0F45F" w:rsidP="1DAC4054" w:rsidRDefault="2FA0F45F" w14:paraId="6AE10D53" w14:textId="060705FE">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2FA0F45F">
        <w:rPr>
          <w:rFonts w:ascii="Calibri" w:hAnsi="Calibri" w:eastAsia="Calibri" w:cs="Calibri"/>
          <w:b w:val="0"/>
          <w:bCs w:val="0"/>
          <w:i w:val="0"/>
          <w:iCs w:val="0"/>
          <w:caps w:val="0"/>
          <w:smallCaps w:val="0"/>
          <w:noProof w:val="0"/>
          <w:color w:val="000000" w:themeColor="text1" w:themeTint="FF" w:themeShade="FF"/>
          <w:sz w:val="32"/>
          <w:szCs w:val="32"/>
          <w:lang w:val="en-GB"/>
        </w:rPr>
        <w:t>Evaluate the potential barriers to implementing the Beyond Budgeting Model</w:t>
      </w:r>
      <w:r w:rsidRPr="1DAC4054" w:rsidR="3C0E9AAF">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1DAC4054" w:rsidP="1DAC4054" w:rsidRDefault="1DAC4054" w14:paraId="1EF8BFE0" w14:textId="5487644D">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77767197" w14:textId="0EE9D7A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2764D599" w14:textId="5C0C1E66">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112DA02B" w14:textId="3C8B8766">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7DB33D1D" w14:textId="4FFC0D2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7A35FD5C" w14:textId="6438B756">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69291DE2" w14:textId="6B4574E1">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223C2814" w14:textId="7F5A5740">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7AE0DAD1" w14:textId="6775D02B">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48"/>
          <w:szCs w:val="48"/>
          <w:lang w:val="en-GB"/>
        </w:rPr>
      </w:pPr>
    </w:p>
    <w:p w:rsidR="1DAC4054" w:rsidP="1DAC4054" w:rsidRDefault="1DAC4054" w14:paraId="7AD27A2E" w14:textId="30DC876E">
      <w:pPr>
        <w:pStyle w:val="Normal"/>
      </w:pPr>
    </w:p>
    <w:p w:rsidR="0157F163" w:rsidP="1DAC4054" w:rsidRDefault="0157F163" w14:paraId="0763CF03" w14:textId="156957CB">
      <w:pPr>
        <w:pStyle w:val="Normal"/>
        <w:rPr>
          <w:rFonts w:ascii="Calibri" w:hAnsi="Calibri" w:eastAsia="Calibri" w:cs="Calibri"/>
          <w:b w:val="0"/>
          <w:bCs w:val="0"/>
          <w:i w:val="0"/>
          <w:iCs w:val="0"/>
          <w:caps w:val="0"/>
          <w:smallCaps w:val="0"/>
          <w:noProof w:val="0"/>
          <w:color w:val="0070C0"/>
          <w:sz w:val="48"/>
          <w:szCs w:val="48"/>
          <w:lang w:val="en-US"/>
        </w:rPr>
      </w:pPr>
      <w:r w:rsidRPr="1DAC4054" w:rsidR="0157F163">
        <w:rPr>
          <w:rFonts w:ascii="Calibri" w:hAnsi="Calibri" w:eastAsia="Calibri" w:cs="Calibri"/>
          <w:b w:val="0"/>
          <w:bCs w:val="0"/>
          <w:i w:val="0"/>
          <w:iCs w:val="0"/>
          <w:caps w:val="0"/>
          <w:smallCaps w:val="0"/>
          <w:noProof w:val="0"/>
          <w:color w:val="0070C0"/>
          <w:sz w:val="48"/>
          <w:szCs w:val="48"/>
          <w:lang w:val="en-GB"/>
        </w:rPr>
        <w:t xml:space="preserve">2.0      Main findings: </w:t>
      </w:r>
      <w:r w:rsidRPr="1DAC4054" w:rsidR="44E4B995">
        <w:rPr>
          <w:rFonts w:ascii="Calibri" w:hAnsi="Calibri" w:eastAsia="Calibri" w:cs="Calibri"/>
          <w:b w:val="0"/>
          <w:bCs w:val="0"/>
          <w:i w:val="0"/>
          <w:iCs w:val="0"/>
          <w:caps w:val="0"/>
          <w:smallCaps w:val="0"/>
          <w:noProof w:val="0"/>
          <w:color w:val="0070C0"/>
          <w:sz w:val="48"/>
          <w:szCs w:val="48"/>
          <w:lang w:val="en-GB"/>
        </w:rPr>
        <w:t xml:space="preserve"> </w:t>
      </w:r>
    </w:p>
    <w:p w:rsidR="44E4B995" w:rsidP="1DAC4054" w:rsidRDefault="44E4B995" w14:paraId="5193BD68" w14:textId="0EC5BC9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critically explores the role of budgeting in contemporary business, shedding light on the applicability of traditional approaches amidst rapid change. By delving into the inherent flaws of traditional budgeting methods, the </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subsequent</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analysis aims to </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provide</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comprehensive understanding of the challenges posed by conventional models in the pursuit of effective </w:t>
      </w:r>
      <w:bookmarkStart w:name="_Int_nOB3MX7g" w:id="1256256739"/>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financial management</w:t>
      </w:r>
      <w:bookmarkEnd w:id="1256256739"/>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and strategic adaptation. </w:t>
      </w:r>
    </w:p>
    <w:p w:rsidR="1DAC4054" w:rsidP="1DAC4054" w:rsidRDefault="1DAC4054" w14:paraId="09AB9E8F" w14:textId="37A64EA4">
      <w:pPr>
        <w:pStyle w:val="Normal"/>
        <w:rPr>
          <w:rFonts w:ascii="Calibri" w:hAnsi="Calibri" w:eastAsia="Calibri" w:cs="Calibri"/>
          <w:b w:val="0"/>
          <w:bCs w:val="0"/>
          <w:i w:val="0"/>
          <w:iCs w:val="0"/>
          <w:caps w:val="0"/>
          <w:smallCaps w:val="0"/>
          <w:noProof w:val="0"/>
          <w:color w:val="FFFFFF" w:themeColor="background1" w:themeTint="FF" w:themeShade="FF"/>
          <w:sz w:val="48"/>
          <w:szCs w:val="48"/>
          <w:lang w:val="en-GB"/>
        </w:rPr>
      </w:pPr>
    </w:p>
    <w:p w:rsidR="4173FD2D" w:rsidP="1DAC4054" w:rsidRDefault="4173FD2D" w14:paraId="1BAE63FB" w14:textId="57FCD47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4173FD2D">
        <w:rPr>
          <w:rFonts w:ascii="Calibri" w:hAnsi="Calibri" w:eastAsia="Calibri" w:cs="Calibri"/>
          <w:b w:val="0"/>
          <w:bCs w:val="0"/>
          <w:i w:val="0"/>
          <w:iCs w:val="0"/>
          <w:caps w:val="0"/>
          <w:smallCaps w:val="0"/>
          <w:noProof w:val="0"/>
          <w:color w:val="FFFFFF" w:themeColor="background1" w:themeTint="FF" w:themeShade="FF"/>
          <w:sz w:val="48"/>
          <w:szCs w:val="48"/>
          <w:lang w:val="en-GB"/>
        </w:rPr>
        <w:t xml:space="preserve">  </w:t>
      </w:r>
      <w:r w:rsidRPr="1DAC4054" w:rsidR="44E4B995">
        <w:rPr>
          <w:rFonts w:ascii="Calibri" w:hAnsi="Calibri" w:eastAsia="Calibri" w:cs="Calibri"/>
          <w:b w:val="0"/>
          <w:bCs w:val="0"/>
          <w:i w:val="0"/>
          <w:iCs w:val="0"/>
          <w:caps w:val="0"/>
          <w:smallCaps w:val="0"/>
          <w:noProof w:val="0"/>
          <w:color w:val="FFFFFF" w:themeColor="background1" w:themeTint="FF" w:themeShade="FF"/>
          <w:sz w:val="48"/>
          <w:szCs w:val="48"/>
          <w:lang w:val="en-GB"/>
        </w:rPr>
        <w:t xml:space="preserve">  </w:t>
      </w:r>
      <w:r w:rsidRPr="1DAC4054" w:rsidR="44E4B995">
        <w:rPr>
          <w:rFonts w:ascii="Calibri" w:hAnsi="Calibri" w:eastAsia="Calibri" w:cs="Calibri"/>
          <w:b w:val="0"/>
          <w:bCs w:val="0"/>
          <w:i w:val="0"/>
          <w:iCs w:val="0"/>
          <w:caps w:val="0"/>
          <w:smallCaps w:val="0"/>
          <w:noProof w:val="0"/>
          <w:color w:val="00B0F0"/>
          <w:sz w:val="48"/>
          <w:szCs w:val="48"/>
          <w:lang w:val="en-GB"/>
        </w:rPr>
        <w:t xml:space="preserve">2.1   Critically evaluate the rationale </w:t>
      </w:r>
      <w:r w:rsidRPr="1DAC4054" w:rsidR="44E4B995">
        <w:rPr>
          <w:rFonts w:ascii="Calibri" w:hAnsi="Calibri" w:eastAsia="Calibri" w:cs="Calibri"/>
          <w:b w:val="0"/>
          <w:bCs w:val="0"/>
          <w:i w:val="0"/>
          <w:iCs w:val="0"/>
          <w:caps w:val="0"/>
          <w:smallCaps w:val="0"/>
          <w:noProof w:val="0"/>
          <w:color w:val="00B0F0"/>
          <w:sz w:val="48"/>
          <w:szCs w:val="48"/>
          <w:lang w:val="en-GB"/>
        </w:rPr>
        <w:t xml:space="preserve">for </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developing </w:t>
      </w:r>
      <w:r w:rsidRPr="1DAC4054" w:rsidR="44E4B995">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the Beyond Budgeting Mode: </w:t>
      </w:r>
    </w:p>
    <w:p w:rsidR="1444556F" w:rsidP="1DAC4054" w:rsidRDefault="1444556F" w14:paraId="57368BE4" w14:textId="092D30D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discourse has intensified around the limitations of the traditional annual budget model, suggesting that it may hinder the effective implementation of alternative models crucial for navigating the complexities of a rapidly changing business environment. This discourse has sparked interest in exploring and critically evaluating the role of budgeting, questioning the applicability of traditional approaches, and advocating for innovative alternatives such as the Beyond Budgeting Model  we will delve into the inherent weaknesses of traditional budgeting, analyse the rationale behind the Beyond Budgeting Model, and assess its potential to address the shortcomings of traditional methods and budgeting has long been regarded as a cornerstone of organizational planning and control. Traditional budgeting involves setting detailed financial targets for an upcoming period, often a year, based on historical data and management expectations. However, the fast-paced and dynamic nature of today's business environment challenges the effectiveness of traditional budgeting. Rapid technological advancements, market uncertainties, and global interconnectedness make it increasingly difficult for organizations to accurately predict and </w:t>
      </w:r>
      <w:bookmarkStart w:name="_Int_VAaXwjap" w:id="1809883157"/>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plan for the future</w:t>
      </w:r>
      <w:bookmarkEnd w:id="1809883157"/>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solely based on historical data. </w:t>
      </w:r>
    </w:p>
    <w:p w:rsidR="1DAC4054" w:rsidP="1DAC4054" w:rsidRDefault="1DAC4054" w14:paraId="6E5A408B" w14:textId="4290FC2E">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444556F" w:rsidP="1DAC4054" w:rsidRDefault="1444556F" w14:paraId="5BFA8430" w14:textId="2040D8F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The Beyond Budgeting Model </w:t>
      </w: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comprises</w:t>
      </w: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set of guiding principles and practices designed to create a more adaptive and responsive organizational culture. One key principle is the abandonment of fixed annual budgets in Favor of dynamic forecasting. This allows organizations to continuously update their plans based on evolving market conditions, technological advancements, and other relevant factors and Another core element of the Beyond Budgeting Model is the emphasis on decentralized decision-making. By empowering front-line teams with greater autonomy, organizations can enhance their agility and responsiveness. Decentralization enables quicker decision-making, encourages innovation at all levels, and fosters a sense of ownership among employees. </w:t>
      </w:r>
    </w:p>
    <w:p w:rsidR="1444556F" w:rsidP="1DAC4054" w:rsidRDefault="1444556F" w14:paraId="541FC99D" w14:textId="7F761DA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Furthermore, the Beyond Budgeting Model promotes the use of relative performance metrics rather than absolute targets. Instead of rigidly adhering to predefined goals, organizations using this model assess their performance in relation to industry benchmarks and competitors. This approach encourages a more realistic and adaptive evaluation of success, reducing the negative consequences associated with the traditional "fixed target" mindset</w:t>
      </w:r>
      <w:r w:rsidRPr="1DAC4054" w:rsidR="2AAA96A6">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1444556F" w:rsidP="1DAC4054" w:rsidRDefault="1444556F" w14:paraId="4524C1B9" w14:textId="18CCFA4F">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1DAC4054" w:rsidP="1DAC4054" w:rsidRDefault="1DAC4054" w14:paraId="1C9F5025" w14:textId="7DDBA75F">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164A1429" w14:textId="7322034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444556F" w:rsidP="1DAC4054" w:rsidRDefault="1444556F" w14:paraId="3C7ADB73" w14:textId="7A67DFF7">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Critically Evaluating the Beyond Budgeting Model</w:t>
      </w:r>
    </w:p>
    <w:p w:rsidR="1444556F" w:rsidP="1DAC4054" w:rsidRDefault="1444556F" w14:paraId="6208E127" w14:textId="3E98EEDA">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1444556F">
        <w:rPr>
          <w:rFonts w:ascii="Calibri" w:hAnsi="Calibri" w:eastAsia="Calibri" w:cs="Calibri"/>
          <w:b w:val="0"/>
          <w:bCs w:val="0"/>
          <w:i w:val="0"/>
          <w:iCs w:val="0"/>
          <w:caps w:val="0"/>
          <w:smallCaps w:val="0"/>
          <w:noProof w:val="0"/>
          <w:color w:val="FFFFFF" w:themeColor="background1" w:themeTint="FF" w:themeShade="FF"/>
          <w:sz w:val="32"/>
          <w:szCs w:val="32"/>
          <w:lang w:val="en-GB"/>
        </w:rPr>
        <w:t>While the Beyond Budgeting Model presents a compelling alternative to traditional approaches, it is not without its challenges and criticisms. One notable concern is the potential difficulty in implementing such a significant shift in organizational culture. Moving from a centralized, target-driven model to a decentralized, adaptive model requires substantial changes in mindset, leadership practices, and organizational structures. Resistance to change, ingrained cultural norms, and the fear of losing control may impede successful adoption.</w:t>
      </w:r>
    </w:p>
    <w:p w:rsidR="1DAC4054" w:rsidP="1DAC4054" w:rsidRDefault="1DAC4054" w14:paraId="2C8B448D" w14:textId="6C1502CE">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26316EE3" w14:textId="2CB67BCB">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F1090AD" w14:textId="1377BD6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6758C8D4" w14:textId="6C0BC2A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78A4F95B" w14:textId="3B702C1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02D7D44" w14:textId="5466AB6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30788979" w14:textId="0C467B3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52A534AB" w14:textId="6C97B49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14E1D909" w14:textId="16CEFE57">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5385CF3" w14:textId="1F93BC1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27BC8CE5" w14:textId="3A982C1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676DDFD2" w14:textId="20D87D2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D756C9C" w14:textId="6C6FB05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55ED3F33" w14:textId="5F59C97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68617D76" w14:textId="632F2A3A">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593BF819" w14:textId="2E3EFA4B">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2D01930" w14:textId="25589A9E">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F116E0F" w:rsidP="1DAC4054" w:rsidRDefault="1F116E0F" w14:paraId="4E82D9D2" w14:textId="343B963E">
      <w:pPr>
        <w:pStyle w:val="Normal"/>
        <w:rPr>
          <w:rFonts w:ascii="Calibri" w:hAnsi="Calibri" w:eastAsia="Calibri" w:cs="Calibri"/>
          <w:b w:val="0"/>
          <w:bCs w:val="0"/>
          <w:i w:val="0"/>
          <w:iCs w:val="0"/>
          <w:caps w:val="0"/>
          <w:smallCaps w:val="0"/>
          <w:noProof w:val="0"/>
          <w:color w:val="000000" w:themeColor="text1" w:themeTint="FF" w:themeShade="FF"/>
          <w:sz w:val="32"/>
          <w:szCs w:val="32"/>
          <w:lang w:val="en-GB"/>
        </w:rPr>
      </w:pPr>
      <w:r w:rsidRPr="1DAC4054" w:rsidR="1F116E0F">
        <w:rPr>
          <w:rFonts w:ascii="Calibri" w:hAnsi="Calibri" w:eastAsia="Calibri" w:cs="Calibri"/>
          <w:b w:val="0"/>
          <w:bCs w:val="0"/>
          <w:i w:val="0"/>
          <w:iCs w:val="0"/>
          <w:caps w:val="0"/>
          <w:smallCaps w:val="0"/>
          <w:noProof w:val="0"/>
          <w:color w:val="FFFFFF" w:themeColor="background1" w:themeTint="FF" w:themeShade="FF"/>
          <w:sz w:val="48"/>
          <w:szCs w:val="48"/>
          <w:lang w:val="en-GB"/>
        </w:rPr>
        <w:t xml:space="preserve">  </w:t>
      </w:r>
      <w:r w:rsidRPr="1DAC4054" w:rsidR="1F116E0F">
        <w:rPr>
          <w:rFonts w:ascii="Calibri" w:hAnsi="Calibri" w:eastAsia="Calibri" w:cs="Calibri"/>
          <w:b w:val="0"/>
          <w:bCs w:val="0"/>
          <w:i w:val="0"/>
          <w:iCs w:val="0"/>
          <w:caps w:val="0"/>
          <w:smallCaps w:val="0"/>
          <w:noProof w:val="0"/>
          <w:color w:val="00B0F0"/>
          <w:sz w:val="48"/>
          <w:szCs w:val="48"/>
          <w:lang w:val="en-GB"/>
        </w:rPr>
        <w:t>2.2 Discuss its success since its introduction</w:t>
      </w:r>
      <w:r w:rsidRPr="1DAC4054" w:rsidR="25970612">
        <w:rPr>
          <w:rFonts w:ascii="Calibri" w:hAnsi="Calibri" w:eastAsia="Calibri" w:cs="Calibri"/>
          <w:b w:val="0"/>
          <w:bCs w:val="0"/>
          <w:i w:val="0"/>
          <w:iCs w:val="0"/>
          <w:caps w:val="0"/>
          <w:smallCaps w:val="0"/>
          <w:noProof w:val="0"/>
          <w:color w:val="00B0F0"/>
          <w:sz w:val="48"/>
          <w:szCs w:val="48"/>
          <w:lang w:val="en-GB"/>
        </w:rPr>
        <w:t xml:space="preserve"> </w:t>
      </w:r>
    </w:p>
    <w:p w:rsidR="25970612" w:rsidP="1DAC4054" w:rsidRDefault="25970612" w14:paraId="1A9ED11A" w14:textId="21C6499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The Beyond Budgeting Model, introduced as an alternative to traditional budgeting approaches, has garnered attention for its potential to address the inherent weaknesses of annual budget models in a fast-changing business environment. Since its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inception</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various organizations have experimented with the Beyond Budgeting principles, leading to a mixed record of success and challenges.</w:t>
      </w:r>
    </w:p>
    <w:p w:rsidR="25970612" w:rsidP="1DAC4054" w:rsidRDefault="25970612" w14:paraId="08D154B8" w14:textId="428B1FB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25970612" w:rsidP="1DAC4054" w:rsidRDefault="25970612" w14:paraId="2182D15C" w14:textId="4DCE923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One of the notable successes of the Beyond Budgeting Model lies in its ability to enhance organizational agility. By shifting away from fixed annual budgets to dynamic forecasting and continuous planning, companies adopting this model have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demonstrated</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improved responsiveness to market changes. The emphasis on decentralized decision-making has empowered front-line teams to make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timely</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decisions, fostering a more agile and adaptive organizational culture. This adaptability is particularly valuable in industries characterized by rapid technological advancements and unpredictable market dynamics.</w:t>
      </w:r>
    </w:p>
    <w:p w:rsidR="25970612" w:rsidP="1DAC4054" w:rsidRDefault="25970612" w14:paraId="6481624A" w14:textId="2034FAD9">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Furthermore, the Beyond Budgeting Model has shown promise in promoting a culture of collaboration and innovation. By delegating decision-making authority to lower levels of the organization, employees feel a greater sense of ownership and responsibility. This empowerment often leads to increased creativity, as individuals at various levels contribute to problem-solving and idea generation. The model's focus on relative performance metrics rather than rigid targets also encourages organizations to benchmark against industry peers, fostering a more realistic and collaborative approach to success.</w:t>
      </w:r>
    </w:p>
    <w:p w:rsidR="25970612" w:rsidP="1DAC4054" w:rsidRDefault="25970612" w14:paraId="43B78D3D" w14:textId="1D1378B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Several case studies highlight instances where companies successfully transitioned to the Beyond Budgeting Model, reporting improved financial performance and employee satisfaction. These success stories often emphasize the model's ability to align strategic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objectives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with day-to-day operations, ensuring that the organization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remains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adaptable and competitive in a dynamic business landscape.</w:t>
      </w:r>
    </w:p>
    <w:p w:rsidR="25970612" w:rsidP="1DAC4054" w:rsidRDefault="25970612" w14:paraId="55A8CDCE" w14:textId="28E9FD2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However, the Beyond Budgeting Model has faced its share of challenges and criticisms. One of the primary concerns is the difficulty of implementing a significant cultural shift within organizations. Moving from a traditional, centralized model to a decentralized and adaptive one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requires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not only structural changes but also a transformation in leadership practices and employee mindsets. Resistance to change, fear of losing control, and deeply ingrained cultural norms can hinder the successful adoption of the Beyond Budgeting principles.</w:t>
      </w:r>
    </w:p>
    <w:p w:rsidR="25970612" w:rsidP="1DAC4054" w:rsidRDefault="25970612" w14:paraId="193C23DA" w14:textId="49C035B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Moreover, measuring success under the Beyond Budgeting Model can be subjective and context dependent. While some organizations have reported positive outcomes in terms of increased agility and innovation, others may struggle to define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appropriate benchmarks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for relative performance metrics. The lack of a universally applicable measure of success raises questions about the model's scalability and adaptability across diverse industries and organizational contexts.</w:t>
      </w:r>
    </w:p>
    <w:p w:rsidR="25970612" w:rsidP="1DAC4054" w:rsidRDefault="25970612" w14:paraId="7A026C2C" w14:textId="722B8019">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In some instances, organizations have faced challenges in striking the right balance between decentralization and coordination. Too much autonomy at the individual or team level may lead to siloed decision-making and a lack of overall strategic alignment. Achieving the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optimal</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level of decentralization while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maintaining</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cohesive organizational goals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remains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delicate balancing act.</w:t>
      </w:r>
    </w:p>
    <w:p w:rsidR="25970612" w:rsidP="1DAC4054" w:rsidRDefault="25970612" w14:paraId="261279C4" w14:textId="10E913C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the Beyond Budgeting Model has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demonstrated</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both successes and challenges since its introduction. Its ability to enhance organizational agility, foster innovation, and create a collaborative culture has been lauded by proponents. However, the model's implementation requires a significant cultural shift, and its success is context-dependent, varying across organizations and industries. As businesses continue to grapple with the complexities of a fast-changing business environment, the Beyond Budgeting Model </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remains</w:t>
      </w:r>
      <w:r w:rsidRPr="1DAC4054" w:rsidR="25970612">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compelling alternative for those willing to embark on the journey of organizational transformation. The key lies in a nuanced and thoughtful approach to implementation, recognizing that success may require tailored adjustments to suit the unique characteristics of each organization.</w:t>
      </w:r>
      <w:r w:rsidRPr="1DAC4054" w:rsidR="75744F5F">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1DAC4054" w:rsidP="1DAC4054" w:rsidRDefault="1DAC4054" w14:paraId="7B3FCEDB" w14:textId="7572ED8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3A8FECFC" w14:textId="41477433">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280BA50" w14:textId="32EEA297">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8181BCA" w14:textId="3114C3B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283CAF72" w14:textId="7A14A40A">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13CF1094" w14:textId="613B3C3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38EAA07B" w14:textId="5B0176E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D40FDC8" w14:textId="53AE155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58BEC70E" w14:textId="489AC50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34BE28FB" w14:textId="2B7BCA7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1518FB2" w14:textId="136DF0B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5ECAC038" w14:textId="1FD5ED7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4EDE768" w14:textId="7F7E6943">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7A3F7B48" w14:textId="7908EDB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81BAF10" w14:textId="6355FDA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75744F5F" w:rsidP="1DAC4054" w:rsidRDefault="75744F5F" w14:paraId="1B748B93" w14:textId="58FAC85E">
      <w:pPr>
        <w:pStyle w:val="Normal"/>
        <w:rPr>
          <w:rFonts w:ascii="Calibri" w:hAnsi="Calibri" w:eastAsia="Calibri" w:cs="Calibri"/>
          <w:b w:val="0"/>
          <w:bCs w:val="0"/>
          <w:i w:val="0"/>
          <w:iCs w:val="0"/>
          <w:caps w:val="0"/>
          <w:smallCaps w:val="0"/>
          <w:noProof w:val="0"/>
          <w:color w:val="00B0F0"/>
          <w:sz w:val="48"/>
          <w:szCs w:val="48"/>
          <w:lang w:val="en-GB"/>
        </w:rPr>
      </w:pPr>
      <w:r w:rsidRPr="1DAC4054" w:rsidR="75744F5F">
        <w:rPr>
          <w:rFonts w:ascii="Calibri" w:hAnsi="Calibri" w:eastAsia="Calibri" w:cs="Calibri"/>
          <w:b w:val="0"/>
          <w:bCs w:val="0"/>
          <w:i w:val="0"/>
          <w:iCs w:val="0"/>
          <w:caps w:val="0"/>
          <w:smallCaps w:val="0"/>
          <w:noProof w:val="0"/>
          <w:color w:val="00B0F0"/>
          <w:sz w:val="48"/>
          <w:szCs w:val="48"/>
          <w:lang w:val="en-GB"/>
        </w:rPr>
        <w:t>2.3 Evaluate the potential barriers to implementing the Beyond Budgeting Mode:</w:t>
      </w:r>
    </w:p>
    <w:p w:rsidR="65500688" w:rsidP="1DAC4054" w:rsidRDefault="65500688" w14:paraId="2502E5D6" w14:textId="75C7F3AF">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Implementing the Beyond Budgeting Model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represents</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profound organizational shift, and while it offers promising benefits, there are several potential barriers that organizations may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encounter</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in the process. Understanding and addressing these challenges is crucial for successful adoption.</w:t>
      </w:r>
    </w:p>
    <w:p w:rsidR="65500688" w:rsidP="1DAC4054" w:rsidRDefault="65500688" w14:paraId="3E882C69" w14:textId="7C670042">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65500688" w:rsidP="1DAC4054" w:rsidRDefault="65500688" w14:paraId="43088E79" w14:textId="760C0CC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One significant barrier to implementing the Beyond Budgeting Model is the resistance to change ingrained in traditional organizational structures. The model challenges deeply rooted practices associated with traditional budgeting, which often serve as a cornerstone of organizational control. Employees, especially those in managerial positions, may resist relinquishing control and embracing the decentralization inherent in the Beyond Budgeting approach. Overcoming this resistance requires a comprehensive change management strategy, including communication, training, and a clear articulation of the benefits the new model brings.</w:t>
      </w:r>
    </w:p>
    <w:p w:rsidR="65500688" w:rsidP="1DAC4054" w:rsidRDefault="65500688" w14:paraId="07AC4E8C" w14:textId="6B0C371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Closely tied to resistance to change is the fear of losing control. Traditional budgeting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provides</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sense of predictability and control for managers and executives. The shift to decentralized decision-making and adaptive planning in the Beyond Budgeting Model may evoke concerns about a potential loss of oversight. Organizations need to proactively address these concerns by emphasizing the increased empowerment and accountability that come with decentralization, assuring stakeholders that control is not lost but distributed more effectively throughout the organization.</w:t>
      </w:r>
    </w:p>
    <w:p w:rsidR="65500688" w:rsidP="1DAC4054" w:rsidRDefault="65500688" w14:paraId="6348C7B5" w14:textId="6C640DB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Another barrier stems from the deeply ingrained performance evaluation systems linked to traditional budgeting. Many organizations use budget adherence as a key performance indicator for evaluating managerial performance. Transitioning to the Beyond Budgeting Model requires a shift away from absolute targets, making it challenging to reconcile with established performance metrics. Overcoming this barrier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necessitates</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redefining performance indicators, focusing on relative performance metrics, and emphasizing qualitative measures that align with the model's principles.</w:t>
      </w:r>
    </w:p>
    <w:p w:rsidR="65500688" w:rsidP="1DAC4054" w:rsidRDefault="65500688" w14:paraId="6E7795A7" w14:textId="5F94C2E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The lack of a one-size-fits-all implementation blueprint is also a challenge. The Beyond Budgeting Model is not a prescriptive set of rules but a set of principles that require adaptation to an organization's unique context. What works for one organization may not necessarily work for another. This lack of a standardized implementation process can be a barrier, as organizations must invest time and resources to tailor the model to their specific needs and circumstances.</w:t>
      </w:r>
    </w:p>
    <w:p w:rsidR="65500688" w:rsidP="1DAC4054" w:rsidRDefault="65500688" w14:paraId="23B2D7FB" w14:textId="217D7EE6">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Communication and cultural alignment pose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additional</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challenges. Successfully implementing the Beyond Budgeting Model requires a cultural shift towards collaboration, openness, and a focus on continuous improvement. Failure to communicate the rationale behind the change and align organizational culture with the model's principles can result in confusion and resistance. It is imperative for leadership to convey a compelling vision for the future and ensure that the organizational culture supports the values espoused by the Beyond Budgeting Model.</w:t>
      </w:r>
    </w:p>
    <w:p w:rsidR="65500688" w:rsidP="1DAC4054" w:rsidRDefault="65500688" w14:paraId="70D93F5B" w14:textId="7B5A2B42">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Furthermore, the absence of a clear roadmap for transitioning from traditional budgeting to the Beyond Budgeting Model can be a barrier. Organizations may struggle to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determine</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where to start, how to sequence the changes, and how to integrate the </w:t>
      </w:r>
      <w:bookmarkStart w:name="_Int_QsIdYmnW" w:id="658415796"/>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new approach</w:t>
      </w:r>
      <w:bookmarkEnd w:id="658415796"/>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with existing processes. Developing a phased implementation plan, with milestones and feedback loops, can help organizations navigate this barrier effectively.</w:t>
      </w:r>
    </w:p>
    <w:p w:rsidR="65500688" w:rsidP="1DAC4054" w:rsidRDefault="65500688" w14:paraId="25B8FD69" w14:textId="0FA1DCFA">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while the Beyond Budgeting Model offers substantial benefits, its implementation is not without challenges. Overcoming resistance to change, addressing fears of losing control, realigning performance evaluation systems, adapting to unique organizational contexts, and </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establishing</w:t>
      </w:r>
      <w:r w:rsidRPr="1DAC4054" w:rsidR="6550068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clear communication channels are crucial steps in successfully implementing the model. Organizations should recognize these potential barriers and proactively develop strategies to mitigate them, fostering a smoother transition to a more adaptive and innovative management approach</w:t>
      </w:r>
    </w:p>
    <w:p w:rsidR="1DAC4054" w:rsidP="1DAC4054" w:rsidRDefault="1DAC4054" w14:paraId="651D3ACE" w14:textId="5E691F9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6BB6DD50" w14:textId="1F04121E">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748788E4" w14:textId="33D303E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B61F08E" w14:textId="7754DF22">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705871CB" w14:textId="416832C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7DBE24A2" w14:textId="2BB33593">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7EAFD73" w14:textId="15CD5B2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47357F87" w14:textId="3C71FC6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62349D9E" w14:textId="5B60FAA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2E4D569B" w14:textId="5E33B1D9">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331AD80C" w14:textId="4B22D748">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1DF5E39F" w14:textId="49EC2952">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1DAC4054" w:rsidP="1DAC4054" w:rsidRDefault="1DAC4054" w14:paraId="0B4B8294" w14:textId="509CB1C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p>
    <w:p w:rsidR="5EAC1FE7" w:rsidP="1DAC4054" w:rsidRDefault="5EAC1FE7" w14:paraId="45C8C953" w14:textId="26BCBF1C">
      <w:pPr>
        <w:pStyle w:val="Normal"/>
        <w:rPr>
          <w:rFonts w:ascii="Calibri" w:hAnsi="Calibri" w:eastAsia="Calibri" w:cs="Calibri"/>
          <w:b w:val="0"/>
          <w:bCs w:val="0"/>
          <w:i w:val="0"/>
          <w:iCs w:val="0"/>
          <w:caps w:val="0"/>
          <w:smallCaps w:val="0"/>
          <w:noProof w:val="0"/>
          <w:color w:val="0070C0"/>
          <w:sz w:val="48"/>
          <w:szCs w:val="48"/>
          <w:lang w:val="en-GB"/>
        </w:rPr>
      </w:pPr>
      <w:r w:rsidRPr="1DAC4054" w:rsidR="5EAC1FE7">
        <w:rPr>
          <w:rFonts w:ascii="Calibri" w:hAnsi="Calibri" w:eastAsia="Calibri" w:cs="Calibri"/>
          <w:b w:val="0"/>
          <w:bCs w:val="0"/>
          <w:i w:val="0"/>
          <w:iCs w:val="0"/>
          <w:caps w:val="0"/>
          <w:smallCaps w:val="0"/>
          <w:noProof w:val="0"/>
          <w:color w:val="0070C0"/>
          <w:sz w:val="48"/>
          <w:szCs w:val="48"/>
          <w:lang w:val="en-GB"/>
        </w:rPr>
        <w:t>3.0 Conclusions</w:t>
      </w:r>
      <w:r w:rsidRPr="1DAC4054" w:rsidR="763CE14D">
        <w:rPr>
          <w:rFonts w:ascii="Calibri" w:hAnsi="Calibri" w:eastAsia="Calibri" w:cs="Calibri"/>
          <w:b w:val="0"/>
          <w:bCs w:val="0"/>
          <w:i w:val="0"/>
          <w:iCs w:val="0"/>
          <w:caps w:val="0"/>
          <w:smallCaps w:val="0"/>
          <w:noProof w:val="0"/>
          <w:color w:val="0070C0"/>
          <w:sz w:val="48"/>
          <w:szCs w:val="48"/>
          <w:lang w:val="en-GB"/>
        </w:rPr>
        <w:t>:</w:t>
      </w:r>
      <w:r w:rsidRPr="1DAC4054" w:rsidR="7DB40E98">
        <w:rPr>
          <w:rFonts w:ascii="Calibri" w:hAnsi="Calibri" w:eastAsia="Calibri" w:cs="Calibri"/>
          <w:b w:val="0"/>
          <w:bCs w:val="0"/>
          <w:i w:val="0"/>
          <w:iCs w:val="0"/>
          <w:caps w:val="0"/>
          <w:smallCaps w:val="0"/>
          <w:noProof w:val="0"/>
          <w:color w:val="0070C0"/>
          <w:sz w:val="48"/>
          <w:szCs w:val="48"/>
          <w:lang w:val="en-GB"/>
        </w:rPr>
        <w:t xml:space="preserve"> </w:t>
      </w:r>
    </w:p>
    <w:p w:rsidR="7DB40E98" w:rsidP="1DAC4054" w:rsidRDefault="7DB40E98" w14:paraId="0314E2A1" w14:textId="4C2907C0">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In conclusion, the discourse surrounding the Beyond Budgeting Model reflects a growing recognition of the limitations inherent in traditional annual budgeting approaches. The dynamic nature of today's business environment, characterized by rapid technological advancements and market uncertainties, has prompted a critical evaluation of the role of budgeting. Traditional models, with their rigidity and emphasis on fixed targets, may hinder organizational adaptability and responsiveness.</w:t>
      </w:r>
    </w:p>
    <w:p w:rsidR="7DB40E98" w:rsidP="1DAC4054" w:rsidRDefault="7DB40E98" w14:paraId="2472089F" w14:textId="31C2E77D">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7DB40E98" w:rsidP="1DAC4054" w:rsidRDefault="7DB40E98" w14:paraId="7A8E1166" w14:textId="22C5142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The Beyond Budgeting Model </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emerges</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as a promising alternative, offering a shift towards decentralization, dynamic forecasting, and a focus on relative performance metrics. Success stories underscore its potential to enhance organizational agility, foster innovation, and create a collaborative culture. However, the model is not without its challenges.</w:t>
      </w:r>
    </w:p>
    <w:p w:rsidR="7DB40E98" w:rsidP="1DAC4054" w:rsidRDefault="7DB40E98" w14:paraId="406D0D4F" w14:textId="0D2C761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7DB40E98" w:rsidP="1DAC4054" w:rsidRDefault="7DB40E98" w14:paraId="69F2E3F2" w14:textId="339097C5">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Implementing the Beyond Budgeting Model requires navigating barriers such as resistance to change, fear of losing control, and the need to redefine performance metrics. The lack of a standardized implementation blueprint poses a challenge, </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necessitating</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tailored approach for each organization. Clear communication and cultural alignment are imperative to overcome these hurdles and ensure a smooth transition.</w:t>
      </w:r>
    </w:p>
    <w:p w:rsidR="7DB40E98" w:rsidP="1DAC4054" w:rsidRDefault="7DB40E98" w14:paraId="2E5CD59F" w14:textId="69BC1C4C">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7DB40E98" w:rsidP="1DAC4054" w:rsidRDefault="7DB40E98" w14:paraId="58813202" w14:textId="27646F3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While the Beyond Budgeting Model </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represents</w:t>
      </w: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a significant departure from traditional practices, its potential benefits make it a compelling option for organizations willing to embrace change. Successful adoption requires strategic planning, effective change management, and a commitment to cultivating a culture that aligns with the model's principles.</w:t>
      </w:r>
    </w:p>
    <w:p w:rsidR="7DB40E98" w:rsidP="1DAC4054" w:rsidRDefault="7DB40E98" w14:paraId="35DB15DD" w14:textId="6333A301">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w:t>
      </w:r>
    </w:p>
    <w:p w:rsidR="7DB40E98" w:rsidP="1DAC4054" w:rsidRDefault="7DB40E98" w14:paraId="36844ABA" w14:textId="04B20C04">
      <w:pPr>
        <w:pStyle w:val="Normal"/>
        <w:rPr>
          <w:rFonts w:ascii="Calibri" w:hAnsi="Calibri" w:eastAsia="Calibri" w:cs="Calibri"/>
          <w:b w:val="0"/>
          <w:bCs w:val="0"/>
          <w:i w:val="0"/>
          <w:iCs w:val="0"/>
          <w:caps w:val="0"/>
          <w:smallCaps w:val="0"/>
          <w:noProof w:val="0"/>
          <w:color w:val="FFFFFF" w:themeColor="background1" w:themeTint="FF" w:themeShade="FF"/>
          <w:sz w:val="32"/>
          <w:szCs w:val="32"/>
          <w:lang w:val="en-GB"/>
        </w:rPr>
      </w:pPr>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As businesses continue to grapple with the complexities of the modern business landscape, the Beyond Budgeting Model offers a pathway to navigate uncertainty, promote innovation, and foster adaptability. While challenges exist, the model's principles align more closely with the demands of the contemporary environment. </w:t>
      </w:r>
      <w:bookmarkStart w:name="_Int_1iVaGrQj" w:id="717033095"/>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Ultimately, the</w:t>
      </w:r>
      <w:bookmarkEnd w:id="717033095"/>
      <w:r w:rsidRPr="1DAC4054" w:rsidR="7DB40E98">
        <w:rPr>
          <w:rFonts w:ascii="Calibri" w:hAnsi="Calibri" w:eastAsia="Calibri" w:cs="Calibri"/>
          <w:b w:val="0"/>
          <w:bCs w:val="0"/>
          <w:i w:val="0"/>
          <w:iCs w:val="0"/>
          <w:caps w:val="0"/>
          <w:smallCaps w:val="0"/>
          <w:noProof w:val="0"/>
          <w:color w:val="FFFFFF" w:themeColor="background1" w:themeTint="FF" w:themeShade="FF"/>
          <w:sz w:val="32"/>
          <w:szCs w:val="32"/>
          <w:lang w:val="en-GB"/>
        </w:rPr>
        <w:t xml:space="preserve"> decision to transition to the Beyond Budgeting Model reflects a strategic choice by organizations to evolve their management practices and position themselves for sustained success in a fast-changing world.</w:t>
      </w:r>
    </w:p>
    <w:p w:rsidR="1DAC4054" w:rsidP="1DAC4054" w:rsidRDefault="1DAC4054" w14:paraId="712A6F2E" w14:textId="55CFA53D">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20B68A68" w14:textId="1B02AC07">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0AFF369C" w14:textId="4B55C5E1">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2689B2AB" w14:textId="075B7547">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78368D30" w14:textId="37201EE1">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5E10FBEA" w14:textId="44376941">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54905B70" w14:textId="43BEA672">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53429490" w14:textId="779B8E78">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13FE711F" w14:textId="1B0005D8">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7691039D" w14:textId="48F4C46C">
      <w:pPr>
        <w:pStyle w:val="Normal"/>
        <w:rPr>
          <w:rFonts w:ascii="Calibri" w:hAnsi="Calibri" w:eastAsia="Calibri" w:cs="Calibri"/>
          <w:b w:val="0"/>
          <w:bCs w:val="0"/>
          <w:i w:val="0"/>
          <w:iCs w:val="0"/>
          <w:caps w:val="0"/>
          <w:smallCaps w:val="0"/>
          <w:noProof w:val="0"/>
          <w:color w:val="0070C0"/>
          <w:sz w:val="48"/>
          <w:szCs w:val="48"/>
          <w:lang w:val="en-GB"/>
        </w:rPr>
      </w:pPr>
    </w:p>
    <w:p w:rsidR="17FB059C" w:rsidP="1DAC4054" w:rsidRDefault="17FB059C" w14:paraId="3556560C" w14:textId="13315FEC">
      <w:pPr>
        <w:pStyle w:val="Normal"/>
        <w:rPr>
          <w:rFonts w:ascii="Calibri" w:hAnsi="Calibri" w:eastAsia="Calibri" w:cs="Calibri"/>
          <w:b w:val="0"/>
          <w:bCs w:val="0"/>
          <w:i w:val="0"/>
          <w:iCs w:val="0"/>
          <w:caps w:val="0"/>
          <w:smallCaps w:val="0"/>
          <w:noProof w:val="0"/>
          <w:color w:val="0070C0"/>
          <w:sz w:val="48"/>
          <w:szCs w:val="48"/>
          <w:lang w:val="en-US"/>
        </w:rPr>
      </w:pPr>
      <w:r w:rsidRPr="1DAC4054" w:rsidR="17FB059C">
        <w:rPr>
          <w:rFonts w:ascii="Calibri" w:hAnsi="Calibri" w:eastAsia="Calibri" w:cs="Calibri"/>
          <w:b w:val="0"/>
          <w:bCs w:val="0"/>
          <w:i w:val="0"/>
          <w:iCs w:val="0"/>
          <w:caps w:val="0"/>
          <w:smallCaps w:val="0"/>
          <w:noProof w:val="0"/>
          <w:color w:val="0070C0"/>
          <w:sz w:val="48"/>
          <w:szCs w:val="48"/>
          <w:lang w:val="en-GB"/>
        </w:rPr>
        <w:t>4.0 Reference</w:t>
      </w:r>
      <w:r w:rsidRPr="1DAC4054" w:rsidR="17FB059C">
        <w:rPr>
          <w:rFonts w:ascii="Calibri" w:hAnsi="Calibri" w:eastAsia="Calibri" w:cs="Calibri"/>
          <w:b w:val="0"/>
          <w:bCs w:val="0"/>
          <w:i w:val="0"/>
          <w:iCs w:val="0"/>
          <w:caps w:val="0"/>
          <w:smallCaps w:val="0"/>
          <w:noProof w:val="0"/>
          <w:color w:val="0070C0"/>
          <w:sz w:val="48"/>
          <w:szCs w:val="48"/>
          <w:lang w:val="en-GB"/>
        </w:rPr>
        <w:t xml:space="preserve"> list: </w:t>
      </w:r>
    </w:p>
    <w:p w:rsidR="1DAC4054" w:rsidP="1DAC4054" w:rsidRDefault="1DAC4054" w14:paraId="712C50A4" w14:textId="1AE1A353">
      <w:pPr>
        <w:pStyle w:val="Normal"/>
        <w:rPr>
          <w:rFonts w:ascii="Calibri" w:hAnsi="Calibri" w:eastAsia="Calibri" w:cs="Calibri"/>
          <w:b w:val="0"/>
          <w:bCs w:val="0"/>
          <w:i w:val="0"/>
          <w:iCs w:val="0"/>
          <w:caps w:val="0"/>
          <w:smallCaps w:val="0"/>
          <w:noProof w:val="0"/>
          <w:color w:val="0070C0"/>
          <w:sz w:val="48"/>
          <w:szCs w:val="48"/>
          <w:lang w:val="en-GB"/>
        </w:rPr>
      </w:pPr>
    </w:p>
    <w:p w:rsidR="1DAC4054" w:rsidP="1DAC4054" w:rsidRDefault="1DAC4054" w14:paraId="683E62FB" w14:textId="17956248">
      <w:pPr>
        <w:pStyle w:val="Normal"/>
        <w:rPr>
          <w:rStyle w:val="FootnoteReference"/>
          <w:rFonts w:ascii="Calibri" w:hAnsi="Calibri" w:eastAsia="Calibri" w:cs="Calibri"/>
          <w:b w:val="0"/>
          <w:bCs w:val="0"/>
          <w:i w:val="0"/>
          <w:iCs w:val="0"/>
          <w:caps w:val="0"/>
          <w:smallCaps w:val="0"/>
          <w:noProof w:val="0"/>
          <w:color w:val="0070C0"/>
          <w:sz w:val="48"/>
          <w:szCs w:val="48"/>
          <w:lang w:val="en-GB"/>
        </w:rPr>
      </w:pPr>
    </w:p>
    <w:p w:rsidR="0548B05D" w:rsidP="1DAC4054" w:rsidRDefault="0548B05D" w14:paraId="580CA1F1" w14:textId="444311FD">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Jensen, R. E. (2001). Beyond Budgeting: A Model for Performance Management and Control in Today’s Organization. Harvard Business School Working Paper, 01-018.</w:t>
      </w:r>
    </w:p>
    <w:p w:rsidR="0548B05D" w:rsidP="1DAC4054" w:rsidRDefault="0548B05D" w14:paraId="0CBB9A79" w14:textId="31219506">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Hope, J., &amp; Fraser, R. (2003). Who Needs Budgets? Harvard Business Review, 81(2), 108-115.</w:t>
      </w:r>
    </w:p>
    <w:p w:rsidR="0548B05D" w:rsidP="1DAC4054" w:rsidRDefault="0548B05D" w14:paraId="14E87370" w14:textId="79599363">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Wallander, S., &amp; Sojka, J. (2016). The Beyond Budgeting Model: An Empirical Evaluation. Journal of Applied Corporate Finance, 28(3), 82-92.</w:t>
      </w:r>
    </w:p>
    <w:p w:rsidR="0548B05D" w:rsidP="1DAC4054" w:rsidRDefault="0548B05D" w14:paraId="295541BE" w14:textId="0FD484CE">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Management Accounting Research Group. (2010). The Beyond Budgeting Model: A Comprehensive Review. Contemporary Accounting Research, 27(4), 1109-1150.</w:t>
      </w:r>
    </w:p>
    <w:p w:rsidR="0548B05D" w:rsidP="1DAC4054" w:rsidRDefault="0548B05D" w14:paraId="68A05431" w14:textId="2AA539FF">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Bogsnes, B. (2016). Implementing Beyond Budgeting: Unlocking the Performance Potential. John Wiley &amp; Sons.</w:t>
      </w:r>
    </w:p>
    <w:p w:rsidR="0548B05D" w:rsidP="1DAC4054" w:rsidRDefault="0548B05D" w14:paraId="7945A815" w14:textId="2A213343">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Malmi, T., &amp; Brown, D. A. (2008). Management Control Systems as a Package—Opportunities, Challenges, and Research Directions. Management Accounting Research, 19(4), 287-300.</w:t>
      </w:r>
    </w:p>
    <w:p w:rsidR="0548B05D" w:rsidP="1DAC4054" w:rsidRDefault="0548B05D" w14:paraId="50DA7FEE" w14:textId="025A6C89">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Lipe, M. G., &amp; Salterio, S. E. (2000). The Balanced Scorecard: Judgmental Effects of Common and Unique Performance Measures. The Accounting Review, 75(3), 283-298.</w:t>
      </w:r>
    </w:p>
    <w:p w:rsidR="0548B05D" w:rsidP="1DAC4054" w:rsidRDefault="0548B05D" w14:paraId="6BF1E2C2" w14:textId="361BC71D">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Daum, J. H., &amp; Moonen, M. J. (2011). Beyond Budgeting: A Model for Performance Management and Control? Cost Management, 25(1), 6-16.</w:t>
      </w:r>
    </w:p>
    <w:p w:rsidR="0548B05D" w:rsidP="1DAC4054" w:rsidRDefault="0548B05D" w14:paraId="6E08F679" w14:textId="33B87844">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Fraser, R., &amp; Simons, R. (2016). The Use of Ranges as a Measure of Relative Performance: Does Absolute Performance Matter? Contemporary Accounting Research, 33(3), 1227-1249.</w:t>
      </w:r>
    </w:p>
    <w:p w:rsidR="0548B05D" w:rsidP="1DAC4054" w:rsidRDefault="0548B05D" w14:paraId="300797A6" w14:textId="35B74194">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Marginson, D., &amp; Ogden, S. (2005). Coping with Ambiguity through the Budget: The Positive Effects of Budgetary Targets on Managers’ Budgeting Behaviors. Accounting, Organizations and Society, 30(5), 435-456.</w:t>
      </w:r>
    </w:p>
    <w:p w:rsidR="0548B05D" w:rsidP="1DAC4054" w:rsidRDefault="0548B05D" w14:paraId="5CDDC946" w14:textId="78292CA1">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Otley, D. T., &amp; Emmanuel, K. M. C. (1992). Relevance of the Strategy of Activity-Based Cost Management. International Journal of Operations &amp; Production Management, 12(7-8), 43-56.</w:t>
      </w:r>
    </w:p>
    <w:p w:rsidR="0548B05D" w:rsidP="1DAC4054" w:rsidRDefault="0548B05D" w14:paraId="34B6FECA" w14:textId="5B878761">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Neely, A., Gregory, M., &amp; Platts, K. (1995). Performance Measurement System Design: A Literature Review and Research Agenda. International Journal of Operations &amp; Production Management, 15(4), 80-116.</w:t>
      </w:r>
    </w:p>
    <w:p w:rsidR="0548B05D" w:rsidP="1DAC4054" w:rsidRDefault="0548B05D" w14:paraId="18BFCE9D" w14:textId="768FC06B">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Merchant, K. A., &amp; Van der Stede, W. A. (2007). Management Control Systems: Performance Measurement, Evaluation and Incentives. Pearson Education.</w:t>
      </w:r>
    </w:p>
    <w:p w:rsidR="0548B05D" w:rsidP="1DAC4054" w:rsidRDefault="0548B05D" w14:paraId="61265A67" w14:textId="573DCC40">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Malmi, T. (2001). Balanced Scorecards in Finnish Companies: A Research Note. Management Accounting Research, 12(2), 207-220.</w:t>
      </w:r>
    </w:p>
    <w:p w:rsidR="0548B05D" w:rsidP="1DAC4054" w:rsidRDefault="0548B05D" w14:paraId="23DEAC6B" w14:textId="54BE00E2">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Buzby, S. L., &amp; Falk, H. (2010). The Beyond Budgeting Model: An Analysis of Adoption in Sweden. Journal of Accounting &amp; Organizational Change, 6(3), 310-334.</w:t>
      </w:r>
    </w:p>
    <w:p w:rsidR="0548B05D" w:rsidP="1DAC4054" w:rsidRDefault="0548B05D" w14:paraId="6C9A6A05" w14:textId="0B5FE3C8">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Norreklit, H. (2000). The Balance on the Balanced Scorecard: A Critical Analysis of Some of Its Assumptions. Management Accounting Research, 11(1), 65-88.</w:t>
      </w:r>
    </w:p>
    <w:p w:rsidR="0548B05D" w:rsidP="1DAC4054" w:rsidRDefault="0548B05D" w14:paraId="2A0EE5D2" w14:textId="19B2F443">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Sprenger, C. (1996). Developing a Performance Measurement System at Siemens-Nixdorf. European Management Journal, 14(3), 286-293.</w:t>
      </w:r>
    </w:p>
    <w:p w:rsidR="0548B05D" w:rsidP="1DAC4054" w:rsidRDefault="0548B05D" w14:paraId="5D5C366D" w14:textId="519E80DD">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Wallander, S., &amp; Jonsson, S. (2009). Exploring Performance Measurement System Effects: A Process Study of a Change Initiative. Accounting, Organizations and Society, 34(3-4), 305-330.</w:t>
      </w:r>
    </w:p>
    <w:p w:rsidR="0548B05D" w:rsidP="1DAC4054" w:rsidRDefault="0548B05D" w14:paraId="7FFEC5F6" w14:textId="58EBAB0B">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Parker, L. D., &amp; Ritson, P. (2005). Reconstructing the Scorecard: A Critical Assessment of Standardized Performance Management Systems. Critical Perspectives on Accounting, 16(5), 307-326.</w:t>
      </w:r>
    </w:p>
    <w:p w:rsidR="0548B05D" w:rsidP="1DAC4054" w:rsidRDefault="0548B05D" w14:paraId="0E39DDA0" w14:textId="1248BEB7">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Hopper, T., &amp; Armstrong, P. (1991). Cost Accounting, Controversy and Organizational Change. Accounting, Organizations and Society, 16(4), 379-395.</w:t>
      </w:r>
    </w:p>
    <w:p w:rsidR="0548B05D" w:rsidP="1DAC4054" w:rsidRDefault="0548B05D" w14:paraId="3DBBF6B7" w14:textId="519F69C9">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Bourguignon, A., &amp; Malleret, V. (2018). Beyond Budgeting or Budgeting Revisited? A Structurationist Perspective on Management Control. Accounting, Auditing &amp; Accountability Journal, 31(3), 783-805.</w:t>
      </w:r>
    </w:p>
    <w:p w:rsidR="0548B05D" w:rsidP="1DAC4054" w:rsidRDefault="0548B05D" w14:paraId="2D7897DE" w14:textId="531CCC7A">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Coad, A. (2000). Beyond Budgeting: Changing the Way Companies Plan and Control. Management Accounting Research, 11(4), 421-423.</w:t>
      </w:r>
    </w:p>
    <w:p w:rsidR="0548B05D" w:rsidP="1DAC4054" w:rsidRDefault="0548B05D" w14:paraId="31D99BF5" w14:textId="19C4D69F">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Kjellsdotter, A. (2014). The Use of the Balanced Scorecard: An Empirical Study on Two Companies. International Journal of Business and Management, 9(4), 137-147.</w:t>
      </w:r>
    </w:p>
    <w:p w:rsidR="0548B05D" w:rsidP="1DAC4054" w:rsidRDefault="0548B05D" w14:paraId="6045FF24" w14:textId="7454AEE9">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O'Bryan, D., &amp; Heagy, C. (2014). The Beyond Budgeting Model: Toward a Managerial Budgeting Framework. Journal of Business &amp; Economics Research, 12(2), 153-162.</w:t>
      </w:r>
    </w:p>
    <w:p w:rsidR="0548B05D" w:rsidP="1DAC4054" w:rsidRDefault="0548B05D" w14:paraId="7238CF19" w14:textId="5E4F3CC1">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Hope, J., &amp; Fraser, R. (2009). Beyond Budgeting: Breaking Free from the Annual Performance Trap. Harvard Business Press.</w:t>
      </w:r>
    </w:p>
    <w:p w:rsidR="0548B05D" w:rsidP="1DAC4054" w:rsidRDefault="0548B05D" w14:paraId="435AD216" w14:textId="2EABD1F6">
      <w:pPr>
        <w:pStyle w:val="ListParagraph"/>
        <w:numPr>
          <w:ilvl w:val="0"/>
          <w:numId w:val="2"/>
        </w:numPr>
        <w:spacing w:before="0" w:beforeAutospacing="off" w:after="0" w:afterAutospacing="off"/>
        <w:rPr>
          <w:rFonts w:ascii="system-ui" w:hAnsi="system-ui" w:eastAsia="system-ui" w:cs="system-ui"/>
          <w:b w:val="0"/>
          <w:bCs w:val="0"/>
          <w:i w:val="0"/>
          <w:iCs w:val="0"/>
          <w:caps w:val="0"/>
          <w:smallCaps w:val="0"/>
          <w:noProof w:val="0"/>
          <w:sz w:val="24"/>
          <w:szCs w:val="24"/>
          <w:lang w:val="en-GB"/>
        </w:rPr>
      </w:pPr>
      <w:r w:rsidRPr="1DAC4054" w:rsidR="0548B05D">
        <w:rPr>
          <w:rFonts w:ascii="system-ui" w:hAnsi="system-ui" w:eastAsia="system-ui" w:cs="system-ui"/>
          <w:b w:val="0"/>
          <w:bCs w:val="0"/>
          <w:i w:val="0"/>
          <w:iCs w:val="0"/>
          <w:caps w:val="0"/>
          <w:smallCaps w:val="0"/>
          <w:noProof w:val="0"/>
          <w:sz w:val="24"/>
          <w:szCs w:val="24"/>
          <w:lang w:val="en-GB"/>
        </w:rPr>
        <w:t>Neely, A. (2002). Business Performance Measurement: Unifying Theory and Integrating Practice. Measuring Business Excellence, 6(3), 37-49.</w:t>
      </w:r>
    </w:p>
    <w:p w:rsidR="1DAC4054" w:rsidP="1DAC4054" w:rsidRDefault="1DAC4054" w14:paraId="6089D360" w14:textId="24926965">
      <w:pPr>
        <w:pStyle w:val="Normal"/>
        <w:spacing w:before="0" w:beforeAutospacing="off" w:after="0" w:afterAutospacing="off"/>
        <w:ind w:left="0"/>
        <w:rPr>
          <w:rFonts w:ascii="system-ui" w:hAnsi="system-ui" w:eastAsia="system-ui" w:cs="system-ui"/>
          <w:b w:val="0"/>
          <w:bCs w:val="0"/>
          <w:i w:val="0"/>
          <w:iCs w:val="0"/>
          <w:caps w:val="0"/>
          <w:smallCaps w:val="0"/>
          <w:noProof w:val="0"/>
          <w:sz w:val="24"/>
          <w:szCs w:val="24"/>
          <w:lang w:val="en-GB"/>
        </w:rPr>
      </w:pPr>
    </w:p>
    <w:sectPr>
      <w:pgSz w:w="12240" w:h="15840" w:orient="portrait"/>
      <w:pgMar w:top="1440" w:right="1440" w:bottom="1440" w:left="1440" w:header="720" w:footer="720" w:gutter="0"/>
      <w:cols w:space="720"/>
      <w:docGrid w:linePitch="360"/>
      <w:headerReference w:type="default" r:id="R57ee0524e98944dd"/>
      <w:footerReference w:type="default" r:id="R077f01631afa43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AC4054" w:rsidTr="1DAC4054" w14:paraId="2E00B7A9">
      <w:trPr>
        <w:trHeight w:val="300"/>
      </w:trPr>
      <w:tc>
        <w:tcPr>
          <w:tcW w:w="3120" w:type="dxa"/>
          <w:tcMar/>
        </w:tcPr>
        <w:p w:rsidR="1DAC4054" w:rsidP="1DAC4054" w:rsidRDefault="1DAC4054" w14:paraId="205A39C7" w14:textId="4EA4C182">
          <w:pPr>
            <w:pStyle w:val="Header"/>
            <w:bidi w:val="0"/>
            <w:ind w:left="-115"/>
            <w:jc w:val="left"/>
          </w:pPr>
        </w:p>
      </w:tc>
      <w:tc>
        <w:tcPr>
          <w:tcW w:w="3120" w:type="dxa"/>
          <w:tcMar/>
        </w:tcPr>
        <w:p w:rsidR="1DAC4054" w:rsidP="1DAC4054" w:rsidRDefault="1DAC4054" w14:paraId="45F0E37A" w14:textId="005049E5">
          <w:pPr>
            <w:pStyle w:val="Header"/>
            <w:bidi w:val="0"/>
            <w:jc w:val="center"/>
          </w:pPr>
        </w:p>
      </w:tc>
      <w:tc>
        <w:tcPr>
          <w:tcW w:w="3120" w:type="dxa"/>
          <w:tcMar/>
        </w:tcPr>
        <w:p w:rsidR="1DAC4054" w:rsidP="1DAC4054" w:rsidRDefault="1DAC4054" w14:paraId="754CDCAD" w14:textId="3CE1DFD4">
          <w:pPr>
            <w:pStyle w:val="Header"/>
            <w:bidi w:val="0"/>
            <w:ind w:right="-115"/>
            <w:jc w:val="right"/>
          </w:pPr>
        </w:p>
      </w:tc>
    </w:tr>
  </w:tbl>
  <w:p w:rsidR="1DAC4054" w:rsidP="1DAC4054" w:rsidRDefault="1DAC4054" w14:paraId="4713B0A7" w14:textId="597F99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AC4054" w:rsidTr="1DAC4054" w14:paraId="28DFD2FE">
      <w:trPr>
        <w:trHeight w:val="300"/>
      </w:trPr>
      <w:tc>
        <w:tcPr>
          <w:tcW w:w="3120" w:type="dxa"/>
          <w:tcMar/>
        </w:tcPr>
        <w:p w:rsidR="1DAC4054" w:rsidP="1DAC4054" w:rsidRDefault="1DAC4054" w14:paraId="09E074A4" w14:textId="3DFDF1C2">
          <w:pPr>
            <w:pStyle w:val="Header"/>
            <w:bidi w:val="0"/>
            <w:ind w:left="-115"/>
            <w:jc w:val="left"/>
          </w:pPr>
          <w:r w:rsidR="1DAC4054">
            <w:rPr/>
            <w:t>Ali Yasin      2114939</w:t>
          </w:r>
        </w:p>
        <w:p w:rsidR="1DAC4054" w:rsidP="1DAC4054" w:rsidRDefault="1DAC4054" w14:paraId="3BE50B36" w14:textId="551207B9">
          <w:pPr>
            <w:pStyle w:val="Header"/>
            <w:bidi w:val="0"/>
            <w:ind w:left="-115"/>
            <w:jc w:val="left"/>
          </w:pPr>
        </w:p>
      </w:tc>
      <w:tc>
        <w:tcPr>
          <w:tcW w:w="3120" w:type="dxa"/>
          <w:tcMar/>
        </w:tcPr>
        <w:p w:rsidR="1DAC4054" w:rsidP="1DAC4054" w:rsidRDefault="1DAC4054" w14:paraId="3FA3FB81" w14:textId="00ABB8E1">
          <w:pPr>
            <w:pStyle w:val="Header"/>
            <w:bidi w:val="0"/>
            <w:jc w:val="center"/>
          </w:pPr>
        </w:p>
      </w:tc>
      <w:tc>
        <w:tcPr>
          <w:tcW w:w="3120" w:type="dxa"/>
          <w:tcMar/>
        </w:tcPr>
        <w:p w:rsidR="1DAC4054" w:rsidP="1DAC4054" w:rsidRDefault="1DAC4054" w14:paraId="61835F08" w14:textId="43C2D2F4">
          <w:pPr>
            <w:pStyle w:val="Header"/>
            <w:bidi w:val="0"/>
            <w:ind w:right="-115"/>
            <w:jc w:val="right"/>
          </w:pPr>
        </w:p>
      </w:tc>
    </w:tr>
  </w:tbl>
  <w:p w:rsidR="1DAC4054" w:rsidP="1DAC4054" w:rsidRDefault="1DAC4054" w14:paraId="498C93F5" w14:textId="1744185E">
    <w:pPr>
      <w:pStyle w:val="Header"/>
      <w:bidi w:val="0"/>
    </w:pPr>
  </w:p>
</w:hdr>
</file>

<file path=word/intelligence2.xml><?xml version="1.0" encoding="utf-8"?>
<int2:intelligence xmlns:int2="http://schemas.microsoft.com/office/intelligence/2020/intelligence">
  <int2:observations>
    <int2:bookmark int2:bookmarkName="_Int_QsIdYmnW" int2:invalidationBookmarkName="" int2:hashCode="DLEKOKnfC4cXEy" int2:id="ydQkadoX">
      <int2:state int2:type="AugLoop_Text_Critique" int2:value="Rejected"/>
    </int2:bookmark>
    <int2:bookmark int2:bookmarkName="_Int_VAaXwjap" int2:invalidationBookmarkName="" int2:hashCode="HdW+4x+NIXlP4h" int2:id="DmPiOhck">
      <int2:state int2:type="AugLoop_Text_Critique" int2:value="Rejected"/>
    </int2:bookmark>
    <int2:bookmark int2:bookmarkName="_Int_1iVaGrQj" int2:invalidationBookmarkName="" int2:hashCode="6HovLIhD3ys/B8" int2:id="uNL5p6BI">
      <int2:state int2:type="AugLoop_Text_Critique" int2:value="Rejected"/>
    </int2:bookmark>
    <int2:bookmark int2:bookmarkName="_Int_OnFEPcEM" int2:invalidationBookmarkName="" int2:hashCode="wYBa+Z6PphLcgZ" int2:id="ZBlkbO0d">
      <int2:state int2:type="AugLoop_Text_Critique" int2:value="Rejected"/>
    </int2:bookmark>
    <int2:bookmark int2:bookmarkName="_Int_nOB3MX7g" int2:invalidationBookmarkName="" int2:hashCode="xzNw6FjkZFlmFD" int2:id="WrDr2oxe">
      <int2:state int2:type="AugLoop_Text_Critique" int2:value="Rejected"/>
    </int2:bookmark>
    <int2:bookmark int2:bookmarkName="_Int_vKv3C87H" int2:invalidationBookmarkName="" int2:hashCode="F5a4ICBtfOqhYq" int2:id="gILnrKsX">
      <int2:state int2:type="AugLoop_Text_Critique" int2:value="Rejected"/>
    </int2:bookmark>
    <int2:bookmark int2:bookmarkName="_Int_gbwVfyte" int2:invalidationBookmarkName="" int2:hashCode="HdW+4x+NIXlP4h" int2:id="YMeKT3b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4e576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0976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FE672E"/>
    <w:rsid w:val="0157F163"/>
    <w:rsid w:val="03E44DC9"/>
    <w:rsid w:val="04FCB5A3"/>
    <w:rsid w:val="0548B05D"/>
    <w:rsid w:val="05801E2A"/>
    <w:rsid w:val="058ACD3C"/>
    <w:rsid w:val="06BB67C2"/>
    <w:rsid w:val="071BEE8B"/>
    <w:rsid w:val="08B7BEEC"/>
    <w:rsid w:val="08B7BEEC"/>
    <w:rsid w:val="08B8B073"/>
    <w:rsid w:val="09000FDA"/>
    <w:rsid w:val="12668EB8"/>
    <w:rsid w:val="12DD3466"/>
    <w:rsid w:val="1444556F"/>
    <w:rsid w:val="159E2F7A"/>
    <w:rsid w:val="16327D2C"/>
    <w:rsid w:val="17FB059C"/>
    <w:rsid w:val="18E07F4E"/>
    <w:rsid w:val="1DAC4054"/>
    <w:rsid w:val="1E1B67A6"/>
    <w:rsid w:val="1F116E0F"/>
    <w:rsid w:val="1F4810B5"/>
    <w:rsid w:val="20E0E221"/>
    <w:rsid w:val="20E3E116"/>
    <w:rsid w:val="23603D0D"/>
    <w:rsid w:val="2397B080"/>
    <w:rsid w:val="25970612"/>
    <w:rsid w:val="2A970FED"/>
    <w:rsid w:val="2AAA96A6"/>
    <w:rsid w:val="2D08DE70"/>
    <w:rsid w:val="2DB349BE"/>
    <w:rsid w:val="2FA0F45F"/>
    <w:rsid w:val="317119B8"/>
    <w:rsid w:val="340299B7"/>
    <w:rsid w:val="344961A6"/>
    <w:rsid w:val="350A32CA"/>
    <w:rsid w:val="359E6A18"/>
    <w:rsid w:val="371BC0DA"/>
    <w:rsid w:val="3840E205"/>
    <w:rsid w:val="390D044B"/>
    <w:rsid w:val="3B78B5BB"/>
    <w:rsid w:val="3C0E9AAF"/>
    <w:rsid w:val="4173FD2D"/>
    <w:rsid w:val="41FE672E"/>
    <w:rsid w:val="42753113"/>
    <w:rsid w:val="44E4B995"/>
    <w:rsid w:val="46102810"/>
    <w:rsid w:val="4657D071"/>
    <w:rsid w:val="4947C8D2"/>
    <w:rsid w:val="4AD6B47A"/>
    <w:rsid w:val="4AE39933"/>
    <w:rsid w:val="4BA9618A"/>
    <w:rsid w:val="4E49C076"/>
    <w:rsid w:val="506D042F"/>
    <w:rsid w:val="507CD2AD"/>
    <w:rsid w:val="50A2134E"/>
    <w:rsid w:val="50FF2E0F"/>
    <w:rsid w:val="53B4736F"/>
    <w:rsid w:val="55DEF806"/>
    <w:rsid w:val="578D97FA"/>
    <w:rsid w:val="57B1D2EB"/>
    <w:rsid w:val="594DA34C"/>
    <w:rsid w:val="5EAC1FE7"/>
    <w:rsid w:val="5EC32D90"/>
    <w:rsid w:val="605EFDF1"/>
    <w:rsid w:val="60AA63FB"/>
    <w:rsid w:val="61FACE52"/>
    <w:rsid w:val="65278D31"/>
    <w:rsid w:val="65500688"/>
    <w:rsid w:val="66C35D92"/>
    <w:rsid w:val="67C7052E"/>
    <w:rsid w:val="6850E779"/>
    <w:rsid w:val="685F2DF3"/>
    <w:rsid w:val="694CAD22"/>
    <w:rsid w:val="694CAD22"/>
    <w:rsid w:val="69575C34"/>
    <w:rsid w:val="6B96CEB5"/>
    <w:rsid w:val="6D464CFD"/>
    <w:rsid w:val="6E2ACD57"/>
    <w:rsid w:val="6FC69DB8"/>
    <w:rsid w:val="71CE6E3D"/>
    <w:rsid w:val="7233AFCB"/>
    <w:rsid w:val="7272BD05"/>
    <w:rsid w:val="7407DE5F"/>
    <w:rsid w:val="75744F5F"/>
    <w:rsid w:val="763CE14D"/>
    <w:rsid w:val="77FAE3E1"/>
    <w:rsid w:val="783B2561"/>
    <w:rsid w:val="7DB40E98"/>
    <w:rsid w:val="7F0ECE3C"/>
    <w:rsid w:val="7F10D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672E"/>
  <w15:chartTrackingRefBased/>
  <w15:docId w15:val="{0930145E-98DE-4161-A2C2-224FDFFB08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7ee0524e98944dd" /><Relationship Type="http://schemas.openxmlformats.org/officeDocument/2006/relationships/footer" Target="footer.xml" Id="R077f01631afa43b6" /><Relationship Type="http://schemas.microsoft.com/office/2020/10/relationships/intelligence" Target="intelligence2.xml" Id="R013a4a1a89484772" /><Relationship Type="http://schemas.openxmlformats.org/officeDocument/2006/relationships/numbering" Target="numbering.xml" Id="R915ab9208b154e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2023-11-27T15:43:26.8531642Z</dcterms:created>
  <dcterms:modified xsi:type="dcterms:W3CDTF">2023-11-27T17:35:16.5544393Z</dcterms:modified>
  <dc:creator>Ali Yasin (2114939)</dc:creator>
  <lastModifiedBy>Ali Yasin (2114939)</lastModifiedBy>
</coreProperties>
</file>