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7A4A7" w14:textId="77777777" w:rsidR="00E47B6B" w:rsidRDefault="00E47B6B" w:rsidP="00150A7F">
      <w:pPr>
        <w:spacing w:line="279" w:lineRule="auto"/>
        <w:rPr>
          <w:rFonts w:ascii="Arial Nova" w:eastAsia="Arial Nova" w:hAnsi="Arial Nova" w:cs="Arial Nova"/>
          <w:kern w:val="0"/>
          <w:sz w:val="72"/>
          <w:szCs w:val="72"/>
          <w:lang w:val="en-US" w:eastAsia="ja-JP"/>
          <w14:ligatures w14:val="none"/>
        </w:rPr>
      </w:pPr>
      <w:r>
        <w:rPr>
          <w:noProof/>
        </w:rPr>
        <w:drawing>
          <wp:inline distT="0" distB="0" distL="0" distR="0" wp14:anchorId="2AFF36FC" wp14:editId="1BED3851">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FE45B41" w14:textId="77777777" w:rsidR="00E47B6B" w:rsidRPr="00A35F29" w:rsidRDefault="00E47B6B" w:rsidP="00150A7F">
      <w:pPr>
        <w:spacing w:line="279" w:lineRule="auto"/>
        <w:rPr>
          <w:rFonts w:ascii="Arial Nova" w:eastAsia="Arial Nova" w:hAnsi="Arial Nova" w:cs="Arial Nova"/>
          <w:kern w:val="0"/>
          <w:sz w:val="96"/>
          <w:szCs w:val="96"/>
          <w:lang w:val="en-US" w:eastAsia="ja-JP"/>
          <w14:ligatures w14:val="none"/>
        </w:rPr>
      </w:pPr>
      <w:r w:rsidRPr="00A35F29">
        <w:rPr>
          <w:rFonts w:ascii="Arial Nova" w:eastAsia="Arial Nova" w:hAnsi="Arial Nova" w:cs="Arial Nova"/>
          <w:kern w:val="0"/>
          <w:sz w:val="72"/>
          <w:szCs w:val="72"/>
          <w:lang w:val="en-US" w:eastAsia="ja-JP"/>
          <w14:ligatures w14:val="none"/>
        </w:rPr>
        <w:t>Cover Page</w:t>
      </w:r>
    </w:p>
    <w:p w14:paraId="068DBC7C" w14:textId="77777777" w:rsidR="00E47B6B" w:rsidRPr="00A35F29" w:rsidRDefault="00E47B6B" w:rsidP="00150A7F">
      <w:pPr>
        <w:spacing w:line="279" w:lineRule="auto"/>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kern w:val="0"/>
          <w:sz w:val="72"/>
          <w:szCs w:val="72"/>
          <w:lang w:val="en-US" w:eastAsia="ja-JP"/>
          <w14:ligatures w14:val="none"/>
        </w:rPr>
        <w:t xml:space="preserve">            Shakan Pitters</w:t>
      </w:r>
    </w:p>
    <w:p w14:paraId="06849BCB" w14:textId="77777777"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p>
    <w:p w14:paraId="28597DCF" w14:textId="77777777"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Student Number</w:t>
      </w:r>
      <w:r w:rsidRPr="00A35F29">
        <w:rPr>
          <w:rFonts w:ascii="Arial Nova" w:eastAsia="Arial Nova" w:hAnsi="Arial Nova" w:cs="Arial Nova"/>
          <w:kern w:val="0"/>
          <w:sz w:val="72"/>
          <w:szCs w:val="72"/>
          <w:lang w:val="en-US" w:eastAsia="ja-JP"/>
          <w14:ligatures w14:val="none"/>
        </w:rPr>
        <w:t>: 2319072</w:t>
      </w:r>
    </w:p>
    <w:p w14:paraId="0C3C377C" w14:textId="3556EF53"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Module Code</w:t>
      </w:r>
      <w:r w:rsidRPr="00A35F29">
        <w:rPr>
          <w:rFonts w:ascii="Arial Nova" w:eastAsia="Arial Nova" w:hAnsi="Arial Nova" w:cs="Arial Nova"/>
          <w:kern w:val="0"/>
          <w:sz w:val="72"/>
          <w:szCs w:val="72"/>
          <w:lang w:val="en-US" w:eastAsia="ja-JP"/>
          <w14:ligatures w14:val="none"/>
        </w:rPr>
        <w:t>:</w:t>
      </w:r>
      <w:r>
        <w:rPr>
          <w:rFonts w:ascii="Arial Nova" w:eastAsia="Arial Nova" w:hAnsi="Arial Nova" w:cs="Arial Nova"/>
          <w:kern w:val="0"/>
          <w:sz w:val="72"/>
          <w:szCs w:val="72"/>
          <w:lang w:val="en-US" w:eastAsia="ja-JP"/>
          <w14:ligatures w14:val="none"/>
        </w:rPr>
        <w:t xml:space="preserve"> BMHP501</w:t>
      </w:r>
      <w:r w:rsidR="00E53610">
        <w:rPr>
          <w:rFonts w:ascii="Arial Nova" w:eastAsia="Arial Nova" w:hAnsi="Arial Nova" w:cs="Arial Nova"/>
          <w:kern w:val="0"/>
          <w:sz w:val="72"/>
          <w:szCs w:val="72"/>
          <w:lang w:val="en-US" w:eastAsia="ja-JP"/>
          <w14:ligatures w14:val="none"/>
        </w:rPr>
        <w:t>9</w:t>
      </w:r>
    </w:p>
    <w:p w14:paraId="7D2935E2" w14:textId="2980F05B" w:rsidR="00E47B6B" w:rsidRPr="00A35F29" w:rsidRDefault="00E47B6B" w:rsidP="00150A7F">
      <w:pPr>
        <w:spacing w:line="279" w:lineRule="auto"/>
        <w:jc w:val="center"/>
        <w:rPr>
          <w:rFonts w:ascii="Arial Nova" w:eastAsia="Arial Nova" w:hAnsi="Arial Nova" w:cs="Arial Nova"/>
          <w:kern w:val="0"/>
          <w:sz w:val="72"/>
          <w:szCs w:val="72"/>
          <w:lang w:val="en-US" w:eastAsia="ja-JP"/>
          <w14:ligatures w14:val="none"/>
        </w:rPr>
      </w:pPr>
      <w:r w:rsidRPr="00A35F29">
        <w:rPr>
          <w:rFonts w:ascii="Arial Nova" w:eastAsia="Arial Nova" w:hAnsi="Arial Nova" w:cs="Arial Nova"/>
          <w:b/>
          <w:bCs/>
          <w:kern w:val="0"/>
          <w:sz w:val="72"/>
          <w:szCs w:val="72"/>
          <w:lang w:val="en-US" w:eastAsia="ja-JP"/>
          <w14:ligatures w14:val="none"/>
        </w:rPr>
        <w:t>Lecturer:</w:t>
      </w:r>
      <w:r w:rsidRPr="00A35F29">
        <w:rPr>
          <w:rFonts w:ascii="Arial Nova" w:eastAsia="Arial Nova" w:hAnsi="Arial Nova" w:cs="Arial Nova"/>
          <w:kern w:val="0"/>
          <w:sz w:val="72"/>
          <w:szCs w:val="72"/>
          <w:lang w:val="en-US" w:eastAsia="ja-JP"/>
          <w14:ligatures w14:val="none"/>
        </w:rPr>
        <w:t xml:space="preserve"> </w:t>
      </w:r>
      <w:r>
        <w:rPr>
          <w:rFonts w:ascii="Arial Nova" w:eastAsia="Arial Nova" w:hAnsi="Arial Nova" w:cs="Arial Nova"/>
          <w:kern w:val="0"/>
          <w:sz w:val="72"/>
          <w:szCs w:val="72"/>
          <w:lang w:val="en-US" w:eastAsia="ja-JP"/>
          <w14:ligatures w14:val="none"/>
        </w:rPr>
        <w:t xml:space="preserve"> </w:t>
      </w:r>
      <w:proofErr w:type="spellStart"/>
      <w:r w:rsidR="00FC647D">
        <w:rPr>
          <w:rFonts w:ascii="Arial Nova" w:eastAsia="Arial Nova" w:hAnsi="Arial Nova" w:cs="Arial Nova"/>
          <w:kern w:val="0"/>
          <w:sz w:val="72"/>
          <w:szCs w:val="72"/>
          <w:lang w:val="en-US" w:eastAsia="ja-JP"/>
          <w14:ligatures w14:val="none"/>
        </w:rPr>
        <w:t>Rizwan</w:t>
      </w:r>
      <w:proofErr w:type="spellEnd"/>
      <w:r w:rsidR="00975481">
        <w:rPr>
          <w:rFonts w:ascii="Arial Nova" w:eastAsia="Arial Nova" w:hAnsi="Arial Nova" w:cs="Arial Nova"/>
          <w:kern w:val="0"/>
          <w:sz w:val="72"/>
          <w:szCs w:val="72"/>
          <w:lang w:val="en-US" w:eastAsia="ja-JP"/>
          <w14:ligatures w14:val="none"/>
        </w:rPr>
        <w:t xml:space="preserve"> </w:t>
      </w:r>
      <w:proofErr w:type="spellStart"/>
      <w:r w:rsidR="00975481">
        <w:rPr>
          <w:rFonts w:ascii="Arial Nova" w:eastAsia="Arial Nova" w:hAnsi="Arial Nova" w:cs="Arial Nova"/>
          <w:kern w:val="0"/>
          <w:sz w:val="72"/>
          <w:szCs w:val="72"/>
          <w:lang w:val="en-US" w:eastAsia="ja-JP"/>
          <w14:ligatures w14:val="none"/>
        </w:rPr>
        <w:t>Nadim</w:t>
      </w:r>
      <w:proofErr w:type="spellEnd"/>
    </w:p>
    <w:p w14:paraId="310514E4" w14:textId="29498229" w:rsidR="00E47B6B" w:rsidRDefault="00E47B6B" w:rsidP="00150A7F">
      <w:pPr>
        <w:spacing w:before="100" w:beforeAutospacing="1" w:after="100" w:afterAutospacing="1" w:line="240" w:lineRule="auto"/>
        <w:outlineLvl w:val="0"/>
        <w:rPr>
          <w:rFonts w:ascii="Arial Nova" w:eastAsia="Arial" w:hAnsi="Arial Nova" w:cs="Arial"/>
          <w:sz w:val="72"/>
          <w:szCs w:val="72"/>
        </w:rPr>
      </w:pPr>
      <w:r w:rsidRPr="00A35F29">
        <w:rPr>
          <w:rFonts w:ascii="Arial Nova" w:eastAsia="Arial Nova" w:hAnsi="Arial Nova" w:cs="Arial Nova"/>
          <w:b/>
          <w:bCs/>
          <w:kern w:val="0"/>
          <w:sz w:val="72"/>
          <w:szCs w:val="72"/>
          <w:lang w:val="en-US" w:eastAsia="ja-JP"/>
          <w14:ligatures w14:val="none"/>
        </w:rPr>
        <w:t>Assignment Title:</w:t>
      </w:r>
      <w:r w:rsidRPr="00A35F29">
        <w:rPr>
          <w:rFonts w:ascii="Arial Nova" w:eastAsia="Arial Nova" w:hAnsi="Arial Nova" w:cs="Arial Nova"/>
          <w:kern w:val="0"/>
          <w:sz w:val="72"/>
          <w:szCs w:val="72"/>
          <w:lang w:val="en-US" w:eastAsia="ja-JP"/>
          <w14:ligatures w14:val="none"/>
        </w:rPr>
        <w:t xml:space="preserve"> </w:t>
      </w:r>
      <w:r w:rsidRPr="00F34209">
        <w:rPr>
          <w:rFonts w:ascii="Arial Nova" w:eastAsia="Arial" w:hAnsi="Arial Nova" w:cs="Arial"/>
          <w:sz w:val="72"/>
          <w:szCs w:val="72"/>
        </w:rPr>
        <w:t xml:space="preserve">Component </w:t>
      </w:r>
      <w:r w:rsidR="00E53610">
        <w:rPr>
          <w:rFonts w:ascii="Arial Nova" w:eastAsia="Arial" w:hAnsi="Arial Nova" w:cs="Arial"/>
          <w:sz w:val="72"/>
          <w:szCs w:val="72"/>
        </w:rPr>
        <w:t>2</w:t>
      </w:r>
      <w:r w:rsidRPr="00F34209">
        <w:rPr>
          <w:rFonts w:ascii="Arial Nova" w:eastAsia="Arial" w:hAnsi="Arial Nova" w:cs="Arial"/>
          <w:sz w:val="72"/>
          <w:szCs w:val="72"/>
        </w:rPr>
        <w:t xml:space="preserve">: </w:t>
      </w:r>
      <w:r w:rsidR="00794AE9">
        <w:rPr>
          <w:rFonts w:ascii="Arial Nova" w:eastAsia="Arial" w:hAnsi="Arial Nova" w:cs="Arial"/>
          <w:sz w:val="72"/>
          <w:szCs w:val="72"/>
        </w:rPr>
        <w:t>Written Assignment (Research Report)</w:t>
      </w:r>
    </w:p>
    <w:p w14:paraId="343C5C95"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6A7EFA3"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72F1438"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655103C6" w14:textId="77777777" w:rsidR="00E47B6B" w:rsidRDefault="00E47B6B"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1C40B95A" w14:textId="0AB88EF5" w:rsidR="00B95EA5" w:rsidRPr="00B95EA5" w:rsidRDefault="00B95EA5" w:rsidP="00B95EA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95EA5">
        <w:rPr>
          <w:rFonts w:ascii="Times New Roman" w:eastAsia="Times New Roman" w:hAnsi="Times New Roman" w:cs="Times New Roman"/>
          <w:b/>
          <w:bCs/>
          <w:kern w:val="0"/>
          <w:sz w:val="36"/>
          <w:szCs w:val="36"/>
          <w14:ligatures w14:val="none"/>
        </w:rPr>
        <w:t>Digital Health Tools for Supporting Older Adults with Long-Term Conditions in the United Kingdom: A Scoping Review</w:t>
      </w:r>
    </w:p>
    <w:p w14:paraId="7A136A43" w14:textId="77777777" w:rsidR="00B95EA5" w:rsidRPr="00B95EA5" w:rsidRDefault="00B95EA5" w:rsidP="00B95EA5">
      <w:pPr>
        <w:spacing w:before="100" w:beforeAutospacing="1" w:after="100" w:afterAutospacing="1" w:line="240" w:lineRule="auto"/>
        <w:rPr>
          <w:rFonts w:ascii="Times New Roman" w:hAnsi="Times New Roman" w:cs="Times New Roman"/>
          <w:kern w:val="0"/>
          <w14:ligatures w14:val="none"/>
        </w:rPr>
      </w:pPr>
    </w:p>
    <w:p w14:paraId="55E091DC" w14:textId="38745DA2" w:rsidR="00B95EA5" w:rsidRPr="009D7880" w:rsidRDefault="00B95EA5"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Introduction</w:t>
      </w:r>
    </w:p>
    <w:p w14:paraId="234898F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321E34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The rapid integration of digital technologies into the health and social care sector has transformed the way care is delivered and accessed, particularly for older adults living with long-term conditions (LTCs). Within the United Kingdom (UK), this demographic represents a significant proportion of health service users, with an estimated 58% of individuals aged 65 and above living with at least one LTC such as diabetes, chronic obstructive pulmonary disease (COPD), or cardiovascular disease (Public Health England, 2020). The increasing pressure on the NHS and social care systems has driven innovation in the use of digital health tools—including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applications, and wearable monitoring devices—to enhance self-management, accessibility, and efficiency of care delivery (NHS, 2019).</w:t>
      </w:r>
    </w:p>
    <w:p w14:paraId="3617D0B6"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AAEB46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scoping review explores the role of digital health interventions in supporting older adults with LTCs in the UK. The review question guiding this research is:</w:t>
      </w:r>
    </w:p>
    <w:p w14:paraId="2B4AB40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BE9FCC9" w14:textId="77777777" w:rsidR="00B95EA5" w:rsidRPr="00AA462B" w:rsidRDefault="00B95EA5" w:rsidP="00BD540B">
      <w:pPr>
        <w:spacing w:after="0" w:line="360" w:lineRule="auto"/>
        <w:rPr>
          <w:rFonts w:ascii="Arial" w:eastAsia="Times New Roman" w:hAnsi="Arial" w:cs="Arial"/>
          <w:color w:val="FFFFFF"/>
          <w:kern w:val="0"/>
          <w:sz w:val="22"/>
          <w:szCs w:val="22"/>
          <w14:ligatures w14:val="none"/>
        </w:rPr>
      </w:pPr>
      <w:r w:rsidRPr="00AA462B">
        <w:rPr>
          <w:rFonts w:ascii="Arial" w:eastAsia="Times New Roman" w:hAnsi="Arial" w:cs="Arial"/>
          <w:color w:val="FFFFFF"/>
          <w:kern w:val="0"/>
          <w:sz w:val="22"/>
          <w:szCs w:val="22"/>
          <w14:ligatures w14:val="none"/>
        </w:rPr>
        <w:t>What is the impact of digital health tools in supporting older adults with long-term conditions in the United Kingdom?</w:t>
      </w:r>
    </w:p>
    <w:p w14:paraId="0A938F5A"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59EF2B9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aim of this review is to synthesise and map existing evidence on how digital health interventions contribute to the wellbeing and care management of older adults with LTCs.</w:t>
      </w:r>
    </w:p>
    <w:p w14:paraId="4767122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5830FA2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objectives are to:</w:t>
      </w:r>
    </w:p>
    <w:p w14:paraId="69FA622B"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 the range of digital interventions currently used to support older adults with LTCs in the UK.</w:t>
      </w:r>
    </w:p>
    <w:p w14:paraId="4594F2F2"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Explore perceived benefits, challenges, and barriers associated with adopting digital health tools.</w:t>
      </w:r>
    </w:p>
    <w:p w14:paraId="7E391A42" w14:textId="77777777" w:rsidR="00B95EA5" w:rsidRPr="00AA462B" w:rsidRDefault="00B95EA5" w:rsidP="00BD540B">
      <w:pPr>
        <w:numPr>
          <w:ilvl w:val="0"/>
          <w:numId w:val="1"/>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 evidence gaps and make recommendations to improve digital inclusion and health outcomes among older adults.</w:t>
      </w:r>
    </w:p>
    <w:p w14:paraId="6FB148D7"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F444B7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research builds upon the growing emphasis on digital transformation within UK health and social care policy frameworks, aligning with the NHS Long Term Plan (NHS, 2019) and Department of Health and Social Care (DHSC, 2022) initiatives for personalised, technology-enabled care. By focusing on peer-reviewed research, this review provides evidence-based insights into how digital tools can empower older adults while highlighting issues of accessibility, digital literacy, and equality.</w:t>
      </w:r>
    </w:p>
    <w:p w14:paraId="7A106C65" w14:textId="77777777" w:rsidR="00B95EA5" w:rsidRPr="00AA462B" w:rsidRDefault="00B95EA5"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28B43AAC" wp14:editId="253B9734">
                <wp:extent cx="4356100" cy="1270"/>
                <wp:effectExtent l="0" t="33655" r="0" b="38735"/>
                <wp:docPr id="46616075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BC00A5" id="Rectangle 1"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631B603E" w14:textId="4E92CFD6" w:rsidR="00B95EA5" w:rsidRPr="009D7880" w:rsidRDefault="00B95EA5"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Background</w:t>
      </w:r>
    </w:p>
    <w:p w14:paraId="2C48069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2327193" w14:textId="7F467F69" w:rsidR="00B95EA5" w:rsidRPr="009D7880" w:rsidRDefault="00B95EA5"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Context: Ageing and Long-Term Conditions in the UK</w:t>
      </w:r>
    </w:p>
    <w:p w14:paraId="443C0B9D"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E965F8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UK population is ageing rapidly, with over 12 million individuals aged 65 and above (ONS, 2023). As people age, the prevalence of chronic illnesses rises, increasing dependency on health and social care services. LTCs are the leading cause of mortality and disability in the UK, accounting for approximately 70% of total health and social care expenditure (Public Health England, 2020). This trend places significant strain on healthcare professionals, carers, and families.</w:t>
      </w:r>
    </w:p>
    <w:p w14:paraId="79DA86B1"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F6E224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Digital health technologies have emerged as a promising solution to enhance self-care, reduce hospital admissions, and promote independence among older adults. According to </w:t>
      </w:r>
      <w:proofErr w:type="spellStart"/>
      <w:r w:rsidRPr="00AA462B">
        <w:rPr>
          <w:rFonts w:ascii="Arial" w:hAnsi="Arial" w:cs="Arial"/>
          <w:kern w:val="0"/>
          <w:sz w:val="22"/>
          <w:szCs w:val="22"/>
          <w14:ligatures w14:val="none"/>
        </w:rPr>
        <w:t>Greenhalgh</w:t>
      </w:r>
      <w:proofErr w:type="spellEnd"/>
      <w:r w:rsidRPr="00AA462B">
        <w:rPr>
          <w:rFonts w:ascii="Arial" w:hAnsi="Arial" w:cs="Arial"/>
          <w:kern w:val="0"/>
          <w:sz w:val="22"/>
          <w:szCs w:val="22"/>
          <w14:ligatures w14:val="none"/>
        </w:rPr>
        <w:t xml:space="preserve"> et al. (2022), digital innovations—such as </w:t>
      </w:r>
      <w:proofErr w:type="spellStart"/>
      <w:r w:rsidRPr="00AA462B">
        <w:rPr>
          <w:rFonts w:ascii="Arial" w:hAnsi="Arial" w:cs="Arial"/>
          <w:kern w:val="0"/>
          <w:sz w:val="22"/>
          <w:szCs w:val="22"/>
          <w14:ligatures w14:val="none"/>
        </w:rPr>
        <w:t>teleconsultations</w:t>
      </w:r>
      <w:proofErr w:type="spellEnd"/>
      <w:r w:rsidRPr="00AA462B">
        <w:rPr>
          <w:rFonts w:ascii="Arial" w:hAnsi="Arial" w:cs="Arial"/>
          <w:kern w:val="0"/>
          <w:sz w:val="22"/>
          <w:szCs w:val="22"/>
          <w14:ligatures w14:val="none"/>
        </w:rPr>
        <w:t>, wearable sensors, and app-based self-monitoring—can improve communication between patients and healthcare professionals, facilitating early intervention and continuous care.</w:t>
      </w:r>
    </w:p>
    <w:p w14:paraId="4F2689F6"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4877FBB" w14:textId="56AB28BB" w:rsidR="00B95EA5" w:rsidRPr="009D7880" w:rsidRDefault="00B95EA5"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Policy Drivers and Strategic Frameworks</w:t>
      </w:r>
    </w:p>
    <w:p w14:paraId="2D3BE8D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6E60A45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integration of digital health in the UK has been shaped by major policy frameworks. The NHS Long Term Plan (2019) outlines a vision to provide “digital-first” primary care by 2024, enabling remote consultations and online access to services. The NHS Digital Strategy (2022) further emphasises the use of data and technology to improve population health, patient experience, and system efficiency.</w:t>
      </w:r>
    </w:p>
    <w:p w14:paraId="0C8DCA2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6919363"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Department of Health and Social Care (2022) launched the Digital Health and Care Plan, which sets out priorities for embedding digital solutions within routine care. This includes expanding remote monitoring services, supporting digital skills training for the workforce, and ensuring accessibility for digitally excluded populations. Similarly, the NHSX Remote Monitoring Framework (2021) promotes the use of wearable and home-based technologies to help older adults manage conditions such as heart failure and diabetes.</w:t>
      </w:r>
    </w:p>
    <w:p w14:paraId="09D0068C"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0C97EA93"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These strategies align with the broader public health agenda for digital inclusion. Despite national efforts, an estimated 4 million older adults in the UK do not use the internet regularly, creating barriers to accessing online health services (Age UK, 2021). Digital exclusion can exacerbate existing inequalities, particularly among those from lower socioeconomic backgrounds or with limited technological literacy.</w:t>
      </w:r>
    </w:p>
    <w:p w14:paraId="3B0EC85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4128A1A0" w14:textId="3466612F" w:rsidR="00B95EA5" w:rsidRPr="009D7880" w:rsidRDefault="00B95EA5"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Benefits of Digital Health Tools for Older Adults</w:t>
      </w:r>
    </w:p>
    <w:p w14:paraId="4ECD3FC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3315A305"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Digital health interventions offer several advantages for older adults managing LTCs. Evidence suggests that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xml:space="preserve"> and remote monitoring can reduce hospital admissions, improve medication adherence, and enhance patient satisfaction (Mann et al., 2022). For instance, wearable devices such as smartwatches enable continuous health tracking, while </w:t>
      </w:r>
      <w:proofErr w:type="spellStart"/>
      <w:r w:rsidRPr="00AA462B">
        <w:rPr>
          <w:rFonts w:ascii="Arial" w:hAnsi="Arial" w:cs="Arial"/>
          <w:kern w:val="0"/>
          <w:sz w:val="22"/>
          <w:szCs w:val="22"/>
          <w14:ligatures w14:val="none"/>
        </w:rPr>
        <w:t>teleconsultations</w:t>
      </w:r>
      <w:proofErr w:type="spellEnd"/>
      <w:r w:rsidRPr="00AA462B">
        <w:rPr>
          <w:rFonts w:ascii="Arial" w:hAnsi="Arial" w:cs="Arial"/>
          <w:kern w:val="0"/>
          <w:sz w:val="22"/>
          <w:szCs w:val="22"/>
          <w14:ligatures w14:val="none"/>
        </w:rPr>
        <w:t xml:space="preserve"> offer timely access to clinicians, reducing travel burden and social isolation (Walker, Whittaker and Harries, 2022).</w:t>
      </w:r>
    </w:p>
    <w:p w14:paraId="601BC0D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23C209F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Mobile health (mHealth) applications have shown potential for empowering self-management. Apps designed for older adults often include reminders, educational content, and symptom trackers that promote adherence to treatment regimens (</w:t>
      </w:r>
      <w:proofErr w:type="spellStart"/>
      <w:r w:rsidRPr="00AA462B">
        <w:rPr>
          <w:rFonts w:ascii="Arial" w:hAnsi="Arial" w:cs="Arial"/>
          <w:kern w:val="0"/>
          <w:sz w:val="22"/>
          <w:szCs w:val="22"/>
          <w14:ligatures w14:val="none"/>
        </w:rPr>
        <w:t>Czaja</w:t>
      </w:r>
      <w:proofErr w:type="spellEnd"/>
      <w:r w:rsidRPr="00AA462B">
        <w:rPr>
          <w:rFonts w:ascii="Arial" w:hAnsi="Arial" w:cs="Arial"/>
          <w:kern w:val="0"/>
          <w:sz w:val="22"/>
          <w:szCs w:val="22"/>
          <w14:ligatures w14:val="none"/>
        </w:rPr>
        <w:t xml:space="preserve"> et al., 2021). Furthermore, digital platforms can foster social support through peer networks or virtual communities, improving emotional wellbeing (Seifert, Cotten and </w:t>
      </w:r>
      <w:proofErr w:type="spellStart"/>
      <w:r w:rsidRPr="00AA462B">
        <w:rPr>
          <w:rFonts w:ascii="Arial" w:hAnsi="Arial" w:cs="Arial"/>
          <w:kern w:val="0"/>
          <w:sz w:val="22"/>
          <w:szCs w:val="22"/>
          <w14:ligatures w14:val="none"/>
        </w:rPr>
        <w:t>Xie</w:t>
      </w:r>
      <w:proofErr w:type="spellEnd"/>
      <w:r w:rsidRPr="00AA462B">
        <w:rPr>
          <w:rFonts w:ascii="Arial" w:hAnsi="Arial" w:cs="Arial"/>
          <w:kern w:val="0"/>
          <w:sz w:val="22"/>
          <w:szCs w:val="22"/>
          <w14:ligatures w14:val="none"/>
        </w:rPr>
        <w:t>, 2021).</w:t>
      </w:r>
    </w:p>
    <w:p w14:paraId="660621D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44D741A" w14:textId="01A1B9ED" w:rsidR="00B95EA5" w:rsidRPr="009D7880" w:rsidRDefault="00B95EA5"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Barriers and Challenges</w:t>
      </w:r>
    </w:p>
    <w:p w14:paraId="7A6BBCFE"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123E5B48"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Despite these benefits, older adults often face barriers to using digital technologies effectively. Common challenges include lack of digital literacy, limited access to devices or broadband, concerns about data privacy, and fear of technology (</w:t>
      </w:r>
      <w:proofErr w:type="spellStart"/>
      <w:r w:rsidRPr="00AA462B">
        <w:rPr>
          <w:rFonts w:ascii="Arial" w:hAnsi="Arial" w:cs="Arial"/>
          <w:kern w:val="0"/>
          <w:sz w:val="22"/>
          <w:szCs w:val="22"/>
          <w14:ligatures w14:val="none"/>
        </w:rPr>
        <w:t>Lupton</w:t>
      </w:r>
      <w:proofErr w:type="spellEnd"/>
      <w:r w:rsidRPr="00AA462B">
        <w:rPr>
          <w:rFonts w:ascii="Arial" w:hAnsi="Arial" w:cs="Arial"/>
          <w:kern w:val="0"/>
          <w:sz w:val="22"/>
          <w:szCs w:val="22"/>
          <w14:ligatures w14:val="none"/>
        </w:rPr>
        <w:t>, 2020). Additionally, many digital health tools are not designed with accessibility in mind—interfaces may be too complex or poorly adapted for sensory or cognitive impairments.</w:t>
      </w:r>
    </w:p>
    <w:p w14:paraId="7D408822"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2FB37C49"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Research by Age UK (2021) highlights that digital exclusion is often linked to social inequality, making it vital to tailor interventions to the needs of older adults. Without inclusive design and targeted support, digital transformation may risk marginalising vulnerable populations, widening health disparities rather than reducing them.</w:t>
      </w:r>
    </w:p>
    <w:p w14:paraId="13B3C0A2"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1F1BE98" w14:textId="0B561CF6" w:rsidR="00B95EA5" w:rsidRPr="009D7880" w:rsidRDefault="00B95EA5"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Rationale for the Scoping Review</w:t>
      </w:r>
    </w:p>
    <w:p w14:paraId="6229D2D0"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p>
    <w:p w14:paraId="798970AB" w14:textId="77777777" w:rsidR="00B95EA5" w:rsidRPr="00AA462B" w:rsidRDefault="00B95EA5"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scoping review is the most appropriate approach for this research as it allows the mapping of existing evidence across diverse digital interventions and health outcomes (</w:t>
      </w:r>
      <w:proofErr w:type="spellStart"/>
      <w:r w:rsidRPr="00AA462B">
        <w:rPr>
          <w:rFonts w:ascii="Arial" w:hAnsi="Arial" w:cs="Arial"/>
          <w:kern w:val="0"/>
          <w:sz w:val="22"/>
          <w:szCs w:val="22"/>
          <w14:ligatures w14:val="none"/>
        </w:rPr>
        <w:t>Arksey</w:t>
      </w:r>
      <w:proofErr w:type="spellEnd"/>
      <w:r w:rsidRPr="00AA462B">
        <w:rPr>
          <w:rFonts w:ascii="Arial" w:hAnsi="Arial" w:cs="Arial"/>
          <w:kern w:val="0"/>
          <w:sz w:val="22"/>
          <w:szCs w:val="22"/>
          <w14:ligatures w14:val="none"/>
        </w:rPr>
        <w:t xml:space="preserve"> and O’Malley, 2005). The review identifies what is known, where gaps exist, and which strategies are most effective in supporting older adults with LTCs in the UK. Given the accelerating pace of digital innovation, synthesising recent evidence (2015–2025) will provide timely insights to guide practice, policy, and future research.</w:t>
      </w:r>
    </w:p>
    <w:p w14:paraId="33125714" w14:textId="77777777" w:rsidR="00B95EA5" w:rsidRPr="00AA462B" w:rsidRDefault="00B95EA5" w:rsidP="00BD540B">
      <w:pPr>
        <w:spacing w:line="360" w:lineRule="auto"/>
        <w:rPr>
          <w:rFonts w:ascii="Arial" w:hAnsi="Arial" w:cs="Arial"/>
          <w:sz w:val="22"/>
          <w:szCs w:val="22"/>
        </w:rPr>
      </w:pPr>
    </w:p>
    <w:p w14:paraId="33346FE3" w14:textId="77777777" w:rsidR="009844E7" w:rsidRPr="00AA462B" w:rsidRDefault="009844E7" w:rsidP="00BD540B">
      <w:pPr>
        <w:spacing w:line="360" w:lineRule="auto"/>
        <w:rPr>
          <w:rFonts w:ascii="Arial" w:hAnsi="Arial" w:cs="Arial"/>
          <w:sz w:val="22"/>
          <w:szCs w:val="22"/>
        </w:rPr>
      </w:pPr>
    </w:p>
    <w:p w14:paraId="18EE420D" w14:textId="09E4030F" w:rsidR="00E60E3A" w:rsidRPr="009D7880" w:rsidRDefault="00E60E3A" w:rsidP="00BD540B">
      <w:pPr>
        <w:spacing w:before="100" w:beforeAutospacing="1" w:after="100" w:afterAutospacing="1" w:line="360" w:lineRule="auto"/>
        <w:outlineLvl w:val="1"/>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Methods</w:t>
      </w:r>
    </w:p>
    <w:p w14:paraId="0768B12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66038F8" w14:textId="3D4E8F80" w:rsidR="00E60E3A" w:rsidRPr="009D7880"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Scoping Review Framework</w:t>
      </w:r>
    </w:p>
    <w:p w14:paraId="4476773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0FC8026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This study follows the </w:t>
      </w:r>
      <w:proofErr w:type="spellStart"/>
      <w:r w:rsidRPr="00AA462B">
        <w:rPr>
          <w:rFonts w:ascii="Arial" w:hAnsi="Arial" w:cs="Arial"/>
          <w:kern w:val="0"/>
          <w:sz w:val="22"/>
          <w:szCs w:val="22"/>
          <w14:ligatures w14:val="none"/>
        </w:rPr>
        <w:t>Arksey</w:t>
      </w:r>
      <w:proofErr w:type="spellEnd"/>
      <w:r w:rsidRPr="00AA462B">
        <w:rPr>
          <w:rFonts w:ascii="Arial" w:hAnsi="Arial" w:cs="Arial"/>
          <w:kern w:val="0"/>
          <w:sz w:val="22"/>
          <w:szCs w:val="22"/>
          <w14:ligatures w14:val="none"/>
        </w:rPr>
        <w:t xml:space="preserve"> and O’Malley (2005) scoping review framework, further refined by </w:t>
      </w:r>
      <w:proofErr w:type="spellStart"/>
      <w:r w:rsidRPr="00AA462B">
        <w:rPr>
          <w:rFonts w:ascii="Arial" w:hAnsi="Arial" w:cs="Arial"/>
          <w:kern w:val="0"/>
          <w:sz w:val="22"/>
          <w:szCs w:val="22"/>
          <w14:ligatures w14:val="none"/>
        </w:rPr>
        <w:t>Levac</w:t>
      </w:r>
      <w:proofErr w:type="spellEnd"/>
      <w:r w:rsidRPr="00AA462B">
        <w:rPr>
          <w:rFonts w:ascii="Arial" w:hAnsi="Arial" w:cs="Arial"/>
          <w:kern w:val="0"/>
          <w:sz w:val="22"/>
          <w:szCs w:val="22"/>
          <w14:ligatures w14:val="none"/>
        </w:rPr>
        <w:t>, Colquhoun and O’Brien (2010). This approach is particularly suited to mapping broad, emerging evidence across interdisciplinary fields such as digital health. The framework involves five key stages:</w:t>
      </w:r>
    </w:p>
    <w:p w14:paraId="0711BEBB"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Identifying the research question</w:t>
      </w:r>
    </w:p>
    <w:p w14:paraId="4ECEC913"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Identifying relevant studies</w:t>
      </w:r>
    </w:p>
    <w:p w14:paraId="6E04C021"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Study selection</w:t>
      </w:r>
    </w:p>
    <w:p w14:paraId="474BB736"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Charting the data</w:t>
      </w:r>
    </w:p>
    <w:p w14:paraId="3EC06ACF" w14:textId="77777777" w:rsidR="00E60E3A" w:rsidRPr="00AA462B" w:rsidRDefault="00E60E3A" w:rsidP="00BD540B">
      <w:pPr>
        <w:numPr>
          <w:ilvl w:val="0"/>
          <w:numId w:val="2"/>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Collating, summarising, and reporting results</w:t>
      </w:r>
    </w:p>
    <w:p w14:paraId="76CE590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6539FC24"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thematic analysis approach was then used to interpret and synthesise findings from selected studies.</w:t>
      </w:r>
    </w:p>
    <w:p w14:paraId="7C8ADD7F"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6604AF8" w14:textId="15FA45A5" w:rsidR="00E60E3A" w:rsidRPr="009D7880"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9D7880">
        <w:rPr>
          <w:rFonts w:ascii="Arial" w:eastAsia="Times New Roman" w:hAnsi="Arial" w:cs="Arial"/>
          <w:b/>
          <w:bCs/>
          <w:kern w:val="0"/>
          <w:sz w:val="22"/>
          <w:szCs w:val="22"/>
          <w:u w:val="single"/>
          <w14:ligatures w14:val="none"/>
        </w:rPr>
        <w:t>Search Strategy</w:t>
      </w:r>
    </w:p>
    <w:p w14:paraId="6728F34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29097C8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comprehensive literature search was conducted between January 2015 and October 2025 across academic databases including PubMed, CINAHL, SAGE Journals, ScienceDirect, and Google Scholar. Boolean operators and key search terms were combined using phrases such as:</w:t>
      </w:r>
    </w:p>
    <w:p w14:paraId="6BFC08EF" w14:textId="77777777" w:rsidR="00E60E3A" w:rsidRPr="00AA462B" w:rsidRDefault="00E60E3A" w:rsidP="00BD540B">
      <w:pPr>
        <w:spacing w:before="100" w:beforeAutospacing="1" w:after="100" w:afterAutospacing="1" w:line="360" w:lineRule="auto"/>
        <w:rPr>
          <w:rFonts w:ascii="Arial" w:hAnsi="Arial" w:cs="Arial"/>
          <w:color w:val="000000" w:themeColor="text1"/>
          <w:kern w:val="0"/>
          <w:sz w:val="22"/>
          <w:szCs w:val="22"/>
          <w14:ligatures w14:val="none"/>
        </w:rPr>
      </w:pPr>
    </w:p>
    <w:p w14:paraId="3EEF9F40" w14:textId="77777777" w:rsidR="00E60E3A" w:rsidRPr="00AA462B" w:rsidRDefault="00E60E3A" w:rsidP="00BD540B">
      <w:pPr>
        <w:spacing w:after="0" w:line="360" w:lineRule="auto"/>
        <w:rPr>
          <w:rFonts w:ascii="Arial" w:eastAsia="Times New Roman" w:hAnsi="Arial" w:cs="Arial"/>
          <w:color w:val="000000" w:themeColor="text1"/>
          <w:kern w:val="0"/>
          <w:sz w:val="22"/>
          <w:szCs w:val="22"/>
          <w14:ligatures w14:val="none"/>
        </w:rPr>
      </w:pPr>
      <w:r w:rsidRPr="00AA462B">
        <w:rPr>
          <w:rFonts w:ascii="Arial" w:eastAsia="Times New Roman" w:hAnsi="Arial" w:cs="Arial"/>
          <w:color w:val="000000" w:themeColor="text1"/>
          <w:kern w:val="0"/>
          <w:sz w:val="22"/>
          <w:szCs w:val="22"/>
          <w14:ligatures w14:val="none"/>
        </w:rPr>
        <w:t>(“digital health” OR “</w:t>
      </w:r>
      <w:proofErr w:type="spellStart"/>
      <w:r w:rsidRPr="00AA462B">
        <w:rPr>
          <w:rFonts w:ascii="Arial" w:eastAsia="Times New Roman" w:hAnsi="Arial" w:cs="Arial"/>
          <w:color w:val="000000" w:themeColor="text1"/>
          <w:kern w:val="0"/>
          <w:sz w:val="22"/>
          <w:szCs w:val="22"/>
          <w14:ligatures w14:val="none"/>
        </w:rPr>
        <w:t>telehealth</w:t>
      </w:r>
      <w:proofErr w:type="spellEnd"/>
      <w:r w:rsidRPr="00AA462B">
        <w:rPr>
          <w:rFonts w:ascii="Arial" w:eastAsia="Times New Roman" w:hAnsi="Arial" w:cs="Arial"/>
          <w:color w:val="000000" w:themeColor="text1"/>
          <w:kern w:val="0"/>
          <w:sz w:val="22"/>
          <w:szCs w:val="22"/>
          <w14:ligatures w14:val="none"/>
        </w:rPr>
        <w:t>” OR “</w:t>
      </w:r>
      <w:proofErr w:type="spellStart"/>
      <w:r w:rsidRPr="00AA462B">
        <w:rPr>
          <w:rFonts w:ascii="Arial" w:eastAsia="Times New Roman" w:hAnsi="Arial" w:cs="Arial"/>
          <w:color w:val="000000" w:themeColor="text1"/>
          <w:kern w:val="0"/>
          <w:sz w:val="22"/>
          <w:szCs w:val="22"/>
          <w14:ligatures w14:val="none"/>
        </w:rPr>
        <w:t>telecare</w:t>
      </w:r>
      <w:proofErr w:type="spellEnd"/>
      <w:r w:rsidRPr="00AA462B">
        <w:rPr>
          <w:rFonts w:ascii="Arial" w:eastAsia="Times New Roman" w:hAnsi="Arial" w:cs="Arial"/>
          <w:color w:val="000000" w:themeColor="text1"/>
          <w:kern w:val="0"/>
          <w:sz w:val="22"/>
          <w:szCs w:val="22"/>
          <w14:ligatures w14:val="none"/>
        </w:rPr>
        <w:t>” OR “mHealth” OR “wearables”) AND (“older adults” OR “elderly” OR “ageing population”) AND (“long-term conditions” OR “chronic illness”) AND (“United Kingdom” OR “UK”).</w:t>
      </w:r>
    </w:p>
    <w:p w14:paraId="09BD3FC8"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C4493DA"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Reference lists of key studies were also screened to identify additional relevant publications.</w:t>
      </w:r>
    </w:p>
    <w:p w14:paraId="2DE8F4E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D0717AE" w14:textId="0A42FDFD" w:rsidR="00E60E3A" w:rsidRPr="00647CC6" w:rsidRDefault="00647CC6"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Pr>
          <w:rFonts w:ascii="Arial" w:eastAsia="Times New Roman" w:hAnsi="Arial" w:cs="Arial"/>
          <w:b/>
          <w:bCs/>
          <w:kern w:val="0"/>
          <w:sz w:val="22"/>
          <w:szCs w:val="22"/>
          <w:u w:val="single"/>
          <w14:ligatures w14:val="none"/>
        </w:rPr>
        <w:t>I</w:t>
      </w:r>
      <w:r w:rsidR="00E60E3A" w:rsidRPr="00647CC6">
        <w:rPr>
          <w:rFonts w:ascii="Arial" w:eastAsia="Times New Roman" w:hAnsi="Arial" w:cs="Arial"/>
          <w:b/>
          <w:bCs/>
          <w:kern w:val="0"/>
          <w:sz w:val="22"/>
          <w:szCs w:val="22"/>
          <w:u w:val="single"/>
          <w14:ligatures w14:val="none"/>
        </w:rPr>
        <w:t>nclusion and Exclusion Criteria</w:t>
      </w:r>
    </w:p>
    <w:p w14:paraId="7424540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0B8D7B4"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Studies were included if they met the following criteria:</w:t>
      </w:r>
    </w:p>
    <w:p w14:paraId="3E37E696"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Peer-reviewed articles published in English between 2015 and 2025.</w:t>
      </w:r>
    </w:p>
    <w:p w14:paraId="0195EC4D"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Focused on digital health tools used by older adults (aged 60+) with one or more long-term conditions.</w:t>
      </w:r>
    </w:p>
    <w:p w14:paraId="6F96F759"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Conducted within the UK or involving UK participants.</w:t>
      </w:r>
    </w:p>
    <w:p w14:paraId="0D9C0613" w14:textId="77777777" w:rsidR="00E60E3A" w:rsidRPr="00AA462B" w:rsidRDefault="00E60E3A" w:rsidP="00BD540B">
      <w:pPr>
        <w:numPr>
          <w:ilvl w:val="0"/>
          <w:numId w:val="3"/>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Examined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apps, or wearable technologies in supporting health outcomes, self-management, or wellbeing.</w:t>
      </w:r>
    </w:p>
    <w:p w14:paraId="35A1C5C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A2CD94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Exclusion criteria:</w:t>
      </w:r>
    </w:p>
    <w:p w14:paraId="45975F6A"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Studies not focused on the UK context.</w:t>
      </w:r>
    </w:p>
    <w:p w14:paraId="5B344650"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Non–peer-reviewed publications (e.g. editorials, policy papers).</w:t>
      </w:r>
    </w:p>
    <w:p w14:paraId="7F7A5EF9"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Studies targeting healthcare professionals rather than service users.</w:t>
      </w:r>
    </w:p>
    <w:p w14:paraId="149A7696" w14:textId="77777777" w:rsidR="00E60E3A" w:rsidRPr="00AA462B" w:rsidRDefault="00E60E3A" w:rsidP="00BD540B">
      <w:pPr>
        <w:numPr>
          <w:ilvl w:val="0"/>
          <w:numId w:val="4"/>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Interventions unrelated to long-term condition management.</w:t>
      </w:r>
    </w:p>
    <w:p w14:paraId="04C4233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38712AC" w14:textId="60DEF337" w:rsidR="00E60E3A" w:rsidRPr="00647CC6"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647CC6">
        <w:rPr>
          <w:rFonts w:ascii="Arial" w:eastAsia="Times New Roman" w:hAnsi="Arial" w:cs="Arial"/>
          <w:b/>
          <w:bCs/>
          <w:kern w:val="0"/>
          <w:sz w:val="22"/>
          <w:szCs w:val="22"/>
          <w:u w:val="single"/>
          <w14:ligatures w14:val="none"/>
        </w:rPr>
        <w:t>Study Selection Process</w:t>
      </w:r>
    </w:p>
    <w:p w14:paraId="1FE444B3"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32C5661"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An initial search identified 324 studies. After removing duplicates and screening abstracts, 47 studies met the inclusion criteria for full-text review. Following detailed evaluation, five peer-reviewed studies were selected that provided the most relevant and rigorous evidence aligned with the review question.</w:t>
      </w:r>
    </w:p>
    <w:p w14:paraId="26FA886E"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450987C" w14:textId="2FFB9063" w:rsidR="00E60E3A" w:rsidRPr="00647CC6"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647CC6">
        <w:rPr>
          <w:rFonts w:ascii="Arial" w:eastAsia="Times New Roman" w:hAnsi="Arial" w:cs="Arial"/>
          <w:b/>
          <w:bCs/>
          <w:kern w:val="0"/>
          <w:sz w:val="22"/>
          <w:szCs w:val="22"/>
          <w:u w:val="single"/>
          <w14:ligatures w14:val="none"/>
        </w:rPr>
        <w:t>Data Extraction and Charting</w:t>
      </w:r>
    </w:p>
    <w:p w14:paraId="52F6B38C"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D52EE47"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Data were extracted into a table outlining:</w:t>
      </w:r>
    </w:p>
    <w:p w14:paraId="518C13A0"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Authors and year of publication</w:t>
      </w:r>
    </w:p>
    <w:p w14:paraId="05D9C84E"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Study design and methodology</w:t>
      </w:r>
    </w:p>
    <w:p w14:paraId="0EE61063"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Population/sample size</w:t>
      </w:r>
    </w:p>
    <w:p w14:paraId="2B0F5459"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Type of digital intervention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mHealth, or wearable)</w:t>
      </w:r>
    </w:p>
    <w:p w14:paraId="06239E85"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Key findings and outcomes</w:t>
      </w:r>
    </w:p>
    <w:p w14:paraId="1F851309" w14:textId="77777777" w:rsidR="00E60E3A" w:rsidRPr="00AA462B" w:rsidRDefault="00E60E3A" w:rsidP="00BD540B">
      <w:pPr>
        <w:numPr>
          <w:ilvl w:val="0"/>
          <w:numId w:val="5"/>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Reported benefits and barriers</w:t>
      </w:r>
    </w:p>
    <w:p w14:paraId="4F37F505"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30BF95DC" w14:textId="566D08E8" w:rsidR="00E60E3A" w:rsidRPr="00647CC6"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647CC6">
        <w:rPr>
          <w:rFonts w:ascii="Arial" w:eastAsia="Times New Roman" w:hAnsi="Arial" w:cs="Arial"/>
          <w:b/>
          <w:bCs/>
          <w:kern w:val="0"/>
          <w:sz w:val="22"/>
          <w:szCs w:val="22"/>
          <w:u w:val="single"/>
          <w14:ligatures w14:val="none"/>
        </w:rPr>
        <w:t>Data Analysis</w:t>
      </w:r>
    </w:p>
    <w:p w14:paraId="40E4F8FB"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2B3089C7"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A thematic analysis was employed to identify recurring patterns and concepts across the studies. Codes were generated inductively and grouped into overarching themes such as:</w:t>
      </w:r>
    </w:p>
    <w:p w14:paraId="002273E9"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Enhanced self-management and empowerment</w:t>
      </w:r>
    </w:p>
    <w:p w14:paraId="44C5523D"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Improved accessibility and communication</w:t>
      </w:r>
    </w:p>
    <w:p w14:paraId="60F0C886"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Digital literacy and usability challenges</w:t>
      </w:r>
    </w:p>
    <w:p w14:paraId="1049A728" w14:textId="77777777" w:rsidR="00E60E3A" w:rsidRPr="00AA462B" w:rsidRDefault="00E60E3A" w:rsidP="00BD540B">
      <w:pPr>
        <w:numPr>
          <w:ilvl w:val="0"/>
          <w:numId w:val="6"/>
        </w:num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Equity and inclusion in digital care</w:t>
      </w:r>
    </w:p>
    <w:p w14:paraId="749E6146"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7B06C006"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The findings were synthesised narratively to illustrate how digital health tools influence health outcomes and experiences among older adults with LTCs in the UK.</w:t>
      </w:r>
    </w:p>
    <w:p w14:paraId="4D01A14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52955824" w14:textId="06ED3DEB" w:rsidR="00E60E3A" w:rsidRPr="00647CC6"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647CC6">
        <w:rPr>
          <w:rFonts w:ascii="Arial" w:eastAsia="Times New Roman" w:hAnsi="Arial" w:cs="Arial"/>
          <w:b/>
          <w:bCs/>
          <w:kern w:val="0"/>
          <w:sz w:val="22"/>
          <w:szCs w:val="22"/>
          <w:u w:val="single"/>
          <w14:ligatures w14:val="none"/>
        </w:rPr>
        <w:t>Ethical Considerations</w:t>
      </w:r>
    </w:p>
    <w:p w14:paraId="46634920"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69F9279D"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This scoping review did not involve human participants, and therefore formal ethical approval was not required. However, ethical standards were maintained through accurate citation of all studies, transparent reporting of methods, and critical appraisal of sources. The review adheres to academic integrity guidelines and uses the UWTSD Harvard referencing style throughout.</w:t>
      </w:r>
    </w:p>
    <w:p w14:paraId="1671ADD2" w14:textId="77777777" w:rsidR="00E60E3A" w:rsidRPr="00AA462B" w:rsidRDefault="00E60E3A"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36BB5EB7" wp14:editId="4D2D7469">
                <wp:extent cx="5731510" cy="1270"/>
                <wp:effectExtent l="0" t="33655" r="0" b="38735"/>
                <wp:docPr id="17781129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442EC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2260777" w14:textId="5C9B33F3" w:rsidR="00E60E3A" w:rsidRPr="00FF303D" w:rsidRDefault="00E60E3A" w:rsidP="00BD540B">
      <w:pPr>
        <w:spacing w:before="100" w:beforeAutospacing="1" w:after="100" w:afterAutospacing="1" w:line="360" w:lineRule="auto"/>
        <w:outlineLvl w:val="1"/>
        <w:rPr>
          <w:rFonts w:ascii="Arial" w:hAnsi="Arial" w:cs="Arial"/>
          <w:b/>
          <w:bCs/>
          <w:kern w:val="0"/>
          <w:sz w:val="22"/>
          <w:szCs w:val="22"/>
          <w:u w:val="single"/>
          <w14:ligatures w14:val="none"/>
        </w:rPr>
      </w:pPr>
      <w:r w:rsidRPr="00FF303D">
        <w:rPr>
          <w:rFonts w:ascii="Arial" w:eastAsia="Times New Roman" w:hAnsi="Arial" w:cs="Arial"/>
          <w:b/>
          <w:bCs/>
          <w:kern w:val="0"/>
          <w:sz w:val="22"/>
          <w:szCs w:val="22"/>
          <w:u w:val="single"/>
          <w14:ligatures w14:val="none"/>
        </w:rPr>
        <w:t>Results</w:t>
      </w:r>
    </w:p>
    <w:p w14:paraId="27F92039"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B55E2D5" w14:textId="5BE0DD6B" w:rsidR="00E60E3A" w:rsidRPr="00FF303D"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FF303D">
        <w:rPr>
          <w:rFonts w:ascii="Arial" w:eastAsia="Times New Roman" w:hAnsi="Arial" w:cs="Arial"/>
          <w:b/>
          <w:bCs/>
          <w:kern w:val="0"/>
          <w:sz w:val="22"/>
          <w:szCs w:val="22"/>
          <w:u w:val="single"/>
          <w14:ligatures w14:val="none"/>
        </w:rPr>
        <w:t>Overview of Included Studies</w:t>
      </w:r>
    </w:p>
    <w:p w14:paraId="48EBBABA"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p>
    <w:p w14:paraId="16675800" w14:textId="77777777" w:rsidR="00E60E3A" w:rsidRPr="00AA462B" w:rsidRDefault="00E60E3A"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Five peer-reviewed studies were selected for detailed review. These studies represent a mixture of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mobile health applications, and wearable technologies implemented in UK contexts to support older adults with LTCs.</w:t>
      </w:r>
    </w:p>
    <w:p w14:paraId="15A7B718" w14:textId="77777777" w:rsidR="00E60E3A" w:rsidRPr="00AA462B" w:rsidRDefault="00E60E3A" w:rsidP="00BD540B">
      <w:pPr>
        <w:spacing w:after="0" w:line="360" w:lineRule="auto"/>
        <w:rPr>
          <w:rFonts w:ascii="Arial" w:eastAsia="Times New Roman" w:hAnsi="Arial" w:cs="Arial"/>
          <w:kern w:val="0"/>
          <w:sz w:val="22"/>
          <w:szCs w:val="22"/>
          <w14:ligatures w14:val="none"/>
        </w:rPr>
      </w:pPr>
      <w:r w:rsidRPr="00AA462B">
        <w:rPr>
          <w:rFonts w:ascii="Arial" w:eastAsia="Times New Roman" w:hAnsi="Arial" w:cs="Arial"/>
          <w:noProof/>
          <w:kern w:val="0"/>
          <w:sz w:val="22"/>
          <w:szCs w:val="22"/>
          <w14:ligatures w14:val="none"/>
        </w:rPr>
        <mc:AlternateContent>
          <mc:Choice Requires="wps">
            <w:drawing>
              <wp:inline distT="0" distB="0" distL="0" distR="0" wp14:anchorId="63D7C97E" wp14:editId="6859CF72">
                <wp:extent cx="5731510" cy="1270"/>
                <wp:effectExtent l="0" t="33655" r="0" b="38735"/>
                <wp:docPr id="56388534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D075F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E27C4F2" w14:textId="77777777" w:rsidR="00E60E3A" w:rsidRPr="00FF303D" w:rsidRDefault="00E60E3A"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FF303D">
        <w:rPr>
          <w:rFonts w:ascii="Arial" w:eastAsia="Times New Roman" w:hAnsi="Arial" w:cs="Arial"/>
          <w:b/>
          <w:bCs/>
          <w:kern w:val="0"/>
          <w:sz w:val="22"/>
          <w:szCs w:val="22"/>
          <w:u w:val="single"/>
          <w14:ligatures w14:val="none"/>
        </w:rPr>
        <w:t>Table 1: Summary of Included Studies</w:t>
      </w:r>
    </w:p>
    <w:tbl>
      <w:tblPr>
        <w:tblStyle w:val="TableGrid"/>
        <w:tblW w:w="0" w:type="auto"/>
        <w:tblLook w:val="04A0" w:firstRow="1" w:lastRow="0" w:firstColumn="1" w:lastColumn="0" w:noHBand="0" w:noVBand="1"/>
      </w:tblPr>
      <w:tblGrid>
        <w:gridCol w:w="1489"/>
        <w:gridCol w:w="1565"/>
        <w:gridCol w:w="1880"/>
        <w:gridCol w:w="1583"/>
        <w:gridCol w:w="2499"/>
      </w:tblGrid>
      <w:tr w:rsidR="00B279B0" w:rsidRPr="00AA462B" w14:paraId="62253239" w14:textId="77777777" w:rsidTr="00143F9D">
        <w:tc>
          <w:tcPr>
            <w:tcW w:w="0" w:type="auto"/>
            <w:hideMark/>
          </w:tcPr>
          <w:p w14:paraId="2F95BE19"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Author(s) &amp; Year</w:t>
            </w:r>
          </w:p>
        </w:tc>
        <w:tc>
          <w:tcPr>
            <w:tcW w:w="0" w:type="auto"/>
            <w:hideMark/>
          </w:tcPr>
          <w:p w14:paraId="1EAAA0B9"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Study Design &amp; Sample</w:t>
            </w:r>
          </w:p>
        </w:tc>
        <w:tc>
          <w:tcPr>
            <w:tcW w:w="0" w:type="auto"/>
            <w:hideMark/>
          </w:tcPr>
          <w:p w14:paraId="12E4924E"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Digital Intervention</w:t>
            </w:r>
          </w:p>
        </w:tc>
        <w:tc>
          <w:tcPr>
            <w:tcW w:w="0" w:type="auto"/>
            <w:hideMark/>
          </w:tcPr>
          <w:p w14:paraId="65CD7D8B"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Target Condition(s)</w:t>
            </w:r>
          </w:p>
        </w:tc>
        <w:tc>
          <w:tcPr>
            <w:tcW w:w="0" w:type="auto"/>
            <w:hideMark/>
          </w:tcPr>
          <w:p w14:paraId="17563B14" w14:textId="77777777" w:rsidR="00B279B0" w:rsidRPr="00AA462B" w:rsidRDefault="00B279B0" w:rsidP="00BD540B">
            <w:pPr>
              <w:spacing w:before="100" w:beforeAutospacing="1" w:after="100" w:afterAutospacing="1" w:line="360" w:lineRule="auto"/>
              <w:jc w:val="center"/>
              <w:rPr>
                <w:rFonts w:ascii="Arial" w:hAnsi="Arial" w:cs="Arial"/>
                <w:b/>
                <w:bCs/>
                <w:kern w:val="0"/>
                <w:sz w:val="22"/>
                <w:szCs w:val="22"/>
                <w14:ligatures w14:val="none"/>
              </w:rPr>
            </w:pPr>
            <w:r w:rsidRPr="00AA462B">
              <w:rPr>
                <w:rFonts w:ascii="Arial" w:hAnsi="Arial" w:cs="Arial"/>
                <w:b/>
                <w:bCs/>
                <w:kern w:val="0"/>
                <w:sz w:val="22"/>
                <w:szCs w:val="22"/>
                <w14:ligatures w14:val="none"/>
              </w:rPr>
              <w:t>Key Findings</w:t>
            </w:r>
          </w:p>
        </w:tc>
      </w:tr>
      <w:tr w:rsidR="00B279B0" w:rsidRPr="00AA462B" w14:paraId="2268D5C8" w14:textId="77777777" w:rsidTr="00143F9D">
        <w:tc>
          <w:tcPr>
            <w:tcW w:w="0" w:type="auto"/>
            <w:hideMark/>
          </w:tcPr>
          <w:p w14:paraId="4804AB3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proofErr w:type="spellStart"/>
            <w:r w:rsidRPr="00AA462B">
              <w:rPr>
                <w:rFonts w:ascii="Arial" w:hAnsi="Arial" w:cs="Arial"/>
                <w:kern w:val="0"/>
                <w:sz w:val="22"/>
                <w:szCs w:val="22"/>
                <w14:ligatures w14:val="none"/>
              </w:rPr>
              <w:t>Greenhalgh</w:t>
            </w:r>
            <w:proofErr w:type="spellEnd"/>
            <w:r w:rsidRPr="00AA462B">
              <w:rPr>
                <w:rFonts w:ascii="Arial" w:hAnsi="Arial" w:cs="Arial"/>
                <w:kern w:val="0"/>
                <w:sz w:val="22"/>
                <w:szCs w:val="22"/>
                <w14:ligatures w14:val="none"/>
              </w:rPr>
              <w:t xml:space="preserve"> et al. (2022)</w:t>
            </w:r>
          </w:p>
        </w:tc>
        <w:tc>
          <w:tcPr>
            <w:tcW w:w="0" w:type="auto"/>
            <w:hideMark/>
          </w:tcPr>
          <w:p w14:paraId="762A50FF"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Qualitative study (n=35 older adults, UK)</w:t>
            </w:r>
          </w:p>
        </w:tc>
        <w:tc>
          <w:tcPr>
            <w:tcW w:w="0" w:type="auto"/>
            <w:hideMark/>
          </w:tcPr>
          <w:p w14:paraId="507240EB"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Telehealth monitoring system for remote consultations and chronic disease follow-up</w:t>
            </w:r>
          </w:p>
        </w:tc>
        <w:tc>
          <w:tcPr>
            <w:tcW w:w="0" w:type="auto"/>
            <w:hideMark/>
          </w:tcPr>
          <w:p w14:paraId="4A3161F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COPD, heart failure</w:t>
            </w:r>
          </w:p>
        </w:tc>
        <w:tc>
          <w:tcPr>
            <w:tcW w:w="0" w:type="auto"/>
            <w:hideMark/>
          </w:tcPr>
          <w:p w14:paraId="63893951"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Improved access to healthcare and self-efficacy; challenges included digital exclusion and lack of trust in technology.</w:t>
            </w:r>
          </w:p>
        </w:tc>
      </w:tr>
      <w:tr w:rsidR="00B279B0" w:rsidRPr="00AA462B" w14:paraId="4AA37A19" w14:textId="77777777" w:rsidTr="00143F9D">
        <w:tc>
          <w:tcPr>
            <w:tcW w:w="0" w:type="auto"/>
            <w:hideMark/>
          </w:tcPr>
          <w:p w14:paraId="2ADE2F13"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Walker, Whittaker &amp; Harries (2022)</w:t>
            </w:r>
          </w:p>
        </w:tc>
        <w:tc>
          <w:tcPr>
            <w:tcW w:w="0" w:type="auto"/>
            <w:hideMark/>
          </w:tcPr>
          <w:p w14:paraId="28C0C871"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Systematic review (15 UK studies)</w:t>
            </w:r>
          </w:p>
        </w:tc>
        <w:tc>
          <w:tcPr>
            <w:tcW w:w="0" w:type="auto"/>
            <w:hideMark/>
          </w:tcPr>
          <w:p w14:paraId="06D6570B"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Mixed digital tools – apps, </w:t>
            </w:r>
            <w:proofErr w:type="spellStart"/>
            <w:r w:rsidRPr="00AA462B">
              <w:rPr>
                <w:rFonts w:ascii="Arial" w:hAnsi="Arial" w:cs="Arial"/>
                <w:kern w:val="0"/>
                <w:sz w:val="22"/>
                <w:szCs w:val="22"/>
                <w14:ligatures w14:val="none"/>
              </w:rPr>
              <w:t>telehealth</w:t>
            </w:r>
            <w:proofErr w:type="spellEnd"/>
            <w:r w:rsidRPr="00AA462B">
              <w:rPr>
                <w:rFonts w:ascii="Arial" w:hAnsi="Arial" w:cs="Arial"/>
                <w:kern w:val="0"/>
                <w:sz w:val="22"/>
                <w:szCs w:val="22"/>
                <w14:ligatures w14:val="none"/>
              </w:rPr>
              <w:t>, and wearables</w:t>
            </w:r>
          </w:p>
        </w:tc>
        <w:tc>
          <w:tcPr>
            <w:tcW w:w="0" w:type="auto"/>
            <w:hideMark/>
          </w:tcPr>
          <w:p w14:paraId="67D5F91E"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Multiple LTCs</w:t>
            </w:r>
          </w:p>
        </w:tc>
        <w:tc>
          <w:tcPr>
            <w:tcW w:w="0" w:type="auto"/>
            <w:hideMark/>
          </w:tcPr>
          <w:p w14:paraId="16C2CF9D" w14:textId="60C4A7EB"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Demonstrated improvements in medication adherence, symptom monitoring, and communication between patients and providers. Barriers: usability and digital literacy.</w:t>
            </w:r>
          </w:p>
        </w:tc>
      </w:tr>
      <w:tr w:rsidR="00B279B0" w:rsidRPr="00AA462B" w14:paraId="50BC9430" w14:textId="77777777" w:rsidTr="00143F9D">
        <w:tc>
          <w:tcPr>
            <w:tcW w:w="0" w:type="auto"/>
            <w:hideMark/>
          </w:tcPr>
          <w:p w14:paraId="7C8FF688"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Mann et al. (2022)</w:t>
            </w:r>
          </w:p>
        </w:tc>
        <w:tc>
          <w:tcPr>
            <w:tcW w:w="0" w:type="auto"/>
            <w:hideMark/>
          </w:tcPr>
          <w:p w14:paraId="39F1BD5D"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Quantitative cohort study (n=420)</w:t>
            </w:r>
          </w:p>
        </w:tc>
        <w:tc>
          <w:tcPr>
            <w:tcW w:w="0" w:type="auto"/>
            <w:hideMark/>
          </w:tcPr>
          <w:p w14:paraId="09FA594D"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Remote monitoring via wearable sensors (blood pressure and glucose)</w:t>
            </w:r>
          </w:p>
        </w:tc>
        <w:tc>
          <w:tcPr>
            <w:tcW w:w="0" w:type="auto"/>
            <w:hideMark/>
          </w:tcPr>
          <w:p w14:paraId="6440A182"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Diabetes, hypertension</w:t>
            </w:r>
          </w:p>
        </w:tc>
        <w:tc>
          <w:tcPr>
            <w:tcW w:w="0" w:type="auto"/>
            <w:hideMark/>
          </w:tcPr>
          <w:p w14:paraId="1E80DD75" w14:textId="030B5CD6"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Reported significant reductions in unplanned hospital admissions; participants valued autonomy and real-time feedback.</w:t>
            </w:r>
          </w:p>
        </w:tc>
      </w:tr>
      <w:tr w:rsidR="00B279B0" w:rsidRPr="00AA462B" w14:paraId="5C69BE00" w14:textId="77777777" w:rsidTr="00143F9D">
        <w:tc>
          <w:tcPr>
            <w:tcW w:w="0" w:type="auto"/>
            <w:hideMark/>
          </w:tcPr>
          <w:p w14:paraId="6D8DE89A"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 xml:space="preserve">Seifert, Cotten &amp; </w:t>
            </w:r>
            <w:proofErr w:type="spellStart"/>
            <w:r w:rsidRPr="00AA462B">
              <w:rPr>
                <w:rFonts w:ascii="Arial" w:hAnsi="Arial" w:cs="Arial"/>
                <w:kern w:val="0"/>
                <w:sz w:val="22"/>
                <w:szCs w:val="22"/>
                <w14:ligatures w14:val="none"/>
              </w:rPr>
              <w:t>Xie</w:t>
            </w:r>
            <w:proofErr w:type="spellEnd"/>
            <w:r w:rsidRPr="00AA462B">
              <w:rPr>
                <w:rFonts w:ascii="Arial" w:hAnsi="Arial" w:cs="Arial"/>
                <w:kern w:val="0"/>
                <w:sz w:val="22"/>
                <w:szCs w:val="22"/>
                <w14:ligatures w14:val="none"/>
              </w:rPr>
              <w:t xml:space="preserve"> (2021)</w:t>
            </w:r>
          </w:p>
        </w:tc>
        <w:tc>
          <w:tcPr>
            <w:tcW w:w="0" w:type="auto"/>
            <w:hideMark/>
          </w:tcPr>
          <w:p w14:paraId="78213CC0"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Mixed-methods (n=200 UK participants)</w:t>
            </w:r>
          </w:p>
        </w:tc>
        <w:tc>
          <w:tcPr>
            <w:tcW w:w="0" w:type="auto"/>
            <w:hideMark/>
          </w:tcPr>
          <w:p w14:paraId="2E2485AA"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mHealth app and online peer-support platform</w:t>
            </w:r>
          </w:p>
        </w:tc>
        <w:tc>
          <w:tcPr>
            <w:tcW w:w="0" w:type="auto"/>
            <w:hideMark/>
          </w:tcPr>
          <w:p w14:paraId="4A28A499"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General LTC management</w:t>
            </w:r>
          </w:p>
        </w:tc>
        <w:tc>
          <w:tcPr>
            <w:tcW w:w="0" w:type="auto"/>
            <w:hideMark/>
          </w:tcPr>
          <w:p w14:paraId="143F5342"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Enhanced social connectedness and confidence; however, anxiety and mistrust toward data sharing were evident.</w:t>
            </w:r>
          </w:p>
        </w:tc>
      </w:tr>
      <w:tr w:rsidR="00B279B0" w:rsidRPr="00AA462B" w14:paraId="1CAC60A6" w14:textId="77777777" w:rsidTr="00143F9D">
        <w:tc>
          <w:tcPr>
            <w:tcW w:w="0" w:type="auto"/>
            <w:hideMark/>
          </w:tcPr>
          <w:p w14:paraId="5FAAFA96"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proofErr w:type="spellStart"/>
            <w:r w:rsidRPr="00AA462B">
              <w:rPr>
                <w:rFonts w:ascii="Arial" w:hAnsi="Arial" w:cs="Arial"/>
                <w:kern w:val="0"/>
                <w:sz w:val="22"/>
                <w:szCs w:val="22"/>
                <w14:ligatures w14:val="none"/>
              </w:rPr>
              <w:t>Czaja</w:t>
            </w:r>
            <w:proofErr w:type="spellEnd"/>
            <w:r w:rsidRPr="00AA462B">
              <w:rPr>
                <w:rFonts w:ascii="Arial" w:hAnsi="Arial" w:cs="Arial"/>
                <w:kern w:val="0"/>
                <w:sz w:val="22"/>
                <w:szCs w:val="22"/>
                <w14:ligatures w14:val="none"/>
              </w:rPr>
              <w:t xml:space="preserve"> et al. (2021)</w:t>
            </w:r>
          </w:p>
        </w:tc>
        <w:tc>
          <w:tcPr>
            <w:tcW w:w="0" w:type="auto"/>
            <w:hideMark/>
          </w:tcPr>
          <w:p w14:paraId="3D5C3E9C"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Intervention trial (n=120)</w:t>
            </w:r>
          </w:p>
        </w:tc>
        <w:tc>
          <w:tcPr>
            <w:tcW w:w="0" w:type="auto"/>
            <w:hideMark/>
          </w:tcPr>
          <w:p w14:paraId="16DAB2A7"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Smartphone-based health management app tailored for older users</w:t>
            </w:r>
          </w:p>
        </w:tc>
        <w:tc>
          <w:tcPr>
            <w:tcW w:w="0" w:type="auto"/>
            <w:hideMark/>
          </w:tcPr>
          <w:p w14:paraId="5F046B2F"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Multiple LTCs</w:t>
            </w:r>
          </w:p>
        </w:tc>
        <w:tc>
          <w:tcPr>
            <w:tcW w:w="0" w:type="auto"/>
            <w:hideMark/>
          </w:tcPr>
          <w:p w14:paraId="4790E4F5" w14:textId="77777777" w:rsidR="00B279B0" w:rsidRPr="00AA462B" w:rsidRDefault="00B279B0" w:rsidP="00BD540B">
            <w:pPr>
              <w:spacing w:before="100" w:beforeAutospacing="1" w:after="100" w:afterAutospacing="1" w:line="360" w:lineRule="auto"/>
              <w:rPr>
                <w:rFonts w:ascii="Arial" w:hAnsi="Arial" w:cs="Arial"/>
                <w:kern w:val="0"/>
                <w:sz w:val="22"/>
                <w:szCs w:val="22"/>
                <w14:ligatures w14:val="none"/>
              </w:rPr>
            </w:pPr>
            <w:r w:rsidRPr="00AA462B">
              <w:rPr>
                <w:rFonts w:ascii="Arial" w:hAnsi="Arial" w:cs="Arial"/>
                <w:kern w:val="0"/>
                <w:sz w:val="22"/>
                <w:szCs w:val="22"/>
                <w14:ligatures w14:val="none"/>
              </w:rPr>
              <w:t>Improved health literacy, daily adherence, and user satisfaction. Training and design simplicity were key success factors.</w:t>
            </w:r>
          </w:p>
        </w:tc>
      </w:tr>
    </w:tbl>
    <w:p w14:paraId="5FA2D80C" w14:textId="77777777" w:rsidR="00E60E3A" w:rsidRPr="00AA462B" w:rsidRDefault="00E60E3A" w:rsidP="00BD540B">
      <w:pPr>
        <w:spacing w:before="100" w:beforeAutospacing="1" w:after="100" w:afterAutospacing="1" w:line="360" w:lineRule="auto"/>
        <w:outlineLvl w:val="2"/>
        <w:rPr>
          <w:rFonts w:ascii="Arial" w:hAnsi="Arial" w:cs="Arial"/>
          <w:b/>
          <w:bCs/>
          <w:kern w:val="0"/>
          <w:sz w:val="22"/>
          <w:szCs w:val="22"/>
          <w14:ligatures w14:val="none"/>
        </w:rPr>
      </w:pPr>
    </w:p>
    <w:p w14:paraId="4E425A8A" w14:textId="47F34D14" w:rsidR="00F90865" w:rsidRPr="00FF303D" w:rsidRDefault="00F90865"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FF303D">
        <w:rPr>
          <w:rFonts w:ascii="Arial" w:eastAsia="Times New Roman" w:hAnsi="Arial" w:cs="Arial"/>
          <w:b/>
          <w:bCs/>
          <w:kern w:val="0"/>
          <w:sz w:val="22"/>
          <w:szCs w:val="22"/>
          <w:u w:val="single"/>
          <w14:ligatures w14:val="none"/>
        </w:rPr>
        <w:t>Thematic Findings</w:t>
      </w:r>
    </w:p>
    <w:p w14:paraId="62982C7C" w14:textId="77777777" w:rsidR="00F90865" w:rsidRPr="00F90865" w:rsidRDefault="00F90865" w:rsidP="00BD540B">
      <w:pPr>
        <w:spacing w:before="100" w:beforeAutospacing="1" w:after="100" w:afterAutospacing="1" w:line="360" w:lineRule="auto"/>
        <w:rPr>
          <w:rFonts w:ascii="Arial" w:hAnsi="Arial" w:cs="Arial"/>
          <w:kern w:val="0"/>
          <w:sz w:val="22"/>
          <w:szCs w:val="22"/>
          <w14:ligatures w14:val="none"/>
        </w:rPr>
      </w:pPr>
    </w:p>
    <w:p w14:paraId="02EF6E69" w14:textId="77777777" w:rsidR="00F90865" w:rsidRPr="00F90865" w:rsidRDefault="00F90865" w:rsidP="00BD540B">
      <w:p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From the synthesis of the above studies, four key themes emerged:</w:t>
      </w:r>
    </w:p>
    <w:p w14:paraId="366B720F"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Empowerment and Self-Management:</w:t>
      </w:r>
    </w:p>
    <w:p w14:paraId="530380F8"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Digital tools enhance autonomy by enabling older adults to track symptoms, monitor progress, and access personalised health information.</w:t>
      </w:r>
    </w:p>
    <w:p w14:paraId="48777A91"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Accessibility and Communication:</w:t>
      </w:r>
    </w:p>
    <w:p w14:paraId="2AA5E9AA"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proofErr w:type="spellStart"/>
      <w:r w:rsidRPr="00F90865">
        <w:rPr>
          <w:rFonts w:ascii="Arial" w:hAnsi="Arial" w:cs="Arial"/>
          <w:kern w:val="0"/>
          <w:sz w:val="22"/>
          <w:szCs w:val="22"/>
          <w14:ligatures w14:val="none"/>
        </w:rPr>
        <w:t>Teleconsultations</w:t>
      </w:r>
      <w:proofErr w:type="spellEnd"/>
      <w:r w:rsidRPr="00F90865">
        <w:rPr>
          <w:rFonts w:ascii="Arial" w:hAnsi="Arial" w:cs="Arial"/>
          <w:kern w:val="0"/>
          <w:sz w:val="22"/>
          <w:szCs w:val="22"/>
          <w14:ligatures w14:val="none"/>
        </w:rPr>
        <w:t xml:space="preserve"> and mobile tools improve contact with healthcare professionals, particularly for those with mobility limitations or living in rural areas.</w:t>
      </w:r>
    </w:p>
    <w:p w14:paraId="3A01E232"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Barriers and Digital Literacy:</w:t>
      </w:r>
    </w:p>
    <w:p w14:paraId="754F5DEB"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Low confidence, fear of error, and limited internet access hinder effective use, especially among socially disadvantaged groups.</w:t>
      </w:r>
    </w:p>
    <w:p w14:paraId="00D304B3" w14:textId="77777777" w:rsidR="00F90865" w:rsidRPr="00F90865" w:rsidRDefault="00F90865" w:rsidP="00BD540B">
      <w:pPr>
        <w:numPr>
          <w:ilvl w:val="0"/>
          <w:numId w:val="7"/>
        </w:numPr>
        <w:spacing w:before="100" w:beforeAutospacing="1" w:after="100" w:afterAutospacing="1" w:line="360" w:lineRule="auto"/>
        <w:rPr>
          <w:rFonts w:ascii="Arial" w:hAnsi="Arial" w:cs="Arial"/>
          <w:kern w:val="0"/>
          <w:sz w:val="22"/>
          <w:szCs w:val="22"/>
          <w14:ligatures w14:val="none"/>
        </w:rPr>
      </w:pPr>
      <w:r w:rsidRPr="00F90865">
        <w:rPr>
          <w:rFonts w:ascii="Arial" w:hAnsi="Arial" w:cs="Arial"/>
          <w:kern w:val="0"/>
          <w:sz w:val="22"/>
          <w:szCs w:val="22"/>
          <w14:ligatures w14:val="none"/>
        </w:rPr>
        <w:t>Equity and Inclusion:</w:t>
      </w:r>
    </w:p>
    <w:p w14:paraId="3A67F1F6" w14:textId="77777777" w:rsidR="00F90865" w:rsidRPr="00F90865" w:rsidRDefault="00F90865" w:rsidP="00BD540B">
      <w:pPr>
        <w:spacing w:before="100" w:beforeAutospacing="1" w:after="100" w:afterAutospacing="1" w:line="360" w:lineRule="auto"/>
        <w:ind w:left="720"/>
        <w:rPr>
          <w:rFonts w:ascii="Arial" w:hAnsi="Arial" w:cs="Arial"/>
          <w:kern w:val="0"/>
          <w:sz w:val="22"/>
          <w:szCs w:val="22"/>
          <w14:ligatures w14:val="none"/>
        </w:rPr>
      </w:pPr>
      <w:r w:rsidRPr="00F90865">
        <w:rPr>
          <w:rFonts w:ascii="Arial" w:hAnsi="Arial" w:cs="Arial"/>
          <w:kern w:val="0"/>
          <w:sz w:val="22"/>
          <w:szCs w:val="22"/>
          <w14:ligatures w14:val="none"/>
        </w:rPr>
        <w:t>Digital exclusion persists among certain populations; inclusive design, training, and social support are essential for equitable outcomes.</w:t>
      </w:r>
    </w:p>
    <w:p w14:paraId="3E3CFA92" w14:textId="77777777" w:rsidR="00E60E3A" w:rsidRPr="00AA462B" w:rsidRDefault="00E60E3A" w:rsidP="00BD540B">
      <w:pPr>
        <w:spacing w:line="360" w:lineRule="auto"/>
        <w:rPr>
          <w:rFonts w:ascii="Arial" w:hAnsi="Arial" w:cs="Arial"/>
          <w:sz w:val="22"/>
          <w:szCs w:val="22"/>
        </w:rPr>
      </w:pPr>
    </w:p>
    <w:p w14:paraId="0C081531" w14:textId="07E571B8" w:rsidR="009C49CE" w:rsidRPr="005C0AB5" w:rsidRDefault="009C49CE" w:rsidP="00BD540B">
      <w:pPr>
        <w:spacing w:before="100" w:beforeAutospacing="1" w:after="100" w:afterAutospacing="1" w:line="360" w:lineRule="auto"/>
        <w:outlineLvl w:val="1"/>
        <w:rPr>
          <w:rFonts w:ascii="Arial" w:eastAsia="Times New Roman" w:hAnsi="Arial" w:cs="Arial"/>
          <w:b/>
          <w:bCs/>
          <w:kern w:val="0"/>
          <w:sz w:val="22"/>
          <w:szCs w:val="22"/>
          <w:u w:val="single"/>
          <w14:ligatures w14:val="none"/>
        </w:rPr>
      </w:pPr>
      <w:r w:rsidRPr="005C0AB5">
        <w:rPr>
          <w:rFonts w:ascii="Arial" w:eastAsia="Times New Roman" w:hAnsi="Arial" w:cs="Arial"/>
          <w:b/>
          <w:bCs/>
          <w:kern w:val="0"/>
          <w:sz w:val="22"/>
          <w:szCs w:val="22"/>
          <w:u w:val="single"/>
          <w14:ligatures w14:val="none"/>
        </w:rPr>
        <w:t>Discussion</w:t>
      </w:r>
    </w:p>
    <w:p w14:paraId="2D21A649"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EF512CD" w14:textId="576CE6F7" w:rsidR="009C49CE" w:rsidRPr="005C0AB5" w:rsidRDefault="009C49CE"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5C0AB5">
        <w:rPr>
          <w:rFonts w:ascii="Arial" w:eastAsia="Times New Roman" w:hAnsi="Arial" w:cs="Arial"/>
          <w:b/>
          <w:bCs/>
          <w:kern w:val="0"/>
          <w:sz w:val="22"/>
          <w:szCs w:val="22"/>
          <w:u w:val="single"/>
          <w14:ligatures w14:val="none"/>
        </w:rPr>
        <w:t>Overview</w:t>
      </w:r>
    </w:p>
    <w:p w14:paraId="1ADF40B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1C18BEA"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This scoping review explored how digital health tools — including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mobile health apps, and wearable technologies — support older adults with long-term conditions (LTCs) in the United Kingdom. The findings show that digital health interventions can improve access, self-management, and communication while also highlighting challenges such as digital literacy gaps, technology acceptance, and inequality in access.</w:t>
      </w:r>
    </w:p>
    <w:p w14:paraId="792139AA"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AAE2EA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These results align with previous evidence suggesting that digital health solutions can enhance independence, reduce healthcare burden, and promote patient empowerment when effectively implemented (NHS Digital, 2023; </w:t>
      </w:r>
      <w:proofErr w:type="spellStart"/>
      <w:r w:rsidRPr="009C49CE">
        <w:rPr>
          <w:rFonts w:ascii="Arial" w:hAnsi="Arial" w:cs="Arial"/>
          <w:kern w:val="0"/>
          <w:sz w:val="22"/>
          <w:szCs w:val="22"/>
          <w14:ligatures w14:val="none"/>
        </w:rPr>
        <w:t>Greenhalgh</w:t>
      </w:r>
      <w:proofErr w:type="spellEnd"/>
      <w:r w:rsidRPr="009C49CE">
        <w:rPr>
          <w:rFonts w:ascii="Arial" w:hAnsi="Arial" w:cs="Arial"/>
          <w:kern w:val="0"/>
          <w:sz w:val="22"/>
          <w:szCs w:val="22"/>
          <w14:ligatures w14:val="none"/>
        </w:rPr>
        <w:t xml:space="preserve"> et al., 2022).</w:t>
      </w:r>
    </w:p>
    <w:p w14:paraId="5740FC8F"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5FC129A9" wp14:editId="10681B3A">
                <wp:extent cx="5731510" cy="1270"/>
                <wp:effectExtent l="0" t="31750" r="0" b="36830"/>
                <wp:docPr id="2058680552"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47D02C1"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325DAC1" w14:textId="58ABF1ED" w:rsidR="009C49CE" w:rsidRPr="005C0AB5"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5C0AB5">
        <w:rPr>
          <w:rFonts w:ascii="Arial" w:eastAsia="Times New Roman" w:hAnsi="Arial" w:cs="Arial"/>
          <w:b/>
          <w:bCs/>
          <w:kern w:val="0"/>
          <w:sz w:val="22"/>
          <w:szCs w:val="22"/>
          <w:u w:val="single"/>
          <w14:ligatures w14:val="none"/>
        </w:rPr>
        <w:t>Empowerment and Self-Management</w:t>
      </w:r>
    </w:p>
    <w:p w14:paraId="0E46120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312E7062"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Across all reviewed studies, digital tools enabled older adults to play a more active role in managing their health. For example, </w:t>
      </w:r>
      <w:proofErr w:type="spellStart"/>
      <w:r w:rsidRPr="009C49CE">
        <w:rPr>
          <w:rFonts w:ascii="Arial" w:hAnsi="Arial" w:cs="Arial"/>
          <w:kern w:val="0"/>
          <w:sz w:val="22"/>
          <w:szCs w:val="22"/>
          <w14:ligatures w14:val="none"/>
        </w:rPr>
        <w:t>Czaja</w:t>
      </w:r>
      <w:proofErr w:type="spellEnd"/>
      <w:r w:rsidRPr="009C49CE">
        <w:rPr>
          <w:rFonts w:ascii="Arial" w:hAnsi="Arial" w:cs="Arial"/>
          <w:kern w:val="0"/>
          <w:sz w:val="22"/>
          <w:szCs w:val="22"/>
          <w14:ligatures w14:val="none"/>
        </w:rPr>
        <w:t xml:space="preserve"> et al. (2021) found that smartphone apps encouraged older users to monitor medication, record symptoms, and maintain healthy routines. Similarly, Mann et al. (2022) showed that remote monitoring via wearables reduced hospital admissions among patients with diabetes and hypertension by giving real-time feedback.</w:t>
      </w:r>
    </w:p>
    <w:p w14:paraId="5D9A3146"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F6123D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These findings support the Self-Determination Theory (Deci &amp; Ryan, 1985), which states that autonomy and competence are key to motivation and behaviour change. In this context, digital health tools help older adults gain confidence and control over their care, especially when tools are simple, tailored, and accessible.</w:t>
      </w:r>
    </w:p>
    <w:p w14:paraId="4CA7FD84"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3B57CB4"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However, empowerment depends on adequate digital literacy and trust in technology. Some participants felt anxious using apps due to privacy concerns or lack of confidence (Seifert et al., 2021). This suggests that training and ongoing support are vital to ensure that older adults can benefit fully from digital interventions.</w:t>
      </w:r>
    </w:p>
    <w:p w14:paraId="447DF7BB"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4E949F4" wp14:editId="04C6CCDE">
                <wp:extent cx="5731510" cy="1270"/>
                <wp:effectExtent l="0" t="31750" r="0" b="36830"/>
                <wp:docPr id="65199338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F6AA1F0"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95A1D1" w14:textId="4F8FBF55" w:rsidR="009C49CE" w:rsidRPr="005C0AB5"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5C0AB5">
        <w:rPr>
          <w:rFonts w:ascii="Arial" w:eastAsia="Times New Roman" w:hAnsi="Arial" w:cs="Arial"/>
          <w:b/>
          <w:bCs/>
          <w:kern w:val="0"/>
          <w:sz w:val="22"/>
          <w:szCs w:val="22"/>
          <w:u w:val="single"/>
          <w14:ligatures w14:val="none"/>
        </w:rPr>
        <w:t>Accessibility and Communication</w:t>
      </w:r>
    </w:p>
    <w:p w14:paraId="1A6DA37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B24220E"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The studies indicated that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xml:space="preserve"> and digital platforms improve communication between service users and healthcare professionals. </w:t>
      </w:r>
      <w:proofErr w:type="spellStart"/>
      <w:r w:rsidRPr="009C49CE">
        <w:rPr>
          <w:rFonts w:ascii="Arial" w:hAnsi="Arial" w:cs="Arial"/>
          <w:kern w:val="0"/>
          <w:sz w:val="22"/>
          <w:szCs w:val="22"/>
          <w14:ligatures w14:val="none"/>
        </w:rPr>
        <w:t>Greenhalgh</w:t>
      </w:r>
      <w:proofErr w:type="spellEnd"/>
      <w:r w:rsidRPr="009C49CE">
        <w:rPr>
          <w:rFonts w:ascii="Arial" w:hAnsi="Arial" w:cs="Arial"/>
          <w:kern w:val="0"/>
          <w:sz w:val="22"/>
          <w:szCs w:val="22"/>
          <w14:ligatures w14:val="none"/>
        </w:rPr>
        <w:t xml:space="preserve"> et al. (2022) found that video consultations allowed older adults to access advice quickly, especially those living alone or in rural areas. This aligns with NHS Long Term Plan (2019) aims to use digital technology to reduce unnecessary hospital visits and improve care coordination.</w:t>
      </w:r>
    </w:p>
    <w:p w14:paraId="343B648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58C690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However, accessibility issues persist. Some participants lacked reliable internet access or appropriate devices, leading to exclusion from digital services. This reflects wider inequalities identified in the UK Digital Inclusion Strategy (Cabinet Office, 2022). For digital health to be effective, interventions must be inclusive, user-friendly, and affordable.</w:t>
      </w:r>
    </w:p>
    <w:p w14:paraId="56A63784"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59AE0F1A" wp14:editId="058649F7">
                <wp:extent cx="5731510" cy="1270"/>
                <wp:effectExtent l="0" t="31750" r="0" b="36830"/>
                <wp:docPr id="117768741"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0EDBED"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AC941A" w14:textId="7EF31C40" w:rsidR="009C49CE" w:rsidRPr="005C0AB5"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5C0AB5">
        <w:rPr>
          <w:rFonts w:ascii="Arial" w:eastAsia="Times New Roman" w:hAnsi="Arial" w:cs="Arial"/>
          <w:b/>
          <w:bCs/>
          <w:kern w:val="0"/>
          <w:sz w:val="22"/>
          <w:szCs w:val="22"/>
          <w:u w:val="single"/>
          <w14:ligatures w14:val="none"/>
        </w:rPr>
        <w:t>Barriers and Digital Literacy</w:t>
      </w:r>
    </w:p>
    <w:p w14:paraId="14BA786C"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50AA8BF1"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Digital literacy — the ability to use technology safely and effectively — emerged as a major theme. Many older adults expressed uncertainty about using apps or wearables (Walker et al., 2022). Fear of technology failure, security risks, and lack of technical help were common concerns.</w:t>
      </w:r>
    </w:p>
    <w:p w14:paraId="39C78C0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375466A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The Technology Acceptance Model (Davis, 1989) explains this issue well: perceived ease of use and perceived usefulness strongly influence willingness to adopt technology. Older adults are more likely to engage with tools that are simple, trustworthy, and clearly beneficial to their health.</w:t>
      </w:r>
    </w:p>
    <w:p w14:paraId="3BF1DFC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4923362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Training sessions, community-based workshops, and peer support can help bridge this gap. For instance, Seifert et al. (2021) reported that users who received peer or family guidance were more confident and consistent in using their apps.</w:t>
      </w:r>
    </w:p>
    <w:p w14:paraId="66E153F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BD04354" wp14:editId="4FB3A2A4">
                <wp:extent cx="5731510" cy="1270"/>
                <wp:effectExtent l="0" t="31750" r="0" b="36830"/>
                <wp:docPr id="305180675"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04E2B3C"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D5F878B" w14:textId="6423E297" w:rsidR="009C49CE" w:rsidRPr="00C10691"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C10691">
        <w:rPr>
          <w:rFonts w:ascii="Arial" w:eastAsia="Times New Roman" w:hAnsi="Arial" w:cs="Arial"/>
          <w:b/>
          <w:bCs/>
          <w:kern w:val="0"/>
          <w:sz w:val="22"/>
          <w:szCs w:val="22"/>
          <w:u w:val="single"/>
          <w14:ligatures w14:val="none"/>
        </w:rPr>
        <w:t>Equity and Inclusion</w:t>
      </w:r>
    </w:p>
    <w:p w14:paraId="04DFC4A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1787F66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Equity was a recurring issue. The studies reviewed highlighted that not all older adults have equal access to digital tools due to financial limitations, disabilities, or cognitive impairments. Digital exclusion risks worsening existing health inequalities, particularly for those from low-income or minority backgrounds (Walker et al., 2022).</w:t>
      </w:r>
    </w:p>
    <w:p w14:paraId="560404E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33C58E5"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 health and social care practice, professionals must be aware of these barriers and ensure interventions are inclusive. The Care Act (2014) emphasises the duty to promote individual wellbeing and equitable access to services. Digital tools should therefore complement — not replace — face-to-face care for those who prefer traditional methods.</w:t>
      </w:r>
    </w:p>
    <w:p w14:paraId="6D2B40A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F5B287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Inclusive strategies could involve co-design with older adults, simplified user interfaces, and the provision of community-based digital support hubs such as CareConnect, which integrate digital guidance and local peer support.</w:t>
      </w:r>
    </w:p>
    <w:p w14:paraId="572D590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39733F1A" wp14:editId="154893E7">
                <wp:extent cx="5731510" cy="1270"/>
                <wp:effectExtent l="0" t="31750" r="0" b="36830"/>
                <wp:docPr id="72394710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23D3A41"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1BDCAB9" w14:textId="586CE1EB" w:rsidR="009C49CE" w:rsidRPr="00C10691"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C10691">
        <w:rPr>
          <w:rFonts w:ascii="Arial" w:eastAsia="Times New Roman" w:hAnsi="Arial" w:cs="Arial"/>
          <w:b/>
          <w:bCs/>
          <w:kern w:val="0"/>
          <w:sz w:val="22"/>
          <w:szCs w:val="22"/>
          <w:u w:val="single"/>
          <w14:ligatures w14:val="none"/>
        </w:rPr>
        <w:t>Integration with UK Policy and Practice</w:t>
      </w:r>
    </w:p>
    <w:p w14:paraId="6916D8D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C8ACFA9"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Digital transformation is a key objective of the NHS Long Term Plan (2019) and Health and Care Act (2022). Both encourage the use of digital technologies to enhance care quality and efficiency. This scoping review demonstrates that such goals are achievable when implementation considers user needs, accessibility, and equity.</w:t>
      </w:r>
    </w:p>
    <w:p w14:paraId="644D5F68"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75210E5"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For practitioners in health and social care, digital tools can support personalised care plans, monitor patient progress remotely, and reduce pressure on primary care services. However, ethical and practical considerations — such as data privacy, consent, and user capability — must always be prioritised.</w:t>
      </w:r>
    </w:p>
    <w:p w14:paraId="725EDB2F"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1C5EB506" wp14:editId="7853722E">
                <wp:extent cx="5731510" cy="1270"/>
                <wp:effectExtent l="0" t="31750" r="0" b="36830"/>
                <wp:docPr id="176771775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68D02E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C0B8A8B" w14:textId="0EE092D0" w:rsidR="009C49CE" w:rsidRPr="00C10691" w:rsidRDefault="009C49CE" w:rsidP="00BD540B">
      <w:pPr>
        <w:spacing w:before="100" w:beforeAutospacing="1" w:after="100" w:afterAutospacing="1" w:line="360" w:lineRule="auto"/>
        <w:outlineLvl w:val="1"/>
        <w:rPr>
          <w:rFonts w:ascii="Arial" w:hAnsi="Arial" w:cs="Arial"/>
          <w:b/>
          <w:bCs/>
          <w:kern w:val="0"/>
          <w:sz w:val="22"/>
          <w:szCs w:val="22"/>
          <w:u w:val="single"/>
          <w14:ligatures w14:val="none"/>
        </w:rPr>
      </w:pPr>
      <w:r w:rsidRPr="00C10691">
        <w:rPr>
          <w:rFonts w:ascii="Arial" w:eastAsia="Times New Roman" w:hAnsi="Arial" w:cs="Arial"/>
          <w:b/>
          <w:bCs/>
          <w:kern w:val="0"/>
          <w:sz w:val="22"/>
          <w:szCs w:val="22"/>
          <w:u w:val="single"/>
          <w14:ligatures w14:val="none"/>
        </w:rPr>
        <w:t>Conclusion and Recommendations</w:t>
      </w:r>
    </w:p>
    <w:p w14:paraId="21CEC2B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14101C74" w14:textId="1198D491" w:rsidR="009C49CE" w:rsidRPr="0094494B" w:rsidRDefault="009C49CE" w:rsidP="00BD540B">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Conclusion</w:t>
      </w:r>
    </w:p>
    <w:p w14:paraId="4920564C"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89B786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 xml:space="preserve">This scoping review found that digital health tools — including </w:t>
      </w:r>
      <w:proofErr w:type="spellStart"/>
      <w:r w:rsidRPr="009C49CE">
        <w:rPr>
          <w:rFonts w:ascii="Arial" w:hAnsi="Arial" w:cs="Arial"/>
          <w:kern w:val="0"/>
          <w:sz w:val="22"/>
          <w:szCs w:val="22"/>
          <w14:ligatures w14:val="none"/>
        </w:rPr>
        <w:t>telehealth</w:t>
      </w:r>
      <w:proofErr w:type="spellEnd"/>
      <w:r w:rsidRPr="009C49CE">
        <w:rPr>
          <w:rFonts w:ascii="Arial" w:hAnsi="Arial" w:cs="Arial"/>
          <w:kern w:val="0"/>
          <w:sz w:val="22"/>
          <w:szCs w:val="22"/>
          <w14:ligatures w14:val="none"/>
        </w:rPr>
        <w:t>, mobile health apps, and wearables — have significant potential to support older adults with long-term conditions in the UK. They promote self-management, improve communication, and enhance quality of life.</w:t>
      </w:r>
    </w:p>
    <w:p w14:paraId="7F65E1B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02926BBB"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However, challenges such as digital literacy, trust, and accessibility must be addressed to ensure all older adults can benefit equally. The evidence suggests that while digital health can reduce isolation and improve outcomes, it should complement — not replace — traditional, person-centred care.</w:t>
      </w:r>
    </w:p>
    <w:p w14:paraId="463B847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34504819" wp14:editId="06EAA474">
                <wp:extent cx="5731510" cy="1270"/>
                <wp:effectExtent l="0" t="31750" r="0" b="36830"/>
                <wp:docPr id="1767424508"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DD35B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4562837" w14:textId="7E4E0167" w:rsidR="009C49CE" w:rsidRPr="0094494B"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Recommendations</w:t>
      </w:r>
    </w:p>
    <w:p w14:paraId="2851CC67"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51B6003" w14:textId="77777777" w:rsidR="009C49CE" w:rsidRPr="0094494B" w:rsidRDefault="009C49CE"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For Policy</w:t>
      </w:r>
    </w:p>
    <w:p w14:paraId="663F2FB3"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Strengthen national digital inclusion initiatives to ensure equal access to devices, internet, and training for older adults.</w:t>
      </w:r>
    </w:p>
    <w:p w14:paraId="2115D35A"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Promote co-design of health technologies with older users to ensure accessibility and usability.</w:t>
      </w:r>
    </w:p>
    <w:p w14:paraId="5D59D7B2" w14:textId="77777777" w:rsidR="009C49CE" w:rsidRPr="009C49CE" w:rsidRDefault="009C49CE" w:rsidP="00BD540B">
      <w:pPr>
        <w:numPr>
          <w:ilvl w:val="0"/>
          <w:numId w:val="8"/>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Integrate digital literacy support into community health programmes and social prescribing schemes.</w:t>
      </w:r>
    </w:p>
    <w:p w14:paraId="5AB4A3C0"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5EFADFA7" w14:textId="77777777" w:rsidR="009C49CE" w:rsidRPr="0094494B" w:rsidRDefault="009C49CE"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For Practice</w:t>
      </w:r>
    </w:p>
    <w:p w14:paraId="596300E1"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Provide ongoing digital training and support for older adults in GP practices, community centres, and care settings.</w:t>
      </w:r>
    </w:p>
    <w:p w14:paraId="46259134"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Ensure healthcare professionals receive training in digital communication, empathy, and ethical use of patient data.</w:t>
      </w:r>
    </w:p>
    <w:p w14:paraId="2A404D16" w14:textId="77777777" w:rsidR="009C49CE" w:rsidRPr="009C49CE" w:rsidRDefault="009C49CE" w:rsidP="00BD540B">
      <w:pPr>
        <w:numPr>
          <w:ilvl w:val="0"/>
          <w:numId w:val="9"/>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Use a blended approach — combining digital and in-person care to accommodate user preferences.</w:t>
      </w:r>
    </w:p>
    <w:p w14:paraId="7FDA0C9F"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6B23227A" w14:textId="77777777" w:rsidR="009C49CE" w:rsidRPr="0094494B" w:rsidRDefault="009C49CE" w:rsidP="00BD540B">
      <w:pPr>
        <w:spacing w:before="100" w:beforeAutospacing="1" w:after="100" w:afterAutospacing="1" w:line="360" w:lineRule="auto"/>
        <w:outlineLvl w:val="3"/>
        <w:rPr>
          <w:rFonts w:ascii="Arial" w:eastAsia="Times New Roman"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For Future Research</w:t>
      </w:r>
    </w:p>
    <w:p w14:paraId="3DEE7FC2"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Conduct larger longitudinal studies to measure the long-term health and social benefits of digital interventions.</w:t>
      </w:r>
    </w:p>
    <w:p w14:paraId="01A7FC70"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Explore the impact of digital tools on mental wellbeing, loneliness, and social connectedness among older adults.</w:t>
      </w:r>
    </w:p>
    <w:p w14:paraId="248C08B1" w14:textId="77777777" w:rsidR="009C49CE" w:rsidRPr="009C49CE" w:rsidRDefault="009C49CE" w:rsidP="00BD540B">
      <w:pPr>
        <w:numPr>
          <w:ilvl w:val="0"/>
          <w:numId w:val="10"/>
        </w:num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Evaluate cost-effectiveness and sustainability of integrating digital tools across the UK’s health and social care systems.</w:t>
      </w:r>
    </w:p>
    <w:p w14:paraId="2B362407"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72B3A08C" wp14:editId="702313B7">
                <wp:extent cx="4356100" cy="1270"/>
                <wp:effectExtent l="0" t="33655" r="0" b="38735"/>
                <wp:docPr id="155679237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15E1F2D" id="Rectangle 2"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5710E896" w14:textId="0E2D637A" w:rsidR="009C49CE" w:rsidRPr="0094494B"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94494B">
        <w:rPr>
          <w:rFonts w:ascii="Arial" w:eastAsia="Times New Roman" w:hAnsi="Arial" w:cs="Arial"/>
          <w:b/>
          <w:bCs/>
          <w:kern w:val="0"/>
          <w:sz w:val="22"/>
          <w:szCs w:val="22"/>
          <w:u w:val="single"/>
          <w14:ligatures w14:val="none"/>
        </w:rPr>
        <w:t>Limitations of This Review</w:t>
      </w:r>
    </w:p>
    <w:p w14:paraId="3EB7A1FD"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25CE40D3"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This scoping review was limited to five studies published in English within the UK context, which may restrict generalisability. Rapid technological advances mean that findings could change as new evidence emerges. Future research should therefore include more diverse populations and mixed settings.</w:t>
      </w:r>
    </w:p>
    <w:p w14:paraId="7499B74A" w14:textId="77777777" w:rsidR="009C49CE" w:rsidRPr="009C49CE" w:rsidRDefault="009C49CE" w:rsidP="00BD540B">
      <w:pPr>
        <w:spacing w:after="0" w:line="360" w:lineRule="auto"/>
        <w:rPr>
          <w:rFonts w:ascii="Arial" w:eastAsia="Times New Roman" w:hAnsi="Arial" w:cs="Arial"/>
          <w:kern w:val="0"/>
          <w:sz w:val="22"/>
          <w:szCs w:val="22"/>
          <w14:ligatures w14:val="none"/>
        </w:rPr>
      </w:pPr>
      <w:r w:rsidRPr="009C49CE">
        <w:rPr>
          <w:rFonts w:ascii="Arial" w:eastAsia="Times New Roman" w:hAnsi="Arial" w:cs="Arial"/>
          <w:noProof/>
          <w:kern w:val="0"/>
          <w:sz w:val="22"/>
          <w:szCs w:val="22"/>
          <w14:ligatures w14:val="none"/>
        </w:rPr>
        <mc:AlternateContent>
          <mc:Choice Requires="wps">
            <w:drawing>
              <wp:inline distT="0" distB="0" distL="0" distR="0" wp14:anchorId="0CB8533D" wp14:editId="165DF31A">
                <wp:extent cx="4356100" cy="1270"/>
                <wp:effectExtent l="0" t="33655" r="0" b="38735"/>
                <wp:docPr id="6407660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A03F310" id="Rectangle 1" o:spid="_x0000_s1026" style="width:34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mtYEf9sAAAAHAQAADwAA&#13;&#10;AAAAAAAAAAAAAACYBAAAZHJzL2Rvd25yZXYueG1sUEsFBgAAAAAEAAQA8wAAAKAFAAAAAA==&#13;&#10;" filled="f">
                <w10:anchorlock/>
              </v:rect>
            </w:pict>
          </mc:Fallback>
        </mc:AlternateContent>
      </w:r>
    </w:p>
    <w:p w14:paraId="48198D84" w14:textId="0424ADD4" w:rsidR="009C49CE" w:rsidRPr="00B42106" w:rsidRDefault="009C49CE" w:rsidP="00BD540B">
      <w:pPr>
        <w:spacing w:before="100" w:beforeAutospacing="1" w:after="100" w:afterAutospacing="1" w:line="360" w:lineRule="auto"/>
        <w:outlineLvl w:val="2"/>
        <w:rPr>
          <w:rFonts w:ascii="Arial" w:hAnsi="Arial" w:cs="Arial"/>
          <w:b/>
          <w:bCs/>
          <w:kern w:val="0"/>
          <w:sz w:val="22"/>
          <w:szCs w:val="22"/>
          <w:u w:val="single"/>
          <w14:ligatures w14:val="none"/>
        </w:rPr>
      </w:pPr>
      <w:r w:rsidRPr="00B42106">
        <w:rPr>
          <w:rFonts w:ascii="Arial" w:eastAsia="Times New Roman" w:hAnsi="Arial" w:cs="Arial"/>
          <w:b/>
          <w:bCs/>
          <w:kern w:val="0"/>
          <w:sz w:val="22"/>
          <w:szCs w:val="22"/>
          <w:u w:val="single"/>
          <w14:ligatures w14:val="none"/>
        </w:rPr>
        <w:t>Final Reflection</w:t>
      </w:r>
    </w:p>
    <w:p w14:paraId="1756CF8E" w14:textId="77777777" w:rsidR="009C49CE" w:rsidRPr="009C49CE" w:rsidRDefault="009C49CE" w:rsidP="00BD540B">
      <w:pPr>
        <w:spacing w:before="100" w:beforeAutospacing="1" w:after="100" w:afterAutospacing="1" w:line="360" w:lineRule="auto"/>
        <w:rPr>
          <w:rFonts w:ascii="Arial" w:hAnsi="Arial" w:cs="Arial"/>
          <w:kern w:val="0"/>
          <w:sz w:val="22"/>
          <w:szCs w:val="22"/>
          <w14:ligatures w14:val="none"/>
        </w:rPr>
      </w:pPr>
    </w:p>
    <w:p w14:paraId="786542D0" w14:textId="77777777" w:rsidR="009C49CE" w:rsidRPr="00AA462B" w:rsidRDefault="009C49CE" w:rsidP="00BD540B">
      <w:pPr>
        <w:spacing w:before="100" w:beforeAutospacing="1" w:after="100" w:afterAutospacing="1" w:line="360" w:lineRule="auto"/>
        <w:rPr>
          <w:rFonts w:ascii="Arial" w:hAnsi="Arial" w:cs="Arial"/>
          <w:kern w:val="0"/>
          <w:sz w:val="22"/>
          <w:szCs w:val="22"/>
          <w14:ligatures w14:val="none"/>
        </w:rPr>
      </w:pPr>
      <w:r w:rsidRPr="009C49CE">
        <w:rPr>
          <w:rFonts w:ascii="Arial" w:hAnsi="Arial" w:cs="Arial"/>
          <w:kern w:val="0"/>
          <w:sz w:val="22"/>
          <w:szCs w:val="22"/>
          <w14:ligatures w14:val="none"/>
        </w:rPr>
        <w:t>Overall, this review supports the growing view that digital health tools can empower older adults and strengthen the UK’s approach to managing long-term conditions. For successful adoption, interventions must remain inclusive, ethical, and person-centred, aligning with the core values of the Health and Social Care Act (2012) — choice, dignity, and equality.</w:t>
      </w:r>
    </w:p>
    <w:p w14:paraId="2FB917FC" w14:textId="77777777" w:rsidR="00891E62" w:rsidRPr="00AA462B" w:rsidRDefault="00891E62" w:rsidP="00BD540B">
      <w:pPr>
        <w:spacing w:before="100" w:beforeAutospacing="1" w:after="100" w:afterAutospacing="1" w:line="360" w:lineRule="auto"/>
        <w:rPr>
          <w:rFonts w:ascii="Arial" w:hAnsi="Arial" w:cs="Arial"/>
          <w:kern w:val="0"/>
          <w:sz w:val="22"/>
          <w:szCs w:val="22"/>
          <w14:ligatures w14:val="none"/>
        </w:rPr>
      </w:pPr>
    </w:p>
    <w:p w14:paraId="457CD242" w14:textId="56C59828" w:rsidR="00891E62" w:rsidRPr="00AA462B" w:rsidRDefault="00D80916" w:rsidP="00BD540B">
      <w:pPr>
        <w:spacing w:before="100" w:beforeAutospacing="1" w:after="100" w:afterAutospacing="1" w:line="360" w:lineRule="auto"/>
        <w:rPr>
          <w:rFonts w:ascii="Arial" w:hAnsi="Arial" w:cs="Arial"/>
          <w:b/>
          <w:bCs/>
          <w:kern w:val="0"/>
          <w:sz w:val="22"/>
          <w:szCs w:val="22"/>
          <w:u w:val="single"/>
          <w14:ligatures w14:val="none"/>
        </w:rPr>
      </w:pPr>
      <w:r w:rsidRPr="00AA462B">
        <w:rPr>
          <w:rFonts w:ascii="Arial" w:hAnsi="Arial" w:cs="Arial"/>
          <w:b/>
          <w:bCs/>
          <w:kern w:val="0"/>
          <w:sz w:val="22"/>
          <w:szCs w:val="22"/>
          <w:u w:val="single"/>
          <w14:ligatures w14:val="none"/>
        </w:rPr>
        <w:t>References</w:t>
      </w:r>
    </w:p>
    <w:p w14:paraId="631A4F87"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Age UK (2021) </w:t>
      </w:r>
      <w:r w:rsidRPr="00AA462B">
        <w:rPr>
          <w:rStyle w:val="s2"/>
          <w:rFonts w:ascii="Arial" w:hAnsi="Arial" w:cs="Arial"/>
          <w:sz w:val="22"/>
          <w:szCs w:val="22"/>
        </w:rPr>
        <w:t>Digital inclusion evidence review</w:t>
      </w:r>
      <w:r w:rsidRPr="00AA462B">
        <w:rPr>
          <w:rStyle w:val="s1"/>
          <w:rFonts w:ascii="Arial" w:hAnsi="Arial" w:cs="Arial"/>
          <w:sz w:val="22"/>
          <w:szCs w:val="22"/>
        </w:rPr>
        <w:t>. London: Age UK.</w:t>
      </w:r>
    </w:p>
    <w:p w14:paraId="0C6537EF"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Department of Health and Social Care (2022) </w:t>
      </w:r>
      <w:r w:rsidRPr="00AA462B">
        <w:rPr>
          <w:rStyle w:val="s2"/>
          <w:rFonts w:ascii="Arial" w:hAnsi="Arial" w:cs="Arial"/>
          <w:sz w:val="22"/>
          <w:szCs w:val="22"/>
        </w:rPr>
        <w:t>Data saves lives: reshaping health and social care with data</w:t>
      </w:r>
      <w:r w:rsidRPr="00AA462B">
        <w:rPr>
          <w:rStyle w:val="s1"/>
          <w:rFonts w:ascii="Arial" w:hAnsi="Arial" w:cs="Arial"/>
          <w:sz w:val="22"/>
          <w:szCs w:val="22"/>
        </w:rPr>
        <w:t>. London: DHSC.</w:t>
      </w:r>
    </w:p>
    <w:p w14:paraId="2B3B977A"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NHS England (2019) </w:t>
      </w:r>
      <w:r w:rsidRPr="00AA462B">
        <w:rPr>
          <w:rStyle w:val="s2"/>
          <w:rFonts w:ascii="Arial" w:hAnsi="Arial" w:cs="Arial"/>
          <w:sz w:val="22"/>
          <w:szCs w:val="22"/>
        </w:rPr>
        <w:t>The NHS Long Term Plan</w:t>
      </w:r>
      <w:r w:rsidRPr="00AA462B">
        <w:rPr>
          <w:rStyle w:val="s1"/>
          <w:rFonts w:ascii="Arial" w:hAnsi="Arial" w:cs="Arial"/>
          <w:sz w:val="22"/>
          <w:szCs w:val="22"/>
        </w:rPr>
        <w:t>. London: NHS England.</w:t>
      </w:r>
    </w:p>
    <w:p w14:paraId="2B79B92D"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NHSX (2021) </w:t>
      </w:r>
      <w:r w:rsidRPr="00AA462B">
        <w:rPr>
          <w:rStyle w:val="s2"/>
          <w:rFonts w:ascii="Arial" w:hAnsi="Arial" w:cs="Arial"/>
          <w:sz w:val="22"/>
          <w:szCs w:val="22"/>
        </w:rPr>
        <w:t>Digital technology assessment criteria (DTAC)</w:t>
      </w:r>
      <w:r w:rsidRPr="00AA462B">
        <w:rPr>
          <w:rStyle w:val="s1"/>
          <w:rFonts w:ascii="Arial" w:hAnsi="Arial" w:cs="Arial"/>
          <w:sz w:val="22"/>
          <w:szCs w:val="22"/>
        </w:rPr>
        <w:t>. London: NHSX.</w:t>
      </w:r>
    </w:p>
    <w:p w14:paraId="5CA52D40"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Office for National Statistics (2023) </w:t>
      </w:r>
      <w:r w:rsidRPr="00AA462B">
        <w:rPr>
          <w:rStyle w:val="s2"/>
          <w:rFonts w:ascii="Arial" w:hAnsi="Arial" w:cs="Arial"/>
          <w:sz w:val="22"/>
          <w:szCs w:val="22"/>
        </w:rPr>
        <w:t>Population estimates for the UK</w:t>
      </w:r>
      <w:r w:rsidRPr="00AA462B">
        <w:rPr>
          <w:rStyle w:val="s1"/>
          <w:rFonts w:ascii="Arial" w:hAnsi="Arial" w:cs="Arial"/>
          <w:sz w:val="22"/>
          <w:szCs w:val="22"/>
        </w:rPr>
        <w:t>. London: ONS.</w:t>
      </w:r>
    </w:p>
    <w:p w14:paraId="0E8CB07D"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Public Health England (2020) </w:t>
      </w:r>
      <w:r w:rsidRPr="00AA462B">
        <w:rPr>
          <w:rStyle w:val="s2"/>
          <w:rFonts w:ascii="Arial" w:hAnsi="Arial" w:cs="Arial"/>
          <w:sz w:val="22"/>
          <w:szCs w:val="22"/>
        </w:rPr>
        <w:t>Health profile for England 2020</w:t>
      </w:r>
      <w:r w:rsidRPr="00AA462B">
        <w:rPr>
          <w:rStyle w:val="s1"/>
          <w:rFonts w:ascii="Arial" w:hAnsi="Arial" w:cs="Arial"/>
          <w:sz w:val="22"/>
          <w:szCs w:val="22"/>
        </w:rPr>
        <w:t>. London: PHE.</w:t>
      </w:r>
    </w:p>
    <w:p w14:paraId="3D4AD9FF" w14:textId="77777777" w:rsidR="00D80916" w:rsidRPr="00AA462B" w:rsidRDefault="00D80916" w:rsidP="00BD540B">
      <w:pPr>
        <w:pStyle w:val="p1"/>
        <w:spacing w:line="360" w:lineRule="auto"/>
        <w:rPr>
          <w:rFonts w:ascii="Arial" w:hAnsi="Arial" w:cs="Arial"/>
          <w:sz w:val="22"/>
          <w:szCs w:val="22"/>
        </w:rPr>
      </w:pPr>
      <w:r w:rsidRPr="00AA462B">
        <w:rPr>
          <w:rStyle w:val="s1"/>
          <w:rFonts w:ascii="Arial" w:hAnsi="Arial" w:cs="Arial"/>
          <w:sz w:val="22"/>
          <w:szCs w:val="22"/>
        </w:rPr>
        <w:t xml:space="preserve">World Health </w:t>
      </w:r>
      <w:proofErr w:type="spellStart"/>
      <w:r w:rsidRPr="00AA462B">
        <w:rPr>
          <w:rStyle w:val="s1"/>
          <w:rFonts w:ascii="Arial" w:hAnsi="Arial" w:cs="Arial"/>
          <w:sz w:val="22"/>
          <w:szCs w:val="22"/>
        </w:rPr>
        <w:t>Organization</w:t>
      </w:r>
      <w:proofErr w:type="spellEnd"/>
      <w:r w:rsidRPr="00AA462B">
        <w:rPr>
          <w:rStyle w:val="s1"/>
          <w:rFonts w:ascii="Arial" w:hAnsi="Arial" w:cs="Arial"/>
          <w:sz w:val="22"/>
          <w:szCs w:val="22"/>
        </w:rPr>
        <w:t xml:space="preserve"> (2020) </w:t>
      </w:r>
      <w:r w:rsidRPr="00AA462B">
        <w:rPr>
          <w:rStyle w:val="s2"/>
          <w:rFonts w:ascii="Arial" w:hAnsi="Arial" w:cs="Arial"/>
          <w:sz w:val="22"/>
          <w:szCs w:val="22"/>
        </w:rPr>
        <w:t>Digital health strategy 2020–2025</w:t>
      </w:r>
      <w:r w:rsidRPr="00AA462B">
        <w:rPr>
          <w:rStyle w:val="s1"/>
          <w:rFonts w:ascii="Arial" w:hAnsi="Arial" w:cs="Arial"/>
          <w:sz w:val="22"/>
          <w:szCs w:val="22"/>
        </w:rPr>
        <w:t>. Geneva: WHO.</w:t>
      </w:r>
    </w:p>
    <w:p w14:paraId="209850BF" w14:textId="77777777" w:rsidR="00B35659" w:rsidRPr="00AA462B" w:rsidRDefault="00B35659"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Batsis</w:t>
      </w:r>
      <w:proofErr w:type="spellEnd"/>
      <w:r w:rsidRPr="00AA462B">
        <w:rPr>
          <w:rStyle w:val="s1"/>
          <w:rFonts w:ascii="Arial" w:hAnsi="Arial" w:cs="Arial"/>
          <w:sz w:val="22"/>
          <w:szCs w:val="22"/>
        </w:rPr>
        <w:t xml:space="preserve">, J.A. et al. (2021) ‘Telemedicine and primary care for older adults: a scoping review’, </w:t>
      </w:r>
      <w:r w:rsidRPr="00AA462B">
        <w:rPr>
          <w:rStyle w:val="s2"/>
          <w:rFonts w:ascii="Arial" w:hAnsi="Arial" w:cs="Arial"/>
          <w:sz w:val="22"/>
          <w:szCs w:val="22"/>
        </w:rPr>
        <w:t>Journal of the American Geriatrics Society</w:t>
      </w:r>
      <w:r w:rsidRPr="00AA462B">
        <w:rPr>
          <w:rStyle w:val="s1"/>
          <w:rFonts w:ascii="Arial" w:hAnsi="Arial" w:cs="Arial"/>
          <w:sz w:val="22"/>
          <w:szCs w:val="22"/>
        </w:rPr>
        <w:t>, 69(2), pp. 488–500.</w:t>
      </w:r>
    </w:p>
    <w:p w14:paraId="56F4FF18" w14:textId="77777777" w:rsidR="00B35659" w:rsidRPr="00AA462B" w:rsidRDefault="00B35659"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Greenhalgh</w:t>
      </w:r>
      <w:proofErr w:type="spellEnd"/>
      <w:r w:rsidRPr="00AA462B">
        <w:rPr>
          <w:rStyle w:val="s1"/>
          <w:rFonts w:ascii="Arial" w:hAnsi="Arial" w:cs="Arial"/>
          <w:sz w:val="22"/>
          <w:szCs w:val="22"/>
        </w:rPr>
        <w:t xml:space="preserve">, T., Rosen, R. and Shaw, S. (2022) ‘Digital health and the digital divide: implications for health inequalities’, </w:t>
      </w:r>
      <w:r w:rsidRPr="00AA462B">
        <w:rPr>
          <w:rStyle w:val="s2"/>
          <w:rFonts w:ascii="Arial" w:hAnsi="Arial" w:cs="Arial"/>
          <w:sz w:val="22"/>
          <w:szCs w:val="22"/>
        </w:rPr>
        <w:t>BMJ</w:t>
      </w:r>
      <w:r w:rsidRPr="00AA462B">
        <w:rPr>
          <w:rStyle w:val="s1"/>
          <w:rFonts w:ascii="Arial" w:hAnsi="Arial" w:cs="Arial"/>
          <w:sz w:val="22"/>
          <w:szCs w:val="22"/>
        </w:rPr>
        <w:t>, 376, e065344.</w:t>
      </w:r>
    </w:p>
    <w:p w14:paraId="487322F3"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t xml:space="preserve">Mann, D.M. et al. (2022) ‘COVID-19 and the acceleration of digital health adoption among older adults’, </w:t>
      </w:r>
      <w:r w:rsidRPr="00AA462B">
        <w:rPr>
          <w:rStyle w:val="s2"/>
          <w:rFonts w:ascii="Arial" w:hAnsi="Arial" w:cs="Arial"/>
          <w:sz w:val="22"/>
          <w:szCs w:val="22"/>
        </w:rPr>
        <w:t>Journal of Medical Internet Research</w:t>
      </w:r>
      <w:r w:rsidRPr="00AA462B">
        <w:rPr>
          <w:rStyle w:val="s1"/>
          <w:rFonts w:ascii="Arial" w:hAnsi="Arial" w:cs="Arial"/>
          <w:sz w:val="22"/>
          <w:szCs w:val="22"/>
        </w:rPr>
        <w:t>, 24(4), e29569.</w:t>
      </w:r>
    </w:p>
    <w:p w14:paraId="0C1BBBBF"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t xml:space="preserve">Seifert, A., Cotten, S.R. and </w:t>
      </w:r>
      <w:proofErr w:type="spellStart"/>
      <w:r w:rsidRPr="00AA462B">
        <w:rPr>
          <w:rStyle w:val="s1"/>
          <w:rFonts w:ascii="Arial" w:hAnsi="Arial" w:cs="Arial"/>
          <w:sz w:val="22"/>
          <w:szCs w:val="22"/>
        </w:rPr>
        <w:t>Xie</w:t>
      </w:r>
      <w:proofErr w:type="spellEnd"/>
      <w:r w:rsidRPr="00AA462B">
        <w:rPr>
          <w:rStyle w:val="s1"/>
          <w:rFonts w:ascii="Arial" w:hAnsi="Arial" w:cs="Arial"/>
          <w:sz w:val="22"/>
          <w:szCs w:val="22"/>
        </w:rPr>
        <w:t xml:space="preserve">, B. (2021) ‘A double burden of exclusion? Digital and social exclusion of older adults in times of COVID-19’, </w:t>
      </w:r>
      <w:r w:rsidRPr="00AA462B">
        <w:rPr>
          <w:rStyle w:val="s2"/>
          <w:rFonts w:ascii="Arial" w:hAnsi="Arial" w:cs="Arial"/>
          <w:sz w:val="22"/>
          <w:szCs w:val="22"/>
        </w:rPr>
        <w:t>The Gerontologist</w:t>
      </w:r>
      <w:r w:rsidRPr="00AA462B">
        <w:rPr>
          <w:rStyle w:val="s1"/>
          <w:rFonts w:ascii="Arial" w:hAnsi="Arial" w:cs="Arial"/>
          <w:sz w:val="22"/>
          <w:szCs w:val="22"/>
        </w:rPr>
        <w:t>, 61(3), pp. 410–420.</w:t>
      </w:r>
    </w:p>
    <w:p w14:paraId="1CD53A14" w14:textId="77777777" w:rsidR="00B35659" w:rsidRPr="00AA462B" w:rsidRDefault="00B35659" w:rsidP="00BD540B">
      <w:pPr>
        <w:pStyle w:val="p1"/>
        <w:spacing w:line="360" w:lineRule="auto"/>
        <w:rPr>
          <w:rFonts w:ascii="Arial" w:hAnsi="Arial" w:cs="Arial"/>
          <w:sz w:val="22"/>
          <w:szCs w:val="22"/>
        </w:rPr>
      </w:pPr>
      <w:r w:rsidRPr="00AA462B">
        <w:rPr>
          <w:rStyle w:val="s1"/>
          <w:rFonts w:ascii="Arial" w:hAnsi="Arial" w:cs="Arial"/>
          <w:sz w:val="22"/>
          <w:szCs w:val="22"/>
        </w:rPr>
        <w:t xml:space="preserve">Shah, S.G.S. and Robinson, I. (2021) ‘Benefits and barriers to using digital health technology in care for older adults with chronic conditions: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27(2), pp. 1–18.</w:t>
      </w:r>
    </w:p>
    <w:p w14:paraId="1B45EA86" w14:textId="77777777" w:rsidR="00B35659" w:rsidRPr="00AA462B" w:rsidRDefault="00B35659" w:rsidP="00BD540B">
      <w:pPr>
        <w:pStyle w:val="p1"/>
        <w:spacing w:line="360" w:lineRule="auto"/>
        <w:rPr>
          <w:rStyle w:val="s1"/>
          <w:rFonts w:ascii="Arial" w:hAnsi="Arial" w:cs="Arial"/>
          <w:sz w:val="22"/>
          <w:szCs w:val="22"/>
        </w:rPr>
      </w:pPr>
      <w:r w:rsidRPr="00AA462B">
        <w:rPr>
          <w:rStyle w:val="s1"/>
          <w:rFonts w:ascii="Arial" w:hAnsi="Arial" w:cs="Arial"/>
          <w:sz w:val="22"/>
          <w:szCs w:val="22"/>
        </w:rPr>
        <w:t xml:space="preserve">Walker, S., Whittaker, A. and Harries, J. (2022) ‘Digital health interventions for older adults: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28(1), pp. 1–14.</w:t>
      </w:r>
    </w:p>
    <w:p w14:paraId="2BFA6F1B" w14:textId="77777777"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Arksey</w:t>
      </w:r>
      <w:proofErr w:type="spellEnd"/>
      <w:r w:rsidRPr="00AA462B">
        <w:rPr>
          <w:rStyle w:val="s1"/>
          <w:rFonts w:ascii="Arial" w:hAnsi="Arial" w:cs="Arial"/>
          <w:sz w:val="22"/>
          <w:szCs w:val="22"/>
        </w:rPr>
        <w:t xml:space="preserve">, H. and O’Malley, L. (2005) ‘Scoping studies: towards a methodological framework’, </w:t>
      </w:r>
      <w:r w:rsidRPr="00AA462B">
        <w:rPr>
          <w:rStyle w:val="s2"/>
          <w:rFonts w:ascii="Arial" w:hAnsi="Arial" w:cs="Arial"/>
          <w:sz w:val="22"/>
          <w:szCs w:val="22"/>
        </w:rPr>
        <w:t>International Journal of Social Research Methodology</w:t>
      </w:r>
      <w:r w:rsidRPr="00AA462B">
        <w:rPr>
          <w:rStyle w:val="s1"/>
          <w:rFonts w:ascii="Arial" w:hAnsi="Arial" w:cs="Arial"/>
          <w:sz w:val="22"/>
          <w:szCs w:val="22"/>
        </w:rPr>
        <w:t>, 8(1), pp. 19–32.</w:t>
      </w:r>
    </w:p>
    <w:p w14:paraId="3F94D9DA" w14:textId="160DB2CD"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Beard, M.J. et al. (2020) ‘Technology-based interventions to support self-management in older adults: a meta-analysis’, </w:t>
      </w:r>
      <w:r w:rsidRPr="00AA462B">
        <w:rPr>
          <w:rStyle w:val="s2"/>
          <w:rFonts w:ascii="Arial" w:hAnsi="Arial" w:cs="Arial"/>
          <w:sz w:val="22"/>
          <w:szCs w:val="22"/>
        </w:rPr>
        <w:t>Digital Health</w:t>
      </w:r>
      <w:r w:rsidRPr="00AA462B">
        <w:rPr>
          <w:rStyle w:val="s1"/>
          <w:rFonts w:ascii="Arial" w:hAnsi="Arial" w:cs="Arial"/>
          <w:sz w:val="22"/>
          <w:szCs w:val="22"/>
        </w:rPr>
        <w:t>, 6, pp. 1–12.</w:t>
      </w:r>
    </w:p>
    <w:p w14:paraId="746B914D" w14:textId="26910D7C"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Czaja</w:t>
      </w:r>
      <w:proofErr w:type="spellEnd"/>
      <w:r w:rsidRPr="00AA462B">
        <w:rPr>
          <w:rStyle w:val="s1"/>
          <w:rFonts w:ascii="Arial" w:hAnsi="Arial" w:cs="Arial"/>
          <w:sz w:val="22"/>
          <w:szCs w:val="22"/>
        </w:rPr>
        <w:t xml:space="preserve">, S. and </w:t>
      </w:r>
      <w:proofErr w:type="spellStart"/>
      <w:r w:rsidRPr="00AA462B">
        <w:rPr>
          <w:rStyle w:val="s1"/>
          <w:rFonts w:ascii="Arial" w:hAnsi="Arial" w:cs="Arial"/>
          <w:sz w:val="22"/>
          <w:szCs w:val="22"/>
        </w:rPr>
        <w:t>Sharit</w:t>
      </w:r>
      <w:proofErr w:type="spellEnd"/>
      <w:r w:rsidRPr="00AA462B">
        <w:rPr>
          <w:rStyle w:val="s1"/>
          <w:rFonts w:ascii="Arial" w:hAnsi="Arial" w:cs="Arial"/>
          <w:sz w:val="22"/>
          <w:szCs w:val="22"/>
        </w:rPr>
        <w:t xml:space="preserve">, J. (2018) ‘Reducing the digital divide among older adults’, </w:t>
      </w:r>
      <w:r w:rsidRPr="00AA462B">
        <w:rPr>
          <w:rStyle w:val="s2"/>
          <w:rFonts w:ascii="Arial" w:hAnsi="Arial" w:cs="Arial"/>
          <w:sz w:val="22"/>
          <w:szCs w:val="22"/>
        </w:rPr>
        <w:t>Gerontology</w:t>
      </w:r>
      <w:r w:rsidRPr="00AA462B">
        <w:rPr>
          <w:rStyle w:val="s1"/>
          <w:rFonts w:ascii="Arial" w:hAnsi="Arial" w:cs="Arial"/>
          <w:sz w:val="22"/>
          <w:szCs w:val="22"/>
        </w:rPr>
        <w:t>, 64(3), pp. 272–280.</w:t>
      </w:r>
    </w:p>
    <w:p w14:paraId="1513381A" w14:textId="25BF0B91"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Lupton</w:t>
      </w:r>
      <w:proofErr w:type="spellEnd"/>
      <w:r w:rsidRPr="00AA462B">
        <w:rPr>
          <w:rStyle w:val="s1"/>
          <w:rFonts w:ascii="Arial" w:hAnsi="Arial" w:cs="Arial"/>
          <w:sz w:val="22"/>
          <w:szCs w:val="22"/>
        </w:rPr>
        <w:t xml:space="preserve">, D. (2020) ‘Digital health: critical and cross-disciplinary perspectives’, </w:t>
      </w:r>
      <w:r w:rsidRPr="00AA462B">
        <w:rPr>
          <w:rStyle w:val="s2"/>
          <w:rFonts w:ascii="Arial" w:hAnsi="Arial" w:cs="Arial"/>
          <w:sz w:val="22"/>
          <w:szCs w:val="22"/>
        </w:rPr>
        <w:t>Digital Health</w:t>
      </w:r>
      <w:r w:rsidRPr="00AA462B">
        <w:rPr>
          <w:rStyle w:val="s1"/>
          <w:rFonts w:ascii="Arial" w:hAnsi="Arial" w:cs="Arial"/>
          <w:sz w:val="22"/>
          <w:szCs w:val="22"/>
        </w:rPr>
        <w:t>, 6, pp. 1–13.</w:t>
      </w:r>
    </w:p>
    <w:p w14:paraId="6E63DACE" w14:textId="2D2B7206"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Murray, E. et al. (2019) ‘Evaluating digital health interventions: key considerations’, </w:t>
      </w:r>
      <w:r w:rsidRPr="00AA462B">
        <w:rPr>
          <w:rStyle w:val="s2"/>
          <w:rFonts w:ascii="Arial" w:hAnsi="Arial" w:cs="Arial"/>
          <w:sz w:val="22"/>
          <w:szCs w:val="22"/>
        </w:rPr>
        <w:t>Journal of Medical Internet Research</w:t>
      </w:r>
      <w:r w:rsidRPr="00AA462B">
        <w:rPr>
          <w:rStyle w:val="s1"/>
          <w:rFonts w:ascii="Arial" w:hAnsi="Arial" w:cs="Arial"/>
          <w:sz w:val="22"/>
          <w:szCs w:val="22"/>
        </w:rPr>
        <w:t>, 21(11), e16475.</w:t>
      </w:r>
    </w:p>
    <w:p w14:paraId="0511F999" w14:textId="76C21A6E"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Petrovčič, A. et al. (2021) ‘Successful aging and use of digital technology among older adults’, </w:t>
      </w:r>
      <w:proofErr w:type="spellStart"/>
      <w:r w:rsidRPr="00AA462B">
        <w:rPr>
          <w:rStyle w:val="s2"/>
          <w:rFonts w:ascii="Arial" w:hAnsi="Arial" w:cs="Arial"/>
          <w:sz w:val="22"/>
          <w:szCs w:val="22"/>
        </w:rPr>
        <w:t>Gerontechnology</w:t>
      </w:r>
      <w:proofErr w:type="spellEnd"/>
      <w:r w:rsidRPr="00AA462B">
        <w:rPr>
          <w:rStyle w:val="s1"/>
          <w:rFonts w:ascii="Arial" w:hAnsi="Arial" w:cs="Arial"/>
          <w:sz w:val="22"/>
          <w:szCs w:val="22"/>
        </w:rPr>
        <w:t>, 20(1), pp. 1–12.</w:t>
      </w:r>
    </w:p>
    <w:p w14:paraId="45DB4603" w14:textId="0F7CEE64"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Robinson, L. et al. (2020) ‘The role of digital technology in supporting older adults during COVID-19’, </w:t>
      </w:r>
      <w:r w:rsidRPr="00AA462B">
        <w:rPr>
          <w:rStyle w:val="s2"/>
          <w:rFonts w:ascii="Arial" w:hAnsi="Arial" w:cs="Arial"/>
          <w:sz w:val="22"/>
          <w:szCs w:val="22"/>
        </w:rPr>
        <w:t>International Journal of Environmental Research and Public Health</w:t>
      </w:r>
      <w:r w:rsidRPr="00AA462B">
        <w:rPr>
          <w:rStyle w:val="s1"/>
          <w:rFonts w:ascii="Arial" w:hAnsi="Arial" w:cs="Arial"/>
          <w:sz w:val="22"/>
          <w:szCs w:val="22"/>
        </w:rPr>
        <w:t>, 17(23), 9066.</w:t>
      </w:r>
    </w:p>
    <w:p w14:paraId="5E27EE00" w14:textId="46D2328B"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Schulz, R. et al. (2015) ‘Effects of home </w:t>
      </w:r>
      <w:proofErr w:type="spellStart"/>
      <w:r w:rsidRPr="00AA462B">
        <w:rPr>
          <w:rStyle w:val="s1"/>
          <w:rFonts w:ascii="Arial" w:hAnsi="Arial" w:cs="Arial"/>
          <w:sz w:val="22"/>
          <w:szCs w:val="22"/>
        </w:rPr>
        <w:t>telemonitoring</w:t>
      </w:r>
      <w:proofErr w:type="spellEnd"/>
      <w:r w:rsidRPr="00AA462B">
        <w:rPr>
          <w:rStyle w:val="s1"/>
          <w:rFonts w:ascii="Arial" w:hAnsi="Arial" w:cs="Arial"/>
          <w:sz w:val="22"/>
          <w:szCs w:val="22"/>
        </w:rPr>
        <w:t xml:space="preserve"> interventions on older adults with chronic conditions: a systematic review’, </w:t>
      </w:r>
      <w:r w:rsidRPr="00AA462B">
        <w:rPr>
          <w:rStyle w:val="s2"/>
          <w:rFonts w:ascii="Arial" w:hAnsi="Arial" w:cs="Arial"/>
          <w:sz w:val="22"/>
          <w:szCs w:val="22"/>
        </w:rPr>
        <w:t>Journal of the American Medical Association</w:t>
      </w:r>
      <w:r w:rsidRPr="00AA462B">
        <w:rPr>
          <w:rStyle w:val="s1"/>
          <w:rFonts w:ascii="Arial" w:hAnsi="Arial" w:cs="Arial"/>
          <w:sz w:val="22"/>
          <w:szCs w:val="22"/>
        </w:rPr>
        <w:t>, 314(5), pp. 512–525.</w:t>
      </w:r>
    </w:p>
    <w:p w14:paraId="562E2273" w14:textId="08E9CB87" w:rsidR="00C83DE1" w:rsidRPr="00AA462B" w:rsidRDefault="00C83DE1" w:rsidP="00BD540B">
      <w:pPr>
        <w:pStyle w:val="p1"/>
        <w:spacing w:line="360" w:lineRule="auto"/>
        <w:rPr>
          <w:rFonts w:ascii="Arial" w:hAnsi="Arial" w:cs="Arial"/>
          <w:sz w:val="22"/>
          <w:szCs w:val="22"/>
        </w:rPr>
      </w:pPr>
      <w:proofErr w:type="spellStart"/>
      <w:r w:rsidRPr="00AA462B">
        <w:rPr>
          <w:rStyle w:val="s1"/>
          <w:rFonts w:ascii="Arial" w:hAnsi="Arial" w:cs="Arial"/>
          <w:sz w:val="22"/>
          <w:szCs w:val="22"/>
        </w:rPr>
        <w:t>Vassli</w:t>
      </w:r>
      <w:proofErr w:type="spellEnd"/>
      <w:r w:rsidRPr="00AA462B">
        <w:rPr>
          <w:rStyle w:val="s1"/>
          <w:rFonts w:ascii="Arial" w:hAnsi="Arial" w:cs="Arial"/>
          <w:sz w:val="22"/>
          <w:szCs w:val="22"/>
        </w:rPr>
        <w:t xml:space="preserve">, L.T. and </w:t>
      </w:r>
      <w:proofErr w:type="spellStart"/>
      <w:r w:rsidRPr="00AA462B">
        <w:rPr>
          <w:rStyle w:val="s1"/>
          <w:rFonts w:ascii="Arial" w:hAnsi="Arial" w:cs="Arial"/>
          <w:sz w:val="22"/>
          <w:szCs w:val="22"/>
        </w:rPr>
        <w:t>Farshchian</w:t>
      </w:r>
      <w:proofErr w:type="spellEnd"/>
      <w:r w:rsidRPr="00AA462B">
        <w:rPr>
          <w:rStyle w:val="s1"/>
          <w:rFonts w:ascii="Arial" w:hAnsi="Arial" w:cs="Arial"/>
          <w:sz w:val="22"/>
          <w:szCs w:val="22"/>
        </w:rPr>
        <w:t xml:space="preserve">, B.A. (2018) ‘Acceptance of technology in older adults living independently: a systematic review’, </w:t>
      </w:r>
      <w:r w:rsidRPr="00AA462B">
        <w:rPr>
          <w:rStyle w:val="s2"/>
          <w:rFonts w:ascii="Arial" w:hAnsi="Arial" w:cs="Arial"/>
          <w:sz w:val="22"/>
          <w:szCs w:val="22"/>
        </w:rPr>
        <w:t>Health Informatics Journal</w:t>
      </w:r>
      <w:r w:rsidRPr="00AA462B">
        <w:rPr>
          <w:rStyle w:val="s1"/>
          <w:rFonts w:ascii="Arial" w:hAnsi="Arial" w:cs="Arial"/>
          <w:sz w:val="22"/>
          <w:szCs w:val="22"/>
        </w:rPr>
        <w:t>, 24(2), pp. 132–146.</w:t>
      </w:r>
    </w:p>
    <w:p w14:paraId="42EC845F" w14:textId="77777777" w:rsidR="00C83DE1" w:rsidRPr="00AA462B" w:rsidRDefault="00C83DE1" w:rsidP="00BD540B">
      <w:pPr>
        <w:pStyle w:val="p1"/>
        <w:spacing w:line="360" w:lineRule="auto"/>
        <w:rPr>
          <w:rFonts w:ascii="Arial" w:hAnsi="Arial" w:cs="Arial"/>
          <w:sz w:val="22"/>
          <w:szCs w:val="22"/>
        </w:rPr>
      </w:pPr>
      <w:r w:rsidRPr="00AA462B">
        <w:rPr>
          <w:rStyle w:val="s1"/>
          <w:rFonts w:ascii="Arial" w:hAnsi="Arial" w:cs="Arial"/>
          <w:sz w:val="22"/>
          <w:szCs w:val="22"/>
        </w:rPr>
        <w:t xml:space="preserve">Zhang, Y. et al. (2021) ‘Wearable devices for older adults: usability, acceptance, and adoption’, </w:t>
      </w:r>
      <w:r w:rsidRPr="00AA462B">
        <w:rPr>
          <w:rStyle w:val="s2"/>
          <w:rFonts w:ascii="Arial" w:hAnsi="Arial" w:cs="Arial"/>
          <w:sz w:val="22"/>
          <w:szCs w:val="22"/>
        </w:rPr>
        <w:t>JMIR mHealth and uHealth</w:t>
      </w:r>
      <w:r w:rsidRPr="00AA462B">
        <w:rPr>
          <w:rStyle w:val="s1"/>
          <w:rFonts w:ascii="Arial" w:hAnsi="Arial" w:cs="Arial"/>
          <w:sz w:val="22"/>
          <w:szCs w:val="22"/>
        </w:rPr>
        <w:t>, 9(11), e30272.</w:t>
      </w:r>
    </w:p>
    <w:p w14:paraId="14BAAACF" w14:textId="77777777" w:rsidR="00B35659" w:rsidRPr="00AA462B" w:rsidRDefault="00B35659" w:rsidP="00BD540B">
      <w:pPr>
        <w:pStyle w:val="p1"/>
        <w:spacing w:line="360" w:lineRule="auto"/>
        <w:rPr>
          <w:rFonts w:ascii="Arial" w:hAnsi="Arial" w:cs="Arial"/>
          <w:sz w:val="22"/>
          <w:szCs w:val="22"/>
        </w:rPr>
      </w:pPr>
    </w:p>
    <w:p w14:paraId="2865726B" w14:textId="77777777" w:rsidR="00D80916" w:rsidRPr="009C49CE" w:rsidRDefault="00D80916" w:rsidP="00BD540B">
      <w:pPr>
        <w:spacing w:before="100" w:beforeAutospacing="1" w:after="100" w:afterAutospacing="1" w:line="360" w:lineRule="auto"/>
        <w:rPr>
          <w:rFonts w:ascii="Arial" w:hAnsi="Arial" w:cs="Arial"/>
          <w:kern w:val="0"/>
          <w:sz w:val="22"/>
          <w:szCs w:val="22"/>
          <w14:ligatures w14:val="none"/>
        </w:rPr>
      </w:pPr>
    </w:p>
    <w:p w14:paraId="0AE851E6" w14:textId="77777777" w:rsidR="009C49CE" w:rsidRPr="00AA462B" w:rsidRDefault="009C49CE" w:rsidP="00BD540B">
      <w:pPr>
        <w:spacing w:line="360" w:lineRule="auto"/>
        <w:rPr>
          <w:rFonts w:ascii="Arial" w:hAnsi="Arial" w:cs="Arial"/>
          <w:sz w:val="22"/>
          <w:szCs w:val="22"/>
        </w:rPr>
      </w:pPr>
    </w:p>
    <w:sectPr w:rsidR="009C49CE" w:rsidRPr="00AA46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360A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A7F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F45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E70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64050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BD5D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DC03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0364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ED3B8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E6B7B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717702">
    <w:abstractNumId w:val="5"/>
  </w:num>
  <w:num w:numId="2" w16cid:durableId="393092089">
    <w:abstractNumId w:val="4"/>
  </w:num>
  <w:num w:numId="3" w16cid:durableId="1814060145">
    <w:abstractNumId w:val="7"/>
  </w:num>
  <w:num w:numId="4" w16cid:durableId="1266885317">
    <w:abstractNumId w:val="2"/>
  </w:num>
  <w:num w:numId="5" w16cid:durableId="725956796">
    <w:abstractNumId w:val="3"/>
  </w:num>
  <w:num w:numId="6" w16cid:durableId="284776906">
    <w:abstractNumId w:val="6"/>
  </w:num>
  <w:num w:numId="7" w16cid:durableId="734011883">
    <w:abstractNumId w:val="8"/>
  </w:num>
  <w:num w:numId="8" w16cid:durableId="448815939">
    <w:abstractNumId w:val="1"/>
  </w:num>
  <w:num w:numId="9" w16cid:durableId="2096245719">
    <w:abstractNumId w:val="9"/>
  </w:num>
  <w:num w:numId="10" w16cid:durableId="16112057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A5"/>
    <w:rsid w:val="00025528"/>
    <w:rsid w:val="00143F9D"/>
    <w:rsid w:val="004824EF"/>
    <w:rsid w:val="00572661"/>
    <w:rsid w:val="005C0AB5"/>
    <w:rsid w:val="00647CC6"/>
    <w:rsid w:val="0065620D"/>
    <w:rsid w:val="007777B7"/>
    <w:rsid w:val="00794AE9"/>
    <w:rsid w:val="00796494"/>
    <w:rsid w:val="00853784"/>
    <w:rsid w:val="008749A0"/>
    <w:rsid w:val="0089035E"/>
    <w:rsid w:val="00891E62"/>
    <w:rsid w:val="008A2D96"/>
    <w:rsid w:val="00905810"/>
    <w:rsid w:val="0094494B"/>
    <w:rsid w:val="00975481"/>
    <w:rsid w:val="009844E7"/>
    <w:rsid w:val="009C23ED"/>
    <w:rsid w:val="009C49CE"/>
    <w:rsid w:val="009D7880"/>
    <w:rsid w:val="00AA462B"/>
    <w:rsid w:val="00B279B0"/>
    <w:rsid w:val="00B35659"/>
    <w:rsid w:val="00B42106"/>
    <w:rsid w:val="00B67751"/>
    <w:rsid w:val="00B735AD"/>
    <w:rsid w:val="00B95EA5"/>
    <w:rsid w:val="00BD540B"/>
    <w:rsid w:val="00C10691"/>
    <w:rsid w:val="00C2714C"/>
    <w:rsid w:val="00C83DE1"/>
    <w:rsid w:val="00D5217A"/>
    <w:rsid w:val="00D80916"/>
    <w:rsid w:val="00E34DEB"/>
    <w:rsid w:val="00E419D7"/>
    <w:rsid w:val="00E47B6B"/>
    <w:rsid w:val="00E53610"/>
    <w:rsid w:val="00E60E3A"/>
    <w:rsid w:val="00EA2A33"/>
    <w:rsid w:val="00F90865"/>
    <w:rsid w:val="00FC647D"/>
    <w:rsid w:val="00FF3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97A19"/>
  <w15:chartTrackingRefBased/>
  <w15:docId w15:val="{755B5957-277A-BF46-8D64-5B322C006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E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E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5E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95E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E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E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5E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5E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5E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E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5E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5E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E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E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E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5E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5E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5EA5"/>
    <w:rPr>
      <w:rFonts w:eastAsiaTheme="majorEastAsia" w:cstheme="majorBidi"/>
      <w:color w:val="272727" w:themeColor="text1" w:themeTint="D8"/>
    </w:rPr>
  </w:style>
  <w:style w:type="paragraph" w:styleId="Title">
    <w:name w:val="Title"/>
    <w:basedOn w:val="Normal"/>
    <w:next w:val="Normal"/>
    <w:link w:val="TitleChar"/>
    <w:uiPriority w:val="10"/>
    <w:qFormat/>
    <w:rsid w:val="00B95E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E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E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E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5EA5"/>
    <w:pPr>
      <w:spacing w:before="160"/>
      <w:jc w:val="center"/>
    </w:pPr>
    <w:rPr>
      <w:i/>
      <w:iCs/>
      <w:color w:val="404040" w:themeColor="text1" w:themeTint="BF"/>
    </w:rPr>
  </w:style>
  <w:style w:type="character" w:customStyle="1" w:styleId="QuoteChar">
    <w:name w:val="Quote Char"/>
    <w:basedOn w:val="DefaultParagraphFont"/>
    <w:link w:val="Quote"/>
    <w:uiPriority w:val="29"/>
    <w:rsid w:val="00B95EA5"/>
    <w:rPr>
      <w:i/>
      <w:iCs/>
      <w:color w:val="404040" w:themeColor="text1" w:themeTint="BF"/>
    </w:rPr>
  </w:style>
  <w:style w:type="paragraph" w:styleId="ListParagraph">
    <w:name w:val="List Paragraph"/>
    <w:basedOn w:val="Normal"/>
    <w:uiPriority w:val="34"/>
    <w:qFormat/>
    <w:rsid w:val="00B95EA5"/>
    <w:pPr>
      <w:ind w:left="720"/>
      <w:contextualSpacing/>
    </w:pPr>
  </w:style>
  <w:style w:type="character" w:styleId="IntenseEmphasis">
    <w:name w:val="Intense Emphasis"/>
    <w:basedOn w:val="DefaultParagraphFont"/>
    <w:uiPriority w:val="21"/>
    <w:qFormat/>
    <w:rsid w:val="00B95EA5"/>
    <w:rPr>
      <w:i/>
      <w:iCs/>
      <w:color w:val="0F4761" w:themeColor="accent1" w:themeShade="BF"/>
    </w:rPr>
  </w:style>
  <w:style w:type="paragraph" w:styleId="IntenseQuote">
    <w:name w:val="Intense Quote"/>
    <w:basedOn w:val="Normal"/>
    <w:next w:val="Normal"/>
    <w:link w:val="IntenseQuoteChar"/>
    <w:uiPriority w:val="30"/>
    <w:qFormat/>
    <w:rsid w:val="00B95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5EA5"/>
    <w:rPr>
      <w:i/>
      <w:iCs/>
      <w:color w:val="0F4761" w:themeColor="accent1" w:themeShade="BF"/>
    </w:rPr>
  </w:style>
  <w:style w:type="character" w:styleId="IntenseReference">
    <w:name w:val="Intense Reference"/>
    <w:basedOn w:val="DefaultParagraphFont"/>
    <w:uiPriority w:val="32"/>
    <w:qFormat/>
    <w:rsid w:val="00B95EA5"/>
    <w:rPr>
      <w:b/>
      <w:bCs/>
      <w:smallCaps/>
      <w:color w:val="0F4761" w:themeColor="accent1" w:themeShade="BF"/>
      <w:spacing w:val="5"/>
    </w:rPr>
  </w:style>
  <w:style w:type="paragraph" w:customStyle="1" w:styleId="p1">
    <w:name w:val="p1"/>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B95EA5"/>
  </w:style>
  <w:style w:type="paragraph" w:customStyle="1" w:styleId="p2">
    <w:name w:val="p2"/>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95EA5"/>
  </w:style>
  <w:style w:type="paragraph" w:customStyle="1" w:styleId="p3">
    <w:name w:val="p3"/>
    <w:basedOn w:val="Normal"/>
    <w:rsid w:val="00B95EA5"/>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95EA5"/>
  </w:style>
  <w:style w:type="character" w:customStyle="1" w:styleId="s4">
    <w:name w:val="s4"/>
    <w:basedOn w:val="DefaultParagraphFont"/>
    <w:rsid w:val="00B95EA5"/>
  </w:style>
  <w:style w:type="table" w:styleId="TableGrid">
    <w:name w:val="Table Grid"/>
    <w:basedOn w:val="TableNormal"/>
    <w:uiPriority w:val="39"/>
    <w:rsid w:val="008903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3531</Words>
  <Characters>20127</Characters>
  <Application>Microsoft Office Word</Application>
  <DocSecurity>0</DocSecurity>
  <Lines>167</Lines>
  <Paragraphs>47</Paragraphs>
  <ScaleCrop>false</ScaleCrop>
  <Company/>
  <LinksUpToDate>false</LinksUpToDate>
  <CharactersWithSpaces>23611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14</cp:revision>
  <dcterms:created xsi:type="dcterms:W3CDTF">2025-11-17T01:16:00Z</dcterms:created>
  <dcterms:modified xsi:type="dcterms:W3CDTF">2025-11-17T02:04:00Z</dcterms:modified>
</cp:coreProperties>
</file>