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4725D" w:rsidRDefault="007E7DB9">
      <w:pPr>
        <w:rPr>
          <w:sz w:val="32"/>
        </w:rPr>
      </w:pPr>
      <w:r w:rsidRPr="007E7DB9">
        <w:rPr>
          <w:sz w:val="32"/>
        </w:rPr>
        <w:t>What does Paul Gilroy identify as the defining characteristics of ‘the Black Atlantic’? And why does Gilroy place imp</w:t>
      </w:r>
      <w:r>
        <w:rPr>
          <w:sz w:val="32"/>
        </w:rPr>
        <w:t>ortance of ships in his analysis?</w:t>
      </w:r>
    </w:p>
    <w:p w:rsidR="007E7DB9" w:rsidRDefault="00B03A61">
      <w:pPr>
        <w:rPr>
          <w:sz w:val="28"/>
        </w:rPr>
      </w:pPr>
      <w:r>
        <w:rPr>
          <w:sz w:val="28"/>
        </w:rPr>
        <w:t>Gilroy uses the term Black Atlantic to re</w:t>
      </w:r>
      <w:r w:rsidR="00931D84">
        <w:rPr>
          <w:sz w:val="28"/>
        </w:rPr>
        <w:t xml:space="preserve">fer to how the physical body of water, </w:t>
      </w:r>
      <w:r>
        <w:rPr>
          <w:sz w:val="28"/>
        </w:rPr>
        <w:t xml:space="preserve">the Atlantic, and </w:t>
      </w:r>
      <w:r w:rsidR="00931D84">
        <w:rPr>
          <w:sz w:val="28"/>
        </w:rPr>
        <w:t xml:space="preserve">how </w:t>
      </w:r>
      <w:r>
        <w:rPr>
          <w:sz w:val="28"/>
        </w:rPr>
        <w:t>those who ha</w:t>
      </w:r>
      <w:r w:rsidR="00931D84">
        <w:rPr>
          <w:sz w:val="28"/>
        </w:rPr>
        <w:t>ve travelled it</w:t>
      </w:r>
      <w:r w:rsidR="00C246F6">
        <w:rPr>
          <w:sz w:val="28"/>
        </w:rPr>
        <w:t xml:space="preserve"> have become a</w:t>
      </w:r>
      <w:r>
        <w:rPr>
          <w:sz w:val="28"/>
        </w:rPr>
        <w:t xml:space="preserve"> feature of modern society. The Atlantic as its own</w:t>
      </w:r>
      <w:r w:rsidR="00631A31">
        <w:rPr>
          <w:sz w:val="28"/>
        </w:rPr>
        <w:t xml:space="preserve"> physical</w:t>
      </w:r>
      <w:r>
        <w:rPr>
          <w:sz w:val="28"/>
        </w:rPr>
        <w:t xml:space="preserve"> entity is a vast ocean, where most of th</w:t>
      </w:r>
      <w:r w:rsidR="00631A31">
        <w:rPr>
          <w:sz w:val="28"/>
        </w:rPr>
        <w:t xml:space="preserve">e slaves were transported across it </w:t>
      </w:r>
      <w:r>
        <w:rPr>
          <w:sz w:val="28"/>
        </w:rPr>
        <w:t xml:space="preserve">from Africa to the </w:t>
      </w:r>
      <w:r w:rsidR="00C246F6">
        <w:rPr>
          <w:sz w:val="28"/>
        </w:rPr>
        <w:t>Caribbean</w:t>
      </w:r>
      <w:r>
        <w:rPr>
          <w:sz w:val="28"/>
        </w:rPr>
        <w:t xml:space="preserve"> or the Americas. </w:t>
      </w:r>
      <w:r w:rsidR="00C246F6">
        <w:rPr>
          <w:sz w:val="28"/>
        </w:rPr>
        <w:t xml:space="preserve">It is from this mass transportation of black persons </w:t>
      </w:r>
      <w:r w:rsidR="001E0935">
        <w:rPr>
          <w:sz w:val="28"/>
        </w:rPr>
        <w:t xml:space="preserve">across the Atlantic Ocean </w:t>
      </w:r>
      <w:r w:rsidR="00C246F6">
        <w:rPr>
          <w:sz w:val="28"/>
        </w:rPr>
        <w:t>that Gilroy uses t</w:t>
      </w:r>
      <w:r w:rsidR="001E0935">
        <w:rPr>
          <w:sz w:val="28"/>
        </w:rPr>
        <w:t xml:space="preserve">he term Black Atlantic to describe a race or culture of people who have </w:t>
      </w:r>
      <w:r w:rsidR="00631A31">
        <w:rPr>
          <w:sz w:val="28"/>
        </w:rPr>
        <w:t>been displaced in modern society; originally this displaced culture where taken from their ancestral home within Africa to live as a slave in the Americas, and many of those who became free moved to the UK or elsewhere and since had children to create later generations</w:t>
      </w:r>
      <w:r w:rsidR="001E0935">
        <w:rPr>
          <w:sz w:val="28"/>
        </w:rPr>
        <w:t xml:space="preserve">. Gilroy puts forward the idea that the later generations of </w:t>
      </w:r>
      <w:r w:rsidR="00631A31">
        <w:rPr>
          <w:sz w:val="28"/>
        </w:rPr>
        <w:t xml:space="preserve">these moved around </w:t>
      </w:r>
      <w:r w:rsidR="001E0935">
        <w:rPr>
          <w:sz w:val="28"/>
        </w:rPr>
        <w:t>black persons have been displaced of an identity</w:t>
      </w:r>
      <w:r w:rsidR="00631A31">
        <w:rPr>
          <w:sz w:val="28"/>
        </w:rPr>
        <w:t xml:space="preserve"> (as they have been living in completely different cultures)</w:t>
      </w:r>
      <w:r w:rsidR="001E0935">
        <w:rPr>
          <w:sz w:val="28"/>
        </w:rPr>
        <w:t>, so have become to be living with an ‘’unfinished identity’’</w:t>
      </w:r>
      <w:r w:rsidR="003475EC">
        <w:rPr>
          <w:rStyle w:val="FootnoteReference"/>
          <w:sz w:val="28"/>
        </w:rPr>
        <w:footnoteReference w:id="1"/>
      </w:r>
      <w:r w:rsidR="001E0935">
        <w:rPr>
          <w:sz w:val="28"/>
        </w:rPr>
        <w:t xml:space="preserve"> and have become part of the Black Atlantic </w:t>
      </w:r>
      <w:r w:rsidR="00715ED9">
        <w:rPr>
          <w:sz w:val="28"/>
        </w:rPr>
        <w:t xml:space="preserve">as their culture is a merging of aspects from cultures all over the Atlantic. </w:t>
      </w:r>
    </w:p>
    <w:p w:rsidR="00E66202" w:rsidRDefault="00E66202" w:rsidP="00E66202">
      <w:pPr>
        <w:rPr>
          <w:sz w:val="28"/>
        </w:rPr>
      </w:pPr>
      <w:r>
        <w:rPr>
          <w:sz w:val="28"/>
        </w:rPr>
        <w:t>Gilroy celebrates the fact that there has been a ‘’spectacular growth of cultural studies’’</w:t>
      </w:r>
      <w:r w:rsidR="003475EC">
        <w:rPr>
          <w:rStyle w:val="FootnoteReference"/>
          <w:sz w:val="28"/>
        </w:rPr>
        <w:footnoteReference w:id="2"/>
      </w:r>
      <w:r>
        <w:rPr>
          <w:sz w:val="28"/>
        </w:rPr>
        <w:t>, an academic discipline to educate and define different cultures, however Gilroy then goes on to criticize the discipline as often seemingly approaching the subject from a ‘’ethnocentri(c) and nationalis(tic)’’</w:t>
      </w:r>
      <w:r w:rsidR="003475EC">
        <w:rPr>
          <w:rStyle w:val="FootnoteReference"/>
          <w:sz w:val="28"/>
        </w:rPr>
        <w:footnoteReference w:id="3"/>
      </w:r>
      <w:r>
        <w:rPr>
          <w:sz w:val="28"/>
        </w:rPr>
        <w:t xml:space="preserve"> point of view. Gilroy also compares cultural studies to becoming an ‘’institutionalisation’’</w:t>
      </w:r>
      <w:r w:rsidR="003475EC">
        <w:rPr>
          <w:rStyle w:val="FootnoteReference"/>
          <w:sz w:val="28"/>
        </w:rPr>
        <w:footnoteReference w:id="4"/>
      </w:r>
      <w:r>
        <w:rPr>
          <w:sz w:val="28"/>
        </w:rPr>
        <w:t xml:space="preserve"> of culture, and therefore race, from a perspective of ‘’Englishness’’</w:t>
      </w:r>
      <w:r w:rsidR="003475EC">
        <w:rPr>
          <w:rStyle w:val="FootnoteReference"/>
          <w:sz w:val="28"/>
        </w:rPr>
        <w:footnoteReference w:id="5"/>
      </w:r>
      <w:r>
        <w:rPr>
          <w:sz w:val="28"/>
        </w:rPr>
        <w:t xml:space="preserve"> connotating that only a few different cultures are being studied, hence Gilroy criticises who is ‘’being studied’’</w:t>
      </w:r>
      <w:r w:rsidR="003475EC">
        <w:rPr>
          <w:rStyle w:val="FootnoteReference"/>
          <w:sz w:val="28"/>
        </w:rPr>
        <w:footnoteReference w:id="6"/>
      </w:r>
      <w:r>
        <w:rPr>
          <w:sz w:val="28"/>
        </w:rPr>
        <w:t>. Gilroy also suggests that the previous treatment of black as being considered ‘’excluded’’ or ‘’non-humans’’</w:t>
      </w:r>
      <w:r w:rsidR="003475EC">
        <w:rPr>
          <w:rStyle w:val="FootnoteReference"/>
          <w:sz w:val="28"/>
        </w:rPr>
        <w:footnoteReference w:id="7"/>
      </w:r>
      <w:r>
        <w:rPr>
          <w:sz w:val="28"/>
        </w:rPr>
        <w:t xml:space="preserve"> is what has led to them being studied as a different, or outsider culture, compared to those who have mostly created modern educational subject and topics. Gilroy</w:t>
      </w:r>
      <w:r>
        <w:rPr>
          <w:sz w:val="28"/>
        </w:rPr>
        <w:t xml:space="preserve"> also</w:t>
      </w:r>
      <w:r>
        <w:rPr>
          <w:sz w:val="28"/>
        </w:rPr>
        <w:t xml:space="preserve"> rejects the ideas of Marxism as he states that it </w:t>
      </w:r>
      <w:r>
        <w:rPr>
          <w:sz w:val="28"/>
        </w:rPr>
        <w:lastRenderedPageBreak/>
        <w:t>allows for only a ‘’national’’</w:t>
      </w:r>
      <w:r w:rsidR="003475EC">
        <w:rPr>
          <w:rStyle w:val="FootnoteReference"/>
          <w:sz w:val="28"/>
        </w:rPr>
        <w:footnoteReference w:id="8"/>
      </w:r>
      <w:r>
        <w:rPr>
          <w:sz w:val="28"/>
        </w:rPr>
        <w:t xml:space="preserve"> identity and does not allow for</w:t>
      </w:r>
      <w:r>
        <w:rPr>
          <w:sz w:val="28"/>
        </w:rPr>
        <w:t xml:space="preserve"> a racial or cultural identity and could once again create the issues of which culture is normal and which is being studied. </w:t>
      </w:r>
    </w:p>
    <w:p w:rsidR="00DE5051" w:rsidRDefault="00E66202">
      <w:pPr>
        <w:rPr>
          <w:sz w:val="28"/>
        </w:rPr>
      </w:pPr>
      <w:r>
        <w:rPr>
          <w:sz w:val="28"/>
        </w:rPr>
        <w:t>Another reason Gilroy puts forward as the reason for the unclear nature and identity of those whose pasts have involved the Black Atlantic is that there has been a conception of ‘’purity of cultures’’</w:t>
      </w:r>
      <w:r w:rsidR="003475EC">
        <w:rPr>
          <w:rStyle w:val="FootnoteReference"/>
          <w:sz w:val="28"/>
        </w:rPr>
        <w:footnoteReference w:id="9"/>
      </w:r>
      <w:r>
        <w:rPr>
          <w:sz w:val="28"/>
        </w:rPr>
        <w:t xml:space="preserve"> which suggests that each culture has its own set of definitions as if it were to be neatly categorised and studied, yet Gilroy suggests that this is not the case; ‘’nationality and ethnicity’’</w:t>
      </w:r>
      <w:r w:rsidR="003475EC">
        <w:rPr>
          <w:rStyle w:val="FootnoteReference"/>
          <w:sz w:val="28"/>
        </w:rPr>
        <w:footnoteReference w:id="10"/>
      </w:r>
      <w:r>
        <w:rPr>
          <w:sz w:val="28"/>
        </w:rPr>
        <w:t xml:space="preserve"> are completely separate from each other and often have categorised in the actual ‘’complex … post-colonial histories’’</w:t>
      </w:r>
      <w:r w:rsidR="003475EC">
        <w:rPr>
          <w:rStyle w:val="FootnoteReference"/>
          <w:sz w:val="28"/>
        </w:rPr>
        <w:footnoteReference w:id="11"/>
      </w:r>
      <w:r>
        <w:rPr>
          <w:sz w:val="28"/>
        </w:rPr>
        <w:t xml:space="preserve">. Gilroy also suggests that the meanings and definitions of race and culture have been switched in </w:t>
      </w:r>
      <w:r>
        <w:rPr>
          <w:sz w:val="28"/>
        </w:rPr>
        <w:t>more recent academic discourse.</w:t>
      </w:r>
    </w:p>
    <w:p w:rsidR="00CE1AC5" w:rsidRDefault="00CE1AC5">
      <w:pPr>
        <w:rPr>
          <w:sz w:val="28"/>
        </w:rPr>
      </w:pPr>
      <w:r>
        <w:rPr>
          <w:sz w:val="28"/>
        </w:rPr>
        <w:t>Gilroy uses the image of a Ship in his analysis frequently and does so as he identifies that the ship is an ‘’living, micro-political, micro-cultural system in motion’’</w:t>
      </w:r>
      <w:r w:rsidR="003475EC">
        <w:rPr>
          <w:rStyle w:val="FootnoteReference"/>
          <w:sz w:val="28"/>
        </w:rPr>
        <w:footnoteReference w:id="12"/>
      </w:r>
      <w:r>
        <w:rPr>
          <w:sz w:val="28"/>
        </w:rPr>
        <w:t xml:space="preserve"> which alludes to the identity of being black has its own ‘system’ within a national culture that is forever changing direction in the politics of daily life</w:t>
      </w:r>
      <w:r w:rsidR="00BD3378">
        <w:rPr>
          <w:sz w:val="28"/>
        </w:rPr>
        <w:t>. Gilroy in his own words suggests that he had ‘’to make an intellectual journey across the Atlantic’’</w:t>
      </w:r>
      <w:r w:rsidR="003475EC">
        <w:rPr>
          <w:rStyle w:val="FootnoteReference"/>
          <w:sz w:val="28"/>
        </w:rPr>
        <w:footnoteReference w:id="13"/>
      </w:r>
      <w:r w:rsidR="00BD3378">
        <w:rPr>
          <w:sz w:val="28"/>
        </w:rPr>
        <w:t>, again using the idea of travel and ships to make his point.</w:t>
      </w:r>
    </w:p>
    <w:p w:rsidR="00EE3DB6" w:rsidRDefault="00F07A1E">
      <w:pPr>
        <w:rPr>
          <w:sz w:val="28"/>
        </w:rPr>
      </w:pPr>
      <w:r>
        <w:rPr>
          <w:sz w:val="28"/>
        </w:rPr>
        <w:t>One of the people Gilroy focusses on is James Wedderburn who was a born from a slave but managed to live outside of becoming a slave who later wrote against slavery and ideas of how slaves were to ‘’murder their masters’’</w:t>
      </w:r>
      <w:r w:rsidR="003475EC">
        <w:rPr>
          <w:rStyle w:val="FootnoteReference"/>
          <w:sz w:val="28"/>
        </w:rPr>
        <w:footnoteReference w:id="14"/>
      </w:r>
      <w:r>
        <w:rPr>
          <w:sz w:val="28"/>
        </w:rPr>
        <w:t>. Despite this, Wedderburn had also been a sailor who had travelled rather globally on ships, one of Gilroy’s main images throughout his text, and Gilroy has suggested that Wedderburn had understood, and was important in. the ‘’politics and poetics of the black Atlantic world’’</w:t>
      </w:r>
      <w:r w:rsidR="003475EC">
        <w:rPr>
          <w:rStyle w:val="FootnoteReference"/>
          <w:sz w:val="28"/>
        </w:rPr>
        <w:footnoteReference w:id="15"/>
      </w:r>
      <w:r>
        <w:rPr>
          <w:sz w:val="28"/>
        </w:rPr>
        <w:t xml:space="preserve">. </w:t>
      </w:r>
      <w:r w:rsidR="00721259">
        <w:rPr>
          <w:sz w:val="28"/>
        </w:rPr>
        <w:t xml:space="preserve"> Wedderburn had further connections with the Black Atlantic as the physical, as he was also a privateer in the Royal Navy; there were a substantial of Africans, blacks or ex-slaves in </w:t>
      </w:r>
      <w:r w:rsidR="00721259">
        <w:rPr>
          <w:sz w:val="28"/>
        </w:rPr>
        <w:lastRenderedPageBreak/>
        <w:t>the royal navy during the 18</w:t>
      </w:r>
      <w:r w:rsidR="00721259" w:rsidRPr="00721259">
        <w:rPr>
          <w:sz w:val="28"/>
          <w:vertAlign w:val="superscript"/>
        </w:rPr>
        <w:t>th</w:t>
      </w:r>
      <w:r w:rsidR="00721259">
        <w:rPr>
          <w:sz w:val="28"/>
        </w:rPr>
        <w:t xml:space="preserve"> century, up to a quarter of navy </w:t>
      </w:r>
      <w:r w:rsidR="008E3FCC">
        <w:rPr>
          <w:sz w:val="28"/>
        </w:rPr>
        <w:t>members</w:t>
      </w:r>
      <w:r w:rsidR="00721259">
        <w:rPr>
          <w:sz w:val="28"/>
        </w:rPr>
        <w:t xml:space="preserve"> were black according to Gilroy</w:t>
      </w:r>
      <w:r w:rsidR="003475EC">
        <w:rPr>
          <w:rStyle w:val="FootnoteReference"/>
          <w:sz w:val="28"/>
        </w:rPr>
        <w:footnoteReference w:id="16"/>
      </w:r>
      <w:r w:rsidR="00721259">
        <w:rPr>
          <w:sz w:val="28"/>
        </w:rPr>
        <w:t xml:space="preserve">. </w:t>
      </w:r>
    </w:p>
    <w:p w:rsidR="00993C0B" w:rsidRDefault="001F4128">
      <w:pPr>
        <w:rPr>
          <w:sz w:val="28"/>
        </w:rPr>
      </w:pPr>
      <w:r>
        <w:rPr>
          <w:sz w:val="28"/>
        </w:rPr>
        <w:t xml:space="preserve">Gilroy focusses on the JMW Turner painting of the Slave Ship as a key image of his analysis, again as part of the ship motif. </w:t>
      </w:r>
      <w:r w:rsidR="006962D8">
        <w:rPr>
          <w:sz w:val="28"/>
        </w:rPr>
        <w:t xml:space="preserve">This particular painting was important to the arguments against slavery; it showed the throwing overboard of slaves which is suggested to be a representation of the </w:t>
      </w:r>
      <w:proofErr w:type="spellStart"/>
      <w:r w:rsidR="006962D8">
        <w:rPr>
          <w:sz w:val="28"/>
        </w:rPr>
        <w:t>Zong</w:t>
      </w:r>
      <w:proofErr w:type="spellEnd"/>
      <w:r w:rsidR="00911B71">
        <w:rPr>
          <w:sz w:val="28"/>
        </w:rPr>
        <w:t xml:space="preserve"> slave ship</w:t>
      </w:r>
      <w:r w:rsidR="006962D8">
        <w:rPr>
          <w:sz w:val="28"/>
        </w:rPr>
        <w:t xml:space="preserve"> insurance claim incident and was premiered at an anti-slavery convention in London. </w:t>
      </w:r>
      <w:r w:rsidR="00993C0B">
        <w:rPr>
          <w:sz w:val="28"/>
        </w:rPr>
        <w:t xml:space="preserve">Another way Gilroy uses the image of the ship is to suggest that </w:t>
      </w:r>
      <w:r w:rsidR="00911B71">
        <w:rPr>
          <w:sz w:val="28"/>
        </w:rPr>
        <w:t>it</w:t>
      </w:r>
      <w:r w:rsidR="00993C0B">
        <w:rPr>
          <w:sz w:val="28"/>
        </w:rPr>
        <w:t xml:space="preserve"> also represents the middle passage that slaves undertook, </w:t>
      </w:r>
      <w:r w:rsidR="00FA2729">
        <w:rPr>
          <w:sz w:val="28"/>
        </w:rPr>
        <w:t>leading to the supposed misplaced identities of the blacks, that has created the ‘’African diaspora … in the western hemisphere’’</w:t>
      </w:r>
      <w:r w:rsidR="00441F5D">
        <w:rPr>
          <w:rStyle w:val="FootnoteReference"/>
          <w:sz w:val="28"/>
        </w:rPr>
        <w:footnoteReference w:id="17"/>
      </w:r>
      <w:r w:rsidR="00FA2729">
        <w:rPr>
          <w:sz w:val="28"/>
        </w:rPr>
        <w:t>.</w:t>
      </w:r>
      <w:r w:rsidR="00911B71">
        <w:rPr>
          <w:sz w:val="28"/>
        </w:rPr>
        <w:t xml:space="preserve"> Again, it is through the ship </w:t>
      </w:r>
      <w:r w:rsidR="008F6B7D">
        <w:rPr>
          <w:sz w:val="28"/>
        </w:rPr>
        <w:t xml:space="preserve">imagery that </w:t>
      </w:r>
      <w:r w:rsidR="00911B71">
        <w:rPr>
          <w:sz w:val="28"/>
        </w:rPr>
        <w:t>Gilroy suggests that the middle passage was important to ‘’modernisation’’</w:t>
      </w:r>
      <w:r w:rsidR="00441F5D">
        <w:rPr>
          <w:rStyle w:val="FootnoteReference"/>
          <w:sz w:val="28"/>
        </w:rPr>
        <w:footnoteReference w:id="18"/>
      </w:r>
      <w:r w:rsidR="00911B71">
        <w:rPr>
          <w:sz w:val="28"/>
        </w:rPr>
        <w:t xml:space="preserve"> and that the unstill</w:t>
      </w:r>
      <w:r w:rsidR="008F6B7D">
        <w:rPr>
          <w:sz w:val="28"/>
        </w:rPr>
        <w:t>,</w:t>
      </w:r>
      <w:r w:rsidR="00911B71">
        <w:rPr>
          <w:sz w:val="28"/>
        </w:rPr>
        <w:t xml:space="preserve"> constantly moving</w:t>
      </w:r>
      <w:r w:rsidR="008F6B7D">
        <w:rPr>
          <w:sz w:val="28"/>
        </w:rPr>
        <w:t>,</w:t>
      </w:r>
      <w:r w:rsidR="00911B71">
        <w:rPr>
          <w:sz w:val="28"/>
        </w:rPr>
        <w:t xml:space="preserve"> nature of the ship can suggest that modernity is not simple</w:t>
      </w:r>
      <w:r w:rsidR="008F6B7D">
        <w:rPr>
          <w:sz w:val="28"/>
        </w:rPr>
        <w:t xml:space="preserve"> but constantly changing in definitions. </w:t>
      </w:r>
    </w:p>
    <w:p w:rsidR="00705FEE" w:rsidRDefault="00705FEE">
      <w:pPr>
        <w:rPr>
          <w:sz w:val="28"/>
        </w:rPr>
      </w:pPr>
      <w:r>
        <w:rPr>
          <w:sz w:val="28"/>
        </w:rPr>
        <w:t xml:space="preserve">In conclusion, Gilroy explains how the Black Atlantic has created its own problems of a displaced culture and how the motif of a travelling ship can be used as a comparison to the problems. </w:t>
      </w:r>
    </w:p>
    <w:p w:rsidR="00D657C9" w:rsidRDefault="00D657C9">
      <w:pPr>
        <w:rPr>
          <w:sz w:val="28"/>
        </w:rPr>
      </w:pPr>
    </w:p>
    <w:p w:rsidR="00D657C9" w:rsidRDefault="00D657C9">
      <w:pPr>
        <w:rPr>
          <w:sz w:val="28"/>
        </w:rPr>
      </w:pPr>
    </w:p>
    <w:p w:rsidR="00D657C9" w:rsidRDefault="00D657C9">
      <w:pPr>
        <w:rPr>
          <w:sz w:val="28"/>
        </w:rPr>
      </w:pPr>
      <w:bookmarkStart w:id="0" w:name="_GoBack"/>
      <w:bookmarkEnd w:id="0"/>
    </w:p>
    <w:p w:rsidR="00D657C9" w:rsidRDefault="00D657C9">
      <w:pPr>
        <w:rPr>
          <w:sz w:val="28"/>
        </w:rPr>
      </w:pPr>
      <w:r>
        <w:rPr>
          <w:sz w:val="28"/>
        </w:rPr>
        <w:t>Bibliography;</w:t>
      </w:r>
    </w:p>
    <w:p w:rsidR="00D657C9" w:rsidRDefault="00D657C9">
      <w:pPr>
        <w:rPr>
          <w:sz w:val="28"/>
        </w:rPr>
      </w:pPr>
    </w:p>
    <w:p w:rsidR="00D657C9" w:rsidRDefault="00D657C9">
      <w:pPr>
        <w:rPr>
          <w:color w:val="000000"/>
          <w:sz w:val="28"/>
          <w:szCs w:val="29"/>
          <w:shd w:val="clear" w:color="auto" w:fill="FFFFFF"/>
        </w:rPr>
      </w:pPr>
      <w:r w:rsidRPr="00D657C9">
        <w:rPr>
          <w:color w:val="000000"/>
          <w:sz w:val="28"/>
          <w:szCs w:val="29"/>
          <w:shd w:val="clear" w:color="auto" w:fill="FFFFFF"/>
        </w:rPr>
        <w:t>Gilroy</w:t>
      </w:r>
      <w:r>
        <w:rPr>
          <w:color w:val="000000"/>
          <w:sz w:val="28"/>
          <w:szCs w:val="29"/>
          <w:shd w:val="clear" w:color="auto" w:fill="FFFFFF"/>
        </w:rPr>
        <w:t>,</w:t>
      </w:r>
      <w:r w:rsidRPr="00D657C9">
        <w:rPr>
          <w:color w:val="000000"/>
          <w:sz w:val="28"/>
          <w:szCs w:val="29"/>
          <w:shd w:val="clear" w:color="auto" w:fill="FFFFFF"/>
        </w:rPr>
        <w:t xml:space="preserve"> </w:t>
      </w:r>
      <w:r w:rsidRPr="00D657C9">
        <w:rPr>
          <w:color w:val="000000"/>
          <w:sz w:val="28"/>
          <w:szCs w:val="29"/>
          <w:shd w:val="clear" w:color="auto" w:fill="FFFFFF"/>
        </w:rPr>
        <w:t>Paul, </w:t>
      </w:r>
      <w:proofErr w:type="gramStart"/>
      <w:r w:rsidRPr="00D657C9">
        <w:rPr>
          <w:i/>
          <w:iCs/>
          <w:color w:val="000000"/>
          <w:sz w:val="28"/>
          <w:szCs w:val="29"/>
          <w:shd w:val="clear" w:color="auto" w:fill="FFFFFF"/>
        </w:rPr>
        <w:t>The</w:t>
      </w:r>
      <w:proofErr w:type="gramEnd"/>
      <w:r w:rsidRPr="00D657C9">
        <w:rPr>
          <w:i/>
          <w:iCs/>
          <w:color w:val="000000"/>
          <w:sz w:val="28"/>
          <w:szCs w:val="29"/>
          <w:shd w:val="clear" w:color="auto" w:fill="FFFFFF"/>
        </w:rPr>
        <w:t xml:space="preserve"> Black Atlantic:</w:t>
      </w:r>
      <w:r w:rsidR="00F539F1">
        <w:rPr>
          <w:i/>
          <w:iCs/>
          <w:color w:val="000000"/>
          <w:sz w:val="28"/>
          <w:szCs w:val="29"/>
          <w:shd w:val="clear" w:color="auto" w:fill="FFFFFF"/>
        </w:rPr>
        <w:t xml:space="preserve"> </w:t>
      </w:r>
      <w:r w:rsidRPr="00D657C9">
        <w:rPr>
          <w:i/>
          <w:iCs/>
          <w:color w:val="000000"/>
          <w:sz w:val="28"/>
          <w:szCs w:val="29"/>
          <w:shd w:val="clear" w:color="auto" w:fill="FFFFFF"/>
        </w:rPr>
        <w:t>Modernity and Double Consciousness</w:t>
      </w:r>
      <w:r w:rsidRPr="00D657C9">
        <w:rPr>
          <w:color w:val="000000"/>
          <w:sz w:val="28"/>
          <w:szCs w:val="29"/>
          <w:shd w:val="clear" w:color="auto" w:fill="FFFFFF"/>
        </w:rPr>
        <w:t> (London: Verso, 1993).</w:t>
      </w:r>
    </w:p>
    <w:p w:rsidR="00D657C9" w:rsidRPr="00D657C9" w:rsidRDefault="00D657C9">
      <w:pPr>
        <w:rPr>
          <w:sz w:val="24"/>
        </w:rPr>
      </w:pPr>
      <w:r w:rsidRPr="00D657C9">
        <w:rPr>
          <w:color w:val="000000"/>
          <w:sz w:val="28"/>
          <w:szCs w:val="29"/>
        </w:rPr>
        <w:br/>
      </w:r>
      <w:r w:rsidRPr="00D657C9">
        <w:rPr>
          <w:color w:val="000000"/>
          <w:sz w:val="28"/>
          <w:szCs w:val="29"/>
          <w:shd w:val="clear" w:color="auto" w:fill="FFFFFF"/>
        </w:rPr>
        <w:t>J</w:t>
      </w:r>
      <w:r>
        <w:rPr>
          <w:color w:val="000000"/>
          <w:sz w:val="28"/>
          <w:szCs w:val="29"/>
          <w:shd w:val="clear" w:color="auto" w:fill="FFFFFF"/>
        </w:rPr>
        <w:t>.</w:t>
      </w:r>
      <w:r w:rsidRPr="00D657C9">
        <w:rPr>
          <w:color w:val="000000"/>
          <w:sz w:val="28"/>
          <w:szCs w:val="29"/>
          <w:shd w:val="clear" w:color="auto" w:fill="FFFFFF"/>
        </w:rPr>
        <w:t xml:space="preserve"> </w:t>
      </w:r>
      <w:proofErr w:type="spellStart"/>
      <w:r w:rsidRPr="00D657C9">
        <w:rPr>
          <w:color w:val="000000"/>
          <w:sz w:val="28"/>
          <w:szCs w:val="29"/>
          <w:shd w:val="clear" w:color="auto" w:fill="FFFFFF"/>
        </w:rPr>
        <w:t>Klarman</w:t>
      </w:r>
      <w:proofErr w:type="spellEnd"/>
      <w:r>
        <w:rPr>
          <w:color w:val="000000"/>
          <w:sz w:val="28"/>
          <w:szCs w:val="29"/>
          <w:shd w:val="clear" w:color="auto" w:fill="FFFFFF"/>
        </w:rPr>
        <w:t>,</w:t>
      </w:r>
      <w:r w:rsidRPr="00D657C9">
        <w:rPr>
          <w:color w:val="000000"/>
          <w:sz w:val="28"/>
          <w:szCs w:val="29"/>
          <w:shd w:val="clear" w:color="auto" w:fill="FFFFFF"/>
        </w:rPr>
        <w:t xml:space="preserve"> </w:t>
      </w:r>
      <w:r w:rsidRPr="00D657C9">
        <w:rPr>
          <w:color w:val="000000"/>
          <w:sz w:val="28"/>
          <w:szCs w:val="29"/>
          <w:shd w:val="clear" w:color="auto" w:fill="FFFFFF"/>
        </w:rPr>
        <w:t>Brian, 'How to Read the Black Atlantic', </w:t>
      </w:r>
      <w:proofErr w:type="spellStart"/>
      <w:r w:rsidRPr="00D657C9">
        <w:rPr>
          <w:i/>
          <w:iCs/>
          <w:color w:val="000000"/>
          <w:sz w:val="28"/>
          <w:szCs w:val="29"/>
          <w:shd w:val="clear" w:color="auto" w:fill="FFFFFF"/>
        </w:rPr>
        <w:t>Clamantis</w:t>
      </w:r>
      <w:proofErr w:type="spellEnd"/>
      <w:r w:rsidRPr="00D657C9">
        <w:rPr>
          <w:i/>
          <w:iCs/>
          <w:color w:val="000000"/>
          <w:sz w:val="28"/>
          <w:szCs w:val="29"/>
          <w:shd w:val="clear" w:color="auto" w:fill="FFFFFF"/>
        </w:rPr>
        <w:t>: The MALS Journal</w:t>
      </w:r>
      <w:r w:rsidRPr="00D657C9">
        <w:rPr>
          <w:color w:val="000000"/>
          <w:sz w:val="28"/>
          <w:szCs w:val="29"/>
          <w:shd w:val="clear" w:color="auto" w:fill="FFFFFF"/>
        </w:rPr>
        <w:t>, 1.3, (2017)</w:t>
      </w:r>
      <w:r w:rsidRPr="00D657C9">
        <w:rPr>
          <w:color w:val="000000"/>
          <w:sz w:val="28"/>
          <w:szCs w:val="29"/>
          <w:shd w:val="clear" w:color="auto" w:fill="FFFFFF"/>
        </w:rPr>
        <w:t>.</w:t>
      </w:r>
    </w:p>
    <w:sectPr w:rsidR="00D657C9" w:rsidRPr="00D657C9">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F5CC4" w:rsidRDefault="00CF5CC4" w:rsidP="007E7DB9">
      <w:pPr>
        <w:spacing w:after="0" w:line="240" w:lineRule="auto"/>
      </w:pPr>
      <w:r>
        <w:separator/>
      </w:r>
    </w:p>
  </w:endnote>
  <w:endnote w:type="continuationSeparator" w:id="0">
    <w:p w:rsidR="00CF5CC4" w:rsidRDefault="00CF5CC4" w:rsidP="007E7D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F5CC4" w:rsidRDefault="00CF5CC4" w:rsidP="007E7DB9">
      <w:pPr>
        <w:spacing w:after="0" w:line="240" w:lineRule="auto"/>
      </w:pPr>
      <w:r>
        <w:separator/>
      </w:r>
    </w:p>
  </w:footnote>
  <w:footnote w:type="continuationSeparator" w:id="0">
    <w:p w:rsidR="00CF5CC4" w:rsidRDefault="00CF5CC4" w:rsidP="007E7DB9">
      <w:pPr>
        <w:spacing w:after="0" w:line="240" w:lineRule="auto"/>
      </w:pPr>
      <w:r>
        <w:continuationSeparator/>
      </w:r>
    </w:p>
  </w:footnote>
  <w:footnote w:id="1">
    <w:p w:rsidR="003475EC" w:rsidRPr="003475EC" w:rsidRDefault="003475EC" w:rsidP="003475EC">
      <w:pPr>
        <w:rPr>
          <w:color w:val="000000"/>
          <w:szCs w:val="29"/>
          <w:shd w:val="clear" w:color="auto" w:fill="FFFFFF"/>
        </w:rPr>
      </w:pPr>
      <w:r>
        <w:rPr>
          <w:rStyle w:val="FootnoteReference"/>
        </w:rPr>
        <w:footnoteRef/>
      </w:r>
      <w:r>
        <w:t xml:space="preserve"> </w:t>
      </w:r>
      <w:r w:rsidRPr="003475EC">
        <w:rPr>
          <w:color w:val="000000"/>
          <w:sz w:val="20"/>
          <w:szCs w:val="29"/>
          <w:shd w:val="clear" w:color="auto" w:fill="FFFFFF"/>
        </w:rPr>
        <w:t>Gilroy, Paul, </w:t>
      </w:r>
      <w:proofErr w:type="gramStart"/>
      <w:r w:rsidRPr="003475EC">
        <w:rPr>
          <w:i/>
          <w:iCs/>
          <w:color w:val="000000"/>
          <w:sz w:val="20"/>
          <w:szCs w:val="29"/>
          <w:shd w:val="clear" w:color="auto" w:fill="FFFFFF"/>
        </w:rPr>
        <w:t>The</w:t>
      </w:r>
      <w:proofErr w:type="gramEnd"/>
      <w:r w:rsidRPr="003475EC">
        <w:rPr>
          <w:i/>
          <w:iCs/>
          <w:color w:val="000000"/>
          <w:sz w:val="20"/>
          <w:szCs w:val="29"/>
          <w:shd w:val="clear" w:color="auto" w:fill="FFFFFF"/>
        </w:rPr>
        <w:t xml:space="preserve"> Black Atlantic: Modernity and Double Consciousness</w:t>
      </w:r>
      <w:r w:rsidRPr="003475EC">
        <w:rPr>
          <w:color w:val="000000"/>
          <w:sz w:val="20"/>
          <w:szCs w:val="29"/>
          <w:shd w:val="clear" w:color="auto" w:fill="FFFFFF"/>
        </w:rPr>
        <w:t> (London: Verso, 1993).</w:t>
      </w:r>
      <w:r w:rsidRPr="003475EC">
        <w:rPr>
          <w:color w:val="000000"/>
          <w:sz w:val="20"/>
          <w:szCs w:val="29"/>
          <w:shd w:val="clear" w:color="auto" w:fill="FFFFFF"/>
        </w:rPr>
        <w:t xml:space="preserve"> Pg.1.</w:t>
      </w:r>
    </w:p>
  </w:footnote>
  <w:footnote w:id="2">
    <w:p w:rsidR="003475EC" w:rsidRPr="003475EC" w:rsidRDefault="003475EC">
      <w:pPr>
        <w:pStyle w:val="FootnoteText"/>
        <w:rPr>
          <w:lang w:val="en-US"/>
        </w:rPr>
      </w:pPr>
      <w:r>
        <w:rPr>
          <w:rStyle w:val="FootnoteReference"/>
        </w:rPr>
        <w:footnoteRef/>
      </w:r>
      <w:r>
        <w:t xml:space="preserve"> </w:t>
      </w:r>
      <w:r>
        <w:rPr>
          <w:lang w:val="en-US"/>
        </w:rPr>
        <w:t>Gilroy, pg. 5.</w:t>
      </w:r>
    </w:p>
  </w:footnote>
  <w:footnote w:id="3">
    <w:p w:rsidR="003475EC" w:rsidRPr="003475EC" w:rsidRDefault="003475EC">
      <w:pPr>
        <w:pStyle w:val="FootnoteText"/>
        <w:rPr>
          <w:lang w:val="en-US"/>
        </w:rPr>
      </w:pPr>
      <w:r>
        <w:rPr>
          <w:rStyle w:val="FootnoteReference"/>
        </w:rPr>
        <w:footnoteRef/>
      </w:r>
      <w:r>
        <w:t xml:space="preserve"> </w:t>
      </w:r>
      <w:r>
        <w:rPr>
          <w:lang w:val="en-US"/>
        </w:rPr>
        <w:t>Gilroy, pg. 5.</w:t>
      </w:r>
    </w:p>
  </w:footnote>
  <w:footnote w:id="4">
    <w:p w:rsidR="003475EC" w:rsidRPr="003475EC" w:rsidRDefault="003475EC">
      <w:pPr>
        <w:pStyle w:val="FootnoteText"/>
        <w:rPr>
          <w:lang w:val="en-US"/>
        </w:rPr>
      </w:pPr>
      <w:r>
        <w:rPr>
          <w:rStyle w:val="FootnoteReference"/>
        </w:rPr>
        <w:footnoteRef/>
      </w:r>
      <w:r>
        <w:t xml:space="preserve"> </w:t>
      </w:r>
      <w:r>
        <w:rPr>
          <w:lang w:val="en-US"/>
        </w:rPr>
        <w:t>Gilroy, pg. 5.</w:t>
      </w:r>
    </w:p>
  </w:footnote>
  <w:footnote w:id="5">
    <w:p w:rsidR="003475EC" w:rsidRPr="003475EC" w:rsidRDefault="003475EC">
      <w:pPr>
        <w:pStyle w:val="FootnoteText"/>
        <w:rPr>
          <w:lang w:val="en-US"/>
        </w:rPr>
      </w:pPr>
      <w:r>
        <w:rPr>
          <w:rStyle w:val="FootnoteReference"/>
        </w:rPr>
        <w:footnoteRef/>
      </w:r>
      <w:r>
        <w:t xml:space="preserve"> </w:t>
      </w:r>
      <w:r>
        <w:rPr>
          <w:lang w:val="en-US"/>
        </w:rPr>
        <w:t>Gilroy, pg. 5.</w:t>
      </w:r>
    </w:p>
  </w:footnote>
  <w:footnote w:id="6">
    <w:p w:rsidR="003475EC" w:rsidRPr="003475EC" w:rsidRDefault="003475EC">
      <w:pPr>
        <w:pStyle w:val="FootnoteText"/>
        <w:rPr>
          <w:lang w:val="en-US"/>
        </w:rPr>
      </w:pPr>
      <w:r>
        <w:rPr>
          <w:rStyle w:val="FootnoteReference"/>
        </w:rPr>
        <w:footnoteRef/>
      </w:r>
      <w:r>
        <w:t xml:space="preserve"> </w:t>
      </w:r>
      <w:r>
        <w:rPr>
          <w:lang w:val="en-US"/>
        </w:rPr>
        <w:t>Gilroy, pg. 5.</w:t>
      </w:r>
    </w:p>
  </w:footnote>
  <w:footnote w:id="7">
    <w:p w:rsidR="003475EC" w:rsidRPr="003475EC" w:rsidRDefault="003475EC">
      <w:pPr>
        <w:pStyle w:val="FootnoteText"/>
        <w:rPr>
          <w:lang w:val="en-US"/>
        </w:rPr>
      </w:pPr>
      <w:r>
        <w:rPr>
          <w:rStyle w:val="FootnoteReference"/>
        </w:rPr>
        <w:footnoteRef/>
      </w:r>
      <w:r>
        <w:t xml:space="preserve"> </w:t>
      </w:r>
      <w:r>
        <w:rPr>
          <w:lang w:val="en-US"/>
        </w:rPr>
        <w:t>Gilroy, pg. 6.</w:t>
      </w:r>
    </w:p>
  </w:footnote>
  <w:footnote w:id="8">
    <w:p w:rsidR="003475EC" w:rsidRPr="003475EC" w:rsidRDefault="003475EC">
      <w:pPr>
        <w:pStyle w:val="FootnoteText"/>
        <w:rPr>
          <w:lang w:val="en-US"/>
        </w:rPr>
      </w:pPr>
      <w:r>
        <w:rPr>
          <w:rStyle w:val="FootnoteReference"/>
        </w:rPr>
        <w:footnoteRef/>
      </w:r>
      <w:r>
        <w:t xml:space="preserve"> </w:t>
      </w:r>
      <w:r>
        <w:rPr>
          <w:lang w:val="en-US"/>
        </w:rPr>
        <w:t>Gilroy, pg. 3.</w:t>
      </w:r>
    </w:p>
  </w:footnote>
  <w:footnote w:id="9">
    <w:p w:rsidR="003475EC" w:rsidRPr="003475EC" w:rsidRDefault="003475EC">
      <w:pPr>
        <w:pStyle w:val="FootnoteText"/>
        <w:rPr>
          <w:lang w:val="en-US"/>
        </w:rPr>
      </w:pPr>
      <w:r>
        <w:rPr>
          <w:rStyle w:val="FootnoteReference"/>
        </w:rPr>
        <w:footnoteRef/>
      </w:r>
      <w:r>
        <w:t xml:space="preserve"> </w:t>
      </w:r>
      <w:r>
        <w:rPr>
          <w:lang w:val="en-US"/>
        </w:rPr>
        <w:t>Gilroy, pg. 7.</w:t>
      </w:r>
    </w:p>
  </w:footnote>
  <w:footnote w:id="10">
    <w:p w:rsidR="003475EC" w:rsidRPr="003475EC" w:rsidRDefault="003475EC">
      <w:pPr>
        <w:pStyle w:val="FootnoteText"/>
        <w:rPr>
          <w:lang w:val="en-US"/>
        </w:rPr>
      </w:pPr>
      <w:r>
        <w:rPr>
          <w:rStyle w:val="FootnoteReference"/>
        </w:rPr>
        <w:footnoteRef/>
      </w:r>
      <w:r>
        <w:t xml:space="preserve"> </w:t>
      </w:r>
      <w:r>
        <w:rPr>
          <w:lang w:val="en-US"/>
        </w:rPr>
        <w:t>Gilroy, pg. 7.</w:t>
      </w:r>
    </w:p>
  </w:footnote>
  <w:footnote w:id="11">
    <w:p w:rsidR="003475EC" w:rsidRPr="003475EC" w:rsidRDefault="003475EC">
      <w:pPr>
        <w:pStyle w:val="FootnoteText"/>
        <w:rPr>
          <w:lang w:val="en-US"/>
        </w:rPr>
      </w:pPr>
      <w:r>
        <w:rPr>
          <w:rStyle w:val="FootnoteReference"/>
        </w:rPr>
        <w:footnoteRef/>
      </w:r>
      <w:r>
        <w:t xml:space="preserve"> </w:t>
      </w:r>
      <w:r>
        <w:rPr>
          <w:lang w:val="en-US"/>
        </w:rPr>
        <w:t>Gilroy, pg. 7.</w:t>
      </w:r>
    </w:p>
  </w:footnote>
  <w:footnote w:id="12">
    <w:p w:rsidR="003475EC" w:rsidRPr="003475EC" w:rsidRDefault="003475EC">
      <w:pPr>
        <w:pStyle w:val="FootnoteText"/>
        <w:rPr>
          <w:lang w:val="en-US"/>
        </w:rPr>
      </w:pPr>
      <w:r>
        <w:rPr>
          <w:rStyle w:val="FootnoteReference"/>
        </w:rPr>
        <w:footnoteRef/>
      </w:r>
      <w:r>
        <w:t xml:space="preserve"> </w:t>
      </w:r>
      <w:r>
        <w:rPr>
          <w:lang w:val="en-US"/>
        </w:rPr>
        <w:t>Gilroy, pg. 4.</w:t>
      </w:r>
    </w:p>
  </w:footnote>
  <w:footnote w:id="13">
    <w:p w:rsidR="003475EC" w:rsidRPr="003475EC" w:rsidRDefault="003475EC">
      <w:pPr>
        <w:pStyle w:val="FootnoteText"/>
        <w:rPr>
          <w:lang w:val="en-US"/>
        </w:rPr>
      </w:pPr>
      <w:r>
        <w:rPr>
          <w:rStyle w:val="FootnoteReference"/>
        </w:rPr>
        <w:footnoteRef/>
      </w:r>
      <w:r>
        <w:t xml:space="preserve"> </w:t>
      </w:r>
      <w:r>
        <w:rPr>
          <w:lang w:val="en-US"/>
        </w:rPr>
        <w:t>Gilroy, pg. 4.</w:t>
      </w:r>
    </w:p>
  </w:footnote>
  <w:footnote w:id="14">
    <w:p w:rsidR="003475EC" w:rsidRPr="003475EC" w:rsidRDefault="003475EC">
      <w:pPr>
        <w:pStyle w:val="FootnoteText"/>
        <w:rPr>
          <w:lang w:val="en-US"/>
        </w:rPr>
      </w:pPr>
      <w:r>
        <w:rPr>
          <w:rStyle w:val="FootnoteReference"/>
        </w:rPr>
        <w:footnoteRef/>
      </w:r>
      <w:r>
        <w:t xml:space="preserve"> </w:t>
      </w:r>
      <w:r>
        <w:rPr>
          <w:lang w:val="en-US"/>
        </w:rPr>
        <w:t>Gilroy, pg. 12.</w:t>
      </w:r>
    </w:p>
  </w:footnote>
  <w:footnote w:id="15">
    <w:p w:rsidR="003475EC" w:rsidRPr="003475EC" w:rsidRDefault="003475EC">
      <w:pPr>
        <w:pStyle w:val="FootnoteText"/>
        <w:rPr>
          <w:lang w:val="en-US"/>
        </w:rPr>
      </w:pPr>
      <w:r>
        <w:rPr>
          <w:rStyle w:val="FootnoteReference"/>
        </w:rPr>
        <w:footnoteRef/>
      </w:r>
      <w:r>
        <w:t xml:space="preserve"> </w:t>
      </w:r>
      <w:r>
        <w:rPr>
          <w:lang w:val="en-US"/>
        </w:rPr>
        <w:t>Gilroy, pg. 12.</w:t>
      </w:r>
    </w:p>
  </w:footnote>
  <w:footnote w:id="16">
    <w:p w:rsidR="003475EC" w:rsidRPr="003475EC" w:rsidRDefault="003475EC">
      <w:pPr>
        <w:pStyle w:val="FootnoteText"/>
        <w:rPr>
          <w:lang w:val="en-US"/>
        </w:rPr>
      </w:pPr>
      <w:r>
        <w:rPr>
          <w:rStyle w:val="FootnoteReference"/>
        </w:rPr>
        <w:footnoteRef/>
      </w:r>
      <w:r>
        <w:t xml:space="preserve"> </w:t>
      </w:r>
      <w:r>
        <w:rPr>
          <w:lang w:val="en-US"/>
        </w:rPr>
        <w:t>Gilroy</w:t>
      </w:r>
      <w:r w:rsidR="00441F5D">
        <w:rPr>
          <w:lang w:val="en-US"/>
        </w:rPr>
        <w:t>, pg. 13.</w:t>
      </w:r>
    </w:p>
  </w:footnote>
  <w:footnote w:id="17">
    <w:p w:rsidR="00441F5D" w:rsidRPr="00441F5D" w:rsidRDefault="00441F5D">
      <w:pPr>
        <w:pStyle w:val="FootnoteText"/>
        <w:rPr>
          <w:lang w:val="en-US"/>
        </w:rPr>
      </w:pPr>
      <w:r>
        <w:rPr>
          <w:rStyle w:val="FootnoteReference"/>
        </w:rPr>
        <w:footnoteRef/>
      </w:r>
      <w:r>
        <w:t xml:space="preserve"> </w:t>
      </w:r>
      <w:r>
        <w:rPr>
          <w:lang w:val="en-US"/>
        </w:rPr>
        <w:t>Gilroy, pg. 17.</w:t>
      </w:r>
    </w:p>
  </w:footnote>
  <w:footnote w:id="18">
    <w:p w:rsidR="00441F5D" w:rsidRPr="00441F5D" w:rsidRDefault="00441F5D">
      <w:pPr>
        <w:pStyle w:val="FootnoteText"/>
        <w:rPr>
          <w:lang w:val="en-US"/>
        </w:rPr>
      </w:pPr>
      <w:r>
        <w:rPr>
          <w:rStyle w:val="FootnoteReference"/>
        </w:rPr>
        <w:footnoteRef/>
      </w:r>
      <w:r>
        <w:t xml:space="preserve"> </w:t>
      </w:r>
      <w:r>
        <w:rPr>
          <w:lang w:val="en-US"/>
        </w:rPr>
        <w:t>Gilroy, pg. 17.</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E7DB9" w:rsidRDefault="007E7DB9">
    <w:pPr>
      <w:pStyle w:val="Header"/>
      <w:rPr>
        <w:lang w:val="en-US"/>
      </w:rPr>
    </w:pPr>
    <w:r w:rsidRPr="007E7DB9">
      <w:rPr>
        <w:lang w:val="en-US"/>
      </w:rPr>
      <w:t>Lucy Smith</w:t>
    </w:r>
    <w:r>
      <w:rPr>
        <w:lang w:val="en-US"/>
      </w:rPr>
      <w:t xml:space="preserve"> – Gobbet 1 – Gilroy Chapter 1</w:t>
    </w:r>
  </w:p>
  <w:p w:rsidR="007E7DB9" w:rsidRPr="007E7DB9" w:rsidRDefault="007E7DB9">
    <w:pPr>
      <w:pStyle w:val="Header"/>
      <w:rPr>
        <w:lang w:val="en-US"/>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7DB9"/>
    <w:rsid w:val="000334D0"/>
    <w:rsid w:val="00163D72"/>
    <w:rsid w:val="001E0935"/>
    <w:rsid w:val="001F4128"/>
    <w:rsid w:val="002833C1"/>
    <w:rsid w:val="003475EC"/>
    <w:rsid w:val="00441F5D"/>
    <w:rsid w:val="005B489D"/>
    <w:rsid w:val="005F28F5"/>
    <w:rsid w:val="00631A31"/>
    <w:rsid w:val="006917C5"/>
    <w:rsid w:val="006962D8"/>
    <w:rsid w:val="00705FEE"/>
    <w:rsid w:val="00715ED9"/>
    <w:rsid w:val="00721259"/>
    <w:rsid w:val="00756BD0"/>
    <w:rsid w:val="00763504"/>
    <w:rsid w:val="007E7DB9"/>
    <w:rsid w:val="008E3FCC"/>
    <w:rsid w:val="008F6B7D"/>
    <w:rsid w:val="00911B71"/>
    <w:rsid w:val="00931D84"/>
    <w:rsid w:val="0094725D"/>
    <w:rsid w:val="00993C0B"/>
    <w:rsid w:val="00A839C4"/>
    <w:rsid w:val="00AB5B84"/>
    <w:rsid w:val="00B03A61"/>
    <w:rsid w:val="00BD3378"/>
    <w:rsid w:val="00C246F6"/>
    <w:rsid w:val="00CA28B7"/>
    <w:rsid w:val="00CE1AC5"/>
    <w:rsid w:val="00CF5CC4"/>
    <w:rsid w:val="00D657C9"/>
    <w:rsid w:val="00DE5051"/>
    <w:rsid w:val="00E66202"/>
    <w:rsid w:val="00EE3DB6"/>
    <w:rsid w:val="00F07A1E"/>
    <w:rsid w:val="00F539F1"/>
    <w:rsid w:val="00F81375"/>
    <w:rsid w:val="00FA2729"/>
    <w:rsid w:val="00FB06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7DB4E01-59C9-4855-ADCE-10BE237505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E7D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7DB9"/>
  </w:style>
  <w:style w:type="paragraph" w:styleId="Footer">
    <w:name w:val="footer"/>
    <w:basedOn w:val="Normal"/>
    <w:link w:val="FooterChar"/>
    <w:uiPriority w:val="99"/>
    <w:unhideWhenUsed/>
    <w:rsid w:val="007E7D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7DB9"/>
  </w:style>
  <w:style w:type="paragraph" w:styleId="FootnoteText">
    <w:name w:val="footnote text"/>
    <w:basedOn w:val="Normal"/>
    <w:link w:val="FootnoteTextChar"/>
    <w:uiPriority w:val="99"/>
    <w:semiHidden/>
    <w:unhideWhenUsed/>
    <w:rsid w:val="003475E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475EC"/>
    <w:rPr>
      <w:sz w:val="20"/>
      <w:szCs w:val="20"/>
    </w:rPr>
  </w:style>
  <w:style w:type="character" w:styleId="FootnoteReference">
    <w:name w:val="footnote reference"/>
    <w:basedOn w:val="DefaultParagraphFont"/>
    <w:uiPriority w:val="99"/>
    <w:semiHidden/>
    <w:unhideWhenUsed/>
    <w:rsid w:val="003475E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EFB293E-BA68-4F1B-88DA-B34CBE51FC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1564</TotalTime>
  <Pages>3</Pages>
  <Words>840</Words>
  <Characters>4789</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5618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Smith</dc:creator>
  <cp:keywords/>
  <dc:description/>
  <cp:lastModifiedBy>Lucy Smith</cp:lastModifiedBy>
  <cp:revision>32</cp:revision>
  <dcterms:created xsi:type="dcterms:W3CDTF">2020-01-09T17:07:00Z</dcterms:created>
  <dcterms:modified xsi:type="dcterms:W3CDTF">2020-01-12T19:58:00Z</dcterms:modified>
</cp:coreProperties>
</file>