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1A5D7F" w14:textId="7D3AC85B" w:rsidR="00B151A8" w:rsidRDefault="004E5CE2" w:rsidP="004E5CE2">
      <w:pPr>
        <w:spacing w:line="360" w:lineRule="auto"/>
        <w:jc w:val="both"/>
        <w:rPr>
          <w:rFonts w:ascii="Arial" w:hAnsi="Arial" w:cs="Arial"/>
          <w:b/>
          <w:sz w:val="28"/>
          <w:szCs w:val="28"/>
        </w:rPr>
      </w:pPr>
      <w:r w:rsidRPr="004E5CE2">
        <w:rPr>
          <w:rFonts w:ascii="Arial" w:hAnsi="Arial" w:cs="Arial"/>
          <w:b/>
          <w:sz w:val="28"/>
          <w:szCs w:val="28"/>
        </w:rPr>
        <w:t>Sustainable Hospitality &amp; Tourism Management</w:t>
      </w:r>
    </w:p>
    <w:p w14:paraId="333C60B3" w14:textId="53F14F9F" w:rsidR="000A7B8C" w:rsidRDefault="000A7B8C" w:rsidP="004E5CE2">
      <w:pPr>
        <w:spacing w:line="360" w:lineRule="auto"/>
        <w:jc w:val="both"/>
        <w:rPr>
          <w:rFonts w:ascii="Arial" w:hAnsi="Arial" w:cs="Arial"/>
          <w:b/>
          <w:sz w:val="28"/>
          <w:szCs w:val="28"/>
        </w:rPr>
      </w:pPr>
      <w:r>
        <w:rPr>
          <w:rFonts w:ascii="Arial" w:hAnsi="Arial" w:cs="Arial"/>
          <w:b/>
          <w:sz w:val="28"/>
          <w:szCs w:val="28"/>
        </w:rPr>
        <w:t>Irina-Diana Buture</w:t>
      </w:r>
    </w:p>
    <w:p w14:paraId="6DFF56CC" w14:textId="0FD23C76" w:rsidR="000A7B8C" w:rsidRPr="004E5CE2" w:rsidRDefault="000A7B8C" w:rsidP="004E5CE2">
      <w:pPr>
        <w:spacing w:line="360" w:lineRule="auto"/>
        <w:jc w:val="both"/>
        <w:rPr>
          <w:rFonts w:ascii="Arial" w:hAnsi="Arial" w:cs="Arial"/>
          <w:b/>
          <w:sz w:val="28"/>
          <w:szCs w:val="28"/>
        </w:rPr>
      </w:pPr>
      <w:r>
        <w:rPr>
          <w:rFonts w:ascii="Arial" w:hAnsi="Arial" w:cs="Arial"/>
          <w:b/>
          <w:sz w:val="28"/>
          <w:szCs w:val="28"/>
        </w:rPr>
        <w:t>2239006</w:t>
      </w:r>
    </w:p>
    <w:p w14:paraId="573B4CE1" w14:textId="3F64B96D" w:rsidR="004E5CE2" w:rsidRPr="004E5CE2" w:rsidRDefault="004E5CE2" w:rsidP="004E5CE2">
      <w:pPr>
        <w:spacing w:line="360" w:lineRule="auto"/>
        <w:jc w:val="both"/>
        <w:rPr>
          <w:rFonts w:ascii="Arial" w:hAnsi="Arial" w:cs="Arial"/>
          <w:b/>
          <w:sz w:val="28"/>
          <w:szCs w:val="28"/>
        </w:rPr>
      </w:pPr>
      <w:r w:rsidRPr="004E5CE2">
        <w:rPr>
          <w:rFonts w:ascii="Arial" w:hAnsi="Arial" w:cs="Arial"/>
          <w:b/>
          <w:sz w:val="28"/>
          <w:szCs w:val="28"/>
        </w:rPr>
        <w:t>BMIH5006</w:t>
      </w:r>
    </w:p>
    <w:p w14:paraId="7447A3C0" w14:textId="28A814D5" w:rsidR="004E5CE2" w:rsidRPr="004E5CE2" w:rsidRDefault="004E5CE2" w:rsidP="004E5CE2">
      <w:pPr>
        <w:spacing w:line="360" w:lineRule="auto"/>
        <w:jc w:val="both"/>
        <w:rPr>
          <w:rFonts w:ascii="Arial" w:hAnsi="Arial" w:cs="Arial"/>
          <w:b/>
          <w:sz w:val="28"/>
          <w:szCs w:val="28"/>
        </w:rPr>
      </w:pPr>
    </w:p>
    <w:p w14:paraId="3E7774C3" w14:textId="24BC1B9E" w:rsidR="004E5CE2" w:rsidRDefault="004E5CE2" w:rsidP="004E5CE2">
      <w:pPr>
        <w:spacing w:line="360" w:lineRule="auto"/>
        <w:jc w:val="both"/>
        <w:rPr>
          <w:rFonts w:ascii="Arial" w:hAnsi="Arial" w:cs="Arial"/>
          <w:b/>
          <w:sz w:val="28"/>
          <w:szCs w:val="28"/>
        </w:rPr>
      </w:pPr>
    </w:p>
    <w:p w14:paraId="312015FE" w14:textId="77777777" w:rsidR="004E5CE2" w:rsidRPr="004E5CE2" w:rsidRDefault="004E5CE2" w:rsidP="004E5CE2">
      <w:pPr>
        <w:rPr>
          <w:rFonts w:ascii="Arial" w:hAnsi="Arial" w:cs="Arial"/>
          <w:sz w:val="28"/>
          <w:szCs w:val="28"/>
        </w:rPr>
      </w:pPr>
    </w:p>
    <w:p w14:paraId="760F3F73" w14:textId="77777777" w:rsidR="004E5CE2" w:rsidRPr="004E5CE2" w:rsidRDefault="004E5CE2" w:rsidP="004E5CE2">
      <w:pPr>
        <w:rPr>
          <w:rFonts w:ascii="Arial" w:hAnsi="Arial" w:cs="Arial"/>
          <w:sz w:val="28"/>
          <w:szCs w:val="28"/>
        </w:rPr>
      </w:pPr>
    </w:p>
    <w:p w14:paraId="7BE580D5" w14:textId="3F9315BA" w:rsidR="004E5CE2" w:rsidRDefault="004E5CE2" w:rsidP="004E5CE2">
      <w:pPr>
        <w:rPr>
          <w:rFonts w:ascii="Arial" w:hAnsi="Arial" w:cs="Arial"/>
          <w:sz w:val="28"/>
          <w:szCs w:val="28"/>
        </w:rPr>
      </w:pPr>
      <w:r w:rsidRPr="004E5CE2">
        <w:rPr>
          <w:rFonts w:ascii="Arial" w:hAnsi="Arial" w:cs="Arial"/>
          <w:sz w:val="28"/>
          <w:szCs w:val="28"/>
        </w:rPr>
        <w:t>I have used AI to help me structure in detail the document. Also, it was utilised for the correction of grammatical errors.</w:t>
      </w:r>
    </w:p>
    <w:p w14:paraId="1561C89B" w14:textId="77777777" w:rsidR="004E5CE2" w:rsidRDefault="004E5CE2" w:rsidP="004E5CE2">
      <w:pPr>
        <w:rPr>
          <w:rFonts w:ascii="Arial" w:hAnsi="Arial" w:cs="Arial"/>
          <w:sz w:val="28"/>
          <w:szCs w:val="28"/>
        </w:rPr>
      </w:pPr>
    </w:p>
    <w:p w14:paraId="003E4167" w14:textId="77777777" w:rsidR="004E5CE2" w:rsidRDefault="004E5CE2" w:rsidP="004E5CE2">
      <w:pPr>
        <w:rPr>
          <w:rFonts w:ascii="Arial" w:hAnsi="Arial" w:cs="Arial"/>
          <w:sz w:val="28"/>
          <w:szCs w:val="28"/>
        </w:rPr>
      </w:pPr>
    </w:p>
    <w:p w14:paraId="442CAA13" w14:textId="77777777" w:rsidR="004E5CE2" w:rsidRDefault="004E5CE2" w:rsidP="004E5CE2">
      <w:pPr>
        <w:rPr>
          <w:rFonts w:ascii="Arial" w:hAnsi="Arial" w:cs="Arial"/>
          <w:sz w:val="28"/>
          <w:szCs w:val="28"/>
        </w:rPr>
      </w:pPr>
    </w:p>
    <w:p w14:paraId="1D661178" w14:textId="77777777" w:rsidR="004E5CE2" w:rsidRDefault="004E5CE2" w:rsidP="004E5CE2">
      <w:pPr>
        <w:rPr>
          <w:rFonts w:ascii="Arial" w:hAnsi="Arial" w:cs="Arial"/>
          <w:sz w:val="28"/>
          <w:szCs w:val="28"/>
        </w:rPr>
      </w:pPr>
    </w:p>
    <w:p w14:paraId="25F5CCA4" w14:textId="77777777" w:rsidR="004E5CE2" w:rsidRDefault="004E5CE2" w:rsidP="004E5CE2">
      <w:pPr>
        <w:rPr>
          <w:rFonts w:ascii="Arial" w:hAnsi="Arial" w:cs="Arial"/>
          <w:sz w:val="28"/>
          <w:szCs w:val="28"/>
        </w:rPr>
      </w:pPr>
    </w:p>
    <w:p w14:paraId="7B498FE8" w14:textId="77777777" w:rsidR="004E5CE2" w:rsidRDefault="004E5CE2" w:rsidP="004E5CE2">
      <w:pPr>
        <w:rPr>
          <w:rFonts w:ascii="Arial" w:hAnsi="Arial" w:cs="Arial"/>
          <w:sz w:val="28"/>
          <w:szCs w:val="28"/>
        </w:rPr>
      </w:pPr>
    </w:p>
    <w:p w14:paraId="5FD756EE" w14:textId="77777777" w:rsidR="004E5CE2" w:rsidRDefault="004E5CE2" w:rsidP="004E5CE2">
      <w:pPr>
        <w:rPr>
          <w:rFonts w:ascii="Arial" w:hAnsi="Arial" w:cs="Arial"/>
          <w:sz w:val="28"/>
          <w:szCs w:val="28"/>
        </w:rPr>
      </w:pPr>
    </w:p>
    <w:p w14:paraId="14B86BF3" w14:textId="77777777" w:rsidR="004E5CE2" w:rsidRDefault="004E5CE2" w:rsidP="004E5CE2">
      <w:pPr>
        <w:rPr>
          <w:rFonts w:ascii="Arial" w:hAnsi="Arial" w:cs="Arial"/>
          <w:sz w:val="28"/>
          <w:szCs w:val="28"/>
        </w:rPr>
      </w:pPr>
    </w:p>
    <w:p w14:paraId="06B5AE51" w14:textId="77777777" w:rsidR="004E5CE2" w:rsidRDefault="004E5CE2" w:rsidP="004E5CE2">
      <w:pPr>
        <w:rPr>
          <w:rFonts w:ascii="Arial" w:hAnsi="Arial" w:cs="Arial"/>
          <w:sz w:val="28"/>
          <w:szCs w:val="28"/>
        </w:rPr>
      </w:pPr>
    </w:p>
    <w:p w14:paraId="59A21344" w14:textId="77777777" w:rsidR="004E5CE2" w:rsidRDefault="004E5CE2" w:rsidP="004E5CE2">
      <w:pPr>
        <w:rPr>
          <w:rFonts w:ascii="Arial" w:hAnsi="Arial" w:cs="Arial"/>
          <w:sz w:val="28"/>
          <w:szCs w:val="28"/>
        </w:rPr>
      </w:pPr>
    </w:p>
    <w:p w14:paraId="147BD02B" w14:textId="77777777" w:rsidR="004E5CE2" w:rsidRDefault="004E5CE2" w:rsidP="004E5CE2">
      <w:pPr>
        <w:rPr>
          <w:rFonts w:ascii="Arial" w:hAnsi="Arial" w:cs="Arial"/>
          <w:sz w:val="28"/>
          <w:szCs w:val="28"/>
        </w:rPr>
      </w:pPr>
    </w:p>
    <w:p w14:paraId="770CC8F5" w14:textId="77777777" w:rsidR="004E5CE2" w:rsidRDefault="004E5CE2" w:rsidP="004E5CE2">
      <w:pPr>
        <w:rPr>
          <w:rFonts w:ascii="Arial" w:hAnsi="Arial" w:cs="Arial"/>
          <w:sz w:val="28"/>
          <w:szCs w:val="28"/>
        </w:rPr>
      </w:pPr>
    </w:p>
    <w:p w14:paraId="7C335AB1" w14:textId="77777777" w:rsidR="004E5CE2" w:rsidRDefault="004E5CE2" w:rsidP="004E5CE2">
      <w:pPr>
        <w:rPr>
          <w:rFonts w:ascii="Arial" w:hAnsi="Arial" w:cs="Arial"/>
          <w:sz w:val="28"/>
          <w:szCs w:val="28"/>
        </w:rPr>
      </w:pPr>
    </w:p>
    <w:p w14:paraId="6671C93B" w14:textId="77777777" w:rsidR="004E5CE2" w:rsidRDefault="004E5CE2" w:rsidP="004E5CE2">
      <w:pPr>
        <w:rPr>
          <w:rFonts w:ascii="Arial" w:hAnsi="Arial" w:cs="Arial"/>
          <w:sz w:val="28"/>
          <w:szCs w:val="28"/>
        </w:rPr>
      </w:pPr>
    </w:p>
    <w:p w14:paraId="15F6DF32" w14:textId="77777777" w:rsidR="004E5CE2" w:rsidRDefault="004E5CE2" w:rsidP="004E5CE2">
      <w:pPr>
        <w:rPr>
          <w:rFonts w:ascii="Arial" w:hAnsi="Arial" w:cs="Arial"/>
          <w:sz w:val="28"/>
          <w:szCs w:val="28"/>
        </w:rPr>
      </w:pPr>
    </w:p>
    <w:p w14:paraId="5261B2F3" w14:textId="77777777" w:rsidR="004E5CE2" w:rsidRDefault="004E5CE2" w:rsidP="004E5CE2">
      <w:pPr>
        <w:rPr>
          <w:rFonts w:ascii="Arial" w:hAnsi="Arial" w:cs="Arial"/>
          <w:sz w:val="28"/>
          <w:szCs w:val="28"/>
        </w:rPr>
      </w:pPr>
    </w:p>
    <w:p w14:paraId="696FE398" w14:textId="77777777" w:rsidR="004E5CE2" w:rsidRDefault="004E5CE2" w:rsidP="004E5CE2">
      <w:pPr>
        <w:rPr>
          <w:rFonts w:ascii="Arial" w:hAnsi="Arial" w:cs="Arial"/>
          <w:sz w:val="28"/>
          <w:szCs w:val="28"/>
        </w:rPr>
      </w:pPr>
    </w:p>
    <w:p w14:paraId="045086DB" w14:textId="77777777" w:rsidR="004E5CE2" w:rsidRDefault="004E5CE2" w:rsidP="004E5CE2">
      <w:pPr>
        <w:rPr>
          <w:rFonts w:ascii="Arial" w:hAnsi="Arial" w:cs="Arial"/>
          <w:sz w:val="28"/>
          <w:szCs w:val="28"/>
        </w:rPr>
      </w:pPr>
    </w:p>
    <w:p w14:paraId="09BC71A1" w14:textId="77777777" w:rsidR="004E5CE2" w:rsidRDefault="004E5CE2" w:rsidP="004E5CE2">
      <w:pPr>
        <w:rPr>
          <w:rFonts w:ascii="Arial" w:hAnsi="Arial" w:cs="Arial"/>
          <w:sz w:val="28"/>
          <w:szCs w:val="28"/>
        </w:rPr>
      </w:pPr>
    </w:p>
    <w:p w14:paraId="1D1E5E99" w14:textId="77777777" w:rsidR="004E5CE2" w:rsidRDefault="004E5CE2" w:rsidP="004E5CE2">
      <w:pPr>
        <w:spacing w:line="360" w:lineRule="auto"/>
        <w:jc w:val="both"/>
        <w:rPr>
          <w:rFonts w:ascii="Arial" w:hAnsi="Arial" w:cs="Arial"/>
          <w:sz w:val="24"/>
          <w:szCs w:val="24"/>
        </w:rPr>
      </w:pPr>
      <w:r w:rsidRPr="004E5CE2">
        <w:rPr>
          <w:rFonts w:ascii="Arial" w:hAnsi="Arial" w:cs="Arial"/>
          <w:sz w:val="24"/>
          <w:szCs w:val="24"/>
        </w:rPr>
        <w:t>The worldwide hotel industry faces increasing demands to adopt sustainable operations because of climate change impacts together with resource shortages and evolving customer tastes (Edgell 2020). Numerous entities have implemented strategies that focus on lowering energy usage while managing waste better and sourcing products through ethical methods and local community engagement to enhance their environmental and social impacts (Smith 2021). The sustainability efforts of properties use frameworks like LEED, Green Globe, and BREEAM to establish credibility and enable comparison between different properties (Green Globe Standard 2022). We must still determine if these strategies are driven by true environmental concern or if they serve economic efficiency goals or brand image enhancement (</w:t>
      </w:r>
      <w:proofErr w:type="spellStart"/>
      <w:r w:rsidRPr="004E5CE2">
        <w:rPr>
          <w:rFonts w:ascii="Arial" w:hAnsi="Arial" w:cs="Arial"/>
          <w:sz w:val="24"/>
          <w:szCs w:val="24"/>
        </w:rPr>
        <w:t>Inkson</w:t>
      </w:r>
      <w:proofErr w:type="spellEnd"/>
      <w:r w:rsidRPr="004E5CE2">
        <w:rPr>
          <w:rFonts w:ascii="Arial" w:hAnsi="Arial" w:cs="Arial"/>
          <w:sz w:val="24"/>
          <w:szCs w:val="24"/>
        </w:rPr>
        <w:t xml:space="preserve"> and Minnaert 2018). The essay examines the sustainability strategies of Six Senses, Marriott International, and Hilton Worldwide to evaluate their motives and outcomes through comparative analysis of their scope, implementation, and impacts.</w:t>
      </w:r>
    </w:p>
    <w:p w14:paraId="2FD729FC" w14:textId="56628893" w:rsidR="004E5CE2" w:rsidRPr="004E5CE2" w:rsidRDefault="004E5CE2" w:rsidP="004E5CE2">
      <w:pPr>
        <w:spacing w:line="360" w:lineRule="auto"/>
        <w:jc w:val="both"/>
        <w:rPr>
          <w:rFonts w:ascii="Arial" w:hAnsi="Arial" w:cs="Arial"/>
          <w:sz w:val="24"/>
          <w:szCs w:val="24"/>
        </w:rPr>
      </w:pPr>
      <w:r w:rsidRPr="004E5CE2">
        <w:rPr>
          <w:rFonts w:ascii="Arial" w:hAnsi="Arial" w:cs="Arial"/>
          <w:sz w:val="24"/>
          <w:szCs w:val="24"/>
        </w:rPr>
        <w:t>The sustainability principle stands at the heart of Six Senses operations while ecological responsibility permeates the entire guest experience (Batra 2015). The brand implemented comprehensive sustainability practices that include zero-waste kitchens and organic farming methods alongside solar energy systems and greywater recycling and they stopped using single-use plastics (</w:t>
      </w:r>
      <w:proofErr w:type="spellStart"/>
      <w:r w:rsidRPr="004E5CE2">
        <w:rPr>
          <w:rFonts w:ascii="Arial" w:hAnsi="Arial" w:cs="Arial"/>
          <w:sz w:val="24"/>
          <w:szCs w:val="24"/>
        </w:rPr>
        <w:t>Pakpahan</w:t>
      </w:r>
      <w:proofErr w:type="spellEnd"/>
      <w:r w:rsidRPr="004E5CE2">
        <w:rPr>
          <w:rFonts w:ascii="Arial" w:hAnsi="Arial" w:cs="Arial"/>
          <w:sz w:val="24"/>
          <w:szCs w:val="24"/>
        </w:rPr>
        <w:t xml:space="preserve"> et al. 2022). 2022). Food waste at the </w:t>
      </w:r>
      <w:proofErr w:type="spellStart"/>
      <w:r w:rsidRPr="004E5CE2">
        <w:rPr>
          <w:rFonts w:ascii="Arial" w:hAnsi="Arial" w:cs="Arial"/>
          <w:sz w:val="24"/>
          <w:szCs w:val="24"/>
        </w:rPr>
        <w:t>Uluwatu</w:t>
      </w:r>
      <w:proofErr w:type="spellEnd"/>
      <w:r w:rsidRPr="004E5CE2">
        <w:rPr>
          <w:rFonts w:ascii="Arial" w:hAnsi="Arial" w:cs="Arial"/>
          <w:sz w:val="24"/>
          <w:szCs w:val="24"/>
        </w:rPr>
        <w:t xml:space="preserve"> resort in Bali gets converted into compost and biogas through the use of a biodigester which demonstrates real-world applications of circular economy principles (Urmila et al. 2023). 2023). The implementation of these systems minimizes external waste transportation requirements while generating practical outputs including cooking gas and soil enhancers (</w:t>
      </w:r>
      <w:proofErr w:type="spellStart"/>
      <w:r w:rsidRPr="004E5CE2">
        <w:rPr>
          <w:rFonts w:ascii="Arial" w:hAnsi="Arial" w:cs="Arial"/>
          <w:sz w:val="24"/>
          <w:szCs w:val="24"/>
        </w:rPr>
        <w:t>Korstanje</w:t>
      </w:r>
      <w:proofErr w:type="spellEnd"/>
      <w:r w:rsidRPr="004E5CE2">
        <w:rPr>
          <w:rFonts w:ascii="Arial" w:hAnsi="Arial" w:cs="Arial"/>
          <w:sz w:val="24"/>
          <w:szCs w:val="24"/>
        </w:rPr>
        <w:t xml:space="preserve">, George and Nedelea 2020). Six Senses integrates sustainability into its premium products to appeal to customers who prefer exclusive and responsible experiences. 2009). Through strategic positioning the brand achieves both ecological responsibility and profitability while securing strong differentiation in the high-end market (Batra 2015). The brand enhances its credibility through Green Globe certification because it demonstrates </w:t>
      </w:r>
      <w:r w:rsidRPr="004E5CE2">
        <w:rPr>
          <w:rFonts w:ascii="Arial" w:hAnsi="Arial" w:cs="Arial"/>
          <w:sz w:val="24"/>
          <w:szCs w:val="24"/>
        </w:rPr>
        <w:lastRenderedPageBreak/>
        <w:t>third-party performance verification according to the Green Globe Standard 2022. The extensive operational complexity and necessary investments become barriers that restrict the scalability of these sustainable practices to only boutique or luxury resorts according to Jones and Comfort (2020).</w:t>
      </w:r>
    </w:p>
    <w:p w14:paraId="6C727858" w14:textId="77777777" w:rsidR="004E5CE2" w:rsidRPr="004E5CE2" w:rsidRDefault="004E5CE2" w:rsidP="004E5CE2">
      <w:pPr>
        <w:spacing w:line="360" w:lineRule="auto"/>
        <w:jc w:val="both"/>
        <w:rPr>
          <w:rFonts w:ascii="Arial" w:hAnsi="Arial" w:cs="Arial"/>
          <w:sz w:val="24"/>
          <w:szCs w:val="24"/>
        </w:rPr>
      </w:pPr>
    </w:p>
    <w:p w14:paraId="7E7FB2F6" w14:textId="77777777" w:rsidR="004E5CE2" w:rsidRPr="004E5CE2" w:rsidRDefault="004E5CE2" w:rsidP="004E5CE2">
      <w:pPr>
        <w:spacing w:line="360" w:lineRule="auto"/>
        <w:jc w:val="both"/>
        <w:rPr>
          <w:rFonts w:ascii="Arial" w:hAnsi="Arial" w:cs="Arial"/>
          <w:sz w:val="24"/>
          <w:szCs w:val="24"/>
        </w:rPr>
      </w:pPr>
      <w:r w:rsidRPr="004E5CE2">
        <w:rPr>
          <w:rFonts w:ascii="Arial" w:hAnsi="Arial" w:cs="Arial"/>
          <w:sz w:val="24"/>
          <w:szCs w:val="24"/>
        </w:rPr>
        <w:t>Marriott International uses a wide-ranging corporate-led sustainability strategy through its Serve 360 programme (Marriott International 2021). The plan sets high targets to cut carbon intensity by 30 percent while obtaining more than half of its electricity from renewable sources and removing single-use plastic toiletries from thousands of locations (Marriott International 2022). As of 2023 Marriott International completed the installation of over 7,100 electric vehicle charging stations and showed measurable advancements in waste diversion and water efficiency (Marriott International 2023). The company saves on operational costs because reduced utility bills and waste disposal expenses help boost financial performance (Jones and Comfort 2020). Marriott International strengthens investor trust and transparency by reporting through global frameworks including GRI, SASB, and TCFD (Marriott International 2023). The company's franchise model receives criticism for creating disparities in environmental practices across different hotels (Jones and Comfort 2020). Certain properties demonstrate outstanding implementation results while other properties underperform especially within developing regions and budget market segments (Smith et al. 2022). 2022). The reports on corporate sustainability often mask individual site performances which leads to worries about greenwashing and superficial branding practices (Jones and Comfort 2020).</w:t>
      </w:r>
    </w:p>
    <w:p w14:paraId="030C639B" w14:textId="77777777" w:rsidR="004E5CE2" w:rsidRDefault="004E5CE2" w:rsidP="004E5CE2">
      <w:pPr>
        <w:spacing w:line="360" w:lineRule="auto"/>
        <w:jc w:val="both"/>
        <w:rPr>
          <w:rFonts w:ascii="Arial" w:hAnsi="Arial" w:cs="Arial"/>
          <w:sz w:val="24"/>
          <w:szCs w:val="24"/>
        </w:rPr>
      </w:pPr>
      <w:r w:rsidRPr="004E5CE2">
        <w:rPr>
          <w:rFonts w:ascii="Arial" w:hAnsi="Arial" w:cs="Arial"/>
          <w:sz w:val="24"/>
          <w:szCs w:val="24"/>
        </w:rPr>
        <w:t xml:space="preserve">Through its Travel with Purpose initiative Hilton Worldwide intends to reduce carbon emissions and water consumption by 50 percent before 2030 as well as recycle all used soap to keep it from landfills by utilizing partnerships for recycling (Hilton Worldwide 2023). The implementation of its programme enabled Hilton to cut carbon intensity by 14 percent and water intensity by 19 percent compared to baseline years (Hilton Worldwide 2023). The soap recycling program stands out as a prime example of success because it transforms leftover guestroom soap into fresh bars which are then donated to communities that require them (Smith et al. 2022). 2022). The initiative reduces waste while creating community connections and boosting the company's </w:t>
      </w:r>
      <w:r w:rsidRPr="004E5CE2">
        <w:rPr>
          <w:rFonts w:ascii="Arial" w:hAnsi="Arial" w:cs="Arial"/>
          <w:sz w:val="24"/>
          <w:szCs w:val="24"/>
        </w:rPr>
        <w:lastRenderedPageBreak/>
        <w:t>reputation for social responsibility according to Dodds and Joppe (2005). Hilton applies procurement standards which mandate sustainable sourcing exclusively from approved suppliers for food and textile products (Hilton Worldwide 2023). Hilton faces similar challenges as Marriott in maintaining consistent standards throughout its extensive worldwide operations particularly with independently managed franchises (Jones and Comfort 2020). LEED certifications and ESG rankings offer some level of validation but they fail to accurately depict everyday operations at individual properties (Smith 2021). Hilton's headline achievements stand out but establishing complete brand-level and local execution alignment remains ongoing (Jones and Comfort 2020).</w:t>
      </w:r>
    </w:p>
    <w:p w14:paraId="2628C316" w14:textId="2E54B765" w:rsidR="004E5CE2" w:rsidRPr="004E5CE2" w:rsidRDefault="004E5CE2" w:rsidP="004E5CE2">
      <w:pPr>
        <w:spacing w:line="360" w:lineRule="auto"/>
        <w:jc w:val="both"/>
        <w:rPr>
          <w:rFonts w:ascii="Arial" w:hAnsi="Arial" w:cs="Arial"/>
          <w:sz w:val="24"/>
          <w:szCs w:val="24"/>
        </w:rPr>
      </w:pPr>
      <w:r w:rsidRPr="004E5CE2">
        <w:rPr>
          <w:rFonts w:ascii="Arial" w:hAnsi="Arial" w:cs="Arial"/>
          <w:sz w:val="24"/>
          <w:szCs w:val="24"/>
        </w:rPr>
        <w:t xml:space="preserve">The comparison of these three hotel groups shows both shared and unique driving factors behind their sustainability approaches according to </w:t>
      </w:r>
      <w:proofErr w:type="spellStart"/>
      <w:r w:rsidRPr="004E5CE2">
        <w:rPr>
          <w:rFonts w:ascii="Arial" w:hAnsi="Arial" w:cs="Arial"/>
          <w:sz w:val="24"/>
          <w:szCs w:val="24"/>
        </w:rPr>
        <w:t>Inkson</w:t>
      </w:r>
      <w:proofErr w:type="spellEnd"/>
      <w:r w:rsidRPr="004E5CE2">
        <w:rPr>
          <w:rFonts w:ascii="Arial" w:hAnsi="Arial" w:cs="Arial"/>
          <w:sz w:val="24"/>
          <w:szCs w:val="24"/>
        </w:rPr>
        <w:t xml:space="preserve"> and Minnaert (2018). Six Senses showcases its dedication to environmental ethics through its incorporation of sustainable practices into everyday operations which aligns with its brand philosophy (</w:t>
      </w:r>
      <w:proofErr w:type="spellStart"/>
      <w:r w:rsidRPr="004E5CE2">
        <w:rPr>
          <w:rFonts w:ascii="Arial" w:hAnsi="Arial" w:cs="Arial"/>
          <w:sz w:val="24"/>
          <w:szCs w:val="24"/>
        </w:rPr>
        <w:t>Pakpahan</w:t>
      </w:r>
      <w:proofErr w:type="spellEnd"/>
      <w:r w:rsidRPr="004E5CE2">
        <w:rPr>
          <w:rFonts w:ascii="Arial" w:hAnsi="Arial" w:cs="Arial"/>
          <w:sz w:val="24"/>
          <w:szCs w:val="24"/>
        </w:rPr>
        <w:t xml:space="preserve"> et al. 2022). 2022). Marriott and Hilton prioritize scalability and standardization together with investor transparency and link environmental goals to financial reasoning and risk management practices according to their 2023 report. Six Senses relies on authenticity to enhance brand reputation unlike Marriott and Hilton which use reporting frameworks to show progress and minimize risks to their reputations. 2022). The study by Jones and Comfort in 2020 reveals that sustainability serves dual purposes as a moral responsibility and business chance based on how brands position themselves and their operational capabilities.</w:t>
      </w:r>
    </w:p>
    <w:p w14:paraId="5E7DC033" w14:textId="77777777" w:rsidR="004E5CE2" w:rsidRPr="004E5CE2" w:rsidRDefault="004E5CE2" w:rsidP="004E5CE2">
      <w:pPr>
        <w:spacing w:line="360" w:lineRule="auto"/>
        <w:jc w:val="both"/>
        <w:rPr>
          <w:rFonts w:ascii="Arial" w:hAnsi="Arial" w:cs="Arial"/>
          <w:sz w:val="24"/>
          <w:szCs w:val="24"/>
        </w:rPr>
      </w:pPr>
      <w:r w:rsidRPr="004E5CE2">
        <w:rPr>
          <w:rFonts w:ascii="Arial" w:hAnsi="Arial" w:cs="Arial"/>
          <w:sz w:val="24"/>
          <w:szCs w:val="24"/>
        </w:rPr>
        <w:t xml:space="preserve">Sustainability strategies differ when addressing organic waste management which remains an undervalued yet powerful component of hotel operations (Edgell 2020). Six Senses </w:t>
      </w:r>
      <w:proofErr w:type="spellStart"/>
      <w:r w:rsidRPr="004E5CE2">
        <w:rPr>
          <w:rFonts w:ascii="Arial" w:hAnsi="Arial" w:cs="Arial"/>
          <w:sz w:val="24"/>
          <w:szCs w:val="24"/>
        </w:rPr>
        <w:t>Uluwatu</w:t>
      </w:r>
      <w:proofErr w:type="spellEnd"/>
      <w:r w:rsidRPr="004E5CE2">
        <w:rPr>
          <w:rFonts w:ascii="Arial" w:hAnsi="Arial" w:cs="Arial"/>
          <w:sz w:val="24"/>
          <w:szCs w:val="24"/>
        </w:rPr>
        <w:t xml:space="preserve"> operates biodigesters on-site to transform food waste into biogas for cooking and garden compost (Urmila et al.). 2023). Nutrient-rich compost production from this process decreases methane emissions while supporting local agriculture and reducing transportation costs (</w:t>
      </w:r>
      <w:proofErr w:type="spellStart"/>
      <w:r w:rsidRPr="004E5CE2">
        <w:rPr>
          <w:rFonts w:ascii="Arial" w:hAnsi="Arial" w:cs="Arial"/>
          <w:sz w:val="24"/>
          <w:szCs w:val="24"/>
        </w:rPr>
        <w:t>Korstanje</w:t>
      </w:r>
      <w:proofErr w:type="spellEnd"/>
      <w:r w:rsidRPr="004E5CE2">
        <w:rPr>
          <w:rFonts w:ascii="Arial" w:hAnsi="Arial" w:cs="Arial"/>
          <w:sz w:val="24"/>
          <w:szCs w:val="24"/>
        </w:rPr>
        <w:t>, George and Nedelea 2020). Marriott International aims to test circular waste systems at their large resort properties to support environmental strategies (Marriott International 2023). The pilot programs could lead to chain-wide adoption if combined with staff training and guest education on waste segregation (</w:t>
      </w:r>
      <w:proofErr w:type="spellStart"/>
      <w:r w:rsidRPr="004E5CE2">
        <w:rPr>
          <w:rFonts w:ascii="Arial" w:hAnsi="Arial" w:cs="Arial"/>
          <w:sz w:val="24"/>
          <w:szCs w:val="24"/>
        </w:rPr>
        <w:t>Batabyal</w:t>
      </w:r>
      <w:proofErr w:type="spellEnd"/>
      <w:r w:rsidRPr="004E5CE2">
        <w:rPr>
          <w:rFonts w:ascii="Arial" w:hAnsi="Arial" w:cs="Arial"/>
          <w:sz w:val="24"/>
          <w:szCs w:val="24"/>
        </w:rPr>
        <w:t xml:space="preserve"> 2018). Capital costs together with space restrictions and operational complexity create feasibility barriers in urban or high-rise settings where compact systems become essential (</w:t>
      </w:r>
      <w:proofErr w:type="spellStart"/>
      <w:r w:rsidRPr="004E5CE2">
        <w:rPr>
          <w:rFonts w:ascii="Arial" w:hAnsi="Arial" w:cs="Arial"/>
          <w:sz w:val="24"/>
          <w:szCs w:val="24"/>
        </w:rPr>
        <w:t>Nestoroska</w:t>
      </w:r>
      <w:proofErr w:type="spellEnd"/>
      <w:r w:rsidRPr="004E5CE2">
        <w:rPr>
          <w:rFonts w:ascii="Arial" w:hAnsi="Arial" w:cs="Arial"/>
          <w:sz w:val="24"/>
          <w:szCs w:val="24"/>
        </w:rPr>
        <w:t xml:space="preserve"> and </w:t>
      </w:r>
      <w:proofErr w:type="spellStart"/>
      <w:r w:rsidRPr="004E5CE2">
        <w:rPr>
          <w:rFonts w:ascii="Arial" w:hAnsi="Arial" w:cs="Arial"/>
          <w:sz w:val="24"/>
          <w:szCs w:val="24"/>
        </w:rPr>
        <w:t>Petrovska</w:t>
      </w:r>
      <w:proofErr w:type="spellEnd"/>
      <w:r w:rsidRPr="004E5CE2">
        <w:rPr>
          <w:rFonts w:ascii="Arial" w:hAnsi="Arial" w:cs="Arial"/>
          <w:sz w:val="24"/>
          <w:szCs w:val="24"/>
        </w:rPr>
        <w:t xml:space="preserve"> 2014). Despite </w:t>
      </w:r>
      <w:r w:rsidRPr="004E5CE2">
        <w:rPr>
          <w:rFonts w:ascii="Arial" w:hAnsi="Arial" w:cs="Arial"/>
          <w:sz w:val="24"/>
          <w:szCs w:val="24"/>
        </w:rPr>
        <w:lastRenderedPageBreak/>
        <w:t>its achievement in soap recycling Hilton Worldwide has yet to adopt biodigesters broadly thus failing to take advantage of addressing food waste at its origin (Hilton Worldwide 2023). The implementation of circular economy principles matches the industry's move toward regenerative hospitality models (Sloan, Legrand and Chen 2017).</w:t>
      </w:r>
    </w:p>
    <w:p w14:paraId="44FB7F77" w14:textId="77777777" w:rsidR="004E5CE2" w:rsidRPr="004E5CE2" w:rsidRDefault="004E5CE2" w:rsidP="004E5CE2">
      <w:pPr>
        <w:spacing w:line="360" w:lineRule="auto"/>
        <w:jc w:val="both"/>
        <w:rPr>
          <w:rFonts w:ascii="Arial" w:hAnsi="Arial" w:cs="Arial"/>
          <w:sz w:val="24"/>
          <w:szCs w:val="24"/>
        </w:rPr>
      </w:pPr>
      <w:r w:rsidRPr="004E5CE2">
        <w:rPr>
          <w:rFonts w:ascii="Arial" w:hAnsi="Arial" w:cs="Arial"/>
          <w:sz w:val="24"/>
          <w:szCs w:val="24"/>
        </w:rPr>
        <w:t>The success of sustainability initiatives depends heavily on staff engagement according to Cooper's findings from 2021. The effectiveness of advanced technologies and systems depends on user understanding and employee support according to Edgell 2020. Marriott uses incentives and training programs to motivate staff participation in waste separation and energy-saving practices (Management Association 2018). Hilton adopts employee committees and reward systems as strategies to achieve ownership of environmental objectives (Hilton Worldwide 2023). Six Senses integrates sustainability education into both new employee orientation and ongoing professional development to build department-wide accountability (</w:t>
      </w:r>
      <w:proofErr w:type="spellStart"/>
      <w:r w:rsidRPr="004E5CE2">
        <w:rPr>
          <w:rFonts w:ascii="Arial" w:hAnsi="Arial" w:cs="Arial"/>
          <w:sz w:val="24"/>
          <w:szCs w:val="24"/>
        </w:rPr>
        <w:t>Pakpahan</w:t>
      </w:r>
      <w:proofErr w:type="spellEnd"/>
      <w:r w:rsidRPr="004E5CE2">
        <w:rPr>
          <w:rFonts w:ascii="Arial" w:hAnsi="Arial" w:cs="Arial"/>
          <w:sz w:val="24"/>
          <w:szCs w:val="24"/>
        </w:rPr>
        <w:t xml:space="preserve"> et al. 2022). 2022). When employees actively participate they boost compliance and generate innovative solutions like menu changes to decrease food waste and alternative uses for old linens (Edgell 2020). When staff engagement is missing, system failures occur through contaminated recycling streams and underutilized composting systems (Sustainable Tourism 2019). Investment in human capital holds equivalent importance to infrastructure development for achieving sustainable results.</w:t>
      </w:r>
    </w:p>
    <w:p w14:paraId="1AC7A9F2" w14:textId="77777777" w:rsidR="004E5CE2" w:rsidRPr="004E5CE2" w:rsidRDefault="004E5CE2" w:rsidP="004E5CE2">
      <w:pPr>
        <w:spacing w:line="360" w:lineRule="auto"/>
        <w:jc w:val="both"/>
        <w:rPr>
          <w:rFonts w:ascii="Arial" w:hAnsi="Arial" w:cs="Arial"/>
          <w:sz w:val="24"/>
          <w:szCs w:val="24"/>
        </w:rPr>
      </w:pPr>
      <w:r w:rsidRPr="004E5CE2">
        <w:rPr>
          <w:rFonts w:ascii="Arial" w:hAnsi="Arial" w:cs="Arial"/>
          <w:sz w:val="24"/>
          <w:szCs w:val="24"/>
        </w:rPr>
        <w:t xml:space="preserve">The effectiveness of sustainability efforts increases when businesses maintain transparency and involve their guests (Costa and Costa 2022). Sharing performance metrics like waste diversion rates and water conservation figures enables guests to recognize their impact and align their </w:t>
      </w:r>
      <w:proofErr w:type="spellStart"/>
      <w:r w:rsidRPr="004E5CE2">
        <w:rPr>
          <w:rFonts w:ascii="Arial" w:hAnsi="Arial" w:cs="Arial"/>
          <w:sz w:val="24"/>
          <w:szCs w:val="24"/>
        </w:rPr>
        <w:t>behavior</w:t>
      </w:r>
      <w:proofErr w:type="spellEnd"/>
      <w:r w:rsidRPr="004E5CE2">
        <w:rPr>
          <w:rFonts w:ascii="Arial" w:hAnsi="Arial" w:cs="Arial"/>
          <w:sz w:val="24"/>
          <w:szCs w:val="24"/>
        </w:rPr>
        <w:t xml:space="preserve"> during their stay (Marriott International 2021). Six Senses offers guests detailed sustainability information through in-room materials alongside behind-the-scenes sustainability tours (</w:t>
      </w:r>
      <w:proofErr w:type="spellStart"/>
      <w:r w:rsidRPr="004E5CE2">
        <w:rPr>
          <w:rFonts w:ascii="Arial" w:hAnsi="Arial" w:cs="Arial"/>
          <w:sz w:val="24"/>
          <w:szCs w:val="24"/>
        </w:rPr>
        <w:t>Pakpahan</w:t>
      </w:r>
      <w:proofErr w:type="spellEnd"/>
      <w:r w:rsidRPr="004E5CE2">
        <w:rPr>
          <w:rFonts w:ascii="Arial" w:hAnsi="Arial" w:cs="Arial"/>
          <w:sz w:val="24"/>
          <w:szCs w:val="24"/>
        </w:rPr>
        <w:t xml:space="preserve"> et al. 2022). 2022). Both Marriott and Hilton disclose annual ESG report updates and mobile app progress reports but site-specific information remains scarce (Smith et al. 2022). 2022). Providing guests with information helps establish trust while strengthening brand loyalty especially with eco-conscious </w:t>
      </w:r>
      <w:proofErr w:type="spellStart"/>
      <w:r w:rsidRPr="004E5CE2">
        <w:rPr>
          <w:rFonts w:ascii="Arial" w:hAnsi="Arial" w:cs="Arial"/>
          <w:sz w:val="24"/>
          <w:szCs w:val="24"/>
        </w:rPr>
        <w:t>travelers</w:t>
      </w:r>
      <w:proofErr w:type="spellEnd"/>
      <w:r w:rsidRPr="004E5CE2">
        <w:rPr>
          <w:rFonts w:ascii="Arial" w:hAnsi="Arial" w:cs="Arial"/>
          <w:sz w:val="24"/>
          <w:szCs w:val="24"/>
        </w:rPr>
        <w:t xml:space="preserve"> who demand transparency and sustainable practices (Smith et al. 2022). 2022). Guests who receive environmental education show higher participation rates in volunteer programs like towel reuse and </w:t>
      </w:r>
      <w:r w:rsidRPr="004E5CE2">
        <w:rPr>
          <w:rFonts w:ascii="Arial" w:hAnsi="Arial" w:cs="Arial"/>
          <w:sz w:val="24"/>
          <w:szCs w:val="24"/>
        </w:rPr>
        <w:lastRenderedPageBreak/>
        <w:t>waste separation which strengthens hotel sustainability initiatives (Costa and Costa 2022).</w:t>
      </w:r>
    </w:p>
    <w:p w14:paraId="48A79C83" w14:textId="77777777" w:rsidR="004E5CE2" w:rsidRPr="004E5CE2" w:rsidRDefault="004E5CE2" w:rsidP="004E5CE2">
      <w:pPr>
        <w:spacing w:line="360" w:lineRule="auto"/>
        <w:jc w:val="both"/>
        <w:rPr>
          <w:rFonts w:ascii="Arial" w:hAnsi="Arial" w:cs="Arial"/>
          <w:sz w:val="24"/>
          <w:szCs w:val="24"/>
        </w:rPr>
      </w:pPr>
      <w:r w:rsidRPr="004E5CE2">
        <w:rPr>
          <w:rFonts w:ascii="Arial" w:hAnsi="Arial" w:cs="Arial"/>
          <w:sz w:val="24"/>
          <w:szCs w:val="24"/>
        </w:rPr>
        <w:t>The adoption of sustainability strategies is guided by regulatory environments (Jauhari 2021). The growing demand for emissions targets and mandatory disclosure rules places hotels in a position where they need to prove their sustainability efforts (Marriott International 2023). Brands like Marriott and Hilton can maintain competitive advantages and reduce long-term liabilities when they invest early in resource-efficient infrastructure (</w:t>
      </w:r>
      <w:proofErr w:type="spellStart"/>
      <w:r w:rsidRPr="004E5CE2">
        <w:rPr>
          <w:rFonts w:ascii="Arial" w:hAnsi="Arial" w:cs="Arial"/>
          <w:sz w:val="24"/>
          <w:szCs w:val="24"/>
        </w:rPr>
        <w:t>Gardetti</w:t>
      </w:r>
      <w:proofErr w:type="spellEnd"/>
      <w:r w:rsidRPr="004E5CE2">
        <w:rPr>
          <w:rFonts w:ascii="Arial" w:hAnsi="Arial" w:cs="Arial"/>
          <w:sz w:val="24"/>
          <w:szCs w:val="24"/>
        </w:rPr>
        <w:t xml:space="preserve"> and Torres 2017). To facilitate these changes governments provide financial incentives including enhanced capital allowances for water-saving devices and tax breaks for renewable installations (Wilson, Robinson and Patel 2017). Within this framework sustainability functions both as a reputation builder and a tool for risk management that protects hotels from regulatory penalties alongside investor withdrawal (Smith et al. 2022). 2022). Moral leadership in business practices may also emerge from practical foresight developed through external market forces.</w:t>
      </w:r>
    </w:p>
    <w:p w14:paraId="79542E76" w14:textId="64408770" w:rsidR="004E5CE2" w:rsidRPr="004E5CE2" w:rsidRDefault="004E5CE2" w:rsidP="004E5CE2">
      <w:pPr>
        <w:spacing w:line="360" w:lineRule="auto"/>
        <w:jc w:val="both"/>
        <w:rPr>
          <w:rFonts w:ascii="Arial" w:hAnsi="Arial" w:cs="Arial"/>
          <w:sz w:val="24"/>
          <w:szCs w:val="24"/>
        </w:rPr>
      </w:pPr>
      <w:r w:rsidRPr="004E5CE2">
        <w:rPr>
          <w:rFonts w:ascii="Arial" w:hAnsi="Arial" w:cs="Arial"/>
          <w:sz w:val="24"/>
          <w:szCs w:val="24"/>
        </w:rPr>
        <w:t xml:space="preserve">The triple bottom line and stakeholder theory frameworks assess sustainability dynamics through the integration of social, environmental, and economic outcomes (Dodds and Joppe 2005). Elkington's triple bottom line framework establishes that enduring business prosperity requires balancing financial outcomes with positive impacts on both society and the environment. This framework challenges the conventional view that financial performance alone defines success and instead encourages businesses to measure outcomes across three dimensions: The framework incorporates environmental stewardship alongside social equity and economic viability (Dodds and Joppe 2005). The stakeholder theory states that companies must </w:t>
      </w:r>
      <w:proofErr w:type="spellStart"/>
      <w:r w:rsidRPr="004E5CE2">
        <w:rPr>
          <w:rFonts w:ascii="Arial" w:hAnsi="Arial" w:cs="Arial"/>
          <w:sz w:val="24"/>
          <w:szCs w:val="24"/>
        </w:rPr>
        <w:t>fulfill</w:t>
      </w:r>
      <w:proofErr w:type="spellEnd"/>
      <w:r w:rsidRPr="004E5CE2">
        <w:rPr>
          <w:rFonts w:ascii="Arial" w:hAnsi="Arial" w:cs="Arial"/>
          <w:sz w:val="24"/>
          <w:szCs w:val="24"/>
        </w:rPr>
        <w:t xml:space="preserve"> the needs of all stakeholders including employees, customers, communities, and regulators, while also serving shareholders (Jones and Comfort 2020). These models help the hotel industry to assess the thoroughness and genuine nature of sustainability practices.</w:t>
      </w:r>
      <w:r>
        <w:rPr>
          <w:rFonts w:ascii="Arial" w:hAnsi="Arial" w:cs="Arial"/>
          <w:sz w:val="24"/>
          <w:szCs w:val="24"/>
        </w:rPr>
        <w:t xml:space="preserve"> </w:t>
      </w:r>
      <w:r w:rsidRPr="004E5CE2">
        <w:rPr>
          <w:rFonts w:ascii="Arial" w:hAnsi="Arial" w:cs="Arial"/>
          <w:sz w:val="24"/>
          <w:szCs w:val="24"/>
        </w:rPr>
        <w:t>At Six Senses priority rests with ecological and social performance outcomes while expansion and financial recovery take a backseat demonstrating their ethical sustainability approach (</w:t>
      </w:r>
      <w:proofErr w:type="spellStart"/>
      <w:r w:rsidRPr="004E5CE2">
        <w:rPr>
          <w:rFonts w:ascii="Arial" w:hAnsi="Arial" w:cs="Arial"/>
          <w:sz w:val="24"/>
          <w:szCs w:val="24"/>
        </w:rPr>
        <w:t>Gössling</w:t>
      </w:r>
      <w:proofErr w:type="spellEnd"/>
      <w:r w:rsidRPr="004E5CE2">
        <w:rPr>
          <w:rFonts w:ascii="Arial" w:hAnsi="Arial" w:cs="Arial"/>
          <w:sz w:val="24"/>
          <w:szCs w:val="24"/>
        </w:rPr>
        <w:t xml:space="preserve"> et al. 2009). 2009). These investments in on-site farming, local hiring and waste reduction measures receive validation through their inherent worth rather than their financial gain. Although composting and greywater systems do not deliver immediate financial benefits Six Senses still implements them as part of their responsible hospitality vision. The brand </w:t>
      </w:r>
      <w:r w:rsidRPr="004E5CE2">
        <w:rPr>
          <w:rFonts w:ascii="Arial" w:hAnsi="Arial" w:cs="Arial"/>
          <w:sz w:val="24"/>
          <w:szCs w:val="24"/>
        </w:rPr>
        <w:lastRenderedPageBreak/>
        <w:t>becomes a sustainability trailblazer but exclusively within the specialized luxury market where eco-friendly experiences meet guests' expectations and purchasing power. The company's choice to avoid rapid international growth demonstrates its commitment to environmental sustainability above financial expansion.</w:t>
      </w:r>
    </w:p>
    <w:p w14:paraId="07854466" w14:textId="1A98CE6C" w:rsidR="004E5CE2" w:rsidRPr="004E5CE2" w:rsidRDefault="004E5CE2" w:rsidP="004E5CE2">
      <w:pPr>
        <w:spacing w:line="360" w:lineRule="auto"/>
        <w:jc w:val="both"/>
        <w:rPr>
          <w:rFonts w:ascii="Arial" w:hAnsi="Arial" w:cs="Arial"/>
          <w:sz w:val="24"/>
          <w:szCs w:val="24"/>
        </w:rPr>
      </w:pPr>
      <w:r w:rsidRPr="004E5CE2">
        <w:rPr>
          <w:rFonts w:ascii="Arial" w:hAnsi="Arial" w:cs="Arial"/>
          <w:sz w:val="24"/>
          <w:szCs w:val="24"/>
        </w:rPr>
        <w:t>Marriott and Hilton employ a stakeholder model to balance shareholder returns with social and environmental standards as defined by market demands and customer expectations (Jones and Comfort 2020). These organizations apply sustainability through scalable policies and performance tracking while providing data reports that ensure investor confidence and satisfy changing regulatory standards. Hilton’s ESG disclosures and Marriott’s Serve 360 targets function as communication tools to relay progress reports to several audiences which include rating agencies and institutional investors. The model shows a practical risk management strategy while embedding sustainability into both strategic planning and operational activities. Organizations integrate environmental and social actions throughout their supply chain decisions as well as staff training and procurement processes and brand development.</w:t>
      </w:r>
      <w:r>
        <w:rPr>
          <w:rFonts w:ascii="Arial" w:hAnsi="Arial" w:cs="Arial"/>
          <w:sz w:val="24"/>
          <w:szCs w:val="24"/>
        </w:rPr>
        <w:t xml:space="preserve"> </w:t>
      </w:r>
      <w:r w:rsidRPr="004E5CE2">
        <w:rPr>
          <w:rFonts w:ascii="Arial" w:hAnsi="Arial" w:cs="Arial"/>
          <w:sz w:val="24"/>
          <w:szCs w:val="24"/>
        </w:rPr>
        <w:t xml:space="preserve">Sustainability becomes embedded in business strategies rather than remaining an outside demand when it simultaneously achieves guest contentment and boosts employee happiness while saving operational costs and meeting regulatory standards (Sloan, Legrand and Chen 2017). When well-executed, these strategies generate synergistic benefits: Energy efficiency functions to cut costs and green certifications bring in </w:t>
      </w:r>
      <w:proofErr w:type="spellStart"/>
      <w:r w:rsidRPr="004E5CE2">
        <w:rPr>
          <w:rFonts w:ascii="Arial" w:hAnsi="Arial" w:cs="Arial"/>
          <w:sz w:val="24"/>
          <w:szCs w:val="24"/>
        </w:rPr>
        <w:t>travelers</w:t>
      </w:r>
      <w:proofErr w:type="spellEnd"/>
      <w:r w:rsidRPr="004E5CE2">
        <w:rPr>
          <w:rFonts w:ascii="Arial" w:hAnsi="Arial" w:cs="Arial"/>
          <w:sz w:val="24"/>
          <w:szCs w:val="24"/>
        </w:rPr>
        <w:t xml:space="preserve"> who care about the environment while local engagement strengthens community ties. These frameworks enable hotels to differentiate between shallow pledges and genuine transformation while steering them towards sustainable practices that are authentic and measurable and can withstand future challenges. Hotels that integrate environmental and social values with financial goals and stakeholder interests will evolve from reactive to proactive sustainability strategies which deliver enduring benefits for both the company and society.</w:t>
      </w:r>
    </w:p>
    <w:p w14:paraId="2ED224BC" w14:textId="77777777" w:rsidR="004E5CE2" w:rsidRDefault="004E5CE2" w:rsidP="004E5CE2">
      <w:pPr>
        <w:spacing w:line="360" w:lineRule="auto"/>
        <w:jc w:val="both"/>
        <w:rPr>
          <w:rFonts w:ascii="Arial" w:hAnsi="Arial" w:cs="Arial"/>
          <w:sz w:val="24"/>
          <w:szCs w:val="24"/>
        </w:rPr>
      </w:pPr>
      <w:r w:rsidRPr="004E5CE2">
        <w:rPr>
          <w:rFonts w:ascii="Arial" w:hAnsi="Arial" w:cs="Arial"/>
          <w:sz w:val="24"/>
          <w:szCs w:val="24"/>
        </w:rPr>
        <w:t>Six Senses showcases the elevation of guest experience through integrated sustainability practices which support biodiversity and competitive differentiation while confronting scalability challenges (</w:t>
      </w:r>
      <w:proofErr w:type="spellStart"/>
      <w:r w:rsidRPr="004E5CE2">
        <w:rPr>
          <w:rFonts w:ascii="Arial" w:hAnsi="Arial" w:cs="Arial"/>
          <w:sz w:val="24"/>
          <w:szCs w:val="24"/>
        </w:rPr>
        <w:t>Pakpahan</w:t>
      </w:r>
      <w:proofErr w:type="spellEnd"/>
      <w:r w:rsidRPr="004E5CE2">
        <w:rPr>
          <w:rFonts w:ascii="Arial" w:hAnsi="Arial" w:cs="Arial"/>
          <w:sz w:val="24"/>
          <w:szCs w:val="24"/>
        </w:rPr>
        <w:t xml:space="preserve"> et al. 2022). 2022). Marriott and Hilton utilize scalable methods to reduce resource consumption and operational expenses while improving brand reputation but face challenges with franchise consistency and the potential for superficial measures which require ongoing examination (Marriott </w:t>
      </w:r>
      <w:r w:rsidRPr="004E5CE2">
        <w:rPr>
          <w:rFonts w:ascii="Arial" w:hAnsi="Arial" w:cs="Arial"/>
          <w:sz w:val="24"/>
          <w:szCs w:val="24"/>
        </w:rPr>
        <w:lastRenderedPageBreak/>
        <w:t>International 2023; Hilton Worldwide 2023). The success of all three cases relies on the integration of environmental objectives with business interests through staff engagement and cooperative communication with stakeholders (</w:t>
      </w:r>
      <w:proofErr w:type="spellStart"/>
      <w:r w:rsidRPr="004E5CE2">
        <w:rPr>
          <w:rFonts w:ascii="Arial" w:hAnsi="Arial" w:cs="Arial"/>
          <w:sz w:val="24"/>
          <w:szCs w:val="24"/>
        </w:rPr>
        <w:t>Inkson</w:t>
      </w:r>
      <w:proofErr w:type="spellEnd"/>
      <w:r w:rsidRPr="004E5CE2">
        <w:rPr>
          <w:rFonts w:ascii="Arial" w:hAnsi="Arial" w:cs="Arial"/>
          <w:sz w:val="24"/>
          <w:szCs w:val="24"/>
        </w:rPr>
        <w:t xml:space="preserve"> and Minnaert 2018). Experts recommend creating uniform standards for third-party audits while extending scope 3 emissions reporting and prioritizing trial programs for circular approaches such as biodigesters alongside reinforcing staff training programs. Hotels need to prove their dedication to sustainability through operational accountability and innovative long-term strategies rather than treating it as just another marketing tactic.</w:t>
      </w:r>
    </w:p>
    <w:p w14:paraId="254A0CDF" w14:textId="77777777" w:rsidR="004E5CE2" w:rsidRDefault="004E5CE2" w:rsidP="004E5CE2">
      <w:pPr>
        <w:spacing w:line="360" w:lineRule="auto"/>
        <w:jc w:val="both"/>
        <w:rPr>
          <w:rFonts w:ascii="Arial" w:hAnsi="Arial" w:cs="Arial"/>
          <w:sz w:val="24"/>
          <w:szCs w:val="24"/>
        </w:rPr>
      </w:pPr>
    </w:p>
    <w:p w14:paraId="3EFC9DE7" w14:textId="77777777" w:rsidR="004E5CE2" w:rsidRDefault="004E5CE2" w:rsidP="004E5CE2">
      <w:pPr>
        <w:spacing w:line="360" w:lineRule="auto"/>
        <w:jc w:val="both"/>
        <w:rPr>
          <w:rFonts w:ascii="Arial" w:hAnsi="Arial" w:cs="Arial"/>
          <w:sz w:val="24"/>
          <w:szCs w:val="24"/>
        </w:rPr>
      </w:pPr>
    </w:p>
    <w:p w14:paraId="1D722E3D" w14:textId="77777777" w:rsidR="004E5CE2" w:rsidRDefault="004E5CE2" w:rsidP="004E5CE2">
      <w:pPr>
        <w:spacing w:line="360" w:lineRule="auto"/>
        <w:jc w:val="both"/>
        <w:rPr>
          <w:rFonts w:ascii="Arial" w:hAnsi="Arial" w:cs="Arial"/>
          <w:sz w:val="24"/>
          <w:szCs w:val="24"/>
        </w:rPr>
      </w:pPr>
    </w:p>
    <w:p w14:paraId="6EB6DF92" w14:textId="77777777" w:rsidR="004E5CE2" w:rsidRDefault="004E5CE2" w:rsidP="004E5CE2">
      <w:pPr>
        <w:spacing w:line="360" w:lineRule="auto"/>
        <w:jc w:val="both"/>
        <w:rPr>
          <w:rFonts w:ascii="Arial" w:hAnsi="Arial" w:cs="Arial"/>
          <w:sz w:val="24"/>
          <w:szCs w:val="24"/>
        </w:rPr>
      </w:pPr>
    </w:p>
    <w:p w14:paraId="742F3DFA" w14:textId="77777777" w:rsidR="004E5CE2" w:rsidRDefault="004E5CE2" w:rsidP="004E5CE2">
      <w:pPr>
        <w:spacing w:line="360" w:lineRule="auto"/>
        <w:jc w:val="both"/>
        <w:rPr>
          <w:rFonts w:ascii="Arial" w:hAnsi="Arial" w:cs="Arial"/>
          <w:sz w:val="24"/>
          <w:szCs w:val="24"/>
        </w:rPr>
      </w:pPr>
    </w:p>
    <w:p w14:paraId="13A33528" w14:textId="77777777" w:rsidR="004E5CE2" w:rsidRDefault="004E5CE2" w:rsidP="004E5CE2">
      <w:pPr>
        <w:spacing w:line="360" w:lineRule="auto"/>
        <w:jc w:val="both"/>
        <w:rPr>
          <w:rFonts w:ascii="Arial" w:hAnsi="Arial" w:cs="Arial"/>
          <w:sz w:val="24"/>
          <w:szCs w:val="24"/>
        </w:rPr>
      </w:pPr>
    </w:p>
    <w:p w14:paraId="2E1BA7C9" w14:textId="77777777" w:rsidR="004E5CE2" w:rsidRDefault="004E5CE2" w:rsidP="004E5CE2">
      <w:pPr>
        <w:spacing w:line="360" w:lineRule="auto"/>
        <w:jc w:val="both"/>
        <w:rPr>
          <w:rFonts w:ascii="Arial" w:hAnsi="Arial" w:cs="Arial"/>
          <w:sz w:val="24"/>
          <w:szCs w:val="24"/>
        </w:rPr>
      </w:pPr>
    </w:p>
    <w:p w14:paraId="0E1A28F2" w14:textId="77777777" w:rsidR="004E5CE2" w:rsidRDefault="004E5CE2" w:rsidP="004E5CE2">
      <w:pPr>
        <w:spacing w:line="360" w:lineRule="auto"/>
        <w:jc w:val="both"/>
        <w:rPr>
          <w:rFonts w:ascii="Arial" w:hAnsi="Arial" w:cs="Arial"/>
          <w:sz w:val="24"/>
          <w:szCs w:val="24"/>
        </w:rPr>
      </w:pPr>
    </w:p>
    <w:p w14:paraId="7D8C4F5F" w14:textId="77777777" w:rsidR="004E5CE2" w:rsidRDefault="004E5CE2" w:rsidP="004E5CE2">
      <w:pPr>
        <w:spacing w:line="360" w:lineRule="auto"/>
        <w:jc w:val="both"/>
        <w:rPr>
          <w:rFonts w:ascii="Arial" w:hAnsi="Arial" w:cs="Arial"/>
          <w:sz w:val="24"/>
          <w:szCs w:val="24"/>
        </w:rPr>
      </w:pPr>
    </w:p>
    <w:p w14:paraId="19C84D5A" w14:textId="77777777" w:rsidR="004E5CE2" w:rsidRDefault="004E5CE2" w:rsidP="004E5CE2">
      <w:pPr>
        <w:spacing w:line="360" w:lineRule="auto"/>
        <w:jc w:val="both"/>
        <w:rPr>
          <w:rFonts w:ascii="Arial" w:hAnsi="Arial" w:cs="Arial"/>
          <w:sz w:val="24"/>
          <w:szCs w:val="24"/>
        </w:rPr>
      </w:pPr>
    </w:p>
    <w:p w14:paraId="6886B225" w14:textId="77777777" w:rsidR="004E5CE2" w:rsidRDefault="004E5CE2" w:rsidP="004E5CE2">
      <w:pPr>
        <w:spacing w:line="360" w:lineRule="auto"/>
        <w:jc w:val="both"/>
        <w:rPr>
          <w:rFonts w:ascii="Arial" w:hAnsi="Arial" w:cs="Arial"/>
          <w:sz w:val="24"/>
          <w:szCs w:val="24"/>
        </w:rPr>
      </w:pPr>
    </w:p>
    <w:p w14:paraId="020BF3FD" w14:textId="77777777" w:rsidR="004E5CE2" w:rsidRDefault="004E5CE2" w:rsidP="004E5CE2">
      <w:pPr>
        <w:spacing w:line="360" w:lineRule="auto"/>
        <w:jc w:val="both"/>
        <w:rPr>
          <w:rFonts w:ascii="Arial" w:hAnsi="Arial" w:cs="Arial"/>
          <w:sz w:val="24"/>
          <w:szCs w:val="24"/>
        </w:rPr>
      </w:pPr>
    </w:p>
    <w:p w14:paraId="3B395445" w14:textId="77777777" w:rsidR="004E5CE2" w:rsidRDefault="004E5CE2" w:rsidP="004E5CE2">
      <w:pPr>
        <w:spacing w:line="360" w:lineRule="auto"/>
        <w:jc w:val="both"/>
        <w:rPr>
          <w:rFonts w:ascii="Arial" w:hAnsi="Arial" w:cs="Arial"/>
          <w:sz w:val="24"/>
          <w:szCs w:val="24"/>
        </w:rPr>
      </w:pPr>
    </w:p>
    <w:p w14:paraId="5FAF5D63" w14:textId="77777777" w:rsidR="004E5CE2" w:rsidRDefault="004E5CE2" w:rsidP="004E5CE2">
      <w:pPr>
        <w:spacing w:line="360" w:lineRule="auto"/>
        <w:jc w:val="both"/>
        <w:rPr>
          <w:rFonts w:ascii="Arial" w:hAnsi="Arial" w:cs="Arial"/>
          <w:sz w:val="24"/>
          <w:szCs w:val="24"/>
        </w:rPr>
      </w:pPr>
    </w:p>
    <w:p w14:paraId="0DFA2C94" w14:textId="77777777" w:rsidR="004E5CE2" w:rsidRDefault="004E5CE2" w:rsidP="004E5CE2">
      <w:pPr>
        <w:spacing w:line="360" w:lineRule="auto"/>
        <w:jc w:val="both"/>
        <w:rPr>
          <w:rFonts w:ascii="Arial" w:hAnsi="Arial" w:cs="Arial"/>
          <w:sz w:val="24"/>
          <w:szCs w:val="24"/>
        </w:rPr>
      </w:pPr>
    </w:p>
    <w:p w14:paraId="22D4336C" w14:textId="77777777" w:rsidR="004E5CE2" w:rsidRDefault="004E5CE2" w:rsidP="004E5CE2">
      <w:pPr>
        <w:spacing w:line="360" w:lineRule="auto"/>
        <w:jc w:val="both"/>
        <w:rPr>
          <w:rFonts w:ascii="Arial" w:hAnsi="Arial" w:cs="Arial"/>
          <w:sz w:val="24"/>
          <w:szCs w:val="24"/>
        </w:rPr>
      </w:pPr>
    </w:p>
    <w:p w14:paraId="52158782" w14:textId="77777777" w:rsidR="004E5CE2" w:rsidRDefault="004E5CE2" w:rsidP="004E5CE2">
      <w:pPr>
        <w:spacing w:line="360" w:lineRule="auto"/>
        <w:jc w:val="both"/>
        <w:rPr>
          <w:rFonts w:ascii="Arial" w:hAnsi="Arial" w:cs="Arial"/>
          <w:sz w:val="24"/>
          <w:szCs w:val="24"/>
        </w:rPr>
      </w:pPr>
    </w:p>
    <w:p w14:paraId="51718FB2" w14:textId="77777777" w:rsidR="004E5CE2" w:rsidRDefault="004E5CE2" w:rsidP="004E5CE2">
      <w:pPr>
        <w:spacing w:line="360" w:lineRule="auto"/>
        <w:jc w:val="both"/>
        <w:rPr>
          <w:rFonts w:ascii="Arial" w:hAnsi="Arial" w:cs="Arial"/>
          <w:sz w:val="24"/>
          <w:szCs w:val="24"/>
        </w:rPr>
      </w:pPr>
    </w:p>
    <w:p w14:paraId="4F0827F3" w14:textId="77777777" w:rsidR="004E5CE2" w:rsidRDefault="004E5CE2" w:rsidP="004E5CE2">
      <w:pPr>
        <w:spacing w:line="360" w:lineRule="auto"/>
        <w:jc w:val="both"/>
        <w:rPr>
          <w:rFonts w:ascii="Arial" w:hAnsi="Arial" w:cs="Arial"/>
          <w:sz w:val="24"/>
          <w:szCs w:val="24"/>
        </w:rPr>
      </w:pPr>
    </w:p>
    <w:p w14:paraId="78FB4FA7" w14:textId="77777777" w:rsidR="004E5CE2" w:rsidRDefault="004E5CE2" w:rsidP="004E5CE2">
      <w:pPr>
        <w:spacing w:line="360" w:lineRule="auto"/>
        <w:jc w:val="both"/>
        <w:rPr>
          <w:rFonts w:ascii="Arial" w:hAnsi="Arial" w:cs="Arial"/>
          <w:sz w:val="24"/>
          <w:szCs w:val="24"/>
        </w:rPr>
      </w:pPr>
    </w:p>
    <w:p w14:paraId="1156167D" w14:textId="77777777" w:rsidR="004E5CE2" w:rsidRDefault="004E5CE2" w:rsidP="004E5CE2">
      <w:pPr>
        <w:spacing w:line="360" w:lineRule="auto"/>
        <w:jc w:val="both"/>
        <w:rPr>
          <w:rFonts w:ascii="Arial" w:hAnsi="Arial" w:cs="Arial"/>
          <w:sz w:val="24"/>
          <w:szCs w:val="24"/>
        </w:rPr>
      </w:pPr>
    </w:p>
    <w:p w14:paraId="38A88543" w14:textId="77777777" w:rsidR="004E5CE2" w:rsidRDefault="004E5CE2" w:rsidP="004E5CE2">
      <w:pPr>
        <w:spacing w:line="360" w:lineRule="auto"/>
        <w:jc w:val="both"/>
        <w:rPr>
          <w:rFonts w:ascii="Arial" w:hAnsi="Arial" w:cs="Arial"/>
          <w:sz w:val="24"/>
          <w:szCs w:val="24"/>
        </w:rPr>
      </w:pPr>
    </w:p>
    <w:p w14:paraId="78176A64" w14:textId="77777777" w:rsidR="004E5CE2" w:rsidRDefault="004E5CE2" w:rsidP="004E5CE2">
      <w:pPr>
        <w:spacing w:line="360" w:lineRule="auto"/>
        <w:jc w:val="both"/>
        <w:rPr>
          <w:rFonts w:ascii="Arial" w:hAnsi="Arial" w:cs="Arial"/>
          <w:sz w:val="24"/>
          <w:szCs w:val="24"/>
        </w:rPr>
      </w:pPr>
    </w:p>
    <w:p w14:paraId="441327D8" w14:textId="140B1C28" w:rsidR="004E5CE2" w:rsidRPr="004E5CE2" w:rsidRDefault="004E5CE2" w:rsidP="004E5CE2">
      <w:pPr>
        <w:spacing w:line="360" w:lineRule="auto"/>
        <w:jc w:val="both"/>
        <w:rPr>
          <w:rFonts w:ascii="Arial" w:hAnsi="Arial" w:cs="Arial"/>
          <w:b/>
          <w:bCs/>
          <w:sz w:val="24"/>
          <w:szCs w:val="24"/>
        </w:rPr>
      </w:pPr>
      <w:r w:rsidRPr="004E5CE2">
        <w:rPr>
          <w:rFonts w:ascii="Arial" w:hAnsi="Arial" w:cs="Arial"/>
          <w:b/>
          <w:bCs/>
          <w:sz w:val="24"/>
          <w:szCs w:val="24"/>
        </w:rPr>
        <w:t xml:space="preserve">References </w:t>
      </w:r>
    </w:p>
    <w:p w14:paraId="596022B5" w14:textId="77777777" w:rsidR="00C1483D" w:rsidRPr="00C1483D" w:rsidRDefault="00C1483D" w:rsidP="00C1483D">
      <w:pPr>
        <w:spacing w:line="360" w:lineRule="auto"/>
        <w:jc w:val="both"/>
        <w:rPr>
          <w:rFonts w:ascii="Arial" w:hAnsi="Arial" w:cs="Arial"/>
          <w:sz w:val="24"/>
          <w:szCs w:val="24"/>
        </w:rPr>
      </w:pPr>
      <w:proofErr w:type="spellStart"/>
      <w:r w:rsidRPr="00C1483D">
        <w:rPr>
          <w:rFonts w:ascii="Arial" w:hAnsi="Arial" w:cs="Arial"/>
          <w:sz w:val="24"/>
          <w:szCs w:val="24"/>
        </w:rPr>
        <w:t>Batabyal</w:t>
      </w:r>
      <w:proofErr w:type="spellEnd"/>
      <w:r w:rsidRPr="00C1483D">
        <w:rPr>
          <w:rFonts w:ascii="Arial" w:hAnsi="Arial" w:cs="Arial"/>
          <w:sz w:val="24"/>
          <w:szCs w:val="24"/>
        </w:rPr>
        <w:t xml:space="preserve">. (2018). Managing Sustainable Tourism Resources. IGI Global.  </w:t>
      </w:r>
    </w:p>
    <w:p w14:paraId="58204DE6" w14:textId="77777777" w:rsidR="00C1483D" w:rsidRPr="00C1483D" w:rsidRDefault="00C1483D" w:rsidP="00C1483D">
      <w:pPr>
        <w:spacing w:line="360" w:lineRule="auto"/>
        <w:jc w:val="both"/>
        <w:rPr>
          <w:rFonts w:ascii="Arial" w:hAnsi="Arial" w:cs="Arial"/>
          <w:sz w:val="24"/>
          <w:szCs w:val="24"/>
        </w:rPr>
      </w:pPr>
      <w:r w:rsidRPr="00C1483D">
        <w:rPr>
          <w:rFonts w:ascii="Arial" w:hAnsi="Arial" w:cs="Arial"/>
          <w:sz w:val="24"/>
          <w:szCs w:val="24"/>
        </w:rPr>
        <w:t>Cooper, C. (2021) Essentials of tourism. Third edition. London: SAGE.</w:t>
      </w:r>
    </w:p>
    <w:p w14:paraId="6A5949B8" w14:textId="77777777" w:rsidR="00C1483D" w:rsidRPr="00C1483D" w:rsidRDefault="00C1483D" w:rsidP="00C1483D">
      <w:pPr>
        <w:spacing w:line="360" w:lineRule="auto"/>
        <w:jc w:val="both"/>
        <w:rPr>
          <w:rFonts w:ascii="Arial" w:hAnsi="Arial" w:cs="Arial"/>
          <w:sz w:val="24"/>
          <w:szCs w:val="24"/>
        </w:rPr>
      </w:pPr>
      <w:r w:rsidRPr="00C1483D">
        <w:rPr>
          <w:rFonts w:ascii="Arial" w:hAnsi="Arial" w:cs="Arial"/>
          <w:sz w:val="24"/>
          <w:szCs w:val="24"/>
        </w:rPr>
        <w:t xml:space="preserve">Costa, &amp; Costa, C. (2022). Sustainability and competitiveness in the hospitality industry (Costa &amp; C. Costa, Eds.). Business Science Reference.  </w:t>
      </w:r>
    </w:p>
    <w:p w14:paraId="7E6DF786" w14:textId="77777777" w:rsidR="00C1483D" w:rsidRPr="00C1483D" w:rsidRDefault="00C1483D" w:rsidP="00C1483D">
      <w:pPr>
        <w:spacing w:line="360" w:lineRule="auto"/>
        <w:jc w:val="both"/>
        <w:rPr>
          <w:rFonts w:ascii="Arial" w:hAnsi="Arial" w:cs="Arial"/>
          <w:sz w:val="24"/>
          <w:szCs w:val="24"/>
        </w:rPr>
      </w:pPr>
      <w:proofErr w:type="spellStart"/>
      <w:r w:rsidRPr="00C1483D">
        <w:rPr>
          <w:rFonts w:ascii="Arial" w:hAnsi="Arial" w:cs="Arial"/>
          <w:sz w:val="24"/>
          <w:szCs w:val="24"/>
        </w:rPr>
        <w:t>Damiasih</w:t>
      </w:r>
      <w:proofErr w:type="spellEnd"/>
      <w:r w:rsidRPr="00C1483D">
        <w:rPr>
          <w:rFonts w:ascii="Arial" w:hAnsi="Arial" w:cs="Arial"/>
          <w:sz w:val="24"/>
          <w:szCs w:val="24"/>
        </w:rPr>
        <w:t>, D., 2025. Innovative Marketing Strategies for Sustainable Tourism Development: A Literature Review. Golden Ratio of Marketing and Applied Psychology of Business, 5(1), pp.246-25</w:t>
      </w:r>
    </w:p>
    <w:p w14:paraId="5BBDCE28" w14:textId="77777777" w:rsidR="00C1483D" w:rsidRPr="00C1483D" w:rsidRDefault="00C1483D" w:rsidP="00C1483D">
      <w:pPr>
        <w:spacing w:line="360" w:lineRule="auto"/>
        <w:jc w:val="both"/>
        <w:rPr>
          <w:rFonts w:ascii="Arial" w:hAnsi="Arial" w:cs="Arial"/>
          <w:sz w:val="24"/>
          <w:szCs w:val="24"/>
        </w:rPr>
      </w:pPr>
      <w:r w:rsidRPr="00C1483D">
        <w:rPr>
          <w:rFonts w:ascii="Arial" w:hAnsi="Arial" w:cs="Arial"/>
          <w:sz w:val="24"/>
          <w:szCs w:val="24"/>
        </w:rPr>
        <w:t xml:space="preserve">Edgell. (2020). Managing sustainable tourism : a legacy for the future (Third edition). Routledge. </w:t>
      </w:r>
    </w:p>
    <w:p w14:paraId="1B9AC5C0" w14:textId="77777777" w:rsidR="00C1483D" w:rsidRPr="00C1483D" w:rsidRDefault="00C1483D" w:rsidP="00C1483D">
      <w:pPr>
        <w:spacing w:line="360" w:lineRule="auto"/>
        <w:jc w:val="both"/>
        <w:rPr>
          <w:rFonts w:ascii="Arial" w:hAnsi="Arial" w:cs="Arial"/>
          <w:sz w:val="24"/>
          <w:szCs w:val="24"/>
        </w:rPr>
      </w:pPr>
      <w:r w:rsidRPr="00C1483D">
        <w:rPr>
          <w:rFonts w:ascii="Arial" w:hAnsi="Arial" w:cs="Arial"/>
          <w:sz w:val="24"/>
          <w:szCs w:val="24"/>
        </w:rPr>
        <w:t>Gardetti, M.A. and Torres, A.L. eds., 2017. Sustainability in Hospitality: How innovative hotels are transforming the industry. Routledge.</w:t>
      </w:r>
    </w:p>
    <w:p w14:paraId="1BA11BD6" w14:textId="77777777" w:rsidR="00C1483D" w:rsidRPr="00C1483D" w:rsidRDefault="00C1483D" w:rsidP="00C1483D">
      <w:pPr>
        <w:spacing w:line="360" w:lineRule="auto"/>
        <w:jc w:val="both"/>
        <w:rPr>
          <w:rFonts w:ascii="Arial" w:hAnsi="Arial" w:cs="Arial"/>
          <w:sz w:val="24"/>
          <w:szCs w:val="24"/>
        </w:rPr>
      </w:pPr>
      <w:r w:rsidRPr="00C1483D">
        <w:rPr>
          <w:rFonts w:ascii="Arial" w:hAnsi="Arial" w:cs="Arial"/>
          <w:sz w:val="24"/>
          <w:szCs w:val="24"/>
        </w:rPr>
        <w:t xml:space="preserve">Haski-Leventhal, D. (2018) Strategic corporate social responsibility : tools &amp; theories for responsible management. London: SAGE. </w:t>
      </w:r>
    </w:p>
    <w:p w14:paraId="0EB5A65B" w14:textId="77777777" w:rsidR="00C1483D" w:rsidRPr="00C1483D" w:rsidRDefault="00C1483D" w:rsidP="00C1483D">
      <w:pPr>
        <w:spacing w:line="360" w:lineRule="auto"/>
        <w:jc w:val="both"/>
        <w:rPr>
          <w:rFonts w:ascii="Arial" w:hAnsi="Arial" w:cs="Arial"/>
          <w:sz w:val="24"/>
          <w:szCs w:val="24"/>
        </w:rPr>
      </w:pPr>
      <w:proofErr w:type="spellStart"/>
      <w:r w:rsidRPr="00C1483D">
        <w:rPr>
          <w:rFonts w:ascii="Arial" w:hAnsi="Arial" w:cs="Arial"/>
          <w:sz w:val="24"/>
          <w:szCs w:val="24"/>
        </w:rPr>
        <w:t>Inkson</w:t>
      </w:r>
      <w:proofErr w:type="spellEnd"/>
      <w:r w:rsidRPr="00C1483D">
        <w:rPr>
          <w:rFonts w:ascii="Arial" w:hAnsi="Arial" w:cs="Arial"/>
          <w:sz w:val="24"/>
          <w:szCs w:val="24"/>
        </w:rPr>
        <w:t>, C. and Minnaert, L. (2018) Tourism management : an introduction. 2nd ed. London: SAGE.</w:t>
      </w:r>
    </w:p>
    <w:p w14:paraId="69BB9AB7" w14:textId="77777777" w:rsidR="00C1483D" w:rsidRPr="00C1483D" w:rsidRDefault="00C1483D" w:rsidP="00C1483D">
      <w:pPr>
        <w:spacing w:line="360" w:lineRule="auto"/>
        <w:jc w:val="both"/>
        <w:rPr>
          <w:rFonts w:ascii="Arial" w:hAnsi="Arial" w:cs="Arial"/>
          <w:sz w:val="24"/>
          <w:szCs w:val="24"/>
        </w:rPr>
      </w:pPr>
      <w:r w:rsidRPr="00C1483D">
        <w:rPr>
          <w:rFonts w:ascii="Arial" w:hAnsi="Arial" w:cs="Arial"/>
          <w:sz w:val="24"/>
          <w:szCs w:val="24"/>
        </w:rPr>
        <w:t xml:space="preserve">Jauhari, V (2021)  ‘Managing Sustainability in the Hospitality and Tourism Industry: Paradigms and Directions for the Future’ </w:t>
      </w:r>
    </w:p>
    <w:p w14:paraId="5D2B5E62" w14:textId="77777777" w:rsidR="00C1483D" w:rsidRPr="00C1483D" w:rsidRDefault="00C1483D" w:rsidP="00C1483D">
      <w:pPr>
        <w:spacing w:line="360" w:lineRule="auto"/>
        <w:jc w:val="both"/>
        <w:rPr>
          <w:rFonts w:ascii="Arial" w:hAnsi="Arial" w:cs="Arial"/>
          <w:sz w:val="24"/>
          <w:szCs w:val="24"/>
        </w:rPr>
      </w:pPr>
      <w:r w:rsidRPr="00C1483D">
        <w:rPr>
          <w:rFonts w:ascii="Arial" w:hAnsi="Arial" w:cs="Arial"/>
          <w:sz w:val="24"/>
          <w:szCs w:val="24"/>
        </w:rPr>
        <w:t xml:space="preserve">9th </w:t>
      </w:r>
      <w:proofErr w:type="spellStart"/>
      <w:r w:rsidRPr="00C1483D">
        <w:rPr>
          <w:rFonts w:ascii="Arial" w:hAnsi="Arial" w:cs="Arial"/>
          <w:sz w:val="24"/>
          <w:szCs w:val="24"/>
        </w:rPr>
        <w:t>edn.Oakville</w:t>
      </w:r>
      <w:proofErr w:type="spellEnd"/>
      <w:r w:rsidRPr="00C1483D">
        <w:rPr>
          <w:rFonts w:ascii="Arial" w:hAnsi="Arial" w:cs="Arial"/>
          <w:sz w:val="24"/>
          <w:szCs w:val="24"/>
        </w:rPr>
        <w:t>: Apple Academic Press. Inc</w:t>
      </w:r>
    </w:p>
    <w:p w14:paraId="63D0B1C3" w14:textId="77777777" w:rsidR="00C1483D" w:rsidRPr="00C1483D" w:rsidRDefault="00C1483D" w:rsidP="00C1483D">
      <w:pPr>
        <w:spacing w:line="360" w:lineRule="auto"/>
        <w:jc w:val="both"/>
        <w:rPr>
          <w:rFonts w:ascii="Arial" w:hAnsi="Arial" w:cs="Arial"/>
          <w:sz w:val="24"/>
          <w:szCs w:val="24"/>
        </w:rPr>
      </w:pPr>
      <w:proofErr w:type="spellStart"/>
      <w:r w:rsidRPr="00C1483D">
        <w:rPr>
          <w:rFonts w:ascii="Arial" w:hAnsi="Arial" w:cs="Arial"/>
          <w:sz w:val="24"/>
          <w:szCs w:val="24"/>
        </w:rPr>
        <w:t>Korstanje</w:t>
      </w:r>
      <w:proofErr w:type="spellEnd"/>
      <w:r w:rsidRPr="00C1483D">
        <w:rPr>
          <w:rFonts w:ascii="Arial" w:hAnsi="Arial" w:cs="Arial"/>
          <w:sz w:val="24"/>
          <w:szCs w:val="24"/>
        </w:rPr>
        <w:t>, George, B., &amp; Nedelea, A. (2020). Strategies for promoting sustainable hospitality and tourism services. IGI Global.</w:t>
      </w:r>
    </w:p>
    <w:p w14:paraId="58406FB6" w14:textId="77777777" w:rsidR="00C1483D" w:rsidRPr="00C1483D" w:rsidRDefault="00C1483D" w:rsidP="00C1483D">
      <w:pPr>
        <w:spacing w:line="360" w:lineRule="auto"/>
        <w:jc w:val="both"/>
        <w:rPr>
          <w:rFonts w:ascii="Arial" w:hAnsi="Arial" w:cs="Arial"/>
          <w:sz w:val="24"/>
          <w:szCs w:val="24"/>
        </w:rPr>
      </w:pPr>
      <w:r w:rsidRPr="00C1483D">
        <w:rPr>
          <w:rFonts w:ascii="Arial" w:hAnsi="Arial" w:cs="Arial"/>
          <w:sz w:val="24"/>
          <w:szCs w:val="24"/>
        </w:rPr>
        <w:t>Management Association. (2018). Sustainable Tourism. IGI Global.</w:t>
      </w:r>
    </w:p>
    <w:p w14:paraId="3B0A8C35" w14:textId="77777777" w:rsidR="00C1483D" w:rsidRPr="00C1483D" w:rsidRDefault="00C1483D" w:rsidP="00C1483D">
      <w:pPr>
        <w:spacing w:line="360" w:lineRule="auto"/>
        <w:jc w:val="both"/>
        <w:rPr>
          <w:rFonts w:ascii="Arial" w:hAnsi="Arial" w:cs="Arial"/>
          <w:sz w:val="24"/>
          <w:szCs w:val="24"/>
        </w:rPr>
      </w:pPr>
      <w:r w:rsidRPr="00C1483D">
        <w:rPr>
          <w:rFonts w:ascii="Arial" w:hAnsi="Arial" w:cs="Arial"/>
          <w:sz w:val="24"/>
          <w:szCs w:val="24"/>
        </w:rPr>
        <w:lastRenderedPageBreak/>
        <w:t>Marriott (n.d.). www.marriott.com. (n.d.). Sustainability | Marriott Bonvoy - Home page. [online] Available at: https://www.marriott.com/en-gb/hotels/lhrhr-london-heathrow-marriott-hotel/overview/sustainability/.</w:t>
      </w:r>
    </w:p>
    <w:p w14:paraId="1EB1A718" w14:textId="77777777" w:rsidR="00C1483D" w:rsidRPr="00C1483D" w:rsidRDefault="00C1483D" w:rsidP="00C1483D">
      <w:pPr>
        <w:spacing w:line="360" w:lineRule="auto"/>
        <w:jc w:val="both"/>
        <w:rPr>
          <w:rFonts w:ascii="Arial" w:hAnsi="Arial" w:cs="Arial"/>
          <w:sz w:val="24"/>
          <w:szCs w:val="24"/>
        </w:rPr>
      </w:pPr>
      <w:r w:rsidRPr="00C1483D">
        <w:rPr>
          <w:rFonts w:ascii="Arial" w:hAnsi="Arial" w:cs="Arial"/>
          <w:sz w:val="24"/>
          <w:szCs w:val="24"/>
        </w:rPr>
        <w:t>Nath, A., 2014. Profitability and sustainability from waste management practices in hotels and its impact on environment. Unpublished doctoral dissertation). Jaypee Institute of Information Technology, Noida, Uttar Pradesh, India.</w:t>
      </w:r>
    </w:p>
    <w:p w14:paraId="20641565" w14:textId="77777777" w:rsidR="00C1483D" w:rsidRPr="00C1483D" w:rsidRDefault="00C1483D" w:rsidP="00C1483D">
      <w:pPr>
        <w:spacing w:line="360" w:lineRule="auto"/>
        <w:jc w:val="both"/>
        <w:rPr>
          <w:rFonts w:ascii="Arial" w:hAnsi="Arial" w:cs="Arial"/>
          <w:sz w:val="24"/>
          <w:szCs w:val="24"/>
        </w:rPr>
      </w:pPr>
      <w:proofErr w:type="spellStart"/>
      <w:r w:rsidRPr="00C1483D">
        <w:rPr>
          <w:rFonts w:ascii="Arial" w:hAnsi="Arial" w:cs="Arial"/>
          <w:sz w:val="24"/>
          <w:szCs w:val="24"/>
        </w:rPr>
        <w:t>Nestoroska</w:t>
      </w:r>
      <w:proofErr w:type="spellEnd"/>
      <w:r w:rsidRPr="00C1483D">
        <w:rPr>
          <w:rFonts w:ascii="Arial" w:hAnsi="Arial" w:cs="Arial"/>
          <w:sz w:val="24"/>
          <w:szCs w:val="24"/>
        </w:rPr>
        <w:t xml:space="preserve">, I. and </w:t>
      </w:r>
      <w:proofErr w:type="spellStart"/>
      <w:r w:rsidRPr="00C1483D">
        <w:rPr>
          <w:rFonts w:ascii="Arial" w:hAnsi="Arial" w:cs="Arial"/>
          <w:sz w:val="24"/>
          <w:szCs w:val="24"/>
        </w:rPr>
        <w:t>Petrovska</w:t>
      </w:r>
      <w:proofErr w:type="spellEnd"/>
      <w:r w:rsidRPr="00C1483D">
        <w:rPr>
          <w:rFonts w:ascii="Arial" w:hAnsi="Arial" w:cs="Arial"/>
          <w:sz w:val="24"/>
          <w:szCs w:val="24"/>
        </w:rPr>
        <w:t>, I., 2014, May. Staff training in hospitality sector as benefit for improved service quality. In Tourism and Hospitality Industry 2014–CONGRESS PROCEEDINGS (pp. 437-448)</w:t>
      </w:r>
    </w:p>
    <w:p w14:paraId="3A9576B8" w14:textId="77777777" w:rsidR="00C1483D" w:rsidRPr="00C1483D" w:rsidRDefault="00C1483D" w:rsidP="00C1483D">
      <w:pPr>
        <w:spacing w:line="360" w:lineRule="auto"/>
        <w:jc w:val="both"/>
        <w:rPr>
          <w:rFonts w:ascii="Arial" w:hAnsi="Arial" w:cs="Arial"/>
          <w:sz w:val="24"/>
          <w:szCs w:val="24"/>
        </w:rPr>
      </w:pPr>
      <w:r w:rsidRPr="00C1483D">
        <w:rPr>
          <w:rFonts w:ascii="Arial" w:hAnsi="Arial" w:cs="Arial"/>
          <w:sz w:val="24"/>
          <w:szCs w:val="24"/>
        </w:rPr>
        <w:t>New governance and management in touristic destinations. (2022). IGI Global.</w:t>
      </w:r>
    </w:p>
    <w:p w14:paraId="12F83F12" w14:textId="77777777" w:rsidR="00C1483D" w:rsidRPr="00C1483D" w:rsidRDefault="00C1483D" w:rsidP="00C1483D">
      <w:pPr>
        <w:spacing w:line="360" w:lineRule="auto"/>
        <w:jc w:val="both"/>
        <w:rPr>
          <w:rFonts w:ascii="Arial" w:hAnsi="Arial" w:cs="Arial"/>
          <w:sz w:val="24"/>
          <w:szCs w:val="24"/>
        </w:rPr>
      </w:pPr>
      <w:r w:rsidRPr="00C1483D">
        <w:rPr>
          <w:rFonts w:ascii="Arial" w:hAnsi="Arial" w:cs="Arial"/>
          <w:sz w:val="24"/>
          <w:szCs w:val="24"/>
        </w:rPr>
        <w:t>Sustainable tourism : breakthroughs in research and practice. (2019). IGI Global.</w:t>
      </w:r>
    </w:p>
    <w:p w14:paraId="5898614A" w14:textId="77777777" w:rsidR="00C1483D" w:rsidRPr="00C1483D" w:rsidRDefault="00C1483D" w:rsidP="00C1483D">
      <w:pPr>
        <w:spacing w:line="360" w:lineRule="auto"/>
        <w:jc w:val="both"/>
        <w:rPr>
          <w:rFonts w:ascii="Arial" w:hAnsi="Arial" w:cs="Arial"/>
          <w:sz w:val="24"/>
          <w:szCs w:val="24"/>
        </w:rPr>
      </w:pPr>
      <w:r w:rsidRPr="00C1483D">
        <w:rPr>
          <w:rFonts w:ascii="Arial" w:hAnsi="Arial" w:cs="Arial"/>
          <w:sz w:val="24"/>
          <w:szCs w:val="24"/>
        </w:rPr>
        <w:t xml:space="preserve">Wickham, Donnelly, T., &amp; French, L. (2021). Strategic Sustainability Management in the Event Sector. Event Management, 25(3), 279–296.  </w:t>
      </w:r>
    </w:p>
    <w:p w14:paraId="68D94639" w14:textId="77777777" w:rsidR="00C1483D" w:rsidRPr="00C1483D" w:rsidRDefault="00C1483D" w:rsidP="00C1483D">
      <w:pPr>
        <w:rPr>
          <w:rFonts w:ascii="Arial" w:hAnsi="Arial" w:cs="Arial"/>
          <w:sz w:val="28"/>
          <w:szCs w:val="28"/>
        </w:rPr>
      </w:pPr>
      <w:r w:rsidRPr="00C1483D">
        <w:rPr>
          <w:rFonts w:ascii="Arial" w:hAnsi="Arial" w:cs="Arial"/>
          <w:sz w:val="28"/>
          <w:szCs w:val="28"/>
        </w:rPr>
        <w:t>‌</w:t>
      </w:r>
    </w:p>
    <w:p w14:paraId="7267D996" w14:textId="77777777" w:rsidR="00C1483D" w:rsidRPr="00C1483D" w:rsidRDefault="00C1483D" w:rsidP="00C1483D">
      <w:pPr>
        <w:rPr>
          <w:rFonts w:ascii="Arial" w:hAnsi="Arial" w:cs="Arial"/>
          <w:sz w:val="28"/>
          <w:szCs w:val="28"/>
        </w:rPr>
      </w:pPr>
    </w:p>
    <w:p w14:paraId="4ED7FFD6" w14:textId="77777777" w:rsidR="004E5CE2" w:rsidRPr="004E5CE2" w:rsidRDefault="004E5CE2" w:rsidP="004E5CE2">
      <w:pPr>
        <w:rPr>
          <w:rFonts w:ascii="Arial" w:hAnsi="Arial" w:cs="Arial"/>
          <w:sz w:val="28"/>
          <w:szCs w:val="28"/>
        </w:rPr>
      </w:pPr>
    </w:p>
    <w:p w14:paraId="562FC842" w14:textId="77777777" w:rsidR="004E5CE2" w:rsidRPr="004E5CE2" w:rsidRDefault="004E5CE2" w:rsidP="004E5CE2">
      <w:pPr>
        <w:rPr>
          <w:rFonts w:ascii="Arial" w:hAnsi="Arial" w:cs="Arial"/>
          <w:sz w:val="28"/>
          <w:szCs w:val="28"/>
        </w:rPr>
      </w:pPr>
    </w:p>
    <w:sectPr w:rsidR="004E5CE2" w:rsidRPr="004E5CE2">
      <w:foot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D7D9FC" w14:textId="77777777" w:rsidR="009F524F" w:rsidRDefault="009F524F" w:rsidP="004E5CE2">
      <w:pPr>
        <w:spacing w:after="0" w:line="240" w:lineRule="auto"/>
      </w:pPr>
      <w:r>
        <w:separator/>
      </w:r>
    </w:p>
  </w:endnote>
  <w:endnote w:type="continuationSeparator" w:id="0">
    <w:p w14:paraId="60A11DFE" w14:textId="77777777" w:rsidR="009F524F" w:rsidRDefault="009F524F" w:rsidP="004E5CE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81574954"/>
      <w:docPartObj>
        <w:docPartGallery w:val="Page Numbers (Bottom of Page)"/>
        <w:docPartUnique/>
      </w:docPartObj>
    </w:sdtPr>
    <w:sdtEndPr>
      <w:rPr>
        <w:noProof/>
      </w:rPr>
    </w:sdtEndPr>
    <w:sdtContent>
      <w:p w14:paraId="37BE1C96" w14:textId="38798D00" w:rsidR="004E5CE2" w:rsidRDefault="004E5CE2">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816AA42" w14:textId="77777777" w:rsidR="004E5CE2" w:rsidRDefault="004E5CE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CABBEA" w14:textId="77777777" w:rsidR="009F524F" w:rsidRDefault="009F524F" w:rsidP="004E5CE2">
      <w:pPr>
        <w:spacing w:after="0" w:line="240" w:lineRule="auto"/>
      </w:pPr>
      <w:r>
        <w:separator/>
      </w:r>
    </w:p>
  </w:footnote>
  <w:footnote w:type="continuationSeparator" w:id="0">
    <w:p w14:paraId="38615F68" w14:textId="77777777" w:rsidR="009F524F" w:rsidRDefault="009F524F" w:rsidP="004E5CE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5CE2"/>
    <w:rsid w:val="000A7B8C"/>
    <w:rsid w:val="004E5CE2"/>
    <w:rsid w:val="0058699A"/>
    <w:rsid w:val="005E0C69"/>
    <w:rsid w:val="00792117"/>
    <w:rsid w:val="007B0CC3"/>
    <w:rsid w:val="009F524F"/>
    <w:rsid w:val="00B151A8"/>
    <w:rsid w:val="00C1483D"/>
    <w:rsid w:val="00C82D1F"/>
    <w:rsid w:val="00D73CF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3F663C7"/>
  <w15:chartTrackingRefBased/>
  <w15:docId w15:val="{6C841D3F-8409-474F-B48F-23D6698C89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B0CC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4E5CE2"/>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4E5CE2"/>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4E5CE2"/>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4E5CE2"/>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4E5CE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E5CE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E5CE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E5CE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U">
    <w:name w:val="EU"/>
    <w:basedOn w:val="Heading1"/>
    <w:link w:val="EUChar"/>
    <w:qFormat/>
    <w:rsid w:val="007B0CC3"/>
    <w:pPr>
      <w:spacing w:line="256" w:lineRule="auto"/>
      <w:jc w:val="both"/>
    </w:pPr>
    <w:rPr>
      <w:rFonts w:ascii="Arial" w:hAnsi="Arial" w:cs="Arial"/>
      <w:b/>
      <w:kern w:val="0"/>
      <w:sz w:val="24"/>
      <w:szCs w:val="24"/>
      <w:lang w:eastAsia="en-GB"/>
      <w14:ligatures w14:val="none"/>
    </w:rPr>
  </w:style>
  <w:style w:type="character" w:customStyle="1" w:styleId="EUChar">
    <w:name w:val="EU Char"/>
    <w:basedOn w:val="Heading1Char"/>
    <w:link w:val="EU"/>
    <w:rsid w:val="007B0CC3"/>
    <w:rPr>
      <w:rFonts w:ascii="Arial" w:eastAsiaTheme="majorEastAsia" w:hAnsi="Arial" w:cs="Arial"/>
      <w:b/>
      <w:color w:val="2F5496" w:themeColor="accent1" w:themeShade="BF"/>
      <w:kern w:val="0"/>
      <w:sz w:val="24"/>
      <w:szCs w:val="24"/>
      <w:lang w:eastAsia="en-GB"/>
      <w14:ligatures w14:val="none"/>
    </w:rPr>
  </w:style>
  <w:style w:type="character" w:customStyle="1" w:styleId="Heading1Char">
    <w:name w:val="Heading 1 Char"/>
    <w:basedOn w:val="DefaultParagraphFont"/>
    <w:link w:val="Heading1"/>
    <w:uiPriority w:val="9"/>
    <w:rsid w:val="007B0CC3"/>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semiHidden/>
    <w:rsid w:val="004E5CE2"/>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4E5CE2"/>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4E5CE2"/>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4E5CE2"/>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4E5CE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E5CE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E5CE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E5CE2"/>
    <w:rPr>
      <w:rFonts w:eastAsiaTheme="majorEastAsia" w:cstheme="majorBidi"/>
      <w:color w:val="272727" w:themeColor="text1" w:themeTint="D8"/>
    </w:rPr>
  </w:style>
  <w:style w:type="paragraph" w:styleId="Title">
    <w:name w:val="Title"/>
    <w:basedOn w:val="Normal"/>
    <w:next w:val="Normal"/>
    <w:link w:val="TitleChar"/>
    <w:uiPriority w:val="10"/>
    <w:qFormat/>
    <w:rsid w:val="004E5CE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E5CE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E5CE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E5CE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E5CE2"/>
    <w:pPr>
      <w:spacing w:before="160"/>
      <w:jc w:val="center"/>
    </w:pPr>
    <w:rPr>
      <w:i/>
      <w:iCs/>
      <w:color w:val="404040" w:themeColor="text1" w:themeTint="BF"/>
    </w:rPr>
  </w:style>
  <w:style w:type="character" w:customStyle="1" w:styleId="QuoteChar">
    <w:name w:val="Quote Char"/>
    <w:basedOn w:val="DefaultParagraphFont"/>
    <w:link w:val="Quote"/>
    <w:uiPriority w:val="29"/>
    <w:rsid w:val="004E5CE2"/>
    <w:rPr>
      <w:i/>
      <w:iCs/>
      <w:color w:val="404040" w:themeColor="text1" w:themeTint="BF"/>
    </w:rPr>
  </w:style>
  <w:style w:type="paragraph" w:styleId="ListParagraph">
    <w:name w:val="List Paragraph"/>
    <w:basedOn w:val="Normal"/>
    <w:uiPriority w:val="34"/>
    <w:qFormat/>
    <w:rsid w:val="004E5CE2"/>
    <w:pPr>
      <w:ind w:left="720"/>
      <w:contextualSpacing/>
    </w:pPr>
  </w:style>
  <w:style w:type="character" w:styleId="IntenseEmphasis">
    <w:name w:val="Intense Emphasis"/>
    <w:basedOn w:val="DefaultParagraphFont"/>
    <w:uiPriority w:val="21"/>
    <w:qFormat/>
    <w:rsid w:val="004E5CE2"/>
    <w:rPr>
      <w:i/>
      <w:iCs/>
      <w:color w:val="2F5496" w:themeColor="accent1" w:themeShade="BF"/>
    </w:rPr>
  </w:style>
  <w:style w:type="paragraph" w:styleId="IntenseQuote">
    <w:name w:val="Intense Quote"/>
    <w:basedOn w:val="Normal"/>
    <w:next w:val="Normal"/>
    <w:link w:val="IntenseQuoteChar"/>
    <w:uiPriority w:val="30"/>
    <w:qFormat/>
    <w:rsid w:val="004E5CE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4E5CE2"/>
    <w:rPr>
      <w:i/>
      <w:iCs/>
      <w:color w:val="2F5496" w:themeColor="accent1" w:themeShade="BF"/>
    </w:rPr>
  </w:style>
  <w:style w:type="character" w:styleId="IntenseReference">
    <w:name w:val="Intense Reference"/>
    <w:basedOn w:val="DefaultParagraphFont"/>
    <w:uiPriority w:val="32"/>
    <w:qFormat/>
    <w:rsid w:val="004E5CE2"/>
    <w:rPr>
      <w:b/>
      <w:bCs/>
      <w:smallCaps/>
      <w:color w:val="2F5496" w:themeColor="accent1" w:themeShade="BF"/>
      <w:spacing w:val="5"/>
    </w:rPr>
  </w:style>
  <w:style w:type="paragraph" w:styleId="Header">
    <w:name w:val="header"/>
    <w:basedOn w:val="Normal"/>
    <w:link w:val="HeaderChar"/>
    <w:uiPriority w:val="99"/>
    <w:unhideWhenUsed/>
    <w:rsid w:val="004E5CE2"/>
    <w:pPr>
      <w:tabs>
        <w:tab w:val="center" w:pos="4513"/>
        <w:tab w:val="right" w:pos="9026"/>
      </w:tabs>
      <w:spacing w:after="0" w:line="240" w:lineRule="auto"/>
    </w:pPr>
  </w:style>
  <w:style w:type="character" w:customStyle="1" w:styleId="HeaderChar">
    <w:name w:val="Header Char"/>
    <w:basedOn w:val="DefaultParagraphFont"/>
    <w:link w:val="Header"/>
    <w:uiPriority w:val="99"/>
    <w:rsid w:val="004E5CE2"/>
  </w:style>
  <w:style w:type="paragraph" w:styleId="Footer">
    <w:name w:val="footer"/>
    <w:basedOn w:val="Normal"/>
    <w:link w:val="FooterChar"/>
    <w:uiPriority w:val="99"/>
    <w:unhideWhenUsed/>
    <w:rsid w:val="004E5CE2"/>
    <w:pPr>
      <w:tabs>
        <w:tab w:val="center" w:pos="4513"/>
        <w:tab w:val="right" w:pos="9026"/>
      </w:tabs>
      <w:spacing w:after="0" w:line="240" w:lineRule="auto"/>
    </w:pPr>
  </w:style>
  <w:style w:type="character" w:customStyle="1" w:styleId="FooterChar">
    <w:name w:val="Footer Char"/>
    <w:basedOn w:val="DefaultParagraphFont"/>
    <w:link w:val="Footer"/>
    <w:uiPriority w:val="99"/>
    <w:rsid w:val="004E5CE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2436</Words>
  <Characters>16129</Characters>
  <Application>Microsoft Office Word</Application>
  <DocSecurity>0</DocSecurity>
  <Lines>293</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18524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Irina Buture</cp:lastModifiedBy>
  <cp:revision>2</cp:revision>
  <dcterms:created xsi:type="dcterms:W3CDTF">2025-06-12T22:08:00Z</dcterms:created>
  <dcterms:modified xsi:type="dcterms:W3CDTF">2025-06-12T22:25:00Z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0eff7bdf-234f-4b71-9703-f95123cce5f1</vt:lpwstr>
  </property>
</Properties>
</file>